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3F4DE" w14:textId="77777777" w:rsidR="00DA76E3" w:rsidRPr="00303DF7" w:rsidRDefault="00DA76E3" w:rsidP="00DA76E3">
      <w:pPr>
        <w:spacing w:line="256" w:lineRule="auto"/>
        <w:jc w:val="both"/>
        <w:rPr>
          <w:rFonts w:ascii="Verdana" w:eastAsia="Yu Gothic UI Semibold" w:hAnsi="Verdana" w:cs="Arial"/>
          <w:b/>
          <w:bCs/>
          <w:color w:val="000000"/>
          <w:lang w:val="es-MX"/>
        </w:rPr>
      </w:pPr>
      <w:bookmarkStart w:id="0" w:name="_Hlk143780582"/>
      <w:r w:rsidRPr="00303DF7">
        <w:rPr>
          <w:rFonts w:ascii="Verdana" w:eastAsia="Yu Gothic UI Semibold" w:hAnsi="Verdana" w:cs="Arial"/>
          <w:b/>
          <w:bCs/>
          <w:color w:val="000000"/>
          <w:lang w:val="es-MX"/>
        </w:rPr>
        <w:t>ESTABILIDAD LABORAL REFORZADA DE MUJER EMBARAZADA – Concepto</w:t>
      </w:r>
    </w:p>
    <w:p w14:paraId="6BA5ED58" w14:textId="77777777" w:rsidR="00DA76E3" w:rsidRPr="00303DF7" w:rsidRDefault="00DA76E3" w:rsidP="00DA76E3">
      <w:pPr>
        <w:spacing w:line="256" w:lineRule="auto"/>
        <w:contextualSpacing/>
        <w:jc w:val="both"/>
        <w:rPr>
          <w:rFonts w:ascii="Verdana" w:eastAsia="Yu Gothic UI Semibold" w:hAnsi="Verdana" w:cs="Arial"/>
          <w:b/>
          <w:bCs/>
          <w:color w:val="000000"/>
          <w:lang w:val="es-MX"/>
        </w:rPr>
      </w:pPr>
    </w:p>
    <w:p w14:paraId="578F3D2E" w14:textId="77777777" w:rsidR="00DA76E3" w:rsidRDefault="00DA76E3" w:rsidP="00DA76E3">
      <w:pPr>
        <w:spacing w:line="256" w:lineRule="auto"/>
        <w:contextualSpacing/>
        <w:jc w:val="both"/>
        <w:rPr>
          <w:rFonts w:ascii="Verdana" w:eastAsia="Calibri" w:hAnsi="Verdana" w:cs="Arial"/>
          <w:bCs/>
          <w:sz w:val="20"/>
          <w:szCs w:val="20"/>
          <w:lang w:val="es-MX"/>
        </w:rPr>
      </w:pPr>
      <w:r w:rsidRPr="00303DF7">
        <w:rPr>
          <w:rFonts w:ascii="Verdana" w:eastAsia="Calibri" w:hAnsi="Verdana" w:cs="Arial"/>
          <w:bCs/>
          <w:sz w:val="20"/>
          <w:szCs w:val="20"/>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2D2B036D" w14:textId="77777777" w:rsidR="00DA76E3" w:rsidRDefault="00DA76E3" w:rsidP="00DA76E3">
      <w:pPr>
        <w:spacing w:line="256" w:lineRule="auto"/>
        <w:contextualSpacing/>
        <w:jc w:val="both"/>
        <w:rPr>
          <w:rFonts w:ascii="Verdana" w:eastAsia="Calibri" w:hAnsi="Verdana" w:cs="Arial"/>
          <w:bCs/>
          <w:sz w:val="20"/>
          <w:szCs w:val="20"/>
          <w:lang w:val="es-MX"/>
        </w:rPr>
      </w:pPr>
    </w:p>
    <w:p w14:paraId="662F2DC9" w14:textId="77777777" w:rsidR="00DA76E3" w:rsidRPr="00B33964" w:rsidRDefault="00DA76E3" w:rsidP="00DA76E3">
      <w:pPr>
        <w:spacing w:line="256" w:lineRule="auto"/>
        <w:jc w:val="both"/>
        <w:rPr>
          <w:rFonts w:ascii="Verdana" w:eastAsia="Yu Gothic UI Semibold" w:hAnsi="Verdana" w:cs="Arial"/>
          <w:b/>
          <w:bCs/>
          <w:color w:val="000000"/>
          <w:lang w:val="es-MX"/>
        </w:rPr>
      </w:pPr>
      <w:r w:rsidRPr="00B33964">
        <w:rPr>
          <w:rFonts w:ascii="Verdana" w:eastAsia="Yu Gothic UI Semibold" w:hAnsi="Verdana" w:cs="Arial"/>
          <w:b/>
          <w:bCs/>
          <w:color w:val="000000"/>
          <w:lang w:val="es-MX"/>
        </w:rPr>
        <w:t xml:space="preserve">ESTABILIDAD LABORAL REFORZADA DE MUJER EMBARAZADA – Unificación jurisprudencial </w:t>
      </w:r>
    </w:p>
    <w:p w14:paraId="3AFC52E8" w14:textId="77777777" w:rsidR="00DA76E3" w:rsidRPr="00B33964" w:rsidRDefault="00DA76E3" w:rsidP="00DA76E3">
      <w:pPr>
        <w:spacing w:line="256" w:lineRule="auto"/>
        <w:contextualSpacing/>
        <w:jc w:val="both"/>
        <w:rPr>
          <w:rFonts w:ascii="Verdana" w:eastAsia="Yu Gothic UI Semibold" w:hAnsi="Verdana" w:cs="Arial"/>
          <w:sz w:val="20"/>
          <w:szCs w:val="20"/>
          <w:shd w:val="clear" w:color="auto" w:fill="FFFFFF"/>
          <w:lang w:val="es-ES_tradnl"/>
        </w:rPr>
      </w:pPr>
      <w:r w:rsidRPr="00B33964">
        <w:rPr>
          <w:rFonts w:ascii="Verdana" w:eastAsia="Yu Gothic UI Semibold" w:hAnsi="Verdana" w:cs="Arial"/>
          <w:sz w:val="20"/>
          <w:szCs w:val="20"/>
          <w:shd w:val="clear" w:color="auto" w:fill="FFFFFF"/>
          <w:lang w:val="es-ES_tradnl"/>
        </w:rPr>
        <w:t xml:space="preserve">[…] </w:t>
      </w:r>
      <w:r w:rsidRPr="00B33964">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B33964">
        <w:rPr>
          <w:rFonts w:ascii="Verdana" w:eastAsia="Yu Gothic UI Semibold" w:hAnsi="Verdana" w:cs="Arial"/>
          <w:i/>
          <w:sz w:val="20"/>
          <w:szCs w:val="20"/>
        </w:rPr>
        <w:t xml:space="preserve"> </w:t>
      </w:r>
      <w:r w:rsidRPr="00B33964">
        <w:rPr>
          <w:rFonts w:ascii="Verdana" w:eastAsia="Yu Gothic UI Semibold" w:hAnsi="Verdana" w:cs="Arial"/>
          <w:i/>
          <w:sz w:val="20"/>
          <w:szCs w:val="20"/>
          <w:lang w:eastAsia="es-MX"/>
        </w:rPr>
        <w:t>“</w:t>
      </w:r>
      <w:r w:rsidRPr="00B33964">
        <w:rPr>
          <w:rFonts w:ascii="Verdana" w:eastAsia="Yu Gothic UI Semibold" w:hAnsi="Verdana" w:cs="Arial"/>
          <w:i/>
          <w:sz w:val="20"/>
          <w:szCs w:val="20"/>
        </w:rPr>
        <w:t>fuero de maternidad</w:t>
      </w:r>
      <w:r w:rsidRPr="00B33964">
        <w:rPr>
          <w:rFonts w:ascii="Verdana" w:eastAsia="Yu Gothic UI Semibold" w:hAnsi="Verdana" w:cs="Arial"/>
          <w:i/>
          <w:sz w:val="20"/>
          <w:szCs w:val="20"/>
          <w:lang w:eastAsia="es-MX"/>
        </w:rPr>
        <w:t>”</w:t>
      </w:r>
      <w:r w:rsidRPr="00B33964">
        <w:rPr>
          <w:rFonts w:ascii="Verdana" w:eastAsia="Yu Gothic UI Semibold" w:hAnsi="Verdana" w:cs="Arial"/>
          <w:i/>
          <w:sz w:val="20"/>
          <w:szCs w:val="20"/>
        </w:rPr>
        <w:t>,</w:t>
      </w:r>
      <w:r w:rsidRPr="00B33964">
        <w:rPr>
          <w:rFonts w:ascii="Verdana" w:eastAsia="Yu Gothic UI Semibold" w:hAnsi="Verdana" w:cs="Arial"/>
          <w:sz w:val="20"/>
          <w:szCs w:val="20"/>
        </w:rPr>
        <w:t xml:space="preserve"> encuentra también su sustento en la cláusula general de igualdad de la Constitución </w:t>
      </w:r>
      <w:r w:rsidRPr="00B33964">
        <w:rPr>
          <w:rFonts w:ascii="Verdana" w:eastAsia="Yu Gothic UI Semibold" w:hAnsi="Verdana" w:cs="Arial"/>
          <w:i/>
          <w:sz w:val="20"/>
          <w:szCs w:val="20"/>
          <w:lang w:eastAsia="es-MX"/>
        </w:rPr>
        <w:t>“</w:t>
      </w:r>
      <w:r w:rsidRPr="00B33964">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sidRPr="00B33964">
        <w:rPr>
          <w:rFonts w:ascii="Verdana" w:eastAsia="Yu Gothic UI Semibold" w:hAnsi="Verdana" w:cs="Arial"/>
          <w:i/>
          <w:sz w:val="20"/>
          <w:szCs w:val="20"/>
          <w:lang w:eastAsia="es-MX"/>
        </w:rPr>
        <w:t>”</w:t>
      </w:r>
    </w:p>
    <w:p w14:paraId="7D0574C8" w14:textId="77777777" w:rsidR="00DA76E3" w:rsidRPr="00303DF7" w:rsidRDefault="00DA76E3" w:rsidP="00DA76E3">
      <w:pPr>
        <w:spacing w:line="256" w:lineRule="auto"/>
        <w:contextualSpacing/>
        <w:jc w:val="both"/>
        <w:rPr>
          <w:rFonts w:ascii="Verdana" w:eastAsia="Yu Gothic UI Semibold" w:hAnsi="Verdana" w:cs="Arial"/>
          <w:b/>
          <w:bCs/>
          <w:color w:val="000000"/>
          <w:sz w:val="20"/>
          <w:szCs w:val="20"/>
          <w:lang w:val="es-ES_tradnl"/>
        </w:rPr>
      </w:pPr>
    </w:p>
    <w:p w14:paraId="555E0914" w14:textId="77777777" w:rsidR="00DA76E3" w:rsidRPr="00870892" w:rsidRDefault="00DA76E3" w:rsidP="00DA76E3">
      <w:pPr>
        <w:spacing w:line="256" w:lineRule="auto"/>
        <w:jc w:val="both"/>
        <w:rPr>
          <w:rFonts w:ascii="Verdana" w:eastAsia="Yu Gothic UI Semibold" w:hAnsi="Verdana" w:cs="Arial"/>
          <w:b/>
          <w:bCs/>
          <w:color w:val="000000"/>
          <w:sz w:val="20"/>
          <w:szCs w:val="20"/>
          <w:lang w:val="es-MX"/>
        </w:rPr>
      </w:pPr>
      <w:r w:rsidRPr="00870892">
        <w:rPr>
          <w:rFonts w:ascii="Verdana" w:eastAsia="Yu Gothic UI Semibold" w:hAnsi="Verdana" w:cs="Arial"/>
          <w:b/>
          <w:bCs/>
          <w:color w:val="000000"/>
          <w:lang w:val="es-MX"/>
        </w:rPr>
        <w:t>ESTABILIDAD LABORAL REFORZADA DE MUJER EMBARAZADA – Procedencia</w:t>
      </w:r>
    </w:p>
    <w:p w14:paraId="138F17D0" w14:textId="77777777" w:rsidR="00DA76E3" w:rsidRPr="00870892" w:rsidRDefault="00DA76E3" w:rsidP="00DA76E3">
      <w:pPr>
        <w:spacing w:line="256" w:lineRule="auto"/>
        <w:contextualSpacing/>
        <w:jc w:val="both"/>
        <w:rPr>
          <w:rFonts w:ascii="Verdana" w:eastAsia="Calibri" w:hAnsi="Verdana" w:cs="Arial"/>
          <w:sz w:val="20"/>
          <w:szCs w:val="20"/>
        </w:rPr>
      </w:pPr>
    </w:p>
    <w:p w14:paraId="73914E57" w14:textId="77777777" w:rsidR="00DA76E3" w:rsidRPr="00870892" w:rsidRDefault="00DA76E3" w:rsidP="00DA76E3">
      <w:pPr>
        <w:widowControl w:val="0"/>
        <w:autoSpaceDE w:val="0"/>
        <w:autoSpaceDN w:val="0"/>
        <w:spacing w:line="256" w:lineRule="auto"/>
        <w:contextualSpacing/>
        <w:jc w:val="both"/>
        <w:rPr>
          <w:rFonts w:ascii="Verdana" w:eastAsia="Arial" w:hAnsi="Verdana" w:cs="Arial"/>
          <w:sz w:val="20"/>
          <w:szCs w:val="20"/>
          <w:lang w:val="es-ES"/>
        </w:rPr>
      </w:pPr>
      <w:r w:rsidRPr="00870892">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8776042" w14:textId="77777777" w:rsidR="00DA76E3" w:rsidRDefault="00DA76E3" w:rsidP="00DA76E3">
      <w:pPr>
        <w:spacing w:after="0"/>
        <w:rPr>
          <w:rFonts w:ascii="Verdana" w:hAnsi="Verdana"/>
          <w:lang w:val="es-ES"/>
        </w:rPr>
      </w:pPr>
    </w:p>
    <w:p w14:paraId="06B4992D" w14:textId="77777777" w:rsidR="00DA76E3" w:rsidRDefault="00DA76E3" w:rsidP="00DA76E3">
      <w:pPr>
        <w:spacing w:after="0"/>
        <w:rPr>
          <w:rFonts w:ascii="Verdana" w:hAnsi="Verdana"/>
          <w:lang w:val="es-ES"/>
        </w:rPr>
      </w:pPr>
    </w:p>
    <w:p w14:paraId="5964F49D" w14:textId="77777777" w:rsidR="00DA76E3" w:rsidRDefault="00DA76E3" w:rsidP="00DA76E3">
      <w:pPr>
        <w:spacing w:after="0"/>
        <w:rPr>
          <w:rFonts w:ascii="Verdana" w:hAnsi="Verdana"/>
          <w:lang w:val="es-ES"/>
        </w:rPr>
      </w:pPr>
    </w:p>
    <w:p w14:paraId="11091DC1" w14:textId="77777777" w:rsidR="00DA76E3" w:rsidRDefault="00DA76E3" w:rsidP="00DA76E3">
      <w:pPr>
        <w:spacing w:after="0"/>
        <w:rPr>
          <w:rFonts w:ascii="Verdana" w:hAnsi="Verdana"/>
          <w:lang w:val="es-ES"/>
        </w:rPr>
      </w:pPr>
    </w:p>
    <w:p w14:paraId="64F41472" w14:textId="4FC9A264" w:rsidR="00DA76E3" w:rsidRDefault="007F4015" w:rsidP="00DA76E3">
      <w:pPr>
        <w:spacing w:after="0"/>
        <w:rPr>
          <w:rFonts w:ascii="Verdana" w:eastAsia="Geomanist Light" w:hAnsi="Verdana" w:cs="Arial"/>
          <w:lang w:val="es-ES"/>
        </w:rPr>
      </w:pPr>
      <w:r>
        <w:rPr>
          <w:rFonts w:ascii="Verdana" w:eastAsia="Geomanist Light" w:hAnsi="Verdana" w:cs="Arial"/>
          <w:lang w:val="es-ES"/>
        </w:rPr>
        <w:lastRenderedPageBreak/>
        <w:t>Bogotá, 24 de febrero de 2025</w:t>
      </w:r>
    </w:p>
    <w:p w14:paraId="77931FA2" w14:textId="77777777" w:rsidR="007F4015" w:rsidRDefault="007F4015" w:rsidP="00DA76E3">
      <w:pPr>
        <w:spacing w:after="0"/>
        <w:rPr>
          <w:rFonts w:ascii="Verdana" w:eastAsia="Geomanist Light" w:hAnsi="Verdana" w:cs="Arial"/>
          <w:lang w:val="es-ES"/>
        </w:rPr>
      </w:pPr>
    </w:p>
    <w:p w14:paraId="1F95E356" w14:textId="77777777" w:rsidR="007F4015" w:rsidRDefault="007F4015" w:rsidP="00DA76E3">
      <w:pPr>
        <w:spacing w:after="0"/>
        <w:rPr>
          <w:rFonts w:ascii="Verdana" w:eastAsia="Geomanist Light" w:hAnsi="Verdana" w:cs="Arial"/>
          <w:lang w:val="es-ES"/>
        </w:rPr>
      </w:pPr>
    </w:p>
    <w:p w14:paraId="16F1C47C" w14:textId="77777777" w:rsidR="007F4015" w:rsidRPr="007F4015" w:rsidRDefault="007F4015" w:rsidP="00DA76E3">
      <w:pPr>
        <w:spacing w:after="0"/>
        <w:rPr>
          <w:rFonts w:ascii="Verdana" w:eastAsia="Times New Roman" w:hAnsi="Verdana" w:cs="Calibri"/>
          <w:color w:val="000000"/>
          <w:lang w:val="es-ES" w:eastAsia="es-CO"/>
        </w:rPr>
      </w:pPr>
    </w:p>
    <w:p w14:paraId="02C1574C" w14:textId="478F40CA" w:rsidR="00DA76E3" w:rsidRPr="00BD4AD7" w:rsidRDefault="00DA76E3" w:rsidP="00DA76E3">
      <w:pPr>
        <w:spacing w:after="0"/>
        <w:jc w:val="right"/>
        <w:rPr>
          <w:rFonts w:ascii="Verdana" w:hAnsi="Verdana"/>
        </w:rPr>
      </w:pPr>
      <w:r w:rsidRPr="00DA76E3">
        <w:rPr>
          <w:rFonts w:ascii="Verdana" w:hAnsi="Verdana"/>
          <w:noProof/>
        </w:rPr>
        <w:drawing>
          <wp:inline distT="0" distB="0" distL="0" distR="0" wp14:anchorId="5DB56F68" wp14:editId="0479BE04">
            <wp:extent cx="3305636" cy="943107"/>
            <wp:effectExtent l="0" t="0" r="0" b="9525"/>
            <wp:docPr id="205061175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11753" name="Imagen 1" descr="Texto&#10;&#10;El contenido generado por IA puede ser incorrecto."/>
                    <pic:cNvPicPr/>
                  </pic:nvPicPr>
                  <pic:blipFill>
                    <a:blip r:embed="rId10"/>
                    <a:stretch>
                      <a:fillRect/>
                    </a:stretch>
                  </pic:blipFill>
                  <pic:spPr>
                    <a:xfrm>
                      <a:off x="0" y="0"/>
                      <a:ext cx="3305636" cy="943107"/>
                    </a:xfrm>
                    <a:prstGeom prst="rect">
                      <a:avLst/>
                    </a:prstGeom>
                  </pic:spPr>
                </pic:pic>
              </a:graphicData>
            </a:graphic>
          </wp:inline>
        </w:drawing>
      </w:r>
    </w:p>
    <w:p w14:paraId="4E3EB814" w14:textId="77777777" w:rsidR="00DA76E3" w:rsidRPr="00BD4AD7" w:rsidRDefault="00DA76E3" w:rsidP="00DA76E3">
      <w:pPr>
        <w:spacing w:after="0"/>
        <w:rPr>
          <w:rFonts w:ascii="Verdana" w:hAnsi="Verdana"/>
        </w:rPr>
      </w:pPr>
    </w:p>
    <w:p w14:paraId="5728BD52" w14:textId="77777777" w:rsidR="00DA76E3" w:rsidRPr="00BD4AD7" w:rsidRDefault="00DA76E3" w:rsidP="00DA76E3">
      <w:pPr>
        <w:spacing w:after="0" w:line="240" w:lineRule="auto"/>
        <w:jc w:val="both"/>
        <w:rPr>
          <w:rFonts w:ascii="Verdana" w:eastAsia="Calibri" w:hAnsi="Verdana" w:cs="Arial"/>
          <w:lang w:val="es-ES" w:eastAsia="es-ES"/>
        </w:rPr>
      </w:pPr>
      <w:r w:rsidRPr="00BD4AD7">
        <w:rPr>
          <w:rFonts w:ascii="Verdana" w:eastAsia="Calibri" w:hAnsi="Verdana" w:cs="Arial"/>
          <w:lang w:val="es-ES" w:eastAsia="es-ES"/>
        </w:rPr>
        <w:t>Señora:</w:t>
      </w:r>
    </w:p>
    <w:p w14:paraId="50F3CC67" w14:textId="77777777" w:rsidR="00DA76E3" w:rsidRDefault="00DA76E3" w:rsidP="00DA76E3">
      <w:pPr>
        <w:tabs>
          <w:tab w:val="left" w:pos="1234"/>
        </w:tabs>
        <w:spacing w:after="0" w:line="240" w:lineRule="auto"/>
        <w:rPr>
          <w:rFonts w:ascii="Verdana" w:eastAsia="Calibri" w:hAnsi="Verdana" w:cs="Arial"/>
          <w:b/>
          <w:lang w:val="es-ES" w:eastAsia="es-ES"/>
        </w:rPr>
      </w:pPr>
      <w:r>
        <w:rPr>
          <w:rFonts w:ascii="Verdana" w:eastAsia="Calibri" w:hAnsi="Verdana" w:cs="Arial"/>
          <w:b/>
          <w:lang w:val="es-ES" w:eastAsia="es-ES"/>
        </w:rPr>
        <w:t>Natalia Saldarriaga</w:t>
      </w:r>
    </w:p>
    <w:p w14:paraId="33F56E8D" w14:textId="77777777" w:rsidR="00DA76E3" w:rsidRPr="009875D3" w:rsidRDefault="00DA76E3" w:rsidP="00DA76E3">
      <w:pPr>
        <w:tabs>
          <w:tab w:val="left" w:pos="1234"/>
        </w:tabs>
        <w:spacing w:after="0" w:line="240" w:lineRule="auto"/>
        <w:rPr>
          <w:rFonts w:ascii="Verdana" w:eastAsia="Calibri" w:hAnsi="Verdana" w:cs="Arial"/>
          <w:bCs/>
          <w:lang w:val="es-ES" w:eastAsia="es-ES"/>
        </w:rPr>
      </w:pPr>
      <w:hyperlink r:id="rId11" w:history="1">
        <w:r w:rsidRPr="009875D3">
          <w:rPr>
            <w:rStyle w:val="Hipervnculo"/>
            <w:rFonts w:ascii="Verdana" w:eastAsia="Calibri" w:hAnsi="Verdana" w:cs="Arial"/>
            <w:bCs/>
            <w:lang w:val="es-ES" w:eastAsia="es-ES"/>
          </w:rPr>
          <w:t>nlfsaldarriaga1901@gmail.com</w:t>
        </w:r>
      </w:hyperlink>
      <w:r w:rsidRPr="009875D3">
        <w:rPr>
          <w:rFonts w:ascii="Verdana" w:eastAsia="Calibri" w:hAnsi="Verdana" w:cs="Arial"/>
          <w:bCs/>
          <w:lang w:val="es-ES" w:eastAsia="es-ES"/>
        </w:rPr>
        <w:t xml:space="preserve"> </w:t>
      </w:r>
    </w:p>
    <w:p w14:paraId="699ED69C" w14:textId="77777777" w:rsidR="00DA76E3" w:rsidRPr="00BD4AD7" w:rsidRDefault="00DA76E3" w:rsidP="00DA76E3">
      <w:pPr>
        <w:tabs>
          <w:tab w:val="left" w:pos="1234"/>
        </w:tabs>
        <w:spacing w:after="0" w:line="240" w:lineRule="auto"/>
        <w:rPr>
          <w:rFonts w:ascii="Verdana" w:hAnsi="Verdana"/>
        </w:rPr>
      </w:pPr>
      <w:r>
        <w:rPr>
          <w:rFonts w:ascii="Verdana" w:eastAsia="Calibri" w:hAnsi="Verdana" w:cs="Arial"/>
          <w:bCs/>
          <w:lang w:val="es-ES" w:eastAsia="es-ES"/>
        </w:rPr>
        <w:t>Girardota, Antioquia</w:t>
      </w:r>
    </w:p>
    <w:p w14:paraId="0D9C1224" w14:textId="77777777" w:rsidR="00DA76E3" w:rsidRPr="00BD4AD7" w:rsidRDefault="00DA76E3" w:rsidP="00DA76E3">
      <w:pPr>
        <w:spacing w:after="0" w:line="240" w:lineRule="auto"/>
        <w:rPr>
          <w:rFonts w:ascii="Verdana" w:eastAsia="Calibri" w:hAnsi="Verdana" w:cs="Arial"/>
          <w:b/>
          <w:bCs/>
          <w:lang w:val="es-ES_tradnl" w:eastAsia="es-ES_tradnl"/>
        </w:rPr>
      </w:pPr>
    </w:p>
    <w:p w14:paraId="37709F08" w14:textId="77777777" w:rsidR="00DA76E3" w:rsidRPr="00BD4AD7" w:rsidRDefault="00DA76E3" w:rsidP="00DA76E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A76E3" w:rsidRPr="00BD4AD7" w14:paraId="72669EFE" w14:textId="77777777" w:rsidTr="00A92B53">
        <w:trPr>
          <w:trHeight w:val="747"/>
        </w:trPr>
        <w:tc>
          <w:tcPr>
            <w:tcW w:w="2689" w:type="dxa"/>
          </w:tcPr>
          <w:p w14:paraId="7691D955" w14:textId="77777777" w:rsidR="00DA76E3" w:rsidRPr="00BD4AD7" w:rsidRDefault="00DA76E3" w:rsidP="00A92B53">
            <w:pPr>
              <w:jc w:val="both"/>
              <w:rPr>
                <w:rFonts w:ascii="Verdana" w:eastAsia="Calibri" w:hAnsi="Verdana" w:cs="Arial"/>
                <w:b/>
                <w:bCs/>
                <w:lang w:val="es-ES_tradnl" w:eastAsia="es-ES_tradnl"/>
              </w:rPr>
            </w:pPr>
          </w:p>
        </w:tc>
        <w:tc>
          <w:tcPr>
            <w:tcW w:w="6100" w:type="dxa"/>
          </w:tcPr>
          <w:p w14:paraId="544B9381" w14:textId="77777777" w:rsidR="00DA76E3" w:rsidRPr="00BD4AD7" w:rsidRDefault="00DA76E3" w:rsidP="00A92B53">
            <w:pPr>
              <w:jc w:val="both"/>
              <w:rPr>
                <w:rFonts w:ascii="Verdana" w:eastAsia="Calibri" w:hAnsi="Verdana" w:cs="Arial"/>
                <w:b/>
                <w:bCs/>
                <w:lang w:val="es-ES" w:eastAsia="es-ES"/>
              </w:rPr>
            </w:pPr>
            <w:r w:rsidRPr="00BD4AD7">
              <w:rPr>
                <w:rFonts w:ascii="Verdana" w:eastAsia="Calibri" w:hAnsi="Verdana" w:cs="Arial"/>
                <w:b/>
                <w:bCs/>
                <w:lang w:val="es-ES" w:eastAsia="es-ES"/>
              </w:rPr>
              <w:t xml:space="preserve">Concepto </w:t>
            </w:r>
            <w:r w:rsidRPr="00BD4AD7">
              <w:rPr>
                <w:rFonts w:ascii="Verdana" w:eastAsia="Calibri" w:hAnsi="Verdana" w:cs="Arial"/>
                <w:b/>
                <w:bCs/>
                <w:lang w:eastAsia="es-ES"/>
              </w:rPr>
              <w:t>C-</w:t>
            </w:r>
            <w:r>
              <w:rPr>
                <w:rFonts w:ascii="Verdana" w:eastAsia="Calibri" w:hAnsi="Verdana" w:cs="Arial"/>
                <w:b/>
                <w:bCs/>
                <w:lang w:eastAsia="es-ES"/>
              </w:rPr>
              <w:t>031 de 2025</w:t>
            </w:r>
          </w:p>
        </w:tc>
      </w:tr>
      <w:tr w:rsidR="00DA76E3" w:rsidRPr="00BD4AD7" w14:paraId="4F451830" w14:textId="77777777" w:rsidTr="00A92B53">
        <w:trPr>
          <w:trHeight w:val="884"/>
        </w:trPr>
        <w:tc>
          <w:tcPr>
            <w:tcW w:w="2689" w:type="dxa"/>
            <w:shd w:val="clear" w:color="auto" w:fill="auto"/>
          </w:tcPr>
          <w:p w14:paraId="65EE5C06" w14:textId="77777777" w:rsidR="00DA76E3" w:rsidRPr="00BD4AD7" w:rsidRDefault="00DA76E3" w:rsidP="00A92B53">
            <w:pPr>
              <w:jc w:val="both"/>
              <w:rPr>
                <w:rFonts w:ascii="Verdana" w:eastAsia="Calibri" w:hAnsi="Verdana" w:cs="Arial"/>
                <w:b/>
                <w:lang w:val="es-ES_tradnl" w:eastAsia="es-ES_tradnl"/>
              </w:rPr>
            </w:pPr>
            <w:r w:rsidRPr="00BD4AD7">
              <w:rPr>
                <w:rFonts w:ascii="Verdana" w:eastAsia="Calibri" w:hAnsi="Verdana" w:cs="Arial"/>
                <w:b/>
                <w:lang w:val="es-ES_tradnl" w:eastAsia="es-ES_tradnl"/>
              </w:rPr>
              <w:t xml:space="preserve">Temas:                   </w:t>
            </w:r>
          </w:p>
        </w:tc>
        <w:tc>
          <w:tcPr>
            <w:tcW w:w="6100" w:type="dxa"/>
          </w:tcPr>
          <w:p w14:paraId="044D45CC" w14:textId="77777777" w:rsidR="00DA76E3" w:rsidRPr="00BD4AD7" w:rsidRDefault="00DA76E3" w:rsidP="00A92B53">
            <w:pPr>
              <w:spacing w:line="276" w:lineRule="auto"/>
              <w:jc w:val="both"/>
              <w:rPr>
                <w:rFonts w:ascii="Verdana" w:eastAsia="Times New Roman" w:hAnsi="Verdana" w:cs="Arial"/>
                <w:lang w:eastAsia="es-ES_tradnl"/>
              </w:rPr>
            </w:pPr>
            <w:r w:rsidRPr="00BD4AD7">
              <w:rPr>
                <w:rFonts w:ascii="Verdana" w:eastAsia="Times New Roman" w:hAnsi="Verdana" w:cs="Arial"/>
                <w:lang w:eastAsia="es-ES_tradnl"/>
              </w:rPr>
              <w:t xml:space="preserve">ESTABILIDAD LABORAL REFORZADA DE MUJER EMBARAZADA – Concepto / ESTABILIDAD LABORAL REFORZADA DE MUJER EMBARAZADA – Unificación jurisprudencial / ESTABILIDAD LABORAL REFORZADA DE MUJER EMBARAZADA – Procedencia </w:t>
            </w:r>
          </w:p>
          <w:p w14:paraId="237B6101" w14:textId="77777777" w:rsidR="00DA76E3" w:rsidRPr="00BD4AD7" w:rsidRDefault="00DA76E3" w:rsidP="00A92B53">
            <w:pPr>
              <w:spacing w:line="276" w:lineRule="auto"/>
              <w:jc w:val="both"/>
              <w:rPr>
                <w:rFonts w:ascii="Verdana" w:eastAsia="Century Gothic" w:hAnsi="Verdana" w:cs="Century Gothic"/>
                <w:bCs/>
                <w:lang w:val="es-ES_tradnl"/>
              </w:rPr>
            </w:pPr>
          </w:p>
        </w:tc>
      </w:tr>
      <w:tr w:rsidR="00DA76E3" w:rsidRPr="00BD4AD7" w14:paraId="7EF14972" w14:textId="77777777" w:rsidTr="00A92B53">
        <w:trPr>
          <w:trHeight w:val="388"/>
        </w:trPr>
        <w:tc>
          <w:tcPr>
            <w:tcW w:w="2689" w:type="dxa"/>
          </w:tcPr>
          <w:p w14:paraId="28BDC574" w14:textId="77777777" w:rsidR="00DA76E3" w:rsidRPr="00BD4AD7" w:rsidRDefault="00DA76E3" w:rsidP="00A92B53">
            <w:pPr>
              <w:jc w:val="both"/>
              <w:rPr>
                <w:rFonts w:ascii="Verdana" w:eastAsia="Calibri" w:hAnsi="Verdana" w:cs="Arial"/>
                <w:b/>
                <w:lang w:val="es-ES_tradnl" w:eastAsia="es-ES_tradnl"/>
              </w:rPr>
            </w:pPr>
            <w:r w:rsidRPr="00BD4AD7">
              <w:rPr>
                <w:rFonts w:ascii="Verdana" w:eastAsia="Calibri" w:hAnsi="Verdana" w:cs="Arial"/>
                <w:b/>
                <w:lang w:val="es-ES_tradnl" w:eastAsia="es-ES_tradnl"/>
              </w:rPr>
              <w:t>Radicación:</w:t>
            </w:r>
            <w:r w:rsidRPr="00BD4AD7">
              <w:rPr>
                <w:rFonts w:ascii="Verdana" w:eastAsia="Calibri" w:hAnsi="Verdana" w:cs="Arial"/>
                <w:lang w:val="es-ES_tradnl" w:eastAsia="es-ES_tradnl"/>
              </w:rPr>
              <w:t xml:space="preserve">               </w:t>
            </w:r>
          </w:p>
        </w:tc>
        <w:tc>
          <w:tcPr>
            <w:tcW w:w="6100" w:type="dxa"/>
          </w:tcPr>
          <w:p w14:paraId="134CA8B8" w14:textId="77777777" w:rsidR="00DA76E3" w:rsidRPr="00BD4AD7" w:rsidRDefault="00DA76E3" w:rsidP="00A92B53">
            <w:pPr>
              <w:jc w:val="both"/>
              <w:rPr>
                <w:rFonts w:ascii="Verdana" w:eastAsia="Calibri" w:hAnsi="Verdana" w:cs="Arial"/>
                <w:lang w:eastAsia="es-ES_tradnl"/>
              </w:rPr>
            </w:pPr>
            <w:r w:rsidRPr="00BD4AD7">
              <w:rPr>
                <w:rFonts w:ascii="Verdana" w:eastAsia="Calibri" w:hAnsi="Verdana" w:cs="Arial"/>
                <w:lang w:val="es-ES_tradnl" w:eastAsia="es-ES_tradnl"/>
              </w:rPr>
              <w:t xml:space="preserve">Respuesta a consulta con radicado No. </w:t>
            </w:r>
            <w:r w:rsidRPr="00550C75">
              <w:rPr>
                <w:rFonts w:ascii="Verdana" w:eastAsia="Calibri" w:hAnsi="Verdana" w:cs="Arial"/>
                <w:lang w:eastAsia="es-ES_tradnl"/>
              </w:rPr>
              <w:t>P20250114000278</w:t>
            </w:r>
            <w:r w:rsidRPr="00550C75">
              <w:rPr>
                <w:rFonts w:ascii="Verdana" w:eastAsia="Calibri" w:hAnsi="Verdana" w:cs="Arial"/>
                <w:lang w:eastAsia="es-ES_tradnl"/>
              </w:rPr>
              <w:tab/>
            </w:r>
            <w:r w:rsidRPr="00BD4AD7">
              <w:rPr>
                <w:rFonts w:ascii="Verdana" w:eastAsia="Calibri" w:hAnsi="Verdana" w:cs="Arial"/>
                <w:lang w:eastAsia="es-ES_tradnl"/>
              </w:rPr>
              <w:t>.</w:t>
            </w:r>
          </w:p>
        </w:tc>
      </w:tr>
    </w:tbl>
    <w:p w14:paraId="099B99DF" w14:textId="77777777" w:rsidR="00DA76E3" w:rsidRPr="00BD4AD7" w:rsidRDefault="00DA76E3" w:rsidP="00DA76E3">
      <w:pPr>
        <w:spacing w:after="0" w:line="240" w:lineRule="auto"/>
        <w:jc w:val="both"/>
        <w:rPr>
          <w:rFonts w:ascii="Verdana" w:eastAsia="Calibri" w:hAnsi="Verdana" w:cs="Arial"/>
          <w:lang w:val="es-ES_tradnl" w:eastAsia="es-ES_tradnl"/>
        </w:rPr>
      </w:pPr>
    </w:p>
    <w:p w14:paraId="316AB271" w14:textId="77777777" w:rsidR="00DA76E3" w:rsidRPr="00BD4AD7" w:rsidRDefault="00DA76E3" w:rsidP="00DA76E3">
      <w:pPr>
        <w:spacing w:after="0" w:line="240" w:lineRule="auto"/>
        <w:jc w:val="both"/>
        <w:rPr>
          <w:rFonts w:ascii="Verdana" w:eastAsia="Calibri" w:hAnsi="Verdana" w:cs="Arial"/>
          <w:lang w:val="es-ES_tradnl" w:eastAsia="es-ES_tradnl"/>
        </w:rPr>
      </w:pPr>
    </w:p>
    <w:p w14:paraId="654C55E4" w14:textId="77777777" w:rsidR="00DA76E3" w:rsidRPr="00BD4AD7" w:rsidRDefault="00DA76E3" w:rsidP="00DA76E3">
      <w:pPr>
        <w:spacing w:after="0" w:line="276" w:lineRule="auto"/>
        <w:jc w:val="both"/>
        <w:rPr>
          <w:rFonts w:ascii="Verdana" w:eastAsia="Calibri" w:hAnsi="Verdana" w:cs="Arial"/>
          <w:lang w:val="es-ES" w:eastAsia="es-ES"/>
        </w:rPr>
      </w:pPr>
      <w:r w:rsidRPr="00BD4AD7">
        <w:rPr>
          <w:rFonts w:ascii="Verdana" w:eastAsia="Calibri" w:hAnsi="Verdana" w:cs="Arial"/>
          <w:lang w:val="es-ES" w:eastAsia="es-ES"/>
        </w:rPr>
        <w:t xml:space="preserve">Estimada señora </w:t>
      </w:r>
      <w:r>
        <w:rPr>
          <w:rFonts w:ascii="Verdana" w:eastAsia="Calibri" w:hAnsi="Verdana" w:cs="Arial"/>
          <w:lang w:val="es-ES" w:eastAsia="es-ES"/>
        </w:rPr>
        <w:t>Saldarriaga</w:t>
      </w:r>
      <w:r w:rsidRPr="00BD4AD7">
        <w:rPr>
          <w:rFonts w:ascii="Verdana" w:eastAsia="Calibri" w:hAnsi="Verdana" w:cs="Arial"/>
          <w:lang w:val="es-ES" w:eastAsia="es-ES"/>
        </w:rPr>
        <w:t>;</w:t>
      </w:r>
    </w:p>
    <w:p w14:paraId="3C87F88D" w14:textId="77777777" w:rsidR="00DA76E3" w:rsidRPr="00BD4AD7" w:rsidRDefault="00DA76E3" w:rsidP="00DA76E3">
      <w:pPr>
        <w:tabs>
          <w:tab w:val="left" w:pos="3768"/>
        </w:tabs>
        <w:spacing w:after="0" w:line="276" w:lineRule="auto"/>
        <w:jc w:val="both"/>
        <w:rPr>
          <w:rFonts w:ascii="Verdana" w:eastAsia="Calibri" w:hAnsi="Verdana" w:cs="Arial"/>
          <w:lang w:val="es-ES" w:eastAsia="es-ES"/>
        </w:rPr>
      </w:pPr>
    </w:p>
    <w:p w14:paraId="47570234" w14:textId="77777777" w:rsidR="00DA76E3" w:rsidRPr="00BD4AD7" w:rsidRDefault="00DA76E3" w:rsidP="00DA76E3">
      <w:pPr>
        <w:spacing w:after="0" w:line="276" w:lineRule="auto"/>
        <w:jc w:val="both"/>
        <w:rPr>
          <w:rFonts w:ascii="Verdana" w:eastAsia="Calibri" w:hAnsi="Verdana" w:cs="Arial"/>
          <w:lang w:val="es-ES" w:eastAsia="es-ES"/>
        </w:rPr>
      </w:pPr>
      <w:r w:rsidRPr="00BD4AD7">
        <w:rPr>
          <w:rFonts w:ascii="Verdana" w:eastAsia="Calibri" w:hAnsi="Verdana" w:cs="Arial"/>
          <w:lang w:val="es-ES" w:eastAsia="es-ES"/>
        </w:rPr>
        <w:t>En ejercicio de la competencia otorgada por los artículos 3, numeral 5º, y 11, numeral 8º, del Decreto Ley 4170 de 2011,</w:t>
      </w:r>
      <w:r w:rsidRPr="00BD4AD7">
        <w:rPr>
          <w:rFonts w:ascii="Verdana" w:eastAsia="Arial MT" w:hAnsi="Verdana" w:cs="Arial MT"/>
          <w:lang w:val="es-ES" w:eastAsia="es-ES"/>
        </w:rPr>
        <w:t xml:space="preserve"> </w:t>
      </w:r>
      <w:r w:rsidRPr="00BD4AD7">
        <w:rPr>
          <w:rFonts w:ascii="Verdana" w:hAnsi="Verdana" w:cs="Arial"/>
        </w:rPr>
        <w:t xml:space="preserve">así como lo establecido en el artículo 4 de la Resolución 1707 de 2018 expedida por esta Entidad, </w:t>
      </w:r>
      <w:r w:rsidRPr="00BD4AD7">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 xml:space="preserve">su petición de fecha del 14 de enero de 2025, la cual fue remitida por el Departamento Administrativo de la Función Pública mediante Oficio con Radicado No. </w:t>
      </w:r>
      <w:r w:rsidRPr="00107C1E">
        <w:rPr>
          <w:rFonts w:ascii="Verdana" w:eastAsia="Calibri" w:hAnsi="Verdana" w:cs="Arial"/>
          <w:lang w:val="es-ES" w:eastAsia="es-ES"/>
        </w:rPr>
        <w:t xml:space="preserve">20256000002481 </w:t>
      </w:r>
      <w:r>
        <w:rPr>
          <w:rFonts w:ascii="Verdana" w:eastAsia="Calibri" w:hAnsi="Verdana" w:cs="Arial"/>
          <w:lang w:val="es-ES" w:eastAsia="es-ES"/>
        </w:rPr>
        <w:t>del mismo mes y año. Usted consulta lo siguiente</w:t>
      </w:r>
      <w:r w:rsidRPr="00BD4AD7">
        <w:rPr>
          <w:rFonts w:ascii="Verdana" w:eastAsia="Calibri" w:hAnsi="Verdana" w:cs="Arial"/>
          <w:lang w:val="es-ES" w:eastAsia="es-ES"/>
        </w:rPr>
        <w:t xml:space="preserve">: </w:t>
      </w:r>
    </w:p>
    <w:p w14:paraId="6FFC5B94" w14:textId="77777777" w:rsidR="00DA76E3" w:rsidRPr="00BD4AD7" w:rsidRDefault="00DA76E3" w:rsidP="00DA76E3">
      <w:pPr>
        <w:spacing w:after="0"/>
        <w:jc w:val="both"/>
        <w:rPr>
          <w:rFonts w:ascii="Verdana" w:hAnsi="Verdana"/>
          <w:lang w:val="es-ES"/>
        </w:rPr>
      </w:pPr>
    </w:p>
    <w:p w14:paraId="3F52430A" w14:textId="77777777" w:rsidR="00DA76E3" w:rsidRDefault="00DA76E3" w:rsidP="00DA76E3">
      <w:pPr>
        <w:spacing w:after="0" w:line="240" w:lineRule="auto"/>
        <w:ind w:left="709" w:right="709"/>
        <w:jc w:val="both"/>
        <w:rPr>
          <w:rFonts w:ascii="Verdana" w:eastAsia="Century Gothic" w:hAnsi="Verdana" w:cs="Century Gothic"/>
          <w:sz w:val="20"/>
          <w:szCs w:val="20"/>
          <w:lang w:val="es-ES"/>
        </w:rPr>
      </w:pPr>
      <w:r w:rsidRPr="00BD4AD7">
        <w:rPr>
          <w:rFonts w:ascii="Verdana" w:eastAsia="Century Gothic" w:hAnsi="Verdana" w:cs="Century Gothic"/>
          <w:sz w:val="20"/>
          <w:szCs w:val="20"/>
          <w:lang w:val="es-ES"/>
        </w:rPr>
        <w:lastRenderedPageBreak/>
        <w:t xml:space="preserve">“[…] </w:t>
      </w:r>
      <w:r>
        <w:rPr>
          <w:rFonts w:ascii="Verdana" w:eastAsia="Century Gothic" w:hAnsi="Verdana" w:cs="Century Gothic"/>
          <w:sz w:val="20"/>
          <w:szCs w:val="20"/>
          <w:lang w:val="es-ES"/>
        </w:rPr>
        <w:t xml:space="preserve">por medio de la presenta me permito solicitar información acerca de la culminación de mi contrato laboral con la registraduría nacional oficina Girardota-Antioquia, he tenido contratos con la misma desde hace varios años por término fijos de 1 </w:t>
      </w:r>
      <w:proofErr w:type="spellStart"/>
      <w:r>
        <w:rPr>
          <w:rFonts w:ascii="Verdana" w:eastAsia="Century Gothic" w:hAnsi="Verdana" w:cs="Century Gothic"/>
          <w:sz w:val="20"/>
          <w:szCs w:val="20"/>
          <w:lang w:val="es-ES"/>
        </w:rPr>
        <w:t>ó</w:t>
      </w:r>
      <w:proofErr w:type="spellEnd"/>
      <w:r>
        <w:rPr>
          <w:rFonts w:ascii="Verdana" w:eastAsia="Century Gothic" w:hAnsi="Verdana" w:cs="Century Gothic"/>
          <w:sz w:val="20"/>
          <w:szCs w:val="20"/>
          <w:lang w:val="es-ES"/>
        </w:rPr>
        <w:t xml:space="preserve"> 3 meses, el año pasado quedé embarazada y me dieron contrato hasta el 30de septiembre de este año que finalizaba mi licencia de maternidad, mi inquietud es, soy madre cabeza de hogar con dos hijos uno de 17 y un bebé de 7 meses, desde hace algunos años y estando trabajando con la Registraduría me diagnosticaron con un adenoma en la glándula suprarrenal izquierda la cual aún no han podido operar, adicional a esto después del embarazo quede hipertensa, mi pregunta es si el contrato que tenía con dicha entidad si podía ser terminado aún con mi condición.</w:t>
      </w:r>
    </w:p>
    <w:p w14:paraId="51E29D4A" w14:textId="77777777" w:rsidR="00DA76E3" w:rsidRPr="00740F14" w:rsidRDefault="00DA76E3" w:rsidP="00DA76E3">
      <w:pPr>
        <w:spacing w:after="0" w:line="240" w:lineRule="auto"/>
        <w:ind w:left="709" w:right="709"/>
        <w:jc w:val="both"/>
        <w:rPr>
          <w:rFonts w:ascii="Verdana" w:eastAsia="Century Gothic" w:hAnsi="Verdana" w:cs="Century Gothic"/>
          <w:sz w:val="20"/>
          <w:szCs w:val="20"/>
          <w:lang w:val="es-ES"/>
        </w:rPr>
      </w:pPr>
    </w:p>
    <w:p w14:paraId="7DB904BC" w14:textId="77777777" w:rsidR="00DA76E3" w:rsidRPr="00BD4AD7" w:rsidRDefault="00DA76E3" w:rsidP="00DA76E3">
      <w:pPr>
        <w:spacing w:after="120" w:line="276" w:lineRule="auto"/>
        <w:ind w:firstLine="709"/>
        <w:jc w:val="both"/>
        <w:rPr>
          <w:rFonts w:ascii="Verdana" w:eastAsia="Calibri" w:hAnsi="Verdana" w:cs="Arial"/>
          <w:color w:val="000000"/>
          <w:lang w:val="es-ES_tradnl" w:eastAsia="es-ES_tradnl"/>
        </w:rPr>
      </w:pPr>
      <w:r w:rsidRPr="00BD4AD7">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DF78CDE" w14:textId="77777777" w:rsidR="00DA76E3" w:rsidRPr="00BD4AD7" w:rsidRDefault="00DA76E3" w:rsidP="00DA76E3">
      <w:pPr>
        <w:spacing w:after="0" w:line="276" w:lineRule="auto"/>
        <w:ind w:firstLine="709"/>
        <w:jc w:val="both"/>
        <w:rPr>
          <w:rFonts w:ascii="Verdana" w:eastAsia="Calibri" w:hAnsi="Verdana" w:cs="Arial"/>
          <w:color w:val="000000"/>
          <w:lang w:val="es-ES" w:eastAsia="es-ES"/>
        </w:rPr>
      </w:pPr>
      <w:r w:rsidRPr="00BD4AD7">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CE40221" w14:textId="77777777" w:rsidR="00DA76E3" w:rsidRPr="00BD4AD7" w:rsidRDefault="00DA76E3" w:rsidP="00DA76E3">
      <w:pPr>
        <w:spacing w:after="0"/>
        <w:jc w:val="both"/>
        <w:rPr>
          <w:rFonts w:ascii="Verdana" w:hAnsi="Verdana"/>
          <w:lang w:val="es-ES"/>
        </w:rPr>
      </w:pPr>
    </w:p>
    <w:p w14:paraId="323291E4" w14:textId="77777777" w:rsidR="00DA76E3" w:rsidRPr="00BD4AD7" w:rsidRDefault="00DA76E3" w:rsidP="00DA76E3">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BD4AD7">
        <w:rPr>
          <w:rFonts w:ascii="Verdana" w:eastAsia="Century Gothic" w:hAnsi="Verdana" w:cs="Century Gothic"/>
          <w:b/>
          <w:bCs/>
        </w:rPr>
        <w:t>Problema planteado:</w:t>
      </w:r>
    </w:p>
    <w:p w14:paraId="5913B2DD" w14:textId="77777777" w:rsidR="00DA76E3" w:rsidRPr="00BD4AD7" w:rsidRDefault="00DA76E3" w:rsidP="00DA76E3">
      <w:pPr>
        <w:tabs>
          <w:tab w:val="left" w:pos="426"/>
        </w:tabs>
        <w:spacing w:after="0" w:line="276" w:lineRule="auto"/>
        <w:jc w:val="both"/>
        <w:rPr>
          <w:rFonts w:ascii="Verdana" w:eastAsia="Century Gothic" w:hAnsi="Verdana" w:cs="Century Gothic"/>
          <w:highlight w:val="cyan"/>
          <w:lang w:val="es-ES"/>
        </w:rPr>
      </w:pPr>
    </w:p>
    <w:p w14:paraId="63C1BCB9" w14:textId="77777777" w:rsidR="00DA76E3" w:rsidRPr="00BD4AD7" w:rsidRDefault="00DA76E3" w:rsidP="00DA76E3">
      <w:pPr>
        <w:spacing w:after="0" w:line="276" w:lineRule="auto"/>
        <w:jc w:val="both"/>
        <w:rPr>
          <w:rFonts w:ascii="Verdana" w:eastAsia="Century Gothic" w:hAnsi="Verdana" w:cs="Century Gothic"/>
        </w:rPr>
      </w:pPr>
      <w:r w:rsidRPr="00BD4AD7">
        <w:rPr>
          <w:rFonts w:ascii="Verdana" w:eastAsia="Century Gothic" w:hAnsi="Verdana" w:cs="Century Gothic"/>
        </w:rPr>
        <w:t xml:space="preserve">De acuerdo con el contenido de su solicitud, </w:t>
      </w:r>
      <w:r>
        <w:rPr>
          <w:rFonts w:ascii="Verdana" w:eastAsia="Century Gothic" w:hAnsi="Verdana" w:cs="Century Gothic"/>
        </w:rPr>
        <w:t>le informamos que la misma será resuelta desde el siguiente interrogante</w:t>
      </w:r>
      <w:r w:rsidRPr="00BD4AD7">
        <w:rPr>
          <w:rFonts w:ascii="Verdana" w:eastAsia="Century Gothic" w:hAnsi="Verdana" w:cs="Century Gothic"/>
        </w:rPr>
        <w:t xml:space="preserve">: ¿Es procedente </w:t>
      </w:r>
      <w:r>
        <w:rPr>
          <w:rFonts w:ascii="Verdana" w:eastAsia="Calibri" w:hAnsi="Verdana" w:cs="Arial"/>
          <w:color w:val="000000" w:themeColor="text1"/>
          <w:lang w:val="es-MX"/>
        </w:rPr>
        <w:t>aplicar</w:t>
      </w:r>
      <w:r w:rsidRPr="00BD4AD7">
        <w:rPr>
          <w:rFonts w:ascii="Verdana" w:eastAsia="Calibri" w:hAnsi="Verdana" w:cs="Arial"/>
          <w:color w:val="000000" w:themeColor="text1"/>
          <w:lang w:val="es-MX"/>
        </w:rPr>
        <w:t xml:space="preserve"> el fuero de maternidad </w:t>
      </w:r>
      <w:r>
        <w:rPr>
          <w:rFonts w:ascii="Verdana" w:eastAsia="Calibri" w:hAnsi="Verdana" w:cs="Arial"/>
          <w:color w:val="000000" w:themeColor="text1"/>
          <w:lang w:val="es-MX"/>
        </w:rPr>
        <w:t>a</w:t>
      </w:r>
      <w:r w:rsidRPr="00BD4AD7">
        <w:rPr>
          <w:rFonts w:ascii="Verdana" w:eastAsia="Calibri" w:hAnsi="Verdana" w:cs="Arial"/>
          <w:color w:val="000000" w:themeColor="text1"/>
          <w:lang w:val="es-MX"/>
        </w:rPr>
        <w:t xml:space="preserve"> las mujeres vinculadas mediante un contrato de prestación de servicios</w:t>
      </w:r>
      <w:r w:rsidRPr="00BD4AD7">
        <w:rPr>
          <w:rFonts w:ascii="Verdana" w:eastAsia="Century Gothic" w:hAnsi="Verdana" w:cs="Century Gothic"/>
        </w:rPr>
        <w:t>?</w:t>
      </w:r>
    </w:p>
    <w:p w14:paraId="1A71E964" w14:textId="77777777" w:rsidR="00DA76E3" w:rsidRDefault="00DA76E3" w:rsidP="00DA76E3">
      <w:pPr>
        <w:spacing w:after="0" w:line="276" w:lineRule="auto"/>
        <w:jc w:val="both"/>
        <w:rPr>
          <w:rFonts w:ascii="Verdana" w:hAnsi="Verdana"/>
        </w:rPr>
      </w:pPr>
    </w:p>
    <w:p w14:paraId="5B3E699D" w14:textId="77777777" w:rsidR="007F4015" w:rsidRDefault="007F4015" w:rsidP="00DA76E3">
      <w:pPr>
        <w:spacing w:after="0" w:line="276" w:lineRule="auto"/>
        <w:jc w:val="both"/>
        <w:rPr>
          <w:rFonts w:ascii="Verdana" w:hAnsi="Verdana"/>
        </w:rPr>
      </w:pPr>
    </w:p>
    <w:p w14:paraId="6D080A16" w14:textId="77777777" w:rsidR="007F4015" w:rsidRPr="00BD4AD7" w:rsidRDefault="007F4015" w:rsidP="00DA76E3">
      <w:pPr>
        <w:spacing w:after="0" w:line="276" w:lineRule="auto"/>
        <w:jc w:val="both"/>
        <w:rPr>
          <w:rFonts w:ascii="Verdana" w:hAnsi="Verdana"/>
        </w:rPr>
      </w:pPr>
    </w:p>
    <w:p w14:paraId="1F134F30" w14:textId="77777777" w:rsidR="00DA76E3" w:rsidRPr="00BD4AD7" w:rsidRDefault="00DA76E3" w:rsidP="00DA76E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D4AD7">
        <w:rPr>
          <w:rFonts w:ascii="Verdana" w:eastAsia="Century Gothic" w:hAnsi="Verdana" w:cs="Century Gothic"/>
          <w:b/>
          <w:bCs/>
        </w:rPr>
        <w:lastRenderedPageBreak/>
        <w:t>Respuesta:</w:t>
      </w:r>
    </w:p>
    <w:p w14:paraId="42D19E35" w14:textId="77777777" w:rsidR="00DA76E3" w:rsidRPr="00BD4AD7" w:rsidRDefault="00DA76E3" w:rsidP="00DA76E3">
      <w:pPr>
        <w:spacing w:after="0"/>
        <w:jc w:val="both"/>
        <w:rPr>
          <w:rFonts w:ascii="Verdana" w:hAnsi="Verdana"/>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A76E3" w:rsidRPr="00BD4AD7" w14:paraId="25DC5448" w14:textId="77777777" w:rsidTr="00A92B53">
        <w:trPr>
          <w:trHeight w:val="2615"/>
        </w:trPr>
        <w:tc>
          <w:tcPr>
            <w:tcW w:w="8828" w:type="dxa"/>
            <w:shd w:val="clear" w:color="auto" w:fill="auto"/>
          </w:tcPr>
          <w:p w14:paraId="7EAF32D0" w14:textId="77777777" w:rsidR="00DA76E3" w:rsidRPr="00BD4AD7" w:rsidRDefault="00DA76E3" w:rsidP="00A92B53">
            <w:pPr>
              <w:spacing w:after="120" w:line="276" w:lineRule="auto"/>
              <w:jc w:val="both"/>
              <w:rPr>
                <w:rFonts w:ascii="Verdana" w:eastAsia="Calibri" w:hAnsi="Verdana" w:cs="Arial"/>
                <w:color w:val="000000" w:themeColor="text1"/>
                <w:lang w:val="es-MX"/>
              </w:rPr>
            </w:pPr>
            <w:r>
              <w:rPr>
                <w:rFonts w:ascii="Verdana" w:eastAsia="Calibri" w:hAnsi="Verdana" w:cs="Arial"/>
                <w:lang w:val="es-ES"/>
              </w:rPr>
              <w:t>De manera preliminar, debe precisarse que l</w:t>
            </w:r>
            <w:r w:rsidRPr="00BD4AD7">
              <w:rPr>
                <w:rFonts w:ascii="Verdana" w:eastAsia="Calibri" w:hAnsi="Verdana" w:cs="Arial"/>
                <w:color w:val="000000" w:themeColor="text1"/>
                <w:lang w:val="es-MX"/>
              </w:rPr>
              <w:t>a Corte Constitucional ha expuesto dos (2) posiciones para proteger el fuero de maternidad de las mujeres vinculadas mediante un contrato de prestación de servicios y que se encuentren en estado de embarazo y/o en periodo de lactancia: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fundamente en criterios discriminatorios y no, en motivos objetivos.</w:t>
            </w:r>
          </w:p>
          <w:p w14:paraId="223D546B" w14:textId="77777777" w:rsidR="00DA76E3" w:rsidRPr="00BD4AD7" w:rsidRDefault="00DA76E3" w:rsidP="00A92B53">
            <w:pPr>
              <w:spacing w:after="120" w:line="276" w:lineRule="auto"/>
              <w:jc w:val="both"/>
              <w:rPr>
                <w:rFonts w:ascii="Verdana" w:eastAsia="Calibri" w:hAnsi="Verdana" w:cs="Arial"/>
                <w:bCs/>
                <w:lang w:val="es-MX" w:eastAsia="es-ES_tradnl"/>
              </w:rPr>
            </w:pPr>
            <w:r w:rsidRPr="00BD4AD7">
              <w:rPr>
                <w:rFonts w:ascii="Verdana" w:hAnsi="Verdana" w:cs="Arial"/>
              </w:rPr>
              <w:t xml:space="preserve">En este sentido, la Corte Constitucional reconoce la protección al derecho a la estabilidad ocupacional reforzada a las mujeres que celebren contratos de prestación de servicios. </w:t>
            </w:r>
            <w:r w:rsidRPr="00BD4AD7">
              <w:rPr>
                <w:rFonts w:ascii="Verdana" w:eastAsia="Calibri" w:hAnsi="Verdana" w:cs="Arial"/>
                <w:color w:val="000000" w:themeColor="text1"/>
                <w:lang w:val="es-MX"/>
              </w:rPr>
              <w:t>Así pues, si se</w:t>
            </w:r>
            <w:r w:rsidRPr="00BD4AD7">
              <w:rPr>
                <w:rFonts w:ascii="Verdana" w:hAnsi="Verdana" w:cs="Arial"/>
              </w:rPr>
              <w:t xml:space="preserve"> configura alguna de las dos posiciones desarrolladas por el Alto Tribunal Constitucional para la protección del derecho a la estabilidad laboral reforzada, la Entidad Estatal deberá dilucidar la forma más adecuada para garantizar dicho derecho a la contratista y su seguridad social, pues lo que se pretende es </w:t>
            </w:r>
            <w:r w:rsidRPr="00BD4AD7">
              <w:rPr>
                <w:rFonts w:ascii="Verdana" w:eastAsia="Calibri" w:hAnsi="Verdana" w:cs="Arial"/>
                <w:bCs/>
                <w:lang w:val="es-MX" w:eastAsia="es-ES_tradnl"/>
              </w:rPr>
              <w:t>impedir la discriminación materializada por la terminación o la no renovación del contrato por causa o con ocasión del embarazo o la lactancia.</w:t>
            </w:r>
          </w:p>
        </w:tc>
      </w:tr>
    </w:tbl>
    <w:p w14:paraId="109A059B" w14:textId="77777777" w:rsidR="00DA76E3" w:rsidRPr="00BD4AD7" w:rsidRDefault="00DA76E3" w:rsidP="00DA76E3">
      <w:pPr>
        <w:spacing w:after="0"/>
        <w:jc w:val="both"/>
        <w:rPr>
          <w:rFonts w:ascii="Verdana" w:hAnsi="Verdana"/>
          <w:highlight w:val="cyan"/>
        </w:rPr>
      </w:pPr>
    </w:p>
    <w:p w14:paraId="7FD5CEAA" w14:textId="77777777" w:rsidR="00DA76E3" w:rsidRPr="00BD4AD7" w:rsidRDefault="00DA76E3" w:rsidP="00DA76E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D4AD7">
        <w:rPr>
          <w:rFonts w:ascii="Verdana" w:eastAsia="Century Gothic" w:hAnsi="Verdana" w:cs="Century Gothic"/>
          <w:b/>
          <w:bCs/>
        </w:rPr>
        <w:t>Razones de la respuesta:</w:t>
      </w:r>
    </w:p>
    <w:p w14:paraId="48665B46" w14:textId="77777777" w:rsidR="00DA76E3" w:rsidRPr="00BD4AD7" w:rsidRDefault="00DA76E3" w:rsidP="00DA76E3">
      <w:pPr>
        <w:spacing w:after="0" w:line="276" w:lineRule="auto"/>
        <w:jc w:val="both"/>
        <w:rPr>
          <w:rFonts w:ascii="Verdana" w:eastAsia="Calibri" w:hAnsi="Verdana" w:cs="Arial"/>
          <w:color w:val="7030A0"/>
          <w:lang w:val="es-ES"/>
        </w:rPr>
      </w:pPr>
    </w:p>
    <w:p w14:paraId="19C86EAA" w14:textId="77777777" w:rsidR="00DA76E3" w:rsidRPr="00BD4AD7" w:rsidRDefault="00DA76E3" w:rsidP="00DA76E3">
      <w:pPr>
        <w:spacing w:after="0"/>
        <w:jc w:val="both"/>
        <w:rPr>
          <w:rFonts w:ascii="Verdana" w:eastAsia="Calibri" w:hAnsi="Verdana" w:cs="Arial"/>
          <w:lang w:val="es-ES"/>
        </w:rPr>
      </w:pPr>
      <w:r w:rsidRPr="00BD4AD7">
        <w:rPr>
          <w:rFonts w:ascii="Verdana" w:eastAsia="Calibri" w:hAnsi="Verdana" w:cs="Arial"/>
          <w:lang w:val="es-ES"/>
        </w:rPr>
        <w:t>Lo anterior respuesta se sustenta en las siguientes consideraciones:</w:t>
      </w:r>
    </w:p>
    <w:p w14:paraId="394A2841" w14:textId="77777777" w:rsidR="00DA76E3" w:rsidRPr="00BD4AD7" w:rsidRDefault="00DA76E3" w:rsidP="00DA76E3">
      <w:pPr>
        <w:spacing w:after="0"/>
        <w:jc w:val="both"/>
        <w:rPr>
          <w:rStyle w:val="Hipervnculo"/>
          <w:rFonts w:ascii="Verdana" w:hAnsi="Verdana"/>
          <w:lang w:val="es-ES"/>
        </w:rPr>
      </w:pPr>
    </w:p>
    <w:p w14:paraId="6CF71DCD" w14:textId="77777777" w:rsidR="00DA76E3" w:rsidRPr="00BD4AD7" w:rsidRDefault="00DA76E3" w:rsidP="00DA76E3">
      <w:pPr>
        <w:pStyle w:val="Prrafodelista"/>
        <w:numPr>
          <w:ilvl w:val="0"/>
          <w:numId w:val="3"/>
        </w:numPr>
        <w:tabs>
          <w:tab w:val="left" w:pos="0"/>
        </w:tabs>
        <w:spacing w:after="120" w:line="276" w:lineRule="auto"/>
        <w:jc w:val="both"/>
        <w:rPr>
          <w:rFonts w:ascii="Verdana" w:hAnsi="Verdana" w:cs="Arial"/>
          <w:noProof/>
          <w:lang w:val="es-ES_tradnl"/>
        </w:rPr>
      </w:pPr>
      <w:r w:rsidRPr="00BD4AD7">
        <w:rPr>
          <w:rFonts w:ascii="Verdana" w:hAnsi="Verdana" w:cs="Arial"/>
          <w:noProof/>
          <w:lang w:val="es-ES_tradnl"/>
        </w:rPr>
        <w:t xml:space="preserve">El fuero de maternidad es una figura que otorga una protección reforzada a la futura madre y a la que acaba de serlo, es decir, a la mujer que se encuentre en estado de embarazo y en periodo de lactancia, con el fin de que el proceso de gestación no interfiera en la estabilidad laboral que, como trabajadora, le asiste. El propósito es que las aspiraciones familiares y profesionales de la mujer no se excluyan y puedan armonizarse, al punto de desarrollar su proyecto de vida y su personalidad en condicionrd de dignidad y libertad, pues históricamente el estado de gravidez ha constituido un motivo de exclusión de la mujer en el trabajo, en el que es preciso “impedir </w:t>
      </w:r>
      <w:r w:rsidRPr="00BD4AD7">
        <w:rPr>
          <w:rFonts w:ascii="Verdana" w:hAnsi="Verdana" w:cs="Arial"/>
          <w:noProof/>
          <w:lang w:val="es-ES_tradnl"/>
        </w:rPr>
        <w:lastRenderedPageBreak/>
        <w:t>la discriminación constituida por el despido, la terminación o la no renovación del contrato por causa o con ocasión del embarazo o la lactancia”</w:t>
      </w:r>
      <w:r w:rsidRPr="00BD4AD7">
        <w:rPr>
          <w:rFonts w:ascii="Verdana" w:eastAsia="Calibri" w:hAnsi="Verdana" w:cs="Arial"/>
          <w:bCs/>
          <w:vertAlign w:val="superscript"/>
        </w:rPr>
        <w:t xml:space="preserve"> </w:t>
      </w:r>
      <w:r w:rsidRPr="00BD4AD7">
        <w:rPr>
          <w:rFonts w:ascii="Verdana" w:eastAsia="Calibri" w:hAnsi="Verdana"/>
          <w:bCs/>
          <w:vertAlign w:val="superscript"/>
        </w:rPr>
        <w:footnoteReference w:id="1"/>
      </w:r>
      <w:r w:rsidRPr="00BD4AD7">
        <w:rPr>
          <w:rFonts w:ascii="Verdana" w:eastAsia="Calibri" w:hAnsi="Verdana" w:cs="Arial"/>
          <w:bCs/>
        </w:rPr>
        <w:t>.</w:t>
      </w:r>
    </w:p>
    <w:p w14:paraId="5F3F39A8" w14:textId="77777777" w:rsidR="00DA76E3" w:rsidRPr="00BD4AD7" w:rsidRDefault="00DA76E3" w:rsidP="00DA76E3">
      <w:pPr>
        <w:pStyle w:val="Prrafodelista"/>
        <w:tabs>
          <w:tab w:val="left" w:pos="0"/>
        </w:tabs>
        <w:spacing w:after="120" w:line="276" w:lineRule="auto"/>
        <w:ind w:left="360"/>
        <w:jc w:val="both"/>
        <w:rPr>
          <w:rFonts w:ascii="Verdana" w:hAnsi="Verdana" w:cs="Arial"/>
          <w:noProof/>
          <w:lang w:val="es-ES_tradnl"/>
        </w:rPr>
      </w:pPr>
    </w:p>
    <w:p w14:paraId="1793C95C" w14:textId="77777777" w:rsidR="00DA76E3" w:rsidRPr="00BD4AD7" w:rsidRDefault="00DA76E3" w:rsidP="00DA76E3">
      <w:pPr>
        <w:pStyle w:val="Prrafodelista"/>
        <w:numPr>
          <w:ilvl w:val="0"/>
          <w:numId w:val="3"/>
        </w:numPr>
        <w:tabs>
          <w:tab w:val="left" w:pos="0"/>
        </w:tabs>
        <w:spacing w:after="120" w:line="276" w:lineRule="auto"/>
        <w:jc w:val="both"/>
        <w:rPr>
          <w:rFonts w:ascii="Verdana" w:hAnsi="Verdana" w:cs="Arial"/>
          <w:noProof/>
          <w:lang w:val="es-ES_tradnl"/>
        </w:rPr>
      </w:pPr>
      <w:r w:rsidRPr="00BD4AD7">
        <w:rPr>
          <w:rFonts w:ascii="Verdana" w:hAnsi="Verdana"/>
        </w:rPr>
        <w:t xml:space="preserve">Con el fin de aclarar el objeto bajo consulta, se explicarán las dos (2) posiciones que ha definido al Corte Constitucional para proteger el fuero de maternidad a una mujer que está vinculada a través de un contrato de prestación de servicios. Lo anterior, para determinar cuál es la posición del Alto Tribunal Constitucional en la defensa del derecho a la estabilidad ocupacional reforzada. </w:t>
      </w:r>
    </w:p>
    <w:p w14:paraId="1BA09468" w14:textId="77777777" w:rsidR="00DA76E3" w:rsidRPr="00BD4AD7" w:rsidRDefault="00DA76E3" w:rsidP="00DA76E3">
      <w:pPr>
        <w:pStyle w:val="Prrafodelista"/>
        <w:rPr>
          <w:rFonts w:ascii="Verdana" w:eastAsia="Arial" w:hAnsi="Verdana" w:cs="Arial"/>
          <w:color w:val="000000"/>
        </w:rPr>
      </w:pPr>
    </w:p>
    <w:p w14:paraId="7A6A2648" w14:textId="77777777" w:rsidR="00DA76E3" w:rsidRPr="00BD4AD7" w:rsidRDefault="00DA76E3" w:rsidP="00DA76E3">
      <w:pPr>
        <w:pStyle w:val="Prrafodelista"/>
        <w:numPr>
          <w:ilvl w:val="0"/>
          <w:numId w:val="3"/>
        </w:numPr>
        <w:tabs>
          <w:tab w:val="left" w:pos="0"/>
        </w:tabs>
        <w:spacing w:after="120" w:line="276" w:lineRule="auto"/>
        <w:jc w:val="both"/>
        <w:rPr>
          <w:rFonts w:ascii="Verdana" w:hAnsi="Verdana" w:cs="Arial"/>
          <w:noProof/>
          <w:lang w:val="es-ES_tradnl"/>
        </w:rPr>
      </w:pPr>
      <w:r w:rsidRPr="00BD4AD7">
        <w:rPr>
          <w:rFonts w:ascii="Verdana" w:eastAsia="Arial" w:hAnsi="Verdana" w:cs="Arial"/>
          <w:color w:val="000000"/>
        </w:rPr>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BD4AD7">
        <w:rPr>
          <w:rFonts w:ascii="Verdana" w:hAnsi="Verdana"/>
          <w:vertAlign w:val="superscript"/>
        </w:rPr>
        <w:footnoteReference w:id="2"/>
      </w:r>
      <w:r w:rsidRPr="00BD4AD7">
        <w:rPr>
          <w:rFonts w:ascii="Verdana" w:hAnsi="Verdana" w:cs="Arial"/>
        </w:rPr>
        <w:t xml:space="preserve">. De esta forma, según el criterio fijado por la Corte en la Sentencia SU-070 de 2023, la protección a la estabilidad laboral reforzada de mujeres vinculadas a través de un contrato de prestación de servicios sólo procede frente aquellos casos donde se verifique la concurrencia de los tres (3) elementos del contrato de trabajo. </w:t>
      </w:r>
    </w:p>
    <w:p w14:paraId="554B8374" w14:textId="77777777" w:rsidR="00DA76E3" w:rsidRPr="00BD4AD7" w:rsidRDefault="00DA76E3" w:rsidP="00DA76E3">
      <w:pPr>
        <w:pStyle w:val="Prrafodelista"/>
        <w:rPr>
          <w:rFonts w:ascii="Verdana" w:hAnsi="Verdana" w:cs="Arial"/>
        </w:rPr>
      </w:pPr>
    </w:p>
    <w:p w14:paraId="4CFED72D" w14:textId="77777777" w:rsidR="00DA76E3" w:rsidRPr="00BD4AD7" w:rsidRDefault="00DA76E3" w:rsidP="00DA76E3">
      <w:pPr>
        <w:pStyle w:val="Prrafodelista"/>
        <w:numPr>
          <w:ilvl w:val="0"/>
          <w:numId w:val="3"/>
        </w:numPr>
        <w:tabs>
          <w:tab w:val="left" w:pos="0"/>
        </w:tabs>
        <w:spacing w:after="120" w:line="276" w:lineRule="auto"/>
        <w:jc w:val="both"/>
        <w:rPr>
          <w:rFonts w:ascii="Verdana" w:hAnsi="Verdana" w:cs="Arial"/>
          <w:noProof/>
          <w:lang w:val="es-ES_tradnl"/>
        </w:rPr>
      </w:pPr>
      <w:r w:rsidRPr="00BD4AD7">
        <w:rPr>
          <w:rFonts w:ascii="Verdana" w:hAnsi="Verdana" w:cs="Arial"/>
        </w:rPr>
        <w:lastRenderedPageBreak/>
        <w:t>Ahora bien, el Alto Tribunal Constitucional, en las sentencias T-102 de 2016</w:t>
      </w:r>
      <w:r w:rsidRPr="00BD4AD7">
        <w:rPr>
          <w:rStyle w:val="Refdenotaalpie"/>
          <w:rFonts w:ascii="Verdana" w:hAnsi="Verdana" w:cs="Arial"/>
        </w:rPr>
        <w:footnoteReference w:id="3"/>
      </w:r>
      <w:r w:rsidRPr="00BD4AD7">
        <w:rPr>
          <w:rFonts w:ascii="Verdana" w:hAnsi="Verdana" w:cs="Arial"/>
        </w:rPr>
        <w:t xml:space="preserve"> y T-564 de 2017</w:t>
      </w:r>
      <w:r w:rsidRPr="00BD4AD7">
        <w:rPr>
          <w:rStyle w:val="Refdenotaalpie"/>
          <w:rFonts w:ascii="Verdana" w:hAnsi="Verdana" w:cs="Arial"/>
        </w:rPr>
        <w:footnoteReference w:id="4"/>
      </w:r>
      <w:r w:rsidRPr="00BD4AD7">
        <w:rPr>
          <w:rFonts w:ascii="Verdana" w:hAnsi="Verdana" w:cs="Arial"/>
        </w:rPr>
        <w:t xml:space="preserve"> estableció otra posición, en los eventos donde no se prueba la configuración del contrato realidad en el contrato de prestación de servicios, señalando que este no es un motivo suficiente para desproteger los derechos de la estabilidad ocupacional reforzada de la mujer embarazada, si se comprueba que la terminación del contrato es discriminatoria y no atiende a un motivo objetivo.</w:t>
      </w:r>
    </w:p>
    <w:p w14:paraId="6791B19C" w14:textId="77777777" w:rsidR="00DA76E3" w:rsidRPr="00BD4AD7" w:rsidRDefault="00DA76E3" w:rsidP="00DA76E3">
      <w:pPr>
        <w:pStyle w:val="Prrafodelista"/>
        <w:rPr>
          <w:rFonts w:ascii="Verdana" w:hAnsi="Verdana" w:cs="Arial"/>
        </w:rPr>
      </w:pPr>
    </w:p>
    <w:p w14:paraId="5B57ACD3" w14:textId="77777777" w:rsidR="00DA76E3" w:rsidRPr="00BD4AD7" w:rsidRDefault="00DA76E3" w:rsidP="00DA76E3">
      <w:pPr>
        <w:pStyle w:val="Prrafodelista"/>
        <w:numPr>
          <w:ilvl w:val="0"/>
          <w:numId w:val="3"/>
        </w:numPr>
        <w:tabs>
          <w:tab w:val="left" w:pos="0"/>
        </w:tabs>
        <w:spacing w:after="120" w:line="276" w:lineRule="auto"/>
        <w:jc w:val="both"/>
        <w:rPr>
          <w:rFonts w:ascii="Verdana" w:hAnsi="Verdana" w:cs="Arial"/>
          <w:noProof/>
          <w:lang w:val="es-ES_tradnl"/>
        </w:rPr>
      </w:pPr>
      <w:r w:rsidRPr="00BD4AD7">
        <w:rPr>
          <w:rFonts w:ascii="Verdana" w:hAnsi="Verdana" w:cs="Arial"/>
        </w:rPr>
        <w:t xml:space="preserve">De acuerdo con la sentencia T-564 de 2017, a pesar de no probarse la configuración del contrato realidad, se debe proteger a la mujer en estado embarazo, vinculada a través de un contrato de prestación de servicios, porque a pesar de que la trabajadora informó al empleador de su estado de gestación, éste terminó anticipadamente su contrato, configurándose una </w:t>
      </w:r>
      <w:r w:rsidRPr="00BD4AD7">
        <w:rPr>
          <w:rFonts w:ascii="Verdana" w:hAnsi="Verdana" w:cs="Arial"/>
        </w:rPr>
        <w:lastRenderedPageBreak/>
        <w:t>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14:paraId="4D8DFDDB" w14:textId="77777777" w:rsidR="00DA76E3" w:rsidRPr="00BD4AD7" w:rsidRDefault="00DA76E3" w:rsidP="00DA76E3">
      <w:pPr>
        <w:pStyle w:val="Prrafodelista"/>
        <w:rPr>
          <w:rFonts w:ascii="Verdana" w:eastAsiaTheme="minorEastAsia" w:hAnsi="Verdana" w:cs="Arial"/>
          <w:lang w:eastAsia="es-CO"/>
        </w:rPr>
      </w:pPr>
    </w:p>
    <w:p w14:paraId="5B50A747" w14:textId="77777777" w:rsidR="00DA76E3" w:rsidRPr="00E77370" w:rsidRDefault="00DA76E3" w:rsidP="00DA76E3">
      <w:pPr>
        <w:pStyle w:val="Prrafodelista"/>
        <w:numPr>
          <w:ilvl w:val="0"/>
          <w:numId w:val="3"/>
        </w:numPr>
        <w:tabs>
          <w:tab w:val="left" w:pos="0"/>
        </w:tabs>
        <w:spacing w:after="120" w:line="276" w:lineRule="auto"/>
        <w:jc w:val="both"/>
        <w:rPr>
          <w:rStyle w:val="Hipervnculo"/>
          <w:rFonts w:ascii="Verdana" w:hAnsi="Verdana" w:cs="Arial"/>
          <w:noProof/>
          <w:lang w:val="es-ES_tradnl"/>
        </w:rPr>
      </w:pPr>
      <w:r w:rsidRPr="00BD4AD7">
        <w:rPr>
          <w:rFonts w:ascii="Verdana" w:eastAsiaTheme="minorEastAsia" w:hAnsi="Verdana" w:cs="Arial"/>
          <w:lang w:eastAsia="es-CO"/>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402E3E23" w14:textId="77777777" w:rsidR="00DA76E3" w:rsidRPr="00BD4AD7" w:rsidRDefault="00DA76E3" w:rsidP="00DA76E3">
      <w:pPr>
        <w:spacing w:line="240" w:lineRule="auto"/>
        <w:ind w:left="709" w:right="709"/>
        <w:contextualSpacing/>
        <w:jc w:val="both"/>
        <w:rPr>
          <w:rFonts w:ascii="Verdana" w:hAnsi="Verdana" w:cs="Arial"/>
          <w:i/>
          <w:sz w:val="20"/>
          <w:szCs w:val="20"/>
        </w:rPr>
      </w:pPr>
      <w:r w:rsidRPr="00BD4AD7">
        <w:rPr>
          <w:rFonts w:ascii="Verdana" w:eastAsia="Yu Gothic UI Semibold" w:hAnsi="Verdana" w:cs="Arial"/>
          <w:iCs/>
          <w:sz w:val="20"/>
          <w:szCs w:val="20"/>
          <w:lang w:eastAsia="es-MX"/>
        </w:rPr>
        <w:t>“</w:t>
      </w:r>
      <w:r w:rsidRPr="00BD4AD7">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BD4AD7">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BD4AD7">
        <w:rPr>
          <w:rFonts w:ascii="Verdana" w:hAnsi="Verdana" w:cs="Arial"/>
          <w:i/>
          <w:spacing w:val="-5"/>
          <w:sz w:val="20"/>
          <w:szCs w:val="20"/>
        </w:rPr>
        <w:t xml:space="preserve"> </w:t>
      </w:r>
      <w:r w:rsidRPr="00BD4AD7">
        <w:rPr>
          <w:rFonts w:ascii="Verdana" w:hAnsi="Verdana" w:cs="Arial"/>
          <w:i/>
          <w:sz w:val="20"/>
          <w:szCs w:val="20"/>
        </w:rPr>
        <w:t>objetivo.</w:t>
      </w:r>
    </w:p>
    <w:p w14:paraId="49129B68" w14:textId="77777777" w:rsidR="00DA76E3" w:rsidRPr="00BD4AD7" w:rsidRDefault="00DA76E3" w:rsidP="00DA76E3">
      <w:pPr>
        <w:spacing w:line="240" w:lineRule="auto"/>
        <w:ind w:left="709" w:right="709"/>
        <w:contextualSpacing/>
        <w:jc w:val="both"/>
        <w:rPr>
          <w:rFonts w:ascii="Verdana" w:hAnsi="Verdana" w:cs="Arial"/>
          <w:i/>
          <w:sz w:val="20"/>
          <w:szCs w:val="20"/>
        </w:rPr>
      </w:pPr>
    </w:p>
    <w:p w14:paraId="69E0C4B0" w14:textId="77777777" w:rsidR="00DA76E3" w:rsidRPr="00BD4AD7" w:rsidRDefault="00DA76E3" w:rsidP="00DA76E3">
      <w:pPr>
        <w:spacing w:after="0" w:line="240" w:lineRule="auto"/>
        <w:ind w:left="709" w:right="709"/>
        <w:contextualSpacing/>
        <w:jc w:val="both"/>
        <w:rPr>
          <w:rFonts w:ascii="Verdana" w:hAnsi="Verdana" w:cs="Arial"/>
          <w:sz w:val="20"/>
          <w:szCs w:val="20"/>
        </w:rPr>
      </w:pPr>
      <w:r w:rsidRPr="00BD4AD7">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BD4AD7">
        <w:rPr>
          <w:rFonts w:ascii="Verdana" w:hAnsi="Verdana" w:cs="Arial"/>
          <w:noProof/>
          <w:sz w:val="20"/>
          <w:szCs w:val="20"/>
          <w:lang w:val="es-ES_tradnl"/>
        </w:rPr>
        <w:t>”</w:t>
      </w:r>
      <w:r w:rsidRPr="00BD4AD7">
        <w:rPr>
          <w:rFonts w:ascii="Verdana" w:hAnsi="Verdana" w:cs="Arial"/>
          <w:sz w:val="20"/>
          <w:szCs w:val="20"/>
        </w:rPr>
        <w:t>. (Énfasis fuera del</w:t>
      </w:r>
      <w:r w:rsidRPr="00BD4AD7">
        <w:rPr>
          <w:rFonts w:ascii="Verdana" w:hAnsi="Verdana" w:cs="Arial"/>
          <w:spacing w:val="-16"/>
          <w:sz w:val="20"/>
          <w:szCs w:val="20"/>
        </w:rPr>
        <w:t xml:space="preserve"> </w:t>
      </w:r>
      <w:r w:rsidRPr="00BD4AD7">
        <w:rPr>
          <w:rFonts w:ascii="Verdana" w:hAnsi="Verdana" w:cs="Arial"/>
          <w:sz w:val="20"/>
          <w:szCs w:val="20"/>
        </w:rPr>
        <w:t>texto).</w:t>
      </w:r>
    </w:p>
    <w:p w14:paraId="6EE680F5" w14:textId="77777777" w:rsidR="00DA76E3" w:rsidRPr="00BD4AD7" w:rsidRDefault="00DA76E3" w:rsidP="00DA76E3">
      <w:pPr>
        <w:spacing w:after="0"/>
        <w:jc w:val="both"/>
        <w:rPr>
          <w:rStyle w:val="Hipervnculo"/>
          <w:rFonts w:ascii="Verdana" w:hAnsi="Verdana"/>
        </w:rPr>
      </w:pPr>
    </w:p>
    <w:p w14:paraId="1BEE1BDC" w14:textId="77777777" w:rsidR="00DA76E3" w:rsidRPr="00BD4AD7" w:rsidRDefault="00DA76E3" w:rsidP="00DA76E3">
      <w:pPr>
        <w:pStyle w:val="Prrafodelista"/>
        <w:numPr>
          <w:ilvl w:val="0"/>
          <w:numId w:val="4"/>
        </w:numPr>
        <w:spacing w:after="120" w:line="276" w:lineRule="auto"/>
        <w:ind w:right="108"/>
        <w:jc w:val="both"/>
        <w:rPr>
          <w:rFonts w:ascii="Verdana" w:eastAsia="Yu Gothic UI Semibold" w:hAnsi="Verdana" w:cs="Arial"/>
          <w:i/>
          <w:lang w:eastAsia="es-MX"/>
        </w:rPr>
      </w:pPr>
      <w:r w:rsidRPr="00BD4AD7">
        <w:rPr>
          <w:rFonts w:ascii="Verdana" w:eastAsia="Yu Gothic UI Semibold" w:hAnsi="Verdana" w:cs="Arial"/>
          <w:lang w:eastAsia="es-CO"/>
        </w:rPr>
        <w:t xml:space="preserve">Finalmente, la Corte Constitucional profirió la sentencia de unificación SU-075 de 2018, en la cual recoge, entre otras, las sentencias T-030 de 2018 y T-350 del 2016. En esta providencia, el Alto Tribunal estableció unos criterios con el fin de impedir la discriminación que puede presentarse frente a una mujer en estado de embarazo o lactancia, específicamente, respecto a la terminación o la no renovación del contrato. Dicha providencia dio paso </w:t>
      </w:r>
      <w:r w:rsidRPr="00BD4AD7">
        <w:rPr>
          <w:rFonts w:ascii="Verdana" w:eastAsia="Yu Gothic UI Semibold" w:hAnsi="Verdana" w:cs="Arial"/>
          <w:lang w:eastAsia="es-CO"/>
        </w:rPr>
        <w:lastRenderedPageBreak/>
        <w:t>a establecer que, el denominado</w:t>
      </w:r>
      <w:r w:rsidRPr="00BD4AD7">
        <w:rPr>
          <w:rFonts w:ascii="Verdana" w:eastAsia="Yu Gothic UI Semibold" w:hAnsi="Verdana" w:cs="Arial"/>
          <w:i/>
          <w:lang w:eastAsia="es-CO"/>
        </w:rPr>
        <w:t xml:space="preserve"> </w:t>
      </w:r>
      <w:r w:rsidRPr="00BD4AD7">
        <w:rPr>
          <w:rFonts w:ascii="Verdana" w:eastAsia="Yu Gothic UI Semibold" w:hAnsi="Verdana" w:cs="Arial"/>
          <w:i/>
          <w:lang w:eastAsia="es-MX"/>
        </w:rPr>
        <w:t>“</w:t>
      </w:r>
      <w:r w:rsidRPr="00BD4AD7">
        <w:rPr>
          <w:rFonts w:ascii="Verdana" w:eastAsia="Yu Gothic UI Semibold" w:hAnsi="Verdana" w:cs="Arial"/>
          <w:i/>
          <w:lang w:eastAsia="es-CO"/>
        </w:rPr>
        <w:t>fuero de maternidad</w:t>
      </w:r>
      <w:r w:rsidRPr="00BD4AD7">
        <w:rPr>
          <w:rFonts w:ascii="Verdana" w:eastAsia="Yu Gothic UI Semibold" w:hAnsi="Verdana" w:cs="Arial"/>
          <w:i/>
          <w:lang w:eastAsia="es-MX"/>
        </w:rPr>
        <w:t>”</w:t>
      </w:r>
      <w:r w:rsidRPr="00BD4AD7">
        <w:rPr>
          <w:rFonts w:ascii="Verdana" w:eastAsia="Yu Gothic UI Semibold" w:hAnsi="Verdana" w:cs="Arial"/>
          <w:lang w:eastAsia="es-CO"/>
        </w:rPr>
        <w:t xml:space="preserve"> encuentra también su sustento en la cláusula general de igualdad de la Constitución </w:t>
      </w:r>
      <w:r w:rsidRPr="00BD4AD7">
        <w:rPr>
          <w:rFonts w:ascii="Verdana" w:eastAsia="Yu Gothic UI Semibold" w:hAnsi="Verdana" w:cs="Arial"/>
          <w:i/>
          <w:lang w:eastAsia="es-MX"/>
        </w:rPr>
        <w:t>“</w:t>
      </w:r>
      <w:r w:rsidRPr="00BD4AD7">
        <w:rPr>
          <w:rFonts w:ascii="Verdana" w:eastAsia="Yu Gothic UI Semibold" w:hAnsi="Verdana" w:cs="Arial"/>
          <w:i/>
          <w:lang w:eastAsia="es-CO"/>
        </w:rPr>
        <w:t>que proscribe la discriminación por razones de sexo, así como en el ya mencionado artículo 43 Superior, que dispone la igualdad de derechos y oportunidades entre hombres y mujeres</w:t>
      </w:r>
      <w:r w:rsidRPr="00BD4AD7">
        <w:rPr>
          <w:rFonts w:ascii="Verdana" w:eastAsia="Yu Gothic UI Semibold" w:hAnsi="Verdana" w:cs="Arial"/>
          <w:i/>
          <w:lang w:eastAsia="es-MX"/>
        </w:rPr>
        <w:t>”</w:t>
      </w:r>
      <w:r w:rsidRPr="00BD4AD7">
        <w:rPr>
          <w:rFonts w:ascii="Verdana" w:hAnsi="Verdana"/>
          <w:i/>
          <w:vertAlign w:val="superscript"/>
          <w:lang w:eastAsia="es-MX"/>
        </w:rPr>
        <w:footnoteReference w:id="5"/>
      </w:r>
      <w:r w:rsidRPr="00BD4AD7">
        <w:rPr>
          <w:rFonts w:ascii="Verdana" w:eastAsia="Yu Gothic UI Semibold" w:hAnsi="Verdana" w:cs="Arial"/>
          <w:i/>
          <w:lang w:eastAsia="es-MX"/>
        </w:rPr>
        <w:t xml:space="preserve">. </w:t>
      </w:r>
    </w:p>
    <w:p w14:paraId="18AF8D48" w14:textId="77777777" w:rsidR="00DA76E3" w:rsidRPr="00BD4AD7" w:rsidRDefault="00DA76E3" w:rsidP="00DA76E3">
      <w:pPr>
        <w:pStyle w:val="Prrafodelista"/>
        <w:spacing w:after="120" w:line="276" w:lineRule="auto"/>
        <w:ind w:left="360" w:right="108"/>
        <w:jc w:val="both"/>
        <w:rPr>
          <w:rFonts w:ascii="Verdana" w:eastAsia="Yu Gothic UI Semibold" w:hAnsi="Verdana" w:cs="Arial"/>
          <w:i/>
          <w:lang w:eastAsia="es-MX"/>
        </w:rPr>
      </w:pPr>
    </w:p>
    <w:p w14:paraId="21CBCC23" w14:textId="77777777" w:rsidR="00DA76E3" w:rsidRPr="00BD4AD7" w:rsidRDefault="00DA76E3" w:rsidP="00DA76E3">
      <w:pPr>
        <w:pStyle w:val="Prrafodelista"/>
        <w:numPr>
          <w:ilvl w:val="0"/>
          <w:numId w:val="4"/>
        </w:numPr>
        <w:spacing w:after="120" w:line="276" w:lineRule="auto"/>
        <w:ind w:right="108"/>
        <w:jc w:val="both"/>
        <w:rPr>
          <w:rFonts w:ascii="Verdana" w:eastAsia="Yu Gothic UI Semibold" w:hAnsi="Verdana" w:cs="Arial"/>
          <w:i/>
          <w:lang w:eastAsia="es-MX"/>
        </w:rPr>
      </w:pPr>
      <w:r w:rsidRPr="00BD4AD7">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22633169"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iCs/>
          <w:sz w:val="20"/>
          <w:szCs w:val="20"/>
          <w:lang w:eastAsia="es-MX"/>
        </w:rPr>
        <w:t>“</w:t>
      </w:r>
      <w:r w:rsidRPr="00BD4AD7">
        <w:rPr>
          <w:rFonts w:ascii="Verdana" w:eastAsia="Yu Gothic UI Semibold" w:hAnsi="Verdana" w:cs="Arial"/>
          <w:sz w:val="20"/>
          <w:szCs w:val="20"/>
          <w:lang w:eastAsia="es-CO"/>
        </w:rPr>
        <w:t>La protección reforzada a la maternidad y la lactancia en el ámbito del trabajo procede cuando se demuestre, sin ninguna otra exigencia adicional, lo siguiente:</w:t>
      </w:r>
    </w:p>
    <w:p w14:paraId="526B42B0"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77EA46F4"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(a) La existencia de una relación laboral o de prestación de servicios y;</w:t>
      </w:r>
    </w:p>
    <w:p w14:paraId="71B109DB"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2FD40348"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(b) Que la mujer se encuentra en estado de embarazo o dentro de los tres meses siguientes al parto, en vigencia de dicha relación laboral o de prestación.</w:t>
      </w:r>
    </w:p>
    <w:p w14:paraId="738EAA35"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 </w:t>
      </w:r>
    </w:p>
    <w:p w14:paraId="4324B747"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No obstante, el alcance de la protección se debe determinar a partir de dos factores:</w:t>
      </w:r>
    </w:p>
    <w:p w14:paraId="7297FABA"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 </w:t>
      </w:r>
    </w:p>
    <w:p w14:paraId="4B7AACE7"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(a) El conocimiento del embarazo por parte del empleador; y</w:t>
      </w:r>
    </w:p>
    <w:p w14:paraId="3C47F328"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 </w:t>
      </w:r>
    </w:p>
    <w:p w14:paraId="2F482C2F" w14:textId="77777777" w:rsidR="00DA76E3" w:rsidRPr="00BD4AD7" w:rsidRDefault="00DA76E3" w:rsidP="00DA76E3">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BD4AD7">
        <w:rPr>
          <w:rFonts w:ascii="Verdana" w:eastAsia="Yu Gothic UI Semibold" w:hAnsi="Verdana" w:cs="Arial"/>
          <w:sz w:val="20"/>
          <w:szCs w:val="20"/>
          <w:lang w:eastAsia="es-CO"/>
        </w:rPr>
        <w:t>(b) La alternativa laboral mediante la cual se encontraba vinculada la mujer embarazada</w:t>
      </w:r>
      <w:r w:rsidRPr="00BD4AD7">
        <w:rPr>
          <w:rFonts w:ascii="Verdana" w:hAnsi="Verdana" w:cs="Arial"/>
          <w:noProof/>
          <w:sz w:val="20"/>
          <w:szCs w:val="20"/>
          <w:lang w:val="es-ES_tradnl"/>
        </w:rPr>
        <w:t>”.</w:t>
      </w:r>
    </w:p>
    <w:p w14:paraId="7ED3DB11" w14:textId="77777777" w:rsidR="00DA76E3" w:rsidRPr="00BD4AD7" w:rsidRDefault="00DA76E3" w:rsidP="00DA76E3">
      <w:pPr>
        <w:shd w:val="clear" w:color="auto" w:fill="FFFFFF"/>
        <w:spacing w:after="0" w:line="276" w:lineRule="auto"/>
        <w:ind w:right="51"/>
        <w:jc w:val="both"/>
        <w:rPr>
          <w:rStyle w:val="Hipervnculo"/>
          <w:rFonts w:ascii="Verdana" w:hAnsi="Verdana"/>
        </w:rPr>
      </w:pPr>
    </w:p>
    <w:p w14:paraId="20880CC5" w14:textId="77777777" w:rsidR="00DA76E3" w:rsidRPr="00BD4AD7" w:rsidRDefault="00DA76E3" w:rsidP="00DA76E3">
      <w:pPr>
        <w:pStyle w:val="Prrafodelista"/>
        <w:numPr>
          <w:ilvl w:val="0"/>
          <w:numId w:val="5"/>
        </w:numPr>
        <w:shd w:val="clear" w:color="auto" w:fill="FFFFFF"/>
        <w:spacing w:after="0" w:line="276" w:lineRule="auto"/>
        <w:ind w:right="51"/>
        <w:jc w:val="both"/>
        <w:rPr>
          <w:rFonts w:ascii="Verdana" w:eastAsia="Yu Gothic UI Semibold" w:hAnsi="Verdana" w:cs="Arial"/>
          <w:lang w:eastAsia="es-CO"/>
        </w:rPr>
      </w:pPr>
      <w:r w:rsidRPr="00BD4AD7">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ocupacional reforzada de mujer embarazada y en los tres (3) meses siguientes al parto. Para el caso concreto de los contratos de prestación de servicios, la sentencia en mención determina:   </w:t>
      </w:r>
    </w:p>
    <w:p w14:paraId="1E5EA322" w14:textId="77777777" w:rsidR="00DA76E3" w:rsidRPr="00BD4AD7" w:rsidRDefault="00DA76E3" w:rsidP="00DA76E3">
      <w:pPr>
        <w:shd w:val="clear" w:color="auto" w:fill="FFFFFF"/>
        <w:spacing w:after="0" w:line="276" w:lineRule="auto"/>
        <w:ind w:right="51"/>
        <w:jc w:val="both"/>
        <w:rPr>
          <w:rFonts w:ascii="Verdana" w:eastAsia="Yu Gothic UI Semibold" w:hAnsi="Verdana" w:cs="Arial"/>
          <w:lang w:eastAsia="es-CO"/>
        </w:rPr>
      </w:pPr>
    </w:p>
    <w:p w14:paraId="2FA5005B" w14:textId="77777777" w:rsidR="00DA76E3" w:rsidRPr="00BD4AD7" w:rsidRDefault="00DA76E3" w:rsidP="00DA76E3">
      <w:pPr>
        <w:shd w:val="clear" w:color="auto" w:fill="FFFFFF"/>
        <w:spacing w:line="240" w:lineRule="auto"/>
        <w:ind w:left="709" w:right="709"/>
        <w:contextualSpacing/>
        <w:jc w:val="both"/>
        <w:rPr>
          <w:rFonts w:ascii="Verdana" w:hAnsi="Verdana" w:cs="Arial"/>
          <w:noProof/>
          <w:sz w:val="20"/>
          <w:szCs w:val="20"/>
          <w:lang w:val="es-ES_tradnl"/>
        </w:rPr>
      </w:pPr>
      <w:r w:rsidRPr="00BD4AD7">
        <w:rPr>
          <w:rFonts w:ascii="Verdana" w:eastAsia="Yu Gothic UI Semibold" w:hAnsi="Verdana" w:cs="Arial"/>
          <w:iCs/>
          <w:sz w:val="20"/>
          <w:szCs w:val="20"/>
          <w:lang w:eastAsia="es-MX"/>
        </w:rPr>
        <w:t>“</w:t>
      </w:r>
      <w:r w:rsidRPr="00BD4AD7">
        <w:rPr>
          <w:rFonts w:ascii="Verdana" w:eastAsia="Yu Gothic UI Semibold" w:hAnsi="Verdana" w:cs="Arial"/>
          <w:sz w:val="20"/>
          <w:szCs w:val="20"/>
          <w:lang w:eastAsia="es-CO"/>
        </w:rPr>
        <w:t xml:space="preserve">[…] en el supuesto en que la trabajadora gestante o lactante haya estado vinculada mediante un contrato de prestación de servicios y logre demostrar la existencia de un contrato realidad, se deberán aplicar las </w:t>
      </w:r>
      <w:r w:rsidRPr="00BD4AD7">
        <w:rPr>
          <w:rFonts w:ascii="Verdana" w:eastAsia="Yu Gothic UI Semibold" w:hAnsi="Verdana" w:cs="Arial"/>
          <w:sz w:val="20"/>
          <w:szCs w:val="20"/>
          <w:lang w:eastAsia="es-CO"/>
        </w:rPr>
        <w:lastRenderedPageBreak/>
        <w:t>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BD4AD7">
        <w:rPr>
          <w:rFonts w:ascii="Verdana" w:hAnsi="Verdana" w:cs="Arial"/>
          <w:noProof/>
          <w:sz w:val="20"/>
          <w:szCs w:val="20"/>
          <w:lang w:val="es-ES_tradnl"/>
        </w:rPr>
        <w:t>”.</w:t>
      </w:r>
    </w:p>
    <w:p w14:paraId="680B74F4" w14:textId="77777777" w:rsidR="00DA76E3" w:rsidRPr="00BD4AD7" w:rsidRDefault="00DA76E3" w:rsidP="00DA76E3">
      <w:pPr>
        <w:shd w:val="clear" w:color="auto" w:fill="FFFFFF"/>
        <w:spacing w:after="0" w:line="276" w:lineRule="auto"/>
        <w:ind w:right="51"/>
        <w:jc w:val="both"/>
        <w:rPr>
          <w:rFonts w:ascii="Verdana" w:eastAsia="Yu Gothic UI Semibold" w:hAnsi="Verdana" w:cs="Arial"/>
          <w:lang w:val="es-ES_tradnl" w:eastAsia="es-CO"/>
        </w:rPr>
      </w:pPr>
    </w:p>
    <w:p w14:paraId="1A92A2F0" w14:textId="77777777" w:rsidR="00DA76E3" w:rsidRPr="00BD4AD7" w:rsidRDefault="00DA76E3" w:rsidP="00DA76E3">
      <w:pPr>
        <w:pStyle w:val="Prrafodelista"/>
        <w:numPr>
          <w:ilvl w:val="0"/>
          <w:numId w:val="5"/>
        </w:numPr>
        <w:shd w:val="clear" w:color="auto" w:fill="FFFFFF"/>
        <w:spacing w:after="120" w:line="276" w:lineRule="auto"/>
        <w:jc w:val="both"/>
        <w:rPr>
          <w:rFonts w:ascii="Verdana" w:eastAsia="Yu Gothic UI Semibold" w:hAnsi="Verdana" w:cs="Arial"/>
          <w:lang w:eastAsia="es-CO"/>
        </w:rPr>
      </w:pPr>
      <w:r w:rsidRPr="00BD4AD7">
        <w:rPr>
          <w:rFonts w:ascii="Verdana" w:hAnsi="Verdana" w:cs="Arial"/>
          <w:noProof/>
          <w:lang w:val="es-ES_tradnl"/>
        </w:rPr>
        <w:t>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0681930E" w14:textId="77777777" w:rsidR="00DA76E3" w:rsidRPr="00BD4AD7" w:rsidRDefault="00DA76E3" w:rsidP="00DA76E3">
      <w:pPr>
        <w:pStyle w:val="Prrafodelista"/>
        <w:shd w:val="clear" w:color="auto" w:fill="FFFFFF"/>
        <w:spacing w:after="120" w:line="276" w:lineRule="auto"/>
        <w:ind w:left="360"/>
        <w:jc w:val="both"/>
        <w:rPr>
          <w:rFonts w:ascii="Verdana" w:eastAsia="Yu Gothic UI Semibold" w:hAnsi="Verdana" w:cs="Arial"/>
          <w:lang w:eastAsia="es-CO"/>
        </w:rPr>
      </w:pPr>
    </w:p>
    <w:p w14:paraId="33F3269A" w14:textId="77777777" w:rsidR="00DA76E3" w:rsidRPr="00BD4AD7" w:rsidRDefault="00DA76E3" w:rsidP="00DA76E3">
      <w:pPr>
        <w:pStyle w:val="Prrafodelista"/>
        <w:numPr>
          <w:ilvl w:val="0"/>
          <w:numId w:val="5"/>
        </w:numPr>
        <w:shd w:val="clear" w:color="auto" w:fill="FFFFFF"/>
        <w:spacing w:after="120" w:line="276" w:lineRule="auto"/>
        <w:jc w:val="both"/>
        <w:rPr>
          <w:rFonts w:ascii="Verdana" w:eastAsia="Yu Gothic UI Semibold" w:hAnsi="Verdana" w:cs="Arial"/>
          <w:lang w:eastAsia="es-CO"/>
        </w:rPr>
      </w:pPr>
      <w:r w:rsidRPr="00BD4AD7">
        <w:rPr>
          <w:rFonts w:ascii="Verdana" w:hAnsi="Verdana" w:cs="Arial"/>
        </w:rPr>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w:t>
      </w:r>
      <w:proofErr w:type="spellStart"/>
      <w:r w:rsidRPr="00BD4AD7">
        <w:rPr>
          <w:rFonts w:ascii="Verdana" w:hAnsi="Verdana" w:cs="Arial"/>
        </w:rPr>
        <w:t>iii</w:t>
      </w:r>
      <w:proofErr w:type="spellEnd"/>
      <w:r w:rsidRPr="00BD4AD7">
        <w:rPr>
          <w:rFonts w:ascii="Verdana" w:hAnsi="Verdana" w:cs="Arial"/>
        </w:rPr>
        <w:t xml:space="preserve">) la protección a la vida y a la mujer como su gestora y </w:t>
      </w:r>
      <w:proofErr w:type="spellStart"/>
      <w:r w:rsidRPr="00BD4AD7">
        <w:rPr>
          <w:rFonts w:ascii="Verdana" w:hAnsi="Verdana" w:cs="Arial"/>
        </w:rPr>
        <w:t>iv</w:t>
      </w:r>
      <w:proofErr w:type="spellEnd"/>
      <w:r w:rsidRPr="00BD4AD7">
        <w:rPr>
          <w:rFonts w:ascii="Verdana" w:hAnsi="Verdana" w:cs="Arial"/>
        </w:rPr>
        <w:t>) la relevancia de la familia en el ordenamiento social colombiano.</w:t>
      </w:r>
    </w:p>
    <w:p w14:paraId="121CA35C" w14:textId="77777777" w:rsidR="00DA76E3" w:rsidRPr="00BD4AD7" w:rsidRDefault="00DA76E3" w:rsidP="00DA76E3">
      <w:pPr>
        <w:pStyle w:val="Prrafodelista"/>
        <w:rPr>
          <w:rFonts w:ascii="Verdana" w:eastAsia="Arial" w:hAnsi="Verdana" w:cs="Arial"/>
        </w:rPr>
      </w:pPr>
    </w:p>
    <w:p w14:paraId="6FB3C9D9" w14:textId="77777777" w:rsidR="00DA76E3" w:rsidRPr="00BD4AD7" w:rsidRDefault="00DA76E3" w:rsidP="00DA76E3">
      <w:pPr>
        <w:pStyle w:val="Prrafodelista"/>
        <w:numPr>
          <w:ilvl w:val="0"/>
          <w:numId w:val="5"/>
        </w:numPr>
        <w:shd w:val="clear" w:color="auto" w:fill="FFFFFF"/>
        <w:spacing w:after="120" w:line="276" w:lineRule="auto"/>
        <w:jc w:val="both"/>
        <w:rPr>
          <w:rFonts w:ascii="Verdana" w:eastAsia="Yu Gothic UI Semibold" w:hAnsi="Verdana" w:cs="Arial"/>
          <w:lang w:eastAsia="es-CO"/>
        </w:rPr>
      </w:pPr>
      <w:r w:rsidRPr="00BD4AD7">
        <w:rPr>
          <w:rFonts w:ascii="Verdana" w:eastAsia="Arial" w:hAnsi="Verdana" w:cs="Arial"/>
        </w:rPr>
        <w:t xml:space="preserve">Adicionalmente, la Corte Constitucional profirió la sentencia T-329 de 2022, con ponencia de la magistrada </w:t>
      </w:r>
      <w:r w:rsidRPr="00BD4AD7">
        <w:rPr>
          <w:rFonts w:ascii="Verdana" w:hAnsi="Verdana" w:cs="Arial"/>
        </w:rPr>
        <w:t>Natalia Ángel Cabo</w:t>
      </w:r>
      <w:r w:rsidRPr="00BD4AD7">
        <w:rPr>
          <w:rFonts w:ascii="Verdana" w:eastAsia="Arial" w:hAnsi="Verdana" w:cs="Arial"/>
        </w:rPr>
        <w:t xml:space="preserve">, en la cual reiteró el precedente sobre </w:t>
      </w:r>
      <w:bookmarkStart w:id="1" w:name="_Hlk108422441"/>
      <w:r w:rsidRPr="00BD4AD7">
        <w:rPr>
          <w:rFonts w:ascii="Verdana" w:eastAsia="Arial" w:hAnsi="Verdana" w:cs="Arial"/>
        </w:rPr>
        <w:t>la protección de la mujer embarazada y en período de lactancia en contratos de prestación de servicios</w:t>
      </w:r>
      <w:bookmarkEnd w:id="1"/>
      <w:r w:rsidRPr="00BD4AD7">
        <w:rPr>
          <w:rFonts w:ascii="Verdana" w:eastAsia="Arial" w:hAnsi="Verdana" w:cs="Arial"/>
        </w:rPr>
        <w:t xml:space="preserve"> establecido en la Sentencia S-070 de 2013, al indicar lo siguiente: </w:t>
      </w:r>
    </w:p>
    <w:p w14:paraId="5F538A55" w14:textId="77777777" w:rsidR="00DA76E3" w:rsidRPr="00BD4AD7" w:rsidRDefault="00DA76E3" w:rsidP="00DA76E3">
      <w:pPr>
        <w:spacing w:after="0" w:line="240" w:lineRule="auto"/>
        <w:ind w:left="709" w:right="709"/>
        <w:contextualSpacing/>
        <w:jc w:val="both"/>
        <w:rPr>
          <w:rFonts w:ascii="Verdana" w:eastAsia="Times New Roman" w:hAnsi="Verdana" w:cs="Arial"/>
          <w:sz w:val="20"/>
          <w:szCs w:val="20"/>
          <w:lang w:eastAsia="es-ES"/>
        </w:rPr>
      </w:pPr>
      <w:r w:rsidRPr="00BD4AD7">
        <w:rPr>
          <w:rFonts w:ascii="Verdana" w:eastAsia="Yu Gothic UI Semibold" w:hAnsi="Verdana" w:cs="Arial"/>
          <w:iCs/>
          <w:sz w:val="20"/>
          <w:szCs w:val="20"/>
          <w:lang w:eastAsia="es-MX"/>
        </w:rPr>
        <w:t>“</w:t>
      </w:r>
      <w:r w:rsidRPr="00BD4AD7">
        <w:rPr>
          <w:rFonts w:ascii="Verdana" w:eastAsia="Yu Gothic UI Semibold" w:hAnsi="Verdana" w:cs="Arial"/>
          <w:sz w:val="20"/>
          <w:szCs w:val="20"/>
          <w:lang w:eastAsia="es-CO"/>
        </w:rPr>
        <w:t xml:space="preserve">[…] </w:t>
      </w:r>
      <w:r w:rsidRPr="00BD4AD7">
        <w:rPr>
          <w:rFonts w:ascii="Verdana" w:eastAsia="Times New Roman" w:hAnsi="Verdana" w:cs="Arial"/>
          <w:sz w:val="20"/>
          <w:szCs w:val="20"/>
          <w:lang w:eastAsia="es-ES"/>
        </w:rPr>
        <w:t xml:space="preserve">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w:t>
      </w:r>
      <w:r w:rsidRPr="00BD4AD7">
        <w:rPr>
          <w:rFonts w:ascii="Verdana" w:eastAsia="Times New Roman" w:hAnsi="Verdana" w:cs="Arial"/>
          <w:sz w:val="20"/>
          <w:szCs w:val="20"/>
          <w:lang w:eastAsia="es-ES"/>
        </w:rPr>
        <w:lastRenderedPageBreak/>
        <w:t>prestación de servicios oculta una relación laboral, se deben aplicar las reglas establecidas para el contrato laboral a término fijo</w:t>
      </w:r>
      <w:r w:rsidRPr="00BD4AD7">
        <w:rPr>
          <w:rFonts w:ascii="Verdana" w:eastAsia="Yu Gothic UI Semibold" w:hAnsi="Verdana" w:cs="Arial"/>
          <w:sz w:val="20"/>
          <w:szCs w:val="20"/>
          <w:lang w:eastAsia="es-CO"/>
        </w:rPr>
        <w:t xml:space="preserve"> […]</w:t>
      </w:r>
      <w:r w:rsidRPr="00BD4AD7">
        <w:rPr>
          <w:rFonts w:ascii="Verdana" w:eastAsia="Times New Roman" w:hAnsi="Verdana" w:cs="Arial"/>
          <w:noProof/>
          <w:sz w:val="20"/>
          <w:szCs w:val="20"/>
          <w:lang w:val="es-ES_tradnl" w:eastAsia="es-ES"/>
        </w:rPr>
        <w:t>”</w:t>
      </w:r>
    </w:p>
    <w:p w14:paraId="22EECC80" w14:textId="77777777" w:rsidR="00DA76E3" w:rsidRPr="00BD4AD7" w:rsidRDefault="00DA76E3" w:rsidP="00DA76E3">
      <w:pPr>
        <w:shd w:val="clear" w:color="auto" w:fill="FFFFFF"/>
        <w:spacing w:after="0" w:line="276" w:lineRule="auto"/>
        <w:ind w:right="51"/>
        <w:jc w:val="both"/>
        <w:rPr>
          <w:rFonts w:ascii="Verdana" w:eastAsia="Yu Gothic UI Semibold" w:hAnsi="Verdana" w:cs="Arial"/>
          <w:lang w:eastAsia="es-CO"/>
        </w:rPr>
      </w:pPr>
    </w:p>
    <w:p w14:paraId="3E281A60" w14:textId="77777777" w:rsidR="00DA76E3" w:rsidRPr="00BD4AD7" w:rsidRDefault="00DA76E3" w:rsidP="00DA76E3">
      <w:pPr>
        <w:pStyle w:val="Prrafodelista"/>
        <w:widowControl w:val="0"/>
        <w:numPr>
          <w:ilvl w:val="0"/>
          <w:numId w:val="6"/>
        </w:numPr>
        <w:autoSpaceDE w:val="0"/>
        <w:autoSpaceDN w:val="0"/>
        <w:spacing w:after="120" w:line="276" w:lineRule="auto"/>
        <w:jc w:val="both"/>
        <w:rPr>
          <w:rFonts w:ascii="Verdana" w:hAnsi="Verdana" w:cs="Arial"/>
          <w:shd w:val="clear" w:color="auto" w:fill="FFFFFF"/>
        </w:rPr>
      </w:pPr>
      <w:r w:rsidRPr="00BD4AD7">
        <w:rPr>
          <w:rFonts w:ascii="Verdana" w:eastAsia="Arial" w:hAnsi="Verdana" w:cs="Arial"/>
        </w:rPr>
        <w:t xml:space="preserve">En dicha providencia la Corte consideró que, </w:t>
      </w:r>
      <w:r w:rsidRPr="00BD4AD7">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BD4AD7">
        <w:rPr>
          <w:rFonts w:ascii="Verdana" w:eastAsia="Yu Gothic UI Semibold" w:hAnsi="Verdana" w:cs="Arial"/>
          <w:iCs/>
          <w:lang w:eastAsia="es-MX"/>
        </w:rPr>
        <w:t>“</w:t>
      </w:r>
      <w:r w:rsidRPr="00BD4AD7">
        <w:rPr>
          <w:rFonts w:ascii="Verdana" w:hAnsi="Verdana" w:cs="Arial"/>
        </w:rPr>
        <w:t>(i)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w:t>
      </w:r>
      <w:proofErr w:type="spellStart"/>
      <w:r w:rsidRPr="00BD4AD7">
        <w:rPr>
          <w:rFonts w:ascii="Verdana" w:hAnsi="Verdana" w:cs="Arial"/>
        </w:rPr>
        <w:t>iii</w:t>
      </w:r>
      <w:proofErr w:type="spellEnd"/>
      <w:r w:rsidRPr="00BD4AD7">
        <w:rPr>
          <w:rFonts w:ascii="Verdana" w:hAnsi="Verdana" w:cs="Arial"/>
        </w:rPr>
        <w:t xml:space="preserve">) la Sentencia SU-075 de 2018 reiteró que las condiciones para la protección de la mujer embarazada son la existencia de una relación laboral o de prestación de servicios y que </w:t>
      </w:r>
      <w:r w:rsidRPr="00BD4AD7">
        <w:rPr>
          <w:rFonts w:ascii="Verdana" w:hAnsi="Verdana" w:cs="Arial"/>
          <w:shd w:val="clear" w:color="auto" w:fill="FFFFFF"/>
        </w:rPr>
        <w:t>la mujer se encuentre en estado de embarazo o dentro de los tres meses siguientes al parto, en vigencia de dicha relación laboral o de prestación de servicios</w:t>
      </w:r>
      <w:r w:rsidRPr="00BD4AD7">
        <w:rPr>
          <w:rFonts w:ascii="Verdana" w:hAnsi="Verdana" w:cs="Arial"/>
        </w:rPr>
        <w:t>; y (</w:t>
      </w:r>
      <w:proofErr w:type="spellStart"/>
      <w:r w:rsidRPr="00BD4AD7">
        <w:rPr>
          <w:rFonts w:ascii="Verdana" w:hAnsi="Verdana" w:cs="Arial"/>
        </w:rPr>
        <w:t>iv</w:t>
      </w:r>
      <w:proofErr w:type="spellEnd"/>
      <w:r w:rsidRPr="00BD4AD7">
        <w:rPr>
          <w:rFonts w:ascii="Verdana" w:hAnsi="Verdana" w:cs="Arial"/>
        </w:rPr>
        <w:t xml:space="preserve">) las salas de revisión de la Corte Constitucional </w:t>
      </w:r>
      <w:r w:rsidRPr="00BD4AD7">
        <w:rPr>
          <w:rFonts w:ascii="Verdana" w:hAnsi="Verdana" w:cs="Arial"/>
          <w:shd w:val="clear" w:color="auto" w:fill="FFFFFF"/>
        </w:rPr>
        <w:t>reconocen la protección derivada del fuero de maternidad en los contratos de prestación de servicios</w:t>
      </w:r>
      <w:r w:rsidRPr="00BD4AD7">
        <w:rPr>
          <w:rFonts w:ascii="Verdana" w:hAnsi="Verdana" w:cs="Arial"/>
          <w:noProof/>
          <w:lang w:val="es-ES_tradnl"/>
        </w:rPr>
        <w:t>”</w:t>
      </w:r>
      <w:r w:rsidRPr="00BD4AD7">
        <w:rPr>
          <w:rFonts w:ascii="Verdana" w:hAnsi="Verdana"/>
          <w:noProof/>
          <w:vertAlign w:val="superscript"/>
          <w:lang w:val="es-ES_tradnl"/>
        </w:rPr>
        <w:footnoteReference w:id="6"/>
      </w:r>
      <w:r w:rsidRPr="00BD4AD7">
        <w:rPr>
          <w:rFonts w:ascii="Verdana" w:hAnsi="Verdana" w:cs="Arial"/>
          <w:shd w:val="clear" w:color="auto" w:fill="FFFFFF"/>
        </w:rPr>
        <w:t xml:space="preserve">. </w:t>
      </w:r>
    </w:p>
    <w:p w14:paraId="2388A07B" w14:textId="77777777" w:rsidR="00DA76E3" w:rsidRPr="00BD4AD7" w:rsidRDefault="00DA76E3" w:rsidP="00DA76E3">
      <w:pPr>
        <w:pStyle w:val="Prrafodelista"/>
        <w:widowControl w:val="0"/>
        <w:autoSpaceDE w:val="0"/>
        <w:autoSpaceDN w:val="0"/>
        <w:spacing w:after="120" w:line="276" w:lineRule="auto"/>
        <w:ind w:left="360"/>
        <w:jc w:val="both"/>
        <w:rPr>
          <w:rFonts w:ascii="Verdana" w:hAnsi="Verdana" w:cs="Arial"/>
          <w:shd w:val="clear" w:color="auto" w:fill="FFFFFF"/>
        </w:rPr>
      </w:pPr>
    </w:p>
    <w:p w14:paraId="4B814CB9" w14:textId="77777777" w:rsidR="00DA76E3" w:rsidRPr="00BD4AD7" w:rsidRDefault="00DA76E3" w:rsidP="00DA76E3">
      <w:pPr>
        <w:pStyle w:val="Prrafodelista"/>
        <w:widowControl w:val="0"/>
        <w:numPr>
          <w:ilvl w:val="0"/>
          <w:numId w:val="6"/>
        </w:numPr>
        <w:autoSpaceDE w:val="0"/>
        <w:autoSpaceDN w:val="0"/>
        <w:spacing w:after="120" w:line="276" w:lineRule="auto"/>
        <w:jc w:val="both"/>
        <w:rPr>
          <w:rFonts w:ascii="Verdana" w:hAnsi="Verdana" w:cs="Arial"/>
          <w:shd w:val="clear" w:color="auto" w:fill="FFFFFF"/>
        </w:rPr>
      </w:pPr>
      <w:r w:rsidRPr="00BD4AD7">
        <w:rPr>
          <w:rFonts w:ascii="Verdana" w:hAnsi="Verdana"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lactancia: </w:t>
      </w:r>
    </w:p>
    <w:tbl>
      <w:tblPr>
        <w:tblStyle w:val="Tablaconcuadrcula"/>
        <w:tblW w:w="5000" w:type="pct"/>
        <w:tblLook w:val="04A0" w:firstRow="1" w:lastRow="0" w:firstColumn="1" w:lastColumn="0" w:noHBand="0" w:noVBand="1"/>
      </w:tblPr>
      <w:tblGrid>
        <w:gridCol w:w="2548"/>
        <w:gridCol w:w="6280"/>
      </w:tblGrid>
      <w:tr w:rsidR="00DA76E3" w:rsidRPr="00BD4AD7" w14:paraId="1036BAFF" w14:textId="77777777" w:rsidTr="00A92B53">
        <w:tc>
          <w:tcPr>
            <w:tcW w:w="1443" w:type="pct"/>
            <w:shd w:val="clear" w:color="auto" w:fill="C1E4F5" w:themeFill="accent1" w:themeFillTint="33"/>
            <w:vAlign w:val="center"/>
          </w:tcPr>
          <w:p w14:paraId="3A693E55" w14:textId="77777777" w:rsidR="00DA76E3" w:rsidRPr="00BD4AD7" w:rsidRDefault="00DA76E3" w:rsidP="00A92B53">
            <w:pPr>
              <w:jc w:val="center"/>
              <w:rPr>
                <w:rFonts w:ascii="Verdana" w:hAnsi="Verdana" w:cs="Arial"/>
                <w:b/>
                <w:bCs/>
                <w:sz w:val="16"/>
                <w:szCs w:val="16"/>
                <w:lang w:val="es-MX"/>
              </w:rPr>
            </w:pPr>
            <w:r w:rsidRPr="00BD4AD7">
              <w:rPr>
                <w:rFonts w:ascii="Verdana" w:hAnsi="Verdana" w:cs="Arial"/>
                <w:b/>
                <w:bCs/>
                <w:sz w:val="16"/>
                <w:szCs w:val="16"/>
                <w:lang w:val="es-MX"/>
              </w:rPr>
              <w:t>Tipo de relación material</w:t>
            </w:r>
          </w:p>
        </w:tc>
        <w:tc>
          <w:tcPr>
            <w:tcW w:w="3557" w:type="pct"/>
            <w:shd w:val="clear" w:color="auto" w:fill="C1E4F5" w:themeFill="accent1" w:themeFillTint="33"/>
            <w:vAlign w:val="center"/>
          </w:tcPr>
          <w:p w14:paraId="728916A5" w14:textId="77777777" w:rsidR="00DA76E3" w:rsidRPr="00BD4AD7" w:rsidRDefault="00DA76E3" w:rsidP="00A92B53">
            <w:pPr>
              <w:jc w:val="center"/>
              <w:rPr>
                <w:rFonts w:ascii="Verdana" w:hAnsi="Verdana" w:cs="Arial"/>
                <w:b/>
                <w:bCs/>
                <w:sz w:val="16"/>
                <w:szCs w:val="16"/>
                <w:lang w:val="es-MX"/>
              </w:rPr>
            </w:pPr>
            <w:r w:rsidRPr="00BD4AD7">
              <w:rPr>
                <w:rFonts w:ascii="Verdana" w:hAnsi="Verdana" w:cs="Arial"/>
                <w:b/>
                <w:bCs/>
                <w:sz w:val="16"/>
                <w:szCs w:val="16"/>
                <w:lang w:val="es-MX"/>
              </w:rPr>
              <w:t>Alcance de la protección</w:t>
            </w:r>
          </w:p>
        </w:tc>
      </w:tr>
      <w:tr w:rsidR="00DA76E3" w:rsidRPr="00BD4AD7" w14:paraId="55350DEB" w14:textId="77777777" w:rsidTr="00A92B53">
        <w:tc>
          <w:tcPr>
            <w:tcW w:w="1443" w:type="pct"/>
            <w:tcBorders>
              <w:bottom w:val="single" w:sz="4" w:space="0" w:color="auto"/>
            </w:tcBorders>
            <w:vAlign w:val="center"/>
          </w:tcPr>
          <w:p w14:paraId="1EB07047" w14:textId="77777777" w:rsidR="00DA76E3" w:rsidRPr="00BD4AD7" w:rsidRDefault="00DA76E3" w:rsidP="00A92B53">
            <w:pPr>
              <w:jc w:val="center"/>
              <w:rPr>
                <w:rFonts w:ascii="Verdana" w:hAnsi="Verdana" w:cs="Arial"/>
                <w:b/>
                <w:bCs/>
                <w:sz w:val="16"/>
                <w:szCs w:val="16"/>
                <w:lang w:val="es-MX"/>
              </w:rPr>
            </w:pPr>
            <w:r w:rsidRPr="00BD4AD7">
              <w:rPr>
                <w:rFonts w:ascii="Verdana" w:hAnsi="Verdana" w:cs="Arial"/>
                <w:b/>
                <w:bCs/>
                <w:sz w:val="16"/>
                <w:szCs w:val="16"/>
                <w:lang w:val="es-MX"/>
              </w:rPr>
              <w:t>Se configura un contrato realidad</w:t>
            </w:r>
          </w:p>
        </w:tc>
        <w:tc>
          <w:tcPr>
            <w:tcW w:w="3557" w:type="pct"/>
          </w:tcPr>
          <w:p w14:paraId="71D00AA3" w14:textId="77777777" w:rsidR="00DA76E3" w:rsidRPr="00BD4AD7" w:rsidRDefault="00DA76E3" w:rsidP="00A92B53">
            <w:pPr>
              <w:jc w:val="both"/>
              <w:rPr>
                <w:rFonts w:ascii="Verdana" w:hAnsi="Verdana" w:cs="Arial"/>
                <w:sz w:val="16"/>
                <w:szCs w:val="16"/>
                <w:lang w:val="es-MX"/>
              </w:rPr>
            </w:pPr>
            <w:r w:rsidRPr="00BD4AD7">
              <w:rPr>
                <w:rFonts w:ascii="Verdana" w:hAnsi="Verdana" w:cs="Arial"/>
                <w:sz w:val="16"/>
                <w:szCs w:val="16"/>
                <w:lang w:val="es-MX"/>
              </w:rPr>
              <w:t>El juez de tutela deberá aplicar las reglas establecidas para el contrato laboral a término fijo, debido a que este contrato, por sus características de temporalidad, es el que mejor se asemeja al contrato de prestación de servicios</w:t>
            </w:r>
            <w:r w:rsidRPr="00BD4AD7">
              <w:rPr>
                <w:rFonts w:ascii="Verdana" w:hAnsi="Verdana" w:cs="Arial"/>
                <w:sz w:val="16"/>
                <w:szCs w:val="16"/>
                <w:vertAlign w:val="superscript"/>
                <w:lang w:val="es-MX"/>
              </w:rPr>
              <w:t xml:space="preserve"> </w:t>
            </w:r>
            <w:r w:rsidRPr="00BD4AD7">
              <w:rPr>
                <w:rFonts w:ascii="Verdana" w:hAnsi="Verdana" w:cs="Arial"/>
                <w:sz w:val="16"/>
                <w:szCs w:val="16"/>
                <w:vertAlign w:val="superscript"/>
                <w:lang w:val="es-MX"/>
              </w:rPr>
              <w:footnoteReference w:id="7"/>
            </w:r>
            <w:r w:rsidRPr="00BD4AD7">
              <w:rPr>
                <w:rFonts w:ascii="Verdana" w:hAnsi="Verdana" w:cs="Arial"/>
                <w:sz w:val="16"/>
                <w:szCs w:val="16"/>
                <w:lang w:val="es-MX"/>
              </w:rPr>
              <w:t>.</w:t>
            </w:r>
          </w:p>
        </w:tc>
      </w:tr>
      <w:tr w:rsidR="00DA76E3" w:rsidRPr="00BD4AD7" w14:paraId="60581912" w14:textId="77777777" w:rsidTr="00A92B53">
        <w:trPr>
          <w:trHeight w:val="269"/>
        </w:trPr>
        <w:tc>
          <w:tcPr>
            <w:tcW w:w="1443" w:type="pct"/>
            <w:tcBorders>
              <w:top w:val="single" w:sz="4" w:space="0" w:color="auto"/>
              <w:left w:val="single" w:sz="4" w:space="0" w:color="auto"/>
              <w:bottom w:val="single" w:sz="4" w:space="0" w:color="auto"/>
              <w:right w:val="single" w:sz="4" w:space="0" w:color="auto"/>
            </w:tcBorders>
            <w:vAlign w:val="center"/>
          </w:tcPr>
          <w:p w14:paraId="6F63D034" w14:textId="77777777" w:rsidR="00DA76E3" w:rsidRPr="00BD4AD7" w:rsidRDefault="00DA76E3" w:rsidP="00A92B53">
            <w:pPr>
              <w:jc w:val="center"/>
              <w:rPr>
                <w:rFonts w:ascii="Verdana" w:hAnsi="Verdana" w:cs="Arial"/>
                <w:b/>
                <w:bCs/>
                <w:sz w:val="16"/>
                <w:szCs w:val="16"/>
                <w:lang w:val="es-MX"/>
              </w:rPr>
            </w:pPr>
            <w:r w:rsidRPr="00BD4AD7">
              <w:rPr>
                <w:rFonts w:ascii="Verdana" w:hAnsi="Verdana" w:cs="Arial"/>
                <w:b/>
                <w:bCs/>
                <w:sz w:val="16"/>
                <w:szCs w:val="16"/>
                <w:lang w:val="es-MX"/>
              </w:rPr>
              <w:t>No se configura un contrato realidad</w:t>
            </w:r>
          </w:p>
        </w:tc>
        <w:tc>
          <w:tcPr>
            <w:tcW w:w="3557" w:type="pct"/>
            <w:tcBorders>
              <w:left w:val="single" w:sz="4" w:space="0" w:color="auto"/>
            </w:tcBorders>
            <w:vAlign w:val="center"/>
          </w:tcPr>
          <w:p w14:paraId="633740F1" w14:textId="77777777" w:rsidR="00DA76E3" w:rsidRPr="00BD4AD7" w:rsidRDefault="00DA76E3" w:rsidP="00A92B53">
            <w:pPr>
              <w:jc w:val="both"/>
              <w:rPr>
                <w:rFonts w:ascii="Verdana" w:hAnsi="Verdana" w:cs="Arial"/>
                <w:sz w:val="16"/>
                <w:szCs w:val="16"/>
                <w:lang w:val="es-MX"/>
              </w:rPr>
            </w:pPr>
            <w:r w:rsidRPr="00BD4AD7">
              <w:rPr>
                <w:rFonts w:ascii="Verdana" w:hAnsi="Verdana" w:cs="Arial"/>
                <w:sz w:val="16"/>
                <w:szCs w:val="16"/>
                <w:lang w:val="es-MX"/>
              </w:rPr>
              <w:t>Si (i) el contratante conoce el estado de embarazo de la contratista, (ii) subsiste la causa del contrato y (</w:t>
            </w:r>
            <w:proofErr w:type="spellStart"/>
            <w:r w:rsidRPr="00BD4AD7">
              <w:rPr>
                <w:rFonts w:ascii="Verdana" w:hAnsi="Verdana" w:cs="Arial"/>
                <w:sz w:val="16"/>
                <w:szCs w:val="16"/>
                <w:lang w:val="es-MX"/>
              </w:rPr>
              <w:t>iii</w:t>
            </w:r>
            <w:proofErr w:type="spellEnd"/>
            <w:r w:rsidRPr="00BD4AD7">
              <w:rPr>
                <w:rFonts w:ascii="Verdana" w:hAnsi="Verdana" w:cs="Arial"/>
                <w:sz w:val="16"/>
                <w:szCs w:val="16"/>
                <w:lang w:val="es-MX"/>
              </w:rPr>
              <w:t>) no cuenta con permiso del inspector del trabajo para terminar el contrato, el juez deberá ordenar:</w:t>
            </w:r>
          </w:p>
          <w:p w14:paraId="59C346AD" w14:textId="77777777" w:rsidR="00DA76E3" w:rsidRPr="00BD4AD7" w:rsidRDefault="00DA76E3" w:rsidP="00A92B53">
            <w:pPr>
              <w:rPr>
                <w:rFonts w:ascii="Verdana" w:hAnsi="Verdana" w:cs="Arial"/>
                <w:sz w:val="16"/>
                <w:szCs w:val="16"/>
                <w:lang w:val="es-MX"/>
              </w:rPr>
            </w:pPr>
          </w:p>
          <w:p w14:paraId="337B2E9E" w14:textId="77777777" w:rsidR="00DA76E3" w:rsidRPr="00BD4AD7" w:rsidRDefault="00DA76E3" w:rsidP="00DA76E3">
            <w:pPr>
              <w:numPr>
                <w:ilvl w:val="0"/>
                <w:numId w:val="7"/>
              </w:numPr>
              <w:jc w:val="both"/>
              <w:rPr>
                <w:rFonts w:ascii="Verdana" w:hAnsi="Verdana" w:cs="Arial"/>
                <w:sz w:val="16"/>
                <w:szCs w:val="16"/>
                <w:lang w:val="es-MX"/>
              </w:rPr>
            </w:pPr>
            <w:r w:rsidRPr="00BD4AD7">
              <w:rPr>
                <w:rFonts w:ascii="Verdana" w:hAnsi="Verdana" w:cs="Arial"/>
                <w:sz w:val="16"/>
                <w:szCs w:val="16"/>
                <w:lang w:val="es-MX"/>
              </w:rPr>
              <w:t xml:space="preserve">La renovación de la relación contractual, la cual se dará hasta por el término del periodo de lactancia. </w:t>
            </w:r>
          </w:p>
          <w:p w14:paraId="17B84016" w14:textId="77777777" w:rsidR="00DA76E3" w:rsidRPr="00BD4AD7" w:rsidRDefault="00DA76E3" w:rsidP="00DA76E3">
            <w:pPr>
              <w:numPr>
                <w:ilvl w:val="0"/>
                <w:numId w:val="7"/>
              </w:numPr>
              <w:jc w:val="both"/>
              <w:rPr>
                <w:rFonts w:ascii="Verdana" w:hAnsi="Verdana" w:cs="Arial"/>
                <w:sz w:val="16"/>
                <w:szCs w:val="16"/>
                <w:lang w:val="es-MX"/>
              </w:rPr>
            </w:pPr>
            <w:r w:rsidRPr="00BD4AD7">
              <w:rPr>
                <w:rFonts w:ascii="Verdana" w:hAnsi="Verdana" w:cs="Arial"/>
                <w:sz w:val="16"/>
                <w:szCs w:val="16"/>
                <w:lang w:val="es-MX"/>
              </w:rPr>
              <w:t>El pago de los honorarios dejados de percibir desde la fecha de no renovación del contrato, hasta la renovación del mismo;</w:t>
            </w:r>
          </w:p>
          <w:p w14:paraId="127F59EC" w14:textId="77777777" w:rsidR="00DA76E3" w:rsidRPr="00BD4AD7" w:rsidRDefault="00DA76E3" w:rsidP="00DA76E3">
            <w:pPr>
              <w:numPr>
                <w:ilvl w:val="0"/>
                <w:numId w:val="7"/>
              </w:numPr>
              <w:jc w:val="both"/>
              <w:rPr>
                <w:rFonts w:ascii="Verdana" w:hAnsi="Verdana" w:cs="Arial"/>
                <w:sz w:val="16"/>
                <w:szCs w:val="16"/>
                <w:lang w:val="es-MX"/>
              </w:rPr>
            </w:pPr>
            <w:r w:rsidRPr="00BD4AD7">
              <w:rPr>
                <w:rFonts w:ascii="Verdana" w:hAnsi="Verdana" w:cs="Arial"/>
                <w:sz w:val="16"/>
                <w:szCs w:val="16"/>
                <w:lang w:val="es-MX"/>
              </w:rPr>
              <w:lastRenderedPageBreak/>
              <w:t>El pago por concepto de la indemnización por despido discriminatorio</w:t>
            </w:r>
            <w:r w:rsidRPr="00BD4AD7">
              <w:rPr>
                <w:rFonts w:ascii="Verdana" w:hAnsi="Verdana" w:cs="Arial"/>
                <w:sz w:val="16"/>
                <w:szCs w:val="16"/>
                <w:vertAlign w:val="superscript"/>
                <w:lang w:val="es-MX"/>
              </w:rPr>
              <w:footnoteReference w:id="8"/>
            </w:r>
            <w:r w:rsidRPr="00BD4AD7">
              <w:rPr>
                <w:rFonts w:ascii="Verdana" w:hAnsi="Verdana" w:cs="Arial"/>
                <w:sz w:val="16"/>
                <w:szCs w:val="16"/>
                <w:lang w:val="es-MX"/>
              </w:rPr>
              <w:t>; y</w:t>
            </w:r>
          </w:p>
          <w:p w14:paraId="3AA9629D" w14:textId="77777777" w:rsidR="00DA76E3" w:rsidRPr="00BD4AD7" w:rsidRDefault="00DA76E3" w:rsidP="00DA76E3">
            <w:pPr>
              <w:numPr>
                <w:ilvl w:val="0"/>
                <w:numId w:val="7"/>
              </w:numPr>
              <w:jc w:val="both"/>
              <w:rPr>
                <w:rFonts w:ascii="Verdana" w:hAnsi="Verdana" w:cs="Arial"/>
                <w:sz w:val="16"/>
                <w:szCs w:val="16"/>
                <w:lang w:val="es-MX"/>
              </w:rPr>
            </w:pPr>
            <w:r w:rsidRPr="00BD4AD7">
              <w:rPr>
                <w:rFonts w:ascii="Verdana" w:hAnsi="Verdana" w:cs="Arial"/>
                <w:sz w:val="16"/>
                <w:szCs w:val="16"/>
                <w:lang w:val="es-MX"/>
              </w:rPr>
              <w:t>El pago de la licencia de maternidad. Este pago no se realizará si en el caso se acredita que la madre disfrutó de la licencia de maternidad</w:t>
            </w:r>
            <w:r w:rsidRPr="00BD4AD7">
              <w:rPr>
                <w:rFonts w:ascii="Verdana" w:hAnsi="Verdana" w:cs="Arial"/>
                <w:sz w:val="16"/>
                <w:szCs w:val="16"/>
                <w:vertAlign w:val="superscript"/>
                <w:lang w:val="es-MX"/>
              </w:rPr>
              <w:footnoteReference w:id="9"/>
            </w:r>
            <w:r w:rsidRPr="00BD4AD7">
              <w:rPr>
                <w:rFonts w:ascii="Verdana" w:hAnsi="Verdana" w:cs="Arial"/>
                <w:sz w:val="16"/>
                <w:szCs w:val="16"/>
                <w:lang w:val="es-MX"/>
              </w:rPr>
              <w:t>.</w:t>
            </w:r>
          </w:p>
          <w:p w14:paraId="0F38FD80" w14:textId="77777777" w:rsidR="00DA76E3" w:rsidRPr="00BD4AD7" w:rsidRDefault="00DA76E3" w:rsidP="00DA76E3">
            <w:pPr>
              <w:numPr>
                <w:ilvl w:val="0"/>
                <w:numId w:val="7"/>
              </w:numPr>
              <w:jc w:val="both"/>
              <w:rPr>
                <w:rFonts w:ascii="Verdana" w:hAnsi="Verdana" w:cs="Arial"/>
                <w:sz w:val="16"/>
                <w:szCs w:val="16"/>
                <w:lang w:val="es-MX"/>
              </w:rPr>
            </w:pPr>
            <w:r w:rsidRPr="00BD4AD7">
              <w:rPr>
                <w:rFonts w:ascii="Verdana" w:hAnsi="Verdana" w:cs="Arial"/>
                <w:sz w:val="16"/>
                <w:szCs w:val="16"/>
                <w:lang w:val="es-MX"/>
              </w:rPr>
              <w:t>En el evento en el que el término del periodo de lactancia ya haya terminado, procederá el reconocimiento de los honorarios dejados de percibir hasta la terminación de periodo de lactancia</w:t>
            </w:r>
            <w:r w:rsidRPr="00BD4AD7">
              <w:rPr>
                <w:rFonts w:ascii="Verdana" w:hAnsi="Verdana" w:cs="Arial"/>
                <w:sz w:val="16"/>
                <w:szCs w:val="16"/>
                <w:vertAlign w:val="superscript"/>
                <w:lang w:val="es-MX"/>
              </w:rPr>
              <w:footnoteReference w:id="10"/>
            </w:r>
            <w:r w:rsidRPr="00BD4AD7">
              <w:rPr>
                <w:rFonts w:ascii="Verdana" w:hAnsi="Verdana" w:cs="Arial"/>
                <w:sz w:val="16"/>
                <w:szCs w:val="16"/>
                <w:lang w:val="es-MX"/>
              </w:rPr>
              <w:t>.</w:t>
            </w:r>
          </w:p>
          <w:p w14:paraId="1861D086" w14:textId="77777777" w:rsidR="00DA76E3" w:rsidRPr="00BD4AD7" w:rsidRDefault="00DA76E3" w:rsidP="00A92B53">
            <w:pPr>
              <w:rPr>
                <w:rFonts w:ascii="Verdana" w:hAnsi="Verdana" w:cs="Arial"/>
                <w:sz w:val="16"/>
                <w:szCs w:val="16"/>
                <w:lang w:val="es-MX"/>
              </w:rPr>
            </w:pPr>
          </w:p>
          <w:p w14:paraId="7B8960EB" w14:textId="77777777" w:rsidR="00DA76E3" w:rsidRPr="00BD4AD7" w:rsidRDefault="00DA76E3" w:rsidP="00A92B53">
            <w:pPr>
              <w:keepNext/>
              <w:jc w:val="both"/>
              <w:rPr>
                <w:rFonts w:ascii="Verdana" w:hAnsi="Verdana" w:cs="Arial"/>
                <w:sz w:val="16"/>
                <w:szCs w:val="16"/>
                <w:lang w:val="es-MX"/>
              </w:rPr>
            </w:pPr>
            <w:r w:rsidRPr="00BD4AD7">
              <w:rPr>
                <w:rFonts w:ascii="Verdana" w:hAnsi="Verdana" w:cs="Arial"/>
                <w:sz w:val="16"/>
                <w:szCs w:val="16"/>
                <w:lang w:val="es-MX"/>
              </w:rPr>
              <w:t>En todo caso, el juez deberá estudiar la procedencia de cada una de estas medidas de protección para lo cual tendrá en cuenta las particularidades del caso</w:t>
            </w:r>
            <w:r w:rsidRPr="00BD4AD7">
              <w:rPr>
                <w:rFonts w:ascii="Verdana" w:hAnsi="Verdana" w:cs="Arial"/>
                <w:sz w:val="16"/>
                <w:szCs w:val="16"/>
                <w:vertAlign w:val="superscript"/>
                <w:lang w:val="es-MX"/>
              </w:rPr>
              <w:footnoteReference w:id="11"/>
            </w:r>
            <w:r w:rsidRPr="00BD4AD7">
              <w:rPr>
                <w:rFonts w:ascii="Verdana" w:hAnsi="Verdana" w:cs="Arial"/>
                <w:sz w:val="16"/>
                <w:szCs w:val="16"/>
                <w:lang w:val="es-MX"/>
              </w:rPr>
              <w:t>.</w:t>
            </w:r>
          </w:p>
        </w:tc>
      </w:tr>
    </w:tbl>
    <w:p w14:paraId="2EC6B190" w14:textId="77777777" w:rsidR="00DA76E3" w:rsidRPr="00BD4AD7" w:rsidRDefault="00DA76E3" w:rsidP="00DA76E3">
      <w:pPr>
        <w:spacing w:after="0" w:line="240" w:lineRule="auto"/>
        <w:jc w:val="center"/>
        <w:rPr>
          <w:rFonts w:ascii="Verdana" w:eastAsia="Times New Roman" w:hAnsi="Verdana" w:cs="Arial"/>
          <w:b/>
          <w:bCs/>
          <w:iCs/>
          <w:sz w:val="16"/>
          <w:szCs w:val="16"/>
        </w:rPr>
      </w:pPr>
      <w:r w:rsidRPr="00BD4AD7">
        <w:rPr>
          <w:rFonts w:ascii="Verdana" w:eastAsia="Yu Gothic UI Semibold" w:hAnsi="Verdana" w:cs="Arial"/>
          <w:lang w:eastAsia="es-CO"/>
        </w:rPr>
        <w:lastRenderedPageBreak/>
        <w:tab/>
      </w:r>
      <w:r w:rsidRPr="00BD4AD7">
        <w:rPr>
          <w:rFonts w:ascii="Verdana" w:eastAsia="Times New Roman" w:hAnsi="Verdana" w:cs="Arial"/>
          <w:b/>
          <w:bCs/>
          <w:iCs/>
          <w:sz w:val="16"/>
          <w:szCs w:val="16"/>
        </w:rPr>
        <w:t xml:space="preserve">Tabla: Reglas para la protección de la mujer embarazada en contratos de prestación de servicios. – Tomada de la Sentencia T-329 de 2022. </w:t>
      </w:r>
    </w:p>
    <w:p w14:paraId="1796BBFB" w14:textId="77777777" w:rsidR="00DA76E3" w:rsidRPr="00BD4AD7" w:rsidRDefault="00DA76E3" w:rsidP="00DA76E3">
      <w:pPr>
        <w:shd w:val="clear" w:color="auto" w:fill="FFFFFF"/>
        <w:tabs>
          <w:tab w:val="left" w:pos="6315"/>
        </w:tabs>
        <w:spacing w:after="0" w:line="276" w:lineRule="auto"/>
        <w:ind w:right="51"/>
        <w:jc w:val="both"/>
        <w:rPr>
          <w:rFonts w:ascii="Verdana" w:eastAsia="Yu Gothic UI Semibold" w:hAnsi="Verdana" w:cs="Arial"/>
          <w:lang w:eastAsia="es-CO"/>
        </w:rPr>
      </w:pPr>
    </w:p>
    <w:p w14:paraId="0CB6376C" w14:textId="77777777" w:rsidR="00DA76E3" w:rsidRPr="00BD4AD7" w:rsidRDefault="00DA76E3" w:rsidP="00DA76E3">
      <w:pPr>
        <w:pStyle w:val="Prrafodelista"/>
        <w:numPr>
          <w:ilvl w:val="0"/>
          <w:numId w:val="8"/>
        </w:numPr>
        <w:tabs>
          <w:tab w:val="left" w:pos="0"/>
        </w:tabs>
        <w:spacing w:after="0" w:line="276" w:lineRule="auto"/>
        <w:jc w:val="both"/>
        <w:rPr>
          <w:rFonts w:ascii="Verdana" w:hAnsi="Verdana" w:cs="Arial"/>
        </w:rPr>
      </w:pPr>
      <w:r w:rsidRPr="00257DFB">
        <w:rPr>
          <w:rFonts w:ascii="Verdana" w:hAnsi="Verdana" w:cs="Arial"/>
          <w:shd w:val="clear" w:color="auto" w:fill="FFFFFF"/>
        </w:rPr>
        <w:t xml:space="preserve">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r>
        <w:rPr>
          <w:rFonts w:ascii="Verdana" w:hAnsi="Verdana" w:cs="Arial"/>
          <w:shd w:val="clear" w:color="auto" w:fill="FFFFFF"/>
        </w:rPr>
        <w:t xml:space="preserve">Por ello, </w:t>
      </w:r>
      <w:r w:rsidRPr="00BD4AD7">
        <w:rPr>
          <w:rFonts w:ascii="Verdana" w:hAnsi="Verdana" w:cs="Arial"/>
          <w:shd w:val="clear" w:color="auto" w:fill="FFFFFF"/>
        </w:rPr>
        <w:t xml:space="preserve">les corresponde a las Entidades Estatales, en virtud de su autonomía, y de acuerdo con los lineamientos </w:t>
      </w:r>
      <w:r>
        <w:rPr>
          <w:rFonts w:ascii="Verdana" w:hAnsi="Verdana" w:cs="Arial"/>
          <w:shd w:val="clear" w:color="auto" w:fill="FFFFFF"/>
        </w:rPr>
        <w:t>expedidos por</w:t>
      </w:r>
      <w:r w:rsidRPr="00BD4AD7">
        <w:rPr>
          <w:rFonts w:ascii="Verdana" w:hAnsi="Verdana" w:cs="Arial"/>
          <w:shd w:val="clear" w:color="auto" w:fill="FFFFFF"/>
        </w:rPr>
        <w:t xml:space="preserve"> la Corte Constitucional, determinar la mejor forma para garantizar la estabilidad ocupacional reforzada de las mujeres embarazadas y en periodo de lactancia vinculadas mediante contratos de prestación de servicios.</w:t>
      </w:r>
    </w:p>
    <w:p w14:paraId="4578D64B" w14:textId="77777777" w:rsidR="00DA76E3" w:rsidRPr="00BD4AD7" w:rsidRDefault="00DA76E3" w:rsidP="00DA76E3">
      <w:pPr>
        <w:spacing w:after="0"/>
        <w:jc w:val="both"/>
        <w:rPr>
          <w:rStyle w:val="Hipervnculo"/>
          <w:rFonts w:ascii="Verdana" w:hAnsi="Verdana"/>
        </w:rPr>
      </w:pPr>
    </w:p>
    <w:p w14:paraId="47C1CD98" w14:textId="77777777" w:rsidR="00DA76E3" w:rsidRPr="00BD4AD7" w:rsidRDefault="00DA76E3" w:rsidP="00DA76E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D4AD7">
        <w:rPr>
          <w:rFonts w:ascii="Verdana" w:eastAsia="Century Gothic" w:hAnsi="Verdana" w:cs="Century Gothic"/>
          <w:b/>
          <w:bCs/>
        </w:rPr>
        <w:t>Referencias normativas, jurisprudenciales y otras fuentes:</w:t>
      </w:r>
    </w:p>
    <w:p w14:paraId="70F90B98" w14:textId="77777777" w:rsidR="00DA76E3" w:rsidRPr="00BD4AD7" w:rsidRDefault="00DA76E3" w:rsidP="00DA76E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A76E3" w:rsidRPr="00BD4AD7" w14:paraId="02787B2C" w14:textId="77777777" w:rsidTr="00A92B53">
        <w:trPr>
          <w:trHeight w:val="489"/>
        </w:trPr>
        <w:tc>
          <w:tcPr>
            <w:tcW w:w="8647" w:type="dxa"/>
          </w:tcPr>
          <w:p w14:paraId="1D3EBC15" w14:textId="77777777" w:rsidR="00DA76E3" w:rsidRPr="007F4015"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it-IT"/>
              </w:rPr>
            </w:pPr>
            <w:r w:rsidRPr="006D785E">
              <w:rPr>
                <w:rFonts w:ascii="Verdana" w:eastAsia="Calibri" w:hAnsi="Verdana" w:cs="Arial"/>
                <w:lang w:val="es-ES"/>
              </w:rPr>
              <w:t xml:space="preserve">Corte Constitucional. Sentencia T-743 de 2017. </w:t>
            </w:r>
            <w:r w:rsidRPr="007F4015">
              <w:rPr>
                <w:rFonts w:ascii="Verdana" w:eastAsia="Calibri" w:hAnsi="Verdana" w:cs="Arial"/>
                <w:lang w:val="it-IT"/>
              </w:rPr>
              <w:t>Magistrada Ponente Cristina Pardo Schlesinger.</w:t>
            </w:r>
          </w:p>
          <w:p w14:paraId="0AC240D5" w14:textId="77777777" w:rsidR="00DA76E3" w:rsidRPr="007F4015"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it-IT"/>
              </w:rPr>
            </w:pPr>
            <w:r w:rsidRPr="006D785E">
              <w:rPr>
                <w:rFonts w:ascii="Verdana" w:eastAsia="Calibri" w:hAnsi="Verdana" w:cs="Arial"/>
                <w:lang w:val="es-ES"/>
              </w:rPr>
              <w:t xml:space="preserve">Corte Constitucional. Sentencia SU-070 de 2013. </w:t>
            </w:r>
            <w:r w:rsidRPr="007F4015">
              <w:rPr>
                <w:rFonts w:ascii="Verdana" w:eastAsia="Calibri" w:hAnsi="Verdana" w:cs="Arial"/>
                <w:lang w:val="it-IT"/>
              </w:rPr>
              <w:t>Magistrada Ponente Gloria Stella Ortiz Delgado.</w:t>
            </w:r>
          </w:p>
          <w:p w14:paraId="593DDEA1" w14:textId="77777777" w:rsidR="00DA76E3" w:rsidRPr="006D785E"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es-ES"/>
              </w:rPr>
            </w:pPr>
            <w:r w:rsidRPr="006D785E">
              <w:rPr>
                <w:rFonts w:ascii="Verdana" w:eastAsia="Calibri" w:hAnsi="Verdana" w:cs="Arial"/>
                <w:lang w:val="es-ES"/>
              </w:rPr>
              <w:t xml:space="preserve">Corte Constitucional. Sentencia T-102 del 1 de marzo de 2016. </w:t>
            </w:r>
            <w:r w:rsidRPr="006D785E">
              <w:rPr>
                <w:rFonts w:ascii="Verdana" w:eastAsia="Calibri" w:hAnsi="Verdana" w:cs="Arial"/>
                <w:lang w:val="es-ES"/>
              </w:rPr>
              <w:lastRenderedPageBreak/>
              <w:t>Magistrada Ponente María Victoria Calle Correa.</w:t>
            </w:r>
          </w:p>
          <w:p w14:paraId="3592A99F" w14:textId="77777777" w:rsidR="00DA76E3" w:rsidRPr="006D785E"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es-ES"/>
              </w:rPr>
            </w:pPr>
            <w:r w:rsidRPr="006D785E">
              <w:rPr>
                <w:rFonts w:ascii="Verdana" w:eastAsia="Calibri" w:hAnsi="Verdana" w:cs="Arial"/>
                <w:lang w:val="es-ES"/>
              </w:rPr>
              <w:t>Corte Constitucional. Sentencia T-564 del 6 de septiembre de 2017. Magistrada Ponente: Cristina Pardo Schlesinger.</w:t>
            </w:r>
          </w:p>
          <w:p w14:paraId="5681F826" w14:textId="77777777" w:rsidR="00DA76E3" w:rsidRPr="007F4015"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it-IT"/>
              </w:rPr>
            </w:pPr>
            <w:r w:rsidRPr="006D785E">
              <w:rPr>
                <w:rFonts w:ascii="Verdana" w:eastAsia="Calibri" w:hAnsi="Verdana" w:cs="Arial"/>
                <w:lang w:val="es-ES"/>
              </w:rPr>
              <w:t xml:space="preserve">Corte Constitucional. Sentencia SU 075 de 2018. </w:t>
            </w:r>
            <w:r w:rsidRPr="007F4015">
              <w:rPr>
                <w:rFonts w:ascii="Verdana" w:eastAsia="Calibri" w:hAnsi="Verdana" w:cs="Arial"/>
                <w:lang w:val="it-IT"/>
              </w:rPr>
              <w:t>Magistrada Ponente: Gloria Stella Ortiz Delgado:</w:t>
            </w:r>
          </w:p>
          <w:p w14:paraId="5319BD45" w14:textId="77777777" w:rsidR="00DA76E3" w:rsidRPr="006D785E"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es-ES"/>
              </w:rPr>
            </w:pPr>
            <w:r w:rsidRPr="006D785E">
              <w:rPr>
                <w:rFonts w:ascii="Verdana" w:eastAsia="Calibri" w:hAnsi="Verdana" w:cs="Arial"/>
                <w:lang w:val="es-ES"/>
              </w:rPr>
              <w:t>Corte Constitucional. Sentencia T-329 de 2022. Magistrada Ponente: Natalia Ángel Cabo.</w:t>
            </w:r>
          </w:p>
          <w:p w14:paraId="1D7ED663" w14:textId="77777777" w:rsidR="00DA76E3" w:rsidRPr="006D785E" w:rsidRDefault="00DA76E3" w:rsidP="00DA76E3">
            <w:pPr>
              <w:widowControl w:val="0"/>
              <w:numPr>
                <w:ilvl w:val="0"/>
                <w:numId w:val="2"/>
              </w:numPr>
              <w:autoSpaceDE w:val="0"/>
              <w:autoSpaceDN w:val="0"/>
              <w:spacing w:line="276" w:lineRule="auto"/>
              <w:ind w:left="720"/>
              <w:contextualSpacing/>
              <w:jc w:val="both"/>
              <w:rPr>
                <w:rFonts w:ascii="Verdana" w:eastAsia="Calibri" w:hAnsi="Verdana" w:cs="Arial"/>
                <w:lang w:val="es-ES"/>
              </w:rPr>
            </w:pPr>
            <w:r w:rsidRPr="006D785E">
              <w:rPr>
                <w:rFonts w:ascii="Verdana" w:eastAsia="Calibri" w:hAnsi="Verdana" w:cs="Arial"/>
                <w:lang w:val="es-ES"/>
              </w:rPr>
              <w:t xml:space="preserve">Consejo de Estado - Sala de lo Contencioso Administrativo - Sección Tercera. Sentencia del 28 de abril de 2010, </w:t>
            </w:r>
            <w:proofErr w:type="spellStart"/>
            <w:r w:rsidRPr="006D785E">
              <w:rPr>
                <w:rFonts w:ascii="Verdana" w:eastAsia="Calibri" w:hAnsi="Verdana" w:cs="Arial"/>
                <w:lang w:val="es-ES"/>
              </w:rPr>
              <w:t>Exp</w:t>
            </w:r>
            <w:proofErr w:type="spellEnd"/>
            <w:r w:rsidRPr="006D785E">
              <w:rPr>
                <w:rFonts w:ascii="Verdana" w:eastAsia="Calibri" w:hAnsi="Verdana" w:cs="Arial"/>
                <w:lang w:val="es-ES"/>
              </w:rPr>
              <w:t>. 16.431. Magistrado Enrique Gil Botero</w:t>
            </w:r>
          </w:p>
          <w:p w14:paraId="25F35109" w14:textId="77777777" w:rsidR="00DA76E3" w:rsidRPr="00BD4AD7" w:rsidRDefault="00DA76E3" w:rsidP="00DA76E3">
            <w:pPr>
              <w:widowControl w:val="0"/>
              <w:numPr>
                <w:ilvl w:val="0"/>
                <w:numId w:val="2"/>
              </w:numPr>
              <w:autoSpaceDE w:val="0"/>
              <w:autoSpaceDN w:val="0"/>
              <w:spacing w:line="276" w:lineRule="auto"/>
              <w:ind w:left="720"/>
              <w:contextualSpacing/>
              <w:jc w:val="both"/>
              <w:rPr>
                <w:rFonts w:ascii="Verdana" w:hAnsi="Verdana" w:cs="Arial"/>
              </w:rPr>
            </w:pPr>
            <w:r w:rsidRPr="006D785E">
              <w:rPr>
                <w:rFonts w:ascii="Verdana" w:eastAsia="Calibri" w:hAnsi="Verdana" w:cs="Arial"/>
                <w:lang w:val="es-ES"/>
              </w:rPr>
              <w:t>Ministerio del Trabajo. Concepto 9972 de 5 de marzo de 2014.</w:t>
            </w:r>
          </w:p>
        </w:tc>
      </w:tr>
    </w:tbl>
    <w:p w14:paraId="631A0399" w14:textId="77777777" w:rsidR="00DA76E3" w:rsidRPr="00BD4AD7" w:rsidRDefault="00DA76E3" w:rsidP="00DA76E3">
      <w:pPr>
        <w:widowControl w:val="0"/>
        <w:autoSpaceDE w:val="0"/>
        <w:autoSpaceDN w:val="0"/>
        <w:spacing w:after="0" w:line="276" w:lineRule="auto"/>
        <w:jc w:val="both"/>
        <w:rPr>
          <w:rFonts w:ascii="Verdana" w:hAnsi="Verdana" w:cs="Arial"/>
        </w:rPr>
      </w:pPr>
    </w:p>
    <w:p w14:paraId="780902C3" w14:textId="77777777" w:rsidR="00DA76E3" w:rsidRPr="00BD4AD7" w:rsidRDefault="00DA76E3" w:rsidP="00DA76E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D4AD7">
        <w:rPr>
          <w:rFonts w:ascii="Verdana" w:eastAsia="Century Gothic" w:hAnsi="Verdana" w:cs="Century Gothic"/>
          <w:b/>
          <w:bCs/>
        </w:rPr>
        <w:t>Doctrina de la Agencia Nacional de Contratación Pública:</w:t>
      </w:r>
    </w:p>
    <w:p w14:paraId="0CBBDF31" w14:textId="77777777" w:rsidR="00DA76E3" w:rsidRPr="00BD4AD7" w:rsidRDefault="00DA76E3" w:rsidP="00DA76E3">
      <w:pPr>
        <w:widowControl w:val="0"/>
        <w:autoSpaceDE w:val="0"/>
        <w:autoSpaceDN w:val="0"/>
        <w:spacing w:after="0" w:line="276" w:lineRule="auto"/>
        <w:jc w:val="both"/>
        <w:rPr>
          <w:rFonts w:ascii="Verdana" w:hAnsi="Verdana" w:cs="Arial"/>
        </w:rPr>
      </w:pPr>
    </w:p>
    <w:p w14:paraId="1E6E0117" w14:textId="77777777" w:rsidR="00DA76E3" w:rsidRPr="00BD4AD7" w:rsidRDefault="00DA76E3" w:rsidP="00DA76E3">
      <w:pPr>
        <w:widowControl w:val="0"/>
        <w:autoSpaceDE w:val="0"/>
        <w:autoSpaceDN w:val="0"/>
        <w:spacing w:after="0" w:line="276" w:lineRule="auto"/>
        <w:jc w:val="both"/>
        <w:rPr>
          <w:rFonts w:ascii="Verdana" w:hAnsi="Verdana"/>
          <w:color w:val="000000"/>
          <w:bdr w:val="none" w:sz="0" w:space="0" w:color="auto" w:frame="1"/>
        </w:rPr>
      </w:pPr>
      <w:r w:rsidRPr="00BD4AD7">
        <w:rPr>
          <w:rFonts w:ascii="Verdana" w:hAnsi="Verdana" w:cs="Arial"/>
          <w:lang w:val="es-ES"/>
        </w:rPr>
        <w:t xml:space="preserve">Sobre la estabilidad reforzada de mujeres en estado de gestión, esta Subdirección se ha pronunciado en los conceptos </w:t>
      </w:r>
      <w:r w:rsidRPr="00BD4AD7">
        <w:rPr>
          <w:rFonts w:ascii="Verdana" w:hAnsi="Verdana" w:cs="Arial"/>
        </w:rPr>
        <w:t xml:space="preserve">Nos. </w:t>
      </w:r>
      <w:r w:rsidRPr="00BD4AD7">
        <w:rPr>
          <w:rStyle w:val="normaltextrun"/>
          <w:rFonts w:ascii="Verdana" w:hAnsi="Verdana"/>
          <w:color w:val="000000"/>
          <w:bdr w:val="none" w:sz="0" w:space="0" w:color="auto" w:frame="1"/>
        </w:rPr>
        <w:t>C-770 del del 7 de diciembre de 2022, C-712 del 7 de diciembre de 2022, C-789 del 22 de noviembre de 2022, C-031 del 17 de marzo de 2023, C-213 de 26 de junio de 2023, C-439 del 20 de octubre de 2023 y C-463 del 22 de noviembre de 2023, C-076 del 08 de julio del 2024, C-015 del 02 de marzo del 2024, C-300 del 21 de agosto del 2024</w:t>
      </w:r>
      <w:r>
        <w:rPr>
          <w:rStyle w:val="normaltextrun"/>
          <w:rFonts w:ascii="Verdana" w:hAnsi="Verdana"/>
          <w:color w:val="000000"/>
          <w:bdr w:val="none" w:sz="0" w:space="0" w:color="auto" w:frame="1"/>
        </w:rPr>
        <w:t xml:space="preserve">, </w:t>
      </w:r>
      <w:r w:rsidRPr="00BD4AD7">
        <w:rPr>
          <w:rStyle w:val="normaltextrun"/>
          <w:rFonts w:ascii="Verdana" w:hAnsi="Verdana"/>
          <w:color w:val="000000"/>
          <w:bdr w:val="none" w:sz="0" w:space="0" w:color="auto" w:frame="1"/>
        </w:rPr>
        <w:t>C-556 del 17 de octubre del 2024</w:t>
      </w:r>
      <w:r>
        <w:rPr>
          <w:rStyle w:val="normaltextrun"/>
          <w:rFonts w:ascii="Verdana" w:hAnsi="Verdana"/>
          <w:color w:val="000000"/>
          <w:bdr w:val="none" w:sz="0" w:space="0" w:color="auto" w:frame="1"/>
        </w:rPr>
        <w:t>, C-922 del 08 de diciembre de 2024, entre otros</w:t>
      </w:r>
      <w:r w:rsidRPr="00BD4AD7">
        <w:rPr>
          <w:rStyle w:val="normaltextrun"/>
          <w:rFonts w:ascii="Verdana" w:hAnsi="Verdana"/>
          <w:color w:val="000000"/>
          <w:bdr w:val="none" w:sz="0" w:space="0" w:color="auto" w:frame="1"/>
        </w:rPr>
        <w:t xml:space="preserve">. </w:t>
      </w:r>
      <w:r w:rsidRPr="00BD4AD7">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BD4AD7">
          <w:rPr>
            <w:rStyle w:val="Hipervnculo"/>
            <w:rFonts w:ascii="Verdana" w:hAnsi="Verdana" w:cs="Arial"/>
            <w:shd w:val="clear" w:color="auto" w:fill="FFFFFF"/>
          </w:rPr>
          <w:t>https://relatoria.colombiacompra.gov.co/</w:t>
        </w:r>
      </w:hyperlink>
      <w:r w:rsidRPr="00BD4AD7">
        <w:rPr>
          <w:rFonts w:ascii="Verdana" w:hAnsi="Verdana" w:cs="Arial"/>
          <w:shd w:val="clear" w:color="auto" w:fill="FFFFFF"/>
        </w:rPr>
        <w:t>.</w:t>
      </w:r>
    </w:p>
    <w:p w14:paraId="7D2CA239" w14:textId="77777777" w:rsidR="00DA76E3" w:rsidRPr="00BD4AD7" w:rsidRDefault="00DA76E3" w:rsidP="00DA76E3">
      <w:pPr>
        <w:widowControl w:val="0"/>
        <w:autoSpaceDE w:val="0"/>
        <w:autoSpaceDN w:val="0"/>
        <w:spacing w:after="0" w:line="276" w:lineRule="auto"/>
        <w:jc w:val="both"/>
        <w:rPr>
          <w:rFonts w:ascii="Verdana" w:hAnsi="Verdana" w:cs="Arial"/>
          <w:shd w:val="clear" w:color="auto" w:fill="FFFFFF"/>
        </w:rPr>
      </w:pPr>
    </w:p>
    <w:p w14:paraId="345860DD" w14:textId="77777777" w:rsidR="00DA76E3" w:rsidRPr="007935A9" w:rsidRDefault="00DA76E3" w:rsidP="00DA76E3">
      <w:pPr>
        <w:spacing w:after="0" w:line="276" w:lineRule="auto"/>
        <w:jc w:val="both"/>
        <w:rPr>
          <w:rFonts w:ascii="Verdana" w:eastAsia="Times New Roman" w:hAnsi="Verdana" w:cs="Times New Roman"/>
          <w:color w:val="000000"/>
          <w:bdr w:val="none" w:sz="0" w:space="0" w:color="auto" w:frame="1"/>
          <w:lang w:eastAsia="es-CO"/>
        </w:rPr>
      </w:pPr>
      <w:r w:rsidRPr="007935A9">
        <w:rPr>
          <w:rFonts w:ascii="Verdana" w:eastAsia="Times New Roman" w:hAnsi="Verdana" w:cs="Times New Roman"/>
          <w:color w:val="000000"/>
          <w:bdr w:val="none" w:sz="0" w:space="0" w:color="auto" w:frame="1"/>
          <w:lang w:eastAsia="es-CO"/>
        </w:rPr>
        <w:t>Te informamos que ya se encuentra disponible la </w:t>
      </w:r>
      <w:r w:rsidRPr="007935A9">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7935A9">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7935A9">
          <w:rPr>
            <w:rFonts w:ascii="Verdana" w:eastAsia="Times New Roman" w:hAnsi="Verdana" w:cs="Times New Roman"/>
            <w:color w:val="0000FF"/>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3D88D760" w14:textId="77777777" w:rsidR="00DA76E3" w:rsidRPr="007935A9" w:rsidRDefault="00DA76E3" w:rsidP="00DA76E3">
      <w:pPr>
        <w:spacing w:after="0" w:line="276" w:lineRule="auto"/>
        <w:jc w:val="both"/>
        <w:rPr>
          <w:rFonts w:ascii="Verdana" w:eastAsia="Times New Roman" w:hAnsi="Verdana" w:cs="Times New Roman"/>
          <w:color w:val="000000"/>
          <w:bdr w:val="none" w:sz="0" w:space="0" w:color="auto" w:frame="1"/>
          <w:lang w:eastAsia="es-CO"/>
        </w:rPr>
      </w:pPr>
    </w:p>
    <w:p w14:paraId="45BB5697" w14:textId="77777777" w:rsidR="00DA76E3" w:rsidRPr="007935A9" w:rsidRDefault="00DA76E3" w:rsidP="00DA76E3">
      <w:pPr>
        <w:spacing w:after="0" w:line="276" w:lineRule="auto"/>
        <w:jc w:val="both"/>
        <w:rPr>
          <w:rFonts w:ascii="Verdana" w:eastAsia="Times New Roman" w:hAnsi="Verdana" w:cs="Times New Roman"/>
          <w:color w:val="000000"/>
          <w:bdr w:val="none" w:sz="0" w:space="0" w:color="auto" w:frame="1"/>
          <w:lang w:eastAsia="es-CO"/>
        </w:rPr>
      </w:pPr>
      <w:r w:rsidRPr="007935A9">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7935A9">
        <w:rPr>
          <w:rFonts w:ascii="Verdana" w:eastAsia="Times New Roman" w:hAnsi="Verdana" w:cs="Times New Roman"/>
          <w:b/>
          <w:bCs/>
          <w:color w:val="000000"/>
          <w:bdr w:val="none" w:sz="0" w:space="0" w:color="auto" w:frame="1"/>
          <w:lang w:eastAsia="es-CO"/>
        </w:rPr>
        <w:t>modificaciones y/o actualizaciones realizadas a los Documentos Tipo</w:t>
      </w:r>
      <w:r w:rsidRPr="007935A9">
        <w:rPr>
          <w:rFonts w:ascii="Verdana" w:eastAsia="Times New Roman" w:hAnsi="Verdana" w:cs="Times New Roman"/>
          <w:color w:val="000000"/>
          <w:bdr w:val="none" w:sz="0" w:space="0" w:color="auto" w:frame="1"/>
          <w:lang w:eastAsia="es-CO"/>
        </w:rPr>
        <w:t>, hemos programado una serie de </w:t>
      </w:r>
      <w:r w:rsidRPr="007935A9">
        <w:rPr>
          <w:rFonts w:ascii="Verdana" w:eastAsia="Times New Roman" w:hAnsi="Verdana" w:cs="Times New Roman"/>
          <w:b/>
          <w:bCs/>
          <w:color w:val="000000"/>
          <w:bdr w:val="none" w:sz="0" w:space="0" w:color="auto" w:frame="1"/>
          <w:lang w:eastAsia="es-CO"/>
        </w:rPr>
        <w:t>capacitaciones </w:t>
      </w:r>
      <w:r w:rsidRPr="007935A9">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7935A9">
          <w:rPr>
            <w:rFonts w:ascii="Verdana" w:eastAsia="Times New Roman" w:hAnsi="Verdana" w:cs="Times New Roman"/>
            <w:color w:val="0000FF"/>
            <w:u w:val="single"/>
            <w:bdr w:val="none" w:sz="0" w:space="0" w:color="auto" w:frame="1"/>
            <w:lang w:eastAsia="es-CO"/>
          </w:rPr>
          <w:t>Calendario | Colombia Compra Eficiente | Agencia Nacional de Contratación Pública</w:t>
        </w:r>
      </w:hyperlink>
    </w:p>
    <w:p w14:paraId="3EF5BB18" w14:textId="77777777" w:rsidR="00DA76E3" w:rsidRPr="007935A9" w:rsidRDefault="00DA76E3" w:rsidP="00DA76E3">
      <w:pPr>
        <w:spacing w:after="0" w:line="276" w:lineRule="auto"/>
        <w:jc w:val="both"/>
        <w:rPr>
          <w:rFonts w:ascii="Verdana" w:eastAsia="Times New Roman" w:hAnsi="Verdana" w:cs="Times New Roman"/>
          <w:color w:val="000000"/>
          <w:bdr w:val="none" w:sz="0" w:space="0" w:color="auto" w:frame="1"/>
          <w:lang w:eastAsia="es-CO"/>
        </w:rPr>
      </w:pPr>
    </w:p>
    <w:p w14:paraId="74175232" w14:textId="77777777" w:rsidR="00DA76E3" w:rsidRPr="007935A9" w:rsidRDefault="00DA76E3" w:rsidP="00DA76E3">
      <w:pPr>
        <w:spacing w:after="0" w:line="276" w:lineRule="auto"/>
        <w:jc w:val="both"/>
        <w:rPr>
          <w:rFonts w:ascii="Verdana" w:eastAsia="Times New Roman" w:hAnsi="Verdana" w:cs="Times New Roman"/>
          <w:color w:val="000000"/>
          <w:bdr w:val="none" w:sz="0" w:space="0" w:color="auto" w:frame="1"/>
          <w:lang w:eastAsia="es-CO"/>
        </w:rPr>
      </w:pPr>
      <w:r w:rsidRPr="007935A9">
        <w:rPr>
          <w:rFonts w:ascii="Verdana" w:eastAsia="Times New Roman" w:hAnsi="Verdana" w:cs="Times New Roman"/>
          <w:color w:val="000000"/>
          <w:bdr w:val="none" w:sz="0" w:space="0" w:color="auto" w:frame="1"/>
          <w:lang w:eastAsia="es-CO"/>
        </w:rPr>
        <w:t>También, te contamos que ya publicamos </w:t>
      </w:r>
      <w:r w:rsidRPr="007935A9">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7935A9">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7935A9">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p>
    <w:p w14:paraId="3DB93722" w14:textId="77777777" w:rsidR="00DA76E3" w:rsidRPr="007935A9" w:rsidRDefault="00DA76E3" w:rsidP="00DA76E3">
      <w:pPr>
        <w:spacing w:after="0" w:line="240" w:lineRule="auto"/>
        <w:jc w:val="both"/>
        <w:rPr>
          <w:rFonts w:ascii="Verdana" w:eastAsia="Times New Roman" w:hAnsi="Verdana" w:cs="Times New Roman"/>
          <w:color w:val="000000"/>
          <w:bdr w:val="none" w:sz="0" w:space="0" w:color="auto" w:frame="1"/>
          <w:lang w:eastAsia="es-CO"/>
        </w:rPr>
      </w:pPr>
    </w:p>
    <w:p w14:paraId="0584EDA5" w14:textId="77777777" w:rsidR="00DA76E3" w:rsidRPr="00BD4AD7" w:rsidRDefault="00DA76E3" w:rsidP="00DA76E3">
      <w:pPr>
        <w:widowControl w:val="0"/>
        <w:autoSpaceDE w:val="0"/>
        <w:autoSpaceDN w:val="0"/>
        <w:spacing w:after="0" w:line="276" w:lineRule="auto"/>
        <w:jc w:val="both"/>
        <w:rPr>
          <w:rFonts w:ascii="Verdana" w:hAnsi="Verdana" w:cs="Arial"/>
          <w:color w:val="000000" w:themeColor="text1"/>
          <w:shd w:val="clear" w:color="auto" w:fill="FFFFFF"/>
        </w:rPr>
      </w:pPr>
    </w:p>
    <w:p w14:paraId="579D81B2" w14:textId="77777777" w:rsidR="00DA76E3" w:rsidRPr="00BD4AD7" w:rsidRDefault="00DA76E3" w:rsidP="00DA76E3">
      <w:pPr>
        <w:widowControl w:val="0"/>
        <w:autoSpaceDE w:val="0"/>
        <w:autoSpaceDN w:val="0"/>
        <w:spacing w:after="0" w:line="276" w:lineRule="auto"/>
        <w:jc w:val="both"/>
        <w:rPr>
          <w:rFonts w:ascii="Verdana" w:hAnsi="Verdana"/>
        </w:rPr>
      </w:pPr>
      <w:r w:rsidRPr="00BD4AD7">
        <w:rPr>
          <w:rFonts w:ascii="Verdana" w:hAnsi="Verdana"/>
        </w:rPr>
        <w:t xml:space="preserve">Por último, lo invitamos a seguirnos en las redes sociales en las cuales se difunde información institucional: </w:t>
      </w:r>
    </w:p>
    <w:p w14:paraId="508570B1" w14:textId="77777777" w:rsidR="00DA76E3" w:rsidRPr="00BD4AD7" w:rsidRDefault="00DA76E3" w:rsidP="00DA76E3">
      <w:pPr>
        <w:widowControl w:val="0"/>
        <w:autoSpaceDE w:val="0"/>
        <w:autoSpaceDN w:val="0"/>
        <w:spacing w:after="0" w:line="276" w:lineRule="auto"/>
        <w:jc w:val="both"/>
        <w:rPr>
          <w:rFonts w:ascii="Verdana" w:hAnsi="Verdana" w:cs="Arial"/>
          <w:color w:val="000000" w:themeColor="text1"/>
          <w:shd w:val="clear" w:color="auto" w:fill="FFFFFF"/>
        </w:rPr>
      </w:pPr>
    </w:p>
    <w:p w14:paraId="2A4106C7" w14:textId="77777777" w:rsidR="00DA76E3" w:rsidRPr="00BD4AD7" w:rsidRDefault="00DA76E3" w:rsidP="00DA76E3">
      <w:pPr>
        <w:spacing w:after="0" w:line="240" w:lineRule="auto"/>
        <w:jc w:val="both"/>
        <w:rPr>
          <w:rFonts w:ascii="Verdana" w:hAnsi="Verdana"/>
        </w:rPr>
      </w:pPr>
      <w:r w:rsidRPr="00BD4AD7">
        <w:rPr>
          <w:rFonts w:ascii="Verdana" w:hAnsi="Verdana"/>
        </w:rPr>
        <w:t xml:space="preserve">Twitter: </w:t>
      </w:r>
      <w:r w:rsidRPr="00BD4AD7">
        <w:rPr>
          <w:rStyle w:val="Hipervnculo"/>
          <w:rFonts w:ascii="Verdana" w:hAnsi="Verdana"/>
          <w:color w:val="156082" w:themeColor="accent1"/>
        </w:rPr>
        <w:t>@colombiacompra</w:t>
      </w:r>
      <w:r w:rsidRPr="00BD4AD7">
        <w:rPr>
          <w:rFonts w:ascii="Verdana" w:hAnsi="Verdana"/>
          <w:color w:val="156082" w:themeColor="accent1"/>
        </w:rPr>
        <w:t xml:space="preserve"> </w:t>
      </w:r>
    </w:p>
    <w:p w14:paraId="1BADB6EB" w14:textId="77777777" w:rsidR="00DA76E3" w:rsidRPr="00BD4AD7" w:rsidRDefault="00DA76E3" w:rsidP="00DA76E3">
      <w:pPr>
        <w:spacing w:after="0" w:line="240" w:lineRule="auto"/>
        <w:jc w:val="both"/>
        <w:rPr>
          <w:rFonts w:ascii="Verdana" w:hAnsi="Verdana"/>
        </w:rPr>
      </w:pPr>
      <w:r w:rsidRPr="00BD4AD7">
        <w:rPr>
          <w:rFonts w:ascii="Verdana" w:hAnsi="Verdana"/>
        </w:rPr>
        <w:t xml:space="preserve">Facebook: </w:t>
      </w:r>
      <w:proofErr w:type="spellStart"/>
      <w:r w:rsidRPr="00BD4AD7">
        <w:rPr>
          <w:rStyle w:val="Hipervnculo"/>
          <w:rFonts w:ascii="Verdana" w:hAnsi="Verdana"/>
          <w:color w:val="156082" w:themeColor="accent1"/>
        </w:rPr>
        <w:t>ColombiaCompraEficiente</w:t>
      </w:r>
      <w:proofErr w:type="spellEnd"/>
    </w:p>
    <w:p w14:paraId="724F18CE" w14:textId="77777777" w:rsidR="00DA76E3" w:rsidRPr="00BD4AD7" w:rsidRDefault="00DA76E3" w:rsidP="00DA76E3">
      <w:pPr>
        <w:spacing w:after="0" w:line="240" w:lineRule="auto"/>
        <w:jc w:val="both"/>
        <w:rPr>
          <w:rFonts w:ascii="Verdana" w:hAnsi="Verdana"/>
        </w:rPr>
      </w:pPr>
      <w:r w:rsidRPr="00BD4AD7">
        <w:rPr>
          <w:rFonts w:ascii="Verdana" w:hAnsi="Verdana"/>
        </w:rPr>
        <w:t xml:space="preserve">LinkedIn: </w:t>
      </w:r>
      <w:r w:rsidRPr="00BD4AD7">
        <w:rPr>
          <w:rStyle w:val="Hipervnculo"/>
          <w:rFonts w:ascii="Verdana" w:hAnsi="Verdana"/>
          <w:color w:val="156082" w:themeColor="accent1"/>
        </w:rPr>
        <w:t>Agencia Nacional de Contratación Pública - Colombia Compra Eficiente</w:t>
      </w:r>
      <w:r w:rsidRPr="00BD4AD7">
        <w:rPr>
          <w:rFonts w:ascii="Verdana" w:hAnsi="Verdana"/>
          <w:color w:val="156082" w:themeColor="accent1"/>
        </w:rPr>
        <w:t xml:space="preserve"> </w:t>
      </w:r>
      <w:r w:rsidRPr="00BD4AD7">
        <w:rPr>
          <w:rFonts w:ascii="Verdana" w:hAnsi="Verdana"/>
        </w:rPr>
        <w:t xml:space="preserve">Instagram: </w:t>
      </w:r>
      <w:r w:rsidRPr="00BD4AD7">
        <w:rPr>
          <w:rStyle w:val="Hipervnculo"/>
          <w:rFonts w:ascii="Verdana" w:hAnsi="Verdana"/>
          <w:color w:val="156082" w:themeColor="accent1"/>
        </w:rPr>
        <w:t>@colombiacompraeficiente_cce</w:t>
      </w:r>
    </w:p>
    <w:p w14:paraId="5F7782F5" w14:textId="77777777" w:rsidR="00DA76E3" w:rsidRPr="00BD4AD7" w:rsidRDefault="00DA76E3" w:rsidP="00DA76E3">
      <w:pPr>
        <w:widowControl w:val="0"/>
        <w:autoSpaceDE w:val="0"/>
        <w:autoSpaceDN w:val="0"/>
        <w:spacing w:after="0" w:line="276" w:lineRule="auto"/>
        <w:jc w:val="both"/>
        <w:rPr>
          <w:rFonts w:ascii="Verdana" w:hAnsi="Verdana" w:cs="Arial"/>
        </w:rPr>
      </w:pPr>
    </w:p>
    <w:p w14:paraId="5A58F8BD" w14:textId="77777777" w:rsidR="007F4015" w:rsidRDefault="007F4015" w:rsidP="00DA76E3">
      <w:pPr>
        <w:widowControl w:val="0"/>
        <w:autoSpaceDE w:val="0"/>
        <w:autoSpaceDN w:val="0"/>
        <w:spacing w:after="0" w:line="276" w:lineRule="auto"/>
        <w:jc w:val="both"/>
        <w:rPr>
          <w:rFonts w:ascii="Verdana" w:hAnsi="Verdana" w:cs="Arial"/>
        </w:rPr>
      </w:pPr>
    </w:p>
    <w:p w14:paraId="3C2558F5" w14:textId="77777777" w:rsidR="007F4015" w:rsidRDefault="007F4015" w:rsidP="00DA76E3">
      <w:pPr>
        <w:widowControl w:val="0"/>
        <w:autoSpaceDE w:val="0"/>
        <w:autoSpaceDN w:val="0"/>
        <w:spacing w:after="0" w:line="276" w:lineRule="auto"/>
        <w:jc w:val="both"/>
        <w:rPr>
          <w:rFonts w:ascii="Verdana" w:hAnsi="Verdana" w:cs="Arial"/>
        </w:rPr>
      </w:pPr>
    </w:p>
    <w:p w14:paraId="4AA1FA99" w14:textId="77777777" w:rsidR="007F4015" w:rsidRDefault="007F4015" w:rsidP="00DA76E3">
      <w:pPr>
        <w:widowControl w:val="0"/>
        <w:autoSpaceDE w:val="0"/>
        <w:autoSpaceDN w:val="0"/>
        <w:spacing w:after="0" w:line="276" w:lineRule="auto"/>
        <w:jc w:val="both"/>
        <w:rPr>
          <w:rFonts w:ascii="Verdana" w:hAnsi="Verdana" w:cs="Arial"/>
        </w:rPr>
      </w:pPr>
    </w:p>
    <w:p w14:paraId="7B9393D5" w14:textId="77777777" w:rsidR="007F4015" w:rsidRDefault="007F4015" w:rsidP="00DA76E3">
      <w:pPr>
        <w:widowControl w:val="0"/>
        <w:autoSpaceDE w:val="0"/>
        <w:autoSpaceDN w:val="0"/>
        <w:spacing w:after="0" w:line="276" w:lineRule="auto"/>
        <w:jc w:val="both"/>
        <w:rPr>
          <w:rFonts w:ascii="Verdana" w:hAnsi="Verdana" w:cs="Arial"/>
        </w:rPr>
      </w:pPr>
    </w:p>
    <w:p w14:paraId="4E489E07" w14:textId="77777777" w:rsidR="007F4015" w:rsidRDefault="007F4015" w:rsidP="00DA76E3">
      <w:pPr>
        <w:widowControl w:val="0"/>
        <w:autoSpaceDE w:val="0"/>
        <w:autoSpaceDN w:val="0"/>
        <w:spacing w:after="0" w:line="276" w:lineRule="auto"/>
        <w:jc w:val="both"/>
        <w:rPr>
          <w:rFonts w:ascii="Verdana" w:hAnsi="Verdana" w:cs="Arial"/>
        </w:rPr>
      </w:pPr>
    </w:p>
    <w:p w14:paraId="76F2E661" w14:textId="77777777" w:rsidR="007F4015" w:rsidRDefault="007F4015" w:rsidP="00DA76E3">
      <w:pPr>
        <w:widowControl w:val="0"/>
        <w:autoSpaceDE w:val="0"/>
        <w:autoSpaceDN w:val="0"/>
        <w:spacing w:after="0" w:line="276" w:lineRule="auto"/>
        <w:jc w:val="both"/>
        <w:rPr>
          <w:rFonts w:ascii="Verdana" w:hAnsi="Verdana" w:cs="Arial"/>
        </w:rPr>
      </w:pPr>
    </w:p>
    <w:p w14:paraId="5CD3BD8D" w14:textId="77777777" w:rsidR="007F4015" w:rsidRDefault="007F4015" w:rsidP="00DA76E3">
      <w:pPr>
        <w:widowControl w:val="0"/>
        <w:autoSpaceDE w:val="0"/>
        <w:autoSpaceDN w:val="0"/>
        <w:spacing w:after="0" w:line="276" w:lineRule="auto"/>
        <w:jc w:val="both"/>
        <w:rPr>
          <w:rFonts w:ascii="Verdana" w:hAnsi="Verdana" w:cs="Arial"/>
        </w:rPr>
      </w:pPr>
    </w:p>
    <w:p w14:paraId="3DBEB9F4" w14:textId="77777777" w:rsidR="007F4015" w:rsidRDefault="007F4015" w:rsidP="00DA76E3">
      <w:pPr>
        <w:widowControl w:val="0"/>
        <w:autoSpaceDE w:val="0"/>
        <w:autoSpaceDN w:val="0"/>
        <w:spacing w:after="0" w:line="276" w:lineRule="auto"/>
        <w:jc w:val="both"/>
        <w:rPr>
          <w:rFonts w:ascii="Verdana" w:hAnsi="Verdana" w:cs="Arial"/>
        </w:rPr>
      </w:pPr>
    </w:p>
    <w:p w14:paraId="213FED93" w14:textId="77777777" w:rsidR="007F4015" w:rsidRDefault="007F4015" w:rsidP="00DA76E3">
      <w:pPr>
        <w:widowControl w:val="0"/>
        <w:autoSpaceDE w:val="0"/>
        <w:autoSpaceDN w:val="0"/>
        <w:spacing w:after="0" w:line="276" w:lineRule="auto"/>
        <w:jc w:val="both"/>
        <w:rPr>
          <w:rFonts w:ascii="Verdana" w:hAnsi="Verdana" w:cs="Arial"/>
        </w:rPr>
      </w:pPr>
    </w:p>
    <w:p w14:paraId="414CB0FC" w14:textId="77777777" w:rsidR="007F4015" w:rsidRDefault="007F4015" w:rsidP="00DA76E3">
      <w:pPr>
        <w:widowControl w:val="0"/>
        <w:autoSpaceDE w:val="0"/>
        <w:autoSpaceDN w:val="0"/>
        <w:spacing w:after="0" w:line="276" w:lineRule="auto"/>
        <w:jc w:val="both"/>
        <w:rPr>
          <w:rFonts w:ascii="Verdana" w:hAnsi="Verdana" w:cs="Arial"/>
        </w:rPr>
      </w:pPr>
    </w:p>
    <w:p w14:paraId="32494845" w14:textId="77777777" w:rsidR="007F4015" w:rsidRDefault="007F4015" w:rsidP="00DA76E3">
      <w:pPr>
        <w:widowControl w:val="0"/>
        <w:autoSpaceDE w:val="0"/>
        <w:autoSpaceDN w:val="0"/>
        <w:spacing w:after="0" w:line="276" w:lineRule="auto"/>
        <w:jc w:val="both"/>
        <w:rPr>
          <w:rFonts w:ascii="Verdana" w:hAnsi="Verdana" w:cs="Arial"/>
        </w:rPr>
      </w:pPr>
    </w:p>
    <w:p w14:paraId="06E7CF0B" w14:textId="362E88F7" w:rsidR="00DA76E3" w:rsidRPr="00BD4AD7" w:rsidRDefault="00DA76E3" w:rsidP="00DA76E3">
      <w:pPr>
        <w:widowControl w:val="0"/>
        <w:autoSpaceDE w:val="0"/>
        <w:autoSpaceDN w:val="0"/>
        <w:spacing w:after="0" w:line="276" w:lineRule="auto"/>
        <w:jc w:val="both"/>
        <w:rPr>
          <w:rFonts w:ascii="Verdana" w:hAnsi="Verdana" w:cs="Arial"/>
          <w:lang w:val="es-ES_tradnl"/>
        </w:rPr>
      </w:pPr>
      <w:r w:rsidRPr="00BD4AD7">
        <w:rPr>
          <w:rFonts w:ascii="Verdana" w:hAnsi="Verdana" w:cs="Arial"/>
        </w:rPr>
        <w:lastRenderedPageBreak/>
        <w:t xml:space="preserve">Este concepto tiene el alcance previsto en el artículo 28 del Código de Procedimiento Administrativo y de lo Contencioso Administrativo </w:t>
      </w:r>
      <w:r w:rsidRPr="00BD4AD7">
        <w:rPr>
          <w:rFonts w:ascii="Verdana" w:hAnsi="Verdana" w:cs="Arial"/>
          <w:lang w:val="es-ES_tradnl"/>
        </w:rPr>
        <w:t>y las expresiones aquí utilizadas con mayúscula inicial deben ser entendidas con el significado que les otorga el artículo 2.2.1.1.1.3.1. del Decreto 1082 de 2015.</w:t>
      </w:r>
    </w:p>
    <w:p w14:paraId="05FE8AE7" w14:textId="77777777" w:rsidR="00DA76E3" w:rsidRPr="00BD4AD7" w:rsidRDefault="00DA76E3" w:rsidP="00DA76E3">
      <w:pPr>
        <w:widowControl w:val="0"/>
        <w:autoSpaceDE w:val="0"/>
        <w:autoSpaceDN w:val="0"/>
        <w:spacing w:after="0" w:line="276" w:lineRule="auto"/>
        <w:jc w:val="both"/>
        <w:rPr>
          <w:rFonts w:ascii="Verdana" w:hAnsi="Verdana" w:cs="Arial"/>
        </w:rPr>
      </w:pPr>
    </w:p>
    <w:p w14:paraId="11237259" w14:textId="77777777" w:rsidR="00DA76E3" w:rsidRPr="00BD4AD7" w:rsidRDefault="00DA76E3" w:rsidP="00DA76E3">
      <w:pPr>
        <w:spacing w:after="0" w:line="240" w:lineRule="auto"/>
        <w:rPr>
          <w:rFonts w:ascii="Verdana" w:hAnsi="Verdana" w:cs="Arial"/>
          <w:lang w:eastAsia="es-CO"/>
        </w:rPr>
      </w:pPr>
      <w:r w:rsidRPr="00BD4AD7">
        <w:rPr>
          <w:rFonts w:ascii="Verdana" w:eastAsia="Times New Roman" w:hAnsi="Verdana" w:cs="Arial"/>
          <w:lang w:eastAsia="es-CO"/>
        </w:rPr>
        <w:t>Atentamente,</w:t>
      </w:r>
      <w:r w:rsidRPr="00BD4AD7">
        <w:rPr>
          <w:rFonts w:ascii="Verdana" w:hAnsi="Verdana" w:cs="Arial"/>
          <w:lang w:eastAsia="es-CO"/>
        </w:rPr>
        <w:t xml:space="preserve"> </w:t>
      </w:r>
    </w:p>
    <w:p w14:paraId="17E67D2D" w14:textId="630E4825" w:rsidR="00DA76E3" w:rsidRPr="00BD4AD7" w:rsidRDefault="00083C07" w:rsidP="00DA76E3">
      <w:pPr>
        <w:spacing w:line="276" w:lineRule="auto"/>
        <w:jc w:val="center"/>
        <w:rPr>
          <w:rFonts w:ascii="Verdana" w:hAnsi="Verdana" w:cs="Arial"/>
          <w:color w:val="000000"/>
          <w:lang w:val="es-ES_tradnl" w:eastAsia="es-CO"/>
        </w:rPr>
      </w:pPr>
      <w:r w:rsidRPr="00083C07">
        <w:rPr>
          <w:rFonts w:ascii="Verdana" w:hAnsi="Verdana" w:cs="Arial"/>
          <w:noProof/>
          <w:color w:val="000000"/>
          <w:lang w:eastAsia="es-CO"/>
        </w:rPr>
        <w:drawing>
          <wp:inline distT="0" distB="0" distL="0" distR="0" wp14:anchorId="2526AE48" wp14:editId="7183A999">
            <wp:extent cx="3771900" cy="1400175"/>
            <wp:effectExtent l="0" t="0" r="0" b="9525"/>
            <wp:docPr id="206969429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083C07">
        <w:rPr>
          <w:rFonts w:ascii="Verdana" w:hAnsi="Verdana" w:cs="Arial"/>
          <w:color w:val="000000"/>
          <w:lang w:eastAsia="es-CO"/>
        </w:rPr>
        <w:br/>
      </w:r>
    </w:p>
    <w:tbl>
      <w:tblPr>
        <w:tblStyle w:val="Tablaconcuadrcula11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A76E3" w:rsidRPr="00331DEB" w14:paraId="61FA5B32" w14:textId="77777777" w:rsidTr="00A92B53">
        <w:trPr>
          <w:trHeight w:val="286"/>
        </w:trPr>
        <w:tc>
          <w:tcPr>
            <w:tcW w:w="901" w:type="dxa"/>
            <w:vAlign w:val="center"/>
            <w:hideMark/>
          </w:tcPr>
          <w:bookmarkEnd w:id="0"/>
          <w:p w14:paraId="005CEDB6"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81801BD"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Nasly Yeana Mosquera Rivas</w:t>
            </w:r>
          </w:p>
          <w:p w14:paraId="1C075FFE"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Analista T2–06 de la Subdirección de Gestión Contractual</w:t>
            </w:r>
          </w:p>
        </w:tc>
      </w:tr>
      <w:tr w:rsidR="00DA76E3" w:rsidRPr="00331DEB" w14:paraId="52173757" w14:textId="77777777" w:rsidTr="00A92B53">
        <w:trPr>
          <w:trHeight w:val="299"/>
        </w:trPr>
        <w:tc>
          <w:tcPr>
            <w:tcW w:w="901" w:type="dxa"/>
            <w:vAlign w:val="center"/>
            <w:hideMark/>
          </w:tcPr>
          <w:p w14:paraId="5C896624"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hideMark/>
          </w:tcPr>
          <w:p w14:paraId="1E20547D" w14:textId="77777777" w:rsidR="00DA76E3" w:rsidRPr="00522680" w:rsidRDefault="00DA76E3" w:rsidP="00A92B53">
            <w:pPr>
              <w:rPr>
                <w:rFonts w:ascii="Verdana" w:eastAsia="Aptos" w:hAnsi="Verdana" w:cs="Arial"/>
                <w:sz w:val="14"/>
                <w:szCs w:val="14"/>
                <w:lang w:eastAsia="es-ES"/>
              </w:rPr>
            </w:pPr>
            <w:r w:rsidRPr="00522680">
              <w:rPr>
                <w:rFonts w:ascii="Verdana" w:eastAsia="Aptos" w:hAnsi="Verdana" w:cs="Arial"/>
                <w:sz w:val="14"/>
                <w:szCs w:val="14"/>
                <w:lang w:eastAsia="es-ES"/>
              </w:rPr>
              <w:t>Adriana Katherine Rodríguez López</w:t>
            </w:r>
          </w:p>
          <w:p w14:paraId="5955F7FB" w14:textId="77777777" w:rsidR="00DA76E3" w:rsidRPr="00331DEB" w:rsidRDefault="00DA76E3" w:rsidP="00A92B53">
            <w:pPr>
              <w:rPr>
                <w:rFonts w:ascii="Verdana" w:eastAsia="Aptos" w:hAnsi="Verdana" w:cs="Arial"/>
                <w:sz w:val="14"/>
                <w:szCs w:val="14"/>
                <w:lang w:eastAsia="es-ES"/>
              </w:rPr>
            </w:pPr>
            <w:r>
              <w:rPr>
                <w:rFonts w:ascii="Verdana" w:eastAsia="Aptos" w:hAnsi="Verdana" w:cs="Arial"/>
                <w:sz w:val="14"/>
                <w:szCs w:val="14"/>
                <w:lang w:eastAsia="es-ES"/>
              </w:rPr>
              <w:t>Contratista</w:t>
            </w:r>
            <w:r w:rsidRPr="00331DEB">
              <w:rPr>
                <w:rFonts w:ascii="Verdana" w:eastAsia="Aptos" w:hAnsi="Verdana" w:cs="Arial"/>
                <w:sz w:val="14"/>
                <w:szCs w:val="14"/>
                <w:lang w:eastAsia="es-ES"/>
              </w:rPr>
              <w:t xml:space="preserve"> de la Subdirección de Gestión Contractual</w:t>
            </w:r>
          </w:p>
        </w:tc>
      </w:tr>
      <w:tr w:rsidR="00DA76E3" w:rsidRPr="00331DEB" w14:paraId="24C04ADF" w14:textId="77777777" w:rsidTr="00A92B53">
        <w:trPr>
          <w:trHeight w:val="272"/>
        </w:trPr>
        <w:tc>
          <w:tcPr>
            <w:tcW w:w="901" w:type="dxa"/>
            <w:vAlign w:val="center"/>
            <w:hideMark/>
          </w:tcPr>
          <w:p w14:paraId="5FB2F8AB"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FFA9FD2"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Carolina Quintero Gacharná</w:t>
            </w:r>
          </w:p>
          <w:p w14:paraId="7CD2241C" w14:textId="77777777" w:rsidR="00DA76E3" w:rsidRPr="00331DEB" w:rsidRDefault="00DA76E3" w:rsidP="00A92B53">
            <w:pPr>
              <w:rPr>
                <w:rFonts w:ascii="Verdana" w:eastAsia="Aptos" w:hAnsi="Verdana" w:cs="Arial"/>
                <w:sz w:val="14"/>
                <w:szCs w:val="14"/>
                <w:lang w:eastAsia="es-ES"/>
              </w:rPr>
            </w:pPr>
            <w:r w:rsidRPr="00331DEB">
              <w:rPr>
                <w:rFonts w:ascii="Verdana" w:eastAsia="Aptos" w:hAnsi="Verdana" w:cs="Arial"/>
                <w:sz w:val="14"/>
                <w:szCs w:val="14"/>
                <w:lang w:eastAsia="es-ES"/>
              </w:rPr>
              <w:t>Subdirectora de Gestión Contractual ANCP – CCE</w:t>
            </w:r>
          </w:p>
        </w:tc>
      </w:tr>
    </w:tbl>
    <w:p w14:paraId="00051ADE" w14:textId="77777777" w:rsidR="00DA76E3" w:rsidRPr="0044528D" w:rsidRDefault="00DA76E3" w:rsidP="00DA76E3">
      <w:pPr>
        <w:spacing w:after="0" w:line="240" w:lineRule="auto"/>
        <w:textAlignment w:val="baseline"/>
        <w:rPr>
          <w:rFonts w:ascii="Verdana" w:eastAsia="Times New Roman" w:hAnsi="Verdana" w:cs="Segoe UI"/>
          <w:b/>
          <w:bCs/>
          <w:color w:val="46589C"/>
          <w:lang w:val="es-ES" w:eastAsia="es-CO"/>
        </w:rPr>
      </w:pPr>
    </w:p>
    <w:p w14:paraId="2309EC5B" w14:textId="77777777" w:rsidR="008E5C2E" w:rsidRDefault="008E5C2E"/>
    <w:sectPr w:rsidR="008E5C2E" w:rsidSect="00DA76E3">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04586" w14:textId="77777777" w:rsidR="00DA76E3" w:rsidRDefault="00DA76E3" w:rsidP="00DA76E3">
      <w:pPr>
        <w:spacing w:after="0" w:line="240" w:lineRule="auto"/>
      </w:pPr>
      <w:r>
        <w:separator/>
      </w:r>
    </w:p>
  </w:endnote>
  <w:endnote w:type="continuationSeparator" w:id="0">
    <w:p w14:paraId="6BCB8B6E" w14:textId="77777777" w:rsidR="00DA76E3" w:rsidRDefault="00DA76E3" w:rsidP="00DA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E7DB" w14:textId="77777777" w:rsidR="003C6C2C" w:rsidRDefault="003C6C2C">
    <w:pPr>
      <w:pStyle w:val="Piedepgina"/>
    </w:pPr>
  </w:p>
  <w:p w14:paraId="6D5EB80A" w14:textId="77777777" w:rsidR="003C6C2C" w:rsidRPr="00174B77" w:rsidRDefault="003C6C2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03DF7">
      <w:rPr>
        <w:rFonts w:ascii="Verdana" w:eastAsia="Times New Roman" w:hAnsi="Verdana" w:cs="Times New Roman"/>
        <w:b/>
        <w:bCs/>
        <w:sz w:val="16"/>
        <w:szCs w:val="16"/>
        <w:lang w:val="es-ES"/>
      </w:rPr>
      <w:t xml:space="preserve">pág. </w:t>
    </w:r>
    <w:r w:rsidRPr="00303DF7">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03DF7">
      <w:rPr>
        <w:rFonts w:ascii="Verdana" w:eastAsia="Times New Roman" w:hAnsi="Verdana"/>
        <w:b/>
        <w:bCs/>
        <w:sz w:val="16"/>
        <w:szCs w:val="16"/>
      </w:rPr>
      <w:fldChar w:fldCharType="separate"/>
    </w:r>
    <w:r w:rsidRPr="00303DF7">
      <w:rPr>
        <w:rFonts w:ascii="Verdana" w:eastAsia="Times New Roman" w:hAnsi="Verdana"/>
        <w:b/>
        <w:bCs/>
        <w:sz w:val="16"/>
        <w:szCs w:val="16"/>
      </w:rPr>
      <w:t>1</w:t>
    </w:r>
    <w:r w:rsidRPr="00303DF7">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5C73EA8" w14:textId="77777777" w:rsidR="003C6C2C" w:rsidRDefault="003C6C2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7BBA9F2" w14:textId="77777777" w:rsidR="003C6C2C" w:rsidRPr="00E41027" w:rsidRDefault="003C6C2C" w:rsidP="00D520D8">
    <w:pPr>
      <w:spacing w:after="0"/>
      <w:jc w:val="both"/>
      <w:rPr>
        <w:rFonts w:ascii="Verdana" w:hAnsi="Verdana"/>
        <w:sz w:val="18"/>
        <w:szCs w:val="18"/>
      </w:rPr>
    </w:pPr>
    <w:r w:rsidRPr="00E41027">
      <w:rPr>
        <w:rFonts w:ascii="Verdana" w:hAnsi="Verdana"/>
        <w:sz w:val="18"/>
        <w:szCs w:val="18"/>
      </w:rPr>
      <w:t>Mesa de servicio: (+57) 601 7456788</w:t>
    </w:r>
  </w:p>
  <w:p w14:paraId="65736681" w14:textId="77777777" w:rsidR="003C6C2C" w:rsidRDefault="003C6C2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9DAF8" w14:textId="77777777" w:rsidR="00DA76E3" w:rsidRDefault="00DA76E3" w:rsidP="00DA76E3">
      <w:pPr>
        <w:spacing w:after="0" w:line="240" w:lineRule="auto"/>
      </w:pPr>
      <w:r>
        <w:separator/>
      </w:r>
    </w:p>
  </w:footnote>
  <w:footnote w:type="continuationSeparator" w:id="0">
    <w:p w14:paraId="7AC7346B" w14:textId="77777777" w:rsidR="00DA76E3" w:rsidRDefault="00DA76E3" w:rsidP="00DA76E3">
      <w:pPr>
        <w:spacing w:after="0" w:line="240" w:lineRule="auto"/>
      </w:pPr>
      <w:r>
        <w:continuationSeparator/>
      </w:r>
    </w:p>
  </w:footnote>
  <w:footnote w:id="1">
    <w:p w14:paraId="0A9D3B48" w14:textId="77777777" w:rsidR="00DA76E3" w:rsidRPr="00CB4B92" w:rsidRDefault="00DA76E3" w:rsidP="00DA76E3">
      <w:pPr>
        <w:pStyle w:val="Textonotapie"/>
        <w:ind w:firstLine="709"/>
        <w:contextualSpacing/>
        <w:jc w:val="both"/>
        <w:rPr>
          <w:rFonts w:ascii="Verdana" w:hAnsi="Verdana" w:cs="Arial"/>
          <w:sz w:val="18"/>
          <w:szCs w:val="18"/>
          <w:lang w:val="it-IT"/>
        </w:rPr>
      </w:pPr>
      <w:r w:rsidRPr="00CB4B92">
        <w:rPr>
          <w:rStyle w:val="Refdenotaalpie"/>
          <w:rFonts w:ascii="Verdana" w:hAnsi="Verdana" w:cs="Arial"/>
          <w:sz w:val="18"/>
          <w:szCs w:val="18"/>
        </w:rPr>
        <w:footnoteRef/>
      </w:r>
      <w:r w:rsidRPr="00CB4B92">
        <w:rPr>
          <w:rFonts w:ascii="Verdana" w:hAnsi="Verdana" w:cs="Arial"/>
          <w:sz w:val="18"/>
          <w:szCs w:val="18"/>
        </w:rPr>
        <w:t xml:space="preserve"> Corte Constitucional, sentencia T-743 de 2017, Exp. </w:t>
      </w:r>
      <w:r w:rsidRPr="00CB4B92">
        <w:rPr>
          <w:rFonts w:ascii="Verdana" w:hAnsi="Verdana" w:cs="Arial"/>
          <w:sz w:val="18"/>
          <w:szCs w:val="18"/>
          <w:lang w:val="it-IT"/>
        </w:rPr>
        <w:t>T-6.366.648 Magistrada Ponente Cristina Pardo Schlesinger.</w:t>
      </w:r>
    </w:p>
    <w:p w14:paraId="4CF7E9C9" w14:textId="77777777" w:rsidR="00DA76E3" w:rsidRPr="00CB4B92" w:rsidRDefault="00DA76E3" w:rsidP="00DA76E3">
      <w:pPr>
        <w:pStyle w:val="Textonotapie"/>
        <w:ind w:firstLine="709"/>
        <w:contextualSpacing/>
        <w:jc w:val="both"/>
        <w:rPr>
          <w:rFonts w:ascii="Verdana" w:hAnsi="Verdana" w:cs="Arial"/>
          <w:sz w:val="18"/>
          <w:szCs w:val="18"/>
          <w:lang w:val="it-IT"/>
        </w:rPr>
      </w:pPr>
    </w:p>
  </w:footnote>
  <w:footnote w:id="2">
    <w:p w14:paraId="5DD09970" w14:textId="77777777" w:rsidR="00DA76E3" w:rsidRPr="00CB4B92" w:rsidRDefault="00DA76E3" w:rsidP="00DA76E3">
      <w:pPr>
        <w:spacing w:after="0" w:line="240" w:lineRule="auto"/>
        <w:ind w:firstLine="709"/>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269B3A3A" w14:textId="77777777" w:rsidR="00DA76E3" w:rsidRPr="00CB4B92" w:rsidRDefault="00DA76E3" w:rsidP="00DA76E3">
      <w:pPr>
        <w:spacing w:after="0" w:line="240" w:lineRule="auto"/>
        <w:ind w:firstLine="709"/>
        <w:contextualSpacing/>
        <w:jc w:val="both"/>
        <w:rPr>
          <w:rFonts w:ascii="Verdana" w:hAnsi="Verdana" w:cs="Arial"/>
          <w:sz w:val="18"/>
          <w:szCs w:val="18"/>
        </w:rPr>
      </w:pPr>
      <w:r w:rsidRPr="00CB4B92">
        <w:rPr>
          <w:rFonts w:ascii="Verdana" w:hAnsi="Verdana" w:cs="Arial"/>
          <w:sz w:val="18"/>
          <w:szCs w:val="18"/>
        </w:rPr>
        <w:t>[…]</w:t>
      </w:r>
    </w:p>
    <w:p w14:paraId="2C158310" w14:textId="77777777" w:rsidR="00DA76E3" w:rsidRPr="00CB4B92" w:rsidRDefault="00DA76E3" w:rsidP="00DA76E3">
      <w:pPr>
        <w:spacing w:after="0" w:line="240" w:lineRule="auto"/>
        <w:ind w:firstLine="709"/>
        <w:contextualSpacing/>
        <w:jc w:val="both"/>
        <w:rPr>
          <w:rFonts w:ascii="Verdana" w:hAnsi="Verdana" w:cs="Arial"/>
          <w:sz w:val="18"/>
          <w:szCs w:val="18"/>
        </w:rPr>
      </w:pPr>
      <w:r w:rsidRPr="00CB4B92">
        <w:rPr>
          <w:rFonts w:ascii="Verdana" w:hAnsi="Verdana" w:cs="Arial"/>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CB4B92">
        <w:rPr>
          <w:rFonts w:ascii="Verdana" w:hAnsi="Verdana" w:cs="Arial"/>
          <w:spacing w:val="-17"/>
          <w:sz w:val="18"/>
          <w:szCs w:val="18"/>
        </w:rPr>
        <w:t xml:space="preserve"> </w:t>
      </w:r>
      <w:r w:rsidRPr="00CB4B92">
        <w:rPr>
          <w:rFonts w:ascii="Verdana" w:hAnsi="Verdana" w:cs="Arial"/>
          <w:sz w:val="18"/>
          <w:szCs w:val="18"/>
        </w:rPr>
        <w:t>trabajo”.</w:t>
      </w:r>
    </w:p>
    <w:p w14:paraId="5051B4EF" w14:textId="77777777" w:rsidR="00DA76E3" w:rsidRPr="00CB4B92" w:rsidRDefault="00DA76E3" w:rsidP="00DA76E3">
      <w:pPr>
        <w:pStyle w:val="Textonotapie"/>
        <w:contextualSpacing/>
        <w:jc w:val="both"/>
        <w:rPr>
          <w:rFonts w:ascii="Verdana" w:hAnsi="Verdana" w:cs="Arial"/>
          <w:sz w:val="18"/>
          <w:szCs w:val="18"/>
        </w:rPr>
      </w:pPr>
    </w:p>
  </w:footnote>
  <w:footnote w:id="3">
    <w:p w14:paraId="69971089" w14:textId="77777777" w:rsidR="00DA76E3" w:rsidRPr="00CB4B92" w:rsidRDefault="00DA76E3" w:rsidP="00DA76E3">
      <w:pPr>
        <w:spacing w:after="0" w:line="240" w:lineRule="auto"/>
        <w:ind w:firstLine="709"/>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63623E32" w14:textId="77777777" w:rsidR="00DA76E3" w:rsidRPr="00CB4B92" w:rsidRDefault="00DA76E3" w:rsidP="00DA76E3">
      <w:pPr>
        <w:pStyle w:val="Textonotapie"/>
        <w:contextualSpacing/>
        <w:jc w:val="both"/>
        <w:rPr>
          <w:rFonts w:ascii="Verdana" w:hAnsi="Verdana" w:cs="Arial"/>
          <w:sz w:val="18"/>
          <w:szCs w:val="18"/>
        </w:rPr>
      </w:pPr>
    </w:p>
  </w:footnote>
  <w:footnote w:id="4">
    <w:p w14:paraId="4AF8E99E" w14:textId="77777777" w:rsidR="00DA76E3" w:rsidRPr="00CB4B92" w:rsidRDefault="00DA76E3" w:rsidP="00DA76E3">
      <w:pPr>
        <w:spacing w:after="0" w:line="240" w:lineRule="auto"/>
        <w:ind w:firstLine="562"/>
        <w:contextualSpacing/>
        <w:jc w:val="both"/>
        <w:rPr>
          <w:rFonts w:ascii="Verdana" w:hAnsi="Verdana" w:cs="Arial"/>
          <w:sz w:val="18"/>
          <w:szCs w:val="18"/>
        </w:rPr>
      </w:pPr>
      <w:r w:rsidRPr="00CB4B92">
        <w:rPr>
          <w:rFonts w:ascii="Verdana" w:hAnsi="Verdana" w:cs="Arial"/>
          <w:sz w:val="18"/>
          <w:szCs w:val="18"/>
        </w:rPr>
        <w:t xml:space="preserve">  </w:t>
      </w:r>
      <w:r w:rsidRPr="00CB4B92">
        <w:rPr>
          <w:rStyle w:val="Refdenotaalpie"/>
          <w:rFonts w:ascii="Verdana" w:hAnsi="Verdana" w:cs="Arial"/>
          <w:sz w:val="18"/>
          <w:szCs w:val="18"/>
        </w:rPr>
        <w:footnoteRef/>
      </w:r>
      <w:r w:rsidRPr="00CB4B92">
        <w:rPr>
          <w:rFonts w:ascii="Verdana" w:hAnsi="Verdana" w:cs="Arial"/>
          <w:sz w:val="18"/>
          <w:szCs w:val="18"/>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CB4B92">
        <w:rPr>
          <w:rFonts w:ascii="Verdana" w:hAnsi="Verdana" w:cs="Arial"/>
          <w:spacing w:val="-6"/>
          <w:sz w:val="18"/>
          <w:szCs w:val="18"/>
        </w:rPr>
        <w:t xml:space="preserve"> </w:t>
      </w:r>
      <w:r w:rsidRPr="00CB4B92">
        <w:rPr>
          <w:rFonts w:ascii="Verdana" w:hAnsi="Verdana" w:cs="Arial"/>
          <w:sz w:val="18"/>
          <w:szCs w:val="18"/>
        </w:rPr>
        <w:t>laboral”.</w:t>
      </w:r>
    </w:p>
    <w:p w14:paraId="4A2729FD" w14:textId="77777777" w:rsidR="00DA76E3" w:rsidRPr="00CB4B92" w:rsidRDefault="00DA76E3" w:rsidP="00DA76E3">
      <w:pPr>
        <w:spacing w:after="0" w:line="240" w:lineRule="auto"/>
        <w:contextualSpacing/>
        <w:jc w:val="both"/>
        <w:rPr>
          <w:rFonts w:ascii="Verdana" w:hAnsi="Verdana" w:cs="Arial"/>
          <w:sz w:val="18"/>
          <w:szCs w:val="18"/>
        </w:rPr>
      </w:pPr>
    </w:p>
    <w:p w14:paraId="5B82B5B6" w14:textId="77777777" w:rsidR="00DA76E3" w:rsidRPr="00CB4B92" w:rsidRDefault="00DA76E3" w:rsidP="00DA76E3">
      <w:pPr>
        <w:spacing w:after="0" w:line="240" w:lineRule="auto"/>
        <w:contextualSpacing/>
        <w:jc w:val="both"/>
        <w:rPr>
          <w:rFonts w:ascii="Verdana" w:hAnsi="Verdana" w:cs="Arial"/>
          <w:sz w:val="18"/>
          <w:szCs w:val="18"/>
        </w:rPr>
      </w:pPr>
      <w:r w:rsidRPr="00CB4B92">
        <w:rPr>
          <w:rFonts w:ascii="Verdana" w:hAnsi="Verdana" w:cs="Arial"/>
          <w:sz w:val="18"/>
          <w:szCs w:val="18"/>
        </w:rPr>
        <w:t>]…]</w:t>
      </w:r>
    </w:p>
    <w:p w14:paraId="4081E90C" w14:textId="77777777" w:rsidR="00DA76E3" w:rsidRPr="00CB4B92" w:rsidRDefault="00DA76E3" w:rsidP="00DA76E3">
      <w:pPr>
        <w:pStyle w:val="Textoindependiente"/>
        <w:spacing w:before="0" w:beforeAutospacing="0" w:after="0" w:afterAutospacing="0"/>
        <w:contextualSpacing/>
        <w:jc w:val="both"/>
        <w:rPr>
          <w:rFonts w:ascii="Verdana" w:hAnsi="Verdana" w:cs="Arial"/>
          <w:sz w:val="18"/>
          <w:szCs w:val="18"/>
        </w:rPr>
      </w:pPr>
    </w:p>
    <w:p w14:paraId="52D65AB5" w14:textId="77777777" w:rsidR="00DA76E3" w:rsidRPr="00CB4B92" w:rsidRDefault="00DA76E3" w:rsidP="00DA76E3">
      <w:pPr>
        <w:spacing w:after="0" w:line="240" w:lineRule="auto"/>
        <w:contextualSpacing/>
        <w:jc w:val="both"/>
        <w:rPr>
          <w:rFonts w:ascii="Verdana" w:hAnsi="Verdana" w:cs="Arial"/>
          <w:sz w:val="18"/>
          <w:szCs w:val="18"/>
        </w:rPr>
      </w:pPr>
      <w:r w:rsidRPr="00CB4B92">
        <w:rPr>
          <w:rFonts w:ascii="Verdana" w:hAnsi="Verdana" w:cs="Arial"/>
          <w:sz w:val="18"/>
          <w:szCs w:val="18"/>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CB4B92">
        <w:rPr>
          <w:rFonts w:ascii="Verdana" w:hAnsi="Verdana" w:cs="Arial"/>
          <w:spacing w:val="2"/>
          <w:sz w:val="18"/>
          <w:szCs w:val="18"/>
        </w:rPr>
        <w:t xml:space="preserve"> </w:t>
      </w:r>
      <w:r w:rsidRPr="00CB4B92">
        <w:rPr>
          <w:rFonts w:ascii="Verdana" w:hAnsi="Verdana" w:cs="Arial"/>
          <w:sz w:val="18"/>
          <w:szCs w:val="18"/>
        </w:rPr>
        <w:t>terminación”.</w:t>
      </w:r>
    </w:p>
    <w:p w14:paraId="0462BA6F" w14:textId="77777777" w:rsidR="00DA76E3" w:rsidRPr="00CB4B92" w:rsidRDefault="00DA76E3" w:rsidP="00DA76E3">
      <w:pPr>
        <w:spacing w:after="0" w:line="240" w:lineRule="auto"/>
        <w:ind w:firstLine="850"/>
        <w:contextualSpacing/>
        <w:jc w:val="both"/>
        <w:rPr>
          <w:rFonts w:ascii="Verdana" w:hAnsi="Verdana" w:cs="Arial"/>
          <w:sz w:val="18"/>
          <w:szCs w:val="18"/>
        </w:rPr>
      </w:pPr>
    </w:p>
    <w:p w14:paraId="5A96DE48" w14:textId="77777777" w:rsidR="00DA76E3" w:rsidRPr="00CB4B92" w:rsidRDefault="00DA76E3" w:rsidP="00DA76E3">
      <w:pPr>
        <w:pStyle w:val="Textonotapie"/>
        <w:contextualSpacing/>
        <w:jc w:val="both"/>
        <w:rPr>
          <w:rFonts w:ascii="Verdana" w:hAnsi="Verdana" w:cs="Arial"/>
          <w:sz w:val="18"/>
          <w:szCs w:val="18"/>
        </w:rPr>
      </w:pPr>
    </w:p>
  </w:footnote>
  <w:footnote w:id="5">
    <w:p w14:paraId="68DA6591" w14:textId="77777777" w:rsidR="00DA76E3" w:rsidRPr="00CB4B92" w:rsidRDefault="00DA76E3" w:rsidP="00DA76E3">
      <w:pPr>
        <w:pStyle w:val="Textonotapie"/>
        <w:ind w:firstLine="708"/>
        <w:contextualSpacing/>
        <w:jc w:val="both"/>
        <w:rPr>
          <w:rFonts w:ascii="Verdana" w:hAnsi="Verdana" w:cs="Arial"/>
          <w:sz w:val="18"/>
          <w:szCs w:val="18"/>
          <w:lang w:val="es-CO"/>
        </w:rPr>
      </w:pPr>
      <w:r w:rsidRPr="00CB4B92">
        <w:rPr>
          <w:rStyle w:val="Refdenotaalpie"/>
          <w:rFonts w:ascii="Verdana" w:hAnsi="Verdana" w:cs="Arial"/>
          <w:sz w:val="18"/>
          <w:szCs w:val="18"/>
        </w:rPr>
        <w:footnoteRef/>
      </w:r>
      <w:r w:rsidRPr="00CB4B92">
        <w:rPr>
          <w:rFonts w:ascii="Verdana" w:hAnsi="Verdana" w:cs="Arial"/>
          <w:sz w:val="18"/>
          <w:szCs w:val="18"/>
        </w:rPr>
        <w:t xml:space="preserve"> </w:t>
      </w:r>
      <w:r w:rsidRPr="00CB4B92">
        <w:rPr>
          <w:rFonts w:ascii="Verdana" w:hAnsi="Verdana" w:cs="Arial"/>
          <w:sz w:val="18"/>
          <w:szCs w:val="18"/>
          <w:lang w:val="es-ES"/>
        </w:rPr>
        <w:t>Corte Constitucional. Sentencia SU-075 de 2018. Magistrado Ponente: Gloria Stella Ortiz Delgado</w:t>
      </w:r>
    </w:p>
  </w:footnote>
  <w:footnote w:id="6">
    <w:p w14:paraId="1D775DB8" w14:textId="77777777" w:rsidR="00DA76E3" w:rsidRPr="00CB4B92" w:rsidRDefault="00DA76E3" w:rsidP="00DA76E3">
      <w:pPr>
        <w:pStyle w:val="Sinespaciado"/>
        <w:ind w:firstLine="682"/>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Corte Constitucional. Sentencia T-329 del 19 de septiembre de 2022. Expediente </w:t>
      </w:r>
      <w:bookmarkStart w:id="2" w:name="_Hlk113364075"/>
      <w:r w:rsidRPr="00CB4B92">
        <w:rPr>
          <w:rFonts w:ascii="Verdana" w:hAnsi="Verdana" w:cs="Arial"/>
          <w:sz w:val="18"/>
          <w:szCs w:val="18"/>
        </w:rPr>
        <w:t>T-8.517.984</w:t>
      </w:r>
      <w:bookmarkEnd w:id="2"/>
      <w:r w:rsidRPr="00CB4B92">
        <w:rPr>
          <w:rFonts w:ascii="Verdana" w:hAnsi="Verdana" w:cs="Arial"/>
          <w:sz w:val="18"/>
          <w:szCs w:val="18"/>
        </w:rPr>
        <w:t>. Magistrada Ponente: Natalia Ángel Cabo</w:t>
      </w:r>
    </w:p>
    <w:p w14:paraId="075320DB" w14:textId="77777777" w:rsidR="00DA76E3" w:rsidRPr="00CB4B92" w:rsidRDefault="00DA76E3" w:rsidP="00DA76E3">
      <w:pPr>
        <w:pStyle w:val="Textonotapie"/>
        <w:contextualSpacing/>
        <w:jc w:val="both"/>
        <w:rPr>
          <w:rFonts w:ascii="Verdana" w:hAnsi="Verdana" w:cs="Arial"/>
          <w:sz w:val="18"/>
          <w:szCs w:val="18"/>
        </w:rPr>
      </w:pPr>
    </w:p>
  </w:footnote>
  <w:footnote w:id="7">
    <w:p w14:paraId="1B203034" w14:textId="77777777" w:rsidR="00DA76E3" w:rsidRPr="00CB4B92" w:rsidRDefault="00DA76E3" w:rsidP="00DA76E3">
      <w:pPr>
        <w:pStyle w:val="Textonotapie"/>
        <w:ind w:firstLine="708"/>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Sentencia SU-070 de 2013. Fund. 6. Reiterado en las</w:t>
      </w:r>
      <w:r w:rsidRPr="00CB4B92">
        <w:rPr>
          <w:rFonts w:ascii="Verdana" w:hAnsi="Verdana" w:cs="Arial"/>
          <w:sz w:val="18"/>
          <w:szCs w:val="18"/>
          <w:lang w:val="es-ES_tradnl"/>
        </w:rPr>
        <w:t xml:space="preserve"> sentencias SU-040 de 2018 y SU-075 de 2018.</w:t>
      </w:r>
    </w:p>
  </w:footnote>
  <w:footnote w:id="8">
    <w:p w14:paraId="3CE5E8AC" w14:textId="77777777" w:rsidR="00DA76E3" w:rsidRPr="00CB4B92" w:rsidRDefault="00DA76E3" w:rsidP="00DA76E3">
      <w:pPr>
        <w:pStyle w:val="Textonotapie"/>
        <w:contextualSpacing/>
        <w:jc w:val="both"/>
        <w:rPr>
          <w:rFonts w:ascii="Verdana" w:hAnsi="Verdana" w:cs="Arial"/>
          <w:sz w:val="18"/>
          <w:szCs w:val="18"/>
        </w:rPr>
      </w:pPr>
    </w:p>
    <w:p w14:paraId="5B1BE7A6" w14:textId="77777777" w:rsidR="00DA76E3" w:rsidRPr="00CB4B92" w:rsidRDefault="00DA76E3" w:rsidP="00DA76E3">
      <w:pPr>
        <w:pStyle w:val="Textonotapie"/>
        <w:ind w:firstLine="708"/>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Esta indemnización se ha reconocido en contratos de prestación de servicios, entre otras, en las sentencias T-564 de 2017, T-350 de 2016, 316 de 2016, T-102 de 2016 y T-346 de 2013.</w:t>
      </w:r>
    </w:p>
  </w:footnote>
  <w:footnote w:id="9">
    <w:p w14:paraId="5892AAFD" w14:textId="77777777" w:rsidR="00DA76E3" w:rsidRPr="00CB4B92" w:rsidRDefault="00DA76E3" w:rsidP="00DA76E3">
      <w:pPr>
        <w:pStyle w:val="Textonotapie"/>
        <w:contextualSpacing/>
        <w:jc w:val="both"/>
        <w:rPr>
          <w:rFonts w:ascii="Verdana" w:hAnsi="Verdana" w:cs="Arial"/>
          <w:sz w:val="18"/>
          <w:szCs w:val="18"/>
        </w:rPr>
      </w:pPr>
    </w:p>
    <w:p w14:paraId="0DB68407" w14:textId="77777777" w:rsidR="00DA76E3" w:rsidRPr="00CB4B92" w:rsidRDefault="00DA76E3" w:rsidP="00DA76E3">
      <w:pPr>
        <w:pStyle w:val="Textonotapie"/>
        <w:ind w:firstLine="708"/>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10">
    <w:p w14:paraId="2DF3CB66" w14:textId="77777777" w:rsidR="00DA76E3" w:rsidRPr="00CB4B92" w:rsidRDefault="00DA76E3" w:rsidP="00DA76E3">
      <w:pPr>
        <w:pStyle w:val="Textonotapie"/>
        <w:ind w:firstLine="708"/>
        <w:contextualSpacing/>
        <w:jc w:val="both"/>
        <w:rPr>
          <w:rFonts w:ascii="Verdana" w:hAnsi="Verdana" w:cs="Arial"/>
          <w:sz w:val="18"/>
          <w:szCs w:val="18"/>
        </w:rPr>
      </w:pPr>
    </w:p>
    <w:p w14:paraId="7CCECD23" w14:textId="77777777" w:rsidR="00DA76E3" w:rsidRPr="00CB4B92" w:rsidRDefault="00DA76E3" w:rsidP="00DA76E3">
      <w:pPr>
        <w:pStyle w:val="Textonotapie"/>
        <w:ind w:firstLine="708"/>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Esta media fue aplicada en la Sentencia T-030 de 2018 respecto del caso estudiado bajo el expediente T-6.425.691.</w:t>
      </w:r>
    </w:p>
  </w:footnote>
  <w:footnote w:id="11">
    <w:p w14:paraId="24A0A3B0" w14:textId="77777777" w:rsidR="00DA76E3" w:rsidRPr="00CB4B92" w:rsidRDefault="00DA76E3" w:rsidP="00DA76E3">
      <w:pPr>
        <w:pStyle w:val="Textonotapie"/>
        <w:ind w:firstLine="708"/>
        <w:contextualSpacing/>
        <w:jc w:val="both"/>
        <w:rPr>
          <w:rFonts w:ascii="Verdana" w:hAnsi="Verdana" w:cs="Arial"/>
          <w:sz w:val="18"/>
          <w:szCs w:val="18"/>
        </w:rPr>
      </w:pPr>
    </w:p>
    <w:p w14:paraId="41B46709" w14:textId="77777777" w:rsidR="00DA76E3" w:rsidRPr="00CB4B92" w:rsidRDefault="00DA76E3" w:rsidP="00DA76E3">
      <w:pPr>
        <w:pStyle w:val="Textonotapie"/>
        <w:ind w:firstLine="708"/>
        <w:contextualSpacing/>
        <w:jc w:val="both"/>
        <w:rPr>
          <w:rFonts w:ascii="Verdana" w:hAnsi="Verdana" w:cs="Arial"/>
          <w:sz w:val="18"/>
          <w:szCs w:val="18"/>
        </w:rPr>
      </w:pPr>
      <w:r w:rsidRPr="00CB4B92">
        <w:rPr>
          <w:rStyle w:val="Refdenotaalpie"/>
          <w:rFonts w:ascii="Verdana" w:hAnsi="Verdana" w:cs="Arial"/>
          <w:sz w:val="18"/>
          <w:szCs w:val="18"/>
        </w:rPr>
        <w:footnoteRef/>
      </w:r>
      <w:r w:rsidRPr="00CB4B92">
        <w:rPr>
          <w:rFonts w:ascii="Verdana" w:hAnsi="Verdana" w:cs="Arial"/>
          <w:sz w:val="18"/>
          <w:szCs w:val="18"/>
        </w:rPr>
        <w:t xml:space="preserve"> En algunas oportunidades las salas de revisión han reconocido el pago de las prestaciones en materia de seguridad social en salud. Sentencia T-102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A4C7" w14:textId="77777777" w:rsidR="003C6C2C" w:rsidRDefault="003C6C2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25BC2A1" wp14:editId="054674E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B008B26" wp14:editId="5EE735F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B7B3E56" w14:textId="77777777" w:rsidR="003C6C2C" w:rsidRDefault="003C6C2C">
    <w:pPr>
      <w:pStyle w:val="Encabezado"/>
    </w:pPr>
  </w:p>
  <w:p w14:paraId="32132D21" w14:textId="77777777" w:rsidR="003C6C2C" w:rsidRDefault="003C6C2C" w:rsidP="004A305D">
    <w:pPr>
      <w:spacing w:after="0"/>
      <w:rPr>
        <w:rFonts w:ascii="Verdana" w:hAnsi="Verdana"/>
        <w:b/>
        <w:bCs/>
      </w:rPr>
    </w:pPr>
  </w:p>
  <w:p w14:paraId="24B71432" w14:textId="77777777" w:rsidR="003C6C2C" w:rsidRDefault="003C6C2C" w:rsidP="00B01B1A">
    <w:pPr>
      <w:spacing w:after="0" w:line="120" w:lineRule="auto"/>
      <w:rPr>
        <w:rFonts w:ascii="Verdana" w:hAnsi="Verdana"/>
        <w:b/>
        <w:bCs/>
      </w:rPr>
    </w:pPr>
  </w:p>
  <w:p w14:paraId="1E8E8766" w14:textId="77777777" w:rsidR="003C6C2C" w:rsidRPr="004A305D" w:rsidRDefault="003C6C2C" w:rsidP="00B01B1A">
    <w:pPr>
      <w:spacing w:after="0" w:line="120" w:lineRule="auto"/>
      <w:rPr>
        <w:rFonts w:ascii="Century Gothic" w:eastAsia="Geo" w:hAnsi="Century Gothic" w:cs="Geo"/>
        <w:sz w:val="16"/>
        <w:szCs w:val="16"/>
        <w:lang w:eastAsia="es-CO"/>
      </w:rPr>
    </w:pPr>
  </w:p>
  <w:p w14:paraId="5CED2799" w14:textId="77777777" w:rsidR="003C6C2C" w:rsidRDefault="003C6C2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959B1"/>
    <w:multiLevelType w:val="hybridMultilevel"/>
    <w:tmpl w:val="F3409B9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3E3B0C53"/>
    <w:multiLevelType w:val="hybridMultilevel"/>
    <w:tmpl w:val="003EC68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4F3C080C"/>
    <w:multiLevelType w:val="hybridMultilevel"/>
    <w:tmpl w:val="EDE61E8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557B1080"/>
    <w:multiLevelType w:val="hybridMultilevel"/>
    <w:tmpl w:val="80B2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6BFA3107"/>
    <w:multiLevelType w:val="hybridMultilevel"/>
    <w:tmpl w:val="223CCDC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79CC6A8A"/>
    <w:multiLevelType w:val="hybridMultilevel"/>
    <w:tmpl w:val="DA825F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341274352">
    <w:abstractNumId w:val="0"/>
  </w:num>
  <w:num w:numId="2" w16cid:durableId="1442605298">
    <w:abstractNumId w:val="5"/>
  </w:num>
  <w:num w:numId="3" w16cid:durableId="1933128652">
    <w:abstractNumId w:val="4"/>
  </w:num>
  <w:num w:numId="4" w16cid:durableId="945960749">
    <w:abstractNumId w:val="6"/>
  </w:num>
  <w:num w:numId="5" w16cid:durableId="170264072">
    <w:abstractNumId w:val="2"/>
  </w:num>
  <w:num w:numId="6" w16cid:durableId="409620734">
    <w:abstractNumId w:val="7"/>
  </w:num>
  <w:num w:numId="7" w16cid:durableId="777065519">
    <w:abstractNumId w:val="1"/>
  </w:num>
  <w:num w:numId="8" w16cid:durableId="789322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6E3"/>
    <w:rsid w:val="00083C07"/>
    <w:rsid w:val="003C6C2C"/>
    <w:rsid w:val="005727E1"/>
    <w:rsid w:val="005818E2"/>
    <w:rsid w:val="007F4015"/>
    <w:rsid w:val="008E5C2E"/>
    <w:rsid w:val="00B51763"/>
    <w:rsid w:val="00C63DE4"/>
    <w:rsid w:val="00DA76E3"/>
    <w:rsid w:val="00ED75A5"/>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B9ED9"/>
  <w15:chartTrackingRefBased/>
  <w15:docId w15:val="{5AF5ADFA-24AC-4291-BA82-E9C92622B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6E3"/>
    <w:rPr>
      <w:kern w:val="0"/>
      <w14:ligatures w14:val="none"/>
    </w:rPr>
  </w:style>
  <w:style w:type="paragraph" w:styleId="Ttulo1">
    <w:name w:val="heading 1"/>
    <w:basedOn w:val="Normal"/>
    <w:next w:val="Normal"/>
    <w:link w:val="Ttulo1Car"/>
    <w:uiPriority w:val="9"/>
    <w:qFormat/>
    <w:rsid w:val="00DA7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A7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A76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A76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A76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A76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76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76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76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76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A76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A76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A76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A76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A76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A76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A76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A76E3"/>
    <w:rPr>
      <w:rFonts w:eastAsiaTheme="majorEastAsia" w:cstheme="majorBidi"/>
      <w:color w:val="272727" w:themeColor="text1" w:themeTint="D8"/>
    </w:rPr>
  </w:style>
  <w:style w:type="paragraph" w:styleId="Ttulo">
    <w:name w:val="Title"/>
    <w:basedOn w:val="Normal"/>
    <w:next w:val="Normal"/>
    <w:link w:val="TtuloCar"/>
    <w:uiPriority w:val="10"/>
    <w:qFormat/>
    <w:rsid w:val="00DA7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A76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A76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A76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76E3"/>
    <w:pPr>
      <w:spacing w:before="160"/>
      <w:jc w:val="center"/>
    </w:pPr>
    <w:rPr>
      <w:i/>
      <w:iCs/>
      <w:color w:val="404040" w:themeColor="text1" w:themeTint="BF"/>
    </w:rPr>
  </w:style>
  <w:style w:type="character" w:customStyle="1" w:styleId="CitaCar">
    <w:name w:val="Cita Car"/>
    <w:basedOn w:val="Fuentedeprrafopredeter"/>
    <w:link w:val="Cita"/>
    <w:uiPriority w:val="29"/>
    <w:rsid w:val="00DA76E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DA76E3"/>
    <w:pPr>
      <w:ind w:left="720"/>
      <w:contextualSpacing/>
    </w:pPr>
  </w:style>
  <w:style w:type="character" w:styleId="nfasisintenso">
    <w:name w:val="Intense Emphasis"/>
    <w:basedOn w:val="Fuentedeprrafopredeter"/>
    <w:uiPriority w:val="21"/>
    <w:qFormat/>
    <w:rsid w:val="00DA76E3"/>
    <w:rPr>
      <w:i/>
      <w:iCs/>
      <w:color w:val="0F4761" w:themeColor="accent1" w:themeShade="BF"/>
    </w:rPr>
  </w:style>
  <w:style w:type="paragraph" w:styleId="Citadestacada">
    <w:name w:val="Intense Quote"/>
    <w:basedOn w:val="Normal"/>
    <w:next w:val="Normal"/>
    <w:link w:val="CitadestacadaCar"/>
    <w:uiPriority w:val="30"/>
    <w:qFormat/>
    <w:rsid w:val="00DA7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A76E3"/>
    <w:rPr>
      <w:i/>
      <w:iCs/>
      <w:color w:val="0F4761" w:themeColor="accent1" w:themeShade="BF"/>
    </w:rPr>
  </w:style>
  <w:style w:type="character" w:styleId="Referenciaintensa">
    <w:name w:val="Intense Reference"/>
    <w:basedOn w:val="Fuentedeprrafopredeter"/>
    <w:uiPriority w:val="32"/>
    <w:qFormat/>
    <w:rsid w:val="00DA76E3"/>
    <w:rPr>
      <w:b/>
      <w:bCs/>
      <w:smallCaps/>
      <w:color w:val="0F4761" w:themeColor="accent1" w:themeShade="BF"/>
      <w:spacing w:val="5"/>
    </w:rPr>
  </w:style>
  <w:style w:type="paragraph" w:styleId="Encabezado">
    <w:name w:val="header"/>
    <w:basedOn w:val="Normal"/>
    <w:link w:val="EncabezadoCar"/>
    <w:uiPriority w:val="99"/>
    <w:unhideWhenUsed/>
    <w:rsid w:val="00DA76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76E3"/>
    <w:rPr>
      <w:kern w:val="0"/>
      <w14:ligatures w14:val="none"/>
    </w:rPr>
  </w:style>
  <w:style w:type="paragraph" w:styleId="Piedepgina">
    <w:name w:val="footer"/>
    <w:basedOn w:val="Normal"/>
    <w:link w:val="PiedepginaCar"/>
    <w:uiPriority w:val="99"/>
    <w:unhideWhenUsed/>
    <w:rsid w:val="00DA76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A76E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A76E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A76E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A76E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DA76E3"/>
    <w:rPr>
      <w:vertAlign w:val="superscript"/>
    </w:rPr>
  </w:style>
  <w:style w:type="character" w:customStyle="1" w:styleId="normaltextrun">
    <w:name w:val="normaltextrun"/>
    <w:basedOn w:val="Fuentedeprrafopredeter"/>
    <w:rsid w:val="00DA76E3"/>
  </w:style>
  <w:style w:type="table" w:styleId="Tablaconcuadrcula">
    <w:name w:val="Table Grid"/>
    <w:basedOn w:val="Tablanormal"/>
    <w:uiPriority w:val="39"/>
    <w:qFormat/>
    <w:rsid w:val="00DA76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A76E3"/>
    <w:rPr>
      <w:color w:val="0000FF"/>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A76E3"/>
  </w:style>
  <w:style w:type="paragraph" w:customStyle="1" w:styleId="Appelnotedebasde">
    <w:name w:val="Appel note de bas de..."/>
    <w:basedOn w:val="Normal"/>
    <w:link w:val="Refdenotaalpie"/>
    <w:uiPriority w:val="99"/>
    <w:rsid w:val="00DA76E3"/>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DA76E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DA76E3"/>
    <w:rPr>
      <w:rFonts w:ascii="Times New Roman" w:eastAsia="Times New Roman" w:hAnsi="Times New Roman" w:cs="Times New Roman"/>
      <w:kern w:val="0"/>
      <w:sz w:val="24"/>
      <w:szCs w:val="24"/>
      <w:lang w:eastAsia="es-CO"/>
      <w14:ligatures w14:val="none"/>
    </w:rPr>
  </w:style>
  <w:style w:type="paragraph" w:styleId="Sinespaciado">
    <w:name w:val="No Spacing"/>
    <w:uiPriority w:val="1"/>
    <w:qFormat/>
    <w:rsid w:val="00DA76E3"/>
    <w:pPr>
      <w:spacing w:after="0" w:line="240" w:lineRule="auto"/>
    </w:pPr>
    <w:rPr>
      <w:kern w:val="0"/>
      <w14:ligatures w14:val="none"/>
    </w:rPr>
  </w:style>
  <w:style w:type="table" w:customStyle="1" w:styleId="Tablaconcuadrcula111">
    <w:name w:val="Tabla con cuadrícula111"/>
    <w:basedOn w:val="Tablanormal"/>
    <w:uiPriority w:val="59"/>
    <w:qFormat/>
    <w:rsid w:val="00DA76E3"/>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nasly.mosquera%40colombiacompra.gov.co%7Ceb0fd05604104aa4d3bc08dd4c4ad35e%7C7b09041e245149d08cb179d5e3d8c1be%7C0%7C0%7C638750606448243271%7CUnknown%7CTWFpbGZsb3d8eyJFbXB0eU1hcGkiOnRydWUsIlYiOiIwLjAuMDAwMCIsIlAiOiJXaW4zMiIsIkFOIjoiTWFpbCIsIldUIjoyfQ%3D%3D%7C0%7C%7C%7C&amp;sdata=%2BaMbYG9I053mm0acwlV7g96apxKOH%2F6lyhloUs3Jvs4%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lfsaldarriaga1901@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eb0fd05604104aa4d3bc08dd4c4ad35e%7C7b09041e245149d08cb179d5e3d8c1be%7C0%7C0%7C638750606448311827%7CUnknown%7CTWFpbGZsb3d8eyJFbXB0eU1hcGkiOnRydWUsIlYiOiIwLjAuMDAwMCIsIlAiOiJXaW4zMiIsIkFOIjoiTWFpbCIsIldUIjoyfQ%3D%3D%7C0%7C%7C%7C&amp;sdata=op%2FdsGuxoLsc%2FdyuXabMHLDixa%2FmBe0WyKZP9YDd5do%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nasly.mosquera%40colombiacompra.gov.co%7Ceb0fd05604104aa4d3bc08dd4c4ad35e%7C7b09041e245149d08cb179d5e3d8c1be%7C0%7C0%7C638750606448281193%7CUnknown%7CTWFpbGZsb3d8eyJFbXB0eU1hcGkiOnRydWUsIlYiOiIwLjAuMDAwMCIsIlAiOiJXaW4zMiIsIkFOIjoiTWFpbCIsIldUIjoyfQ%3D%3D%7C0%7C%7C%7C&amp;sdata=WsKFopu2ucs%2F5ycslMSsxrn8oLe%2FroXSHqQU6%2FDcb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4705D6-4FBD-4E56-B432-9F3E12B2D9C4}">
  <ds:schemaRefs>
    <ds:schemaRef ds:uri="http://schemas.microsoft.com/sharepoint/v3/contenttype/forms"/>
  </ds:schemaRefs>
</ds:datastoreItem>
</file>

<file path=customXml/itemProps2.xml><?xml version="1.0" encoding="utf-8"?>
<ds:datastoreItem xmlns:ds="http://schemas.openxmlformats.org/officeDocument/2006/customXml" ds:itemID="{D0BEEC13-2B98-4AE6-956A-A99BFB1B4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2A5E83-C13F-44CD-80B9-02D4CFA353E5}">
  <ds:schemaRefs>
    <ds:schemaRef ds:uri="http://purl.org/dc/terms/"/>
    <ds:schemaRef ds:uri="http://schemas.microsoft.com/office/2006/documentManagement/types"/>
    <ds:schemaRef ds:uri="a6cb9e4b-f1d1-4245-83ec-6cad768d538a"/>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14</Pages>
  <Words>4412</Words>
  <Characters>24268</Characters>
  <Application>Microsoft Office Word</Application>
  <DocSecurity>0</DocSecurity>
  <Lines>202</Lines>
  <Paragraphs>57</Paragraphs>
  <ScaleCrop>false</ScaleCrop>
  <Company/>
  <LinksUpToDate>false</LinksUpToDate>
  <CharactersWithSpaces>28623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Maria Valeska Medellín Mora</cp:lastModifiedBy>
  <cp:revision>3</cp:revision>
  <dcterms:created xsi:type="dcterms:W3CDTF">2025-02-24T22:23:00Z</dcterms:created>
  <dcterms:modified xsi:type="dcterms:W3CDTF">2025-02-25T18:55:00Z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