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A87091" w:rsidRDefault="00BE1E33" w:rsidP="00BE1E33">
      <w:pPr>
        <w:jc w:val="right"/>
        <w:rPr>
          <w:rFonts w:ascii="Arial" w:hAnsi="Arial" w:cs="Arial"/>
          <w:bCs/>
          <w:color w:val="000000" w:themeColor="text1"/>
          <w:sz w:val="16"/>
          <w:szCs w:val="16"/>
          <w:lang w:eastAsia="es-ES"/>
        </w:rPr>
      </w:pPr>
      <w:r w:rsidRPr="006C15D5">
        <w:rPr>
          <w:rFonts w:ascii="Arial" w:hAnsi="Arial" w:cs="Arial"/>
          <w:b/>
          <w:color w:val="000000" w:themeColor="text1"/>
          <w:sz w:val="16"/>
          <w:szCs w:val="16"/>
          <w:lang w:eastAsia="es-ES"/>
        </w:rPr>
        <w:tab/>
      </w:r>
      <w:r w:rsidRPr="00A87091">
        <w:rPr>
          <w:rFonts w:ascii="Arial" w:hAnsi="Arial" w:cs="Arial"/>
          <w:bCs/>
          <w:color w:val="000000" w:themeColor="text1"/>
          <w:sz w:val="16"/>
          <w:szCs w:val="16"/>
          <w:lang w:eastAsia="es-ES"/>
        </w:rPr>
        <w:t>CCE-DES-FM-17</w:t>
      </w:r>
    </w:p>
    <w:p w14:paraId="30106002" w14:textId="77777777" w:rsidR="005204A7" w:rsidRPr="00A87091" w:rsidRDefault="005204A7" w:rsidP="005204A7">
      <w:pPr>
        <w:jc w:val="both"/>
        <w:rPr>
          <w:rFonts w:ascii="Arial" w:eastAsia="Calibri" w:hAnsi="Arial" w:cs="Arial"/>
          <w:b/>
          <w:color w:val="000000" w:themeColor="text1"/>
          <w:sz w:val="20"/>
          <w:szCs w:val="20"/>
        </w:rPr>
      </w:pPr>
    </w:p>
    <w:p w14:paraId="7F4004B0" w14:textId="3948B9A8" w:rsidR="005204A7" w:rsidRPr="00A87091" w:rsidRDefault="00F85C73" w:rsidP="005204A7">
      <w:pPr>
        <w:jc w:val="both"/>
        <w:rPr>
          <w:rFonts w:ascii="Arial" w:eastAsia="Calibri" w:hAnsi="Arial" w:cs="Arial"/>
          <w:b/>
          <w:color w:val="000000" w:themeColor="text1"/>
          <w:sz w:val="22"/>
        </w:rPr>
      </w:pPr>
      <w:r w:rsidRPr="00A87091">
        <w:rPr>
          <w:rFonts w:ascii="Arial" w:eastAsia="Calibri" w:hAnsi="Arial" w:cs="Arial"/>
          <w:b/>
          <w:color w:val="000000" w:themeColor="text1"/>
          <w:sz w:val="22"/>
        </w:rPr>
        <w:t xml:space="preserve">LEY DE EMPRENDIMIENTO </w:t>
      </w:r>
      <w:r w:rsidR="00AF3236" w:rsidRPr="00A87091">
        <w:rPr>
          <w:rFonts w:ascii="Arial" w:eastAsia="Calibri" w:hAnsi="Arial" w:cs="Arial"/>
          <w:b/>
          <w:color w:val="000000" w:themeColor="text1"/>
          <w:sz w:val="22"/>
        </w:rPr>
        <w:t xml:space="preserve">– </w:t>
      </w:r>
      <w:r w:rsidRPr="00A87091">
        <w:rPr>
          <w:rFonts w:ascii="Arial" w:eastAsia="Calibri" w:hAnsi="Arial" w:cs="Arial"/>
          <w:b/>
          <w:color w:val="000000" w:themeColor="text1"/>
          <w:sz w:val="22"/>
        </w:rPr>
        <w:t>Finalidad</w:t>
      </w:r>
      <w:r w:rsidR="00AF3236" w:rsidRPr="00A87091">
        <w:rPr>
          <w:rFonts w:ascii="Arial" w:eastAsia="Calibri" w:hAnsi="Arial" w:cs="Arial"/>
          <w:b/>
          <w:color w:val="000000" w:themeColor="text1"/>
          <w:sz w:val="22"/>
        </w:rPr>
        <w:t xml:space="preserve"> </w:t>
      </w:r>
    </w:p>
    <w:p w14:paraId="5600DD94" w14:textId="77777777" w:rsidR="005204A7" w:rsidRPr="00A87091" w:rsidRDefault="005204A7" w:rsidP="005204A7">
      <w:pPr>
        <w:jc w:val="both"/>
        <w:rPr>
          <w:rFonts w:ascii="Arial" w:eastAsia="Calibri" w:hAnsi="Arial" w:cs="Arial"/>
          <w:color w:val="000000" w:themeColor="text1"/>
          <w:sz w:val="20"/>
          <w:szCs w:val="20"/>
        </w:rPr>
      </w:pPr>
    </w:p>
    <w:p w14:paraId="7A416A87" w14:textId="5669DDF0" w:rsidR="005204A7" w:rsidRPr="00A87091" w:rsidRDefault="00F85C73" w:rsidP="00AF3236">
      <w:pPr>
        <w:jc w:val="both"/>
        <w:rPr>
          <w:rFonts w:ascii="Arial" w:eastAsia="Calibri" w:hAnsi="Arial" w:cs="Arial"/>
          <w:bCs/>
          <w:color w:val="000000" w:themeColor="text1"/>
          <w:sz w:val="20"/>
          <w:szCs w:val="20"/>
        </w:rPr>
      </w:pPr>
      <w:r w:rsidRPr="00A87091">
        <w:rPr>
          <w:rFonts w:ascii="Arial" w:eastAsia="Calibri" w:hAnsi="Arial" w:cs="Arial"/>
          <w:bCs/>
          <w:color w:val="000000" w:themeColor="text1"/>
          <w:sz w:val="20"/>
          <w:szCs w:val="20"/>
        </w:rPr>
        <w:t>El pasado 31 de diciembre, en congruencia con el «Pacto por el emprendimiento, la formalización y la productividad» del Plan Nacional de Desarrollo 2018-2022, el Presidente de la República sancionó la Ley 2069 de 2020 para de impulsar el nacimiento de nuevas empresas que incentiven la generación de empleo en país. Pensada en clave de reactivación de la economía y fomento a la actividad emprendedora, la ley propicia un entorno para ayudar al crecimiento, consolidación y sostenibilidad de esas iniciativas, generando mayor desarrollo social, creación de las empresas y mejoras tanto en la productividad como en la competitividad</w:t>
      </w:r>
      <w:r w:rsidRPr="00A87091">
        <w:rPr>
          <w:rFonts w:ascii="Arial" w:eastAsia="Calibri" w:hAnsi="Arial" w:cs="Arial"/>
          <w:bCs/>
          <w:color w:val="000000" w:themeColor="text1"/>
          <w:sz w:val="20"/>
          <w:szCs w:val="20"/>
          <w:vertAlign w:val="superscript"/>
        </w:rPr>
        <w:footnoteReference w:id="1"/>
      </w:r>
      <w:r w:rsidRPr="00A87091">
        <w:rPr>
          <w:rFonts w:ascii="Arial" w:eastAsia="Calibri" w:hAnsi="Arial" w:cs="Arial"/>
          <w:bCs/>
          <w:color w:val="000000" w:themeColor="text1"/>
          <w:sz w:val="20"/>
          <w:szCs w:val="20"/>
        </w:rPr>
        <w:t>. De esta manera, la ley en comento también concreta la «Política de formalización empresarial» del Documento CONPES 3956 del 8 de enero de 2019</w:t>
      </w:r>
      <w:r w:rsidR="00AF3236" w:rsidRPr="00A87091">
        <w:rPr>
          <w:rFonts w:ascii="Arial" w:eastAsia="Calibri" w:hAnsi="Arial" w:cs="Arial"/>
          <w:bCs/>
          <w:color w:val="000000" w:themeColor="text1"/>
          <w:sz w:val="20"/>
          <w:szCs w:val="20"/>
        </w:rPr>
        <w:t>.</w:t>
      </w:r>
      <w:r w:rsidR="005204A7" w:rsidRPr="00A87091">
        <w:rPr>
          <w:rFonts w:ascii="Arial" w:eastAsia="Calibri" w:hAnsi="Arial" w:cs="Arial"/>
          <w:bCs/>
          <w:color w:val="000000" w:themeColor="text1"/>
          <w:sz w:val="20"/>
          <w:szCs w:val="20"/>
        </w:rPr>
        <w:t xml:space="preserve">  </w:t>
      </w:r>
    </w:p>
    <w:p w14:paraId="3AA0AF3C" w14:textId="77777777" w:rsidR="005204A7" w:rsidRPr="00A87091" w:rsidRDefault="005204A7" w:rsidP="005204A7">
      <w:pPr>
        <w:jc w:val="both"/>
        <w:rPr>
          <w:rFonts w:ascii="Arial" w:eastAsia="Calibri" w:hAnsi="Arial" w:cs="Arial"/>
          <w:b/>
          <w:color w:val="000000" w:themeColor="text1"/>
          <w:sz w:val="20"/>
          <w:szCs w:val="20"/>
        </w:rPr>
      </w:pPr>
    </w:p>
    <w:p w14:paraId="416F63BE" w14:textId="1FDFFEC1" w:rsidR="005204A7" w:rsidRPr="00A87091" w:rsidRDefault="005A10A9" w:rsidP="005204A7">
      <w:pPr>
        <w:jc w:val="both"/>
        <w:rPr>
          <w:rFonts w:ascii="Arial" w:eastAsia="Calibri" w:hAnsi="Arial" w:cs="Arial"/>
          <w:b/>
          <w:color w:val="000000" w:themeColor="text1"/>
          <w:sz w:val="22"/>
        </w:rPr>
      </w:pPr>
      <w:r w:rsidRPr="00A87091">
        <w:rPr>
          <w:rFonts w:ascii="Arial" w:eastAsia="Calibri" w:hAnsi="Arial" w:cs="Arial"/>
          <w:b/>
          <w:color w:val="000000" w:themeColor="text1"/>
          <w:sz w:val="22"/>
        </w:rPr>
        <w:t>RELACIÓN ENTRE LA LEY Y EL REGLAMENTO</w:t>
      </w:r>
      <w:r w:rsidR="00DB3513" w:rsidRPr="00A87091">
        <w:rPr>
          <w:rFonts w:ascii="Arial" w:eastAsia="Calibri" w:hAnsi="Arial" w:cs="Arial"/>
          <w:b/>
          <w:color w:val="000000" w:themeColor="text1"/>
          <w:sz w:val="22"/>
        </w:rPr>
        <w:t xml:space="preserve"> – Tesis de la aplicación directa – Tesis de la reglamentación</w:t>
      </w:r>
      <w:r w:rsidR="00C8308A" w:rsidRPr="00A87091">
        <w:rPr>
          <w:rFonts w:ascii="Arial" w:eastAsia="Calibri" w:hAnsi="Arial" w:cs="Arial"/>
          <w:b/>
          <w:color w:val="000000" w:themeColor="text1"/>
          <w:sz w:val="22"/>
        </w:rPr>
        <w:t xml:space="preserve"> – Diferencias</w:t>
      </w:r>
    </w:p>
    <w:p w14:paraId="69524CC8" w14:textId="77777777" w:rsidR="005204A7" w:rsidRPr="00A87091" w:rsidRDefault="005204A7" w:rsidP="005204A7">
      <w:pPr>
        <w:jc w:val="both"/>
        <w:rPr>
          <w:rFonts w:ascii="Arial" w:eastAsia="Calibri" w:hAnsi="Arial" w:cs="Arial"/>
          <w:b/>
          <w:color w:val="000000" w:themeColor="text1"/>
          <w:sz w:val="20"/>
          <w:szCs w:val="20"/>
        </w:rPr>
      </w:pPr>
    </w:p>
    <w:p w14:paraId="0411506E" w14:textId="6771F4DF" w:rsidR="00295636" w:rsidRPr="00A87091" w:rsidRDefault="005A10A9" w:rsidP="00546A42">
      <w:pPr>
        <w:jc w:val="both"/>
        <w:rPr>
          <w:rFonts w:ascii="Arial" w:eastAsia="Calibri" w:hAnsi="Arial" w:cs="Arial"/>
          <w:color w:val="000000" w:themeColor="text1"/>
          <w:sz w:val="20"/>
          <w:szCs w:val="20"/>
        </w:rPr>
      </w:pPr>
      <w:r w:rsidRPr="00A87091">
        <w:rPr>
          <w:rFonts w:ascii="Arial" w:eastAsia="Calibri" w:hAnsi="Arial" w:cs="Arial"/>
          <w:bCs/>
          <w:color w:val="000000" w:themeColor="text1"/>
          <w:sz w:val="20"/>
          <w:szCs w:val="20"/>
        </w:rPr>
        <w:t xml:space="preserve">[…] quien opte por la tesis de la </w:t>
      </w:r>
      <w:r w:rsidRPr="00A87091">
        <w:rPr>
          <w:rFonts w:ascii="Arial" w:eastAsia="Calibri" w:hAnsi="Arial" w:cs="Arial"/>
          <w:bCs/>
          <w:i/>
          <w:iCs/>
          <w:color w:val="000000" w:themeColor="text1"/>
          <w:sz w:val="20"/>
          <w:szCs w:val="20"/>
        </w:rPr>
        <w:t>aplicación directa</w:t>
      </w:r>
      <w:r w:rsidRPr="00A87091">
        <w:rPr>
          <w:rFonts w:ascii="Arial" w:eastAsia="Calibri" w:hAnsi="Arial" w:cs="Arial"/>
          <w:bCs/>
          <w:color w:val="000000" w:themeColor="text1"/>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0028617E" w:rsidRPr="00A87091">
        <w:rPr>
          <w:rFonts w:ascii="Arial" w:eastAsia="Calibri" w:hAnsi="Arial" w:cs="Arial"/>
          <w:color w:val="000000" w:themeColor="text1"/>
          <w:sz w:val="20"/>
          <w:szCs w:val="20"/>
        </w:rPr>
        <w:t>.</w:t>
      </w:r>
    </w:p>
    <w:p w14:paraId="19CBFAC3" w14:textId="4C44AF48" w:rsidR="005A10A9" w:rsidRPr="00A87091" w:rsidRDefault="005A10A9" w:rsidP="005A10A9">
      <w:pPr>
        <w:spacing w:after="120"/>
        <w:jc w:val="both"/>
        <w:rPr>
          <w:rFonts w:ascii="Arial" w:eastAsia="Calibri" w:hAnsi="Arial" w:cs="Arial"/>
          <w:color w:val="000000" w:themeColor="text1"/>
          <w:sz w:val="20"/>
          <w:szCs w:val="20"/>
        </w:rPr>
      </w:pPr>
      <w:r w:rsidRPr="00A87091">
        <w:rPr>
          <w:rFonts w:ascii="Arial" w:eastAsia="Calibri" w:hAnsi="Arial" w:cs="Arial"/>
          <w:color w:val="000000" w:themeColor="text1"/>
          <w:sz w:val="20"/>
          <w:szCs w:val="20"/>
        </w:rPr>
        <w:t>[…]</w:t>
      </w:r>
    </w:p>
    <w:p w14:paraId="6F0F33E9" w14:textId="0D814E65" w:rsidR="005A10A9" w:rsidRPr="00A87091" w:rsidRDefault="005A10A9" w:rsidP="00546A42">
      <w:pPr>
        <w:jc w:val="both"/>
        <w:rPr>
          <w:rFonts w:ascii="Arial" w:eastAsia="Calibri" w:hAnsi="Arial" w:cs="Arial"/>
          <w:bCs/>
          <w:color w:val="000000" w:themeColor="text1"/>
          <w:sz w:val="20"/>
          <w:szCs w:val="20"/>
        </w:rPr>
      </w:pPr>
      <w:r w:rsidRPr="00A87091">
        <w:rPr>
          <w:rFonts w:ascii="Arial" w:eastAsia="Calibri" w:hAnsi="Arial" w:cs="Arial"/>
          <w:bCs/>
          <w:color w:val="000000" w:themeColor="text1"/>
          <w:sz w:val="20"/>
          <w:szCs w:val="20"/>
        </w:rPr>
        <w:t xml:space="preserve">Ahora bien, la relación entre estas dos (2) fuentes del derecho es totalmente diferente en la </w:t>
      </w:r>
      <w:r w:rsidRPr="00A87091">
        <w:rPr>
          <w:rFonts w:ascii="Arial" w:eastAsia="Calibri" w:hAnsi="Arial" w:cs="Arial"/>
          <w:bCs/>
          <w:i/>
          <w:iCs/>
          <w:color w:val="000000" w:themeColor="text1"/>
          <w:sz w:val="20"/>
          <w:szCs w:val="20"/>
        </w:rPr>
        <w:t>tesis de la reglamentación</w:t>
      </w:r>
      <w:r w:rsidRPr="00A87091">
        <w:rPr>
          <w:rFonts w:ascii="Arial" w:eastAsia="Calibri" w:hAnsi="Arial" w:cs="Arial"/>
          <w:bCs/>
          <w:color w:val="000000" w:themeColor="text1"/>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r w:rsidR="00E7389E" w:rsidRPr="00A87091">
        <w:rPr>
          <w:rFonts w:ascii="Arial" w:eastAsia="Calibri" w:hAnsi="Arial" w:cs="Arial"/>
          <w:bCs/>
          <w:color w:val="000000" w:themeColor="text1"/>
          <w:sz w:val="20"/>
          <w:szCs w:val="20"/>
        </w:rPr>
        <w:t>.</w:t>
      </w:r>
    </w:p>
    <w:p w14:paraId="0195D622" w14:textId="20F9DB5F" w:rsidR="005204A7" w:rsidRPr="00A87091" w:rsidRDefault="005204A7" w:rsidP="005204A7">
      <w:pPr>
        <w:jc w:val="both"/>
        <w:rPr>
          <w:rFonts w:ascii="Arial" w:eastAsia="Calibri" w:hAnsi="Arial" w:cs="Arial"/>
          <w:color w:val="000000" w:themeColor="text1"/>
          <w:sz w:val="20"/>
          <w:szCs w:val="20"/>
        </w:rPr>
      </w:pPr>
    </w:p>
    <w:p w14:paraId="1CDB5685" w14:textId="4AC9D365" w:rsidR="005204A7" w:rsidRPr="00A87091" w:rsidRDefault="00C8308A" w:rsidP="005204A7">
      <w:pPr>
        <w:jc w:val="both"/>
        <w:rPr>
          <w:rFonts w:ascii="Arial" w:eastAsia="Calibri" w:hAnsi="Arial" w:cs="Arial"/>
          <w:b/>
          <w:color w:val="000000" w:themeColor="text1"/>
          <w:sz w:val="22"/>
        </w:rPr>
      </w:pPr>
      <w:r w:rsidRPr="00A87091">
        <w:rPr>
          <w:rFonts w:ascii="Arial" w:eastAsia="Calibri" w:hAnsi="Arial" w:cs="Arial"/>
          <w:b/>
          <w:color w:val="000000" w:themeColor="text1"/>
          <w:sz w:val="22"/>
        </w:rPr>
        <w:t xml:space="preserve">REGLAMENTACIÓN PREVIA – Ley </w:t>
      </w:r>
      <w:r w:rsidR="005A10A9" w:rsidRPr="00A87091">
        <w:rPr>
          <w:rFonts w:ascii="Arial" w:eastAsia="Calibri" w:hAnsi="Arial" w:cs="Arial"/>
          <w:b/>
          <w:color w:val="000000" w:themeColor="text1"/>
          <w:sz w:val="22"/>
        </w:rPr>
        <w:t>2069 de 2020</w:t>
      </w:r>
      <w:r w:rsidR="00814030" w:rsidRPr="00A87091">
        <w:rPr>
          <w:rFonts w:ascii="Arial" w:eastAsia="Calibri" w:hAnsi="Arial" w:cs="Arial"/>
          <w:b/>
          <w:color w:val="000000" w:themeColor="text1"/>
          <w:sz w:val="22"/>
        </w:rPr>
        <w:t xml:space="preserve"> – Documentos tipo – Licitación – Agua potable y saneamiento básico</w:t>
      </w:r>
    </w:p>
    <w:p w14:paraId="6327B2C6" w14:textId="77777777" w:rsidR="0028617E" w:rsidRPr="00A87091" w:rsidRDefault="0028617E" w:rsidP="005204A7">
      <w:pPr>
        <w:jc w:val="both"/>
        <w:rPr>
          <w:rFonts w:ascii="Arial" w:eastAsia="Calibri" w:hAnsi="Arial" w:cs="Arial"/>
          <w:b/>
          <w:color w:val="000000" w:themeColor="text1"/>
          <w:sz w:val="20"/>
          <w:szCs w:val="20"/>
        </w:rPr>
      </w:pPr>
    </w:p>
    <w:p w14:paraId="38A6E427" w14:textId="3D3088F8" w:rsidR="00E7389E" w:rsidRPr="00A87091" w:rsidRDefault="00E7389E" w:rsidP="00E7389E">
      <w:pPr>
        <w:jc w:val="both"/>
        <w:rPr>
          <w:rFonts w:ascii="Arial" w:eastAsia="Calibri" w:hAnsi="Arial" w:cs="Arial"/>
          <w:bCs/>
          <w:color w:val="000000" w:themeColor="text1"/>
          <w:sz w:val="20"/>
          <w:szCs w:val="20"/>
          <w:lang w:val="es-ES"/>
        </w:rPr>
      </w:pPr>
      <w:r w:rsidRPr="00A87091">
        <w:rPr>
          <w:rFonts w:ascii="Arial" w:eastAsia="Calibri" w:hAnsi="Arial" w:cs="Arial"/>
          <w:bCs/>
          <w:color w:val="000000" w:themeColor="text1"/>
          <w:sz w:val="20"/>
          <w:szCs w:val="20"/>
          <w:lang w:val="es-ES"/>
        </w:rPr>
        <w:t>La referencia hecha en una ley a que el Gobierno Nacional reglamentará la materia es un reconocimiento de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p w14:paraId="0A03783A" w14:textId="7D57FA4A" w:rsidR="00E7389E" w:rsidRPr="00A87091" w:rsidRDefault="00E7389E" w:rsidP="005A10A9">
      <w:pPr>
        <w:spacing w:after="120"/>
        <w:jc w:val="both"/>
        <w:rPr>
          <w:rFonts w:ascii="Arial" w:eastAsia="Calibri" w:hAnsi="Arial" w:cs="Arial"/>
          <w:bCs/>
          <w:color w:val="000000" w:themeColor="text1"/>
          <w:sz w:val="20"/>
          <w:szCs w:val="20"/>
          <w:lang w:val="es-ES"/>
        </w:rPr>
      </w:pPr>
      <w:r w:rsidRPr="00A87091">
        <w:rPr>
          <w:rFonts w:ascii="Arial" w:eastAsia="Calibri" w:hAnsi="Arial" w:cs="Arial"/>
          <w:bCs/>
          <w:color w:val="000000" w:themeColor="text1"/>
          <w:sz w:val="20"/>
          <w:szCs w:val="20"/>
          <w:lang w:val="es-ES"/>
        </w:rPr>
        <w:t>[…]</w:t>
      </w:r>
    </w:p>
    <w:p w14:paraId="18BC08B7" w14:textId="0F4EC8A5" w:rsidR="00C95532" w:rsidRPr="00A87091" w:rsidRDefault="009961B3" w:rsidP="005A10A9">
      <w:pPr>
        <w:spacing w:after="120"/>
        <w:jc w:val="both"/>
        <w:rPr>
          <w:rFonts w:ascii="Arial" w:eastAsia="Calibri" w:hAnsi="Arial" w:cs="Arial"/>
          <w:bCs/>
          <w:color w:val="000000" w:themeColor="text1"/>
          <w:sz w:val="20"/>
          <w:szCs w:val="20"/>
          <w:lang w:val="es-ES"/>
        </w:rPr>
      </w:pPr>
      <w:r w:rsidRPr="00A87091">
        <w:rPr>
          <w:rFonts w:ascii="Arial" w:eastAsia="Calibri" w:hAnsi="Arial" w:cs="Arial"/>
          <w:bCs/>
          <w:color w:val="000000" w:themeColor="text1"/>
          <w:sz w:val="20"/>
          <w:szCs w:val="20"/>
          <w:lang w:val="es-ES"/>
        </w:rPr>
        <w:t xml:space="preserve">[…] </w:t>
      </w:r>
      <w:r w:rsidR="005A10A9" w:rsidRPr="00A87091">
        <w:rPr>
          <w:rFonts w:ascii="Arial" w:eastAsia="Calibri" w:hAnsi="Arial" w:cs="Arial"/>
          <w:bCs/>
          <w:color w:val="000000" w:themeColor="text1"/>
          <w:sz w:val="20"/>
          <w:szCs w:val="20"/>
        </w:rPr>
        <w:t xml:space="preserve">en los artículos 31, 32, 34 y 36, el Congreso de la República reconoce la necesidad de un reglamento para el efectivo cumplimiento de la Ley 2069 de 2020, lo que demuestra, para el caso </w:t>
      </w:r>
      <w:r w:rsidR="005A10A9" w:rsidRPr="00A87091">
        <w:rPr>
          <w:rFonts w:ascii="Arial" w:eastAsia="Calibri" w:hAnsi="Arial" w:cs="Arial"/>
          <w:bCs/>
          <w:color w:val="000000" w:themeColor="text1"/>
          <w:sz w:val="20"/>
          <w:szCs w:val="20"/>
        </w:rPr>
        <w:lastRenderedPageBreak/>
        <w:t xml:space="preserve">concreto, una vigencia sometida a condición para los temas regulados en estas normas. Esta conclusión se ajusta no solo a los antecedentes del proyecto de ley, sino también a la necesidad de claridad que debe introducir el reglamento en relación con </w:t>
      </w:r>
      <w:r w:rsidR="0018164B" w:rsidRPr="00A87091">
        <w:rPr>
          <w:rFonts w:ascii="Arial" w:eastAsia="Calibri" w:hAnsi="Arial" w:cs="Arial"/>
          <w:bCs/>
          <w:color w:val="000000" w:themeColor="text1"/>
          <w:sz w:val="20"/>
          <w:szCs w:val="20"/>
        </w:rPr>
        <w:t>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r w:rsidR="00546A42" w:rsidRPr="00A87091">
        <w:rPr>
          <w:rFonts w:ascii="Arial" w:eastAsia="Calibri" w:hAnsi="Arial" w:cs="Arial"/>
          <w:bCs/>
          <w:color w:val="000000" w:themeColor="text1"/>
          <w:sz w:val="20"/>
          <w:szCs w:val="20"/>
          <w:lang w:val="es-ES"/>
        </w:rPr>
        <w:t>.</w:t>
      </w:r>
      <w:r w:rsidR="00814030" w:rsidRPr="00A87091">
        <w:rPr>
          <w:rFonts w:ascii="Arial" w:eastAsia="Calibri" w:hAnsi="Arial" w:cs="Arial"/>
          <w:bCs/>
          <w:color w:val="000000" w:themeColor="text1"/>
          <w:sz w:val="20"/>
          <w:szCs w:val="20"/>
          <w:lang w:val="es-ES"/>
        </w:rPr>
        <w:t xml:space="preserve"> </w:t>
      </w:r>
      <w:r w:rsidR="00814030" w:rsidRPr="00A87091">
        <w:rPr>
          <w:rFonts w:ascii="Arial" w:eastAsia="Calibri" w:hAnsi="Arial" w:cs="Arial"/>
          <w:bCs/>
          <w:color w:val="000000" w:themeColor="text1"/>
          <w:sz w:val="20"/>
          <w:szCs w:val="20"/>
        </w:rPr>
        <w:t>Hasta que estos temas no estén reglamentados, no son exigibles de los procedimientos de selección regidos por los documentos tipo de licitación de obra pública de agua potable y saneamiento básico.</w:t>
      </w:r>
    </w:p>
    <w:p w14:paraId="4ABCFE0C" w14:textId="77777777" w:rsidR="00C95532" w:rsidRPr="00A87091" w:rsidRDefault="00C95532">
      <w:pPr>
        <w:spacing w:after="160" w:line="259" w:lineRule="auto"/>
        <w:rPr>
          <w:rFonts w:ascii="Arial" w:eastAsia="Calibri" w:hAnsi="Arial" w:cs="Arial"/>
          <w:bCs/>
          <w:color w:val="000000" w:themeColor="text1"/>
          <w:sz w:val="20"/>
          <w:szCs w:val="20"/>
          <w:lang w:val="es-ES"/>
        </w:rPr>
      </w:pPr>
      <w:r w:rsidRPr="00A87091">
        <w:rPr>
          <w:rFonts w:ascii="Arial" w:eastAsia="Calibri" w:hAnsi="Arial" w:cs="Arial"/>
          <w:bCs/>
          <w:color w:val="000000" w:themeColor="text1"/>
          <w:sz w:val="20"/>
          <w:szCs w:val="20"/>
          <w:lang w:val="es-ES"/>
        </w:rPr>
        <w:br w:type="page"/>
      </w:r>
    </w:p>
    <w:p w14:paraId="37038558" w14:textId="7455F221" w:rsidR="00825FD3" w:rsidRPr="00A87091" w:rsidRDefault="00825FD3" w:rsidP="005C5B7C">
      <w:pPr>
        <w:jc w:val="both"/>
        <w:rPr>
          <w:rFonts w:ascii="Arial" w:eastAsia="Calibri" w:hAnsi="Arial" w:cs="Arial"/>
          <w:color w:val="000000" w:themeColor="text1"/>
          <w:sz w:val="22"/>
        </w:rPr>
      </w:pPr>
    </w:p>
    <w:p w14:paraId="2036CB1C" w14:textId="77777777" w:rsidR="005C5B7C" w:rsidRPr="00A87091" w:rsidRDefault="005C5B7C" w:rsidP="005C5B7C">
      <w:pPr>
        <w:jc w:val="both"/>
        <w:rPr>
          <w:rFonts w:ascii="Arial" w:eastAsia="Calibri" w:hAnsi="Arial" w:cs="Arial"/>
          <w:color w:val="000000" w:themeColor="text1"/>
          <w:sz w:val="22"/>
        </w:rPr>
      </w:pPr>
    </w:p>
    <w:p w14:paraId="0C1E8BFE" w14:textId="7B5A6767" w:rsidR="00282756" w:rsidRDefault="00282756" w:rsidP="007A58D8">
      <w:pPr>
        <w:rPr>
          <w:rFonts w:ascii="Arial" w:hAnsi="Arial" w:cs="Arial"/>
          <w:b/>
          <w:color w:val="000000" w:themeColor="text1"/>
          <w:sz w:val="22"/>
        </w:rPr>
      </w:pPr>
      <w:r w:rsidRPr="00A87091">
        <w:rPr>
          <w:rFonts w:ascii="Arial" w:hAnsi="Arial" w:cs="Arial"/>
          <w:color w:val="000000" w:themeColor="text1"/>
          <w:sz w:val="22"/>
        </w:rPr>
        <w:t xml:space="preserve">Bogotá D.C., </w:t>
      </w:r>
      <w:r w:rsidR="007A58D8" w:rsidRPr="007A58D8">
        <w:rPr>
          <w:rFonts w:ascii="Arial" w:hAnsi="Arial" w:cs="Arial"/>
          <w:b/>
          <w:color w:val="000000" w:themeColor="text1"/>
          <w:sz w:val="22"/>
        </w:rPr>
        <w:t>02/03/2021 11:02</w:t>
      </w:r>
    </w:p>
    <w:p w14:paraId="563DC4F7" w14:textId="77777777" w:rsidR="007A58D8" w:rsidRPr="00A87091" w:rsidRDefault="007A58D8" w:rsidP="007A58D8">
      <w:pPr>
        <w:rPr>
          <w:rFonts w:ascii="Arial" w:hAnsi="Arial" w:cs="Arial"/>
          <w:b/>
          <w:color w:val="000000" w:themeColor="text1"/>
          <w:sz w:val="22"/>
        </w:rPr>
      </w:pPr>
    </w:p>
    <w:p w14:paraId="0AED3F3B" w14:textId="75F3438E" w:rsidR="00282756" w:rsidRPr="00A87091" w:rsidRDefault="00282756" w:rsidP="00282756">
      <w:pPr>
        <w:jc w:val="right"/>
        <w:rPr>
          <w:rFonts w:ascii="Times New Roman" w:hAnsi="Times New Roman" w:cs="Times New Roman"/>
          <w:szCs w:val="24"/>
          <w:lang w:val="es-ES" w:eastAsia="es-ES"/>
        </w:rPr>
      </w:pPr>
      <w:r w:rsidRPr="00A87091">
        <w:rPr>
          <w:rFonts w:ascii="Arial" w:hAnsi="Arial" w:cs="Arial"/>
          <w:b/>
          <w:color w:val="000000" w:themeColor="text1"/>
          <w:sz w:val="22"/>
        </w:rPr>
        <w:t xml:space="preserve">N° Radicado: </w:t>
      </w:r>
      <w:r w:rsidR="007A58D8" w:rsidRPr="007A58D8">
        <w:rPr>
          <w:rFonts w:ascii="Arial" w:hAnsi="Arial" w:cs="Arial"/>
          <w:b/>
          <w:color w:val="000000" w:themeColor="text1"/>
          <w:sz w:val="22"/>
        </w:rPr>
        <w:t>RS20210302001548</w:t>
      </w:r>
    </w:p>
    <w:p w14:paraId="4ED669B5" w14:textId="77777777" w:rsidR="00BE1E33" w:rsidRPr="00A87091" w:rsidRDefault="00BE1E33" w:rsidP="00BE1E33">
      <w:pPr>
        <w:rPr>
          <w:rFonts w:ascii="Arial" w:eastAsia="Calibri" w:hAnsi="Arial" w:cs="Arial"/>
          <w:color w:val="000000" w:themeColor="text1"/>
          <w:sz w:val="22"/>
        </w:rPr>
      </w:pPr>
    </w:p>
    <w:p w14:paraId="12A234ED" w14:textId="77777777" w:rsidR="00BE1E33" w:rsidRPr="00A87091" w:rsidRDefault="00BE1E33" w:rsidP="00BE1E33">
      <w:pPr>
        <w:rPr>
          <w:rFonts w:ascii="Arial" w:eastAsia="Calibri" w:hAnsi="Arial" w:cs="Arial"/>
          <w:color w:val="000000" w:themeColor="text1"/>
          <w:sz w:val="22"/>
        </w:rPr>
      </w:pPr>
    </w:p>
    <w:p w14:paraId="73D51859" w14:textId="69F388B8" w:rsidR="00BE1E33" w:rsidRPr="00A87091" w:rsidRDefault="00E6266E" w:rsidP="00BE1E33">
      <w:pPr>
        <w:rPr>
          <w:rFonts w:ascii="Arial" w:eastAsia="Calibri" w:hAnsi="Arial" w:cs="Arial"/>
          <w:color w:val="000000" w:themeColor="text1"/>
          <w:sz w:val="22"/>
        </w:rPr>
      </w:pPr>
      <w:r w:rsidRPr="00A87091">
        <w:rPr>
          <w:rFonts w:ascii="Arial" w:eastAsia="Calibri" w:hAnsi="Arial" w:cs="Arial"/>
          <w:color w:val="000000" w:themeColor="text1"/>
          <w:sz w:val="22"/>
        </w:rPr>
        <w:t>Señor</w:t>
      </w:r>
      <w:r w:rsidR="004136F6" w:rsidRPr="00A87091">
        <w:rPr>
          <w:rFonts w:ascii="Arial" w:eastAsia="Calibri" w:hAnsi="Arial" w:cs="Arial"/>
          <w:color w:val="000000" w:themeColor="text1"/>
          <w:sz w:val="22"/>
        </w:rPr>
        <w:t>a</w:t>
      </w:r>
    </w:p>
    <w:p w14:paraId="03AD14DE" w14:textId="65D5EA28" w:rsidR="00C95532" w:rsidRPr="00A87091" w:rsidRDefault="004136F6" w:rsidP="00BE1E33">
      <w:pPr>
        <w:rPr>
          <w:rFonts w:ascii="Arial" w:eastAsia="Calibri" w:hAnsi="Arial" w:cs="Arial"/>
          <w:b/>
          <w:color w:val="000000" w:themeColor="text1"/>
          <w:sz w:val="22"/>
        </w:rPr>
      </w:pPr>
      <w:r w:rsidRPr="00A87091">
        <w:rPr>
          <w:rFonts w:ascii="Arial" w:eastAsia="Calibri" w:hAnsi="Arial" w:cs="Arial"/>
          <w:b/>
          <w:color w:val="000000" w:themeColor="text1"/>
          <w:sz w:val="22"/>
        </w:rPr>
        <w:t xml:space="preserve">Andrea Paola </w:t>
      </w:r>
      <w:bookmarkStart w:id="0" w:name="_Hlk65065445"/>
      <w:r w:rsidRPr="00A87091">
        <w:rPr>
          <w:rFonts w:ascii="Arial" w:eastAsia="Calibri" w:hAnsi="Arial" w:cs="Arial"/>
          <w:b/>
          <w:color w:val="000000" w:themeColor="text1"/>
          <w:sz w:val="22"/>
        </w:rPr>
        <w:t>González Bernal</w:t>
      </w:r>
      <w:bookmarkEnd w:id="0"/>
    </w:p>
    <w:p w14:paraId="04EF8353" w14:textId="45F60F6C" w:rsidR="00BE1E33" w:rsidRPr="00A87091" w:rsidRDefault="004136F6" w:rsidP="00BE1E33">
      <w:pPr>
        <w:rPr>
          <w:rFonts w:ascii="Arial" w:eastAsia="Calibri" w:hAnsi="Arial" w:cs="Arial"/>
          <w:color w:val="000000" w:themeColor="text1"/>
          <w:sz w:val="22"/>
        </w:rPr>
      </w:pPr>
      <w:r w:rsidRPr="00A87091">
        <w:rPr>
          <w:rFonts w:ascii="Arial" w:eastAsia="Calibri" w:hAnsi="Arial" w:cs="Arial"/>
          <w:color w:val="000000" w:themeColor="text1"/>
          <w:sz w:val="22"/>
        </w:rPr>
        <w:t>Villavicencio</w:t>
      </w:r>
      <w:r w:rsidR="00C95532" w:rsidRPr="00A87091">
        <w:rPr>
          <w:rFonts w:ascii="Arial" w:eastAsia="Calibri" w:hAnsi="Arial" w:cs="Arial"/>
          <w:color w:val="000000" w:themeColor="text1"/>
          <w:sz w:val="22"/>
        </w:rPr>
        <w:t xml:space="preserve">, </w:t>
      </w:r>
      <w:r w:rsidRPr="00A87091">
        <w:rPr>
          <w:rFonts w:ascii="Arial" w:eastAsia="Calibri" w:hAnsi="Arial" w:cs="Arial"/>
          <w:color w:val="000000" w:themeColor="text1"/>
          <w:sz w:val="22"/>
        </w:rPr>
        <w:t>Meta</w:t>
      </w:r>
    </w:p>
    <w:p w14:paraId="738DBA53" w14:textId="541DE0AD" w:rsidR="00BE1E33" w:rsidRPr="00A87091" w:rsidRDefault="00BE1E33" w:rsidP="00BE1E33">
      <w:pPr>
        <w:rPr>
          <w:rFonts w:ascii="Arial" w:eastAsia="Calibri" w:hAnsi="Arial" w:cs="Arial"/>
          <w:color w:val="000000" w:themeColor="text1"/>
          <w:sz w:val="22"/>
        </w:rPr>
      </w:pPr>
    </w:p>
    <w:p w14:paraId="19414064" w14:textId="77777777" w:rsidR="008C3ACC" w:rsidRPr="00A87091" w:rsidRDefault="008C3ACC" w:rsidP="00BE1E33">
      <w:pPr>
        <w:rPr>
          <w:rFonts w:ascii="Arial" w:eastAsia="Calibri" w:hAnsi="Arial" w:cs="Arial"/>
          <w:color w:val="000000" w:themeColor="text1"/>
          <w:sz w:val="22"/>
        </w:rPr>
      </w:pPr>
    </w:p>
    <w:p w14:paraId="5CEA4ADF" w14:textId="1DECE5EB" w:rsidR="00BE1E33" w:rsidRPr="00A87091" w:rsidRDefault="00BE1E33" w:rsidP="00693047">
      <w:pPr>
        <w:spacing w:after="240"/>
        <w:ind w:firstLine="2694"/>
        <w:rPr>
          <w:rFonts w:ascii="Arial" w:eastAsia="Calibri" w:hAnsi="Arial" w:cs="Arial"/>
          <w:b/>
          <w:color w:val="000000" w:themeColor="text1"/>
          <w:sz w:val="22"/>
        </w:rPr>
      </w:pPr>
      <w:r w:rsidRPr="00A87091">
        <w:rPr>
          <w:rFonts w:ascii="Arial" w:eastAsia="Calibri" w:hAnsi="Arial" w:cs="Arial"/>
          <w:b/>
          <w:color w:val="000000" w:themeColor="text1"/>
          <w:sz w:val="22"/>
        </w:rPr>
        <w:t xml:space="preserve">Concepto C </w:t>
      </w:r>
      <w:r w:rsidR="00490DBF" w:rsidRPr="00A87091">
        <w:rPr>
          <w:rFonts w:ascii="Arial" w:eastAsia="Calibri" w:hAnsi="Arial" w:cs="Arial"/>
          <w:b/>
          <w:color w:val="000000" w:themeColor="text1"/>
          <w:sz w:val="22"/>
        </w:rPr>
        <w:t>–</w:t>
      </w:r>
      <w:r w:rsidRPr="00A87091">
        <w:rPr>
          <w:rFonts w:ascii="Arial" w:eastAsia="Calibri" w:hAnsi="Arial" w:cs="Arial"/>
          <w:b/>
          <w:color w:val="000000" w:themeColor="text1"/>
          <w:sz w:val="22"/>
        </w:rPr>
        <w:t xml:space="preserve"> </w:t>
      </w:r>
      <w:r w:rsidR="00C95532" w:rsidRPr="00A87091">
        <w:rPr>
          <w:rFonts w:ascii="Arial" w:eastAsia="Calibri" w:hAnsi="Arial" w:cs="Arial"/>
          <w:b/>
          <w:color w:val="000000" w:themeColor="text1"/>
          <w:sz w:val="22"/>
        </w:rPr>
        <w:t>0</w:t>
      </w:r>
      <w:r w:rsidR="00282756" w:rsidRPr="00A87091">
        <w:rPr>
          <w:rFonts w:ascii="Arial" w:eastAsia="Calibri" w:hAnsi="Arial" w:cs="Arial"/>
          <w:b/>
          <w:color w:val="000000" w:themeColor="text1"/>
          <w:sz w:val="22"/>
        </w:rPr>
        <w:t>3</w:t>
      </w:r>
      <w:r w:rsidR="00C95532" w:rsidRPr="00A87091">
        <w:rPr>
          <w:rFonts w:ascii="Arial" w:eastAsia="Calibri" w:hAnsi="Arial" w:cs="Arial"/>
          <w:b/>
          <w:color w:val="000000" w:themeColor="text1"/>
          <w:sz w:val="22"/>
        </w:rPr>
        <w:t>5</w:t>
      </w:r>
      <w:r w:rsidR="000100E8" w:rsidRPr="00A87091">
        <w:rPr>
          <w:rFonts w:ascii="Arial" w:eastAsia="Calibri" w:hAnsi="Arial" w:cs="Arial"/>
          <w:b/>
          <w:color w:val="000000" w:themeColor="text1"/>
          <w:sz w:val="22"/>
        </w:rPr>
        <w:t xml:space="preserve"> </w:t>
      </w:r>
      <w:r w:rsidRPr="00A87091">
        <w:rPr>
          <w:rFonts w:ascii="Arial" w:eastAsia="Calibri" w:hAnsi="Arial" w:cs="Arial"/>
          <w:b/>
          <w:color w:val="000000" w:themeColor="text1"/>
          <w:sz w:val="22"/>
        </w:rPr>
        <w:t>de 202</w:t>
      </w:r>
      <w:r w:rsidR="00C95532" w:rsidRPr="00A87091">
        <w:rPr>
          <w:rFonts w:ascii="Arial" w:eastAsia="Calibri" w:hAnsi="Arial" w:cs="Arial"/>
          <w:b/>
          <w:color w:val="000000" w:themeColor="text1"/>
          <w:sz w:val="22"/>
        </w:rPr>
        <w:t>1</w:t>
      </w:r>
    </w:p>
    <w:p w14:paraId="234727AD" w14:textId="77777777" w:rsidR="00BE1E33" w:rsidRPr="00A87091" w:rsidRDefault="00BE1E33" w:rsidP="00693047">
      <w:pPr>
        <w:spacing w:after="240"/>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A87091" w14:paraId="2553E4F3" w14:textId="77777777" w:rsidTr="00AC43E7">
        <w:tc>
          <w:tcPr>
            <w:tcW w:w="2689" w:type="dxa"/>
            <w:hideMark/>
          </w:tcPr>
          <w:p w14:paraId="7BC9E971" w14:textId="77777777" w:rsidR="00BE1E33" w:rsidRPr="00A87091" w:rsidRDefault="00BE1E33" w:rsidP="00693047">
            <w:pPr>
              <w:spacing w:after="240"/>
              <w:rPr>
                <w:rFonts w:ascii="Arial" w:eastAsia="Calibri" w:hAnsi="Arial" w:cs="Arial"/>
                <w:color w:val="000000" w:themeColor="text1"/>
                <w:sz w:val="22"/>
              </w:rPr>
            </w:pPr>
            <w:r w:rsidRPr="00A87091">
              <w:rPr>
                <w:rFonts w:ascii="Arial" w:eastAsia="Calibri" w:hAnsi="Arial" w:cs="Arial"/>
                <w:b/>
                <w:color w:val="000000" w:themeColor="text1"/>
                <w:sz w:val="22"/>
              </w:rPr>
              <w:t>Temas:</w:t>
            </w:r>
            <w:r w:rsidRPr="00A87091">
              <w:rPr>
                <w:rFonts w:ascii="Arial" w:eastAsia="Calibri" w:hAnsi="Arial" w:cs="Arial"/>
                <w:color w:val="000000" w:themeColor="text1"/>
                <w:sz w:val="22"/>
              </w:rPr>
              <w:t xml:space="preserve">           </w:t>
            </w:r>
          </w:p>
          <w:p w14:paraId="0C0D8CD7" w14:textId="77777777" w:rsidR="00BE1E33" w:rsidRPr="00A87091" w:rsidRDefault="00BE1E33" w:rsidP="00693047">
            <w:pPr>
              <w:spacing w:after="240"/>
              <w:rPr>
                <w:rFonts w:ascii="Arial" w:eastAsia="Calibri" w:hAnsi="Arial" w:cs="Arial"/>
                <w:color w:val="000000" w:themeColor="text1"/>
                <w:sz w:val="22"/>
              </w:rPr>
            </w:pPr>
            <w:r w:rsidRPr="00A87091">
              <w:rPr>
                <w:rFonts w:ascii="Arial" w:eastAsia="Calibri" w:hAnsi="Arial" w:cs="Arial"/>
                <w:color w:val="000000" w:themeColor="text1"/>
                <w:sz w:val="22"/>
              </w:rPr>
              <w:t xml:space="preserve">                           </w:t>
            </w:r>
          </w:p>
        </w:tc>
        <w:tc>
          <w:tcPr>
            <w:tcW w:w="6237" w:type="dxa"/>
            <w:hideMark/>
          </w:tcPr>
          <w:p w14:paraId="0F35FDBD" w14:textId="21F8BA47" w:rsidR="00BE1E33" w:rsidRPr="00A87091" w:rsidRDefault="00E7389E" w:rsidP="00693047">
            <w:pPr>
              <w:spacing w:after="240"/>
              <w:jc w:val="both"/>
              <w:rPr>
                <w:rFonts w:ascii="Arial" w:eastAsia="Calibri" w:hAnsi="Arial" w:cs="Arial"/>
                <w:color w:val="000000" w:themeColor="text1"/>
                <w:sz w:val="22"/>
              </w:rPr>
            </w:pPr>
            <w:r w:rsidRPr="00A87091">
              <w:rPr>
                <w:rFonts w:ascii="Arial" w:eastAsia="Calibri" w:hAnsi="Arial" w:cs="Arial"/>
                <w:color w:val="000000" w:themeColor="text1"/>
                <w:sz w:val="22"/>
              </w:rPr>
              <w:t>LEY DE EMPRENDIMIENTO – Finalidad</w:t>
            </w:r>
            <w:r w:rsidR="00A648E0" w:rsidRPr="00A87091">
              <w:rPr>
                <w:rFonts w:ascii="Arial" w:eastAsia="Calibri" w:hAnsi="Arial" w:cs="Arial"/>
                <w:color w:val="000000" w:themeColor="text1"/>
                <w:sz w:val="22"/>
              </w:rPr>
              <w:t xml:space="preserve"> </w:t>
            </w:r>
            <w:r w:rsidR="00FA0CF5" w:rsidRPr="00A87091">
              <w:rPr>
                <w:rFonts w:ascii="Arial" w:eastAsia="Calibri" w:hAnsi="Arial" w:cs="Arial"/>
                <w:color w:val="000000" w:themeColor="text1"/>
                <w:sz w:val="22"/>
              </w:rPr>
              <w:t xml:space="preserve">/ </w:t>
            </w:r>
            <w:r w:rsidRPr="00A87091">
              <w:rPr>
                <w:rFonts w:ascii="Arial" w:eastAsia="Calibri" w:hAnsi="Arial" w:cs="Arial"/>
                <w:color w:val="000000" w:themeColor="text1"/>
                <w:sz w:val="22"/>
              </w:rPr>
              <w:t>RELACIÓN ENTRE LA LEY Y EL REGLAMENTO – Tesis de la aplicación directa – Tesis de la reglamentación – Diferencias</w:t>
            </w:r>
            <w:r w:rsidR="00C8308A" w:rsidRPr="00A87091">
              <w:rPr>
                <w:rFonts w:ascii="Arial" w:eastAsia="Calibri" w:hAnsi="Arial" w:cs="Arial"/>
                <w:color w:val="000000" w:themeColor="text1"/>
                <w:sz w:val="22"/>
              </w:rPr>
              <w:t xml:space="preserve"> / </w:t>
            </w:r>
            <w:r w:rsidR="00814030" w:rsidRPr="00A87091">
              <w:rPr>
                <w:rFonts w:ascii="Arial" w:eastAsia="Calibri" w:hAnsi="Arial" w:cs="Arial"/>
                <w:color w:val="000000" w:themeColor="text1"/>
                <w:sz w:val="22"/>
              </w:rPr>
              <w:t>REGLAMENTACIÓN PREVIA – Ley 2069 de 2020 – Documentos tipo – Licitación – Agua potable y saneamiento básico</w:t>
            </w:r>
          </w:p>
        </w:tc>
      </w:tr>
      <w:tr w:rsidR="003F6D32" w:rsidRPr="00A87091" w14:paraId="20F2A3B6" w14:textId="77777777" w:rsidTr="00AC43E7">
        <w:tc>
          <w:tcPr>
            <w:tcW w:w="2689" w:type="dxa"/>
          </w:tcPr>
          <w:p w14:paraId="1E82F4FA" w14:textId="77777777" w:rsidR="00BE1E33" w:rsidRPr="00A87091" w:rsidRDefault="00BE1E33" w:rsidP="00693047">
            <w:pPr>
              <w:spacing w:before="120" w:after="240"/>
              <w:rPr>
                <w:rFonts w:ascii="Arial" w:eastAsia="Calibri" w:hAnsi="Arial" w:cs="Arial"/>
                <w:b/>
                <w:color w:val="000000" w:themeColor="text1"/>
                <w:sz w:val="22"/>
              </w:rPr>
            </w:pPr>
            <w:r w:rsidRPr="00A87091">
              <w:rPr>
                <w:rFonts w:ascii="Arial" w:eastAsia="Calibri" w:hAnsi="Arial" w:cs="Arial"/>
                <w:b/>
                <w:color w:val="000000" w:themeColor="text1"/>
                <w:sz w:val="22"/>
              </w:rPr>
              <w:t>Radicación:</w:t>
            </w:r>
            <w:r w:rsidRPr="00A87091">
              <w:rPr>
                <w:rFonts w:ascii="Arial" w:eastAsia="Calibri" w:hAnsi="Arial" w:cs="Arial"/>
                <w:color w:val="000000" w:themeColor="text1"/>
                <w:sz w:val="22"/>
              </w:rPr>
              <w:t xml:space="preserve">                              </w:t>
            </w:r>
          </w:p>
        </w:tc>
        <w:tc>
          <w:tcPr>
            <w:tcW w:w="6237" w:type="dxa"/>
          </w:tcPr>
          <w:p w14:paraId="20FCE53A" w14:textId="5C98B8B9" w:rsidR="00BE1E33" w:rsidRPr="00A87091" w:rsidRDefault="00BE1E33" w:rsidP="00693047">
            <w:pPr>
              <w:spacing w:before="120" w:after="240"/>
              <w:jc w:val="both"/>
              <w:rPr>
                <w:rFonts w:ascii="Arial" w:eastAsia="Calibri" w:hAnsi="Arial" w:cs="Arial"/>
                <w:color w:val="000000" w:themeColor="text1"/>
                <w:sz w:val="22"/>
              </w:rPr>
            </w:pPr>
            <w:r w:rsidRPr="00A87091">
              <w:rPr>
                <w:rFonts w:ascii="Arial" w:eastAsia="Calibri" w:hAnsi="Arial" w:cs="Arial"/>
                <w:color w:val="000000" w:themeColor="text1"/>
                <w:sz w:val="22"/>
              </w:rPr>
              <w:t xml:space="preserve">Respuesta a </w:t>
            </w:r>
            <w:r w:rsidR="004136F6" w:rsidRPr="00A87091">
              <w:rPr>
                <w:rFonts w:ascii="Arial" w:eastAsia="Calibri" w:hAnsi="Arial" w:cs="Arial"/>
                <w:color w:val="000000" w:themeColor="text1"/>
                <w:sz w:val="22"/>
              </w:rPr>
              <w:t xml:space="preserve">la </w:t>
            </w:r>
            <w:r w:rsidRPr="00A87091">
              <w:rPr>
                <w:rFonts w:ascii="Arial" w:eastAsia="Calibri" w:hAnsi="Arial" w:cs="Arial"/>
                <w:color w:val="000000" w:themeColor="text1"/>
                <w:sz w:val="22"/>
              </w:rPr>
              <w:t xml:space="preserve">consulta </w:t>
            </w:r>
            <w:r w:rsidR="004136F6" w:rsidRPr="00A87091">
              <w:rPr>
                <w:rFonts w:ascii="Arial" w:eastAsia="Calibri" w:hAnsi="Arial" w:cs="Arial"/>
                <w:color w:val="000000" w:themeColor="text1"/>
                <w:sz w:val="22"/>
              </w:rPr>
              <w:t>P20210119000374</w:t>
            </w:r>
          </w:p>
        </w:tc>
      </w:tr>
    </w:tbl>
    <w:p w14:paraId="177F3517" w14:textId="77777777" w:rsidR="00BE1E33" w:rsidRPr="00A87091" w:rsidRDefault="00BE1E33" w:rsidP="00BE1E33">
      <w:pPr>
        <w:spacing w:before="120"/>
        <w:jc w:val="both"/>
        <w:rPr>
          <w:rFonts w:ascii="Arial" w:eastAsia="Calibri" w:hAnsi="Arial" w:cs="Arial"/>
          <w:color w:val="000000" w:themeColor="text1"/>
          <w:sz w:val="22"/>
        </w:rPr>
      </w:pPr>
    </w:p>
    <w:p w14:paraId="06248123" w14:textId="77777777" w:rsidR="00BE1E33" w:rsidRPr="00A87091" w:rsidRDefault="00BE1E33" w:rsidP="00BE1E33">
      <w:pPr>
        <w:jc w:val="both"/>
        <w:rPr>
          <w:rFonts w:ascii="Arial" w:eastAsia="Calibri" w:hAnsi="Arial" w:cs="Arial"/>
          <w:color w:val="000000" w:themeColor="text1"/>
          <w:sz w:val="22"/>
        </w:rPr>
      </w:pPr>
    </w:p>
    <w:p w14:paraId="417ABDA8" w14:textId="20CA03B6" w:rsidR="00BE1E33" w:rsidRPr="00A87091" w:rsidRDefault="00BE1E33" w:rsidP="00BE1E33">
      <w:pPr>
        <w:rPr>
          <w:rFonts w:ascii="Arial" w:eastAsia="Calibri" w:hAnsi="Arial" w:cs="Arial"/>
          <w:color w:val="000000" w:themeColor="text1"/>
          <w:sz w:val="22"/>
        </w:rPr>
      </w:pPr>
      <w:r w:rsidRPr="00A87091">
        <w:rPr>
          <w:rFonts w:ascii="Arial" w:eastAsia="Calibri" w:hAnsi="Arial" w:cs="Arial"/>
          <w:color w:val="000000" w:themeColor="text1"/>
          <w:sz w:val="22"/>
        </w:rPr>
        <w:t>Estimad</w:t>
      </w:r>
      <w:r w:rsidR="004136F6" w:rsidRPr="00A87091">
        <w:rPr>
          <w:rFonts w:ascii="Arial" w:eastAsia="Calibri" w:hAnsi="Arial" w:cs="Arial"/>
          <w:color w:val="000000" w:themeColor="text1"/>
          <w:sz w:val="22"/>
        </w:rPr>
        <w:t>a</w:t>
      </w:r>
      <w:r w:rsidR="009C27A9" w:rsidRPr="00A87091">
        <w:rPr>
          <w:rFonts w:ascii="Arial" w:eastAsia="Calibri" w:hAnsi="Arial" w:cs="Arial"/>
          <w:color w:val="000000" w:themeColor="text1"/>
          <w:sz w:val="22"/>
        </w:rPr>
        <w:t xml:space="preserve"> </w:t>
      </w:r>
      <w:r w:rsidR="008C3ACC" w:rsidRPr="00A87091">
        <w:rPr>
          <w:rFonts w:ascii="Arial" w:eastAsia="Calibri" w:hAnsi="Arial" w:cs="Arial"/>
          <w:color w:val="000000" w:themeColor="text1"/>
          <w:sz w:val="22"/>
        </w:rPr>
        <w:t>señor</w:t>
      </w:r>
      <w:r w:rsidR="004136F6" w:rsidRPr="00A87091">
        <w:rPr>
          <w:rFonts w:ascii="Arial" w:eastAsia="Calibri" w:hAnsi="Arial" w:cs="Arial"/>
          <w:color w:val="000000" w:themeColor="text1"/>
          <w:sz w:val="22"/>
        </w:rPr>
        <w:t>a</w:t>
      </w:r>
      <w:r w:rsidR="00C95532" w:rsidRPr="00A87091">
        <w:rPr>
          <w:rFonts w:ascii="Arial" w:eastAsia="Calibri" w:hAnsi="Arial" w:cs="Arial"/>
          <w:color w:val="000000" w:themeColor="text1"/>
          <w:sz w:val="22"/>
        </w:rPr>
        <w:t xml:space="preserve"> </w:t>
      </w:r>
      <w:r w:rsidR="004136F6" w:rsidRPr="00A87091">
        <w:rPr>
          <w:rFonts w:ascii="Arial" w:eastAsia="Calibri" w:hAnsi="Arial" w:cs="Arial"/>
          <w:color w:val="000000" w:themeColor="text1"/>
          <w:sz w:val="22"/>
        </w:rPr>
        <w:t>González Bernal</w:t>
      </w:r>
      <w:r w:rsidRPr="00A87091">
        <w:rPr>
          <w:rFonts w:ascii="Arial" w:eastAsia="Calibri" w:hAnsi="Arial" w:cs="Arial"/>
          <w:color w:val="000000" w:themeColor="text1"/>
          <w:sz w:val="22"/>
        </w:rPr>
        <w:t>:</w:t>
      </w:r>
    </w:p>
    <w:p w14:paraId="1CCABABD" w14:textId="77777777" w:rsidR="00BE1E33" w:rsidRPr="00A87091" w:rsidRDefault="00BE1E33" w:rsidP="00BE1E33">
      <w:pPr>
        <w:rPr>
          <w:rFonts w:ascii="Arial" w:eastAsia="Calibri" w:hAnsi="Arial" w:cs="Arial"/>
          <w:color w:val="000000" w:themeColor="text1"/>
          <w:sz w:val="22"/>
        </w:rPr>
      </w:pPr>
    </w:p>
    <w:p w14:paraId="286A9CEF" w14:textId="05D3AAB9" w:rsidR="00BE1E33" w:rsidRPr="00A87091" w:rsidRDefault="00BE1E33" w:rsidP="00BE1E33">
      <w:pPr>
        <w:spacing w:line="276" w:lineRule="auto"/>
        <w:jc w:val="both"/>
        <w:rPr>
          <w:rFonts w:ascii="Arial" w:eastAsia="Calibri" w:hAnsi="Arial" w:cs="Arial"/>
          <w:color w:val="000000" w:themeColor="text1"/>
          <w:sz w:val="22"/>
        </w:rPr>
      </w:pPr>
      <w:r w:rsidRPr="00A87091">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sidRPr="00A87091">
        <w:rPr>
          <w:rFonts w:ascii="Arial" w:eastAsia="Calibri" w:hAnsi="Arial" w:cs="Arial"/>
          <w:color w:val="000000" w:themeColor="text1"/>
          <w:sz w:val="22"/>
        </w:rPr>
        <w:t>la consulta realiza</w:t>
      </w:r>
      <w:r w:rsidR="007D6205" w:rsidRPr="00A87091">
        <w:rPr>
          <w:rFonts w:ascii="Arial" w:eastAsia="Calibri" w:hAnsi="Arial" w:cs="Arial"/>
          <w:color w:val="000000" w:themeColor="text1"/>
          <w:sz w:val="22"/>
        </w:rPr>
        <w:t>da</w:t>
      </w:r>
      <w:r w:rsidR="00C15574" w:rsidRPr="00A87091">
        <w:rPr>
          <w:rFonts w:ascii="Arial" w:eastAsia="Calibri" w:hAnsi="Arial" w:cs="Arial"/>
          <w:color w:val="000000" w:themeColor="text1"/>
          <w:sz w:val="22"/>
        </w:rPr>
        <w:t xml:space="preserve"> </w:t>
      </w:r>
      <w:r w:rsidRPr="00A87091">
        <w:rPr>
          <w:rFonts w:ascii="Arial" w:eastAsia="Calibri" w:hAnsi="Arial" w:cs="Arial"/>
          <w:color w:val="000000" w:themeColor="text1"/>
          <w:sz w:val="22"/>
        </w:rPr>
        <w:t xml:space="preserve">el </w:t>
      </w:r>
      <w:r w:rsidR="004136F6" w:rsidRPr="00A87091">
        <w:rPr>
          <w:rFonts w:ascii="Arial" w:eastAsia="Calibri" w:hAnsi="Arial" w:cs="Arial"/>
          <w:color w:val="000000" w:themeColor="text1"/>
          <w:sz w:val="22"/>
        </w:rPr>
        <w:t>19</w:t>
      </w:r>
      <w:r w:rsidR="008E4AD1" w:rsidRPr="00A87091">
        <w:rPr>
          <w:rFonts w:ascii="Arial" w:eastAsia="Calibri" w:hAnsi="Arial" w:cs="Arial"/>
          <w:color w:val="000000" w:themeColor="text1"/>
          <w:sz w:val="22"/>
        </w:rPr>
        <w:t xml:space="preserve"> de enero de 2021</w:t>
      </w:r>
      <w:r w:rsidRPr="00A87091">
        <w:rPr>
          <w:rFonts w:ascii="Arial" w:eastAsia="Calibri" w:hAnsi="Arial" w:cs="Arial"/>
          <w:color w:val="000000" w:themeColor="text1"/>
          <w:sz w:val="22"/>
        </w:rPr>
        <w:t xml:space="preserve">. </w:t>
      </w:r>
    </w:p>
    <w:p w14:paraId="1D13401D" w14:textId="77777777" w:rsidR="00BE1E33" w:rsidRPr="00A87091" w:rsidRDefault="00BE1E33" w:rsidP="00BE1E33">
      <w:pPr>
        <w:spacing w:line="276" w:lineRule="auto"/>
        <w:jc w:val="both"/>
        <w:rPr>
          <w:rFonts w:ascii="Arial" w:eastAsia="Calibri" w:hAnsi="Arial" w:cs="Arial"/>
          <w:color w:val="000000" w:themeColor="text1"/>
          <w:sz w:val="22"/>
        </w:rPr>
      </w:pPr>
    </w:p>
    <w:p w14:paraId="068F505C" w14:textId="52D6AD40" w:rsidR="00BE1E33" w:rsidRPr="00A87091"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A87091">
        <w:rPr>
          <w:rFonts w:ascii="Arial" w:eastAsia="Calibri" w:hAnsi="Arial" w:cs="Arial"/>
          <w:b/>
          <w:color w:val="000000" w:themeColor="text1"/>
          <w:sz w:val="22"/>
        </w:rPr>
        <w:t xml:space="preserve">Problema planteado </w:t>
      </w:r>
    </w:p>
    <w:p w14:paraId="430A9943" w14:textId="77777777" w:rsidR="00BE1E33" w:rsidRPr="00A87091" w:rsidRDefault="00BE1E33" w:rsidP="00BE1E33">
      <w:pPr>
        <w:tabs>
          <w:tab w:val="left" w:pos="426"/>
        </w:tabs>
        <w:spacing w:line="276" w:lineRule="auto"/>
        <w:jc w:val="both"/>
        <w:rPr>
          <w:rFonts w:ascii="Arial" w:eastAsia="Calibri" w:hAnsi="Arial" w:cs="Arial"/>
          <w:b/>
          <w:color w:val="000000" w:themeColor="text1"/>
          <w:sz w:val="22"/>
        </w:rPr>
      </w:pPr>
    </w:p>
    <w:p w14:paraId="1EBED483" w14:textId="4E846CCB" w:rsidR="00185441" w:rsidRPr="00A87091" w:rsidRDefault="00C440E3" w:rsidP="001D59C7">
      <w:pPr>
        <w:tabs>
          <w:tab w:val="left" w:pos="426"/>
        </w:tabs>
        <w:spacing w:line="276" w:lineRule="auto"/>
        <w:jc w:val="both"/>
        <w:rPr>
          <w:rFonts w:ascii="Arial" w:eastAsia="Calibri" w:hAnsi="Arial" w:cs="Arial"/>
          <w:color w:val="000000" w:themeColor="text1"/>
          <w:sz w:val="22"/>
        </w:rPr>
      </w:pPr>
      <w:bookmarkStart w:id="1" w:name="_Hlk49352499"/>
      <w:bookmarkStart w:id="2" w:name="_Hlk41142281"/>
      <w:bookmarkStart w:id="3" w:name="_Hlk41043439"/>
      <w:bookmarkStart w:id="4" w:name="_Hlk65071891"/>
      <w:r w:rsidRPr="00A87091">
        <w:rPr>
          <w:rFonts w:ascii="Arial" w:eastAsia="Calibri" w:hAnsi="Arial" w:cs="Arial"/>
          <w:color w:val="000000" w:themeColor="text1"/>
          <w:sz w:val="22"/>
        </w:rPr>
        <w:t>Sobre</w:t>
      </w:r>
      <w:r w:rsidR="008E4AD1" w:rsidRPr="00A87091">
        <w:rPr>
          <w:rFonts w:ascii="Arial" w:eastAsia="Calibri" w:hAnsi="Arial" w:cs="Arial"/>
          <w:color w:val="000000" w:themeColor="text1"/>
          <w:sz w:val="22"/>
        </w:rPr>
        <w:t xml:space="preserve"> </w:t>
      </w:r>
      <w:r w:rsidR="004F767D" w:rsidRPr="00A87091">
        <w:rPr>
          <w:rFonts w:ascii="Arial" w:eastAsia="Calibri" w:hAnsi="Arial" w:cs="Arial"/>
          <w:color w:val="000000" w:themeColor="text1"/>
          <w:sz w:val="22"/>
        </w:rPr>
        <w:t>la Ley de Emprendimiento</w:t>
      </w:r>
      <w:r w:rsidR="008E4AD1" w:rsidRPr="00A87091">
        <w:rPr>
          <w:rFonts w:ascii="Arial" w:eastAsia="Calibri" w:hAnsi="Arial" w:cs="Arial"/>
          <w:color w:val="000000" w:themeColor="text1"/>
          <w:sz w:val="22"/>
        </w:rPr>
        <w:t>, u</w:t>
      </w:r>
      <w:r w:rsidR="00950763" w:rsidRPr="00A87091">
        <w:rPr>
          <w:rFonts w:ascii="Arial" w:eastAsia="Calibri" w:hAnsi="Arial" w:cs="Arial"/>
          <w:color w:val="000000" w:themeColor="text1"/>
          <w:sz w:val="22"/>
        </w:rPr>
        <w:t>sted realiza la siguiente pregunta</w:t>
      </w:r>
      <w:bookmarkEnd w:id="1"/>
      <w:bookmarkEnd w:id="2"/>
      <w:bookmarkEnd w:id="3"/>
      <w:r w:rsidR="0091306D" w:rsidRPr="00A87091">
        <w:rPr>
          <w:rFonts w:ascii="Arial" w:eastAsia="Calibri" w:hAnsi="Arial" w:cs="Arial"/>
          <w:color w:val="000000" w:themeColor="text1"/>
          <w:sz w:val="22"/>
        </w:rPr>
        <w:t>: «[...]</w:t>
      </w:r>
      <w:r w:rsidR="0091306D" w:rsidRPr="00A87091">
        <w:t xml:space="preserve"> </w:t>
      </w:r>
      <w:r w:rsidR="0091306D" w:rsidRPr="00A87091">
        <w:rPr>
          <w:rFonts w:ascii="Arial" w:eastAsia="Calibri" w:hAnsi="Arial" w:cs="Arial"/>
          <w:color w:val="000000" w:themeColor="text1"/>
          <w:sz w:val="22"/>
        </w:rPr>
        <w:t>en los pliegos tipo de APSB se deben aplicar y ajustar los artículos 30 al 36 de la Ley 2069 de 2020, el cual rige a partir del 31 de diciembre 2020. Lo cual no se encuentra congruente al decreto reglamentario 1082 de 2015, ya que no ha sido modificado, ni derogado, ni adicionado. En ese orden de ideas las entidades deberán dar cumplimiento a la Ley 2069 de 2020 o a la Ley 1150 de 2007 reglamentado con el decreto 1082 de 2015»</w:t>
      </w:r>
      <w:bookmarkEnd w:id="4"/>
      <w:r w:rsidR="0091306D" w:rsidRPr="00A87091">
        <w:rPr>
          <w:rFonts w:ascii="Arial" w:eastAsia="Calibri" w:hAnsi="Arial" w:cs="Arial"/>
          <w:color w:val="000000" w:themeColor="text1"/>
          <w:sz w:val="22"/>
        </w:rPr>
        <w:t>.</w:t>
      </w:r>
    </w:p>
    <w:p w14:paraId="199B2883" w14:textId="77777777" w:rsidR="00F103DC" w:rsidRPr="00A87091" w:rsidRDefault="00F103DC" w:rsidP="00F103DC">
      <w:pPr>
        <w:tabs>
          <w:tab w:val="left" w:pos="709"/>
        </w:tabs>
        <w:spacing w:line="276" w:lineRule="auto"/>
        <w:jc w:val="both"/>
        <w:rPr>
          <w:rFonts w:ascii="Arial" w:eastAsia="Calibri" w:hAnsi="Arial" w:cs="Arial"/>
          <w:color w:val="000000" w:themeColor="text1"/>
          <w:sz w:val="22"/>
        </w:rPr>
      </w:pPr>
    </w:p>
    <w:p w14:paraId="4FA382BE" w14:textId="3E67759C" w:rsidR="001D59C7" w:rsidRPr="00A87091"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A87091">
        <w:rPr>
          <w:rFonts w:ascii="Arial" w:eastAsia="Calibri" w:hAnsi="Arial" w:cs="Arial"/>
          <w:b/>
          <w:color w:val="000000" w:themeColor="text1"/>
          <w:sz w:val="22"/>
        </w:rPr>
        <w:t>Consideraciones</w:t>
      </w:r>
    </w:p>
    <w:p w14:paraId="2217C81A" w14:textId="77777777" w:rsidR="001D59C7" w:rsidRPr="00A87091" w:rsidRDefault="001D59C7" w:rsidP="001D59C7">
      <w:pPr>
        <w:tabs>
          <w:tab w:val="left" w:pos="426"/>
        </w:tabs>
        <w:spacing w:line="276" w:lineRule="auto"/>
        <w:jc w:val="both"/>
        <w:rPr>
          <w:rFonts w:ascii="Arial" w:eastAsia="Calibri" w:hAnsi="Arial" w:cs="Arial"/>
          <w:bCs/>
          <w:color w:val="000000" w:themeColor="text1"/>
          <w:sz w:val="22"/>
        </w:rPr>
      </w:pPr>
    </w:p>
    <w:p w14:paraId="61868583" w14:textId="45F9DC77" w:rsidR="001D59C7" w:rsidRPr="00A87091" w:rsidRDefault="001D59C7" w:rsidP="001D59C7">
      <w:pPr>
        <w:tabs>
          <w:tab w:val="left" w:pos="426"/>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lastRenderedPageBreak/>
        <w:t>Para resolver la inquietud planteada</w:t>
      </w:r>
      <w:r w:rsidR="0091306D" w:rsidRPr="00A87091">
        <w:rPr>
          <w:rFonts w:ascii="Arial" w:eastAsia="Calibri" w:hAnsi="Arial" w:cs="Arial"/>
          <w:bCs/>
          <w:color w:val="000000" w:themeColor="text1"/>
          <w:sz w:val="22"/>
        </w:rPr>
        <w:t xml:space="preserve"> respecto a los documentos tipo de licitación de obra pública de agua potable y saneamiento básico</w:t>
      </w:r>
      <w:r w:rsidR="00A15DFB"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xml:space="preserve"> se explicará</w:t>
      </w:r>
      <w:r w:rsidR="009646AE" w:rsidRPr="00A87091">
        <w:rPr>
          <w:rFonts w:ascii="Arial" w:eastAsia="Calibri" w:hAnsi="Arial" w:cs="Arial"/>
          <w:bCs/>
          <w:color w:val="000000" w:themeColor="text1"/>
          <w:sz w:val="22"/>
        </w:rPr>
        <w:t xml:space="preserve"> la necesidad de la reglamentación</w:t>
      </w:r>
      <w:r w:rsidR="00ED2B88" w:rsidRPr="00A87091">
        <w:rPr>
          <w:rFonts w:ascii="Arial" w:eastAsia="Calibri" w:hAnsi="Arial" w:cs="Arial"/>
          <w:bCs/>
          <w:color w:val="000000" w:themeColor="text1"/>
          <w:sz w:val="22"/>
        </w:rPr>
        <w:t xml:space="preserve"> de los artículos 31, 32, 34 </w:t>
      </w:r>
      <w:r w:rsidR="000221C2" w:rsidRPr="00A87091">
        <w:rPr>
          <w:rFonts w:ascii="Arial" w:eastAsia="Calibri" w:hAnsi="Arial" w:cs="Arial"/>
          <w:bCs/>
          <w:color w:val="000000" w:themeColor="text1"/>
          <w:sz w:val="22"/>
        </w:rPr>
        <w:t xml:space="preserve">y 36 de la </w:t>
      </w:r>
      <w:bookmarkStart w:id="5" w:name="_Hlk63688922"/>
      <w:r w:rsidR="000221C2" w:rsidRPr="00A87091">
        <w:rPr>
          <w:rFonts w:ascii="Arial" w:eastAsia="Calibri" w:hAnsi="Arial" w:cs="Arial"/>
          <w:bCs/>
          <w:color w:val="000000" w:themeColor="text1"/>
          <w:sz w:val="22"/>
        </w:rPr>
        <w:t>Ley 2069 del 31 de diciembre de 2020</w:t>
      </w:r>
      <w:bookmarkEnd w:id="5"/>
      <w:r w:rsidR="000221C2" w:rsidRPr="00A87091">
        <w:rPr>
          <w:rFonts w:ascii="Arial" w:eastAsia="Calibri" w:hAnsi="Arial" w:cs="Arial"/>
          <w:bCs/>
          <w:color w:val="000000" w:themeColor="text1"/>
          <w:sz w:val="22"/>
        </w:rPr>
        <w:t xml:space="preserve"> como una condición para</w:t>
      </w:r>
      <w:r w:rsidR="00917B15" w:rsidRPr="00A87091">
        <w:rPr>
          <w:rFonts w:ascii="Arial" w:eastAsia="Calibri" w:hAnsi="Arial" w:cs="Arial"/>
          <w:bCs/>
          <w:color w:val="000000" w:themeColor="text1"/>
          <w:sz w:val="22"/>
        </w:rPr>
        <w:t xml:space="preserve"> su</w:t>
      </w:r>
      <w:r w:rsidR="000221C2" w:rsidRPr="00A87091">
        <w:rPr>
          <w:rFonts w:ascii="Arial" w:eastAsia="Calibri" w:hAnsi="Arial" w:cs="Arial"/>
          <w:bCs/>
          <w:color w:val="000000" w:themeColor="text1"/>
          <w:sz w:val="22"/>
        </w:rPr>
        <w:t xml:space="preserve"> </w:t>
      </w:r>
      <w:r w:rsidR="00917B15" w:rsidRPr="00A87091">
        <w:rPr>
          <w:rFonts w:ascii="Arial" w:eastAsia="Calibri" w:hAnsi="Arial" w:cs="Arial"/>
          <w:bCs/>
          <w:color w:val="000000" w:themeColor="text1"/>
          <w:sz w:val="22"/>
        </w:rPr>
        <w:t>entrada vigencia, previo análisis del contenido normativo de estas disposiciones</w:t>
      </w:r>
      <w:r w:rsidR="009646AE" w:rsidRPr="00A87091">
        <w:rPr>
          <w:rFonts w:ascii="Arial" w:eastAsia="Calibri" w:hAnsi="Arial" w:cs="Arial"/>
          <w:bCs/>
          <w:color w:val="000000" w:themeColor="text1"/>
          <w:sz w:val="22"/>
        </w:rPr>
        <w:t xml:space="preserve">. </w:t>
      </w:r>
    </w:p>
    <w:p w14:paraId="66E97748" w14:textId="09E1F506" w:rsidR="004774F6" w:rsidRPr="00A87091" w:rsidRDefault="009646AE" w:rsidP="00A148CF">
      <w:pPr>
        <w:tabs>
          <w:tab w:val="left" w:pos="426"/>
        </w:tabs>
        <w:spacing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Pr="00A87091">
        <w:rPr>
          <w:rFonts w:ascii="Arial" w:eastAsia="Calibri" w:hAnsi="Arial" w:cs="Arial"/>
          <w:bCs/>
          <w:color w:val="000000" w:themeColor="text1"/>
          <w:sz w:val="22"/>
        </w:rPr>
        <w:tab/>
      </w:r>
      <w:r w:rsidR="001D59C7" w:rsidRPr="00A87091">
        <w:rPr>
          <w:rFonts w:ascii="Arial" w:eastAsia="Calibri" w:hAnsi="Arial" w:cs="Arial"/>
          <w:bCs/>
          <w:color w:val="000000" w:themeColor="text1"/>
          <w:sz w:val="22"/>
        </w:rPr>
        <w:t xml:space="preserve">La Agencia Nacional de Contratación Pública – Colombia Compra Eficiente, en los Conceptos </w:t>
      </w:r>
      <w:r w:rsidR="00183A65" w:rsidRPr="00A87091">
        <w:rPr>
          <w:rFonts w:ascii="Arial" w:eastAsia="Calibri" w:hAnsi="Arial" w:cs="Arial"/>
          <w:bCs/>
          <w:color w:val="000000" w:themeColor="text1"/>
          <w:sz w:val="22"/>
        </w:rPr>
        <w:t>C-514 del 26 de agosto de 2020, C-516 del 26 de agosto de 2020, C-535 del 26 de agosto de 2020, C-537 del 26 de agosto de 2020, C-538 del 26 de agosto de 2020, C-568 del 26 de agosto de 2020, C-572 del 27 de agosto de 2020</w:t>
      </w:r>
      <w:r w:rsidR="000221C2" w:rsidRPr="00A87091">
        <w:rPr>
          <w:rFonts w:ascii="Arial" w:eastAsia="Calibri" w:hAnsi="Arial" w:cs="Arial"/>
          <w:bCs/>
          <w:color w:val="000000" w:themeColor="text1"/>
          <w:sz w:val="22"/>
        </w:rPr>
        <w:t>,</w:t>
      </w:r>
      <w:r w:rsidR="00823927" w:rsidRPr="00A87091">
        <w:rPr>
          <w:rFonts w:ascii="Arial" w:eastAsia="Calibri" w:hAnsi="Arial" w:cs="Arial"/>
          <w:bCs/>
          <w:color w:val="000000" w:themeColor="text1"/>
          <w:sz w:val="22"/>
        </w:rPr>
        <w:t xml:space="preserve"> </w:t>
      </w:r>
      <w:r w:rsidR="00183A65" w:rsidRPr="00A87091">
        <w:rPr>
          <w:rFonts w:ascii="Arial" w:eastAsia="Calibri" w:hAnsi="Arial" w:cs="Arial"/>
          <w:bCs/>
          <w:color w:val="000000" w:themeColor="text1"/>
          <w:sz w:val="22"/>
        </w:rPr>
        <w:t>C-582 del 28 de agosto de 2020</w:t>
      </w:r>
      <w:r w:rsidR="000221C2" w:rsidRPr="00A87091">
        <w:rPr>
          <w:rFonts w:ascii="Arial" w:eastAsia="Calibri" w:hAnsi="Arial" w:cs="Arial"/>
          <w:bCs/>
          <w:color w:val="000000" w:themeColor="text1"/>
          <w:sz w:val="22"/>
        </w:rPr>
        <w:t xml:space="preserve"> y C-551 del 24 de septiembre de 2020</w:t>
      </w:r>
      <w:r w:rsidR="001D59C7" w:rsidRPr="00A87091">
        <w:rPr>
          <w:rFonts w:ascii="Arial" w:eastAsia="Calibri" w:hAnsi="Arial" w:cs="Arial"/>
          <w:bCs/>
          <w:color w:val="000000" w:themeColor="text1"/>
          <w:sz w:val="22"/>
        </w:rPr>
        <w:t xml:space="preserve">, explicó la </w:t>
      </w:r>
      <w:r w:rsidR="00823927" w:rsidRPr="00A87091">
        <w:rPr>
          <w:rFonts w:ascii="Arial" w:eastAsia="Calibri" w:hAnsi="Arial" w:cs="Arial"/>
          <w:bCs/>
          <w:color w:val="000000" w:themeColor="text1"/>
          <w:sz w:val="22"/>
        </w:rPr>
        <w:t>relación entre la ley y el reglamento, de manera que si bien</w:t>
      </w:r>
      <w:r w:rsidR="00104D9B" w:rsidRPr="00A87091">
        <w:rPr>
          <w:rFonts w:ascii="Arial" w:eastAsia="Calibri" w:hAnsi="Arial" w:cs="Arial"/>
          <w:bCs/>
          <w:color w:val="000000" w:themeColor="text1"/>
          <w:sz w:val="22"/>
        </w:rPr>
        <w:t>,</w:t>
      </w:r>
      <w:r w:rsidR="00823927" w:rsidRPr="00A87091">
        <w:rPr>
          <w:rFonts w:ascii="Arial" w:eastAsia="Calibri" w:hAnsi="Arial" w:cs="Arial"/>
          <w:bCs/>
          <w:color w:val="000000" w:themeColor="text1"/>
          <w:sz w:val="22"/>
        </w:rPr>
        <w:t xml:space="preserve"> por regla general</w:t>
      </w:r>
      <w:r w:rsidR="00104D9B" w:rsidRPr="00A87091">
        <w:rPr>
          <w:rFonts w:ascii="Arial" w:eastAsia="Calibri" w:hAnsi="Arial" w:cs="Arial"/>
          <w:bCs/>
          <w:color w:val="000000" w:themeColor="text1"/>
          <w:sz w:val="22"/>
        </w:rPr>
        <w:t>,</w:t>
      </w:r>
      <w:r w:rsidR="00823927" w:rsidRPr="00A87091">
        <w:rPr>
          <w:rFonts w:ascii="Arial" w:eastAsia="Calibri" w:hAnsi="Arial" w:cs="Arial"/>
          <w:bCs/>
          <w:color w:val="000000" w:themeColor="text1"/>
          <w:sz w:val="22"/>
        </w:rPr>
        <w:t xml:space="preserve"> la primera rige a partir de su promulgación, excepcionalmente esta requiere desarrollo reglamentario como una condición previa para su aplicación</w:t>
      </w:r>
      <w:r w:rsidR="001D59C7" w:rsidRPr="00A87091">
        <w:rPr>
          <w:rFonts w:ascii="Arial" w:eastAsia="Calibri" w:hAnsi="Arial" w:cs="Arial"/>
          <w:bCs/>
          <w:color w:val="000000" w:themeColor="text1"/>
          <w:sz w:val="22"/>
        </w:rPr>
        <w:t>.</w:t>
      </w:r>
      <w:r w:rsidR="000221C2" w:rsidRPr="00A87091">
        <w:rPr>
          <w:rFonts w:ascii="Arial" w:eastAsia="Calibri" w:hAnsi="Arial" w:cs="Arial"/>
          <w:bCs/>
          <w:color w:val="000000" w:themeColor="text1"/>
          <w:sz w:val="22"/>
        </w:rPr>
        <w:t xml:space="preserve"> Igualmente, en los Conceptos</w:t>
      </w:r>
      <w:r w:rsidR="008D2E03" w:rsidRPr="00A87091">
        <w:rPr>
          <w:rFonts w:ascii="Arial" w:eastAsia="Calibri" w:hAnsi="Arial" w:cs="Arial"/>
          <w:bCs/>
          <w:color w:val="000000" w:themeColor="text1"/>
          <w:sz w:val="22"/>
        </w:rPr>
        <w:t xml:space="preserve"> C-009, 012, 013, 015, 016, 026 del 4 de febrero de 2021, así como en l</w:t>
      </w:r>
      <w:r w:rsidR="00147906" w:rsidRPr="00A87091">
        <w:rPr>
          <w:rFonts w:ascii="Arial" w:eastAsia="Calibri" w:hAnsi="Arial" w:cs="Arial"/>
          <w:bCs/>
          <w:color w:val="000000" w:themeColor="text1"/>
          <w:sz w:val="22"/>
        </w:rPr>
        <w:t>os</w:t>
      </w:r>
      <w:r w:rsidR="008D2E03" w:rsidRPr="00A87091">
        <w:rPr>
          <w:rFonts w:ascii="Arial" w:eastAsia="Calibri" w:hAnsi="Arial" w:cs="Arial"/>
          <w:bCs/>
          <w:color w:val="000000" w:themeColor="text1"/>
          <w:sz w:val="22"/>
        </w:rPr>
        <w:t xml:space="preserve"> Concepto</w:t>
      </w:r>
      <w:r w:rsidR="00502957" w:rsidRPr="00A87091">
        <w:rPr>
          <w:rFonts w:ascii="Arial" w:eastAsia="Calibri" w:hAnsi="Arial" w:cs="Arial"/>
          <w:bCs/>
          <w:color w:val="000000" w:themeColor="text1"/>
          <w:sz w:val="22"/>
        </w:rPr>
        <w:t>s</w:t>
      </w:r>
      <w:r w:rsidR="008D2E03" w:rsidRPr="00A87091">
        <w:rPr>
          <w:rFonts w:ascii="Arial" w:eastAsia="Calibri" w:hAnsi="Arial" w:cs="Arial"/>
          <w:bCs/>
          <w:color w:val="000000" w:themeColor="text1"/>
          <w:sz w:val="22"/>
        </w:rPr>
        <w:t xml:space="preserve"> C-006 del 5 de febrero de 2021</w:t>
      </w:r>
      <w:r w:rsidR="0091306D" w:rsidRPr="00A87091">
        <w:rPr>
          <w:rFonts w:ascii="Arial" w:eastAsia="Calibri" w:hAnsi="Arial" w:cs="Arial"/>
          <w:bCs/>
          <w:color w:val="000000" w:themeColor="text1"/>
          <w:sz w:val="22"/>
        </w:rPr>
        <w:t>,</w:t>
      </w:r>
      <w:r w:rsidR="00147906" w:rsidRPr="00A87091">
        <w:rPr>
          <w:rFonts w:ascii="Arial" w:eastAsia="Calibri" w:hAnsi="Arial" w:cs="Arial"/>
          <w:bCs/>
          <w:color w:val="000000" w:themeColor="text1"/>
          <w:sz w:val="22"/>
        </w:rPr>
        <w:t xml:space="preserve"> C-043 del 9 de febrero de 2021</w:t>
      </w:r>
      <w:r w:rsidR="0091306D" w:rsidRPr="00A87091">
        <w:rPr>
          <w:rFonts w:ascii="Arial" w:eastAsia="Calibri" w:hAnsi="Arial" w:cs="Arial"/>
          <w:bCs/>
          <w:color w:val="000000" w:themeColor="text1"/>
          <w:sz w:val="22"/>
        </w:rPr>
        <w:t>, C-005 y C007 del 16 de febrero de 2021</w:t>
      </w:r>
      <w:r w:rsidR="008D2E03" w:rsidRPr="00A87091">
        <w:rPr>
          <w:rFonts w:ascii="Arial" w:eastAsia="Calibri" w:hAnsi="Arial" w:cs="Arial"/>
          <w:bCs/>
          <w:color w:val="000000" w:themeColor="text1"/>
          <w:sz w:val="22"/>
        </w:rPr>
        <w:t xml:space="preserve">, se analizaron algunos aspectos sobre la aplicación de la Ley de Emprendimiento. </w:t>
      </w:r>
      <w:r w:rsidR="00823927" w:rsidRPr="00A87091">
        <w:rPr>
          <w:rFonts w:ascii="Arial" w:eastAsia="Calibri" w:hAnsi="Arial" w:cs="Arial"/>
          <w:bCs/>
          <w:color w:val="000000" w:themeColor="text1"/>
          <w:sz w:val="22"/>
        </w:rPr>
        <w:t>En lo perti</w:t>
      </w:r>
      <w:r w:rsidR="00A148CF" w:rsidRPr="00A87091">
        <w:rPr>
          <w:rFonts w:ascii="Arial" w:eastAsia="Calibri" w:hAnsi="Arial" w:cs="Arial"/>
          <w:bCs/>
          <w:color w:val="000000" w:themeColor="text1"/>
          <w:sz w:val="22"/>
        </w:rPr>
        <w:t>n</w:t>
      </w:r>
      <w:r w:rsidR="00823927" w:rsidRPr="00A87091">
        <w:rPr>
          <w:rFonts w:ascii="Arial" w:eastAsia="Calibri" w:hAnsi="Arial" w:cs="Arial"/>
          <w:bCs/>
          <w:color w:val="000000" w:themeColor="text1"/>
          <w:sz w:val="22"/>
        </w:rPr>
        <w:t>ente, l</w:t>
      </w:r>
      <w:r w:rsidR="001D59C7" w:rsidRPr="00A87091">
        <w:rPr>
          <w:rFonts w:ascii="Arial" w:eastAsia="Calibri" w:hAnsi="Arial" w:cs="Arial"/>
          <w:bCs/>
          <w:color w:val="000000" w:themeColor="text1"/>
          <w:sz w:val="22"/>
        </w:rPr>
        <w:t>a tesis desarrollada en estos conceptos se reitera a continuación:</w:t>
      </w:r>
    </w:p>
    <w:p w14:paraId="79EC5C11" w14:textId="77777777" w:rsidR="00710FD2" w:rsidRPr="00A87091" w:rsidRDefault="00710FD2" w:rsidP="00A148CF">
      <w:pPr>
        <w:tabs>
          <w:tab w:val="left" w:pos="426"/>
        </w:tabs>
        <w:spacing w:line="276" w:lineRule="auto"/>
        <w:jc w:val="both"/>
        <w:rPr>
          <w:rFonts w:ascii="Arial" w:eastAsia="Calibri" w:hAnsi="Arial" w:cs="Arial"/>
          <w:bCs/>
          <w:color w:val="000000" w:themeColor="text1"/>
          <w:sz w:val="22"/>
        </w:rPr>
      </w:pPr>
    </w:p>
    <w:p w14:paraId="3B46707D" w14:textId="41D8976E" w:rsidR="00A148CF" w:rsidRPr="00A87091" w:rsidRDefault="00A148CF" w:rsidP="00A148CF">
      <w:pPr>
        <w:tabs>
          <w:tab w:val="left" w:pos="426"/>
        </w:tabs>
        <w:spacing w:line="276" w:lineRule="auto"/>
        <w:jc w:val="both"/>
        <w:rPr>
          <w:rFonts w:ascii="Arial" w:eastAsia="Calibri" w:hAnsi="Arial" w:cs="Arial"/>
          <w:b/>
          <w:color w:val="000000" w:themeColor="text1"/>
          <w:sz w:val="22"/>
        </w:rPr>
      </w:pPr>
      <w:r w:rsidRPr="00A87091">
        <w:rPr>
          <w:rFonts w:ascii="Arial" w:eastAsia="Calibri" w:hAnsi="Arial" w:cs="Arial"/>
          <w:b/>
          <w:color w:val="000000" w:themeColor="text1"/>
          <w:sz w:val="22"/>
        </w:rPr>
        <w:t xml:space="preserve">2.1. </w:t>
      </w:r>
      <w:r w:rsidR="00BF26A3" w:rsidRPr="00A87091">
        <w:rPr>
          <w:rFonts w:ascii="Arial" w:eastAsia="Calibri" w:hAnsi="Arial" w:cs="Arial"/>
          <w:b/>
          <w:color w:val="000000" w:themeColor="text1"/>
          <w:sz w:val="22"/>
        </w:rPr>
        <w:t xml:space="preserve">Impacto de la Ley 2069 de 2020 </w:t>
      </w:r>
      <w:r w:rsidR="004855A3" w:rsidRPr="00A87091">
        <w:rPr>
          <w:rFonts w:ascii="Arial" w:eastAsia="Calibri" w:hAnsi="Arial" w:cs="Arial"/>
          <w:b/>
          <w:color w:val="000000" w:themeColor="text1"/>
          <w:sz w:val="22"/>
        </w:rPr>
        <w:t>en la contratación estatal</w:t>
      </w:r>
    </w:p>
    <w:p w14:paraId="1733D190" w14:textId="39FB383C" w:rsidR="00407B6E" w:rsidRPr="00A87091" w:rsidRDefault="00407B6E" w:rsidP="00A148CF">
      <w:pPr>
        <w:tabs>
          <w:tab w:val="left" w:pos="426"/>
        </w:tabs>
        <w:spacing w:line="276" w:lineRule="auto"/>
        <w:jc w:val="both"/>
        <w:rPr>
          <w:rFonts w:ascii="Arial" w:eastAsia="Calibri" w:hAnsi="Arial" w:cs="Arial"/>
          <w:b/>
          <w:color w:val="000000" w:themeColor="text1"/>
          <w:sz w:val="22"/>
        </w:rPr>
      </w:pPr>
    </w:p>
    <w:p w14:paraId="7BE5EC34" w14:textId="12F070DF" w:rsidR="00AA2812" w:rsidRPr="00A87091" w:rsidRDefault="00911EA3" w:rsidP="00F52D84">
      <w:pPr>
        <w:tabs>
          <w:tab w:val="left" w:pos="709"/>
        </w:tabs>
        <w:spacing w:after="120" w:line="276" w:lineRule="auto"/>
        <w:jc w:val="both"/>
        <w:rPr>
          <w:rFonts w:ascii="Arial" w:eastAsia="Calibri" w:hAnsi="Arial" w:cs="Arial"/>
          <w:bCs/>
          <w:color w:val="000000" w:themeColor="text1"/>
          <w:sz w:val="21"/>
          <w:szCs w:val="21"/>
        </w:rPr>
      </w:pPr>
      <w:bookmarkStart w:id="6" w:name="_Hlk63883948"/>
      <w:r w:rsidRPr="00A87091">
        <w:rPr>
          <w:rFonts w:ascii="Arial" w:eastAsia="Calibri" w:hAnsi="Arial" w:cs="Arial"/>
          <w:bCs/>
          <w:color w:val="000000" w:themeColor="text1"/>
          <w:sz w:val="22"/>
        </w:rPr>
        <w:t>El pasado 31 de diciembre,</w:t>
      </w:r>
      <w:r w:rsidR="00173A9E" w:rsidRPr="00A87091">
        <w:rPr>
          <w:rFonts w:ascii="Arial" w:eastAsia="Calibri" w:hAnsi="Arial" w:cs="Arial"/>
          <w:bCs/>
          <w:color w:val="000000" w:themeColor="text1"/>
          <w:sz w:val="22"/>
        </w:rPr>
        <w:t xml:space="preserve"> en congruencia con el «Pacto por el emprendimiento, la formalización y la productividad» del Plan Nacional de Desarrollo 2018-2022,</w:t>
      </w:r>
      <w:r w:rsidRPr="00A87091">
        <w:rPr>
          <w:rFonts w:ascii="Arial" w:eastAsia="Calibri" w:hAnsi="Arial" w:cs="Arial"/>
          <w:bCs/>
          <w:color w:val="000000" w:themeColor="text1"/>
          <w:sz w:val="22"/>
        </w:rPr>
        <w:t xml:space="preserve"> el Presidente de la República sancionó la Ley 206</w:t>
      </w:r>
      <w:r w:rsidR="00BD4E32" w:rsidRPr="00A87091">
        <w:rPr>
          <w:rFonts w:ascii="Arial" w:eastAsia="Calibri" w:hAnsi="Arial" w:cs="Arial"/>
          <w:bCs/>
          <w:color w:val="000000" w:themeColor="text1"/>
          <w:sz w:val="22"/>
        </w:rPr>
        <w:t>9</w:t>
      </w:r>
      <w:r w:rsidRPr="00A87091">
        <w:rPr>
          <w:rFonts w:ascii="Arial" w:eastAsia="Calibri" w:hAnsi="Arial" w:cs="Arial"/>
          <w:bCs/>
          <w:color w:val="000000" w:themeColor="text1"/>
          <w:sz w:val="22"/>
        </w:rPr>
        <w:t xml:space="preserve"> de 2020 para impulsar el nacimiento de nuevas empresas que incentiven la generación de empleo en país. </w:t>
      </w:r>
      <w:r w:rsidR="00502957" w:rsidRPr="00A87091">
        <w:rPr>
          <w:rFonts w:ascii="Arial" w:eastAsia="Calibri" w:hAnsi="Arial" w:cs="Arial"/>
          <w:bCs/>
          <w:color w:val="000000" w:themeColor="text1"/>
          <w:sz w:val="22"/>
        </w:rPr>
        <w:t>Dicha Ley busca generar la</w:t>
      </w:r>
      <w:r w:rsidR="0075749C" w:rsidRPr="00A87091">
        <w:rPr>
          <w:rFonts w:ascii="Arial" w:eastAsia="Calibri" w:hAnsi="Arial" w:cs="Arial"/>
          <w:bCs/>
          <w:color w:val="000000" w:themeColor="text1"/>
          <w:sz w:val="22"/>
        </w:rPr>
        <w:t xml:space="preserve"> reactivación de la economía</w:t>
      </w:r>
      <w:r w:rsidR="00BD4E32" w:rsidRPr="00A87091">
        <w:rPr>
          <w:rFonts w:ascii="Arial" w:eastAsia="Calibri" w:hAnsi="Arial" w:cs="Arial"/>
          <w:bCs/>
          <w:color w:val="000000" w:themeColor="text1"/>
          <w:sz w:val="22"/>
        </w:rPr>
        <w:t xml:space="preserve"> y foment</w:t>
      </w:r>
      <w:r w:rsidR="00502957" w:rsidRPr="00A87091">
        <w:rPr>
          <w:rFonts w:ascii="Arial" w:eastAsia="Calibri" w:hAnsi="Arial" w:cs="Arial"/>
          <w:bCs/>
          <w:color w:val="000000" w:themeColor="text1"/>
          <w:sz w:val="22"/>
        </w:rPr>
        <w:t>ar</w:t>
      </w:r>
      <w:r w:rsidR="00BD4E32" w:rsidRPr="00A87091">
        <w:rPr>
          <w:rFonts w:ascii="Arial" w:eastAsia="Calibri" w:hAnsi="Arial" w:cs="Arial"/>
          <w:bCs/>
          <w:color w:val="000000" w:themeColor="text1"/>
          <w:sz w:val="22"/>
        </w:rPr>
        <w:t xml:space="preserve"> la actividad emprendedora</w:t>
      </w:r>
      <w:r w:rsidR="0075749C" w:rsidRPr="00A87091">
        <w:rPr>
          <w:rFonts w:ascii="Arial" w:eastAsia="Calibri" w:hAnsi="Arial" w:cs="Arial"/>
          <w:bCs/>
          <w:color w:val="000000" w:themeColor="text1"/>
          <w:sz w:val="22"/>
        </w:rPr>
        <w:t xml:space="preserve">, </w:t>
      </w:r>
      <w:r w:rsidR="00502957" w:rsidRPr="00A87091">
        <w:rPr>
          <w:rFonts w:ascii="Arial" w:eastAsia="Calibri" w:hAnsi="Arial" w:cs="Arial"/>
          <w:bCs/>
          <w:color w:val="000000" w:themeColor="text1"/>
          <w:sz w:val="22"/>
        </w:rPr>
        <w:t xml:space="preserve">y por ello, tiene como uno de sus propósitos </w:t>
      </w:r>
      <w:r w:rsidR="0075749C" w:rsidRPr="00A87091">
        <w:rPr>
          <w:rFonts w:ascii="Arial" w:eastAsia="Calibri" w:hAnsi="Arial" w:cs="Arial"/>
          <w:bCs/>
          <w:color w:val="000000" w:themeColor="text1"/>
          <w:sz w:val="22"/>
        </w:rPr>
        <w:t>propicia</w:t>
      </w:r>
      <w:r w:rsidR="00502957" w:rsidRPr="00A87091">
        <w:rPr>
          <w:rFonts w:ascii="Arial" w:eastAsia="Calibri" w:hAnsi="Arial" w:cs="Arial"/>
          <w:bCs/>
          <w:color w:val="000000" w:themeColor="text1"/>
          <w:sz w:val="22"/>
        </w:rPr>
        <w:t>r</w:t>
      </w:r>
      <w:r w:rsidR="0075749C" w:rsidRPr="00A87091">
        <w:rPr>
          <w:rFonts w:ascii="Arial" w:eastAsia="Calibri" w:hAnsi="Arial" w:cs="Arial"/>
          <w:bCs/>
          <w:color w:val="000000" w:themeColor="text1"/>
          <w:sz w:val="22"/>
        </w:rPr>
        <w:t xml:space="preserve"> un entorno para ayudar al crecimiento</w:t>
      </w:r>
      <w:r w:rsidR="00BD4E32" w:rsidRPr="00A87091">
        <w:rPr>
          <w:rFonts w:ascii="Arial" w:eastAsia="Calibri" w:hAnsi="Arial" w:cs="Arial"/>
          <w:bCs/>
          <w:color w:val="000000" w:themeColor="text1"/>
          <w:sz w:val="22"/>
        </w:rPr>
        <w:t>, consolidación y sostenibilidad</w:t>
      </w:r>
      <w:r w:rsidR="0075749C" w:rsidRPr="00A87091">
        <w:rPr>
          <w:rFonts w:ascii="Arial" w:eastAsia="Calibri" w:hAnsi="Arial" w:cs="Arial"/>
          <w:bCs/>
          <w:color w:val="000000" w:themeColor="text1"/>
          <w:sz w:val="22"/>
        </w:rPr>
        <w:t xml:space="preserve"> de esas iniciativas, generando mayor desarrollo social, </w:t>
      </w:r>
      <w:r w:rsidR="00AA2812" w:rsidRPr="00A87091">
        <w:rPr>
          <w:rFonts w:ascii="Arial" w:eastAsia="Calibri" w:hAnsi="Arial" w:cs="Arial"/>
          <w:bCs/>
          <w:color w:val="000000" w:themeColor="text1"/>
          <w:sz w:val="22"/>
        </w:rPr>
        <w:t>creación</w:t>
      </w:r>
      <w:r w:rsidR="0075749C" w:rsidRPr="00A87091">
        <w:rPr>
          <w:rFonts w:ascii="Arial" w:eastAsia="Calibri" w:hAnsi="Arial" w:cs="Arial"/>
          <w:bCs/>
          <w:color w:val="000000" w:themeColor="text1"/>
          <w:sz w:val="22"/>
        </w:rPr>
        <w:t xml:space="preserve"> de las empresas y mejoras tanto en la productividad co</w:t>
      </w:r>
      <w:r w:rsidR="00BD4E32" w:rsidRPr="00A87091">
        <w:rPr>
          <w:rFonts w:ascii="Arial" w:eastAsia="Calibri" w:hAnsi="Arial" w:cs="Arial"/>
          <w:bCs/>
          <w:color w:val="000000" w:themeColor="text1"/>
          <w:sz w:val="22"/>
        </w:rPr>
        <w:t>mo</w:t>
      </w:r>
      <w:r w:rsidR="0075749C" w:rsidRPr="00A87091">
        <w:rPr>
          <w:rFonts w:ascii="Arial" w:eastAsia="Calibri" w:hAnsi="Arial" w:cs="Arial"/>
          <w:bCs/>
          <w:color w:val="000000" w:themeColor="text1"/>
          <w:sz w:val="22"/>
        </w:rPr>
        <w:t xml:space="preserve"> en la competitividad</w:t>
      </w:r>
      <w:r w:rsidR="00BD4E32" w:rsidRPr="00A87091">
        <w:rPr>
          <w:rStyle w:val="Refdenotaalpie"/>
          <w:rFonts w:ascii="Arial" w:eastAsia="Calibri" w:hAnsi="Arial" w:cs="Arial"/>
          <w:bCs/>
          <w:color w:val="000000" w:themeColor="text1"/>
          <w:sz w:val="22"/>
        </w:rPr>
        <w:footnoteReference w:id="2"/>
      </w:r>
      <w:r w:rsidR="0075749C" w:rsidRPr="00A87091">
        <w:rPr>
          <w:rFonts w:ascii="Arial" w:eastAsia="Calibri" w:hAnsi="Arial" w:cs="Arial"/>
          <w:bCs/>
          <w:color w:val="000000" w:themeColor="text1"/>
          <w:sz w:val="22"/>
        </w:rPr>
        <w:t>.</w:t>
      </w:r>
      <w:r w:rsidR="00AA2812" w:rsidRPr="00A87091">
        <w:rPr>
          <w:rFonts w:ascii="Arial" w:eastAsia="Calibri" w:hAnsi="Arial" w:cs="Arial"/>
          <w:bCs/>
          <w:color w:val="000000" w:themeColor="text1"/>
          <w:sz w:val="22"/>
        </w:rPr>
        <w:t xml:space="preserve"> De esta manera</w:t>
      </w:r>
      <w:r w:rsidR="002A7CEA" w:rsidRPr="00A87091">
        <w:rPr>
          <w:rFonts w:ascii="Arial" w:eastAsia="Calibri" w:hAnsi="Arial" w:cs="Arial"/>
          <w:bCs/>
          <w:color w:val="000000" w:themeColor="text1"/>
          <w:sz w:val="22"/>
        </w:rPr>
        <w:t xml:space="preserve">, </w:t>
      </w:r>
      <w:r w:rsidR="00AA2812" w:rsidRPr="00A87091">
        <w:rPr>
          <w:rFonts w:ascii="Arial" w:eastAsia="Calibri" w:hAnsi="Arial" w:cs="Arial"/>
          <w:bCs/>
          <w:color w:val="000000" w:themeColor="text1"/>
          <w:sz w:val="22"/>
        </w:rPr>
        <w:t>l</w:t>
      </w:r>
      <w:r w:rsidR="002A7CEA" w:rsidRPr="00A87091">
        <w:rPr>
          <w:rFonts w:ascii="Arial" w:eastAsia="Calibri" w:hAnsi="Arial" w:cs="Arial"/>
          <w:bCs/>
          <w:color w:val="000000" w:themeColor="text1"/>
          <w:sz w:val="22"/>
        </w:rPr>
        <w:t>a ley</w:t>
      </w:r>
      <w:r w:rsidR="00AA2812" w:rsidRPr="00A87091">
        <w:rPr>
          <w:rFonts w:ascii="Arial" w:eastAsia="Calibri" w:hAnsi="Arial" w:cs="Arial"/>
          <w:bCs/>
          <w:color w:val="000000" w:themeColor="text1"/>
          <w:sz w:val="22"/>
        </w:rPr>
        <w:t xml:space="preserve"> en comento</w:t>
      </w:r>
      <w:r w:rsidR="002A7CEA" w:rsidRPr="00A87091">
        <w:rPr>
          <w:rFonts w:ascii="Arial" w:eastAsia="Calibri" w:hAnsi="Arial" w:cs="Arial"/>
          <w:bCs/>
          <w:color w:val="000000" w:themeColor="text1"/>
          <w:sz w:val="22"/>
        </w:rPr>
        <w:t xml:space="preserve"> también concreta la </w:t>
      </w:r>
      <w:bookmarkStart w:id="7" w:name="_Hlk63692496"/>
      <w:r w:rsidR="002A7CEA" w:rsidRPr="00A87091">
        <w:rPr>
          <w:rFonts w:ascii="Arial" w:eastAsia="Calibri" w:hAnsi="Arial" w:cs="Arial"/>
          <w:bCs/>
          <w:color w:val="000000" w:themeColor="text1"/>
          <w:sz w:val="22"/>
        </w:rPr>
        <w:t>«Política de formalización empresarial»</w:t>
      </w:r>
      <w:bookmarkEnd w:id="7"/>
      <w:r w:rsidR="002A7CEA" w:rsidRPr="00A87091">
        <w:rPr>
          <w:rFonts w:ascii="Arial" w:eastAsia="Calibri" w:hAnsi="Arial" w:cs="Arial"/>
          <w:bCs/>
          <w:color w:val="000000" w:themeColor="text1"/>
          <w:sz w:val="22"/>
        </w:rPr>
        <w:t xml:space="preserve"> del Documento CONPES 3956 del 8 de enero de 2019</w:t>
      </w:r>
      <w:r w:rsidR="00AA2812" w:rsidRPr="00A87091">
        <w:rPr>
          <w:rStyle w:val="Refdenotaalpie"/>
          <w:rFonts w:ascii="Arial" w:eastAsia="Calibri" w:hAnsi="Arial" w:cs="Arial"/>
          <w:bCs/>
          <w:color w:val="000000" w:themeColor="text1"/>
          <w:sz w:val="22"/>
        </w:rPr>
        <w:footnoteReference w:id="3"/>
      </w:r>
      <w:r w:rsidR="00AA2812" w:rsidRPr="00A87091">
        <w:rPr>
          <w:rFonts w:ascii="Arial" w:eastAsia="Calibri" w:hAnsi="Arial" w:cs="Arial"/>
          <w:bCs/>
          <w:color w:val="000000" w:themeColor="text1"/>
          <w:sz w:val="22"/>
        </w:rPr>
        <w:t>.</w:t>
      </w:r>
      <w:bookmarkEnd w:id="6"/>
    </w:p>
    <w:p w14:paraId="4081EE3D" w14:textId="16ECE4AE" w:rsidR="00AA2812" w:rsidRPr="00A87091" w:rsidRDefault="00AA2812" w:rsidP="00F52D84">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lastRenderedPageBreak/>
        <w:tab/>
        <w:t xml:space="preserve">Por ello, la </w:t>
      </w:r>
      <w:r w:rsidR="009C7248" w:rsidRPr="00A87091">
        <w:rPr>
          <w:rFonts w:ascii="Arial" w:eastAsia="Calibri" w:hAnsi="Arial" w:cs="Arial"/>
          <w:bCs/>
          <w:color w:val="000000" w:themeColor="text1"/>
          <w:sz w:val="22"/>
        </w:rPr>
        <w:t>ley</w:t>
      </w:r>
      <w:r w:rsidR="00F52D84" w:rsidRPr="00A87091">
        <w:rPr>
          <w:rFonts w:ascii="Arial" w:eastAsia="Calibri" w:hAnsi="Arial" w:cs="Arial"/>
          <w:bCs/>
          <w:color w:val="000000" w:themeColor="text1"/>
          <w:sz w:val="22"/>
        </w:rPr>
        <w:t xml:space="preserve"> impulsa medidas </w:t>
      </w:r>
      <w:r w:rsidR="00321F81" w:rsidRPr="00A87091">
        <w:rPr>
          <w:rFonts w:ascii="Arial" w:eastAsia="Calibri" w:hAnsi="Arial" w:cs="Arial"/>
          <w:bCs/>
          <w:color w:val="000000" w:themeColor="text1"/>
          <w:sz w:val="22"/>
        </w:rPr>
        <w:t>para</w:t>
      </w:r>
      <w:r w:rsidR="00F52D84" w:rsidRPr="00A87091">
        <w:rPr>
          <w:rFonts w:ascii="Arial" w:eastAsia="Calibri" w:hAnsi="Arial" w:cs="Arial"/>
          <w:bCs/>
          <w:color w:val="000000" w:themeColor="text1"/>
          <w:sz w:val="22"/>
        </w:rPr>
        <w:t xml:space="preserve"> i) reducir cargas y trámites para los emprendedores del país</w:t>
      </w:r>
      <w:r w:rsidR="00321F81" w:rsidRPr="00A87091">
        <w:rPr>
          <w:rFonts w:ascii="Arial" w:eastAsia="Calibri" w:hAnsi="Arial" w:cs="Arial"/>
          <w:bCs/>
          <w:color w:val="000000" w:themeColor="text1"/>
          <w:sz w:val="22"/>
        </w:rPr>
        <w:t>;</w:t>
      </w:r>
      <w:r w:rsidR="00F52D84" w:rsidRPr="00A87091">
        <w:rPr>
          <w:rFonts w:ascii="Arial" w:eastAsia="Calibri" w:hAnsi="Arial" w:cs="Arial"/>
          <w:bCs/>
          <w:color w:val="000000" w:themeColor="text1"/>
          <w:sz w:val="22"/>
        </w:rPr>
        <w:t xml:space="preserve"> ii) </w:t>
      </w:r>
      <w:r w:rsidR="00321F81" w:rsidRPr="00A87091">
        <w:rPr>
          <w:rFonts w:ascii="Arial" w:eastAsia="Calibri" w:hAnsi="Arial" w:cs="Arial"/>
          <w:bCs/>
          <w:color w:val="000000" w:themeColor="text1"/>
          <w:sz w:val="22"/>
        </w:rPr>
        <w:t>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w:t>
      </w:r>
      <w:r w:rsidR="00A1541C" w:rsidRPr="00A87091">
        <w:rPr>
          <w:rFonts w:ascii="Arial" w:eastAsia="Calibri" w:hAnsi="Arial" w:cs="Arial"/>
          <w:bCs/>
          <w:color w:val="000000" w:themeColor="text1"/>
          <w:sz w:val="22"/>
        </w:rPr>
        <w:t>; así como</w:t>
      </w:r>
      <w:r w:rsidR="00321F81" w:rsidRPr="00A87091">
        <w:rPr>
          <w:rFonts w:ascii="Arial" w:eastAsia="Calibri" w:hAnsi="Arial" w:cs="Arial"/>
          <w:bCs/>
          <w:color w:val="000000" w:themeColor="text1"/>
          <w:sz w:val="22"/>
        </w:rPr>
        <w:t xml:space="preserve"> vi) </w:t>
      </w:r>
      <w:r w:rsidR="00D40D7D" w:rsidRPr="00A87091">
        <w:rPr>
          <w:rFonts w:ascii="Arial" w:eastAsia="Calibri" w:hAnsi="Arial" w:cs="Arial"/>
          <w:bCs/>
          <w:color w:val="000000" w:themeColor="text1"/>
          <w:sz w:val="22"/>
        </w:rPr>
        <w:t>o</w:t>
      </w:r>
      <w:r w:rsidR="00321F81" w:rsidRPr="00A87091">
        <w:rPr>
          <w:rFonts w:ascii="Arial" w:eastAsia="Calibri" w:hAnsi="Arial" w:cs="Arial"/>
          <w:bCs/>
          <w:color w:val="000000" w:themeColor="text1"/>
          <w:sz w:val="22"/>
        </w:rPr>
        <w:t>torgar beneficios para emprendedores,</w:t>
      </w:r>
      <w:r w:rsidR="00A1541C" w:rsidRPr="00A87091">
        <w:rPr>
          <w:rFonts w:ascii="Arial" w:eastAsia="Calibri" w:hAnsi="Arial" w:cs="Arial"/>
          <w:bCs/>
          <w:color w:val="000000" w:themeColor="text1"/>
          <w:sz w:val="22"/>
        </w:rPr>
        <w:t xml:space="preserve"> especialmente, estableciendo un enfoque diferencial respecto a los miembros de las poblaciones más vulnerables,</w:t>
      </w:r>
      <w:r w:rsidR="00321F81" w:rsidRPr="00A87091">
        <w:rPr>
          <w:rFonts w:ascii="Arial" w:eastAsia="Calibri" w:hAnsi="Arial" w:cs="Arial"/>
          <w:bCs/>
          <w:color w:val="000000" w:themeColor="text1"/>
          <w:sz w:val="22"/>
        </w:rPr>
        <w:t xml:space="preserve"> que les permita avanzar en su actividad y </w:t>
      </w:r>
      <w:r w:rsidR="00D40D7D" w:rsidRPr="00A87091">
        <w:rPr>
          <w:rFonts w:ascii="Arial" w:eastAsia="Calibri" w:hAnsi="Arial" w:cs="Arial"/>
          <w:bCs/>
          <w:color w:val="000000" w:themeColor="text1"/>
          <w:sz w:val="22"/>
        </w:rPr>
        <w:t>desarrollar</w:t>
      </w:r>
      <w:r w:rsidR="00321F81" w:rsidRPr="00A87091">
        <w:rPr>
          <w:rFonts w:ascii="Arial" w:eastAsia="Calibri" w:hAnsi="Arial" w:cs="Arial"/>
          <w:bCs/>
          <w:color w:val="000000" w:themeColor="text1"/>
          <w:sz w:val="22"/>
        </w:rPr>
        <w:t xml:space="preserve"> </w:t>
      </w:r>
      <w:r w:rsidR="00A1541C" w:rsidRPr="00A87091">
        <w:rPr>
          <w:rFonts w:ascii="Arial" w:eastAsia="Calibri" w:hAnsi="Arial" w:cs="Arial"/>
          <w:bCs/>
          <w:color w:val="000000" w:themeColor="text1"/>
          <w:sz w:val="22"/>
        </w:rPr>
        <w:t>sus iniciativas</w:t>
      </w:r>
      <w:r w:rsidR="00A1541C" w:rsidRPr="00A87091">
        <w:rPr>
          <w:rStyle w:val="Refdenotaalpie"/>
          <w:rFonts w:ascii="Arial" w:eastAsia="Calibri" w:hAnsi="Arial" w:cs="Arial"/>
          <w:bCs/>
          <w:color w:val="000000" w:themeColor="text1"/>
          <w:sz w:val="22"/>
        </w:rPr>
        <w:footnoteReference w:id="4"/>
      </w:r>
      <w:r w:rsidR="00321F81" w:rsidRPr="00A87091">
        <w:rPr>
          <w:rFonts w:ascii="Arial" w:eastAsia="Calibri" w:hAnsi="Arial" w:cs="Arial"/>
          <w:bCs/>
          <w:color w:val="000000" w:themeColor="text1"/>
          <w:sz w:val="22"/>
        </w:rPr>
        <w:t>.</w:t>
      </w:r>
    </w:p>
    <w:p w14:paraId="2B79286E" w14:textId="7E84D8B3" w:rsidR="006F2503" w:rsidRPr="00A87091" w:rsidRDefault="00E21B55" w:rsidP="00A51C72">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Para efectos de la consulta, </w:t>
      </w:r>
      <w:bookmarkStart w:id="9" w:name="_Hlk63848566"/>
      <w:r w:rsidRPr="00A87091">
        <w:rPr>
          <w:rFonts w:ascii="Arial" w:eastAsia="Calibri" w:hAnsi="Arial" w:cs="Arial"/>
          <w:bCs/>
          <w:color w:val="000000" w:themeColor="text1"/>
          <w:sz w:val="22"/>
        </w:rPr>
        <w:t>los artículo</w:t>
      </w:r>
      <w:r w:rsidR="00EE2BBD" w:rsidRPr="00A87091">
        <w:rPr>
          <w:rFonts w:ascii="Arial" w:eastAsia="Calibri" w:hAnsi="Arial" w:cs="Arial"/>
          <w:bCs/>
          <w:color w:val="000000" w:themeColor="text1"/>
          <w:sz w:val="22"/>
        </w:rPr>
        <w:t xml:space="preserve">s </w:t>
      </w:r>
      <w:r w:rsidR="009C7248" w:rsidRPr="00A87091">
        <w:rPr>
          <w:rFonts w:ascii="Arial" w:eastAsia="Calibri" w:hAnsi="Arial" w:cs="Arial"/>
          <w:bCs/>
          <w:color w:val="000000" w:themeColor="text1"/>
          <w:sz w:val="22"/>
        </w:rPr>
        <w:t>30, 31, 32, 33, 34, 35 y 36 de la Ley 2069 de 2020</w:t>
      </w:r>
      <w:bookmarkEnd w:id="9"/>
      <w:r w:rsidR="00917B15" w:rsidRPr="00A87091">
        <w:rPr>
          <w:rFonts w:ascii="Arial" w:eastAsia="Calibri" w:hAnsi="Arial" w:cs="Arial"/>
          <w:bCs/>
          <w:color w:val="000000" w:themeColor="text1"/>
          <w:sz w:val="22"/>
        </w:rPr>
        <w:t xml:space="preserve"> crean </w:t>
      </w:r>
      <w:r w:rsidR="009C7248" w:rsidRPr="00A87091">
        <w:rPr>
          <w:rFonts w:ascii="Arial" w:eastAsia="Calibri" w:hAnsi="Arial" w:cs="Arial"/>
          <w:bCs/>
          <w:color w:val="000000" w:themeColor="text1"/>
          <w:sz w:val="22"/>
        </w:rPr>
        <w:t>una serie de incentivos para las personas interesadas en celebrar contratos con el Estado</w:t>
      </w:r>
      <w:r w:rsidR="00917B15" w:rsidRPr="00A87091">
        <w:rPr>
          <w:rFonts w:ascii="Arial" w:eastAsia="Calibri" w:hAnsi="Arial" w:cs="Arial"/>
          <w:bCs/>
          <w:color w:val="000000" w:themeColor="text1"/>
          <w:sz w:val="22"/>
        </w:rPr>
        <w:t xml:space="preserve">. </w:t>
      </w:r>
      <w:r w:rsidR="00EA3C76" w:rsidRPr="00A87091">
        <w:rPr>
          <w:rFonts w:ascii="Arial" w:eastAsia="Calibri" w:hAnsi="Arial" w:cs="Arial"/>
          <w:bCs/>
          <w:color w:val="000000" w:themeColor="text1"/>
          <w:sz w:val="22"/>
        </w:rPr>
        <w:t>Particularmente, conforme a la exposición de motivos, «</w:t>
      </w:r>
      <w:r w:rsidR="00EA3C76" w:rsidRPr="00A87091">
        <w:rPr>
          <w:rFonts w:ascii="Arial" w:hAnsi="Arial" w:cs="Arial"/>
          <w:sz w:val="22"/>
        </w:rPr>
        <w:t xml:space="preserve">[…] </w:t>
      </w:r>
      <w:r w:rsidR="00EA3C76" w:rsidRPr="00A87091">
        <w:rPr>
          <w:rFonts w:ascii="Arial" w:eastAsia="Calibri" w:hAnsi="Arial" w:cs="Arial"/>
          <w:bCs/>
          <w:color w:val="000000" w:themeColor="text1"/>
          <w:sz w:val="22"/>
        </w:rPr>
        <w:t>propone facilitar el acceso de las Mipymes a la modalidad de contratación de mínima cuantía, la limitación de estos procesos a Mipymes, define la posibilidad de establecer criterios diferenciales a favor de las Mipymes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00F32C99" w:rsidRPr="00A87091">
        <w:rPr>
          <w:rFonts w:ascii="Arial" w:eastAsia="Calibri" w:hAnsi="Arial" w:cs="Arial"/>
          <w:bCs/>
          <w:color w:val="000000" w:themeColor="text1"/>
          <w:sz w:val="22"/>
        </w:rPr>
        <w:t>»</w:t>
      </w:r>
      <w:r w:rsidR="00F32C99" w:rsidRPr="00A87091">
        <w:rPr>
          <w:rStyle w:val="Refdenotaalpie"/>
          <w:rFonts w:ascii="Arial" w:eastAsia="Calibri" w:hAnsi="Arial" w:cs="Arial"/>
          <w:bCs/>
          <w:color w:val="000000" w:themeColor="text1"/>
          <w:sz w:val="22"/>
        </w:rPr>
        <w:footnoteReference w:id="5"/>
      </w:r>
      <w:r w:rsidR="00EA3C76" w:rsidRPr="00A87091">
        <w:rPr>
          <w:rFonts w:ascii="Arial" w:eastAsia="Calibri" w:hAnsi="Arial" w:cs="Arial"/>
          <w:bCs/>
          <w:color w:val="000000" w:themeColor="text1"/>
          <w:sz w:val="22"/>
        </w:rPr>
        <w:t>.</w:t>
      </w:r>
      <w:r w:rsidR="00A51C72" w:rsidRPr="00A87091">
        <w:rPr>
          <w:rFonts w:ascii="Arial" w:eastAsia="Calibri" w:hAnsi="Arial" w:cs="Arial"/>
          <w:bCs/>
          <w:color w:val="000000" w:themeColor="text1"/>
          <w:sz w:val="22"/>
        </w:rPr>
        <w:t xml:space="preserve"> Estas disposiciones también se aplican en los procedimientos de selección regidos por documentos tipo, pues son transversales al sistema de compras y contratación pública. </w:t>
      </w:r>
      <w:r w:rsidR="00F32C99" w:rsidRPr="00A87091">
        <w:rPr>
          <w:rFonts w:ascii="Arial" w:eastAsia="Calibri" w:hAnsi="Arial" w:cs="Arial"/>
          <w:bCs/>
          <w:color w:val="000000" w:themeColor="text1"/>
          <w:sz w:val="22"/>
        </w:rPr>
        <w:t>Por ello, antes de analizar si la reglamentación de las normas anteriormente citadas</w:t>
      </w:r>
      <w:r w:rsidR="005455D7" w:rsidRPr="00A87091">
        <w:rPr>
          <w:rFonts w:ascii="Arial" w:eastAsia="Calibri" w:hAnsi="Arial" w:cs="Arial"/>
          <w:bCs/>
          <w:color w:val="000000" w:themeColor="text1"/>
          <w:sz w:val="22"/>
        </w:rPr>
        <w:t xml:space="preserve"> es una condición para su entrada en vigencia</w:t>
      </w:r>
      <w:r w:rsidR="00F32C99" w:rsidRPr="00A87091">
        <w:rPr>
          <w:rFonts w:ascii="Arial" w:eastAsia="Calibri" w:hAnsi="Arial" w:cs="Arial"/>
          <w:bCs/>
          <w:color w:val="000000" w:themeColor="text1"/>
          <w:sz w:val="22"/>
        </w:rPr>
        <w:t xml:space="preserve">, conviene precisar </w:t>
      </w:r>
      <w:r w:rsidR="00DC0FCD" w:rsidRPr="00A87091">
        <w:rPr>
          <w:rFonts w:ascii="Arial" w:eastAsia="Calibri" w:hAnsi="Arial" w:cs="Arial"/>
          <w:bCs/>
          <w:color w:val="000000" w:themeColor="text1"/>
          <w:sz w:val="22"/>
        </w:rPr>
        <w:t xml:space="preserve">su </w:t>
      </w:r>
      <w:r w:rsidR="00F32C99" w:rsidRPr="00A87091">
        <w:rPr>
          <w:rFonts w:ascii="Arial" w:eastAsia="Calibri" w:hAnsi="Arial" w:cs="Arial"/>
          <w:bCs/>
          <w:color w:val="000000" w:themeColor="text1"/>
          <w:sz w:val="22"/>
        </w:rPr>
        <w:t>sentido y alcance</w:t>
      </w:r>
      <w:r w:rsidR="00E356C9" w:rsidRPr="00A87091">
        <w:rPr>
          <w:rFonts w:ascii="Arial" w:eastAsia="Calibri" w:hAnsi="Arial" w:cs="Arial"/>
          <w:bCs/>
          <w:color w:val="000000" w:themeColor="text1"/>
          <w:sz w:val="22"/>
        </w:rPr>
        <w:t>:</w:t>
      </w:r>
    </w:p>
    <w:p w14:paraId="47951D0E" w14:textId="77777777" w:rsidR="00E356C9" w:rsidRPr="00A87091" w:rsidRDefault="00E356C9" w:rsidP="00E356C9">
      <w:pPr>
        <w:tabs>
          <w:tab w:val="left" w:pos="709"/>
        </w:tabs>
        <w:spacing w:line="276" w:lineRule="auto"/>
        <w:jc w:val="both"/>
        <w:rPr>
          <w:rFonts w:ascii="Arial" w:eastAsia="Calibri" w:hAnsi="Arial" w:cs="Arial"/>
          <w:bCs/>
          <w:color w:val="000000" w:themeColor="text1"/>
          <w:sz w:val="22"/>
        </w:rPr>
      </w:pPr>
    </w:p>
    <w:p w14:paraId="18D20CBF" w14:textId="4266F323" w:rsidR="00E356C9" w:rsidRPr="00A87091" w:rsidRDefault="00E356C9" w:rsidP="00E356C9">
      <w:pPr>
        <w:tabs>
          <w:tab w:val="left" w:pos="709"/>
        </w:tabs>
        <w:spacing w:line="276" w:lineRule="auto"/>
        <w:jc w:val="both"/>
        <w:rPr>
          <w:rFonts w:ascii="Arial" w:eastAsia="Calibri" w:hAnsi="Arial" w:cs="Arial"/>
          <w:b/>
          <w:i/>
          <w:iCs/>
          <w:color w:val="000000" w:themeColor="text1"/>
          <w:sz w:val="22"/>
        </w:rPr>
      </w:pPr>
      <w:r w:rsidRPr="00A87091">
        <w:rPr>
          <w:rFonts w:ascii="Arial" w:eastAsia="Calibri" w:hAnsi="Arial" w:cs="Arial"/>
          <w:b/>
          <w:i/>
          <w:iCs/>
          <w:color w:val="000000" w:themeColor="text1"/>
          <w:sz w:val="22"/>
        </w:rPr>
        <w:t>2.</w:t>
      </w:r>
      <w:r w:rsidR="008F2837" w:rsidRPr="00A87091">
        <w:rPr>
          <w:rFonts w:ascii="Arial" w:eastAsia="Calibri" w:hAnsi="Arial" w:cs="Arial"/>
          <w:b/>
          <w:i/>
          <w:iCs/>
          <w:color w:val="000000" w:themeColor="text1"/>
          <w:sz w:val="22"/>
        </w:rPr>
        <w:t>1</w:t>
      </w:r>
      <w:r w:rsidRPr="00A87091">
        <w:rPr>
          <w:rFonts w:ascii="Arial" w:eastAsia="Calibri" w:hAnsi="Arial" w:cs="Arial"/>
          <w:b/>
          <w:i/>
          <w:iCs/>
          <w:color w:val="000000" w:themeColor="text1"/>
          <w:sz w:val="22"/>
        </w:rPr>
        <w:t xml:space="preserve">.1. </w:t>
      </w:r>
      <w:bookmarkStart w:id="10" w:name="_Hlk64292850"/>
      <w:r w:rsidRPr="00A87091">
        <w:rPr>
          <w:rFonts w:ascii="Arial" w:eastAsia="Calibri" w:hAnsi="Arial" w:cs="Arial"/>
          <w:b/>
          <w:i/>
          <w:iCs/>
          <w:color w:val="000000" w:themeColor="text1"/>
          <w:sz w:val="22"/>
        </w:rPr>
        <w:t>Mipymes y mínima cuantía</w:t>
      </w:r>
      <w:bookmarkEnd w:id="10"/>
    </w:p>
    <w:p w14:paraId="36B7F4FA" w14:textId="77777777" w:rsidR="00E356C9" w:rsidRPr="00A87091" w:rsidRDefault="00E356C9" w:rsidP="00E356C9">
      <w:pPr>
        <w:tabs>
          <w:tab w:val="left" w:pos="709"/>
        </w:tabs>
        <w:spacing w:line="276" w:lineRule="auto"/>
        <w:jc w:val="both"/>
        <w:rPr>
          <w:rFonts w:ascii="Arial" w:eastAsia="Calibri" w:hAnsi="Arial" w:cs="Arial"/>
          <w:b/>
          <w:color w:val="000000" w:themeColor="text1"/>
          <w:sz w:val="22"/>
        </w:rPr>
      </w:pPr>
    </w:p>
    <w:p w14:paraId="7B01CAB3" w14:textId="4A3DF8DB" w:rsidR="00DC4444" w:rsidRPr="00A87091" w:rsidRDefault="00E356C9" w:rsidP="00DC4444">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rPr>
        <w:t>E</w:t>
      </w:r>
      <w:r w:rsidR="005455D7" w:rsidRPr="00A87091">
        <w:rPr>
          <w:rFonts w:ascii="Arial" w:eastAsia="Calibri" w:hAnsi="Arial" w:cs="Arial"/>
          <w:bCs/>
          <w:color w:val="000000" w:themeColor="text1"/>
          <w:sz w:val="22"/>
        </w:rPr>
        <w:t xml:space="preserve">l artículo 30 de la Ley 2069 de 2020 modifica el numeral 5 del artículo 2 de la Ley 1150 de 2007, el cual regula </w:t>
      </w:r>
      <w:r w:rsidR="00DC4444" w:rsidRPr="00A87091">
        <w:rPr>
          <w:rFonts w:ascii="Arial" w:eastAsia="Calibri" w:hAnsi="Arial" w:cs="Arial"/>
          <w:bCs/>
          <w:color w:val="000000" w:themeColor="text1"/>
          <w:sz w:val="22"/>
        </w:rPr>
        <w:t>la</w:t>
      </w:r>
      <w:r w:rsidR="005455D7" w:rsidRPr="00A87091">
        <w:rPr>
          <w:rFonts w:ascii="Arial" w:eastAsia="Calibri" w:hAnsi="Arial" w:cs="Arial"/>
          <w:bCs/>
          <w:color w:val="000000" w:themeColor="text1"/>
          <w:sz w:val="22"/>
        </w:rPr>
        <w:t xml:space="preserve"> mínima cuantía. </w:t>
      </w:r>
      <w:r w:rsidR="00DC4444" w:rsidRPr="00A87091">
        <w:rPr>
          <w:rFonts w:ascii="Arial" w:eastAsia="Calibri" w:hAnsi="Arial" w:cs="Arial"/>
          <w:bCs/>
          <w:color w:val="000000" w:themeColor="text1"/>
          <w:sz w:val="22"/>
          <w:lang w:val="es-ES_tradnl"/>
        </w:rPr>
        <w:t xml:space="preserve">En esta modalidad de selección, la entidad estatal </w:t>
      </w:r>
      <w:r w:rsidR="00DC4444" w:rsidRPr="00A87091">
        <w:rPr>
          <w:rFonts w:ascii="Arial" w:eastAsia="Calibri" w:hAnsi="Arial" w:cs="Arial"/>
          <w:bCs/>
          <w:color w:val="000000" w:themeColor="text1"/>
          <w:sz w:val="22"/>
          <w:lang w:val="es-ES_tradnl"/>
        </w:rPr>
        <w:lastRenderedPageBreak/>
        <w:t>realiza una convocatoria pública para recibir ofertas de bienes o servicios cuyo valor no excede el diez por ciento –10%– de la menor cuantía. Fue creada por el artículo 94 de la Ley 1474 de 2011, disponiendo que el factor determinante para adelantarl</w:t>
      </w:r>
      <w:r w:rsidR="00BC0AD1" w:rsidRPr="00A87091">
        <w:rPr>
          <w:rFonts w:ascii="Arial" w:eastAsia="Calibri" w:hAnsi="Arial" w:cs="Arial"/>
          <w:bCs/>
          <w:color w:val="000000" w:themeColor="text1"/>
          <w:sz w:val="22"/>
          <w:lang w:val="es-ES_tradnl"/>
        </w:rPr>
        <w:t>a</w:t>
      </w:r>
      <w:r w:rsidR="00DC4444" w:rsidRPr="00A87091">
        <w:rPr>
          <w:rFonts w:ascii="Arial" w:eastAsia="Calibri" w:hAnsi="Arial" w:cs="Arial"/>
          <w:bCs/>
          <w:color w:val="000000" w:themeColor="text1"/>
          <w:sz w:val="22"/>
          <w:lang w:val="es-ES_tradnl"/>
        </w:rPr>
        <w:t xml:space="preserve"> </w:t>
      </w:r>
      <w:r w:rsidR="0064635E" w:rsidRPr="00A87091">
        <w:rPr>
          <w:rFonts w:ascii="Arial" w:eastAsia="Calibri" w:hAnsi="Arial" w:cs="Arial"/>
          <w:bCs/>
          <w:color w:val="000000" w:themeColor="text1"/>
          <w:sz w:val="22"/>
          <w:lang w:val="es-ES_tradnl"/>
        </w:rPr>
        <w:t>es el valor del presupuesto oficial</w:t>
      </w:r>
      <w:r w:rsidR="00DC4444" w:rsidRPr="00A87091">
        <w:rPr>
          <w:rFonts w:ascii="Arial" w:eastAsia="Calibri" w:hAnsi="Arial" w:cs="Arial"/>
          <w:bCs/>
          <w:color w:val="000000" w:themeColor="text1"/>
          <w:sz w:val="22"/>
          <w:lang w:val="es-ES_tradnl"/>
        </w:rPr>
        <w:t xml:space="preserve"> con independencia de su objeto. </w:t>
      </w:r>
      <w:r w:rsidR="0064635E" w:rsidRPr="00A87091">
        <w:rPr>
          <w:rFonts w:ascii="Arial" w:eastAsia="Calibri" w:hAnsi="Arial" w:cs="Arial"/>
          <w:bCs/>
          <w:color w:val="000000" w:themeColor="text1"/>
          <w:sz w:val="22"/>
          <w:lang w:val="es-ES_tradnl"/>
        </w:rPr>
        <w:t>Por lo demás, como en este procedimiento el contrato se perfecciona con la aceptación de la oferta, se considera un sucedáneo de los denominados «contratos sin formalidades plenas»</w:t>
      </w:r>
      <w:r w:rsidR="0064635E" w:rsidRPr="00A87091">
        <w:rPr>
          <w:rStyle w:val="Refdenotaalpie"/>
          <w:rFonts w:ascii="Arial" w:eastAsia="Calibri" w:hAnsi="Arial" w:cs="Arial"/>
          <w:bCs/>
          <w:color w:val="000000" w:themeColor="text1"/>
          <w:sz w:val="22"/>
          <w:lang w:val="es-ES_tradnl"/>
        </w:rPr>
        <w:footnoteReference w:id="6"/>
      </w:r>
      <w:r w:rsidR="0064635E" w:rsidRPr="00A87091">
        <w:rPr>
          <w:rFonts w:ascii="Arial" w:eastAsia="Calibri" w:hAnsi="Arial" w:cs="Arial"/>
          <w:bCs/>
          <w:color w:val="000000" w:themeColor="text1"/>
          <w:sz w:val="22"/>
          <w:lang w:val="es-ES_tradnl"/>
        </w:rPr>
        <w:t>.</w:t>
      </w:r>
    </w:p>
    <w:p w14:paraId="3FB494E9" w14:textId="19FFDD9C" w:rsidR="00106148" w:rsidRPr="00A87091" w:rsidRDefault="00760606" w:rsidP="00DC4444">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r>
      <w:r w:rsidR="0005595F" w:rsidRPr="00A87091">
        <w:rPr>
          <w:rFonts w:ascii="Arial" w:eastAsia="Calibri" w:hAnsi="Arial" w:cs="Arial"/>
          <w:bCs/>
          <w:color w:val="000000" w:themeColor="text1"/>
          <w:sz w:val="22"/>
          <w:lang w:val="es-ES_tradnl"/>
        </w:rPr>
        <w:t xml:space="preserve">En esencia, </w:t>
      </w:r>
      <w:r w:rsidR="0005595F" w:rsidRPr="00A87091">
        <w:rPr>
          <w:rFonts w:ascii="Arial" w:eastAsia="Calibri" w:hAnsi="Arial" w:cs="Arial"/>
          <w:bCs/>
          <w:color w:val="000000" w:themeColor="text1"/>
          <w:sz w:val="22"/>
        </w:rPr>
        <w:t xml:space="preserve">el artículo 30 de la Ley 2069 de 2020 conserva a grandes rasgos </w:t>
      </w:r>
      <w:r w:rsidR="00660495" w:rsidRPr="00A87091">
        <w:rPr>
          <w:rFonts w:ascii="Arial" w:eastAsia="Calibri" w:hAnsi="Arial" w:cs="Arial"/>
          <w:bCs/>
          <w:color w:val="000000" w:themeColor="text1"/>
          <w:sz w:val="22"/>
        </w:rPr>
        <w:t xml:space="preserve">el procedimiento </w:t>
      </w:r>
      <w:r w:rsidR="0005595F" w:rsidRPr="00A87091">
        <w:rPr>
          <w:rFonts w:ascii="Arial" w:eastAsia="Calibri" w:hAnsi="Arial" w:cs="Arial"/>
          <w:bCs/>
          <w:color w:val="000000" w:themeColor="text1"/>
          <w:sz w:val="22"/>
        </w:rPr>
        <w:t xml:space="preserve">previsto en el derogado </w:t>
      </w:r>
      <w:r w:rsidR="0005595F" w:rsidRPr="00A87091">
        <w:rPr>
          <w:rFonts w:ascii="Arial" w:eastAsia="Calibri" w:hAnsi="Arial" w:cs="Arial"/>
          <w:bCs/>
          <w:color w:val="000000" w:themeColor="text1"/>
          <w:sz w:val="22"/>
          <w:lang w:val="es-ES_tradnl"/>
        </w:rPr>
        <w:t>artículo 94 de la Ley 1474 de 2011</w:t>
      </w:r>
      <w:r w:rsidR="00BF4B4C" w:rsidRPr="00A87091">
        <w:rPr>
          <w:rFonts w:ascii="Arial" w:eastAsia="Calibri" w:hAnsi="Arial" w:cs="Arial"/>
          <w:bCs/>
          <w:color w:val="000000" w:themeColor="text1"/>
          <w:sz w:val="22"/>
          <w:lang w:val="es-ES_tradnl"/>
        </w:rPr>
        <w:t>, el cual define los aspectos generales del procedimiento contractual</w:t>
      </w:r>
      <w:r w:rsidR="00660495" w:rsidRPr="00A87091">
        <w:rPr>
          <w:rStyle w:val="Refdenotaalpie"/>
          <w:rFonts w:ascii="Arial" w:eastAsia="Calibri" w:hAnsi="Arial" w:cs="Arial"/>
          <w:bCs/>
          <w:color w:val="000000" w:themeColor="text1"/>
          <w:sz w:val="22"/>
          <w:lang w:val="es-ES_tradnl"/>
        </w:rPr>
        <w:footnoteReference w:id="7"/>
      </w:r>
      <w:r w:rsidR="00660495" w:rsidRPr="00A87091">
        <w:rPr>
          <w:rFonts w:ascii="Arial" w:eastAsia="Calibri" w:hAnsi="Arial" w:cs="Arial"/>
          <w:bCs/>
          <w:color w:val="000000" w:themeColor="text1"/>
          <w:sz w:val="22"/>
          <w:lang w:val="es-ES_tradnl"/>
        </w:rPr>
        <w:t>.</w:t>
      </w:r>
      <w:r w:rsidR="00106148" w:rsidRPr="00A87091">
        <w:rPr>
          <w:rFonts w:ascii="Arial" w:eastAsia="Calibri" w:hAnsi="Arial" w:cs="Arial"/>
          <w:bCs/>
          <w:color w:val="000000" w:themeColor="text1"/>
          <w:sz w:val="22"/>
          <w:lang w:val="es-ES_tradnl"/>
        </w:rPr>
        <w:t xml:space="preserve"> No obstante,</w:t>
      </w:r>
      <w:r w:rsidRPr="00A87091">
        <w:rPr>
          <w:rFonts w:ascii="Arial" w:eastAsia="Calibri" w:hAnsi="Arial" w:cs="Arial"/>
          <w:bCs/>
          <w:color w:val="000000" w:themeColor="text1"/>
          <w:sz w:val="22"/>
          <w:lang w:val="es-ES_tradnl"/>
        </w:rPr>
        <w:t xml:space="preserve"> aludiendo expresamente </w:t>
      </w:r>
      <w:r w:rsidR="00BB4B39" w:rsidRPr="00A87091">
        <w:rPr>
          <w:rFonts w:ascii="Arial" w:eastAsia="Calibri" w:hAnsi="Arial" w:cs="Arial"/>
          <w:bCs/>
          <w:color w:val="000000" w:themeColor="text1"/>
          <w:sz w:val="22"/>
          <w:lang w:val="es-ES_tradnl"/>
        </w:rPr>
        <w:t>a</w:t>
      </w:r>
      <w:r w:rsidRPr="00A87091">
        <w:rPr>
          <w:rFonts w:ascii="Arial" w:eastAsia="Calibri" w:hAnsi="Arial" w:cs="Arial"/>
          <w:bCs/>
          <w:color w:val="000000" w:themeColor="text1"/>
          <w:sz w:val="22"/>
          <w:lang w:val="es-ES_tradnl"/>
        </w:rPr>
        <w:t>l desarrollo reglamentario,</w:t>
      </w:r>
      <w:r w:rsidR="00106148" w:rsidRPr="00A87091">
        <w:rPr>
          <w:rFonts w:ascii="Arial" w:eastAsia="Calibri" w:hAnsi="Arial" w:cs="Arial"/>
          <w:bCs/>
          <w:color w:val="000000" w:themeColor="text1"/>
          <w:sz w:val="22"/>
          <w:lang w:val="es-ES_tradnl"/>
        </w:rPr>
        <w:t xml:space="preserve"> el parágrafo primero introduce el siguiente cambio: «Las particularidades del procedimiento aquí previsto, así como la posibilidad que tengan las entidades de realizar estas adquisiciones </w:t>
      </w:r>
      <w:r w:rsidR="00106148" w:rsidRPr="00A87091">
        <w:rPr>
          <w:rFonts w:ascii="Arial" w:eastAsia="Calibri" w:hAnsi="Arial" w:cs="Arial"/>
          <w:bCs/>
          <w:i/>
          <w:iCs/>
          <w:color w:val="000000" w:themeColor="text1"/>
          <w:sz w:val="22"/>
          <w:lang w:val="es-ES_tradnl"/>
        </w:rPr>
        <w:t>a Mipymes</w:t>
      </w:r>
      <w:r w:rsidR="00106148" w:rsidRPr="00A87091">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w:t>
      </w:r>
      <w:r w:rsidR="00660495" w:rsidRPr="00A87091">
        <w:rPr>
          <w:rFonts w:ascii="Arial" w:eastAsia="Calibri" w:hAnsi="Arial" w:cs="Arial"/>
          <w:bCs/>
          <w:color w:val="000000" w:themeColor="text1"/>
          <w:sz w:val="22"/>
          <w:lang w:val="es-ES_tradnl"/>
        </w:rPr>
        <w:t xml:space="preserve"> </w:t>
      </w:r>
    </w:p>
    <w:p w14:paraId="1B8440A4" w14:textId="116DEE02" w:rsidR="00760606" w:rsidRPr="00A87091" w:rsidRDefault="00106148" w:rsidP="00060618">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t>Est</w:t>
      </w:r>
      <w:r w:rsidR="00225FBD" w:rsidRPr="00A87091">
        <w:rPr>
          <w:rFonts w:ascii="Arial" w:eastAsia="Calibri" w:hAnsi="Arial" w:cs="Arial"/>
          <w:bCs/>
          <w:color w:val="000000" w:themeColor="text1"/>
          <w:sz w:val="22"/>
          <w:lang w:val="es-ES_tradnl"/>
        </w:rPr>
        <w:t>a</w:t>
      </w:r>
      <w:r w:rsidRPr="00A87091">
        <w:rPr>
          <w:rFonts w:ascii="Arial" w:eastAsia="Calibri" w:hAnsi="Arial" w:cs="Arial"/>
          <w:bCs/>
          <w:color w:val="000000" w:themeColor="text1"/>
          <w:sz w:val="22"/>
          <w:lang w:val="es-ES_tradnl"/>
        </w:rPr>
        <w:t xml:space="preserve"> m</w:t>
      </w:r>
      <w:r w:rsidR="00225FBD" w:rsidRPr="00A87091">
        <w:rPr>
          <w:rFonts w:ascii="Arial" w:eastAsia="Calibri" w:hAnsi="Arial" w:cs="Arial"/>
          <w:bCs/>
          <w:color w:val="000000" w:themeColor="text1"/>
          <w:sz w:val="22"/>
          <w:lang w:val="es-ES_tradnl"/>
        </w:rPr>
        <w:t>odificación</w:t>
      </w:r>
      <w:r w:rsidRPr="00A87091">
        <w:rPr>
          <w:rFonts w:ascii="Arial" w:eastAsia="Calibri" w:hAnsi="Arial" w:cs="Arial"/>
          <w:bCs/>
          <w:color w:val="000000" w:themeColor="text1"/>
          <w:sz w:val="22"/>
          <w:lang w:val="es-ES_tradnl"/>
        </w:rPr>
        <w:t xml:space="preserve"> es importante, </w:t>
      </w:r>
      <w:r w:rsidR="00C30A46" w:rsidRPr="00A87091">
        <w:rPr>
          <w:rFonts w:ascii="Arial" w:eastAsia="Calibri" w:hAnsi="Arial" w:cs="Arial"/>
          <w:bCs/>
          <w:color w:val="000000" w:themeColor="text1"/>
          <w:sz w:val="22"/>
          <w:lang w:val="es-ES_tradnl"/>
        </w:rPr>
        <w:t>pues</w:t>
      </w:r>
      <w:r w:rsidR="00D456BE" w:rsidRPr="00A87091">
        <w:rPr>
          <w:rFonts w:ascii="Arial" w:eastAsia="Calibri" w:hAnsi="Arial" w:cs="Arial"/>
          <w:bCs/>
          <w:color w:val="000000" w:themeColor="text1"/>
          <w:sz w:val="22"/>
          <w:lang w:val="es-ES_tradnl"/>
        </w:rPr>
        <w:t xml:space="preserve"> antes de la Ley de Emprendimiento</w:t>
      </w:r>
      <w:r w:rsidRPr="00A87091">
        <w:rPr>
          <w:rFonts w:ascii="Arial" w:eastAsia="Calibri" w:hAnsi="Arial" w:cs="Arial"/>
          <w:bCs/>
          <w:color w:val="000000" w:themeColor="text1"/>
          <w:sz w:val="22"/>
          <w:lang w:val="es-ES_tradnl"/>
        </w:rPr>
        <w:t xml:space="preserve"> era</w:t>
      </w:r>
      <w:r w:rsidR="00D456BE" w:rsidRPr="00A87091">
        <w:rPr>
          <w:rFonts w:ascii="Arial" w:eastAsia="Calibri" w:hAnsi="Arial" w:cs="Arial"/>
          <w:bCs/>
          <w:color w:val="000000" w:themeColor="text1"/>
          <w:sz w:val="22"/>
          <w:lang w:val="es-ES_tradnl"/>
        </w:rPr>
        <w:t xml:space="preserve"> imposible limitar a </w:t>
      </w:r>
      <w:bookmarkStart w:id="11" w:name="_Hlk63763766"/>
      <w:r w:rsidR="00D456BE" w:rsidRPr="00A87091">
        <w:rPr>
          <w:rFonts w:ascii="Arial" w:eastAsia="Calibri" w:hAnsi="Arial" w:cs="Arial"/>
          <w:bCs/>
          <w:color w:val="000000" w:themeColor="text1"/>
          <w:sz w:val="22"/>
          <w:lang w:val="es-ES_tradnl"/>
        </w:rPr>
        <w:t>mipymes</w:t>
      </w:r>
      <w:bookmarkEnd w:id="11"/>
      <w:r w:rsidR="00E11440" w:rsidRPr="00A87091">
        <w:rPr>
          <w:rFonts w:ascii="Arial" w:eastAsia="Calibri" w:hAnsi="Arial" w:cs="Arial"/>
          <w:bCs/>
          <w:color w:val="000000" w:themeColor="text1"/>
          <w:sz w:val="22"/>
          <w:lang w:val="es-ES_tradnl"/>
        </w:rPr>
        <w:t xml:space="preserve"> la</w:t>
      </w:r>
      <w:r w:rsidRPr="00A87091">
        <w:rPr>
          <w:rFonts w:ascii="Arial" w:eastAsia="Calibri" w:hAnsi="Arial" w:cs="Arial"/>
          <w:bCs/>
          <w:color w:val="000000" w:themeColor="text1"/>
          <w:sz w:val="22"/>
          <w:lang w:val="es-ES_tradnl"/>
        </w:rPr>
        <w:t xml:space="preserve"> mínima cuantía</w:t>
      </w:r>
      <w:r w:rsidR="00D456BE" w:rsidRPr="00A87091">
        <w:rPr>
          <w:rFonts w:ascii="Arial" w:eastAsia="Calibri" w:hAnsi="Arial" w:cs="Arial"/>
          <w:bCs/>
          <w:color w:val="000000" w:themeColor="text1"/>
          <w:sz w:val="22"/>
          <w:lang w:val="es-ES_tradnl"/>
        </w:rPr>
        <w:t>, especialmente, cuando el artículo 94 la Ley 1474 de 2011 disponía que no era aplicable</w:t>
      </w:r>
      <w:r w:rsidR="00E11440" w:rsidRPr="00A87091">
        <w:rPr>
          <w:rFonts w:ascii="Arial" w:eastAsia="Calibri" w:hAnsi="Arial" w:cs="Arial"/>
          <w:bCs/>
          <w:color w:val="000000" w:themeColor="text1"/>
          <w:sz w:val="22"/>
          <w:lang w:val="es-ES_tradnl"/>
        </w:rPr>
        <w:t xml:space="preserve"> la Ley 816 de 2003, «Por medio de la cual se apoya a la industria nacional a través de la contratación pública</w:t>
      </w:r>
      <w:r w:rsidR="00E11440" w:rsidRPr="00A87091">
        <w:rPr>
          <w:rFonts w:ascii="Arial" w:hAnsi="Arial" w:cs="Arial"/>
          <w:color w:val="000000"/>
          <w:sz w:val="22"/>
        </w:rPr>
        <w:t xml:space="preserve">», ni </w:t>
      </w:r>
      <w:r w:rsidR="00D456BE" w:rsidRPr="00A87091">
        <w:rPr>
          <w:rFonts w:ascii="Arial" w:eastAsia="Calibri" w:hAnsi="Arial" w:cs="Arial"/>
          <w:bCs/>
          <w:color w:val="000000" w:themeColor="text1"/>
          <w:sz w:val="22"/>
          <w:lang w:val="es-ES_tradnl"/>
        </w:rPr>
        <w:t xml:space="preserve">el artículo 12 de la Ley </w:t>
      </w:r>
      <w:r w:rsidR="00D456BE" w:rsidRPr="00A87091">
        <w:rPr>
          <w:rFonts w:ascii="Arial" w:eastAsia="Calibri" w:hAnsi="Arial" w:cs="Arial"/>
          <w:bCs/>
          <w:color w:val="000000" w:themeColor="text1"/>
          <w:sz w:val="22"/>
          <w:lang w:val="es-ES_tradnl"/>
        </w:rPr>
        <w:lastRenderedPageBreak/>
        <w:t xml:space="preserve">1150 de 2007, relacionado con la promoción del desarrollo en la contratación pública. </w:t>
      </w:r>
      <w:r w:rsidR="00880A60" w:rsidRPr="00A87091">
        <w:rPr>
          <w:rFonts w:ascii="Arial" w:eastAsia="Calibri" w:hAnsi="Arial" w:cs="Arial"/>
          <w:bCs/>
          <w:color w:val="000000" w:themeColor="text1"/>
          <w:sz w:val="22"/>
          <w:lang w:val="es-ES_tradnl"/>
        </w:rPr>
        <w:t>A</w:t>
      </w:r>
      <w:r w:rsidR="00225FBD" w:rsidRPr="00A87091">
        <w:rPr>
          <w:rFonts w:ascii="Arial" w:eastAsia="Calibri" w:hAnsi="Arial" w:cs="Arial"/>
          <w:bCs/>
          <w:color w:val="000000" w:themeColor="text1"/>
          <w:sz w:val="22"/>
          <w:lang w:val="es-ES_tradnl"/>
        </w:rPr>
        <w:t xml:space="preserve"> partir de la expedición d</w:t>
      </w:r>
      <w:r w:rsidR="00880A60" w:rsidRPr="00A87091">
        <w:rPr>
          <w:rFonts w:ascii="Arial" w:eastAsia="Calibri" w:hAnsi="Arial" w:cs="Arial"/>
          <w:bCs/>
          <w:color w:val="000000" w:themeColor="text1"/>
          <w:sz w:val="22"/>
          <w:lang w:val="es-ES_tradnl"/>
        </w:rPr>
        <w:t>el artículo 30, parágrafo 2, de la Ley 2069 de 2020</w:t>
      </w:r>
      <w:r w:rsidR="00016F8F" w:rsidRPr="00A87091">
        <w:rPr>
          <w:rFonts w:ascii="Arial" w:eastAsia="Calibri" w:hAnsi="Arial" w:cs="Arial"/>
          <w:bCs/>
          <w:color w:val="000000" w:themeColor="text1"/>
          <w:sz w:val="22"/>
          <w:lang w:val="es-ES_tradnl"/>
        </w:rPr>
        <w:t>, «La contratación a que se refiere el presente artículo se realizará exclusivamente con las reglas en él contempladas y en su reglamentación. En particular no se aplicará lo previsto en la Ley 816 de 2003»</w:t>
      </w:r>
      <w:r w:rsidR="00EE52B1" w:rsidRPr="00A87091">
        <w:rPr>
          <w:rFonts w:ascii="Arial" w:eastAsia="Calibri" w:hAnsi="Arial" w:cs="Arial"/>
          <w:bCs/>
          <w:color w:val="000000" w:themeColor="text1"/>
          <w:sz w:val="22"/>
          <w:lang w:val="es-ES_tradnl"/>
        </w:rPr>
        <w:t>. Es decir, al no prohibir la aplicación del artículo 12 de la Ley 1150 de 2007, la norma</w:t>
      </w:r>
      <w:r w:rsidR="00760606" w:rsidRPr="00A87091">
        <w:rPr>
          <w:rFonts w:ascii="Arial" w:eastAsia="Calibri" w:hAnsi="Arial" w:cs="Arial"/>
          <w:bCs/>
          <w:color w:val="000000" w:themeColor="text1"/>
          <w:sz w:val="22"/>
          <w:lang w:val="es-ES_tradnl"/>
        </w:rPr>
        <w:t xml:space="preserve"> –además de reiterar la importancia de su reglamentación posterior–</w:t>
      </w:r>
      <w:r w:rsidR="00EE52B1" w:rsidRPr="00A87091">
        <w:rPr>
          <w:rFonts w:ascii="Arial" w:eastAsia="Calibri" w:hAnsi="Arial" w:cs="Arial"/>
          <w:bCs/>
          <w:color w:val="000000" w:themeColor="text1"/>
          <w:sz w:val="22"/>
          <w:lang w:val="es-ES_tradnl"/>
        </w:rPr>
        <w:t xml:space="preserve"> </w:t>
      </w:r>
      <w:r w:rsidR="00E11440" w:rsidRPr="00A87091">
        <w:rPr>
          <w:rFonts w:ascii="Arial" w:eastAsia="Calibri" w:hAnsi="Arial" w:cs="Arial"/>
          <w:bCs/>
          <w:color w:val="000000" w:themeColor="text1"/>
          <w:sz w:val="22"/>
          <w:lang w:val="es-ES_tradnl"/>
        </w:rPr>
        <w:t>permit</w:t>
      </w:r>
      <w:r w:rsidR="00EE52B1" w:rsidRPr="00A87091">
        <w:rPr>
          <w:rFonts w:ascii="Arial" w:eastAsia="Calibri" w:hAnsi="Arial" w:cs="Arial"/>
          <w:bCs/>
          <w:color w:val="000000" w:themeColor="text1"/>
          <w:sz w:val="22"/>
          <w:lang w:val="es-ES_tradnl"/>
        </w:rPr>
        <w:t>e</w:t>
      </w:r>
      <w:r w:rsidR="00E11440" w:rsidRPr="00A87091">
        <w:rPr>
          <w:rFonts w:ascii="Arial" w:eastAsia="Calibri" w:hAnsi="Arial" w:cs="Arial"/>
          <w:bCs/>
          <w:color w:val="000000" w:themeColor="text1"/>
          <w:sz w:val="22"/>
          <w:lang w:val="es-ES_tradnl"/>
        </w:rPr>
        <w:t xml:space="preserve"> las convocatorias limitadas a mipymes en esta modalidad de selección</w:t>
      </w:r>
      <w:r w:rsidR="00016F8F" w:rsidRPr="00A87091">
        <w:rPr>
          <w:rFonts w:ascii="Arial" w:eastAsia="Calibri" w:hAnsi="Arial" w:cs="Arial"/>
          <w:bCs/>
          <w:color w:val="000000" w:themeColor="text1"/>
          <w:sz w:val="22"/>
          <w:lang w:val="es-ES_tradnl"/>
        </w:rPr>
        <w:t>.</w:t>
      </w:r>
    </w:p>
    <w:p w14:paraId="78B1455E" w14:textId="665B8581" w:rsidR="00BF4B4C" w:rsidRPr="00A87091" w:rsidRDefault="00060618" w:rsidP="00060618">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t xml:space="preserve">Como se observa, </w:t>
      </w:r>
      <w:r w:rsidR="007E6B89" w:rsidRPr="00A87091">
        <w:rPr>
          <w:rFonts w:ascii="Arial" w:eastAsia="Calibri" w:hAnsi="Arial" w:cs="Arial"/>
          <w:bCs/>
          <w:color w:val="000000" w:themeColor="text1"/>
          <w:sz w:val="22"/>
          <w:lang w:val="es-ES_tradnl"/>
        </w:rPr>
        <w:t>el</w:t>
      </w:r>
      <w:r w:rsidRPr="00A87091">
        <w:rPr>
          <w:rFonts w:ascii="Arial" w:eastAsia="Calibri" w:hAnsi="Arial" w:cs="Arial"/>
          <w:bCs/>
          <w:color w:val="000000" w:themeColor="text1"/>
          <w:sz w:val="22"/>
          <w:lang w:val="es-ES_tradnl"/>
        </w:rPr>
        <w:t xml:space="preserve"> parágrafo 1 del artículo 30 de la Ley 2069 de 2020 dispone que el reglamento es importante para regular i) las </w:t>
      </w:r>
      <w:r w:rsidR="005B7A4C" w:rsidRPr="00A87091">
        <w:rPr>
          <w:rFonts w:ascii="Arial" w:eastAsia="Calibri" w:hAnsi="Arial" w:cs="Arial"/>
          <w:bCs/>
          <w:color w:val="000000" w:themeColor="text1"/>
          <w:sz w:val="22"/>
          <w:lang w:val="es-ES_tradnl"/>
        </w:rPr>
        <w:t>«</w:t>
      </w:r>
      <w:r w:rsidRPr="00A87091">
        <w:rPr>
          <w:rFonts w:ascii="Arial" w:eastAsia="Calibri" w:hAnsi="Arial" w:cs="Arial"/>
          <w:bCs/>
          <w:color w:val="000000" w:themeColor="text1"/>
          <w:sz w:val="22"/>
          <w:lang w:val="es-ES_tradnl"/>
        </w:rPr>
        <w:t>particularidades del procedimiento de selección</w:t>
      </w:r>
      <w:r w:rsidR="005B7A4C" w:rsidRPr="00A87091">
        <w:rPr>
          <w:rFonts w:ascii="Arial" w:eastAsia="Calibri" w:hAnsi="Arial" w:cs="Arial"/>
          <w:bCs/>
          <w:color w:val="000000" w:themeColor="text1"/>
          <w:sz w:val="22"/>
          <w:lang w:val="es-ES_tradnl"/>
        </w:rPr>
        <w:t>»</w:t>
      </w:r>
      <w:r w:rsidRPr="00A87091">
        <w:rPr>
          <w:rFonts w:ascii="Arial" w:eastAsia="Calibri" w:hAnsi="Arial" w:cs="Arial"/>
          <w:bCs/>
          <w:color w:val="000000" w:themeColor="text1"/>
          <w:sz w:val="22"/>
          <w:lang w:val="es-ES_tradnl"/>
        </w:rPr>
        <w:t xml:space="preserve"> y ii) la posibilidad de realizar estas adquisiciones a mipymes </w:t>
      </w:r>
      <w:r w:rsidR="00974634" w:rsidRPr="00A87091">
        <w:rPr>
          <w:rFonts w:ascii="Arial" w:eastAsia="Calibri" w:hAnsi="Arial" w:cs="Arial"/>
          <w:bCs/>
          <w:color w:val="000000" w:themeColor="text1"/>
          <w:sz w:val="22"/>
          <w:lang w:val="es-ES_tradnl"/>
        </w:rPr>
        <w:t>o establecimientos que correspondan a la definición de «gran almacén»</w:t>
      </w:r>
      <w:r w:rsidR="00D46B8E" w:rsidRPr="00A87091">
        <w:rPr>
          <w:rFonts w:ascii="Arial" w:eastAsia="Calibri" w:hAnsi="Arial" w:cs="Arial"/>
          <w:bCs/>
          <w:color w:val="000000" w:themeColor="text1"/>
          <w:sz w:val="22"/>
          <w:lang w:val="es-ES_tradnl"/>
        </w:rPr>
        <w:t>.</w:t>
      </w:r>
      <w:r w:rsidR="006246B7" w:rsidRPr="00A87091">
        <w:rPr>
          <w:rFonts w:ascii="Arial" w:eastAsia="Calibri" w:hAnsi="Arial" w:cs="Arial"/>
          <w:bCs/>
          <w:color w:val="000000" w:themeColor="text1"/>
          <w:sz w:val="22"/>
          <w:lang w:val="es-ES_tradnl"/>
        </w:rPr>
        <w:t xml:space="preserve"> No obstante, ¿es necesario el desarrollo normativo para la vigencia de la mínima cuantía? En principio</w:t>
      </w:r>
      <w:r w:rsidR="00BF4B4C" w:rsidRPr="00A87091">
        <w:rPr>
          <w:rFonts w:ascii="Arial" w:eastAsia="Calibri" w:hAnsi="Arial" w:cs="Arial"/>
          <w:bCs/>
          <w:color w:val="000000" w:themeColor="text1"/>
          <w:sz w:val="22"/>
          <w:lang w:val="es-ES_tradnl"/>
        </w:rPr>
        <w:t>,</w:t>
      </w:r>
      <w:r w:rsidR="006246B7" w:rsidRPr="00A87091">
        <w:rPr>
          <w:rFonts w:ascii="Arial" w:eastAsia="Calibri" w:hAnsi="Arial" w:cs="Arial"/>
          <w:bCs/>
          <w:color w:val="000000" w:themeColor="text1"/>
          <w:sz w:val="22"/>
          <w:lang w:val="es-ES_tradnl"/>
        </w:rPr>
        <w:t xml:space="preserve"> la respuesta positiva a esta inquietud se fundamentaría en la necesidad de que el reglamento </w:t>
      </w:r>
      <w:r w:rsidR="002F2655" w:rsidRPr="00A87091">
        <w:rPr>
          <w:rFonts w:ascii="Arial" w:eastAsia="Calibri" w:hAnsi="Arial" w:cs="Arial"/>
          <w:bCs/>
          <w:color w:val="000000" w:themeColor="text1"/>
          <w:sz w:val="22"/>
          <w:lang w:val="es-ES_tradnl"/>
        </w:rPr>
        <w:t>precise</w:t>
      </w:r>
      <w:r w:rsidR="006246B7" w:rsidRPr="00A87091">
        <w:rPr>
          <w:rFonts w:ascii="Arial" w:eastAsia="Calibri" w:hAnsi="Arial" w:cs="Arial"/>
          <w:bCs/>
          <w:color w:val="000000" w:themeColor="text1"/>
          <w:sz w:val="22"/>
          <w:lang w:val="es-ES_tradnl"/>
        </w:rPr>
        <w:t xml:space="preserve"> los detalles del procedimiento de selección. </w:t>
      </w:r>
      <w:r w:rsidR="00BF4B4C" w:rsidRPr="00A87091">
        <w:rPr>
          <w:rFonts w:ascii="Arial" w:eastAsia="Calibri" w:hAnsi="Arial" w:cs="Arial"/>
          <w:bCs/>
          <w:color w:val="000000" w:themeColor="text1"/>
          <w:sz w:val="22"/>
          <w:lang w:val="es-ES_tradnl"/>
        </w:rPr>
        <w:t>Dentro de esta postura</w:t>
      </w:r>
      <w:r w:rsidR="006246B7" w:rsidRPr="00A87091">
        <w:rPr>
          <w:rFonts w:ascii="Arial" w:eastAsia="Calibri" w:hAnsi="Arial" w:cs="Arial"/>
          <w:bCs/>
          <w:color w:val="000000" w:themeColor="text1"/>
          <w:sz w:val="22"/>
          <w:lang w:val="es-ES_tradnl"/>
        </w:rPr>
        <w:t xml:space="preserve">, </w:t>
      </w:r>
      <w:r w:rsidR="00BF4B4C" w:rsidRPr="00A87091">
        <w:rPr>
          <w:rFonts w:ascii="Arial" w:eastAsia="Calibri" w:hAnsi="Arial" w:cs="Arial"/>
          <w:bCs/>
          <w:color w:val="000000" w:themeColor="text1"/>
          <w:sz w:val="22"/>
          <w:lang w:val="es-ES_tradnl"/>
        </w:rPr>
        <w:t xml:space="preserve">la regulación de los </w:t>
      </w:r>
      <w:r w:rsidR="005B7A4C" w:rsidRPr="00A87091">
        <w:rPr>
          <w:rFonts w:ascii="Arial" w:eastAsia="Calibri" w:hAnsi="Arial" w:cs="Arial"/>
          <w:bCs/>
          <w:color w:val="000000" w:themeColor="text1"/>
          <w:sz w:val="22"/>
          <w:lang w:val="es-ES_tradnl"/>
        </w:rPr>
        <w:t>«</w:t>
      </w:r>
      <w:r w:rsidR="00BF4B4C" w:rsidRPr="00A87091">
        <w:rPr>
          <w:rFonts w:ascii="Arial" w:eastAsia="Calibri" w:hAnsi="Arial" w:cs="Arial"/>
          <w:bCs/>
          <w:color w:val="000000" w:themeColor="text1"/>
          <w:sz w:val="22"/>
          <w:lang w:val="es-ES_tradnl"/>
        </w:rPr>
        <w:t>aspectos generales del trámite</w:t>
      </w:r>
      <w:r w:rsidR="005B7A4C" w:rsidRPr="00A87091">
        <w:rPr>
          <w:rFonts w:ascii="Arial" w:eastAsia="Calibri" w:hAnsi="Arial" w:cs="Arial"/>
          <w:bCs/>
          <w:color w:val="000000" w:themeColor="text1"/>
          <w:sz w:val="22"/>
          <w:lang w:val="es-ES_tradnl"/>
        </w:rPr>
        <w:t>»</w:t>
      </w:r>
      <w:r w:rsidR="00BF4B4C" w:rsidRPr="00A87091">
        <w:rPr>
          <w:rFonts w:ascii="Arial" w:eastAsia="Calibri" w:hAnsi="Arial" w:cs="Arial"/>
          <w:bCs/>
          <w:color w:val="000000" w:themeColor="text1"/>
          <w:sz w:val="22"/>
          <w:lang w:val="es-ES_tradnl"/>
        </w:rPr>
        <w:t xml:space="preserve"> sería insuficiente, pues las entidades carecerían de criterios uniformes para desarrollarlo en la práctica.</w:t>
      </w:r>
    </w:p>
    <w:p w14:paraId="4A28E4FF" w14:textId="13927594" w:rsidR="000B5C52" w:rsidRPr="00A87091" w:rsidRDefault="00BF4B4C" w:rsidP="001E0DB0">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w:t>
      </w:r>
      <w:r w:rsidR="00675E0A" w:rsidRPr="00A87091">
        <w:rPr>
          <w:rFonts w:ascii="Arial" w:eastAsia="Calibri" w:hAnsi="Arial" w:cs="Arial"/>
          <w:bCs/>
          <w:color w:val="000000" w:themeColor="text1"/>
          <w:sz w:val="22"/>
          <w:lang w:val="es-ES_tradnl"/>
        </w:rPr>
        <w:t>as entidades estatales</w:t>
      </w:r>
      <w:r w:rsidR="00C410C3" w:rsidRPr="00A87091">
        <w:rPr>
          <w:rFonts w:ascii="Arial" w:eastAsia="Calibri" w:hAnsi="Arial" w:cs="Arial"/>
          <w:bCs/>
          <w:color w:val="000000" w:themeColor="text1"/>
          <w:sz w:val="22"/>
          <w:lang w:val="es-ES_tradnl"/>
        </w:rPr>
        <w:t xml:space="preserve">. </w:t>
      </w:r>
      <w:r w:rsidR="005B7A4C" w:rsidRPr="00A87091">
        <w:rPr>
          <w:rFonts w:ascii="Arial" w:eastAsia="Calibri" w:hAnsi="Arial" w:cs="Arial"/>
          <w:bCs/>
          <w:color w:val="000000" w:themeColor="text1"/>
          <w:sz w:val="22"/>
          <w:lang w:val="es-ES_tradnl"/>
        </w:rPr>
        <w:t>En efecto</w:t>
      </w:r>
      <w:r w:rsidR="006437B9" w:rsidRPr="00A87091">
        <w:rPr>
          <w:rFonts w:ascii="Arial" w:eastAsia="Calibri" w:hAnsi="Arial" w:cs="Arial"/>
          <w:bCs/>
          <w:color w:val="000000" w:themeColor="text1"/>
          <w:sz w:val="22"/>
          <w:lang w:val="es-ES_tradnl"/>
        </w:rPr>
        <w:t>,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w:t>
      </w:r>
      <w:r w:rsidR="002B43BA" w:rsidRPr="00A87091">
        <w:rPr>
          <w:rFonts w:ascii="Arial" w:eastAsia="Calibri" w:hAnsi="Arial" w:cs="Arial"/>
          <w:bCs/>
          <w:color w:val="000000" w:themeColor="text1"/>
          <w:sz w:val="22"/>
          <w:lang w:val="es-ES_tradnl"/>
        </w:rPr>
        <w:t xml:space="preserve"> […]</w:t>
      </w:r>
      <w:r w:rsidR="006437B9" w:rsidRPr="00A87091">
        <w:rPr>
          <w:rFonts w:ascii="Arial" w:eastAsia="Calibri" w:hAnsi="Arial" w:cs="Arial"/>
          <w:bCs/>
          <w:color w:val="000000" w:themeColor="text1"/>
          <w:sz w:val="22"/>
          <w:lang w:val="es-ES_tradnl"/>
        </w:rPr>
        <w:t>»</w:t>
      </w:r>
      <w:r w:rsidR="006437B9" w:rsidRPr="00A87091">
        <w:rPr>
          <w:rStyle w:val="Refdenotaalpie"/>
          <w:rFonts w:ascii="Arial" w:eastAsia="Calibri" w:hAnsi="Arial" w:cs="Arial"/>
          <w:bCs/>
          <w:color w:val="000000" w:themeColor="text1"/>
          <w:sz w:val="22"/>
          <w:lang w:val="es-ES_tradnl"/>
        </w:rPr>
        <w:footnoteReference w:id="8"/>
      </w:r>
      <w:r w:rsidR="006437B9" w:rsidRPr="00A87091">
        <w:rPr>
          <w:rFonts w:ascii="Arial" w:eastAsia="Calibri" w:hAnsi="Arial" w:cs="Arial"/>
          <w:bCs/>
          <w:color w:val="000000" w:themeColor="text1"/>
          <w:sz w:val="22"/>
          <w:lang w:val="es-ES_tradnl"/>
        </w:rPr>
        <w:t>.</w:t>
      </w:r>
      <w:r w:rsidR="002F2655" w:rsidRPr="00A87091">
        <w:rPr>
          <w:rFonts w:ascii="Arial" w:eastAsia="Calibri" w:hAnsi="Arial" w:cs="Arial"/>
          <w:bCs/>
          <w:color w:val="000000" w:themeColor="text1"/>
          <w:sz w:val="22"/>
          <w:lang w:val="es-ES_tradnl"/>
        </w:rPr>
        <w:t xml:space="preserve"> </w:t>
      </w:r>
    </w:p>
    <w:p w14:paraId="7FBC5022" w14:textId="49ECB76F" w:rsidR="006246B7" w:rsidRPr="00A87091" w:rsidRDefault="000B5C52" w:rsidP="00A51C72">
      <w:pPr>
        <w:tabs>
          <w:tab w:val="left" w:pos="709"/>
        </w:tabs>
        <w:spacing w:after="120"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r>
      <w:r w:rsidR="002B43BA" w:rsidRPr="00A87091">
        <w:rPr>
          <w:rFonts w:ascii="Arial" w:eastAsia="Calibri" w:hAnsi="Arial" w:cs="Arial"/>
          <w:bCs/>
          <w:color w:val="000000" w:themeColor="text1"/>
          <w:sz w:val="22"/>
          <w:lang w:val="es-ES_tradnl"/>
        </w:rPr>
        <w:t xml:space="preserve">Por tanto, </w:t>
      </w:r>
      <w:r w:rsidR="00B86C5A" w:rsidRPr="00A87091">
        <w:rPr>
          <w:rFonts w:ascii="Arial" w:eastAsia="Calibri" w:hAnsi="Arial" w:cs="Arial"/>
          <w:bCs/>
          <w:color w:val="000000" w:themeColor="text1"/>
          <w:sz w:val="22"/>
          <w:lang w:val="es-ES_tradnl"/>
        </w:rPr>
        <w:t>dado</w:t>
      </w:r>
      <w:r w:rsidR="002B43BA" w:rsidRPr="00A87091">
        <w:rPr>
          <w:rFonts w:ascii="Arial" w:eastAsia="Calibri" w:hAnsi="Arial" w:cs="Arial"/>
          <w:bCs/>
          <w:color w:val="000000" w:themeColor="text1"/>
          <w:sz w:val="22"/>
          <w:lang w:val="es-ES_tradnl"/>
        </w:rPr>
        <w:t xml:space="preserve"> </w:t>
      </w:r>
      <w:r w:rsidR="00542236" w:rsidRPr="00A87091">
        <w:rPr>
          <w:rFonts w:ascii="Arial" w:eastAsia="Calibri" w:hAnsi="Arial" w:cs="Arial"/>
          <w:bCs/>
          <w:color w:val="000000" w:themeColor="text1"/>
          <w:sz w:val="22"/>
          <w:lang w:val="es-ES_tradnl"/>
        </w:rPr>
        <w:t>que el artículo 30 de la Ley 2069 de 2020 regula aspectos</w:t>
      </w:r>
      <w:r w:rsidR="007E6B89" w:rsidRPr="00A87091">
        <w:rPr>
          <w:rFonts w:ascii="Arial" w:eastAsia="Calibri" w:hAnsi="Arial" w:cs="Arial"/>
          <w:bCs/>
          <w:color w:val="000000" w:themeColor="text1"/>
          <w:sz w:val="22"/>
          <w:lang w:val="es-ES_tradnl"/>
        </w:rPr>
        <w:t xml:space="preserve"> de la mínima cuantía</w:t>
      </w:r>
      <w:r w:rsidR="00542236" w:rsidRPr="00A87091">
        <w:rPr>
          <w:rFonts w:ascii="Arial" w:eastAsia="Calibri" w:hAnsi="Arial" w:cs="Arial"/>
          <w:bCs/>
          <w:color w:val="000000" w:themeColor="text1"/>
          <w:sz w:val="22"/>
          <w:lang w:val="es-ES_tradnl"/>
        </w:rPr>
        <w:t xml:space="preserve">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w:t>
      </w:r>
      <w:r w:rsidR="002F2655" w:rsidRPr="00A87091">
        <w:rPr>
          <w:rFonts w:ascii="Arial" w:eastAsia="Calibri" w:hAnsi="Arial" w:cs="Arial"/>
          <w:bCs/>
          <w:color w:val="000000" w:themeColor="text1"/>
          <w:sz w:val="22"/>
          <w:lang w:val="es-ES_tradnl"/>
        </w:rPr>
        <w:t xml:space="preserve">aplicación </w:t>
      </w:r>
      <w:r w:rsidR="00542236" w:rsidRPr="00A87091">
        <w:rPr>
          <w:rFonts w:ascii="Arial" w:eastAsia="Calibri" w:hAnsi="Arial" w:cs="Arial"/>
          <w:bCs/>
          <w:color w:val="000000" w:themeColor="text1"/>
          <w:sz w:val="22"/>
          <w:lang w:val="es-ES_tradnl"/>
        </w:rPr>
        <w:t xml:space="preserve">inmediata sin que el reglamento condicione </w:t>
      </w:r>
      <w:r w:rsidR="007E6B89" w:rsidRPr="00A87091">
        <w:rPr>
          <w:rFonts w:ascii="Arial" w:eastAsia="Calibri" w:hAnsi="Arial" w:cs="Arial"/>
          <w:bCs/>
          <w:color w:val="000000" w:themeColor="text1"/>
          <w:sz w:val="22"/>
          <w:lang w:val="es-ES_tradnl"/>
        </w:rPr>
        <w:t>si vigencia</w:t>
      </w:r>
      <w:r w:rsidR="00542236" w:rsidRPr="00A87091">
        <w:rPr>
          <w:rFonts w:ascii="Arial" w:eastAsia="Calibri" w:hAnsi="Arial" w:cs="Arial"/>
          <w:bCs/>
          <w:color w:val="000000" w:themeColor="text1"/>
          <w:sz w:val="22"/>
          <w:lang w:val="es-ES_tradnl"/>
        </w:rPr>
        <w:t>.</w:t>
      </w:r>
      <w:r w:rsidR="002F2655" w:rsidRPr="00A87091">
        <w:rPr>
          <w:rFonts w:ascii="Arial" w:eastAsia="Calibri" w:hAnsi="Arial" w:cs="Arial"/>
          <w:bCs/>
          <w:color w:val="000000" w:themeColor="text1"/>
          <w:sz w:val="22"/>
          <w:lang w:val="es-ES_tradnl"/>
        </w:rPr>
        <w:t xml:space="preserve"> </w:t>
      </w:r>
      <w:r w:rsidR="007E6B89" w:rsidRPr="00A87091">
        <w:rPr>
          <w:rFonts w:ascii="Arial" w:eastAsia="Calibri" w:hAnsi="Arial" w:cs="Arial"/>
          <w:bCs/>
          <w:color w:val="000000" w:themeColor="text1"/>
          <w:sz w:val="22"/>
          <w:lang w:val="es-ES_tradnl"/>
        </w:rPr>
        <w:t>En otras palabras</w:t>
      </w:r>
      <w:r w:rsidRPr="00A87091">
        <w:rPr>
          <w:rFonts w:ascii="Arial" w:eastAsia="Calibri" w:hAnsi="Arial" w:cs="Arial"/>
          <w:bCs/>
          <w:color w:val="000000" w:themeColor="text1"/>
          <w:sz w:val="22"/>
          <w:lang w:val="es-ES_tradnl"/>
        </w:rPr>
        <w:t xml:space="preserve">, </w:t>
      </w:r>
      <w:r w:rsidR="007E6B89" w:rsidRPr="00A87091">
        <w:rPr>
          <w:rFonts w:ascii="Arial" w:eastAsia="Calibri" w:hAnsi="Arial" w:cs="Arial"/>
          <w:bCs/>
          <w:color w:val="000000" w:themeColor="text1"/>
          <w:sz w:val="22"/>
          <w:lang w:val="es-ES_tradnl"/>
        </w:rPr>
        <w:t xml:space="preserve">la mínima cuantía es directamente aplicable, sin perjuicio de que a través del ejercicio de la potestad reglamentaria se desarrolle </w:t>
      </w:r>
      <w:r w:rsidRPr="00A87091">
        <w:rPr>
          <w:rFonts w:ascii="Arial" w:eastAsia="Calibri" w:hAnsi="Arial" w:cs="Arial"/>
          <w:bCs/>
          <w:color w:val="000000" w:themeColor="text1"/>
          <w:sz w:val="22"/>
          <w:lang w:val="es-ES_tradnl"/>
        </w:rPr>
        <w:t xml:space="preserve">específicamente la «Singularidad, especialidad e individualidad» del trámite, así como </w:t>
      </w:r>
      <w:r w:rsidR="007E6B89" w:rsidRPr="00A87091">
        <w:rPr>
          <w:rFonts w:ascii="Arial" w:eastAsia="Calibri" w:hAnsi="Arial" w:cs="Arial"/>
          <w:bCs/>
          <w:color w:val="000000" w:themeColor="text1"/>
          <w:sz w:val="22"/>
          <w:lang w:val="es-ES_tradnl"/>
        </w:rPr>
        <w:t>realización</w:t>
      </w:r>
      <w:r w:rsidRPr="00A87091">
        <w:rPr>
          <w:rFonts w:ascii="Arial" w:eastAsia="Calibri" w:hAnsi="Arial" w:cs="Arial"/>
          <w:bCs/>
          <w:color w:val="000000" w:themeColor="text1"/>
          <w:sz w:val="22"/>
          <w:lang w:val="es-ES_tradnl"/>
        </w:rPr>
        <w:t xml:space="preserve"> estas adquisiciones a mipymes o establecimientos que correspondan a la definición de «gran almacén».</w:t>
      </w:r>
    </w:p>
    <w:p w14:paraId="1945E94E" w14:textId="2C4731D2" w:rsidR="00A51C72" w:rsidRPr="00A87091" w:rsidRDefault="00A51C72" w:rsidP="008E3FF2">
      <w:pPr>
        <w:tabs>
          <w:tab w:val="left" w:pos="709"/>
        </w:tabs>
        <w:spacing w:line="276" w:lineRule="auto"/>
        <w:jc w:val="both"/>
        <w:rPr>
          <w:rFonts w:ascii="Arial" w:eastAsia="Calibri" w:hAnsi="Arial" w:cs="Arial"/>
          <w:bCs/>
          <w:color w:val="000000" w:themeColor="text1"/>
          <w:sz w:val="22"/>
          <w:lang w:val="es-ES_tradnl"/>
        </w:rPr>
      </w:pPr>
      <w:r w:rsidRPr="00A87091">
        <w:rPr>
          <w:rFonts w:ascii="Arial" w:eastAsia="Calibri" w:hAnsi="Arial" w:cs="Arial"/>
          <w:bCs/>
          <w:color w:val="000000" w:themeColor="text1"/>
          <w:sz w:val="22"/>
          <w:lang w:val="es-ES_tradnl"/>
        </w:rPr>
        <w:tab/>
        <w:t xml:space="preserve">Naturalmente, tratándose de los </w:t>
      </w:r>
      <w:bookmarkStart w:id="12" w:name="_Hlk65067425"/>
      <w:r w:rsidRPr="00A87091">
        <w:rPr>
          <w:rFonts w:ascii="Arial" w:eastAsia="Calibri" w:hAnsi="Arial" w:cs="Arial"/>
          <w:bCs/>
          <w:color w:val="000000" w:themeColor="text1"/>
          <w:sz w:val="22"/>
          <w:lang w:val="es-ES_tradnl"/>
        </w:rPr>
        <w:t xml:space="preserve">documentos tipo implementados </w:t>
      </w:r>
      <w:r w:rsidR="00B8481C" w:rsidRPr="00A87091">
        <w:rPr>
          <w:rFonts w:ascii="Arial" w:eastAsia="Calibri" w:hAnsi="Arial" w:cs="Arial"/>
          <w:bCs/>
          <w:color w:val="000000" w:themeColor="text1"/>
          <w:sz w:val="22"/>
          <w:lang w:val="es-ES_tradnl"/>
        </w:rPr>
        <w:t>mediante</w:t>
      </w:r>
      <w:r w:rsidRPr="00A87091">
        <w:rPr>
          <w:rFonts w:ascii="Arial" w:eastAsia="Calibri" w:hAnsi="Arial" w:cs="Arial"/>
          <w:bCs/>
          <w:color w:val="000000" w:themeColor="text1"/>
          <w:sz w:val="22"/>
          <w:lang w:val="es-ES_tradnl"/>
        </w:rPr>
        <w:t xml:space="preserve"> las </w:t>
      </w:r>
      <w:bookmarkStart w:id="13" w:name="_Hlk65069013"/>
      <w:r w:rsidRPr="00A87091">
        <w:rPr>
          <w:rFonts w:ascii="Arial" w:eastAsia="Calibri" w:hAnsi="Arial" w:cs="Arial"/>
          <w:bCs/>
          <w:color w:val="000000" w:themeColor="text1"/>
          <w:sz w:val="22"/>
          <w:lang w:val="es-ES_tradnl"/>
        </w:rPr>
        <w:t>Resoluciones 248 y 249 del 1º de diciembre de 2020</w:t>
      </w:r>
      <w:bookmarkEnd w:id="12"/>
      <w:bookmarkEnd w:id="13"/>
      <w:r w:rsidRPr="00A87091">
        <w:rPr>
          <w:rFonts w:ascii="Arial" w:eastAsia="Calibri" w:hAnsi="Arial" w:cs="Arial"/>
          <w:bCs/>
          <w:color w:val="000000" w:themeColor="text1"/>
          <w:sz w:val="22"/>
          <w:lang w:val="es-ES_tradnl"/>
        </w:rPr>
        <w:t xml:space="preserve">, no es necesario incorporar ajustes a los documentos tipo de licitación para obra pública de agua potable y saneamiento básico. </w:t>
      </w:r>
      <w:r w:rsidRPr="00A87091">
        <w:rPr>
          <w:rFonts w:ascii="Arial" w:eastAsia="Calibri" w:hAnsi="Arial" w:cs="Arial"/>
          <w:bCs/>
          <w:color w:val="000000" w:themeColor="text1"/>
          <w:sz w:val="22"/>
          <w:lang w:val="es-ES_tradnl"/>
        </w:rPr>
        <w:lastRenderedPageBreak/>
        <w:t xml:space="preserve">Esto en la medida que el artículo 30 de la Ley de Emprendimiento está relacionado con </w:t>
      </w:r>
      <w:r w:rsidR="008E3FF2" w:rsidRPr="00A87091">
        <w:rPr>
          <w:rFonts w:ascii="Arial" w:eastAsia="Calibri" w:hAnsi="Arial" w:cs="Arial"/>
          <w:bCs/>
          <w:color w:val="000000" w:themeColor="text1"/>
          <w:sz w:val="22"/>
          <w:lang w:val="es-ES_tradnl"/>
        </w:rPr>
        <w:t>la</w:t>
      </w:r>
      <w:r w:rsidRPr="00A87091">
        <w:rPr>
          <w:rFonts w:ascii="Arial" w:eastAsia="Calibri" w:hAnsi="Arial" w:cs="Arial"/>
          <w:bCs/>
          <w:color w:val="000000" w:themeColor="text1"/>
          <w:sz w:val="22"/>
          <w:lang w:val="es-ES_tradnl"/>
        </w:rPr>
        <w:t xml:space="preserve"> menor cuantía</w:t>
      </w:r>
      <w:r w:rsidR="008E3FF2" w:rsidRPr="00A87091">
        <w:rPr>
          <w:rFonts w:ascii="Arial" w:eastAsia="Calibri" w:hAnsi="Arial" w:cs="Arial"/>
          <w:bCs/>
          <w:color w:val="000000" w:themeColor="text1"/>
          <w:sz w:val="22"/>
          <w:lang w:val="es-ES_tradnl"/>
        </w:rPr>
        <w:t>, modalidad de selección en la que todavía no se han expedido documentos tipo para</w:t>
      </w:r>
      <w:r w:rsidR="006C7E87" w:rsidRPr="00A87091">
        <w:rPr>
          <w:rFonts w:ascii="Arial" w:eastAsia="Calibri" w:hAnsi="Arial" w:cs="Arial"/>
          <w:bCs/>
          <w:color w:val="000000" w:themeColor="text1"/>
          <w:sz w:val="22"/>
          <w:lang w:val="es-ES_tradnl"/>
        </w:rPr>
        <w:t xml:space="preserve"> ese</w:t>
      </w:r>
      <w:r w:rsidR="008E3FF2" w:rsidRPr="00A87091">
        <w:rPr>
          <w:rFonts w:ascii="Arial" w:eastAsia="Calibri" w:hAnsi="Arial" w:cs="Arial"/>
          <w:bCs/>
          <w:color w:val="000000" w:themeColor="text1"/>
          <w:sz w:val="22"/>
          <w:lang w:val="es-ES_tradnl"/>
        </w:rPr>
        <w:t xml:space="preserve"> sector. </w:t>
      </w:r>
      <w:r w:rsidRPr="00A87091">
        <w:rPr>
          <w:rFonts w:ascii="Arial" w:eastAsia="Calibri" w:hAnsi="Arial" w:cs="Arial"/>
          <w:bCs/>
          <w:color w:val="000000" w:themeColor="text1"/>
          <w:sz w:val="22"/>
          <w:lang w:val="es-ES_tradnl"/>
        </w:rPr>
        <w:t xml:space="preserve"> </w:t>
      </w:r>
    </w:p>
    <w:p w14:paraId="63124259" w14:textId="77777777" w:rsidR="00E356C9" w:rsidRPr="00A87091" w:rsidRDefault="00E356C9" w:rsidP="00E356C9">
      <w:pPr>
        <w:tabs>
          <w:tab w:val="left" w:pos="709"/>
        </w:tabs>
        <w:spacing w:line="276" w:lineRule="auto"/>
        <w:jc w:val="both"/>
        <w:rPr>
          <w:rFonts w:ascii="Arial" w:eastAsia="Calibri" w:hAnsi="Arial" w:cs="Arial"/>
          <w:bCs/>
          <w:color w:val="000000" w:themeColor="text1"/>
          <w:sz w:val="22"/>
          <w:lang w:val="es-ES_tradnl"/>
        </w:rPr>
      </w:pPr>
    </w:p>
    <w:p w14:paraId="42CFCFAA" w14:textId="11A31AB6" w:rsidR="00E356C9" w:rsidRPr="00A87091" w:rsidRDefault="00E356C9" w:rsidP="00E356C9">
      <w:pPr>
        <w:tabs>
          <w:tab w:val="left" w:pos="709"/>
        </w:tabs>
        <w:spacing w:line="276" w:lineRule="auto"/>
        <w:jc w:val="both"/>
        <w:rPr>
          <w:rFonts w:ascii="Arial" w:eastAsia="Calibri" w:hAnsi="Arial" w:cs="Arial"/>
          <w:b/>
          <w:i/>
          <w:iCs/>
          <w:color w:val="000000" w:themeColor="text1"/>
          <w:sz w:val="22"/>
          <w:lang w:val="es-ES_tradnl"/>
        </w:rPr>
      </w:pPr>
      <w:r w:rsidRPr="00A87091">
        <w:rPr>
          <w:rFonts w:ascii="Arial" w:eastAsia="Calibri" w:hAnsi="Arial" w:cs="Arial"/>
          <w:b/>
          <w:i/>
          <w:iCs/>
          <w:color w:val="000000" w:themeColor="text1"/>
          <w:sz w:val="22"/>
          <w:lang w:val="es-ES_tradnl"/>
        </w:rPr>
        <w:t>2.</w:t>
      </w:r>
      <w:r w:rsidR="008F2837" w:rsidRPr="00A87091">
        <w:rPr>
          <w:rFonts w:ascii="Arial" w:eastAsia="Calibri" w:hAnsi="Arial" w:cs="Arial"/>
          <w:b/>
          <w:i/>
          <w:iCs/>
          <w:color w:val="000000" w:themeColor="text1"/>
          <w:sz w:val="22"/>
          <w:lang w:val="es-ES_tradnl"/>
        </w:rPr>
        <w:t>1</w:t>
      </w:r>
      <w:r w:rsidRPr="00A87091">
        <w:rPr>
          <w:rFonts w:ascii="Arial" w:eastAsia="Calibri" w:hAnsi="Arial" w:cs="Arial"/>
          <w:b/>
          <w:i/>
          <w:iCs/>
          <w:color w:val="000000" w:themeColor="text1"/>
          <w:sz w:val="22"/>
          <w:lang w:val="es-ES_tradnl"/>
        </w:rPr>
        <w:t>.2. Criterios diferenciales para mipymes en el sistema de compra pública</w:t>
      </w:r>
    </w:p>
    <w:p w14:paraId="5ACC1460" w14:textId="77777777" w:rsidR="00E356C9" w:rsidRPr="00A87091" w:rsidRDefault="00E356C9" w:rsidP="00E356C9">
      <w:pPr>
        <w:tabs>
          <w:tab w:val="left" w:pos="709"/>
        </w:tabs>
        <w:spacing w:line="276" w:lineRule="auto"/>
        <w:jc w:val="both"/>
        <w:rPr>
          <w:rFonts w:ascii="Arial" w:eastAsia="Calibri" w:hAnsi="Arial" w:cs="Arial"/>
          <w:bCs/>
          <w:color w:val="000000" w:themeColor="text1"/>
          <w:sz w:val="22"/>
          <w:lang w:val="es-ES_tradnl"/>
        </w:rPr>
      </w:pPr>
    </w:p>
    <w:p w14:paraId="683C8B36" w14:textId="4BCABA65" w:rsidR="00314DE7" w:rsidRPr="00A87091" w:rsidRDefault="00E356C9" w:rsidP="00DC4444">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lang w:val="es-ES_tradnl"/>
        </w:rPr>
        <w:t>E</w:t>
      </w:r>
      <w:r w:rsidR="00760606" w:rsidRPr="00A87091">
        <w:rPr>
          <w:rFonts w:ascii="Arial" w:eastAsia="Calibri" w:hAnsi="Arial" w:cs="Arial"/>
          <w:bCs/>
          <w:color w:val="000000" w:themeColor="text1"/>
          <w:sz w:val="22"/>
          <w:lang w:val="es-ES_tradnl"/>
        </w:rPr>
        <w:t xml:space="preserve">l artículo 31 </w:t>
      </w:r>
      <w:r w:rsidR="00760606" w:rsidRPr="00A87091">
        <w:rPr>
          <w:rFonts w:ascii="Arial" w:eastAsia="Calibri" w:hAnsi="Arial" w:cs="Arial"/>
          <w:bCs/>
          <w:color w:val="000000" w:themeColor="text1"/>
          <w:sz w:val="22"/>
        </w:rPr>
        <w:t>de la Ley 2069 de 2020 introduce criterios diferenciales para el acceso de las mipymes al sistema de compras y contratación pública</w:t>
      </w:r>
      <w:r w:rsidR="00002331" w:rsidRPr="00A87091">
        <w:rPr>
          <w:rFonts w:ascii="Arial" w:eastAsia="Calibri" w:hAnsi="Arial" w:cs="Arial"/>
          <w:bCs/>
          <w:color w:val="000000" w:themeColor="text1"/>
          <w:sz w:val="22"/>
        </w:rPr>
        <w:t xml:space="preserve">. Para estos efectos, el inciso primero dispone que «Las Entidades Estatales de acuerdo con el análisis de Sector </w:t>
      </w:r>
      <w:bookmarkStart w:id="14" w:name="_Hlk63767562"/>
      <w:r w:rsidR="00002331" w:rsidRPr="00A87091">
        <w:rPr>
          <w:rFonts w:ascii="Arial" w:eastAsia="Calibri" w:hAnsi="Arial" w:cs="Arial"/>
          <w:bCs/>
          <w:color w:val="000000" w:themeColor="text1"/>
          <w:sz w:val="22"/>
        </w:rPr>
        <w:t>podrán incluir, en los Documentos del Proceso, requisitos diferenciales y puntajes adicionales</w:t>
      </w:r>
      <w:bookmarkEnd w:id="14"/>
      <w:r w:rsidR="00002331" w:rsidRPr="00A87091">
        <w:rPr>
          <w:rFonts w:ascii="Arial" w:eastAsia="Calibri" w:hAnsi="Arial" w:cs="Arial"/>
          <w:bCs/>
          <w:color w:val="000000" w:themeColor="text1"/>
          <w:sz w:val="22"/>
        </w:rPr>
        <w:t>, en función del tamaño empresarial para la promoción del acceso de las MIPYMES al mercado de Compras Públicas</w:t>
      </w:r>
      <w:r w:rsidR="00BD0B60" w:rsidRPr="00A87091">
        <w:rPr>
          <w:rFonts w:ascii="Arial" w:eastAsia="Calibri" w:hAnsi="Arial" w:cs="Arial"/>
          <w:bCs/>
          <w:color w:val="000000" w:themeColor="text1"/>
          <w:sz w:val="22"/>
        </w:rPr>
        <w:t>»</w:t>
      </w:r>
      <w:r w:rsidR="00002331" w:rsidRPr="00A87091">
        <w:rPr>
          <w:rFonts w:ascii="Arial" w:eastAsia="Calibri" w:hAnsi="Arial" w:cs="Arial"/>
          <w:bCs/>
          <w:color w:val="000000" w:themeColor="text1"/>
          <w:sz w:val="22"/>
        </w:rPr>
        <w:t>.</w:t>
      </w:r>
      <w:r w:rsidR="00BD0B60" w:rsidRPr="00A87091">
        <w:rPr>
          <w:rFonts w:ascii="Arial" w:eastAsia="Calibri" w:hAnsi="Arial" w:cs="Arial"/>
          <w:bCs/>
          <w:color w:val="000000" w:themeColor="text1"/>
          <w:sz w:val="22"/>
        </w:rPr>
        <w:t xml:space="preserve">  </w:t>
      </w:r>
    </w:p>
    <w:p w14:paraId="1B911EED" w14:textId="6F786475" w:rsidR="00360468" w:rsidRPr="00A87091" w:rsidRDefault="00314DE7">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943FB9" w:rsidRPr="00A87091">
        <w:rPr>
          <w:rFonts w:ascii="Arial" w:eastAsia="Calibri" w:hAnsi="Arial" w:cs="Arial"/>
          <w:bCs/>
          <w:color w:val="000000" w:themeColor="text1"/>
          <w:sz w:val="22"/>
        </w:rPr>
        <w:t>L</w:t>
      </w:r>
      <w:r w:rsidRPr="00A87091">
        <w:rPr>
          <w:rFonts w:ascii="Arial" w:eastAsia="Calibri" w:hAnsi="Arial" w:cs="Arial"/>
          <w:bCs/>
          <w:color w:val="000000" w:themeColor="text1"/>
          <w:sz w:val="22"/>
        </w:rPr>
        <w:t xml:space="preserve">a aplicación de los «criterios diferenciales», los cuales incluyen tanto los «requisitos diferenciales» como los «puntajes adicionales», depende </w:t>
      </w:r>
      <w:r w:rsidR="00332336" w:rsidRPr="00A87091">
        <w:rPr>
          <w:rFonts w:ascii="Arial" w:eastAsia="Calibri" w:hAnsi="Arial" w:cs="Arial"/>
          <w:bCs/>
          <w:color w:val="000000" w:themeColor="text1"/>
          <w:sz w:val="22"/>
        </w:rPr>
        <w:t>de las conclusiones d</w:t>
      </w:r>
      <w:r w:rsidRPr="00A87091">
        <w:rPr>
          <w:rFonts w:ascii="Arial" w:eastAsia="Calibri" w:hAnsi="Arial" w:cs="Arial"/>
          <w:bCs/>
          <w:color w:val="000000" w:themeColor="text1"/>
          <w:sz w:val="22"/>
        </w:rPr>
        <w:t xml:space="preserve">el </w:t>
      </w:r>
      <w:r w:rsidR="00332336" w:rsidRPr="00A87091">
        <w:rPr>
          <w:rFonts w:ascii="Arial" w:eastAsia="Calibri" w:hAnsi="Arial" w:cs="Arial"/>
          <w:bCs/>
          <w:color w:val="000000" w:themeColor="text1"/>
          <w:sz w:val="22"/>
        </w:rPr>
        <w:t>estudio</w:t>
      </w:r>
      <w:r w:rsidRPr="00A87091">
        <w:rPr>
          <w:rFonts w:ascii="Arial" w:eastAsia="Calibri" w:hAnsi="Arial" w:cs="Arial"/>
          <w:bCs/>
          <w:color w:val="000000" w:themeColor="text1"/>
          <w:sz w:val="22"/>
        </w:rPr>
        <w:t xml:space="preserve"> del sector. Esto significa que </w:t>
      </w:r>
      <w:bookmarkStart w:id="15" w:name="_Hlk63771460"/>
      <w:r w:rsidRPr="00A87091">
        <w:rPr>
          <w:rFonts w:ascii="Arial" w:eastAsia="Calibri" w:hAnsi="Arial" w:cs="Arial"/>
          <w:bCs/>
          <w:color w:val="000000" w:themeColor="text1"/>
          <w:sz w:val="22"/>
        </w:rPr>
        <w:t xml:space="preserve">si después </w:t>
      </w:r>
      <w:r w:rsidR="00332336" w:rsidRPr="00A87091">
        <w:rPr>
          <w:rFonts w:ascii="Arial" w:eastAsia="Calibri" w:hAnsi="Arial" w:cs="Arial"/>
          <w:bCs/>
          <w:color w:val="000000" w:themeColor="text1"/>
          <w:sz w:val="22"/>
        </w:rPr>
        <w:t>del análisis de mercado de los potenciales oferentes</w:t>
      </w:r>
      <w:bookmarkEnd w:id="15"/>
      <w:r w:rsidR="00332336" w:rsidRPr="00A87091">
        <w:rPr>
          <w:rFonts w:ascii="Arial" w:eastAsia="Calibri" w:hAnsi="Arial" w:cs="Arial"/>
          <w:bCs/>
          <w:color w:val="000000" w:themeColor="text1"/>
          <w:sz w:val="22"/>
        </w:rPr>
        <w:t xml:space="preserve"> no existe la posibilidad de que alguna mipyme se presente al procedimiento de selección, </w:t>
      </w:r>
      <w:r w:rsidR="00EB593B" w:rsidRPr="00A87091">
        <w:rPr>
          <w:rFonts w:ascii="Arial" w:eastAsia="Calibri" w:hAnsi="Arial" w:cs="Arial"/>
          <w:bCs/>
          <w:color w:val="000000" w:themeColor="text1"/>
          <w:sz w:val="22"/>
        </w:rPr>
        <w:t xml:space="preserve">carece de sentido aplicar </w:t>
      </w:r>
      <w:r w:rsidR="00332336" w:rsidRPr="00A87091">
        <w:rPr>
          <w:rFonts w:ascii="Arial" w:eastAsia="Calibri" w:hAnsi="Arial" w:cs="Arial"/>
          <w:bCs/>
          <w:color w:val="000000" w:themeColor="text1"/>
          <w:sz w:val="22"/>
        </w:rPr>
        <w:t xml:space="preserve">el artículo en comento por sustracción de materia: </w:t>
      </w:r>
      <w:r w:rsidR="00332336" w:rsidRPr="00A87091">
        <w:rPr>
          <w:rFonts w:ascii="Arial" w:eastAsia="Calibri" w:hAnsi="Arial" w:cs="Arial"/>
          <w:bCs/>
          <w:i/>
          <w:iCs/>
          <w:color w:val="000000" w:themeColor="text1"/>
          <w:sz w:val="22"/>
        </w:rPr>
        <w:t>ad imposibilia nemo tenetur</w:t>
      </w:r>
      <w:r w:rsidR="00332336" w:rsidRPr="00A87091">
        <w:rPr>
          <w:rFonts w:ascii="Arial" w:eastAsia="Calibri" w:hAnsi="Arial" w:cs="Arial"/>
          <w:bCs/>
          <w:color w:val="000000" w:themeColor="text1"/>
          <w:sz w:val="22"/>
        </w:rPr>
        <w:t xml:space="preserve">. </w:t>
      </w:r>
    </w:p>
    <w:p w14:paraId="36566DAE" w14:textId="60C43C8F" w:rsidR="008F2837" w:rsidRPr="00A87091" w:rsidRDefault="00360468" w:rsidP="008F2837">
      <w:pPr>
        <w:tabs>
          <w:tab w:val="left" w:pos="709"/>
        </w:tabs>
        <w:spacing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No obstante, el inciso segundo y</w:t>
      </w:r>
      <w:r w:rsidR="00916912" w:rsidRPr="00A87091">
        <w:rPr>
          <w:rFonts w:ascii="Arial" w:eastAsia="Calibri" w:hAnsi="Arial" w:cs="Arial"/>
          <w:bCs/>
          <w:color w:val="000000" w:themeColor="text1"/>
          <w:sz w:val="22"/>
        </w:rPr>
        <w:t xml:space="preserve"> el parágrafo del </w:t>
      </w:r>
      <w:r w:rsidRPr="00A87091">
        <w:rPr>
          <w:rFonts w:ascii="Arial" w:eastAsia="Calibri" w:hAnsi="Arial" w:cs="Arial"/>
          <w:bCs/>
          <w:color w:val="000000" w:themeColor="text1"/>
          <w:sz w:val="22"/>
          <w:lang w:val="es-ES_tradnl"/>
        </w:rPr>
        <w:t xml:space="preserve">artículo 31 </w:t>
      </w:r>
      <w:r w:rsidRPr="00A87091">
        <w:rPr>
          <w:rFonts w:ascii="Arial" w:eastAsia="Calibri" w:hAnsi="Arial" w:cs="Arial"/>
          <w:bCs/>
          <w:color w:val="000000" w:themeColor="text1"/>
          <w:sz w:val="22"/>
        </w:rPr>
        <w:t>de la Ley 2069 de 2020 disponen</w:t>
      </w:r>
      <w:r w:rsidR="00916912" w:rsidRPr="00A87091">
        <w:rPr>
          <w:rFonts w:ascii="Arial" w:eastAsia="Calibri" w:hAnsi="Arial" w:cs="Arial"/>
          <w:bCs/>
          <w:color w:val="000000" w:themeColor="text1"/>
          <w:sz w:val="22"/>
        </w:rPr>
        <w:t>, respectivamente,</w:t>
      </w:r>
      <w:r w:rsidRPr="00A87091">
        <w:rPr>
          <w:rFonts w:ascii="Arial" w:eastAsia="Calibri" w:hAnsi="Arial" w:cs="Arial"/>
          <w:bCs/>
          <w:color w:val="000000" w:themeColor="text1"/>
          <w:sz w:val="22"/>
        </w:rPr>
        <w:t xml:space="preserve"> que «El Gobierno Nacional reglamentará la definición de los criterios diferenciales, sobre reglas objetivas [relacionadas con </w:t>
      </w:r>
      <w:r w:rsidR="00EB593B"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requisitos diferenciales</w:t>
      </w:r>
      <w:r w:rsidR="00EB593B"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xml:space="preserve"> y </w:t>
      </w:r>
      <w:r w:rsidR="00EB593B"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puntajes adicionales</w:t>
      </w:r>
      <w:r w:rsidR="00EB593B"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que podrán implementar las Entidades Estatales</w:t>
      </w:r>
      <w:r w:rsidR="00916912" w:rsidRPr="00A87091">
        <w:rPr>
          <w:rFonts w:ascii="Arial" w:eastAsia="Calibri" w:hAnsi="Arial" w:cs="Arial"/>
          <w:bCs/>
          <w:color w:val="000000" w:themeColor="text1"/>
          <w:sz w:val="22"/>
        </w:rPr>
        <w:t>» (Corchetes fuera de texto) y que «Dentro de los criterios diferenciales que reglamente el Gobierno Nacional se dará prioridad a la contratación de producción nacional sin perjuicio de los compromisos comerciales adquiridos con otros Estados</w:t>
      </w:r>
      <w:r w:rsidR="0026012E" w:rsidRPr="00A87091">
        <w:rPr>
          <w:rFonts w:ascii="Arial" w:eastAsia="Calibri" w:hAnsi="Arial" w:cs="Arial"/>
          <w:bCs/>
          <w:color w:val="000000" w:themeColor="text1"/>
          <w:sz w:val="22"/>
        </w:rPr>
        <w:t xml:space="preserve">». Es decir, </w:t>
      </w:r>
      <w:r w:rsidR="00EB593B" w:rsidRPr="00A87091">
        <w:rPr>
          <w:rFonts w:ascii="Arial" w:eastAsia="Calibri" w:hAnsi="Arial" w:cs="Arial"/>
          <w:bCs/>
          <w:color w:val="000000" w:themeColor="text1"/>
          <w:sz w:val="22"/>
        </w:rPr>
        <w:t xml:space="preserve">esta norma dispone </w:t>
      </w:r>
      <w:r w:rsidR="008E3FF2" w:rsidRPr="00A87091">
        <w:rPr>
          <w:rFonts w:ascii="Arial" w:eastAsia="Calibri" w:hAnsi="Arial" w:cs="Arial"/>
          <w:bCs/>
          <w:color w:val="000000" w:themeColor="text1"/>
          <w:sz w:val="22"/>
        </w:rPr>
        <w:t>la reglamentación previa</w:t>
      </w:r>
      <w:r w:rsidR="00EB593B" w:rsidRPr="00A87091">
        <w:rPr>
          <w:rFonts w:ascii="Arial" w:eastAsia="Calibri" w:hAnsi="Arial" w:cs="Arial"/>
          <w:bCs/>
          <w:color w:val="000000" w:themeColor="text1"/>
          <w:sz w:val="22"/>
        </w:rPr>
        <w:t xml:space="preserve"> como una condición </w:t>
      </w:r>
      <w:r w:rsidR="008E3FF2" w:rsidRPr="00A87091">
        <w:rPr>
          <w:rFonts w:ascii="Arial" w:eastAsia="Calibri" w:hAnsi="Arial" w:cs="Arial"/>
          <w:bCs/>
          <w:color w:val="000000" w:themeColor="text1"/>
          <w:sz w:val="22"/>
        </w:rPr>
        <w:t>necesaria</w:t>
      </w:r>
      <w:r w:rsidR="00EB593B" w:rsidRPr="00A87091">
        <w:rPr>
          <w:rFonts w:ascii="Arial" w:eastAsia="Calibri" w:hAnsi="Arial" w:cs="Arial"/>
          <w:bCs/>
          <w:color w:val="000000" w:themeColor="text1"/>
          <w:sz w:val="22"/>
        </w:rPr>
        <w:t xml:space="preserve"> para su </w:t>
      </w:r>
      <w:r w:rsidR="008E3FF2" w:rsidRPr="00A87091">
        <w:rPr>
          <w:rFonts w:ascii="Arial" w:eastAsia="Calibri" w:hAnsi="Arial" w:cs="Arial"/>
          <w:bCs/>
          <w:color w:val="000000" w:themeColor="text1"/>
          <w:sz w:val="22"/>
        </w:rPr>
        <w:t xml:space="preserve">vigencia, por lo que no es exigible en los procedimientos regidos por los documentos tipo de licitación de obra pública de agua potable y saneamiento básico hasta que esta obligación se desarrolle posteriormente.   </w:t>
      </w:r>
    </w:p>
    <w:p w14:paraId="4B26638A" w14:textId="3E82ADE8" w:rsidR="00EB593B" w:rsidRPr="00A87091" w:rsidRDefault="00EB593B" w:rsidP="008F2837">
      <w:pPr>
        <w:tabs>
          <w:tab w:val="left" w:pos="709"/>
        </w:tabs>
        <w:spacing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 xml:space="preserve"> </w:t>
      </w:r>
    </w:p>
    <w:p w14:paraId="0F25E2D0" w14:textId="5EA01291" w:rsidR="008F2837" w:rsidRPr="00A87091" w:rsidRDefault="008F2837" w:rsidP="008F2837">
      <w:pPr>
        <w:tabs>
          <w:tab w:val="left" w:pos="709"/>
        </w:tabs>
        <w:spacing w:line="276" w:lineRule="auto"/>
        <w:jc w:val="both"/>
        <w:rPr>
          <w:rFonts w:ascii="Arial" w:eastAsia="Calibri" w:hAnsi="Arial" w:cs="Arial"/>
          <w:b/>
          <w:i/>
          <w:iCs/>
          <w:color w:val="000000" w:themeColor="text1"/>
          <w:sz w:val="22"/>
        </w:rPr>
      </w:pPr>
      <w:r w:rsidRPr="00A87091">
        <w:rPr>
          <w:rFonts w:ascii="Arial" w:eastAsia="Calibri" w:hAnsi="Arial" w:cs="Arial"/>
          <w:b/>
          <w:i/>
          <w:iCs/>
          <w:color w:val="000000" w:themeColor="text1"/>
          <w:sz w:val="22"/>
        </w:rPr>
        <w:t>2.1.3. Criterios diferenciales para emprendimientos y empresas de mujeres en el sistema de compras públicas</w:t>
      </w:r>
    </w:p>
    <w:p w14:paraId="3DF526AF" w14:textId="77777777" w:rsidR="008F2837" w:rsidRPr="00A87091" w:rsidRDefault="008F2837" w:rsidP="008F2837">
      <w:pPr>
        <w:tabs>
          <w:tab w:val="left" w:pos="709"/>
        </w:tabs>
        <w:spacing w:line="276" w:lineRule="auto"/>
        <w:jc w:val="both"/>
        <w:rPr>
          <w:rFonts w:ascii="Arial" w:eastAsia="Calibri" w:hAnsi="Arial" w:cs="Arial"/>
          <w:b/>
          <w:color w:val="000000" w:themeColor="text1"/>
          <w:sz w:val="22"/>
        </w:rPr>
      </w:pPr>
    </w:p>
    <w:p w14:paraId="7496333C" w14:textId="09C10140" w:rsidR="002A6E24" w:rsidRPr="00A87091" w:rsidRDefault="008F2837" w:rsidP="00DC4444">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E</w:t>
      </w:r>
      <w:r w:rsidR="00384856" w:rsidRPr="00A87091">
        <w:rPr>
          <w:rFonts w:ascii="Arial" w:eastAsia="Calibri" w:hAnsi="Arial" w:cs="Arial"/>
          <w:bCs/>
          <w:color w:val="000000" w:themeColor="text1"/>
          <w:sz w:val="22"/>
        </w:rPr>
        <w:t>l artículo 32 de la Ley 2069 de 2020 regula criterios diferenciales para los «emprendimientos y empresas de mujeres» en el sistema de compras y contratación pública</w:t>
      </w:r>
      <w:r w:rsidR="00952C49" w:rsidRPr="00A87091">
        <w:rPr>
          <w:rFonts w:ascii="Arial" w:eastAsia="Calibri" w:hAnsi="Arial" w:cs="Arial"/>
          <w:bCs/>
          <w:color w:val="000000" w:themeColor="text1"/>
          <w:sz w:val="22"/>
        </w:rPr>
        <w:t xml:space="preserve">. En relación con este aspecto, el inciso primero de la norma citada prescribe lo siguiente: «De acuerdo con el resultado del análisis del sector, las entidades estatales incluirán requisitos diferenciales y puntajes adicionales en los procesos de </w:t>
      </w:r>
      <w:bookmarkStart w:id="16" w:name="_Hlk63770487"/>
      <w:r w:rsidR="00952C49" w:rsidRPr="00A87091">
        <w:rPr>
          <w:rFonts w:ascii="Arial" w:eastAsia="Calibri" w:hAnsi="Arial" w:cs="Arial"/>
          <w:bCs/>
          <w:color w:val="000000" w:themeColor="text1"/>
          <w:sz w:val="22"/>
        </w:rPr>
        <w:t>licitación pública, selección abreviada de menor cuantía y concurso de méritos</w:t>
      </w:r>
      <w:bookmarkEnd w:id="16"/>
      <w:r w:rsidR="00952C49" w:rsidRPr="00A87091">
        <w:rPr>
          <w:rFonts w:ascii="Arial" w:eastAsia="Calibri" w:hAnsi="Arial" w:cs="Arial"/>
          <w:bCs/>
          <w:color w:val="000000" w:themeColor="text1"/>
          <w:sz w:val="22"/>
        </w:rPr>
        <w:t xml:space="preserve">, así como en los procesos competitivos que adelanten las entidades estatales que no apliquen en su gestión </w:t>
      </w:r>
      <w:r w:rsidR="00952C49" w:rsidRPr="00A87091">
        <w:rPr>
          <w:rFonts w:ascii="Arial" w:eastAsia="Calibri" w:hAnsi="Arial" w:cs="Arial"/>
          <w:bCs/>
          <w:color w:val="000000" w:themeColor="text1"/>
          <w:sz w:val="22"/>
        </w:rPr>
        <w:lastRenderedPageBreak/>
        <w:t>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443EE9F5" w14:textId="37E471A4" w:rsidR="00E35D07" w:rsidRPr="00A87091" w:rsidRDefault="00952C49" w:rsidP="00DC4444">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El contraste con la norma analizada </w:t>
      </w:r>
      <w:r w:rsidR="00E35D07" w:rsidRPr="00A87091">
        <w:rPr>
          <w:rFonts w:ascii="Arial" w:eastAsia="Calibri" w:hAnsi="Arial" w:cs="Arial"/>
          <w:bCs/>
          <w:color w:val="000000" w:themeColor="text1"/>
          <w:sz w:val="22"/>
        </w:rPr>
        <w:t xml:space="preserve">anteriormente </w:t>
      </w:r>
      <w:r w:rsidRPr="00A87091">
        <w:rPr>
          <w:rFonts w:ascii="Arial" w:eastAsia="Calibri" w:hAnsi="Arial" w:cs="Arial"/>
          <w:bCs/>
          <w:color w:val="000000" w:themeColor="text1"/>
          <w:sz w:val="22"/>
        </w:rPr>
        <w:t xml:space="preserve">salta a la vista. Por un lado, a diferencia del artículo 31 de la Ley de Emprendimiento, </w:t>
      </w:r>
      <w:r w:rsidR="00B15460" w:rsidRPr="00A87091">
        <w:rPr>
          <w:rFonts w:ascii="Arial" w:eastAsia="Calibri" w:hAnsi="Arial" w:cs="Arial"/>
          <w:bCs/>
          <w:color w:val="000000" w:themeColor="text1"/>
          <w:sz w:val="22"/>
        </w:rPr>
        <w:t xml:space="preserve">los «criterios diferenciales» artículo 32 </w:t>
      </w:r>
      <w:r w:rsidR="00B15460" w:rsidRPr="00A87091">
        <w:rPr>
          <w:rFonts w:ascii="Arial" w:eastAsia="Calibri" w:hAnsi="Arial" w:cs="Arial"/>
          <w:bCs/>
          <w:i/>
          <w:iCs/>
          <w:color w:val="000000" w:themeColor="text1"/>
          <w:sz w:val="22"/>
        </w:rPr>
        <w:t>ibidem</w:t>
      </w:r>
      <w:r w:rsidR="00B15460" w:rsidRPr="00A87091">
        <w:rPr>
          <w:rFonts w:ascii="Arial" w:eastAsia="Calibri" w:hAnsi="Arial"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w:t>
      </w:r>
      <w:r w:rsidR="00E35D07" w:rsidRPr="00A87091">
        <w:rPr>
          <w:rFonts w:ascii="Arial" w:eastAsia="Calibri" w:hAnsi="Arial" w:cs="Arial"/>
          <w:bCs/>
          <w:color w:val="000000" w:themeColor="text1"/>
          <w:sz w:val="22"/>
        </w:rPr>
        <w:t xml:space="preserve"> del artículo 2 de la Ley 1150 de 2007</w:t>
      </w:r>
      <w:r w:rsidR="00B15460" w:rsidRPr="00A87091">
        <w:rPr>
          <w:rFonts w:ascii="Arial" w:eastAsia="Calibri" w:hAnsi="Arial" w:cs="Arial"/>
          <w:bCs/>
          <w:color w:val="000000" w:themeColor="text1"/>
          <w:sz w:val="22"/>
        </w:rPr>
        <w:t>. Por otra parte,</w:t>
      </w:r>
      <w:r w:rsidR="00D72C96" w:rsidRPr="00A87091">
        <w:rPr>
          <w:rFonts w:ascii="Arial" w:eastAsia="Calibri" w:hAnsi="Arial" w:cs="Arial"/>
          <w:bCs/>
          <w:color w:val="000000" w:themeColor="text1"/>
          <w:sz w:val="22"/>
        </w:rPr>
        <w:t xml:space="preserve"> sin distinciones ulteriores, la</w:t>
      </w:r>
      <w:r w:rsidR="00B15460" w:rsidRPr="00A87091">
        <w:rPr>
          <w:rFonts w:ascii="Arial" w:eastAsia="Calibri" w:hAnsi="Arial" w:cs="Arial"/>
          <w:bCs/>
          <w:color w:val="000000" w:themeColor="text1"/>
          <w:sz w:val="22"/>
        </w:rPr>
        <w:t xml:space="preserve"> </w:t>
      </w:r>
      <w:r w:rsidR="00733B55" w:rsidRPr="00A87091">
        <w:rPr>
          <w:rFonts w:ascii="Arial" w:eastAsia="Calibri" w:hAnsi="Arial" w:cs="Arial"/>
          <w:bCs/>
          <w:color w:val="000000" w:themeColor="text1"/>
          <w:sz w:val="22"/>
        </w:rPr>
        <w:t>norma</w:t>
      </w:r>
      <w:r w:rsidR="00B15460" w:rsidRPr="00A87091">
        <w:rPr>
          <w:rFonts w:ascii="Arial" w:eastAsia="Calibri" w:hAnsi="Arial" w:cs="Arial"/>
          <w:bCs/>
          <w:color w:val="000000" w:themeColor="text1"/>
          <w:sz w:val="22"/>
        </w:rPr>
        <w:t xml:space="preserve"> en comento</w:t>
      </w:r>
      <w:r w:rsidR="00E35D07" w:rsidRPr="00A87091">
        <w:rPr>
          <w:rFonts w:ascii="Arial" w:eastAsia="Calibri" w:hAnsi="Arial" w:cs="Arial"/>
          <w:bCs/>
          <w:color w:val="000000" w:themeColor="text1"/>
          <w:sz w:val="22"/>
        </w:rPr>
        <w:t xml:space="preserve"> también</w:t>
      </w:r>
      <w:r w:rsidR="00B15460" w:rsidRPr="00A87091">
        <w:rPr>
          <w:rFonts w:ascii="Arial" w:eastAsia="Calibri" w:hAnsi="Arial" w:cs="Arial"/>
          <w:bCs/>
          <w:color w:val="000000" w:themeColor="text1"/>
          <w:sz w:val="22"/>
        </w:rPr>
        <w:t xml:space="preserve"> se e</w:t>
      </w:r>
      <w:r w:rsidR="00E35D07" w:rsidRPr="00A87091">
        <w:rPr>
          <w:rFonts w:ascii="Arial" w:eastAsia="Calibri" w:hAnsi="Arial" w:cs="Arial"/>
          <w:bCs/>
          <w:color w:val="000000" w:themeColor="text1"/>
          <w:sz w:val="22"/>
        </w:rPr>
        <w:t>x</w:t>
      </w:r>
      <w:r w:rsidR="00B15460" w:rsidRPr="00A87091">
        <w:rPr>
          <w:rFonts w:ascii="Arial" w:eastAsia="Calibri" w:hAnsi="Arial" w:cs="Arial"/>
          <w:bCs/>
          <w:color w:val="000000" w:themeColor="text1"/>
          <w:sz w:val="22"/>
        </w:rPr>
        <w:t>tiende</w:t>
      </w:r>
      <w:r w:rsidR="00E35D07" w:rsidRPr="00A87091">
        <w:rPr>
          <w:rFonts w:ascii="Arial" w:eastAsia="Calibri" w:hAnsi="Arial" w:cs="Arial"/>
          <w:bCs/>
          <w:color w:val="000000" w:themeColor="text1"/>
          <w:sz w:val="22"/>
        </w:rPr>
        <w:t xml:space="preserve"> </w:t>
      </w:r>
      <w:r w:rsidR="00733B55" w:rsidRPr="00A87091">
        <w:rPr>
          <w:rFonts w:ascii="Arial" w:eastAsia="Calibri" w:hAnsi="Arial" w:cs="Arial"/>
          <w:bCs/>
          <w:color w:val="000000" w:themeColor="text1"/>
          <w:sz w:val="22"/>
        </w:rPr>
        <w:t xml:space="preserve">a </w:t>
      </w:r>
      <w:r w:rsidR="00E35D07" w:rsidRPr="00A87091">
        <w:rPr>
          <w:rFonts w:ascii="Arial" w:eastAsia="Calibri" w:hAnsi="Arial" w:cs="Arial"/>
          <w:bCs/>
          <w:color w:val="000000" w:themeColor="text1"/>
          <w:sz w:val="22"/>
        </w:rPr>
        <w:t>todos los procedimientos competitivos previstos en el manual</w:t>
      </w:r>
      <w:r w:rsidR="00D72C96" w:rsidRPr="00A87091">
        <w:rPr>
          <w:rFonts w:ascii="Arial" w:eastAsia="Calibri" w:hAnsi="Arial" w:cs="Arial"/>
          <w:bCs/>
          <w:color w:val="000000" w:themeColor="text1"/>
          <w:sz w:val="22"/>
        </w:rPr>
        <w:t xml:space="preserve"> de las entidades excluidas de la Ley 80 de 1993</w:t>
      </w:r>
      <w:r w:rsidR="002A6E24" w:rsidRPr="00A87091">
        <w:rPr>
          <w:rFonts w:ascii="Arial" w:eastAsia="Calibri" w:hAnsi="Arial" w:cs="Arial"/>
          <w:bCs/>
          <w:color w:val="000000" w:themeColor="text1"/>
          <w:sz w:val="22"/>
        </w:rPr>
        <w:t xml:space="preserve">.   </w:t>
      </w:r>
      <w:r w:rsidR="00C329B9" w:rsidRPr="00A87091">
        <w:rPr>
          <w:rFonts w:ascii="Arial" w:eastAsia="Calibri" w:hAnsi="Arial" w:cs="Arial"/>
          <w:bCs/>
          <w:color w:val="000000" w:themeColor="text1"/>
          <w:sz w:val="22"/>
        </w:rPr>
        <w:t xml:space="preserve"> </w:t>
      </w:r>
      <w:r w:rsidR="00E35D07" w:rsidRPr="00A87091">
        <w:rPr>
          <w:rFonts w:ascii="Arial" w:eastAsia="Calibri" w:hAnsi="Arial" w:cs="Arial"/>
          <w:bCs/>
          <w:color w:val="000000" w:themeColor="text1"/>
          <w:sz w:val="22"/>
        </w:rPr>
        <w:t xml:space="preserve"> </w:t>
      </w:r>
    </w:p>
    <w:p w14:paraId="0DF20DF5" w14:textId="68E4520A" w:rsidR="0090255A" w:rsidRPr="00A87091" w:rsidRDefault="00E35D07" w:rsidP="00A15DFB">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C07492" w:rsidRPr="00A87091">
        <w:rPr>
          <w:rFonts w:ascii="Arial" w:eastAsia="Calibri" w:hAnsi="Arial" w:cs="Arial"/>
          <w:bCs/>
          <w:color w:val="000000" w:themeColor="text1"/>
          <w:sz w:val="22"/>
        </w:rPr>
        <w:t xml:space="preserve">No obstante, </w:t>
      </w:r>
      <w:bookmarkStart w:id="17" w:name="_Hlk63879101"/>
      <w:r w:rsidR="00C07492" w:rsidRPr="00A87091">
        <w:rPr>
          <w:rFonts w:ascii="Arial" w:eastAsia="Calibri" w:hAnsi="Arial" w:cs="Arial"/>
          <w:bCs/>
          <w:color w:val="000000" w:themeColor="text1"/>
          <w:sz w:val="22"/>
        </w:rPr>
        <w:t xml:space="preserve">el artículo 32 de la Ley 2069 de 2020 –al igual que </w:t>
      </w:r>
      <w:r w:rsidR="003458D4" w:rsidRPr="00A87091">
        <w:rPr>
          <w:rFonts w:ascii="Arial" w:eastAsia="Calibri" w:hAnsi="Arial" w:cs="Arial"/>
          <w:bCs/>
          <w:color w:val="000000" w:themeColor="text1"/>
          <w:sz w:val="22"/>
        </w:rPr>
        <w:t xml:space="preserve">el </w:t>
      </w:r>
      <w:r w:rsidR="00C07492" w:rsidRPr="00A87091">
        <w:rPr>
          <w:rFonts w:ascii="Arial" w:eastAsia="Calibri" w:hAnsi="Arial" w:cs="Arial"/>
          <w:bCs/>
          <w:color w:val="000000" w:themeColor="text1"/>
          <w:sz w:val="22"/>
        </w:rPr>
        <w:t>artículo 31– también alude a la necesidad del desarrollo normativo posterior.</w:t>
      </w:r>
      <w:r w:rsidR="0090255A" w:rsidRPr="00A87091">
        <w:rPr>
          <w:rFonts w:ascii="Arial" w:eastAsia="Calibri" w:hAnsi="Arial" w:cs="Arial"/>
          <w:bCs/>
          <w:color w:val="000000" w:themeColor="text1"/>
          <w:sz w:val="22"/>
        </w:rPr>
        <w:t xml:space="preserve"> En consecuencia, esta norma dispone la reglamentación previa como una condición necesaria para su vigencia, por lo que no es exigible en los procedimientos regidos por los documentos tipo de licitación de obra pública de agua potable y saneamiento básico hasta que esta obligación se desarrolle </w:t>
      </w:r>
      <w:r w:rsidR="00A15DFB" w:rsidRPr="00A87091">
        <w:rPr>
          <w:rFonts w:ascii="Arial" w:eastAsia="Calibri" w:hAnsi="Arial" w:cs="Arial"/>
          <w:bCs/>
          <w:color w:val="000000" w:themeColor="text1"/>
          <w:sz w:val="22"/>
        </w:rPr>
        <w:t>en el decreto correspondiente.</w:t>
      </w:r>
      <w:r w:rsidR="00C07492" w:rsidRPr="00A87091">
        <w:rPr>
          <w:rFonts w:ascii="Arial" w:eastAsia="Calibri" w:hAnsi="Arial" w:cs="Arial"/>
          <w:bCs/>
          <w:color w:val="000000" w:themeColor="text1"/>
          <w:sz w:val="22"/>
        </w:rPr>
        <w:t xml:space="preserve"> </w:t>
      </w:r>
    </w:p>
    <w:p w14:paraId="0B425B07" w14:textId="333CFE70" w:rsidR="008F2837" w:rsidRPr="00A87091" w:rsidRDefault="00A15DFB" w:rsidP="008F2837">
      <w:pPr>
        <w:tabs>
          <w:tab w:val="left" w:pos="709"/>
        </w:tabs>
        <w:spacing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C07492" w:rsidRPr="00A87091">
        <w:rPr>
          <w:rFonts w:ascii="Arial" w:eastAsia="Calibri" w:hAnsi="Arial" w:cs="Arial"/>
          <w:bCs/>
          <w:color w:val="000000" w:themeColor="text1"/>
          <w:sz w:val="22"/>
        </w:rPr>
        <w:t xml:space="preserve">Al respecto, el parágrafo dispone que «La definición de emprendimientos y empresas de mujeres se reglamentará por el gobierno nacional». Si bien el desarrollo de este concepto condiciona la vigencia de todo el artículo en su conjunto, no cabe duda que el reglamento podría intervenir a la definición de los «criterios diferenciales» aunque no exista habilitación expresa por parte del Congreso de la República. Esto en la medida que la potestad reglamentaria </w:t>
      </w:r>
      <w:r w:rsidR="002E08E8" w:rsidRPr="00A87091">
        <w:rPr>
          <w:rFonts w:ascii="Arial" w:eastAsia="Calibri" w:hAnsi="Arial" w:cs="Arial"/>
          <w:bCs/>
          <w:color w:val="000000" w:themeColor="text1"/>
          <w:sz w:val="22"/>
        </w:rPr>
        <w:t xml:space="preserve">se </w:t>
      </w:r>
      <w:r w:rsidR="00C07492" w:rsidRPr="00A87091">
        <w:rPr>
          <w:rFonts w:ascii="Arial" w:eastAsia="Calibri" w:hAnsi="Arial" w:cs="Arial"/>
          <w:bCs/>
          <w:color w:val="000000" w:themeColor="text1"/>
          <w:sz w:val="22"/>
        </w:rPr>
        <w:t xml:space="preserve">deriva del artículo 189.11 de la Constitución Política </w:t>
      </w:r>
      <w:r w:rsidR="002E08E8" w:rsidRPr="00A87091">
        <w:rPr>
          <w:rFonts w:ascii="Arial" w:eastAsia="Calibri" w:hAnsi="Arial" w:cs="Arial"/>
          <w:bCs/>
          <w:color w:val="000000" w:themeColor="text1"/>
          <w:sz w:val="22"/>
        </w:rPr>
        <w:t>p</w:t>
      </w:r>
      <w:r w:rsidR="00C07492" w:rsidRPr="00A87091">
        <w:rPr>
          <w:rFonts w:ascii="Arial" w:eastAsia="Calibri" w:hAnsi="Arial" w:cs="Arial"/>
          <w:bCs/>
          <w:color w:val="000000" w:themeColor="text1"/>
          <w:sz w:val="22"/>
        </w:rPr>
        <w:t xml:space="preserve">ara la cumplida ejecución de la ley. </w:t>
      </w:r>
    </w:p>
    <w:bookmarkEnd w:id="17"/>
    <w:p w14:paraId="4EC5CDF7" w14:textId="77777777" w:rsidR="008F2837" w:rsidRPr="00A87091" w:rsidRDefault="008F2837" w:rsidP="008F2837">
      <w:pPr>
        <w:tabs>
          <w:tab w:val="left" w:pos="709"/>
        </w:tabs>
        <w:spacing w:line="276" w:lineRule="auto"/>
        <w:jc w:val="both"/>
        <w:rPr>
          <w:rFonts w:ascii="Arial" w:eastAsia="Calibri" w:hAnsi="Arial" w:cs="Arial"/>
          <w:bCs/>
          <w:color w:val="000000" w:themeColor="text1"/>
          <w:sz w:val="22"/>
        </w:rPr>
      </w:pPr>
    </w:p>
    <w:p w14:paraId="21218FB9" w14:textId="77777777" w:rsidR="008F2837" w:rsidRPr="00A87091" w:rsidRDefault="008F2837" w:rsidP="008F2837">
      <w:pPr>
        <w:tabs>
          <w:tab w:val="left" w:pos="709"/>
        </w:tabs>
        <w:spacing w:line="276" w:lineRule="auto"/>
        <w:jc w:val="both"/>
        <w:rPr>
          <w:rFonts w:ascii="Arial" w:eastAsia="Calibri" w:hAnsi="Arial" w:cs="Arial"/>
          <w:b/>
          <w:i/>
          <w:iCs/>
          <w:color w:val="000000" w:themeColor="text1"/>
          <w:sz w:val="22"/>
        </w:rPr>
      </w:pPr>
      <w:r w:rsidRPr="00A87091">
        <w:rPr>
          <w:rFonts w:ascii="Arial" w:eastAsia="Calibri" w:hAnsi="Arial" w:cs="Arial"/>
          <w:b/>
          <w:i/>
          <w:iCs/>
          <w:color w:val="000000" w:themeColor="text1"/>
          <w:sz w:val="22"/>
        </w:rPr>
        <w:t>2.1.4. Promoción d</w:t>
      </w:r>
      <w:bookmarkStart w:id="18" w:name="_Hlk65084630"/>
      <w:r w:rsidRPr="00A87091">
        <w:rPr>
          <w:rFonts w:ascii="Arial" w:eastAsia="Calibri" w:hAnsi="Arial" w:cs="Arial"/>
          <w:b/>
          <w:i/>
          <w:iCs/>
          <w:color w:val="000000" w:themeColor="text1"/>
          <w:sz w:val="22"/>
        </w:rPr>
        <w:t>el acceso de las mipymes al mercado de compras públicas</w:t>
      </w:r>
      <w:bookmarkEnd w:id="18"/>
    </w:p>
    <w:p w14:paraId="492CF769" w14:textId="2BB385D2" w:rsidR="00B459BE" w:rsidRPr="00A87091" w:rsidRDefault="008F2837" w:rsidP="008F2837">
      <w:pPr>
        <w:tabs>
          <w:tab w:val="left" w:pos="709"/>
        </w:tabs>
        <w:spacing w:line="276" w:lineRule="auto"/>
        <w:jc w:val="both"/>
        <w:rPr>
          <w:rFonts w:ascii="Arial" w:eastAsia="Calibri" w:hAnsi="Arial" w:cs="Arial"/>
          <w:b/>
          <w:i/>
          <w:iCs/>
          <w:color w:val="000000" w:themeColor="text1"/>
          <w:sz w:val="22"/>
        </w:rPr>
      </w:pPr>
      <w:r w:rsidRPr="00A87091">
        <w:rPr>
          <w:rFonts w:ascii="Arial" w:eastAsia="Calibri" w:hAnsi="Arial" w:cs="Arial"/>
          <w:b/>
          <w:i/>
          <w:iCs/>
          <w:color w:val="000000" w:themeColor="text1"/>
          <w:sz w:val="22"/>
        </w:rPr>
        <w:t xml:space="preserve"> </w:t>
      </w:r>
    </w:p>
    <w:p w14:paraId="6F09653F" w14:textId="67A0C855" w:rsidR="001C2478" w:rsidRPr="00A87091" w:rsidRDefault="008F2837" w:rsidP="00346C0A">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E</w:t>
      </w:r>
      <w:r w:rsidR="002814EA" w:rsidRPr="00A87091">
        <w:rPr>
          <w:rFonts w:ascii="Arial" w:eastAsia="Calibri" w:hAnsi="Arial" w:cs="Arial"/>
          <w:bCs/>
          <w:color w:val="000000" w:themeColor="text1"/>
          <w:sz w:val="22"/>
        </w:rPr>
        <w:t>l artículo 33</w:t>
      </w:r>
      <w:r w:rsidR="00D6075E" w:rsidRPr="00A87091">
        <w:rPr>
          <w:rFonts w:ascii="Arial" w:eastAsia="Calibri" w:hAnsi="Arial" w:cs="Arial"/>
          <w:bCs/>
          <w:color w:val="000000" w:themeColor="text1"/>
          <w:sz w:val="22"/>
        </w:rPr>
        <w:t xml:space="preserve"> de la Ley 2069 de 2020 modifica el artículo 12 de la Ley 590 de 2000, </w:t>
      </w:r>
      <w:r w:rsidR="0032785E" w:rsidRPr="00A87091">
        <w:rPr>
          <w:rFonts w:ascii="Arial" w:eastAsia="Calibri" w:hAnsi="Arial" w:cs="Arial"/>
          <w:bCs/>
          <w:color w:val="000000" w:themeColor="text1"/>
          <w:sz w:val="22"/>
        </w:rPr>
        <w:t>el</w:t>
      </w:r>
      <w:r w:rsidR="00D6075E" w:rsidRPr="00A87091">
        <w:rPr>
          <w:rFonts w:ascii="Arial" w:eastAsia="Calibri" w:hAnsi="Arial" w:cs="Arial"/>
          <w:bCs/>
          <w:color w:val="000000" w:themeColor="text1"/>
          <w:sz w:val="22"/>
        </w:rPr>
        <w:t xml:space="preserve"> cual regula la promoción del acceso de las mipymes al mercado de compras públicas. Al respecto, contiene una serie de deberes </w:t>
      </w:r>
      <w:r w:rsidR="00346C0A" w:rsidRPr="00A87091">
        <w:rPr>
          <w:rFonts w:ascii="Arial" w:eastAsia="Calibri" w:hAnsi="Arial" w:cs="Arial"/>
          <w:bCs/>
          <w:color w:val="000000" w:themeColor="text1"/>
          <w:sz w:val="22"/>
        </w:rPr>
        <w:t xml:space="preserve">para las </w:t>
      </w:r>
      <w:r w:rsidR="0032785E" w:rsidRPr="00A87091">
        <w:rPr>
          <w:rFonts w:ascii="Arial" w:eastAsia="Calibri" w:hAnsi="Arial" w:cs="Arial"/>
          <w:bCs/>
          <w:color w:val="000000" w:themeColor="text1"/>
          <w:sz w:val="22"/>
        </w:rPr>
        <w:t xml:space="preserve">entidades estatales indistintamente de su régimen de contratación, los patrimonios autónomos constituidos por </w:t>
      </w:r>
      <w:r w:rsidR="006D1691" w:rsidRPr="00A87091">
        <w:rPr>
          <w:rFonts w:ascii="Arial" w:eastAsia="Calibri" w:hAnsi="Arial" w:cs="Arial"/>
          <w:bCs/>
          <w:color w:val="000000" w:themeColor="text1"/>
          <w:sz w:val="22"/>
        </w:rPr>
        <w:t xml:space="preserve">entidades estatales </w:t>
      </w:r>
      <w:r w:rsidR="0032785E" w:rsidRPr="00A87091">
        <w:rPr>
          <w:rFonts w:ascii="Arial" w:eastAsia="Calibri" w:hAnsi="Arial" w:cs="Arial"/>
          <w:bCs/>
          <w:color w:val="000000" w:themeColor="text1"/>
          <w:sz w:val="22"/>
        </w:rPr>
        <w:t>y los particulares que ejecuten recursos públicos,</w:t>
      </w:r>
      <w:r w:rsidR="00346C0A" w:rsidRPr="00A87091">
        <w:rPr>
          <w:rFonts w:ascii="Arial" w:eastAsia="Calibri" w:hAnsi="Arial" w:cs="Arial"/>
          <w:bCs/>
          <w:color w:val="000000" w:themeColor="text1"/>
          <w:sz w:val="22"/>
        </w:rPr>
        <w:t xml:space="preserve"> cuyo incumplimiento estructura una causal de mala conducta</w:t>
      </w:r>
      <w:r w:rsidR="00EE0D77" w:rsidRPr="00A87091">
        <w:rPr>
          <w:rStyle w:val="Refdenotaalpie"/>
          <w:rFonts w:ascii="Arial" w:eastAsia="Calibri" w:hAnsi="Arial" w:cs="Arial"/>
          <w:bCs/>
          <w:color w:val="000000" w:themeColor="text1"/>
          <w:sz w:val="22"/>
        </w:rPr>
        <w:footnoteReference w:id="9"/>
      </w:r>
      <w:r w:rsidR="00346C0A" w:rsidRPr="00A87091">
        <w:rPr>
          <w:rFonts w:ascii="Arial" w:eastAsia="Calibri" w:hAnsi="Arial" w:cs="Arial"/>
          <w:bCs/>
          <w:color w:val="000000" w:themeColor="text1"/>
          <w:sz w:val="22"/>
        </w:rPr>
        <w:t>.</w:t>
      </w:r>
      <w:r w:rsidR="00147906" w:rsidRPr="00A87091">
        <w:rPr>
          <w:rFonts w:ascii="Arial" w:eastAsia="Calibri" w:hAnsi="Arial" w:cs="Arial"/>
          <w:bCs/>
          <w:color w:val="000000" w:themeColor="text1"/>
          <w:sz w:val="22"/>
        </w:rPr>
        <w:t xml:space="preserve"> </w:t>
      </w:r>
      <w:r w:rsidR="00346C0A" w:rsidRPr="00A87091">
        <w:rPr>
          <w:rFonts w:ascii="Arial" w:hAnsi="Arial" w:cs="Arial"/>
          <w:sz w:val="22"/>
        </w:rPr>
        <w:t xml:space="preserve">Las obligaciones citadas fomentan la actividad de las empresas que, </w:t>
      </w:r>
      <w:r w:rsidR="00346C0A" w:rsidRPr="00A87091">
        <w:rPr>
          <w:rFonts w:ascii="Arial" w:hAnsi="Arial" w:cs="Arial"/>
          <w:sz w:val="22"/>
        </w:rPr>
        <w:lastRenderedPageBreak/>
        <w:t xml:space="preserve">por su tamaño o capacidad económica, no podrían competir en condiciones de igualdad con aquellas que cuentan con grandes capitales y plantas de personal. De </w:t>
      </w:r>
      <w:r w:rsidR="00EE0D77" w:rsidRPr="00A87091">
        <w:rPr>
          <w:rFonts w:ascii="Arial" w:hAnsi="Arial" w:cs="Arial"/>
          <w:sz w:val="22"/>
        </w:rPr>
        <w:t>esta manera</w:t>
      </w:r>
      <w:r w:rsidR="00346C0A" w:rsidRPr="00A87091">
        <w:rPr>
          <w:rFonts w:ascii="Arial" w:hAnsi="Arial" w:cs="Arial"/>
          <w:sz w:val="22"/>
        </w:rPr>
        <w:t>, no solo estas pequeñas unidades de explotación económica se hacen visibles dentro del mercado de bienes y servicios requeridos por las entidades públicas, sino que se promueve de manera directa el crecimiento de las regiones en las que se desarrolla tal actividad económica.</w:t>
      </w:r>
      <w:r w:rsidR="00CE332E" w:rsidRPr="00A87091">
        <w:rPr>
          <w:rFonts w:ascii="Arial" w:hAnsi="Arial" w:cs="Arial"/>
          <w:sz w:val="22"/>
        </w:rPr>
        <w:t xml:space="preserve"> </w:t>
      </w:r>
    </w:p>
    <w:p w14:paraId="619C4000" w14:textId="09CDEF38" w:rsidR="005642AE" w:rsidRPr="00A87091" w:rsidRDefault="001C2478" w:rsidP="004D2625">
      <w:pPr>
        <w:spacing w:line="276" w:lineRule="auto"/>
        <w:jc w:val="both"/>
        <w:rPr>
          <w:rFonts w:ascii="Arial" w:hAnsi="Arial" w:cs="Arial"/>
          <w:sz w:val="22"/>
        </w:rPr>
      </w:pPr>
      <w:r w:rsidRPr="00A87091">
        <w:rPr>
          <w:rFonts w:ascii="Arial" w:hAnsi="Arial" w:cs="Arial"/>
          <w:sz w:val="22"/>
        </w:rPr>
        <w:tab/>
      </w:r>
      <w:r w:rsidR="00F36CDA" w:rsidRPr="00A87091">
        <w:rPr>
          <w:rFonts w:ascii="Arial" w:hAnsi="Arial" w:cs="Arial"/>
          <w:sz w:val="22"/>
        </w:rPr>
        <w:t>L</w:t>
      </w:r>
      <w:r w:rsidR="00346C0A" w:rsidRPr="00A87091">
        <w:rPr>
          <w:rFonts w:ascii="Arial" w:hAnsi="Arial" w:cs="Arial"/>
          <w:sz w:val="22"/>
        </w:rPr>
        <w:t xml:space="preserve">o </w:t>
      </w:r>
      <w:r w:rsidR="006C7E87" w:rsidRPr="00A87091">
        <w:rPr>
          <w:rFonts w:ascii="Arial" w:hAnsi="Arial" w:cs="Arial"/>
          <w:sz w:val="22"/>
        </w:rPr>
        <w:t>relevan</w:t>
      </w:r>
      <w:r w:rsidR="00346C0A" w:rsidRPr="00A87091">
        <w:rPr>
          <w:rFonts w:ascii="Arial" w:hAnsi="Arial" w:cs="Arial"/>
          <w:sz w:val="22"/>
        </w:rPr>
        <w:t xml:space="preserve">te es que la norma </w:t>
      </w:r>
      <w:r w:rsidR="00EE0D77" w:rsidRPr="00A87091">
        <w:rPr>
          <w:rFonts w:ascii="Arial" w:hAnsi="Arial" w:cs="Arial"/>
          <w:sz w:val="22"/>
        </w:rPr>
        <w:t xml:space="preserve">analizada </w:t>
      </w:r>
      <w:r w:rsidR="00346C0A" w:rsidRPr="00A87091">
        <w:rPr>
          <w:rFonts w:ascii="Arial" w:hAnsi="Arial" w:cs="Arial"/>
          <w:sz w:val="22"/>
        </w:rPr>
        <w:t>no alude a la necesidad de una reglamentación posterior</w:t>
      </w:r>
      <w:r w:rsidR="00F36CDA" w:rsidRPr="00A87091">
        <w:rPr>
          <w:rFonts w:ascii="Arial" w:hAnsi="Arial" w:cs="Arial"/>
          <w:sz w:val="22"/>
        </w:rPr>
        <w:t xml:space="preserve">, por lo que </w:t>
      </w:r>
      <w:r w:rsidR="002E08E8" w:rsidRPr="00A87091">
        <w:rPr>
          <w:rFonts w:ascii="Arial" w:hAnsi="Arial" w:cs="Arial"/>
          <w:sz w:val="22"/>
        </w:rPr>
        <w:t xml:space="preserve">los </w:t>
      </w:r>
      <w:r w:rsidR="00F36CDA" w:rsidRPr="00A87091">
        <w:rPr>
          <w:rFonts w:ascii="Arial" w:hAnsi="Arial" w:cs="Arial"/>
          <w:sz w:val="22"/>
        </w:rPr>
        <w:t xml:space="preserve">deberes prescritos en el </w:t>
      </w:r>
      <w:r w:rsidR="00F36CDA" w:rsidRPr="00A87091">
        <w:rPr>
          <w:rFonts w:ascii="Arial" w:eastAsia="Calibri" w:hAnsi="Arial" w:cs="Arial"/>
          <w:bCs/>
          <w:color w:val="000000" w:themeColor="text1"/>
          <w:sz w:val="22"/>
        </w:rPr>
        <w:t>artículo 33 de la Ley 2069 de 2020</w:t>
      </w:r>
      <w:r w:rsidR="00346C0A" w:rsidRPr="00A87091">
        <w:rPr>
          <w:rFonts w:ascii="Arial" w:hAnsi="Arial" w:cs="Arial"/>
          <w:sz w:val="22"/>
        </w:rPr>
        <w:t xml:space="preserve"> </w:t>
      </w:r>
      <w:r w:rsidR="00F36CDA" w:rsidRPr="00A87091">
        <w:rPr>
          <w:rFonts w:ascii="Arial" w:hAnsi="Arial" w:cs="Arial"/>
          <w:sz w:val="22"/>
        </w:rPr>
        <w:t>son de cumplimiento inmediato</w:t>
      </w:r>
      <w:r w:rsidR="00EE0D77" w:rsidRPr="00A87091">
        <w:rPr>
          <w:rFonts w:ascii="Arial" w:hAnsi="Arial" w:cs="Arial"/>
          <w:sz w:val="22"/>
        </w:rPr>
        <w:t>.</w:t>
      </w:r>
      <w:r w:rsidR="00845774" w:rsidRPr="00A87091">
        <w:rPr>
          <w:rFonts w:ascii="Arial" w:hAnsi="Arial" w:cs="Arial"/>
          <w:sz w:val="22"/>
        </w:rPr>
        <w:t xml:space="preserve"> Por tanto, conforme </w:t>
      </w:r>
      <w:r w:rsidRPr="00A87091">
        <w:rPr>
          <w:rFonts w:ascii="Arial" w:hAnsi="Arial" w:cs="Arial"/>
          <w:sz w:val="22"/>
        </w:rPr>
        <w:t>al marco normativo que regule el acceso de las mipymes al mercado de compras públicas</w:t>
      </w:r>
      <w:r w:rsidR="00845774" w:rsidRPr="00A87091">
        <w:rPr>
          <w:rFonts w:ascii="Arial" w:hAnsi="Arial" w:cs="Arial"/>
          <w:sz w:val="22"/>
        </w:rPr>
        <w:t>, las entidades deberán adoptar las medidas necesarias para el acatamiento de esta disposición</w:t>
      </w:r>
      <w:r w:rsidR="00183A41" w:rsidRPr="00A87091">
        <w:rPr>
          <w:rFonts w:ascii="Arial" w:hAnsi="Arial" w:cs="Arial"/>
          <w:sz w:val="22"/>
        </w:rPr>
        <w:t xml:space="preserve">. Esto con independencia de que el procedimiento se rija o no por los documentos tipo implementados a través de las Resoluciones 248 y 249 del 1º de diciembre de 2020, pues </w:t>
      </w:r>
      <w:r w:rsidR="006C7E87" w:rsidRPr="00A87091">
        <w:rPr>
          <w:rFonts w:ascii="Arial" w:hAnsi="Arial" w:cs="Arial"/>
          <w:sz w:val="22"/>
        </w:rPr>
        <w:t>l</w:t>
      </w:r>
      <w:r w:rsidR="00183A41" w:rsidRPr="00A87091">
        <w:rPr>
          <w:rFonts w:ascii="Arial" w:hAnsi="Arial" w:cs="Arial"/>
          <w:sz w:val="22"/>
        </w:rPr>
        <w:t>a norma</w:t>
      </w:r>
      <w:r w:rsidR="006C7E87" w:rsidRPr="00A87091">
        <w:rPr>
          <w:rFonts w:ascii="Arial" w:hAnsi="Arial" w:cs="Arial"/>
          <w:sz w:val="22"/>
        </w:rPr>
        <w:t xml:space="preserve"> en comento es</w:t>
      </w:r>
      <w:r w:rsidR="00183A41" w:rsidRPr="00A87091">
        <w:rPr>
          <w:rFonts w:ascii="Arial" w:hAnsi="Arial" w:cs="Arial"/>
          <w:sz w:val="22"/>
        </w:rPr>
        <w:t xml:space="preserve"> transversal al sistema </w:t>
      </w:r>
      <w:r w:rsidR="005642AE" w:rsidRPr="00A87091">
        <w:rPr>
          <w:rFonts w:ascii="Arial" w:hAnsi="Arial" w:cs="Arial"/>
          <w:sz w:val="22"/>
        </w:rPr>
        <w:t>compras y contratación</w:t>
      </w:r>
      <w:r w:rsidR="00183A41" w:rsidRPr="00A87091">
        <w:rPr>
          <w:rFonts w:ascii="Arial" w:hAnsi="Arial" w:cs="Arial"/>
          <w:sz w:val="22"/>
        </w:rPr>
        <w:t xml:space="preserve"> pública</w:t>
      </w:r>
      <w:r w:rsidR="00845774" w:rsidRPr="00A87091">
        <w:rPr>
          <w:rFonts w:ascii="Arial" w:hAnsi="Arial" w:cs="Arial"/>
          <w:sz w:val="22"/>
        </w:rPr>
        <w:t>.</w:t>
      </w:r>
    </w:p>
    <w:p w14:paraId="59AD7982" w14:textId="3A37A07C" w:rsidR="008F2837" w:rsidRPr="00A87091" w:rsidRDefault="005642AE" w:rsidP="004D2625">
      <w:pPr>
        <w:spacing w:line="276" w:lineRule="auto"/>
        <w:jc w:val="both"/>
        <w:rPr>
          <w:rFonts w:ascii="Arial" w:hAnsi="Arial" w:cs="Arial"/>
          <w:sz w:val="22"/>
        </w:rPr>
      </w:pPr>
      <w:r w:rsidRPr="00A87091">
        <w:rPr>
          <w:rFonts w:ascii="Arial" w:hAnsi="Arial" w:cs="Arial"/>
          <w:sz w:val="22"/>
        </w:rPr>
        <w:tab/>
      </w:r>
    </w:p>
    <w:p w14:paraId="6D450EBA" w14:textId="78CC5977" w:rsidR="008F2837" w:rsidRPr="00A87091" w:rsidRDefault="008F2837" w:rsidP="008F2837">
      <w:pPr>
        <w:tabs>
          <w:tab w:val="left" w:pos="709"/>
        </w:tabs>
        <w:spacing w:line="276" w:lineRule="auto"/>
        <w:jc w:val="both"/>
        <w:rPr>
          <w:rFonts w:ascii="Arial" w:hAnsi="Arial" w:cs="Arial"/>
          <w:b/>
          <w:bCs/>
          <w:i/>
          <w:iCs/>
          <w:sz w:val="22"/>
        </w:rPr>
      </w:pPr>
      <w:r w:rsidRPr="00A87091">
        <w:rPr>
          <w:rFonts w:ascii="Arial" w:hAnsi="Arial" w:cs="Arial"/>
          <w:b/>
          <w:bCs/>
          <w:i/>
          <w:iCs/>
          <w:sz w:val="22"/>
        </w:rPr>
        <w:t>2.1.5. Promoción del desarrollo en la contratación pública</w:t>
      </w:r>
    </w:p>
    <w:p w14:paraId="52913273" w14:textId="77777777" w:rsidR="008F2837" w:rsidRPr="00A87091" w:rsidRDefault="008F2837" w:rsidP="008F2837">
      <w:pPr>
        <w:tabs>
          <w:tab w:val="left" w:pos="709"/>
        </w:tabs>
        <w:spacing w:line="276" w:lineRule="auto"/>
        <w:jc w:val="both"/>
        <w:rPr>
          <w:rFonts w:ascii="Arial" w:eastAsia="Calibri" w:hAnsi="Arial" w:cs="Arial"/>
          <w:b/>
          <w:bCs/>
          <w:color w:val="000000" w:themeColor="text1"/>
          <w:sz w:val="22"/>
        </w:rPr>
      </w:pPr>
    </w:p>
    <w:p w14:paraId="70A70296" w14:textId="36AEB00C" w:rsidR="00C00709" w:rsidRPr="00A87091" w:rsidRDefault="008F2837" w:rsidP="000E37D0">
      <w:pPr>
        <w:tabs>
          <w:tab w:val="left" w:pos="709"/>
        </w:tabs>
        <w:spacing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lastRenderedPageBreak/>
        <w:t>C</w:t>
      </w:r>
      <w:r w:rsidR="00332059" w:rsidRPr="00A87091">
        <w:rPr>
          <w:rFonts w:ascii="Arial" w:eastAsia="Calibri" w:hAnsi="Arial" w:cs="Arial"/>
          <w:bCs/>
          <w:color w:val="000000" w:themeColor="text1"/>
          <w:sz w:val="22"/>
        </w:rPr>
        <w:t>omo una medida complementaria a la prevista en el artículo 30 de la Ley 2069 de 2020,</w:t>
      </w:r>
      <w:r w:rsidR="00B459BE" w:rsidRPr="00A87091">
        <w:rPr>
          <w:rFonts w:ascii="Arial" w:eastAsia="Calibri" w:hAnsi="Arial" w:cs="Arial"/>
          <w:bCs/>
          <w:color w:val="000000" w:themeColor="text1"/>
          <w:sz w:val="22"/>
        </w:rPr>
        <w:t xml:space="preserve"> el artículo 3</w:t>
      </w:r>
      <w:r w:rsidR="00CA4E8A" w:rsidRPr="00A87091">
        <w:rPr>
          <w:rFonts w:ascii="Arial" w:eastAsia="Calibri" w:hAnsi="Arial" w:cs="Arial"/>
          <w:bCs/>
          <w:color w:val="000000" w:themeColor="text1"/>
          <w:sz w:val="22"/>
        </w:rPr>
        <w:t>4</w:t>
      </w:r>
      <w:r w:rsidR="00332059" w:rsidRPr="00A87091">
        <w:rPr>
          <w:rFonts w:ascii="Arial" w:eastAsia="Calibri" w:hAnsi="Arial" w:cs="Arial"/>
          <w:bCs/>
          <w:color w:val="000000" w:themeColor="text1"/>
          <w:sz w:val="22"/>
        </w:rPr>
        <w:t xml:space="preserve"> </w:t>
      </w:r>
      <w:r w:rsidR="00332059" w:rsidRPr="00A87091">
        <w:rPr>
          <w:rFonts w:ascii="Arial" w:eastAsia="Calibri" w:hAnsi="Arial" w:cs="Arial"/>
          <w:bCs/>
          <w:i/>
          <w:iCs/>
          <w:color w:val="000000" w:themeColor="text1"/>
          <w:sz w:val="22"/>
        </w:rPr>
        <w:t>ibidem</w:t>
      </w:r>
      <w:r w:rsidR="00B459BE" w:rsidRPr="00A87091">
        <w:rPr>
          <w:rFonts w:ascii="Arial" w:eastAsia="Calibri" w:hAnsi="Arial" w:cs="Arial"/>
          <w:bCs/>
          <w:color w:val="000000" w:themeColor="text1"/>
          <w:sz w:val="22"/>
        </w:rPr>
        <w:t xml:space="preserve"> modifica el artículo 12 de la Ley 1150 de 2007, el cual regula la promoción del desarrollo en la contratación pública</w:t>
      </w:r>
      <w:r w:rsidR="00F40A01" w:rsidRPr="00A87091">
        <w:rPr>
          <w:rFonts w:ascii="Arial" w:eastAsia="Calibri" w:hAnsi="Arial" w:cs="Arial"/>
          <w:bCs/>
          <w:color w:val="000000" w:themeColor="text1"/>
          <w:sz w:val="22"/>
        </w:rPr>
        <w:t>. Inicialmente, la redacción de la Ley 1150 fue modificada por el artículo 32 de la Ley 1450 de 2011</w:t>
      </w:r>
      <w:r w:rsidR="002E08E8" w:rsidRPr="00A87091">
        <w:rPr>
          <w:rFonts w:ascii="Arial" w:eastAsia="Calibri" w:hAnsi="Arial" w:cs="Arial"/>
          <w:bCs/>
          <w:color w:val="000000" w:themeColor="text1"/>
          <w:sz w:val="22"/>
        </w:rPr>
        <w:t>,</w:t>
      </w:r>
      <w:r w:rsidR="00C00709" w:rsidRPr="00A87091">
        <w:rPr>
          <w:rFonts w:ascii="Arial" w:eastAsia="Calibri" w:hAnsi="Arial" w:cs="Arial"/>
          <w:bCs/>
          <w:color w:val="000000" w:themeColor="text1"/>
          <w:sz w:val="22"/>
        </w:rPr>
        <w:t xml:space="preserve"> pero </w:t>
      </w:r>
      <w:r w:rsidR="00955598" w:rsidRPr="00A87091">
        <w:rPr>
          <w:rFonts w:ascii="Arial" w:eastAsia="Calibri" w:hAnsi="Arial" w:cs="Arial"/>
          <w:bCs/>
          <w:color w:val="000000" w:themeColor="text1"/>
          <w:sz w:val="22"/>
        </w:rPr>
        <w:t xml:space="preserve">esta última quedó derogada </w:t>
      </w:r>
      <w:r w:rsidR="00C00709" w:rsidRPr="00A87091">
        <w:rPr>
          <w:rFonts w:ascii="Arial" w:eastAsia="Calibri" w:hAnsi="Arial" w:cs="Arial"/>
          <w:bCs/>
          <w:color w:val="000000" w:themeColor="text1"/>
          <w:sz w:val="22"/>
        </w:rPr>
        <w:t xml:space="preserve">con la expedición de la Ley de Emprendimiento. Resaltando los cambios relevantes, la norma dispone </w:t>
      </w:r>
      <w:r w:rsidR="00955598" w:rsidRPr="00A87091">
        <w:rPr>
          <w:rFonts w:ascii="Arial" w:eastAsia="Calibri" w:hAnsi="Arial" w:cs="Arial"/>
          <w:bCs/>
          <w:color w:val="000000" w:themeColor="text1"/>
          <w:sz w:val="22"/>
        </w:rPr>
        <w:t>lo siguiente</w:t>
      </w:r>
      <w:r w:rsidR="00C00709" w:rsidRPr="00A87091">
        <w:rPr>
          <w:rFonts w:ascii="Arial" w:eastAsia="Calibri" w:hAnsi="Arial" w:cs="Arial"/>
          <w:bCs/>
          <w:color w:val="000000" w:themeColor="text1"/>
          <w:sz w:val="22"/>
        </w:rPr>
        <w:t>:</w:t>
      </w:r>
      <w:r w:rsidR="00B459BE" w:rsidRPr="00A87091">
        <w:rPr>
          <w:rFonts w:ascii="Arial" w:eastAsia="Calibri" w:hAnsi="Arial" w:cs="Arial"/>
          <w:bCs/>
          <w:color w:val="000000" w:themeColor="text1"/>
          <w:sz w:val="22"/>
        </w:rPr>
        <w:t xml:space="preserve"> </w:t>
      </w:r>
      <w:r w:rsidR="00C07492" w:rsidRPr="00A87091">
        <w:rPr>
          <w:rFonts w:ascii="Arial" w:eastAsia="Calibri" w:hAnsi="Arial" w:cs="Arial"/>
          <w:bCs/>
          <w:color w:val="000000" w:themeColor="text1"/>
          <w:sz w:val="22"/>
        </w:rPr>
        <w:t xml:space="preserve">  </w:t>
      </w:r>
    </w:p>
    <w:p w14:paraId="758401B9" w14:textId="77777777" w:rsidR="000E37D0" w:rsidRPr="00A87091" w:rsidRDefault="000E37D0" w:rsidP="000E37D0">
      <w:pPr>
        <w:tabs>
          <w:tab w:val="left" w:pos="709"/>
        </w:tabs>
        <w:spacing w:line="276" w:lineRule="auto"/>
        <w:jc w:val="both"/>
        <w:rPr>
          <w:rFonts w:ascii="Arial" w:eastAsia="Calibri" w:hAnsi="Arial" w:cs="Arial"/>
          <w:bCs/>
          <w:color w:val="000000" w:themeColor="text1"/>
          <w:sz w:val="22"/>
        </w:rPr>
      </w:pPr>
    </w:p>
    <w:p w14:paraId="7BBA0DBB" w14:textId="081C0E6E" w:rsidR="00C00709" w:rsidRPr="00A87091" w:rsidRDefault="00C00709" w:rsidP="00D3555B">
      <w:pPr>
        <w:tabs>
          <w:tab w:val="left" w:pos="1276"/>
        </w:tabs>
        <w:ind w:left="709" w:right="709"/>
        <w:jc w:val="both"/>
        <w:rPr>
          <w:rFonts w:ascii="Arial" w:eastAsia="Calibri" w:hAnsi="Arial" w:cs="Arial"/>
          <w:bCs/>
          <w:color w:val="000000" w:themeColor="text1"/>
          <w:sz w:val="21"/>
          <w:szCs w:val="21"/>
        </w:rPr>
      </w:pPr>
      <w:r w:rsidRPr="00A87091">
        <w:rPr>
          <w:rFonts w:ascii="Arial" w:eastAsia="Calibri" w:hAnsi="Arial" w:cs="Arial"/>
          <w:bCs/>
          <w:color w:val="000000" w:themeColor="text1"/>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A87091">
        <w:rPr>
          <w:rFonts w:ascii="Arial" w:eastAsia="Calibri" w:hAnsi="Arial" w:cs="Arial"/>
          <w:bCs/>
          <w:i/>
          <w:iCs/>
          <w:color w:val="000000" w:themeColor="text1"/>
          <w:sz w:val="21"/>
          <w:szCs w:val="21"/>
        </w:rPr>
        <w:t>indistintamente de su régimen de contratación, los patrimonios autónomos constituidos por Entidades Estatales y los particulares que ejecuten recursos públicos,</w:t>
      </w:r>
      <w:r w:rsidRPr="00A87091">
        <w:rPr>
          <w:rFonts w:ascii="Arial" w:eastAsia="Calibri" w:hAnsi="Arial" w:cs="Arial"/>
          <w:bCs/>
          <w:color w:val="000000" w:themeColor="text1"/>
          <w:sz w:val="21"/>
          <w:szCs w:val="21"/>
        </w:rPr>
        <w:t xml:space="preserve"> adopten en beneficio de las Mipyme, convocatorias limitadas a estas en las que, previo a la Resolución de apertura del proceso respectivo, se haya manifestado el interés </w:t>
      </w:r>
      <w:r w:rsidRPr="00A87091">
        <w:rPr>
          <w:rFonts w:ascii="Arial" w:eastAsia="Calibri" w:hAnsi="Arial" w:cs="Arial"/>
          <w:bCs/>
          <w:i/>
          <w:iCs/>
          <w:color w:val="000000" w:themeColor="text1"/>
          <w:sz w:val="21"/>
          <w:szCs w:val="21"/>
        </w:rPr>
        <w:t>de por lo menos dos (2) Mipyme</w:t>
      </w:r>
      <w:r w:rsidRPr="00A87091">
        <w:rPr>
          <w:rFonts w:ascii="Arial" w:eastAsia="Calibri" w:hAnsi="Arial" w:cs="Arial"/>
          <w:bCs/>
          <w:color w:val="000000" w:themeColor="text1"/>
          <w:sz w:val="21"/>
          <w:szCs w:val="21"/>
        </w:rPr>
        <w:t>.</w:t>
      </w:r>
    </w:p>
    <w:p w14:paraId="41F53129" w14:textId="376252B3" w:rsidR="00C00709" w:rsidRPr="00A87091"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A87091">
        <w:rPr>
          <w:rFonts w:ascii="Arial" w:eastAsia="Calibri" w:hAnsi="Arial" w:cs="Arial"/>
          <w:bCs/>
          <w:color w:val="000000" w:themeColor="text1"/>
          <w:sz w:val="21"/>
          <w:szCs w:val="21"/>
        </w:rPr>
        <w:t>Asimismo, el reglamento podrá establecer condiciones preferenciales en favor de la oferta de bienes y servicios producidos por las Mipyme, respetando los montos y las condiciones contenidas en los compromisos internacionales vigentes</w:t>
      </w:r>
      <w:r w:rsidRPr="00A87091">
        <w:rPr>
          <w:rFonts w:ascii="Arial" w:eastAsia="Calibri" w:hAnsi="Arial" w:cs="Arial"/>
          <w:bCs/>
          <w:i/>
          <w:iCs/>
          <w:color w:val="000000" w:themeColor="text1"/>
          <w:sz w:val="21"/>
          <w:szCs w:val="21"/>
        </w:rPr>
        <w:t>, cuando sean aplicables</w:t>
      </w:r>
      <w:r w:rsidRPr="00A87091">
        <w:rPr>
          <w:rFonts w:ascii="Arial" w:eastAsia="Calibri" w:hAnsi="Arial" w:cs="Arial"/>
          <w:bCs/>
          <w:color w:val="000000" w:themeColor="text1"/>
          <w:sz w:val="21"/>
          <w:szCs w:val="21"/>
        </w:rPr>
        <w:t>.</w:t>
      </w:r>
    </w:p>
    <w:p w14:paraId="766BCFDA" w14:textId="53C660B2" w:rsidR="00C00709" w:rsidRPr="00A87091" w:rsidRDefault="00C00709" w:rsidP="00D3555B">
      <w:pPr>
        <w:tabs>
          <w:tab w:val="left" w:pos="1276"/>
        </w:tabs>
        <w:spacing w:before="120"/>
        <w:ind w:left="709" w:right="709"/>
        <w:jc w:val="both"/>
        <w:rPr>
          <w:rFonts w:ascii="Arial" w:eastAsia="Calibri" w:hAnsi="Arial" w:cs="Arial"/>
          <w:bCs/>
          <w:color w:val="000000" w:themeColor="text1"/>
          <w:sz w:val="21"/>
          <w:szCs w:val="21"/>
        </w:rPr>
      </w:pPr>
      <w:r w:rsidRPr="00A87091">
        <w:rPr>
          <w:rFonts w:ascii="Arial" w:eastAsia="Calibri" w:hAnsi="Arial" w:cs="Arial"/>
          <w:bCs/>
          <w:color w:val="000000" w:themeColor="text1"/>
          <w:sz w:val="21"/>
          <w:szCs w:val="21"/>
        </w:rPr>
        <w:t>En todo caso, se deberá garantizar la satisfacción de las condiciones técnicas y económicas requeridas en el Proceso de Contratación</w:t>
      </w:r>
      <w:r w:rsidR="004C0463" w:rsidRPr="00A87091">
        <w:rPr>
          <w:rStyle w:val="Refdenotaalpie"/>
          <w:rFonts w:ascii="Arial" w:eastAsia="Calibri" w:hAnsi="Arial" w:cs="Arial"/>
          <w:bCs/>
          <w:color w:val="000000" w:themeColor="text1"/>
          <w:sz w:val="21"/>
          <w:szCs w:val="21"/>
        </w:rPr>
        <w:footnoteReference w:id="10"/>
      </w:r>
      <w:r w:rsidRPr="00A87091">
        <w:rPr>
          <w:rFonts w:ascii="Arial" w:eastAsia="Calibri" w:hAnsi="Arial" w:cs="Arial"/>
          <w:bCs/>
          <w:color w:val="000000" w:themeColor="text1"/>
          <w:sz w:val="21"/>
          <w:szCs w:val="21"/>
        </w:rPr>
        <w:t>.</w:t>
      </w:r>
      <w:r w:rsidR="002814EA" w:rsidRPr="00A87091">
        <w:rPr>
          <w:rFonts w:ascii="Arial" w:eastAsia="Calibri" w:hAnsi="Arial" w:cs="Arial"/>
          <w:bCs/>
          <w:color w:val="000000" w:themeColor="text1"/>
          <w:sz w:val="21"/>
          <w:szCs w:val="21"/>
        </w:rPr>
        <w:t xml:space="preserve"> (Énfasis fuera de texto)</w:t>
      </w:r>
    </w:p>
    <w:p w14:paraId="7C785FFB" w14:textId="77777777" w:rsidR="000E37D0" w:rsidRPr="00A87091" w:rsidRDefault="000E37D0" w:rsidP="000E37D0">
      <w:pPr>
        <w:tabs>
          <w:tab w:val="left" w:pos="1276"/>
        </w:tabs>
        <w:spacing w:line="276" w:lineRule="auto"/>
        <w:ind w:left="709" w:right="709"/>
        <w:jc w:val="both"/>
        <w:rPr>
          <w:rFonts w:ascii="Arial" w:eastAsia="Calibri" w:hAnsi="Arial" w:cs="Arial"/>
          <w:bCs/>
          <w:color w:val="000000" w:themeColor="text1"/>
          <w:sz w:val="22"/>
        </w:rPr>
      </w:pPr>
    </w:p>
    <w:p w14:paraId="3F19D657" w14:textId="77777777" w:rsidR="001F3224" w:rsidRPr="00A87091" w:rsidRDefault="00EE0D77" w:rsidP="0024750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147906" w:rsidRPr="00A87091">
        <w:rPr>
          <w:rFonts w:ascii="Arial" w:eastAsia="Calibri" w:hAnsi="Arial" w:cs="Arial"/>
          <w:bCs/>
          <w:color w:val="000000" w:themeColor="text1"/>
          <w:sz w:val="22"/>
        </w:rPr>
        <w:t>En contraste con la redacción de la Ley 1450 de 2011</w:t>
      </w:r>
      <w:r w:rsidRPr="00A87091">
        <w:rPr>
          <w:rFonts w:ascii="Arial" w:eastAsia="Calibri" w:hAnsi="Arial" w:cs="Arial"/>
          <w:bCs/>
          <w:color w:val="000000" w:themeColor="text1"/>
          <w:sz w:val="22"/>
        </w:rPr>
        <w:t>,</w:t>
      </w:r>
      <w:r w:rsidR="00147906" w:rsidRPr="00A87091">
        <w:rPr>
          <w:rFonts w:ascii="Arial" w:eastAsia="Calibri" w:hAnsi="Arial" w:cs="Arial"/>
          <w:bCs/>
          <w:color w:val="000000" w:themeColor="text1"/>
          <w:sz w:val="22"/>
        </w:rPr>
        <w:t xml:space="preserve"> la</w:t>
      </w:r>
      <w:r w:rsidR="009C00FA" w:rsidRPr="00A87091">
        <w:rPr>
          <w:rFonts w:ascii="Arial" w:eastAsia="Calibri" w:hAnsi="Arial" w:cs="Arial"/>
          <w:bCs/>
          <w:color w:val="000000" w:themeColor="text1"/>
          <w:sz w:val="22"/>
        </w:rPr>
        <w:t xml:space="preserve"> Ley de Emprendimiento amplía la limitación a mipymes de forma de ya </w:t>
      </w:r>
      <w:r w:rsidR="00685A29" w:rsidRPr="00A87091">
        <w:rPr>
          <w:rFonts w:ascii="Arial" w:eastAsia="Calibri" w:hAnsi="Arial" w:cs="Arial"/>
          <w:bCs/>
          <w:color w:val="000000" w:themeColor="text1"/>
          <w:sz w:val="22"/>
        </w:rPr>
        <w:t xml:space="preserve">no </w:t>
      </w:r>
      <w:r w:rsidR="009C00FA" w:rsidRPr="00A87091">
        <w:rPr>
          <w:rFonts w:ascii="Arial" w:eastAsia="Calibri" w:hAnsi="Arial" w:cs="Arial"/>
          <w:bCs/>
          <w:color w:val="000000" w:themeColor="text1"/>
          <w:sz w:val="22"/>
        </w:rPr>
        <w:t xml:space="preserve">solo aplica en los procedimientos de selección </w:t>
      </w:r>
      <w:r w:rsidR="00685A29" w:rsidRPr="00A87091">
        <w:rPr>
          <w:rFonts w:ascii="Arial" w:eastAsia="Calibri" w:hAnsi="Arial" w:cs="Arial"/>
          <w:bCs/>
          <w:color w:val="000000" w:themeColor="text1"/>
          <w:sz w:val="22"/>
        </w:rPr>
        <w:t xml:space="preserve">de las entidades sometidas a la Ley 80 de 1993, sino que se extiende a la gestión contractual de las entidades exceptuadas, los patrimonios autónomos y los particulares que </w:t>
      </w:r>
      <w:r w:rsidR="00685A29" w:rsidRPr="00A87091">
        <w:rPr>
          <w:rFonts w:ascii="Arial" w:eastAsia="Calibri" w:hAnsi="Arial" w:cs="Arial"/>
          <w:bCs/>
          <w:color w:val="000000" w:themeColor="text1"/>
          <w:sz w:val="22"/>
        </w:rPr>
        <w:lastRenderedPageBreak/>
        <w:t>ejecuten recursos públicos.</w:t>
      </w:r>
      <w:r w:rsidR="00247506" w:rsidRPr="00A87091">
        <w:rPr>
          <w:rFonts w:ascii="Arial" w:eastAsia="Calibri" w:hAnsi="Arial" w:cs="Arial"/>
          <w:bCs/>
          <w:color w:val="000000" w:themeColor="text1"/>
          <w:sz w:val="22"/>
        </w:rPr>
        <w:t xml:space="preserve"> Por lo demás, la norma congela en el rango de ley el número de interesados que debe solicitar la limitación. </w:t>
      </w:r>
    </w:p>
    <w:p w14:paraId="11D158E4" w14:textId="44AB76A9" w:rsidR="00F21F84" w:rsidRPr="00A87091" w:rsidRDefault="001F3224" w:rsidP="0024750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247506" w:rsidRPr="00A87091">
        <w:rPr>
          <w:rFonts w:ascii="Arial" w:eastAsia="Calibri" w:hAnsi="Arial" w:cs="Arial"/>
          <w:bCs/>
          <w:color w:val="000000" w:themeColor="text1"/>
          <w:sz w:val="22"/>
        </w:rPr>
        <w:t>Sin embargo,</w:t>
      </w:r>
      <w:r w:rsidR="00EE0D77" w:rsidRPr="00A87091">
        <w:rPr>
          <w:rFonts w:ascii="Arial" w:eastAsia="Calibri" w:hAnsi="Arial" w:cs="Arial"/>
          <w:bCs/>
          <w:color w:val="000000" w:themeColor="text1"/>
          <w:sz w:val="22"/>
        </w:rPr>
        <w:t xml:space="preserve"> también alude a la necesidad del desarrollo reglamentario</w:t>
      </w:r>
      <w:r w:rsidR="00247506" w:rsidRPr="00A87091">
        <w:rPr>
          <w:rFonts w:ascii="Arial" w:eastAsia="Calibri" w:hAnsi="Arial" w:cs="Arial"/>
          <w:bCs/>
          <w:color w:val="000000" w:themeColor="text1"/>
          <w:sz w:val="22"/>
        </w:rPr>
        <w:t xml:space="preserve"> posterior, por lo que no </w:t>
      </w:r>
      <w:r w:rsidR="00E75547" w:rsidRPr="00A87091">
        <w:rPr>
          <w:rFonts w:ascii="Arial" w:eastAsia="Calibri" w:hAnsi="Arial" w:cs="Arial"/>
          <w:bCs/>
          <w:color w:val="000000" w:themeColor="text1"/>
          <w:sz w:val="22"/>
        </w:rPr>
        <w:t>es</w:t>
      </w:r>
      <w:r w:rsidR="00247506" w:rsidRPr="00A87091">
        <w:rPr>
          <w:rFonts w:ascii="Arial" w:eastAsia="Calibri" w:hAnsi="Arial" w:cs="Arial"/>
          <w:bCs/>
          <w:color w:val="000000" w:themeColor="text1"/>
          <w:sz w:val="22"/>
        </w:rPr>
        <w:t xml:space="preserve"> posib</w:t>
      </w:r>
      <w:r w:rsidR="00E75547" w:rsidRPr="00A87091">
        <w:rPr>
          <w:rFonts w:ascii="Arial" w:eastAsia="Calibri" w:hAnsi="Arial" w:cs="Arial"/>
          <w:bCs/>
          <w:color w:val="000000" w:themeColor="text1"/>
          <w:sz w:val="22"/>
        </w:rPr>
        <w:t>le</w:t>
      </w:r>
      <w:r w:rsidR="00247506" w:rsidRPr="00A87091">
        <w:rPr>
          <w:rFonts w:ascii="Arial" w:eastAsia="Calibri" w:hAnsi="Arial" w:cs="Arial"/>
          <w:bCs/>
          <w:color w:val="000000" w:themeColor="text1"/>
          <w:sz w:val="22"/>
        </w:rPr>
        <w:t xml:space="preserve"> aplicarla directamente </w:t>
      </w:r>
      <w:r w:rsidR="00E75547" w:rsidRPr="00A87091">
        <w:rPr>
          <w:rFonts w:ascii="Arial" w:eastAsia="Calibri" w:hAnsi="Arial" w:cs="Arial"/>
          <w:bCs/>
          <w:color w:val="000000" w:themeColor="text1"/>
          <w:sz w:val="22"/>
        </w:rPr>
        <w:t>desde la fecha de</w:t>
      </w:r>
      <w:r w:rsidR="00247506" w:rsidRPr="00A87091">
        <w:rPr>
          <w:rFonts w:ascii="Arial" w:eastAsia="Calibri" w:hAnsi="Arial" w:cs="Arial"/>
          <w:bCs/>
          <w:color w:val="000000" w:themeColor="text1"/>
          <w:sz w:val="22"/>
        </w:rPr>
        <w:t xml:space="preserve"> su expedición.</w:t>
      </w:r>
      <w:r w:rsidR="007A3166" w:rsidRPr="00A87091">
        <w:rPr>
          <w:rFonts w:ascii="Arial" w:eastAsia="Calibri" w:hAnsi="Arial" w:cs="Arial"/>
          <w:bCs/>
          <w:color w:val="000000" w:themeColor="text1"/>
          <w:sz w:val="22"/>
        </w:rPr>
        <w:t xml:space="preserve"> Lo propio sucede cuando la norma dispone que «[…]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 Esto significa que los mecanismos de fomento requieren un desarrollo posterior para su aplicación en los procedimientos contractuales.</w:t>
      </w:r>
      <w:r w:rsidR="004D2625" w:rsidRPr="00A87091">
        <w:rPr>
          <w:rFonts w:ascii="Arial" w:eastAsia="Calibri" w:hAnsi="Arial" w:cs="Arial"/>
          <w:bCs/>
          <w:color w:val="000000" w:themeColor="text1"/>
          <w:sz w:val="22"/>
        </w:rPr>
        <w:t xml:space="preserve"> En consecuencia, no es exigible en los procedimientos regidos por los documentos tipo de licitación de obra pública de agua potable y saneamiento básico hasta que esta obligación se desarrolle en el decreto correspondiente.</w:t>
      </w:r>
    </w:p>
    <w:p w14:paraId="54064B98" w14:textId="66A49539" w:rsidR="00DF1AB7" w:rsidRPr="00A87091" w:rsidRDefault="002A7DF5"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bCs/>
          <w:sz w:val="22"/>
        </w:rPr>
        <w:t xml:space="preserve">Para efectos de la consulta, </w:t>
      </w:r>
      <w:r w:rsidR="00DF1AB7" w:rsidRPr="00A87091">
        <w:rPr>
          <w:rFonts w:ascii="Arial" w:eastAsia="Calibri" w:hAnsi="Arial" w:cs="Arial"/>
          <w:color w:val="000000" w:themeColor="text1"/>
          <w:sz w:val="22"/>
          <w:lang w:val="es-ES_tradnl"/>
        </w:rPr>
        <w:t>conviene preguntarse qué sucede con la vigencia del artículo 2.2.1.2.4.2.2. del Decreto 1082 de 2015, que, hasta la expedición de la Ley 2069 de 2020, regía las convocatorias limitadas a mipymes. C</w:t>
      </w:r>
      <w:r w:rsidR="00DF1AB7" w:rsidRPr="00A87091">
        <w:rPr>
          <w:rFonts w:ascii="Arial" w:eastAsia="Calibri" w:hAnsi="Arial" w:cs="Arial"/>
          <w:bCs/>
          <w:sz w:val="22"/>
        </w:rPr>
        <w:t>onforme a lo explicado en el Concepto C-043 del 9 de febrero de 2020</w:t>
      </w:r>
      <w:r w:rsidR="00DF1AB7" w:rsidRPr="00A87091">
        <w:rPr>
          <w:rFonts w:ascii="Arial" w:eastAsia="Calibri" w:hAnsi="Arial" w:cs="Arial"/>
          <w:color w:val="000000" w:themeColor="text1"/>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08EE83A" w14:textId="77777777"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Si los decretos reglamentarios que profiere el Presidente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556FC306" w14:textId="77777777"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mipymes. Concretamente, no incluye todos los requisitos que, hasta la entrada en vigencia de la Ley </w:t>
      </w:r>
      <w:r w:rsidRPr="00A87091">
        <w:rPr>
          <w:rFonts w:ascii="Arial" w:eastAsia="Calibri" w:hAnsi="Arial" w:cs="Arial"/>
          <w:color w:val="000000" w:themeColor="text1"/>
          <w:sz w:val="22"/>
          <w:lang w:val="es-ES_tradnl"/>
        </w:rPr>
        <w:lastRenderedPageBreak/>
        <w:t>2069 de 2020, establecía el artículo 2.2.1.2.4.2.2. del Decreto 1082 de 2015. Esta norma indicaba en su primer inciso que la entidad estatal solo podía limitar la convocatoria a las mipymes nacionales si se trataba de procesos de selección de licitación pública, selección abreviada y concursos de méritos. Por su parte, tal restricción no se encuentra en el artículo 34 de la Ley 2069 de 2020.</w:t>
      </w:r>
    </w:p>
    <w:p w14:paraId="3B99A1BC" w14:textId="5CE13027"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Adicionalmente, el numeral 1 del artículo 2.2.1.2.4.2.2. del Decreto 1082 de 2015 exigía que el valor del proceso de contratación en el que pretendiera limitarse la convocatoria a mipymes fuera «[…] menor a ciento veinticinco mil dólares de los Estados Unidos de América (US$125.000), liquidados con la tasa de cambio que para el efecto determina cada dos años el Ministerio de Comercio, Industria y Turismo». Este requisito tampoco se observa </w:t>
      </w:r>
      <w:r w:rsidR="000428C3" w:rsidRPr="00A87091">
        <w:rPr>
          <w:rFonts w:ascii="Arial" w:eastAsia="Calibri" w:hAnsi="Arial" w:cs="Arial"/>
          <w:color w:val="000000" w:themeColor="text1"/>
          <w:sz w:val="22"/>
          <w:lang w:val="es-ES_tradnl"/>
        </w:rPr>
        <w:t xml:space="preserve">expresamente regulado </w:t>
      </w:r>
      <w:r w:rsidRPr="00A87091">
        <w:rPr>
          <w:rFonts w:ascii="Arial" w:eastAsia="Calibri" w:hAnsi="Arial" w:cs="Arial"/>
          <w:color w:val="000000" w:themeColor="text1"/>
          <w:sz w:val="22"/>
          <w:lang w:val="es-ES_tradnl"/>
        </w:rPr>
        <w:t>en el artículo 34 de la Ley 2069 de 2020</w:t>
      </w:r>
      <w:r w:rsidR="000428C3" w:rsidRPr="00A87091">
        <w:rPr>
          <w:rFonts w:ascii="Arial" w:eastAsia="Calibri" w:hAnsi="Arial" w:cs="Arial"/>
          <w:color w:val="000000" w:themeColor="text1"/>
          <w:sz w:val="22"/>
          <w:lang w:val="es-ES_tradnl"/>
        </w:rPr>
        <w:t>, porque la definición del monto corresponde al decreto que lo reglamente</w:t>
      </w:r>
      <w:r w:rsidRPr="00A87091">
        <w:rPr>
          <w:rFonts w:ascii="Arial" w:eastAsia="Calibri" w:hAnsi="Arial" w:cs="Arial"/>
          <w:color w:val="000000" w:themeColor="text1"/>
          <w:sz w:val="22"/>
          <w:lang w:val="es-ES_tradnl"/>
        </w:rPr>
        <w:t>.</w:t>
      </w:r>
    </w:p>
    <w:p w14:paraId="0FDE79FF" w14:textId="77777777"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A lo anterior debe agregarse que mientras la nueva disposición legal indica que la convocatoria limitada a mipymes debe hacerse cuando por lo menos </w:t>
      </w:r>
      <w:r w:rsidRPr="00A87091">
        <w:rPr>
          <w:rFonts w:ascii="Arial" w:eastAsia="Calibri" w:hAnsi="Arial" w:cs="Arial"/>
          <w:i/>
          <w:iCs/>
          <w:color w:val="000000" w:themeColor="text1"/>
          <w:sz w:val="22"/>
          <w:lang w:val="es-ES_tradnl"/>
        </w:rPr>
        <w:t>dos (2)</w:t>
      </w:r>
      <w:r w:rsidRPr="00A87091">
        <w:rPr>
          <w:rFonts w:ascii="Arial" w:eastAsia="Calibri" w:hAnsi="Arial" w:cs="Arial"/>
          <w:color w:val="000000" w:themeColor="text1"/>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A87091">
        <w:rPr>
          <w:rFonts w:ascii="Arial" w:eastAsia="Calibri" w:hAnsi="Arial" w:cs="Arial"/>
          <w:i/>
          <w:iCs/>
          <w:color w:val="000000" w:themeColor="text1"/>
          <w:sz w:val="22"/>
          <w:lang w:val="es-ES_tradnl"/>
        </w:rPr>
        <w:t>tres (3)</w:t>
      </w:r>
      <w:r w:rsidRPr="00A87091">
        <w:rPr>
          <w:rFonts w:ascii="Arial" w:eastAsia="Calibri" w:hAnsi="Arial" w:cs="Arial"/>
          <w:color w:val="000000" w:themeColor="text1"/>
          <w:sz w:val="22"/>
          <w:lang w:val="es-ES_tradnl"/>
        </w:rPr>
        <w:t xml:space="preserve"> mipymes, a más tardar un día hábil antes de la apertura del proceso de selección.</w:t>
      </w:r>
    </w:p>
    <w:p w14:paraId="64FAF72A" w14:textId="52FD95E1"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Entonces, puede afirmarse que, además del decaimiento del artículo 2.2.1.2.4.2.2. del Decreto 1082 de 2015, </w:t>
      </w:r>
      <w:r w:rsidR="00FF1F8D" w:rsidRPr="00A87091">
        <w:rPr>
          <w:rFonts w:ascii="Arial" w:eastAsia="Calibri" w:hAnsi="Arial" w:cs="Arial"/>
          <w:color w:val="000000" w:themeColor="text1"/>
          <w:sz w:val="22"/>
          <w:lang w:val="es-ES_tradnl"/>
        </w:rPr>
        <w:t xml:space="preserve">esta disposición </w:t>
      </w:r>
      <w:r w:rsidRPr="00A87091">
        <w:rPr>
          <w:rFonts w:ascii="Arial" w:eastAsia="Calibri" w:hAnsi="Arial" w:cs="Arial"/>
          <w:color w:val="000000" w:themeColor="text1"/>
          <w:sz w:val="22"/>
          <w:lang w:val="es-ES_tradnl"/>
        </w:rPr>
        <w:t>debe entenderse derogad</w:t>
      </w:r>
      <w:r w:rsidR="00FF1F8D" w:rsidRPr="00A87091">
        <w:rPr>
          <w:rFonts w:ascii="Arial" w:eastAsia="Calibri" w:hAnsi="Arial" w:cs="Arial"/>
          <w:color w:val="000000" w:themeColor="text1"/>
          <w:sz w:val="22"/>
          <w:lang w:val="es-ES_tradnl"/>
        </w:rPr>
        <w:t>a</w:t>
      </w:r>
      <w:r w:rsidRPr="00A87091">
        <w:rPr>
          <w:rFonts w:ascii="Arial" w:eastAsia="Calibri" w:hAnsi="Arial" w:cs="Arial"/>
          <w:color w:val="000000" w:themeColor="text1"/>
          <w:sz w:val="22"/>
          <w:lang w:val="es-ES_tradnl"/>
        </w:rPr>
        <w:t>.</w:t>
      </w:r>
    </w:p>
    <w:p w14:paraId="0AE8E3B2" w14:textId="77777777" w:rsidR="00DF1AB7" w:rsidRPr="00A87091" w:rsidRDefault="00DF1AB7" w:rsidP="00DF1AB7">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w:t>
      </w:r>
      <w:r w:rsidRPr="00A87091">
        <w:rPr>
          <w:rFonts w:ascii="Arial" w:eastAsia="Calibri" w:hAnsi="Arial" w:cs="Arial"/>
          <w:color w:val="000000" w:themeColor="text1"/>
          <w:sz w:val="22"/>
          <w:lang w:val="es-ES_tradnl"/>
        </w:rPr>
        <w:lastRenderedPageBreak/>
        <w:t xml:space="preserve">recursos públicos, no pueden adoptar convocatorias limitadas a mipymes, pues al tenor del artículo 34 de la Ley 2069 de 2020, la eficacia de esta norma quedó condicionada a la expedición del decreto reglamentario que fije las condiciones de su operatividad.    </w:t>
      </w:r>
    </w:p>
    <w:p w14:paraId="375E2969" w14:textId="2373EA8C" w:rsidR="002A7DF5" w:rsidRPr="00A87091" w:rsidRDefault="00E356C9" w:rsidP="00DF1AB7">
      <w:pPr>
        <w:tabs>
          <w:tab w:val="left" w:pos="709"/>
        </w:tabs>
        <w:spacing w:line="276" w:lineRule="auto"/>
        <w:jc w:val="both"/>
        <w:rPr>
          <w:rFonts w:ascii="Arial" w:eastAsia="Calibri" w:hAnsi="Arial" w:cs="Arial"/>
          <w:bCs/>
          <w:sz w:val="22"/>
        </w:rPr>
      </w:pPr>
      <w:r w:rsidRPr="00A87091">
        <w:rPr>
          <w:rFonts w:ascii="Arial" w:eastAsia="Calibri" w:hAnsi="Arial" w:cs="Arial"/>
          <w:bCs/>
          <w:sz w:val="22"/>
        </w:rPr>
        <w:t xml:space="preserve"> </w:t>
      </w:r>
    </w:p>
    <w:p w14:paraId="74FC8B99" w14:textId="78F558EE" w:rsidR="008F2837" w:rsidRPr="00A87091" w:rsidRDefault="008F2837" w:rsidP="008F2837">
      <w:pPr>
        <w:tabs>
          <w:tab w:val="left" w:pos="709"/>
        </w:tabs>
        <w:spacing w:line="276" w:lineRule="auto"/>
        <w:jc w:val="both"/>
        <w:rPr>
          <w:rFonts w:ascii="Arial" w:eastAsia="Calibri" w:hAnsi="Arial" w:cs="Arial"/>
          <w:b/>
          <w:i/>
          <w:iCs/>
          <w:sz w:val="22"/>
        </w:rPr>
      </w:pPr>
      <w:r w:rsidRPr="00A87091">
        <w:rPr>
          <w:rFonts w:ascii="Arial" w:eastAsia="Calibri" w:hAnsi="Arial" w:cs="Arial"/>
          <w:b/>
          <w:i/>
          <w:iCs/>
          <w:sz w:val="22"/>
        </w:rPr>
        <w:t>2.1.6. Factores de desempate</w:t>
      </w:r>
    </w:p>
    <w:p w14:paraId="7761A894" w14:textId="77777777" w:rsidR="008F2837" w:rsidRPr="00A87091" w:rsidRDefault="008F2837" w:rsidP="008F2837">
      <w:pPr>
        <w:tabs>
          <w:tab w:val="left" w:pos="709"/>
        </w:tabs>
        <w:spacing w:line="276" w:lineRule="auto"/>
        <w:jc w:val="both"/>
        <w:rPr>
          <w:rFonts w:ascii="Arial" w:eastAsia="Calibri" w:hAnsi="Arial" w:cs="Arial"/>
          <w:b/>
          <w:sz w:val="22"/>
        </w:rPr>
      </w:pPr>
    </w:p>
    <w:p w14:paraId="31FB4CDF" w14:textId="558DD011" w:rsidR="007A3166" w:rsidRPr="00A87091" w:rsidRDefault="008F2837" w:rsidP="0024750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E</w:t>
      </w:r>
      <w:r w:rsidR="00EC1912" w:rsidRPr="00A87091">
        <w:rPr>
          <w:rFonts w:ascii="Arial" w:eastAsia="Calibri" w:hAnsi="Arial" w:cs="Arial"/>
          <w:bCs/>
          <w:color w:val="000000" w:themeColor="text1"/>
          <w:sz w:val="22"/>
        </w:rPr>
        <w:t>l artículo 35 de la Ley 2069 de 2020 regula los factores de desempate</w:t>
      </w:r>
      <w:r w:rsidR="00EC1912" w:rsidRPr="00A87091">
        <w:rPr>
          <w:rStyle w:val="Refdenotaalpie"/>
          <w:rFonts w:ascii="Arial" w:eastAsia="Calibri" w:hAnsi="Arial" w:cs="Arial"/>
          <w:bCs/>
          <w:color w:val="000000" w:themeColor="text1"/>
          <w:sz w:val="22"/>
        </w:rPr>
        <w:footnoteReference w:id="11"/>
      </w:r>
      <w:r w:rsidR="00EC1912" w:rsidRPr="00A87091">
        <w:rPr>
          <w:rFonts w:ascii="Arial" w:eastAsia="Calibri" w:hAnsi="Arial" w:cs="Arial"/>
          <w:bCs/>
          <w:color w:val="000000" w:themeColor="text1"/>
          <w:sz w:val="22"/>
        </w:rPr>
        <w:t xml:space="preserve">. </w:t>
      </w:r>
      <w:r w:rsidR="00C0447F" w:rsidRPr="00A87091">
        <w:rPr>
          <w:rFonts w:ascii="Arial" w:eastAsia="Calibri" w:hAnsi="Arial" w:cs="Arial"/>
          <w:bCs/>
          <w:color w:val="000000" w:themeColor="text1"/>
          <w:sz w:val="22"/>
        </w:rPr>
        <w:t xml:space="preserve">Conforme a la norma citada, estos aplican en los procedimientos de selección de las entidades sometidas </w:t>
      </w:r>
      <w:r w:rsidR="00C0447F" w:rsidRPr="00A87091">
        <w:rPr>
          <w:rFonts w:ascii="Arial" w:eastAsia="Calibri" w:hAnsi="Arial" w:cs="Arial"/>
          <w:bCs/>
          <w:color w:val="000000" w:themeColor="text1"/>
          <w:sz w:val="22"/>
        </w:rPr>
        <w:lastRenderedPageBreak/>
        <w:t>al Estatuto General, las entidades exceptuadas de la Ley 80 de 1993 y los patrimonios autónomos</w:t>
      </w:r>
      <w:r w:rsidR="00943FB9" w:rsidRPr="00A87091">
        <w:rPr>
          <w:rFonts w:ascii="Arial" w:eastAsia="Calibri" w:hAnsi="Arial" w:cs="Arial"/>
          <w:bCs/>
          <w:color w:val="000000" w:themeColor="text1"/>
          <w:sz w:val="22"/>
        </w:rPr>
        <w:t xml:space="preserve"> constituidos por entidades estatales</w:t>
      </w:r>
      <w:r w:rsidR="00C0447F" w:rsidRPr="00A87091">
        <w:rPr>
          <w:rFonts w:ascii="Arial" w:eastAsia="Calibri" w:hAnsi="Arial" w:cs="Arial"/>
          <w:bCs/>
          <w:color w:val="000000" w:themeColor="text1"/>
          <w:sz w:val="22"/>
        </w:rPr>
        <w:t>. Incluso, al consagra</w:t>
      </w:r>
      <w:r w:rsidR="007A3166" w:rsidRPr="00A87091">
        <w:rPr>
          <w:rFonts w:ascii="Arial" w:eastAsia="Calibri" w:hAnsi="Arial" w:cs="Arial"/>
          <w:bCs/>
          <w:color w:val="000000" w:themeColor="text1"/>
          <w:sz w:val="22"/>
        </w:rPr>
        <w:t>rse</w:t>
      </w:r>
      <w:r w:rsidR="00C0447F" w:rsidRPr="00A87091">
        <w:rPr>
          <w:rFonts w:ascii="Arial" w:eastAsia="Calibri" w:hAnsi="Arial" w:cs="Arial"/>
          <w:bCs/>
          <w:color w:val="000000" w:themeColor="text1"/>
          <w:sz w:val="22"/>
        </w:rPr>
        <w:t xml:space="preserve"> en la ley, generan la derogación y decaimiento de los previstos en el artículo </w:t>
      </w:r>
      <w:r w:rsidR="00653401" w:rsidRPr="00A87091">
        <w:rPr>
          <w:rFonts w:ascii="Arial" w:eastAsia="Calibri" w:hAnsi="Arial" w:cs="Arial"/>
          <w:bCs/>
          <w:color w:val="000000" w:themeColor="text1"/>
          <w:sz w:val="22"/>
        </w:rPr>
        <w:t>2.2.1.1.2.2.9 del Decreto 1082 de 2015</w:t>
      </w:r>
      <w:r w:rsidR="00F21F84" w:rsidRPr="00A87091">
        <w:rPr>
          <w:rFonts w:ascii="Arial" w:eastAsia="Calibri" w:hAnsi="Arial" w:cs="Arial"/>
          <w:bCs/>
          <w:color w:val="000000" w:themeColor="text1"/>
          <w:sz w:val="22"/>
        </w:rPr>
        <w:t>, pues se trata de una norma superior y posterior que genera la pérdida de los fundamentos de derecho en los previstos en el Decreto Único Reglamentario del Sector Administrativo de Planeación Nacional</w:t>
      </w:r>
      <w:r w:rsidR="00653401" w:rsidRPr="00A87091">
        <w:rPr>
          <w:rFonts w:ascii="Arial" w:eastAsia="Calibri" w:hAnsi="Arial" w:cs="Arial"/>
          <w:bCs/>
          <w:color w:val="000000" w:themeColor="text1"/>
          <w:sz w:val="22"/>
        </w:rPr>
        <w:t xml:space="preserve">. </w:t>
      </w:r>
      <w:r w:rsidR="00C0447F" w:rsidRPr="00A87091">
        <w:rPr>
          <w:rFonts w:ascii="Arial" w:eastAsia="Calibri" w:hAnsi="Arial" w:cs="Arial"/>
          <w:bCs/>
          <w:color w:val="000000" w:themeColor="text1"/>
          <w:sz w:val="22"/>
        </w:rPr>
        <w:t xml:space="preserve"> </w:t>
      </w:r>
    </w:p>
    <w:p w14:paraId="20F97169" w14:textId="71E4EFF5" w:rsidR="007A3166" w:rsidRPr="00A87091" w:rsidRDefault="00577D24" w:rsidP="007A3166">
      <w:pPr>
        <w:spacing w:before="120" w:line="276" w:lineRule="auto"/>
        <w:ind w:firstLine="708"/>
        <w:jc w:val="both"/>
        <w:rPr>
          <w:rFonts w:ascii="Arial" w:eastAsia="Calibri" w:hAnsi="Arial" w:cs="Arial"/>
          <w:sz w:val="22"/>
          <w:lang w:val="es-ES_tradnl"/>
        </w:rPr>
      </w:pPr>
      <w:r w:rsidRPr="00A87091">
        <w:rPr>
          <w:rFonts w:ascii="Arial" w:eastAsia="Calibri" w:hAnsi="Arial" w:cs="Arial"/>
          <w:bCs/>
          <w:color w:val="000000" w:themeColor="text1"/>
          <w:sz w:val="22"/>
        </w:rPr>
        <w:t>Aunque</w:t>
      </w:r>
      <w:r w:rsidR="007A3166" w:rsidRPr="00A87091">
        <w:rPr>
          <w:rFonts w:ascii="Arial" w:eastAsia="Calibri" w:hAnsi="Arial" w:cs="Arial"/>
          <w:bCs/>
          <w:color w:val="000000" w:themeColor="text1"/>
          <w:sz w:val="22"/>
        </w:rPr>
        <w:t xml:space="preserve"> algunas normas</w:t>
      </w:r>
      <w:r w:rsidR="00EC67CA" w:rsidRPr="00A87091">
        <w:rPr>
          <w:rFonts w:ascii="Arial" w:eastAsia="Calibri" w:hAnsi="Arial" w:cs="Arial"/>
          <w:bCs/>
          <w:color w:val="000000" w:themeColor="text1"/>
          <w:sz w:val="22"/>
        </w:rPr>
        <w:t xml:space="preserve"> de la Ley de Emprendimiento</w:t>
      </w:r>
      <w:r w:rsidR="007A3166" w:rsidRPr="00A87091">
        <w:rPr>
          <w:rFonts w:ascii="Arial" w:eastAsia="Calibri" w:hAnsi="Arial" w:cs="Arial"/>
          <w:bCs/>
          <w:color w:val="000000" w:themeColor="text1"/>
          <w:sz w:val="22"/>
        </w:rPr>
        <w:t xml:space="preserve"> </w:t>
      </w:r>
      <w:r w:rsidR="00EC67CA" w:rsidRPr="00A87091">
        <w:rPr>
          <w:rFonts w:ascii="Arial" w:eastAsia="Calibri" w:hAnsi="Arial" w:cs="Arial"/>
          <w:bCs/>
          <w:color w:val="000000" w:themeColor="text1"/>
          <w:sz w:val="22"/>
        </w:rPr>
        <w:t>aluden a</w:t>
      </w:r>
      <w:r w:rsidR="007A3166" w:rsidRPr="00A87091">
        <w:rPr>
          <w:rFonts w:ascii="Arial" w:eastAsia="Calibri" w:hAnsi="Arial" w:cs="Arial"/>
          <w:bCs/>
          <w:color w:val="000000" w:themeColor="text1"/>
          <w:sz w:val="22"/>
        </w:rPr>
        <w:t xml:space="preserve"> la reglamentación posterior, </w:t>
      </w:r>
      <w:r w:rsidR="00245C98" w:rsidRPr="00A87091">
        <w:rPr>
          <w:rFonts w:ascii="Arial" w:eastAsia="Calibri" w:hAnsi="Arial" w:cs="Arial"/>
          <w:color w:val="000000" w:themeColor="text1"/>
          <w:sz w:val="22"/>
          <w:lang w:val="es-ES_tradnl"/>
        </w:rPr>
        <w:t>esta no condiciona la vigencia</w:t>
      </w:r>
      <w:r w:rsidR="007A3166" w:rsidRPr="00A87091">
        <w:rPr>
          <w:rFonts w:ascii="Arial" w:eastAsia="Calibri" w:hAnsi="Arial" w:cs="Arial"/>
          <w:color w:val="000000" w:themeColor="text1"/>
          <w:sz w:val="22"/>
          <w:lang w:val="es-ES_tradnl"/>
        </w:rPr>
        <w:t xml:space="preserve"> </w:t>
      </w:r>
      <w:r w:rsidR="00245C98" w:rsidRPr="00A87091">
        <w:rPr>
          <w:rFonts w:ascii="Arial" w:eastAsia="Calibri" w:hAnsi="Arial" w:cs="Arial"/>
          <w:color w:val="000000" w:themeColor="text1"/>
          <w:sz w:val="22"/>
          <w:lang w:val="es-ES_tradnl"/>
        </w:rPr>
        <w:t>d</w:t>
      </w:r>
      <w:r w:rsidR="007A3166" w:rsidRPr="00A87091">
        <w:rPr>
          <w:rFonts w:ascii="Arial" w:eastAsia="Calibri" w:hAnsi="Arial" w:cs="Arial"/>
          <w:color w:val="000000" w:themeColor="text1"/>
          <w:sz w:val="22"/>
          <w:lang w:val="es-ES_tradnl"/>
        </w:rPr>
        <w:t xml:space="preserve">el artículo 35. </w:t>
      </w:r>
      <w:r w:rsidR="007A3166" w:rsidRPr="00A87091">
        <w:rPr>
          <w:rFonts w:ascii="Arial" w:eastAsia="Calibri" w:hAnsi="Arial" w:cs="Arial"/>
          <w:sz w:val="22"/>
          <w:lang w:val="es-ES_tradnl"/>
        </w:rPr>
        <w:t xml:space="preserve">En efecto, </w:t>
      </w:r>
      <w:r w:rsidR="007A3166" w:rsidRPr="00A87091">
        <w:rPr>
          <w:rFonts w:ascii="Arial" w:hAnsi="Arial" w:cs="Arial"/>
          <w:color w:val="000000" w:themeColor="text1"/>
          <w:sz w:val="22"/>
          <w:lang w:val="es-ES_tradnl"/>
        </w:rPr>
        <w:t>si bien los factores de desempate deben aplicarse «</w:t>
      </w:r>
      <w:r w:rsidR="007A3166" w:rsidRPr="00A87091">
        <w:rPr>
          <w:rFonts w:ascii="Arial" w:hAnsi="Arial" w:cs="Arial"/>
          <w:lang w:val="es-ES_tradnl"/>
        </w:rPr>
        <w:t xml:space="preserve">[…] </w:t>
      </w:r>
      <w:r w:rsidR="007A3166" w:rsidRPr="00A87091">
        <w:rPr>
          <w:rFonts w:ascii="Arial" w:hAnsi="Arial" w:cs="Arial"/>
          <w:color w:val="000000" w:themeColor="text1"/>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7A3166" w:rsidRPr="00A87091">
        <w:rPr>
          <w:rFonts w:ascii="Arial" w:eastAsia="Calibri" w:hAnsi="Arial" w:cs="Arial"/>
          <w:color w:val="000000" w:themeColor="text1"/>
          <w:sz w:val="22"/>
          <w:lang w:val="es-ES_tradnl"/>
        </w:rPr>
        <w:t xml:space="preserve"> </w:t>
      </w:r>
    </w:p>
    <w:p w14:paraId="1C808936" w14:textId="04EB9906" w:rsidR="007A3166" w:rsidRPr="00A87091" w:rsidRDefault="007A3166" w:rsidP="004D2625">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 xml:space="preserve">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w:t>
      </w:r>
      <w:r w:rsidRPr="00A87091">
        <w:rPr>
          <w:rFonts w:ascii="Arial" w:eastAsia="Calibri" w:hAnsi="Arial" w:cs="Arial"/>
          <w:color w:val="000000" w:themeColor="text1"/>
          <w:sz w:val="22"/>
          <w:lang w:val="es-ES_tradnl"/>
        </w:rPr>
        <w:lastRenderedPageBreak/>
        <w:t>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r w:rsidR="004D2625" w:rsidRPr="00A87091">
        <w:rPr>
          <w:rFonts w:ascii="Arial" w:eastAsia="Calibri" w:hAnsi="Arial" w:cs="Arial"/>
          <w:color w:val="000000" w:themeColor="text1"/>
          <w:sz w:val="22"/>
          <w:lang w:val="es-ES_tradnl"/>
        </w:rPr>
        <w:t>, incluidos aquellos que se rijan por los documentos tipo de licitación para obra pública de agua potable y saneamiento básico</w:t>
      </w:r>
      <w:r w:rsidRPr="00A87091">
        <w:rPr>
          <w:rFonts w:ascii="Arial" w:eastAsia="Calibri" w:hAnsi="Arial" w:cs="Arial"/>
          <w:color w:val="000000" w:themeColor="text1"/>
          <w:sz w:val="22"/>
          <w:lang w:val="es-ES_tradnl"/>
        </w:rPr>
        <w:t>.</w:t>
      </w:r>
    </w:p>
    <w:p w14:paraId="47707A13" w14:textId="77777777" w:rsidR="008F2837" w:rsidRPr="00A87091" w:rsidRDefault="008F2837" w:rsidP="008F2837">
      <w:pPr>
        <w:spacing w:line="276" w:lineRule="auto"/>
        <w:ind w:firstLine="709"/>
        <w:jc w:val="both"/>
        <w:rPr>
          <w:rFonts w:ascii="Arial" w:eastAsia="Calibri" w:hAnsi="Arial" w:cs="Arial"/>
          <w:color w:val="000000" w:themeColor="text1"/>
          <w:sz w:val="22"/>
          <w:lang w:val="es-ES_tradnl"/>
        </w:rPr>
      </w:pPr>
    </w:p>
    <w:p w14:paraId="442ED2BB" w14:textId="5F9FAE14" w:rsidR="008F2837" w:rsidRPr="00A87091" w:rsidRDefault="008F2837" w:rsidP="008F2837">
      <w:pPr>
        <w:spacing w:line="276" w:lineRule="auto"/>
        <w:jc w:val="both"/>
        <w:rPr>
          <w:rFonts w:ascii="Arial" w:eastAsia="Calibri" w:hAnsi="Arial" w:cs="Arial"/>
          <w:b/>
          <w:bCs/>
          <w:i/>
          <w:iCs/>
          <w:color w:val="000000" w:themeColor="text1"/>
          <w:sz w:val="22"/>
          <w:lang w:val="es-ES_tradnl"/>
        </w:rPr>
      </w:pPr>
      <w:r w:rsidRPr="00A87091">
        <w:rPr>
          <w:rFonts w:ascii="Arial" w:eastAsia="Calibri" w:hAnsi="Arial" w:cs="Arial"/>
          <w:b/>
          <w:bCs/>
          <w:i/>
          <w:iCs/>
          <w:color w:val="000000" w:themeColor="text1"/>
          <w:sz w:val="22"/>
          <w:lang w:val="es-ES_tradnl"/>
        </w:rPr>
        <w:t>3.1.7. Promoción de las compras públicas de tecnología e innovación</w:t>
      </w:r>
    </w:p>
    <w:p w14:paraId="0BE6273C" w14:textId="77777777" w:rsidR="008F2837" w:rsidRPr="00A87091" w:rsidRDefault="008F2837" w:rsidP="008F2837">
      <w:pPr>
        <w:spacing w:line="276" w:lineRule="auto"/>
        <w:jc w:val="both"/>
        <w:rPr>
          <w:rFonts w:ascii="Arial" w:eastAsia="Calibri" w:hAnsi="Arial" w:cs="Arial"/>
          <w:b/>
          <w:bCs/>
          <w:color w:val="000000" w:themeColor="text1"/>
          <w:sz w:val="22"/>
          <w:lang w:val="es-ES_tradnl"/>
        </w:rPr>
      </w:pPr>
    </w:p>
    <w:p w14:paraId="627FEA2E" w14:textId="5505A51B" w:rsidR="004774F6" w:rsidRPr="00A87091" w:rsidRDefault="008F2837" w:rsidP="00943FB9">
      <w:pPr>
        <w:spacing w:line="276" w:lineRule="auto"/>
        <w:jc w:val="both"/>
        <w:rPr>
          <w:rFonts w:ascii="Arial" w:eastAsia="Calibri" w:hAnsi="Arial" w:cs="Arial"/>
          <w:color w:val="000000" w:themeColor="text1"/>
          <w:sz w:val="22"/>
          <w:lang w:val="es-ES_tradnl"/>
        </w:rPr>
      </w:pPr>
      <w:r w:rsidRPr="00A87091">
        <w:rPr>
          <w:rFonts w:ascii="Arial" w:eastAsia="Calibri" w:hAnsi="Arial" w:cs="Arial"/>
          <w:color w:val="000000" w:themeColor="text1"/>
          <w:sz w:val="22"/>
          <w:lang w:val="es-ES_tradnl"/>
        </w:rPr>
        <w:t>E</w:t>
      </w:r>
      <w:r w:rsidR="00EC67CA" w:rsidRPr="00A87091">
        <w:rPr>
          <w:rFonts w:ascii="Arial" w:eastAsia="Calibri" w:hAnsi="Arial" w:cs="Arial"/>
          <w:color w:val="000000" w:themeColor="text1"/>
          <w:sz w:val="22"/>
          <w:lang w:val="es-ES_tradnl"/>
        </w:rPr>
        <w:t xml:space="preserve">l </w:t>
      </w:r>
      <w:r w:rsidR="00984BD3" w:rsidRPr="00A87091">
        <w:rPr>
          <w:rFonts w:ascii="Arial" w:eastAsia="Calibri" w:hAnsi="Arial" w:cs="Arial"/>
          <w:color w:val="000000" w:themeColor="text1"/>
          <w:sz w:val="22"/>
          <w:lang w:val="es-ES_tradnl"/>
        </w:rPr>
        <w:t xml:space="preserve">inciso primero del </w:t>
      </w:r>
      <w:r w:rsidR="00EC67CA" w:rsidRPr="00A87091">
        <w:rPr>
          <w:rFonts w:ascii="Arial" w:eastAsia="Calibri" w:hAnsi="Arial" w:cs="Arial"/>
          <w:color w:val="000000" w:themeColor="text1"/>
          <w:sz w:val="22"/>
          <w:lang w:val="es-ES_tradnl"/>
        </w:rPr>
        <w:t xml:space="preserve">artículo 36 de la </w:t>
      </w:r>
      <w:bookmarkStart w:id="20" w:name="_Hlk63848395"/>
      <w:r w:rsidR="00EC67CA" w:rsidRPr="00A87091">
        <w:rPr>
          <w:rFonts w:ascii="Arial" w:eastAsia="Calibri" w:hAnsi="Arial" w:cs="Arial"/>
          <w:color w:val="000000" w:themeColor="text1"/>
          <w:sz w:val="22"/>
          <w:lang w:val="es-ES_tradnl"/>
        </w:rPr>
        <w:t>Ley 2069 de 2020</w:t>
      </w:r>
      <w:bookmarkEnd w:id="20"/>
      <w:r w:rsidR="006A2DDA" w:rsidRPr="00A87091">
        <w:rPr>
          <w:rFonts w:ascii="Arial" w:eastAsia="Calibri" w:hAnsi="Arial" w:cs="Arial"/>
          <w:color w:val="000000" w:themeColor="text1"/>
          <w:sz w:val="22"/>
          <w:lang w:val="es-ES_tradnl"/>
        </w:rPr>
        <w:t xml:space="preserve"> </w:t>
      </w:r>
      <w:r w:rsidR="00477FF1" w:rsidRPr="00A87091">
        <w:rPr>
          <w:rFonts w:ascii="Arial" w:eastAsia="Calibri" w:hAnsi="Arial" w:cs="Arial"/>
          <w:color w:val="000000" w:themeColor="text1"/>
          <w:sz w:val="22"/>
          <w:lang w:val="es-ES_tradnl"/>
        </w:rPr>
        <w:t>dispone que «Las entidades estatales, de acuerdo con los lineamientos que establezca la Agencia Nacional de Contratación Pública</w:t>
      </w:r>
      <w:r w:rsidR="004D2625" w:rsidRPr="00A87091">
        <w:rPr>
          <w:rFonts w:ascii="Arial" w:eastAsia="Calibri" w:hAnsi="Arial" w:cs="Arial"/>
          <w:color w:val="000000" w:themeColor="text1"/>
          <w:sz w:val="22"/>
          <w:lang w:val="es-ES_tradnl"/>
        </w:rPr>
        <w:t xml:space="preserve"> – </w:t>
      </w:r>
      <w:r w:rsidR="00477FF1" w:rsidRPr="00A87091">
        <w:rPr>
          <w:rFonts w:ascii="Arial" w:eastAsia="Calibri" w:hAnsi="Arial" w:cs="Arial"/>
          <w:color w:val="000000" w:themeColor="text1"/>
          <w:sz w:val="22"/>
          <w:lang w:val="es-ES_tradnl"/>
        </w:rPr>
        <w:t>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r w:rsidR="00984BD3" w:rsidRPr="00A87091">
        <w:rPr>
          <w:rFonts w:ascii="Arial" w:eastAsia="Calibri" w:hAnsi="Arial" w:cs="Arial"/>
          <w:color w:val="000000" w:themeColor="text1"/>
          <w:sz w:val="22"/>
          <w:lang w:val="es-ES_tradnl"/>
        </w:rPr>
        <w:t xml:space="preserve"> </w:t>
      </w:r>
      <w:r w:rsidR="00943FB9" w:rsidRPr="00A87091">
        <w:rPr>
          <w:rFonts w:ascii="Arial" w:eastAsia="Calibri" w:hAnsi="Arial" w:cs="Arial"/>
          <w:color w:val="000000" w:themeColor="text1"/>
          <w:sz w:val="22"/>
          <w:lang w:val="es-ES_tradnl"/>
        </w:rPr>
        <w:t>E</w:t>
      </w:r>
      <w:r w:rsidR="00477FF1" w:rsidRPr="00A87091">
        <w:rPr>
          <w:rFonts w:ascii="Arial" w:eastAsia="Calibri" w:hAnsi="Arial" w:cs="Arial"/>
          <w:color w:val="000000" w:themeColor="text1"/>
          <w:sz w:val="22"/>
          <w:lang w:val="es-ES_tradnl"/>
        </w:rPr>
        <w:t xml:space="preserve">n este caso se observa nuevamente que la promoción de compras públicas de tecnología e innovación es </w:t>
      </w:r>
      <w:r w:rsidR="00984BD3" w:rsidRPr="00A87091">
        <w:rPr>
          <w:rFonts w:ascii="Arial" w:eastAsia="Calibri" w:hAnsi="Arial" w:cs="Arial"/>
          <w:color w:val="000000" w:themeColor="text1"/>
          <w:sz w:val="22"/>
          <w:lang w:val="es-ES_tradnl"/>
        </w:rPr>
        <w:t xml:space="preserve">un </w:t>
      </w:r>
      <w:r w:rsidR="00477FF1" w:rsidRPr="00A87091">
        <w:rPr>
          <w:rFonts w:ascii="Arial" w:eastAsia="Calibri" w:hAnsi="Arial" w:cs="Arial"/>
          <w:color w:val="000000" w:themeColor="text1"/>
          <w:sz w:val="22"/>
          <w:lang w:val="es-ES_tradnl"/>
        </w:rPr>
        <w:t xml:space="preserve">deber cuyo cumplimiento se sujeta tanto a la reglamentación de la materia </w:t>
      </w:r>
      <w:r w:rsidR="00984BD3" w:rsidRPr="00A87091">
        <w:rPr>
          <w:rFonts w:ascii="Arial" w:eastAsia="Calibri" w:hAnsi="Arial" w:cs="Arial"/>
          <w:color w:val="000000" w:themeColor="text1"/>
          <w:sz w:val="22"/>
          <w:lang w:val="es-ES_tradnl"/>
        </w:rPr>
        <w:t>como a los lineamientos de esta Agencia</w:t>
      </w:r>
      <w:r w:rsidR="0061104C" w:rsidRPr="00A87091">
        <w:rPr>
          <w:rFonts w:ascii="Arial" w:eastAsia="Calibri" w:hAnsi="Arial" w:cs="Arial"/>
          <w:color w:val="000000" w:themeColor="text1"/>
          <w:sz w:val="22"/>
          <w:lang w:val="es-ES_tradnl"/>
        </w:rPr>
        <w:t xml:space="preserve">, razón por </w:t>
      </w:r>
      <w:r w:rsidR="004774F6" w:rsidRPr="00A87091">
        <w:rPr>
          <w:rFonts w:ascii="Arial" w:eastAsia="Calibri" w:hAnsi="Arial" w:cs="Arial"/>
          <w:color w:val="000000" w:themeColor="text1"/>
          <w:sz w:val="22"/>
          <w:lang w:val="es-ES_tradnl"/>
        </w:rPr>
        <w:t>que</w:t>
      </w:r>
      <w:r w:rsidR="0061104C" w:rsidRPr="00A87091">
        <w:rPr>
          <w:rFonts w:ascii="Arial" w:eastAsia="Calibri" w:hAnsi="Arial" w:cs="Arial"/>
          <w:color w:val="000000" w:themeColor="text1"/>
          <w:sz w:val="22"/>
          <w:lang w:val="es-ES_tradnl"/>
        </w:rPr>
        <w:t xml:space="preserve"> requieren un desarrollo normativo posterior</w:t>
      </w:r>
      <w:r w:rsidR="00984BD3" w:rsidRPr="00A87091">
        <w:rPr>
          <w:rFonts w:ascii="Arial" w:eastAsia="Calibri" w:hAnsi="Arial" w:cs="Arial"/>
          <w:color w:val="000000" w:themeColor="text1"/>
          <w:sz w:val="22"/>
          <w:lang w:val="es-ES_tradnl"/>
        </w:rPr>
        <w:t>.</w:t>
      </w:r>
    </w:p>
    <w:p w14:paraId="4DDD6EBB" w14:textId="76D68389" w:rsidR="004774F6" w:rsidRPr="00A87091" w:rsidRDefault="004774F6" w:rsidP="004774F6">
      <w:pPr>
        <w:spacing w:before="120" w:line="276" w:lineRule="auto"/>
        <w:ind w:firstLine="709"/>
        <w:jc w:val="both"/>
        <w:rPr>
          <w:rFonts w:ascii="Arial" w:eastAsia="Calibri" w:hAnsi="Arial" w:cs="Arial"/>
          <w:color w:val="000000" w:themeColor="text1"/>
          <w:sz w:val="22"/>
          <w:lang w:val="es-ES_tradnl"/>
        </w:rPr>
      </w:pPr>
      <w:r w:rsidRPr="00A87091">
        <w:rPr>
          <w:rFonts w:ascii="Arial" w:eastAsia="Calibri" w:hAnsi="Arial" w:cs="Arial"/>
          <w:i/>
          <w:iCs/>
          <w:color w:val="000000" w:themeColor="text1"/>
          <w:sz w:val="22"/>
          <w:lang w:val="es-ES_tradnl"/>
        </w:rPr>
        <w:t>En resumen</w:t>
      </w:r>
      <w:r w:rsidRPr="00A87091">
        <w:rPr>
          <w:rFonts w:ascii="Arial" w:eastAsia="Calibri" w:hAnsi="Arial" w:cs="Arial"/>
          <w:color w:val="000000" w:themeColor="text1"/>
          <w:sz w:val="22"/>
          <w:lang w:val="es-ES_tradnl"/>
        </w:rPr>
        <w:t xml:space="preserve">, los artículos 31, 32, 34 y 36 de la Ley 2069 de 2020 aluden a la necesidad </w:t>
      </w:r>
      <w:r w:rsidR="00264348" w:rsidRPr="00A87091">
        <w:rPr>
          <w:rFonts w:ascii="Arial" w:eastAsia="Calibri" w:hAnsi="Arial" w:cs="Arial"/>
          <w:color w:val="000000" w:themeColor="text1"/>
          <w:sz w:val="22"/>
          <w:lang w:val="es-ES_tradnl"/>
        </w:rPr>
        <w:t xml:space="preserve">de expedir normas complementarias, mientras que los artículos </w:t>
      </w:r>
      <w:r w:rsidR="00023000" w:rsidRPr="00A87091">
        <w:rPr>
          <w:rFonts w:ascii="Arial" w:eastAsia="Calibri" w:hAnsi="Arial" w:cs="Arial"/>
          <w:color w:val="000000" w:themeColor="text1"/>
          <w:sz w:val="22"/>
          <w:lang w:val="es-ES_tradnl"/>
        </w:rPr>
        <w:t xml:space="preserve">30, </w:t>
      </w:r>
      <w:r w:rsidR="00264348" w:rsidRPr="00A87091">
        <w:rPr>
          <w:rFonts w:ascii="Arial" w:eastAsia="Calibri" w:hAnsi="Arial" w:cs="Arial"/>
          <w:color w:val="000000" w:themeColor="text1"/>
          <w:sz w:val="22"/>
          <w:lang w:val="es-ES_tradnl"/>
        </w:rPr>
        <w:t xml:space="preserve">33 y 35 –sin perjuicio del ejercicio eventual de la competencia prevista en el artículo 189.11 superior– son de aplicación directa. Por tanto, corresponde analizar si la reglamentación del primer grupo de normas anteriormente mencionado condiciona o no su entrada en vigencia. Este tema se abordará en el siguiente acápite.  </w:t>
      </w:r>
      <w:r w:rsidR="00984BD3" w:rsidRPr="00A87091">
        <w:rPr>
          <w:rFonts w:ascii="Arial" w:eastAsia="Calibri" w:hAnsi="Arial" w:cs="Arial"/>
          <w:color w:val="000000" w:themeColor="text1"/>
          <w:sz w:val="22"/>
          <w:lang w:val="es-ES_tradnl"/>
        </w:rPr>
        <w:t xml:space="preserve"> </w:t>
      </w:r>
    </w:p>
    <w:p w14:paraId="5FED13E0" w14:textId="77777777" w:rsidR="00911EA3" w:rsidRPr="00A87091" w:rsidRDefault="00911EA3" w:rsidP="000D6C6D">
      <w:pPr>
        <w:tabs>
          <w:tab w:val="left" w:pos="709"/>
        </w:tabs>
        <w:spacing w:line="276" w:lineRule="auto"/>
        <w:jc w:val="both"/>
        <w:rPr>
          <w:rFonts w:ascii="Arial" w:eastAsia="Calibri" w:hAnsi="Arial" w:cs="Arial"/>
          <w:bCs/>
          <w:color w:val="000000" w:themeColor="text1"/>
          <w:sz w:val="22"/>
        </w:rPr>
      </w:pPr>
    </w:p>
    <w:p w14:paraId="6CE68610" w14:textId="2BD8A3B4" w:rsidR="000D6C6D" w:rsidRPr="00A87091" w:rsidRDefault="000D6C6D" w:rsidP="005000FC">
      <w:pPr>
        <w:tabs>
          <w:tab w:val="left" w:pos="709"/>
        </w:tabs>
        <w:spacing w:line="276" w:lineRule="auto"/>
        <w:jc w:val="both"/>
        <w:rPr>
          <w:rFonts w:ascii="Arial" w:eastAsia="Calibri" w:hAnsi="Arial" w:cs="Arial"/>
          <w:b/>
          <w:color w:val="000000" w:themeColor="text1"/>
          <w:sz w:val="22"/>
        </w:rPr>
      </w:pPr>
      <w:r w:rsidRPr="00A87091">
        <w:rPr>
          <w:rFonts w:ascii="Arial" w:eastAsia="Calibri" w:hAnsi="Arial" w:cs="Arial"/>
          <w:b/>
          <w:color w:val="000000" w:themeColor="text1"/>
          <w:sz w:val="22"/>
        </w:rPr>
        <w:t xml:space="preserve">2.2. </w:t>
      </w:r>
      <w:r w:rsidR="004774F6" w:rsidRPr="00A87091">
        <w:rPr>
          <w:rFonts w:ascii="Arial" w:eastAsia="Calibri" w:hAnsi="Arial" w:cs="Arial"/>
          <w:b/>
          <w:color w:val="000000" w:themeColor="text1"/>
          <w:sz w:val="22"/>
        </w:rPr>
        <w:t>I</w:t>
      </w:r>
      <w:r w:rsidRPr="00A87091">
        <w:rPr>
          <w:rFonts w:ascii="Arial" w:eastAsia="Calibri" w:hAnsi="Arial" w:cs="Arial"/>
          <w:b/>
          <w:color w:val="000000" w:themeColor="text1"/>
          <w:sz w:val="22"/>
        </w:rPr>
        <w:t>ntervención necesaria del reglamento</w:t>
      </w:r>
      <w:r w:rsidR="00EC52AE" w:rsidRPr="00A87091">
        <w:rPr>
          <w:rFonts w:ascii="Arial" w:eastAsia="Calibri" w:hAnsi="Arial" w:cs="Arial"/>
          <w:b/>
          <w:color w:val="000000" w:themeColor="text1"/>
          <w:sz w:val="22"/>
        </w:rPr>
        <w:t xml:space="preserve"> para </w:t>
      </w:r>
      <w:r w:rsidR="004774F6" w:rsidRPr="00A87091">
        <w:rPr>
          <w:rFonts w:ascii="Arial" w:eastAsia="Calibri" w:hAnsi="Arial" w:cs="Arial"/>
          <w:b/>
          <w:color w:val="000000" w:themeColor="text1"/>
          <w:sz w:val="22"/>
        </w:rPr>
        <w:t>la</w:t>
      </w:r>
      <w:r w:rsidR="00EC52AE" w:rsidRPr="00A87091">
        <w:rPr>
          <w:rFonts w:ascii="Arial" w:eastAsia="Calibri" w:hAnsi="Arial" w:cs="Arial"/>
          <w:b/>
          <w:color w:val="000000" w:themeColor="text1"/>
          <w:sz w:val="22"/>
        </w:rPr>
        <w:t xml:space="preserve"> efectividad</w:t>
      </w:r>
      <w:r w:rsidR="004774F6" w:rsidRPr="00A87091">
        <w:rPr>
          <w:rFonts w:ascii="Arial" w:eastAsia="Calibri" w:hAnsi="Arial" w:cs="Arial"/>
          <w:b/>
          <w:color w:val="000000" w:themeColor="text1"/>
          <w:sz w:val="22"/>
        </w:rPr>
        <w:t xml:space="preserve"> de la Ley 2069 de 2020 </w:t>
      </w:r>
      <w:r w:rsidR="004855A3" w:rsidRPr="00A87091">
        <w:rPr>
          <w:rFonts w:ascii="Arial" w:eastAsia="Calibri" w:hAnsi="Arial" w:cs="Arial"/>
          <w:b/>
          <w:color w:val="000000" w:themeColor="text1"/>
          <w:sz w:val="22"/>
        </w:rPr>
        <w:t xml:space="preserve">en el </w:t>
      </w:r>
      <w:bookmarkStart w:id="21" w:name="_Hlk63693402"/>
      <w:r w:rsidR="004855A3" w:rsidRPr="00A87091">
        <w:rPr>
          <w:rFonts w:ascii="Arial" w:eastAsia="Calibri" w:hAnsi="Arial" w:cs="Arial"/>
          <w:b/>
          <w:color w:val="000000" w:themeColor="text1"/>
          <w:sz w:val="22"/>
        </w:rPr>
        <w:t>sistema de compras pública</w:t>
      </w:r>
      <w:bookmarkEnd w:id="21"/>
      <w:r w:rsidR="004855A3" w:rsidRPr="00A87091">
        <w:rPr>
          <w:rFonts w:ascii="Arial" w:eastAsia="Calibri" w:hAnsi="Arial" w:cs="Arial"/>
          <w:b/>
          <w:color w:val="000000" w:themeColor="text1"/>
          <w:sz w:val="22"/>
        </w:rPr>
        <w:t>s</w:t>
      </w:r>
    </w:p>
    <w:p w14:paraId="5D4D2A29" w14:textId="77777777" w:rsidR="005000FC" w:rsidRPr="00A87091" w:rsidRDefault="005000FC" w:rsidP="005000FC">
      <w:pPr>
        <w:tabs>
          <w:tab w:val="left" w:pos="709"/>
        </w:tabs>
        <w:spacing w:line="276" w:lineRule="auto"/>
        <w:jc w:val="both"/>
        <w:rPr>
          <w:rFonts w:ascii="Arial" w:eastAsia="Calibri" w:hAnsi="Arial" w:cs="Arial"/>
          <w:bCs/>
          <w:color w:val="000000" w:themeColor="text1"/>
          <w:sz w:val="22"/>
        </w:rPr>
      </w:pPr>
    </w:p>
    <w:p w14:paraId="3A896D62" w14:textId="36A485A9" w:rsidR="000C5D09" w:rsidRPr="00A87091" w:rsidRDefault="004855A3" w:rsidP="008B66F0">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color w:val="000000" w:themeColor="text1"/>
          <w:sz w:val="22"/>
          <w:lang w:val="es-ES_tradnl"/>
        </w:rPr>
        <w:t>Entre otros aspectos, l</w:t>
      </w:r>
      <w:r w:rsidR="00264348" w:rsidRPr="00A87091">
        <w:rPr>
          <w:rFonts w:ascii="Arial" w:eastAsia="Calibri" w:hAnsi="Arial" w:cs="Arial"/>
          <w:color w:val="000000" w:themeColor="text1"/>
          <w:sz w:val="22"/>
          <w:lang w:val="es-ES_tradnl"/>
        </w:rPr>
        <w:t>os artículos 31, 32, 34 y 36 de la Ley 2069 de 2020</w:t>
      </w:r>
      <w:r w:rsidR="00B85AB7" w:rsidRPr="00A87091">
        <w:rPr>
          <w:rFonts w:ascii="Arial" w:eastAsia="Calibri" w:hAnsi="Arial" w:cs="Arial"/>
          <w:bCs/>
          <w:color w:val="000000" w:themeColor="text1"/>
          <w:sz w:val="22"/>
        </w:rPr>
        <w:t xml:space="preserve"> dispone</w:t>
      </w:r>
      <w:r w:rsidR="00264348" w:rsidRPr="00A87091">
        <w:rPr>
          <w:rFonts w:ascii="Arial" w:eastAsia="Calibri" w:hAnsi="Arial" w:cs="Arial"/>
          <w:bCs/>
          <w:color w:val="000000" w:themeColor="text1"/>
          <w:sz w:val="22"/>
        </w:rPr>
        <w:t>n</w:t>
      </w:r>
      <w:r w:rsidR="00B85AB7" w:rsidRPr="00A87091">
        <w:rPr>
          <w:rFonts w:ascii="Arial" w:eastAsia="Calibri" w:hAnsi="Arial" w:cs="Arial"/>
          <w:bCs/>
          <w:color w:val="000000" w:themeColor="text1"/>
          <w:sz w:val="22"/>
        </w:rPr>
        <w:t xml:space="preserve"> que el </w:t>
      </w:r>
      <w:r w:rsidR="00D7248C" w:rsidRPr="00A87091">
        <w:rPr>
          <w:rFonts w:ascii="Arial" w:eastAsia="Calibri" w:hAnsi="Arial" w:cs="Arial"/>
          <w:bCs/>
          <w:color w:val="000000" w:themeColor="text1"/>
          <w:sz w:val="22"/>
        </w:rPr>
        <w:t>g</w:t>
      </w:r>
      <w:r w:rsidR="00B85AB7" w:rsidRPr="00A87091">
        <w:rPr>
          <w:rFonts w:ascii="Arial" w:eastAsia="Calibri" w:hAnsi="Arial" w:cs="Arial"/>
          <w:bCs/>
          <w:color w:val="000000" w:themeColor="text1"/>
          <w:sz w:val="22"/>
        </w:rPr>
        <w:t xml:space="preserve">obierno </w:t>
      </w:r>
      <w:r w:rsidR="00D7248C" w:rsidRPr="00A87091">
        <w:rPr>
          <w:rFonts w:ascii="Arial" w:eastAsia="Calibri" w:hAnsi="Arial" w:cs="Arial"/>
          <w:bCs/>
          <w:color w:val="000000" w:themeColor="text1"/>
          <w:sz w:val="22"/>
        </w:rPr>
        <w:t>n</w:t>
      </w:r>
      <w:r w:rsidR="00B85AB7" w:rsidRPr="00A87091">
        <w:rPr>
          <w:rFonts w:ascii="Arial" w:eastAsia="Calibri" w:hAnsi="Arial" w:cs="Arial"/>
          <w:bCs/>
          <w:color w:val="000000" w:themeColor="text1"/>
          <w:sz w:val="22"/>
        </w:rPr>
        <w:t>acional reglamentará</w:t>
      </w:r>
      <w:r w:rsidR="00264348" w:rsidRPr="00A87091">
        <w:rPr>
          <w:rFonts w:ascii="Arial" w:eastAsia="Calibri" w:hAnsi="Arial" w:cs="Arial"/>
          <w:bCs/>
          <w:color w:val="000000" w:themeColor="text1"/>
          <w:sz w:val="22"/>
        </w:rPr>
        <w:t xml:space="preserve"> i) </w:t>
      </w:r>
      <w:r w:rsidRPr="00A87091">
        <w:rPr>
          <w:rFonts w:ascii="Arial" w:eastAsia="Calibri" w:hAnsi="Arial" w:cs="Arial"/>
          <w:bCs/>
          <w:color w:val="000000" w:themeColor="text1"/>
          <w:sz w:val="22"/>
        </w:rPr>
        <w:t xml:space="preserve">los </w:t>
      </w:r>
      <w:r w:rsidR="00264348" w:rsidRPr="00A87091">
        <w:rPr>
          <w:rFonts w:ascii="Arial" w:eastAsia="Calibri" w:hAnsi="Arial" w:cs="Arial"/>
          <w:bCs/>
          <w:color w:val="000000" w:themeColor="text1"/>
          <w:sz w:val="22"/>
        </w:rPr>
        <w:t>criterios diferenciales para mipymes</w:t>
      </w:r>
      <w:r w:rsidRPr="00A87091">
        <w:rPr>
          <w:rFonts w:ascii="Arial" w:eastAsia="Calibri" w:hAnsi="Arial" w:cs="Arial"/>
          <w:bCs/>
          <w:color w:val="000000" w:themeColor="text1"/>
          <w:sz w:val="22"/>
        </w:rPr>
        <w:t>, ii) la definición de «emprendimientos y empresas de mujeres», i</w:t>
      </w:r>
      <w:r w:rsidR="00023000" w:rsidRPr="00A87091">
        <w:rPr>
          <w:rFonts w:ascii="Arial" w:eastAsia="Calibri" w:hAnsi="Arial" w:cs="Arial"/>
          <w:bCs/>
          <w:color w:val="000000" w:themeColor="text1"/>
          <w:sz w:val="22"/>
        </w:rPr>
        <w:t>ii</w:t>
      </w:r>
      <w:r w:rsidRPr="00A87091">
        <w:rPr>
          <w:rFonts w:ascii="Arial" w:eastAsia="Calibri" w:hAnsi="Arial" w:cs="Arial"/>
          <w:bCs/>
          <w:color w:val="000000" w:themeColor="text1"/>
          <w:sz w:val="22"/>
        </w:rPr>
        <w:t>) las convocatorias limitadas a mipymes</w:t>
      </w:r>
      <w:r w:rsidR="00AE1FDC" w:rsidRPr="00A87091">
        <w:rPr>
          <w:rFonts w:ascii="Arial" w:eastAsia="Calibri" w:hAnsi="Arial" w:cs="Arial"/>
          <w:bCs/>
          <w:color w:val="000000" w:themeColor="text1"/>
          <w:sz w:val="22"/>
        </w:rPr>
        <w:t xml:space="preserve"> y el fomento en la ejecución de los contratos estatales por parte de sujetos de especial protección</w:t>
      </w:r>
      <w:r w:rsidR="00023000"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xml:space="preserve"> </w:t>
      </w:r>
      <w:r w:rsidR="00AE1FDC" w:rsidRPr="00A87091">
        <w:rPr>
          <w:rFonts w:ascii="Arial" w:eastAsia="Calibri" w:hAnsi="Arial" w:cs="Arial"/>
          <w:bCs/>
          <w:color w:val="000000" w:themeColor="text1"/>
          <w:sz w:val="22"/>
        </w:rPr>
        <w:t>así como</w:t>
      </w:r>
      <w:r w:rsidRPr="00A87091">
        <w:rPr>
          <w:rFonts w:ascii="Arial" w:eastAsia="Calibri" w:hAnsi="Arial" w:cs="Arial"/>
          <w:bCs/>
          <w:color w:val="000000" w:themeColor="text1"/>
          <w:sz w:val="22"/>
        </w:rPr>
        <w:t xml:space="preserve"> </w:t>
      </w:r>
      <w:r w:rsidR="00023000" w:rsidRPr="00A87091">
        <w:rPr>
          <w:rFonts w:ascii="Arial" w:eastAsia="Calibri" w:hAnsi="Arial" w:cs="Arial"/>
          <w:bCs/>
          <w:color w:val="000000" w:themeColor="text1"/>
          <w:sz w:val="22"/>
        </w:rPr>
        <w:t>i</w:t>
      </w:r>
      <w:r w:rsidRPr="00A87091">
        <w:rPr>
          <w:rFonts w:ascii="Arial" w:eastAsia="Calibri" w:hAnsi="Arial" w:cs="Arial"/>
          <w:bCs/>
          <w:color w:val="000000" w:themeColor="text1"/>
          <w:sz w:val="22"/>
        </w:rPr>
        <w:t>v)</w:t>
      </w:r>
      <w:r w:rsidR="00264348" w:rsidRPr="00A87091">
        <w:rPr>
          <w:rFonts w:ascii="Arial" w:eastAsia="Calibri" w:hAnsi="Arial" w:cs="Arial"/>
          <w:bCs/>
          <w:color w:val="000000" w:themeColor="text1"/>
          <w:sz w:val="22"/>
        </w:rPr>
        <w:t xml:space="preserve"> </w:t>
      </w:r>
      <w:r w:rsidR="00023000" w:rsidRPr="00A87091">
        <w:rPr>
          <w:rFonts w:ascii="Arial" w:eastAsia="Calibri" w:hAnsi="Arial" w:cs="Arial"/>
          <w:bCs/>
          <w:color w:val="000000" w:themeColor="text1"/>
          <w:sz w:val="22"/>
        </w:rPr>
        <w:t xml:space="preserve">la </w:t>
      </w:r>
      <w:r w:rsidRPr="00A87091">
        <w:rPr>
          <w:rFonts w:ascii="Arial" w:eastAsia="Calibri" w:hAnsi="Arial" w:cs="Arial"/>
          <w:bCs/>
          <w:color w:val="000000" w:themeColor="text1"/>
          <w:sz w:val="22"/>
        </w:rPr>
        <w:t xml:space="preserve">promoción de las compras públicas de tecnología e innovación. En este contexto, es necesario analizar si las entidades pueden aplicar </w:t>
      </w:r>
      <w:r w:rsidR="00202680" w:rsidRPr="00A87091">
        <w:rPr>
          <w:rFonts w:ascii="Arial" w:eastAsia="Calibri" w:hAnsi="Arial" w:cs="Arial"/>
          <w:bCs/>
          <w:color w:val="000000" w:themeColor="text1"/>
          <w:sz w:val="22"/>
        </w:rPr>
        <w:t>directamente</w:t>
      </w:r>
      <w:r w:rsidRPr="00A87091">
        <w:rPr>
          <w:rFonts w:ascii="Arial" w:eastAsia="Calibri" w:hAnsi="Arial" w:cs="Arial"/>
          <w:bCs/>
          <w:color w:val="000000" w:themeColor="text1"/>
          <w:sz w:val="22"/>
        </w:rPr>
        <w:t xml:space="preserve"> las normas citadas</w:t>
      </w:r>
      <w:r w:rsidR="00202680" w:rsidRPr="00A87091">
        <w:rPr>
          <w:rFonts w:ascii="Arial" w:eastAsia="Calibri" w:hAnsi="Arial" w:cs="Arial"/>
          <w:bCs/>
          <w:color w:val="000000" w:themeColor="text1"/>
          <w:sz w:val="22"/>
        </w:rPr>
        <w:t xml:space="preserve"> o, por el contrario, si su efectividad está condicionada </w:t>
      </w:r>
      <w:r w:rsidR="000C5D09" w:rsidRPr="00A87091">
        <w:rPr>
          <w:rFonts w:ascii="Arial" w:eastAsia="Calibri" w:hAnsi="Arial" w:cs="Arial"/>
          <w:bCs/>
          <w:color w:val="000000" w:themeColor="text1"/>
          <w:sz w:val="22"/>
        </w:rPr>
        <w:t>a</w:t>
      </w:r>
      <w:r w:rsidR="00202680" w:rsidRPr="00A87091">
        <w:rPr>
          <w:rFonts w:ascii="Arial" w:eastAsia="Calibri" w:hAnsi="Arial" w:cs="Arial"/>
          <w:bCs/>
          <w:color w:val="000000" w:themeColor="text1"/>
          <w:sz w:val="22"/>
        </w:rPr>
        <w:t xml:space="preserve"> la expedición </w:t>
      </w:r>
      <w:r w:rsidR="006C31B0" w:rsidRPr="00A87091">
        <w:rPr>
          <w:rFonts w:ascii="Arial" w:eastAsia="Calibri" w:hAnsi="Arial" w:cs="Arial"/>
          <w:bCs/>
          <w:color w:val="000000" w:themeColor="text1"/>
          <w:sz w:val="22"/>
        </w:rPr>
        <w:t xml:space="preserve">del </w:t>
      </w:r>
      <w:r w:rsidR="000C5D09" w:rsidRPr="00A87091">
        <w:rPr>
          <w:rFonts w:ascii="Arial" w:eastAsia="Calibri" w:hAnsi="Arial" w:cs="Arial"/>
          <w:bCs/>
          <w:color w:val="000000" w:themeColor="text1"/>
          <w:sz w:val="22"/>
        </w:rPr>
        <w:t>reglamento</w:t>
      </w:r>
      <w:r w:rsidR="00202680" w:rsidRPr="00A87091">
        <w:rPr>
          <w:rFonts w:ascii="Arial" w:eastAsia="Calibri" w:hAnsi="Arial" w:cs="Arial"/>
          <w:bCs/>
          <w:color w:val="000000" w:themeColor="text1"/>
          <w:sz w:val="22"/>
        </w:rPr>
        <w:t xml:space="preserve"> correspondiente. </w:t>
      </w:r>
    </w:p>
    <w:p w14:paraId="6833138A" w14:textId="38537440" w:rsidR="00346578" w:rsidRPr="00A87091" w:rsidRDefault="000C5D09" w:rsidP="009F205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4855A3" w:rsidRPr="00A87091">
        <w:rPr>
          <w:rFonts w:ascii="Arial" w:eastAsia="Calibri" w:hAnsi="Arial" w:cs="Arial"/>
          <w:bCs/>
          <w:color w:val="000000" w:themeColor="text1"/>
          <w:sz w:val="22"/>
        </w:rPr>
        <w:t>L</w:t>
      </w:r>
      <w:r w:rsidR="00202680" w:rsidRPr="00A87091">
        <w:rPr>
          <w:rFonts w:ascii="Arial" w:eastAsia="Calibri" w:hAnsi="Arial" w:cs="Arial"/>
          <w:bCs/>
          <w:color w:val="000000" w:themeColor="text1"/>
          <w:sz w:val="22"/>
        </w:rPr>
        <w:t xml:space="preserve">a respuesta </w:t>
      </w:r>
      <w:r w:rsidRPr="00A87091">
        <w:rPr>
          <w:rFonts w:ascii="Arial" w:eastAsia="Calibri" w:hAnsi="Arial" w:cs="Arial"/>
          <w:bCs/>
          <w:color w:val="000000" w:themeColor="text1"/>
          <w:sz w:val="22"/>
        </w:rPr>
        <w:t>a</w:t>
      </w:r>
      <w:r w:rsidR="00202680" w:rsidRPr="00A87091">
        <w:rPr>
          <w:rFonts w:ascii="Arial" w:eastAsia="Calibri" w:hAnsi="Arial" w:cs="Arial"/>
          <w:bCs/>
          <w:color w:val="000000" w:themeColor="text1"/>
          <w:sz w:val="22"/>
        </w:rPr>
        <w:t xml:space="preserve"> </w:t>
      </w:r>
      <w:r w:rsidR="002930DB" w:rsidRPr="00A87091">
        <w:rPr>
          <w:rFonts w:ascii="Arial" w:eastAsia="Calibri" w:hAnsi="Arial" w:cs="Arial"/>
          <w:bCs/>
          <w:color w:val="000000" w:themeColor="text1"/>
          <w:sz w:val="22"/>
        </w:rPr>
        <w:t>la</w:t>
      </w:r>
      <w:r w:rsidR="00202680" w:rsidRPr="00A87091">
        <w:rPr>
          <w:rFonts w:ascii="Arial" w:eastAsia="Calibri" w:hAnsi="Arial" w:cs="Arial"/>
          <w:bCs/>
          <w:color w:val="000000" w:themeColor="text1"/>
          <w:sz w:val="22"/>
        </w:rPr>
        <w:t xml:space="preserve"> inquietud </w:t>
      </w:r>
      <w:r w:rsidR="002930DB" w:rsidRPr="00A87091">
        <w:rPr>
          <w:rFonts w:ascii="Arial" w:eastAsia="Calibri" w:hAnsi="Arial" w:cs="Arial"/>
          <w:bCs/>
          <w:color w:val="000000" w:themeColor="text1"/>
          <w:sz w:val="22"/>
        </w:rPr>
        <w:t xml:space="preserve">planteada </w:t>
      </w:r>
      <w:r w:rsidR="00726DD0" w:rsidRPr="00A87091">
        <w:rPr>
          <w:rFonts w:ascii="Arial" w:eastAsia="Calibri" w:hAnsi="Arial" w:cs="Arial"/>
          <w:bCs/>
          <w:color w:val="000000" w:themeColor="text1"/>
          <w:sz w:val="22"/>
        </w:rPr>
        <w:t xml:space="preserve">en </w:t>
      </w:r>
      <w:r w:rsidR="002930DB" w:rsidRPr="00A87091">
        <w:rPr>
          <w:rFonts w:ascii="Arial" w:eastAsia="Calibri" w:hAnsi="Arial" w:cs="Arial"/>
          <w:bCs/>
          <w:color w:val="000000" w:themeColor="text1"/>
          <w:sz w:val="22"/>
        </w:rPr>
        <w:t xml:space="preserve">el párrafo precedente </w:t>
      </w:r>
      <w:r w:rsidR="00202680" w:rsidRPr="00A87091">
        <w:rPr>
          <w:rFonts w:ascii="Arial" w:eastAsia="Calibri" w:hAnsi="Arial" w:cs="Arial"/>
          <w:bCs/>
          <w:color w:val="000000" w:themeColor="text1"/>
          <w:sz w:val="22"/>
        </w:rPr>
        <w:t xml:space="preserve">es </w:t>
      </w:r>
      <w:r w:rsidR="006C31B0" w:rsidRPr="00A87091">
        <w:rPr>
          <w:rFonts w:ascii="Arial" w:eastAsia="Calibri" w:hAnsi="Arial" w:cs="Arial"/>
          <w:bCs/>
          <w:color w:val="000000" w:themeColor="text1"/>
          <w:sz w:val="22"/>
        </w:rPr>
        <w:t>de enorme importancia</w:t>
      </w:r>
      <w:r w:rsidRPr="00A87091">
        <w:rPr>
          <w:rFonts w:ascii="Arial" w:eastAsia="Calibri" w:hAnsi="Arial" w:cs="Arial"/>
          <w:bCs/>
          <w:color w:val="000000" w:themeColor="text1"/>
          <w:sz w:val="22"/>
        </w:rPr>
        <w:t xml:space="preserve"> </w:t>
      </w:r>
      <w:r w:rsidR="002930DB" w:rsidRPr="00A87091">
        <w:rPr>
          <w:rFonts w:ascii="Arial" w:eastAsia="Calibri" w:hAnsi="Arial" w:cs="Arial"/>
          <w:bCs/>
          <w:color w:val="000000" w:themeColor="text1"/>
          <w:sz w:val="22"/>
        </w:rPr>
        <w:t>por</w:t>
      </w:r>
      <w:r w:rsidRPr="00A87091">
        <w:rPr>
          <w:rFonts w:ascii="Arial" w:eastAsia="Calibri" w:hAnsi="Arial" w:cs="Arial"/>
          <w:bCs/>
          <w:color w:val="000000" w:themeColor="text1"/>
          <w:sz w:val="22"/>
        </w:rPr>
        <w:t xml:space="preserve"> los efectos prácticos de ambas </w:t>
      </w:r>
      <w:r w:rsidR="004855A3" w:rsidRPr="00A87091">
        <w:rPr>
          <w:rFonts w:ascii="Arial" w:eastAsia="Calibri" w:hAnsi="Arial" w:cs="Arial"/>
          <w:bCs/>
          <w:color w:val="000000" w:themeColor="text1"/>
          <w:sz w:val="22"/>
        </w:rPr>
        <w:t>posiciones</w:t>
      </w:r>
      <w:r w:rsidRPr="00A87091">
        <w:rPr>
          <w:rFonts w:ascii="Arial" w:eastAsia="Calibri" w:hAnsi="Arial" w:cs="Arial"/>
          <w:bCs/>
          <w:color w:val="000000" w:themeColor="text1"/>
          <w:sz w:val="22"/>
        </w:rPr>
        <w:t xml:space="preserve">. </w:t>
      </w:r>
      <w:r w:rsidR="002930DB" w:rsidRPr="00A87091">
        <w:rPr>
          <w:rFonts w:ascii="Arial" w:eastAsia="Calibri" w:hAnsi="Arial" w:cs="Arial"/>
          <w:bCs/>
          <w:color w:val="000000" w:themeColor="text1"/>
          <w:sz w:val="22"/>
        </w:rPr>
        <w:t>Por un lado</w:t>
      </w:r>
      <w:r w:rsidRPr="00A87091">
        <w:rPr>
          <w:rFonts w:ascii="Arial" w:eastAsia="Calibri" w:hAnsi="Arial" w:cs="Arial"/>
          <w:bCs/>
          <w:color w:val="000000" w:themeColor="text1"/>
          <w:sz w:val="22"/>
        </w:rPr>
        <w:t xml:space="preserve">, </w:t>
      </w:r>
      <w:bookmarkStart w:id="22" w:name="_Hlk63884320"/>
      <w:r w:rsidRPr="00A87091">
        <w:rPr>
          <w:rFonts w:ascii="Arial" w:eastAsia="Calibri" w:hAnsi="Arial" w:cs="Arial"/>
          <w:bCs/>
          <w:color w:val="000000" w:themeColor="text1"/>
          <w:sz w:val="22"/>
        </w:rPr>
        <w:t xml:space="preserve">quien opte por la </w:t>
      </w:r>
      <w:r w:rsidRPr="00A87091">
        <w:rPr>
          <w:rFonts w:ascii="Arial" w:eastAsia="Calibri" w:hAnsi="Arial" w:cs="Arial"/>
          <w:bCs/>
          <w:i/>
          <w:iCs/>
          <w:color w:val="000000" w:themeColor="text1"/>
          <w:sz w:val="22"/>
        </w:rPr>
        <w:lastRenderedPageBreak/>
        <w:t>tesis de la aplicación directa</w:t>
      </w:r>
      <w:r w:rsidRPr="00A87091">
        <w:rPr>
          <w:rFonts w:ascii="Arial" w:eastAsia="Calibri" w:hAnsi="Arial" w:cs="Arial"/>
          <w:bCs/>
          <w:color w:val="000000" w:themeColor="text1"/>
          <w:sz w:val="22"/>
        </w:rPr>
        <w:t xml:space="preserve"> </w:t>
      </w:r>
      <w:r w:rsidR="00DD0609" w:rsidRPr="00A87091">
        <w:rPr>
          <w:rFonts w:ascii="Arial" w:eastAsia="Calibri" w:hAnsi="Arial" w:cs="Arial"/>
          <w:bCs/>
          <w:color w:val="000000" w:themeColor="text1"/>
          <w:sz w:val="22"/>
        </w:rPr>
        <w:t>debe sostener que</w:t>
      </w:r>
      <w:r w:rsidR="00B04C69" w:rsidRPr="00A87091">
        <w:rPr>
          <w:rFonts w:ascii="Arial" w:eastAsia="Calibri" w:hAnsi="Arial" w:cs="Arial"/>
          <w:bCs/>
          <w:color w:val="000000" w:themeColor="text1"/>
          <w:sz w:val="22"/>
        </w:rPr>
        <w:t xml:space="preserve"> la intervención del reglamento es accesoria, no necesaria</w:t>
      </w:r>
      <w:r w:rsidR="006C375B" w:rsidRPr="00A87091">
        <w:rPr>
          <w:rFonts w:ascii="Arial" w:eastAsia="Calibri" w:hAnsi="Arial" w:cs="Arial"/>
          <w:bCs/>
          <w:color w:val="000000" w:themeColor="text1"/>
          <w:sz w:val="22"/>
        </w:rPr>
        <w:t xml:space="preserve">: </w:t>
      </w:r>
      <w:r w:rsidR="00B04C69" w:rsidRPr="00A87091">
        <w:rPr>
          <w:rFonts w:ascii="Arial" w:eastAsia="Calibri" w:hAnsi="Arial" w:cs="Arial"/>
          <w:bCs/>
          <w:color w:val="000000" w:themeColor="text1"/>
          <w:sz w:val="22"/>
        </w:rPr>
        <w:t>el Congreso de la República ejerce su competencia para la expedición de la</w:t>
      </w:r>
      <w:r w:rsidR="00967BCD" w:rsidRPr="00A87091">
        <w:rPr>
          <w:rFonts w:ascii="Arial" w:eastAsia="Calibri" w:hAnsi="Arial" w:cs="Arial"/>
          <w:bCs/>
          <w:color w:val="000000" w:themeColor="text1"/>
          <w:sz w:val="22"/>
        </w:rPr>
        <w:t>s</w:t>
      </w:r>
      <w:r w:rsidR="00B04C69" w:rsidRPr="00A87091">
        <w:rPr>
          <w:rFonts w:ascii="Arial" w:eastAsia="Calibri" w:hAnsi="Arial" w:cs="Arial"/>
          <w:bCs/>
          <w:color w:val="000000" w:themeColor="text1"/>
          <w:sz w:val="22"/>
        </w:rPr>
        <w:t xml:space="preserve"> leyes sin que normas de inferior jerarquía condicionen </w:t>
      </w:r>
      <w:r w:rsidR="00967BCD" w:rsidRPr="00A87091">
        <w:rPr>
          <w:rFonts w:ascii="Arial" w:eastAsia="Calibri" w:hAnsi="Arial" w:cs="Arial"/>
          <w:bCs/>
          <w:color w:val="000000" w:themeColor="text1"/>
          <w:sz w:val="22"/>
        </w:rPr>
        <w:t xml:space="preserve">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22"/>
    </w:p>
    <w:p w14:paraId="1487AA36" w14:textId="0A817A5D" w:rsidR="009F2056" w:rsidRPr="00A87091" w:rsidRDefault="00346578" w:rsidP="009F205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967BCD" w:rsidRPr="00A87091">
        <w:rPr>
          <w:rFonts w:ascii="Arial" w:eastAsia="Calibri" w:hAnsi="Arial" w:cs="Arial"/>
          <w:bCs/>
          <w:color w:val="000000" w:themeColor="text1"/>
          <w:sz w:val="22"/>
        </w:rPr>
        <w:t>De esta manera, a menor precisión de la ley, mayor es el campo de acción del reglamento</w:t>
      </w:r>
      <w:r w:rsidR="006F248F" w:rsidRPr="00A87091">
        <w:rPr>
          <w:rFonts w:ascii="Arial" w:eastAsia="Calibri" w:hAnsi="Arial" w:cs="Arial"/>
          <w:bCs/>
          <w:color w:val="000000" w:themeColor="text1"/>
          <w:sz w:val="22"/>
        </w:rPr>
        <w:t>: en este el</w:t>
      </w:r>
      <w:r w:rsidR="00967BCD" w:rsidRPr="00A87091">
        <w:rPr>
          <w:rFonts w:ascii="Arial" w:eastAsia="Calibri" w:hAnsi="Arial" w:cs="Arial"/>
          <w:bCs/>
          <w:color w:val="000000" w:themeColor="text1"/>
          <w:sz w:val="22"/>
        </w:rPr>
        <w:t xml:space="preserve"> funcionario competente </w:t>
      </w:r>
      <w:r w:rsidR="006F248F" w:rsidRPr="00A87091">
        <w:rPr>
          <w:rFonts w:ascii="Arial" w:eastAsia="Calibri" w:hAnsi="Arial" w:cs="Arial"/>
          <w:bCs/>
          <w:color w:val="000000" w:themeColor="text1"/>
          <w:sz w:val="22"/>
        </w:rPr>
        <w:t xml:space="preserve">tiene libertad para expedir o no las normas correspondientes. Por ello, </w:t>
      </w:r>
      <w:r w:rsidR="00A24DBA" w:rsidRPr="00A87091">
        <w:rPr>
          <w:rFonts w:ascii="Arial" w:eastAsia="Calibri" w:hAnsi="Arial" w:cs="Arial"/>
          <w:bCs/>
          <w:color w:val="000000" w:themeColor="text1"/>
          <w:sz w:val="22"/>
        </w:rPr>
        <w:t xml:space="preserve">la </w:t>
      </w:r>
      <w:r w:rsidR="00A57F88" w:rsidRPr="00A87091">
        <w:rPr>
          <w:rFonts w:ascii="Arial" w:eastAsia="Calibri" w:hAnsi="Arial" w:cs="Arial"/>
          <w:bCs/>
          <w:color w:val="000000" w:themeColor="text1"/>
          <w:sz w:val="22"/>
        </w:rPr>
        <w:t>jurisprudencia</w:t>
      </w:r>
      <w:r w:rsidR="006F248F" w:rsidRPr="00A87091">
        <w:rPr>
          <w:rFonts w:ascii="Arial" w:eastAsia="Calibri" w:hAnsi="Arial" w:cs="Arial"/>
          <w:bCs/>
          <w:color w:val="000000" w:themeColor="text1"/>
          <w:sz w:val="22"/>
        </w:rPr>
        <w:t xml:space="preserve"> explica que la competencia reglamentaria prevista en el artículo 189.11 superior </w:t>
      </w:r>
      <w:r w:rsidR="006C375B" w:rsidRPr="00A87091">
        <w:rPr>
          <w:rFonts w:ascii="Arial" w:eastAsia="Calibri" w:hAnsi="Arial" w:cs="Arial"/>
          <w:bCs/>
          <w:color w:val="000000" w:themeColor="text1"/>
          <w:sz w:val="22"/>
        </w:rPr>
        <w:t xml:space="preserve">también </w:t>
      </w:r>
      <w:r w:rsidR="006E0BE4" w:rsidRPr="00A87091">
        <w:rPr>
          <w:rFonts w:ascii="Arial" w:eastAsia="Calibri" w:hAnsi="Arial" w:cs="Arial"/>
          <w:bCs/>
          <w:color w:val="000000" w:themeColor="text1"/>
          <w:sz w:val="22"/>
        </w:rPr>
        <w:t xml:space="preserve">corresponde </w:t>
      </w:r>
      <w:r w:rsidR="006C375B" w:rsidRPr="00A87091">
        <w:rPr>
          <w:rFonts w:ascii="Arial" w:eastAsia="Calibri" w:hAnsi="Arial" w:cs="Arial"/>
          <w:bCs/>
          <w:color w:val="000000" w:themeColor="text1"/>
          <w:sz w:val="22"/>
        </w:rPr>
        <w:t>a un poder</w:t>
      </w:r>
      <w:r w:rsidR="006F248F" w:rsidRPr="00A87091">
        <w:rPr>
          <w:rFonts w:ascii="Arial" w:eastAsia="Calibri" w:hAnsi="Arial" w:cs="Arial"/>
          <w:bCs/>
          <w:color w:val="000000" w:themeColor="text1"/>
          <w:sz w:val="22"/>
        </w:rPr>
        <w:t xml:space="preserve"> discrecional</w:t>
      </w:r>
      <w:r w:rsidR="00614771" w:rsidRPr="00A87091">
        <w:rPr>
          <w:rStyle w:val="Refdenotaalpie"/>
          <w:rFonts w:ascii="Arial" w:eastAsia="Calibri" w:hAnsi="Arial" w:cs="Arial"/>
          <w:bCs/>
          <w:color w:val="000000" w:themeColor="text1"/>
          <w:sz w:val="22"/>
        </w:rPr>
        <w:footnoteReference w:id="12"/>
      </w:r>
      <w:r w:rsidR="006E0BE4" w:rsidRPr="00A87091">
        <w:rPr>
          <w:rFonts w:ascii="Arial" w:eastAsia="Calibri" w:hAnsi="Arial" w:cs="Arial"/>
          <w:bCs/>
          <w:color w:val="000000" w:themeColor="text1"/>
          <w:sz w:val="22"/>
        </w:rPr>
        <w:t xml:space="preserve">. </w:t>
      </w:r>
      <w:r w:rsidR="009F2056" w:rsidRPr="00A87091">
        <w:rPr>
          <w:rFonts w:ascii="Arial" w:eastAsia="Calibri" w:hAnsi="Arial" w:cs="Arial"/>
          <w:bCs/>
          <w:color w:val="000000" w:themeColor="text1"/>
          <w:sz w:val="22"/>
        </w:rPr>
        <w:t>En este contexto, si la expedición de reglamentos no es obligatoria, la ausencia de estos no excusa la inaplicación de la ley, pues contiene unos elementos mínimos que vinculan directamente a los destinatarios.</w:t>
      </w:r>
    </w:p>
    <w:p w14:paraId="74A1A793" w14:textId="225C6BD7" w:rsidR="006F15B4" w:rsidRPr="00A87091" w:rsidRDefault="008675EC" w:rsidP="009F205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Este es</w:t>
      </w:r>
      <w:r w:rsidR="006C31B0" w:rsidRPr="00A87091">
        <w:rPr>
          <w:rFonts w:ascii="Arial" w:eastAsia="Calibri" w:hAnsi="Arial" w:cs="Arial"/>
          <w:bCs/>
          <w:color w:val="000000" w:themeColor="text1"/>
          <w:sz w:val="22"/>
        </w:rPr>
        <w:t xml:space="preserve"> el</w:t>
      </w:r>
      <w:r w:rsidRPr="00A87091">
        <w:rPr>
          <w:rFonts w:ascii="Arial" w:eastAsia="Calibri" w:hAnsi="Arial" w:cs="Arial"/>
          <w:bCs/>
          <w:color w:val="000000" w:themeColor="text1"/>
          <w:sz w:val="22"/>
        </w:rPr>
        <w:t xml:space="preserve"> caso de lo previsto en los artículos </w:t>
      </w:r>
      <w:r w:rsidR="006F15B4" w:rsidRPr="00A87091">
        <w:rPr>
          <w:rFonts w:ascii="Arial" w:eastAsia="Calibri" w:hAnsi="Arial" w:cs="Arial"/>
          <w:bCs/>
          <w:color w:val="000000" w:themeColor="text1"/>
          <w:sz w:val="22"/>
        </w:rPr>
        <w:t xml:space="preserve">30, </w:t>
      </w:r>
      <w:r w:rsidRPr="00A87091">
        <w:rPr>
          <w:rFonts w:ascii="Arial" w:eastAsia="Calibri" w:hAnsi="Arial" w:cs="Arial"/>
          <w:bCs/>
          <w:color w:val="000000" w:themeColor="text1"/>
          <w:sz w:val="22"/>
        </w:rPr>
        <w:t xml:space="preserve">33 y 35 de la Ley de Emprendimiento. </w:t>
      </w:r>
      <w:r w:rsidR="006F15B4" w:rsidRPr="00A87091">
        <w:rPr>
          <w:rFonts w:ascii="Arial" w:eastAsia="Calibri" w:hAnsi="Arial" w:cs="Arial"/>
          <w:bCs/>
          <w:color w:val="000000" w:themeColor="text1"/>
          <w:sz w:val="22"/>
        </w:rPr>
        <w:t>En relación con las mipymes y mínima cuantía</w:t>
      </w:r>
      <w:r w:rsidR="00B86C5A" w:rsidRPr="00A87091">
        <w:rPr>
          <w:rFonts w:ascii="Arial" w:eastAsia="Calibri" w:hAnsi="Arial" w:cs="Arial"/>
          <w:bCs/>
          <w:color w:val="000000" w:themeColor="text1"/>
          <w:sz w:val="22"/>
        </w:rPr>
        <w:t xml:space="preserve">, </w:t>
      </w:r>
      <w:r w:rsidR="00B86C5A" w:rsidRPr="00A87091">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A87091">
        <w:rPr>
          <w:rFonts w:ascii="Arial" w:eastAsia="Calibri" w:hAnsi="Arial" w:cs="Arial"/>
          <w:bCs/>
          <w:color w:val="000000" w:themeColor="text1"/>
          <w:sz w:val="22"/>
        </w:rPr>
        <w:t>sin perjuicio de que el Gobierno Nacional</w:t>
      </w:r>
      <w:r w:rsidR="007E6B89" w:rsidRPr="00A87091">
        <w:rPr>
          <w:rFonts w:ascii="Arial" w:eastAsia="Calibri" w:hAnsi="Arial" w:cs="Arial"/>
          <w:bCs/>
          <w:color w:val="000000" w:themeColor="text1"/>
          <w:sz w:val="22"/>
        </w:rPr>
        <w:t xml:space="preserve">, conforme a lo dispuesto en el parágrafo 1 </w:t>
      </w:r>
      <w:r w:rsidR="007E6B89" w:rsidRPr="00A87091">
        <w:rPr>
          <w:rFonts w:ascii="Arial" w:eastAsia="Calibri" w:hAnsi="Arial" w:cs="Arial"/>
          <w:bCs/>
          <w:i/>
          <w:iCs/>
          <w:color w:val="000000" w:themeColor="text1"/>
          <w:sz w:val="22"/>
        </w:rPr>
        <w:t>ibidem</w:t>
      </w:r>
      <w:r w:rsidR="007E6B89" w:rsidRPr="00A87091">
        <w:rPr>
          <w:rFonts w:ascii="Arial" w:eastAsia="Calibri" w:hAnsi="Arial" w:cs="Arial"/>
          <w:bCs/>
          <w:color w:val="000000" w:themeColor="text1"/>
          <w:sz w:val="22"/>
        </w:rPr>
        <w:t>,</w:t>
      </w:r>
      <w:r w:rsidR="00B86C5A" w:rsidRPr="00A87091">
        <w:rPr>
          <w:rFonts w:ascii="Arial" w:eastAsia="Calibri" w:hAnsi="Arial" w:cs="Arial"/>
          <w:bCs/>
          <w:color w:val="000000" w:themeColor="text1"/>
          <w:sz w:val="22"/>
        </w:rPr>
        <w:t xml:space="preserve"> ejerza la potestad reglamentaria para </w:t>
      </w:r>
      <w:r w:rsidR="00B86C5A" w:rsidRPr="00A87091">
        <w:rPr>
          <w:rFonts w:ascii="Arial" w:eastAsia="Calibri" w:hAnsi="Arial" w:cs="Arial"/>
          <w:bCs/>
          <w:color w:val="000000" w:themeColor="text1"/>
          <w:sz w:val="22"/>
          <w:lang w:val="es-ES_tradnl"/>
        </w:rPr>
        <w:t>regular tanto las particularidades del procedimiento de selección como la posibilidad de realizar estas adquisiciones a mipymes o establecimientos que correspondan a la definición de «gran almacén»</w:t>
      </w:r>
      <w:r w:rsidR="00B31B85" w:rsidRPr="00A87091">
        <w:rPr>
          <w:rFonts w:ascii="Arial" w:eastAsia="Calibri" w:hAnsi="Arial" w:cs="Arial"/>
          <w:bCs/>
          <w:color w:val="000000" w:themeColor="text1"/>
          <w:sz w:val="22"/>
          <w:lang w:val="es-ES_tradnl"/>
        </w:rPr>
        <w:t>, aspectos en la que la norma excluye la regulación autónoma de la materia por parte de las entidades contratantes</w:t>
      </w:r>
      <w:r w:rsidR="00B86C5A" w:rsidRPr="00A87091">
        <w:rPr>
          <w:rFonts w:ascii="Arial" w:eastAsia="Calibri" w:hAnsi="Arial" w:cs="Arial"/>
          <w:bCs/>
          <w:color w:val="000000" w:themeColor="text1"/>
          <w:sz w:val="22"/>
          <w:lang w:val="es-ES_tradnl"/>
        </w:rPr>
        <w:t>.</w:t>
      </w:r>
    </w:p>
    <w:p w14:paraId="03FC8039" w14:textId="3C5EFD2D" w:rsidR="00CF3226" w:rsidRPr="00A87091" w:rsidRDefault="006F15B4" w:rsidP="00CF3226">
      <w:pPr>
        <w:spacing w:after="120" w:line="276" w:lineRule="auto"/>
        <w:jc w:val="both"/>
        <w:rPr>
          <w:rFonts w:ascii="Arial" w:hAnsi="Arial" w:cs="Arial"/>
          <w:sz w:val="22"/>
        </w:rPr>
      </w:pPr>
      <w:r w:rsidRPr="00A87091">
        <w:rPr>
          <w:rFonts w:ascii="Arial" w:eastAsia="Calibri" w:hAnsi="Arial" w:cs="Arial"/>
          <w:bCs/>
          <w:color w:val="000000" w:themeColor="text1"/>
          <w:sz w:val="22"/>
        </w:rPr>
        <w:tab/>
      </w:r>
      <w:r w:rsidR="008675EC" w:rsidRPr="00A87091">
        <w:rPr>
          <w:rFonts w:ascii="Arial" w:eastAsia="Calibri" w:hAnsi="Arial" w:cs="Arial"/>
          <w:bCs/>
          <w:color w:val="000000" w:themeColor="text1"/>
          <w:sz w:val="22"/>
        </w:rPr>
        <w:t xml:space="preserve">En lo que se refiere a la promoción del acceso de las mipymes al mercado de compras públicas, la legislación consagra una serie de deberes que </w:t>
      </w:r>
      <w:r w:rsidR="006C31B0" w:rsidRPr="00A87091">
        <w:rPr>
          <w:rFonts w:ascii="Arial" w:eastAsia="Calibri" w:hAnsi="Arial" w:cs="Arial"/>
          <w:bCs/>
          <w:color w:val="000000" w:themeColor="text1"/>
          <w:sz w:val="22"/>
        </w:rPr>
        <w:t xml:space="preserve">deben </w:t>
      </w:r>
      <w:r w:rsidR="008675EC" w:rsidRPr="00A87091">
        <w:rPr>
          <w:rFonts w:ascii="Arial" w:eastAsia="Calibri" w:hAnsi="Arial" w:cs="Arial"/>
          <w:bCs/>
          <w:color w:val="000000" w:themeColor="text1"/>
          <w:sz w:val="22"/>
        </w:rPr>
        <w:t xml:space="preserve">cumplir </w:t>
      </w:r>
      <w:r w:rsidR="00E1000A" w:rsidRPr="00A87091">
        <w:rPr>
          <w:rFonts w:ascii="Arial" w:eastAsia="Calibri" w:hAnsi="Arial" w:cs="Arial"/>
          <w:bCs/>
          <w:color w:val="000000" w:themeColor="text1"/>
          <w:sz w:val="22"/>
        </w:rPr>
        <w:t xml:space="preserve">los destinatarios </w:t>
      </w:r>
      <w:r w:rsidR="008675EC" w:rsidRPr="00A87091">
        <w:rPr>
          <w:rFonts w:ascii="Arial" w:eastAsia="Calibri" w:hAnsi="Arial" w:cs="Arial"/>
          <w:bCs/>
          <w:color w:val="000000" w:themeColor="text1"/>
          <w:sz w:val="22"/>
        </w:rPr>
        <w:t>en su gestión contractual. Aunque el alcance de estas obligaciones puede delimitarse por otras leyes o reglamentos, lo importante es que el artículo 3</w:t>
      </w:r>
      <w:r w:rsidR="00E91C29" w:rsidRPr="00A87091">
        <w:rPr>
          <w:rFonts w:ascii="Arial" w:eastAsia="Calibri" w:hAnsi="Arial" w:cs="Arial"/>
          <w:bCs/>
          <w:color w:val="000000" w:themeColor="text1"/>
          <w:sz w:val="22"/>
        </w:rPr>
        <w:t>3</w:t>
      </w:r>
      <w:r w:rsidR="008675EC" w:rsidRPr="00A87091">
        <w:rPr>
          <w:rFonts w:ascii="Arial" w:eastAsia="Calibri" w:hAnsi="Arial" w:cs="Arial"/>
          <w:bCs/>
          <w:color w:val="000000" w:themeColor="text1"/>
          <w:sz w:val="22"/>
        </w:rPr>
        <w:t xml:space="preserve"> consagra elementos mínimos que las entidades deben acatar so pena de una causal de mala conducta.</w:t>
      </w:r>
      <w:r w:rsidR="00CF3226" w:rsidRPr="00A87091">
        <w:rPr>
          <w:rFonts w:ascii="Arial" w:eastAsia="Calibri" w:hAnsi="Arial" w:cs="Arial"/>
          <w:bCs/>
          <w:color w:val="000000" w:themeColor="text1"/>
          <w:sz w:val="22"/>
        </w:rPr>
        <w:t xml:space="preserve"> </w:t>
      </w:r>
      <w:r w:rsidR="00CF3226" w:rsidRPr="00A87091">
        <w:rPr>
          <w:rFonts w:ascii="Arial" w:hAnsi="Arial" w:cs="Arial"/>
          <w:sz w:val="22"/>
        </w:rPr>
        <w:t xml:space="preserve">Esto con independencia de que el procedimiento se rija o no por los documentos tipo implementados </w:t>
      </w:r>
      <w:r w:rsidR="004B603C" w:rsidRPr="00A87091">
        <w:rPr>
          <w:rFonts w:ascii="Arial" w:hAnsi="Arial" w:cs="Arial"/>
          <w:sz w:val="22"/>
        </w:rPr>
        <w:t>mediante</w:t>
      </w:r>
      <w:r w:rsidR="00CF3226" w:rsidRPr="00A87091">
        <w:rPr>
          <w:rFonts w:ascii="Arial" w:hAnsi="Arial" w:cs="Arial"/>
          <w:sz w:val="22"/>
        </w:rPr>
        <w:t xml:space="preserve"> las Resoluciones 248 y 249 del 1º de diciembre de 2020, pues una norma transversal al sistema compras y contratación pública.</w:t>
      </w:r>
    </w:p>
    <w:p w14:paraId="19157FED" w14:textId="22DC8AED" w:rsidR="00E2375B" w:rsidRPr="00A87091" w:rsidRDefault="00E2375B" w:rsidP="009F2056">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lastRenderedPageBreak/>
        <w:tab/>
        <w:t xml:space="preserve">Igualmente, </w:t>
      </w:r>
      <w:r w:rsidR="00400466" w:rsidRPr="00A87091">
        <w:rPr>
          <w:rFonts w:ascii="Arial" w:eastAsia="Calibri" w:hAnsi="Arial" w:cs="Arial"/>
          <w:bCs/>
          <w:color w:val="000000" w:themeColor="text1"/>
          <w:sz w:val="22"/>
        </w:rPr>
        <w:t xml:space="preserve">respecto a </w:t>
      </w:r>
      <w:r w:rsidRPr="00A87091">
        <w:rPr>
          <w:rFonts w:ascii="Arial" w:eastAsia="Calibri" w:hAnsi="Arial" w:cs="Arial"/>
          <w:bCs/>
          <w:color w:val="000000" w:themeColor="text1"/>
          <w:sz w:val="22"/>
        </w:rPr>
        <w:t xml:space="preserve">los factores de desempate, se encuentra que los mismos se elevaron a rango de ley, por lo que ni el reglamento ni el pliego de condiciones pueden </w:t>
      </w:r>
      <w:r w:rsidR="00996849" w:rsidRPr="00A87091">
        <w:rPr>
          <w:rFonts w:ascii="Arial" w:eastAsia="Calibri" w:hAnsi="Arial" w:cs="Arial"/>
          <w:bCs/>
          <w:color w:val="000000" w:themeColor="text1"/>
          <w:sz w:val="22"/>
        </w:rPr>
        <w:t>modificarlos, adicionarlos o suprimirlos</w:t>
      </w:r>
      <w:r w:rsidRPr="00A87091">
        <w:rPr>
          <w:rFonts w:ascii="Arial" w:eastAsia="Calibri" w:hAnsi="Arial" w:cs="Arial"/>
          <w:bCs/>
          <w:color w:val="000000" w:themeColor="text1"/>
          <w:sz w:val="22"/>
        </w:rPr>
        <w:t>. En este sentido, las causales del artículo 35 son obligatorias en los procedimientos de selección de las entidades sometidas al Estatuto General</w:t>
      </w:r>
      <w:r w:rsidR="00CF3226" w:rsidRPr="00A87091">
        <w:rPr>
          <w:rFonts w:ascii="Arial" w:eastAsia="Calibri" w:hAnsi="Arial" w:cs="Arial"/>
          <w:bCs/>
          <w:color w:val="000000" w:themeColor="text1"/>
          <w:sz w:val="22"/>
        </w:rPr>
        <w:t xml:space="preserve"> –incluidos los que se rigen por documentos tipo–</w:t>
      </w:r>
      <w:r w:rsidRPr="00A87091">
        <w:rPr>
          <w:rFonts w:ascii="Arial" w:eastAsia="Calibri" w:hAnsi="Arial" w:cs="Arial"/>
          <w:bCs/>
          <w:color w:val="000000" w:themeColor="text1"/>
          <w:sz w:val="22"/>
        </w:rPr>
        <w:t>, las entidades exceptuadas de la Ley 80 de 1993 y los patrimonios autónomos</w:t>
      </w:r>
      <w:r w:rsidR="00400466" w:rsidRPr="00A87091">
        <w:rPr>
          <w:rFonts w:ascii="Arial" w:eastAsia="Calibri" w:hAnsi="Arial" w:cs="Arial"/>
          <w:bCs/>
          <w:color w:val="000000" w:themeColor="text1"/>
          <w:sz w:val="22"/>
        </w:rPr>
        <w:t>. De esta manera, sin perjuicio de lo dispuesto en el parágrafo 3 para los casos en que concurren dos o más de los factores de desempate, no requiere de una reglamentación previa para s</w:t>
      </w:r>
      <w:r w:rsidR="00E91C29" w:rsidRPr="00A87091">
        <w:rPr>
          <w:rFonts w:ascii="Arial" w:eastAsia="Calibri" w:hAnsi="Arial" w:cs="Arial"/>
          <w:bCs/>
          <w:color w:val="000000" w:themeColor="text1"/>
          <w:sz w:val="22"/>
        </w:rPr>
        <w:t>u</w:t>
      </w:r>
      <w:r w:rsidR="00400466" w:rsidRPr="00A87091">
        <w:rPr>
          <w:rFonts w:ascii="Arial" w:eastAsia="Calibri" w:hAnsi="Arial" w:cs="Arial"/>
          <w:bCs/>
          <w:color w:val="000000" w:themeColor="text1"/>
          <w:sz w:val="22"/>
        </w:rPr>
        <w:t xml:space="preserve"> exigibilidad</w:t>
      </w:r>
      <w:r w:rsidRPr="00A87091">
        <w:rPr>
          <w:rFonts w:ascii="Arial" w:eastAsia="Calibri" w:hAnsi="Arial" w:cs="Arial"/>
          <w:bCs/>
          <w:color w:val="000000" w:themeColor="text1"/>
          <w:sz w:val="22"/>
        </w:rPr>
        <w:t xml:space="preserve">. </w:t>
      </w:r>
    </w:p>
    <w:p w14:paraId="26EF600D" w14:textId="5F87E55E" w:rsidR="00834AA0" w:rsidRPr="00A87091" w:rsidRDefault="00400466" w:rsidP="00834AA0">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Sin perjuicio de los anterior, </w:t>
      </w:r>
      <w:r w:rsidR="00834AA0" w:rsidRPr="00A87091">
        <w:rPr>
          <w:rFonts w:ascii="Arial" w:eastAsia="Calibri" w:hAnsi="Arial" w:cs="Arial"/>
          <w:bCs/>
          <w:color w:val="000000" w:themeColor="text1"/>
          <w:sz w:val="22"/>
        </w:rPr>
        <w:t xml:space="preserve">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6D17BEAA" w14:textId="01CA6C62" w:rsidR="00400466" w:rsidRPr="00A87091" w:rsidRDefault="00834AA0" w:rsidP="00834AA0">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w:t>
      </w:r>
      <w:r w:rsidR="00623899" w:rsidRPr="00A87091">
        <w:rPr>
          <w:rFonts w:ascii="Arial" w:eastAsia="Calibri" w:hAnsi="Arial" w:cs="Arial"/>
          <w:bCs/>
          <w:color w:val="000000" w:themeColor="text1"/>
          <w:sz w:val="22"/>
        </w:rPr>
        <w:t>en</w:t>
      </w:r>
      <w:r w:rsidRPr="00A87091">
        <w:rPr>
          <w:rFonts w:ascii="Arial" w:eastAsia="Calibri" w:hAnsi="Arial" w:cs="Arial"/>
          <w:bCs/>
          <w:color w:val="000000" w:themeColor="text1"/>
          <w:sz w:val="22"/>
        </w:rPr>
        <w:t xml:space="preserve">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F817691" w14:textId="44A8754E" w:rsidR="004D0734" w:rsidRPr="00A87091" w:rsidRDefault="00CF3226" w:rsidP="00834AA0">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D20132" w:rsidRPr="00A87091">
        <w:rPr>
          <w:rFonts w:ascii="Arial" w:eastAsia="Calibri" w:hAnsi="Arial" w:cs="Arial"/>
          <w:bCs/>
          <w:color w:val="000000" w:themeColor="text1"/>
          <w:sz w:val="22"/>
        </w:rPr>
        <w:t>Este criterio también</w:t>
      </w:r>
      <w:r w:rsidR="004D0734" w:rsidRPr="00A87091">
        <w:rPr>
          <w:rFonts w:ascii="Arial" w:eastAsia="Calibri" w:hAnsi="Arial" w:cs="Arial"/>
          <w:bCs/>
          <w:color w:val="000000" w:themeColor="text1"/>
          <w:sz w:val="22"/>
        </w:rPr>
        <w:t xml:space="preserve"> es</w:t>
      </w:r>
      <w:r w:rsidR="00D20132" w:rsidRPr="00A87091">
        <w:rPr>
          <w:rFonts w:ascii="Arial" w:eastAsia="Calibri" w:hAnsi="Arial" w:cs="Arial"/>
          <w:bCs/>
          <w:color w:val="000000" w:themeColor="text1"/>
          <w:sz w:val="22"/>
        </w:rPr>
        <w:t xml:space="preserve"> aplicable a los documentos tipo adoptados mediante las</w:t>
      </w:r>
      <w:r w:rsidR="004D0734" w:rsidRPr="00A87091">
        <w:rPr>
          <w:rFonts w:ascii="Arial" w:eastAsia="Calibri" w:hAnsi="Arial" w:cs="Arial"/>
          <w:bCs/>
          <w:color w:val="000000" w:themeColor="text1"/>
          <w:sz w:val="22"/>
        </w:rPr>
        <w:t xml:space="preserve"> Resoluciones 248 y 249 del 1º de diciembre de 2020, pues si bien el numeral 2.6 del documento base se refiere a los factores de desempate del artículo 2.2.1.1.2.2.9 del Decreto 1082 de 2015, el numeral 1.17, literal H, dispone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w:t>
      </w:r>
      <w:r w:rsidR="00133C31" w:rsidRPr="00A87091">
        <w:rPr>
          <w:rFonts w:ascii="Arial" w:eastAsia="Calibri" w:hAnsi="Arial" w:cs="Arial"/>
          <w:bCs/>
          <w:color w:val="000000" w:themeColor="text1"/>
          <w:sz w:val="22"/>
        </w:rPr>
        <w:t>s</w:t>
      </w:r>
      <w:r w:rsidR="004D0734" w:rsidRPr="00A87091">
        <w:rPr>
          <w:rFonts w:ascii="Arial" w:eastAsia="Calibri" w:hAnsi="Arial" w:cs="Arial"/>
          <w:bCs/>
          <w:color w:val="000000" w:themeColor="text1"/>
          <w:sz w:val="22"/>
        </w:rPr>
        <w:t xml:space="preserve"> en los documentos tipo conforme </w:t>
      </w:r>
      <w:r w:rsidR="00133C31" w:rsidRPr="00A87091">
        <w:rPr>
          <w:rFonts w:ascii="Arial" w:eastAsia="Calibri" w:hAnsi="Arial" w:cs="Arial"/>
          <w:bCs/>
          <w:color w:val="000000" w:themeColor="text1"/>
          <w:sz w:val="22"/>
        </w:rPr>
        <w:t xml:space="preserve">al </w:t>
      </w:r>
      <w:r w:rsidR="004D0734" w:rsidRPr="00A87091">
        <w:rPr>
          <w:rFonts w:ascii="Arial" w:eastAsia="Calibri" w:hAnsi="Arial" w:cs="Arial"/>
          <w:bCs/>
          <w:color w:val="000000" w:themeColor="text1"/>
          <w:sz w:val="22"/>
        </w:rPr>
        <w:t>numeral citado del pliego de condiciones.</w:t>
      </w:r>
    </w:p>
    <w:p w14:paraId="4DACAD9D" w14:textId="22AA3E0E" w:rsidR="00CF3226" w:rsidRPr="00A87091" w:rsidRDefault="004C2749" w:rsidP="00D11D20">
      <w:pPr>
        <w:shd w:val="clear" w:color="auto" w:fill="FFFFFF"/>
        <w:spacing w:after="120" w:line="276" w:lineRule="auto"/>
        <w:ind w:right="51" w:firstLine="709"/>
        <w:jc w:val="both"/>
        <w:rPr>
          <w:rFonts w:ascii="Arial" w:eastAsia="Calibri" w:hAnsi="Arial" w:cs="Arial"/>
          <w:bCs/>
          <w:sz w:val="22"/>
        </w:rPr>
      </w:pPr>
      <w:r w:rsidRPr="00A87091">
        <w:rPr>
          <w:rFonts w:ascii="Arial" w:eastAsia="Calibri" w:hAnsi="Arial" w:cs="Arial"/>
          <w:bCs/>
          <w:sz w:val="22"/>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Expedida la resolución correspondiente quedará limitada la </w:t>
      </w:r>
      <w:r w:rsidRPr="00A87091">
        <w:rPr>
          <w:rFonts w:ascii="Arial" w:eastAsia="Calibri" w:hAnsi="Arial" w:cs="Arial"/>
          <w:bCs/>
          <w:sz w:val="22"/>
        </w:rPr>
        <w:lastRenderedPageBreak/>
        <w:t>discrecionalidad de las entidades estatales en lo que se refiere a la forma de acreditar los factores de desempate, dado que –conforme a la Ley 2022 de 2020– las entidades deberán aplicar obligatoriamente las modificaciones que se hagan a los documentos tipo</w:t>
      </w:r>
      <w:r w:rsidR="00D11D20" w:rsidRPr="00A87091">
        <w:rPr>
          <w:rFonts w:ascii="Arial" w:eastAsia="Calibri" w:hAnsi="Arial" w:cs="Arial"/>
          <w:bCs/>
          <w:sz w:val="22"/>
        </w:rPr>
        <w:t xml:space="preserve">.  </w:t>
      </w:r>
      <w:r w:rsidR="00D20132" w:rsidRPr="00A87091">
        <w:rPr>
          <w:rFonts w:ascii="Arial" w:eastAsia="Calibri" w:hAnsi="Arial" w:cs="Arial"/>
          <w:bCs/>
          <w:color w:val="000000" w:themeColor="text1"/>
          <w:sz w:val="22"/>
        </w:rPr>
        <w:t xml:space="preserve"> </w:t>
      </w:r>
    </w:p>
    <w:p w14:paraId="4ED705FD" w14:textId="30A54803" w:rsidR="00132DBE" w:rsidRPr="00A87091" w:rsidRDefault="00882A05" w:rsidP="00A57F88">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bookmarkStart w:id="23" w:name="_Hlk63884375"/>
      <w:r w:rsidR="00834AA0" w:rsidRPr="00A87091">
        <w:rPr>
          <w:rFonts w:ascii="Arial" w:eastAsia="Calibri" w:hAnsi="Arial" w:cs="Arial"/>
          <w:bCs/>
          <w:color w:val="000000" w:themeColor="text1"/>
          <w:sz w:val="22"/>
        </w:rPr>
        <w:t>Ahora bien</w:t>
      </w:r>
      <w:r w:rsidRPr="00A87091">
        <w:rPr>
          <w:rFonts w:ascii="Arial" w:eastAsia="Calibri" w:hAnsi="Arial" w:cs="Arial"/>
          <w:bCs/>
          <w:color w:val="000000" w:themeColor="text1"/>
          <w:sz w:val="22"/>
        </w:rPr>
        <w:t>, la relación entr</w:t>
      </w:r>
      <w:r w:rsidR="00BB1223" w:rsidRPr="00A87091">
        <w:rPr>
          <w:rFonts w:ascii="Arial" w:eastAsia="Calibri" w:hAnsi="Arial" w:cs="Arial"/>
          <w:bCs/>
          <w:color w:val="000000" w:themeColor="text1"/>
          <w:sz w:val="22"/>
        </w:rPr>
        <w:t>e</w:t>
      </w:r>
      <w:r w:rsidRPr="00A87091">
        <w:rPr>
          <w:rFonts w:ascii="Arial" w:eastAsia="Calibri" w:hAnsi="Arial" w:cs="Arial"/>
          <w:bCs/>
          <w:color w:val="000000" w:themeColor="text1"/>
          <w:sz w:val="22"/>
        </w:rPr>
        <w:t xml:space="preserve"> </w:t>
      </w:r>
      <w:r w:rsidR="0054595C" w:rsidRPr="00A87091">
        <w:rPr>
          <w:rFonts w:ascii="Arial" w:eastAsia="Calibri" w:hAnsi="Arial" w:cs="Arial"/>
          <w:bCs/>
          <w:color w:val="000000" w:themeColor="text1"/>
          <w:sz w:val="22"/>
        </w:rPr>
        <w:t>estas dos (2) fuentes del derecho</w:t>
      </w:r>
      <w:r w:rsidRPr="00A87091">
        <w:rPr>
          <w:rFonts w:ascii="Arial" w:eastAsia="Calibri" w:hAnsi="Arial" w:cs="Arial"/>
          <w:bCs/>
          <w:color w:val="000000" w:themeColor="text1"/>
          <w:sz w:val="22"/>
        </w:rPr>
        <w:t xml:space="preserve"> es</w:t>
      </w:r>
      <w:r w:rsidR="0054595C" w:rsidRPr="00A87091">
        <w:rPr>
          <w:rFonts w:ascii="Arial" w:eastAsia="Calibri" w:hAnsi="Arial" w:cs="Arial"/>
          <w:bCs/>
          <w:color w:val="000000" w:themeColor="text1"/>
          <w:sz w:val="22"/>
        </w:rPr>
        <w:t xml:space="preserve"> totalmente</w:t>
      </w:r>
      <w:r w:rsidRPr="00A87091">
        <w:rPr>
          <w:rFonts w:ascii="Arial" w:eastAsia="Calibri" w:hAnsi="Arial" w:cs="Arial"/>
          <w:bCs/>
          <w:color w:val="000000" w:themeColor="text1"/>
          <w:sz w:val="22"/>
        </w:rPr>
        <w:t xml:space="preserve"> </w:t>
      </w:r>
      <w:r w:rsidR="00BB1223" w:rsidRPr="00A87091">
        <w:rPr>
          <w:rFonts w:ascii="Arial" w:eastAsia="Calibri" w:hAnsi="Arial" w:cs="Arial"/>
          <w:bCs/>
          <w:color w:val="000000" w:themeColor="text1"/>
          <w:sz w:val="22"/>
        </w:rPr>
        <w:t xml:space="preserve">diferente en la </w:t>
      </w:r>
      <w:r w:rsidR="00BB1223" w:rsidRPr="00A87091">
        <w:rPr>
          <w:rFonts w:ascii="Arial" w:eastAsia="Calibri" w:hAnsi="Arial" w:cs="Arial"/>
          <w:bCs/>
          <w:i/>
          <w:iCs/>
          <w:color w:val="000000" w:themeColor="text1"/>
          <w:sz w:val="22"/>
        </w:rPr>
        <w:t>tesis de la reglamentación</w:t>
      </w:r>
      <w:r w:rsidR="00BB1223" w:rsidRPr="00A87091">
        <w:rPr>
          <w:rFonts w:ascii="Arial" w:eastAsia="Calibri" w:hAnsi="Arial" w:cs="Arial"/>
          <w:bCs/>
          <w:color w:val="000000" w:themeColor="text1"/>
          <w:sz w:val="22"/>
        </w:rPr>
        <w:t xml:space="preserve">. </w:t>
      </w:r>
      <w:r w:rsidR="0054595C" w:rsidRPr="00A87091">
        <w:rPr>
          <w:rFonts w:ascii="Arial" w:eastAsia="Calibri" w:hAnsi="Arial" w:cs="Arial"/>
          <w:bCs/>
          <w:color w:val="000000" w:themeColor="text1"/>
          <w:sz w:val="22"/>
        </w:rPr>
        <w:t>Para estos efectos, si bien el Congreso de la República conserva la cláusula general de competencia normativa para la expedición de las leyes, sujeta su aplicación a una norma de menor jerarquía que regule aspectos de detalle</w:t>
      </w:r>
      <w:r w:rsidR="000A2BEF" w:rsidRPr="00A87091">
        <w:rPr>
          <w:rFonts w:ascii="Arial" w:eastAsia="Calibri" w:hAnsi="Arial" w:cs="Arial"/>
          <w:bCs/>
          <w:color w:val="000000" w:themeColor="text1"/>
          <w:sz w:val="22"/>
        </w:rPr>
        <w:t xml:space="preserve">, por lo que exige </w:t>
      </w:r>
      <w:r w:rsidR="0054595C" w:rsidRPr="00A87091">
        <w:rPr>
          <w:rFonts w:ascii="Arial" w:eastAsia="Calibri" w:hAnsi="Arial" w:cs="Arial"/>
          <w:bCs/>
          <w:color w:val="000000" w:themeColor="text1"/>
          <w:sz w:val="22"/>
        </w:rPr>
        <w:t xml:space="preserve">la </w:t>
      </w:r>
      <w:r w:rsidR="000A2BEF" w:rsidRPr="00A87091">
        <w:rPr>
          <w:rFonts w:ascii="Arial" w:eastAsia="Calibri" w:hAnsi="Arial" w:cs="Arial"/>
          <w:bCs/>
          <w:color w:val="000000" w:themeColor="text1"/>
          <w:sz w:val="22"/>
        </w:rPr>
        <w:t>expedición del decreto reglamentario correspondiente</w:t>
      </w:r>
      <w:bookmarkEnd w:id="23"/>
      <w:r w:rsidR="000A2BEF" w:rsidRPr="00A87091">
        <w:rPr>
          <w:rFonts w:ascii="Arial" w:eastAsia="Calibri" w:hAnsi="Arial" w:cs="Arial"/>
          <w:bCs/>
          <w:color w:val="000000" w:themeColor="text1"/>
          <w:sz w:val="22"/>
        </w:rPr>
        <w:t xml:space="preserve">. Este el caso </w:t>
      </w:r>
      <w:r w:rsidR="009F2056" w:rsidRPr="00A87091">
        <w:rPr>
          <w:rFonts w:ascii="Arial" w:eastAsia="Calibri" w:hAnsi="Arial" w:cs="Arial"/>
          <w:bCs/>
          <w:color w:val="000000" w:themeColor="text1"/>
          <w:sz w:val="22"/>
        </w:rPr>
        <w:t>de los</w:t>
      </w:r>
      <w:r w:rsidR="009F2056" w:rsidRPr="00A87091">
        <w:rPr>
          <w:rFonts w:ascii="Arial" w:eastAsia="Calibri" w:hAnsi="Arial" w:cs="Arial"/>
          <w:color w:val="000000" w:themeColor="text1"/>
          <w:sz w:val="22"/>
          <w:lang w:val="es-ES_tradnl"/>
        </w:rPr>
        <w:t xml:space="preserve"> artículos 31, 32, 34 y 36 de la Ley de Emprendimiento</w:t>
      </w:r>
      <w:r w:rsidR="005C0309" w:rsidRPr="00A87091">
        <w:rPr>
          <w:rFonts w:ascii="Arial" w:eastAsia="Calibri" w:hAnsi="Arial" w:cs="Arial"/>
          <w:bCs/>
          <w:color w:val="000000" w:themeColor="text1"/>
          <w:sz w:val="22"/>
        </w:rPr>
        <w:t xml:space="preserve">. </w:t>
      </w:r>
    </w:p>
    <w:p w14:paraId="15626209" w14:textId="6F8834D2" w:rsidR="000D6C6D" w:rsidRPr="00A87091" w:rsidRDefault="00132DBE" w:rsidP="00A57F88">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9F2056" w:rsidRPr="00A87091">
        <w:rPr>
          <w:rFonts w:ascii="Arial" w:eastAsia="Calibri" w:hAnsi="Arial" w:cs="Arial"/>
          <w:bCs/>
          <w:color w:val="000000" w:themeColor="text1"/>
          <w:sz w:val="22"/>
        </w:rPr>
        <w:t>En efecto</w:t>
      </w:r>
      <w:r w:rsidR="005C0309" w:rsidRPr="00A87091">
        <w:rPr>
          <w:rFonts w:ascii="Arial" w:eastAsia="Calibri" w:hAnsi="Arial" w:cs="Arial"/>
          <w:bCs/>
          <w:color w:val="000000" w:themeColor="text1"/>
          <w:sz w:val="22"/>
        </w:rPr>
        <w:t xml:space="preserve">, </w:t>
      </w:r>
      <w:r w:rsidR="009F2056" w:rsidRPr="00A87091">
        <w:rPr>
          <w:rFonts w:ascii="Arial" w:eastAsia="Calibri" w:hAnsi="Arial" w:cs="Arial"/>
          <w:bCs/>
          <w:color w:val="000000" w:themeColor="text1"/>
          <w:sz w:val="22"/>
        </w:rPr>
        <w:t xml:space="preserve">estas disposiciones </w:t>
      </w:r>
      <w:r w:rsidR="005C0309" w:rsidRPr="00A87091">
        <w:rPr>
          <w:rFonts w:ascii="Arial" w:eastAsia="Calibri" w:hAnsi="Arial" w:cs="Arial"/>
          <w:bCs/>
          <w:color w:val="000000" w:themeColor="text1"/>
          <w:sz w:val="22"/>
        </w:rPr>
        <w:t>contiene</w:t>
      </w:r>
      <w:r w:rsidR="009F2056" w:rsidRPr="00A87091">
        <w:rPr>
          <w:rFonts w:ascii="Arial" w:eastAsia="Calibri" w:hAnsi="Arial" w:cs="Arial"/>
          <w:bCs/>
          <w:color w:val="000000" w:themeColor="text1"/>
          <w:sz w:val="22"/>
        </w:rPr>
        <w:t>n</w:t>
      </w:r>
      <w:r w:rsidR="005C0309" w:rsidRPr="00A87091">
        <w:rPr>
          <w:rFonts w:ascii="Arial" w:eastAsia="Calibri" w:hAnsi="Arial" w:cs="Arial"/>
          <w:bCs/>
          <w:color w:val="000000" w:themeColor="text1"/>
          <w:sz w:val="22"/>
        </w:rPr>
        <w:t xml:space="preserve"> un mandato de reglamentación que debe acatar el </w:t>
      </w:r>
      <w:r w:rsidR="009F2056" w:rsidRPr="00A87091">
        <w:rPr>
          <w:rFonts w:ascii="Arial" w:eastAsia="Calibri" w:hAnsi="Arial" w:cs="Arial"/>
          <w:bCs/>
          <w:color w:val="000000" w:themeColor="text1"/>
          <w:sz w:val="22"/>
        </w:rPr>
        <w:t>Gobierno Nacional</w:t>
      </w:r>
      <w:r w:rsidR="00BE35F3" w:rsidRPr="00A87091">
        <w:rPr>
          <w:rStyle w:val="Refdenotaalpie"/>
          <w:rFonts w:ascii="Arial" w:eastAsia="Calibri" w:hAnsi="Arial" w:cs="Arial"/>
          <w:bCs/>
          <w:color w:val="000000" w:themeColor="text1"/>
          <w:sz w:val="22"/>
        </w:rPr>
        <w:footnoteReference w:id="13"/>
      </w:r>
      <w:r w:rsidR="005C0309" w:rsidRPr="00A87091">
        <w:rPr>
          <w:rFonts w:ascii="Arial" w:eastAsia="Calibri" w:hAnsi="Arial" w:cs="Arial"/>
          <w:bCs/>
          <w:color w:val="000000" w:themeColor="text1"/>
          <w:sz w:val="22"/>
        </w:rPr>
        <w:t xml:space="preserve">. </w:t>
      </w:r>
      <w:r w:rsidRPr="00A87091">
        <w:rPr>
          <w:rFonts w:ascii="Arial" w:eastAsia="Calibri" w:hAnsi="Arial" w:cs="Arial"/>
          <w:bCs/>
          <w:color w:val="000000" w:themeColor="text1"/>
          <w:sz w:val="22"/>
        </w:rPr>
        <w:t>Sin el decreto la ley es inaplicable</w:t>
      </w:r>
      <w:r w:rsidR="00BE4E3F"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xml:space="preserve"> porque delega en una fuente de inferior jerarquía la definición de los aspectos relevantes para efectividad de los mandatos contenidos en</w:t>
      </w:r>
      <w:r w:rsidR="00BE4E3F" w:rsidRPr="00A87091">
        <w:rPr>
          <w:rFonts w:ascii="Arial" w:eastAsia="Calibri" w:hAnsi="Arial" w:cs="Arial"/>
          <w:bCs/>
          <w:color w:val="000000" w:themeColor="text1"/>
          <w:sz w:val="22"/>
        </w:rPr>
        <w:t xml:space="preserve"> la misma. En estos casos, la omisión reglamentaria genera una </w:t>
      </w:r>
      <w:r w:rsidR="00BE4E3F" w:rsidRPr="00A87091">
        <w:rPr>
          <w:rFonts w:ascii="Arial" w:eastAsia="Calibri" w:hAnsi="Arial" w:cs="Arial"/>
          <w:bCs/>
          <w:i/>
          <w:iCs/>
          <w:color w:val="000000" w:themeColor="text1"/>
          <w:sz w:val="22"/>
        </w:rPr>
        <w:t>laguna técnica</w:t>
      </w:r>
      <w:r w:rsidR="00BE4E3F" w:rsidRPr="00A87091">
        <w:rPr>
          <w:rFonts w:ascii="Arial" w:eastAsia="Calibri" w:hAnsi="Arial" w:cs="Arial"/>
          <w:bCs/>
          <w:color w:val="000000" w:themeColor="text1"/>
          <w:sz w:val="22"/>
        </w:rPr>
        <w:t xml:space="preserve">, </w:t>
      </w:r>
      <w:r w:rsidR="00363D0D" w:rsidRPr="00A87091">
        <w:rPr>
          <w:rFonts w:ascii="Arial" w:eastAsia="Calibri" w:hAnsi="Arial" w:cs="Arial"/>
          <w:bCs/>
          <w:color w:val="000000" w:themeColor="text1"/>
          <w:sz w:val="22"/>
        </w:rPr>
        <w:t xml:space="preserve">la cual se produce </w:t>
      </w:r>
      <w:r w:rsidR="001A2D72" w:rsidRPr="00A87091">
        <w:rPr>
          <w:rFonts w:ascii="Arial" w:eastAsia="Calibri" w:hAnsi="Arial" w:cs="Arial"/>
          <w:bCs/>
          <w:color w:val="000000" w:themeColor="text1"/>
          <w:sz w:val="22"/>
        </w:rPr>
        <w:t xml:space="preserve">«[…] cuando falta en [el ordenamiento] una norma cuya existencia </w:t>
      </w:r>
      <w:r w:rsidR="0053325A" w:rsidRPr="00A87091">
        <w:rPr>
          <w:rFonts w:ascii="Arial" w:eastAsia="Calibri" w:hAnsi="Arial" w:cs="Arial"/>
          <w:bCs/>
          <w:color w:val="000000" w:themeColor="text1"/>
          <w:sz w:val="22"/>
        </w:rPr>
        <w:t>es condición necesaria para la eficacia (y/o para la efectividad) de otra norma. Sucede por tanto que una norma no puede producir efectos jurídicos (y/o no puede ser obedecida o aplicada) en ausencia de otras normas que […] la concreten» (Corchetes fuera de texto)</w:t>
      </w:r>
      <w:r w:rsidR="0053325A" w:rsidRPr="00A87091">
        <w:rPr>
          <w:rStyle w:val="Refdenotaalpie"/>
          <w:rFonts w:ascii="Arial" w:eastAsia="Calibri" w:hAnsi="Arial" w:cs="Arial"/>
          <w:bCs/>
          <w:color w:val="000000" w:themeColor="text1"/>
          <w:sz w:val="22"/>
        </w:rPr>
        <w:footnoteReference w:id="14"/>
      </w:r>
      <w:r w:rsidR="0053325A" w:rsidRPr="00A87091">
        <w:rPr>
          <w:rFonts w:ascii="Arial" w:eastAsia="Calibri" w:hAnsi="Arial" w:cs="Arial"/>
          <w:bCs/>
          <w:color w:val="000000" w:themeColor="text1"/>
          <w:sz w:val="22"/>
        </w:rPr>
        <w:t>.</w:t>
      </w:r>
    </w:p>
    <w:p w14:paraId="59DF8FF2" w14:textId="57464B20" w:rsidR="00122311" w:rsidRPr="00A87091" w:rsidRDefault="00122311" w:rsidP="00A57F88">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Este tipo de lagunas no </w:t>
      </w:r>
      <w:r w:rsidR="00854F21" w:rsidRPr="00A87091">
        <w:rPr>
          <w:rFonts w:ascii="Arial" w:eastAsia="Calibri" w:hAnsi="Arial" w:cs="Arial"/>
          <w:bCs/>
          <w:color w:val="000000" w:themeColor="text1"/>
          <w:sz w:val="22"/>
        </w:rPr>
        <w:t>son</w:t>
      </w:r>
      <w:r w:rsidRPr="00A87091">
        <w:rPr>
          <w:rFonts w:ascii="Arial" w:eastAsia="Calibri" w:hAnsi="Arial" w:cs="Arial"/>
          <w:bCs/>
          <w:color w:val="000000" w:themeColor="text1"/>
          <w:sz w:val="22"/>
        </w:rPr>
        <w:t xml:space="preserve"> ajen</w:t>
      </w:r>
      <w:r w:rsidR="00854F21" w:rsidRPr="00A87091">
        <w:rPr>
          <w:rFonts w:ascii="Arial" w:eastAsia="Calibri" w:hAnsi="Arial" w:cs="Arial"/>
          <w:bCs/>
          <w:color w:val="000000" w:themeColor="text1"/>
          <w:sz w:val="22"/>
        </w:rPr>
        <w:t>as</w:t>
      </w:r>
      <w:r w:rsidRPr="00A87091">
        <w:rPr>
          <w:rFonts w:ascii="Arial" w:eastAsia="Calibri" w:hAnsi="Arial" w:cs="Arial"/>
          <w:bCs/>
          <w:color w:val="000000" w:themeColor="text1"/>
          <w:sz w:val="22"/>
        </w:rPr>
        <w:t xml:space="preserve"> </w:t>
      </w:r>
      <w:r w:rsidR="002F6EF8" w:rsidRPr="00A87091">
        <w:rPr>
          <w:rFonts w:ascii="Arial" w:eastAsia="Calibri" w:hAnsi="Arial" w:cs="Arial"/>
          <w:bCs/>
          <w:color w:val="000000" w:themeColor="text1"/>
          <w:sz w:val="22"/>
        </w:rPr>
        <w:t>a la contratación estatal, ya que</w:t>
      </w:r>
      <w:r w:rsidR="0081329F" w:rsidRPr="00A87091">
        <w:rPr>
          <w:rFonts w:ascii="Arial" w:eastAsia="Calibri" w:hAnsi="Arial" w:cs="Arial"/>
          <w:bCs/>
          <w:color w:val="000000" w:themeColor="text1"/>
          <w:sz w:val="22"/>
        </w:rPr>
        <w:t xml:space="preserve"> –conforme a los antecedentes de la consulta–</w:t>
      </w:r>
      <w:r w:rsidR="002F6EF8" w:rsidRPr="00A87091">
        <w:rPr>
          <w:rFonts w:ascii="Arial" w:eastAsia="Calibri" w:hAnsi="Arial" w:cs="Arial"/>
          <w:bCs/>
          <w:color w:val="000000" w:themeColor="text1"/>
          <w:sz w:val="22"/>
        </w:rPr>
        <w:t xml:space="preserve"> </w:t>
      </w:r>
      <w:r w:rsidR="00DF5688" w:rsidRPr="00A87091">
        <w:rPr>
          <w:rFonts w:ascii="Arial" w:eastAsia="Calibri" w:hAnsi="Arial" w:cs="Arial"/>
          <w:bCs/>
          <w:color w:val="000000" w:themeColor="text1"/>
          <w:sz w:val="22"/>
        </w:rPr>
        <w:t xml:space="preserve">el </w:t>
      </w:r>
      <w:r w:rsidR="00937277" w:rsidRPr="00A87091">
        <w:rPr>
          <w:rFonts w:ascii="Arial" w:eastAsia="Calibri" w:hAnsi="Arial" w:cs="Arial"/>
          <w:bCs/>
          <w:color w:val="000000" w:themeColor="text1"/>
          <w:sz w:val="22"/>
        </w:rPr>
        <w:t xml:space="preserve">procedimiento para la cesión unilateral del contrato </w:t>
      </w:r>
      <w:r w:rsidR="00CD5B4D" w:rsidRPr="00A87091">
        <w:rPr>
          <w:rFonts w:ascii="Arial" w:eastAsia="Calibri" w:hAnsi="Arial" w:cs="Arial"/>
          <w:bCs/>
          <w:color w:val="000000" w:themeColor="text1"/>
          <w:sz w:val="22"/>
        </w:rPr>
        <w:t xml:space="preserve">del artículo </w:t>
      </w:r>
      <w:r w:rsidR="008D20F8" w:rsidRPr="00A87091">
        <w:rPr>
          <w:rFonts w:ascii="Arial" w:eastAsia="Calibri" w:hAnsi="Arial" w:cs="Arial"/>
          <w:bCs/>
          <w:color w:val="000000" w:themeColor="text1"/>
          <w:sz w:val="22"/>
        </w:rPr>
        <w:t>9</w:t>
      </w:r>
      <w:r w:rsidR="00CD5B4D" w:rsidRPr="00A87091">
        <w:rPr>
          <w:rFonts w:ascii="Arial" w:eastAsia="Calibri" w:hAnsi="Arial" w:cs="Arial"/>
          <w:bCs/>
          <w:color w:val="000000" w:themeColor="text1"/>
          <w:sz w:val="22"/>
        </w:rPr>
        <w:t xml:space="preserve"> de la Ley </w:t>
      </w:r>
      <w:r w:rsidR="00DF5688" w:rsidRPr="00A87091">
        <w:rPr>
          <w:rFonts w:ascii="Arial" w:eastAsia="Calibri" w:hAnsi="Arial" w:cs="Arial"/>
          <w:bCs/>
          <w:color w:val="000000" w:themeColor="text1"/>
          <w:sz w:val="22"/>
        </w:rPr>
        <w:t>2014 de 2019</w:t>
      </w:r>
      <w:r w:rsidR="00CD5B4D" w:rsidRPr="00A87091">
        <w:rPr>
          <w:rFonts w:ascii="Arial" w:eastAsia="Calibri" w:hAnsi="Arial" w:cs="Arial"/>
          <w:bCs/>
          <w:color w:val="000000" w:themeColor="text1"/>
          <w:sz w:val="22"/>
        </w:rPr>
        <w:t xml:space="preserve"> también est</w:t>
      </w:r>
      <w:r w:rsidR="003B6378" w:rsidRPr="00A87091">
        <w:rPr>
          <w:rFonts w:ascii="Arial" w:eastAsia="Calibri" w:hAnsi="Arial" w:cs="Arial"/>
          <w:bCs/>
          <w:color w:val="000000" w:themeColor="text1"/>
          <w:sz w:val="22"/>
        </w:rPr>
        <w:t>á</w:t>
      </w:r>
      <w:r w:rsidR="00CD5B4D" w:rsidRPr="00A87091">
        <w:rPr>
          <w:rFonts w:ascii="Arial" w:eastAsia="Calibri" w:hAnsi="Arial" w:cs="Arial"/>
          <w:bCs/>
          <w:color w:val="000000" w:themeColor="text1"/>
          <w:sz w:val="22"/>
        </w:rPr>
        <w:t xml:space="preserve"> condicionad</w:t>
      </w:r>
      <w:r w:rsidR="00DF5688" w:rsidRPr="00A87091">
        <w:rPr>
          <w:rFonts w:ascii="Arial" w:eastAsia="Calibri" w:hAnsi="Arial" w:cs="Arial"/>
          <w:bCs/>
          <w:color w:val="000000" w:themeColor="text1"/>
          <w:sz w:val="22"/>
        </w:rPr>
        <w:t>o</w:t>
      </w:r>
      <w:r w:rsidR="00CD5B4D" w:rsidRPr="00A87091">
        <w:rPr>
          <w:rFonts w:ascii="Arial" w:eastAsia="Calibri" w:hAnsi="Arial" w:cs="Arial"/>
          <w:bCs/>
          <w:color w:val="000000" w:themeColor="text1"/>
          <w:sz w:val="22"/>
        </w:rPr>
        <w:t xml:space="preserve"> por su reglamentación previa </w:t>
      </w:r>
      <w:r w:rsidR="00CD5B4D" w:rsidRPr="00A87091">
        <w:rPr>
          <w:rFonts w:ascii="Arial" w:eastAsia="Calibri" w:hAnsi="Arial" w:cs="Arial"/>
          <w:bCs/>
          <w:color w:val="000000" w:themeColor="text1"/>
          <w:sz w:val="22"/>
        </w:rPr>
        <w:lastRenderedPageBreak/>
        <w:t xml:space="preserve">en los términos del </w:t>
      </w:r>
      <w:r w:rsidR="00DF5688" w:rsidRPr="00A87091">
        <w:rPr>
          <w:rFonts w:ascii="Arial" w:eastAsia="Calibri" w:hAnsi="Arial" w:cs="Arial"/>
          <w:bCs/>
          <w:color w:val="000000" w:themeColor="text1"/>
          <w:sz w:val="22"/>
        </w:rPr>
        <w:t>parágrafo 2</w:t>
      </w:r>
      <w:r w:rsidR="00CD5B4D" w:rsidRPr="00A87091">
        <w:rPr>
          <w:rFonts w:ascii="Arial" w:eastAsia="Calibri" w:hAnsi="Arial" w:cs="Arial"/>
          <w:bCs/>
          <w:color w:val="000000" w:themeColor="text1"/>
          <w:sz w:val="22"/>
        </w:rPr>
        <w:t xml:space="preserve"> </w:t>
      </w:r>
      <w:r w:rsidR="00CD5B4D" w:rsidRPr="00A87091">
        <w:rPr>
          <w:rFonts w:ascii="Arial" w:eastAsia="Calibri" w:hAnsi="Arial" w:cs="Arial"/>
          <w:bCs/>
          <w:i/>
          <w:iCs/>
          <w:color w:val="000000" w:themeColor="text1"/>
          <w:sz w:val="22"/>
        </w:rPr>
        <w:t>ibidem</w:t>
      </w:r>
      <w:r w:rsidR="00E611D3" w:rsidRPr="00A87091">
        <w:rPr>
          <w:rStyle w:val="Refdenotaalpie"/>
          <w:rFonts w:ascii="Arial" w:eastAsia="Calibri" w:hAnsi="Arial" w:cs="Arial"/>
          <w:bCs/>
          <w:i/>
          <w:iCs/>
          <w:color w:val="000000" w:themeColor="text1"/>
          <w:sz w:val="22"/>
        </w:rPr>
        <w:footnoteReference w:id="15"/>
      </w:r>
      <w:r w:rsidR="00903844" w:rsidRPr="00A87091">
        <w:rPr>
          <w:rFonts w:ascii="Arial" w:eastAsia="Calibri" w:hAnsi="Arial" w:cs="Arial"/>
          <w:bCs/>
          <w:color w:val="000000" w:themeColor="text1"/>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0040085D" w:rsidRPr="00A87091">
        <w:rPr>
          <w:rStyle w:val="Refdenotaalpie"/>
          <w:rFonts w:ascii="Arial" w:eastAsia="Calibri" w:hAnsi="Arial" w:cs="Arial"/>
          <w:bCs/>
          <w:color w:val="000000" w:themeColor="text1"/>
          <w:sz w:val="22"/>
        </w:rPr>
        <w:footnoteReference w:id="16"/>
      </w:r>
      <w:r w:rsidR="0040085D" w:rsidRPr="00A87091">
        <w:rPr>
          <w:rFonts w:ascii="Arial" w:eastAsia="Calibri" w:hAnsi="Arial" w:cs="Arial"/>
          <w:bCs/>
          <w:color w:val="000000" w:themeColor="text1"/>
          <w:sz w:val="22"/>
        </w:rPr>
        <w:t xml:space="preserve">. </w:t>
      </w:r>
    </w:p>
    <w:p w14:paraId="05778DE3" w14:textId="69D3864B" w:rsidR="0040085D" w:rsidRPr="00A87091" w:rsidRDefault="0040085D" w:rsidP="0040085D">
      <w:pPr>
        <w:spacing w:after="120" w:line="276" w:lineRule="auto"/>
        <w:ind w:firstLine="709"/>
        <w:jc w:val="both"/>
        <w:rPr>
          <w:rFonts w:ascii="Arial" w:eastAsia="Calibri" w:hAnsi="Arial" w:cs="Arial"/>
          <w:color w:val="000000" w:themeColor="text1"/>
          <w:sz w:val="22"/>
          <w:lang w:val="es-ES"/>
        </w:rPr>
      </w:pPr>
      <w:r w:rsidRPr="00A87091">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3827E870" w14:textId="3EBCE909" w:rsidR="00E007E6" w:rsidRPr="00A87091" w:rsidRDefault="0040085D" w:rsidP="00E007E6">
      <w:pPr>
        <w:spacing w:line="276" w:lineRule="auto"/>
        <w:ind w:firstLine="709"/>
        <w:jc w:val="both"/>
        <w:rPr>
          <w:rFonts w:ascii="Arial" w:eastAsia="Calibri" w:hAnsi="Arial" w:cs="Arial"/>
          <w:color w:val="000000" w:themeColor="text1"/>
          <w:sz w:val="22"/>
          <w:lang w:val="es-ES"/>
        </w:rPr>
      </w:pPr>
      <w:r w:rsidRPr="00A87091">
        <w:rPr>
          <w:rFonts w:ascii="Arial" w:eastAsia="Calibri" w:hAnsi="Arial" w:cs="Arial"/>
          <w:color w:val="000000" w:themeColor="text1"/>
          <w:sz w:val="22"/>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w:t>
      </w:r>
      <w:r w:rsidR="007154DA" w:rsidRPr="00A87091">
        <w:rPr>
          <w:rFonts w:ascii="Arial" w:eastAsia="Calibri" w:hAnsi="Arial" w:cs="Arial"/>
          <w:color w:val="000000" w:themeColor="text1"/>
          <w:sz w:val="22"/>
          <w:lang w:val="es-ES"/>
        </w:rPr>
        <w:t>; pero</w:t>
      </w:r>
      <w:r w:rsidRPr="00A87091">
        <w:rPr>
          <w:rFonts w:ascii="Arial" w:eastAsia="Calibri" w:hAnsi="Arial" w:cs="Arial"/>
          <w:color w:val="000000" w:themeColor="text1"/>
          <w:sz w:val="22"/>
          <w:lang w:val="es-ES"/>
        </w:rPr>
        <w:t xml:space="preserve"> esas normas no podían aplicarse hasta que no se cumpliera la condición: </w:t>
      </w:r>
      <w:r w:rsidR="00854F21" w:rsidRPr="00A87091">
        <w:rPr>
          <w:rFonts w:ascii="Arial" w:eastAsia="Calibri" w:hAnsi="Arial" w:cs="Arial"/>
          <w:color w:val="000000" w:themeColor="text1"/>
          <w:sz w:val="22"/>
          <w:lang w:val="es-ES"/>
        </w:rPr>
        <w:t xml:space="preserve">la </w:t>
      </w:r>
      <w:r w:rsidRPr="00A87091">
        <w:rPr>
          <w:rFonts w:ascii="Arial" w:eastAsia="Calibri" w:hAnsi="Arial" w:cs="Arial"/>
          <w:color w:val="000000" w:themeColor="text1"/>
          <w:sz w:val="22"/>
          <w:lang w:val="es-ES"/>
        </w:rPr>
        <w:t>expedi</w:t>
      </w:r>
      <w:r w:rsidR="00854F21" w:rsidRPr="00A87091">
        <w:rPr>
          <w:rFonts w:ascii="Arial" w:eastAsia="Calibri" w:hAnsi="Arial" w:cs="Arial"/>
          <w:color w:val="000000" w:themeColor="text1"/>
          <w:sz w:val="22"/>
          <w:lang w:val="es-ES"/>
        </w:rPr>
        <w:t>ción d</w:t>
      </w:r>
      <w:r w:rsidRPr="00A87091">
        <w:rPr>
          <w:rFonts w:ascii="Arial" w:eastAsia="Calibri" w:hAnsi="Arial" w:cs="Arial"/>
          <w:color w:val="000000" w:themeColor="text1"/>
          <w:sz w:val="22"/>
          <w:lang w:val="es-ES"/>
        </w:rPr>
        <w:t>el reglamento</w:t>
      </w:r>
      <w:r w:rsidR="00E007E6" w:rsidRPr="00A87091">
        <w:rPr>
          <w:rFonts w:ascii="Arial" w:eastAsia="Calibri" w:hAnsi="Arial" w:cs="Arial"/>
          <w:color w:val="000000" w:themeColor="text1"/>
          <w:sz w:val="22"/>
          <w:lang w:val="es-ES"/>
        </w:rPr>
        <w:t xml:space="preserve">. Sobre este asunto, es preciso llamar la atención sobre la jurisprudencia. Al respecto, el Consejo de Estado considera que: </w:t>
      </w:r>
    </w:p>
    <w:p w14:paraId="6E0CF04B" w14:textId="77777777" w:rsidR="00E007E6" w:rsidRPr="00A87091"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16B64C3" w14:textId="4765F63D" w:rsidR="00E007E6" w:rsidRPr="00A87091" w:rsidRDefault="00E007E6" w:rsidP="00E007E6">
      <w:pPr>
        <w:shd w:val="clear" w:color="auto" w:fill="FFFFFF"/>
        <w:ind w:left="709" w:right="760"/>
        <w:jc w:val="both"/>
        <w:rPr>
          <w:rFonts w:ascii="Arial" w:eastAsia="Calibri" w:hAnsi="Arial" w:cs="Arial"/>
          <w:color w:val="000000" w:themeColor="text1"/>
          <w:sz w:val="21"/>
          <w:szCs w:val="21"/>
          <w:lang w:val="es-ES"/>
        </w:rPr>
      </w:pPr>
      <w:r w:rsidRPr="00A87091">
        <w:rPr>
          <w:rFonts w:ascii="Arial" w:eastAsia="Calibri" w:hAnsi="Arial" w:cs="Arial"/>
          <w:color w:val="000000" w:themeColor="text1"/>
          <w:sz w:val="21"/>
          <w:szCs w:val="21"/>
          <w:lang w:val="es-ES"/>
        </w:rPr>
        <w:lastRenderedPageBreak/>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A87091">
        <w:rPr>
          <w:rStyle w:val="Refdenotaalpie"/>
          <w:rFonts w:ascii="Arial" w:eastAsia="Calibri" w:hAnsi="Arial" w:cs="Arial"/>
          <w:color w:val="000000" w:themeColor="text1"/>
          <w:sz w:val="21"/>
          <w:szCs w:val="21"/>
          <w:lang w:val="es-ES"/>
        </w:rPr>
        <w:footnoteReference w:id="17"/>
      </w:r>
      <w:r w:rsidRPr="00A87091">
        <w:rPr>
          <w:rFonts w:ascii="Arial" w:eastAsia="Calibri" w:hAnsi="Arial" w:cs="Arial"/>
          <w:color w:val="000000" w:themeColor="text1"/>
          <w:sz w:val="21"/>
          <w:szCs w:val="21"/>
          <w:lang w:val="es-ES"/>
        </w:rPr>
        <w:t>.</w:t>
      </w:r>
    </w:p>
    <w:p w14:paraId="10053587" w14:textId="77777777" w:rsidR="00E007E6" w:rsidRPr="00A87091" w:rsidRDefault="00E007E6" w:rsidP="00F85C73">
      <w:pPr>
        <w:shd w:val="clear" w:color="auto" w:fill="FFFFFF"/>
        <w:spacing w:line="276" w:lineRule="auto"/>
        <w:ind w:left="709" w:right="760"/>
        <w:jc w:val="both"/>
        <w:rPr>
          <w:rFonts w:ascii="Arial" w:eastAsia="Calibri" w:hAnsi="Arial" w:cs="Arial"/>
          <w:color w:val="000000" w:themeColor="text1"/>
          <w:sz w:val="22"/>
          <w:lang w:val="es-ES"/>
        </w:rPr>
      </w:pPr>
    </w:p>
    <w:p w14:paraId="096F1A71" w14:textId="7044D303" w:rsidR="00F53D1E" w:rsidRPr="00A87091" w:rsidRDefault="00E007E6" w:rsidP="001A7DF5">
      <w:pPr>
        <w:shd w:val="clear" w:color="auto" w:fill="FFFFFF"/>
        <w:spacing w:after="120" w:line="276" w:lineRule="auto"/>
        <w:ind w:firstLine="709"/>
        <w:jc w:val="both"/>
        <w:rPr>
          <w:rFonts w:ascii="Arial" w:eastAsia="Calibri" w:hAnsi="Arial" w:cs="Arial"/>
          <w:color w:val="000000" w:themeColor="text1"/>
          <w:sz w:val="22"/>
          <w:lang w:val="es-ES"/>
        </w:rPr>
      </w:pPr>
      <w:bookmarkStart w:id="24" w:name="_Hlk63884655"/>
      <w:r w:rsidRPr="00A87091">
        <w:rPr>
          <w:rFonts w:ascii="Arial" w:eastAsia="Calibri" w:hAnsi="Arial" w:cs="Arial"/>
          <w:color w:val="000000" w:themeColor="text1"/>
          <w:sz w:val="22"/>
          <w:lang w:val="es-ES"/>
        </w:rPr>
        <w:t xml:space="preserve">La referencia hecha en una ley a que el Gobierno Nacional reglamentará la materia </w:t>
      </w:r>
      <w:r w:rsidR="004F4A4D" w:rsidRPr="00A87091">
        <w:rPr>
          <w:rFonts w:ascii="Arial" w:eastAsia="Calibri" w:hAnsi="Arial" w:cs="Arial"/>
          <w:color w:val="000000" w:themeColor="text1"/>
          <w:sz w:val="22"/>
          <w:lang w:val="es-ES"/>
        </w:rPr>
        <w:t>indica</w:t>
      </w:r>
      <w:r w:rsidRPr="00A87091">
        <w:rPr>
          <w:rFonts w:ascii="Arial" w:eastAsia="Calibri" w:hAnsi="Arial" w:cs="Arial"/>
          <w:color w:val="000000" w:themeColor="text1"/>
          <w:sz w:val="22"/>
          <w:lang w:val="es-ES"/>
        </w:rPr>
        <w:t xml:space="preserve"> que el reglamento es indispensable para el cumplimiento de la misma. </w:t>
      </w:r>
      <w:r w:rsidR="006E7418" w:rsidRPr="00A87091">
        <w:rPr>
          <w:rFonts w:ascii="Arial" w:eastAsia="Calibri" w:hAnsi="Arial" w:cs="Arial"/>
          <w:color w:val="000000" w:themeColor="text1"/>
          <w:sz w:val="22"/>
          <w:lang w:val="es-ES"/>
        </w:rPr>
        <w:t>Naturalmente, este</w:t>
      </w:r>
      <w:r w:rsidRPr="00A87091">
        <w:rPr>
          <w:rFonts w:ascii="Arial" w:eastAsia="Calibri" w:hAnsi="Arial" w:cs="Arial"/>
          <w:color w:val="000000" w:themeColor="text1"/>
          <w:sz w:val="22"/>
          <w:lang w:val="es-ES"/>
        </w:rPr>
        <w:t xml:space="preserve"> reconocimiento no siempre implica que la ley </w:t>
      </w:r>
      <w:r w:rsidR="006E7418" w:rsidRPr="00A87091">
        <w:rPr>
          <w:rFonts w:ascii="Arial" w:eastAsia="Calibri" w:hAnsi="Arial" w:cs="Arial"/>
          <w:color w:val="000000" w:themeColor="text1"/>
          <w:sz w:val="22"/>
          <w:lang w:val="es-ES"/>
        </w:rPr>
        <w:t>está</w:t>
      </w:r>
      <w:r w:rsidRPr="00A87091">
        <w:rPr>
          <w:rFonts w:ascii="Arial" w:eastAsia="Calibri" w:hAnsi="Arial" w:cs="Arial"/>
          <w:color w:val="000000" w:themeColor="text1"/>
          <w:sz w:val="22"/>
          <w:lang w:val="es-ES"/>
        </w:rPr>
        <w:t xml:space="preserve"> sometida a condición para entrar </w:t>
      </w:r>
      <w:r w:rsidR="006E7418" w:rsidRPr="00A87091">
        <w:rPr>
          <w:rFonts w:ascii="Arial" w:eastAsia="Calibri" w:hAnsi="Arial" w:cs="Arial"/>
          <w:color w:val="000000" w:themeColor="text1"/>
          <w:sz w:val="22"/>
          <w:lang w:val="es-ES"/>
        </w:rPr>
        <w:t>en vigencia</w:t>
      </w:r>
      <w:r w:rsidRPr="00A87091">
        <w:rPr>
          <w:rFonts w:ascii="Arial" w:eastAsia="Calibri" w:hAnsi="Arial" w:cs="Arial"/>
          <w:color w:val="000000" w:themeColor="text1"/>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24"/>
    <w:p w14:paraId="023D601B" w14:textId="4B2EC334" w:rsidR="001972D2" w:rsidRPr="00A87091" w:rsidRDefault="00C67E1B" w:rsidP="001A7DF5">
      <w:pPr>
        <w:shd w:val="clear" w:color="auto" w:fill="FFFFFF"/>
        <w:spacing w:after="120" w:line="276" w:lineRule="auto"/>
        <w:ind w:firstLine="709"/>
        <w:jc w:val="both"/>
        <w:rPr>
          <w:rFonts w:ascii="Arial" w:eastAsia="Calibri" w:hAnsi="Arial" w:cs="Arial"/>
          <w:bCs/>
          <w:color w:val="000000" w:themeColor="text1"/>
          <w:sz w:val="22"/>
        </w:rPr>
      </w:pPr>
      <w:r w:rsidRPr="00A87091">
        <w:rPr>
          <w:rFonts w:ascii="Arial" w:eastAsia="Calibri" w:hAnsi="Arial" w:cs="Arial"/>
          <w:color w:val="000000" w:themeColor="text1"/>
          <w:sz w:val="22"/>
          <w:lang w:val="es-ES"/>
        </w:rPr>
        <w:t>Para</w:t>
      </w:r>
      <w:r w:rsidR="000156B3" w:rsidRPr="00A87091">
        <w:rPr>
          <w:rFonts w:ascii="Arial" w:eastAsia="Calibri" w:hAnsi="Arial" w:cs="Arial"/>
          <w:color w:val="000000" w:themeColor="text1"/>
          <w:sz w:val="22"/>
          <w:lang w:val="es-ES"/>
        </w:rPr>
        <w:t xml:space="preserve"> la</w:t>
      </w:r>
      <w:r w:rsidRPr="00A87091">
        <w:rPr>
          <w:rFonts w:ascii="Arial" w:eastAsia="Calibri" w:hAnsi="Arial" w:cs="Arial"/>
          <w:color w:val="000000" w:themeColor="text1"/>
          <w:sz w:val="22"/>
          <w:lang w:val="es-ES"/>
        </w:rPr>
        <w:t xml:space="preserve"> Subdirección de Gestión Contractual, l</w:t>
      </w:r>
      <w:r w:rsidR="00F53D1E" w:rsidRPr="00A87091">
        <w:rPr>
          <w:rFonts w:ascii="Arial" w:eastAsia="Calibri" w:hAnsi="Arial" w:cs="Arial"/>
          <w:color w:val="000000" w:themeColor="text1"/>
          <w:sz w:val="22"/>
          <w:lang w:val="es-ES"/>
        </w:rPr>
        <w:t>as consideraciones de los párrafos precedentes también son aplicables al tema objeto de consulta, ya que el Congreso de la República dispuso la expedición de un decreto reglamentario</w:t>
      </w:r>
      <w:r w:rsidR="007154DA" w:rsidRPr="00A87091">
        <w:rPr>
          <w:rFonts w:ascii="Arial" w:eastAsia="Calibri" w:hAnsi="Arial" w:cs="Arial"/>
          <w:color w:val="000000" w:themeColor="text1"/>
          <w:sz w:val="22"/>
          <w:lang w:val="es-ES"/>
        </w:rPr>
        <w:t xml:space="preserve"> para detallar el contenido </w:t>
      </w:r>
      <w:r w:rsidR="007154DA" w:rsidRPr="00A87091">
        <w:rPr>
          <w:rFonts w:ascii="Arial" w:eastAsia="Calibri" w:hAnsi="Arial" w:cs="Arial"/>
          <w:color w:val="000000" w:themeColor="text1"/>
          <w:sz w:val="22"/>
          <w:lang w:val="es-ES_tradnl"/>
        </w:rPr>
        <w:t>los artículos 31, 32, 34 y 36 de la Ley 2069 de 2020</w:t>
      </w:r>
      <w:r w:rsidRPr="00A87091">
        <w:rPr>
          <w:rFonts w:ascii="Arial" w:eastAsia="Calibri" w:hAnsi="Arial" w:cs="Arial"/>
          <w:color w:val="000000" w:themeColor="text1"/>
          <w:sz w:val="22"/>
          <w:lang w:val="es-ES"/>
        </w:rPr>
        <w:t xml:space="preserve">. Por ello, en ausencia de </w:t>
      </w:r>
      <w:r w:rsidR="005E1FA3" w:rsidRPr="00A87091">
        <w:rPr>
          <w:rFonts w:ascii="Arial" w:eastAsia="Calibri" w:hAnsi="Arial" w:cs="Arial"/>
          <w:color w:val="000000" w:themeColor="text1"/>
          <w:sz w:val="22"/>
          <w:lang w:val="es-ES"/>
        </w:rPr>
        <w:t>desarrollo normativo posterior</w:t>
      </w:r>
      <w:r w:rsidRPr="00A87091">
        <w:rPr>
          <w:rFonts w:ascii="Arial" w:eastAsia="Calibri" w:hAnsi="Arial" w:cs="Arial"/>
          <w:color w:val="000000" w:themeColor="text1"/>
          <w:sz w:val="22"/>
          <w:lang w:val="es-ES"/>
        </w:rPr>
        <w:t xml:space="preserve"> existe una </w:t>
      </w:r>
      <w:r w:rsidRPr="00A87091">
        <w:rPr>
          <w:rFonts w:ascii="Arial" w:eastAsia="Calibri" w:hAnsi="Arial" w:cs="Arial"/>
          <w:i/>
          <w:iCs/>
          <w:color w:val="000000" w:themeColor="text1"/>
          <w:sz w:val="22"/>
          <w:lang w:val="es-ES"/>
        </w:rPr>
        <w:t>laguna técnica</w:t>
      </w:r>
      <w:r w:rsidRPr="00A87091">
        <w:rPr>
          <w:rFonts w:ascii="Arial" w:eastAsia="Calibri" w:hAnsi="Arial" w:cs="Arial"/>
          <w:color w:val="000000" w:themeColor="text1"/>
          <w:sz w:val="22"/>
          <w:lang w:val="es-ES"/>
        </w:rPr>
        <w:t xml:space="preserve"> que impide </w:t>
      </w:r>
      <w:r w:rsidR="005E1FA3" w:rsidRPr="00A87091">
        <w:rPr>
          <w:rFonts w:ascii="Arial" w:eastAsia="Calibri" w:hAnsi="Arial" w:cs="Arial"/>
          <w:color w:val="000000" w:themeColor="text1"/>
          <w:sz w:val="22"/>
          <w:lang w:val="es-ES"/>
        </w:rPr>
        <w:t xml:space="preserve">aplicar </w:t>
      </w:r>
      <w:r w:rsidR="009300D6" w:rsidRPr="00A87091">
        <w:rPr>
          <w:rFonts w:ascii="Arial" w:eastAsia="Calibri" w:hAnsi="Arial" w:cs="Arial"/>
          <w:color w:val="000000" w:themeColor="text1"/>
          <w:sz w:val="22"/>
          <w:lang w:val="es-ES"/>
        </w:rPr>
        <w:t>estas disposiciones</w:t>
      </w:r>
      <w:r w:rsidR="00256337" w:rsidRPr="00A87091">
        <w:rPr>
          <w:rFonts w:ascii="Arial" w:eastAsia="Calibri" w:hAnsi="Arial" w:cs="Arial"/>
          <w:bCs/>
          <w:color w:val="000000" w:themeColor="text1"/>
          <w:sz w:val="22"/>
        </w:rPr>
        <w:t>.</w:t>
      </w:r>
      <w:r w:rsidR="001972D2" w:rsidRPr="00A87091">
        <w:rPr>
          <w:rFonts w:ascii="Arial" w:eastAsia="Calibri" w:hAnsi="Arial" w:cs="Arial"/>
          <w:bCs/>
          <w:color w:val="000000" w:themeColor="text1"/>
          <w:sz w:val="22"/>
        </w:rPr>
        <w:t xml:space="preserve"> </w:t>
      </w:r>
    </w:p>
    <w:p w14:paraId="2B1E05FB" w14:textId="1BB6E625" w:rsidR="00B7346F" w:rsidRPr="00A87091" w:rsidRDefault="001972D2" w:rsidP="001A7DF5">
      <w:pPr>
        <w:shd w:val="clear" w:color="auto" w:fill="FFFFFF"/>
        <w:spacing w:after="120" w:line="276" w:lineRule="auto"/>
        <w:ind w:firstLine="709"/>
        <w:jc w:val="both"/>
        <w:rPr>
          <w:rFonts w:ascii="Arial" w:eastAsia="Calibri" w:hAnsi="Arial" w:cs="Arial"/>
          <w:bCs/>
          <w:color w:val="000000" w:themeColor="text1"/>
          <w:sz w:val="22"/>
        </w:rPr>
      </w:pPr>
      <w:r w:rsidRPr="00A87091">
        <w:rPr>
          <w:rFonts w:ascii="Arial" w:eastAsia="Calibri" w:hAnsi="Arial" w:cs="Arial"/>
          <w:bCs/>
          <w:color w:val="000000" w:themeColor="text1"/>
          <w:sz w:val="22"/>
        </w:rPr>
        <w:t xml:space="preserve">En este caso, la necesidad de la reglamentación previa también deriva de los antecedentes legislativos. En lo pertinente, el texto inicial </w:t>
      </w:r>
      <w:r w:rsidR="00AE1FDC" w:rsidRPr="00A87091">
        <w:rPr>
          <w:rFonts w:ascii="Arial" w:eastAsia="Calibri" w:hAnsi="Arial" w:cs="Arial"/>
          <w:bCs/>
          <w:color w:val="000000" w:themeColor="text1"/>
          <w:sz w:val="22"/>
        </w:rPr>
        <w:t>de los artículos 15 y 17</w:t>
      </w:r>
      <w:r w:rsidRPr="00A87091">
        <w:rPr>
          <w:rFonts w:ascii="Arial" w:eastAsia="Calibri" w:hAnsi="Arial" w:cs="Arial"/>
          <w:bCs/>
          <w:color w:val="000000" w:themeColor="text1"/>
          <w:sz w:val="22"/>
        </w:rPr>
        <w:t xml:space="preserve"> </w:t>
      </w:r>
      <w:r w:rsidR="00B81DBB" w:rsidRPr="00A87091">
        <w:rPr>
          <w:rFonts w:ascii="Arial" w:eastAsia="Calibri" w:hAnsi="Arial" w:cs="Arial"/>
          <w:bCs/>
          <w:color w:val="000000" w:themeColor="text1"/>
          <w:sz w:val="22"/>
        </w:rPr>
        <w:t xml:space="preserve">del </w:t>
      </w:r>
      <w:r w:rsidRPr="00A87091">
        <w:rPr>
          <w:rFonts w:ascii="Arial" w:eastAsia="Calibri" w:hAnsi="Arial" w:cs="Arial"/>
          <w:bCs/>
          <w:color w:val="000000" w:themeColor="text1"/>
          <w:sz w:val="22"/>
        </w:rPr>
        <w:t xml:space="preserve">Proyecto de Ley No. </w:t>
      </w:r>
      <w:r w:rsidR="00AE1FDC" w:rsidRPr="00A87091">
        <w:rPr>
          <w:rFonts w:ascii="Arial" w:eastAsia="Calibri" w:hAnsi="Arial" w:cs="Arial"/>
          <w:bCs/>
          <w:color w:val="000000" w:themeColor="text1"/>
          <w:sz w:val="22"/>
        </w:rPr>
        <w:t>122</w:t>
      </w:r>
      <w:r w:rsidRPr="00A87091">
        <w:rPr>
          <w:rFonts w:ascii="Arial" w:eastAsia="Calibri" w:hAnsi="Arial" w:cs="Arial"/>
          <w:bCs/>
          <w:color w:val="000000" w:themeColor="text1"/>
          <w:sz w:val="22"/>
        </w:rPr>
        <w:t xml:space="preserve"> de 2</w:t>
      </w:r>
      <w:r w:rsidR="00AE1FDC" w:rsidRPr="00A87091">
        <w:rPr>
          <w:rFonts w:ascii="Arial" w:eastAsia="Calibri" w:hAnsi="Arial" w:cs="Arial"/>
          <w:bCs/>
          <w:color w:val="000000" w:themeColor="text1"/>
          <w:sz w:val="22"/>
        </w:rPr>
        <w:t>020</w:t>
      </w:r>
      <w:r w:rsidRPr="00A87091">
        <w:rPr>
          <w:rFonts w:ascii="Arial" w:eastAsia="Calibri" w:hAnsi="Arial" w:cs="Arial"/>
          <w:bCs/>
          <w:color w:val="000000" w:themeColor="text1"/>
          <w:sz w:val="22"/>
        </w:rPr>
        <w:t xml:space="preserve"> disponía que </w:t>
      </w:r>
      <w:r w:rsidR="00AE1FDC" w:rsidRPr="00A87091">
        <w:rPr>
          <w:rFonts w:ascii="Arial" w:eastAsia="Calibri" w:hAnsi="Arial" w:cs="Arial"/>
          <w:bCs/>
          <w:color w:val="000000" w:themeColor="text1"/>
          <w:sz w:val="22"/>
        </w:rPr>
        <w:t>la necesidad del reglamento en lo relacionado con i) los criterios diferenciales para mipymes y ii) las convocatorias limitadas a mipymes</w:t>
      </w:r>
      <w:r w:rsidR="00B81DBB" w:rsidRPr="00A87091">
        <w:rPr>
          <w:rFonts w:ascii="Arial" w:eastAsia="Calibri" w:hAnsi="Arial" w:cs="Arial"/>
          <w:bCs/>
          <w:color w:val="000000" w:themeColor="text1"/>
          <w:sz w:val="22"/>
        </w:rPr>
        <w:t>, así como</w:t>
      </w:r>
      <w:r w:rsidR="00AE1FDC" w:rsidRPr="00A87091">
        <w:rPr>
          <w:rFonts w:ascii="Arial" w:eastAsia="Calibri" w:hAnsi="Arial" w:cs="Arial"/>
          <w:bCs/>
          <w:color w:val="000000" w:themeColor="text1"/>
          <w:sz w:val="22"/>
        </w:rPr>
        <w:t xml:space="preserve"> el fomento en la ejecución de los contratos estatales por parte de sujetos de especial protección</w:t>
      </w:r>
      <w:r w:rsidR="005716A8" w:rsidRPr="00A87091">
        <w:rPr>
          <w:rStyle w:val="Refdenotaalpie"/>
          <w:rFonts w:ascii="Arial" w:eastAsia="Calibri" w:hAnsi="Arial" w:cs="Arial"/>
          <w:bCs/>
          <w:color w:val="000000" w:themeColor="text1"/>
          <w:sz w:val="22"/>
        </w:rPr>
        <w:footnoteReference w:id="18"/>
      </w:r>
      <w:r w:rsidRPr="00A87091">
        <w:rPr>
          <w:rFonts w:ascii="Arial" w:eastAsia="Calibri" w:hAnsi="Arial" w:cs="Arial"/>
          <w:bCs/>
          <w:color w:val="000000" w:themeColor="text1"/>
          <w:sz w:val="22"/>
        </w:rPr>
        <w:t>.</w:t>
      </w:r>
      <w:r w:rsidR="005716A8" w:rsidRPr="00A87091">
        <w:rPr>
          <w:rFonts w:ascii="Arial" w:eastAsia="Calibri" w:hAnsi="Arial" w:cs="Arial"/>
          <w:bCs/>
          <w:color w:val="000000" w:themeColor="text1"/>
          <w:sz w:val="22"/>
        </w:rPr>
        <w:t xml:space="preserve"> </w:t>
      </w:r>
    </w:p>
    <w:p w14:paraId="41569066" w14:textId="09A3EE19" w:rsidR="003A5040" w:rsidRPr="00A87091" w:rsidRDefault="00F40FB9" w:rsidP="001A7DF5">
      <w:pPr>
        <w:shd w:val="clear" w:color="auto" w:fill="FFFFFF"/>
        <w:spacing w:after="120" w:line="276" w:lineRule="auto"/>
        <w:ind w:firstLine="709"/>
        <w:jc w:val="both"/>
        <w:rPr>
          <w:rFonts w:ascii="Arial" w:eastAsia="Calibri" w:hAnsi="Arial" w:cs="Arial"/>
          <w:bCs/>
          <w:color w:val="000000" w:themeColor="text1"/>
          <w:sz w:val="22"/>
        </w:rPr>
      </w:pPr>
      <w:r w:rsidRPr="00A87091">
        <w:rPr>
          <w:rFonts w:ascii="Arial" w:eastAsia="Calibri" w:hAnsi="Arial" w:cs="Arial"/>
          <w:bCs/>
          <w:color w:val="000000" w:themeColor="text1"/>
          <w:sz w:val="22"/>
        </w:rPr>
        <w:t>Como puede verificarse en las Gacetas del Congreso No. 1334 del 18 de noviembre de 20</w:t>
      </w:r>
      <w:r w:rsidR="00111299" w:rsidRPr="00A87091">
        <w:rPr>
          <w:rFonts w:ascii="Arial" w:eastAsia="Calibri" w:hAnsi="Arial" w:cs="Arial"/>
          <w:bCs/>
          <w:color w:val="000000" w:themeColor="text1"/>
          <w:sz w:val="22"/>
        </w:rPr>
        <w:t>20</w:t>
      </w:r>
      <w:r w:rsidRPr="00A87091">
        <w:rPr>
          <w:rFonts w:ascii="Arial" w:eastAsia="Calibri" w:hAnsi="Arial" w:cs="Arial"/>
          <w:bCs/>
          <w:color w:val="000000" w:themeColor="text1"/>
          <w:sz w:val="22"/>
        </w:rPr>
        <w:t xml:space="preserve"> y 1389 de 14 de diciembre de 2020</w:t>
      </w:r>
      <w:r w:rsidR="005716A8" w:rsidRPr="00A87091">
        <w:rPr>
          <w:rFonts w:ascii="Arial" w:eastAsia="Calibri" w:hAnsi="Arial" w:cs="Arial"/>
          <w:bCs/>
          <w:color w:val="000000" w:themeColor="text1"/>
          <w:sz w:val="22"/>
        </w:rPr>
        <w:t xml:space="preserve">, </w:t>
      </w:r>
      <w:r w:rsidRPr="00A87091">
        <w:rPr>
          <w:rFonts w:ascii="Arial" w:eastAsia="Calibri" w:hAnsi="Arial" w:cs="Arial"/>
          <w:bCs/>
          <w:color w:val="000000" w:themeColor="text1"/>
          <w:sz w:val="22"/>
        </w:rPr>
        <w:t>además de que</w:t>
      </w:r>
      <w:r w:rsidR="005716A8" w:rsidRPr="00A87091">
        <w:rPr>
          <w:rFonts w:ascii="Arial" w:eastAsia="Calibri" w:hAnsi="Arial" w:cs="Arial"/>
          <w:bCs/>
          <w:color w:val="000000" w:themeColor="text1"/>
          <w:sz w:val="22"/>
        </w:rPr>
        <w:t xml:space="preserve"> </w:t>
      </w:r>
      <w:r w:rsidRPr="00A87091">
        <w:rPr>
          <w:rFonts w:ascii="Arial" w:eastAsia="Calibri" w:hAnsi="Arial" w:cs="Arial"/>
          <w:bCs/>
          <w:color w:val="000000" w:themeColor="text1"/>
          <w:sz w:val="22"/>
        </w:rPr>
        <w:t xml:space="preserve">–para </w:t>
      </w:r>
      <w:r w:rsidR="005716A8" w:rsidRPr="00A87091">
        <w:rPr>
          <w:rFonts w:ascii="Arial" w:eastAsia="Calibri" w:hAnsi="Arial" w:cs="Arial"/>
          <w:bCs/>
          <w:color w:val="000000" w:themeColor="text1"/>
          <w:sz w:val="22"/>
        </w:rPr>
        <w:t xml:space="preserve">el </w:t>
      </w:r>
      <w:r w:rsidRPr="00A87091">
        <w:rPr>
          <w:rFonts w:ascii="Arial" w:eastAsia="Calibri" w:hAnsi="Arial" w:cs="Arial"/>
          <w:bCs/>
          <w:color w:val="000000" w:themeColor="text1"/>
          <w:sz w:val="22"/>
        </w:rPr>
        <w:t>segundo</w:t>
      </w:r>
      <w:r w:rsidR="005716A8" w:rsidRPr="00A87091">
        <w:rPr>
          <w:rFonts w:ascii="Arial" w:eastAsia="Calibri" w:hAnsi="Arial" w:cs="Arial"/>
          <w:bCs/>
          <w:color w:val="000000" w:themeColor="text1"/>
          <w:sz w:val="22"/>
        </w:rPr>
        <w:t xml:space="preserve"> debate</w:t>
      </w:r>
      <w:r w:rsidRPr="00A87091">
        <w:rPr>
          <w:rFonts w:ascii="Arial" w:eastAsia="Calibri" w:hAnsi="Arial" w:cs="Arial"/>
          <w:bCs/>
          <w:color w:val="000000" w:themeColor="text1"/>
          <w:sz w:val="22"/>
        </w:rPr>
        <w:t>–</w:t>
      </w:r>
      <w:r w:rsidR="005716A8" w:rsidRPr="00A87091">
        <w:rPr>
          <w:rFonts w:ascii="Arial" w:eastAsia="Calibri" w:hAnsi="Arial" w:cs="Arial"/>
          <w:bCs/>
          <w:color w:val="000000" w:themeColor="text1"/>
          <w:sz w:val="22"/>
        </w:rPr>
        <w:t xml:space="preserve"> </w:t>
      </w:r>
      <w:r w:rsidRPr="00A87091">
        <w:rPr>
          <w:rFonts w:ascii="Arial" w:eastAsia="Calibri" w:hAnsi="Arial" w:cs="Arial"/>
          <w:bCs/>
          <w:color w:val="000000" w:themeColor="text1"/>
          <w:sz w:val="22"/>
        </w:rPr>
        <w:t xml:space="preserve">el artículo 24 dispuso que la definición de «emprendimientos y empresas de mujeres» correspondería al reglamento, el artículo 36 del texto conciliado incluye </w:t>
      </w:r>
      <w:r w:rsidR="00B7346F" w:rsidRPr="00A87091">
        <w:rPr>
          <w:rFonts w:ascii="Arial" w:eastAsia="Calibri" w:hAnsi="Arial" w:cs="Arial"/>
          <w:bCs/>
          <w:color w:val="000000" w:themeColor="text1"/>
          <w:sz w:val="22"/>
        </w:rPr>
        <w:t>lo propio</w:t>
      </w:r>
      <w:r w:rsidRPr="00A87091">
        <w:rPr>
          <w:rFonts w:ascii="Arial" w:eastAsia="Calibri" w:hAnsi="Arial" w:cs="Arial"/>
          <w:bCs/>
          <w:color w:val="000000" w:themeColor="text1"/>
          <w:sz w:val="22"/>
        </w:rPr>
        <w:t xml:space="preserve"> para las compras públicas de tecnología e innovación</w:t>
      </w:r>
      <w:r w:rsidR="005716A8" w:rsidRPr="00A87091">
        <w:rPr>
          <w:rFonts w:ascii="Arial" w:eastAsia="Calibri" w:hAnsi="Arial" w:cs="Arial"/>
          <w:bCs/>
          <w:color w:val="000000" w:themeColor="text1"/>
          <w:sz w:val="22"/>
        </w:rPr>
        <w:t>.</w:t>
      </w:r>
      <w:r w:rsidRPr="00A87091">
        <w:rPr>
          <w:rFonts w:ascii="Arial" w:eastAsia="Calibri" w:hAnsi="Arial" w:cs="Arial"/>
          <w:bCs/>
          <w:color w:val="000000" w:themeColor="text1"/>
          <w:sz w:val="22"/>
        </w:rPr>
        <w:t xml:space="preserve"> </w:t>
      </w:r>
      <w:r w:rsidR="002A7DF5" w:rsidRPr="00A87091">
        <w:rPr>
          <w:rFonts w:ascii="Arial" w:eastAsia="Calibri" w:hAnsi="Arial" w:cs="Arial"/>
          <w:bCs/>
          <w:color w:val="000000" w:themeColor="text1"/>
          <w:sz w:val="22"/>
        </w:rPr>
        <w:t>Incluso</w:t>
      </w:r>
      <w:r w:rsidR="003637C4" w:rsidRPr="00A87091">
        <w:rPr>
          <w:rFonts w:ascii="Arial" w:eastAsia="Calibri" w:hAnsi="Arial" w:cs="Arial"/>
          <w:bCs/>
          <w:color w:val="000000" w:themeColor="text1"/>
          <w:sz w:val="22"/>
        </w:rPr>
        <w:t xml:space="preserve">, tratándose </w:t>
      </w:r>
      <w:r w:rsidR="00B7346F" w:rsidRPr="00A87091">
        <w:rPr>
          <w:rFonts w:ascii="Arial" w:eastAsia="Calibri" w:hAnsi="Arial" w:cs="Arial"/>
          <w:bCs/>
          <w:color w:val="000000" w:themeColor="text1"/>
          <w:sz w:val="22"/>
        </w:rPr>
        <w:t xml:space="preserve">de </w:t>
      </w:r>
      <w:r w:rsidR="00B7346F" w:rsidRPr="00A87091">
        <w:rPr>
          <w:rFonts w:ascii="Arial" w:eastAsia="Calibri" w:hAnsi="Arial" w:cs="Arial"/>
          <w:color w:val="000000" w:themeColor="text1"/>
          <w:sz w:val="22"/>
          <w:lang w:val="es-ES_tradnl"/>
        </w:rPr>
        <w:t>los artículos 31, 32, 34 y 36 de la Ley 2069 de 2020</w:t>
      </w:r>
      <w:r w:rsidR="00B7346F" w:rsidRPr="00A87091">
        <w:rPr>
          <w:rFonts w:ascii="Arial" w:eastAsia="Calibri" w:hAnsi="Arial" w:cs="Arial"/>
          <w:bCs/>
          <w:color w:val="000000" w:themeColor="text1"/>
          <w:sz w:val="22"/>
        </w:rPr>
        <w:t xml:space="preserve"> </w:t>
      </w:r>
      <w:r w:rsidR="003637C4" w:rsidRPr="00A87091">
        <w:rPr>
          <w:rFonts w:ascii="Arial" w:eastAsia="Calibri" w:hAnsi="Arial" w:cs="Arial"/>
          <w:bCs/>
          <w:color w:val="000000" w:themeColor="text1"/>
          <w:sz w:val="22"/>
        </w:rPr>
        <w:t>la remisión al reglamento es razonable y está justificada</w:t>
      </w:r>
      <w:r w:rsidR="00B7346F" w:rsidRPr="00A87091">
        <w:rPr>
          <w:rFonts w:ascii="Arial" w:eastAsia="Calibri" w:hAnsi="Arial" w:cs="Arial"/>
          <w:bCs/>
          <w:color w:val="000000" w:themeColor="text1"/>
          <w:sz w:val="22"/>
        </w:rPr>
        <w:t xml:space="preserve">, pues </w:t>
      </w:r>
      <w:r w:rsidR="003637C4" w:rsidRPr="00A87091">
        <w:rPr>
          <w:rFonts w:ascii="Arial" w:eastAsia="Calibri" w:hAnsi="Arial" w:cs="Arial"/>
          <w:bCs/>
          <w:color w:val="000000" w:themeColor="text1"/>
          <w:sz w:val="22"/>
        </w:rPr>
        <w:t>si eventualmente</w:t>
      </w:r>
      <w:r w:rsidR="00B7346F" w:rsidRPr="00A87091">
        <w:rPr>
          <w:rFonts w:ascii="Arial" w:eastAsia="Calibri" w:hAnsi="Arial" w:cs="Arial"/>
          <w:bCs/>
          <w:color w:val="000000" w:themeColor="text1"/>
          <w:sz w:val="22"/>
        </w:rPr>
        <w:t xml:space="preserv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r w:rsidR="00ED047B" w:rsidRPr="00A87091">
        <w:rPr>
          <w:rFonts w:ascii="Arial" w:eastAsia="Calibri" w:hAnsi="Arial" w:cs="Arial"/>
          <w:bCs/>
          <w:color w:val="000000" w:themeColor="text1"/>
          <w:sz w:val="22"/>
        </w:rPr>
        <w:t xml:space="preserve">  </w:t>
      </w:r>
    </w:p>
    <w:p w14:paraId="569B55B5" w14:textId="22C1CFE5" w:rsidR="002B3689" w:rsidRPr="00A87091" w:rsidRDefault="003D3000" w:rsidP="001A7DF5">
      <w:pPr>
        <w:shd w:val="clear" w:color="auto" w:fill="FFFFFF"/>
        <w:spacing w:after="120" w:line="276" w:lineRule="auto"/>
        <w:ind w:firstLine="709"/>
        <w:jc w:val="both"/>
        <w:rPr>
          <w:rFonts w:ascii="Arial" w:eastAsia="Calibri" w:hAnsi="Arial" w:cs="Arial"/>
          <w:bCs/>
          <w:color w:val="000000" w:themeColor="text1"/>
          <w:sz w:val="22"/>
        </w:rPr>
      </w:pPr>
      <w:r w:rsidRPr="00A87091">
        <w:rPr>
          <w:rFonts w:ascii="Arial" w:eastAsia="Calibri" w:hAnsi="Arial" w:cs="Arial"/>
          <w:bCs/>
          <w:color w:val="000000" w:themeColor="text1"/>
          <w:sz w:val="22"/>
        </w:rPr>
        <w:lastRenderedPageBreak/>
        <w:t>Por tanto</w:t>
      </w:r>
      <w:r w:rsidR="003A5040" w:rsidRPr="00A87091">
        <w:rPr>
          <w:rFonts w:ascii="Arial" w:eastAsia="Calibri" w:hAnsi="Arial" w:cs="Arial"/>
          <w:bCs/>
          <w:color w:val="000000" w:themeColor="text1"/>
          <w:sz w:val="22"/>
        </w:rPr>
        <w:t xml:space="preserve">, </w:t>
      </w:r>
      <w:bookmarkStart w:id="25" w:name="_Hlk51668471"/>
      <w:r w:rsidR="003A5040" w:rsidRPr="00A87091">
        <w:rPr>
          <w:rFonts w:ascii="Arial" w:eastAsia="Calibri" w:hAnsi="Arial" w:cs="Arial"/>
          <w:bCs/>
          <w:color w:val="000000" w:themeColor="text1"/>
          <w:sz w:val="22"/>
        </w:rPr>
        <w:t>si bien en principio el ejercicio de la potestad reglamentaria es discrecional, esta puede ser excepcionalmente obligatoria</w:t>
      </w:r>
      <w:r w:rsidR="002B3689" w:rsidRPr="00A87091">
        <w:rPr>
          <w:rFonts w:ascii="Arial" w:eastAsia="Calibri" w:hAnsi="Arial" w:cs="Arial"/>
          <w:bCs/>
          <w:color w:val="000000" w:themeColor="text1"/>
          <w:sz w:val="22"/>
        </w:rPr>
        <w:t xml:space="preserve"> para efectividad de la ley</w:t>
      </w:r>
      <w:r w:rsidR="003A5040" w:rsidRPr="00A87091">
        <w:rPr>
          <w:rFonts w:ascii="Arial" w:eastAsia="Calibri" w:hAnsi="Arial" w:cs="Arial"/>
          <w:bCs/>
          <w:color w:val="000000" w:themeColor="text1"/>
          <w:sz w:val="22"/>
        </w:rPr>
        <w:t>. Por ejemplo,</w:t>
      </w:r>
      <w:r w:rsidR="00AC3DCF" w:rsidRPr="00A87091">
        <w:rPr>
          <w:rFonts w:ascii="Arial" w:eastAsia="Calibri" w:hAnsi="Arial" w:cs="Arial"/>
          <w:bCs/>
          <w:color w:val="000000" w:themeColor="text1"/>
          <w:sz w:val="22"/>
        </w:rPr>
        <w:t xml:space="preserve"> para la doctrina</w:t>
      </w:r>
      <w:r w:rsidR="003A5040" w:rsidRPr="00A87091">
        <w:rPr>
          <w:rFonts w:ascii="Arial" w:eastAsia="Calibri" w:hAnsi="Arial" w:cs="Arial"/>
          <w:bCs/>
          <w:color w:val="000000" w:themeColor="text1"/>
          <w:sz w:val="22"/>
        </w:rPr>
        <w:t xml:space="preserve"> esto último sucede cuando «[…] la necesidad del reglamento es inminente, y así nace desde la norma que confiere la potestad reglamentaria</w:t>
      </w:r>
      <w:r w:rsidR="00AC3DCF" w:rsidRPr="00A87091">
        <w:rPr>
          <w:rFonts w:ascii="Arial" w:eastAsia="Calibri" w:hAnsi="Arial" w:cs="Arial"/>
          <w:bCs/>
          <w:color w:val="000000" w:themeColor="text1"/>
          <w:sz w:val="22"/>
        </w:rPr>
        <w:t xml:space="preserve"> […]»</w:t>
      </w:r>
      <w:r w:rsidR="00AC3DCF" w:rsidRPr="00A87091">
        <w:rPr>
          <w:rStyle w:val="Refdenotaalpie"/>
          <w:rFonts w:ascii="Arial" w:eastAsia="Calibri" w:hAnsi="Arial" w:cs="Arial"/>
          <w:bCs/>
          <w:color w:val="000000" w:themeColor="text1"/>
          <w:sz w:val="22"/>
        </w:rPr>
        <w:footnoteReference w:id="19"/>
      </w:r>
      <w:r w:rsidR="00AC3DCF" w:rsidRPr="00A87091">
        <w:rPr>
          <w:rFonts w:ascii="Arial" w:eastAsia="Calibri" w:hAnsi="Arial" w:cs="Arial"/>
          <w:bCs/>
          <w:color w:val="000000" w:themeColor="text1"/>
          <w:sz w:val="22"/>
        </w:rPr>
        <w:t>. En este tipo de situaciones, «[…] las autoridades no tienen -ni tuvieron- la posibilidad de escoger entre expedir el acto o dejar de hacerlo. Es decir, se trata de una potestad reglada, desde el punto de vista de la necesidad de la actuación»</w:t>
      </w:r>
      <w:r w:rsidR="00AC3DCF" w:rsidRPr="00A87091">
        <w:rPr>
          <w:rStyle w:val="Refdenotaalpie"/>
          <w:rFonts w:ascii="Arial" w:eastAsia="Calibri" w:hAnsi="Arial" w:cs="Arial"/>
          <w:bCs/>
          <w:color w:val="000000" w:themeColor="text1"/>
          <w:sz w:val="22"/>
        </w:rPr>
        <w:footnoteReference w:id="20"/>
      </w:r>
      <w:r w:rsidR="00AC3DCF" w:rsidRPr="00A87091">
        <w:rPr>
          <w:rFonts w:ascii="Arial" w:eastAsia="Calibri" w:hAnsi="Arial" w:cs="Arial"/>
          <w:bCs/>
          <w:color w:val="000000" w:themeColor="text1"/>
          <w:sz w:val="22"/>
        </w:rPr>
        <w:t>.</w:t>
      </w:r>
    </w:p>
    <w:p w14:paraId="395A8832" w14:textId="03610D9C" w:rsidR="002B3689" w:rsidRPr="00A87091" w:rsidRDefault="002B3689" w:rsidP="00A34F5A">
      <w:pPr>
        <w:shd w:val="clear" w:color="auto" w:fill="FFFFFF"/>
        <w:spacing w:line="276" w:lineRule="auto"/>
        <w:ind w:firstLine="709"/>
        <w:jc w:val="both"/>
        <w:rPr>
          <w:rFonts w:ascii="Arial" w:eastAsia="Calibri" w:hAnsi="Arial" w:cs="Arial"/>
          <w:bCs/>
          <w:color w:val="000000" w:themeColor="text1"/>
          <w:sz w:val="22"/>
        </w:rPr>
      </w:pPr>
      <w:r w:rsidRPr="00A87091">
        <w:rPr>
          <w:rFonts w:ascii="Arial" w:eastAsia="Calibri" w:hAnsi="Arial" w:cs="Arial"/>
          <w:bCs/>
          <w:color w:val="000000" w:themeColor="text1"/>
          <w:sz w:val="22"/>
        </w:rPr>
        <w:t>En ese orden de ideas, es posible afirmar que</w:t>
      </w:r>
      <w:bookmarkEnd w:id="25"/>
      <w:r w:rsidR="00251F8A" w:rsidRPr="00A87091">
        <w:rPr>
          <w:rFonts w:ascii="Arial" w:eastAsia="Calibri" w:hAnsi="Arial" w:cs="Arial"/>
          <w:bCs/>
          <w:color w:val="000000" w:themeColor="text1"/>
          <w:sz w:val="22"/>
        </w:rPr>
        <w:t xml:space="preserve">, </w:t>
      </w:r>
      <w:bookmarkStart w:id="26" w:name="_Hlk63884107"/>
      <w:r w:rsidR="00251F8A" w:rsidRPr="00A87091">
        <w:rPr>
          <w:rFonts w:ascii="Arial" w:eastAsia="Calibri" w:hAnsi="Arial" w:cs="Arial"/>
          <w:bCs/>
          <w:color w:val="000000" w:themeColor="text1"/>
          <w:sz w:val="22"/>
        </w:rPr>
        <w:t xml:space="preserve">en </w:t>
      </w:r>
      <w:r w:rsidR="00251F8A" w:rsidRPr="00A87091">
        <w:rPr>
          <w:rFonts w:ascii="Arial" w:eastAsia="Calibri" w:hAnsi="Arial" w:cs="Arial"/>
          <w:color w:val="000000" w:themeColor="text1"/>
          <w:sz w:val="22"/>
          <w:lang w:val="es-ES_tradnl"/>
        </w:rPr>
        <w:t>los artículos 31, 32, 34 y 36</w:t>
      </w:r>
      <w:r w:rsidR="00251F8A" w:rsidRPr="00A87091">
        <w:rPr>
          <w:rFonts w:ascii="Arial" w:eastAsia="Calibri" w:hAnsi="Arial" w:cs="Arial"/>
          <w:bCs/>
          <w:color w:val="000000" w:themeColor="text1"/>
          <w:sz w:val="22"/>
        </w:rPr>
        <w:t xml:space="preserve">, el Congreso de la República reconoce la necesidad de un reglamento para el efectivo cumplimiento de la </w:t>
      </w:r>
      <w:r w:rsidR="00251F8A" w:rsidRPr="00A87091">
        <w:rPr>
          <w:rFonts w:ascii="Arial" w:eastAsia="Calibri" w:hAnsi="Arial" w:cs="Arial"/>
          <w:color w:val="000000" w:themeColor="text1"/>
          <w:sz w:val="22"/>
          <w:lang w:val="es-ES_tradnl"/>
        </w:rPr>
        <w:t>Ley 2069 de 2020</w:t>
      </w:r>
      <w:r w:rsidR="00251F8A" w:rsidRPr="00A87091">
        <w:rPr>
          <w:rFonts w:ascii="Arial" w:eastAsia="Calibri" w:hAnsi="Arial" w:cs="Arial"/>
          <w:bCs/>
          <w:color w:val="000000" w:themeColor="text1"/>
          <w:sz w:val="22"/>
        </w:rPr>
        <w:t>,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mipymes, ii) la definición de «emprendimientos y empresas de mujeres», i</w:t>
      </w:r>
      <w:r w:rsidR="006F15B4" w:rsidRPr="00A87091">
        <w:rPr>
          <w:rFonts w:ascii="Arial" w:eastAsia="Calibri" w:hAnsi="Arial" w:cs="Arial"/>
          <w:bCs/>
          <w:color w:val="000000" w:themeColor="text1"/>
          <w:sz w:val="22"/>
        </w:rPr>
        <w:t>ii</w:t>
      </w:r>
      <w:r w:rsidR="00251F8A" w:rsidRPr="00A87091">
        <w:rPr>
          <w:rFonts w:ascii="Arial" w:eastAsia="Calibri" w:hAnsi="Arial" w:cs="Arial"/>
          <w:bCs/>
          <w:color w:val="000000" w:themeColor="text1"/>
          <w:sz w:val="22"/>
        </w:rPr>
        <w:t>) las convocatorias limitadas a mipymes y el fomento en la ejecución de los contratos estatales por parte de sujetos de especial protección</w:t>
      </w:r>
      <w:r w:rsidR="006F15B4" w:rsidRPr="00A87091">
        <w:rPr>
          <w:rFonts w:ascii="Arial" w:eastAsia="Calibri" w:hAnsi="Arial" w:cs="Arial"/>
          <w:bCs/>
          <w:color w:val="000000" w:themeColor="text1"/>
          <w:sz w:val="22"/>
        </w:rPr>
        <w:t>,</w:t>
      </w:r>
      <w:r w:rsidR="00251F8A" w:rsidRPr="00A87091">
        <w:rPr>
          <w:rFonts w:ascii="Arial" w:eastAsia="Calibri" w:hAnsi="Arial" w:cs="Arial"/>
          <w:bCs/>
          <w:color w:val="000000" w:themeColor="text1"/>
          <w:sz w:val="22"/>
        </w:rPr>
        <w:t xml:space="preserve"> así como </w:t>
      </w:r>
      <w:r w:rsidR="006F15B4" w:rsidRPr="00A87091">
        <w:rPr>
          <w:rFonts w:ascii="Arial" w:eastAsia="Calibri" w:hAnsi="Arial" w:cs="Arial"/>
          <w:bCs/>
          <w:color w:val="000000" w:themeColor="text1"/>
          <w:sz w:val="22"/>
        </w:rPr>
        <w:t>i</w:t>
      </w:r>
      <w:r w:rsidR="00251F8A" w:rsidRPr="00A87091">
        <w:rPr>
          <w:rFonts w:ascii="Arial" w:eastAsia="Calibri" w:hAnsi="Arial" w:cs="Arial"/>
          <w:bCs/>
          <w:color w:val="000000" w:themeColor="text1"/>
          <w:sz w:val="22"/>
        </w:rPr>
        <w:t xml:space="preserve">v) </w:t>
      </w:r>
      <w:r w:rsidR="006F15B4" w:rsidRPr="00A87091">
        <w:rPr>
          <w:rFonts w:ascii="Arial" w:eastAsia="Calibri" w:hAnsi="Arial" w:cs="Arial"/>
          <w:bCs/>
          <w:color w:val="000000" w:themeColor="text1"/>
          <w:sz w:val="22"/>
        </w:rPr>
        <w:t xml:space="preserve">la </w:t>
      </w:r>
      <w:r w:rsidR="00251F8A" w:rsidRPr="00A87091">
        <w:rPr>
          <w:rFonts w:ascii="Arial" w:eastAsia="Calibri" w:hAnsi="Arial" w:cs="Arial"/>
          <w:bCs/>
          <w:color w:val="000000" w:themeColor="text1"/>
          <w:sz w:val="22"/>
        </w:rPr>
        <w:t>promoción de las compras públicas de tecnología e innovación.</w:t>
      </w:r>
      <w:r w:rsidR="00A34F5A" w:rsidRPr="00A87091">
        <w:rPr>
          <w:rFonts w:ascii="Arial" w:eastAsia="Calibri" w:hAnsi="Arial" w:cs="Arial"/>
          <w:bCs/>
          <w:color w:val="000000" w:themeColor="text1"/>
          <w:sz w:val="22"/>
        </w:rPr>
        <w:t xml:space="preserve"> </w:t>
      </w:r>
      <w:bookmarkStart w:id="27" w:name="_Hlk65085512"/>
      <w:r w:rsidR="00A34F5A" w:rsidRPr="00A87091">
        <w:rPr>
          <w:rFonts w:ascii="Arial" w:eastAsia="Calibri" w:hAnsi="Arial" w:cs="Arial"/>
          <w:bCs/>
          <w:color w:val="000000" w:themeColor="text1"/>
          <w:sz w:val="22"/>
        </w:rPr>
        <w:t>Hasta que estos temas no estén reglamentados, no son exigibles de los procedimientos de selección regidos por los documentos tipo de licitación de obra pública de agua potable y saneamiento básico</w:t>
      </w:r>
      <w:bookmarkEnd w:id="27"/>
      <w:r w:rsidR="00A34F5A" w:rsidRPr="00A87091">
        <w:rPr>
          <w:rFonts w:ascii="Arial" w:eastAsia="Calibri" w:hAnsi="Arial" w:cs="Arial"/>
          <w:bCs/>
          <w:color w:val="000000" w:themeColor="text1"/>
          <w:sz w:val="22"/>
        </w:rPr>
        <w:t>.</w:t>
      </w:r>
      <w:bookmarkEnd w:id="26"/>
    </w:p>
    <w:p w14:paraId="3D53BC97" w14:textId="77777777" w:rsidR="00A34F5A" w:rsidRPr="00A87091" w:rsidRDefault="00A34F5A" w:rsidP="00A34F5A">
      <w:pPr>
        <w:shd w:val="clear" w:color="auto" w:fill="FFFFFF"/>
        <w:spacing w:line="276" w:lineRule="auto"/>
        <w:ind w:firstLine="709"/>
        <w:jc w:val="both"/>
        <w:rPr>
          <w:rFonts w:ascii="Arial" w:eastAsia="Calibri" w:hAnsi="Arial" w:cs="Arial"/>
          <w:bCs/>
          <w:color w:val="000000" w:themeColor="text1"/>
          <w:sz w:val="22"/>
        </w:rPr>
      </w:pPr>
    </w:p>
    <w:p w14:paraId="4DAE4437" w14:textId="77777777" w:rsidR="00BE1E33" w:rsidRPr="00A87091"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A87091">
        <w:rPr>
          <w:rFonts w:ascii="Arial" w:hAnsi="Arial" w:cs="Arial"/>
          <w:b/>
          <w:bCs/>
          <w:color w:val="000000" w:themeColor="text1"/>
          <w:sz w:val="22"/>
          <w:lang w:val="es-CO"/>
        </w:rPr>
        <w:t xml:space="preserve">Respuesta </w:t>
      </w:r>
    </w:p>
    <w:p w14:paraId="317BE2F9" w14:textId="77777777" w:rsidR="00BE1E33" w:rsidRPr="00A87091" w:rsidRDefault="00BE1E33" w:rsidP="00BE1E33">
      <w:pPr>
        <w:spacing w:line="276" w:lineRule="auto"/>
        <w:ind w:right="709"/>
        <w:jc w:val="both"/>
        <w:rPr>
          <w:rFonts w:ascii="Arial" w:hAnsi="Arial" w:cs="Arial"/>
          <w:color w:val="000000" w:themeColor="text1"/>
          <w:sz w:val="22"/>
          <w:lang w:val="es-CO"/>
        </w:rPr>
      </w:pPr>
    </w:p>
    <w:p w14:paraId="7DEC95C8" w14:textId="538EF539" w:rsidR="00A13B60" w:rsidRPr="00A87091" w:rsidRDefault="00C440E3" w:rsidP="00A13B60">
      <w:pPr>
        <w:ind w:left="709" w:right="709"/>
        <w:jc w:val="both"/>
        <w:rPr>
          <w:rFonts w:ascii="Arial" w:eastAsia="Calibri" w:hAnsi="Arial" w:cs="Arial"/>
          <w:color w:val="000000" w:themeColor="text1"/>
          <w:sz w:val="21"/>
          <w:szCs w:val="21"/>
        </w:rPr>
      </w:pPr>
      <w:r w:rsidRPr="00A87091">
        <w:rPr>
          <w:rFonts w:ascii="Arial" w:eastAsia="Calibri" w:hAnsi="Arial" w:cs="Arial"/>
          <w:color w:val="000000" w:themeColor="text1"/>
          <w:sz w:val="21"/>
          <w:szCs w:val="21"/>
        </w:rPr>
        <w:t>«[...] en los pliegos tipo de APSB se deben aplicar y ajustar los artículos 30 al 36 de la Ley 2069 de 2020, el cual rige a partir del 31 de diciembre 2020. Lo cual no se encuentra congruente al decreto reglamentario 1082 de 2015, ya que no ha sido modificado, ni derogado, ni adicionado. En ese orden de ideas las entidades deberán dar cumplimiento a la Ley 2069 de 2020 o a la Ley 1150 de 2007 reglamentado con el decreto 1082 de 2015»</w:t>
      </w:r>
      <w:r w:rsidR="00563974" w:rsidRPr="00A87091">
        <w:rPr>
          <w:rFonts w:ascii="Arial" w:eastAsia="Calibri" w:hAnsi="Arial" w:cs="Arial"/>
          <w:color w:val="000000" w:themeColor="text1"/>
          <w:sz w:val="21"/>
          <w:szCs w:val="21"/>
        </w:rPr>
        <w:t>.</w:t>
      </w:r>
    </w:p>
    <w:p w14:paraId="54A2DF66" w14:textId="77777777" w:rsidR="00A13B60" w:rsidRPr="00A87091" w:rsidRDefault="00A13B60" w:rsidP="002C352C">
      <w:pPr>
        <w:spacing w:line="276" w:lineRule="auto"/>
        <w:ind w:left="709" w:right="709"/>
        <w:jc w:val="both"/>
        <w:rPr>
          <w:rFonts w:ascii="Arial" w:eastAsia="Calibri" w:hAnsi="Arial" w:cs="Arial"/>
          <w:color w:val="000000" w:themeColor="text1"/>
          <w:sz w:val="22"/>
        </w:rPr>
      </w:pPr>
    </w:p>
    <w:p w14:paraId="146937CF" w14:textId="3CEF84A0" w:rsidR="00E91C29" w:rsidRPr="00A87091" w:rsidRDefault="00315AB7" w:rsidP="00E91C29">
      <w:pPr>
        <w:spacing w:after="120" w:line="276" w:lineRule="auto"/>
        <w:jc w:val="both"/>
        <w:rPr>
          <w:rFonts w:ascii="Arial" w:eastAsia="Calibri" w:hAnsi="Arial" w:cs="Arial"/>
          <w:bCs/>
          <w:color w:val="000000" w:themeColor="text1"/>
          <w:sz w:val="22"/>
        </w:rPr>
      </w:pPr>
      <w:r w:rsidRPr="00A87091">
        <w:rPr>
          <w:rFonts w:ascii="Arial" w:eastAsia="Calibri" w:hAnsi="Arial" w:cs="Arial"/>
          <w:color w:val="000000" w:themeColor="text1"/>
          <w:sz w:val="22"/>
        </w:rPr>
        <w:t>Conforme a lo explicado en el presente concepto</w:t>
      </w:r>
      <w:r w:rsidR="00E91C29" w:rsidRPr="00A87091">
        <w:rPr>
          <w:rFonts w:ascii="Arial" w:eastAsia="Calibri" w:hAnsi="Arial" w:cs="Arial"/>
          <w:bCs/>
          <w:color w:val="000000" w:themeColor="text1"/>
          <w:sz w:val="22"/>
        </w:rPr>
        <w:t xml:space="preserve">, en </w:t>
      </w:r>
      <w:r w:rsidR="00E91C29" w:rsidRPr="00A87091">
        <w:rPr>
          <w:rFonts w:ascii="Arial" w:eastAsia="Calibri" w:hAnsi="Arial" w:cs="Arial"/>
          <w:color w:val="000000" w:themeColor="text1"/>
          <w:sz w:val="22"/>
          <w:lang w:val="es-ES_tradnl"/>
        </w:rPr>
        <w:t>los artículos 31, 32, 34 y 36</w:t>
      </w:r>
      <w:r w:rsidR="00E91C29" w:rsidRPr="00A87091">
        <w:rPr>
          <w:rFonts w:ascii="Arial" w:eastAsia="Calibri" w:hAnsi="Arial" w:cs="Arial"/>
          <w:bCs/>
          <w:color w:val="000000" w:themeColor="text1"/>
          <w:sz w:val="22"/>
        </w:rPr>
        <w:t xml:space="preserve">, el Congreso de la República reconoce la necesidad de un reglamento para el efectivo cumplimiento de la </w:t>
      </w:r>
      <w:r w:rsidR="00E91C29" w:rsidRPr="00A87091">
        <w:rPr>
          <w:rFonts w:ascii="Arial" w:eastAsia="Calibri" w:hAnsi="Arial" w:cs="Arial"/>
          <w:color w:val="000000" w:themeColor="text1"/>
          <w:sz w:val="22"/>
          <w:lang w:val="es-ES_tradnl"/>
        </w:rPr>
        <w:t>Ley 2069 de 2020</w:t>
      </w:r>
      <w:r w:rsidR="00E91C29" w:rsidRPr="00A87091">
        <w:rPr>
          <w:rFonts w:ascii="Arial" w:eastAsia="Calibri" w:hAnsi="Arial" w:cs="Arial"/>
          <w:bCs/>
          <w:color w:val="000000" w:themeColor="text1"/>
          <w:sz w:val="22"/>
        </w:rPr>
        <w:t>, lo que demuestra, para el caso concreto, una vigencia sometida a condición para los temas regulados en estas normas.</w:t>
      </w:r>
      <w:r w:rsidR="00C440E3" w:rsidRPr="00A87091">
        <w:rPr>
          <w:rFonts w:ascii="Arial" w:eastAsia="Calibri" w:hAnsi="Arial" w:cs="Arial"/>
          <w:bCs/>
          <w:color w:val="000000" w:themeColor="text1"/>
          <w:sz w:val="22"/>
        </w:rPr>
        <w:t xml:space="preserve"> Hasta que estos temas no estén reglamentados, no son exigibles de los procedimientos de selección regidos por los documentos tipo de licitación de obra pública de agua potable y saneamiento básico.</w:t>
      </w:r>
      <w:r w:rsidR="00E91C29" w:rsidRPr="00A87091">
        <w:rPr>
          <w:rFonts w:ascii="Arial" w:eastAsia="Calibri" w:hAnsi="Arial" w:cs="Arial"/>
          <w:bCs/>
          <w:color w:val="000000" w:themeColor="text1"/>
          <w:sz w:val="22"/>
        </w:rPr>
        <w:t xml:space="preserve"> </w:t>
      </w:r>
    </w:p>
    <w:p w14:paraId="6D2D8588" w14:textId="23238C47" w:rsidR="002D335F" w:rsidRPr="00A87091" w:rsidRDefault="00E91C29" w:rsidP="002D335F">
      <w:pPr>
        <w:tabs>
          <w:tab w:val="left" w:pos="709"/>
        </w:tabs>
        <w:spacing w:after="120" w:line="276" w:lineRule="auto"/>
        <w:jc w:val="both"/>
        <w:rPr>
          <w:rFonts w:ascii="Arial" w:eastAsia="Calibri" w:hAnsi="Arial" w:cs="Arial"/>
          <w:color w:val="000000"/>
          <w:sz w:val="22"/>
          <w:lang w:val="es-ES_tradnl" w:eastAsia="es-ES_tradnl"/>
        </w:rPr>
      </w:pPr>
      <w:r w:rsidRPr="00A87091">
        <w:rPr>
          <w:rFonts w:ascii="Arial" w:eastAsia="Calibri" w:hAnsi="Arial" w:cs="Arial"/>
          <w:bCs/>
          <w:color w:val="000000" w:themeColor="text1"/>
          <w:sz w:val="22"/>
        </w:rPr>
        <w:lastRenderedPageBreak/>
        <w:tab/>
      </w:r>
      <w:r w:rsidR="002E0C9E" w:rsidRPr="00A87091">
        <w:rPr>
          <w:rFonts w:ascii="Arial" w:eastAsia="Calibri" w:hAnsi="Arial" w:cs="Arial"/>
          <w:bCs/>
          <w:color w:val="000000" w:themeColor="text1"/>
          <w:sz w:val="22"/>
        </w:rPr>
        <w:t>En contraste</w:t>
      </w:r>
      <w:r w:rsidRPr="00A87091">
        <w:rPr>
          <w:rFonts w:ascii="Arial" w:eastAsia="Calibri" w:hAnsi="Arial" w:cs="Arial"/>
          <w:bCs/>
          <w:color w:val="000000" w:themeColor="text1"/>
          <w:sz w:val="22"/>
        </w:rPr>
        <w:t>,</w:t>
      </w:r>
      <w:r w:rsidR="006F2044" w:rsidRPr="00A87091">
        <w:rPr>
          <w:rFonts w:ascii="Arial" w:eastAsia="Calibri" w:hAnsi="Arial" w:cs="Arial"/>
          <w:bCs/>
          <w:color w:val="000000" w:themeColor="text1"/>
          <w:sz w:val="22"/>
        </w:rPr>
        <w:t xml:space="preserve"> además que el artículo 30 de la Ley de Emprendimiento no </w:t>
      </w:r>
      <w:r w:rsidR="002D335F" w:rsidRPr="00A87091">
        <w:rPr>
          <w:rFonts w:ascii="Arial" w:eastAsia="Calibri" w:hAnsi="Arial" w:cs="Arial"/>
          <w:bCs/>
          <w:color w:val="000000" w:themeColor="text1"/>
          <w:sz w:val="22"/>
        </w:rPr>
        <w:t>rige en</w:t>
      </w:r>
      <w:r w:rsidR="006F2044" w:rsidRPr="00A87091">
        <w:rPr>
          <w:rFonts w:ascii="Arial" w:eastAsia="Calibri" w:hAnsi="Arial" w:cs="Arial"/>
          <w:bCs/>
          <w:color w:val="000000" w:themeColor="text1"/>
          <w:sz w:val="22"/>
        </w:rPr>
        <w:t xml:space="preserve"> la modalidad de licitación pública, las entidades publicas deben aplicar los artículos </w:t>
      </w:r>
      <w:r w:rsidR="002D335F" w:rsidRPr="00A87091">
        <w:rPr>
          <w:rFonts w:ascii="Arial" w:eastAsia="Calibri" w:hAnsi="Arial" w:cs="Arial"/>
          <w:bCs/>
          <w:color w:val="000000" w:themeColor="text1"/>
          <w:sz w:val="22"/>
        </w:rPr>
        <w:t xml:space="preserve">relacionados con el acceso de las mipymes al mercado de compras públicas y con los factores de desempate. </w:t>
      </w:r>
      <w:r w:rsidR="002D335F" w:rsidRPr="00A87091">
        <w:rPr>
          <w:rFonts w:ascii="Arial" w:hAnsi="Arial" w:cs="Arial"/>
          <w:sz w:val="22"/>
        </w:rPr>
        <w:t xml:space="preserve">Esto con independencia de que el procedimiento se rija o no por los documentos tipo implementados </w:t>
      </w:r>
      <w:r w:rsidR="005E17E2" w:rsidRPr="00A87091">
        <w:rPr>
          <w:rFonts w:ascii="Arial" w:hAnsi="Arial" w:cs="Arial"/>
          <w:sz w:val="22"/>
        </w:rPr>
        <w:t>mediante</w:t>
      </w:r>
      <w:r w:rsidR="002D335F" w:rsidRPr="00A87091">
        <w:rPr>
          <w:rFonts w:ascii="Arial" w:hAnsi="Arial" w:cs="Arial"/>
          <w:sz w:val="22"/>
        </w:rPr>
        <w:t xml:space="preserve"> las Resoluciones 248 y 249 del 1º de diciembre de 2020, pues</w:t>
      </w:r>
      <w:r w:rsidR="004C2749" w:rsidRPr="00A87091">
        <w:rPr>
          <w:rFonts w:ascii="Arial" w:hAnsi="Arial" w:cs="Arial"/>
          <w:sz w:val="22"/>
        </w:rPr>
        <w:t xml:space="preserve"> son</w:t>
      </w:r>
      <w:r w:rsidR="002D335F" w:rsidRPr="00A87091">
        <w:rPr>
          <w:rFonts w:ascii="Arial" w:hAnsi="Arial" w:cs="Arial"/>
          <w:sz w:val="22"/>
        </w:rPr>
        <w:t xml:space="preserve"> temas transversales al sistema compras y contratación pública.</w:t>
      </w:r>
      <w:r w:rsidR="002D335F" w:rsidRPr="00A87091">
        <w:rPr>
          <w:rFonts w:ascii="Arial" w:eastAsia="Calibri" w:hAnsi="Arial" w:cs="Arial"/>
          <w:bCs/>
          <w:color w:val="000000" w:themeColor="text1"/>
          <w:sz w:val="22"/>
        </w:rPr>
        <w:t xml:space="preserve"> </w:t>
      </w:r>
    </w:p>
    <w:p w14:paraId="7ED754EF" w14:textId="32517EE8" w:rsidR="006F2044" w:rsidRPr="00A87091" w:rsidRDefault="002D335F" w:rsidP="006F2044">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r>
      <w:r w:rsidR="002E0C9E" w:rsidRPr="00A87091">
        <w:rPr>
          <w:rFonts w:ascii="Arial" w:eastAsia="Calibri" w:hAnsi="Arial" w:cs="Arial"/>
          <w:bCs/>
          <w:color w:val="000000" w:themeColor="text1"/>
          <w:sz w:val="22"/>
        </w:rPr>
        <w:t>Por un lado</w:t>
      </w:r>
      <w:r w:rsidRPr="00A87091">
        <w:rPr>
          <w:rFonts w:ascii="Arial" w:eastAsia="Calibri" w:hAnsi="Arial" w:cs="Arial"/>
          <w:bCs/>
          <w:color w:val="000000" w:themeColor="text1"/>
          <w:sz w:val="22"/>
        </w:rPr>
        <w:t xml:space="preserve">, </w:t>
      </w:r>
      <w:r w:rsidRPr="00A87091">
        <w:rPr>
          <w:rFonts w:ascii="Arial" w:hAnsi="Arial" w:cs="Arial"/>
          <w:sz w:val="22"/>
        </w:rPr>
        <w:t xml:space="preserve">el artículo 33 no alude a la necesidad de una reglamentación posterior, por lo que los deberes prescritos en este son de cumplimiento inmediato. </w:t>
      </w:r>
      <w:r w:rsidR="002E0C9E" w:rsidRPr="00A87091">
        <w:rPr>
          <w:rFonts w:ascii="Arial" w:hAnsi="Arial" w:cs="Arial"/>
          <w:sz w:val="22"/>
        </w:rPr>
        <w:t>Es decir</w:t>
      </w:r>
      <w:r w:rsidRPr="00A87091">
        <w:rPr>
          <w:rFonts w:ascii="Arial" w:hAnsi="Arial" w:cs="Arial"/>
          <w:sz w:val="22"/>
        </w:rPr>
        <w:t xml:space="preserve">, conforme al marco normativo que regule el acceso de las mipymes al mercado de compras públicas, las entidades deberán adoptar las medidas necesarias para el acatamiento de esta disposición. </w:t>
      </w:r>
      <w:r w:rsidR="002E0C9E" w:rsidRPr="00A87091">
        <w:rPr>
          <w:rFonts w:ascii="Arial" w:hAnsi="Arial" w:cs="Arial"/>
          <w:sz w:val="22"/>
        </w:rPr>
        <w:t xml:space="preserve">Por otra parte, </w:t>
      </w:r>
      <w:r w:rsidR="002E0C9E" w:rsidRPr="00A87091">
        <w:rPr>
          <w:rFonts w:ascii="Arial" w:eastAsia="Calibri" w:hAnsi="Arial" w:cs="Arial"/>
          <w:bCs/>
          <w:color w:val="000000" w:themeColor="text1"/>
          <w:sz w:val="22"/>
        </w:rPr>
        <w:t xml:space="preserve">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–incluidos los que se rigen por documentos tipo–, las entidades exceptuadas de la Ley 80 de 1993 y los patrimonios autónomos. </w:t>
      </w:r>
    </w:p>
    <w:p w14:paraId="3A1053BA" w14:textId="12952F90" w:rsidR="002E0C9E" w:rsidRPr="00A87091" w:rsidRDefault="002E0C9E" w:rsidP="002E0C9E">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 xml:space="preserve">Respecto a este último punto, es necesario considerar que el artículo 35 de la Ley 2069 de 2020 no establece un medio específico para acreditar las circunstancias a las que se refiere cada causal.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172ADA29" w14:textId="045E2758" w:rsidR="002E0C9E" w:rsidRPr="00A87091" w:rsidRDefault="002E0C9E" w:rsidP="002E0C9E">
      <w:pPr>
        <w:tabs>
          <w:tab w:val="left" w:pos="709"/>
        </w:tabs>
        <w:spacing w:after="120" w:line="276" w:lineRule="auto"/>
        <w:jc w:val="both"/>
        <w:rPr>
          <w:rFonts w:ascii="Arial" w:eastAsia="Calibri" w:hAnsi="Arial" w:cs="Arial"/>
          <w:bCs/>
          <w:color w:val="000000" w:themeColor="text1"/>
          <w:sz w:val="22"/>
        </w:rPr>
      </w:pPr>
      <w:r w:rsidRPr="00A87091">
        <w:rPr>
          <w:rFonts w:ascii="Arial" w:eastAsia="Calibri" w:hAnsi="Arial" w:cs="Arial"/>
          <w:bCs/>
          <w:color w:val="000000" w:themeColor="text1"/>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620023B2" w14:textId="671A4FDC" w:rsidR="002E0C9E" w:rsidRPr="00A87091" w:rsidRDefault="002E0C9E" w:rsidP="002E0C9E">
      <w:pPr>
        <w:shd w:val="clear" w:color="auto" w:fill="FFFFFF"/>
        <w:spacing w:after="120" w:line="276" w:lineRule="auto"/>
        <w:ind w:right="51" w:firstLine="709"/>
        <w:jc w:val="both"/>
        <w:rPr>
          <w:rFonts w:ascii="Arial" w:eastAsia="Calibri" w:hAnsi="Arial" w:cs="Arial"/>
          <w:bCs/>
          <w:sz w:val="22"/>
        </w:rPr>
      </w:pPr>
      <w:bookmarkStart w:id="28" w:name="_Hlk65085389"/>
      <w:r w:rsidRPr="00A87091">
        <w:rPr>
          <w:rFonts w:ascii="Arial" w:eastAsia="Calibri" w:hAnsi="Arial" w:cs="Arial"/>
          <w:bCs/>
          <w:sz w:val="22"/>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Expedida la resolución correspondiente quedará limitada la discrecionalidad de las entidades estatales en lo que </w:t>
      </w:r>
      <w:r w:rsidR="004C2749" w:rsidRPr="00A87091">
        <w:rPr>
          <w:rFonts w:ascii="Arial" w:eastAsia="Calibri" w:hAnsi="Arial" w:cs="Arial"/>
          <w:bCs/>
          <w:sz w:val="22"/>
        </w:rPr>
        <w:t xml:space="preserve">se refiere </w:t>
      </w:r>
      <w:r w:rsidRPr="00A87091">
        <w:rPr>
          <w:rFonts w:ascii="Arial" w:eastAsia="Calibri" w:hAnsi="Arial" w:cs="Arial"/>
          <w:bCs/>
          <w:sz w:val="22"/>
        </w:rPr>
        <w:t>a</w:t>
      </w:r>
      <w:r w:rsidR="004C2749" w:rsidRPr="00A87091">
        <w:rPr>
          <w:rFonts w:ascii="Arial" w:eastAsia="Calibri" w:hAnsi="Arial" w:cs="Arial"/>
          <w:bCs/>
          <w:sz w:val="22"/>
        </w:rPr>
        <w:t xml:space="preserve"> la forma de acreditar los</w:t>
      </w:r>
      <w:r w:rsidRPr="00A87091">
        <w:rPr>
          <w:rFonts w:ascii="Arial" w:eastAsia="Calibri" w:hAnsi="Arial" w:cs="Arial"/>
          <w:bCs/>
          <w:sz w:val="22"/>
        </w:rPr>
        <w:t xml:space="preserve"> </w:t>
      </w:r>
      <w:r w:rsidRPr="00A87091">
        <w:rPr>
          <w:rFonts w:ascii="Arial" w:eastAsia="Calibri" w:hAnsi="Arial" w:cs="Arial"/>
          <w:bCs/>
          <w:sz w:val="22"/>
        </w:rPr>
        <w:lastRenderedPageBreak/>
        <w:t xml:space="preserve">factores de desempate, dado que </w:t>
      </w:r>
      <w:r w:rsidR="004C2749" w:rsidRPr="00A87091">
        <w:rPr>
          <w:rFonts w:ascii="Arial" w:eastAsia="Calibri" w:hAnsi="Arial" w:cs="Arial"/>
          <w:bCs/>
          <w:sz w:val="22"/>
        </w:rPr>
        <w:t>–conforme a</w:t>
      </w:r>
      <w:r w:rsidRPr="00A87091">
        <w:rPr>
          <w:rFonts w:ascii="Arial" w:eastAsia="Calibri" w:hAnsi="Arial" w:cs="Arial"/>
          <w:bCs/>
          <w:sz w:val="22"/>
        </w:rPr>
        <w:t xml:space="preserve"> la Ley 2022 de 2020</w:t>
      </w:r>
      <w:r w:rsidR="004C2749" w:rsidRPr="00A87091">
        <w:rPr>
          <w:rFonts w:ascii="Arial" w:eastAsia="Calibri" w:hAnsi="Arial" w:cs="Arial"/>
          <w:bCs/>
          <w:sz w:val="22"/>
        </w:rPr>
        <w:t>–</w:t>
      </w:r>
      <w:r w:rsidRPr="00A87091">
        <w:rPr>
          <w:rFonts w:ascii="Arial" w:eastAsia="Calibri" w:hAnsi="Arial" w:cs="Arial"/>
          <w:bCs/>
          <w:sz w:val="22"/>
        </w:rPr>
        <w:t xml:space="preserve"> las entidades deberán aplicar obligatoriamente las modificaciones que se hagan a los documentos tipo</w:t>
      </w:r>
      <w:bookmarkEnd w:id="28"/>
      <w:r w:rsidRPr="00A87091">
        <w:rPr>
          <w:rFonts w:ascii="Arial" w:eastAsia="Calibri" w:hAnsi="Arial" w:cs="Arial"/>
          <w:bCs/>
          <w:sz w:val="22"/>
        </w:rPr>
        <w:t xml:space="preserve">.  </w:t>
      </w:r>
      <w:r w:rsidRPr="00A87091">
        <w:rPr>
          <w:rFonts w:ascii="Arial" w:eastAsia="Calibri" w:hAnsi="Arial" w:cs="Arial"/>
          <w:bCs/>
          <w:color w:val="000000" w:themeColor="text1"/>
          <w:sz w:val="22"/>
        </w:rPr>
        <w:t xml:space="preserve"> </w:t>
      </w:r>
    </w:p>
    <w:p w14:paraId="5B0B1E86" w14:textId="2F755CBA" w:rsidR="00185441" w:rsidRPr="00A87091" w:rsidRDefault="00185441" w:rsidP="002E0C9E">
      <w:pPr>
        <w:tabs>
          <w:tab w:val="left" w:pos="709"/>
        </w:tabs>
        <w:spacing w:line="276" w:lineRule="auto"/>
        <w:jc w:val="both"/>
        <w:rPr>
          <w:rFonts w:ascii="Arial" w:eastAsia="Calibri" w:hAnsi="Arial" w:cs="Arial"/>
          <w:color w:val="000000"/>
          <w:sz w:val="22"/>
          <w:lang w:val="es-ES_tradnl" w:eastAsia="es-ES_tradnl"/>
        </w:rPr>
      </w:pPr>
    </w:p>
    <w:p w14:paraId="66CE4DD8" w14:textId="3E176CEC" w:rsidR="00BE1E33" w:rsidRPr="00A87091" w:rsidRDefault="00E05344" w:rsidP="00604CF2">
      <w:pPr>
        <w:spacing w:line="276" w:lineRule="auto"/>
        <w:jc w:val="both"/>
        <w:rPr>
          <w:rFonts w:ascii="Arial" w:eastAsia="Calibri" w:hAnsi="Arial" w:cs="Arial"/>
          <w:color w:val="000000" w:themeColor="text1"/>
          <w:sz w:val="22"/>
        </w:rPr>
      </w:pPr>
      <w:r w:rsidRPr="00A87091">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A87091">
        <w:rPr>
          <w:rFonts w:ascii="Arial" w:eastAsia="Calibri" w:hAnsi="Arial" w:cs="Arial"/>
          <w:color w:val="000000" w:themeColor="text1"/>
          <w:sz w:val="22"/>
        </w:rPr>
        <w:t>.</w:t>
      </w:r>
    </w:p>
    <w:p w14:paraId="138D33A2" w14:textId="77777777" w:rsidR="00BE1E33" w:rsidRPr="00A87091" w:rsidRDefault="00BE1E33" w:rsidP="00BE1E33">
      <w:pPr>
        <w:ind w:firstLine="709"/>
        <w:jc w:val="both"/>
        <w:rPr>
          <w:rFonts w:ascii="Arial" w:eastAsia="Calibri" w:hAnsi="Arial" w:cs="Arial"/>
          <w:color w:val="000000" w:themeColor="text1"/>
          <w:sz w:val="22"/>
        </w:rPr>
      </w:pPr>
    </w:p>
    <w:p w14:paraId="2B02915D" w14:textId="46FB106A" w:rsidR="00BE1E33" w:rsidRPr="00A87091" w:rsidRDefault="00BE1E33" w:rsidP="00BE1E33">
      <w:pPr>
        <w:jc w:val="both"/>
        <w:rPr>
          <w:rFonts w:ascii="Arial" w:eastAsia="Times New Roman" w:hAnsi="Arial" w:cs="Arial"/>
          <w:color w:val="000000" w:themeColor="text1"/>
          <w:sz w:val="22"/>
          <w:lang w:eastAsia="es-CO"/>
        </w:rPr>
      </w:pPr>
      <w:r w:rsidRPr="00A87091">
        <w:rPr>
          <w:rFonts w:ascii="Arial" w:eastAsia="Times New Roman" w:hAnsi="Arial" w:cs="Arial"/>
          <w:color w:val="000000" w:themeColor="text1"/>
          <w:sz w:val="22"/>
          <w:lang w:eastAsia="es-CO"/>
        </w:rPr>
        <w:t>Atentamente,</w:t>
      </w:r>
    </w:p>
    <w:p w14:paraId="28B1817C" w14:textId="3CC136C2" w:rsidR="005E5E63" w:rsidRPr="00A87091" w:rsidRDefault="005E5E63" w:rsidP="00BE1E33">
      <w:pPr>
        <w:jc w:val="both"/>
        <w:rPr>
          <w:rFonts w:ascii="Arial" w:eastAsia="Times New Roman" w:hAnsi="Arial" w:cs="Arial"/>
          <w:color w:val="000000" w:themeColor="text1"/>
          <w:sz w:val="22"/>
          <w:lang w:eastAsia="es-CO"/>
        </w:rPr>
      </w:pPr>
    </w:p>
    <w:p w14:paraId="0C6CA5FF" w14:textId="77777777" w:rsidR="005E5E63" w:rsidRPr="00A87091" w:rsidRDefault="005E5E63" w:rsidP="005E5E63">
      <w:pPr>
        <w:jc w:val="center"/>
        <w:rPr>
          <w:rFonts w:ascii="Arial" w:eastAsia="Times New Roman" w:hAnsi="Arial" w:cs="Arial"/>
          <w:color w:val="000000" w:themeColor="text1"/>
          <w:sz w:val="18"/>
          <w:szCs w:val="20"/>
          <w:lang w:eastAsia="es-CO"/>
        </w:rPr>
      </w:pPr>
    </w:p>
    <w:p w14:paraId="3F28D09F" w14:textId="01010DA7" w:rsidR="005E5E63" w:rsidRPr="00A87091" w:rsidRDefault="00363192" w:rsidP="005E5E63">
      <w:pPr>
        <w:jc w:val="center"/>
        <w:rPr>
          <w:rFonts w:ascii="Arial" w:eastAsia="Times New Roman" w:hAnsi="Arial" w:cs="Arial"/>
          <w:color w:val="000000" w:themeColor="text1"/>
          <w:sz w:val="18"/>
          <w:szCs w:val="20"/>
          <w:lang w:eastAsia="es-CO"/>
        </w:rPr>
      </w:pPr>
      <w:r>
        <w:rPr>
          <w:noProof/>
        </w:rPr>
        <w:drawing>
          <wp:inline distT="0" distB="0" distL="0" distR="0" wp14:anchorId="34458CB1" wp14:editId="6B33268F">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1BD84B51" w14:textId="77777777" w:rsidR="005E5E63" w:rsidRPr="00A87091" w:rsidRDefault="005E5E63" w:rsidP="005E5E63">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5E63" w:rsidRPr="00A87091" w14:paraId="09E183F4" w14:textId="77777777" w:rsidTr="005E5E63">
        <w:trPr>
          <w:trHeight w:val="315"/>
        </w:trPr>
        <w:tc>
          <w:tcPr>
            <w:tcW w:w="812" w:type="dxa"/>
            <w:vAlign w:val="center"/>
            <w:hideMark/>
          </w:tcPr>
          <w:p w14:paraId="53CE16F3"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4534EC8"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Juan David Montoya Penagos</w:t>
            </w:r>
          </w:p>
          <w:p w14:paraId="2B0214B7"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Gestor T1-15 de la Subdirección de Gestión Contractual</w:t>
            </w:r>
          </w:p>
        </w:tc>
      </w:tr>
      <w:tr w:rsidR="005E5E63" w:rsidRPr="00A87091" w14:paraId="5FF5B747" w14:textId="77777777" w:rsidTr="005E5E63">
        <w:trPr>
          <w:trHeight w:val="330"/>
        </w:trPr>
        <w:tc>
          <w:tcPr>
            <w:tcW w:w="812" w:type="dxa"/>
            <w:vAlign w:val="center"/>
            <w:hideMark/>
          </w:tcPr>
          <w:p w14:paraId="2B8FE875"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D09CBE" w14:textId="77777777" w:rsidR="005E5E63" w:rsidRPr="00A87091" w:rsidRDefault="005E5E63" w:rsidP="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Jorge Augusto Tirado Navarro</w:t>
            </w:r>
          </w:p>
          <w:p w14:paraId="7CE45DF7" w14:textId="261A2142" w:rsidR="005E5E63" w:rsidRPr="00A87091" w:rsidRDefault="005E5E63" w:rsidP="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Subdirector de Gestión Contractual ANCP – CCE</w:t>
            </w:r>
          </w:p>
        </w:tc>
      </w:tr>
      <w:tr w:rsidR="005E5E63" w14:paraId="65E00553" w14:textId="77777777" w:rsidTr="005E5E63">
        <w:trPr>
          <w:trHeight w:val="300"/>
        </w:trPr>
        <w:tc>
          <w:tcPr>
            <w:tcW w:w="812" w:type="dxa"/>
            <w:vAlign w:val="center"/>
            <w:hideMark/>
          </w:tcPr>
          <w:p w14:paraId="70850405"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81CDE" w14:textId="77777777" w:rsidR="005E5E63" w:rsidRPr="00A87091"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Jorge Augusto Tirado Navarro</w:t>
            </w:r>
          </w:p>
          <w:p w14:paraId="7E783D99" w14:textId="77777777" w:rsidR="005E5E63" w:rsidRDefault="005E5E63">
            <w:pPr>
              <w:rPr>
                <w:rFonts w:ascii="Arial" w:eastAsia="Times New Roman" w:hAnsi="Arial" w:cs="Arial"/>
                <w:color w:val="000000" w:themeColor="text1"/>
                <w:sz w:val="16"/>
                <w:szCs w:val="16"/>
                <w:lang w:eastAsia="es-ES"/>
              </w:rPr>
            </w:pPr>
            <w:r w:rsidRPr="00A87091">
              <w:rPr>
                <w:rFonts w:ascii="Arial" w:eastAsia="Times New Roman" w:hAnsi="Arial" w:cs="Arial"/>
                <w:color w:val="000000" w:themeColor="text1"/>
                <w:sz w:val="16"/>
                <w:szCs w:val="16"/>
                <w:lang w:eastAsia="es-ES"/>
              </w:rPr>
              <w:t>Subdirector de Gestión Contractual ANCP – CCE</w:t>
            </w:r>
          </w:p>
        </w:tc>
      </w:tr>
    </w:tbl>
    <w:p w14:paraId="5B5E799B" w14:textId="77777777" w:rsidR="005E5E63" w:rsidRDefault="005E5E63" w:rsidP="00BE1E33">
      <w:pPr>
        <w:jc w:val="both"/>
        <w:rPr>
          <w:rFonts w:ascii="Arial" w:eastAsia="Times New Roman" w:hAnsi="Arial" w:cs="Arial"/>
          <w:color w:val="000000" w:themeColor="text1"/>
          <w:sz w:val="22"/>
          <w:lang w:eastAsia="es-CO"/>
        </w:rPr>
      </w:pPr>
    </w:p>
    <w:p w14:paraId="0C670465" w14:textId="2FAAA10D" w:rsidR="00852D21" w:rsidRDefault="00852D21" w:rsidP="00BE1E33">
      <w:pPr>
        <w:jc w:val="both"/>
        <w:rPr>
          <w:rFonts w:ascii="Arial" w:eastAsia="Times New Roman" w:hAnsi="Arial" w:cs="Arial"/>
          <w:color w:val="000000" w:themeColor="text1"/>
          <w:sz w:val="22"/>
          <w:lang w:eastAsia="es-CO"/>
        </w:rPr>
      </w:pPr>
    </w:p>
    <w:p w14:paraId="3FF13209" w14:textId="77777777" w:rsidR="00852D21" w:rsidRPr="006C15D5" w:rsidRDefault="00852D21" w:rsidP="00BE1E33">
      <w:pPr>
        <w:jc w:val="both"/>
        <w:rPr>
          <w:rFonts w:ascii="Arial" w:eastAsia="Times New Roman" w:hAnsi="Arial" w:cs="Arial"/>
          <w:color w:val="000000" w:themeColor="text1"/>
          <w:sz w:val="22"/>
          <w:lang w:eastAsia="es-CO"/>
        </w:rPr>
      </w:pPr>
    </w:p>
    <w:p w14:paraId="1C8F6984" w14:textId="603BFE0E" w:rsidR="00BE1E33" w:rsidRDefault="00BE1E33" w:rsidP="00BE1E33">
      <w:pPr>
        <w:jc w:val="center"/>
        <w:rPr>
          <w:rFonts w:ascii="Arial" w:eastAsia="Times New Roman" w:hAnsi="Arial" w:cs="Arial"/>
          <w:color w:val="000000" w:themeColor="text1"/>
          <w:sz w:val="18"/>
          <w:szCs w:val="20"/>
          <w:lang w:eastAsia="es-CO"/>
        </w:rP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DCCE4" w14:textId="77777777" w:rsidR="006656A2" w:rsidRDefault="006656A2" w:rsidP="008C487C">
      <w:r>
        <w:separator/>
      </w:r>
    </w:p>
  </w:endnote>
  <w:endnote w:type="continuationSeparator" w:id="0">
    <w:p w14:paraId="785CF1CB" w14:textId="77777777" w:rsidR="006656A2" w:rsidRDefault="006656A2"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CF68B" w14:textId="77777777" w:rsidR="006656A2" w:rsidRDefault="006656A2" w:rsidP="008C487C">
      <w:r>
        <w:separator/>
      </w:r>
    </w:p>
  </w:footnote>
  <w:footnote w:type="continuationSeparator" w:id="0">
    <w:p w14:paraId="5D82A305" w14:textId="77777777" w:rsidR="006656A2" w:rsidRDefault="006656A2" w:rsidP="008C487C">
      <w:r>
        <w:continuationSeparator/>
      </w:r>
    </w:p>
  </w:footnote>
  <w:footnote w:id="1">
    <w:p w14:paraId="74584C01" w14:textId="77777777" w:rsidR="00F85C73" w:rsidRPr="00BD4E32" w:rsidRDefault="00F85C73" w:rsidP="00F85C73">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7A68AAA9" w14:textId="77777777" w:rsidR="00F85C73" w:rsidRDefault="00F85C73" w:rsidP="00F85C73">
      <w:pPr>
        <w:pStyle w:val="Textonotapie"/>
        <w:ind w:firstLine="708"/>
        <w:jc w:val="both"/>
        <w:rPr>
          <w:rFonts w:ascii="Arial" w:hAnsi="Arial" w:cs="Arial"/>
          <w:sz w:val="19"/>
          <w:szCs w:val="19"/>
        </w:rPr>
      </w:pPr>
      <w:r>
        <w:rPr>
          <w:rFonts w:ascii="Arial" w:hAnsi="Arial" w:cs="Arial"/>
          <w:sz w:val="19"/>
          <w:szCs w:val="19"/>
        </w:rPr>
        <w:t>»</w:t>
      </w:r>
      <w:r w:rsidRPr="00BD4E32">
        <w:rPr>
          <w:rFonts w:ascii="Arial" w:hAnsi="Arial" w:cs="Arial"/>
          <w:sz w:val="19"/>
          <w:szCs w:val="19"/>
        </w:rPr>
        <w:t>Dicho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1C680F9B" w14:textId="77777777" w:rsidR="00F85C73" w:rsidRPr="00BD4E32" w:rsidRDefault="00F85C73" w:rsidP="00F85C73">
      <w:pPr>
        <w:pStyle w:val="Textonotapie"/>
        <w:ind w:firstLine="708"/>
        <w:jc w:val="both"/>
        <w:rPr>
          <w:rFonts w:ascii="Arial" w:hAnsi="Arial" w:cs="Arial"/>
          <w:sz w:val="19"/>
          <w:szCs w:val="19"/>
          <w:lang w:val="es-ES"/>
        </w:rPr>
      </w:pPr>
    </w:p>
  </w:footnote>
  <w:footnote w:id="2">
    <w:p w14:paraId="693C8BD4" w14:textId="4DF4F9B1" w:rsidR="00AE1FDC" w:rsidRPr="00BD4E32" w:rsidRDefault="00AE1FDC" w:rsidP="00BD4E32">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63C67429" w14:textId="4B6A05B6" w:rsidR="00AE1FDC" w:rsidRDefault="00AE1FDC" w:rsidP="00BD4E32">
      <w:pPr>
        <w:pStyle w:val="Textonotapie"/>
        <w:ind w:firstLine="708"/>
        <w:jc w:val="both"/>
        <w:rPr>
          <w:rFonts w:ascii="Arial" w:hAnsi="Arial" w:cs="Arial"/>
          <w:sz w:val="19"/>
          <w:szCs w:val="19"/>
        </w:rPr>
      </w:pPr>
      <w:r>
        <w:rPr>
          <w:rFonts w:ascii="Arial" w:hAnsi="Arial" w:cs="Arial"/>
          <w:sz w:val="19"/>
          <w:szCs w:val="19"/>
        </w:rPr>
        <w:t>»</w:t>
      </w:r>
      <w:r w:rsidRPr="00BD4E32">
        <w:rPr>
          <w:rFonts w:ascii="Arial" w:hAnsi="Arial" w:cs="Arial"/>
          <w:sz w:val="19"/>
          <w:szCs w:val="19"/>
        </w:rPr>
        <w:t>Dicho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3D69FA06" w14:textId="77777777" w:rsidR="00AE1FDC" w:rsidRPr="00BD4E32" w:rsidRDefault="00AE1FDC" w:rsidP="00BD4E32">
      <w:pPr>
        <w:pStyle w:val="Textonotapie"/>
        <w:ind w:firstLine="708"/>
        <w:jc w:val="both"/>
        <w:rPr>
          <w:rFonts w:ascii="Arial" w:hAnsi="Arial" w:cs="Arial"/>
          <w:sz w:val="19"/>
          <w:szCs w:val="19"/>
          <w:lang w:val="es-ES"/>
        </w:rPr>
      </w:pPr>
    </w:p>
  </w:footnote>
  <w:footnote w:id="3">
    <w:p w14:paraId="1AAB25C1" w14:textId="41F1449F" w:rsidR="00AE1FDC" w:rsidRPr="00F52D84" w:rsidRDefault="00AE1FDC" w:rsidP="00F52D84">
      <w:pPr>
        <w:pStyle w:val="Textonotapie"/>
        <w:ind w:firstLine="708"/>
        <w:jc w:val="both"/>
        <w:rPr>
          <w:rFonts w:ascii="Arial" w:hAnsi="Arial" w:cs="Arial"/>
          <w:bCs/>
          <w:sz w:val="19"/>
          <w:szCs w:val="19"/>
        </w:rPr>
      </w:pPr>
      <w:r w:rsidRPr="00AA2812">
        <w:rPr>
          <w:rStyle w:val="Refdenotaalpie"/>
          <w:rFonts w:ascii="Arial" w:hAnsi="Arial" w:cs="Arial"/>
          <w:sz w:val="19"/>
          <w:szCs w:val="19"/>
        </w:rPr>
        <w:footnoteRef/>
      </w:r>
      <w:r w:rsidRPr="00AA2812">
        <w:rPr>
          <w:rFonts w:ascii="Arial" w:hAnsi="Arial" w:cs="Arial"/>
          <w:sz w:val="19"/>
          <w:szCs w:val="19"/>
        </w:rPr>
        <w:t xml:space="preserve"> </w:t>
      </w:r>
      <w:r>
        <w:rPr>
          <w:rFonts w:ascii="Arial" w:hAnsi="Arial" w:cs="Arial"/>
          <w:bCs/>
          <w:sz w:val="19"/>
          <w:szCs w:val="19"/>
        </w:rPr>
        <w:t xml:space="preserve">Esta política </w:t>
      </w:r>
      <w:r w:rsidRPr="00AA2812">
        <w:rPr>
          <w:rFonts w:ascii="Arial" w:hAnsi="Arial" w:cs="Arial"/>
          <w:bCs/>
          <w:sz w:val="19"/>
          <w:szCs w:val="19"/>
        </w:rPr>
        <w:t>se justifica en la medida que:</w:t>
      </w:r>
      <w:r>
        <w:rPr>
          <w:rFonts w:ascii="Arial" w:hAnsi="Arial" w:cs="Arial"/>
          <w:bCs/>
          <w:sz w:val="19"/>
          <w:szCs w:val="19"/>
        </w:rPr>
        <w:t xml:space="preserve"> «</w:t>
      </w:r>
      <w:r w:rsidRPr="00AA2812">
        <w:rPr>
          <w:rFonts w:ascii="Arial" w:hAnsi="Arial" w:cs="Arial"/>
          <w:bCs/>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sz w:val="19"/>
          <w:szCs w:val="19"/>
        </w:rPr>
        <w:t xml:space="preserve">» (Cfr. </w:t>
      </w:r>
      <w:r w:rsidRPr="00AA2812">
        <w:rPr>
          <w:rFonts w:ascii="Arial" w:hAnsi="Arial" w:cs="Arial"/>
          <w:sz w:val="19"/>
          <w:szCs w:val="19"/>
        </w:rPr>
        <w:t>CONSEJO NACIONAL DE POLÍTICA ECONÓMICA Y SOCIAL</w:t>
      </w:r>
      <w:r>
        <w:rPr>
          <w:rFonts w:ascii="Arial" w:hAnsi="Arial" w:cs="Arial"/>
          <w:sz w:val="19"/>
          <w:szCs w:val="19"/>
        </w:rPr>
        <w:t xml:space="preserve">. </w:t>
      </w:r>
      <w:r w:rsidRPr="00AA2812">
        <w:rPr>
          <w:rFonts w:ascii="Arial" w:hAnsi="Arial" w:cs="Arial"/>
          <w:sz w:val="19"/>
          <w:szCs w:val="19"/>
        </w:rPr>
        <w:t>Documento 3956 del 8 de enero de 2019</w:t>
      </w:r>
      <w:r>
        <w:rPr>
          <w:rFonts w:ascii="Arial" w:hAnsi="Arial" w:cs="Arial"/>
          <w:sz w:val="19"/>
          <w:szCs w:val="19"/>
        </w:rPr>
        <w:t xml:space="preserve">: </w:t>
      </w:r>
      <w:r w:rsidRPr="00AA2812">
        <w:rPr>
          <w:rFonts w:ascii="Arial" w:hAnsi="Arial" w:cs="Arial"/>
          <w:sz w:val="19"/>
          <w:szCs w:val="19"/>
        </w:rPr>
        <w:t>«Política de formalización empresarial»</w:t>
      </w:r>
      <w:r>
        <w:rPr>
          <w:rFonts w:ascii="Arial" w:hAnsi="Arial" w:cs="Arial"/>
          <w:sz w:val="19"/>
          <w:szCs w:val="19"/>
        </w:rPr>
        <w:t xml:space="preserve">. Archivo consultado el 8 de febrero de 2021 en la página web </w:t>
      </w:r>
      <w:hyperlink r:id="rId1" w:history="1">
        <w:r w:rsidRPr="00DB0616">
          <w:rPr>
            <w:rStyle w:val="Hipervnculo"/>
            <w:rFonts w:ascii="Arial" w:hAnsi="Arial" w:cs="Arial"/>
            <w:sz w:val="19"/>
            <w:szCs w:val="19"/>
          </w:rPr>
          <w:t>https://colaboracion.dnp.gov.co/CDT/Conpes/Econ%C3%B3micos/3956.pdf</w:t>
        </w:r>
      </w:hyperlink>
      <w:r>
        <w:rPr>
          <w:rFonts w:ascii="Arial" w:hAnsi="Arial" w:cs="Arial"/>
          <w:sz w:val="19"/>
          <w:szCs w:val="19"/>
        </w:rPr>
        <w:t xml:space="preserve">).  </w:t>
      </w:r>
    </w:p>
    <w:p w14:paraId="154CBEB2" w14:textId="77777777" w:rsidR="00AE1FDC" w:rsidRPr="00AA2812" w:rsidRDefault="00AE1FDC" w:rsidP="00F52D84">
      <w:pPr>
        <w:pStyle w:val="Textonotapie"/>
        <w:ind w:firstLine="708"/>
        <w:jc w:val="both"/>
        <w:rPr>
          <w:rFonts w:ascii="Arial" w:hAnsi="Arial" w:cs="Arial"/>
          <w:sz w:val="19"/>
          <w:szCs w:val="19"/>
          <w:lang w:val="es-ES"/>
        </w:rPr>
      </w:pPr>
    </w:p>
  </w:footnote>
  <w:footnote w:id="4">
    <w:p w14:paraId="5A113705" w14:textId="1F73226D" w:rsidR="00AE1FDC" w:rsidRPr="00A1541C" w:rsidRDefault="00AE1FDC" w:rsidP="00A1541C">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8" w:name="_Hlk63862868"/>
      <w:r>
        <w:rPr>
          <w:rFonts w:ascii="Arial" w:hAnsi="Arial" w:cs="Arial"/>
          <w:sz w:val="19"/>
          <w:szCs w:val="19"/>
        </w:rPr>
        <w:t xml:space="preserve">CONGRESO DE LA REPÚBLICA. Gaceta No. 670 del 11 de agosto de 2020. Exposición de motivos del Proyecto de Ley No. 122 de 2020 Cámara. p. 13. </w:t>
      </w:r>
    </w:p>
    <w:bookmarkEnd w:id="8"/>
  </w:footnote>
  <w:footnote w:id="5">
    <w:p w14:paraId="5787D22A" w14:textId="6A3C8CB1" w:rsidR="00AE1FDC" w:rsidRDefault="00AE1FDC" w:rsidP="00F32C99">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265B6D07" w14:textId="77777777" w:rsidR="00AE1FDC" w:rsidRPr="00F32C99" w:rsidRDefault="00AE1FDC" w:rsidP="00F32C99">
      <w:pPr>
        <w:pStyle w:val="Textonotapie"/>
        <w:ind w:firstLine="708"/>
        <w:jc w:val="both"/>
        <w:rPr>
          <w:rFonts w:ascii="Arial" w:hAnsi="Arial" w:cs="Arial"/>
          <w:sz w:val="19"/>
          <w:szCs w:val="19"/>
          <w:lang w:val="es-ES"/>
        </w:rPr>
      </w:pPr>
    </w:p>
  </w:footnote>
  <w:footnote w:id="6">
    <w:p w14:paraId="03226C49" w14:textId="52913013" w:rsidR="00AE1FDC" w:rsidRDefault="00AE1FDC" w:rsidP="00CD087C">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Exp. 26.140. C.P. </w:t>
      </w:r>
      <w:r w:rsidRPr="0005595F">
        <w:rPr>
          <w:rFonts w:ascii="Arial" w:hAnsi="Arial" w:cs="Arial"/>
          <w:sz w:val="19"/>
          <w:szCs w:val="19"/>
        </w:rPr>
        <w:t>Carlos Alberto Zambrano Barrera</w:t>
      </w:r>
      <w:r>
        <w:rPr>
          <w:rFonts w:ascii="Arial" w:hAnsi="Arial" w:cs="Arial"/>
          <w:sz w:val="19"/>
          <w:szCs w:val="19"/>
        </w:rPr>
        <w:t>).</w:t>
      </w:r>
    </w:p>
    <w:p w14:paraId="26EE2A29" w14:textId="77777777" w:rsidR="00AE1FDC" w:rsidRPr="00CD087C" w:rsidRDefault="00AE1FDC" w:rsidP="00CD087C">
      <w:pPr>
        <w:pStyle w:val="Textonotapie"/>
        <w:ind w:firstLine="708"/>
        <w:jc w:val="both"/>
        <w:rPr>
          <w:rFonts w:ascii="Arial" w:hAnsi="Arial" w:cs="Arial"/>
          <w:sz w:val="19"/>
          <w:szCs w:val="19"/>
          <w:lang w:val="es-ES"/>
        </w:rPr>
      </w:pPr>
    </w:p>
  </w:footnote>
  <w:footnote w:id="7">
    <w:p w14:paraId="11AE51D5" w14:textId="1DDB291F" w:rsidR="00AE1FDC" w:rsidRPr="00660495" w:rsidRDefault="00AE1FDC" w:rsidP="00A2450A">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5E4EB9E2" w14:textId="38EC8C2F" w:rsidR="00AE1FDC" w:rsidRPr="00660495" w:rsidRDefault="00AE1FDC" w:rsidP="00A2450A">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08E94BFF" w14:textId="71893CC0"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b) El término previsto en la invitación para presentar la oferta no podrá ser inferior a un día hábil;</w:t>
      </w:r>
    </w:p>
    <w:p w14:paraId="18232A34" w14:textId="5956C9D1"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5FE746B5" w14:textId="316DB8C9" w:rsidR="00AE1FDC" w:rsidRPr="00660495" w:rsidRDefault="00AE1FDC" w:rsidP="00660495">
      <w:pPr>
        <w:pStyle w:val="Textonotapie"/>
        <w:ind w:firstLine="708"/>
        <w:jc w:val="both"/>
        <w:rPr>
          <w:rFonts w:ascii="Arial" w:hAnsi="Arial" w:cs="Arial"/>
          <w:sz w:val="19"/>
          <w:szCs w:val="19"/>
          <w:lang w:val="es-ES"/>
        </w:rPr>
      </w:pPr>
      <w:r>
        <w:rPr>
          <w:rFonts w:ascii="Arial" w:hAnsi="Arial" w:cs="Arial"/>
          <w:sz w:val="19"/>
          <w:szCs w:val="19"/>
        </w:rPr>
        <w:t>»</w:t>
      </w:r>
      <w:r w:rsidRPr="00660495">
        <w:rPr>
          <w:rFonts w:ascii="Arial" w:hAnsi="Arial" w:cs="Arial"/>
          <w:sz w:val="19"/>
          <w:szCs w:val="19"/>
        </w:rPr>
        <w:t>d)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8">
    <w:p w14:paraId="1C193152" w14:textId="6CA9DF45" w:rsidR="006437B9" w:rsidRPr="001E0DB0" w:rsidRDefault="006437B9" w:rsidP="001E0DB0">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BENAVIDES</w:t>
      </w:r>
      <w:r w:rsidR="002B43BA">
        <w:rPr>
          <w:rFonts w:ascii="Arial" w:hAnsi="Arial" w:cs="Arial"/>
          <w:sz w:val="19"/>
          <w:szCs w:val="19"/>
        </w:rPr>
        <w:t>, José Luis. La potestad reglamentaria en la contratación pública. En: Contratos públicos: Estudios. Bogotá: Universidad Externado de Colombia, 2014.</w:t>
      </w:r>
      <w:r>
        <w:rPr>
          <w:rFonts w:ascii="Arial" w:hAnsi="Arial" w:cs="Arial"/>
          <w:sz w:val="19"/>
          <w:szCs w:val="19"/>
        </w:rPr>
        <w:t xml:space="preserve"> </w:t>
      </w:r>
      <w:r w:rsidRPr="001E0DB0">
        <w:rPr>
          <w:rFonts w:ascii="Arial" w:hAnsi="Arial" w:cs="Arial"/>
          <w:sz w:val="19"/>
          <w:szCs w:val="19"/>
        </w:rPr>
        <w:t>p. 174</w:t>
      </w:r>
      <w:r w:rsidR="002B43BA">
        <w:rPr>
          <w:rFonts w:ascii="Arial" w:hAnsi="Arial" w:cs="Arial"/>
          <w:sz w:val="19"/>
          <w:szCs w:val="19"/>
        </w:rPr>
        <w:t>.</w:t>
      </w:r>
    </w:p>
  </w:footnote>
  <w:footnote w:id="9">
    <w:p w14:paraId="5611142B" w14:textId="17BCF996" w:rsidR="00AE1FDC" w:rsidRPr="00643D19" w:rsidRDefault="00AE1FDC" w:rsidP="00EE0D77">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sidR="005E5E63">
        <w:rPr>
          <w:rFonts w:ascii="Arial" w:hAnsi="Arial" w:cs="Arial"/>
          <w:sz w:val="19"/>
          <w:szCs w:val="19"/>
        </w:rPr>
        <w:t xml:space="preserve"> </w:t>
      </w:r>
      <w:r w:rsidR="005E5E63"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683FA81C"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6D2128F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»2. Desarrollarán programas de aplicación de la normativa del Sistema de Compra Pública, en especial, la relacionada con las disposiciones que promueven la participación de las MIPYMES en las compras públicas, los incentivos y el Secop.</w:t>
      </w:r>
    </w:p>
    <w:p w14:paraId="2C2E648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0AD44BC5"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0D6B702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6DBB3D3F"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43297DF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29D34687"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0779F5CA" w14:textId="1EA34AA6" w:rsidR="00AE1FDC" w:rsidRPr="00EE0D77" w:rsidRDefault="00AE1FDC" w:rsidP="00EE0D77">
      <w:pPr>
        <w:ind w:firstLine="708"/>
        <w:jc w:val="both"/>
        <w:rPr>
          <w:rFonts w:ascii="Arial" w:hAnsi="Arial" w:cs="Arial"/>
          <w:sz w:val="19"/>
          <w:szCs w:val="19"/>
        </w:rPr>
      </w:pPr>
      <w:r w:rsidRPr="00643D19">
        <w:rPr>
          <w:rFonts w:ascii="Arial" w:hAnsi="Arial" w:cs="Arial"/>
          <w:sz w:val="19"/>
          <w:szCs w:val="19"/>
        </w:rPr>
        <w:t>»PARÁGRAFO. El incumplimiento de los deberes de que trata el presente artículo por parte de los servidores públicos constituirá causal de mala conducta».</w:t>
      </w:r>
    </w:p>
  </w:footnote>
  <w:footnote w:id="10">
    <w:p w14:paraId="269B1D22" w14:textId="2B0DDCE2" w:rsidR="00AE1FDC" w:rsidRPr="004C0463" w:rsidRDefault="00AE1FDC" w:rsidP="002814EA">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9"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9"/>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2508B068" w14:textId="409EC349" w:rsidR="00AE1FDC" w:rsidRPr="004C0463" w:rsidRDefault="00AE1FDC" w:rsidP="002814EA">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A4D40CE" w14:textId="25B6A2C9" w:rsidR="00AE1FDC" w:rsidRPr="004C0463" w:rsidRDefault="00AE1FDC" w:rsidP="004C0463">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E4C3640" w14:textId="2654E9DD" w:rsidR="00AE1FDC" w:rsidRPr="004C0463" w:rsidRDefault="00AE1FDC" w:rsidP="001B0EDD">
      <w:pPr>
        <w:pStyle w:val="Textonotapie"/>
        <w:ind w:firstLine="708"/>
        <w:jc w:val="both"/>
        <w:rPr>
          <w:rFonts w:ascii="Arial" w:hAnsi="Arial" w:cs="Arial"/>
          <w:sz w:val="19"/>
          <w:szCs w:val="19"/>
          <w:lang w:val="es-ES"/>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footnote>
  <w:footnote w:id="11">
    <w:p w14:paraId="3B736F32" w14:textId="77777777" w:rsidR="00AE1FDC" w:rsidRPr="007D00A7" w:rsidRDefault="00AE1FDC" w:rsidP="00C0447F">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67DB30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2F49C034"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B5F4842"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163DCC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F18843E"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5. Preferir la propuesta presentada por el oferente que acredite, en las condiciones establecidas en la ley, que por lo menos diez por ciento (10%) de su nómina pertenece a población indígena, negra, afrocolombiana, raizal, palanquera, Rrom o gitanas.</w:t>
      </w:r>
    </w:p>
    <w:p w14:paraId="6A963E33"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20DD182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5CF439AD"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8. Preferir la oferta presentada por una Mipyme o cooperativas o asociaciones mutuales; o un proponente plural constituido por Mipymes, cooperativas o asociaciones mutuales.</w:t>
      </w:r>
    </w:p>
    <w:p w14:paraId="205593D1"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0E1476F8"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4224CADB"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1887075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0F30FE3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1°. Los factores de desempate serán aplicables en el caso de las cooperativas y asociaciones mutuales que cumplan con los criterios de clasificación empresarial, definidos por el Decreto 957 de 2019, priorizando aquellas que sean micro, pequeñas o medianas.</w:t>
      </w:r>
    </w:p>
    <w:p w14:paraId="6594DED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w:t>
      </w:r>
    </w:p>
    <w:p w14:paraId="08832348" w14:textId="53310A00" w:rsidR="00AE1FDC" w:rsidRPr="00C0447F"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 w:id="12">
    <w:p w14:paraId="74F5EC46" w14:textId="229C90D7" w:rsidR="00AE1FDC" w:rsidRPr="00614771" w:rsidRDefault="00AE1FDC">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3">
    <w:p w14:paraId="2F2BD17E" w14:textId="1C6F14D1" w:rsidR="00AE1FDC" w:rsidRDefault="00AE1FDC" w:rsidP="00DA1F5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C7E4547" w14:textId="77777777" w:rsidR="00AE1FDC" w:rsidRPr="00DA1F59" w:rsidRDefault="00AE1FDC" w:rsidP="00DA1F59">
      <w:pPr>
        <w:pStyle w:val="Textonotapie"/>
        <w:ind w:firstLine="708"/>
        <w:jc w:val="both"/>
        <w:rPr>
          <w:rFonts w:ascii="Arial" w:hAnsi="Arial" w:cs="Arial"/>
          <w:sz w:val="19"/>
          <w:szCs w:val="19"/>
          <w:lang w:val="es-ES"/>
        </w:rPr>
      </w:pPr>
    </w:p>
  </w:footnote>
  <w:footnote w:id="14">
    <w:p w14:paraId="4267F02A" w14:textId="5890B4EE" w:rsidR="00AE1FDC" w:rsidRPr="00122311" w:rsidRDefault="00AE1FDC">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footnote>
  <w:footnote w:id="15">
    <w:p w14:paraId="16043159" w14:textId="77777777" w:rsidR="00AE1FDC" w:rsidRPr="006B567C" w:rsidRDefault="00AE1FDC" w:rsidP="00AF535F">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Pr>
          <w:rFonts w:ascii="Arial" w:hAnsi="Arial" w:cs="Arial"/>
          <w:sz w:val="19"/>
          <w:szCs w:val="19"/>
        </w:rPr>
        <w:t>Esta norma dispone lo siguiente: «</w:t>
      </w:r>
      <w:r w:rsidRPr="006B567C">
        <w:rPr>
          <w:rFonts w:ascii="Arial" w:hAnsi="Arial" w:cs="Arial"/>
          <w:sz w:val="19"/>
          <w:szCs w:val="19"/>
        </w:rPr>
        <w:t>Si llegare a sobrevenir inhabilidad o incompatibilidad en el contratista, este cederá el contrato previa autorización escrita de la entidad contratante o, si ello no fuere posible, renunciará a su ejecución.</w:t>
      </w:r>
    </w:p>
    <w:p w14:paraId="39E5E053"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Cuando la inhabilidad o incompatibilidad sobrevenga en un proponente dentro de un proceso de selección, se entenderá que renuncia a la participación en el proceso de selección y a los derechos surgidos del mismo.</w:t>
      </w:r>
    </w:p>
    <w:p w14:paraId="42DBA472"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F409083"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Parágrafo 1. Cuando la inhabilidad sobreviniente sea la contemplada en el literal j) del numeral 1 del artículo 8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6AF4EF64"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Para el caso de cesión, será la entidad contratante la encargada de determinar el cesionario del contrato.</w:t>
      </w:r>
    </w:p>
    <w:p w14:paraId="5190CEA1" w14:textId="77777777" w:rsidR="00AE1FDC" w:rsidRPr="006B567C" w:rsidRDefault="00AE1FDC" w:rsidP="00AF535F">
      <w:pPr>
        <w:spacing w:line="259" w:lineRule="auto"/>
        <w:ind w:firstLine="708"/>
        <w:jc w:val="both"/>
        <w:rPr>
          <w:rFonts w:ascii="Arial" w:hAnsi="Arial" w:cs="Arial"/>
          <w:sz w:val="19"/>
          <w:szCs w:val="19"/>
        </w:rPr>
      </w:pPr>
      <w:r>
        <w:rPr>
          <w:rFonts w:ascii="Arial" w:hAnsi="Arial" w:cs="Arial"/>
          <w:sz w:val="19"/>
          <w:szCs w:val="19"/>
        </w:rPr>
        <w:t>»</w:t>
      </w:r>
      <w:r w:rsidRPr="006B567C">
        <w:rPr>
          <w:rFonts w:ascii="Arial" w:hAnsi="Arial" w:cs="Arial"/>
          <w:sz w:val="19"/>
          <w:szCs w:val="19"/>
        </w:rPr>
        <w:t>Parágrafo 2. El Gobierno nacional reglamentará el procedimiento de la cesión del contrato de que trata este artículo, en término no mayor a seis (6) meses</w:t>
      </w:r>
      <w:r>
        <w:rPr>
          <w:rFonts w:ascii="Arial" w:hAnsi="Arial" w:cs="Arial"/>
          <w:sz w:val="19"/>
          <w:szCs w:val="19"/>
        </w:rPr>
        <w:t>»</w:t>
      </w:r>
      <w:r w:rsidRPr="006B567C">
        <w:rPr>
          <w:rFonts w:ascii="Arial" w:hAnsi="Arial" w:cs="Arial"/>
          <w:sz w:val="19"/>
          <w:szCs w:val="19"/>
        </w:rPr>
        <w:t>.</w:t>
      </w:r>
    </w:p>
    <w:p w14:paraId="38D46D48" w14:textId="3B53E7B5" w:rsidR="00AE1FDC" w:rsidRPr="00E611D3" w:rsidRDefault="00AE1FDC" w:rsidP="00E611D3">
      <w:pPr>
        <w:pStyle w:val="Textonotapie"/>
        <w:ind w:firstLine="708"/>
        <w:jc w:val="both"/>
        <w:rPr>
          <w:rFonts w:ascii="Arial" w:hAnsi="Arial" w:cs="Arial"/>
          <w:sz w:val="19"/>
          <w:szCs w:val="19"/>
          <w:lang w:val="es-ES"/>
        </w:rPr>
      </w:pPr>
    </w:p>
  </w:footnote>
  <w:footnote w:id="16">
    <w:p w14:paraId="06AA1A51" w14:textId="4279EC0C" w:rsidR="005838F8" w:rsidRPr="0040085D" w:rsidRDefault="00AE1FDC">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7">
    <w:p w14:paraId="3615E422" w14:textId="3958F11E" w:rsidR="00AE1FDC" w:rsidRDefault="00AE1FDC" w:rsidP="00E007E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p w14:paraId="2426EECE" w14:textId="77777777" w:rsidR="002267EA" w:rsidRPr="00002995" w:rsidRDefault="002267EA" w:rsidP="00E007E6">
      <w:pPr>
        <w:pStyle w:val="Textonotapie"/>
        <w:ind w:firstLine="708"/>
        <w:jc w:val="both"/>
        <w:rPr>
          <w:rFonts w:ascii="Arial" w:hAnsi="Arial" w:cs="Arial"/>
          <w:sz w:val="19"/>
          <w:szCs w:val="19"/>
        </w:rPr>
      </w:pPr>
    </w:p>
  </w:footnote>
  <w:footnote w:id="18">
    <w:p w14:paraId="115C4FD1" w14:textId="5A615D2D" w:rsidR="00AE1FDC" w:rsidRPr="005716A8" w:rsidRDefault="00AE1FDC">
      <w:pPr>
        <w:pStyle w:val="Textonotapie"/>
        <w:ind w:firstLine="708"/>
        <w:jc w:val="both"/>
        <w:rPr>
          <w:rFonts w:ascii="Arial" w:hAnsi="Arial" w:cs="Arial"/>
          <w:sz w:val="19"/>
          <w:szCs w:val="19"/>
          <w:lang w:val="es-ES"/>
        </w:rPr>
      </w:pPr>
      <w:r w:rsidRPr="002267EA">
        <w:rPr>
          <w:rStyle w:val="Refdenotaalpie"/>
          <w:rFonts w:ascii="Arial" w:hAnsi="Arial" w:cs="Arial"/>
          <w:sz w:val="19"/>
          <w:szCs w:val="19"/>
        </w:rPr>
        <w:footnoteRef/>
      </w:r>
      <w:r w:rsidRPr="002267EA">
        <w:rPr>
          <w:rFonts w:ascii="Arial" w:hAnsi="Arial" w:cs="Arial"/>
          <w:sz w:val="19"/>
          <w:szCs w:val="19"/>
        </w:rPr>
        <w:t xml:space="preserve"> </w:t>
      </w:r>
      <w:r w:rsidR="002267EA" w:rsidRPr="002267EA">
        <w:rPr>
          <w:rFonts w:ascii="Arial" w:hAnsi="Arial" w:cs="Arial"/>
          <w:sz w:val="19"/>
          <w:szCs w:val="19"/>
        </w:rPr>
        <w:t>CONGRESO DE LA REPÚBLICA. Gaceta No. 670 del 11 de agosto de 2020. Exposición de motivos del Proyecto de Ley No. 122 de 2020 Cámara. pp. 3-4.</w:t>
      </w:r>
    </w:p>
  </w:footnote>
  <w:footnote w:id="19">
    <w:p w14:paraId="3F26FFE4" w14:textId="4E53E61E" w:rsidR="00AE1FDC" w:rsidRDefault="00AE1FDC" w:rsidP="00AC3DCF">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03AFE039" w14:textId="77777777" w:rsidR="00AE1FDC" w:rsidRPr="00AC3DCF" w:rsidRDefault="00AE1FDC" w:rsidP="00AC3DCF">
      <w:pPr>
        <w:pStyle w:val="Textonotapie"/>
        <w:ind w:firstLine="708"/>
        <w:jc w:val="both"/>
        <w:rPr>
          <w:rFonts w:ascii="Arial" w:hAnsi="Arial" w:cs="Arial"/>
          <w:sz w:val="19"/>
          <w:szCs w:val="19"/>
          <w:lang w:val="es-ES"/>
        </w:rPr>
      </w:pPr>
    </w:p>
  </w:footnote>
  <w:footnote w:id="20">
    <w:p w14:paraId="706AFF3A" w14:textId="10C8ADFE" w:rsidR="00AE1FDC" w:rsidRPr="00AC3DCF" w:rsidRDefault="00AE1FDC" w:rsidP="00AC3DCF">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FE"/>
    <w:rsid w:val="000047EA"/>
    <w:rsid w:val="000072CE"/>
    <w:rsid w:val="000100E8"/>
    <w:rsid w:val="00010A06"/>
    <w:rsid w:val="00010D30"/>
    <w:rsid w:val="00013780"/>
    <w:rsid w:val="000137A9"/>
    <w:rsid w:val="00013C14"/>
    <w:rsid w:val="000156B3"/>
    <w:rsid w:val="00016F8F"/>
    <w:rsid w:val="00021180"/>
    <w:rsid w:val="000221C2"/>
    <w:rsid w:val="00023000"/>
    <w:rsid w:val="00023057"/>
    <w:rsid w:val="00024771"/>
    <w:rsid w:val="00026A6E"/>
    <w:rsid w:val="0003091B"/>
    <w:rsid w:val="000324C9"/>
    <w:rsid w:val="000333A2"/>
    <w:rsid w:val="00034108"/>
    <w:rsid w:val="00034853"/>
    <w:rsid w:val="0003568E"/>
    <w:rsid w:val="0003601F"/>
    <w:rsid w:val="0003625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519B"/>
    <w:rsid w:val="00070FE3"/>
    <w:rsid w:val="00072EB9"/>
    <w:rsid w:val="000757B4"/>
    <w:rsid w:val="000763E2"/>
    <w:rsid w:val="00076F69"/>
    <w:rsid w:val="00083BE1"/>
    <w:rsid w:val="00086A16"/>
    <w:rsid w:val="00091039"/>
    <w:rsid w:val="00091570"/>
    <w:rsid w:val="0009161E"/>
    <w:rsid w:val="00091D8F"/>
    <w:rsid w:val="00091F2D"/>
    <w:rsid w:val="000929DE"/>
    <w:rsid w:val="00093392"/>
    <w:rsid w:val="00093E58"/>
    <w:rsid w:val="00095C76"/>
    <w:rsid w:val="00097CD6"/>
    <w:rsid w:val="00097D8F"/>
    <w:rsid w:val="000A1DBA"/>
    <w:rsid w:val="000A2BEF"/>
    <w:rsid w:val="000A3B96"/>
    <w:rsid w:val="000A4C83"/>
    <w:rsid w:val="000A6338"/>
    <w:rsid w:val="000A6B6F"/>
    <w:rsid w:val="000A70D5"/>
    <w:rsid w:val="000B4A19"/>
    <w:rsid w:val="000B5C52"/>
    <w:rsid w:val="000C0E39"/>
    <w:rsid w:val="000C26A0"/>
    <w:rsid w:val="000C3BD4"/>
    <w:rsid w:val="000C3D66"/>
    <w:rsid w:val="000C4A2C"/>
    <w:rsid w:val="000C51AF"/>
    <w:rsid w:val="000C5830"/>
    <w:rsid w:val="000C5C37"/>
    <w:rsid w:val="000C5D09"/>
    <w:rsid w:val="000C61D7"/>
    <w:rsid w:val="000C79F1"/>
    <w:rsid w:val="000D088F"/>
    <w:rsid w:val="000D1766"/>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2EBF"/>
    <w:rsid w:val="00103CA7"/>
    <w:rsid w:val="00104D9B"/>
    <w:rsid w:val="001056C0"/>
    <w:rsid w:val="00105A2E"/>
    <w:rsid w:val="00106148"/>
    <w:rsid w:val="00107607"/>
    <w:rsid w:val="00110B59"/>
    <w:rsid w:val="00111299"/>
    <w:rsid w:val="00112597"/>
    <w:rsid w:val="00114431"/>
    <w:rsid w:val="0011538C"/>
    <w:rsid w:val="0011544E"/>
    <w:rsid w:val="0012074A"/>
    <w:rsid w:val="00120C8D"/>
    <w:rsid w:val="0012181C"/>
    <w:rsid w:val="00122311"/>
    <w:rsid w:val="00123543"/>
    <w:rsid w:val="001240CD"/>
    <w:rsid w:val="00127F76"/>
    <w:rsid w:val="001321AB"/>
    <w:rsid w:val="0013282D"/>
    <w:rsid w:val="00132DBE"/>
    <w:rsid w:val="00133C31"/>
    <w:rsid w:val="0013709F"/>
    <w:rsid w:val="00140285"/>
    <w:rsid w:val="00140E57"/>
    <w:rsid w:val="00141B19"/>
    <w:rsid w:val="00141C64"/>
    <w:rsid w:val="001427B1"/>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BA0"/>
    <w:rsid w:val="00163EED"/>
    <w:rsid w:val="00164E79"/>
    <w:rsid w:val="00165584"/>
    <w:rsid w:val="00166C81"/>
    <w:rsid w:val="00173A9E"/>
    <w:rsid w:val="0017603D"/>
    <w:rsid w:val="001764B9"/>
    <w:rsid w:val="0018164B"/>
    <w:rsid w:val="00181A3E"/>
    <w:rsid w:val="00183447"/>
    <w:rsid w:val="00183A41"/>
    <w:rsid w:val="00183A65"/>
    <w:rsid w:val="00185441"/>
    <w:rsid w:val="001865DB"/>
    <w:rsid w:val="00193074"/>
    <w:rsid w:val="00193C83"/>
    <w:rsid w:val="00194C50"/>
    <w:rsid w:val="00196FB5"/>
    <w:rsid w:val="001972D2"/>
    <w:rsid w:val="001A0AEB"/>
    <w:rsid w:val="001A2D72"/>
    <w:rsid w:val="001A496D"/>
    <w:rsid w:val="001A535A"/>
    <w:rsid w:val="001A7DF5"/>
    <w:rsid w:val="001B0364"/>
    <w:rsid w:val="001B0EDD"/>
    <w:rsid w:val="001B269D"/>
    <w:rsid w:val="001B2E5D"/>
    <w:rsid w:val="001B4977"/>
    <w:rsid w:val="001B53BD"/>
    <w:rsid w:val="001B5E36"/>
    <w:rsid w:val="001C1354"/>
    <w:rsid w:val="001C1D25"/>
    <w:rsid w:val="001C2478"/>
    <w:rsid w:val="001C2AE5"/>
    <w:rsid w:val="001C6E3F"/>
    <w:rsid w:val="001D1277"/>
    <w:rsid w:val="001D2BDC"/>
    <w:rsid w:val="001D38A0"/>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40B2"/>
    <w:rsid w:val="001F4B99"/>
    <w:rsid w:val="001F680B"/>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30D1"/>
    <w:rsid w:val="00244A28"/>
    <w:rsid w:val="00245C98"/>
    <w:rsid w:val="002466F4"/>
    <w:rsid w:val="00247506"/>
    <w:rsid w:val="00247EBA"/>
    <w:rsid w:val="0025095A"/>
    <w:rsid w:val="00250A60"/>
    <w:rsid w:val="00251547"/>
    <w:rsid w:val="00251997"/>
    <w:rsid w:val="00251F8A"/>
    <w:rsid w:val="002532DE"/>
    <w:rsid w:val="00253FB7"/>
    <w:rsid w:val="00254030"/>
    <w:rsid w:val="00256337"/>
    <w:rsid w:val="00256893"/>
    <w:rsid w:val="0026012E"/>
    <w:rsid w:val="00264348"/>
    <w:rsid w:val="00265031"/>
    <w:rsid w:val="0026520C"/>
    <w:rsid w:val="00266277"/>
    <w:rsid w:val="00270009"/>
    <w:rsid w:val="002711ED"/>
    <w:rsid w:val="002723C7"/>
    <w:rsid w:val="00273277"/>
    <w:rsid w:val="00273DA3"/>
    <w:rsid w:val="002764BA"/>
    <w:rsid w:val="002807AD"/>
    <w:rsid w:val="002814BC"/>
    <w:rsid w:val="002814EA"/>
    <w:rsid w:val="00282756"/>
    <w:rsid w:val="00282D8F"/>
    <w:rsid w:val="00283163"/>
    <w:rsid w:val="0028403E"/>
    <w:rsid w:val="00284C12"/>
    <w:rsid w:val="0028617E"/>
    <w:rsid w:val="00286834"/>
    <w:rsid w:val="00286FAD"/>
    <w:rsid w:val="0028712C"/>
    <w:rsid w:val="0029247F"/>
    <w:rsid w:val="002930DB"/>
    <w:rsid w:val="00295636"/>
    <w:rsid w:val="002965BC"/>
    <w:rsid w:val="002969F8"/>
    <w:rsid w:val="00296DBA"/>
    <w:rsid w:val="00297358"/>
    <w:rsid w:val="002A153A"/>
    <w:rsid w:val="002A29CE"/>
    <w:rsid w:val="002A2A80"/>
    <w:rsid w:val="002A6417"/>
    <w:rsid w:val="002A6631"/>
    <w:rsid w:val="002A6E24"/>
    <w:rsid w:val="002A7CEA"/>
    <w:rsid w:val="002A7DF5"/>
    <w:rsid w:val="002B282F"/>
    <w:rsid w:val="002B3689"/>
    <w:rsid w:val="002B43BA"/>
    <w:rsid w:val="002B45AD"/>
    <w:rsid w:val="002B4B30"/>
    <w:rsid w:val="002B4F96"/>
    <w:rsid w:val="002B56DF"/>
    <w:rsid w:val="002B6370"/>
    <w:rsid w:val="002B647D"/>
    <w:rsid w:val="002B79E1"/>
    <w:rsid w:val="002B7D1F"/>
    <w:rsid w:val="002C004E"/>
    <w:rsid w:val="002C1969"/>
    <w:rsid w:val="002C352C"/>
    <w:rsid w:val="002C3CAC"/>
    <w:rsid w:val="002C441F"/>
    <w:rsid w:val="002C4D8A"/>
    <w:rsid w:val="002C7A63"/>
    <w:rsid w:val="002D00EA"/>
    <w:rsid w:val="002D06BB"/>
    <w:rsid w:val="002D2B71"/>
    <w:rsid w:val="002D335F"/>
    <w:rsid w:val="002D413A"/>
    <w:rsid w:val="002D6514"/>
    <w:rsid w:val="002D7211"/>
    <w:rsid w:val="002E08E8"/>
    <w:rsid w:val="002E0C9E"/>
    <w:rsid w:val="002E320B"/>
    <w:rsid w:val="002E4348"/>
    <w:rsid w:val="002E5AEA"/>
    <w:rsid w:val="002E67C5"/>
    <w:rsid w:val="002E6CEC"/>
    <w:rsid w:val="002E7BC2"/>
    <w:rsid w:val="002F0756"/>
    <w:rsid w:val="002F1C33"/>
    <w:rsid w:val="002F2416"/>
    <w:rsid w:val="002F2655"/>
    <w:rsid w:val="002F2DB4"/>
    <w:rsid w:val="002F47DB"/>
    <w:rsid w:val="002F63BB"/>
    <w:rsid w:val="002F64DD"/>
    <w:rsid w:val="002F6C10"/>
    <w:rsid w:val="002F6DBB"/>
    <w:rsid w:val="002F6EF8"/>
    <w:rsid w:val="002F701E"/>
    <w:rsid w:val="003001AC"/>
    <w:rsid w:val="00302F9F"/>
    <w:rsid w:val="00303EC5"/>
    <w:rsid w:val="00304386"/>
    <w:rsid w:val="00307469"/>
    <w:rsid w:val="00310915"/>
    <w:rsid w:val="00312164"/>
    <w:rsid w:val="00312203"/>
    <w:rsid w:val="00312A01"/>
    <w:rsid w:val="00312B8F"/>
    <w:rsid w:val="00314DE7"/>
    <w:rsid w:val="00315AB7"/>
    <w:rsid w:val="00321F81"/>
    <w:rsid w:val="00322FD9"/>
    <w:rsid w:val="00323336"/>
    <w:rsid w:val="00326B54"/>
    <w:rsid w:val="0032785E"/>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6578"/>
    <w:rsid w:val="00346ACB"/>
    <w:rsid w:val="00346C0A"/>
    <w:rsid w:val="00350A47"/>
    <w:rsid w:val="003535D2"/>
    <w:rsid w:val="00356B57"/>
    <w:rsid w:val="00360468"/>
    <w:rsid w:val="0036125C"/>
    <w:rsid w:val="00363192"/>
    <w:rsid w:val="003637C4"/>
    <w:rsid w:val="00363D0D"/>
    <w:rsid w:val="00377CD3"/>
    <w:rsid w:val="00381DFA"/>
    <w:rsid w:val="003825A4"/>
    <w:rsid w:val="00384856"/>
    <w:rsid w:val="00387D0F"/>
    <w:rsid w:val="00390DCF"/>
    <w:rsid w:val="00396821"/>
    <w:rsid w:val="00396A09"/>
    <w:rsid w:val="003A06BB"/>
    <w:rsid w:val="003A24AF"/>
    <w:rsid w:val="003A2944"/>
    <w:rsid w:val="003A3718"/>
    <w:rsid w:val="003A5040"/>
    <w:rsid w:val="003B0DEF"/>
    <w:rsid w:val="003B6378"/>
    <w:rsid w:val="003B712F"/>
    <w:rsid w:val="003B7185"/>
    <w:rsid w:val="003C01B5"/>
    <w:rsid w:val="003C12E6"/>
    <w:rsid w:val="003C2074"/>
    <w:rsid w:val="003C2C44"/>
    <w:rsid w:val="003C335A"/>
    <w:rsid w:val="003C3ADB"/>
    <w:rsid w:val="003C44F9"/>
    <w:rsid w:val="003C4F6C"/>
    <w:rsid w:val="003C611C"/>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FFB"/>
    <w:rsid w:val="003E14F9"/>
    <w:rsid w:val="003F17D5"/>
    <w:rsid w:val="003F309F"/>
    <w:rsid w:val="003F3119"/>
    <w:rsid w:val="003F4E8A"/>
    <w:rsid w:val="003F6D32"/>
    <w:rsid w:val="00400466"/>
    <w:rsid w:val="0040085D"/>
    <w:rsid w:val="004077AE"/>
    <w:rsid w:val="00407B6E"/>
    <w:rsid w:val="00411760"/>
    <w:rsid w:val="004136F6"/>
    <w:rsid w:val="004161D4"/>
    <w:rsid w:val="0041633C"/>
    <w:rsid w:val="00417723"/>
    <w:rsid w:val="0041784E"/>
    <w:rsid w:val="00417922"/>
    <w:rsid w:val="00417AF6"/>
    <w:rsid w:val="00417F88"/>
    <w:rsid w:val="004208F0"/>
    <w:rsid w:val="004219CA"/>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E90"/>
    <w:rsid w:val="00456D35"/>
    <w:rsid w:val="00457CF2"/>
    <w:rsid w:val="004604D7"/>
    <w:rsid w:val="00460FAC"/>
    <w:rsid w:val="004610DA"/>
    <w:rsid w:val="004617B8"/>
    <w:rsid w:val="00461E4C"/>
    <w:rsid w:val="00462A87"/>
    <w:rsid w:val="00463CA6"/>
    <w:rsid w:val="00463E5F"/>
    <w:rsid w:val="00464D59"/>
    <w:rsid w:val="0046504E"/>
    <w:rsid w:val="00467620"/>
    <w:rsid w:val="00467C7C"/>
    <w:rsid w:val="00470ECB"/>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739C"/>
    <w:rsid w:val="004A128C"/>
    <w:rsid w:val="004A1C13"/>
    <w:rsid w:val="004A1DD4"/>
    <w:rsid w:val="004A5E72"/>
    <w:rsid w:val="004A6EE1"/>
    <w:rsid w:val="004B0107"/>
    <w:rsid w:val="004B07EC"/>
    <w:rsid w:val="004B1BEC"/>
    <w:rsid w:val="004B1BEE"/>
    <w:rsid w:val="004B2AB8"/>
    <w:rsid w:val="004B5B9E"/>
    <w:rsid w:val="004B603C"/>
    <w:rsid w:val="004C0463"/>
    <w:rsid w:val="004C0E5D"/>
    <w:rsid w:val="004C2749"/>
    <w:rsid w:val="004C3F61"/>
    <w:rsid w:val="004D05B1"/>
    <w:rsid w:val="004D0734"/>
    <w:rsid w:val="004D1293"/>
    <w:rsid w:val="004D1ADE"/>
    <w:rsid w:val="004D2625"/>
    <w:rsid w:val="004D770C"/>
    <w:rsid w:val="004E0D21"/>
    <w:rsid w:val="004E1A93"/>
    <w:rsid w:val="004E370E"/>
    <w:rsid w:val="004E46BE"/>
    <w:rsid w:val="004E7442"/>
    <w:rsid w:val="004E7EAE"/>
    <w:rsid w:val="004F2563"/>
    <w:rsid w:val="004F31BC"/>
    <w:rsid w:val="004F4387"/>
    <w:rsid w:val="004F4A4D"/>
    <w:rsid w:val="004F5D59"/>
    <w:rsid w:val="004F6F82"/>
    <w:rsid w:val="004F767D"/>
    <w:rsid w:val="005000FC"/>
    <w:rsid w:val="00502957"/>
    <w:rsid w:val="00502EBB"/>
    <w:rsid w:val="00510BF5"/>
    <w:rsid w:val="00510EDC"/>
    <w:rsid w:val="0051290F"/>
    <w:rsid w:val="00513233"/>
    <w:rsid w:val="005148D1"/>
    <w:rsid w:val="00515597"/>
    <w:rsid w:val="005204A7"/>
    <w:rsid w:val="00521BA7"/>
    <w:rsid w:val="005227FC"/>
    <w:rsid w:val="005237BA"/>
    <w:rsid w:val="00524924"/>
    <w:rsid w:val="005252E2"/>
    <w:rsid w:val="005268CB"/>
    <w:rsid w:val="00530C01"/>
    <w:rsid w:val="0053325A"/>
    <w:rsid w:val="00535C6F"/>
    <w:rsid w:val="00535D5D"/>
    <w:rsid w:val="005379AD"/>
    <w:rsid w:val="00542236"/>
    <w:rsid w:val="005455D7"/>
    <w:rsid w:val="0054595C"/>
    <w:rsid w:val="00546341"/>
    <w:rsid w:val="00546920"/>
    <w:rsid w:val="00546A42"/>
    <w:rsid w:val="0054785D"/>
    <w:rsid w:val="005505C3"/>
    <w:rsid w:val="005511D5"/>
    <w:rsid w:val="00552A39"/>
    <w:rsid w:val="00552C4D"/>
    <w:rsid w:val="0055492B"/>
    <w:rsid w:val="00554A31"/>
    <w:rsid w:val="005609D5"/>
    <w:rsid w:val="00563974"/>
    <w:rsid w:val="005642AE"/>
    <w:rsid w:val="005678B1"/>
    <w:rsid w:val="005716A8"/>
    <w:rsid w:val="005725CA"/>
    <w:rsid w:val="005727F6"/>
    <w:rsid w:val="00575DC6"/>
    <w:rsid w:val="00575FF2"/>
    <w:rsid w:val="005760C8"/>
    <w:rsid w:val="00577CD4"/>
    <w:rsid w:val="00577D24"/>
    <w:rsid w:val="005820AB"/>
    <w:rsid w:val="005838F8"/>
    <w:rsid w:val="00585FB5"/>
    <w:rsid w:val="00590EE1"/>
    <w:rsid w:val="00591586"/>
    <w:rsid w:val="00592878"/>
    <w:rsid w:val="005929DC"/>
    <w:rsid w:val="00592DB1"/>
    <w:rsid w:val="00595363"/>
    <w:rsid w:val="00595A2B"/>
    <w:rsid w:val="005A006F"/>
    <w:rsid w:val="005A10A9"/>
    <w:rsid w:val="005A17D2"/>
    <w:rsid w:val="005A3C39"/>
    <w:rsid w:val="005A5E4A"/>
    <w:rsid w:val="005A7787"/>
    <w:rsid w:val="005A7E8F"/>
    <w:rsid w:val="005B04FB"/>
    <w:rsid w:val="005B5766"/>
    <w:rsid w:val="005B7357"/>
    <w:rsid w:val="005B7373"/>
    <w:rsid w:val="005B77BE"/>
    <w:rsid w:val="005B7A4C"/>
    <w:rsid w:val="005C0309"/>
    <w:rsid w:val="005C1D36"/>
    <w:rsid w:val="005C5055"/>
    <w:rsid w:val="005C5B7C"/>
    <w:rsid w:val="005C5CFB"/>
    <w:rsid w:val="005C673B"/>
    <w:rsid w:val="005D1E09"/>
    <w:rsid w:val="005D284B"/>
    <w:rsid w:val="005D4CDB"/>
    <w:rsid w:val="005D5105"/>
    <w:rsid w:val="005E17E2"/>
    <w:rsid w:val="005E1FA3"/>
    <w:rsid w:val="005E247C"/>
    <w:rsid w:val="005E2E13"/>
    <w:rsid w:val="005E3D4F"/>
    <w:rsid w:val="005E5E63"/>
    <w:rsid w:val="005E7BBC"/>
    <w:rsid w:val="005F029C"/>
    <w:rsid w:val="005F08FA"/>
    <w:rsid w:val="005F12C4"/>
    <w:rsid w:val="005F16DD"/>
    <w:rsid w:val="005F19B1"/>
    <w:rsid w:val="005F3319"/>
    <w:rsid w:val="005F42ED"/>
    <w:rsid w:val="005F4324"/>
    <w:rsid w:val="005F4477"/>
    <w:rsid w:val="005F5D19"/>
    <w:rsid w:val="005F65B9"/>
    <w:rsid w:val="005F6CBF"/>
    <w:rsid w:val="006005BB"/>
    <w:rsid w:val="006005DC"/>
    <w:rsid w:val="00600E42"/>
    <w:rsid w:val="0060138D"/>
    <w:rsid w:val="006018AA"/>
    <w:rsid w:val="00603C7F"/>
    <w:rsid w:val="00604CF2"/>
    <w:rsid w:val="006100F4"/>
    <w:rsid w:val="0061104C"/>
    <w:rsid w:val="00611C06"/>
    <w:rsid w:val="00612D14"/>
    <w:rsid w:val="00612D4B"/>
    <w:rsid w:val="006135E6"/>
    <w:rsid w:val="00614771"/>
    <w:rsid w:val="0061558D"/>
    <w:rsid w:val="0061747D"/>
    <w:rsid w:val="00623899"/>
    <w:rsid w:val="006246B7"/>
    <w:rsid w:val="006253B7"/>
    <w:rsid w:val="006276B8"/>
    <w:rsid w:val="00632E10"/>
    <w:rsid w:val="00632EA5"/>
    <w:rsid w:val="00635CBC"/>
    <w:rsid w:val="00636679"/>
    <w:rsid w:val="00637F5E"/>
    <w:rsid w:val="006437B9"/>
    <w:rsid w:val="00644F52"/>
    <w:rsid w:val="00645FCF"/>
    <w:rsid w:val="0064635E"/>
    <w:rsid w:val="006517C3"/>
    <w:rsid w:val="006520A9"/>
    <w:rsid w:val="006525FD"/>
    <w:rsid w:val="00653401"/>
    <w:rsid w:val="00653487"/>
    <w:rsid w:val="00653B17"/>
    <w:rsid w:val="00654483"/>
    <w:rsid w:val="00655EAE"/>
    <w:rsid w:val="006563B5"/>
    <w:rsid w:val="0065701C"/>
    <w:rsid w:val="00660495"/>
    <w:rsid w:val="006604A6"/>
    <w:rsid w:val="00662792"/>
    <w:rsid w:val="00664620"/>
    <w:rsid w:val="00664EDD"/>
    <w:rsid w:val="006656A2"/>
    <w:rsid w:val="00667243"/>
    <w:rsid w:val="00667868"/>
    <w:rsid w:val="00670FBC"/>
    <w:rsid w:val="00671B54"/>
    <w:rsid w:val="0067265E"/>
    <w:rsid w:val="00673DB8"/>
    <w:rsid w:val="00673E73"/>
    <w:rsid w:val="00674F46"/>
    <w:rsid w:val="006754AC"/>
    <w:rsid w:val="00675BFE"/>
    <w:rsid w:val="00675E0A"/>
    <w:rsid w:val="00676722"/>
    <w:rsid w:val="0067691D"/>
    <w:rsid w:val="006818B6"/>
    <w:rsid w:val="006824B8"/>
    <w:rsid w:val="0068288E"/>
    <w:rsid w:val="00682C32"/>
    <w:rsid w:val="006832D2"/>
    <w:rsid w:val="006836B1"/>
    <w:rsid w:val="006843B8"/>
    <w:rsid w:val="006852EB"/>
    <w:rsid w:val="00685A29"/>
    <w:rsid w:val="00687167"/>
    <w:rsid w:val="006929BA"/>
    <w:rsid w:val="00692ABF"/>
    <w:rsid w:val="00692BBD"/>
    <w:rsid w:val="00693047"/>
    <w:rsid w:val="00693313"/>
    <w:rsid w:val="0069332A"/>
    <w:rsid w:val="00694209"/>
    <w:rsid w:val="00697056"/>
    <w:rsid w:val="00697718"/>
    <w:rsid w:val="00697A99"/>
    <w:rsid w:val="006A1226"/>
    <w:rsid w:val="006A172E"/>
    <w:rsid w:val="006A2035"/>
    <w:rsid w:val="006A2DDA"/>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955"/>
    <w:rsid w:val="006C5EBD"/>
    <w:rsid w:val="006C7E87"/>
    <w:rsid w:val="006D0131"/>
    <w:rsid w:val="006D12BD"/>
    <w:rsid w:val="006D1375"/>
    <w:rsid w:val="006D1691"/>
    <w:rsid w:val="006D2335"/>
    <w:rsid w:val="006D2BE9"/>
    <w:rsid w:val="006D3570"/>
    <w:rsid w:val="006D3624"/>
    <w:rsid w:val="006D39A8"/>
    <w:rsid w:val="006D4391"/>
    <w:rsid w:val="006D519D"/>
    <w:rsid w:val="006D71C0"/>
    <w:rsid w:val="006E0BE4"/>
    <w:rsid w:val="006E13EF"/>
    <w:rsid w:val="006E20AA"/>
    <w:rsid w:val="006E4EE7"/>
    <w:rsid w:val="006E65C2"/>
    <w:rsid w:val="006E7418"/>
    <w:rsid w:val="006F15B4"/>
    <w:rsid w:val="006F2044"/>
    <w:rsid w:val="006F248F"/>
    <w:rsid w:val="006F2503"/>
    <w:rsid w:val="006F31BC"/>
    <w:rsid w:val="006F3802"/>
    <w:rsid w:val="006F39D0"/>
    <w:rsid w:val="006F3B66"/>
    <w:rsid w:val="006F4E05"/>
    <w:rsid w:val="006F4E88"/>
    <w:rsid w:val="006F64D1"/>
    <w:rsid w:val="006F661B"/>
    <w:rsid w:val="006F7746"/>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29FD"/>
    <w:rsid w:val="007232CA"/>
    <w:rsid w:val="00726DD0"/>
    <w:rsid w:val="00730CDB"/>
    <w:rsid w:val="007323E9"/>
    <w:rsid w:val="00733B55"/>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5749C"/>
    <w:rsid w:val="00760606"/>
    <w:rsid w:val="00763652"/>
    <w:rsid w:val="00763A36"/>
    <w:rsid w:val="00764602"/>
    <w:rsid w:val="00764BF7"/>
    <w:rsid w:val="00764EA5"/>
    <w:rsid w:val="007650D8"/>
    <w:rsid w:val="00766030"/>
    <w:rsid w:val="00766CBE"/>
    <w:rsid w:val="00767B80"/>
    <w:rsid w:val="00770D7D"/>
    <w:rsid w:val="00770E2C"/>
    <w:rsid w:val="00771030"/>
    <w:rsid w:val="00772497"/>
    <w:rsid w:val="00774197"/>
    <w:rsid w:val="007745AE"/>
    <w:rsid w:val="007754C3"/>
    <w:rsid w:val="0077638E"/>
    <w:rsid w:val="007768FE"/>
    <w:rsid w:val="00780C18"/>
    <w:rsid w:val="00787284"/>
    <w:rsid w:val="007902C3"/>
    <w:rsid w:val="00790BB8"/>
    <w:rsid w:val="00791377"/>
    <w:rsid w:val="007915BB"/>
    <w:rsid w:val="00795C86"/>
    <w:rsid w:val="007A01A1"/>
    <w:rsid w:val="007A0B25"/>
    <w:rsid w:val="007A2E39"/>
    <w:rsid w:val="007A3166"/>
    <w:rsid w:val="007A45E7"/>
    <w:rsid w:val="007A58D8"/>
    <w:rsid w:val="007A5D42"/>
    <w:rsid w:val="007A7263"/>
    <w:rsid w:val="007A73BE"/>
    <w:rsid w:val="007A7657"/>
    <w:rsid w:val="007B1754"/>
    <w:rsid w:val="007B29A8"/>
    <w:rsid w:val="007B2BD2"/>
    <w:rsid w:val="007B4AAA"/>
    <w:rsid w:val="007C6431"/>
    <w:rsid w:val="007C654E"/>
    <w:rsid w:val="007C6894"/>
    <w:rsid w:val="007D02F0"/>
    <w:rsid w:val="007D3035"/>
    <w:rsid w:val="007D35C4"/>
    <w:rsid w:val="007D3B8C"/>
    <w:rsid w:val="007D5652"/>
    <w:rsid w:val="007D57EF"/>
    <w:rsid w:val="007D6205"/>
    <w:rsid w:val="007D62C7"/>
    <w:rsid w:val="007D6B53"/>
    <w:rsid w:val="007D6D97"/>
    <w:rsid w:val="007E001D"/>
    <w:rsid w:val="007E6B89"/>
    <w:rsid w:val="007F1AB4"/>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976"/>
    <w:rsid w:val="00813F60"/>
    <w:rsid w:val="00814030"/>
    <w:rsid w:val="00814330"/>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2E74"/>
    <w:rsid w:val="00843BE5"/>
    <w:rsid w:val="00844E88"/>
    <w:rsid w:val="00845774"/>
    <w:rsid w:val="00852D21"/>
    <w:rsid w:val="008532D8"/>
    <w:rsid w:val="008535C9"/>
    <w:rsid w:val="008543FB"/>
    <w:rsid w:val="008546FE"/>
    <w:rsid w:val="00854F21"/>
    <w:rsid w:val="008561E0"/>
    <w:rsid w:val="00856B64"/>
    <w:rsid w:val="00860A39"/>
    <w:rsid w:val="0086177D"/>
    <w:rsid w:val="00862463"/>
    <w:rsid w:val="00863DD9"/>
    <w:rsid w:val="00865960"/>
    <w:rsid w:val="00866446"/>
    <w:rsid w:val="008665FF"/>
    <w:rsid w:val="0086741B"/>
    <w:rsid w:val="008675EC"/>
    <w:rsid w:val="00870933"/>
    <w:rsid w:val="00870B16"/>
    <w:rsid w:val="00870E92"/>
    <w:rsid w:val="0087112F"/>
    <w:rsid w:val="00871568"/>
    <w:rsid w:val="00872D25"/>
    <w:rsid w:val="00874E17"/>
    <w:rsid w:val="0087510D"/>
    <w:rsid w:val="00876A87"/>
    <w:rsid w:val="0087712D"/>
    <w:rsid w:val="00880A60"/>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9E1"/>
    <w:rsid w:val="00897DAB"/>
    <w:rsid w:val="008A0633"/>
    <w:rsid w:val="008A275F"/>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0F8"/>
    <w:rsid w:val="008D28AD"/>
    <w:rsid w:val="008D2E03"/>
    <w:rsid w:val="008D3473"/>
    <w:rsid w:val="008D4167"/>
    <w:rsid w:val="008D539C"/>
    <w:rsid w:val="008D575A"/>
    <w:rsid w:val="008D66AC"/>
    <w:rsid w:val="008D7A9D"/>
    <w:rsid w:val="008E034E"/>
    <w:rsid w:val="008E038F"/>
    <w:rsid w:val="008E0FCC"/>
    <w:rsid w:val="008E21A3"/>
    <w:rsid w:val="008E2FE3"/>
    <w:rsid w:val="008E3012"/>
    <w:rsid w:val="008E3FF2"/>
    <w:rsid w:val="008E4AD1"/>
    <w:rsid w:val="008E5698"/>
    <w:rsid w:val="008E5F34"/>
    <w:rsid w:val="008E63A1"/>
    <w:rsid w:val="008E6B88"/>
    <w:rsid w:val="008E7D3F"/>
    <w:rsid w:val="008F00CF"/>
    <w:rsid w:val="008F0E10"/>
    <w:rsid w:val="008F2267"/>
    <w:rsid w:val="008F2837"/>
    <w:rsid w:val="008F2F63"/>
    <w:rsid w:val="008F3011"/>
    <w:rsid w:val="008F3EE2"/>
    <w:rsid w:val="008F4B08"/>
    <w:rsid w:val="008F51F6"/>
    <w:rsid w:val="008F5D4C"/>
    <w:rsid w:val="008F6030"/>
    <w:rsid w:val="008F67FD"/>
    <w:rsid w:val="008F6D40"/>
    <w:rsid w:val="009008B3"/>
    <w:rsid w:val="0090255A"/>
    <w:rsid w:val="00903844"/>
    <w:rsid w:val="00903E02"/>
    <w:rsid w:val="00904226"/>
    <w:rsid w:val="00905A7E"/>
    <w:rsid w:val="00905B18"/>
    <w:rsid w:val="00905B2F"/>
    <w:rsid w:val="00906DB5"/>
    <w:rsid w:val="009113DE"/>
    <w:rsid w:val="00911EA3"/>
    <w:rsid w:val="0091306D"/>
    <w:rsid w:val="00916912"/>
    <w:rsid w:val="00917B15"/>
    <w:rsid w:val="009211CB"/>
    <w:rsid w:val="009231E0"/>
    <w:rsid w:val="00923548"/>
    <w:rsid w:val="00923B70"/>
    <w:rsid w:val="00925293"/>
    <w:rsid w:val="00926241"/>
    <w:rsid w:val="00926A61"/>
    <w:rsid w:val="00926B0D"/>
    <w:rsid w:val="00926B22"/>
    <w:rsid w:val="009300D6"/>
    <w:rsid w:val="00930B6C"/>
    <w:rsid w:val="00930E4B"/>
    <w:rsid w:val="00931485"/>
    <w:rsid w:val="00937277"/>
    <w:rsid w:val="00942C91"/>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368F"/>
    <w:rsid w:val="009646AE"/>
    <w:rsid w:val="00964883"/>
    <w:rsid w:val="0096646C"/>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47D1"/>
    <w:rsid w:val="00994B40"/>
    <w:rsid w:val="00996159"/>
    <w:rsid w:val="009961B3"/>
    <w:rsid w:val="00996849"/>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5D2B"/>
    <w:rsid w:val="009C68EF"/>
    <w:rsid w:val="009C6F83"/>
    <w:rsid w:val="009C7248"/>
    <w:rsid w:val="009D11B7"/>
    <w:rsid w:val="009D16ED"/>
    <w:rsid w:val="009D1D57"/>
    <w:rsid w:val="009D4F8F"/>
    <w:rsid w:val="009D79AA"/>
    <w:rsid w:val="009E2544"/>
    <w:rsid w:val="009E2770"/>
    <w:rsid w:val="009E467C"/>
    <w:rsid w:val="009E4710"/>
    <w:rsid w:val="009E4A43"/>
    <w:rsid w:val="009E6225"/>
    <w:rsid w:val="009F0069"/>
    <w:rsid w:val="009F2056"/>
    <w:rsid w:val="009F2261"/>
    <w:rsid w:val="009F2933"/>
    <w:rsid w:val="009F3537"/>
    <w:rsid w:val="009F6ADC"/>
    <w:rsid w:val="009F78A4"/>
    <w:rsid w:val="009F796E"/>
    <w:rsid w:val="00A00D59"/>
    <w:rsid w:val="00A019A5"/>
    <w:rsid w:val="00A032F8"/>
    <w:rsid w:val="00A04A6A"/>
    <w:rsid w:val="00A10347"/>
    <w:rsid w:val="00A12DBA"/>
    <w:rsid w:val="00A13B60"/>
    <w:rsid w:val="00A148CF"/>
    <w:rsid w:val="00A14C36"/>
    <w:rsid w:val="00A15390"/>
    <w:rsid w:val="00A1541C"/>
    <w:rsid w:val="00A158AB"/>
    <w:rsid w:val="00A15DFB"/>
    <w:rsid w:val="00A2450A"/>
    <w:rsid w:val="00A24DBA"/>
    <w:rsid w:val="00A24F53"/>
    <w:rsid w:val="00A25657"/>
    <w:rsid w:val="00A262AF"/>
    <w:rsid w:val="00A304BE"/>
    <w:rsid w:val="00A329B6"/>
    <w:rsid w:val="00A34F5A"/>
    <w:rsid w:val="00A367A1"/>
    <w:rsid w:val="00A40178"/>
    <w:rsid w:val="00A415D2"/>
    <w:rsid w:val="00A44EF8"/>
    <w:rsid w:val="00A460BA"/>
    <w:rsid w:val="00A46CF8"/>
    <w:rsid w:val="00A46FE1"/>
    <w:rsid w:val="00A510F6"/>
    <w:rsid w:val="00A51C72"/>
    <w:rsid w:val="00A54828"/>
    <w:rsid w:val="00A57F74"/>
    <w:rsid w:val="00A57F88"/>
    <w:rsid w:val="00A61A04"/>
    <w:rsid w:val="00A62588"/>
    <w:rsid w:val="00A627B3"/>
    <w:rsid w:val="00A648E0"/>
    <w:rsid w:val="00A651C9"/>
    <w:rsid w:val="00A67D0F"/>
    <w:rsid w:val="00A67EB8"/>
    <w:rsid w:val="00A70E2D"/>
    <w:rsid w:val="00A73161"/>
    <w:rsid w:val="00A740E7"/>
    <w:rsid w:val="00A74621"/>
    <w:rsid w:val="00A767EC"/>
    <w:rsid w:val="00A80739"/>
    <w:rsid w:val="00A83829"/>
    <w:rsid w:val="00A83FCC"/>
    <w:rsid w:val="00A862C0"/>
    <w:rsid w:val="00A862CB"/>
    <w:rsid w:val="00A87091"/>
    <w:rsid w:val="00A87EE1"/>
    <w:rsid w:val="00A9000F"/>
    <w:rsid w:val="00A906FE"/>
    <w:rsid w:val="00A91A20"/>
    <w:rsid w:val="00A9229F"/>
    <w:rsid w:val="00A944AC"/>
    <w:rsid w:val="00A94D81"/>
    <w:rsid w:val="00A95100"/>
    <w:rsid w:val="00A97A15"/>
    <w:rsid w:val="00AA0652"/>
    <w:rsid w:val="00AA1162"/>
    <w:rsid w:val="00AA2812"/>
    <w:rsid w:val="00AA2A39"/>
    <w:rsid w:val="00AA2C16"/>
    <w:rsid w:val="00AA47C5"/>
    <w:rsid w:val="00AA501F"/>
    <w:rsid w:val="00AA5AEE"/>
    <w:rsid w:val="00AA615B"/>
    <w:rsid w:val="00AA6272"/>
    <w:rsid w:val="00AB0DED"/>
    <w:rsid w:val="00AB14AB"/>
    <w:rsid w:val="00AB45BD"/>
    <w:rsid w:val="00AB5263"/>
    <w:rsid w:val="00AC0C81"/>
    <w:rsid w:val="00AC1B48"/>
    <w:rsid w:val="00AC29D6"/>
    <w:rsid w:val="00AC3DCF"/>
    <w:rsid w:val="00AC43E7"/>
    <w:rsid w:val="00AC5D46"/>
    <w:rsid w:val="00AC69F6"/>
    <w:rsid w:val="00AD0F2A"/>
    <w:rsid w:val="00AD1E1B"/>
    <w:rsid w:val="00AD2C29"/>
    <w:rsid w:val="00AD4BD5"/>
    <w:rsid w:val="00AD54C3"/>
    <w:rsid w:val="00AD6339"/>
    <w:rsid w:val="00AD7725"/>
    <w:rsid w:val="00AE0018"/>
    <w:rsid w:val="00AE00EC"/>
    <w:rsid w:val="00AE0522"/>
    <w:rsid w:val="00AE1FDC"/>
    <w:rsid w:val="00AE668A"/>
    <w:rsid w:val="00AE6858"/>
    <w:rsid w:val="00AE7EF0"/>
    <w:rsid w:val="00AF0A55"/>
    <w:rsid w:val="00AF2EFF"/>
    <w:rsid w:val="00AF3236"/>
    <w:rsid w:val="00AF387F"/>
    <w:rsid w:val="00AF41B6"/>
    <w:rsid w:val="00AF497F"/>
    <w:rsid w:val="00AF535F"/>
    <w:rsid w:val="00AF5C62"/>
    <w:rsid w:val="00AF643C"/>
    <w:rsid w:val="00AF6B2F"/>
    <w:rsid w:val="00AF7270"/>
    <w:rsid w:val="00AF727E"/>
    <w:rsid w:val="00B00055"/>
    <w:rsid w:val="00B04C69"/>
    <w:rsid w:val="00B07013"/>
    <w:rsid w:val="00B10490"/>
    <w:rsid w:val="00B1075A"/>
    <w:rsid w:val="00B11F92"/>
    <w:rsid w:val="00B120A7"/>
    <w:rsid w:val="00B13C71"/>
    <w:rsid w:val="00B14450"/>
    <w:rsid w:val="00B15460"/>
    <w:rsid w:val="00B1586E"/>
    <w:rsid w:val="00B16AAC"/>
    <w:rsid w:val="00B17BC5"/>
    <w:rsid w:val="00B2045A"/>
    <w:rsid w:val="00B20582"/>
    <w:rsid w:val="00B2158C"/>
    <w:rsid w:val="00B217CA"/>
    <w:rsid w:val="00B24E57"/>
    <w:rsid w:val="00B26584"/>
    <w:rsid w:val="00B30A67"/>
    <w:rsid w:val="00B30D96"/>
    <w:rsid w:val="00B31B85"/>
    <w:rsid w:val="00B336AC"/>
    <w:rsid w:val="00B34281"/>
    <w:rsid w:val="00B3678E"/>
    <w:rsid w:val="00B3795F"/>
    <w:rsid w:val="00B4135D"/>
    <w:rsid w:val="00B42262"/>
    <w:rsid w:val="00B425E4"/>
    <w:rsid w:val="00B42B2C"/>
    <w:rsid w:val="00B459BE"/>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66E91"/>
    <w:rsid w:val="00B70E26"/>
    <w:rsid w:val="00B71364"/>
    <w:rsid w:val="00B726D5"/>
    <w:rsid w:val="00B72758"/>
    <w:rsid w:val="00B7319C"/>
    <w:rsid w:val="00B7346F"/>
    <w:rsid w:val="00B73CFE"/>
    <w:rsid w:val="00B7517F"/>
    <w:rsid w:val="00B80E36"/>
    <w:rsid w:val="00B81DBB"/>
    <w:rsid w:val="00B82606"/>
    <w:rsid w:val="00B82DA0"/>
    <w:rsid w:val="00B8481C"/>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416B"/>
    <w:rsid w:val="00B9425C"/>
    <w:rsid w:val="00B9572C"/>
    <w:rsid w:val="00B95A93"/>
    <w:rsid w:val="00B96020"/>
    <w:rsid w:val="00B9752B"/>
    <w:rsid w:val="00B9782C"/>
    <w:rsid w:val="00B97D95"/>
    <w:rsid w:val="00B97E3C"/>
    <w:rsid w:val="00BA0158"/>
    <w:rsid w:val="00BA04F9"/>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5279"/>
    <w:rsid w:val="00BC6C4E"/>
    <w:rsid w:val="00BC6DAA"/>
    <w:rsid w:val="00BC7B6A"/>
    <w:rsid w:val="00BD0B60"/>
    <w:rsid w:val="00BD0EAC"/>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4B4C"/>
    <w:rsid w:val="00BF72B9"/>
    <w:rsid w:val="00C00709"/>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30A46"/>
    <w:rsid w:val="00C30E1E"/>
    <w:rsid w:val="00C31412"/>
    <w:rsid w:val="00C3189D"/>
    <w:rsid w:val="00C329B9"/>
    <w:rsid w:val="00C362A0"/>
    <w:rsid w:val="00C365AF"/>
    <w:rsid w:val="00C367CD"/>
    <w:rsid w:val="00C40139"/>
    <w:rsid w:val="00C410C3"/>
    <w:rsid w:val="00C42740"/>
    <w:rsid w:val="00C43C6C"/>
    <w:rsid w:val="00C440E3"/>
    <w:rsid w:val="00C4526C"/>
    <w:rsid w:val="00C50B1B"/>
    <w:rsid w:val="00C50C99"/>
    <w:rsid w:val="00C52801"/>
    <w:rsid w:val="00C5395E"/>
    <w:rsid w:val="00C53B7D"/>
    <w:rsid w:val="00C60C0C"/>
    <w:rsid w:val="00C61C54"/>
    <w:rsid w:val="00C6210F"/>
    <w:rsid w:val="00C631DC"/>
    <w:rsid w:val="00C64BC3"/>
    <w:rsid w:val="00C67E1B"/>
    <w:rsid w:val="00C703AD"/>
    <w:rsid w:val="00C7127C"/>
    <w:rsid w:val="00C745C6"/>
    <w:rsid w:val="00C750BA"/>
    <w:rsid w:val="00C75839"/>
    <w:rsid w:val="00C75FA8"/>
    <w:rsid w:val="00C76BB0"/>
    <w:rsid w:val="00C7706E"/>
    <w:rsid w:val="00C77811"/>
    <w:rsid w:val="00C81AB7"/>
    <w:rsid w:val="00C826EF"/>
    <w:rsid w:val="00C8308A"/>
    <w:rsid w:val="00C83E36"/>
    <w:rsid w:val="00C8442D"/>
    <w:rsid w:val="00C85287"/>
    <w:rsid w:val="00C85FA6"/>
    <w:rsid w:val="00C868B5"/>
    <w:rsid w:val="00C9170B"/>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3684"/>
    <w:rsid w:val="00CB55CF"/>
    <w:rsid w:val="00CB59D4"/>
    <w:rsid w:val="00CC0C56"/>
    <w:rsid w:val="00CC11B6"/>
    <w:rsid w:val="00CC4245"/>
    <w:rsid w:val="00CC6782"/>
    <w:rsid w:val="00CD087C"/>
    <w:rsid w:val="00CD23FE"/>
    <w:rsid w:val="00CD319D"/>
    <w:rsid w:val="00CD33C1"/>
    <w:rsid w:val="00CD5B4D"/>
    <w:rsid w:val="00CE15BE"/>
    <w:rsid w:val="00CE332E"/>
    <w:rsid w:val="00CE35D5"/>
    <w:rsid w:val="00CE530A"/>
    <w:rsid w:val="00CE6E64"/>
    <w:rsid w:val="00CF0665"/>
    <w:rsid w:val="00CF09D9"/>
    <w:rsid w:val="00CF182A"/>
    <w:rsid w:val="00CF1BF9"/>
    <w:rsid w:val="00CF1F1E"/>
    <w:rsid w:val="00CF282F"/>
    <w:rsid w:val="00CF3226"/>
    <w:rsid w:val="00CF326B"/>
    <w:rsid w:val="00CF5CC1"/>
    <w:rsid w:val="00CF5FDD"/>
    <w:rsid w:val="00CF7D98"/>
    <w:rsid w:val="00D003E0"/>
    <w:rsid w:val="00D029D8"/>
    <w:rsid w:val="00D02A84"/>
    <w:rsid w:val="00D0300E"/>
    <w:rsid w:val="00D04CE5"/>
    <w:rsid w:val="00D054B2"/>
    <w:rsid w:val="00D07245"/>
    <w:rsid w:val="00D0763E"/>
    <w:rsid w:val="00D11186"/>
    <w:rsid w:val="00D11D20"/>
    <w:rsid w:val="00D122AA"/>
    <w:rsid w:val="00D12644"/>
    <w:rsid w:val="00D134CC"/>
    <w:rsid w:val="00D142E0"/>
    <w:rsid w:val="00D14450"/>
    <w:rsid w:val="00D14C1E"/>
    <w:rsid w:val="00D20132"/>
    <w:rsid w:val="00D20C1D"/>
    <w:rsid w:val="00D24682"/>
    <w:rsid w:val="00D24F06"/>
    <w:rsid w:val="00D25AEF"/>
    <w:rsid w:val="00D279FE"/>
    <w:rsid w:val="00D313E5"/>
    <w:rsid w:val="00D31785"/>
    <w:rsid w:val="00D32391"/>
    <w:rsid w:val="00D346A6"/>
    <w:rsid w:val="00D349EE"/>
    <w:rsid w:val="00D35298"/>
    <w:rsid w:val="00D3555B"/>
    <w:rsid w:val="00D36296"/>
    <w:rsid w:val="00D36DC3"/>
    <w:rsid w:val="00D40D7D"/>
    <w:rsid w:val="00D4126F"/>
    <w:rsid w:val="00D418AD"/>
    <w:rsid w:val="00D42C1B"/>
    <w:rsid w:val="00D44227"/>
    <w:rsid w:val="00D456BE"/>
    <w:rsid w:val="00D46629"/>
    <w:rsid w:val="00D46B8E"/>
    <w:rsid w:val="00D5087C"/>
    <w:rsid w:val="00D51312"/>
    <w:rsid w:val="00D51B22"/>
    <w:rsid w:val="00D51CE7"/>
    <w:rsid w:val="00D51D54"/>
    <w:rsid w:val="00D527B1"/>
    <w:rsid w:val="00D527DA"/>
    <w:rsid w:val="00D54C90"/>
    <w:rsid w:val="00D54DF5"/>
    <w:rsid w:val="00D554BA"/>
    <w:rsid w:val="00D56D47"/>
    <w:rsid w:val="00D57835"/>
    <w:rsid w:val="00D6075E"/>
    <w:rsid w:val="00D60CF3"/>
    <w:rsid w:val="00D613F3"/>
    <w:rsid w:val="00D619D2"/>
    <w:rsid w:val="00D655FB"/>
    <w:rsid w:val="00D70FB4"/>
    <w:rsid w:val="00D7248C"/>
    <w:rsid w:val="00D72C96"/>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546F"/>
    <w:rsid w:val="00DA65B2"/>
    <w:rsid w:val="00DA7875"/>
    <w:rsid w:val="00DB0AD7"/>
    <w:rsid w:val="00DB2A4B"/>
    <w:rsid w:val="00DB3513"/>
    <w:rsid w:val="00DB751D"/>
    <w:rsid w:val="00DC09BD"/>
    <w:rsid w:val="00DC0FCD"/>
    <w:rsid w:val="00DC133D"/>
    <w:rsid w:val="00DC162E"/>
    <w:rsid w:val="00DC35CE"/>
    <w:rsid w:val="00DC3B1E"/>
    <w:rsid w:val="00DC432A"/>
    <w:rsid w:val="00DC4444"/>
    <w:rsid w:val="00DC4C93"/>
    <w:rsid w:val="00DC679E"/>
    <w:rsid w:val="00DD0609"/>
    <w:rsid w:val="00DD0E98"/>
    <w:rsid w:val="00DD14BC"/>
    <w:rsid w:val="00DD259F"/>
    <w:rsid w:val="00DD39FB"/>
    <w:rsid w:val="00DD4D47"/>
    <w:rsid w:val="00DD565E"/>
    <w:rsid w:val="00DD76AF"/>
    <w:rsid w:val="00DE1E41"/>
    <w:rsid w:val="00DE3F87"/>
    <w:rsid w:val="00DE5013"/>
    <w:rsid w:val="00DE54BD"/>
    <w:rsid w:val="00DE57DA"/>
    <w:rsid w:val="00DE5D1A"/>
    <w:rsid w:val="00DE64DE"/>
    <w:rsid w:val="00DE73B4"/>
    <w:rsid w:val="00DE787B"/>
    <w:rsid w:val="00DE7AB4"/>
    <w:rsid w:val="00DF1AB7"/>
    <w:rsid w:val="00DF2E8B"/>
    <w:rsid w:val="00DF4D86"/>
    <w:rsid w:val="00DF5688"/>
    <w:rsid w:val="00DF63E3"/>
    <w:rsid w:val="00DF6B09"/>
    <w:rsid w:val="00E0064C"/>
    <w:rsid w:val="00E007E6"/>
    <w:rsid w:val="00E00B41"/>
    <w:rsid w:val="00E01D84"/>
    <w:rsid w:val="00E03EBC"/>
    <w:rsid w:val="00E048AB"/>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1B55"/>
    <w:rsid w:val="00E235DD"/>
    <w:rsid w:val="00E2375B"/>
    <w:rsid w:val="00E23B80"/>
    <w:rsid w:val="00E261CD"/>
    <w:rsid w:val="00E26266"/>
    <w:rsid w:val="00E30356"/>
    <w:rsid w:val="00E3199C"/>
    <w:rsid w:val="00E3352E"/>
    <w:rsid w:val="00E34732"/>
    <w:rsid w:val="00E356C9"/>
    <w:rsid w:val="00E35D07"/>
    <w:rsid w:val="00E40987"/>
    <w:rsid w:val="00E41E74"/>
    <w:rsid w:val="00E42D0B"/>
    <w:rsid w:val="00E43A1A"/>
    <w:rsid w:val="00E441BF"/>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70AA7"/>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FB8"/>
    <w:rsid w:val="00E87596"/>
    <w:rsid w:val="00E87794"/>
    <w:rsid w:val="00E91C29"/>
    <w:rsid w:val="00E9480E"/>
    <w:rsid w:val="00E95436"/>
    <w:rsid w:val="00E96422"/>
    <w:rsid w:val="00E97B21"/>
    <w:rsid w:val="00E97F71"/>
    <w:rsid w:val="00EA3151"/>
    <w:rsid w:val="00EA3C76"/>
    <w:rsid w:val="00EA5A59"/>
    <w:rsid w:val="00EA62F1"/>
    <w:rsid w:val="00EA6693"/>
    <w:rsid w:val="00EB331D"/>
    <w:rsid w:val="00EB34E7"/>
    <w:rsid w:val="00EB3D8F"/>
    <w:rsid w:val="00EB593B"/>
    <w:rsid w:val="00EB6BD3"/>
    <w:rsid w:val="00EC1912"/>
    <w:rsid w:val="00EC3B89"/>
    <w:rsid w:val="00EC52AE"/>
    <w:rsid w:val="00EC634C"/>
    <w:rsid w:val="00EC67CA"/>
    <w:rsid w:val="00EC7B1F"/>
    <w:rsid w:val="00ED047B"/>
    <w:rsid w:val="00ED0FE3"/>
    <w:rsid w:val="00ED1DBA"/>
    <w:rsid w:val="00ED2910"/>
    <w:rsid w:val="00ED2B88"/>
    <w:rsid w:val="00ED3482"/>
    <w:rsid w:val="00ED3526"/>
    <w:rsid w:val="00ED3F7E"/>
    <w:rsid w:val="00ED4715"/>
    <w:rsid w:val="00ED47DC"/>
    <w:rsid w:val="00ED6A34"/>
    <w:rsid w:val="00ED7ACF"/>
    <w:rsid w:val="00EE0D77"/>
    <w:rsid w:val="00EE2BBD"/>
    <w:rsid w:val="00EE3B97"/>
    <w:rsid w:val="00EE52B1"/>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524D"/>
    <w:rsid w:val="00F157AD"/>
    <w:rsid w:val="00F20979"/>
    <w:rsid w:val="00F21D1D"/>
    <w:rsid w:val="00F21F84"/>
    <w:rsid w:val="00F232CF"/>
    <w:rsid w:val="00F2461C"/>
    <w:rsid w:val="00F24BD9"/>
    <w:rsid w:val="00F24C62"/>
    <w:rsid w:val="00F24FC8"/>
    <w:rsid w:val="00F2664F"/>
    <w:rsid w:val="00F26D0F"/>
    <w:rsid w:val="00F30C1E"/>
    <w:rsid w:val="00F32C99"/>
    <w:rsid w:val="00F331F0"/>
    <w:rsid w:val="00F34138"/>
    <w:rsid w:val="00F34FFB"/>
    <w:rsid w:val="00F35E57"/>
    <w:rsid w:val="00F36CDA"/>
    <w:rsid w:val="00F36F83"/>
    <w:rsid w:val="00F40A01"/>
    <w:rsid w:val="00F40FB9"/>
    <w:rsid w:val="00F44566"/>
    <w:rsid w:val="00F460A6"/>
    <w:rsid w:val="00F4673F"/>
    <w:rsid w:val="00F47ACE"/>
    <w:rsid w:val="00F47FCE"/>
    <w:rsid w:val="00F501D2"/>
    <w:rsid w:val="00F518BA"/>
    <w:rsid w:val="00F5266F"/>
    <w:rsid w:val="00F52BC9"/>
    <w:rsid w:val="00F52D84"/>
    <w:rsid w:val="00F533C0"/>
    <w:rsid w:val="00F53D1E"/>
    <w:rsid w:val="00F557C0"/>
    <w:rsid w:val="00F56447"/>
    <w:rsid w:val="00F56A1D"/>
    <w:rsid w:val="00F5798C"/>
    <w:rsid w:val="00F61A04"/>
    <w:rsid w:val="00F625EB"/>
    <w:rsid w:val="00F64055"/>
    <w:rsid w:val="00F6564C"/>
    <w:rsid w:val="00F65D1F"/>
    <w:rsid w:val="00F710C6"/>
    <w:rsid w:val="00F7142A"/>
    <w:rsid w:val="00F71E7D"/>
    <w:rsid w:val="00F722BD"/>
    <w:rsid w:val="00F72873"/>
    <w:rsid w:val="00F735C8"/>
    <w:rsid w:val="00F73620"/>
    <w:rsid w:val="00F74C34"/>
    <w:rsid w:val="00F758ED"/>
    <w:rsid w:val="00F81854"/>
    <w:rsid w:val="00F82ED9"/>
    <w:rsid w:val="00F83C51"/>
    <w:rsid w:val="00F85C73"/>
    <w:rsid w:val="00F87415"/>
    <w:rsid w:val="00F91CF0"/>
    <w:rsid w:val="00F9481A"/>
    <w:rsid w:val="00F956D1"/>
    <w:rsid w:val="00F95742"/>
    <w:rsid w:val="00F9683D"/>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D729A"/>
    <w:rsid w:val="00FE2B90"/>
    <w:rsid w:val="00FF0A4E"/>
    <w:rsid w:val="00FF14A6"/>
    <w:rsid w:val="00FF1F8D"/>
    <w:rsid w:val="00FF285D"/>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739181301">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55516531">
      <w:bodyDiv w:val="1"/>
      <w:marLeft w:val="0"/>
      <w:marRight w:val="0"/>
      <w:marTop w:val="0"/>
      <w:marBottom w:val="0"/>
      <w:divBdr>
        <w:top w:val="none" w:sz="0" w:space="0" w:color="auto"/>
        <w:left w:val="none" w:sz="0" w:space="0" w:color="auto"/>
        <w:bottom w:val="none" w:sz="0" w:space="0" w:color="auto"/>
        <w:right w:val="none" w:sz="0" w:space="0" w:color="auto"/>
      </w:divBdr>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Pages>
  <Words>8020</Words>
  <Characters>44112</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Juan David Montoya Penagos</cp:lastModifiedBy>
  <cp:revision>49</cp:revision>
  <cp:lastPrinted>2021-02-16T18:59:00Z</cp:lastPrinted>
  <dcterms:created xsi:type="dcterms:W3CDTF">2021-02-26T19:39:00Z</dcterms:created>
  <dcterms:modified xsi:type="dcterms:W3CDTF">2021-03-02T21:16:00Z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