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34BC8" w14:textId="7B682F70" w:rsidR="001C4D3E" w:rsidRDefault="001C4D3E" w:rsidP="00E54A57">
      <w:pPr>
        <w:spacing w:after="0" w:line="240" w:lineRule="auto"/>
        <w:rPr>
          <w:rFonts w:ascii="Verdana" w:eastAsia="Calibri" w:hAnsi="Verdana" w:cs="Arial"/>
          <w:b/>
          <w:lang w:val="es-ES_tradnl" w:eastAsia="es-ES_tradnl"/>
        </w:rPr>
      </w:pPr>
      <w:r w:rsidRPr="001C4D3E">
        <w:rPr>
          <w:rFonts w:ascii="Verdana" w:eastAsia="Calibri" w:hAnsi="Verdana" w:cs="Arial"/>
          <w:b/>
          <w:lang w:val="es-ES_tradnl" w:eastAsia="es-ES_tradnl"/>
        </w:rPr>
        <w:t>SOCIEDADES NUEVAS ‒ Experiencia ‒ Inferior a tres a</w:t>
      </w:r>
      <w:r w:rsidRPr="001C4D3E">
        <w:rPr>
          <w:rFonts w:ascii="Verdana" w:eastAsia="Calibri" w:hAnsi="Verdana" w:cs="Century Gothic"/>
          <w:b/>
          <w:lang w:val="es-ES_tradnl" w:eastAsia="es-ES_tradnl"/>
        </w:rPr>
        <w:t>ñ</w:t>
      </w:r>
      <w:r w:rsidRPr="001C4D3E">
        <w:rPr>
          <w:rFonts w:ascii="Verdana" w:eastAsia="Calibri" w:hAnsi="Verdana" w:cs="Arial"/>
          <w:b/>
          <w:lang w:val="es-ES_tradnl" w:eastAsia="es-ES_tradnl"/>
        </w:rPr>
        <w:t>os ‒ Requisitos habilitantes</w:t>
      </w:r>
    </w:p>
    <w:p w14:paraId="21F6F30D" w14:textId="77777777" w:rsidR="001C4D3E" w:rsidRDefault="001C4D3E" w:rsidP="00E54A57">
      <w:pPr>
        <w:spacing w:after="0" w:line="240" w:lineRule="auto"/>
        <w:rPr>
          <w:rFonts w:ascii="Verdana" w:eastAsia="Calibri" w:hAnsi="Verdana" w:cs="Arial"/>
          <w:b/>
          <w:lang w:val="es-ES_tradnl" w:eastAsia="es-ES_tradnl"/>
        </w:rPr>
      </w:pPr>
    </w:p>
    <w:p w14:paraId="3D605A24" w14:textId="77426D4C" w:rsidR="001C4D3E" w:rsidRPr="001C4D3E" w:rsidRDefault="001C4D3E" w:rsidP="001C4D3E">
      <w:pPr>
        <w:snapToGrid w:val="0"/>
        <w:spacing w:after="0" w:line="240" w:lineRule="auto"/>
        <w:contextualSpacing/>
        <w:jc w:val="both"/>
        <w:rPr>
          <w:rFonts w:ascii="Verdana" w:eastAsia="Calibri" w:hAnsi="Verdana" w:cs="Arial"/>
          <w:sz w:val="21"/>
          <w:szCs w:val="21"/>
          <w:lang w:val="es-ES"/>
        </w:rPr>
      </w:pPr>
      <w:r w:rsidRPr="001C4D3E">
        <w:rPr>
          <w:rFonts w:ascii="Verdana" w:eastAsia="Calibri" w:hAnsi="Verdana" w:cs="Arial"/>
          <w:kern w:val="2"/>
          <w:sz w:val="21"/>
          <w:szCs w:val="21"/>
          <w:lang w:val="es-ES"/>
          <w14:ligatures w14:val="standardContextual"/>
        </w:rPr>
        <w:t xml:space="preserve">La Ley 1150 de 2007, en el artículo 5, establece los requisitos habilitantes para participar en un procedimiento contractual, dentro de los cuales se destaca la </w:t>
      </w:r>
      <w:r w:rsidRPr="001C4D3E">
        <w:rPr>
          <w:rFonts w:ascii="Verdana" w:eastAsia="Calibri" w:hAnsi="Verdana" w:cs="Arial"/>
          <w:i/>
          <w:kern w:val="2"/>
          <w:sz w:val="21"/>
          <w:szCs w:val="21"/>
          <w:lang w:val="es-ES"/>
          <w14:ligatures w14:val="standardContextual"/>
        </w:rPr>
        <w:t>experiencia</w:t>
      </w:r>
      <w:r w:rsidRPr="001C4D3E">
        <w:rPr>
          <w:rFonts w:ascii="Verdana" w:eastAsia="Calibri" w:hAnsi="Verdana" w:cs="Arial"/>
          <w:kern w:val="2"/>
          <w:sz w:val="21"/>
          <w:szCs w:val="21"/>
          <w:lang w:val="es-ES"/>
          <w14:ligatures w14:val="standardContextual"/>
        </w:rPr>
        <w:t>. Su propósito es que las entidades fijen unos requisitos mínimos que debe tener y acreditar el proponente, para que la entidad pueda verificar su aptitud para participar en el procedimiento de contratación y, si se le adjudica, ejecutar el contrato estatal. En ese sentido, la entidad, como responsable de la estructuración de su procedimiento de contratación, es autónoma para requerir la experiencia necesaria para ejecutar el objeto contractual que se pretende satisfacer con el procedimiento. Para establecer la experiencia que se requiere en cada proceso, de acuerdo con el artículo 2.2.1.1.1.6.2. del Decreto 1082 de 2015, debe tener en cuenta el estudio del sector y sus componentes, como la identificación de riesgos, así como el mercado y precio del bien, obra o servicio a contratar.</w:t>
      </w:r>
    </w:p>
    <w:p w14:paraId="346EE5C1" w14:textId="203375D9" w:rsidR="001C4D3E" w:rsidRPr="001C4D3E" w:rsidRDefault="001C4D3E" w:rsidP="001C4D3E">
      <w:pPr>
        <w:snapToGrid w:val="0"/>
        <w:spacing w:before="120" w:after="120" w:line="240" w:lineRule="auto"/>
        <w:jc w:val="both"/>
        <w:rPr>
          <w:rFonts w:ascii="Verdana" w:eastAsia="Calibri" w:hAnsi="Verdana" w:cs="Arial"/>
          <w:sz w:val="21"/>
          <w:szCs w:val="21"/>
          <w:lang w:val="es-ES_tradnl"/>
        </w:rPr>
      </w:pPr>
      <w:r w:rsidRPr="001C4D3E">
        <w:rPr>
          <w:rFonts w:ascii="Verdana" w:eastAsia="Calibri" w:hAnsi="Verdana" w:cs="Arial"/>
          <w:kern w:val="2"/>
          <w:sz w:val="21"/>
          <w:szCs w:val="21"/>
          <w:lang w:val="es-ES_tradnl"/>
          <w14:ligatures w14:val="standardContextual"/>
        </w:rPr>
        <w:t xml:space="preserve">Ahora bien, la experiencia que se deriva de los contratos que el proponente ha celebrado y ejecutado con diferentes contratantes, sin importar la naturaleza de estos, se verifica con el RUP, cuando este certificado sea exigible de acuerdo con la ley. Sobre el particular debe indicarse </w:t>
      </w:r>
      <w:proofErr w:type="gramStart"/>
      <w:r w:rsidRPr="001C4D3E">
        <w:rPr>
          <w:rFonts w:ascii="Verdana" w:eastAsia="Calibri" w:hAnsi="Verdana" w:cs="Arial"/>
          <w:kern w:val="2"/>
          <w:sz w:val="21"/>
          <w:szCs w:val="21"/>
          <w:lang w:val="es-ES_tradnl"/>
          <w14:ligatures w14:val="standardContextual"/>
        </w:rPr>
        <w:t>que  el</w:t>
      </w:r>
      <w:proofErr w:type="gramEnd"/>
      <w:r w:rsidRPr="001C4D3E">
        <w:rPr>
          <w:rFonts w:ascii="Verdana" w:eastAsia="Calibri" w:hAnsi="Verdana" w:cs="Arial"/>
          <w:kern w:val="2"/>
          <w:sz w:val="21"/>
          <w:szCs w:val="21"/>
          <w:lang w:val="es-ES_tradnl"/>
          <w14:ligatures w14:val="standardContextual"/>
        </w:rPr>
        <w:t xml:space="preserve"> RUP es plena prueba de los requisitos habilitantes que constan en él, sin que la entidad o el proponente puedan solicitar o aportar otra documentación.</w:t>
      </w:r>
    </w:p>
    <w:p w14:paraId="3E771D13" w14:textId="77777777" w:rsidR="001C4D3E" w:rsidRPr="001C4D3E" w:rsidRDefault="001C4D3E" w:rsidP="00E54A57">
      <w:pPr>
        <w:spacing w:after="0" w:line="240" w:lineRule="auto"/>
        <w:rPr>
          <w:rFonts w:ascii="Verdana" w:eastAsia="Geomanist Light" w:hAnsi="Verdana" w:cs="Arial"/>
          <w:b/>
          <w:color w:val="000000" w:themeColor="text1"/>
          <w:lang w:val="es-MX"/>
        </w:rPr>
      </w:pPr>
    </w:p>
    <w:p w14:paraId="44F3E030" w14:textId="0F67AC1E" w:rsidR="001C4D3E" w:rsidRPr="001C4D3E" w:rsidRDefault="001C4D3E" w:rsidP="00E54A57">
      <w:pPr>
        <w:spacing w:after="0" w:line="240" w:lineRule="auto"/>
        <w:rPr>
          <w:rFonts w:ascii="Verdana" w:eastAsia="Geomanist Light" w:hAnsi="Verdana" w:cs="Arial"/>
          <w:b/>
          <w:color w:val="000000" w:themeColor="text1"/>
          <w:lang w:val="es-MX"/>
        </w:rPr>
      </w:pPr>
      <w:r w:rsidRPr="001C4D3E">
        <w:rPr>
          <w:rFonts w:ascii="Verdana" w:eastAsia="Calibri" w:hAnsi="Verdana" w:cs="Arial"/>
          <w:b/>
          <w:lang w:val="es-ES_tradnl" w:eastAsia="es-ES_tradnl"/>
        </w:rPr>
        <w:t>EXPERIENCIA ‒ Conservaci</w:t>
      </w:r>
      <w:r w:rsidRPr="001C4D3E">
        <w:rPr>
          <w:rFonts w:ascii="Verdana" w:eastAsia="Calibri" w:hAnsi="Verdana" w:cs="Century Gothic"/>
          <w:b/>
          <w:lang w:val="es-ES_tradnl" w:eastAsia="es-ES_tradnl"/>
        </w:rPr>
        <w:t>ó</w:t>
      </w:r>
      <w:r w:rsidRPr="001C4D3E">
        <w:rPr>
          <w:rFonts w:ascii="Verdana" w:eastAsia="Calibri" w:hAnsi="Verdana" w:cs="Arial"/>
          <w:b/>
          <w:lang w:val="es-ES_tradnl" w:eastAsia="es-ES_tradnl"/>
        </w:rPr>
        <w:t>n ‒ Renovación RUP</w:t>
      </w:r>
    </w:p>
    <w:p w14:paraId="6C3EABA2" w14:textId="77777777" w:rsidR="001C4D3E" w:rsidRDefault="001C4D3E" w:rsidP="00E54A57">
      <w:pPr>
        <w:spacing w:after="0" w:line="240" w:lineRule="auto"/>
        <w:rPr>
          <w:rFonts w:ascii="Verdana" w:eastAsia="Calibri" w:hAnsi="Verdana" w:cs="Arial"/>
          <w:kern w:val="2"/>
          <w:sz w:val="21"/>
          <w:szCs w:val="21"/>
          <w:lang w:val="es-ES_tradnl"/>
          <w14:ligatures w14:val="standardContextual"/>
        </w:rPr>
      </w:pPr>
    </w:p>
    <w:p w14:paraId="0846BBC5" w14:textId="4A4C4D4F" w:rsidR="001C4D3E" w:rsidRDefault="001C4D3E" w:rsidP="001C4D3E">
      <w:pPr>
        <w:spacing w:after="0" w:line="240" w:lineRule="auto"/>
        <w:jc w:val="both"/>
        <w:rPr>
          <w:rFonts w:ascii="Verdana" w:eastAsia="Calibri" w:hAnsi="Verdana" w:cs="Arial"/>
          <w:kern w:val="2"/>
          <w:sz w:val="21"/>
          <w:szCs w:val="21"/>
          <w:lang w:val="es-ES_tradnl"/>
          <w14:ligatures w14:val="standardContextual"/>
        </w:rPr>
      </w:pPr>
      <w:r w:rsidRPr="001C4D3E">
        <w:rPr>
          <w:rFonts w:ascii="Verdana" w:eastAsia="Calibri" w:hAnsi="Verdana" w:cs="Arial"/>
          <w:kern w:val="2"/>
          <w:sz w:val="21"/>
          <w:szCs w:val="21"/>
          <w:lang w:val="es-ES_tradnl"/>
          <w14:ligatures w14:val="standardContextua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w:t>
      </w:r>
    </w:p>
    <w:p w14:paraId="37ED49A8" w14:textId="77777777" w:rsidR="001C4D3E" w:rsidRDefault="001C4D3E" w:rsidP="001C4D3E">
      <w:pPr>
        <w:spacing w:after="0" w:line="240" w:lineRule="auto"/>
        <w:jc w:val="both"/>
        <w:rPr>
          <w:rFonts w:ascii="Verdana" w:eastAsia="Geomanist Light" w:hAnsi="Verdana" w:cs="Arial"/>
          <w:color w:val="000000" w:themeColor="text1"/>
          <w:lang w:val="es-MX"/>
        </w:rPr>
      </w:pPr>
    </w:p>
    <w:p w14:paraId="7E59D3D5" w14:textId="77777777" w:rsidR="001C4D3E" w:rsidRPr="001C4D3E" w:rsidRDefault="001C4D3E" w:rsidP="001C4D3E">
      <w:pPr>
        <w:spacing w:after="0" w:line="240" w:lineRule="auto"/>
        <w:rPr>
          <w:rFonts w:ascii="Verdana" w:eastAsia="Geomanist Light" w:hAnsi="Verdana" w:cs="Arial"/>
          <w:b/>
          <w:color w:val="000000" w:themeColor="text1"/>
          <w:lang w:val="es-MX"/>
        </w:rPr>
      </w:pPr>
      <w:r w:rsidRPr="001C4D3E">
        <w:rPr>
          <w:rFonts w:ascii="Verdana" w:eastAsia="Calibri" w:hAnsi="Verdana" w:cs="Arial"/>
          <w:b/>
          <w:lang w:val="es-ES_tradnl" w:eastAsia="es-ES_tradnl"/>
        </w:rPr>
        <w:t xml:space="preserve">EXPERIENCIA </w:t>
      </w:r>
      <w:r w:rsidRPr="001C4D3E">
        <w:rPr>
          <w:rFonts w:ascii="Verdana" w:eastAsia="Calibri" w:hAnsi="Verdana" w:cs="Century Gothic"/>
          <w:b/>
          <w:lang w:val="es-ES_tradnl" w:eastAsia="es-ES_tradnl"/>
        </w:rPr>
        <w:t>−</w:t>
      </w:r>
      <w:r w:rsidRPr="001C4D3E">
        <w:rPr>
          <w:rFonts w:ascii="Verdana" w:eastAsia="Calibri" w:hAnsi="Verdana" w:cs="Arial"/>
          <w:b/>
          <w:lang w:val="es-ES_tradnl" w:eastAsia="es-ES_tradnl"/>
        </w:rPr>
        <w:t xml:space="preserve"> Sociedades </w:t>
      </w:r>
      <w:r w:rsidRPr="001C4D3E">
        <w:rPr>
          <w:rFonts w:ascii="Verdana" w:eastAsia="Calibri" w:hAnsi="Verdana" w:cs="Century Gothic"/>
          <w:b/>
          <w:lang w:val="es-ES_tradnl" w:eastAsia="es-ES_tradnl"/>
        </w:rPr>
        <w:t>–</w:t>
      </w:r>
      <w:r w:rsidRPr="001C4D3E">
        <w:rPr>
          <w:rFonts w:ascii="Verdana" w:eastAsia="Calibri" w:hAnsi="Verdana" w:cs="Arial"/>
          <w:b/>
          <w:lang w:val="es-ES_tradnl" w:eastAsia="es-ES_tradnl"/>
        </w:rPr>
        <w:t xml:space="preserve"> Menor a 3 a</w:t>
      </w:r>
      <w:r w:rsidRPr="001C4D3E">
        <w:rPr>
          <w:rFonts w:ascii="Verdana" w:eastAsia="Calibri" w:hAnsi="Verdana" w:cs="Century Gothic"/>
          <w:b/>
          <w:lang w:val="es-ES_tradnl" w:eastAsia="es-ES_tradnl"/>
        </w:rPr>
        <w:t>ñ</w:t>
      </w:r>
      <w:r w:rsidRPr="001C4D3E">
        <w:rPr>
          <w:rFonts w:ascii="Verdana" w:eastAsia="Calibri" w:hAnsi="Verdana" w:cs="Arial"/>
          <w:b/>
          <w:lang w:val="es-ES_tradnl" w:eastAsia="es-ES_tradnl"/>
        </w:rPr>
        <w:t>os de constituci</w:t>
      </w:r>
      <w:r w:rsidRPr="001C4D3E">
        <w:rPr>
          <w:rFonts w:ascii="Verdana" w:eastAsia="Calibri" w:hAnsi="Verdana" w:cs="Century Gothic"/>
          <w:b/>
          <w:lang w:val="es-ES_tradnl" w:eastAsia="es-ES_tradnl"/>
        </w:rPr>
        <w:t>ó</w:t>
      </w:r>
      <w:r w:rsidRPr="001C4D3E">
        <w:rPr>
          <w:rFonts w:ascii="Verdana" w:eastAsia="Calibri" w:hAnsi="Verdana" w:cs="Arial"/>
          <w:b/>
          <w:lang w:val="es-ES_tradnl" w:eastAsia="es-ES_tradnl"/>
        </w:rPr>
        <w:t>n</w:t>
      </w:r>
    </w:p>
    <w:p w14:paraId="3884B07C" w14:textId="77777777" w:rsidR="001C4D3E" w:rsidRDefault="001C4D3E" w:rsidP="001C4D3E">
      <w:pPr>
        <w:spacing w:after="0" w:line="240" w:lineRule="auto"/>
        <w:jc w:val="both"/>
        <w:rPr>
          <w:rFonts w:ascii="Verdana" w:eastAsia="Geomanist Light" w:hAnsi="Verdana" w:cs="Arial"/>
          <w:color w:val="000000" w:themeColor="text1"/>
          <w:lang w:val="es-MX"/>
        </w:rPr>
      </w:pPr>
    </w:p>
    <w:p w14:paraId="0EE6A2CE" w14:textId="6B5607CF" w:rsidR="001C4D3E" w:rsidRPr="001C4D3E" w:rsidRDefault="001C4D3E" w:rsidP="001C4D3E">
      <w:pPr>
        <w:snapToGrid w:val="0"/>
        <w:spacing w:after="120" w:line="240" w:lineRule="auto"/>
        <w:jc w:val="both"/>
        <w:rPr>
          <w:rFonts w:ascii="Verdana" w:eastAsia="Calibri" w:hAnsi="Verdana" w:cs="Arial"/>
          <w:sz w:val="21"/>
          <w:szCs w:val="21"/>
          <w:lang w:val="es-ES"/>
        </w:rPr>
      </w:pPr>
      <w:r w:rsidRPr="001C4D3E">
        <w:rPr>
          <w:rFonts w:ascii="Verdana" w:eastAsia="Calibri" w:hAnsi="Verdana" w:cs="Arial"/>
          <w:sz w:val="21"/>
          <w:szCs w:val="21"/>
          <w:lang w:val="es-ES"/>
        </w:rPr>
        <w:t xml:space="preserve">[…] esta Agencia considera que, si la persona jurídica con menos de tres (3) años de constituida registra la experiencia de sus socios en el RUP, y este es renovado constantemente de forma oportuna, una vez transcurridos estos tres (3) años, el proponente podrá seguir acreditando la experiencia inscrita de los socios mientras no cesen los efectos del RUP. Por el contrario, si no se renueva oportunamente y la </w:t>
      </w:r>
      <w:r w:rsidRPr="001C4D3E">
        <w:rPr>
          <w:rFonts w:ascii="Verdana" w:eastAsia="Calibri" w:hAnsi="Verdana" w:cs="Arial"/>
          <w:sz w:val="21"/>
          <w:szCs w:val="21"/>
          <w:lang w:val="es-ES"/>
        </w:rPr>
        <w:lastRenderedPageBreak/>
        <w:t>persona jurídica supera los tres (3) años de constituida, la experiencia que registró de sus socios no puede ser inscrita nuevamente, puesto que el RUP habría cesado en sus efectos y la cámara de comercio tendría que hacer nuevamente la verificación documental de la información presentada al momento de inscribirse en el registro, para el cual ya habría transcurrido el término de tres (3) años.</w:t>
      </w:r>
    </w:p>
    <w:p w14:paraId="5209D975" w14:textId="07DE6487" w:rsidR="001C4D3E" w:rsidRPr="001C4D3E" w:rsidRDefault="001C4D3E" w:rsidP="001C4D3E">
      <w:pPr>
        <w:spacing w:after="0" w:line="240" w:lineRule="auto"/>
        <w:jc w:val="both"/>
        <w:rPr>
          <w:rFonts w:ascii="Verdana" w:eastAsia="Geomanist Light" w:hAnsi="Verdana" w:cs="Arial"/>
          <w:color w:val="000000" w:themeColor="text1"/>
          <w:sz w:val="21"/>
          <w:szCs w:val="21"/>
          <w:lang w:val="es-MX"/>
        </w:rPr>
      </w:pPr>
      <w:r w:rsidRPr="001C4D3E">
        <w:rPr>
          <w:rFonts w:ascii="Verdana" w:eastAsia="Times New Roman" w:hAnsi="Verdana" w:cs="Arial"/>
          <w:sz w:val="21"/>
          <w:szCs w:val="21"/>
          <w:lang w:val="es-ES_tradnl" w:eastAsia="es-ES_tradnl"/>
        </w:rPr>
        <w:t>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w:t>
      </w:r>
      <w:r>
        <w:rPr>
          <w:rFonts w:ascii="Verdana" w:eastAsia="Times New Roman" w:hAnsi="Verdana" w:cs="Arial"/>
          <w:sz w:val="21"/>
          <w:szCs w:val="21"/>
          <w:lang w:val="es-ES_tradnl" w:eastAsia="es-ES_tradnl"/>
        </w:rPr>
        <w:t>.</w:t>
      </w:r>
    </w:p>
    <w:p w14:paraId="4EF5E7CD" w14:textId="77777777" w:rsidR="001C4D3E" w:rsidRDefault="001C4D3E" w:rsidP="00E54A57">
      <w:pPr>
        <w:spacing w:after="0" w:line="240" w:lineRule="auto"/>
        <w:rPr>
          <w:rFonts w:ascii="Verdana" w:eastAsia="Geomanist Light" w:hAnsi="Verdana" w:cs="Arial"/>
          <w:color w:val="000000" w:themeColor="text1"/>
          <w:lang w:val="es-MX"/>
        </w:rPr>
      </w:pPr>
    </w:p>
    <w:p w14:paraId="201D34E6" w14:textId="77777777" w:rsidR="001C4D3E" w:rsidRDefault="001C4D3E" w:rsidP="00E54A57">
      <w:pPr>
        <w:spacing w:after="0" w:line="240" w:lineRule="auto"/>
        <w:rPr>
          <w:rFonts w:ascii="Verdana" w:eastAsia="Geomanist Light" w:hAnsi="Verdana" w:cs="Arial"/>
          <w:color w:val="000000" w:themeColor="text1"/>
          <w:lang w:val="es-MX"/>
        </w:rPr>
      </w:pPr>
    </w:p>
    <w:p w14:paraId="79868B37" w14:textId="77777777" w:rsidR="001C4D3E" w:rsidRDefault="001C4D3E" w:rsidP="00E54A57">
      <w:pPr>
        <w:spacing w:after="0" w:line="240" w:lineRule="auto"/>
        <w:rPr>
          <w:rFonts w:ascii="Verdana" w:eastAsia="Geomanist Light" w:hAnsi="Verdana" w:cs="Arial"/>
          <w:color w:val="000000" w:themeColor="text1"/>
          <w:lang w:val="es-MX"/>
        </w:rPr>
      </w:pPr>
    </w:p>
    <w:p w14:paraId="4D815671" w14:textId="77777777" w:rsidR="001C4D3E" w:rsidRDefault="001C4D3E" w:rsidP="00E54A57">
      <w:pPr>
        <w:spacing w:after="0" w:line="240" w:lineRule="auto"/>
        <w:rPr>
          <w:rFonts w:ascii="Verdana" w:eastAsia="Geomanist Light" w:hAnsi="Verdana" w:cs="Arial"/>
          <w:color w:val="000000" w:themeColor="text1"/>
          <w:lang w:val="es-MX"/>
        </w:rPr>
      </w:pPr>
    </w:p>
    <w:p w14:paraId="36BEC198" w14:textId="77777777" w:rsidR="001C4D3E" w:rsidRDefault="001C4D3E" w:rsidP="00E54A57">
      <w:pPr>
        <w:spacing w:after="0" w:line="240" w:lineRule="auto"/>
        <w:rPr>
          <w:rFonts w:ascii="Verdana" w:eastAsia="Geomanist Light" w:hAnsi="Verdana" w:cs="Arial"/>
          <w:color w:val="000000" w:themeColor="text1"/>
          <w:lang w:val="es-MX"/>
        </w:rPr>
      </w:pPr>
    </w:p>
    <w:p w14:paraId="389DE28F" w14:textId="77777777" w:rsidR="001C4D3E" w:rsidRDefault="001C4D3E" w:rsidP="00E54A57">
      <w:pPr>
        <w:spacing w:after="0" w:line="240" w:lineRule="auto"/>
        <w:rPr>
          <w:rFonts w:ascii="Verdana" w:eastAsia="Geomanist Light" w:hAnsi="Verdana" w:cs="Arial"/>
          <w:color w:val="000000" w:themeColor="text1"/>
          <w:lang w:val="es-MX"/>
        </w:rPr>
      </w:pPr>
    </w:p>
    <w:p w14:paraId="576F56FD" w14:textId="77777777" w:rsidR="001C4D3E" w:rsidRDefault="001C4D3E" w:rsidP="00E54A57">
      <w:pPr>
        <w:spacing w:after="0" w:line="240" w:lineRule="auto"/>
        <w:rPr>
          <w:rFonts w:ascii="Verdana" w:eastAsia="Geomanist Light" w:hAnsi="Verdana" w:cs="Arial"/>
          <w:color w:val="000000" w:themeColor="text1"/>
          <w:lang w:val="es-MX"/>
        </w:rPr>
      </w:pPr>
    </w:p>
    <w:p w14:paraId="0C8E1898" w14:textId="77777777" w:rsidR="001C4D3E" w:rsidRDefault="001C4D3E" w:rsidP="00E54A57">
      <w:pPr>
        <w:spacing w:after="0" w:line="240" w:lineRule="auto"/>
        <w:rPr>
          <w:rFonts w:ascii="Verdana" w:eastAsia="Geomanist Light" w:hAnsi="Verdana" w:cs="Arial"/>
          <w:color w:val="000000" w:themeColor="text1"/>
          <w:lang w:val="es-MX"/>
        </w:rPr>
      </w:pPr>
    </w:p>
    <w:p w14:paraId="318A649E" w14:textId="77777777" w:rsidR="001C4D3E" w:rsidRDefault="001C4D3E" w:rsidP="00E54A57">
      <w:pPr>
        <w:spacing w:after="0" w:line="240" w:lineRule="auto"/>
        <w:rPr>
          <w:rFonts w:ascii="Verdana" w:eastAsia="Geomanist Light" w:hAnsi="Verdana" w:cs="Arial"/>
          <w:color w:val="000000" w:themeColor="text1"/>
          <w:lang w:val="es-MX"/>
        </w:rPr>
      </w:pPr>
    </w:p>
    <w:p w14:paraId="0FFA67B4" w14:textId="77777777" w:rsidR="001C4D3E" w:rsidRDefault="001C4D3E" w:rsidP="00E54A57">
      <w:pPr>
        <w:spacing w:after="0" w:line="240" w:lineRule="auto"/>
        <w:rPr>
          <w:rFonts w:ascii="Verdana" w:eastAsia="Geomanist Light" w:hAnsi="Verdana" w:cs="Arial"/>
          <w:color w:val="000000" w:themeColor="text1"/>
          <w:lang w:val="es-MX"/>
        </w:rPr>
      </w:pPr>
    </w:p>
    <w:p w14:paraId="3CADC019" w14:textId="77777777" w:rsidR="001C4D3E" w:rsidRDefault="001C4D3E" w:rsidP="00E54A57">
      <w:pPr>
        <w:spacing w:after="0" w:line="240" w:lineRule="auto"/>
        <w:rPr>
          <w:rFonts w:ascii="Verdana" w:eastAsia="Geomanist Light" w:hAnsi="Verdana" w:cs="Arial"/>
          <w:color w:val="000000" w:themeColor="text1"/>
          <w:lang w:val="es-MX"/>
        </w:rPr>
      </w:pPr>
    </w:p>
    <w:p w14:paraId="117A6CD7" w14:textId="77777777" w:rsidR="001C4D3E" w:rsidRDefault="001C4D3E" w:rsidP="00E54A57">
      <w:pPr>
        <w:spacing w:after="0" w:line="240" w:lineRule="auto"/>
        <w:rPr>
          <w:rFonts w:ascii="Verdana" w:eastAsia="Geomanist Light" w:hAnsi="Verdana" w:cs="Arial"/>
          <w:color w:val="000000" w:themeColor="text1"/>
          <w:lang w:val="es-MX"/>
        </w:rPr>
      </w:pPr>
    </w:p>
    <w:p w14:paraId="709F9D6A" w14:textId="77777777" w:rsidR="001C4D3E" w:rsidRDefault="001C4D3E" w:rsidP="00E54A57">
      <w:pPr>
        <w:spacing w:after="0" w:line="240" w:lineRule="auto"/>
        <w:rPr>
          <w:rFonts w:ascii="Verdana" w:eastAsia="Geomanist Light" w:hAnsi="Verdana" w:cs="Arial"/>
          <w:color w:val="000000" w:themeColor="text1"/>
          <w:lang w:val="es-MX"/>
        </w:rPr>
      </w:pPr>
    </w:p>
    <w:p w14:paraId="2630EE12" w14:textId="77777777" w:rsidR="001C4D3E" w:rsidRDefault="001C4D3E" w:rsidP="00E54A57">
      <w:pPr>
        <w:spacing w:after="0" w:line="240" w:lineRule="auto"/>
        <w:rPr>
          <w:rFonts w:ascii="Verdana" w:eastAsia="Geomanist Light" w:hAnsi="Verdana" w:cs="Arial"/>
          <w:color w:val="000000" w:themeColor="text1"/>
          <w:lang w:val="es-MX"/>
        </w:rPr>
      </w:pPr>
    </w:p>
    <w:p w14:paraId="6BE3BDD5" w14:textId="77777777" w:rsidR="001C4D3E" w:rsidRDefault="001C4D3E" w:rsidP="00E54A57">
      <w:pPr>
        <w:spacing w:after="0" w:line="240" w:lineRule="auto"/>
        <w:rPr>
          <w:rFonts w:ascii="Verdana" w:eastAsia="Geomanist Light" w:hAnsi="Verdana" w:cs="Arial"/>
          <w:color w:val="000000" w:themeColor="text1"/>
          <w:lang w:val="es-MX"/>
        </w:rPr>
      </w:pPr>
    </w:p>
    <w:p w14:paraId="7D3C7180" w14:textId="77777777" w:rsidR="001C4D3E" w:rsidRDefault="001C4D3E" w:rsidP="00E54A57">
      <w:pPr>
        <w:spacing w:after="0" w:line="240" w:lineRule="auto"/>
        <w:rPr>
          <w:rFonts w:ascii="Verdana" w:eastAsia="Geomanist Light" w:hAnsi="Verdana" w:cs="Arial"/>
          <w:color w:val="000000" w:themeColor="text1"/>
          <w:lang w:val="es-MX"/>
        </w:rPr>
      </w:pPr>
    </w:p>
    <w:p w14:paraId="44F1869A" w14:textId="77777777" w:rsidR="001C4D3E" w:rsidRDefault="001C4D3E" w:rsidP="00E54A57">
      <w:pPr>
        <w:spacing w:after="0" w:line="240" w:lineRule="auto"/>
        <w:rPr>
          <w:rFonts w:ascii="Verdana" w:eastAsia="Geomanist Light" w:hAnsi="Verdana" w:cs="Arial"/>
          <w:color w:val="000000" w:themeColor="text1"/>
          <w:lang w:val="es-MX"/>
        </w:rPr>
      </w:pPr>
    </w:p>
    <w:p w14:paraId="42B95DFD" w14:textId="77777777" w:rsidR="001C4D3E" w:rsidRDefault="001C4D3E" w:rsidP="00E54A57">
      <w:pPr>
        <w:spacing w:after="0" w:line="240" w:lineRule="auto"/>
        <w:rPr>
          <w:rFonts w:ascii="Verdana" w:eastAsia="Geomanist Light" w:hAnsi="Verdana" w:cs="Arial"/>
          <w:color w:val="000000" w:themeColor="text1"/>
          <w:lang w:val="es-MX"/>
        </w:rPr>
      </w:pPr>
    </w:p>
    <w:p w14:paraId="27B973AA" w14:textId="77777777" w:rsidR="001C4D3E" w:rsidRDefault="001C4D3E" w:rsidP="00E54A57">
      <w:pPr>
        <w:spacing w:after="0" w:line="240" w:lineRule="auto"/>
        <w:rPr>
          <w:rFonts w:ascii="Verdana" w:eastAsia="Geomanist Light" w:hAnsi="Verdana" w:cs="Arial"/>
          <w:color w:val="000000" w:themeColor="text1"/>
          <w:lang w:val="es-MX"/>
        </w:rPr>
      </w:pPr>
    </w:p>
    <w:p w14:paraId="49768892" w14:textId="77777777" w:rsidR="001C4D3E" w:rsidRDefault="001C4D3E" w:rsidP="00E54A57">
      <w:pPr>
        <w:spacing w:after="0" w:line="240" w:lineRule="auto"/>
        <w:rPr>
          <w:rFonts w:ascii="Verdana" w:eastAsia="Geomanist Light" w:hAnsi="Verdana" w:cs="Arial"/>
          <w:color w:val="000000" w:themeColor="text1"/>
          <w:lang w:val="es-MX"/>
        </w:rPr>
      </w:pPr>
    </w:p>
    <w:p w14:paraId="7B343607" w14:textId="77777777" w:rsidR="001C4D3E" w:rsidRDefault="001C4D3E" w:rsidP="00E54A57">
      <w:pPr>
        <w:spacing w:after="0" w:line="240" w:lineRule="auto"/>
        <w:rPr>
          <w:rFonts w:ascii="Verdana" w:eastAsia="Geomanist Light" w:hAnsi="Verdana" w:cs="Arial"/>
          <w:color w:val="000000" w:themeColor="text1"/>
          <w:lang w:val="es-MX"/>
        </w:rPr>
      </w:pPr>
    </w:p>
    <w:p w14:paraId="76A39E66" w14:textId="77777777" w:rsidR="001C4D3E" w:rsidRDefault="001C4D3E" w:rsidP="00E54A57">
      <w:pPr>
        <w:spacing w:after="0" w:line="240" w:lineRule="auto"/>
        <w:rPr>
          <w:rFonts w:ascii="Verdana" w:eastAsia="Geomanist Light" w:hAnsi="Verdana" w:cs="Arial"/>
          <w:color w:val="000000" w:themeColor="text1"/>
          <w:lang w:val="es-MX"/>
        </w:rPr>
      </w:pPr>
    </w:p>
    <w:p w14:paraId="0276E31A" w14:textId="77777777" w:rsidR="001C4D3E" w:rsidRDefault="001C4D3E" w:rsidP="00E54A57">
      <w:pPr>
        <w:spacing w:after="0" w:line="240" w:lineRule="auto"/>
        <w:rPr>
          <w:rFonts w:ascii="Verdana" w:eastAsia="Geomanist Light" w:hAnsi="Verdana" w:cs="Arial"/>
          <w:color w:val="000000" w:themeColor="text1"/>
          <w:lang w:val="es-MX"/>
        </w:rPr>
      </w:pPr>
    </w:p>
    <w:p w14:paraId="05CB818A" w14:textId="77777777" w:rsidR="001C4D3E" w:rsidRDefault="001C4D3E" w:rsidP="00E54A57">
      <w:pPr>
        <w:spacing w:after="0" w:line="240" w:lineRule="auto"/>
        <w:rPr>
          <w:rFonts w:ascii="Verdana" w:eastAsia="Geomanist Light" w:hAnsi="Verdana" w:cs="Arial"/>
          <w:color w:val="000000" w:themeColor="text1"/>
          <w:lang w:val="es-MX"/>
        </w:rPr>
      </w:pPr>
    </w:p>
    <w:p w14:paraId="7B9D2533" w14:textId="77777777" w:rsidR="001C4D3E" w:rsidRDefault="001C4D3E" w:rsidP="00E54A57">
      <w:pPr>
        <w:spacing w:after="0" w:line="240" w:lineRule="auto"/>
        <w:rPr>
          <w:rFonts w:ascii="Verdana" w:eastAsia="Geomanist Light" w:hAnsi="Verdana" w:cs="Arial"/>
          <w:color w:val="000000" w:themeColor="text1"/>
          <w:lang w:val="es-MX"/>
        </w:rPr>
      </w:pPr>
    </w:p>
    <w:p w14:paraId="0DD69540" w14:textId="77777777" w:rsidR="001C4D3E" w:rsidRDefault="001C4D3E" w:rsidP="00E54A57">
      <w:pPr>
        <w:spacing w:after="0" w:line="240" w:lineRule="auto"/>
        <w:rPr>
          <w:rFonts w:ascii="Verdana" w:eastAsia="Geomanist Light" w:hAnsi="Verdana" w:cs="Arial"/>
          <w:color w:val="000000" w:themeColor="text1"/>
          <w:lang w:val="es-MX"/>
        </w:rPr>
      </w:pPr>
    </w:p>
    <w:p w14:paraId="2134F9FF" w14:textId="77777777" w:rsidR="001C4D3E" w:rsidRDefault="001C4D3E" w:rsidP="00E54A57">
      <w:pPr>
        <w:spacing w:after="0" w:line="240" w:lineRule="auto"/>
        <w:rPr>
          <w:rFonts w:ascii="Verdana" w:eastAsia="Geomanist Light" w:hAnsi="Verdana" w:cs="Arial"/>
          <w:color w:val="000000" w:themeColor="text1"/>
          <w:lang w:val="es-MX"/>
        </w:rPr>
      </w:pPr>
    </w:p>
    <w:p w14:paraId="57BC3BF6" w14:textId="77777777" w:rsidR="001C4D3E" w:rsidRDefault="001C4D3E" w:rsidP="00E54A57">
      <w:pPr>
        <w:spacing w:after="0" w:line="240" w:lineRule="auto"/>
        <w:rPr>
          <w:rFonts w:ascii="Verdana" w:eastAsia="Geomanist Light" w:hAnsi="Verdana" w:cs="Arial"/>
          <w:color w:val="000000" w:themeColor="text1"/>
          <w:lang w:val="es-MX"/>
        </w:rPr>
      </w:pPr>
    </w:p>
    <w:p w14:paraId="3EC75751" w14:textId="77777777" w:rsidR="001C4D3E" w:rsidRDefault="001C4D3E" w:rsidP="00E54A57">
      <w:pPr>
        <w:spacing w:after="0" w:line="240" w:lineRule="auto"/>
        <w:rPr>
          <w:rFonts w:ascii="Verdana" w:eastAsia="Geomanist Light" w:hAnsi="Verdana" w:cs="Arial"/>
          <w:color w:val="000000" w:themeColor="text1"/>
          <w:lang w:val="es-MX"/>
        </w:rPr>
      </w:pPr>
    </w:p>
    <w:p w14:paraId="45D7074A" w14:textId="77777777" w:rsidR="00E3615E" w:rsidRDefault="00E3615E" w:rsidP="00E54A57">
      <w:pPr>
        <w:spacing w:after="0" w:line="240" w:lineRule="auto"/>
        <w:rPr>
          <w:rFonts w:ascii="Verdana" w:eastAsia="Geomanist Light" w:hAnsi="Verdana" w:cs="Arial"/>
          <w:color w:val="000000" w:themeColor="text1"/>
          <w:lang w:val="es-MX"/>
        </w:rPr>
      </w:pPr>
    </w:p>
    <w:p w14:paraId="68A75255" w14:textId="225F8752" w:rsidR="00E54A57" w:rsidRPr="00843FED" w:rsidRDefault="00E54A57" w:rsidP="00E54A57">
      <w:pPr>
        <w:spacing w:after="0" w:line="240" w:lineRule="auto"/>
        <w:rPr>
          <w:rFonts w:ascii="Verdana" w:eastAsia="Geomanist Light" w:hAnsi="Verdana" w:cs="Arial"/>
          <w:color w:val="201F1E"/>
          <w:lang w:val="es-MX"/>
        </w:rPr>
      </w:pPr>
      <w:r w:rsidRPr="00843FED">
        <w:rPr>
          <w:rFonts w:ascii="Verdana" w:eastAsia="Geomanist Light" w:hAnsi="Verdana" w:cs="Arial"/>
          <w:color w:val="000000" w:themeColor="text1"/>
          <w:lang w:val="es-MX"/>
        </w:rPr>
        <w:lastRenderedPageBreak/>
        <w:t>Bogotá D.C., </w:t>
      </w:r>
      <w:r w:rsidR="00E3615E">
        <w:rPr>
          <w:rFonts w:ascii="Verdana" w:eastAsia="Geomanist Light" w:hAnsi="Verdana" w:cs="Arial"/>
          <w:color w:val="201F1E"/>
          <w:lang w:val="es-MX"/>
        </w:rPr>
        <w:t xml:space="preserve">09 </w:t>
      </w:r>
      <w:r w:rsidRPr="00843FED">
        <w:rPr>
          <w:rFonts w:ascii="Verdana" w:eastAsia="Geomanist Light" w:hAnsi="Verdana" w:cs="Arial"/>
          <w:color w:val="201F1E"/>
          <w:lang w:val="es-MX"/>
        </w:rPr>
        <w:t xml:space="preserve">de </w:t>
      </w:r>
      <w:r w:rsidR="00E3615E">
        <w:rPr>
          <w:rFonts w:ascii="Verdana" w:eastAsia="Geomanist Light" w:hAnsi="Verdana" w:cs="Arial"/>
          <w:color w:val="201F1E"/>
          <w:lang w:val="es-MX"/>
        </w:rPr>
        <w:t>febrero</w:t>
      </w:r>
      <w:r w:rsidRPr="00843FED">
        <w:rPr>
          <w:rFonts w:ascii="Verdana" w:eastAsia="Geomanist Light" w:hAnsi="Verdana" w:cs="Arial"/>
          <w:color w:val="201F1E"/>
          <w:lang w:val="es-MX"/>
        </w:rPr>
        <w:t xml:space="preserve"> de </w:t>
      </w:r>
      <w:r w:rsidR="00E3615E">
        <w:rPr>
          <w:rFonts w:ascii="Verdana" w:eastAsia="Geomanist Light" w:hAnsi="Verdana" w:cs="Arial"/>
          <w:color w:val="201F1E"/>
          <w:lang w:val="es-MX"/>
        </w:rPr>
        <w:t>2026</w:t>
      </w:r>
    </w:p>
    <w:p w14:paraId="760E8402" w14:textId="57489167" w:rsidR="00E54A57" w:rsidRPr="00EA7EA8" w:rsidRDefault="00E54A57" w:rsidP="00B96F47">
      <w:pPr>
        <w:spacing w:after="0" w:line="240" w:lineRule="auto"/>
        <w:jc w:val="both"/>
        <w:rPr>
          <w:rFonts w:ascii="Verdana" w:eastAsia="Calibri" w:hAnsi="Verdana" w:cs="Arial"/>
          <w:lang w:val="es-ES"/>
        </w:rPr>
      </w:pPr>
    </w:p>
    <w:p w14:paraId="3E249E13" w14:textId="12D12C64" w:rsidR="00B96F47" w:rsidRPr="00B96F47" w:rsidRDefault="00B96F47" w:rsidP="00E3615E">
      <w:pPr>
        <w:spacing w:after="0" w:line="240" w:lineRule="auto"/>
        <w:ind w:left="4248"/>
        <w:jc w:val="both"/>
        <w:rPr>
          <w:rFonts w:ascii="Verdana" w:eastAsia="Calibri" w:hAnsi="Verdana" w:cs="Arial"/>
          <w:lang w:val="es-ES"/>
        </w:rPr>
      </w:pPr>
    </w:p>
    <w:p w14:paraId="25EB279B" w14:textId="7DA0BCE2" w:rsidR="00E54A57" w:rsidRPr="00EA7EA8" w:rsidRDefault="006925EC" w:rsidP="00E54A57">
      <w:pPr>
        <w:spacing w:after="0" w:line="240" w:lineRule="auto"/>
        <w:jc w:val="both"/>
        <w:rPr>
          <w:rFonts w:ascii="Verdana" w:eastAsia="Calibri" w:hAnsi="Verdana" w:cs="Arial"/>
          <w:lang w:val="es-ES" w:eastAsia="es-ES"/>
        </w:rPr>
      </w:pPr>
      <w:r w:rsidRPr="00E3615E">
        <w:rPr>
          <w:rFonts w:ascii="Verdana" w:eastAsia="Calibri" w:hAnsi="Verdana" w:cs="Arial"/>
          <w:noProof/>
          <w:lang w:val="es-ES"/>
        </w:rPr>
        <w:drawing>
          <wp:anchor distT="0" distB="0" distL="114300" distR="114300" simplePos="0" relativeHeight="251658240" behindDoc="0" locked="0" layoutInCell="1" allowOverlap="1" wp14:anchorId="1CB858FC" wp14:editId="42E598ED">
            <wp:simplePos x="0" y="0"/>
            <wp:positionH relativeFrom="margin">
              <wp:align>right</wp:align>
            </wp:positionH>
            <wp:positionV relativeFrom="paragraph">
              <wp:posOffset>8890</wp:posOffset>
            </wp:positionV>
            <wp:extent cx="2447925" cy="845185"/>
            <wp:effectExtent l="0" t="0" r="9525" b="0"/>
            <wp:wrapSquare wrapText="bothSides"/>
            <wp:docPr id="20947232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23209" name=""/>
                    <pic:cNvPicPr/>
                  </pic:nvPicPr>
                  <pic:blipFill>
                    <a:blip r:embed="rId11">
                      <a:extLst>
                        <a:ext uri="{28A0092B-C50C-407E-A947-70E740481C1C}">
                          <a14:useLocalDpi xmlns:a14="http://schemas.microsoft.com/office/drawing/2010/main" val="0"/>
                        </a:ext>
                      </a:extLst>
                    </a:blip>
                    <a:stretch>
                      <a:fillRect/>
                    </a:stretch>
                  </pic:blipFill>
                  <pic:spPr>
                    <a:xfrm>
                      <a:off x="0" y="0"/>
                      <a:ext cx="2447925" cy="845185"/>
                    </a:xfrm>
                    <a:prstGeom prst="rect">
                      <a:avLst/>
                    </a:prstGeom>
                  </pic:spPr>
                </pic:pic>
              </a:graphicData>
            </a:graphic>
            <wp14:sizeRelH relativeFrom="margin">
              <wp14:pctWidth>0</wp14:pctWidth>
            </wp14:sizeRelH>
          </wp:anchor>
        </w:drawing>
      </w:r>
      <w:r w:rsidR="00E54A57" w:rsidRPr="00EA7EA8">
        <w:rPr>
          <w:rFonts w:ascii="Verdana" w:eastAsia="Calibri" w:hAnsi="Verdana" w:cs="Arial"/>
          <w:lang w:val="es-ES" w:eastAsia="es-ES"/>
        </w:rPr>
        <w:t>Seño</w:t>
      </w:r>
      <w:r w:rsidR="00E54A57">
        <w:rPr>
          <w:rFonts w:ascii="Verdana" w:eastAsia="Calibri" w:hAnsi="Verdana" w:cs="Arial"/>
          <w:lang w:val="es-ES" w:eastAsia="es-ES"/>
        </w:rPr>
        <w:t>r</w:t>
      </w:r>
    </w:p>
    <w:p w14:paraId="495B27EB" w14:textId="5AFA20E4" w:rsidR="00E54A57" w:rsidRPr="00842FE7" w:rsidRDefault="00E54A57" w:rsidP="00E54A57">
      <w:pPr>
        <w:spacing w:after="0" w:line="240" w:lineRule="auto"/>
        <w:rPr>
          <w:rFonts w:ascii="Verdana" w:eastAsia="Calibri" w:hAnsi="Verdana" w:cs="Arial"/>
          <w:b/>
          <w:lang w:eastAsia="es-ES_tradnl"/>
        </w:rPr>
      </w:pPr>
      <w:proofErr w:type="spellStart"/>
      <w:r w:rsidRPr="00842FE7">
        <w:rPr>
          <w:rFonts w:ascii="Verdana" w:eastAsia="Calibri" w:hAnsi="Verdana" w:cs="Arial"/>
          <w:b/>
          <w:lang w:eastAsia="es-ES_tradnl"/>
        </w:rPr>
        <w:t>Jhon</w:t>
      </w:r>
      <w:proofErr w:type="spellEnd"/>
      <w:r w:rsidRPr="00842FE7">
        <w:rPr>
          <w:rFonts w:ascii="Verdana" w:eastAsia="Calibri" w:hAnsi="Verdana" w:cs="Arial"/>
          <w:b/>
          <w:lang w:eastAsia="es-ES_tradnl"/>
        </w:rPr>
        <w:t xml:space="preserve"> Alexander Torres Viuche</w:t>
      </w:r>
    </w:p>
    <w:p w14:paraId="49174E91" w14:textId="77777777" w:rsidR="00E54A57" w:rsidRPr="00842FE7" w:rsidRDefault="00E54A57" w:rsidP="00E54A57">
      <w:pPr>
        <w:spacing w:after="0" w:line="240" w:lineRule="auto"/>
        <w:rPr>
          <w:rFonts w:ascii="Verdana" w:eastAsia="Calibri" w:hAnsi="Verdana" w:cs="Arial"/>
          <w:bCs/>
          <w:lang w:eastAsia="es-ES_tradnl"/>
        </w:rPr>
      </w:pPr>
      <w:r w:rsidRPr="00842FE7">
        <w:rPr>
          <w:rFonts w:ascii="Verdana" w:eastAsia="Calibri" w:hAnsi="Verdana" w:cs="Arial"/>
          <w:bCs/>
          <w:lang w:eastAsia="es-ES_tradnl"/>
        </w:rPr>
        <w:t xml:space="preserve">T&amp;R Proyectos </w:t>
      </w:r>
      <w:r>
        <w:rPr>
          <w:rFonts w:ascii="Verdana" w:eastAsia="Calibri" w:hAnsi="Verdana" w:cs="Arial"/>
          <w:bCs/>
          <w:lang w:eastAsia="es-ES_tradnl"/>
        </w:rPr>
        <w:t>y</w:t>
      </w:r>
      <w:r w:rsidRPr="00842FE7">
        <w:rPr>
          <w:rFonts w:ascii="Verdana" w:eastAsia="Calibri" w:hAnsi="Verdana" w:cs="Arial"/>
          <w:bCs/>
          <w:lang w:eastAsia="es-ES_tradnl"/>
        </w:rPr>
        <w:t xml:space="preserve"> Construcciones SAS</w:t>
      </w:r>
    </w:p>
    <w:p w14:paraId="1E2DF59B" w14:textId="77777777" w:rsidR="00E54A57" w:rsidRPr="00E54A57" w:rsidRDefault="00E54A57" w:rsidP="00E54A57">
      <w:pPr>
        <w:spacing w:after="0" w:line="240" w:lineRule="auto"/>
        <w:rPr>
          <w:rFonts w:ascii="Verdana" w:eastAsia="Calibri" w:hAnsi="Verdana" w:cs="Arial"/>
          <w:u w:val="single"/>
          <w:lang w:val="it-IT" w:eastAsia="es-ES"/>
        </w:rPr>
      </w:pPr>
      <w:hyperlink r:id="rId12" w:history="1">
        <w:r w:rsidRPr="00E54A57">
          <w:rPr>
            <w:rStyle w:val="Hipervnculo"/>
            <w:rFonts w:ascii="Verdana" w:eastAsia="Calibri" w:hAnsi="Verdana" w:cs="Arial"/>
            <w:lang w:val="it-IT" w:eastAsia="es-ES"/>
          </w:rPr>
          <w:t>tyr.proyectosyconstrucciones@gmail.com</w:t>
        </w:r>
      </w:hyperlink>
      <w:r w:rsidRPr="00E54A57">
        <w:rPr>
          <w:rFonts w:ascii="Verdana" w:eastAsia="Calibri" w:hAnsi="Verdana" w:cs="Arial"/>
          <w:lang w:val="it-IT" w:eastAsia="es-ES"/>
        </w:rPr>
        <w:t>;</w:t>
      </w:r>
    </w:p>
    <w:p w14:paraId="6434087C" w14:textId="77777777" w:rsidR="00E54A57" w:rsidRPr="00E54A57" w:rsidRDefault="00E54A57" w:rsidP="00E54A57">
      <w:pPr>
        <w:spacing w:after="0" w:line="240" w:lineRule="auto"/>
        <w:rPr>
          <w:rFonts w:ascii="Verdana" w:eastAsia="Calibri" w:hAnsi="Verdana" w:cs="Arial"/>
          <w:b/>
          <w:bCs/>
          <w:lang w:val="it-IT" w:eastAsia="es-ES"/>
        </w:rPr>
      </w:pPr>
      <w:r w:rsidRPr="00E54A57">
        <w:rPr>
          <w:rFonts w:ascii="Verdana" w:eastAsia="Calibri" w:hAnsi="Verdana" w:cs="Arial"/>
          <w:lang w:val="it-IT" w:eastAsia="es-ES"/>
        </w:rPr>
        <w:t>Ibagué, Tolima</w:t>
      </w:r>
    </w:p>
    <w:p w14:paraId="3B365A55" w14:textId="77777777" w:rsidR="00E54A57" w:rsidRPr="00E54A57" w:rsidRDefault="00E54A57" w:rsidP="00E54A57">
      <w:pPr>
        <w:spacing w:after="0" w:line="240" w:lineRule="auto"/>
        <w:rPr>
          <w:rFonts w:ascii="Verdana" w:eastAsia="Calibri" w:hAnsi="Verdana" w:cs="Arial"/>
          <w:b/>
          <w:bCs/>
          <w:lang w:val="it-IT" w:eastAsia="es-ES_tradnl"/>
        </w:rPr>
      </w:pPr>
    </w:p>
    <w:p w14:paraId="2F344E30" w14:textId="77777777" w:rsidR="00E54A57" w:rsidRPr="00E54A57" w:rsidRDefault="00E54A57" w:rsidP="00E54A57">
      <w:pPr>
        <w:spacing w:after="0" w:line="240" w:lineRule="auto"/>
        <w:rPr>
          <w:rFonts w:ascii="Verdana" w:eastAsia="Calibri" w:hAnsi="Verdana" w:cs="Arial"/>
          <w:b/>
          <w:bCs/>
          <w:lang w:val="it-IT" w:eastAsia="es-ES_tradnl"/>
        </w:rPr>
      </w:pPr>
    </w:p>
    <w:p w14:paraId="06ADEBBA" w14:textId="77777777" w:rsidR="003333A8" w:rsidRDefault="003333A8" w:rsidP="00C01013">
      <w:pPr>
        <w:spacing w:after="0" w:line="240" w:lineRule="auto"/>
        <w:jc w:val="center"/>
        <w:rPr>
          <w:rFonts w:ascii="Verdana" w:eastAsia="Calibri" w:hAnsi="Verdana" w:cs="Arial"/>
          <w:b/>
          <w:bCs/>
          <w:lang w:val="es-ES" w:eastAsia="es-ES"/>
        </w:rPr>
      </w:pPr>
      <w:r w:rsidRPr="00EA7EA8">
        <w:rPr>
          <w:rFonts w:ascii="Verdana" w:eastAsia="Calibri" w:hAnsi="Verdana" w:cs="Arial"/>
          <w:b/>
          <w:bCs/>
          <w:lang w:val="es-ES" w:eastAsia="es-ES"/>
        </w:rPr>
        <w:t xml:space="preserve">Concepto </w:t>
      </w:r>
      <w:r w:rsidRPr="003D7D05">
        <w:rPr>
          <w:rFonts w:ascii="Verdana" w:eastAsia="Calibri" w:hAnsi="Verdana" w:cs="Arial"/>
          <w:b/>
          <w:bCs/>
          <w:lang w:val="es-ES" w:eastAsia="es-ES"/>
        </w:rPr>
        <w:t>C-</w:t>
      </w:r>
      <w:r>
        <w:rPr>
          <w:rFonts w:ascii="Verdana" w:eastAsia="Calibri" w:hAnsi="Verdana" w:cs="Arial"/>
          <w:b/>
          <w:bCs/>
          <w:lang w:val="es-ES" w:eastAsia="es-ES"/>
        </w:rPr>
        <w:t xml:space="preserve">037 </w:t>
      </w:r>
      <w:r w:rsidRPr="00EA7EA8">
        <w:rPr>
          <w:rFonts w:ascii="Verdana" w:eastAsia="Calibri" w:hAnsi="Verdana" w:cs="Arial"/>
          <w:b/>
          <w:bCs/>
          <w:lang w:val="es-ES" w:eastAsia="es-ES"/>
        </w:rPr>
        <w:t>de 202</w:t>
      </w:r>
      <w:r>
        <w:rPr>
          <w:rFonts w:ascii="Verdana" w:eastAsia="Calibri" w:hAnsi="Verdana" w:cs="Arial"/>
          <w:b/>
          <w:bCs/>
          <w:lang w:val="es-ES" w:eastAsia="es-ES"/>
        </w:rPr>
        <w:t>6</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266A9" w:rsidRPr="00593A5F" w14:paraId="1047A294" w14:textId="77777777" w:rsidTr="00827AD0">
        <w:trPr>
          <w:trHeight w:val="884"/>
        </w:trPr>
        <w:tc>
          <w:tcPr>
            <w:tcW w:w="2689" w:type="dxa"/>
          </w:tcPr>
          <w:p w14:paraId="6B0AF545" w14:textId="77777777" w:rsidR="002266A9" w:rsidRDefault="002266A9" w:rsidP="00827AD0">
            <w:pPr>
              <w:jc w:val="both"/>
              <w:rPr>
                <w:rFonts w:ascii="Verdana" w:eastAsia="Calibri" w:hAnsi="Verdana" w:cs="Arial"/>
                <w:b/>
                <w:color w:val="000000"/>
                <w:lang w:val="es-ES_tradnl" w:eastAsia="es-ES_tradnl"/>
              </w:rPr>
            </w:pPr>
          </w:p>
          <w:p w14:paraId="1BFC1A31" w14:textId="78AEF571" w:rsidR="002266A9" w:rsidRPr="00593A5F" w:rsidRDefault="002266A9" w:rsidP="00827AD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6BDA366" w14:textId="77777777" w:rsidR="002266A9" w:rsidRDefault="002266A9" w:rsidP="00827AD0">
            <w:pPr>
              <w:jc w:val="both"/>
              <w:rPr>
                <w:rFonts w:ascii="Verdana" w:eastAsia="Calibri" w:hAnsi="Verdana" w:cs="Arial"/>
                <w:lang w:val="es-ES" w:eastAsia="es-ES"/>
              </w:rPr>
            </w:pPr>
          </w:p>
          <w:p w14:paraId="6248A743" w14:textId="77777777" w:rsidR="00D36CD6" w:rsidRDefault="00114FA5" w:rsidP="00C01013">
            <w:pPr>
              <w:jc w:val="both"/>
              <w:rPr>
                <w:rFonts w:ascii="Verdana" w:eastAsia="Calibri" w:hAnsi="Verdana" w:cs="Arial"/>
                <w:bCs/>
                <w:lang w:val="es-ES_tradnl" w:eastAsia="es-ES_tradnl"/>
              </w:rPr>
            </w:pPr>
            <w:r w:rsidRPr="00FE10F1">
              <w:rPr>
                <w:rFonts w:ascii="Verdana" w:eastAsia="Calibri" w:hAnsi="Verdana" w:cs="Arial"/>
                <w:bCs/>
                <w:lang w:val="es-ES_tradnl" w:eastAsia="es-ES_tradnl"/>
              </w:rPr>
              <w:t>SOCIEDADES NUEVAS ‒ Experiencia ‒ Inferior a tres a</w:t>
            </w:r>
            <w:r w:rsidRPr="00FE10F1">
              <w:rPr>
                <w:rFonts w:ascii="Verdana" w:eastAsia="Calibri" w:hAnsi="Verdana" w:cs="Century Gothic"/>
                <w:bCs/>
                <w:lang w:val="es-ES_tradnl" w:eastAsia="es-ES_tradnl"/>
              </w:rPr>
              <w:t>ñ</w:t>
            </w:r>
            <w:r w:rsidRPr="00FE10F1">
              <w:rPr>
                <w:rFonts w:ascii="Verdana" w:eastAsia="Calibri" w:hAnsi="Verdana" w:cs="Arial"/>
                <w:bCs/>
                <w:lang w:val="es-ES_tradnl" w:eastAsia="es-ES_tradnl"/>
              </w:rPr>
              <w:t>os ‒ Requisitos habilitantes / EXPERIENCIA ‒ Conservaci</w:t>
            </w:r>
            <w:r w:rsidRPr="00FE10F1">
              <w:rPr>
                <w:rFonts w:ascii="Verdana" w:eastAsia="Calibri" w:hAnsi="Verdana" w:cs="Century Gothic"/>
                <w:bCs/>
                <w:lang w:val="es-ES_tradnl" w:eastAsia="es-ES_tradnl"/>
              </w:rPr>
              <w:t>ó</w:t>
            </w:r>
            <w:r w:rsidRPr="00FE10F1">
              <w:rPr>
                <w:rFonts w:ascii="Verdana" w:eastAsia="Calibri" w:hAnsi="Verdana" w:cs="Arial"/>
                <w:bCs/>
                <w:lang w:val="es-ES_tradnl" w:eastAsia="es-ES_tradnl"/>
              </w:rPr>
              <w:t>n</w:t>
            </w:r>
            <w:r>
              <w:rPr>
                <w:rFonts w:ascii="Verdana" w:eastAsia="Calibri" w:hAnsi="Verdana" w:cs="Arial"/>
                <w:bCs/>
                <w:lang w:val="es-ES_tradnl" w:eastAsia="es-ES_tradnl"/>
              </w:rPr>
              <w:t xml:space="preserve"> </w:t>
            </w:r>
            <w:r w:rsidRPr="00FE10F1">
              <w:rPr>
                <w:rFonts w:ascii="Verdana" w:eastAsia="Calibri" w:hAnsi="Verdana" w:cs="Arial"/>
                <w:bCs/>
                <w:lang w:val="es-ES_tradnl" w:eastAsia="es-ES_tradnl"/>
              </w:rPr>
              <w:t>‒</w:t>
            </w:r>
            <w:r>
              <w:rPr>
                <w:rFonts w:ascii="Verdana" w:eastAsia="Calibri" w:hAnsi="Verdana" w:cs="Arial"/>
                <w:bCs/>
                <w:lang w:val="es-ES_tradnl" w:eastAsia="es-ES_tradnl"/>
              </w:rPr>
              <w:t xml:space="preserve"> Renovación RUP</w:t>
            </w:r>
            <w:r w:rsidRPr="00FE10F1">
              <w:rPr>
                <w:rFonts w:ascii="Verdana" w:eastAsia="Calibri" w:hAnsi="Verdana" w:cs="Arial"/>
                <w:bCs/>
                <w:lang w:val="es-ES_tradnl" w:eastAsia="es-ES_tradnl"/>
              </w:rPr>
              <w:t xml:space="preserve"> / EXPERIENCIA </w:t>
            </w:r>
            <w:r w:rsidRPr="00FE10F1">
              <w:rPr>
                <w:rFonts w:ascii="Verdana" w:eastAsia="Calibri" w:hAnsi="Verdana" w:cs="Century Gothic"/>
                <w:bCs/>
                <w:lang w:val="es-ES_tradnl" w:eastAsia="es-ES_tradnl"/>
              </w:rPr>
              <w:t>−</w:t>
            </w:r>
            <w:r w:rsidRPr="00FE10F1">
              <w:rPr>
                <w:rFonts w:ascii="Verdana" w:eastAsia="Calibri" w:hAnsi="Verdana" w:cs="Arial"/>
                <w:bCs/>
                <w:lang w:val="es-ES_tradnl" w:eastAsia="es-ES_tradnl"/>
              </w:rPr>
              <w:t xml:space="preserve"> Sociedades </w:t>
            </w:r>
            <w:r w:rsidRPr="00FE10F1">
              <w:rPr>
                <w:rFonts w:ascii="Verdana" w:eastAsia="Calibri" w:hAnsi="Verdana" w:cs="Century Gothic"/>
                <w:bCs/>
                <w:lang w:val="es-ES_tradnl" w:eastAsia="es-ES_tradnl"/>
              </w:rPr>
              <w:t>–</w:t>
            </w:r>
            <w:r w:rsidRPr="00FE10F1">
              <w:rPr>
                <w:rFonts w:ascii="Verdana" w:eastAsia="Calibri" w:hAnsi="Verdana" w:cs="Arial"/>
                <w:bCs/>
                <w:lang w:val="es-ES_tradnl" w:eastAsia="es-ES_tradnl"/>
              </w:rPr>
              <w:t xml:space="preserve"> Menor a 3 a</w:t>
            </w:r>
            <w:r w:rsidRPr="00FE10F1">
              <w:rPr>
                <w:rFonts w:ascii="Verdana" w:eastAsia="Calibri" w:hAnsi="Verdana" w:cs="Century Gothic"/>
                <w:bCs/>
                <w:lang w:val="es-ES_tradnl" w:eastAsia="es-ES_tradnl"/>
              </w:rPr>
              <w:t>ñ</w:t>
            </w:r>
            <w:r w:rsidRPr="00FE10F1">
              <w:rPr>
                <w:rFonts w:ascii="Verdana" w:eastAsia="Calibri" w:hAnsi="Verdana" w:cs="Arial"/>
                <w:bCs/>
                <w:lang w:val="es-ES_tradnl" w:eastAsia="es-ES_tradnl"/>
              </w:rPr>
              <w:t>os de constituci</w:t>
            </w:r>
            <w:r w:rsidRPr="00FE10F1">
              <w:rPr>
                <w:rFonts w:ascii="Verdana" w:eastAsia="Calibri" w:hAnsi="Verdana" w:cs="Century Gothic"/>
                <w:bCs/>
                <w:lang w:val="es-ES_tradnl" w:eastAsia="es-ES_tradnl"/>
              </w:rPr>
              <w:t>ó</w:t>
            </w:r>
            <w:r w:rsidRPr="00FE10F1">
              <w:rPr>
                <w:rFonts w:ascii="Verdana" w:eastAsia="Calibri" w:hAnsi="Verdana" w:cs="Arial"/>
                <w:bCs/>
                <w:lang w:val="es-ES_tradnl" w:eastAsia="es-ES_tradnl"/>
              </w:rPr>
              <w:t xml:space="preserve">n </w:t>
            </w:r>
          </w:p>
          <w:p w14:paraId="698E39AD" w14:textId="22964DF4" w:rsidR="00D36CD6" w:rsidRPr="00D36CD6" w:rsidRDefault="00D36CD6" w:rsidP="00C01013">
            <w:pPr>
              <w:jc w:val="both"/>
              <w:rPr>
                <w:rFonts w:ascii="Verdana" w:eastAsia="Calibri" w:hAnsi="Verdana" w:cs="Arial"/>
                <w:bCs/>
                <w:lang w:val="es-ES_tradnl" w:eastAsia="es-ES_tradnl"/>
              </w:rPr>
            </w:pPr>
          </w:p>
        </w:tc>
      </w:tr>
      <w:tr w:rsidR="00D36CD6" w:rsidRPr="00593A5F" w14:paraId="6BD133A0" w14:textId="77777777" w:rsidTr="00827AD0">
        <w:trPr>
          <w:trHeight w:val="884"/>
        </w:trPr>
        <w:tc>
          <w:tcPr>
            <w:tcW w:w="2689" w:type="dxa"/>
          </w:tcPr>
          <w:p w14:paraId="4513F29F" w14:textId="0842E506" w:rsidR="00D36CD6" w:rsidRDefault="00D36CD6" w:rsidP="00D36CD6">
            <w:pPr>
              <w:jc w:val="both"/>
              <w:rPr>
                <w:rFonts w:ascii="Verdana" w:eastAsia="Calibri" w:hAnsi="Verdana" w:cs="Arial"/>
                <w:b/>
                <w:color w:val="000000"/>
                <w:lang w:val="es-ES_tradnl" w:eastAsia="es-ES_tradnl"/>
              </w:rPr>
            </w:pPr>
            <w:r w:rsidRPr="00791C6B">
              <w:rPr>
                <w:rFonts w:ascii="Verdana" w:eastAsia="Calibri" w:hAnsi="Verdana" w:cs="Arial"/>
                <w:b/>
                <w:lang w:val="es-ES_tradnl" w:eastAsia="es-ES_tradnl"/>
              </w:rPr>
              <w:t xml:space="preserve"> Radicación:</w:t>
            </w:r>
            <w:r w:rsidRPr="00791C6B">
              <w:rPr>
                <w:rFonts w:ascii="Verdana" w:eastAsia="Calibri" w:hAnsi="Verdana" w:cs="Arial"/>
                <w:lang w:val="es-ES_tradnl" w:eastAsia="es-ES_tradnl"/>
              </w:rPr>
              <w:t xml:space="preserve">               </w:t>
            </w:r>
          </w:p>
        </w:tc>
        <w:tc>
          <w:tcPr>
            <w:tcW w:w="6100" w:type="dxa"/>
          </w:tcPr>
          <w:p w14:paraId="294F8C97" w14:textId="16223FE9" w:rsidR="00F9258E" w:rsidRPr="00F9258E" w:rsidRDefault="00D36CD6" w:rsidP="00D36CD6">
            <w:pPr>
              <w:jc w:val="both"/>
              <w:rPr>
                <w:rFonts w:ascii="Verdana" w:eastAsia="Calibri" w:hAnsi="Verdana" w:cs="Arial"/>
                <w:b/>
                <w:bCs/>
                <w:lang w:val="es-ES_tradnl" w:eastAsia="es-ES_tradnl"/>
              </w:rPr>
            </w:pPr>
            <w:r w:rsidRPr="00791C6B">
              <w:rPr>
                <w:rFonts w:ascii="Verdana" w:eastAsia="Calibri" w:hAnsi="Verdana" w:cs="Arial"/>
                <w:lang w:val="es-ES_tradnl" w:eastAsia="es-ES_tradnl"/>
              </w:rPr>
              <w:t xml:space="preserve">Respuesta a consulta con radicado No. </w:t>
            </w:r>
            <w:r w:rsidRPr="00C01013">
              <w:rPr>
                <w:rFonts w:ascii="Verdana" w:eastAsia="Calibri" w:hAnsi="Verdana" w:cs="Arial"/>
                <w:lang w:val="es-ES_tradnl" w:eastAsia="es-ES_tradnl"/>
              </w:rPr>
              <w:t>1_2026_01_15_000</w:t>
            </w:r>
            <w:r w:rsidR="00827AD0" w:rsidRPr="00C01013">
              <w:rPr>
                <w:rFonts w:ascii="Verdana" w:eastAsia="Calibri" w:hAnsi="Verdana" w:cs="Arial"/>
                <w:lang w:val="es-ES_tradnl" w:eastAsia="es-ES_tradnl"/>
              </w:rPr>
              <w:t>499</w:t>
            </w:r>
          </w:p>
        </w:tc>
      </w:tr>
    </w:tbl>
    <w:p w14:paraId="43AE2909" w14:textId="77777777" w:rsidR="00B96F47" w:rsidRPr="00791C6B" w:rsidRDefault="00B96F47" w:rsidP="00F9258E">
      <w:pPr>
        <w:tabs>
          <w:tab w:val="left" w:pos="3768"/>
        </w:tabs>
        <w:spacing w:after="0" w:line="276" w:lineRule="auto"/>
        <w:jc w:val="both"/>
        <w:rPr>
          <w:rFonts w:ascii="Verdana" w:eastAsia="Calibri" w:hAnsi="Verdana" w:cs="Arial"/>
          <w:lang w:val="es-ES" w:eastAsia="es-ES"/>
        </w:rPr>
      </w:pPr>
    </w:p>
    <w:p w14:paraId="6EFEBD6D" w14:textId="77777777" w:rsidR="006138BF" w:rsidRPr="00EA7EA8" w:rsidRDefault="006138BF" w:rsidP="00C01013">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Estimad</w:t>
      </w:r>
      <w:r>
        <w:rPr>
          <w:rFonts w:ascii="Verdana" w:eastAsia="Calibri" w:hAnsi="Verdana" w:cs="Arial"/>
          <w:lang w:val="es-ES" w:eastAsia="es-ES"/>
        </w:rPr>
        <w:t>o</w:t>
      </w:r>
      <w:r w:rsidRPr="00EA7EA8">
        <w:rPr>
          <w:rFonts w:ascii="Verdana" w:eastAsia="Calibri" w:hAnsi="Verdana" w:cs="Arial"/>
          <w:lang w:val="es-ES" w:eastAsia="es-ES"/>
        </w:rPr>
        <w:t xml:space="preserve"> señor </w:t>
      </w:r>
      <w:r>
        <w:rPr>
          <w:rFonts w:ascii="Verdana" w:eastAsia="Calibri" w:hAnsi="Verdana" w:cs="Arial"/>
          <w:lang w:val="es-ES" w:eastAsia="es-ES"/>
        </w:rPr>
        <w:t xml:space="preserve">Torres </w:t>
      </w:r>
      <w:proofErr w:type="spellStart"/>
      <w:r>
        <w:rPr>
          <w:rFonts w:ascii="Verdana" w:eastAsia="Calibri" w:hAnsi="Verdana" w:cs="Arial"/>
          <w:lang w:val="es-ES" w:eastAsia="es-ES"/>
        </w:rPr>
        <w:t>Viuche</w:t>
      </w:r>
      <w:proofErr w:type="spellEnd"/>
      <w:r w:rsidRPr="00EA7EA8">
        <w:rPr>
          <w:rFonts w:ascii="Verdana" w:eastAsia="Calibri" w:hAnsi="Verdana" w:cs="Arial"/>
          <w:lang w:val="es-ES" w:eastAsia="es-ES"/>
        </w:rPr>
        <w:t xml:space="preserve">: </w:t>
      </w:r>
    </w:p>
    <w:p w14:paraId="3DB5FCDA" w14:textId="77777777" w:rsidR="006138BF" w:rsidRPr="00EA7EA8" w:rsidRDefault="006138BF" w:rsidP="006138BF">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ab/>
      </w:r>
    </w:p>
    <w:p w14:paraId="09B21396" w14:textId="77777777" w:rsidR="006138BF" w:rsidRPr="00EA7EA8" w:rsidRDefault="006138BF" w:rsidP="006138BF">
      <w:pPr>
        <w:spacing w:after="0" w:line="276" w:lineRule="auto"/>
        <w:jc w:val="both"/>
        <w:rPr>
          <w:rFonts w:ascii="Verdana" w:eastAsia="Calibri" w:hAnsi="Verdana" w:cs="Arial"/>
          <w:lang w:val="es-ES" w:eastAsia="es-ES"/>
        </w:rPr>
      </w:pPr>
      <w:r w:rsidRPr="00BC3A80">
        <w:rPr>
          <w:rFonts w:ascii="Verdana" w:hAnsi="Verdana" w:cs="Arial"/>
          <w:color w:val="000000" w:themeColor="text1"/>
          <w:lang w:val="es-ES_tradnl" w:eastAsia="es-ES"/>
        </w:rPr>
        <w:t>En ejercicio de la competencia otorgada por los artículos 3, numeral 5º, y 11, numeral 8º, del Decreto Ley 4170 de 2011,</w:t>
      </w:r>
      <w:r w:rsidRPr="00BC3A80">
        <w:rPr>
          <w:rFonts w:ascii="Verdana" w:eastAsia="Arial MT" w:hAnsi="Verdana" w:cs="Arial MT"/>
          <w:lang w:val="es-ES_tradnl" w:eastAsia="es-ES"/>
        </w:rPr>
        <w:t xml:space="preserve"> </w:t>
      </w:r>
      <w:r w:rsidRPr="00BC3A80">
        <w:rPr>
          <w:rFonts w:ascii="Verdana" w:hAnsi="Verdana" w:cs="Arial"/>
          <w:lang w:val="es-ES_tradnl"/>
        </w:rPr>
        <w:t>así como lo establecido en</w:t>
      </w:r>
      <w:r w:rsidRPr="00BC3A80">
        <w:rPr>
          <w:rFonts w:ascii="Verdana" w:hAnsi="Verdana" w:cs="Arial"/>
        </w:rPr>
        <w:t xml:space="preserve"> la Resolución 469 de 2025</w:t>
      </w:r>
      <w:r w:rsidRPr="00EA7EA8">
        <w:rPr>
          <w:rFonts w:ascii="Verdana" w:hAnsi="Verdana" w:cs="Arial"/>
        </w:rPr>
        <w:t xml:space="preserve">, </w:t>
      </w:r>
      <w:r w:rsidRPr="00EA7EA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19 </w:t>
      </w:r>
      <w:r w:rsidRPr="00EA7EA8">
        <w:rPr>
          <w:rFonts w:ascii="Verdana" w:eastAsia="Calibri" w:hAnsi="Verdana" w:cs="Arial"/>
          <w:lang w:val="es-ES" w:eastAsia="es-ES"/>
        </w:rPr>
        <w:t xml:space="preserve">de </w:t>
      </w:r>
      <w:r>
        <w:rPr>
          <w:rFonts w:ascii="Verdana" w:eastAsia="Calibri" w:hAnsi="Verdana" w:cs="Arial"/>
          <w:lang w:val="es-ES" w:eastAsia="es-ES"/>
        </w:rPr>
        <w:t>enero</w:t>
      </w:r>
      <w:r w:rsidRPr="00EA7EA8">
        <w:rPr>
          <w:rFonts w:ascii="Verdana" w:eastAsia="Calibri" w:hAnsi="Verdana" w:cs="Arial"/>
          <w:lang w:val="es-ES" w:eastAsia="es-ES"/>
        </w:rPr>
        <w:t xml:space="preserve"> de 202</w:t>
      </w:r>
      <w:r>
        <w:rPr>
          <w:rFonts w:ascii="Verdana" w:eastAsia="Calibri" w:hAnsi="Verdana" w:cs="Arial"/>
          <w:lang w:val="es-ES" w:eastAsia="es-ES"/>
        </w:rPr>
        <w:t>6</w:t>
      </w:r>
      <w:r w:rsidRPr="00EA7EA8">
        <w:rPr>
          <w:rFonts w:ascii="Verdana" w:eastAsia="Calibri" w:hAnsi="Verdana" w:cs="Arial"/>
          <w:lang w:val="es-ES" w:eastAsia="es-ES"/>
        </w:rPr>
        <w:t xml:space="preserve">, en la cual manifiesta lo siguiente: </w:t>
      </w:r>
    </w:p>
    <w:p w14:paraId="0FA6138C" w14:textId="77777777" w:rsidR="006138BF" w:rsidRPr="00EA7EA8" w:rsidRDefault="006138BF" w:rsidP="006138BF">
      <w:pPr>
        <w:pStyle w:val="Prrafodelista"/>
        <w:tabs>
          <w:tab w:val="left" w:pos="142"/>
          <w:tab w:val="left" w:pos="284"/>
        </w:tabs>
        <w:spacing w:after="0" w:line="276" w:lineRule="auto"/>
        <w:ind w:left="0"/>
        <w:jc w:val="both"/>
        <w:rPr>
          <w:rFonts w:ascii="Verdana" w:eastAsia="Century Gothic" w:hAnsi="Verdana" w:cs="Century Gothic"/>
          <w:b/>
          <w:bCs/>
        </w:rPr>
      </w:pPr>
    </w:p>
    <w:p w14:paraId="7148A238" w14:textId="7CEC6051" w:rsidR="006138BF" w:rsidRPr="002167F4" w:rsidRDefault="006138BF">
      <w:pPr>
        <w:pStyle w:val="Prrafodelista"/>
        <w:tabs>
          <w:tab w:val="left" w:pos="142"/>
          <w:tab w:val="left" w:pos="284"/>
        </w:tabs>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lang w:val="es-CO"/>
        </w:rPr>
        <w:t xml:space="preserve">“[…] </w:t>
      </w:r>
      <w:r w:rsidRPr="002167F4">
        <w:rPr>
          <w:rFonts w:ascii="Verdana" w:eastAsia="Century Gothic" w:hAnsi="Verdana" w:cs="Century Gothic"/>
          <w:sz w:val="20"/>
          <w:szCs w:val="20"/>
        </w:rPr>
        <w:t xml:space="preserve">solicitamos amablemente si la siguiente información </w:t>
      </w:r>
      <w:proofErr w:type="gramStart"/>
      <w:r w:rsidRPr="002167F4">
        <w:rPr>
          <w:rFonts w:ascii="Verdana" w:eastAsia="Century Gothic" w:hAnsi="Verdana" w:cs="Century Gothic"/>
          <w:sz w:val="20"/>
          <w:szCs w:val="20"/>
        </w:rPr>
        <w:t>de acuerdo a</w:t>
      </w:r>
      <w:proofErr w:type="gramEnd"/>
      <w:r w:rsidRPr="002167F4">
        <w:rPr>
          <w:rFonts w:ascii="Verdana" w:eastAsia="Century Gothic" w:hAnsi="Verdana" w:cs="Century Gothic"/>
          <w:sz w:val="20"/>
          <w:szCs w:val="20"/>
        </w:rPr>
        <w:t xml:space="preserve"> Concepto C- 804</w:t>
      </w:r>
      <w:r>
        <w:rPr>
          <w:rFonts w:ascii="Verdana" w:eastAsia="Century Gothic" w:hAnsi="Verdana" w:cs="Century Gothic"/>
          <w:sz w:val="20"/>
          <w:szCs w:val="20"/>
        </w:rPr>
        <w:t xml:space="preserve"> </w:t>
      </w:r>
      <w:r w:rsidRPr="002167F4">
        <w:rPr>
          <w:rFonts w:ascii="Verdana" w:eastAsia="Century Gothic" w:hAnsi="Verdana" w:cs="Century Gothic"/>
          <w:sz w:val="20"/>
          <w:szCs w:val="20"/>
        </w:rPr>
        <w:t xml:space="preserve">de 2025, sigue vigente o la misma a surtido de modificaciones </w:t>
      </w:r>
      <w:proofErr w:type="gramStart"/>
      <w:r w:rsidRPr="002167F4">
        <w:rPr>
          <w:rFonts w:ascii="Verdana" w:eastAsia="Century Gothic" w:hAnsi="Verdana" w:cs="Century Gothic"/>
          <w:sz w:val="20"/>
          <w:szCs w:val="20"/>
        </w:rPr>
        <w:t>de acuerdo a</w:t>
      </w:r>
      <w:proofErr w:type="gramEnd"/>
      <w:r w:rsidRPr="002167F4">
        <w:rPr>
          <w:rFonts w:ascii="Verdana" w:eastAsia="Century Gothic" w:hAnsi="Verdana" w:cs="Century Gothic"/>
          <w:sz w:val="20"/>
          <w:szCs w:val="20"/>
        </w:rPr>
        <w:t xml:space="preserve"> lo</w:t>
      </w:r>
      <w:r>
        <w:rPr>
          <w:rFonts w:ascii="Verdana" w:eastAsia="Century Gothic" w:hAnsi="Verdana" w:cs="Century Gothic"/>
          <w:sz w:val="20"/>
          <w:szCs w:val="20"/>
        </w:rPr>
        <w:t xml:space="preserve"> </w:t>
      </w:r>
      <w:r w:rsidRPr="002167F4">
        <w:rPr>
          <w:rFonts w:ascii="Verdana" w:eastAsia="Century Gothic" w:hAnsi="Verdana" w:cs="Century Gothic"/>
          <w:sz w:val="20"/>
          <w:szCs w:val="20"/>
        </w:rPr>
        <w:t>expresado en:</w:t>
      </w:r>
    </w:p>
    <w:p w14:paraId="1337FDF0" w14:textId="77777777" w:rsidR="00416E36" w:rsidRPr="002167F4" w:rsidRDefault="00416E36" w:rsidP="00C01013">
      <w:pPr>
        <w:pStyle w:val="Prrafodelista"/>
        <w:tabs>
          <w:tab w:val="left" w:pos="142"/>
          <w:tab w:val="left" w:pos="284"/>
        </w:tabs>
        <w:spacing w:after="0" w:line="240" w:lineRule="auto"/>
        <w:ind w:left="709" w:right="709"/>
        <w:jc w:val="both"/>
        <w:rPr>
          <w:rFonts w:ascii="Verdana" w:eastAsia="Century Gothic" w:hAnsi="Verdana" w:cs="Century Gothic"/>
          <w:sz w:val="20"/>
          <w:szCs w:val="20"/>
        </w:rPr>
      </w:pPr>
    </w:p>
    <w:p w14:paraId="67B555BF" w14:textId="65886676" w:rsidR="000C2018" w:rsidRPr="00416E36" w:rsidRDefault="006138BF" w:rsidP="00C01013">
      <w:pPr>
        <w:pStyle w:val="Prrafodelista"/>
        <w:tabs>
          <w:tab w:val="left" w:pos="142"/>
          <w:tab w:val="left" w:pos="284"/>
        </w:tabs>
        <w:spacing w:after="0" w:line="240" w:lineRule="auto"/>
        <w:ind w:left="709" w:right="709"/>
        <w:jc w:val="both"/>
        <w:rPr>
          <w:rFonts w:eastAsia="Calibri" w:cs="Arial"/>
          <w:lang w:val="es-ES_tradnl" w:eastAsia="es-ES_tradnl"/>
        </w:rPr>
      </w:pPr>
      <w:r w:rsidRPr="002167F4">
        <w:rPr>
          <w:rFonts w:ascii="Verdana" w:eastAsia="Century Gothic" w:hAnsi="Verdana" w:cs="Century Gothic"/>
          <w:sz w:val="20"/>
          <w:szCs w:val="20"/>
        </w:rPr>
        <w:t>"EXPERIENCIA – Sociedades con más de 3 años de constitución – Renovación del</w:t>
      </w:r>
      <w:r w:rsidR="00416E36">
        <w:rPr>
          <w:rFonts w:ascii="Verdana" w:eastAsia="Century Gothic" w:hAnsi="Verdana" w:cs="Century Gothic"/>
          <w:sz w:val="20"/>
          <w:szCs w:val="20"/>
        </w:rPr>
        <w:t xml:space="preserve"> </w:t>
      </w:r>
      <w:r w:rsidRPr="00416E36">
        <w:t xml:space="preserve">RUP – Acreditación Si la persona jurídica con menos de tres años de </w:t>
      </w:r>
      <w:r w:rsidRPr="00381569">
        <w:t xml:space="preserve">constituida registra la experiencia </w:t>
      </w:r>
      <w:r w:rsidRPr="00416E36">
        <w:t xml:space="preserve">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w:t>
      </w:r>
      <w:r w:rsidRPr="00416E36">
        <w:lastRenderedPageBreak/>
        <w:t xml:space="preserve">tiene que hacer nuevamente la verificación documental de la información presentada al momento de inscribirse en </w:t>
      </w:r>
      <w:r w:rsidRPr="00416E36">
        <w:rPr>
          <w:lang w:val="es-CO"/>
        </w:rPr>
        <w:t>el registro." (SIC)</w:t>
      </w:r>
      <w:r w:rsidR="000C2018" w:rsidRPr="00416E36">
        <w:rPr>
          <w:rFonts w:eastAsia="Calibri" w:cs="Arial"/>
          <w:lang w:val="es-ES_tradnl" w:eastAsia="es-ES_tradnl"/>
        </w:rPr>
        <w:t xml:space="preserve">  </w:t>
      </w:r>
    </w:p>
    <w:p w14:paraId="4EC4294C" w14:textId="77777777" w:rsidR="006743D6" w:rsidRPr="006138BF" w:rsidRDefault="006743D6" w:rsidP="006138BF">
      <w:pPr>
        <w:pStyle w:val="Prrafodelista"/>
        <w:tabs>
          <w:tab w:val="left" w:pos="142"/>
          <w:tab w:val="left" w:pos="284"/>
        </w:tabs>
        <w:spacing w:after="0" w:line="276" w:lineRule="auto"/>
        <w:ind w:left="709" w:right="709"/>
        <w:jc w:val="both"/>
        <w:rPr>
          <w:rFonts w:ascii="Verdana" w:eastAsia="Century Gothic" w:hAnsi="Verdana" w:cs="Century Gothic"/>
          <w:sz w:val="20"/>
          <w:szCs w:val="20"/>
        </w:rPr>
      </w:pPr>
    </w:p>
    <w:p w14:paraId="08588EE2" w14:textId="6A9FA52E" w:rsidR="006743D6" w:rsidRDefault="006743D6" w:rsidP="006743D6">
      <w:pPr>
        <w:spacing w:after="120" w:line="276" w:lineRule="auto"/>
        <w:ind w:firstLine="709"/>
        <w:jc w:val="both"/>
        <w:rPr>
          <w:rFonts w:ascii="Verdana" w:eastAsia="Calibri" w:hAnsi="Verdana" w:cs="Arial"/>
          <w:lang w:eastAsia="es-ES"/>
        </w:rPr>
      </w:pPr>
      <w:r w:rsidRPr="00073A28">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37D2302" w14:textId="13B0FFF8" w:rsidR="006743D6" w:rsidRPr="00073A28" w:rsidRDefault="006743D6" w:rsidP="00E05016">
      <w:pPr>
        <w:spacing w:after="0" w:line="276" w:lineRule="auto"/>
        <w:ind w:firstLine="709"/>
        <w:jc w:val="both"/>
        <w:rPr>
          <w:rFonts w:ascii="Verdana" w:eastAsia="Calibri" w:hAnsi="Verdana" w:cs="Arial"/>
          <w:lang w:eastAsia="es-ES"/>
        </w:rPr>
      </w:pPr>
      <w:r w:rsidRPr="00073A28">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030B309" w14:textId="77777777" w:rsidR="00E05016" w:rsidRPr="00073A28" w:rsidRDefault="00E05016" w:rsidP="00C01013">
      <w:pPr>
        <w:spacing w:after="0" w:line="276" w:lineRule="auto"/>
        <w:ind w:firstLine="709"/>
        <w:jc w:val="both"/>
        <w:rPr>
          <w:rFonts w:ascii="Verdana" w:eastAsia="Calibri" w:hAnsi="Verdana" w:cs="Arial"/>
          <w:lang w:eastAsia="es-ES"/>
        </w:rPr>
      </w:pPr>
    </w:p>
    <w:p w14:paraId="6840902D" w14:textId="77777777" w:rsidR="005D63FE" w:rsidRPr="00073A28" w:rsidRDefault="005D63FE" w:rsidP="00DF59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73A28">
        <w:rPr>
          <w:rFonts w:ascii="Verdana" w:eastAsia="Century Gothic" w:hAnsi="Verdana" w:cs="Century Gothic"/>
          <w:b/>
          <w:bCs/>
          <w:lang w:val="es-CO"/>
        </w:rPr>
        <w:t>Problema planteado:</w:t>
      </w:r>
    </w:p>
    <w:p w14:paraId="707DB80D" w14:textId="77777777" w:rsidR="00DF590F" w:rsidRPr="00073A28" w:rsidRDefault="00DF590F" w:rsidP="00C01013">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4F7862F6" w14:textId="2AD69C6B" w:rsidR="005D63FE" w:rsidRDefault="005D63FE" w:rsidP="00DF590F">
      <w:pPr>
        <w:spacing w:after="0" w:line="276" w:lineRule="auto"/>
        <w:jc w:val="both"/>
        <w:rPr>
          <w:rFonts w:ascii="Verdana" w:eastAsia="Century Gothic" w:hAnsi="Verdana" w:cs="Century Gothic"/>
        </w:rPr>
      </w:pPr>
      <w:r w:rsidRPr="00073A28">
        <w:rPr>
          <w:rFonts w:ascii="Verdana" w:eastAsia="Century Gothic" w:hAnsi="Verdana" w:cs="Century Gothic"/>
        </w:rPr>
        <w:t xml:space="preserve">De acuerdo con el contenido de su solicitud, esta Agencia resolverá el siguiente problema jurídico: </w:t>
      </w:r>
      <w:r w:rsidRPr="002167F4">
        <w:rPr>
          <w:rFonts w:ascii="Verdana" w:eastAsia="Century Gothic" w:hAnsi="Verdana" w:cs="Century Gothic"/>
        </w:rPr>
        <w:t xml:space="preserve">¿Puede una persona jurídica que supera los tres (3) años de constituida seguir acreditando la experiencia de sus </w:t>
      </w:r>
      <w:r w:rsidR="00416E36">
        <w:rPr>
          <w:rFonts w:ascii="Verdana" w:eastAsia="Century Gothic" w:hAnsi="Verdana" w:cs="Century Gothic"/>
        </w:rPr>
        <w:t xml:space="preserve">accionistas, </w:t>
      </w:r>
      <w:r w:rsidRPr="002167F4">
        <w:rPr>
          <w:rFonts w:ascii="Verdana" w:eastAsia="Century Gothic" w:hAnsi="Verdana" w:cs="Century Gothic"/>
        </w:rPr>
        <w:t>socios</w:t>
      </w:r>
      <w:r w:rsidR="00416E36">
        <w:rPr>
          <w:rFonts w:ascii="Verdana" w:eastAsia="Century Gothic" w:hAnsi="Verdana" w:cs="Century Gothic"/>
        </w:rPr>
        <w:t xml:space="preserve"> o constituyentes</w:t>
      </w:r>
      <w:r w:rsidRPr="002167F4">
        <w:rPr>
          <w:rFonts w:ascii="Verdana" w:eastAsia="Century Gothic" w:hAnsi="Verdana" w:cs="Century Gothic"/>
        </w:rPr>
        <w:t xml:space="preserve"> </w:t>
      </w:r>
      <w:r w:rsidR="00416E36">
        <w:rPr>
          <w:rFonts w:ascii="Verdana" w:eastAsia="Century Gothic" w:hAnsi="Verdana" w:cs="Century Gothic"/>
        </w:rPr>
        <w:t>inscrita</w:t>
      </w:r>
      <w:r w:rsidRPr="002167F4">
        <w:rPr>
          <w:rFonts w:ascii="Verdana" w:eastAsia="Century Gothic" w:hAnsi="Verdana" w:cs="Century Gothic"/>
        </w:rPr>
        <w:t xml:space="preserve"> en el Registro Único de Proponentes (RUP) cuando no renovó oportunamente dicho registro, pese a haberla inscrito válidamente con anterioridad?</w:t>
      </w:r>
    </w:p>
    <w:p w14:paraId="79CDB395" w14:textId="77777777" w:rsidR="00E05016" w:rsidRDefault="00E05016" w:rsidP="00B860BF">
      <w:pPr>
        <w:spacing w:after="0" w:line="276" w:lineRule="auto"/>
        <w:jc w:val="both"/>
        <w:rPr>
          <w:rFonts w:ascii="Verdana" w:eastAsia="Century Gothic" w:hAnsi="Verdana" w:cs="Century Gothic"/>
        </w:rPr>
      </w:pPr>
    </w:p>
    <w:p w14:paraId="46FA1D76" w14:textId="77777777" w:rsidR="00B81738" w:rsidRPr="00073A28" w:rsidRDefault="00B81738" w:rsidP="00B8173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73A28">
        <w:rPr>
          <w:rFonts w:ascii="Verdana" w:eastAsia="Century Gothic" w:hAnsi="Verdana" w:cs="Century Gothic"/>
          <w:b/>
          <w:bCs/>
          <w:lang w:val="es-CO"/>
        </w:rPr>
        <w:t>Respuesta:</w:t>
      </w:r>
    </w:p>
    <w:p w14:paraId="0449148F" w14:textId="77777777" w:rsidR="00B81738" w:rsidRPr="00073A28" w:rsidRDefault="00B81738" w:rsidP="00B8173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81738" w:rsidRPr="00073A28" w14:paraId="3EA8AC50" w14:textId="77777777" w:rsidTr="00827AD0">
        <w:tc>
          <w:tcPr>
            <w:tcW w:w="8828" w:type="dxa"/>
          </w:tcPr>
          <w:p w14:paraId="02A65984" w14:textId="721C3371" w:rsidR="00B81738" w:rsidRPr="002A000A" w:rsidRDefault="00B81738" w:rsidP="00827AD0">
            <w:pPr>
              <w:snapToGrid w:val="0"/>
              <w:spacing w:after="120" w:line="276" w:lineRule="auto"/>
              <w:jc w:val="both"/>
              <w:rPr>
                <w:rFonts w:ascii="Verdana" w:eastAsia="Calibri" w:hAnsi="Verdana" w:cs="Arial"/>
                <w:lang w:val="es-ES_tradnl"/>
              </w:rPr>
            </w:pPr>
            <w:r w:rsidRPr="002A000A">
              <w:rPr>
                <w:rFonts w:ascii="Verdana" w:eastAsia="Calibri" w:hAnsi="Verdana" w:cs="Arial"/>
                <w:lang w:val="es-ES_tradnl"/>
              </w:rPr>
              <w:t xml:space="preserve">El numeral 2.5 del artículo 2.2.1.1.1.5.2 del Decreto 1082 de 2015 indica de forma clara que una sociedad con menos de tres (3) años de constituida puede aportar la experiencia de sus accionistas, socios o constituyentes. Esta </w:t>
            </w:r>
            <w:r w:rsidRPr="002A000A">
              <w:rPr>
                <w:rFonts w:ascii="Verdana" w:eastAsia="Calibri" w:hAnsi="Verdana" w:cs="Arial"/>
                <w:lang w:val="es-ES_tradnl"/>
              </w:rPr>
              <w:lastRenderedPageBreak/>
              <w:t xml:space="preserve">prerrogativa, que puede entenderse como una medida de fomento a la participación de pequeños oferentes en la contratación estatal, permite que las sociedades relativamente nuevas ─con menos de </w:t>
            </w:r>
            <w:r>
              <w:rPr>
                <w:rFonts w:ascii="Verdana" w:eastAsia="Calibri" w:hAnsi="Verdana" w:cs="Arial"/>
                <w:lang w:val="es-ES_tradnl"/>
              </w:rPr>
              <w:t>tres (</w:t>
            </w:r>
            <w:r w:rsidRPr="002A000A">
              <w:rPr>
                <w:rFonts w:ascii="Verdana" w:eastAsia="Calibri" w:hAnsi="Verdana" w:cs="Arial"/>
                <w:lang w:val="es-ES_tradnl"/>
              </w:rPr>
              <w:t>3</w:t>
            </w:r>
            <w:r>
              <w:rPr>
                <w:rFonts w:ascii="Verdana" w:eastAsia="Calibri" w:hAnsi="Verdana" w:cs="Arial"/>
                <w:lang w:val="es-ES_tradnl"/>
              </w:rPr>
              <w:t>)</w:t>
            </w:r>
            <w:r w:rsidRPr="002A000A">
              <w:rPr>
                <w:rFonts w:ascii="Verdana" w:eastAsia="Calibri" w:hAnsi="Verdana" w:cs="Arial"/>
                <w:lang w:val="es-ES_tradnl"/>
              </w:rPr>
              <w:t xml:space="preserve"> años de constitución─ puedan acreditar como experiencia en el </w:t>
            </w:r>
            <w:r w:rsidR="007703FC">
              <w:rPr>
                <w:rFonts w:ascii="Verdana" w:eastAsia="Calibri" w:hAnsi="Verdana" w:cs="Arial"/>
                <w:lang w:val="es-ES_tradnl"/>
              </w:rPr>
              <w:t xml:space="preserve">Registro Único de Proponentes – en adelante </w:t>
            </w:r>
            <w:r w:rsidRPr="002A000A">
              <w:rPr>
                <w:rFonts w:ascii="Verdana" w:eastAsia="Calibri" w:hAnsi="Verdana" w:cs="Arial"/>
                <w:lang w:val="es-ES_tradnl"/>
              </w:rPr>
              <w:t xml:space="preserve">RUP </w:t>
            </w:r>
            <w:r w:rsidR="007703FC">
              <w:rPr>
                <w:rFonts w:ascii="Verdana" w:eastAsia="Calibri" w:hAnsi="Verdana" w:cs="Arial"/>
                <w:lang w:val="es-ES_tradnl"/>
              </w:rPr>
              <w:t xml:space="preserve">– </w:t>
            </w:r>
            <w:r w:rsidRPr="002A000A">
              <w:rPr>
                <w:rFonts w:ascii="Verdana" w:eastAsia="Calibri" w:hAnsi="Verdana" w:cs="Arial"/>
                <w:lang w:val="es-ES_tradnl"/>
              </w:rPr>
              <w:t>la</w:t>
            </w:r>
            <w:r w:rsidR="007703FC">
              <w:rPr>
                <w:rFonts w:ascii="Verdana" w:eastAsia="Calibri" w:hAnsi="Verdana" w:cs="Arial"/>
                <w:lang w:val="es-ES_tradnl"/>
              </w:rPr>
              <w:t xml:space="preserve"> </w:t>
            </w:r>
            <w:r w:rsidRPr="002A000A">
              <w:rPr>
                <w:rFonts w:ascii="Verdana" w:eastAsia="Calibri" w:hAnsi="Verdana" w:cs="Arial"/>
                <w:lang w:val="es-ES_tradnl"/>
              </w:rPr>
              <w:t xml:space="preserve">de sus accionistas, socios o constituyentes. </w:t>
            </w:r>
          </w:p>
          <w:p w14:paraId="24B98239" w14:textId="74E6E611" w:rsidR="00381569" w:rsidRDefault="007703FC" w:rsidP="0082525D">
            <w:pPr>
              <w:snapToGrid w:val="0"/>
              <w:spacing w:after="120" w:line="276" w:lineRule="auto"/>
              <w:ind w:firstLine="709"/>
              <w:jc w:val="both"/>
              <w:rPr>
                <w:rFonts w:ascii="Verdana" w:eastAsia="Calibri" w:hAnsi="Verdana" w:cs="Arial"/>
                <w:lang w:val="es-ES"/>
              </w:rPr>
            </w:pPr>
            <w:r>
              <w:rPr>
                <w:rFonts w:ascii="Verdana" w:eastAsia="Calibri" w:hAnsi="Verdana" w:cs="Arial"/>
                <w:lang w:val="es-ES"/>
              </w:rPr>
              <w:t>En relación con el problema jurídico planteado</w:t>
            </w:r>
            <w:r w:rsidR="00B81738" w:rsidRPr="38FACAB2">
              <w:rPr>
                <w:rFonts w:ascii="Verdana" w:eastAsia="Calibri" w:hAnsi="Verdana" w:cs="Arial"/>
                <w:lang w:val="es-ES"/>
              </w:rPr>
              <w:t xml:space="preserve">, esta Agencia considera que, si la persona jurídica con menos de tres </w:t>
            </w:r>
            <w:r w:rsidR="00B81738">
              <w:rPr>
                <w:rFonts w:ascii="Verdana" w:eastAsia="Calibri" w:hAnsi="Verdana" w:cs="Arial"/>
                <w:lang w:val="es-ES"/>
              </w:rPr>
              <w:t>(3)</w:t>
            </w:r>
            <w:r w:rsidR="00B81738" w:rsidRPr="38FACAB2">
              <w:rPr>
                <w:rFonts w:ascii="Verdana" w:eastAsia="Calibri" w:hAnsi="Verdana" w:cs="Arial"/>
                <w:lang w:val="es-ES"/>
              </w:rPr>
              <w:t xml:space="preserve"> años de constituida registra la experiencia de sus socios en el RUP, y este es renovado constantemente de forma oportuna, una vez transcurridos estos tres </w:t>
            </w:r>
            <w:r w:rsidR="00B81738">
              <w:rPr>
                <w:rFonts w:ascii="Verdana" w:eastAsia="Calibri" w:hAnsi="Verdana" w:cs="Arial"/>
                <w:lang w:val="es-ES"/>
              </w:rPr>
              <w:t>(3)</w:t>
            </w:r>
            <w:r w:rsidR="00B81738" w:rsidRPr="38FACAB2">
              <w:rPr>
                <w:rFonts w:ascii="Verdana" w:eastAsia="Calibri" w:hAnsi="Verdana" w:cs="Arial"/>
                <w:lang w:val="es-ES"/>
              </w:rPr>
              <w:t xml:space="preserve"> años, el proponente podrá seguir acreditando la experiencia inscrita de los socios mientras no cesen los efectos del RUP. Por el contrario, si no se renueva oportunamente y la persona jurídica supera los tres </w:t>
            </w:r>
            <w:r w:rsidR="00B81738">
              <w:rPr>
                <w:rFonts w:ascii="Verdana" w:eastAsia="Calibri" w:hAnsi="Verdana" w:cs="Arial"/>
                <w:lang w:val="es-ES"/>
              </w:rPr>
              <w:t>(3)</w:t>
            </w:r>
            <w:r w:rsidR="00B81738" w:rsidRPr="38FACAB2">
              <w:rPr>
                <w:rFonts w:ascii="Verdana" w:eastAsia="Calibri" w:hAnsi="Verdana" w:cs="Arial"/>
                <w:lang w:val="es-ES"/>
              </w:rPr>
              <w:t xml:space="preserve"> años de constituida, la experiencia que registró de sus socios no puede ser inscrita nuevamente, puesto que el RUP habría cesado en sus efectos y la cámara de comercio tendría que hacer nuevamente la verificación documental de la información presentada al momento de inscribirse en el registro</w:t>
            </w:r>
            <w:r w:rsidR="00416E36">
              <w:rPr>
                <w:rFonts w:ascii="Verdana" w:eastAsia="Calibri" w:hAnsi="Verdana" w:cs="Arial"/>
                <w:lang w:val="es-ES"/>
              </w:rPr>
              <w:t>, para el cual ya habría transcurrido el término de tres (3) años.</w:t>
            </w:r>
          </w:p>
          <w:p w14:paraId="0B1BA57F" w14:textId="4E1165AF" w:rsidR="00B81738" w:rsidRPr="00073A28" w:rsidRDefault="00381569" w:rsidP="0082525D">
            <w:pPr>
              <w:snapToGrid w:val="0"/>
              <w:spacing w:line="276" w:lineRule="auto"/>
              <w:jc w:val="both"/>
              <w:rPr>
                <w:rFonts w:ascii="Verdana" w:eastAsia="Calibri" w:hAnsi="Verdana" w:cs="Arial"/>
              </w:rPr>
            </w:pPr>
            <w:r>
              <w:rPr>
                <w:rFonts w:ascii="Verdana" w:eastAsia="Times New Roman" w:hAnsi="Verdana" w:cs="Arial"/>
                <w:lang w:val="es-ES_tradnl" w:eastAsia="es-ES_tradnl"/>
              </w:rPr>
              <w:t>E</w:t>
            </w:r>
            <w:r w:rsidRPr="002A000A">
              <w:rPr>
                <w:rFonts w:ascii="Verdana" w:eastAsia="Times New Roman" w:hAnsi="Verdana" w:cs="Arial"/>
                <w:lang w:val="es-ES_tradnl" w:eastAsia="es-ES_tradnl"/>
              </w:rPr>
              <w:t>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w:t>
            </w:r>
          </w:p>
        </w:tc>
      </w:tr>
    </w:tbl>
    <w:p w14:paraId="0A465366" w14:textId="77777777" w:rsidR="00B81738" w:rsidRDefault="00B81738" w:rsidP="005D63FE">
      <w:pPr>
        <w:spacing w:after="120" w:line="276" w:lineRule="auto"/>
        <w:jc w:val="both"/>
        <w:rPr>
          <w:rFonts w:ascii="Verdana" w:eastAsia="Century Gothic" w:hAnsi="Verdana" w:cs="Century Gothic"/>
        </w:rPr>
      </w:pPr>
    </w:p>
    <w:p w14:paraId="7BDEC782" w14:textId="77777777" w:rsidR="004F66EF" w:rsidRPr="00073A28" w:rsidRDefault="004F66EF" w:rsidP="004F66E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73A28">
        <w:rPr>
          <w:rFonts w:ascii="Verdana" w:eastAsia="Century Gothic" w:hAnsi="Verdana" w:cs="Century Gothic"/>
          <w:b/>
          <w:bCs/>
          <w:lang w:val="es-CO"/>
        </w:rPr>
        <w:t>Razones de la respuesta:</w:t>
      </w:r>
    </w:p>
    <w:p w14:paraId="2C98CDA0" w14:textId="77777777" w:rsidR="004F66EF" w:rsidRPr="00073A28" w:rsidRDefault="004F66EF" w:rsidP="004F66EF">
      <w:pPr>
        <w:spacing w:after="0" w:line="276" w:lineRule="auto"/>
        <w:jc w:val="both"/>
        <w:rPr>
          <w:rFonts w:ascii="Verdana" w:eastAsia="Calibri" w:hAnsi="Verdana" w:cs="Arial"/>
        </w:rPr>
      </w:pPr>
    </w:p>
    <w:p w14:paraId="7D152F4A" w14:textId="77777777" w:rsidR="004F66EF" w:rsidRPr="00073A28" w:rsidRDefault="004F66EF" w:rsidP="004F66EF">
      <w:pPr>
        <w:spacing w:after="0" w:line="276" w:lineRule="auto"/>
        <w:jc w:val="both"/>
        <w:rPr>
          <w:rFonts w:ascii="Verdana" w:eastAsia="Calibri" w:hAnsi="Verdana" w:cs="Arial"/>
        </w:rPr>
      </w:pPr>
      <w:r w:rsidRPr="00073A28">
        <w:rPr>
          <w:rFonts w:ascii="Verdana" w:eastAsia="Calibri" w:hAnsi="Verdana" w:cs="Arial"/>
        </w:rPr>
        <w:t xml:space="preserve">Lo anterior se sustenta en las siguientes consideraciones: </w:t>
      </w:r>
    </w:p>
    <w:p w14:paraId="30C4249E" w14:textId="77777777" w:rsidR="004F66EF" w:rsidRPr="00073A28" w:rsidRDefault="004F66EF" w:rsidP="004F66EF">
      <w:pPr>
        <w:spacing w:after="0" w:line="276" w:lineRule="auto"/>
        <w:jc w:val="both"/>
        <w:rPr>
          <w:rFonts w:ascii="Verdana" w:eastAsia="Calibri" w:hAnsi="Verdana" w:cs="Arial"/>
        </w:rPr>
      </w:pPr>
    </w:p>
    <w:p w14:paraId="6FBD8941" w14:textId="4B1D2751" w:rsidR="004F66EF" w:rsidRPr="002A000A" w:rsidRDefault="004F66EF" w:rsidP="004F66EF">
      <w:pPr>
        <w:snapToGrid w:val="0"/>
        <w:spacing w:after="0" w:line="276" w:lineRule="auto"/>
        <w:contextualSpacing/>
        <w:jc w:val="both"/>
        <w:rPr>
          <w:rFonts w:ascii="Verdana" w:eastAsia="Calibri" w:hAnsi="Verdana" w:cs="Arial"/>
          <w:lang w:val="es-ES"/>
        </w:rPr>
      </w:pPr>
      <w:r w:rsidRPr="38FACAB2">
        <w:rPr>
          <w:rFonts w:ascii="Verdana" w:eastAsia="Calibri" w:hAnsi="Verdana" w:cs="Arial"/>
          <w:kern w:val="2"/>
          <w:lang w:val="es-ES"/>
          <w14:ligatures w14:val="standardContextual"/>
        </w:rPr>
        <w:t xml:space="preserve">La Ley 1150 de 2007, en el artículo 5, establece los requisitos habilitantes para participar en un procedimiento contractual, dentro de los cuales se destaca la </w:t>
      </w:r>
      <w:r w:rsidRPr="0082525D">
        <w:rPr>
          <w:rFonts w:ascii="Verdana" w:eastAsia="Calibri" w:hAnsi="Verdana" w:cs="Arial"/>
          <w:i/>
          <w:kern w:val="2"/>
          <w:lang w:val="es-ES"/>
          <w14:ligatures w14:val="standardContextual"/>
        </w:rPr>
        <w:t>experiencia</w:t>
      </w:r>
      <w:r>
        <w:rPr>
          <w:rFonts w:ascii="Verdana" w:eastAsia="Calibri" w:hAnsi="Verdana" w:cs="Arial"/>
          <w:kern w:val="2"/>
          <w:lang w:val="es-ES"/>
          <w14:ligatures w14:val="standardContextual"/>
        </w:rPr>
        <w:t xml:space="preserve">. Su </w:t>
      </w:r>
      <w:r w:rsidRPr="38FACAB2">
        <w:rPr>
          <w:rFonts w:ascii="Verdana" w:eastAsia="Calibri" w:hAnsi="Verdana" w:cs="Arial"/>
          <w:kern w:val="2"/>
          <w:lang w:val="es-ES"/>
          <w14:ligatures w14:val="standardContextual"/>
        </w:rPr>
        <w:t xml:space="preserve">propósito es que las entidades fijen unos requisitos mínimos que debe tener y acreditar el proponente, para que la entidad pueda verificar su aptitud para participar en el procedimiento de contratación y, si se le adjudica, </w:t>
      </w:r>
      <w:r w:rsidRPr="38FACAB2">
        <w:rPr>
          <w:rFonts w:ascii="Verdana" w:eastAsia="Calibri" w:hAnsi="Verdana" w:cs="Arial"/>
          <w:kern w:val="2"/>
          <w:lang w:val="es-ES"/>
          <w14:ligatures w14:val="standardContextual"/>
        </w:rPr>
        <w:lastRenderedPageBreak/>
        <w:t>ejecutar el contrato estatal</w:t>
      </w:r>
      <w:r w:rsidRPr="38FACAB2">
        <w:rPr>
          <w:rFonts w:ascii="Aptos" w:eastAsia="Aptos" w:hAnsi="Aptos" w:cs="Times New Roman"/>
          <w:kern w:val="2"/>
          <w:sz w:val="24"/>
          <w:szCs w:val="24"/>
          <w:vertAlign w:val="superscript"/>
          <w:lang w:val="es-ES"/>
          <w14:ligatures w14:val="standardContextual"/>
        </w:rPr>
        <w:footnoteReference w:id="1"/>
      </w:r>
      <w:r w:rsidRPr="38FACAB2">
        <w:rPr>
          <w:rFonts w:ascii="Verdana" w:eastAsia="Calibri" w:hAnsi="Verdana" w:cs="Arial"/>
          <w:kern w:val="2"/>
          <w:lang w:val="es-ES"/>
          <w14:ligatures w14:val="standardContextual"/>
        </w:rPr>
        <w:t xml:space="preserve">. En ese sentido, la entidad, como responsable de la estructuración de su procedimiento de contratación, es autónoma para requerir la experiencia necesaria para </w:t>
      </w:r>
      <w:r>
        <w:rPr>
          <w:rFonts w:ascii="Verdana" w:eastAsia="Calibri" w:hAnsi="Verdana" w:cs="Arial"/>
          <w:kern w:val="2"/>
          <w:lang w:val="es-ES"/>
          <w14:ligatures w14:val="standardContextual"/>
        </w:rPr>
        <w:t xml:space="preserve">ejecutar </w:t>
      </w:r>
      <w:r w:rsidRPr="38FACAB2">
        <w:rPr>
          <w:rFonts w:ascii="Verdana" w:eastAsia="Calibri" w:hAnsi="Verdana" w:cs="Arial"/>
          <w:kern w:val="2"/>
          <w:lang w:val="es-ES"/>
          <w14:ligatures w14:val="standardContextual"/>
        </w:rPr>
        <w:t>el objeto contractual que se pretende satisfacer con el procedimiento</w:t>
      </w:r>
      <w:r w:rsidR="00416E36">
        <w:rPr>
          <w:rFonts w:ascii="Verdana" w:eastAsia="Calibri" w:hAnsi="Verdana" w:cs="Arial"/>
          <w:kern w:val="2"/>
          <w:lang w:val="es-ES"/>
          <w14:ligatures w14:val="standardContextual"/>
        </w:rPr>
        <w:t>. Para establecer la experiencia que se requiere en cada proceso</w:t>
      </w:r>
      <w:r w:rsidRPr="38FACAB2">
        <w:rPr>
          <w:rFonts w:ascii="Verdana" w:eastAsia="Calibri" w:hAnsi="Verdana" w:cs="Arial"/>
          <w:kern w:val="2"/>
          <w:lang w:val="es-ES"/>
          <w14:ligatures w14:val="standardContextual"/>
        </w:rPr>
        <w:t>, de acuerdo con el artículo 2.2.1.1.1.6.2. del Decreto 1082 de 2015, debe tener en cuenta el estudio del sector y sus componentes, como la identificación de riesgos, así como el mercado y precio del bien, obra o servicio a contratar</w:t>
      </w:r>
      <w:r w:rsidRPr="38FACAB2">
        <w:rPr>
          <w:rFonts w:ascii="Aptos" w:eastAsia="Aptos" w:hAnsi="Aptos" w:cs="Times New Roman"/>
          <w:kern w:val="2"/>
          <w:sz w:val="24"/>
          <w:szCs w:val="24"/>
          <w:vertAlign w:val="superscript"/>
          <w:lang w:val="es-ES"/>
          <w14:ligatures w14:val="standardContextual"/>
        </w:rPr>
        <w:footnoteReference w:id="2"/>
      </w:r>
      <w:r w:rsidRPr="38FACAB2">
        <w:rPr>
          <w:rFonts w:ascii="Verdana" w:eastAsia="Calibri" w:hAnsi="Verdana" w:cs="Arial"/>
          <w:kern w:val="2"/>
          <w:lang w:val="es-ES"/>
          <w14:ligatures w14:val="standardContextual"/>
        </w:rPr>
        <w:t>.</w:t>
      </w:r>
    </w:p>
    <w:p w14:paraId="554763DF" w14:textId="3B5C0534" w:rsidR="004F66EF" w:rsidRPr="002A000A" w:rsidRDefault="00416E36" w:rsidP="004F66EF">
      <w:pPr>
        <w:snapToGrid w:val="0"/>
        <w:spacing w:before="120" w:after="120" w:line="276" w:lineRule="auto"/>
        <w:ind w:firstLine="709"/>
        <w:jc w:val="both"/>
        <w:rPr>
          <w:rFonts w:ascii="Verdana" w:eastAsia="Calibri" w:hAnsi="Verdana" w:cs="Arial"/>
          <w:lang w:val="es-ES_tradnl"/>
        </w:rPr>
      </w:pPr>
      <w:r>
        <w:rPr>
          <w:rFonts w:ascii="Verdana" w:eastAsia="Calibri" w:hAnsi="Verdana" w:cs="Arial"/>
          <w:kern w:val="2"/>
          <w:lang w:val="es-ES_tradnl"/>
          <w14:ligatures w14:val="standardContextual"/>
        </w:rPr>
        <w:t>Ahora bien, l</w:t>
      </w:r>
      <w:r w:rsidR="004F66EF" w:rsidRPr="002A000A">
        <w:rPr>
          <w:rFonts w:ascii="Verdana" w:eastAsia="Calibri" w:hAnsi="Verdana" w:cs="Arial"/>
          <w:kern w:val="2"/>
          <w:lang w:val="es-ES_tradnl"/>
          <w14:ligatures w14:val="standardContextual"/>
        </w:rPr>
        <w:t>a experiencia que se deriva de los contratos que el proponente ha celebrado y ejecutado con diferentes contratantes, sin importar la naturaleza de estos, se verifica con el RUP</w:t>
      </w:r>
      <w:r w:rsidR="004F66EF" w:rsidRPr="002A000A">
        <w:rPr>
          <w:rFonts w:ascii="Verdana" w:eastAsia="Aptos" w:hAnsi="Verdana" w:cs="Times New Roman"/>
          <w:kern w:val="2"/>
          <w:vertAlign w:val="superscript"/>
          <w:lang w:val="es-ES_tradnl"/>
          <w14:ligatures w14:val="standardContextual"/>
        </w:rPr>
        <w:footnoteReference w:id="3"/>
      </w:r>
      <w:r w:rsidR="004F66EF" w:rsidRPr="002A000A">
        <w:rPr>
          <w:rFonts w:ascii="Verdana" w:eastAsia="Calibri" w:hAnsi="Verdana" w:cs="Arial"/>
          <w:kern w:val="2"/>
          <w:lang w:val="es-ES_tradnl"/>
          <w14:ligatures w14:val="standardContextual"/>
        </w:rPr>
        <w:t xml:space="preserve">, cuando este certificado sea exigible de acuerdo con la ley. </w:t>
      </w:r>
      <w:r w:rsidR="00714D14">
        <w:rPr>
          <w:rFonts w:ascii="Verdana" w:eastAsia="Calibri" w:hAnsi="Verdana" w:cs="Arial"/>
          <w:kern w:val="2"/>
          <w:lang w:val="es-ES_tradnl"/>
          <w14:ligatures w14:val="standardContextual"/>
        </w:rPr>
        <w:t>Sobre</w:t>
      </w:r>
      <w:r w:rsidR="004F66EF" w:rsidRPr="002A000A">
        <w:rPr>
          <w:rFonts w:ascii="Verdana" w:eastAsia="Calibri" w:hAnsi="Verdana" w:cs="Arial"/>
          <w:kern w:val="2"/>
          <w:lang w:val="es-ES_tradnl"/>
          <w14:ligatures w14:val="standardContextual"/>
        </w:rPr>
        <w:t xml:space="preserve"> el </w:t>
      </w:r>
      <w:r w:rsidR="00714D14">
        <w:rPr>
          <w:rFonts w:ascii="Verdana" w:eastAsia="Calibri" w:hAnsi="Verdana" w:cs="Arial"/>
          <w:kern w:val="2"/>
          <w:lang w:val="es-ES_tradnl"/>
          <w14:ligatures w14:val="standardContextual"/>
        </w:rPr>
        <w:t xml:space="preserve">particular debe indicarse </w:t>
      </w:r>
      <w:proofErr w:type="gramStart"/>
      <w:r w:rsidR="00714D14">
        <w:rPr>
          <w:rFonts w:ascii="Verdana" w:eastAsia="Calibri" w:hAnsi="Verdana" w:cs="Arial"/>
          <w:kern w:val="2"/>
          <w:lang w:val="es-ES_tradnl"/>
          <w14:ligatures w14:val="standardContextual"/>
        </w:rPr>
        <w:t xml:space="preserve">que </w:t>
      </w:r>
      <w:r w:rsidR="004F66EF" w:rsidRPr="002A000A">
        <w:rPr>
          <w:rFonts w:ascii="Verdana" w:eastAsia="Calibri" w:hAnsi="Verdana" w:cs="Arial"/>
          <w:kern w:val="2"/>
          <w:lang w:val="es-ES_tradnl"/>
          <w14:ligatures w14:val="standardContextual"/>
        </w:rPr>
        <w:t xml:space="preserve"> el</w:t>
      </w:r>
      <w:proofErr w:type="gramEnd"/>
      <w:r w:rsidR="004F66EF" w:rsidRPr="002A000A">
        <w:rPr>
          <w:rFonts w:ascii="Verdana" w:eastAsia="Calibri" w:hAnsi="Verdana" w:cs="Arial"/>
          <w:kern w:val="2"/>
          <w:lang w:val="es-ES_tradnl"/>
          <w14:ligatures w14:val="standardContextual"/>
        </w:rPr>
        <w:t xml:space="preserve"> RUP </w:t>
      </w:r>
      <w:r w:rsidR="00714D14">
        <w:rPr>
          <w:rFonts w:ascii="Verdana" w:eastAsia="Calibri" w:hAnsi="Verdana" w:cs="Arial"/>
          <w:kern w:val="2"/>
          <w:lang w:val="es-ES_tradnl"/>
          <w14:ligatures w14:val="standardContextual"/>
        </w:rPr>
        <w:t>es plena prueba de</w:t>
      </w:r>
      <w:r w:rsidR="004F66EF" w:rsidRPr="002A000A">
        <w:rPr>
          <w:rFonts w:ascii="Verdana" w:eastAsia="Calibri" w:hAnsi="Verdana" w:cs="Arial"/>
          <w:kern w:val="2"/>
          <w:lang w:val="es-ES_tradnl"/>
          <w14:ligatures w14:val="standardContextual"/>
        </w:rPr>
        <w:t xml:space="preserve"> los requisitos habilitantes que </w:t>
      </w:r>
      <w:r w:rsidR="00714D14">
        <w:rPr>
          <w:rFonts w:ascii="Verdana" w:eastAsia="Calibri" w:hAnsi="Verdana" w:cs="Arial"/>
          <w:kern w:val="2"/>
          <w:lang w:val="es-ES_tradnl"/>
          <w14:ligatures w14:val="standardContextual"/>
        </w:rPr>
        <w:t>constan en él</w:t>
      </w:r>
      <w:r w:rsidR="004F66EF" w:rsidRPr="002A000A">
        <w:rPr>
          <w:rFonts w:ascii="Verdana" w:eastAsia="Calibri" w:hAnsi="Verdana" w:cs="Arial"/>
          <w:kern w:val="2"/>
          <w:lang w:val="es-ES_tradnl"/>
          <w14:ligatures w14:val="standardContextual"/>
        </w:rPr>
        <w:t>, sin que la entidad o el proponente puedan solicitar o aportar otra documentación</w:t>
      </w:r>
      <w:r w:rsidR="004F66EF" w:rsidRPr="002A000A">
        <w:rPr>
          <w:rFonts w:ascii="Verdana" w:eastAsia="Aptos" w:hAnsi="Verdana" w:cs="Times New Roman"/>
          <w:kern w:val="2"/>
          <w:vertAlign w:val="superscript"/>
          <w:lang w:val="es-ES_tradnl"/>
          <w14:ligatures w14:val="standardContextual"/>
        </w:rPr>
        <w:footnoteReference w:id="4"/>
      </w:r>
      <w:r w:rsidR="004F66EF" w:rsidRPr="002A000A">
        <w:rPr>
          <w:rFonts w:ascii="Verdana" w:eastAsia="Calibri" w:hAnsi="Verdana" w:cs="Arial"/>
          <w:kern w:val="2"/>
          <w:lang w:val="es-ES_tradnl"/>
          <w14:ligatures w14:val="standardContextual"/>
        </w:rPr>
        <w:t>.</w:t>
      </w:r>
    </w:p>
    <w:p w14:paraId="2ECF3329" w14:textId="7E5F848B" w:rsidR="004F66EF" w:rsidRPr="002A000A" w:rsidRDefault="004F66EF" w:rsidP="004F66EF">
      <w:pPr>
        <w:spacing w:after="120" w:line="276" w:lineRule="auto"/>
        <w:ind w:firstLine="709"/>
        <w:jc w:val="both"/>
        <w:rPr>
          <w:rFonts w:ascii="Verdana" w:eastAsia="Calibri" w:hAnsi="Verdana" w:cs="Arial"/>
          <w:kern w:val="2"/>
          <w:lang w:val="es-ES_tradnl"/>
          <w14:ligatures w14:val="standardContextual"/>
        </w:rPr>
      </w:pPr>
      <w:r w:rsidRPr="002A000A">
        <w:rPr>
          <w:rFonts w:ascii="Verdana" w:eastAsia="Calibri" w:hAnsi="Verdana" w:cs="Arial"/>
          <w:kern w:val="2"/>
          <w:lang w:val="es-ES_tradnl"/>
          <w14:ligatures w14:val="standardContextua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2A000A">
        <w:rPr>
          <w:rFonts w:ascii="Verdana" w:eastAsia="Aptos" w:hAnsi="Verdana" w:cs="Times New Roman"/>
          <w:kern w:val="2"/>
          <w:vertAlign w:val="superscript"/>
          <w:lang w:val="es-ES_tradnl"/>
          <w14:ligatures w14:val="standardContextual"/>
        </w:rPr>
        <w:footnoteReference w:id="5"/>
      </w:r>
      <w:r w:rsidRPr="002A000A">
        <w:rPr>
          <w:rFonts w:ascii="Verdana" w:eastAsia="Calibri" w:hAnsi="Verdana" w:cs="Arial"/>
          <w:kern w:val="2"/>
          <w:lang w:val="es-ES_tradnl"/>
          <w14:ligatures w14:val="standardContextu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5DEA7ADE" w14:textId="6B2F6BCD" w:rsidR="004F66EF" w:rsidRPr="002A000A" w:rsidRDefault="004F66EF" w:rsidP="004F66EF">
      <w:pPr>
        <w:spacing w:before="120" w:after="0" w:line="276" w:lineRule="auto"/>
        <w:ind w:firstLine="709"/>
        <w:jc w:val="both"/>
        <w:rPr>
          <w:rFonts w:ascii="Verdana" w:eastAsia="Calibri" w:hAnsi="Verdana" w:cs="Arial"/>
          <w:lang w:val="es-ES"/>
        </w:rPr>
      </w:pPr>
      <w:r w:rsidRPr="38FACAB2">
        <w:rPr>
          <w:rFonts w:ascii="Verdana" w:eastAsia="Calibri" w:hAnsi="Verdana" w:cs="Arial"/>
          <w:lang w:val="es-ES"/>
        </w:rPr>
        <w:t>Esta Agencia puso a disposición de los interesados el “Manual para determinar y verificar los requisitos habilitantes en los Procesos de Contratación”</w:t>
      </w:r>
      <w:r w:rsidRPr="38FACAB2">
        <w:rPr>
          <w:rFonts w:ascii="Verdana" w:eastAsia="Calibri" w:hAnsi="Verdana" w:cs="Arial"/>
          <w:vertAlign w:val="superscript"/>
          <w:lang w:val="es-ES"/>
        </w:rPr>
        <w:footnoteReference w:id="6"/>
      </w:r>
      <w:r w:rsidRPr="38FACAB2">
        <w:rPr>
          <w:rFonts w:ascii="Verdana" w:eastAsia="Calibri" w:hAnsi="Verdana" w:cs="Arial"/>
          <w:lang w:val="es-ES"/>
        </w:rPr>
        <w:t>, en el que se establecen las definiciones de cada requisito habilitante y se dan lineamientos orientadores sobre lo que las entidades deben y pueden hacer para configurarlos</w:t>
      </w:r>
      <w:r w:rsidR="00F34A08">
        <w:rPr>
          <w:rFonts w:ascii="Verdana" w:eastAsia="Calibri" w:hAnsi="Verdana" w:cs="Arial"/>
          <w:lang w:val="es-ES"/>
        </w:rPr>
        <w:t xml:space="preserve"> adecuadamente</w:t>
      </w:r>
      <w:r w:rsidRPr="38FACAB2">
        <w:rPr>
          <w:rFonts w:ascii="Verdana" w:eastAsia="Calibri" w:hAnsi="Verdana" w:cs="Arial"/>
          <w:lang w:val="es-ES"/>
        </w:rPr>
        <w:t xml:space="preserve">. En particular, sobre el requisito habilitante de experiencia, el Manual se centra en una de sus </w:t>
      </w:r>
      <w:r w:rsidRPr="38FACAB2">
        <w:rPr>
          <w:rFonts w:ascii="Verdana" w:eastAsia="Calibri" w:hAnsi="Verdana" w:cs="Arial"/>
          <w:lang w:val="es-ES"/>
        </w:rPr>
        <w:lastRenderedPageBreak/>
        <w:t>cualidades</w:t>
      </w:r>
      <w:r w:rsidR="00F34A08">
        <w:rPr>
          <w:rFonts w:ascii="Verdana" w:eastAsia="Calibri" w:hAnsi="Verdana" w:cs="Arial"/>
          <w:lang w:val="es-ES"/>
        </w:rPr>
        <w:t>:</w:t>
      </w:r>
      <w:r w:rsidRPr="38FACAB2">
        <w:rPr>
          <w:rFonts w:ascii="Verdana" w:eastAsia="Calibri" w:hAnsi="Verdana" w:cs="Arial"/>
          <w:lang w:val="es-ES"/>
        </w:rPr>
        <w:t xml:space="preserve"> es </w:t>
      </w:r>
      <w:r w:rsidRPr="38FACAB2">
        <w:rPr>
          <w:rFonts w:ascii="Verdana" w:eastAsia="Calibri" w:hAnsi="Verdana" w:cs="Arial"/>
          <w:i/>
          <w:iCs/>
          <w:lang w:val="es-ES"/>
        </w:rPr>
        <w:t>personal</w:t>
      </w:r>
      <w:r w:rsidR="00F34A08">
        <w:rPr>
          <w:rFonts w:ascii="Verdana" w:eastAsia="Calibri" w:hAnsi="Verdana" w:cs="Arial"/>
          <w:i/>
          <w:iCs/>
          <w:lang w:val="es-ES"/>
        </w:rPr>
        <w:t xml:space="preserve">. </w:t>
      </w:r>
      <w:r w:rsidR="00F34A08">
        <w:rPr>
          <w:rFonts w:ascii="Verdana" w:eastAsia="Calibri" w:hAnsi="Verdana" w:cs="Arial"/>
          <w:lang w:val="es-ES"/>
        </w:rPr>
        <w:t>Esto</w:t>
      </w:r>
      <w:r w:rsidRPr="38FACAB2">
        <w:rPr>
          <w:rFonts w:ascii="Verdana" w:eastAsia="Calibri" w:hAnsi="Verdana" w:cs="Arial"/>
          <w:lang w:val="es-ES"/>
        </w:rPr>
        <w:t xml:space="preserve"> significa que la experiencia </w:t>
      </w:r>
      <w:r w:rsidR="00621F3A">
        <w:rPr>
          <w:rFonts w:ascii="Verdana" w:eastAsia="Calibri" w:hAnsi="Verdana" w:cs="Arial"/>
          <w:lang w:val="es-ES"/>
        </w:rPr>
        <w:t xml:space="preserve">le pertenece a quien haya </w:t>
      </w:r>
      <w:r w:rsidRPr="38FACAB2">
        <w:rPr>
          <w:rFonts w:ascii="Verdana" w:eastAsia="Calibri" w:hAnsi="Verdana" w:cs="Arial"/>
          <w:lang w:val="es-ES"/>
        </w:rPr>
        <w:t>participa</w:t>
      </w:r>
      <w:r w:rsidR="00621F3A">
        <w:rPr>
          <w:rFonts w:ascii="Verdana" w:eastAsia="Calibri" w:hAnsi="Verdana" w:cs="Arial"/>
          <w:lang w:val="es-ES"/>
        </w:rPr>
        <w:t>do</w:t>
      </w:r>
      <w:r w:rsidRPr="38FACAB2">
        <w:rPr>
          <w:rFonts w:ascii="Verdana" w:eastAsia="Calibri" w:hAnsi="Verdana" w:cs="Arial"/>
          <w:lang w:val="es-ES"/>
        </w:rPr>
        <w:t>, con anterioridad, en actividades que le permitieron conocer cómo ejecutar el objeto contractual que la entidad pretende satisfacer mediante el Proceso de Contratación.</w:t>
      </w:r>
    </w:p>
    <w:p w14:paraId="077881BA" w14:textId="77777777" w:rsidR="004F66EF" w:rsidRPr="002A000A" w:rsidRDefault="004F66EF" w:rsidP="004F66EF">
      <w:pPr>
        <w:spacing w:before="120" w:after="120" w:line="276" w:lineRule="auto"/>
        <w:ind w:firstLine="708"/>
        <w:jc w:val="both"/>
        <w:rPr>
          <w:rFonts w:ascii="Verdana" w:eastAsia="Calibri" w:hAnsi="Verdana" w:cs="Arial"/>
          <w:lang w:val="es-ES_tradnl"/>
        </w:rPr>
      </w:pPr>
      <w:r w:rsidRPr="002A000A">
        <w:rPr>
          <w:rFonts w:ascii="Verdana" w:eastAsia="Calibri" w:hAnsi="Verdana" w:cs="Arial"/>
          <w:lang w:val="es-ES_tradnl"/>
        </w:rPr>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w:t>
      </w:r>
    </w:p>
    <w:p w14:paraId="61778F61" w14:textId="77777777" w:rsidR="00621F3A" w:rsidRDefault="004F66EF" w:rsidP="004F66EF">
      <w:pPr>
        <w:tabs>
          <w:tab w:val="left" w:pos="709"/>
        </w:tabs>
        <w:spacing w:after="120" w:line="276" w:lineRule="auto"/>
        <w:jc w:val="both"/>
        <w:rPr>
          <w:rFonts w:ascii="Verdana" w:eastAsia="Calibri" w:hAnsi="Verdana" w:cs="Arial"/>
          <w:color w:val="000000"/>
          <w:shd w:val="clear" w:color="auto" w:fill="FFFFFF"/>
          <w:lang w:val="es-ES"/>
        </w:rPr>
      </w:pPr>
      <w:r w:rsidRPr="002A000A">
        <w:rPr>
          <w:rFonts w:ascii="Arial" w:eastAsia="Calibri" w:hAnsi="Arial" w:cs="Arial"/>
          <w:color w:val="000000"/>
          <w:shd w:val="clear" w:color="auto" w:fill="FFFFFF"/>
          <w:lang w:val="es-ES_tradnl"/>
        </w:rPr>
        <w:tab/>
      </w:r>
      <w:r w:rsidRPr="38FACAB2">
        <w:rPr>
          <w:rFonts w:ascii="Verdana" w:eastAsia="Calibri" w:hAnsi="Verdana" w:cs="Arial"/>
          <w:color w:val="000000"/>
          <w:shd w:val="clear" w:color="auto" w:fill="FFFFFF"/>
          <w:lang w:val="es-ES"/>
        </w:rPr>
        <w:t>En ese orden, se tiene que el artículo 6 de la Ley 1150 de 2007 señala que todas las personas naturales o jurídicas, nacionales o extranjeras, domiciliadas o con sucursal en Colombia que aspiren a celebrar contratos con las entidades, como se indicó en líneas anteriores, deberán estar inscritas en el RUP. En este registro constará la información relacionada con la experiencia, capacidad jurídica, financiera y de organización del proponente y su clasificación.</w:t>
      </w:r>
    </w:p>
    <w:p w14:paraId="64EE9071" w14:textId="64DE627F" w:rsidR="00621F3A" w:rsidRDefault="00621F3A" w:rsidP="0082525D">
      <w:pPr>
        <w:tabs>
          <w:tab w:val="left" w:pos="709"/>
        </w:tabs>
        <w:spacing w:after="120" w:line="276" w:lineRule="auto"/>
        <w:jc w:val="both"/>
        <w:rPr>
          <w:rFonts w:ascii="Verdana" w:eastAsia="Times New Roman" w:hAnsi="Verdana" w:cs="Arial"/>
          <w:lang w:val="es-ES" w:eastAsia="es-ES"/>
        </w:rPr>
      </w:pPr>
      <w:r>
        <w:rPr>
          <w:rFonts w:ascii="Verdana" w:eastAsia="Calibri" w:hAnsi="Verdana" w:cs="Arial"/>
          <w:color w:val="000000"/>
          <w:shd w:val="clear" w:color="auto" w:fill="FFFFFF"/>
          <w:lang w:val="es-ES"/>
        </w:rPr>
        <w:tab/>
        <w:t>Particularmente</w:t>
      </w:r>
      <w:r w:rsidR="004F66EF" w:rsidRPr="38FACAB2">
        <w:rPr>
          <w:rFonts w:ascii="Verdana" w:eastAsia="Calibri" w:hAnsi="Verdana" w:cs="Arial"/>
          <w:color w:val="000000"/>
          <w:shd w:val="clear" w:color="auto" w:fill="FFFFFF"/>
          <w:lang w:val="es-ES"/>
        </w:rPr>
        <w:t xml:space="preserve">, </w:t>
      </w:r>
      <w:r w:rsidR="004F66EF" w:rsidRPr="38FACAB2">
        <w:rPr>
          <w:rFonts w:ascii="Verdana" w:eastAsia="Times New Roman" w:hAnsi="Verdana" w:cs="Arial"/>
          <w:lang w:val="es-ES" w:eastAsia="es-ES"/>
        </w:rPr>
        <w:t>el numeral 2.5 del artículo 2.2.1.1.1.5.2 del Decreto 1082 de 2015, señala que la persona jurídica se registrará aportando los certificados de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004F66EF" w:rsidRPr="38FACAB2">
        <w:rPr>
          <w:rFonts w:ascii="Verdana" w:eastAsia="Calibri" w:hAnsi="Verdana" w:cs="Arial"/>
          <w:vertAlign w:val="superscript"/>
          <w:lang w:val="es-ES" w:eastAsia="es-ES"/>
        </w:rPr>
        <w:footnoteReference w:id="7"/>
      </w:r>
      <w:r w:rsidR="004F66EF" w:rsidRPr="38FACAB2">
        <w:rPr>
          <w:rFonts w:ascii="Verdana" w:eastAsia="Times New Roman" w:hAnsi="Verdana" w:cs="Arial"/>
          <w:lang w:val="es-ES" w:eastAsia="es-ES"/>
        </w:rPr>
        <w:t xml:space="preserve">. </w:t>
      </w:r>
      <w:r w:rsidR="004F66EF" w:rsidRPr="1508AF59">
        <w:rPr>
          <w:rFonts w:ascii="Verdana" w:eastAsia="Times New Roman" w:hAnsi="Verdana" w:cs="Arial"/>
          <w:lang w:val="es-ES" w:eastAsia="es-ES"/>
        </w:rPr>
        <w:t xml:space="preserve">Por ello, el interesado debe indicar en cada certificado, o en cada copia de los contratos, los bienes, obras y servicios a los cuales corresponde la experiencia que pretende acreditar, identificándolos con el Clasificador de Bienes y Servicios, en el tercer nivel. </w:t>
      </w:r>
    </w:p>
    <w:p w14:paraId="1D0024AE" w14:textId="5698462C" w:rsidR="004F66EF" w:rsidRPr="002A000A" w:rsidRDefault="004F66EF" w:rsidP="0082525D">
      <w:pPr>
        <w:spacing w:before="120" w:after="120" w:line="276" w:lineRule="auto"/>
        <w:ind w:firstLine="708"/>
        <w:jc w:val="both"/>
        <w:rPr>
          <w:rFonts w:ascii="Verdana" w:eastAsia="Calibri" w:hAnsi="Verdana" w:cs="Arial"/>
          <w:color w:val="000000"/>
          <w:shd w:val="clear" w:color="auto" w:fill="FFFFFF"/>
          <w:lang w:val="es-ES"/>
        </w:rPr>
      </w:pPr>
      <w:r w:rsidRPr="1508AF59">
        <w:rPr>
          <w:rFonts w:ascii="Verdana" w:eastAsia="Times New Roman" w:hAnsi="Verdana" w:cs="Arial"/>
          <w:lang w:val="es-ES" w:eastAsia="es-ES"/>
        </w:rPr>
        <w:lastRenderedPageBreak/>
        <w:t xml:space="preserve">Sin embargo, es menester destacar que la parte final del numeral 2.5 del referido artículo indica que </w:t>
      </w:r>
      <w:r w:rsidRPr="1508AF59">
        <w:rPr>
          <w:rFonts w:ascii="Verdana" w:eastAsia="Calibri" w:hAnsi="Verdana" w:cs="Arial"/>
          <w:lang w:val="es-ES" w:eastAsia="es-ES"/>
        </w:rPr>
        <w:t>“</w:t>
      </w:r>
      <w:r w:rsidRPr="1508AF59">
        <w:rPr>
          <w:rFonts w:ascii="Verdana" w:eastAsia="Times New Roman" w:hAnsi="Verdana" w:cs="Arial"/>
          <w:lang w:val="es-ES" w:eastAsia="es-ES"/>
        </w:rPr>
        <w:t>[s]i la constitución del interesado es menor a tres (3) años, puede acreditar la experiencia de sus accionistas, socios o constituyentes</w:t>
      </w:r>
      <w:r w:rsidRPr="1508AF59">
        <w:rPr>
          <w:rFonts w:ascii="Verdana" w:eastAsia="Calibri" w:hAnsi="Verdana" w:cs="Arial"/>
          <w:lang w:val="es-ES" w:eastAsia="es-ES"/>
        </w:rPr>
        <w:t>”</w:t>
      </w:r>
      <w:r w:rsidRPr="1508AF59">
        <w:rPr>
          <w:rFonts w:ascii="Verdana" w:eastAsia="Times New Roman" w:hAnsi="Verdana" w:cs="Arial"/>
          <w:lang w:val="es-ES" w:eastAsia="es-ES"/>
        </w:rPr>
        <w:t>.</w:t>
      </w:r>
      <w:r w:rsidR="00621F3A">
        <w:rPr>
          <w:rFonts w:ascii="Verdana" w:eastAsia="Calibri" w:hAnsi="Verdana" w:cs="Arial"/>
          <w:color w:val="000000"/>
          <w:shd w:val="clear" w:color="auto" w:fill="FFFFFF"/>
          <w:lang w:val="es-ES_tradnl"/>
        </w:rPr>
        <w:t xml:space="preserve"> </w:t>
      </w:r>
      <w:r w:rsidRPr="38FACAB2">
        <w:rPr>
          <w:rFonts w:ascii="Verdana" w:eastAsia="Calibri" w:hAnsi="Verdana" w:cs="Arial"/>
          <w:color w:val="000000"/>
          <w:shd w:val="clear" w:color="auto" w:fill="FFFFFF"/>
          <w:lang w:val="es-ES"/>
        </w:rPr>
        <w:t>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Pese a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14:paraId="298BEE9F" w14:textId="77777777" w:rsidR="004F66EF" w:rsidRPr="002A000A" w:rsidRDefault="004F66EF" w:rsidP="004F66EF">
      <w:pPr>
        <w:tabs>
          <w:tab w:val="left" w:pos="483"/>
        </w:tabs>
        <w:spacing w:after="120" w:line="276" w:lineRule="auto"/>
        <w:jc w:val="both"/>
        <w:rPr>
          <w:rFonts w:ascii="Verdana" w:eastAsia="Calibri" w:hAnsi="Verdana" w:cs="Arial"/>
          <w:color w:val="000000"/>
          <w:shd w:val="clear" w:color="auto" w:fill="FFFFFF"/>
          <w:lang w:val="es-ES"/>
        </w:rPr>
      </w:pPr>
      <w:r w:rsidRPr="002A000A">
        <w:rPr>
          <w:rFonts w:ascii="Verdana" w:eastAsia="Calibri" w:hAnsi="Verdana" w:cs="Arial"/>
          <w:color w:val="000000"/>
          <w:shd w:val="clear" w:color="auto" w:fill="FFFFFF"/>
          <w:lang w:val="es-ES_tradnl"/>
        </w:rPr>
        <w:tab/>
      </w:r>
      <w:r w:rsidRPr="002A000A">
        <w:rPr>
          <w:rFonts w:ascii="Verdana" w:eastAsia="Calibri" w:hAnsi="Verdana" w:cs="Arial"/>
          <w:color w:val="000000"/>
          <w:shd w:val="clear" w:color="auto" w:fill="FFFFFF"/>
          <w:lang w:val="es-ES_tradnl"/>
        </w:rPr>
        <w:tab/>
      </w:r>
      <w:r w:rsidRPr="38FACAB2">
        <w:rPr>
          <w:rFonts w:ascii="Verdana" w:eastAsia="Calibri" w:hAnsi="Verdana" w:cs="Arial"/>
          <w:color w:val="000000"/>
          <w:shd w:val="clear" w:color="auto" w:fill="FFFFFF"/>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784E0135" w14:textId="2ABCD029" w:rsidR="004F66EF" w:rsidRPr="002A000A" w:rsidRDefault="004F66EF" w:rsidP="004F66EF">
      <w:pPr>
        <w:spacing w:before="120" w:after="120" w:line="276" w:lineRule="auto"/>
        <w:ind w:firstLine="708"/>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Este aspecto ofrece meridiana claridad en cuanto a su aplicación, pero el interrogante que ha generado la norma</w:t>
      </w:r>
      <w:r w:rsidR="001710C1">
        <w:rPr>
          <w:rFonts w:ascii="Verdana" w:eastAsia="Times New Roman" w:hAnsi="Verdana" w:cs="Arial"/>
          <w:lang w:val="es-ES_tradnl" w:eastAsia="es-ES_tradnl"/>
        </w:rPr>
        <w:t>, y que suscita la presente consulta,</w:t>
      </w:r>
      <w:r w:rsidRPr="002A000A">
        <w:rPr>
          <w:rFonts w:ascii="Verdana" w:eastAsia="Times New Roman" w:hAnsi="Verdana" w:cs="Arial"/>
          <w:lang w:val="es-ES_tradnl" w:eastAsia="es-ES_tradnl"/>
        </w:rPr>
        <w:t xml:space="preserve">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14:paraId="64900B1E" w14:textId="77777777" w:rsidR="001710C1" w:rsidRDefault="004F66EF" w:rsidP="0082525D">
      <w:pPr>
        <w:spacing w:after="120" w:line="276" w:lineRule="auto"/>
        <w:ind w:firstLine="709"/>
        <w:jc w:val="both"/>
        <w:rPr>
          <w:rFonts w:ascii="Verdana" w:eastAsia="Times New Roman" w:hAnsi="Verdana" w:cs="Arial"/>
          <w:lang w:val="es-ES" w:eastAsia="es-ES"/>
        </w:rPr>
      </w:pPr>
      <w:r w:rsidRPr="38FACAB2">
        <w:rPr>
          <w:rFonts w:ascii="Verdana" w:eastAsia="Times New Roman" w:hAnsi="Verdana" w:cs="Arial"/>
          <w:lang w:val="es-ES" w:eastAsia="es-ES"/>
        </w:rPr>
        <w:t xml:space="preserve">Para esta Agencia, </w:t>
      </w:r>
      <w:bookmarkStart w:id="0" w:name="_Hlk67498604"/>
      <w:r w:rsidRPr="38FACAB2">
        <w:rPr>
          <w:rFonts w:ascii="Verdana" w:eastAsia="Times New Roman" w:hAnsi="Verdana" w:cs="Arial"/>
          <w:lang w:val="es-ES" w:eastAsia="es-ES"/>
        </w:rPr>
        <w:t xml:space="preserve">si la persona jurídica con menos de tres (3) años de constituida registra la experiencia de sus socios, accionistas o constituyentes en el RUP, y este es renovado, puede continuar utilizando la experiencia inscrita </w:t>
      </w:r>
      <w:r w:rsidRPr="38FACAB2">
        <w:rPr>
          <w:rFonts w:ascii="Verdana" w:eastAsia="Times New Roman" w:hAnsi="Verdana" w:cs="Arial"/>
          <w:lang w:val="es-ES" w:eastAsia="es-ES"/>
        </w:rPr>
        <w:lastRenderedPageBreak/>
        <w:t xml:space="preserve">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w:t>
      </w:r>
      <w:bookmarkEnd w:id="0"/>
    </w:p>
    <w:p w14:paraId="639137FA" w14:textId="3DAD0DD9" w:rsidR="004F66EF" w:rsidRPr="002A000A" w:rsidRDefault="004F66EF" w:rsidP="004F66EF">
      <w:pPr>
        <w:spacing w:after="0" w:line="276" w:lineRule="auto"/>
        <w:ind w:firstLine="708"/>
        <w:contextualSpacing/>
        <w:jc w:val="both"/>
        <w:rPr>
          <w:rFonts w:ascii="Verdana" w:eastAsia="Times New Roman" w:hAnsi="Verdana" w:cs="Arial"/>
          <w:lang w:val="es-ES" w:eastAsia="es-ES"/>
        </w:rPr>
      </w:pPr>
      <w:r w:rsidRPr="38FACAB2">
        <w:rPr>
          <w:rFonts w:ascii="Verdana" w:eastAsia="Times New Roman" w:hAnsi="Verdana" w:cs="Arial"/>
          <w:lang w:val="es-ES" w:eastAsia="es-ES"/>
        </w:rPr>
        <w:t xml:space="preserve">Lo anterior, </w:t>
      </w:r>
      <w:r w:rsidR="001710C1">
        <w:rPr>
          <w:rFonts w:ascii="Verdana" w:eastAsia="Times New Roman" w:hAnsi="Verdana" w:cs="Arial"/>
          <w:lang w:val="es-ES" w:eastAsia="es-ES"/>
        </w:rPr>
        <w:t>además</w:t>
      </w:r>
      <w:r w:rsidRPr="38FACAB2">
        <w:rPr>
          <w:rFonts w:ascii="Verdana" w:eastAsia="Times New Roman" w:hAnsi="Verdana" w:cs="Arial"/>
          <w:lang w:val="es-ES" w:eastAsia="es-ES"/>
        </w:rPr>
        <w:t xml:space="preserve"> tiene fundamento en la Circular Única de la Superintendencia de Industria y Comercio, cuyo numeral 4.2 del capítulo cuarto del título VIII, sobre el procedimiento para llevar el Registro Único de Proponentes, dispone lo siguiente:  </w:t>
      </w:r>
    </w:p>
    <w:p w14:paraId="551D570C" w14:textId="77777777" w:rsidR="004F66EF" w:rsidRPr="002A000A" w:rsidRDefault="004F66EF" w:rsidP="004F66EF">
      <w:pPr>
        <w:spacing w:after="0" w:line="276" w:lineRule="auto"/>
        <w:ind w:firstLine="708"/>
        <w:contextualSpacing/>
        <w:jc w:val="both"/>
        <w:rPr>
          <w:rFonts w:ascii="Verdana" w:eastAsia="Times New Roman" w:hAnsi="Verdana" w:cs="Arial"/>
          <w:lang w:val="es-ES_tradnl" w:eastAsia="es-ES_tradnl"/>
        </w:rPr>
      </w:pPr>
    </w:p>
    <w:p w14:paraId="61A15068" w14:textId="77777777" w:rsidR="004F66EF" w:rsidRPr="00FD4928" w:rsidRDefault="004F66EF" w:rsidP="004F66EF">
      <w:pPr>
        <w:spacing w:after="0" w:line="240" w:lineRule="auto"/>
        <w:ind w:left="709" w:right="709"/>
        <w:contextualSpacing/>
        <w:jc w:val="both"/>
        <w:rPr>
          <w:rFonts w:ascii="Verdana" w:eastAsia="Times New Roman" w:hAnsi="Verdana" w:cs="Arial"/>
          <w:sz w:val="20"/>
          <w:szCs w:val="20"/>
          <w:lang w:val="es-ES_tradnl" w:eastAsia="es-ES_tradnl"/>
        </w:rPr>
      </w:pPr>
      <w:r w:rsidRPr="00FD4928">
        <w:rPr>
          <w:rFonts w:ascii="Verdana" w:eastAsia="Times New Roman" w:hAnsi="Verdana" w:cs="Arial"/>
          <w:sz w:val="20"/>
          <w:szCs w:val="20"/>
          <w:lang w:val="es-ES_tradnl" w:eastAsia="es-ES_tradnl"/>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049698F3" w14:textId="77777777" w:rsidR="004F66EF" w:rsidRPr="002A000A" w:rsidRDefault="004F66EF" w:rsidP="004F66EF">
      <w:pPr>
        <w:spacing w:after="0" w:line="276" w:lineRule="auto"/>
        <w:ind w:left="709" w:right="709"/>
        <w:contextualSpacing/>
        <w:jc w:val="both"/>
        <w:rPr>
          <w:rFonts w:ascii="Verdana" w:eastAsia="Times New Roman" w:hAnsi="Verdana" w:cs="Arial"/>
          <w:lang w:val="es-ES_tradnl" w:eastAsia="es-ES_tradnl"/>
        </w:rPr>
      </w:pPr>
    </w:p>
    <w:p w14:paraId="20765CB9" w14:textId="2AC8FD1F" w:rsidR="004F66EF" w:rsidRPr="002A000A" w:rsidRDefault="004F66EF" w:rsidP="004F66EF">
      <w:pPr>
        <w:spacing w:after="0" w:line="276" w:lineRule="auto"/>
        <w:ind w:firstLine="708"/>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 xml:space="preserve">Así las cosas, con el fin de incentivar la participación continua y constante de los proponentes, las Entidades Estatales, en sus Procesos de Contratación, aceptarán como válida la experiencia de los socios, accionistas o constituyentes incluso después de cumplidos los tres (3) años de constitución de la sociedad, siempre y cuando se renueve constantemente el RUP, </w:t>
      </w:r>
      <w:r w:rsidR="001710C1">
        <w:rPr>
          <w:rFonts w:ascii="Verdana" w:eastAsia="Times New Roman" w:hAnsi="Verdana" w:cs="Arial"/>
          <w:lang w:val="es-ES_tradnl" w:eastAsia="es-ES_tradnl"/>
        </w:rPr>
        <w:t>dentro de los tiempos establecidos en las normas que lo regulan. E</w:t>
      </w:r>
      <w:r w:rsidRPr="002A000A">
        <w:rPr>
          <w:rFonts w:ascii="Verdana" w:eastAsia="Times New Roman" w:hAnsi="Verdana" w:cs="Arial"/>
          <w:lang w:val="es-ES_tradnl" w:eastAsia="es-ES_tradnl"/>
        </w:rPr>
        <w:t xml:space="preserv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 </w:t>
      </w:r>
    </w:p>
    <w:p w14:paraId="77CFF2C1" w14:textId="77777777" w:rsidR="004F66EF" w:rsidRPr="002A000A" w:rsidRDefault="004F66EF" w:rsidP="004F66EF">
      <w:pPr>
        <w:spacing w:before="120" w:after="120" w:line="276" w:lineRule="auto"/>
        <w:ind w:firstLine="708"/>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14:paraId="7FA0D63D" w14:textId="77777777" w:rsidR="004F66EF" w:rsidRPr="002A000A" w:rsidRDefault="004F66EF" w:rsidP="004F66EF">
      <w:pPr>
        <w:spacing w:before="120" w:after="0" w:line="276" w:lineRule="auto"/>
        <w:ind w:firstLine="709"/>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lastRenderedPageBreak/>
        <w:t>Por tanto, en atención al principio general de interpretación según el cual donde el legislador no distingue no le es dado hacerlo al intérprete, el hecho de que una sociedad con menos de tres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14:paraId="5847D360" w14:textId="77777777" w:rsidR="004F66EF" w:rsidRPr="002A000A" w:rsidRDefault="004F66EF" w:rsidP="004F66EF">
      <w:pPr>
        <w:spacing w:before="120" w:after="120" w:line="276" w:lineRule="auto"/>
        <w:ind w:firstLine="709"/>
        <w:jc w:val="both"/>
        <w:rPr>
          <w:rFonts w:ascii="Verdana" w:eastAsia="Times New Roman" w:hAnsi="Verdana" w:cs="Arial"/>
          <w:lang w:val="es-ES" w:eastAsia="es-ES"/>
        </w:rPr>
      </w:pPr>
      <w:r w:rsidRPr="38FACAB2">
        <w:rPr>
          <w:rFonts w:ascii="Verdana" w:eastAsia="Calibri" w:hAnsi="Verdana" w:cs="Arial"/>
          <w:color w:val="000000"/>
          <w:shd w:val="clear" w:color="auto" w:fill="FFFFFF"/>
          <w:lang w:val="es-ES"/>
        </w:rPr>
        <w:t xml:space="preserve">Ahora bien, debe aclararse que </w:t>
      </w:r>
      <w:r w:rsidRPr="38FACAB2">
        <w:rPr>
          <w:rFonts w:ascii="Verdana" w:eastAsia="Times New Roman" w:hAnsi="Verdana" w:cs="Arial"/>
          <w:lang w:val="es-ES" w:eastAsia="es-ES"/>
        </w:rPr>
        <w:t xml:space="preserve">el Decreto 1082 de 2015 solo permite que una sociedad acredite la experiencia de quienes tienen la calidad de accionistas, socios o constituyentes </w:t>
      </w:r>
      <w:r w:rsidRPr="38FACAB2">
        <w:rPr>
          <w:rFonts w:ascii="Verdana" w:eastAsia="Calibri" w:hAnsi="Verdana" w:cs="Arial"/>
          <w:lang w:val="es-ES"/>
        </w:rPr>
        <w:t>cuando tiene menos de tres (3) años de constitución</w:t>
      </w:r>
      <w:r w:rsidRPr="38FACAB2">
        <w:rPr>
          <w:rFonts w:ascii="Verdana" w:eastAsia="Times New Roman" w:hAnsi="Verdana" w:cs="Arial"/>
          <w:lang w:val="es-ES" w:eastAsia="es-ES"/>
        </w:rPr>
        <w:t>. De esta forma, en caso de que la sociedad haya superado el referido término de haberse constituido, no podrá acreditar la experiencia obtenida por un nuevo socio o accionista, con el fin de beneficiarse de la prerrogativa señalada en el numeral 2.5 del artículo 2.2.1.1.1.5.2 del citado decreto.</w:t>
      </w:r>
    </w:p>
    <w:p w14:paraId="5684F565" w14:textId="77777777" w:rsidR="004F66EF" w:rsidRPr="002A000A" w:rsidRDefault="004F66EF" w:rsidP="004F66EF">
      <w:pPr>
        <w:shd w:val="clear" w:color="auto" w:fill="FFFFFF" w:themeFill="background1"/>
        <w:snapToGrid w:val="0"/>
        <w:spacing w:after="120" w:line="276" w:lineRule="auto"/>
        <w:ind w:firstLine="709"/>
        <w:jc w:val="both"/>
        <w:rPr>
          <w:rFonts w:ascii="Verdana" w:eastAsia="Times New Roman" w:hAnsi="Verdana" w:cs="Arial"/>
          <w:lang w:val="es-ES" w:eastAsia="es-ES"/>
        </w:rPr>
      </w:pPr>
      <w:r w:rsidRPr="38FACAB2">
        <w:rPr>
          <w:rFonts w:ascii="Verdana" w:eastAsia="Times New Roman" w:hAnsi="Verdana" w:cs="Arial"/>
          <w:lang w:val="es-ES" w:eastAsia="es-ES"/>
        </w:rPr>
        <w:t xml:space="preserve">En este sentido, la experiencia transferida de los accionistas, socios o constituyentes a la persona jurídica que tiene menos de tres (3) años de constitución solo puede verificarse con el registro, sin que sea posible para la entidad contratante solicitar documentos adicionales a los oferentes. Ahora bien, si la persona jurídica con menos de tres (3) años de constituida registra la experiencia de sus socios en el RUP, y este es renovado constantemente de forma oportuna, puede continuar utilizando la experiencia inscrita mientras no cesen los efectos del RUP, incluso después de transcurridos los tres (3) años. Por el contrario, si no se renueva y la persona jurídica supera los tres (3)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45C716A2" w14:textId="77777777" w:rsidR="004F66EF" w:rsidRPr="002A000A" w:rsidRDefault="004F66EF" w:rsidP="004F66EF">
      <w:pPr>
        <w:snapToGrid w:val="0"/>
        <w:spacing w:after="120" w:line="276" w:lineRule="auto"/>
        <w:ind w:firstLine="709"/>
        <w:jc w:val="both"/>
        <w:rPr>
          <w:rFonts w:ascii="Verdana" w:eastAsia="Calibri" w:hAnsi="Verdana" w:cs="Arial"/>
          <w:lang w:val="es-ES"/>
        </w:rPr>
      </w:pPr>
      <w:r w:rsidRPr="38FACAB2">
        <w:rPr>
          <w:rFonts w:ascii="Verdana" w:eastAsia="Calibri" w:hAnsi="Verdana" w:cs="Arial"/>
          <w:color w:val="000000"/>
          <w:kern w:val="2"/>
          <w:lang w:val="es-ES"/>
          <w14:ligatures w14:val="standardContextual"/>
        </w:rPr>
        <w:t>Finalmente, es importante precisar que, d</w:t>
      </w:r>
      <w:r w:rsidRPr="38FACAB2">
        <w:rPr>
          <w:rFonts w:ascii="Verdana" w:eastAsia="Calibri" w:hAnsi="Verdana" w:cs="Arial"/>
          <w:kern w:val="2"/>
          <w:lang w:val="es-ES"/>
          <w14:ligatures w14:val="standardContextual"/>
        </w:rPr>
        <w:t xml:space="preserve">e acuerdo con el numeral 1 del artículo 5 de la Ley 1150 de 2007, la capacidad jurídica es </w:t>
      </w:r>
      <w:r w:rsidRPr="38FACAB2">
        <w:rPr>
          <w:rFonts w:ascii="Verdana" w:eastAsia="Aptos" w:hAnsi="Verdana" w:cs="Arial"/>
          <w:color w:val="000000"/>
          <w:kern w:val="2"/>
          <w:lang w:val="es-ES"/>
          <w14:ligatures w14:val="standardContextual"/>
        </w:rPr>
        <w:t>uno de los presupuestos para celebrar un contrato estatal. Según el Código Civil, esta se refiere a la facultad que la ley le confiere a la persona para ejercer derechos y contraer obligaciones</w:t>
      </w:r>
      <w:r w:rsidRPr="38FACAB2">
        <w:rPr>
          <w:rFonts w:ascii="Verdana" w:eastAsia="Aptos" w:hAnsi="Verdana" w:cs="Arial"/>
          <w:color w:val="000000"/>
          <w:kern w:val="2"/>
          <w:vertAlign w:val="superscript"/>
          <w:lang w:val="es-ES"/>
          <w14:ligatures w14:val="standardContextual"/>
        </w:rPr>
        <w:footnoteReference w:id="8"/>
      </w:r>
      <w:r w:rsidRPr="38FACAB2">
        <w:rPr>
          <w:rFonts w:ascii="Verdana" w:eastAsia="Aptos" w:hAnsi="Verdana" w:cs="Arial"/>
          <w:color w:val="000000"/>
          <w:kern w:val="2"/>
          <w:lang w:val="es-ES"/>
          <w14:ligatures w14:val="standardContextual"/>
        </w:rPr>
        <w:t xml:space="preserve">. De esta manera, todas las personas naturales mayores </w:t>
      </w:r>
      <w:r w:rsidRPr="38FACAB2">
        <w:rPr>
          <w:rFonts w:ascii="Verdana" w:eastAsia="Aptos" w:hAnsi="Verdana" w:cs="Arial"/>
          <w:color w:val="000000"/>
          <w:kern w:val="2"/>
          <w:lang w:val="es-ES"/>
          <w14:ligatures w14:val="standardContextual"/>
        </w:rPr>
        <w:lastRenderedPageBreak/>
        <w:t>de edad son capaces, con excepción de aquellas que la ley expresamente excluye de tal presunción, tal como lo disponen los artículos 1502, 1503 y 1504. Por su parte, la capacidad de las personas jurídicas se circunscribe a lo expresado en su objeto social y a su forma de creación</w:t>
      </w:r>
      <w:r w:rsidRPr="38FACAB2">
        <w:rPr>
          <w:rFonts w:ascii="Verdana" w:eastAsia="Aptos" w:hAnsi="Verdana" w:cs="Arial"/>
          <w:color w:val="000000"/>
          <w:kern w:val="2"/>
          <w:vertAlign w:val="superscript"/>
          <w:lang w:val="es-ES"/>
          <w14:ligatures w14:val="standardContextual"/>
        </w:rPr>
        <w:footnoteReference w:id="9"/>
      </w:r>
      <w:r w:rsidRPr="38FACAB2">
        <w:rPr>
          <w:rFonts w:ascii="Verdana" w:eastAsia="Aptos" w:hAnsi="Verdana" w:cs="Arial"/>
          <w:color w:val="000000"/>
          <w:kern w:val="2"/>
          <w:lang w:val="es-ES"/>
          <w14:ligatures w14:val="standardContextual"/>
        </w:rPr>
        <w:t xml:space="preserve">. </w:t>
      </w:r>
    </w:p>
    <w:p w14:paraId="01BC10C2" w14:textId="77777777" w:rsidR="004F66EF" w:rsidRPr="002A000A" w:rsidRDefault="004F66EF" w:rsidP="004F66EF">
      <w:pPr>
        <w:snapToGrid w:val="0"/>
        <w:spacing w:after="120" w:line="276" w:lineRule="auto"/>
        <w:ind w:firstLine="708"/>
        <w:jc w:val="both"/>
        <w:rPr>
          <w:rFonts w:ascii="Verdana" w:eastAsia="Aptos" w:hAnsi="Verdana" w:cs="Times New Roman"/>
          <w:kern w:val="2"/>
          <w:lang w:val="es-ES"/>
          <w14:ligatures w14:val="standardContextual"/>
        </w:rPr>
      </w:pPr>
      <w:r w:rsidRPr="38FACAB2">
        <w:rPr>
          <w:rFonts w:ascii="Verdana" w:eastAsia="Aptos" w:hAnsi="Verdana" w:cs="Times New Roman"/>
          <w:color w:val="000000"/>
          <w:kern w:val="2"/>
          <w:lang w:val="es-ES"/>
          <w14:ligatures w14:val="standardContextual"/>
        </w:rPr>
        <w:t>En materia de contratación estatal, el artículo 6 de la Ley 80 de 1993 señala que “[p]</w:t>
      </w:r>
      <w:proofErr w:type="spellStart"/>
      <w:r w:rsidRPr="38FACAB2">
        <w:rPr>
          <w:rFonts w:ascii="Verdana" w:eastAsia="Aptos" w:hAnsi="Verdana" w:cs="Times New Roman"/>
          <w:color w:val="000000"/>
          <w:kern w:val="2"/>
          <w:lang w:val="es-ES"/>
          <w14:ligatures w14:val="standardContextual"/>
        </w:rPr>
        <w:t>ueden</w:t>
      </w:r>
      <w:proofErr w:type="spellEnd"/>
      <w:r w:rsidRPr="38FACAB2">
        <w:rPr>
          <w:rFonts w:ascii="Verdana" w:eastAsia="Aptos" w:hAnsi="Verdana" w:cs="Times New Roman"/>
          <w:color w:val="000000"/>
          <w:kern w:val="2"/>
          <w:lang w:val="es-ES"/>
          <w14:ligatures w14:val="standardContextual"/>
        </w:rPr>
        <w:t xml:space="preserve"> celebrar contratos con las entidades estatales las personas consideradas legalmente capaces en las disposiciones vigentes.” En consecuencia, pueden celebrar contratos estatales las personas naturales mayores de edad, las personas jurídicas que tengan dentro de su objeto social actividades relacionadas con el objeto a contratar, así como los consorcios y uniones temporales.</w:t>
      </w:r>
      <w:r w:rsidRPr="38FACAB2">
        <w:rPr>
          <w:rFonts w:ascii="Verdana" w:eastAsia="Aptos" w:hAnsi="Verdana" w:cs="Times New Roman"/>
          <w:kern w:val="2"/>
          <w:lang w:val="es-ES"/>
          <w14:ligatures w14:val="standardContextual"/>
        </w:rPr>
        <w:t xml:space="preserve"> </w:t>
      </w:r>
      <w:r w:rsidRPr="38FACAB2">
        <w:rPr>
          <w:rFonts w:ascii="Verdana" w:eastAsia="Aptos" w:hAnsi="Verdana" w:cs="Times New Roman"/>
          <w:color w:val="000000"/>
          <w:kern w:val="2"/>
          <w:lang w:val="es-ES"/>
          <w14:ligatures w14:val="standardContextual"/>
        </w:rPr>
        <w:t>La capacidad jurídica deberá además considerar lo dispuesto en el artículo 8 de la Ley 80 de 1993</w:t>
      </w:r>
      <w:r w:rsidRPr="38FACAB2">
        <w:rPr>
          <w:rFonts w:ascii="Verdana" w:eastAsia="Aptos" w:hAnsi="Verdana" w:cs="Times New Roman"/>
          <w:color w:val="000000"/>
          <w:kern w:val="2"/>
          <w:vertAlign w:val="superscript"/>
          <w:lang w:val="es-ES"/>
          <w14:ligatures w14:val="standardContextual"/>
        </w:rPr>
        <w:footnoteReference w:id="10"/>
      </w:r>
      <w:r w:rsidRPr="38FACAB2">
        <w:rPr>
          <w:rFonts w:ascii="Verdana" w:eastAsia="Aptos" w:hAnsi="Verdana" w:cs="Times New Roman"/>
          <w:color w:val="000000"/>
          <w:kern w:val="2"/>
          <w:lang w:val="es-ES"/>
          <w14:ligatures w14:val="standardContextual"/>
        </w:rPr>
        <w:t xml:space="preserve">, que señala el régimen de inhabilidades e incompatibilidades como prohibiciones legales a determinadas personas para celebrar contratos con entidades públicas. </w:t>
      </w:r>
    </w:p>
    <w:p w14:paraId="26DB9607" w14:textId="77777777" w:rsidR="004F66EF" w:rsidRDefault="004F66EF" w:rsidP="004F66EF">
      <w:pPr>
        <w:snapToGrid w:val="0"/>
        <w:spacing w:after="120" w:line="276" w:lineRule="auto"/>
        <w:ind w:firstLine="708"/>
        <w:jc w:val="both"/>
        <w:rPr>
          <w:rFonts w:ascii="Verdana" w:eastAsia="Times New Roman" w:hAnsi="Verdana" w:cs="Times New Roman"/>
          <w:color w:val="000000" w:themeColor="text1"/>
          <w:lang w:val="es-ES" w:eastAsia="es-CO"/>
        </w:rPr>
      </w:pPr>
      <w:r w:rsidRPr="38FACAB2">
        <w:rPr>
          <w:rFonts w:ascii="Verdana" w:eastAsia="Times New Roman" w:hAnsi="Verdana" w:cs="Times New Roman"/>
          <w:color w:val="000000" w:themeColor="text1"/>
          <w:lang w:val="es-ES" w:eastAsia="es-CO"/>
        </w:rPr>
        <w:t xml:space="preserve">De esta manera, para que una persona natural o jurídica pueda celebrar contratos con una entidad estatal es necesario, en primer lugar, una condición natural que corresponde a que exista y, en segundo lugar, que tenga capacidad de ejercicio, es decir, la aptitud para ejercer por sí misma sus derechos y obligaciones, sin que se encuentre incursa en alguna inhabilidad o incompatibilidad establecida en el Estatuto General de Contratación de la Administración Pública –EGCAP–. </w:t>
      </w:r>
    </w:p>
    <w:p w14:paraId="5117632F" w14:textId="45C3CBCB" w:rsidR="004F66EF" w:rsidRDefault="004F66EF" w:rsidP="004F66EF">
      <w:pPr>
        <w:snapToGrid w:val="0"/>
        <w:spacing w:after="0" w:line="276" w:lineRule="auto"/>
        <w:ind w:firstLine="708"/>
        <w:jc w:val="both"/>
        <w:rPr>
          <w:rFonts w:ascii="Verdana" w:eastAsia="Calibri" w:hAnsi="Verdana" w:cs="Arial"/>
        </w:rPr>
      </w:pPr>
      <w:r w:rsidRPr="00E06F3A">
        <w:rPr>
          <w:rFonts w:ascii="Verdana" w:eastAsia="Calibri" w:hAnsi="Verdana" w:cs="Arial"/>
        </w:rPr>
        <w:t>En consecuencia, la norma no limita la transferencia de experiencia únicamente a los contratos ejecutados con anterioridad a la constitución de la sociedad. Lo relevante es que, al momento de la inscripción en el RUP, el socio, accionista o constituyente ostente formalmente dicha calidad dentro de la persona jurídica beneficiaria, y que la experiencia a transferir le pertenezca legítimamente, según su propio historial contractual.</w:t>
      </w:r>
    </w:p>
    <w:p w14:paraId="04C78C8E" w14:textId="77777777" w:rsidR="005059A4" w:rsidRDefault="005059A4" w:rsidP="004F66EF">
      <w:pPr>
        <w:snapToGrid w:val="0"/>
        <w:spacing w:after="0" w:line="276" w:lineRule="auto"/>
        <w:ind w:firstLine="708"/>
        <w:jc w:val="both"/>
        <w:rPr>
          <w:rFonts w:ascii="Verdana" w:eastAsia="Calibri" w:hAnsi="Verdana" w:cs="Arial"/>
        </w:rPr>
      </w:pPr>
    </w:p>
    <w:p w14:paraId="61CAA01D" w14:textId="77777777" w:rsidR="005059A4" w:rsidRPr="002A000A" w:rsidRDefault="005059A4" w:rsidP="005059A4">
      <w:pPr>
        <w:widowControl w:val="0"/>
        <w:autoSpaceDE w:val="0"/>
        <w:autoSpaceDN w:val="0"/>
        <w:spacing w:after="0" w:line="276" w:lineRule="auto"/>
        <w:outlineLvl w:val="0"/>
        <w:rPr>
          <w:rFonts w:ascii="Verdana" w:eastAsia="Arial" w:hAnsi="Verdana" w:cs="Arial"/>
          <w:b/>
          <w:bCs/>
          <w:lang w:val="es-ES_tradnl"/>
        </w:rPr>
      </w:pPr>
      <w:r w:rsidRPr="002A000A">
        <w:rPr>
          <w:rFonts w:ascii="Verdana" w:eastAsia="Arial" w:hAnsi="Verdana" w:cs="Arial"/>
          <w:b/>
          <w:bCs/>
          <w:lang w:val="es-ES_tradnl"/>
        </w:rPr>
        <w:t>4.Referencias normativas, jurisprudenciales y otras fuentes:</w:t>
      </w:r>
    </w:p>
    <w:p w14:paraId="356D5E24" w14:textId="77777777" w:rsidR="005059A4" w:rsidRPr="002A000A" w:rsidRDefault="005059A4" w:rsidP="005059A4">
      <w:pPr>
        <w:widowControl w:val="0"/>
        <w:autoSpaceDE w:val="0"/>
        <w:autoSpaceDN w:val="0"/>
        <w:spacing w:after="0" w:line="276" w:lineRule="auto"/>
        <w:jc w:val="both"/>
        <w:rPr>
          <w:rFonts w:ascii="Verdana" w:eastAsia="Aptos"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59A4" w:rsidRPr="002A000A" w14:paraId="143CEC6A" w14:textId="77777777" w:rsidTr="00827AD0">
        <w:trPr>
          <w:trHeight w:val="870"/>
        </w:trPr>
        <w:tc>
          <w:tcPr>
            <w:tcW w:w="8647" w:type="dxa"/>
          </w:tcPr>
          <w:p w14:paraId="3FC14A3E" w14:textId="77777777" w:rsidR="005059A4" w:rsidRPr="002A000A" w:rsidRDefault="005059A4" w:rsidP="00827AD0">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A000A">
              <w:rPr>
                <w:rFonts w:ascii="Verdana" w:eastAsia="Aptos" w:hAnsi="Verdana" w:cs="Arial"/>
                <w:lang w:val="es-ES_tradnl"/>
              </w:rPr>
              <w:t>Código de Comercio, artículos 10, 20, 21, 26, 33 y 37.</w:t>
            </w:r>
          </w:p>
          <w:p w14:paraId="754A0B14" w14:textId="77777777" w:rsidR="005059A4" w:rsidRPr="008874B8" w:rsidRDefault="005059A4" w:rsidP="00827AD0">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8874B8">
              <w:rPr>
                <w:rFonts w:ascii="Verdana" w:eastAsia="Aptos" w:hAnsi="Verdana" w:cs="Arial"/>
                <w:lang w:val="es-ES_tradnl"/>
              </w:rPr>
              <w:t>Ley 80 de 1993, artículos 6 y 8.</w:t>
            </w:r>
          </w:p>
          <w:p w14:paraId="3498074F" w14:textId="77777777" w:rsidR="005059A4" w:rsidRPr="002A000A" w:rsidRDefault="005059A4" w:rsidP="00827AD0">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A000A">
              <w:rPr>
                <w:rFonts w:ascii="Verdana" w:eastAsia="Aptos" w:hAnsi="Verdana" w:cs="Arial"/>
                <w:lang w:val="es-ES_tradnl"/>
              </w:rPr>
              <w:t>Ley 1150 de 2007, artículos 5 y 6.</w:t>
            </w:r>
          </w:p>
          <w:p w14:paraId="475D4414" w14:textId="77777777" w:rsidR="005059A4" w:rsidRPr="002A000A" w:rsidRDefault="005059A4" w:rsidP="00827AD0">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A000A">
              <w:rPr>
                <w:rFonts w:ascii="Verdana" w:eastAsia="Aptos" w:hAnsi="Verdana" w:cs="Arial"/>
                <w:lang w:val="es-ES_tradnl"/>
              </w:rPr>
              <w:t xml:space="preserve">Decreto 1082 de 2015, artículos </w:t>
            </w:r>
            <w:r w:rsidRPr="002A000A">
              <w:rPr>
                <w:rFonts w:ascii="Verdana" w:eastAsia="Times New Roman" w:hAnsi="Verdana" w:cs="Arial"/>
                <w:lang w:val="es-ES_tradnl" w:eastAsia="es-ES_tradnl"/>
              </w:rPr>
              <w:t xml:space="preserve">2.2.1.1.1.5.2, </w:t>
            </w:r>
            <w:r w:rsidRPr="002A000A">
              <w:rPr>
                <w:rFonts w:ascii="Verdana" w:eastAsia="Aptos" w:hAnsi="Verdana" w:cs="Arial"/>
                <w:lang w:val="es-ES_tradnl"/>
              </w:rPr>
              <w:t>2.2.1.1.1.6.2 y 2.2.1.1.1.5.3.</w:t>
            </w:r>
          </w:p>
          <w:p w14:paraId="6009A00F" w14:textId="77777777" w:rsidR="005059A4" w:rsidRPr="002A000A" w:rsidRDefault="005059A4" w:rsidP="00827AD0">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A000A">
              <w:rPr>
                <w:rFonts w:ascii="Verdana" w:eastAsia="Aptos" w:hAnsi="Verdana" w:cs="Arial"/>
                <w:lang w:val="es-ES_tradnl"/>
              </w:rPr>
              <w:t xml:space="preserve">Manual para determinar y verificar los requisitos habilitantes en los Procesos de Contratación. Disponible en: </w:t>
            </w:r>
            <w:hyperlink r:id="rId13" w:history="1">
              <w:r w:rsidRPr="002A000A">
                <w:rPr>
                  <w:rFonts w:ascii="Verdana" w:eastAsia="Aptos" w:hAnsi="Verdana" w:cs="Arial"/>
                  <w:color w:val="0000FF"/>
                  <w:u w:val="single"/>
                  <w:lang w:val="es-ES_tradnl"/>
                </w:rPr>
                <w:t>https://www.colombiacompra.gov.co/archivos/manual/manual-para-determinar-y-verificar-los-requisitos-habilitantes-en-los-procesos-de-contratacion</w:t>
              </w:r>
            </w:hyperlink>
            <w:r w:rsidRPr="002A000A">
              <w:rPr>
                <w:rFonts w:ascii="Verdana" w:eastAsia="Aptos" w:hAnsi="Verdana" w:cs="Arial"/>
                <w:lang w:val="es-ES_tradnl"/>
              </w:rPr>
              <w:t xml:space="preserve">. </w:t>
            </w:r>
          </w:p>
          <w:p w14:paraId="6C4E55C2" w14:textId="77777777" w:rsidR="005059A4" w:rsidRPr="002A000A" w:rsidRDefault="005059A4" w:rsidP="00827AD0">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A000A">
              <w:rPr>
                <w:rFonts w:ascii="Verdana" w:eastAsia="Aptos" w:hAnsi="Verdana" w:cs="Arial"/>
                <w:lang w:val="es-ES_tradnl"/>
              </w:rPr>
              <w:t>Circular Única de la Superintendencia de Industria y Comercio.</w:t>
            </w:r>
          </w:p>
        </w:tc>
      </w:tr>
    </w:tbl>
    <w:p w14:paraId="25C0F6D7" w14:textId="77777777" w:rsidR="005059A4" w:rsidRPr="002A000A" w:rsidRDefault="005059A4" w:rsidP="005059A4">
      <w:pPr>
        <w:widowControl w:val="0"/>
        <w:autoSpaceDE w:val="0"/>
        <w:autoSpaceDN w:val="0"/>
        <w:spacing w:after="0" w:line="276" w:lineRule="auto"/>
        <w:jc w:val="both"/>
        <w:rPr>
          <w:rFonts w:ascii="Verdana" w:eastAsia="Aptos" w:hAnsi="Verdana" w:cs="Arial"/>
          <w:lang w:val="es-ES_tradnl"/>
        </w:rPr>
      </w:pPr>
    </w:p>
    <w:p w14:paraId="76CA5E1C" w14:textId="77777777" w:rsidR="005059A4" w:rsidRPr="002A000A" w:rsidRDefault="005059A4" w:rsidP="005059A4">
      <w:pPr>
        <w:widowControl w:val="0"/>
        <w:autoSpaceDE w:val="0"/>
        <w:autoSpaceDN w:val="0"/>
        <w:spacing w:after="0" w:line="276" w:lineRule="auto"/>
        <w:outlineLvl w:val="0"/>
        <w:rPr>
          <w:rFonts w:ascii="Verdana" w:eastAsia="Arial" w:hAnsi="Verdana" w:cs="Arial"/>
          <w:b/>
          <w:bCs/>
          <w:lang w:val="es-ES_tradnl"/>
        </w:rPr>
      </w:pPr>
      <w:r w:rsidRPr="002A000A">
        <w:rPr>
          <w:rFonts w:ascii="Verdana" w:eastAsia="Arial" w:hAnsi="Verdana" w:cs="Arial"/>
          <w:b/>
          <w:bCs/>
          <w:lang w:val="es-ES_tradnl"/>
        </w:rPr>
        <w:t>5. Doctrina de la Agencia Nacional de Contratación Pública:</w:t>
      </w:r>
    </w:p>
    <w:p w14:paraId="4C8955C0" w14:textId="77777777" w:rsidR="005059A4" w:rsidRPr="002A000A" w:rsidRDefault="005059A4" w:rsidP="005059A4">
      <w:pPr>
        <w:widowControl w:val="0"/>
        <w:autoSpaceDE w:val="0"/>
        <w:autoSpaceDN w:val="0"/>
        <w:spacing w:after="0" w:line="276" w:lineRule="auto"/>
        <w:jc w:val="both"/>
        <w:rPr>
          <w:rFonts w:ascii="Verdana" w:eastAsia="Aptos" w:hAnsi="Verdana" w:cs="Arial"/>
          <w:lang w:val="es-ES_tradnl"/>
        </w:rPr>
      </w:pPr>
    </w:p>
    <w:p w14:paraId="4BAB9113" w14:textId="77777777" w:rsidR="005059A4" w:rsidRPr="002A000A" w:rsidRDefault="005059A4" w:rsidP="005059A4">
      <w:pPr>
        <w:widowControl w:val="0"/>
        <w:autoSpaceDE w:val="0"/>
        <w:autoSpaceDN w:val="0"/>
        <w:spacing w:after="0" w:line="276" w:lineRule="auto"/>
        <w:jc w:val="both"/>
        <w:rPr>
          <w:rFonts w:ascii="Verdana" w:eastAsia="Times New Roman" w:hAnsi="Verdana" w:cs="Arial"/>
          <w:shd w:val="clear" w:color="auto" w:fill="FFFFFF"/>
          <w:lang w:val="es-ES"/>
        </w:rPr>
      </w:pPr>
      <w:r w:rsidRPr="38FACAB2">
        <w:rPr>
          <w:rFonts w:ascii="Verdana" w:eastAsia="Calibri" w:hAnsi="Verdana" w:cs="Arial"/>
          <w:color w:val="000000"/>
          <w:kern w:val="2"/>
          <w:lang w:val="es-ES"/>
          <w14:ligatures w14:val="standardContextual"/>
        </w:rPr>
        <w:t>La Agencia Nacional de Contratación Pública ‒ Colombia Compra Eficiente,</w:t>
      </w:r>
      <w:r>
        <w:rPr>
          <w:rFonts w:ascii="Verdana" w:eastAsia="Calibri" w:hAnsi="Verdana" w:cs="Arial"/>
          <w:color w:val="000000"/>
          <w:kern w:val="2"/>
          <w:lang w:val="es-ES"/>
          <w14:ligatures w14:val="standardContextual"/>
        </w:rPr>
        <w:t xml:space="preserve"> se ha pronunciado </w:t>
      </w:r>
      <w:r w:rsidRPr="38FACAB2">
        <w:rPr>
          <w:rFonts w:ascii="Verdana" w:eastAsia="Calibri" w:hAnsi="Verdana" w:cs="Arial"/>
          <w:color w:val="000000"/>
          <w:kern w:val="2"/>
          <w:lang w:val="es-ES"/>
          <w14:ligatures w14:val="standardContextual"/>
        </w:rPr>
        <w:t>la acreditación de la experiencia de los socios por una sociedad nueva con menos de 3 años de constitución</w:t>
      </w:r>
      <w:r>
        <w:rPr>
          <w:rFonts w:ascii="Verdana" w:eastAsia="Calibri" w:hAnsi="Verdana" w:cs="Arial"/>
          <w:color w:val="000000"/>
          <w:kern w:val="2"/>
          <w:lang w:val="es-ES"/>
          <w14:ligatures w14:val="standardContextual"/>
        </w:rPr>
        <w:t xml:space="preserve"> </w:t>
      </w:r>
      <w:r w:rsidRPr="38FACAB2">
        <w:rPr>
          <w:rFonts w:ascii="Verdana" w:eastAsia="Calibri" w:hAnsi="Verdana" w:cs="Arial"/>
          <w:color w:val="000000"/>
          <w:kern w:val="2"/>
          <w:lang w:val="es-ES"/>
          <w14:ligatures w14:val="standardContextual"/>
        </w:rPr>
        <w:t>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w:t>
      </w:r>
      <w:r>
        <w:rPr>
          <w:rFonts w:ascii="Verdana" w:eastAsia="Calibri" w:hAnsi="Verdana" w:cs="Arial"/>
          <w:color w:val="000000"/>
          <w:kern w:val="2"/>
          <w:lang w:val="es-ES"/>
          <w14:ligatures w14:val="standardContextual"/>
        </w:rPr>
        <w:t xml:space="preserve">, </w:t>
      </w:r>
      <w:r w:rsidRPr="38FACAB2">
        <w:rPr>
          <w:rFonts w:ascii="Verdana" w:eastAsia="Calibri" w:hAnsi="Verdana" w:cs="Arial"/>
          <w:color w:val="000000"/>
          <w:kern w:val="2"/>
          <w:lang w:val="es-ES"/>
          <w14:ligatures w14:val="standardContextual"/>
        </w:rPr>
        <w:t>C-204 del 26 de marzo de 2025</w:t>
      </w:r>
      <w:r>
        <w:rPr>
          <w:rFonts w:ascii="Verdana" w:eastAsia="Calibri" w:hAnsi="Verdana" w:cs="Arial"/>
          <w:color w:val="000000"/>
          <w:kern w:val="2"/>
          <w:lang w:val="es-ES"/>
          <w14:ligatures w14:val="standardContextual"/>
        </w:rPr>
        <w:t xml:space="preserve"> y C-830 de 2025</w:t>
      </w:r>
    </w:p>
    <w:p w14:paraId="0FE95614" w14:textId="77777777" w:rsidR="005059A4" w:rsidRPr="002A000A" w:rsidRDefault="005059A4" w:rsidP="005059A4">
      <w:pPr>
        <w:widowControl w:val="0"/>
        <w:autoSpaceDE w:val="0"/>
        <w:autoSpaceDN w:val="0"/>
        <w:spacing w:after="0" w:line="276" w:lineRule="auto"/>
        <w:jc w:val="both"/>
        <w:rPr>
          <w:rFonts w:ascii="Verdana" w:eastAsia="Times New Roman" w:hAnsi="Verdana" w:cs="Arial"/>
          <w:shd w:val="clear" w:color="auto" w:fill="FFFFFF"/>
          <w:lang w:val="es-ES_tradnl"/>
        </w:rPr>
      </w:pPr>
    </w:p>
    <w:p w14:paraId="0597FE62" w14:textId="77777777" w:rsidR="005059A4" w:rsidRPr="002A000A" w:rsidRDefault="005059A4" w:rsidP="005059A4">
      <w:pPr>
        <w:widowControl w:val="0"/>
        <w:autoSpaceDE w:val="0"/>
        <w:autoSpaceDN w:val="0"/>
        <w:spacing w:after="0" w:line="276" w:lineRule="auto"/>
        <w:jc w:val="both"/>
        <w:rPr>
          <w:rFonts w:ascii="Verdana" w:eastAsia="Calibri" w:hAnsi="Verdana" w:cs="Arial"/>
          <w:shd w:val="clear" w:color="auto" w:fill="FFFFFF"/>
          <w:lang w:val="es-ES"/>
        </w:rPr>
      </w:pPr>
      <w:r w:rsidRPr="38FACAB2">
        <w:rPr>
          <w:rFonts w:ascii="Verdana" w:eastAsia="Times New Roman" w:hAnsi="Verdana" w:cs="Arial"/>
          <w:shd w:val="clear" w:color="auto" w:fill="FFFFFF"/>
          <w:lang w:val="es-ES"/>
        </w:rPr>
        <w:t xml:space="preserve">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r w:rsidRPr="001710C1">
        <w:rPr>
          <w:rFonts w:ascii="Verdana" w:eastAsia="Times New Roman" w:hAnsi="Verdana" w:cs="Arial"/>
          <w:shd w:val="clear" w:color="auto" w:fill="FFFFFF"/>
          <w:lang w:val="es-ES"/>
        </w:rPr>
        <w:t xml:space="preserve">Acceda a </w:t>
      </w:r>
      <w:r w:rsidRPr="001710C1">
        <w:rPr>
          <w:rFonts w:ascii="Verdana" w:eastAsia="Times New Roman" w:hAnsi="Verdana" w:cs="Arial"/>
          <w:shd w:val="clear" w:color="auto" w:fill="FFFFFF"/>
          <w:lang w:val="es-ES"/>
        </w:rPr>
        <w:lastRenderedPageBreak/>
        <w:t>través del siguiente enlace: </w:t>
      </w:r>
      <w:hyperlink r:id="rId14" w:tgtFrame="_blank" w:tooltip="Dirección URL original: https://relatoria.colombiacompra.gov.co/. Haga clic o pulse si confía en este vínculo." w:history="1">
        <w:r w:rsidRPr="001710C1">
          <w:rPr>
            <w:rFonts w:ascii="Verdana" w:eastAsia="Times New Roman" w:hAnsi="Verdana" w:cs="Arial"/>
            <w:shd w:val="clear" w:color="auto" w:fill="FFFFFF"/>
            <w:lang w:val="es-ES"/>
          </w:rPr>
          <w:t>https://relatoria.colombiacompra.gov.co/</w:t>
        </w:r>
      </w:hyperlink>
      <w:r w:rsidRPr="001710C1">
        <w:rPr>
          <w:rFonts w:ascii="Verdana" w:eastAsia="Times New Roman" w:hAnsi="Verdana" w:cs="Arial"/>
          <w:shd w:val="clear" w:color="auto" w:fill="FFFFFF"/>
          <w:lang w:val="es-ES"/>
        </w:rPr>
        <w:t xml:space="preserve"> </w:t>
      </w:r>
    </w:p>
    <w:p w14:paraId="53146437" w14:textId="3223850E" w:rsidR="005059A4" w:rsidRPr="00BC3A80" w:rsidRDefault="005059A4" w:rsidP="005059A4">
      <w:pPr>
        <w:widowControl w:val="0"/>
        <w:autoSpaceDE w:val="0"/>
        <w:autoSpaceDN w:val="0"/>
        <w:spacing w:after="0" w:line="276" w:lineRule="auto"/>
        <w:jc w:val="both"/>
        <w:rPr>
          <w:rFonts w:ascii="Verdana" w:hAnsi="Verdana" w:cs="Arial"/>
          <w:color w:val="000000" w:themeColor="text1"/>
          <w:shd w:val="clear" w:color="auto" w:fill="FFFFFF"/>
          <w:lang w:val="es-ES_tradnl"/>
        </w:rPr>
      </w:pPr>
    </w:p>
    <w:p w14:paraId="505568F9" w14:textId="77777777" w:rsidR="005059A4" w:rsidRPr="00BC3A80" w:rsidRDefault="005059A4" w:rsidP="005059A4">
      <w:pPr>
        <w:spacing w:after="0" w:line="276" w:lineRule="auto"/>
        <w:jc w:val="both"/>
        <w:rPr>
          <w:rFonts w:ascii="Verdana" w:hAnsi="Verdana"/>
        </w:rPr>
      </w:pPr>
      <w:r w:rsidRPr="00BC3A80">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7A8EDDF" w14:textId="77777777" w:rsidR="005059A4" w:rsidRPr="00BC3A80" w:rsidRDefault="005059A4" w:rsidP="005059A4">
      <w:pPr>
        <w:spacing w:after="0" w:line="276" w:lineRule="auto"/>
        <w:jc w:val="both"/>
        <w:rPr>
          <w:rFonts w:ascii="Verdana" w:hAnsi="Verdana"/>
        </w:rPr>
      </w:pPr>
    </w:p>
    <w:p w14:paraId="26BA86EA" w14:textId="77777777" w:rsidR="005059A4" w:rsidRPr="00BC3A80" w:rsidRDefault="005059A4" w:rsidP="0082525D">
      <w:pPr>
        <w:numPr>
          <w:ilvl w:val="0"/>
          <w:numId w:val="15"/>
        </w:numPr>
        <w:spacing w:after="0" w:line="276" w:lineRule="auto"/>
        <w:jc w:val="both"/>
        <w:rPr>
          <w:rFonts w:ascii="Verdana" w:eastAsia="Verdana" w:hAnsi="Verdana" w:cs="Verdana"/>
          <w:color w:val="4472C4" w:themeColor="accent1"/>
          <w:u w:val="single"/>
          <w:lang w:val="es-MX"/>
        </w:rPr>
      </w:pPr>
      <w:r w:rsidRPr="00BC3A80">
        <w:rPr>
          <w:rFonts w:ascii="Verdana" w:eastAsia="Verdana" w:hAnsi="Verdana" w:cs="Verdana"/>
          <w:lang w:val="es-MX"/>
        </w:rPr>
        <w:t xml:space="preserve">Línea nacional gratuita o servicio a la ciudadanía (Mesa de servicio): </w:t>
      </w:r>
      <w:r w:rsidRPr="00BC3A80">
        <w:rPr>
          <w:rFonts w:ascii="Verdana" w:hAnsi="Verdana"/>
          <w:color w:val="0000FF"/>
          <w:u w:val="single"/>
          <w:lang w:val="es-ES"/>
        </w:rPr>
        <w:t>01800 0520808</w:t>
      </w:r>
    </w:p>
    <w:p w14:paraId="5CD67F12" w14:textId="77777777" w:rsidR="005059A4" w:rsidRPr="00BC3A80" w:rsidRDefault="005059A4" w:rsidP="0082525D">
      <w:pPr>
        <w:numPr>
          <w:ilvl w:val="0"/>
          <w:numId w:val="15"/>
        </w:numPr>
        <w:spacing w:after="0" w:line="276" w:lineRule="auto"/>
        <w:rPr>
          <w:rFonts w:ascii="Verdana" w:eastAsia="Verdana" w:hAnsi="Verdana" w:cs="Verdana"/>
          <w:color w:val="4472C4" w:themeColor="accent1"/>
          <w:u w:val="single"/>
          <w:lang w:val="es-MX"/>
        </w:rPr>
      </w:pPr>
      <w:r w:rsidRPr="00BC3A80">
        <w:rPr>
          <w:rFonts w:ascii="Verdana" w:eastAsia="Verdana" w:hAnsi="Verdana" w:cs="Verdana"/>
          <w:lang w:val="es-MX"/>
        </w:rPr>
        <w:t>Línea en Bogotá (Mesa de servicio</w:t>
      </w:r>
      <w:proofErr w:type="gramStart"/>
      <w:r w:rsidRPr="00BC3A80">
        <w:rPr>
          <w:rFonts w:ascii="Verdana" w:eastAsia="Verdana" w:hAnsi="Verdana" w:cs="Verdana"/>
          <w:lang w:val="es-MX"/>
        </w:rPr>
        <w:t>):</w:t>
      </w:r>
      <w:r w:rsidRPr="00BC3A80">
        <w:rPr>
          <w:rFonts w:ascii="Verdana" w:hAnsi="Verdana"/>
          <w:color w:val="0000FF"/>
          <w:u w:val="single"/>
          <w:lang w:val="es-ES"/>
        </w:rPr>
        <w:t>+</w:t>
      </w:r>
      <w:proofErr w:type="gramEnd"/>
      <w:r w:rsidRPr="00BC3A80">
        <w:rPr>
          <w:rFonts w:ascii="Verdana" w:hAnsi="Verdana"/>
          <w:color w:val="0000FF"/>
          <w:u w:val="single"/>
          <w:lang w:val="es-ES"/>
        </w:rPr>
        <w:t>57 601 7456788</w:t>
      </w:r>
    </w:p>
    <w:p w14:paraId="2BD5BAFE" w14:textId="77777777" w:rsidR="005059A4" w:rsidRPr="00BC3A80" w:rsidRDefault="005059A4" w:rsidP="0082525D">
      <w:pPr>
        <w:numPr>
          <w:ilvl w:val="0"/>
          <w:numId w:val="15"/>
        </w:numPr>
        <w:spacing w:after="0" w:line="276" w:lineRule="auto"/>
        <w:rPr>
          <w:rFonts w:ascii="Verdana" w:eastAsia="Verdana" w:hAnsi="Verdana" w:cs="Verdana"/>
          <w:color w:val="0000FF"/>
          <w:u w:val="single"/>
          <w:lang w:val="es-MX"/>
        </w:rPr>
      </w:pPr>
      <w:r w:rsidRPr="001710C1">
        <w:rPr>
          <w:rFonts w:ascii="Verdana" w:eastAsia="Verdana" w:hAnsi="Verdana" w:cs="Verdana"/>
          <w:lang w:val="es-MX"/>
        </w:rPr>
        <w:t xml:space="preserve">Correo de radicación de correspondencia: </w:t>
      </w:r>
      <w:hyperlink r:id="rId15" w:history="1">
        <w:r w:rsidRPr="001710C1">
          <w:rPr>
            <w:rFonts w:ascii="Verdana" w:eastAsia="Verdana" w:hAnsi="Verdana" w:cs="Verdana"/>
            <w:color w:val="0000FF"/>
            <w:u w:val="single"/>
            <w:lang w:val="es-MX"/>
          </w:rPr>
          <w:t>ventanilladeradicacion@colombiacompra.gov.co</w:t>
        </w:r>
      </w:hyperlink>
    </w:p>
    <w:p w14:paraId="417379DD" w14:textId="77777777" w:rsidR="005059A4" w:rsidRPr="00BC3A80" w:rsidRDefault="005059A4" w:rsidP="0082525D">
      <w:pPr>
        <w:numPr>
          <w:ilvl w:val="0"/>
          <w:numId w:val="15"/>
        </w:numPr>
        <w:spacing w:after="0" w:line="276" w:lineRule="auto"/>
        <w:rPr>
          <w:rFonts w:ascii="Verdana" w:eastAsia="Verdana" w:hAnsi="Verdana" w:cs="Verdana"/>
          <w:color w:val="0000FF"/>
          <w:u w:val="single"/>
          <w:lang w:val="es-MX"/>
        </w:rPr>
      </w:pPr>
      <w:r w:rsidRPr="001710C1">
        <w:rPr>
          <w:rFonts w:ascii="Verdana" w:eastAsia="Verdana" w:hAnsi="Verdana" w:cs="Verdana"/>
          <w:lang w:val="es-ES"/>
        </w:rPr>
        <w:t xml:space="preserve">Formulario web para PQRSD: </w:t>
      </w:r>
      <w:hyperlink r:id="rId16" w:history="1">
        <w:r w:rsidRPr="001710C1">
          <w:rPr>
            <w:rFonts w:ascii="Verdana" w:eastAsia="Verdana" w:hAnsi="Verdana" w:cs="Verdana"/>
            <w:color w:val="0000FF"/>
            <w:u w:val="single"/>
            <w:lang w:val="es-MX"/>
          </w:rPr>
          <w:t>https://www.colombiacompra.gov.co/pqrsd/informacion-importante-antes-de-formular-una-pqrsd</w:t>
        </w:r>
      </w:hyperlink>
    </w:p>
    <w:p w14:paraId="0616FA17" w14:textId="77777777" w:rsidR="005059A4" w:rsidRPr="00BC3A80" w:rsidRDefault="005059A4" w:rsidP="005059A4">
      <w:pPr>
        <w:spacing w:after="0" w:line="276" w:lineRule="auto"/>
        <w:ind w:left="720"/>
        <w:jc w:val="both"/>
        <w:rPr>
          <w:rFonts w:ascii="Verdana" w:hAnsi="Verdana"/>
        </w:rPr>
      </w:pPr>
    </w:p>
    <w:p w14:paraId="3A84FFED" w14:textId="77777777" w:rsidR="005059A4" w:rsidRPr="00BC3A80" w:rsidRDefault="005059A4" w:rsidP="005059A4">
      <w:pPr>
        <w:spacing w:after="0" w:line="276" w:lineRule="auto"/>
        <w:rPr>
          <w:rFonts w:ascii="Verdana" w:hAnsi="Verdana"/>
        </w:rPr>
      </w:pPr>
      <w:r w:rsidRPr="00BC3A80">
        <w:rPr>
          <w:rFonts w:ascii="Verdana" w:hAnsi="Verdana"/>
        </w:rPr>
        <w:t xml:space="preserve">Evalúa el servicio que ofrece la Agencia por el canal de atención de PQRSD en el siguiente </w:t>
      </w:r>
      <w:proofErr w:type="gramStart"/>
      <w:r w:rsidRPr="00BC3A80">
        <w:rPr>
          <w:rFonts w:ascii="Verdana" w:hAnsi="Verdana"/>
        </w:rPr>
        <w:t>enlace :</w:t>
      </w:r>
      <w:proofErr w:type="gramEnd"/>
      <w:hyperlink r:id="rId17" w:tgtFrame="_blank" w:tooltip="https://forms.office.com/r/pphywvs2sz" w:history="1">
        <w:r w:rsidRPr="001710C1">
          <w:rPr>
            <w:rFonts w:ascii="Verdana" w:hAnsi="Verdana"/>
            <w:color w:val="0000FF"/>
            <w:u w:val="single"/>
          </w:rPr>
          <w:t>https://forms.office.com/r/pPHyWVs2SZ</w:t>
        </w:r>
      </w:hyperlink>
      <w:r w:rsidRPr="00BC3A80">
        <w:rPr>
          <w:rFonts w:ascii="Verdana" w:hAnsi="Verdana"/>
        </w:rPr>
        <w:t xml:space="preserve"> .¡Ayúdanos a mejorar porque el compromiso es de todos!</w:t>
      </w:r>
    </w:p>
    <w:p w14:paraId="1B5AEA16" w14:textId="77777777" w:rsidR="005059A4" w:rsidRPr="00BC3A80" w:rsidRDefault="005059A4" w:rsidP="005059A4">
      <w:pPr>
        <w:spacing w:after="0" w:line="276" w:lineRule="auto"/>
        <w:rPr>
          <w:rFonts w:ascii="Verdana" w:hAnsi="Verdana"/>
        </w:rPr>
      </w:pPr>
    </w:p>
    <w:p w14:paraId="09D3104F" w14:textId="77777777" w:rsidR="005059A4" w:rsidRPr="00BC3A80" w:rsidRDefault="005059A4" w:rsidP="005059A4">
      <w:pPr>
        <w:spacing w:after="0" w:line="276" w:lineRule="auto"/>
        <w:jc w:val="both"/>
        <w:rPr>
          <w:rFonts w:ascii="Verdana" w:hAnsi="Verdana"/>
        </w:rPr>
      </w:pPr>
      <w:r w:rsidRPr="00BC3A80">
        <w:rPr>
          <w:rFonts w:ascii="Verdana" w:hAnsi="Verdana"/>
        </w:rPr>
        <w:t xml:space="preserve">Por último, lo invitamos a seguirnos en las redes sociales en las cuales se difunde información institucional: </w:t>
      </w:r>
    </w:p>
    <w:p w14:paraId="012550AA" w14:textId="77777777" w:rsidR="005059A4" w:rsidRPr="00BC3A80" w:rsidRDefault="005059A4" w:rsidP="005059A4">
      <w:pPr>
        <w:spacing w:after="0" w:line="276" w:lineRule="auto"/>
        <w:jc w:val="both"/>
        <w:rPr>
          <w:rFonts w:ascii="Verdana" w:hAnsi="Verdana"/>
        </w:rPr>
      </w:pPr>
    </w:p>
    <w:p w14:paraId="0F943272" w14:textId="77777777" w:rsidR="005059A4" w:rsidRPr="00BC3A80" w:rsidRDefault="005059A4" w:rsidP="005059A4">
      <w:pPr>
        <w:spacing w:after="0" w:line="276" w:lineRule="auto"/>
        <w:jc w:val="both"/>
        <w:rPr>
          <w:rFonts w:ascii="Verdana" w:hAnsi="Verdana"/>
        </w:rPr>
      </w:pPr>
      <w:r w:rsidRPr="00BC3A80">
        <w:rPr>
          <w:rFonts w:ascii="Verdana" w:hAnsi="Verdana"/>
        </w:rPr>
        <w:t xml:space="preserve">Twitter: </w:t>
      </w:r>
      <w:r w:rsidRPr="00BC3A80">
        <w:rPr>
          <w:rFonts w:ascii="Verdana" w:hAnsi="Verdana"/>
          <w:color w:val="0000FF"/>
          <w:u w:val="single"/>
        </w:rPr>
        <w:t>@colombiacompra</w:t>
      </w:r>
      <w:r w:rsidRPr="00BC3A80">
        <w:rPr>
          <w:rFonts w:ascii="Verdana" w:hAnsi="Verdana"/>
        </w:rPr>
        <w:t xml:space="preserve"> </w:t>
      </w:r>
    </w:p>
    <w:p w14:paraId="43600B18" w14:textId="77777777" w:rsidR="005059A4" w:rsidRPr="00BC3A80" w:rsidRDefault="005059A4" w:rsidP="005059A4">
      <w:pPr>
        <w:spacing w:after="0" w:line="276" w:lineRule="auto"/>
        <w:jc w:val="both"/>
        <w:rPr>
          <w:rFonts w:ascii="Verdana" w:hAnsi="Verdana"/>
        </w:rPr>
      </w:pPr>
      <w:r w:rsidRPr="00BC3A80">
        <w:rPr>
          <w:rFonts w:ascii="Verdana" w:hAnsi="Verdana"/>
        </w:rPr>
        <w:t xml:space="preserve">Facebook: </w:t>
      </w:r>
      <w:proofErr w:type="spellStart"/>
      <w:r w:rsidRPr="00BC3A80">
        <w:rPr>
          <w:rFonts w:ascii="Verdana" w:hAnsi="Verdana"/>
          <w:color w:val="0000FF"/>
          <w:u w:val="single"/>
        </w:rPr>
        <w:t>ColombiaCompraEficiente</w:t>
      </w:r>
      <w:proofErr w:type="spellEnd"/>
    </w:p>
    <w:p w14:paraId="5696683A" w14:textId="77777777" w:rsidR="005059A4" w:rsidRPr="00BC3A80" w:rsidRDefault="005059A4" w:rsidP="005059A4">
      <w:pPr>
        <w:spacing w:after="0" w:line="276" w:lineRule="auto"/>
        <w:jc w:val="both"/>
        <w:rPr>
          <w:rFonts w:ascii="Verdana" w:hAnsi="Verdana"/>
        </w:rPr>
      </w:pPr>
      <w:r w:rsidRPr="00BC3A80">
        <w:rPr>
          <w:rFonts w:ascii="Verdana" w:hAnsi="Verdana"/>
        </w:rPr>
        <w:t xml:space="preserve">LinkedIn: </w:t>
      </w:r>
      <w:r w:rsidRPr="00BC3A80">
        <w:rPr>
          <w:rFonts w:ascii="Verdana" w:hAnsi="Verdana"/>
          <w:color w:val="0000FF"/>
          <w:u w:val="single"/>
        </w:rPr>
        <w:t>Agencia Nacional de Contratación Pública - Colombia Compra Eficiente</w:t>
      </w:r>
      <w:r w:rsidRPr="00BC3A80">
        <w:rPr>
          <w:rFonts w:ascii="Verdana" w:hAnsi="Verdana"/>
        </w:rPr>
        <w:t xml:space="preserve"> Instagram: </w:t>
      </w:r>
      <w:r w:rsidRPr="00BC3A80">
        <w:rPr>
          <w:rFonts w:ascii="Verdana" w:hAnsi="Verdana"/>
          <w:color w:val="0000FF"/>
          <w:u w:val="single"/>
        </w:rPr>
        <w:t>@colombiacompraeficiente_cce</w:t>
      </w:r>
    </w:p>
    <w:p w14:paraId="63296CC2" w14:textId="77777777" w:rsidR="005059A4" w:rsidRPr="00BC3A80" w:rsidRDefault="005059A4" w:rsidP="0082525D">
      <w:pPr>
        <w:widowControl w:val="0"/>
        <w:autoSpaceDE w:val="0"/>
        <w:autoSpaceDN w:val="0"/>
        <w:spacing w:after="0" w:line="276" w:lineRule="auto"/>
        <w:jc w:val="both"/>
        <w:rPr>
          <w:rFonts w:ascii="Verdana" w:hAnsi="Verdana" w:cs="Arial"/>
          <w:color w:val="FF0000"/>
          <w:shd w:val="clear" w:color="auto" w:fill="FFFFFF"/>
          <w:lang w:val="es-ES_tradnl"/>
        </w:rPr>
      </w:pPr>
      <w:r w:rsidRPr="00BC3A80">
        <w:rPr>
          <w:rFonts w:ascii="Verdana" w:hAnsi="Verdana" w:cs="Arial"/>
          <w:color w:val="FF0000"/>
          <w:shd w:val="clear" w:color="auto" w:fill="FFFFFF"/>
          <w:lang w:val="es-ES_tradnl"/>
        </w:rPr>
        <w:t xml:space="preserve">        </w:t>
      </w:r>
    </w:p>
    <w:p w14:paraId="473E39B3" w14:textId="77777777" w:rsidR="005059A4" w:rsidRPr="00BC3A80" w:rsidRDefault="005059A4" w:rsidP="005059A4">
      <w:pPr>
        <w:widowControl w:val="0"/>
        <w:autoSpaceDE w:val="0"/>
        <w:autoSpaceDN w:val="0"/>
        <w:spacing w:after="0" w:line="276" w:lineRule="auto"/>
        <w:jc w:val="both"/>
        <w:rPr>
          <w:rFonts w:ascii="Verdana" w:hAnsi="Verdana" w:cs="Arial"/>
          <w:lang w:val="es-ES_tradnl"/>
        </w:rPr>
      </w:pPr>
      <w:r w:rsidRPr="00BC3A80">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39385F18" w14:textId="77777777" w:rsidR="005059A4" w:rsidRPr="00BC3A80" w:rsidRDefault="005059A4" w:rsidP="005059A4">
      <w:pPr>
        <w:widowControl w:val="0"/>
        <w:autoSpaceDE w:val="0"/>
        <w:autoSpaceDN w:val="0"/>
        <w:spacing w:after="0" w:line="276" w:lineRule="auto"/>
        <w:jc w:val="both"/>
        <w:rPr>
          <w:rFonts w:ascii="Verdana" w:hAnsi="Verdana" w:cs="Arial"/>
          <w:lang w:val="es-ES_tradnl"/>
        </w:rPr>
      </w:pPr>
    </w:p>
    <w:p w14:paraId="42A4F81B" w14:textId="77777777" w:rsidR="005059A4" w:rsidRDefault="005059A4" w:rsidP="005059A4">
      <w:pPr>
        <w:spacing w:after="0" w:line="276" w:lineRule="auto"/>
        <w:rPr>
          <w:rFonts w:ascii="Verdana" w:eastAsia="Times New Roman" w:hAnsi="Verdana" w:cs="Arial"/>
          <w:lang w:eastAsia="es-ES_tradnl"/>
        </w:rPr>
      </w:pPr>
      <w:r w:rsidRPr="00BC3A80">
        <w:rPr>
          <w:rFonts w:ascii="Verdana" w:eastAsia="Times New Roman" w:hAnsi="Verdana" w:cs="Arial"/>
          <w:lang w:val="es-ES_tradnl" w:eastAsia="es-CO"/>
        </w:rPr>
        <w:t>Atentamente,</w:t>
      </w:r>
      <w:r w:rsidRPr="00BC3A80">
        <w:rPr>
          <w:rFonts w:ascii="Verdana" w:hAnsi="Verdana" w:cs="Arial"/>
          <w:lang w:val="es-ES_tradnl" w:eastAsia="es-CO"/>
        </w:rPr>
        <w:t xml:space="preserve"> </w:t>
      </w:r>
    </w:p>
    <w:p w14:paraId="4DCEFC39" w14:textId="77777777" w:rsidR="005059A4" w:rsidRPr="00116940" w:rsidRDefault="005059A4" w:rsidP="0082525D">
      <w:pPr>
        <w:spacing w:after="0" w:line="276" w:lineRule="auto"/>
        <w:jc w:val="both"/>
        <w:rPr>
          <w:rFonts w:ascii="Verdana" w:hAnsi="Verdana"/>
        </w:rPr>
      </w:pPr>
    </w:p>
    <w:p w14:paraId="290A9C27" w14:textId="0ECF400E" w:rsidR="000919A6" w:rsidRDefault="00E3615E" w:rsidP="005059A4">
      <w:pPr>
        <w:spacing w:after="0" w:line="240" w:lineRule="auto"/>
        <w:jc w:val="center"/>
      </w:pPr>
      <w:r w:rsidRPr="002C3AD6">
        <w:rPr>
          <w:rFonts w:ascii="Century Gothic" w:hAnsi="Century Gothic"/>
          <w:noProof/>
        </w:rPr>
        <w:lastRenderedPageBreak/>
        <w:drawing>
          <wp:inline distT="0" distB="0" distL="0" distR="0" wp14:anchorId="02D8BE13" wp14:editId="50008AB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919A6" w:rsidRPr="00791C6B" w14:paraId="7E715D50" w14:textId="77777777" w:rsidTr="00827AD0">
        <w:trPr>
          <w:trHeight w:val="315"/>
        </w:trPr>
        <w:tc>
          <w:tcPr>
            <w:tcW w:w="893" w:type="dxa"/>
            <w:vAlign w:val="center"/>
            <w:hideMark/>
          </w:tcPr>
          <w:p w14:paraId="2BD3B2A6" w14:textId="77777777" w:rsidR="000919A6" w:rsidRPr="003751C7" w:rsidRDefault="000919A6" w:rsidP="00827AD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37950BC" w14:textId="77777777" w:rsidR="000919A6" w:rsidRPr="00791C6B" w:rsidRDefault="000919A6" w:rsidP="00827AD0">
            <w:pPr>
              <w:contextualSpacing/>
              <w:rPr>
                <w:rFonts w:ascii="Verdana" w:eastAsia="Arial" w:hAnsi="Verdana" w:cs="Arial"/>
                <w:sz w:val="16"/>
                <w:szCs w:val="16"/>
              </w:rPr>
            </w:pPr>
            <w:r>
              <w:rPr>
                <w:rFonts w:ascii="Verdana" w:eastAsia="Arial" w:hAnsi="Verdana" w:cs="Arial"/>
                <w:sz w:val="16"/>
                <w:szCs w:val="16"/>
              </w:rPr>
              <w:t>Richard Andrés Montenegro Siefken</w:t>
            </w:r>
          </w:p>
          <w:p w14:paraId="101B329D" w14:textId="77777777" w:rsidR="000919A6" w:rsidRPr="00791C6B" w:rsidRDefault="000919A6" w:rsidP="00827AD0">
            <w:pPr>
              <w:contextualSpacing/>
              <w:rPr>
                <w:rFonts w:ascii="Verdana" w:eastAsia="Arial" w:hAnsi="Verdana" w:cs="Arial"/>
                <w:sz w:val="16"/>
                <w:szCs w:val="16"/>
              </w:rPr>
            </w:pPr>
            <w:r w:rsidRPr="00791C6B">
              <w:rPr>
                <w:rStyle w:val="normaltextrun"/>
                <w:rFonts w:ascii="Verdana" w:eastAsia="Arial" w:hAnsi="Verdana" w:cs="Arial"/>
                <w:sz w:val="16"/>
                <w:szCs w:val="16"/>
              </w:rPr>
              <w:t>Contratista de la Subdirección de Gestión Contractual</w:t>
            </w:r>
          </w:p>
        </w:tc>
      </w:tr>
      <w:tr w:rsidR="000919A6" w:rsidRPr="00791C6B" w14:paraId="74742300" w14:textId="77777777" w:rsidTr="00827AD0">
        <w:trPr>
          <w:trHeight w:val="330"/>
        </w:trPr>
        <w:tc>
          <w:tcPr>
            <w:tcW w:w="893" w:type="dxa"/>
            <w:vAlign w:val="center"/>
            <w:hideMark/>
          </w:tcPr>
          <w:p w14:paraId="5E15D3AD" w14:textId="77777777" w:rsidR="000919A6" w:rsidRPr="003751C7" w:rsidRDefault="000919A6" w:rsidP="00827AD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6667961" w14:textId="77777777" w:rsidR="000919A6" w:rsidRPr="00791C6B" w:rsidRDefault="000919A6" w:rsidP="00827AD0">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Diana Lucia Saavedra Castañeda</w:t>
            </w:r>
          </w:p>
          <w:p w14:paraId="244B3670" w14:textId="77777777" w:rsidR="000919A6" w:rsidRPr="00791C6B" w:rsidRDefault="000919A6" w:rsidP="00827AD0">
            <w:pPr>
              <w:pStyle w:val="paragraph"/>
              <w:spacing w:before="0" w:beforeAutospacing="0" w:after="0" w:afterAutospacing="0"/>
              <w:contextualSpacing/>
              <w:textAlignment w:val="baseline"/>
              <w:rPr>
                <w:rFonts w:ascii="Verdana" w:hAnsi="Verdana" w:cs="Segoe UI"/>
                <w:sz w:val="16"/>
                <w:szCs w:val="16"/>
              </w:rPr>
            </w:pPr>
            <w:r w:rsidRPr="00791C6B">
              <w:rPr>
                <w:rStyle w:val="normaltextrun"/>
                <w:rFonts w:ascii="Verdana" w:hAnsi="Verdana" w:cs="Arial"/>
                <w:sz w:val="16"/>
                <w:szCs w:val="16"/>
                <w:lang w:val="es-ES"/>
              </w:rPr>
              <w:t>Contratista de la Subdirección de Gestión Contractual</w:t>
            </w:r>
            <w:r w:rsidRPr="00791C6B">
              <w:rPr>
                <w:rStyle w:val="eop"/>
                <w:rFonts w:ascii="Verdana" w:hAnsi="Verdana" w:cs="Arial"/>
                <w:sz w:val="16"/>
                <w:szCs w:val="16"/>
              </w:rPr>
              <w:t> </w:t>
            </w:r>
          </w:p>
        </w:tc>
      </w:tr>
      <w:tr w:rsidR="000919A6" w:rsidRPr="000919A6" w14:paraId="4207D687" w14:textId="77777777" w:rsidTr="00827AD0">
        <w:trPr>
          <w:trHeight w:val="300"/>
        </w:trPr>
        <w:tc>
          <w:tcPr>
            <w:tcW w:w="893" w:type="dxa"/>
            <w:vAlign w:val="center"/>
          </w:tcPr>
          <w:p w14:paraId="266FBFAC" w14:textId="77777777" w:rsidR="000919A6" w:rsidRPr="003751C7" w:rsidRDefault="000919A6" w:rsidP="00827AD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18E8F3" w14:textId="76A566AC" w:rsidR="000919A6" w:rsidRPr="000919A6" w:rsidRDefault="000919A6" w:rsidP="00827AD0">
            <w:pPr>
              <w:contextualSpacing/>
              <w:rPr>
                <w:rFonts w:ascii="Verdana" w:eastAsia="Calibri" w:hAnsi="Verdana" w:cs="Arial"/>
                <w:sz w:val="16"/>
                <w:szCs w:val="16"/>
                <w:lang w:eastAsia="es-ES"/>
              </w:rPr>
            </w:pPr>
            <w:r>
              <w:rPr>
                <w:rFonts w:ascii="Verdana" w:eastAsia="Calibri" w:hAnsi="Verdana" w:cs="Arial"/>
                <w:sz w:val="16"/>
                <w:szCs w:val="16"/>
                <w:lang w:eastAsia="es-ES"/>
              </w:rPr>
              <w:t>Carolina Quintero Gacharná</w:t>
            </w:r>
          </w:p>
          <w:p w14:paraId="5EAD8658" w14:textId="71BDAFC4" w:rsidR="000919A6" w:rsidRPr="000919A6" w:rsidRDefault="000919A6" w:rsidP="00827AD0">
            <w:pPr>
              <w:contextualSpacing/>
              <w:rPr>
                <w:rFonts w:ascii="Verdana" w:eastAsia="Calibri" w:hAnsi="Verdana" w:cs="Arial"/>
                <w:sz w:val="16"/>
                <w:szCs w:val="16"/>
                <w:lang w:eastAsia="es-ES"/>
              </w:rPr>
            </w:pPr>
            <w:r w:rsidRPr="003751C7">
              <w:rPr>
                <w:rFonts w:ascii="Verdana" w:eastAsia="Calibri" w:hAnsi="Verdana" w:cs="Arial"/>
                <w:sz w:val="16"/>
                <w:szCs w:val="16"/>
                <w:lang w:eastAsia="es-ES"/>
              </w:rPr>
              <w:t>Subdirectora</w:t>
            </w:r>
            <w:r w:rsidRPr="000919A6">
              <w:rPr>
                <w:rFonts w:ascii="Verdana" w:eastAsia="Calibri" w:hAnsi="Verdana" w:cs="Arial"/>
                <w:sz w:val="16"/>
                <w:szCs w:val="16"/>
                <w:lang w:eastAsia="es-ES"/>
              </w:rPr>
              <w:t xml:space="preserve"> de Gestión Contractual ANCP – CCE</w:t>
            </w:r>
          </w:p>
        </w:tc>
      </w:tr>
    </w:tbl>
    <w:p w14:paraId="2ABCB9A7" w14:textId="77777777" w:rsidR="005059A4" w:rsidRPr="00AB4CEF" w:rsidRDefault="005059A4" w:rsidP="005059A4"/>
    <w:p w14:paraId="06E3874F" w14:textId="77777777" w:rsidR="005059A4" w:rsidRDefault="005059A4" w:rsidP="004F66EF">
      <w:pPr>
        <w:snapToGrid w:val="0"/>
        <w:spacing w:after="0" w:line="276" w:lineRule="auto"/>
        <w:ind w:firstLine="708"/>
        <w:jc w:val="both"/>
        <w:rPr>
          <w:rFonts w:ascii="Verdana" w:eastAsia="Calibri" w:hAnsi="Verdana" w:cs="Arial"/>
        </w:rPr>
      </w:pPr>
    </w:p>
    <w:p w14:paraId="4B46930C" w14:textId="77777777" w:rsidR="004F66EF" w:rsidRDefault="004F66EF" w:rsidP="005D63FE">
      <w:pPr>
        <w:spacing w:after="120" w:line="276" w:lineRule="auto"/>
        <w:jc w:val="both"/>
        <w:rPr>
          <w:rFonts w:ascii="Verdana" w:eastAsia="Century Gothic" w:hAnsi="Verdana" w:cs="Century Gothic"/>
        </w:rPr>
      </w:pPr>
    </w:p>
    <w:p w14:paraId="0F293BF4" w14:textId="1A2DD4ED" w:rsidR="00127233" w:rsidRPr="005D63FE" w:rsidRDefault="00127233" w:rsidP="006743D6">
      <w:pPr>
        <w:spacing w:after="0"/>
      </w:pPr>
    </w:p>
    <w:sectPr w:rsidR="00127233" w:rsidRPr="005D63FE"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1673F" w14:textId="77777777" w:rsidR="00175C51" w:rsidRDefault="00175C51" w:rsidP="004A1847">
      <w:pPr>
        <w:spacing w:after="0" w:line="240" w:lineRule="auto"/>
      </w:pPr>
      <w:r>
        <w:separator/>
      </w:r>
    </w:p>
  </w:endnote>
  <w:endnote w:type="continuationSeparator" w:id="0">
    <w:p w14:paraId="66C4AA39" w14:textId="77777777" w:rsidR="00175C51" w:rsidRDefault="00175C5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DB70B1"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DB70B1">
      <w:rPr>
        <w:rFonts w:ascii="Century Gothic" w:eastAsia="Geo" w:hAnsi="Century Gothic" w:cs="Geo"/>
        <w:b/>
        <w:bCs/>
        <w:color w:val="000000" w:themeColor="text1"/>
        <w:sz w:val="16"/>
        <w:szCs w:val="16"/>
        <w:lang w:val="pt-PT" w:eastAsia="es-CO"/>
      </w:rPr>
      <w:t xml:space="preserve">Código: </w:t>
    </w:r>
    <w:r w:rsidRPr="00DB70B1">
      <w:rPr>
        <w:rFonts w:ascii="Century Gothic" w:eastAsia="Geo" w:hAnsi="Century Gothic" w:cs="Geo"/>
        <w:color w:val="000000" w:themeColor="text1"/>
        <w:sz w:val="16"/>
        <w:szCs w:val="16"/>
        <w:lang w:val="pt-PT" w:eastAsia="es-CO"/>
      </w:rPr>
      <w:t xml:space="preserve">CCE-REC-FM-17 </w:t>
    </w:r>
    <w:r w:rsidRPr="00DB70B1">
      <w:rPr>
        <w:rFonts w:ascii="Century Gothic" w:eastAsia="Geo" w:hAnsi="Century Gothic" w:cs="Geo"/>
        <w:b/>
        <w:bCs/>
        <w:color w:val="000000" w:themeColor="text1"/>
        <w:sz w:val="16"/>
        <w:szCs w:val="16"/>
        <w:lang w:val="pt-PT" w:eastAsia="es-CO"/>
      </w:rPr>
      <w:t>V</w:t>
    </w:r>
    <w:r w:rsidRPr="00DB70B1">
      <w:rPr>
        <w:rFonts w:ascii="Century Gothic" w:eastAsia="Arial Nova" w:hAnsi="Century Gothic" w:cs="Arial Nova"/>
        <w:b/>
        <w:bCs/>
        <w:color w:val="000000" w:themeColor="text1"/>
        <w:sz w:val="16"/>
        <w:szCs w:val="16"/>
        <w:lang w:val="pt-PT" w:eastAsia="es-CO"/>
      </w:rPr>
      <w:t xml:space="preserve">: </w:t>
    </w:r>
    <w:r w:rsidRPr="00DB70B1">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38B01" w14:textId="77777777" w:rsidR="00175C51" w:rsidRDefault="00175C51" w:rsidP="004A1847">
      <w:pPr>
        <w:spacing w:after="0" w:line="240" w:lineRule="auto"/>
      </w:pPr>
      <w:r>
        <w:separator/>
      </w:r>
    </w:p>
  </w:footnote>
  <w:footnote w:type="continuationSeparator" w:id="0">
    <w:p w14:paraId="3E3BB420" w14:textId="77777777" w:rsidR="00175C51" w:rsidRDefault="00175C51" w:rsidP="004A1847">
      <w:pPr>
        <w:spacing w:after="0" w:line="240" w:lineRule="auto"/>
      </w:pPr>
      <w:r>
        <w:continuationSeparator/>
      </w:r>
    </w:p>
  </w:footnote>
  <w:footnote w:id="1">
    <w:p w14:paraId="0944EE59" w14:textId="77777777" w:rsidR="004F66EF" w:rsidRPr="0082525D" w:rsidRDefault="004F66EF" w:rsidP="004F66EF">
      <w:pPr>
        <w:pStyle w:val="Textonotapie"/>
        <w:snapToGrid w:val="0"/>
        <w:ind w:firstLine="709"/>
        <w:jc w:val="both"/>
        <w:rPr>
          <w:rFonts w:ascii="Verdana" w:hAnsi="Verdana" w:cs="Arial"/>
          <w:sz w:val="16"/>
          <w:szCs w:val="16"/>
        </w:rPr>
      </w:pPr>
      <w:r w:rsidRPr="0082525D">
        <w:rPr>
          <w:rStyle w:val="Refdenotaalpie"/>
          <w:rFonts w:ascii="Verdana" w:hAnsi="Verdana" w:cs="Arial"/>
          <w:sz w:val="16"/>
          <w:szCs w:val="16"/>
        </w:rPr>
        <w:footnoteRef/>
      </w:r>
      <w:r w:rsidRPr="0082525D">
        <w:rPr>
          <w:rFonts w:ascii="Verdana" w:hAnsi="Verdana" w:cs="Arial"/>
          <w:sz w:val="16"/>
          <w:szCs w:val="16"/>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82525D">
        <w:rPr>
          <w:rFonts w:ascii="Verdana" w:hAnsi="Verdana" w:cs="Arial"/>
          <w:sz w:val="16"/>
          <w:szCs w:val="16"/>
        </w:rPr>
        <w:t>equivalentes,</w:t>
      </w:r>
      <w:proofErr w:type="gramEnd"/>
      <w:r w:rsidRPr="0082525D">
        <w:rPr>
          <w:rFonts w:ascii="Verdana" w:hAnsi="Verdana" w:cs="Arial"/>
          <w:sz w:val="16"/>
          <w:szCs w:val="16"/>
        </w:rPr>
        <w:t xml:space="preserve"> tendrán en cuenta los siguientes criterios:</w:t>
      </w:r>
    </w:p>
    <w:p w14:paraId="347891DE" w14:textId="51722078" w:rsidR="004F66EF"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25488B1" w14:textId="77777777" w:rsidR="004F66EF" w:rsidRPr="009F1697" w:rsidRDefault="004F66EF" w:rsidP="004F66EF">
      <w:pPr>
        <w:pStyle w:val="Textonotapie"/>
        <w:snapToGrid w:val="0"/>
        <w:ind w:firstLine="709"/>
        <w:jc w:val="both"/>
        <w:rPr>
          <w:rFonts w:ascii="Verdana" w:hAnsi="Verdana" w:cs="Arial"/>
          <w:sz w:val="16"/>
          <w:szCs w:val="16"/>
        </w:rPr>
      </w:pPr>
    </w:p>
  </w:footnote>
  <w:footnote w:id="2">
    <w:p w14:paraId="1080BAB5" w14:textId="05282B75" w:rsidR="004F66EF" w:rsidRDefault="004F66EF" w:rsidP="004F66EF">
      <w:pPr>
        <w:pStyle w:val="Textonotapie"/>
        <w:snapToGrid w:val="0"/>
        <w:ind w:firstLine="709"/>
        <w:jc w:val="both"/>
        <w:rPr>
          <w:rFonts w:ascii="Verdana" w:hAnsi="Verdana" w:cs="Arial"/>
          <w:sz w:val="16"/>
          <w:szCs w:val="16"/>
        </w:rPr>
      </w:pPr>
      <w:r w:rsidRPr="0082525D">
        <w:rPr>
          <w:rStyle w:val="Refdenotaalpie"/>
          <w:rFonts w:ascii="Verdana" w:hAnsi="Verdana" w:cs="Arial"/>
          <w:sz w:val="16"/>
          <w:szCs w:val="16"/>
        </w:rPr>
        <w:footnoteRef/>
      </w:r>
      <w:r w:rsidRPr="0082525D">
        <w:rPr>
          <w:rFonts w:ascii="Verdana" w:hAnsi="Verdana"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117D475" w14:textId="77777777" w:rsidR="004F66EF" w:rsidRPr="009F1697" w:rsidRDefault="004F66EF" w:rsidP="004F66EF">
      <w:pPr>
        <w:pStyle w:val="Textonotapie"/>
        <w:snapToGrid w:val="0"/>
        <w:ind w:firstLine="709"/>
        <w:jc w:val="both"/>
        <w:rPr>
          <w:rFonts w:ascii="Verdana" w:hAnsi="Verdana" w:cs="Arial"/>
          <w:sz w:val="16"/>
          <w:szCs w:val="16"/>
        </w:rPr>
      </w:pPr>
    </w:p>
  </w:footnote>
  <w:footnote w:id="3">
    <w:p w14:paraId="3587690D" w14:textId="77777777" w:rsidR="004F66EF" w:rsidRPr="0082525D" w:rsidRDefault="004F66EF" w:rsidP="004F66EF">
      <w:pPr>
        <w:pStyle w:val="Textonotapie"/>
        <w:snapToGrid w:val="0"/>
        <w:ind w:firstLine="709"/>
        <w:jc w:val="both"/>
        <w:rPr>
          <w:rFonts w:ascii="Verdana" w:hAnsi="Verdana" w:cs="Arial"/>
          <w:sz w:val="16"/>
          <w:szCs w:val="16"/>
        </w:rPr>
      </w:pPr>
      <w:r w:rsidRPr="0082525D">
        <w:rPr>
          <w:rStyle w:val="Refdenotaalpie"/>
          <w:rFonts w:ascii="Verdana" w:hAnsi="Verdana" w:cs="Arial"/>
          <w:sz w:val="16"/>
          <w:szCs w:val="16"/>
        </w:rPr>
        <w:footnoteRef/>
      </w:r>
      <w:r w:rsidRPr="0082525D">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6D5F383" w14:textId="77777777" w:rsidR="004F66EF" w:rsidRPr="0082525D"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78EBAF9E" w14:textId="2C14566D" w:rsidR="004F66EF"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w:t>
      </w:r>
    </w:p>
    <w:p w14:paraId="23445BE8" w14:textId="77777777" w:rsidR="004F66EF" w:rsidRPr="009F1697" w:rsidRDefault="004F66EF" w:rsidP="004F66EF">
      <w:pPr>
        <w:pStyle w:val="Textonotapie"/>
        <w:snapToGrid w:val="0"/>
        <w:ind w:firstLine="709"/>
        <w:jc w:val="both"/>
        <w:rPr>
          <w:rFonts w:ascii="Verdana" w:hAnsi="Verdana" w:cs="Arial"/>
          <w:sz w:val="16"/>
          <w:szCs w:val="16"/>
        </w:rPr>
      </w:pPr>
    </w:p>
  </w:footnote>
  <w:footnote w:id="4">
    <w:p w14:paraId="04BD4819" w14:textId="77777777" w:rsidR="004F66EF" w:rsidRPr="0082525D" w:rsidRDefault="004F66EF" w:rsidP="004F66EF">
      <w:pPr>
        <w:pStyle w:val="Textonotapie"/>
        <w:snapToGrid w:val="0"/>
        <w:ind w:firstLine="709"/>
        <w:jc w:val="both"/>
        <w:rPr>
          <w:rFonts w:ascii="Verdana" w:hAnsi="Verdana" w:cs="Arial"/>
          <w:sz w:val="16"/>
          <w:szCs w:val="16"/>
        </w:rPr>
      </w:pPr>
      <w:r w:rsidRPr="0082525D">
        <w:rPr>
          <w:rStyle w:val="Refdenotaalpie"/>
          <w:rFonts w:ascii="Verdana" w:hAnsi="Verdana" w:cs="Arial"/>
          <w:sz w:val="16"/>
          <w:szCs w:val="16"/>
        </w:rPr>
        <w:footnoteRef/>
      </w:r>
      <w:r w:rsidRPr="0082525D">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C8398C2" w14:textId="77777777" w:rsidR="004F66EF" w:rsidRPr="0082525D"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w:t>
      </w:r>
    </w:p>
    <w:p w14:paraId="0F8834BA" w14:textId="77777777" w:rsidR="004F66EF" w:rsidRPr="0082525D"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75B8CEC" w14:textId="77777777" w:rsidR="004F66EF" w:rsidRPr="0082525D"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5">
    <w:p w14:paraId="0E3A3345" w14:textId="77777777" w:rsidR="004F66EF" w:rsidRPr="0082525D" w:rsidRDefault="004F66EF" w:rsidP="004F66EF">
      <w:pPr>
        <w:pStyle w:val="Textonotapie"/>
        <w:snapToGrid w:val="0"/>
        <w:ind w:firstLine="709"/>
        <w:jc w:val="both"/>
        <w:rPr>
          <w:rFonts w:ascii="Verdana" w:hAnsi="Verdana" w:cs="Arial"/>
          <w:sz w:val="16"/>
          <w:szCs w:val="16"/>
        </w:rPr>
      </w:pPr>
    </w:p>
    <w:p w14:paraId="69CDA984" w14:textId="77777777" w:rsidR="004F66EF" w:rsidRPr="0082525D" w:rsidRDefault="004F66EF" w:rsidP="004F66EF">
      <w:pPr>
        <w:pStyle w:val="Textonotapie"/>
        <w:snapToGrid w:val="0"/>
        <w:ind w:firstLine="709"/>
        <w:jc w:val="both"/>
        <w:rPr>
          <w:rFonts w:ascii="Verdana" w:hAnsi="Verdana" w:cs="Arial"/>
          <w:sz w:val="16"/>
          <w:szCs w:val="16"/>
        </w:rPr>
      </w:pPr>
      <w:r w:rsidRPr="0082525D">
        <w:rPr>
          <w:rStyle w:val="Refdenotaalpie"/>
          <w:rFonts w:ascii="Verdana" w:hAnsi="Verdana" w:cs="Arial"/>
          <w:sz w:val="16"/>
          <w:szCs w:val="16"/>
        </w:rPr>
        <w:footnoteRef/>
      </w:r>
      <w:r w:rsidRPr="0082525D">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1ED29C9" w14:textId="77777777" w:rsidR="004F66EF" w:rsidRPr="0082525D"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1. Si es una persona natural:</w:t>
      </w:r>
    </w:p>
    <w:p w14:paraId="5268CF06" w14:textId="77777777" w:rsidR="004F66EF" w:rsidRPr="0082525D"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1.1. Bienes, obras y servicios que ofrecerá a las Entidades Estatales, identificados con el Clasificador de Bienes y Servicios en el tercer nivel.</w:t>
      </w:r>
    </w:p>
    <w:p w14:paraId="19DAEC34" w14:textId="77777777" w:rsidR="004F66EF" w:rsidRPr="0082525D" w:rsidRDefault="004F66EF" w:rsidP="004F66EF">
      <w:pPr>
        <w:pStyle w:val="Textonotapie"/>
        <w:snapToGrid w:val="0"/>
        <w:ind w:firstLine="709"/>
        <w:jc w:val="both"/>
        <w:rPr>
          <w:rFonts w:ascii="Verdana" w:hAnsi="Verdana" w:cs="Arial"/>
          <w:sz w:val="16"/>
          <w:szCs w:val="16"/>
        </w:rPr>
      </w:pPr>
      <w:r w:rsidRPr="0082525D">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EA44441" w14:textId="77777777" w:rsidR="004F66EF" w:rsidRPr="0082525D" w:rsidRDefault="004F66EF" w:rsidP="004F66EF">
      <w:pPr>
        <w:pStyle w:val="Textonotapie"/>
        <w:snapToGrid w:val="0"/>
        <w:ind w:firstLine="709"/>
        <w:jc w:val="both"/>
        <w:rPr>
          <w:rFonts w:ascii="Verdana" w:hAnsi="Verdana" w:cs="Arial"/>
          <w:sz w:val="16"/>
          <w:szCs w:val="16"/>
          <w:lang w:val="es-ES"/>
        </w:rPr>
      </w:pPr>
    </w:p>
  </w:footnote>
  <w:footnote w:id="6">
    <w:p w14:paraId="7EDB68BF" w14:textId="108691A0" w:rsidR="004F66EF" w:rsidRDefault="004F66EF" w:rsidP="004F66EF">
      <w:pPr>
        <w:pStyle w:val="Textonotapie"/>
        <w:snapToGrid w:val="0"/>
        <w:ind w:firstLine="709"/>
        <w:jc w:val="both"/>
        <w:rPr>
          <w:rFonts w:ascii="Verdana" w:hAnsi="Verdana"/>
          <w:sz w:val="16"/>
          <w:szCs w:val="16"/>
        </w:rPr>
      </w:pPr>
      <w:r w:rsidRPr="0082525D">
        <w:rPr>
          <w:rStyle w:val="Refdenotaalpie"/>
          <w:rFonts w:ascii="Verdana" w:hAnsi="Verdana"/>
          <w:sz w:val="16"/>
          <w:szCs w:val="16"/>
        </w:rPr>
        <w:footnoteRef/>
      </w:r>
      <w:r w:rsidRPr="0082525D">
        <w:rPr>
          <w:rFonts w:ascii="Verdana" w:hAnsi="Verdana"/>
          <w:sz w:val="16"/>
          <w:szCs w:val="16"/>
        </w:rPr>
        <w:t xml:space="preserve"> Disponible en el siguiente enlace: </w:t>
      </w:r>
      <w:hyperlink r:id="rId1" w:history="1">
        <w:r w:rsidRPr="0082525D">
          <w:rPr>
            <w:rStyle w:val="Hipervnculo"/>
            <w:rFonts w:ascii="Verdana" w:hAnsi="Verdana"/>
            <w:sz w:val="16"/>
            <w:szCs w:val="16"/>
          </w:rPr>
          <w:t>https://colombiacompra.gov.co/manuales-guias-y-pliegos-tipo/manuales-y-guias/manual-para-determinar-y-verificar-los-requisitos</w:t>
        </w:r>
      </w:hyperlink>
      <w:r w:rsidRPr="00595F31">
        <w:rPr>
          <w:rFonts w:ascii="Verdana" w:hAnsi="Verdana"/>
          <w:sz w:val="16"/>
          <w:szCs w:val="16"/>
        </w:rPr>
        <w:t xml:space="preserve">  </w:t>
      </w:r>
    </w:p>
    <w:p w14:paraId="158D5F66" w14:textId="77777777" w:rsidR="004F66EF" w:rsidRPr="00661B9D" w:rsidRDefault="004F66EF" w:rsidP="004F66EF">
      <w:pPr>
        <w:pStyle w:val="Textonotapie"/>
        <w:snapToGrid w:val="0"/>
        <w:ind w:firstLine="709"/>
        <w:jc w:val="both"/>
        <w:rPr>
          <w:rFonts w:ascii="Verdana" w:hAnsi="Verdana"/>
          <w:sz w:val="16"/>
          <w:szCs w:val="16"/>
          <w:lang w:val="es-CO"/>
        </w:rPr>
      </w:pPr>
    </w:p>
  </w:footnote>
  <w:footnote w:id="7">
    <w:p w14:paraId="424E6065" w14:textId="77777777" w:rsidR="004F66EF" w:rsidRPr="00595F31" w:rsidRDefault="004F66EF" w:rsidP="004F66EF">
      <w:pPr>
        <w:pStyle w:val="Car1"/>
        <w:snapToGrid w:val="0"/>
        <w:ind w:firstLine="709"/>
        <w:jc w:val="both"/>
        <w:rPr>
          <w:rFonts w:ascii="Verdana" w:hAnsi="Verdana" w:cs="Arial"/>
          <w:sz w:val="16"/>
          <w:szCs w:val="16"/>
        </w:rPr>
      </w:pPr>
      <w:r w:rsidRPr="00595F31">
        <w:rPr>
          <w:rStyle w:val="Refdenotaalpie"/>
          <w:rFonts w:ascii="Verdana" w:hAnsi="Verdana" w:cs="Arial"/>
          <w:sz w:val="16"/>
          <w:szCs w:val="16"/>
        </w:rPr>
        <w:footnoteRef/>
      </w:r>
      <w:r w:rsidRPr="00595F31">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3D4EA04" w14:textId="77777777" w:rsidR="004F66EF" w:rsidRPr="00595F31" w:rsidRDefault="004F66EF" w:rsidP="004F66EF">
      <w:pPr>
        <w:pStyle w:val="Car1"/>
        <w:snapToGrid w:val="0"/>
        <w:ind w:firstLine="709"/>
        <w:jc w:val="both"/>
        <w:rPr>
          <w:rFonts w:ascii="Verdana" w:hAnsi="Verdana" w:cs="Arial"/>
          <w:sz w:val="16"/>
          <w:szCs w:val="16"/>
        </w:rPr>
      </w:pPr>
      <w:r w:rsidRPr="00595F31">
        <w:rPr>
          <w:rFonts w:ascii="Verdana" w:hAnsi="Verdana" w:cs="Arial"/>
          <w:sz w:val="16"/>
          <w:szCs w:val="16"/>
        </w:rPr>
        <w:t>[…]</w:t>
      </w:r>
    </w:p>
    <w:p w14:paraId="2A2287CD" w14:textId="77777777" w:rsidR="004F66EF" w:rsidRPr="00595F31" w:rsidRDefault="004F66EF" w:rsidP="004F66EF">
      <w:pPr>
        <w:pStyle w:val="Car1"/>
        <w:snapToGrid w:val="0"/>
        <w:ind w:firstLine="709"/>
        <w:jc w:val="both"/>
        <w:rPr>
          <w:rFonts w:ascii="Verdana" w:hAnsi="Verdana" w:cs="Arial"/>
          <w:sz w:val="16"/>
          <w:szCs w:val="16"/>
          <w:lang w:val="es-CO"/>
        </w:rPr>
      </w:pPr>
      <w:r w:rsidRPr="00595F31">
        <w:rPr>
          <w:rFonts w:ascii="Verdana" w:hAnsi="Verdana" w:cs="Arial"/>
          <w:sz w:val="16"/>
          <w:szCs w:val="16"/>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595F31">
        <w:rPr>
          <w:rFonts w:ascii="Verdana" w:hAnsi="Verdana" w:cs="Arial"/>
          <w:sz w:val="16"/>
          <w:szCs w:val="16"/>
          <w:shd w:val="clear" w:color="auto" w:fill="FFFFFF"/>
        </w:rPr>
        <w:softHyphen/>
        <w:t>ficador de Bienes y Servicios en el tercer nivel. Si la constitución del interesado es menor a 3 años, puede acreditar la experiencia de sus accionistas, socios o constituyentes</w:t>
      </w:r>
      <w:r w:rsidRPr="00595F31">
        <w:rPr>
          <w:rFonts w:ascii="Verdana" w:hAnsi="Verdana" w:cs="Arial"/>
          <w:sz w:val="16"/>
          <w:szCs w:val="16"/>
        </w:rPr>
        <w:t>”.</w:t>
      </w:r>
    </w:p>
  </w:footnote>
  <w:footnote w:id="8">
    <w:p w14:paraId="09C08FFA" w14:textId="77777777" w:rsidR="004F66EF" w:rsidRPr="00595F31" w:rsidRDefault="004F66EF" w:rsidP="004F66EF">
      <w:pPr>
        <w:pStyle w:val="Textonotapie"/>
        <w:snapToGrid w:val="0"/>
        <w:ind w:firstLine="709"/>
        <w:jc w:val="both"/>
        <w:rPr>
          <w:rFonts w:ascii="Verdana" w:hAnsi="Verdana" w:cs="Arial"/>
          <w:color w:val="000000"/>
          <w:sz w:val="16"/>
          <w:szCs w:val="16"/>
        </w:rPr>
      </w:pPr>
      <w:r w:rsidRPr="00595F31">
        <w:rPr>
          <w:rStyle w:val="Refdenotaalpie"/>
          <w:rFonts w:ascii="Verdana" w:hAnsi="Verdana" w:cs="Arial"/>
          <w:color w:val="000000"/>
          <w:sz w:val="16"/>
          <w:szCs w:val="16"/>
        </w:rPr>
        <w:footnoteRef/>
      </w:r>
      <w:r w:rsidRPr="00595F31">
        <w:rPr>
          <w:rFonts w:ascii="Verdana" w:hAnsi="Verdana" w:cs="Arial"/>
          <w:color w:val="000000"/>
          <w:sz w:val="16"/>
          <w:szCs w:val="16"/>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w:t>
      </w:r>
      <w:proofErr w:type="gramStart"/>
      <w:r w:rsidRPr="00595F31">
        <w:rPr>
          <w:rFonts w:ascii="Verdana" w:hAnsi="Verdana" w:cs="Arial"/>
          <w:color w:val="000000"/>
          <w:sz w:val="16"/>
          <w:szCs w:val="16"/>
        </w:rPr>
        <w:t>hasta el punto que</w:t>
      </w:r>
      <w:proofErr w:type="gramEnd"/>
      <w:r w:rsidRPr="00595F31">
        <w:rPr>
          <w:rFonts w:ascii="Verdana" w:hAnsi="Verdana" w:cs="Arial"/>
          <w:color w:val="000000"/>
          <w:sz w:val="16"/>
          <w:szCs w:val="16"/>
        </w:rPr>
        <w:t xml:space="preserve"> toda persona, en principio, es capaz, salvo lo que en contrario disponga la ley, no es requisito necesario ser persona para disponer de capacidad jurídica”. (Corte Constitucional, sentencia C-414 de 1994, M.P. Antonio Barrera</w:t>
      </w:r>
      <w:r w:rsidRPr="00595F31">
        <w:rPr>
          <w:rFonts w:ascii="Verdana" w:hAnsi="Verdana" w:cs="Arial"/>
          <w:color w:val="000000"/>
          <w:spacing w:val="-20"/>
          <w:sz w:val="16"/>
          <w:szCs w:val="16"/>
        </w:rPr>
        <w:t xml:space="preserve"> </w:t>
      </w:r>
      <w:r w:rsidRPr="00595F31">
        <w:rPr>
          <w:rFonts w:ascii="Verdana" w:hAnsi="Verdana" w:cs="Arial"/>
          <w:color w:val="000000"/>
          <w:sz w:val="16"/>
          <w:szCs w:val="16"/>
        </w:rPr>
        <w:t>Carbonell).</w:t>
      </w:r>
    </w:p>
    <w:p w14:paraId="3B602EC1" w14:textId="77777777" w:rsidR="004F66EF" w:rsidRPr="00595F31" w:rsidRDefault="004F66EF" w:rsidP="004F66EF">
      <w:pPr>
        <w:pStyle w:val="Textonotapie"/>
        <w:snapToGrid w:val="0"/>
        <w:ind w:firstLine="709"/>
        <w:jc w:val="both"/>
        <w:rPr>
          <w:rFonts w:ascii="Verdana" w:hAnsi="Verdana" w:cs="Arial"/>
          <w:color w:val="000000"/>
          <w:sz w:val="16"/>
          <w:szCs w:val="16"/>
        </w:rPr>
      </w:pPr>
    </w:p>
  </w:footnote>
  <w:footnote w:id="9">
    <w:p w14:paraId="73EE8025" w14:textId="77777777" w:rsidR="004F66EF" w:rsidRPr="00595F31" w:rsidRDefault="004F66EF" w:rsidP="004F66EF">
      <w:pPr>
        <w:pStyle w:val="Textonotapie"/>
        <w:snapToGrid w:val="0"/>
        <w:ind w:firstLine="709"/>
        <w:jc w:val="both"/>
        <w:rPr>
          <w:rFonts w:ascii="Verdana" w:hAnsi="Verdana" w:cs="Arial"/>
          <w:color w:val="000000"/>
          <w:sz w:val="16"/>
          <w:szCs w:val="16"/>
        </w:rPr>
      </w:pPr>
      <w:r w:rsidRPr="00595F31">
        <w:rPr>
          <w:rStyle w:val="Refdenotaalpie"/>
          <w:rFonts w:ascii="Verdana" w:hAnsi="Verdana" w:cs="Arial"/>
          <w:color w:val="000000"/>
          <w:sz w:val="16"/>
          <w:szCs w:val="16"/>
        </w:rPr>
        <w:footnoteRef/>
      </w:r>
      <w:r w:rsidRPr="00595F31">
        <w:rPr>
          <w:rFonts w:ascii="Verdana" w:hAnsi="Verdana" w:cs="Arial"/>
          <w:color w:val="000000"/>
          <w:sz w:val="16"/>
          <w:szCs w:val="16"/>
        </w:rPr>
        <w:t xml:space="preserve"> EXPOSITO VÉLEZ, Juan Carlos. Forma y contenido del contrato estatal. Universidad Externado de Colombia, Bogotá, 2013, 1ra Ed., p.112.</w:t>
      </w:r>
    </w:p>
    <w:p w14:paraId="1FB70A13" w14:textId="77777777" w:rsidR="004F66EF" w:rsidRPr="00595F31" w:rsidRDefault="004F66EF" w:rsidP="004F66EF">
      <w:pPr>
        <w:pStyle w:val="Textonotapie"/>
        <w:snapToGrid w:val="0"/>
        <w:ind w:firstLine="709"/>
        <w:jc w:val="both"/>
        <w:rPr>
          <w:rFonts w:ascii="Verdana" w:hAnsi="Verdana" w:cs="Arial"/>
          <w:color w:val="000000"/>
          <w:sz w:val="16"/>
          <w:szCs w:val="16"/>
          <w:lang w:val="es-CO"/>
        </w:rPr>
      </w:pPr>
    </w:p>
  </w:footnote>
  <w:footnote w:id="10">
    <w:p w14:paraId="4C0A2D7B" w14:textId="77777777" w:rsidR="004F66EF" w:rsidRPr="00595F31" w:rsidRDefault="004F66EF" w:rsidP="004F66EF">
      <w:pPr>
        <w:pStyle w:val="Textonotapie"/>
        <w:snapToGrid w:val="0"/>
        <w:ind w:firstLine="709"/>
        <w:jc w:val="both"/>
        <w:rPr>
          <w:rFonts w:ascii="Verdana" w:hAnsi="Verdana" w:cs="Arial"/>
          <w:color w:val="000000"/>
          <w:sz w:val="16"/>
          <w:szCs w:val="16"/>
          <w:lang w:val="es-CO"/>
        </w:rPr>
      </w:pPr>
      <w:r w:rsidRPr="00595F31">
        <w:rPr>
          <w:rStyle w:val="Refdenotaalpie"/>
          <w:rFonts w:ascii="Verdana" w:hAnsi="Verdana" w:cs="Arial"/>
          <w:color w:val="000000"/>
          <w:sz w:val="16"/>
          <w:szCs w:val="16"/>
        </w:rPr>
        <w:footnoteRef/>
      </w:r>
      <w:r w:rsidRPr="00595F31">
        <w:rPr>
          <w:rFonts w:ascii="Verdana" w:hAnsi="Verdana" w:cs="Arial"/>
          <w:color w:val="000000"/>
          <w:sz w:val="16"/>
          <w:szCs w:val="16"/>
        </w:rPr>
        <w:t xml:space="preserve"> Sobre el particular ver: </w:t>
      </w:r>
      <w:r w:rsidRPr="00595F31">
        <w:rPr>
          <w:rFonts w:ascii="Verdana" w:hAnsi="Verdana" w:cs="Arial"/>
          <w:color w:val="000000"/>
          <w:sz w:val="16"/>
          <w:szCs w:val="16"/>
          <w:lang w:val="es-CO"/>
        </w:rPr>
        <w:t xml:space="preserve">Consejo de Estado. Sección Tercera. Sentencia del 10 de agosto de 2016. </w:t>
      </w:r>
      <w:proofErr w:type="spellStart"/>
      <w:r w:rsidRPr="00595F31">
        <w:rPr>
          <w:rFonts w:ascii="Verdana" w:hAnsi="Verdana" w:cs="Arial"/>
          <w:color w:val="000000"/>
          <w:sz w:val="16"/>
          <w:szCs w:val="16"/>
          <w:lang w:val="es-CO"/>
        </w:rPr>
        <w:t>Exp</w:t>
      </w:r>
      <w:proofErr w:type="spellEnd"/>
      <w:r w:rsidRPr="00595F31">
        <w:rPr>
          <w:rFonts w:ascii="Verdana" w:hAnsi="Verdana" w:cs="Arial"/>
          <w:color w:val="000000"/>
          <w:sz w:val="16"/>
          <w:szCs w:val="16"/>
          <w:lang w:val="es-CO"/>
        </w:rPr>
        <w:t xml:space="preserve">. 34369. C.P. Hernán Andrade Rincón; y Sentencia del 8 de febrero de 2012. </w:t>
      </w:r>
      <w:proofErr w:type="spellStart"/>
      <w:r w:rsidRPr="00595F31">
        <w:rPr>
          <w:rFonts w:ascii="Verdana" w:hAnsi="Verdana" w:cs="Arial"/>
          <w:color w:val="000000"/>
          <w:sz w:val="16"/>
          <w:szCs w:val="16"/>
          <w:lang w:val="es-CO"/>
        </w:rPr>
        <w:t>Exp</w:t>
      </w:r>
      <w:proofErr w:type="spellEnd"/>
      <w:r w:rsidRPr="00595F31">
        <w:rPr>
          <w:rFonts w:ascii="Verdana" w:hAnsi="Verdana" w:cs="Arial"/>
          <w:color w:val="000000"/>
          <w:sz w:val="16"/>
          <w:szCs w:val="16"/>
          <w:lang w:val="es-CO"/>
        </w:rPr>
        <w:t xml:space="preserve">. 34369A. C.P. Ruth Stella Correa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2282686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2C8"/>
    <w:rsid w:val="00046945"/>
    <w:rsid w:val="00061B2A"/>
    <w:rsid w:val="000731F8"/>
    <w:rsid w:val="00082362"/>
    <w:rsid w:val="000919A6"/>
    <w:rsid w:val="000A683E"/>
    <w:rsid w:val="000B19B9"/>
    <w:rsid w:val="000C2018"/>
    <w:rsid w:val="000D0334"/>
    <w:rsid w:val="000D5DA7"/>
    <w:rsid w:val="000F6486"/>
    <w:rsid w:val="00114FA5"/>
    <w:rsid w:val="00116940"/>
    <w:rsid w:val="00125105"/>
    <w:rsid w:val="00127233"/>
    <w:rsid w:val="0015699B"/>
    <w:rsid w:val="001710C1"/>
    <w:rsid w:val="00175C51"/>
    <w:rsid w:val="00176908"/>
    <w:rsid w:val="001A33BF"/>
    <w:rsid w:val="001C4D3E"/>
    <w:rsid w:val="001E4177"/>
    <w:rsid w:val="001F0B24"/>
    <w:rsid w:val="001F7DC6"/>
    <w:rsid w:val="0022400B"/>
    <w:rsid w:val="002266A9"/>
    <w:rsid w:val="002421BB"/>
    <w:rsid w:val="0025796E"/>
    <w:rsid w:val="002707A2"/>
    <w:rsid w:val="00273560"/>
    <w:rsid w:val="002951A0"/>
    <w:rsid w:val="002962BC"/>
    <w:rsid w:val="002A093D"/>
    <w:rsid w:val="002A0DD0"/>
    <w:rsid w:val="002A49AC"/>
    <w:rsid w:val="002A64FD"/>
    <w:rsid w:val="002C7A84"/>
    <w:rsid w:val="002E2BF8"/>
    <w:rsid w:val="002E4FD9"/>
    <w:rsid w:val="0030657A"/>
    <w:rsid w:val="00322A85"/>
    <w:rsid w:val="00324168"/>
    <w:rsid w:val="00330834"/>
    <w:rsid w:val="003333A8"/>
    <w:rsid w:val="003448F4"/>
    <w:rsid w:val="00374F5E"/>
    <w:rsid w:val="00377E3E"/>
    <w:rsid w:val="00381569"/>
    <w:rsid w:val="003A2873"/>
    <w:rsid w:val="003A779E"/>
    <w:rsid w:val="003D0F4D"/>
    <w:rsid w:val="003D5B0D"/>
    <w:rsid w:val="003E0499"/>
    <w:rsid w:val="003E4F80"/>
    <w:rsid w:val="003E6439"/>
    <w:rsid w:val="003F3941"/>
    <w:rsid w:val="003F4487"/>
    <w:rsid w:val="00406575"/>
    <w:rsid w:val="00414C74"/>
    <w:rsid w:val="00416E36"/>
    <w:rsid w:val="0042722E"/>
    <w:rsid w:val="0044528D"/>
    <w:rsid w:val="00466E39"/>
    <w:rsid w:val="00496168"/>
    <w:rsid w:val="004A1847"/>
    <w:rsid w:val="004A305D"/>
    <w:rsid w:val="004D6EEB"/>
    <w:rsid w:val="004E1E3E"/>
    <w:rsid w:val="004F21C4"/>
    <w:rsid w:val="004F66EF"/>
    <w:rsid w:val="004F685F"/>
    <w:rsid w:val="0050197B"/>
    <w:rsid w:val="005059A4"/>
    <w:rsid w:val="005511F0"/>
    <w:rsid w:val="005566E8"/>
    <w:rsid w:val="00574867"/>
    <w:rsid w:val="00591460"/>
    <w:rsid w:val="005A65E0"/>
    <w:rsid w:val="005C3777"/>
    <w:rsid w:val="005C5CDC"/>
    <w:rsid w:val="005D476C"/>
    <w:rsid w:val="005D63FE"/>
    <w:rsid w:val="006138BF"/>
    <w:rsid w:val="006200BF"/>
    <w:rsid w:val="006219F8"/>
    <w:rsid w:val="00621F3A"/>
    <w:rsid w:val="006253C1"/>
    <w:rsid w:val="006302F7"/>
    <w:rsid w:val="00646B9F"/>
    <w:rsid w:val="00661B9D"/>
    <w:rsid w:val="00665D70"/>
    <w:rsid w:val="006743D6"/>
    <w:rsid w:val="006900D9"/>
    <w:rsid w:val="006925EC"/>
    <w:rsid w:val="00706C16"/>
    <w:rsid w:val="00714D14"/>
    <w:rsid w:val="007340C3"/>
    <w:rsid w:val="00742421"/>
    <w:rsid w:val="0075235A"/>
    <w:rsid w:val="007533CD"/>
    <w:rsid w:val="00756841"/>
    <w:rsid w:val="007649AB"/>
    <w:rsid w:val="007703FC"/>
    <w:rsid w:val="00771D0C"/>
    <w:rsid w:val="00775079"/>
    <w:rsid w:val="007833AC"/>
    <w:rsid w:val="007B268C"/>
    <w:rsid w:val="007B7171"/>
    <w:rsid w:val="007C0C0F"/>
    <w:rsid w:val="007C3DC2"/>
    <w:rsid w:val="007E5497"/>
    <w:rsid w:val="00806F5F"/>
    <w:rsid w:val="00820278"/>
    <w:rsid w:val="0082525D"/>
    <w:rsid w:val="008258C9"/>
    <w:rsid w:val="00827AD0"/>
    <w:rsid w:val="00842F5E"/>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5A50"/>
    <w:rsid w:val="009A0DFA"/>
    <w:rsid w:val="009A1C6F"/>
    <w:rsid w:val="009B2D26"/>
    <w:rsid w:val="009C57BD"/>
    <w:rsid w:val="009C71FA"/>
    <w:rsid w:val="009C72E7"/>
    <w:rsid w:val="009C7F7E"/>
    <w:rsid w:val="009D3058"/>
    <w:rsid w:val="009E6FA1"/>
    <w:rsid w:val="009F1697"/>
    <w:rsid w:val="009F3A13"/>
    <w:rsid w:val="00A122D3"/>
    <w:rsid w:val="00A14468"/>
    <w:rsid w:val="00A17F13"/>
    <w:rsid w:val="00A20739"/>
    <w:rsid w:val="00A23AF9"/>
    <w:rsid w:val="00A33C78"/>
    <w:rsid w:val="00AB0ADB"/>
    <w:rsid w:val="00B00C0E"/>
    <w:rsid w:val="00B01B1A"/>
    <w:rsid w:val="00B0381D"/>
    <w:rsid w:val="00B07B32"/>
    <w:rsid w:val="00B44A47"/>
    <w:rsid w:val="00B5499C"/>
    <w:rsid w:val="00B72CD3"/>
    <w:rsid w:val="00B72FFF"/>
    <w:rsid w:val="00B81738"/>
    <w:rsid w:val="00B860BF"/>
    <w:rsid w:val="00B96F47"/>
    <w:rsid w:val="00BC3D36"/>
    <w:rsid w:val="00BD3CCA"/>
    <w:rsid w:val="00BD54A6"/>
    <w:rsid w:val="00BD7F72"/>
    <w:rsid w:val="00BF7425"/>
    <w:rsid w:val="00C01013"/>
    <w:rsid w:val="00C04FB3"/>
    <w:rsid w:val="00C11D8B"/>
    <w:rsid w:val="00C15139"/>
    <w:rsid w:val="00C330EB"/>
    <w:rsid w:val="00C50D69"/>
    <w:rsid w:val="00C50E47"/>
    <w:rsid w:val="00C5365C"/>
    <w:rsid w:val="00C754BE"/>
    <w:rsid w:val="00C76B1C"/>
    <w:rsid w:val="00C925AC"/>
    <w:rsid w:val="00CB6357"/>
    <w:rsid w:val="00CC1B26"/>
    <w:rsid w:val="00CE78D6"/>
    <w:rsid w:val="00D361FD"/>
    <w:rsid w:val="00D36CD6"/>
    <w:rsid w:val="00D423A2"/>
    <w:rsid w:val="00D44E26"/>
    <w:rsid w:val="00D520D8"/>
    <w:rsid w:val="00D63AC2"/>
    <w:rsid w:val="00D7383B"/>
    <w:rsid w:val="00D7788A"/>
    <w:rsid w:val="00DA231B"/>
    <w:rsid w:val="00DB70B1"/>
    <w:rsid w:val="00DC39FC"/>
    <w:rsid w:val="00DF5254"/>
    <w:rsid w:val="00DF590F"/>
    <w:rsid w:val="00E02524"/>
    <w:rsid w:val="00E05016"/>
    <w:rsid w:val="00E16408"/>
    <w:rsid w:val="00E20894"/>
    <w:rsid w:val="00E245AB"/>
    <w:rsid w:val="00E2764C"/>
    <w:rsid w:val="00E27F2E"/>
    <w:rsid w:val="00E3615E"/>
    <w:rsid w:val="00E50AFE"/>
    <w:rsid w:val="00E51B98"/>
    <w:rsid w:val="00E54A57"/>
    <w:rsid w:val="00E664A0"/>
    <w:rsid w:val="00E75C92"/>
    <w:rsid w:val="00E771DC"/>
    <w:rsid w:val="00E8772A"/>
    <w:rsid w:val="00E90F6B"/>
    <w:rsid w:val="00E92C27"/>
    <w:rsid w:val="00EA05DD"/>
    <w:rsid w:val="00EA0E3D"/>
    <w:rsid w:val="00EC38A7"/>
    <w:rsid w:val="00EE1AA8"/>
    <w:rsid w:val="00F23FEA"/>
    <w:rsid w:val="00F31EDC"/>
    <w:rsid w:val="00F34A08"/>
    <w:rsid w:val="00F42857"/>
    <w:rsid w:val="00F462B3"/>
    <w:rsid w:val="00F5664F"/>
    <w:rsid w:val="00F666C4"/>
    <w:rsid w:val="00F76AFC"/>
    <w:rsid w:val="00F9258E"/>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EF89B1F-B4C2-49A2-9E86-5AC49CDDB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Estilo1">
    <w:name w:val="Estilo1"/>
    <w:basedOn w:val="Tablanormal"/>
    <w:uiPriority w:val="99"/>
    <w:rsid w:val="00176908"/>
    <w:pPr>
      <w:spacing w:after="0" w:line="240" w:lineRule="auto"/>
    </w:pPr>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9258E"/>
    <w:rPr>
      <w:rFonts w:ascii="Geomanist Light" w:hAnsi="Geomanist Light"/>
      <w:lang w:val="es-ES"/>
    </w:rPr>
  </w:style>
  <w:style w:type="paragraph" w:customStyle="1" w:styleId="Appelnotedebasde">
    <w:name w:val="Appel note de bas de..."/>
    <w:basedOn w:val="Normal"/>
    <w:link w:val="Refdenotaalpie"/>
    <w:uiPriority w:val="99"/>
    <w:rsid w:val="004F66EF"/>
    <w:pPr>
      <w:spacing w:line="240" w:lineRule="exact"/>
    </w:pPr>
    <w:rPr>
      <w:vertAlign w:val="superscript"/>
    </w:rPr>
  </w:style>
  <w:style w:type="paragraph" w:customStyle="1" w:styleId="Car1">
    <w:name w:val="Car1"/>
    <w:basedOn w:val="Normal"/>
    <w:next w:val="Textonotapie"/>
    <w:uiPriority w:val="99"/>
    <w:unhideWhenUsed/>
    <w:qFormat/>
    <w:rsid w:val="004F66EF"/>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manual-para-determinar-y-verificar-los-requisitos-habilitantes-en-los-procesos-de-contratacion"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yr.proyectosyconstrucciones@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manuales-guias-y-pliegos-tipo/manuales-y-guias/manual-para-determinar-y-verificar-los-requisi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7A3914D2-4027-4B27-AFD0-5F1C1D957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68FDA0B4-4B53-4263-AB8A-02B8561CA000}">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15</Pages>
  <Words>4408</Words>
  <Characters>23809</Characters>
  <Application>Microsoft Office Word</Application>
  <DocSecurity>0</DocSecurity>
  <Lines>496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28111</CharactersWithSpaces>
  <SharedDoc>false</SharedDoc>
  <HLinks>
    <vt:vector size="48" baseType="variant">
      <vt:variant>
        <vt:i4>4456513</vt:i4>
      </vt:variant>
      <vt:variant>
        <vt:i4>18</vt:i4>
      </vt:variant>
      <vt:variant>
        <vt:i4>0</vt:i4>
      </vt:variant>
      <vt:variant>
        <vt:i4>5</vt:i4>
      </vt:variant>
      <vt:variant>
        <vt:lpwstr>https://forms.office.com/r/pPHyWVs2SZ</vt:lpwstr>
      </vt:variant>
      <vt:variant>
        <vt:lpwstr/>
      </vt:variant>
      <vt:variant>
        <vt:i4>3407926</vt:i4>
      </vt:variant>
      <vt:variant>
        <vt:i4>15</vt:i4>
      </vt:variant>
      <vt:variant>
        <vt:i4>0</vt:i4>
      </vt:variant>
      <vt:variant>
        <vt:i4>5</vt:i4>
      </vt:variant>
      <vt:variant>
        <vt:lpwstr>https://www.colombiacompra.gov.co/pqrsd/informacion-importante-antes-de-formular-una-pqrsd</vt:lpwstr>
      </vt:variant>
      <vt:variant>
        <vt:lpwstr/>
      </vt:variant>
      <vt:variant>
        <vt:i4>4980779</vt:i4>
      </vt:variant>
      <vt:variant>
        <vt:i4>12</vt:i4>
      </vt:variant>
      <vt:variant>
        <vt:i4>0</vt:i4>
      </vt:variant>
      <vt:variant>
        <vt:i4>5</vt:i4>
      </vt:variant>
      <vt:variant>
        <vt:lpwstr>mailto:ventanilladeradicacion@colombiacompra.gov.co</vt:lpwstr>
      </vt:variant>
      <vt:variant>
        <vt:lpwstr/>
      </vt:variant>
      <vt:variant>
        <vt:i4>7995518</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2162739</vt:i4>
      </vt:variant>
      <vt:variant>
        <vt:i4>6</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65617</vt:i4>
      </vt:variant>
      <vt:variant>
        <vt:i4>3</vt:i4>
      </vt:variant>
      <vt:variant>
        <vt:i4>0</vt:i4>
      </vt:variant>
      <vt:variant>
        <vt:i4>5</vt:i4>
      </vt:variant>
      <vt:variant>
        <vt:lpwstr>https://www.colombiacompra.gov.co/archivos/manual/manual-para-determinar-y-verificar-los-requisitos-habilitantes-en-los-procesos-de-contratacion</vt:lpwstr>
      </vt:variant>
      <vt:variant>
        <vt:lpwstr/>
      </vt:variant>
      <vt:variant>
        <vt:i4>7929875</vt:i4>
      </vt:variant>
      <vt:variant>
        <vt:i4>0</vt:i4>
      </vt:variant>
      <vt:variant>
        <vt:i4>0</vt:i4>
      </vt:variant>
      <vt:variant>
        <vt:i4>5</vt:i4>
      </vt:variant>
      <vt:variant>
        <vt:lpwstr>mailto:tyr.proyectosyconstrucciones@gmail.com</vt:lpwstr>
      </vt:variant>
      <vt:variant>
        <vt:lpwstr/>
      </vt:variant>
      <vt:variant>
        <vt:i4>3997735</vt:i4>
      </vt:variant>
      <vt:variant>
        <vt:i4>0</vt:i4>
      </vt:variant>
      <vt:variant>
        <vt:i4>0</vt:i4>
      </vt:variant>
      <vt:variant>
        <vt:i4>5</vt:i4>
      </vt:variant>
      <vt:variant>
        <vt:lpwstr>https://colombiacompra.gov.co/manuales-guias-y-pliegos-tipo/manuales-y-guias/manual-para-determinar-y-verificar-los-requisitos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2026-02-12T15:49:00Z</dcterms:created>
  <dcterms:modified xsi:type="dcterms:W3CDTF">2026-02-12T22:01:00Z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