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1185F" w14:textId="77777777" w:rsidR="00E463F8" w:rsidRPr="00E463F8" w:rsidRDefault="00E463F8" w:rsidP="00E463F8">
      <w:pPr>
        <w:spacing w:line="240" w:lineRule="auto"/>
        <w:jc w:val="both"/>
        <w:rPr>
          <w:rFonts w:ascii="Century Gothic" w:eastAsia="Calibri" w:hAnsi="Century Gothic" w:cs="Arial"/>
          <w:b/>
          <w:color w:val="000000" w:themeColor="text1"/>
          <w:sz w:val="20"/>
          <w:szCs w:val="20"/>
          <w:lang w:val="es-ES_tradnl"/>
        </w:rPr>
      </w:pPr>
      <w:r w:rsidRPr="00E463F8">
        <w:rPr>
          <w:rFonts w:ascii="Century Gothic" w:eastAsia="Calibri" w:hAnsi="Century Gothic" w:cs="Arial"/>
          <w:b/>
          <w:color w:val="000000" w:themeColor="text1"/>
          <w:sz w:val="20"/>
          <w:szCs w:val="20"/>
          <w:lang w:val="es-ES_tradnl"/>
        </w:rPr>
        <w:t>ENTIDADES CON RÉGIMEN ESPECIAL – Definición</w:t>
      </w:r>
    </w:p>
    <w:p w14:paraId="43E0DA44" w14:textId="77777777" w:rsidR="00E463F8" w:rsidRPr="00E463F8" w:rsidRDefault="00E463F8" w:rsidP="00E463F8">
      <w:pPr>
        <w:spacing w:line="240" w:lineRule="auto"/>
        <w:jc w:val="both"/>
        <w:rPr>
          <w:rFonts w:ascii="Century Gothic" w:eastAsia="Calibri" w:hAnsi="Century Gothic" w:cs="Arial"/>
          <w:color w:val="000000" w:themeColor="text1"/>
          <w:sz w:val="20"/>
          <w:szCs w:val="20"/>
          <w:lang w:val="es-ES_tradnl"/>
        </w:rPr>
      </w:pPr>
      <w:r w:rsidRPr="00E463F8">
        <w:rPr>
          <w:rFonts w:ascii="Century Gothic" w:eastAsia="Calibri" w:hAnsi="Century Gothic" w:cs="Arial"/>
          <w:color w:val="000000" w:themeColor="text1"/>
          <w:sz w:val="20"/>
          <w:szCs w:val="20"/>
          <w:lang w:val="es-ES_tradnl"/>
        </w:rPr>
        <w:t>El ordenamiento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24222FCE" w14:textId="77777777" w:rsidR="00E463F8" w:rsidRPr="00E463F8" w:rsidRDefault="00E463F8" w:rsidP="00E463F8">
      <w:pPr>
        <w:spacing w:line="240" w:lineRule="auto"/>
        <w:jc w:val="both"/>
        <w:rPr>
          <w:rFonts w:ascii="Century Gothic" w:eastAsia="Calibri" w:hAnsi="Century Gothic" w:cs="Arial"/>
          <w:b/>
          <w:color w:val="000000" w:themeColor="text1"/>
          <w:sz w:val="20"/>
          <w:szCs w:val="20"/>
          <w:lang w:val="es-ES_tradnl"/>
        </w:rPr>
      </w:pPr>
      <w:r w:rsidRPr="00E463F8">
        <w:rPr>
          <w:rFonts w:ascii="Century Gothic" w:eastAsia="Calibri" w:hAnsi="Century Gothic" w:cs="Arial"/>
          <w:b/>
          <w:color w:val="000000" w:themeColor="text1"/>
          <w:sz w:val="20"/>
          <w:szCs w:val="20"/>
          <w:lang w:val="es-ES_tradnl"/>
        </w:rPr>
        <w:t>ENTIDADES CON RÉGIMEN ESPECIAL – Reglas aplicables</w:t>
      </w:r>
    </w:p>
    <w:p w14:paraId="4E90C827" w14:textId="77777777" w:rsidR="00E463F8" w:rsidRPr="00E463F8" w:rsidRDefault="00E463F8" w:rsidP="00E463F8">
      <w:pPr>
        <w:spacing w:line="240" w:lineRule="auto"/>
        <w:jc w:val="both"/>
        <w:rPr>
          <w:rFonts w:ascii="Century Gothic" w:eastAsia="Calibri" w:hAnsi="Century Gothic" w:cs="Arial"/>
          <w:color w:val="000000" w:themeColor="text1"/>
          <w:sz w:val="20"/>
          <w:szCs w:val="20"/>
        </w:rPr>
      </w:pPr>
      <w:r w:rsidRPr="00E463F8">
        <w:rPr>
          <w:rFonts w:ascii="Century Gothic" w:eastAsia="Calibri" w:hAnsi="Century Gothic" w:cs="Arial"/>
          <w:color w:val="000000" w:themeColor="text1"/>
          <w:sz w:val="20"/>
          <w:szCs w:val="20"/>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235B639A" w14:textId="77777777" w:rsidR="00E463F8" w:rsidRPr="00E463F8" w:rsidRDefault="00E463F8" w:rsidP="00E463F8">
      <w:pPr>
        <w:spacing w:before="120" w:line="240" w:lineRule="auto"/>
        <w:jc w:val="both"/>
        <w:rPr>
          <w:rFonts w:ascii="Century Gothic" w:eastAsia="Calibri" w:hAnsi="Century Gothic" w:cs="Arial"/>
          <w:color w:val="000000" w:themeColor="text1"/>
          <w:sz w:val="20"/>
          <w:szCs w:val="20"/>
          <w:lang w:val="es-ES_tradnl"/>
        </w:rPr>
      </w:pPr>
      <w:r w:rsidRPr="00E463F8">
        <w:rPr>
          <w:rFonts w:ascii="Century Gothic" w:eastAsia="Calibri" w:hAnsi="Century Gothic" w:cs="Arial"/>
          <w:color w:val="000000" w:themeColor="text1"/>
          <w:sz w:val="20"/>
          <w:szCs w:val="20"/>
          <w:lang w:val="es-ES_tradnl"/>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w:t>
      </w:r>
    </w:p>
    <w:p w14:paraId="0408BFD9" w14:textId="77777777" w:rsidR="00E463F8" w:rsidRPr="00E463F8" w:rsidRDefault="00E463F8" w:rsidP="00E463F8">
      <w:pPr>
        <w:spacing w:line="240" w:lineRule="auto"/>
        <w:jc w:val="both"/>
        <w:rPr>
          <w:rFonts w:ascii="Century Gothic" w:eastAsia="Calibri" w:hAnsi="Century Gothic" w:cs="Arial"/>
          <w:b/>
          <w:color w:val="000000" w:themeColor="text1"/>
          <w:sz w:val="20"/>
          <w:szCs w:val="20"/>
          <w:lang w:val="es-ES_tradnl"/>
        </w:rPr>
      </w:pPr>
      <w:r w:rsidRPr="00E463F8">
        <w:rPr>
          <w:rFonts w:ascii="Century Gothic" w:eastAsia="Calibri" w:hAnsi="Century Gothic" w:cs="Arial"/>
          <w:b/>
          <w:color w:val="000000" w:themeColor="text1"/>
          <w:sz w:val="20"/>
          <w:szCs w:val="20"/>
          <w:lang w:val="es-ES_tradnl"/>
        </w:rPr>
        <w:t>EMPRESAS SOCIALES DEL ESTADO – Régimen jurídico – Reglas aplicables</w:t>
      </w:r>
    </w:p>
    <w:p w14:paraId="5EB4A473" w14:textId="77777777" w:rsidR="00E463F8" w:rsidRPr="00E463F8" w:rsidRDefault="00E463F8" w:rsidP="00E463F8">
      <w:pPr>
        <w:spacing w:line="240" w:lineRule="auto"/>
        <w:jc w:val="both"/>
        <w:rPr>
          <w:rFonts w:ascii="Century Gothic" w:eastAsia="Calibri" w:hAnsi="Century Gothic" w:cs="Arial"/>
          <w:color w:val="000000" w:themeColor="text1"/>
          <w:sz w:val="20"/>
          <w:szCs w:val="20"/>
        </w:rPr>
      </w:pPr>
      <w:r w:rsidRPr="00E463F8">
        <w:rPr>
          <w:rFonts w:ascii="Century Gothic" w:eastAsia="Calibri" w:hAnsi="Century Gothic" w:cs="Arial"/>
          <w:color w:val="000000" w:themeColor="text1"/>
          <w:sz w:val="20"/>
          <w:szCs w:val="20"/>
          <w:lang w:val="es-ES_tradnl"/>
        </w:rPr>
        <w:t xml:space="preserve">[…] </w:t>
      </w:r>
      <w:r w:rsidRPr="00E463F8">
        <w:rPr>
          <w:rFonts w:ascii="Century Gothic" w:eastAsia="Calibri" w:hAnsi="Century Gothic" w:cs="Arial"/>
          <w:color w:val="000000" w:themeColor="text1"/>
          <w:sz w:val="20"/>
          <w:szCs w:val="20"/>
        </w:rPr>
        <w:t xml:space="preserve">dentro de la estructura de la Administración pública se encuentran las entidades descentralizadas por servicios, y dentro de dicha categoría se ubican las empresas sociales del Estado, las cuales, sin perjuicio del control de tutela, tienen personería jurídica, autonomía administrativa y patrimonio propio. Estas entidades, de acuerdo a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5315A798" w14:textId="77777777" w:rsidR="00E463F8" w:rsidRPr="00E463F8" w:rsidRDefault="00E463F8" w:rsidP="00E463F8">
      <w:pPr>
        <w:spacing w:before="120" w:line="240" w:lineRule="auto"/>
        <w:jc w:val="both"/>
        <w:rPr>
          <w:rFonts w:ascii="Century Gothic" w:eastAsia="Calibri" w:hAnsi="Century Gothic" w:cs="Arial"/>
          <w:color w:val="000000" w:themeColor="text1"/>
          <w:sz w:val="20"/>
          <w:szCs w:val="20"/>
        </w:rPr>
      </w:pPr>
      <w:r w:rsidRPr="00E463F8">
        <w:rPr>
          <w:rFonts w:ascii="Century Gothic" w:eastAsia="Calibri" w:hAnsi="Century Gothic" w:cs="Arial"/>
          <w:color w:val="000000" w:themeColor="text1"/>
          <w:sz w:val="20"/>
          <w:szCs w:val="20"/>
        </w:rPr>
        <w:t>Considerando la actividad desarrollada, se 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lo relacionado con cláusulas exorbitantes, materia en relación con la cual están habilitadas para aplicar las disposiciones del EGCAP.</w:t>
      </w:r>
    </w:p>
    <w:p w14:paraId="00CB4791" w14:textId="77777777" w:rsidR="00E463F8" w:rsidRPr="00E463F8" w:rsidRDefault="00E463F8" w:rsidP="00E463F8">
      <w:pPr>
        <w:spacing w:line="240" w:lineRule="auto"/>
        <w:jc w:val="both"/>
        <w:rPr>
          <w:rFonts w:ascii="Century Gothic" w:eastAsia="Calibri" w:hAnsi="Century Gothic" w:cs="Arial"/>
          <w:b/>
          <w:bCs/>
          <w:color w:val="000000" w:themeColor="text1"/>
          <w:sz w:val="20"/>
          <w:szCs w:val="20"/>
        </w:rPr>
      </w:pPr>
      <w:r w:rsidRPr="00E463F8">
        <w:rPr>
          <w:rFonts w:ascii="Century Gothic" w:eastAsia="Calibri" w:hAnsi="Century Gothic" w:cs="Arial"/>
          <w:b/>
          <w:bCs/>
          <w:color w:val="000000" w:themeColor="text1"/>
          <w:sz w:val="20"/>
          <w:szCs w:val="20"/>
        </w:rPr>
        <w:t>ENTIDADES CON RÉGIMEN ESPECIAL – Manual de contratación – Contenido</w:t>
      </w:r>
    </w:p>
    <w:p w14:paraId="118534E2" w14:textId="77777777" w:rsidR="00E463F8" w:rsidRPr="00E463F8" w:rsidRDefault="00E463F8" w:rsidP="00E463F8">
      <w:pPr>
        <w:spacing w:line="240" w:lineRule="auto"/>
        <w:jc w:val="both"/>
        <w:rPr>
          <w:rStyle w:val="normaltextrun"/>
          <w:rFonts w:ascii="Century Gothic" w:eastAsia="Calibri" w:hAnsi="Century Gothic" w:cs="Arial"/>
          <w:color w:val="000000" w:themeColor="text1"/>
          <w:sz w:val="20"/>
          <w:szCs w:val="20"/>
        </w:rPr>
      </w:pPr>
      <w:r w:rsidRPr="00E463F8">
        <w:rPr>
          <w:rFonts w:ascii="Century Gothic" w:eastAsia="Calibri" w:hAnsi="Century Gothic" w:cs="Arial"/>
          <w:color w:val="000000" w:themeColor="text1"/>
          <w:sz w:val="20"/>
          <w:szCs w:val="20"/>
          <w:lang w:val="es-E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w:t>
      </w:r>
      <w:r w:rsidRPr="00E463F8">
        <w:rPr>
          <w:rFonts w:ascii="Century Gothic" w:eastAsia="Calibri" w:hAnsi="Century Gothic" w:cs="Arial"/>
          <w:color w:val="000000" w:themeColor="text1"/>
          <w:sz w:val="20"/>
          <w:szCs w:val="20"/>
          <w:lang w:val="es-ES"/>
        </w:rPr>
        <w:lastRenderedPageBreak/>
        <w:t>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p>
    <w:p w14:paraId="0E654B4B" w14:textId="77777777" w:rsidR="00E463F8" w:rsidRPr="00E463F8" w:rsidRDefault="00E463F8" w:rsidP="00400548">
      <w:pPr>
        <w:spacing w:after="0"/>
        <w:rPr>
          <w:rFonts w:ascii="Century Gothic" w:hAnsi="Century Gothic"/>
        </w:rPr>
      </w:pPr>
    </w:p>
    <w:p w14:paraId="09F48E4F" w14:textId="77777777" w:rsidR="00E463F8" w:rsidRDefault="00E463F8" w:rsidP="00400548">
      <w:pPr>
        <w:spacing w:after="0"/>
        <w:rPr>
          <w:rFonts w:ascii="Century Gothic" w:hAnsi="Century Gothic"/>
        </w:rPr>
      </w:pPr>
    </w:p>
    <w:p w14:paraId="5DF890DC" w14:textId="77777777" w:rsidR="00E463F8" w:rsidRDefault="00E463F8" w:rsidP="00400548">
      <w:pPr>
        <w:spacing w:after="0"/>
        <w:rPr>
          <w:rFonts w:ascii="Century Gothic" w:hAnsi="Century Gothic"/>
        </w:rPr>
      </w:pPr>
    </w:p>
    <w:p w14:paraId="03CC5651" w14:textId="77777777" w:rsidR="00E463F8" w:rsidRDefault="00E463F8" w:rsidP="00400548">
      <w:pPr>
        <w:spacing w:after="0"/>
        <w:rPr>
          <w:rFonts w:ascii="Century Gothic" w:hAnsi="Century Gothic"/>
        </w:rPr>
      </w:pPr>
    </w:p>
    <w:p w14:paraId="222EE761" w14:textId="77777777" w:rsidR="00E463F8" w:rsidRDefault="00E463F8" w:rsidP="00400548">
      <w:pPr>
        <w:spacing w:after="0"/>
        <w:rPr>
          <w:rFonts w:ascii="Century Gothic" w:hAnsi="Century Gothic"/>
        </w:rPr>
      </w:pPr>
    </w:p>
    <w:p w14:paraId="51C32D16" w14:textId="77777777" w:rsidR="00E463F8" w:rsidRDefault="00E463F8" w:rsidP="00400548">
      <w:pPr>
        <w:spacing w:after="0"/>
        <w:rPr>
          <w:rFonts w:ascii="Century Gothic" w:hAnsi="Century Gothic"/>
        </w:rPr>
      </w:pPr>
    </w:p>
    <w:p w14:paraId="36E7D60C" w14:textId="77777777" w:rsidR="00E463F8" w:rsidRDefault="00E463F8" w:rsidP="00400548">
      <w:pPr>
        <w:spacing w:after="0"/>
        <w:rPr>
          <w:rFonts w:ascii="Century Gothic" w:hAnsi="Century Gothic"/>
        </w:rPr>
      </w:pPr>
    </w:p>
    <w:p w14:paraId="08CB2454" w14:textId="77777777" w:rsidR="00E463F8" w:rsidRDefault="00E463F8" w:rsidP="00400548">
      <w:pPr>
        <w:spacing w:after="0"/>
        <w:rPr>
          <w:rFonts w:ascii="Century Gothic" w:hAnsi="Century Gothic"/>
        </w:rPr>
      </w:pPr>
    </w:p>
    <w:p w14:paraId="6F7FBFA3" w14:textId="77777777" w:rsidR="00E463F8" w:rsidRDefault="00E463F8" w:rsidP="00400548">
      <w:pPr>
        <w:spacing w:after="0"/>
        <w:rPr>
          <w:rFonts w:ascii="Century Gothic" w:hAnsi="Century Gothic"/>
        </w:rPr>
      </w:pPr>
    </w:p>
    <w:p w14:paraId="5D766131" w14:textId="77777777" w:rsidR="00E463F8" w:rsidRDefault="00E463F8" w:rsidP="00400548">
      <w:pPr>
        <w:spacing w:after="0"/>
        <w:rPr>
          <w:rFonts w:ascii="Century Gothic" w:hAnsi="Century Gothic"/>
        </w:rPr>
      </w:pPr>
    </w:p>
    <w:p w14:paraId="1A331A04" w14:textId="77777777" w:rsidR="00E463F8" w:rsidRDefault="00E463F8" w:rsidP="00400548">
      <w:pPr>
        <w:spacing w:after="0"/>
        <w:rPr>
          <w:rFonts w:ascii="Century Gothic" w:hAnsi="Century Gothic"/>
        </w:rPr>
      </w:pPr>
    </w:p>
    <w:p w14:paraId="1CCF08EB" w14:textId="77777777" w:rsidR="00E463F8" w:rsidRDefault="00E463F8" w:rsidP="00400548">
      <w:pPr>
        <w:spacing w:after="0"/>
        <w:rPr>
          <w:rFonts w:ascii="Century Gothic" w:hAnsi="Century Gothic"/>
        </w:rPr>
      </w:pPr>
    </w:p>
    <w:p w14:paraId="0802FDCB" w14:textId="77777777" w:rsidR="00E463F8" w:rsidRDefault="00E463F8" w:rsidP="00400548">
      <w:pPr>
        <w:spacing w:after="0"/>
        <w:rPr>
          <w:rFonts w:ascii="Century Gothic" w:hAnsi="Century Gothic"/>
        </w:rPr>
      </w:pPr>
    </w:p>
    <w:p w14:paraId="20F17619" w14:textId="77777777" w:rsidR="00E463F8" w:rsidRDefault="00E463F8" w:rsidP="00400548">
      <w:pPr>
        <w:spacing w:after="0"/>
        <w:rPr>
          <w:rFonts w:ascii="Century Gothic" w:hAnsi="Century Gothic"/>
        </w:rPr>
      </w:pPr>
    </w:p>
    <w:p w14:paraId="10CBE0CF" w14:textId="77777777" w:rsidR="00E463F8" w:rsidRDefault="00E463F8" w:rsidP="00400548">
      <w:pPr>
        <w:spacing w:after="0"/>
        <w:rPr>
          <w:rFonts w:ascii="Century Gothic" w:hAnsi="Century Gothic"/>
        </w:rPr>
      </w:pPr>
    </w:p>
    <w:p w14:paraId="4C60EFCB" w14:textId="77777777" w:rsidR="00E463F8" w:rsidRDefault="00E463F8" w:rsidP="00400548">
      <w:pPr>
        <w:spacing w:after="0"/>
        <w:rPr>
          <w:rFonts w:ascii="Century Gothic" w:hAnsi="Century Gothic"/>
        </w:rPr>
      </w:pPr>
    </w:p>
    <w:p w14:paraId="41F82986" w14:textId="77777777" w:rsidR="00E463F8" w:rsidRDefault="00E463F8" w:rsidP="00400548">
      <w:pPr>
        <w:spacing w:after="0"/>
        <w:rPr>
          <w:rFonts w:ascii="Century Gothic" w:hAnsi="Century Gothic"/>
        </w:rPr>
      </w:pPr>
    </w:p>
    <w:p w14:paraId="71B9704C" w14:textId="77777777" w:rsidR="00E463F8" w:rsidRDefault="00E463F8" w:rsidP="00400548">
      <w:pPr>
        <w:spacing w:after="0"/>
        <w:rPr>
          <w:rFonts w:ascii="Century Gothic" w:hAnsi="Century Gothic"/>
        </w:rPr>
      </w:pPr>
    </w:p>
    <w:p w14:paraId="526AB6AC" w14:textId="77777777" w:rsidR="00E463F8" w:rsidRDefault="00E463F8" w:rsidP="00400548">
      <w:pPr>
        <w:spacing w:after="0"/>
        <w:rPr>
          <w:rFonts w:ascii="Century Gothic" w:hAnsi="Century Gothic"/>
        </w:rPr>
      </w:pPr>
    </w:p>
    <w:p w14:paraId="7E7AEBA1" w14:textId="77777777" w:rsidR="00E463F8" w:rsidRDefault="00E463F8" w:rsidP="00400548">
      <w:pPr>
        <w:spacing w:after="0"/>
        <w:rPr>
          <w:rFonts w:ascii="Century Gothic" w:hAnsi="Century Gothic"/>
        </w:rPr>
      </w:pPr>
    </w:p>
    <w:p w14:paraId="5AED177F" w14:textId="77777777" w:rsidR="00E463F8" w:rsidRDefault="00E463F8" w:rsidP="00400548">
      <w:pPr>
        <w:spacing w:after="0"/>
        <w:rPr>
          <w:rFonts w:ascii="Century Gothic" w:hAnsi="Century Gothic"/>
        </w:rPr>
      </w:pPr>
    </w:p>
    <w:p w14:paraId="4CEC7F57" w14:textId="77777777" w:rsidR="00E463F8" w:rsidRDefault="00E463F8" w:rsidP="00400548">
      <w:pPr>
        <w:spacing w:after="0"/>
        <w:rPr>
          <w:rFonts w:ascii="Century Gothic" w:hAnsi="Century Gothic"/>
        </w:rPr>
      </w:pPr>
    </w:p>
    <w:p w14:paraId="0ABB7FD3" w14:textId="77777777" w:rsidR="00E463F8" w:rsidRDefault="00E463F8" w:rsidP="00400548">
      <w:pPr>
        <w:spacing w:after="0"/>
        <w:rPr>
          <w:rFonts w:ascii="Century Gothic" w:hAnsi="Century Gothic"/>
        </w:rPr>
      </w:pPr>
    </w:p>
    <w:p w14:paraId="28C46B00" w14:textId="77777777" w:rsidR="00E463F8" w:rsidRDefault="00E463F8" w:rsidP="00400548">
      <w:pPr>
        <w:spacing w:after="0"/>
        <w:rPr>
          <w:rFonts w:ascii="Century Gothic" w:hAnsi="Century Gothic"/>
        </w:rPr>
      </w:pPr>
    </w:p>
    <w:p w14:paraId="2CF7F350" w14:textId="77777777" w:rsidR="00E463F8" w:rsidRDefault="00E463F8" w:rsidP="00400548">
      <w:pPr>
        <w:spacing w:after="0"/>
        <w:rPr>
          <w:rFonts w:ascii="Century Gothic" w:hAnsi="Century Gothic"/>
        </w:rPr>
      </w:pPr>
    </w:p>
    <w:p w14:paraId="480ED224" w14:textId="77777777" w:rsidR="00E463F8" w:rsidRDefault="00E463F8" w:rsidP="00400548">
      <w:pPr>
        <w:spacing w:after="0"/>
        <w:rPr>
          <w:rFonts w:ascii="Century Gothic" w:hAnsi="Century Gothic"/>
        </w:rPr>
      </w:pPr>
    </w:p>
    <w:p w14:paraId="577DDEE1" w14:textId="77777777" w:rsidR="00E463F8" w:rsidRDefault="00E463F8" w:rsidP="00400548">
      <w:pPr>
        <w:spacing w:after="0"/>
        <w:rPr>
          <w:rFonts w:ascii="Century Gothic" w:hAnsi="Century Gothic"/>
        </w:rPr>
      </w:pPr>
    </w:p>
    <w:p w14:paraId="2815DA5E" w14:textId="77777777" w:rsidR="00E463F8" w:rsidRDefault="00E463F8" w:rsidP="00400548">
      <w:pPr>
        <w:spacing w:after="0"/>
        <w:rPr>
          <w:rFonts w:ascii="Century Gothic" w:hAnsi="Century Gothic"/>
        </w:rPr>
      </w:pPr>
    </w:p>
    <w:p w14:paraId="30CFA3C7" w14:textId="77777777" w:rsidR="00E463F8" w:rsidRDefault="00E463F8" w:rsidP="00400548">
      <w:pPr>
        <w:spacing w:after="0"/>
        <w:rPr>
          <w:rFonts w:ascii="Century Gothic" w:hAnsi="Century Gothic"/>
        </w:rPr>
      </w:pPr>
    </w:p>
    <w:p w14:paraId="09B4E9D2" w14:textId="77777777" w:rsidR="00E463F8" w:rsidRDefault="00E463F8" w:rsidP="00400548">
      <w:pPr>
        <w:spacing w:after="0"/>
        <w:rPr>
          <w:rFonts w:ascii="Century Gothic" w:hAnsi="Century Gothic"/>
        </w:rPr>
      </w:pPr>
    </w:p>
    <w:p w14:paraId="6533E876" w14:textId="77777777" w:rsidR="00E463F8" w:rsidRDefault="00E463F8" w:rsidP="00400548">
      <w:pPr>
        <w:spacing w:after="0"/>
        <w:rPr>
          <w:rFonts w:ascii="Century Gothic" w:hAnsi="Century Gothic"/>
        </w:rPr>
      </w:pPr>
    </w:p>
    <w:p w14:paraId="44A06B17" w14:textId="06041204" w:rsidR="005A6AA1" w:rsidRDefault="005A6AA1" w:rsidP="00400548">
      <w:pPr>
        <w:spacing w:after="0"/>
        <w:rPr>
          <w:rFonts w:ascii="Century Gothic" w:hAnsi="Century Gothic"/>
        </w:rPr>
      </w:pPr>
      <w:r w:rsidRPr="687B05C8">
        <w:rPr>
          <w:rFonts w:ascii="Century Gothic" w:hAnsi="Century Gothic"/>
        </w:rPr>
        <w:lastRenderedPageBreak/>
        <w:t xml:space="preserve">Bogotá D.C., </w:t>
      </w:r>
      <w:r w:rsidR="00E27D39">
        <w:rPr>
          <w:rFonts w:ascii="Century Gothic" w:hAnsi="Century Gothic"/>
        </w:rPr>
        <w:t>23 de abril del 2024</w:t>
      </w:r>
    </w:p>
    <w:p w14:paraId="6CAF261B" w14:textId="77777777" w:rsidR="00E27D39" w:rsidRDefault="00E27D39" w:rsidP="00400548">
      <w:pPr>
        <w:spacing w:after="0"/>
        <w:rPr>
          <w:rFonts w:ascii="Century Gothic" w:hAnsi="Century Gothic"/>
        </w:rPr>
      </w:pPr>
    </w:p>
    <w:p w14:paraId="726C26F1" w14:textId="120F756A" w:rsidR="00E27D39" w:rsidRDefault="00E27D39" w:rsidP="00472FC9">
      <w:pPr>
        <w:spacing w:after="0"/>
        <w:jc w:val="right"/>
        <w:rPr>
          <w:rFonts w:ascii="Century Gothic" w:hAnsi="Century Gothic"/>
          <w:lang w:val="es-MX"/>
        </w:rPr>
      </w:pPr>
      <w:r w:rsidRPr="00E27D39">
        <w:rPr>
          <w:rFonts w:ascii="Century Gothic" w:hAnsi="Century Gothic"/>
          <w:lang w:val="es-MX"/>
        </w:rPr>
        <w:drawing>
          <wp:inline distT="0" distB="0" distL="0" distR="0" wp14:anchorId="76182870" wp14:editId="7385ECFF">
            <wp:extent cx="3037205" cy="770466"/>
            <wp:effectExtent l="0" t="0" r="0" b="4445"/>
            <wp:docPr id="585380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380806" name=""/>
                    <pic:cNvPicPr/>
                  </pic:nvPicPr>
                  <pic:blipFill>
                    <a:blip r:embed="rId10"/>
                    <a:stretch>
                      <a:fillRect/>
                    </a:stretch>
                  </pic:blipFill>
                  <pic:spPr>
                    <a:xfrm>
                      <a:off x="0" y="0"/>
                      <a:ext cx="3082444" cy="781942"/>
                    </a:xfrm>
                    <a:prstGeom prst="rect">
                      <a:avLst/>
                    </a:prstGeom>
                  </pic:spPr>
                </pic:pic>
              </a:graphicData>
            </a:graphic>
          </wp:inline>
        </w:drawing>
      </w:r>
    </w:p>
    <w:p w14:paraId="7EBFAB6A" w14:textId="77777777" w:rsidR="005A6AA1" w:rsidRDefault="005A6AA1" w:rsidP="00400548">
      <w:pPr>
        <w:spacing w:after="0"/>
        <w:rPr>
          <w:rFonts w:ascii="Century Gothic" w:hAnsi="Century Gothic"/>
          <w:lang w:val="es-MX"/>
        </w:rPr>
      </w:pPr>
    </w:p>
    <w:p w14:paraId="1B624F21" w14:textId="77777777" w:rsidR="00AA1E7C" w:rsidRPr="001D5D8F" w:rsidRDefault="00AA1E7C" w:rsidP="00AA1E7C">
      <w:pPr>
        <w:spacing w:after="0"/>
        <w:rPr>
          <w:rFonts w:ascii="Century Gothic" w:hAnsi="Century Gothic"/>
        </w:rPr>
      </w:pPr>
      <w:r w:rsidRPr="001D5D8F">
        <w:rPr>
          <w:rFonts w:ascii="Century Gothic" w:hAnsi="Century Gothic" w:cs="Arial"/>
          <w:lang w:val="es-MX"/>
        </w:rPr>
        <w:t>Señora:</w:t>
      </w:r>
    </w:p>
    <w:p w14:paraId="25826235" w14:textId="77777777" w:rsidR="00AA1E7C" w:rsidRPr="00E75564" w:rsidRDefault="00AA1E7C" w:rsidP="00AA1E7C">
      <w:pPr>
        <w:spacing w:after="0" w:line="276" w:lineRule="auto"/>
        <w:rPr>
          <w:rFonts w:ascii="Century Gothic" w:hAnsi="Century Gothic" w:cs="Arial"/>
          <w:b/>
          <w:bCs/>
          <w:lang w:val="es-MX"/>
        </w:rPr>
      </w:pPr>
      <w:r w:rsidRPr="00E75564">
        <w:rPr>
          <w:rFonts w:ascii="Century Gothic" w:hAnsi="Century Gothic" w:cs="Arial"/>
          <w:b/>
          <w:bCs/>
          <w:lang w:val="es-MX"/>
        </w:rPr>
        <w:t>Ana Carina Elias Nader</w:t>
      </w:r>
    </w:p>
    <w:p w14:paraId="15FE4E18" w14:textId="77777777" w:rsidR="00AA1E7C" w:rsidRDefault="00000000" w:rsidP="00AA1E7C">
      <w:pPr>
        <w:spacing w:after="0" w:line="276" w:lineRule="auto"/>
        <w:rPr>
          <w:rFonts w:ascii="Century Gothic" w:hAnsi="Century Gothic" w:cs="Arial"/>
          <w:lang w:val="es-MX"/>
        </w:rPr>
      </w:pPr>
      <w:hyperlink r:id="rId11" w:history="1">
        <w:r w:rsidR="00AA1E7C" w:rsidRPr="00B46A42">
          <w:rPr>
            <w:rStyle w:val="Hyperlink"/>
            <w:rFonts w:ascii="Century Gothic" w:hAnsi="Century Gothic" w:cs="Arial"/>
            <w:lang w:val="es-MX"/>
          </w:rPr>
          <w:t>sanrafaeljuridicacamu@gmail.com</w:t>
        </w:r>
      </w:hyperlink>
    </w:p>
    <w:p w14:paraId="5806A318" w14:textId="77777777" w:rsidR="00AA1E7C" w:rsidRPr="00E75564" w:rsidRDefault="00AA1E7C" w:rsidP="00AA1E7C">
      <w:pPr>
        <w:spacing w:after="0" w:line="276" w:lineRule="auto"/>
        <w:rPr>
          <w:rFonts w:ascii="Century Gothic" w:hAnsi="Century Gothic" w:cs="Arial"/>
          <w:lang w:val="es-MX"/>
        </w:rPr>
      </w:pPr>
      <w:r w:rsidRPr="009D20D9">
        <w:rPr>
          <w:rFonts w:ascii="Century Gothic" w:hAnsi="Century Gothic" w:cs="Arial"/>
          <w:lang w:val="es-MX"/>
        </w:rPr>
        <w:t xml:space="preserve">Cordoba, Sahagun </w:t>
      </w:r>
    </w:p>
    <w:p w14:paraId="11ABA84A" w14:textId="77777777" w:rsidR="00AA1E7C" w:rsidRPr="00C9659C" w:rsidRDefault="00AA1E7C" w:rsidP="00AA1E7C">
      <w:pPr>
        <w:spacing w:after="0" w:line="276" w:lineRule="auto"/>
        <w:rPr>
          <w:rFonts w:ascii="Century Gothic" w:hAnsi="Century Gothic" w:cs="Arial"/>
          <w:highlight w:val="cyan"/>
          <w:lang w:val="es-MX"/>
        </w:rPr>
      </w:pPr>
    </w:p>
    <w:p w14:paraId="0163C6D3" w14:textId="77777777" w:rsidR="00AA1E7C" w:rsidRPr="00712612" w:rsidRDefault="00AA1E7C" w:rsidP="00AA1E7C">
      <w:pPr>
        <w:spacing w:after="0" w:line="276" w:lineRule="auto"/>
        <w:ind w:left="2832"/>
        <w:rPr>
          <w:rFonts w:ascii="Century Gothic" w:eastAsia="Calibri" w:hAnsi="Century Gothic" w:cs="Arial"/>
          <w:b/>
          <w:bCs/>
          <w:lang w:val="es-ES"/>
        </w:rPr>
      </w:pPr>
      <w:r w:rsidRPr="00712612">
        <w:rPr>
          <w:rFonts w:ascii="Century Gothic" w:eastAsia="Calibri" w:hAnsi="Century Gothic" w:cs="Arial"/>
          <w:b/>
          <w:lang w:val="es-ES"/>
        </w:rPr>
        <w:t>Concepto C</w:t>
      </w:r>
      <w:r>
        <w:rPr>
          <w:rFonts w:ascii="Century Gothic" w:eastAsia="Calibri" w:hAnsi="Century Gothic" w:cs="Arial"/>
          <w:b/>
          <w:bCs/>
          <w:lang w:val="es-ES"/>
        </w:rPr>
        <w:t>-</w:t>
      </w:r>
      <w:r w:rsidRPr="00712612">
        <w:rPr>
          <w:rFonts w:ascii="Century Gothic" w:eastAsia="Calibri" w:hAnsi="Century Gothic" w:cs="Arial"/>
          <w:b/>
          <w:bCs/>
          <w:lang w:val="es-ES"/>
        </w:rPr>
        <w:t xml:space="preserve">038 </w:t>
      </w:r>
      <w:r w:rsidRPr="00712612">
        <w:rPr>
          <w:rFonts w:ascii="Century Gothic" w:eastAsia="Calibri" w:hAnsi="Century Gothic" w:cs="Arial"/>
          <w:b/>
          <w:lang w:val="es-ES"/>
        </w:rPr>
        <w:t>del 2024</w:t>
      </w:r>
    </w:p>
    <w:p w14:paraId="6BCF3902" w14:textId="77777777" w:rsidR="00AA1E7C" w:rsidRPr="00C9659C" w:rsidRDefault="00AA1E7C" w:rsidP="00AA1E7C">
      <w:pPr>
        <w:spacing w:after="0" w:line="276" w:lineRule="auto"/>
        <w:jc w:val="both"/>
        <w:rPr>
          <w:rFonts w:ascii="Century Gothic" w:eastAsia="Calibri" w:hAnsi="Century Gothic" w:cs="Arial"/>
          <w:highlight w:val="cyan"/>
          <w:lang w:val="es-ES"/>
        </w:rPr>
      </w:pPr>
    </w:p>
    <w:tbl>
      <w:tblPr>
        <w:tblStyle w:val="TableGrid"/>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AA1E7C" w:rsidRPr="00C9659C" w14:paraId="265A4DDC" w14:textId="77777777" w:rsidTr="00AB2F00">
        <w:trPr>
          <w:jc w:val="right"/>
        </w:trPr>
        <w:tc>
          <w:tcPr>
            <w:tcW w:w="1838" w:type="dxa"/>
          </w:tcPr>
          <w:p w14:paraId="07CAEFF3" w14:textId="77777777" w:rsidR="00AA1E7C" w:rsidRPr="007E55D7" w:rsidRDefault="00AA1E7C" w:rsidP="00AB2F00">
            <w:pPr>
              <w:spacing w:line="276" w:lineRule="auto"/>
              <w:jc w:val="center"/>
              <w:rPr>
                <w:rFonts w:ascii="Century Gothic" w:eastAsia="Calibri" w:hAnsi="Century Gothic" w:cs="Arial"/>
                <w:lang w:val="es-ES_tradnl"/>
              </w:rPr>
            </w:pPr>
            <w:r w:rsidRPr="007E55D7">
              <w:rPr>
                <w:rFonts w:ascii="Century Gothic" w:eastAsia="Calibri" w:hAnsi="Century Gothic" w:cs="Arial"/>
                <w:b/>
                <w:lang w:val="es-ES_tradnl"/>
              </w:rPr>
              <w:t>Temas:</w:t>
            </w:r>
          </w:p>
        </w:tc>
        <w:tc>
          <w:tcPr>
            <w:tcW w:w="6237" w:type="dxa"/>
          </w:tcPr>
          <w:p w14:paraId="0F6403A3" w14:textId="77777777" w:rsidR="00AA1E7C" w:rsidRDefault="00AA1E7C" w:rsidP="00AB2F00">
            <w:pPr>
              <w:spacing w:after="120"/>
              <w:contextualSpacing/>
              <w:jc w:val="both"/>
              <w:rPr>
                <w:rFonts w:ascii="Century Gothic" w:eastAsia="Calibri" w:hAnsi="Century Gothic" w:cs="Arial"/>
              </w:rPr>
            </w:pPr>
            <w:r w:rsidRPr="007B7EEA">
              <w:rPr>
                <w:rFonts w:ascii="Century Gothic" w:eastAsia="Calibri" w:hAnsi="Century Gothic" w:cs="Arial"/>
              </w:rPr>
              <w:t xml:space="preserve">ENTIDADES CON RÉGIMEN ESPECIAL – Definición / ENTIDADES CON RÉGIMEN ESPECIAL – Reglas aplicables / EMPRESAS SOCIALES DEL ESTADO – Régimen jurídico – Reglas aplicables </w:t>
            </w:r>
            <w:r>
              <w:rPr>
                <w:rFonts w:ascii="Century Gothic" w:eastAsia="Calibri" w:hAnsi="Century Gothic" w:cs="Arial"/>
              </w:rPr>
              <w:t xml:space="preserve">/ </w:t>
            </w:r>
            <w:r w:rsidRPr="00F53D24">
              <w:rPr>
                <w:rFonts w:ascii="Century Gothic" w:eastAsia="Calibri" w:hAnsi="Century Gothic" w:cs="Arial"/>
                <w:lang w:val="es-ES"/>
              </w:rPr>
              <w:t>ENTIDADES CON RÉGIMEN ESPECIAL – Manual de Contratación – Contenido</w:t>
            </w:r>
          </w:p>
          <w:p w14:paraId="0AEC4D33" w14:textId="77777777" w:rsidR="00AA1E7C" w:rsidRPr="00C9659C" w:rsidRDefault="00AA1E7C" w:rsidP="00AB2F00">
            <w:pPr>
              <w:spacing w:after="120"/>
              <w:contextualSpacing/>
              <w:jc w:val="both"/>
              <w:rPr>
                <w:rFonts w:ascii="Century Gothic" w:eastAsia="Calibri" w:hAnsi="Century Gothic" w:cs="Arial"/>
                <w:bCs/>
                <w:highlight w:val="cyan"/>
                <w:lang w:val="es-MX" w:eastAsia="es-ES_tradnl"/>
              </w:rPr>
            </w:pPr>
          </w:p>
        </w:tc>
      </w:tr>
      <w:tr w:rsidR="00AA1E7C" w:rsidRPr="00A65B02" w14:paraId="0FA5FEA0" w14:textId="77777777" w:rsidTr="00AB2F00">
        <w:trPr>
          <w:jc w:val="right"/>
        </w:trPr>
        <w:tc>
          <w:tcPr>
            <w:tcW w:w="1838" w:type="dxa"/>
          </w:tcPr>
          <w:p w14:paraId="7169AA77" w14:textId="77777777" w:rsidR="00AA1E7C" w:rsidRPr="007E55D7" w:rsidRDefault="00AA1E7C" w:rsidP="00AB2F00">
            <w:pPr>
              <w:spacing w:line="276" w:lineRule="auto"/>
              <w:jc w:val="center"/>
              <w:rPr>
                <w:rFonts w:ascii="Century Gothic" w:eastAsia="Calibri" w:hAnsi="Century Gothic" w:cs="Arial"/>
                <w:lang w:val="es-ES_tradnl"/>
              </w:rPr>
            </w:pPr>
            <w:r w:rsidRPr="007E55D7">
              <w:rPr>
                <w:rFonts w:ascii="Century Gothic" w:eastAsia="Calibri" w:hAnsi="Century Gothic" w:cs="Arial"/>
                <w:b/>
                <w:lang w:val="es-ES_tradnl"/>
              </w:rPr>
              <w:t>Radicado:</w:t>
            </w:r>
          </w:p>
        </w:tc>
        <w:tc>
          <w:tcPr>
            <w:tcW w:w="6237" w:type="dxa"/>
          </w:tcPr>
          <w:p w14:paraId="7DBD843F" w14:textId="77777777" w:rsidR="00AA1E7C" w:rsidRPr="00353A26" w:rsidRDefault="00AA1E7C" w:rsidP="00AB2F00">
            <w:pPr>
              <w:spacing w:after="120"/>
              <w:contextualSpacing/>
              <w:jc w:val="both"/>
              <w:rPr>
                <w:rFonts w:ascii="Century Gothic" w:eastAsia="Calibri" w:hAnsi="Century Gothic" w:cs="Arial"/>
                <w:bCs/>
                <w:lang w:val="es-MX" w:eastAsia="es-ES_tradnl"/>
              </w:rPr>
            </w:pPr>
            <w:r w:rsidRPr="00353A26">
              <w:rPr>
                <w:rFonts w:ascii="Century Gothic" w:eastAsia="Calibri" w:hAnsi="Century Gothic" w:cs="Arial"/>
                <w:lang w:val="es-MX" w:eastAsia="es-ES_tradnl"/>
              </w:rPr>
              <w:t xml:space="preserve">Respuesta a la consulta Nro. </w:t>
            </w:r>
            <w:r w:rsidRPr="00353A26">
              <w:rPr>
                <w:rFonts w:ascii="Century Gothic" w:eastAsia="Calibri" w:hAnsi="Century Gothic" w:cs="Arial"/>
                <w:lang w:eastAsia="es-ES_tradnl"/>
              </w:rPr>
              <w:t>P20240307002608 acumulada con la Nro. P20240314002846</w:t>
            </w:r>
          </w:p>
          <w:p w14:paraId="6A87702D" w14:textId="77777777" w:rsidR="00AA1E7C" w:rsidRPr="00353A26" w:rsidRDefault="00AA1E7C" w:rsidP="00AB2F00">
            <w:pPr>
              <w:spacing w:after="120"/>
              <w:contextualSpacing/>
              <w:jc w:val="both"/>
              <w:rPr>
                <w:rFonts w:ascii="Century Gothic" w:eastAsia="Calibri" w:hAnsi="Century Gothic" w:cs="Arial"/>
                <w:bCs/>
                <w:lang w:val="es-MX" w:eastAsia="es-ES_tradnl"/>
              </w:rPr>
            </w:pPr>
          </w:p>
          <w:p w14:paraId="68E761F6" w14:textId="77777777" w:rsidR="00AA1E7C" w:rsidRPr="00353A26" w:rsidRDefault="00AA1E7C" w:rsidP="00AB2F00">
            <w:pPr>
              <w:spacing w:after="120"/>
              <w:contextualSpacing/>
              <w:jc w:val="both"/>
              <w:rPr>
                <w:rFonts w:ascii="Century Gothic" w:eastAsia="Calibri" w:hAnsi="Century Gothic" w:cs="Arial"/>
                <w:bCs/>
                <w:lang w:val="es-MX" w:eastAsia="es-ES_tradnl"/>
              </w:rPr>
            </w:pPr>
          </w:p>
        </w:tc>
      </w:tr>
    </w:tbl>
    <w:p w14:paraId="6E25F4F2" w14:textId="77777777" w:rsidR="00AA1E7C" w:rsidRPr="00DB5D96" w:rsidRDefault="00AA1E7C" w:rsidP="00AA1E7C">
      <w:pPr>
        <w:spacing w:line="276" w:lineRule="auto"/>
        <w:jc w:val="both"/>
        <w:rPr>
          <w:rFonts w:ascii="Century Gothic" w:eastAsia="Calibri" w:hAnsi="Century Gothic" w:cs="Arial"/>
          <w:lang w:val="es-MX"/>
        </w:rPr>
      </w:pPr>
      <w:r w:rsidRPr="00DB5D96">
        <w:rPr>
          <w:rFonts w:ascii="Century Gothic" w:eastAsia="Calibri" w:hAnsi="Century Gothic" w:cs="Arial"/>
          <w:lang w:val="es-ES_tradnl"/>
        </w:rPr>
        <w:t xml:space="preserve">Estimada </w:t>
      </w:r>
      <w:r>
        <w:rPr>
          <w:rFonts w:ascii="Century Gothic" w:eastAsia="Calibri" w:hAnsi="Century Gothic" w:cs="Arial"/>
          <w:lang w:val="es-ES_tradnl"/>
        </w:rPr>
        <w:t>señora</w:t>
      </w:r>
      <w:r w:rsidRPr="00DB5D96">
        <w:rPr>
          <w:rFonts w:ascii="Century Gothic" w:eastAsia="Calibri" w:hAnsi="Century Gothic" w:cs="Arial"/>
          <w:lang w:val="es-ES_tradnl"/>
        </w:rPr>
        <w:t xml:space="preserve"> </w:t>
      </w:r>
      <w:r w:rsidRPr="00DB5D96">
        <w:rPr>
          <w:rFonts w:ascii="Century Gothic" w:hAnsi="Century Gothic" w:cs="Arial"/>
          <w:lang w:val="es-MX"/>
        </w:rPr>
        <w:t>Elias Nader:</w:t>
      </w:r>
    </w:p>
    <w:p w14:paraId="4132EA4A" w14:textId="77777777" w:rsidR="00AA1E7C" w:rsidRPr="004E6BA4" w:rsidRDefault="00AA1E7C" w:rsidP="00AA1E7C">
      <w:pPr>
        <w:spacing w:after="0" w:line="276" w:lineRule="auto"/>
        <w:jc w:val="both"/>
        <w:rPr>
          <w:rFonts w:ascii="Century Gothic" w:eastAsia="Calibri" w:hAnsi="Century Gothic" w:cs="Arial"/>
          <w:lang w:val="es-ES"/>
        </w:rPr>
      </w:pPr>
      <w:r w:rsidRPr="004E6BA4">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05 de marzo del 2024 trasladada por el Departamento Administrativo de la función Pública el 08 de marzo del 2024.  </w:t>
      </w:r>
    </w:p>
    <w:p w14:paraId="5952F4D2" w14:textId="77777777" w:rsidR="00AA1E7C" w:rsidRPr="00DB5D96" w:rsidRDefault="00AA1E7C" w:rsidP="00AA1E7C">
      <w:pPr>
        <w:spacing w:after="0" w:line="276" w:lineRule="auto"/>
        <w:jc w:val="both"/>
        <w:rPr>
          <w:rFonts w:ascii="Century Gothic" w:eastAsia="Calibri" w:hAnsi="Century Gothic" w:cs="Arial"/>
          <w:highlight w:val="cyan"/>
          <w:lang w:val="es-ES"/>
        </w:rPr>
      </w:pPr>
    </w:p>
    <w:p w14:paraId="5E86F142" w14:textId="77777777" w:rsidR="00AA1E7C" w:rsidRPr="00CA20EA" w:rsidRDefault="00AA1E7C" w:rsidP="00AA1E7C">
      <w:pPr>
        <w:pStyle w:val="ListParagraph"/>
        <w:numPr>
          <w:ilvl w:val="0"/>
          <w:numId w:val="6"/>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CA20EA">
        <w:rPr>
          <w:rFonts w:ascii="Century Gothic" w:eastAsia="Calibri" w:hAnsi="Century Gothic" w:cs="Arial"/>
          <w:b/>
          <w:lang w:val="es-ES_tradnl"/>
        </w:rPr>
        <w:t xml:space="preserve">Problema planteado </w:t>
      </w:r>
    </w:p>
    <w:p w14:paraId="79E24A10" w14:textId="77777777" w:rsidR="00AA1E7C" w:rsidRPr="00CA20EA" w:rsidRDefault="00AA1E7C" w:rsidP="00AA1E7C">
      <w:pPr>
        <w:pStyle w:val="ListParagraph"/>
        <w:tabs>
          <w:tab w:val="left" w:pos="0"/>
          <w:tab w:val="left" w:pos="142"/>
          <w:tab w:val="left" w:pos="284"/>
        </w:tabs>
        <w:spacing w:after="0" w:line="276" w:lineRule="auto"/>
        <w:ind w:left="0"/>
        <w:jc w:val="both"/>
        <w:rPr>
          <w:rFonts w:ascii="Century Gothic" w:eastAsia="Calibri" w:hAnsi="Century Gothic" w:cs="Arial"/>
          <w:b/>
          <w:lang w:val="es-ES_tradnl"/>
        </w:rPr>
      </w:pPr>
    </w:p>
    <w:p w14:paraId="794046E3" w14:textId="77777777" w:rsidR="00AA1E7C" w:rsidRPr="000A17CF" w:rsidRDefault="00AA1E7C" w:rsidP="00AA1E7C">
      <w:pPr>
        <w:spacing w:after="0" w:line="276" w:lineRule="auto"/>
        <w:jc w:val="both"/>
        <w:rPr>
          <w:rFonts w:ascii="Century Gothic" w:hAnsi="Century Gothic" w:cs="Arial"/>
          <w:lang w:val="es-ES_tradnl"/>
        </w:rPr>
      </w:pPr>
      <w:r w:rsidRPr="00CA20EA">
        <w:rPr>
          <w:rFonts w:ascii="Century Gothic" w:hAnsi="Century Gothic" w:cs="Arial"/>
          <w:lang w:val="es-ES_tradnl"/>
        </w:rPr>
        <w:t>En la petición de la referencia se realiza solicitud de consulta sobre las facultades para contratar de las Empresas Sociales del Estado, en tal sentido se elevan las siguientes inquietudes:</w:t>
      </w:r>
      <w:r>
        <w:rPr>
          <w:rFonts w:ascii="Century Gothic" w:hAnsi="Century Gothic" w:cs="Arial"/>
          <w:lang w:val="es-ES_tradnl"/>
        </w:rPr>
        <w:t xml:space="preserve"> </w:t>
      </w:r>
      <w:r w:rsidRPr="001A0A60">
        <w:rPr>
          <w:rFonts w:ascii="Century Gothic" w:hAnsi="Century Gothic" w:cs="Arial"/>
          <w:lang w:val="es-ES_tradnl"/>
        </w:rPr>
        <w:t xml:space="preserve">  </w:t>
      </w:r>
    </w:p>
    <w:p w14:paraId="31EC7511" w14:textId="77777777" w:rsidR="00AA1E7C" w:rsidRPr="00A65B02" w:rsidRDefault="00AA1E7C" w:rsidP="00AA1E7C">
      <w:pPr>
        <w:spacing w:after="0" w:line="240" w:lineRule="auto"/>
        <w:rPr>
          <w:rFonts w:ascii="Century Gothic" w:hAnsi="Century Gothic"/>
        </w:rPr>
      </w:pPr>
    </w:p>
    <w:p w14:paraId="5753D7BA" w14:textId="77777777" w:rsidR="00AA1E7C" w:rsidRDefault="00AA1E7C" w:rsidP="00AA1E7C">
      <w:pPr>
        <w:spacing w:after="0" w:line="240" w:lineRule="auto"/>
        <w:ind w:left="709" w:right="709"/>
        <w:jc w:val="both"/>
        <w:rPr>
          <w:rFonts w:ascii="Century Gothic" w:hAnsi="Century Gothic"/>
          <w:sz w:val="20"/>
          <w:szCs w:val="20"/>
        </w:rPr>
      </w:pPr>
      <w:r w:rsidRPr="00874EAA">
        <w:rPr>
          <w:rFonts w:ascii="Century Gothic" w:hAnsi="Century Gothic"/>
          <w:sz w:val="20"/>
          <w:szCs w:val="20"/>
        </w:rPr>
        <w:t>“[…] 1. ¿</w:t>
      </w:r>
      <w:r>
        <w:rPr>
          <w:rFonts w:ascii="Century Gothic" w:hAnsi="Century Gothic"/>
          <w:sz w:val="20"/>
          <w:szCs w:val="20"/>
        </w:rPr>
        <w:t>Es necesario que una Empresa Social del Estado cuente con “facultades para contratar” otorgadas por la Entidad territorial del Consejo Municipal de Política fiscal (COMFIS).?</w:t>
      </w:r>
    </w:p>
    <w:p w14:paraId="4687F082" w14:textId="77777777" w:rsidR="00AA1E7C" w:rsidRDefault="00AA1E7C" w:rsidP="00AA1E7C">
      <w:pPr>
        <w:spacing w:after="0" w:line="240" w:lineRule="auto"/>
        <w:ind w:left="709" w:right="709"/>
        <w:jc w:val="both"/>
        <w:rPr>
          <w:rFonts w:ascii="Century Gothic" w:hAnsi="Century Gothic"/>
          <w:sz w:val="20"/>
          <w:szCs w:val="20"/>
        </w:rPr>
      </w:pPr>
    </w:p>
    <w:p w14:paraId="68228151"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1.2 ¿Puede una Empresa Social del Estado suscribir contratos sin contar con la aprobación de facultades por parte del Consejo Municipal de Política Fiscal para estos efectos?</w:t>
      </w:r>
      <w:r w:rsidRPr="00874EAA">
        <w:rPr>
          <w:rFonts w:ascii="Century Gothic" w:hAnsi="Century Gothic"/>
          <w:sz w:val="20"/>
          <w:szCs w:val="20"/>
        </w:rPr>
        <w:t xml:space="preserve"> </w:t>
      </w:r>
    </w:p>
    <w:p w14:paraId="0EC7F551" w14:textId="77777777" w:rsidR="00AA1E7C" w:rsidRDefault="00AA1E7C" w:rsidP="00AA1E7C">
      <w:pPr>
        <w:spacing w:after="0" w:line="240" w:lineRule="auto"/>
        <w:ind w:left="709" w:right="709"/>
        <w:jc w:val="both"/>
        <w:rPr>
          <w:rFonts w:ascii="Century Gothic" w:hAnsi="Century Gothic"/>
          <w:sz w:val="20"/>
          <w:szCs w:val="20"/>
        </w:rPr>
      </w:pPr>
    </w:p>
    <w:p w14:paraId="281AE5B1"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 xml:space="preserve">1.3 De existir norma que reglamente estas potestades. ¿Cuál es el sustento normativo de las “facultades para contratar” de los Gerentes de las Empresas Sociales del Estado del orden municipal. </w:t>
      </w:r>
    </w:p>
    <w:p w14:paraId="2AEA72CC" w14:textId="77777777" w:rsidR="00AA1E7C" w:rsidRDefault="00AA1E7C" w:rsidP="00AA1E7C">
      <w:pPr>
        <w:spacing w:after="0" w:line="240" w:lineRule="auto"/>
        <w:ind w:left="709" w:right="709"/>
        <w:jc w:val="both"/>
        <w:rPr>
          <w:rFonts w:ascii="Century Gothic" w:hAnsi="Century Gothic"/>
          <w:sz w:val="20"/>
          <w:szCs w:val="20"/>
        </w:rPr>
      </w:pPr>
    </w:p>
    <w:p w14:paraId="7F42B820"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2.1. ¿Es procedente que una Entidad territorial (Municipio) a través del Consejo Municipal de Política Fiscal establezca límites a la contratación o ejecución del presupuesto de una Empresa Social del Estado, tanto su tiempo como en porcentaje.</w:t>
      </w:r>
    </w:p>
    <w:p w14:paraId="3D9E906C" w14:textId="77777777" w:rsidR="00AA1E7C" w:rsidRDefault="00AA1E7C" w:rsidP="00AA1E7C">
      <w:pPr>
        <w:spacing w:after="0" w:line="240" w:lineRule="auto"/>
        <w:ind w:left="709" w:right="709"/>
        <w:jc w:val="both"/>
        <w:rPr>
          <w:rFonts w:ascii="Century Gothic" w:hAnsi="Century Gothic"/>
          <w:sz w:val="20"/>
          <w:szCs w:val="20"/>
        </w:rPr>
      </w:pPr>
    </w:p>
    <w:p w14:paraId="07174F30" w14:textId="77777777" w:rsidR="00AA1E7C" w:rsidRPr="00874EAA"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 xml:space="preserve">2.2. De ser positiva la respuesta a la primera consulta ¿Cuál es el sustento normativo que soporta esta potestad del COMFIS? </w:t>
      </w:r>
      <w:r w:rsidRPr="00874EAA">
        <w:rPr>
          <w:rFonts w:ascii="Century Gothic" w:hAnsi="Century Gothic"/>
          <w:sz w:val="20"/>
          <w:szCs w:val="20"/>
        </w:rPr>
        <w:t>[…]”</w:t>
      </w:r>
      <w:r w:rsidRPr="001A0A60">
        <w:rPr>
          <w:rFonts w:ascii="Century Gothic" w:hAnsi="Century Gothic"/>
          <w:sz w:val="20"/>
          <w:szCs w:val="20"/>
        </w:rPr>
        <w:t>.</w:t>
      </w:r>
    </w:p>
    <w:p w14:paraId="244590A6" w14:textId="77777777" w:rsidR="00AA1E7C" w:rsidRPr="00A65B02" w:rsidRDefault="00AA1E7C" w:rsidP="00AA1E7C">
      <w:pPr>
        <w:spacing w:after="0" w:line="240" w:lineRule="auto"/>
        <w:ind w:left="709" w:right="709"/>
        <w:jc w:val="both"/>
        <w:rPr>
          <w:rFonts w:ascii="Century Gothic" w:hAnsi="Century Gothic"/>
        </w:rPr>
      </w:pPr>
    </w:p>
    <w:p w14:paraId="1BCAEA3A" w14:textId="77777777" w:rsidR="00AA1E7C" w:rsidRPr="00A65B02" w:rsidRDefault="00AA1E7C" w:rsidP="00AA1E7C">
      <w:pPr>
        <w:pStyle w:val="ListParagraph"/>
        <w:numPr>
          <w:ilvl w:val="0"/>
          <w:numId w:val="6"/>
        </w:numPr>
        <w:tabs>
          <w:tab w:val="left" w:pos="0"/>
          <w:tab w:val="left" w:pos="284"/>
        </w:tabs>
        <w:spacing w:after="0" w:line="276" w:lineRule="auto"/>
        <w:ind w:left="360"/>
        <w:jc w:val="both"/>
        <w:rPr>
          <w:rFonts w:ascii="Century Gothic" w:eastAsia="Calibri" w:hAnsi="Century Gothic" w:cs="Arial"/>
          <w:b/>
          <w:lang w:val="es-ES_tradnl"/>
        </w:rPr>
      </w:pPr>
      <w:r w:rsidRPr="00A65B02">
        <w:rPr>
          <w:rFonts w:ascii="Century Gothic" w:eastAsia="Calibri" w:hAnsi="Century Gothic" w:cs="Arial"/>
          <w:b/>
          <w:lang w:val="es-ES_tradnl"/>
        </w:rPr>
        <w:t>Consideraciones</w:t>
      </w:r>
    </w:p>
    <w:p w14:paraId="52887635" w14:textId="77777777" w:rsidR="00AA1E7C" w:rsidRPr="00A65B02" w:rsidRDefault="00AA1E7C" w:rsidP="00AA1E7C">
      <w:pPr>
        <w:pStyle w:val="ListParagraph"/>
        <w:tabs>
          <w:tab w:val="left" w:pos="0"/>
          <w:tab w:val="left" w:pos="284"/>
        </w:tabs>
        <w:spacing w:after="0" w:line="240" w:lineRule="auto"/>
        <w:ind w:left="360"/>
        <w:jc w:val="both"/>
        <w:rPr>
          <w:rFonts w:ascii="Century Gothic" w:eastAsia="Calibri" w:hAnsi="Century Gothic" w:cs="Arial"/>
          <w:b/>
          <w:lang w:val="es-ES_tradnl"/>
        </w:rPr>
      </w:pPr>
    </w:p>
    <w:p w14:paraId="582B9F80" w14:textId="77777777" w:rsidR="00AA1E7C" w:rsidRPr="00A65B02" w:rsidRDefault="00AA1E7C" w:rsidP="00AA1E7C">
      <w:pPr>
        <w:spacing w:after="120" w:line="276" w:lineRule="auto"/>
        <w:jc w:val="both"/>
        <w:rPr>
          <w:rFonts w:ascii="Century Gothic" w:hAnsi="Century Gothic" w:cs="Arial"/>
          <w:lang w:val="es-ES"/>
        </w:rPr>
      </w:pPr>
      <w:r w:rsidRPr="00A65B02">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A65B02">
        <w:rPr>
          <w:rFonts w:ascii="Century Gothic" w:hAnsi="Century Gothic" w:cs="Arial"/>
        </w:rPr>
        <w:t xml:space="preserve">. </w:t>
      </w:r>
      <w:r w:rsidRPr="00A65B02">
        <w:rPr>
          <w:rFonts w:ascii="Century Gothic" w:hAnsi="Century Gothic" w:cs="Arial"/>
          <w:lang w:val="es-ES"/>
        </w:rPr>
        <w:t xml:space="preserve">Es necesario tener en cuenta que </w:t>
      </w:r>
      <w:bookmarkStart w:id="2" w:name="_Hlk61026958"/>
      <w:r w:rsidRPr="00A65B02">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65B02">
        <w:rPr>
          <w:rFonts w:ascii="Century Gothic" w:hAnsi="Century Gothic" w:cs="Arial"/>
        </w:rPr>
        <w:t xml:space="preserve"> de todos los partícipes de la contratación estatal.</w:t>
      </w:r>
      <w:r w:rsidRPr="00A65B02">
        <w:rPr>
          <w:rFonts w:ascii="Century Gothic" w:hAnsi="Century Gothic" w:cs="Arial"/>
          <w:lang w:val="es-ES"/>
        </w:rPr>
        <w:t xml:space="preserve"> </w:t>
      </w:r>
      <w:bookmarkEnd w:id="0"/>
      <w:bookmarkEnd w:id="1"/>
      <w:bookmarkEnd w:id="2"/>
    </w:p>
    <w:p w14:paraId="1C92DFF2" w14:textId="77777777" w:rsidR="00AA1E7C" w:rsidRDefault="00AA1E7C" w:rsidP="00AA1E7C">
      <w:pPr>
        <w:spacing w:after="120" w:line="276" w:lineRule="auto"/>
        <w:ind w:firstLine="708"/>
        <w:jc w:val="both"/>
        <w:rPr>
          <w:rFonts w:ascii="Century Gothic" w:hAnsi="Century Gothic" w:cs="Arial"/>
          <w:lang w:val="es-ES"/>
        </w:rPr>
      </w:pPr>
      <w:r w:rsidRPr="00A65B02">
        <w:rPr>
          <w:rFonts w:ascii="Century Gothic" w:eastAsia="Calibri" w:hAnsi="Century Gothic"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A65B02">
        <w:rPr>
          <w:rFonts w:ascii="Century Gothic" w:eastAsia="Calibri" w:hAnsi="Century Gothic" w:cs="Arial"/>
          <w:lang w:val="es-ES"/>
        </w:rPr>
        <w:lastRenderedPageBreak/>
        <w:t>contratación pública</w:t>
      </w:r>
      <w:r w:rsidRPr="00A65B02">
        <w:rPr>
          <w:rFonts w:ascii="Century Gothic" w:eastAsia="Calibri" w:hAnsi="Century Gothic" w:cs="Arial"/>
          <w:vertAlign w:val="superscript"/>
          <w:lang w:val="es-ES"/>
        </w:rPr>
        <w:footnoteReference w:id="1"/>
      </w:r>
      <w:r w:rsidRPr="00A65B02">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9A616B6" w14:textId="77777777" w:rsidR="00AA1E7C" w:rsidRPr="00F7050F" w:rsidRDefault="00AA1E7C" w:rsidP="00AA1E7C">
      <w:pPr>
        <w:spacing w:after="120" w:line="276" w:lineRule="auto"/>
        <w:ind w:firstLine="708"/>
        <w:jc w:val="both"/>
        <w:rPr>
          <w:rFonts w:ascii="Century Gothic" w:hAnsi="Century Gothic" w:cs="Arial"/>
          <w:lang w:val="es-ES"/>
        </w:rPr>
      </w:pPr>
      <w:r w:rsidRPr="00F7050F">
        <w:rPr>
          <w:rFonts w:ascii="Century Gothic" w:eastAsia="Calibri" w:hAnsi="Century Gothic" w:cs="Arial"/>
          <w:color w:val="000000"/>
          <w:lang w:val="es-MX"/>
        </w:rPr>
        <w:t xml:space="preserve">Sin perjuicio de lo anterior, </w:t>
      </w:r>
      <w:r w:rsidRPr="00F7050F">
        <w:rPr>
          <w:rFonts w:ascii="Century Gothic" w:eastAsia="Calibri" w:hAnsi="Century Gothic" w:cs="Arial"/>
          <w:color w:val="000000"/>
          <w:lang w:val="es-ES"/>
        </w:rPr>
        <w:t xml:space="preserve">la Subdirección de Gestión Contractual –dentro de los límites de sus atribuciones, esto es, </w:t>
      </w:r>
      <w:bookmarkStart w:id="3" w:name="_Hlk61025408"/>
      <w:r w:rsidRPr="00F7050F">
        <w:rPr>
          <w:rFonts w:ascii="Century Gothic" w:eastAsia="Calibri" w:hAnsi="Century Gothic" w:cs="Arial"/>
          <w:color w:val="000000"/>
          <w:lang w:val="es-ES"/>
        </w:rPr>
        <w:t>haciendo abstracción del caso particular expuesto por el peticionari</w:t>
      </w:r>
      <w:bookmarkEnd w:id="3"/>
      <w:r w:rsidRPr="00F7050F">
        <w:rPr>
          <w:rFonts w:ascii="Century Gothic" w:eastAsia="Calibri" w:hAnsi="Century Gothic" w:cs="Arial"/>
          <w:color w:val="000000"/>
          <w:lang w:val="es-ES"/>
        </w:rPr>
        <w:t>o– resolverá la consulta conforme a las normas generales en materia de contratación estatal</w:t>
      </w:r>
      <w:r w:rsidRPr="00F7050F">
        <w:rPr>
          <w:rFonts w:ascii="Century Gothic" w:eastAsia="Calibri" w:hAnsi="Century Gothic" w:cs="Arial"/>
          <w:lang w:val="es-ES_tradnl" w:eastAsia="es-MX"/>
        </w:rPr>
        <w:t xml:space="preserve">. Con este objetivo se analizarán los siguientes temas: </w:t>
      </w:r>
      <w:r w:rsidRPr="00F7050F">
        <w:rPr>
          <w:rFonts w:ascii="Century Gothic" w:hAnsi="Century Gothic"/>
        </w:rPr>
        <w:t xml:space="preserve">i) </w:t>
      </w:r>
      <w:r w:rsidRPr="00F7050F">
        <w:rPr>
          <w:rFonts w:ascii="Century Gothic" w:hAnsi="Century Gothic"/>
          <w:lang w:val="es-ES_tradnl"/>
        </w:rPr>
        <w:t>Regímenes especiales en la contratación estatal. Excepciones al Estatuto General de Contratación de la Administración Pública: derecho privado matizado por las reglas y principios del derecho administrativo</w:t>
      </w:r>
      <w:r w:rsidRPr="00F7050F">
        <w:rPr>
          <w:rFonts w:ascii="Century Gothic" w:hAnsi="Century Gothic"/>
          <w:lang w:val="es-ES"/>
        </w:rPr>
        <w:t xml:space="preserve">; </w:t>
      </w:r>
      <w:proofErr w:type="spellStart"/>
      <w:r w:rsidRPr="00F7050F">
        <w:rPr>
          <w:rFonts w:ascii="Century Gothic" w:hAnsi="Century Gothic"/>
          <w:lang w:val="es-ES"/>
        </w:rPr>
        <w:t>ii</w:t>
      </w:r>
      <w:proofErr w:type="spellEnd"/>
      <w:r w:rsidRPr="00F7050F">
        <w:rPr>
          <w:rFonts w:ascii="Century Gothic" w:hAnsi="Century Gothic"/>
          <w:lang w:val="es-ES"/>
        </w:rPr>
        <w:t>)</w:t>
      </w:r>
      <w:r w:rsidRPr="00F7050F">
        <w:rPr>
          <w:rFonts w:ascii="Century Gothic" w:hAnsi="Century Gothic"/>
        </w:rPr>
        <w:t xml:space="preserve"> </w:t>
      </w:r>
      <w:r w:rsidRPr="00F7050F">
        <w:rPr>
          <w:rFonts w:ascii="Century Gothic" w:hAnsi="Century Gothic"/>
          <w:lang w:val="es-ES_tradnl"/>
        </w:rPr>
        <w:t xml:space="preserve">Régimen contractual de las Empresas Sociales del Estado – ESE; y </w:t>
      </w:r>
      <w:proofErr w:type="spellStart"/>
      <w:r w:rsidRPr="00F7050F">
        <w:rPr>
          <w:rFonts w:ascii="Century Gothic" w:hAnsi="Century Gothic"/>
          <w:lang w:val="es-ES_tradnl"/>
        </w:rPr>
        <w:t>iii</w:t>
      </w:r>
      <w:proofErr w:type="spellEnd"/>
      <w:r w:rsidRPr="00F7050F">
        <w:rPr>
          <w:rFonts w:ascii="Century Gothic" w:hAnsi="Century Gothic"/>
          <w:lang w:val="es-ES_tradnl"/>
        </w:rPr>
        <w:t xml:space="preserve">) </w:t>
      </w:r>
      <w:r w:rsidRPr="00F7050F">
        <w:rPr>
          <w:rFonts w:ascii="Century Gothic" w:hAnsi="Century Gothic"/>
          <w:lang w:val="es-ES"/>
        </w:rPr>
        <w:t>Libertad de configuración de los manuales internos de contratación</w:t>
      </w:r>
      <w:r>
        <w:rPr>
          <w:rFonts w:ascii="Century Gothic" w:hAnsi="Century Gothic" w:cs="Arial"/>
          <w:lang w:val="es-ES"/>
        </w:rPr>
        <w:t>.</w:t>
      </w:r>
    </w:p>
    <w:p w14:paraId="03C22F1E" w14:textId="77777777" w:rsidR="00AA1E7C" w:rsidRDefault="00AA1E7C" w:rsidP="00AA1E7C">
      <w:pPr>
        <w:spacing w:line="276" w:lineRule="auto"/>
        <w:ind w:firstLine="708"/>
        <w:jc w:val="both"/>
        <w:rPr>
          <w:rFonts w:ascii="Century Gothic" w:eastAsia="Calibri" w:hAnsi="Century Gothic" w:cs="Arial"/>
          <w:lang w:val="es-ES_tradnl" w:eastAsia="es-ES_tradnl"/>
        </w:rPr>
      </w:pPr>
      <w:r w:rsidRPr="00A400B7">
        <w:rPr>
          <w:rFonts w:ascii="Century Gothic" w:eastAsia="Calibri" w:hAnsi="Century Gothic" w:cs="Arial"/>
        </w:rPr>
        <w:t>La Agencia Nacional de Contratación Pública – Colombia Compra Eficiente –en adelante la ANCP-CCE–</w:t>
      </w:r>
      <w:r w:rsidRPr="00A400B7">
        <w:rPr>
          <w:rFonts w:ascii="Century Gothic" w:eastAsia="Calibri" w:hAnsi="Century Gothic" w:cs="Arial"/>
          <w:lang w:val="es-MX" w:eastAsia="es-ES_tradnl"/>
        </w:rPr>
        <w:t xml:space="preserve">, </w:t>
      </w:r>
      <w:r w:rsidRPr="00A400B7">
        <w:rPr>
          <w:rFonts w:ascii="Century Gothic" w:eastAsia="Calibri" w:hAnsi="Century Gothic" w:cs="Arial"/>
          <w:lang w:val="es-MX"/>
        </w:rPr>
        <w:t xml:space="preserve">en el ejercicio de su competencia consultiva, ha estudiado </w:t>
      </w:r>
      <w:r w:rsidRPr="00A400B7">
        <w:rPr>
          <w:rFonts w:ascii="Century Gothic" w:eastAsia="Calibri" w:hAnsi="Century Gothic" w:cs="Arial"/>
          <w:lang w:val="es-ES"/>
        </w:rPr>
        <w:t>regímenes especiales en la contratación estatal</w:t>
      </w:r>
      <w:r w:rsidRPr="00A400B7" w:rsidDel="007849D3">
        <w:rPr>
          <w:rFonts w:ascii="Century Gothic" w:eastAsia="Calibri" w:hAnsi="Century Gothic" w:cs="Arial"/>
          <w:lang w:val="es-MX"/>
        </w:rPr>
        <w:t xml:space="preserve"> </w:t>
      </w:r>
      <w:r w:rsidRPr="00A400B7">
        <w:rPr>
          <w:rFonts w:ascii="Century Gothic" w:eastAsia="Calibri" w:hAnsi="Century Gothic" w:cs="Arial"/>
          <w:lang w:val="es-MX"/>
        </w:rPr>
        <w:t xml:space="preserve">en los conceptos con radicados 2201913000007228 de 30 de septiembre de 2019, 2201913000007955 24 de octubre de 2019, 2201913000009314 17 de diciembre de 2020, 2201913000009591 24 de diciembre de 2019, 2201913000009469 20 de diciembre de 2019, CU-003 del </w:t>
      </w:r>
      <w:r w:rsidRPr="00A400B7">
        <w:rPr>
          <w:rFonts w:ascii="Century Gothic" w:eastAsia="Calibri" w:hAnsi="Century Gothic" w:cs="Arial"/>
          <w:lang w:val="es-MX"/>
        </w:rPr>
        <w:lastRenderedPageBreak/>
        <w:t xml:space="preserve">15 de enero de 2020, C-079 de 5 de febrero de 2020, </w:t>
      </w:r>
      <w:r w:rsidRPr="00A400B7">
        <w:rPr>
          <w:rFonts w:ascii="Century Gothic" w:eastAsia="Calibri" w:hAnsi="Century Gothic" w:cs="Arial"/>
          <w:lang w:eastAsia="es-ES_tradnl"/>
        </w:rPr>
        <w:t xml:space="preserve">C-027 del 13 de febrero de 2020, C-179 del 16 de marzo de 2020, </w:t>
      </w:r>
      <w:r w:rsidRPr="00A400B7">
        <w:rPr>
          <w:rFonts w:ascii="Century Gothic" w:eastAsia="Calibri" w:hAnsi="Century Gothic" w:cs="Arial"/>
          <w:lang w:val="es-MX"/>
        </w:rPr>
        <w:t xml:space="preserve">C-168 de 31 de marzo de 2020, </w:t>
      </w:r>
      <w:r w:rsidRPr="00A400B7">
        <w:rPr>
          <w:rFonts w:ascii="Century Gothic" w:eastAsia="Calibri" w:hAnsi="Century Gothic" w:cs="Arial"/>
          <w:lang w:eastAsia="es-ES_tradnl"/>
        </w:rPr>
        <w:t xml:space="preserve">C-362 del 03 de julio de 2020, </w:t>
      </w:r>
      <w:r w:rsidRPr="00A400B7">
        <w:rPr>
          <w:rFonts w:ascii="Century Gothic" w:eastAsia="Calibri" w:hAnsi="Century Gothic" w:cs="Arial"/>
          <w:lang w:val="es-MX"/>
        </w:rPr>
        <w:t>C-658 de 2020, C-741 del 29 de noviembre del 2022, C-343 del 26 de octubre del 2023</w:t>
      </w:r>
      <w:r w:rsidRPr="00A400B7">
        <w:rPr>
          <w:rStyle w:val="FootnoteReference"/>
          <w:rFonts w:ascii="Century Gothic" w:eastAsia="Calibri" w:hAnsi="Century Gothic" w:cs="Arial"/>
          <w:bCs/>
          <w:lang w:val="es-MX"/>
        </w:rPr>
        <w:footnoteReference w:id="2"/>
      </w:r>
      <w:r w:rsidRPr="00A400B7">
        <w:rPr>
          <w:rFonts w:ascii="Century Gothic" w:eastAsia="Calibri" w:hAnsi="Century Gothic" w:cs="Arial"/>
          <w:bCs/>
          <w:lang w:val="es-MX"/>
        </w:rPr>
        <w:t>.</w:t>
      </w:r>
      <w:r w:rsidRPr="00A400B7">
        <w:rPr>
          <w:rFonts w:ascii="Century Gothic" w:eastAsia="Calibri" w:hAnsi="Century Gothic" w:cs="Arial"/>
          <w:lang w:val="es-MX" w:eastAsia="es-ES_tradnl"/>
        </w:rPr>
        <w:t xml:space="preserve"> </w:t>
      </w:r>
      <w:r w:rsidRPr="00A400B7">
        <w:rPr>
          <w:rFonts w:ascii="Century Gothic" w:eastAsia="Calibri" w:hAnsi="Century Gothic" w:cs="Arial"/>
          <w:lang w:val="es-ES_tradnl" w:eastAsia="es-ES_tradnl"/>
        </w:rPr>
        <w:t>Algunas de las consideraciones de estos conceptos se reiteran y se complementan en lo pertinente para dar respuesta a su consulta.</w:t>
      </w:r>
    </w:p>
    <w:p w14:paraId="4B96540F" w14:textId="77777777" w:rsidR="00AA1E7C" w:rsidRPr="00C264AA" w:rsidRDefault="00AA1E7C" w:rsidP="00AA1E7C">
      <w:pPr>
        <w:spacing w:line="276" w:lineRule="auto"/>
        <w:jc w:val="both"/>
        <w:rPr>
          <w:rFonts w:ascii="Century Gothic" w:hAnsi="Century Gothic"/>
          <w:b/>
          <w:bCs/>
        </w:rPr>
      </w:pPr>
      <w:r>
        <w:rPr>
          <w:rFonts w:ascii="Century Gothic" w:hAnsi="Century Gothic"/>
          <w:b/>
          <w:bCs/>
        </w:rPr>
        <w:t xml:space="preserve">2.1. </w:t>
      </w:r>
      <w:r w:rsidRPr="00650AE9">
        <w:rPr>
          <w:rFonts w:ascii="Century Gothic" w:hAnsi="Century Gothic"/>
          <w:b/>
          <w:bCs/>
          <w:lang w:val="es-ES_tradnl"/>
        </w:rPr>
        <w:t>Regímenes especiales en la contratación estatal. Excepciones al Estatuto General de Contratación de la Administración Pública: derecho privado matizado por las reglas y principios del derecho administrativo</w:t>
      </w:r>
    </w:p>
    <w:p w14:paraId="6123AC33" w14:textId="77777777" w:rsidR="00AA1E7C" w:rsidRPr="00133461" w:rsidRDefault="00AA1E7C" w:rsidP="00AA1E7C">
      <w:pPr>
        <w:tabs>
          <w:tab w:val="left" w:pos="426"/>
        </w:tabs>
        <w:jc w:val="both"/>
        <w:rPr>
          <w:rFonts w:ascii="Century Gothic" w:hAnsi="Century Gothic" w:cs="Arial"/>
          <w:b/>
          <w:color w:val="000000"/>
          <w:lang w:val="es-ES_tradnl"/>
        </w:rPr>
      </w:pPr>
      <w:r w:rsidRPr="00133461">
        <w:rPr>
          <w:rFonts w:ascii="Century Gothic" w:hAnsi="Century Gothic" w:cs="Arial"/>
          <w:color w:val="000000"/>
          <w:lang w:val="es-ES_tradnl"/>
        </w:rPr>
        <w:t xml:space="preserve">Las entidades de régimen especial son aquellas que, por expresa disposición legal y por su naturaleza o situación de competencia, tienen condiciones diferenciales respecto de la normativa aplicable a los temas de contratación pública. Esto quiere decir que no están sometidas al Estatuto General de Contratación de la Administración Pública –en adelante </w:t>
      </w:r>
      <w:bookmarkStart w:id="4" w:name="_Hlk97724318"/>
      <w:r w:rsidRPr="00133461">
        <w:rPr>
          <w:rFonts w:ascii="Century Gothic" w:hAnsi="Century Gothic" w:cs="Arial"/>
          <w:color w:val="000000"/>
          <w:lang w:val="es-ES_tradnl"/>
        </w:rPr>
        <w:t>EGCAP</w:t>
      </w:r>
      <w:bookmarkEnd w:id="4"/>
      <w:r w:rsidRPr="00133461">
        <w:rPr>
          <w:rFonts w:ascii="Century Gothic" w:hAnsi="Century Gothic" w:cs="Arial"/>
          <w:color w:val="000000"/>
          <w:lang w:val="es-ES_tradnl"/>
        </w:rPr>
        <w:t>– y, por ende, sus procedimientos contractuales tienen normativa propia para su desarrollo, esto es, el derecho privado, lo cual está determinado en las normas de creación de las entidades de régimen especial y en sus manuales de contratación.</w:t>
      </w:r>
    </w:p>
    <w:p w14:paraId="3091F7D2" w14:textId="77777777" w:rsidR="00AA1E7C" w:rsidRPr="00133461" w:rsidRDefault="00AA1E7C" w:rsidP="00AA1E7C">
      <w:pPr>
        <w:spacing w:before="120" w:after="120"/>
        <w:jc w:val="both"/>
        <w:rPr>
          <w:rFonts w:ascii="Century Gothic" w:hAnsi="Century Gothic" w:cs="Arial"/>
          <w:color w:val="000000"/>
          <w:lang w:val="es-ES"/>
        </w:rPr>
      </w:pPr>
      <w:r w:rsidRPr="00133461">
        <w:rPr>
          <w:rFonts w:ascii="Century Gothic" w:hAnsi="Century Gothic" w:cs="Arial"/>
          <w:color w:val="000000"/>
          <w:lang w:val="es-ES_tradnl"/>
        </w:rPr>
        <w:tab/>
      </w:r>
      <w:r w:rsidRPr="1D7D8DC2">
        <w:rPr>
          <w:rFonts w:ascii="Century Gothic" w:hAnsi="Century Gothic" w:cs="Arial"/>
          <w:color w:val="000000"/>
          <w:lang w:val="es-ES"/>
        </w:rPr>
        <w:t>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Esta Agencia expidió la Guía para las Entidades Estatales con régimen especial de contratación, que las define como aquellas que contratan con un régimen distinto a las Leyes 80 de 1993 y 1150 de 2007</w:t>
      </w:r>
      <w:r w:rsidRPr="1D7D8DC2">
        <w:rPr>
          <w:rFonts w:ascii="Century Gothic" w:hAnsi="Century Gothic" w:cs="Arial"/>
          <w:color w:val="000000"/>
          <w:vertAlign w:val="superscript"/>
          <w:lang w:val="es-ES"/>
        </w:rPr>
        <w:footnoteReference w:id="3"/>
      </w:r>
      <w:r w:rsidRPr="1D7D8DC2">
        <w:rPr>
          <w:rFonts w:ascii="Century Gothic" w:hAnsi="Century Gothic" w:cs="Arial"/>
          <w:color w:val="000000"/>
          <w:lang w:val="es-ES"/>
        </w:rPr>
        <w:t>.</w:t>
      </w:r>
    </w:p>
    <w:p w14:paraId="6ADCFE37" w14:textId="77777777" w:rsidR="00AA1E7C" w:rsidRPr="00133461" w:rsidRDefault="00AA1E7C" w:rsidP="00AA1E7C">
      <w:pPr>
        <w:jc w:val="both"/>
        <w:rPr>
          <w:rFonts w:ascii="Century Gothic" w:hAnsi="Century Gothic" w:cs="Arial"/>
          <w:color w:val="000000"/>
          <w:lang w:val="es-ES_tradnl"/>
        </w:rPr>
      </w:pPr>
      <w:r w:rsidRPr="00133461">
        <w:rPr>
          <w:rFonts w:ascii="Century Gothic" w:hAnsi="Century Gothic" w:cs="Arial"/>
          <w:color w:val="000000"/>
          <w:lang w:val="es-ES_tradnl"/>
        </w:rPr>
        <w:tab/>
        <w:t xml:space="preserve">No obstante, las entidades de régimen especial cumplen una finalidad pública y utilizan recursos públicos para lograrlo, por lo que no son ajenas a los principios de la función administrativa y de la gestión fiscal, contenidos en los </w:t>
      </w:r>
      <w:r w:rsidRPr="00133461">
        <w:rPr>
          <w:rFonts w:ascii="Century Gothic" w:hAnsi="Century Gothic" w:cs="Arial"/>
          <w:color w:val="000000"/>
          <w:lang w:val="es-ES_tradnl"/>
        </w:rPr>
        <w:lastRenderedPageBreak/>
        <w:t>artículos 209 y 267 de la Constitución Política, respectivamente, entre otras reglas dispuestas en la normativa de contratación estatal, que son transversales a todas las entidades, sin importar su régimen contractual. Lo anterior es reafirmado por el Consejo de Estado, que destaca las reglas que sigue la contratación de las entidades de régimen especial:</w:t>
      </w:r>
    </w:p>
    <w:p w14:paraId="3B117666" w14:textId="77777777" w:rsidR="00AA1E7C" w:rsidRPr="00386CD0" w:rsidRDefault="00AA1E7C" w:rsidP="00AA1E7C">
      <w:pPr>
        <w:spacing w:line="240" w:lineRule="auto"/>
        <w:ind w:left="709" w:right="709"/>
        <w:jc w:val="both"/>
        <w:rPr>
          <w:rFonts w:ascii="Century Gothic" w:hAnsi="Century Gothic" w:cs="Arial"/>
          <w:color w:val="000000"/>
          <w:sz w:val="20"/>
          <w:szCs w:val="20"/>
          <w:lang w:val="es-ES_tradnl"/>
        </w:rPr>
      </w:pPr>
      <w:r w:rsidRPr="00386CD0">
        <w:rPr>
          <w:rFonts w:ascii="Century Gothic" w:hAnsi="Century Gothic" w:cs="Arial"/>
          <w:color w:val="000000"/>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7F7E89E" w14:textId="77777777" w:rsidR="00AA1E7C" w:rsidRPr="00386CD0" w:rsidRDefault="00AA1E7C" w:rsidP="00AA1E7C">
      <w:pPr>
        <w:spacing w:line="240" w:lineRule="auto"/>
        <w:ind w:left="709" w:right="709"/>
        <w:jc w:val="both"/>
        <w:rPr>
          <w:rFonts w:ascii="Century Gothic" w:hAnsi="Century Gothic" w:cs="Arial"/>
          <w:color w:val="000000"/>
          <w:sz w:val="20"/>
          <w:szCs w:val="20"/>
          <w:lang w:val="es-ES_tradnl"/>
        </w:rPr>
      </w:pPr>
      <w:r w:rsidRPr="00386CD0">
        <w:rPr>
          <w:rFonts w:ascii="Century Gothic" w:hAnsi="Century Gothic" w:cs="Arial"/>
          <w:color w:val="000000"/>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6CA3CCC3" w14:textId="77777777" w:rsidR="00AA1E7C" w:rsidRPr="00386CD0" w:rsidRDefault="00AA1E7C" w:rsidP="00AA1E7C">
      <w:pPr>
        <w:spacing w:line="240" w:lineRule="auto"/>
        <w:ind w:left="709" w:right="709"/>
        <w:jc w:val="both"/>
        <w:rPr>
          <w:rFonts w:ascii="Century Gothic" w:hAnsi="Century Gothic" w:cs="Arial"/>
          <w:color w:val="000000"/>
          <w:sz w:val="20"/>
          <w:szCs w:val="20"/>
          <w:lang w:val="es-ES_tradnl"/>
        </w:rPr>
      </w:pPr>
      <w:r w:rsidRPr="00386CD0">
        <w:rPr>
          <w:rFonts w:ascii="Century Gothic" w:hAnsi="Century Gothic" w:cs="Arial"/>
          <w:color w:val="000000"/>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386CD0">
        <w:rPr>
          <w:rFonts w:ascii="Century Gothic" w:hAnsi="Century Gothic" w:cs="Arial"/>
          <w:color w:val="000000"/>
          <w:sz w:val="20"/>
          <w:szCs w:val="20"/>
          <w:vertAlign w:val="superscript"/>
          <w:lang w:val="es-ES_tradnl"/>
        </w:rPr>
        <w:footnoteReference w:id="4"/>
      </w:r>
    </w:p>
    <w:p w14:paraId="62F34D19" w14:textId="77777777" w:rsidR="00AA1E7C" w:rsidRDefault="00AA1E7C" w:rsidP="00AA1E7C">
      <w:pPr>
        <w:ind w:firstLine="708"/>
        <w:jc w:val="both"/>
        <w:rPr>
          <w:rFonts w:ascii="Century Gothic" w:hAnsi="Century Gothic" w:cs="Arial"/>
          <w:color w:val="000000"/>
          <w:lang w:val="es-ES"/>
        </w:rPr>
      </w:pPr>
      <w:r w:rsidRPr="1D7D8DC2">
        <w:rPr>
          <w:rFonts w:ascii="Century Gothic" w:hAnsi="Century Gothic" w:cs="Arial"/>
          <w:color w:val="000000" w:themeColor="text1"/>
          <w:lang w:val="es-ES"/>
        </w:rPr>
        <w:t xml:space="preserve">Teniendo en cuenta que algunas de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w:t>
      </w:r>
      <w:r w:rsidRPr="1D7D8DC2">
        <w:rPr>
          <w:rFonts w:ascii="Century Gothic" w:hAnsi="Century Gothic" w:cs="Arial"/>
          <w:color w:val="000000" w:themeColor="text1"/>
          <w:lang w:val="es-ES"/>
        </w:rPr>
        <w:lastRenderedPageBreak/>
        <w:t>detallen en los documentos que se expiden en desarrollo de sus procedimientos contractuales.</w:t>
      </w:r>
    </w:p>
    <w:p w14:paraId="2AE1A674" w14:textId="77777777" w:rsidR="00AA1E7C" w:rsidRPr="00133461" w:rsidRDefault="00AA1E7C" w:rsidP="00AA1E7C">
      <w:pPr>
        <w:ind w:firstLine="708"/>
        <w:jc w:val="both"/>
        <w:rPr>
          <w:rFonts w:ascii="Century Gothic" w:hAnsi="Century Gothic" w:cs="Arial"/>
          <w:color w:val="000000"/>
          <w:lang w:val="es-ES"/>
        </w:rPr>
      </w:pPr>
      <w:r w:rsidRPr="1D7D8DC2">
        <w:rPr>
          <w:rFonts w:ascii="Century Gothic" w:hAnsi="Century Gothic" w:cs="Arial"/>
          <w:color w:val="000000" w:themeColor="text1"/>
          <w:lang w:val="es-ES"/>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2DBB78F9" w14:textId="77777777" w:rsidR="00AA1E7C" w:rsidRPr="00133461" w:rsidRDefault="00AA1E7C" w:rsidP="00AA1E7C">
      <w:pPr>
        <w:spacing w:before="120" w:after="120"/>
        <w:ind w:firstLine="709"/>
        <w:jc w:val="both"/>
        <w:rPr>
          <w:rFonts w:ascii="Century Gothic" w:hAnsi="Century Gothic" w:cs="Arial"/>
          <w:color w:val="000000"/>
          <w:lang w:val="es-ES"/>
        </w:rPr>
      </w:pPr>
      <w:r w:rsidRPr="1D7D8DC2">
        <w:rPr>
          <w:rFonts w:ascii="Century Gothic" w:hAnsi="Century Gothic" w:cs="Arial"/>
          <w:color w:val="000000"/>
          <w:lang w:val="es-ES"/>
        </w:rPr>
        <w:t>Además, se debe tener en cuenta que las cláusulas excepcionales, por regla general, no están contempladas en el derecho común. Por su parte, en el EGCAP se prevén unas reglas para su aplicación y limitaciones en relación con algunas tipologías específicas de contratos. En ese sentido, la única forma en que una entidad sujeta a un régimen especial pueda pactar estas cláusulas deriva de si su norma de creación lo establece, como sucede con las empresas sociales del Estado. De modo que, si una Entidad sujeta al régimen especial requiere sancionar o dar por terminado el contrato, por regla general, debe acudir al juez competente</w:t>
      </w:r>
      <w:r w:rsidRPr="1D7D8DC2">
        <w:rPr>
          <w:rFonts w:ascii="Century Gothic" w:hAnsi="Century Gothic" w:cs="Arial"/>
          <w:color w:val="000000"/>
          <w:vertAlign w:val="superscript"/>
          <w:lang w:val="es-ES"/>
        </w:rPr>
        <w:footnoteReference w:id="5"/>
      </w:r>
      <w:r w:rsidRPr="1D7D8DC2">
        <w:rPr>
          <w:rFonts w:ascii="Century Gothic" w:hAnsi="Century Gothic" w:cs="Arial"/>
          <w:color w:val="000000"/>
          <w:lang w:val="es-ES"/>
        </w:rPr>
        <w:t>.</w:t>
      </w:r>
    </w:p>
    <w:p w14:paraId="0C1CB137" w14:textId="77777777" w:rsidR="00AA1E7C" w:rsidRPr="00A400B7" w:rsidRDefault="00AA1E7C" w:rsidP="00AA1E7C">
      <w:pPr>
        <w:pStyle w:val="NoSpacing"/>
        <w:spacing w:line="276" w:lineRule="auto"/>
        <w:jc w:val="both"/>
        <w:rPr>
          <w:rFonts w:ascii="Century Gothic" w:hAnsi="Century Gothic" w:cs="Arial"/>
          <w:b/>
          <w:lang w:val="es-ES_tradnl"/>
        </w:rPr>
      </w:pPr>
      <w:r w:rsidRPr="00A400B7">
        <w:rPr>
          <w:rFonts w:ascii="Century Gothic" w:hAnsi="Century Gothic" w:cs="Arial"/>
          <w:b/>
          <w:lang w:val="es-ES_tradnl"/>
        </w:rPr>
        <w:t>2.</w:t>
      </w:r>
      <w:r>
        <w:rPr>
          <w:rFonts w:ascii="Century Gothic" w:hAnsi="Century Gothic" w:cs="Arial"/>
          <w:b/>
          <w:lang w:val="es-ES_tradnl"/>
        </w:rPr>
        <w:t>2</w:t>
      </w:r>
      <w:r w:rsidRPr="00A400B7">
        <w:rPr>
          <w:rFonts w:ascii="Century Gothic" w:hAnsi="Century Gothic" w:cs="Arial"/>
          <w:b/>
          <w:lang w:val="es-ES_tradnl"/>
        </w:rPr>
        <w:t xml:space="preserve">. Régimen contractual de las Empresas Sociales del Estado – ESE </w:t>
      </w:r>
    </w:p>
    <w:p w14:paraId="43C74CC5" w14:textId="77777777" w:rsidR="00AA1E7C" w:rsidRPr="00A400B7" w:rsidRDefault="00AA1E7C" w:rsidP="00AA1E7C">
      <w:pPr>
        <w:pStyle w:val="BodyText"/>
        <w:spacing w:after="0" w:line="276" w:lineRule="auto"/>
        <w:ind w:right="102"/>
        <w:jc w:val="both"/>
        <w:rPr>
          <w:rFonts w:ascii="Century Gothic" w:hAnsi="Century Gothic"/>
        </w:rPr>
      </w:pPr>
    </w:p>
    <w:p w14:paraId="4FD8E779" w14:textId="77777777" w:rsidR="00AA1E7C" w:rsidRPr="00CA19D0" w:rsidRDefault="00AA1E7C" w:rsidP="00AA1E7C">
      <w:pPr>
        <w:spacing w:after="0" w:line="276" w:lineRule="auto"/>
        <w:jc w:val="both"/>
        <w:rPr>
          <w:rFonts w:ascii="Century Gothic" w:hAnsi="Century Gothic" w:cs="Arial"/>
          <w:lang w:val="es-MX"/>
        </w:rPr>
      </w:pPr>
      <w:r w:rsidRPr="00CA19D0">
        <w:rPr>
          <w:rFonts w:ascii="Century Gothic" w:hAnsi="Century Gothic" w:cs="Arial"/>
          <w:lang w:val="es-MX"/>
        </w:rPr>
        <w:t xml:space="preserve">Unas de esas </w:t>
      </w:r>
      <w:r>
        <w:rPr>
          <w:rFonts w:ascii="Century Gothic" w:hAnsi="Century Gothic" w:cs="Arial"/>
          <w:lang w:val="es-MX"/>
        </w:rPr>
        <w:t>E</w:t>
      </w:r>
      <w:r w:rsidRPr="00CA19D0">
        <w:rPr>
          <w:rFonts w:ascii="Century Gothic" w:hAnsi="Century Gothic" w:cs="Arial"/>
          <w:lang w:val="es-MX"/>
        </w:rPr>
        <w:t xml:space="preserve">ntidades </w:t>
      </w:r>
      <w:r>
        <w:rPr>
          <w:rFonts w:ascii="Century Gothic" w:hAnsi="Century Gothic" w:cs="Arial"/>
          <w:lang w:val="es-MX"/>
        </w:rPr>
        <w:t>E</w:t>
      </w:r>
      <w:r w:rsidRPr="00CA19D0">
        <w:rPr>
          <w:rFonts w:ascii="Century Gothic" w:hAnsi="Century Gothic" w:cs="Arial"/>
          <w:lang w:val="es-MX"/>
        </w:rPr>
        <w:t>statales con régimen especial, y que es objeto de su consulta, son las Empresas Sociales del Estado – ESE, entendidas como entidades públicas que, conforme al artículo 194 de la Ley 100 de 1993, son de categoría especial, descentralizada por servicios, con personería jurídica, patrimonio propio y autonomía administrativa</w:t>
      </w:r>
      <w:r w:rsidRPr="00CA19D0">
        <w:rPr>
          <w:rFonts w:ascii="Century Gothic" w:hAnsi="Century Gothic" w:cs="Arial"/>
          <w:vertAlign w:val="superscript"/>
          <w:lang w:val="es-MX"/>
        </w:rPr>
        <w:footnoteReference w:id="6"/>
      </w:r>
      <w:r w:rsidRPr="00CA19D0">
        <w:rPr>
          <w:rFonts w:ascii="Century Gothic" w:hAnsi="Century Gothic" w:cs="Arial"/>
          <w:lang w:val="es-MX"/>
        </w:rPr>
        <w:t xml:space="preserve">. A través de ellas la Nación o las entidades territoriales prestan el servicio de salud de manera directa, es decir, las Empresas Sociales del </w:t>
      </w:r>
      <w:r w:rsidRPr="00CA19D0">
        <w:rPr>
          <w:rFonts w:ascii="Century Gothic" w:hAnsi="Century Gothic" w:cs="Arial"/>
          <w:lang w:val="es-MX"/>
        </w:rPr>
        <w:lastRenderedPageBreak/>
        <w:t xml:space="preserve">Estado son, esencialmente, los hospitales públicos. El Consejo de Estado, en relación con la naturaleza jurídica de estas entidades, precisó: </w:t>
      </w:r>
    </w:p>
    <w:p w14:paraId="4F34F8DA" w14:textId="77777777" w:rsidR="00AA1E7C" w:rsidRPr="00CA19D0" w:rsidRDefault="00AA1E7C" w:rsidP="00AA1E7C">
      <w:pPr>
        <w:spacing w:after="0" w:line="276" w:lineRule="auto"/>
        <w:jc w:val="both"/>
        <w:rPr>
          <w:rFonts w:ascii="Century Gothic" w:eastAsia="Calibri" w:hAnsi="Century Gothic" w:cs="Arial"/>
          <w:color w:val="000000" w:themeColor="text1"/>
          <w:lang w:val="es-MX"/>
        </w:rPr>
      </w:pPr>
    </w:p>
    <w:p w14:paraId="3E3BB29D" w14:textId="77777777" w:rsidR="00AA1E7C" w:rsidRPr="008A5B29" w:rsidRDefault="00AA1E7C" w:rsidP="00AA1E7C">
      <w:pPr>
        <w:spacing w:after="0" w:line="240" w:lineRule="auto"/>
        <w:ind w:left="709" w:right="709"/>
        <w:jc w:val="both"/>
        <w:rPr>
          <w:rFonts w:ascii="Century Gothic" w:eastAsia="Calibri" w:hAnsi="Century Gothic" w:cs="Arial"/>
          <w:color w:val="000000" w:themeColor="text1"/>
          <w:sz w:val="20"/>
          <w:szCs w:val="20"/>
        </w:rPr>
      </w:pPr>
      <w:r w:rsidRPr="008A5B29">
        <w:rPr>
          <w:rFonts w:ascii="Century Gothic" w:eastAsia="Calibri" w:hAnsi="Century Gothic" w:cs="Arial"/>
          <w:color w:val="000000" w:themeColor="text1"/>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8A5B29">
        <w:rPr>
          <w:rStyle w:val="FootnoteReference"/>
          <w:rFonts w:ascii="Century Gothic" w:eastAsia="Calibri" w:hAnsi="Century Gothic" w:cs="Arial"/>
          <w:color w:val="000000" w:themeColor="text1"/>
          <w:sz w:val="20"/>
          <w:szCs w:val="20"/>
        </w:rPr>
        <w:footnoteReference w:id="7"/>
      </w:r>
      <w:r w:rsidRPr="008A5B29">
        <w:rPr>
          <w:rFonts w:ascii="Century Gothic" w:eastAsia="Calibri" w:hAnsi="Century Gothic" w:cs="Arial"/>
          <w:color w:val="000000" w:themeColor="text1"/>
          <w:sz w:val="20"/>
          <w:szCs w:val="20"/>
        </w:rPr>
        <w:t xml:space="preserve">. </w:t>
      </w:r>
    </w:p>
    <w:p w14:paraId="13400EB3" w14:textId="77777777" w:rsidR="00AA1E7C" w:rsidRPr="00A400B7" w:rsidRDefault="00AA1E7C" w:rsidP="00AA1E7C">
      <w:pPr>
        <w:spacing w:after="0" w:line="276" w:lineRule="auto"/>
        <w:ind w:left="709" w:right="709"/>
        <w:jc w:val="both"/>
        <w:rPr>
          <w:rFonts w:ascii="Century Gothic" w:eastAsia="Calibri" w:hAnsi="Century Gothic" w:cs="Arial"/>
          <w:color w:val="000000" w:themeColor="text1"/>
        </w:rPr>
      </w:pPr>
    </w:p>
    <w:p w14:paraId="1B809E74" w14:textId="77777777" w:rsidR="00AA1E7C" w:rsidRPr="00A400B7" w:rsidRDefault="00AA1E7C" w:rsidP="00AA1E7C">
      <w:pPr>
        <w:pStyle w:val="BodyText"/>
        <w:spacing w:after="120" w:line="276" w:lineRule="auto"/>
        <w:ind w:right="102" w:firstLine="709"/>
        <w:jc w:val="both"/>
        <w:rPr>
          <w:rFonts w:ascii="Century Gothic" w:hAnsi="Century Gothic"/>
        </w:rPr>
      </w:pPr>
      <w:r w:rsidRPr="00A400B7">
        <w:rPr>
          <w:rFonts w:ascii="Century Gothic" w:hAnsi="Century Gothic"/>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304B8F2D" w14:textId="77777777" w:rsidR="00AA1E7C" w:rsidRPr="00A400B7" w:rsidRDefault="00AA1E7C" w:rsidP="00AA1E7C">
      <w:pPr>
        <w:spacing w:after="120" w:line="276" w:lineRule="auto"/>
        <w:ind w:firstLine="709"/>
        <w:jc w:val="both"/>
        <w:rPr>
          <w:rFonts w:ascii="Century Gothic" w:hAnsi="Century Gothic" w:cs="Arial"/>
        </w:rPr>
      </w:pPr>
      <w:r w:rsidRPr="00A400B7">
        <w:rPr>
          <w:rFonts w:ascii="Century Gothic" w:hAnsi="Century Gothic" w:cs="Arial"/>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A400B7">
        <w:rPr>
          <w:rFonts w:ascii="Century Gothic" w:eastAsia="Calibri" w:hAnsi="Century Gothic" w:cs="Arial"/>
          <w:color w:val="000000" w:themeColor="text1"/>
        </w:rPr>
        <w:t xml:space="preserve">por el derecho público. </w:t>
      </w:r>
      <w:r w:rsidRPr="00A400B7">
        <w:rPr>
          <w:rFonts w:ascii="Century Gothic" w:hAnsi="Century Gothic" w:cs="Arial"/>
        </w:rPr>
        <w:t xml:space="preserve">La norma referida prescribe que </w:t>
      </w:r>
      <w:r>
        <w:rPr>
          <w:rFonts w:ascii="Century Gothic" w:hAnsi="Century Gothic" w:cs="Arial"/>
        </w:rPr>
        <w:t>“</w:t>
      </w:r>
      <w:r w:rsidRPr="00A400B7">
        <w:rPr>
          <w:rFonts w:ascii="Century Gothic" w:hAnsi="Century Gothic" w:cs="Arial"/>
        </w:rPr>
        <w:t>En materia contractual se regirá por el derecho privado, pero podrá discrecionalmente utilizar las cláusulas exorbitantes previstas en el estatuto general de contratación de la administración pública</w:t>
      </w:r>
      <w:r>
        <w:rPr>
          <w:rFonts w:ascii="Century Gothic" w:hAnsi="Century Gothic" w:cs="Arial"/>
        </w:rPr>
        <w:t>”</w:t>
      </w:r>
      <w:r w:rsidRPr="00A400B7">
        <w:rPr>
          <w:rFonts w:ascii="Century Gothic" w:hAnsi="Century Gothic" w:cs="Arial"/>
        </w:rPr>
        <w:t>.</w:t>
      </w:r>
    </w:p>
    <w:p w14:paraId="5DC06C51" w14:textId="77777777" w:rsidR="00AA1E7C" w:rsidRPr="00A400B7" w:rsidRDefault="00AA1E7C" w:rsidP="00AA1E7C">
      <w:pPr>
        <w:pStyle w:val="BodyText"/>
        <w:spacing w:after="0" w:line="276" w:lineRule="auto"/>
        <w:ind w:right="102" w:firstLine="709"/>
        <w:jc w:val="both"/>
        <w:rPr>
          <w:rFonts w:ascii="Century Gothic" w:hAnsi="Century Gothic"/>
        </w:rPr>
      </w:pPr>
      <w:r w:rsidRPr="00A400B7">
        <w:rPr>
          <w:rFonts w:ascii="Century Gothic" w:hAnsi="Century Gothic"/>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A400B7">
        <w:rPr>
          <w:rStyle w:val="FootnoteReference"/>
          <w:rFonts w:ascii="Century Gothic" w:hAnsi="Century Gothic"/>
        </w:rPr>
        <w:footnoteReference w:id="8"/>
      </w:r>
      <w:r w:rsidRPr="00A400B7">
        <w:rPr>
          <w:rFonts w:ascii="Century Gothic" w:hAnsi="Century Gothic"/>
        </w:rPr>
        <w:t xml:space="preserve">. En esta misma línea, el artículo 83 de la Ley 489 </w:t>
      </w:r>
      <w:r w:rsidRPr="00A400B7">
        <w:rPr>
          <w:rFonts w:ascii="Century Gothic" w:hAnsi="Century Gothic"/>
        </w:rPr>
        <w:lastRenderedPageBreak/>
        <w:t>de 1998, dispuso lo</w:t>
      </w:r>
      <w:r w:rsidRPr="00A400B7">
        <w:rPr>
          <w:rFonts w:ascii="Century Gothic" w:hAnsi="Century Gothic"/>
          <w:spacing w:val="-12"/>
        </w:rPr>
        <w:t xml:space="preserve"> </w:t>
      </w:r>
      <w:r w:rsidRPr="00A400B7">
        <w:rPr>
          <w:rFonts w:ascii="Century Gothic" w:hAnsi="Century Gothic"/>
        </w:rPr>
        <w:t>siguiente:</w:t>
      </w:r>
    </w:p>
    <w:p w14:paraId="3A083764" w14:textId="77777777" w:rsidR="00AA1E7C" w:rsidRPr="00A400B7" w:rsidRDefault="00AA1E7C" w:rsidP="00AA1E7C">
      <w:pPr>
        <w:pStyle w:val="BodyText"/>
        <w:spacing w:after="0" w:line="276" w:lineRule="auto"/>
        <w:ind w:right="102" w:firstLine="709"/>
        <w:jc w:val="both"/>
        <w:rPr>
          <w:rFonts w:ascii="Century Gothic" w:hAnsi="Century Gothic"/>
        </w:rPr>
      </w:pPr>
    </w:p>
    <w:p w14:paraId="6841DA9B" w14:textId="77777777" w:rsidR="00AA1E7C" w:rsidRPr="00837FD9" w:rsidRDefault="00AA1E7C" w:rsidP="00AA1E7C">
      <w:pPr>
        <w:pStyle w:val="BodyText"/>
        <w:spacing w:after="0" w:line="240" w:lineRule="auto"/>
        <w:ind w:left="709" w:right="709"/>
        <w:jc w:val="both"/>
        <w:rPr>
          <w:rFonts w:ascii="Century Gothic" w:hAnsi="Century Gothic"/>
          <w:sz w:val="20"/>
          <w:szCs w:val="20"/>
        </w:rPr>
      </w:pPr>
      <w:r w:rsidRPr="00837FD9">
        <w:rPr>
          <w:rFonts w:ascii="Century Gothic" w:hAnsi="Century Gothic"/>
          <w:sz w:val="20"/>
          <w:szCs w:val="20"/>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837FD9">
        <w:rPr>
          <w:rFonts w:ascii="Century Gothic" w:hAnsi="Century Gothic"/>
          <w:spacing w:val="-1"/>
          <w:sz w:val="20"/>
          <w:szCs w:val="20"/>
        </w:rPr>
        <w:t xml:space="preserve"> </w:t>
      </w:r>
      <w:r w:rsidRPr="00837FD9">
        <w:rPr>
          <w:rFonts w:ascii="Century Gothic" w:hAnsi="Century Gothic"/>
          <w:sz w:val="20"/>
          <w:szCs w:val="20"/>
        </w:rPr>
        <w:t>adicionen.”</w:t>
      </w:r>
    </w:p>
    <w:p w14:paraId="416C6000" w14:textId="77777777" w:rsidR="00AA1E7C" w:rsidRPr="00A400B7" w:rsidRDefault="00AA1E7C" w:rsidP="00AA1E7C">
      <w:pPr>
        <w:pStyle w:val="BodyText"/>
        <w:spacing w:after="0" w:line="276" w:lineRule="auto"/>
        <w:ind w:right="534"/>
        <w:jc w:val="both"/>
        <w:rPr>
          <w:rFonts w:ascii="Century Gothic" w:hAnsi="Century Gothic"/>
        </w:rPr>
      </w:pPr>
    </w:p>
    <w:p w14:paraId="75ABA4DB" w14:textId="77777777" w:rsidR="00AA1E7C" w:rsidRPr="00A400B7" w:rsidRDefault="00AA1E7C" w:rsidP="00AA1E7C">
      <w:pPr>
        <w:pStyle w:val="BodyText"/>
        <w:spacing w:after="0" w:line="276" w:lineRule="auto"/>
        <w:ind w:right="102" w:firstLine="709"/>
        <w:jc w:val="both"/>
        <w:rPr>
          <w:rFonts w:ascii="Century Gothic" w:hAnsi="Century Gothic"/>
        </w:rPr>
      </w:pPr>
      <w:r w:rsidRPr="00A400B7">
        <w:rPr>
          <w:rFonts w:ascii="Century Gothic" w:hAnsi="Century Gothic"/>
        </w:rPr>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54E062FD" w14:textId="77777777" w:rsidR="00AA1E7C" w:rsidRPr="00A400B7" w:rsidRDefault="00AA1E7C" w:rsidP="00AA1E7C">
      <w:pPr>
        <w:pStyle w:val="BodyText"/>
        <w:spacing w:after="0" w:line="276" w:lineRule="auto"/>
        <w:ind w:right="102" w:firstLine="709"/>
        <w:jc w:val="both"/>
        <w:rPr>
          <w:rFonts w:ascii="Century Gothic" w:hAnsi="Century Gothic"/>
        </w:rPr>
      </w:pPr>
    </w:p>
    <w:p w14:paraId="3F42604C" w14:textId="77777777" w:rsidR="00AA1E7C" w:rsidRPr="00DC4FF2" w:rsidRDefault="00AA1E7C" w:rsidP="00AA1E7C">
      <w:pPr>
        <w:spacing w:after="0" w:line="240" w:lineRule="auto"/>
        <w:ind w:left="709" w:right="709"/>
        <w:jc w:val="both"/>
        <w:rPr>
          <w:rFonts w:ascii="Century Gothic" w:eastAsia="Calibri" w:hAnsi="Century Gothic" w:cs="Arial"/>
          <w:color w:val="000000" w:themeColor="text1"/>
          <w:sz w:val="20"/>
          <w:szCs w:val="20"/>
        </w:rPr>
      </w:pPr>
      <w:r w:rsidRPr="00DC4FF2">
        <w:rPr>
          <w:rFonts w:ascii="Century Gothic" w:eastAsia="Calibri" w:hAnsi="Century Gothic" w:cs="Arial"/>
          <w:color w:val="000000" w:themeColor="text1"/>
          <w:sz w:val="20"/>
          <w:szCs w:val="20"/>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w:t>
      </w:r>
      <w:r w:rsidRPr="00DC4FF2">
        <w:rPr>
          <w:rFonts w:ascii="Century Gothic" w:eastAsia="Calibri" w:hAnsi="Century Gothic" w:cs="Arial"/>
          <w:color w:val="000000" w:themeColor="text1"/>
          <w:sz w:val="20"/>
          <w:szCs w:val="20"/>
        </w:rPr>
        <w:lastRenderedPageBreak/>
        <w:t>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DC4FF2">
        <w:rPr>
          <w:rStyle w:val="FootnoteReference"/>
          <w:rFonts w:ascii="Century Gothic" w:eastAsia="Calibri" w:hAnsi="Century Gothic" w:cs="Arial"/>
          <w:color w:val="000000" w:themeColor="text1"/>
          <w:sz w:val="20"/>
          <w:szCs w:val="20"/>
        </w:rPr>
        <w:footnoteReference w:id="9"/>
      </w:r>
    </w:p>
    <w:p w14:paraId="70751C06" w14:textId="77777777" w:rsidR="00AA1E7C" w:rsidRPr="00A400B7" w:rsidRDefault="00AA1E7C" w:rsidP="00AA1E7C">
      <w:pPr>
        <w:pStyle w:val="BodyText"/>
        <w:spacing w:after="0" w:line="276" w:lineRule="auto"/>
        <w:ind w:firstLine="709"/>
        <w:jc w:val="both"/>
        <w:rPr>
          <w:rFonts w:ascii="Century Gothic" w:hAnsi="Century Gothic"/>
        </w:rPr>
      </w:pPr>
    </w:p>
    <w:p w14:paraId="57C0F8E8" w14:textId="77777777" w:rsidR="00AA1E7C" w:rsidRPr="00A400B7" w:rsidRDefault="00AA1E7C" w:rsidP="00AA1E7C">
      <w:pPr>
        <w:pStyle w:val="BodyText"/>
        <w:spacing w:after="120" w:line="276" w:lineRule="auto"/>
        <w:ind w:right="102" w:firstLine="709"/>
        <w:jc w:val="both"/>
        <w:rPr>
          <w:rFonts w:ascii="Century Gothic" w:hAnsi="Century Gothic"/>
        </w:rPr>
      </w:pPr>
      <w:r w:rsidRPr="00A400B7">
        <w:rPr>
          <w:rFonts w:ascii="Century Gothic" w:hAnsi="Century Gothic"/>
        </w:rPr>
        <w:t>De lo anterior se colige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2119B752" w14:textId="77777777" w:rsidR="00AA1E7C" w:rsidRPr="00A400B7" w:rsidRDefault="00AA1E7C" w:rsidP="00AA1E7C">
      <w:pPr>
        <w:spacing w:after="0" w:line="276" w:lineRule="auto"/>
        <w:ind w:firstLine="709"/>
        <w:jc w:val="both"/>
        <w:rPr>
          <w:rFonts w:ascii="Century Gothic" w:hAnsi="Century Gothic" w:cs="Arial"/>
          <w:bCs/>
          <w:lang w:val="es-ES"/>
        </w:rPr>
      </w:pPr>
      <w:r w:rsidRPr="00A400B7">
        <w:rPr>
          <w:rFonts w:ascii="Century Gothic" w:hAnsi="Century Gothic" w:cs="Arial"/>
          <w:bCs/>
          <w:lang w:val="es-ES"/>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729A92DD" w14:textId="77777777" w:rsidR="00AA1E7C" w:rsidRDefault="00AA1E7C" w:rsidP="00AA1E7C">
      <w:pPr>
        <w:spacing w:after="0" w:line="240" w:lineRule="auto"/>
        <w:ind w:left="709" w:right="709"/>
        <w:jc w:val="both"/>
        <w:rPr>
          <w:rFonts w:ascii="Century Gothic" w:hAnsi="Century Gothic" w:cs="Arial"/>
          <w:bCs/>
          <w:sz w:val="20"/>
          <w:szCs w:val="20"/>
          <w:lang w:val="es-ES"/>
        </w:rPr>
      </w:pPr>
    </w:p>
    <w:p w14:paraId="2F010C77" w14:textId="77777777" w:rsidR="00AA1E7C" w:rsidRPr="008B748D" w:rsidRDefault="00AA1E7C" w:rsidP="00AA1E7C">
      <w:pPr>
        <w:spacing w:after="0" w:line="240" w:lineRule="auto"/>
        <w:ind w:left="709" w:right="709"/>
        <w:jc w:val="both"/>
        <w:rPr>
          <w:rFonts w:ascii="Century Gothic" w:hAnsi="Century Gothic" w:cs="Arial"/>
          <w:bCs/>
          <w:sz w:val="20"/>
          <w:szCs w:val="20"/>
          <w:lang w:val="es-ES"/>
        </w:rPr>
      </w:pPr>
      <w:r w:rsidRPr="008B748D">
        <w:rPr>
          <w:rFonts w:ascii="Century Gothic" w:hAnsi="Century Gothic" w:cs="Arial"/>
          <w:bCs/>
          <w:sz w:val="20"/>
          <w:szCs w:val="20"/>
          <w:lang w:val="es-ES"/>
        </w:rPr>
        <w:t>“Artículo 13. Principios generales de la actividad contractual para entidades no sometidas al estatuto general de contratación de la administración pública.</w:t>
      </w:r>
      <w:r w:rsidRPr="008B748D">
        <w:rPr>
          <w:rFonts w:ascii="Century Gothic" w:hAnsi="Century Gothic" w:cs="Arial"/>
          <w:b/>
          <w:sz w:val="20"/>
          <w:szCs w:val="20"/>
          <w:lang w:val="es-ES"/>
        </w:rPr>
        <w:t xml:space="preserve"> </w:t>
      </w:r>
      <w:r w:rsidRPr="008B748D">
        <w:rPr>
          <w:rFonts w:ascii="Century Gothic" w:hAnsi="Century Gothic"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8B748D">
          <w:rPr>
            <w:rStyle w:val="Hyperlink"/>
            <w:rFonts w:ascii="Century Gothic" w:hAnsi="Century Gothic" w:cs="Arial"/>
            <w:bCs/>
            <w:color w:val="auto"/>
            <w:sz w:val="20"/>
            <w:szCs w:val="20"/>
            <w:u w:val="none"/>
            <w:lang w:val="es-ES"/>
          </w:rPr>
          <w:t>209</w:t>
        </w:r>
      </w:hyperlink>
      <w:r w:rsidRPr="008B748D">
        <w:rPr>
          <w:rFonts w:ascii="Century Gothic" w:hAnsi="Century Gothic" w:cs="Arial"/>
          <w:bCs/>
          <w:sz w:val="20"/>
          <w:szCs w:val="20"/>
          <w:lang w:val="es-ES"/>
        </w:rPr>
        <w:t> y </w:t>
      </w:r>
      <w:hyperlink r:id="rId13" w:anchor="267" w:history="1">
        <w:r w:rsidRPr="008B748D">
          <w:rPr>
            <w:rStyle w:val="Hyperlink"/>
            <w:rFonts w:ascii="Century Gothic" w:hAnsi="Century Gothic" w:cs="Arial"/>
            <w:bCs/>
            <w:color w:val="auto"/>
            <w:sz w:val="20"/>
            <w:szCs w:val="20"/>
            <w:u w:val="none"/>
            <w:lang w:val="es-ES"/>
          </w:rPr>
          <w:t>267</w:t>
        </w:r>
      </w:hyperlink>
      <w:r w:rsidRPr="008B748D">
        <w:rPr>
          <w:rFonts w:ascii="Century Gothic" w:hAnsi="Century Gothic" w:cs="Arial"/>
          <w:bCs/>
          <w:sz w:val="20"/>
          <w:szCs w:val="20"/>
          <w:lang w:val="es-ES"/>
        </w:rPr>
        <w:t> de la Constitución Política, respectivamente según sea el caso y estarán sometidas al régimen de inhabilidades e incompatibilidades previsto legalmente para la contratación estatal.”</w:t>
      </w:r>
    </w:p>
    <w:p w14:paraId="56480586" w14:textId="77777777" w:rsidR="00AA1E7C" w:rsidRPr="00A400B7" w:rsidRDefault="00AA1E7C" w:rsidP="00AA1E7C">
      <w:pPr>
        <w:spacing w:after="0" w:line="276" w:lineRule="auto"/>
        <w:ind w:left="709" w:right="709"/>
        <w:jc w:val="both"/>
        <w:rPr>
          <w:rFonts w:ascii="Century Gothic" w:hAnsi="Century Gothic" w:cs="Arial"/>
          <w:bCs/>
          <w:lang w:val="es-ES"/>
        </w:rPr>
      </w:pPr>
    </w:p>
    <w:p w14:paraId="2408CCC8" w14:textId="77777777" w:rsidR="00AA1E7C" w:rsidRPr="00A400B7" w:rsidRDefault="00AA1E7C" w:rsidP="00AA1E7C">
      <w:pPr>
        <w:spacing w:after="120" w:line="276" w:lineRule="auto"/>
        <w:jc w:val="both"/>
        <w:rPr>
          <w:rFonts w:ascii="Century Gothic" w:eastAsia="Calibri" w:hAnsi="Century Gothic" w:cs="Arial"/>
          <w:color w:val="000000" w:themeColor="text1"/>
        </w:rPr>
      </w:pPr>
      <w:r w:rsidRPr="00A400B7">
        <w:rPr>
          <w:rFonts w:ascii="Century Gothic" w:hAnsi="Century Gothic" w:cs="Arial"/>
          <w:bCs/>
          <w:lang w:val="es-ES"/>
        </w:rPr>
        <w:lastRenderedPageBreak/>
        <w:tab/>
      </w:r>
      <w:r w:rsidRPr="00A400B7">
        <w:rPr>
          <w:rFonts w:ascii="Century Gothic" w:eastAsia="Calibri" w:hAnsi="Century Gothic" w:cs="Arial"/>
          <w:color w:val="000000" w:themeColor="text1"/>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A400B7">
        <w:rPr>
          <w:rFonts w:ascii="Century Gothic" w:eastAsia="Calibri" w:hAnsi="Century Gothic" w:cs="Arial"/>
          <w:b/>
          <w:bCs/>
          <w:color w:val="000000" w:themeColor="text1"/>
        </w:rPr>
        <w:t xml:space="preserve"> </w:t>
      </w:r>
      <w:r w:rsidRPr="00A400B7">
        <w:rPr>
          <w:rFonts w:ascii="Century Gothic" w:eastAsia="Calibri" w:hAnsi="Century Gothic" w:cs="Arial"/>
          <w:color w:val="000000" w:themeColor="text1"/>
        </w:rPr>
        <w:t xml:space="preserve">Estas entidades, de acuerdo con el artículo 83 de la Ley 489 de 1998, son </w:t>
      </w:r>
      <w:r>
        <w:rPr>
          <w:rFonts w:ascii="Century Gothic" w:eastAsia="Calibri" w:hAnsi="Century Gothic" w:cs="Arial"/>
          <w:color w:val="000000" w:themeColor="text1"/>
        </w:rPr>
        <w:t>“</w:t>
      </w:r>
      <w:r w:rsidRPr="00A400B7">
        <w:rPr>
          <w:rFonts w:ascii="Century Gothic" w:eastAsia="Calibri" w:hAnsi="Century Gothic" w:cs="Arial"/>
          <w:color w:val="000000" w:themeColor="text1"/>
        </w:rPr>
        <w:t>creadas por la Nación o por las entidades territoriales para la prestación en forma directa de servicios de salud</w:t>
      </w:r>
      <w:r>
        <w:rPr>
          <w:rFonts w:ascii="Century Gothic" w:eastAsia="Calibri" w:hAnsi="Century Gothic" w:cs="Arial"/>
          <w:color w:val="000000" w:themeColor="text1"/>
        </w:rPr>
        <w:t>”</w:t>
      </w:r>
      <w:r w:rsidRPr="00A400B7">
        <w:rPr>
          <w:rFonts w:ascii="Century Gothic" w:eastAsia="Calibri" w:hAnsi="Century Gothic" w:cs="Arial"/>
          <w:color w:val="000000" w:themeColor="text1"/>
        </w:rPr>
        <w:t xml:space="preserve">. Su régimen jurídico lo conforman las Leyes 100 de 1993 y 344 de 1996, así como la Ley 489 de 1998 en relación con los asuntos no regulados en las dos leyes mencionadas. </w:t>
      </w:r>
    </w:p>
    <w:p w14:paraId="00A4EC1A" w14:textId="77777777" w:rsidR="00AA1E7C" w:rsidRPr="00A400B7" w:rsidRDefault="00AA1E7C" w:rsidP="00AA1E7C">
      <w:pPr>
        <w:spacing w:line="276" w:lineRule="auto"/>
        <w:ind w:firstLine="709"/>
        <w:jc w:val="both"/>
        <w:rPr>
          <w:rFonts w:ascii="Century Gothic" w:eastAsia="Calibri" w:hAnsi="Century Gothic" w:cs="Arial"/>
          <w:color w:val="000000" w:themeColor="text1"/>
        </w:rPr>
      </w:pPr>
      <w:r w:rsidRPr="00A400B7">
        <w:rPr>
          <w:rFonts w:ascii="Century Gothic" w:eastAsia="Calibri" w:hAnsi="Century Gothic" w:cs="Arial"/>
          <w:color w:val="000000" w:themeColor="text1"/>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w:t>
      </w:r>
      <w:r>
        <w:rPr>
          <w:rFonts w:ascii="Century Gothic" w:eastAsia="Calibri" w:hAnsi="Century Gothic" w:cs="Arial"/>
          <w:color w:val="000000" w:themeColor="text1"/>
        </w:rPr>
        <w:t>“</w:t>
      </w:r>
      <w:r w:rsidRPr="00A400B7">
        <w:rPr>
          <w:rFonts w:ascii="Century Gothic" w:eastAsia="Calibri" w:hAnsi="Century Gothic" w:cs="Arial"/>
          <w:color w:val="000000" w:themeColor="text1"/>
        </w:rPr>
        <w:t>principios generales de la actividad contractual para entidades no sometidas al estatuto general de contratación de la administración pública</w:t>
      </w:r>
      <w:r>
        <w:rPr>
          <w:rFonts w:ascii="Century Gothic" w:eastAsia="Calibri" w:hAnsi="Century Gothic" w:cs="Arial"/>
          <w:color w:val="000000" w:themeColor="text1"/>
        </w:rPr>
        <w:t>”</w:t>
      </w:r>
      <w:r w:rsidRPr="00A400B7">
        <w:rPr>
          <w:rFonts w:ascii="Century Gothic" w:eastAsia="Calibri" w:hAnsi="Century Gothic" w:cs="Arial"/>
          <w:color w:val="000000" w:themeColor="text1"/>
        </w:rPr>
        <w:t xml:space="preserve">, consagrados en el artículo 13 de la Ley 1150 de 2007, así como los principios de la función administrativa y de la gestión fiscal, contenidos, respectivamente, en los artículos 209 y 267 de la Constitución Política. </w:t>
      </w:r>
      <w:r w:rsidRPr="00A400B7">
        <w:rPr>
          <w:rFonts w:ascii="Century Gothic" w:eastAsia="Calibri" w:hAnsi="Century Gothic" w:cs="Arial"/>
          <w:color w:val="000000" w:themeColor="text1"/>
          <w:lang w:val="es-ES"/>
        </w:rPr>
        <w:t xml:space="preserve">Esta también ha sido la interpretación del Ministerio de la Protección Social, que en Concepto No. </w:t>
      </w:r>
      <w:r w:rsidRPr="00A400B7">
        <w:rPr>
          <w:rFonts w:ascii="Century Gothic" w:eastAsia="Calibri" w:hAnsi="Century Gothic" w:cs="Arial"/>
          <w:color w:val="000000" w:themeColor="text1"/>
        </w:rPr>
        <w:t>201942301304712</w:t>
      </w:r>
      <w:r w:rsidRPr="00A400B7">
        <w:rPr>
          <w:rFonts w:ascii="Century Gothic" w:eastAsia="Calibri" w:hAnsi="Century Gothic" w:cs="Arial"/>
          <w:color w:val="000000" w:themeColor="text1"/>
          <w:lang w:val="es-ES"/>
        </w:rPr>
        <w:t xml:space="preserve"> de 2019, en reiteración de lo expuesto por la Sala de Consulta y Servicio Civil del Consejo de Estado</w:t>
      </w:r>
      <w:r w:rsidRPr="00A400B7">
        <w:rPr>
          <w:rStyle w:val="FootnoteReference"/>
          <w:rFonts w:ascii="Century Gothic" w:eastAsia="Calibri" w:hAnsi="Century Gothic" w:cs="Arial"/>
          <w:color w:val="000000" w:themeColor="text1"/>
          <w:lang w:val="es-ES"/>
        </w:rPr>
        <w:footnoteReference w:id="10"/>
      </w:r>
      <w:r w:rsidRPr="00A400B7">
        <w:rPr>
          <w:rFonts w:ascii="Century Gothic" w:eastAsia="Calibri" w:hAnsi="Century Gothic" w:cs="Arial"/>
          <w:color w:val="000000" w:themeColor="text1"/>
          <w:lang w:val="es-ES"/>
        </w:rPr>
        <w:t xml:space="preserve">, explicó que </w:t>
      </w:r>
      <w:r>
        <w:rPr>
          <w:rFonts w:ascii="Century Gothic" w:eastAsia="Calibri" w:hAnsi="Century Gothic" w:cs="Arial"/>
          <w:color w:val="000000" w:themeColor="text1"/>
          <w:lang w:val="es-ES"/>
        </w:rPr>
        <w:t>“</w:t>
      </w:r>
      <w:r w:rsidRPr="00A400B7">
        <w:rPr>
          <w:rFonts w:ascii="Century Gothic" w:eastAsia="Calibri" w:hAnsi="Century Gothic" w:cs="Arial"/>
          <w:color w:val="000000" w:themeColor="text1"/>
          <w:lang w:val="es-ES"/>
        </w:rPr>
        <w:t xml:space="preserve">[…] </w:t>
      </w:r>
      <w:r w:rsidRPr="00A400B7">
        <w:rPr>
          <w:rFonts w:ascii="Century Gothic" w:eastAsia="Calibri" w:hAnsi="Century Gothic"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Pr>
          <w:rFonts w:ascii="Century Gothic" w:eastAsia="Calibri" w:hAnsi="Century Gothic" w:cs="Arial"/>
          <w:color w:val="000000" w:themeColor="text1"/>
        </w:rPr>
        <w:t>”</w:t>
      </w:r>
      <w:r w:rsidRPr="00A400B7">
        <w:rPr>
          <w:rStyle w:val="FootnoteReference"/>
          <w:rFonts w:ascii="Century Gothic" w:eastAsia="Calibri" w:hAnsi="Century Gothic" w:cs="Arial"/>
          <w:color w:val="000000" w:themeColor="text1"/>
          <w:lang w:val="es-ES"/>
        </w:rPr>
        <w:footnoteReference w:id="11"/>
      </w:r>
      <w:r w:rsidRPr="00A400B7">
        <w:rPr>
          <w:rFonts w:ascii="Century Gothic" w:eastAsia="Calibri" w:hAnsi="Century Gothic" w:cs="Arial"/>
          <w:color w:val="000000" w:themeColor="text1"/>
          <w:lang w:val="es-ES"/>
        </w:rPr>
        <w:t xml:space="preserve">. </w:t>
      </w:r>
    </w:p>
    <w:p w14:paraId="520253F2" w14:textId="77777777" w:rsidR="00AA1E7C" w:rsidRPr="00C34CDD" w:rsidRDefault="00AA1E7C" w:rsidP="00AA1E7C">
      <w:pPr>
        <w:spacing w:before="120" w:after="0" w:line="276" w:lineRule="auto"/>
        <w:ind w:firstLine="709"/>
        <w:jc w:val="both"/>
        <w:rPr>
          <w:rFonts w:ascii="Century Gothic" w:eastAsia="Calibri" w:hAnsi="Century Gothic" w:cs="Arial"/>
          <w:color w:val="000000" w:themeColor="text1"/>
        </w:rPr>
      </w:pPr>
      <w:r w:rsidRPr="00A400B7">
        <w:rPr>
          <w:rFonts w:ascii="Century Gothic" w:eastAsia="Calibri" w:hAnsi="Century Gothic" w:cs="Arial"/>
          <w:color w:val="000000" w:themeColor="text1"/>
        </w:rPr>
        <w:t xml:space="preserve">Al referirse al régimen contractual de las empresas sociales del Estado, la Sección Tercera del Consejo de Estado manifestó que </w:t>
      </w:r>
      <w:r>
        <w:rPr>
          <w:rFonts w:ascii="Century Gothic" w:eastAsia="Calibri" w:hAnsi="Century Gothic" w:cs="Arial"/>
          <w:color w:val="000000" w:themeColor="text1"/>
        </w:rPr>
        <w:t>“</w:t>
      </w:r>
      <w:r w:rsidRPr="00A400B7">
        <w:rPr>
          <w:rFonts w:ascii="Century Gothic" w:eastAsia="Calibri" w:hAnsi="Century Gothic" w:cs="Arial"/>
          <w:color w:val="000000" w:themeColor="text1"/>
        </w:rPr>
        <w:t xml:space="preserve">la entidad estatal debe observar en su actuación, precontractual y contractual, los principios que la Constitución Política le impone, en desarrollo de lo cual le asiste la obligación de obrar con igualdad, moralidad, eficacia, economía, celeridad, imparcialidad y </w:t>
      </w:r>
      <w:r w:rsidRPr="00A400B7">
        <w:rPr>
          <w:rFonts w:ascii="Century Gothic" w:eastAsia="Calibri" w:hAnsi="Century Gothic" w:cs="Arial"/>
          <w:color w:val="000000" w:themeColor="text1"/>
        </w:rPr>
        <w:lastRenderedPageBreak/>
        <w:t>publicidad, en todas las etapas de la realización del contrato estatal</w:t>
      </w:r>
      <w:r>
        <w:rPr>
          <w:rFonts w:ascii="Century Gothic" w:eastAsia="Calibri" w:hAnsi="Century Gothic" w:cs="Arial"/>
          <w:color w:val="000000" w:themeColor="text1"/>
        </w:rPr>
        <w:t>”</w:t>
      </w:r>
      <w:r w:rsidRPr="00A400B7">
        <w:rPr>
          <w:rStyle w:val="FootnoteReference"/>
          <w:rFonts w:ascii="Century Gothic" w:eastAsia="Calibri" w:hAnsi="Century Gothic" w:cs="Arial"/>
          <w:color w:val="000000" w:themeColor="text1"/>
        </w:rPr>
        <w:footnoteReference w:id="12"/>
      </w:r>
      <w:r w:rsidRPr="00A400B7">
        <w:rPr>
          <w:rFonts w:ascii="Century Gothic" w:eastAsia="Calibri" w:hAnsi="Century Gothic" w:cs="Arial"/>
          <w:color w:val="000000" w:themeColor="text1"/>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3E5B5517" w14:textId="77777777" w:rsidR="00AA1E7C" w:rsidRPr="00F7050F" w:rsidRDefault="00AA1E7C" w:rsidP="00AA1E7C">
      <w:pPr>
        <w:pStyle w:val="ListParagraph"/>
        <w:numPr>
          <w:ilvl w:val="1"/>
          <w:numId w:val="8"/>
        </w:numPr>
        <w:spacing w:before="120" w:line="276" w:lineRule="auto"/>
        <w:jc w:val="both"/>
        <w:rPr>
          <w:rFonts w:ascii="Century Gothic" w:eastAsia="Calibri" w:hAnsi="Century Gothic" w:cs="Arial"/>
          <w:b/>
          <w:bCs/>
        </w:rPr>
      </w:pPr>
      <w:r w:rsidRPr="00F7050F">
        <w:rPr>
          <w:rFonts w:ascii="Century Gothic" w:hAnsi="Century Gothic"/>
          <w:b/>
          <w:bCs/>
        </w:rPr>
        <w:t>Libertad de configuración de los manuales internos de contratación</w:t>
      </w:r>
    </w:p>
    <w:p w14:paraId="50DC210E" w14:textId="77777777" w:rsidR="00AA1E7C" w:rsidRPr="00594103" w:rsidRDefault="00AA1E7C" w:rsidP="00AA1E7C">
      <w:pPr>
        <w:spacing w:line="276" w:lineRule="auto"/>
        <w:jc w:val="both"/>
        <w:rPr>
          <w:rFonts w:ascii="Century Gothic" w:eastAsia="Calibri" w:hAnsi="Century Gothic" w:cs="Arial"/>
          <w:lang w:val="es-ES"/>
        </w:rPr>
      </w:pPr>
      <w:r w:rsidRPr="1D7D8DC2">
        <w:rPr>
          <w:rFonts w:ascii="Century Gothic" w:eastAsia="Calibri" w:hAnsi="Century Gothic" w:cs="Arial"/>
          <w:lang w:val="es-ES"/>
        </w:rPr>
        <w:t xml:space="preserve">De lo expuesto,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potenciales oferentes podrán identificar las reglas que aplica la entidad en sus procesos contractuales. </w:t>
      </w:r>
    </w:p>
    <w:p w14:paraId="27ECFDCA" w14:textId="77777777" w:rsidR="00AA1E7C" w:rsidRPr="00594103" w:rsidRDefault="00AA1E7C" w:rsidP="00AA1E7C">
      <w:pPr>
        <w:spacing w:line="276" w:lineRule="auto"/>
        <w:ind w:firstLine="708"/>
        <w:jc w:val="both"/>
        <w:rPr>
          <w:rFonts w:ascii="Century Gothic" w:eastAsia="Calibri" w:hAnsi="Century Gothic" w:cs="Arial"/>
          <w:lang w:val="es-ES_tradnl"/>
        </w:rPr>
      </w:pPr>
      <w:r w:rsidRPr="00594103">
        <w:rPr>
          <w:rFonts w:ascii="Century Gothic" w:eastAsia="Calibri" w:hAnsi="Century Gothic" w:cs="Arial"/>
          <w:lang w:val="es-ES_tradnl"/>
        </w:rPr>
        <w:t xml:space="preserve">Sobre este punto particular es preciso destacar que las </w:t>
      </w:r>
      <w:r>
        <w:rPr>
          <w:rFonts w:ascii="Century Gothic" w:eastAsia="Calibri" w:hAnsi="Century Gothic" w:cs="Arial"/>
          <w:lang w:val="es-ES_tradnl"/>
        </w:rPr>
        <w:t>E</w:t>
      </w:r>
      <w:r w:rsidRPr="00594103">
        <w:rPr>
          <w:rFonts w:ascii="Century Gothic" w:eastAsia="Calibri" w:hAnsi="Century Gothic" w:cs="Arial"/>
          <w:lang w:val="es-ES_tradnl"/>
        </w:rPr>
        <w:t xml:space="preserve">ntidades </w:t>
      </w:r>
      <w:r>
        <w:rPr>
          <w:rFonts w:ascii="Century Gothic" w:eastAsia="Calibri" w:hAnsi="Century Gothic" w:cs="Arial"/>
          <w:lang w:val="es-ES_tradnl"/>
        </w:rPr>
        <w:t>E</w:t>
      </w:r>
      <w:r w:rsidRPr="00594103">
        <w:rPr>
          <w:rFonts w:ascii="Century Gothic" w:eastAsia="Calibri" w:hAnsi="Century Gothic" w:cs="Arial"/>
          <w:lang w:val="es-ES_tradnl"/>
        </w:rPr>
        <w:t>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594103">
        <w:rPr>
          <w:rStyle w:val="FootnoteReference"/>
          <w:rFonts w:ascii="Century Gothic" w:eastAsia="Calibri" w:hAnsi="Century Gothic" w:cs="Arial"/>
          <w:lang w:val="es-ES_tradnl"/>
        </w:rPr>
        <w:footnoteReference w:id="13"/>
      </w:r>
      <w:r w:rsidRPr="00594103">
        <w:rPr>
          <w:rFonts w:ascii="Century Gothic" w:eastAsia="Calibri" w:hAnsi="Century Gothic" w:cs="Arial"/>
          <w:lang w:val="es-ES_tradnl"/>
        </w:rPr>
        <w:t>. Ahora bien, dicha libertad es similar a la reconocida a los particulares por el derecho privado, pero no es idéntica a aquella, en la medida en que encuentra importantes limitantes.</w:t>
      </w:r>
    </w:p>
    <w:p w14:paraId="49D0F0D8" w14:textId="77777777" w:rsidR="00AA1E7C" w:rsidRPr="00594103" w:rsidRDefault="00AA1E7C" w:rsidP="00AA1E7C">
      <w:pPr>
        <w:spacing w:line="276" w:lineRule="auto"/>
        <w:ind w:firstLine="709"/>
        <w:jc w:val="both"/>
        <w:rPr>
          <w:rFonts w:ascii="Century Gothic" w:eastAsia="Calibri" w:hAnsi="Century Gothic" w:cs="Arial"/>
          <w:lang w:val="es-ES"/>
        </w:rPr>
      </w:pPr>
      <w:r w:rsidRPr="1D7D8DC2">
        <w:rPr>
          <w:rFonts w:ascii="Century Gothic" w:eastAsia="Calibri" w:hAnsi="Century Gothic" w:cs="Arial"/>
          <w:lang w:val="es-E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w:t>
      </w:r>
      <w:r w:rsidRPr="1D7D8DC2">
        <w:rPr>
          <w:rFonts w:ascii="Century Gothic" w:eastAsia="Calibri" w:hAnsi="Century Gothic" w:cs="Arial"/>
          <w:lang w:val="es-ES"/>
        </w:rPr>
        <w:lastRenderedPageBreak/>
        <w:t>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1D7D8DC2">
        <w:rPr>
          <w:rStyle w:val="FootnoteReference"/>
          <w:rFonts w:ascii="Century Gothic" w:eastAsia="Calibri" w:hAnsi="Century Gothic" w:cs="Arial"/>
          <w:lang w:val="es-ES"/>
        </w:rPr>
        <w:footnoteReference w:id="14"/>
      </w:r>
      <w:r w:rsidRPr="1D7D8DC2">
        <w:rPr>
          <w:rFonts w:ascii="Century Gothic" w:eastAsia="Calibri" w:hAnsi="Century Gothic" w:cs="Arial"/>
          <w:lang w:val="es-ES"/>
        </w:rPr>
        <w:t xml:space="preserve">. </w:t>
      </w:r>
    </w:p>
    <w:p w14:paraId="6FB46CBA" w14:textId="77777777" w:rsidR="00AA1E7C" w:rsidRPr="00594103" w:rsidRDefault="00AA1E7C" w:rsidP="00AA1E7C">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77BC08BD" w14:textId="77777777" w:rsidR="00AA1E7C" w:rsidRPr="00594103" w:rsidRDefault="00AA1E7C" w:rsidP="00AA1E7C">
      <w:pPr>
        <w:spacing w:line="276" w:lineRule="auto"/>
        <w:ind w:firstLine="709"/>
        <w:jc w:val="both"/>
        <w:rPr>
          <w:rFonts w:ascii="Century Gothic" w:eastAsia="Calibri" w:hAnsi="Century Gothic" w:cs="Arial"/>
          <w:lang w:val="es-ES"/>
        </w:rPr>
      </w:pPr>
      <w:r w:rsidRPr="1D7D8DC2">
        <w:rPr>
          <w:rFonts w:ascii="Century Gothic" w:eastAsia="Calibri" w:hAnsi="Century Gothic" w:cs="Arial"/>
          <w:lang w:val="es-ES"/>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1D7D8DC2">
        <w:rPr>
          <w:rStyle w:val="FootnoteReference"/>
          <w:rFonts w:ascii="Century Gothic" w:eastAsia="Calibri" w:hAnsi="Century Gothic" w:cs="Arial"/>
          <w:lang w:val="es-ES"/>
        </w:rPr>
        <w:footnoteReference w:id="15"/>
      </w:r>
      <w:r w:rsidRPr="1D7D8DC2">
        <w:rPr>
          <w:rFonts w:ascii="Century Gothic" w:eastAsia="Calibri" w:hAnsi="Century Gothic" w:cs="Arial"/>
          <w:lang w:val="es-ES"/>
        </w:rPr>
        <w:t>.</w:t>
      </w:r>
    </w:p>
    <w:p w14:paraId="03A82D87" w14:textId="77777777" w:rsidR="00AA1E7C" w:rsidRPr="00594103" w:rsidRDefault="00AA1E7C" w:rsidP="00AA1E7C">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lang w:val="es-ES_tradnl"/>
        </w:rPr>
        <w:t xml:space="preserve">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w:t>
      </w:r>
      <w:r w:rsidRPr="00594103">
        <w:rPr>
          <w:rFonts w:ascii="Century Gothic" w:eastAsia="Calibri" w:hAnsi="Century Gothic" w:cs="Arial"/>
          <w:lang w:val="es-ES_tradnl"/>
        </w:rPr>
        <w:lastRenderedPageBreak/>
        <w:t>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65E7590D" w14:textId="77777777" w:rsidR="00AA1E7C" w:rsidRPr="00594103" w:rsidRDefault="00AA1E7C" w:rsidP="00AA1E7C">
      <w:pPr>
        <w:spacing w:line="276" w:lineRule="auto"/>
        <w:ind w:firstLine="709"/>
        <w:jc w:val="both"/>
        <w:rPr>
          <w:rFonts w:ascii="Century Gothic" w:eastAsia="Calibri" w:hAnsi="Century Gothic" w:cs="Arial"/>
        </w:rPr>
      </w:pPr>
      <w:r w:rsidRPr="00594103">
        <w:rPr>
          <w:rFonts w:ascii="Century Gothic" w:eastAsia="Calibri" w:hAnsi="Century Gothic" w:cs="Arial"/>
          <w:lang w:val="es-ES_tradnl"/>
        </w:rPr>
        <w:t xml:space="preserve">Una materia que podría ser regulada en los manuales internos de contratación de las empresas sociales del Estado, es la que establece el artículo 76, inciso 3, de la Ley 1438 de 2011, norma que habilita a las empresas sociales del Estado a desarrollar y a </w:t>
      </w:r>
      <w:r>
        <w:rPr>
          <w:rFonts w:ascii="Century Gothic" w:eastAsia="Calibri" w:hAnsi="Century Gothic" w:cs="Arial"/>
          <w:lang w:val="es-ES_tradnl"/>
        </w:rPr>
        <w:t>“</w:t>
      </w:r>
      <w:r w:rsidRPr="00594103">
        <w:rPr>
          <w:rFonts w:ascii="Century Gothic" w:eastAsia="Calibri" w:hAnsi="Century Gothic" w:cs="Arial"/>
        </w:rPr>
        <w:t>utilizar mecanismos de subasta inversa para lograr mayor eficiencia en sus adquisiciones</w:t>
      </w:r>
      <w:r>
        <w:rPr>
          <w:rFonts w:ascii="Century Gothic" w:eastAsia="Calibri" w:hAnsi="Century Gothic" w:cs="Arial"/>
        </w:rPr>
        <w:t>”</w:t>
      </w:r>
      <w:r w:rsidRPr="00594103">
        <w:rPr>
          <w:rFonts w:ascii="Century Gothic" w:eastAsia="Calibri" w:hAnsi="Century Gothic" w:cs="Arial"/>
        </w:rPr>
        <w:t xml:space="preserve">. </w:t>
      </w:r>
    </w:p>
    <w:p w14:paraId="77502CB9" w14:textId="77777777" w:rsidR="00AA1E7C" w:rsidRPr="00594103" w:rsidRDefault="00AA1E7C" w:rsidP="00AA1E7C">
      <w:pPr>
        <w:spacing w:line="276" w:lineRule="auto"/>
        <w:ind w:firstLine="709"/>
        <w:jc w:val="both"/>
        <w:rPr>
          <w:rFonts w:ascii="Century Gothic" w:eastAsia="Calibri" w:hAnsi="Century Gothic" w:cs="Arial"/>
        </w:rPr>
      </w:pPr>
      <w:r w:rsidRPr="00594103">
        <w:rPr>
          <w:rFonts w:ascii="Century Gothic" w:eastAsia="Calibri" w:hAnsi="Century Gothic" w:cs="Arial"/>
        </w:rPr>
        <w:t xml:space="preserve">Esta normativa no contiene una obligación de implementar un mecanismo de selección de contratistas, pues, como se dijo en líneas anteriores, las entidades excluidas del EGCAP están habilitadas para configurar sus manuales de contratación sin más limitaciones que las que imponen los principios de la función administrativa y la gestión fiscal, así como la reserva de ley, habilitación que incluye, por supuesto, la decisión voluntaria de utilizar mecanismos de subasta inversa, bien sea electrónica o presencial, para sus </w:t>
      </w:r>
      <w:r>
        <w:rPr>
          <w:rFonts w:ascii="Century Gothic" w:eastAsia="Calibri" w:hAnsi="Century Gothic" w:cs="Arial"/>
        </w:rPr>
        <w:t>“</w:t>
      </w:r>
      <w:r w:rsidRPr="00594103">
        <w:rPr>
          <w:rFonts w:ascii="Century Gothic" w:eastAsia="Calibri" w:hAnsi="Century Gothic" w:cs="Arial"/>
        </w:rPr>
        <w:t>adquisiciones</w:t>
      </w:r>
      <w:r>
        <w:rPr>
          <w:rFonts w:ascii="Century Gothic" w:eastAsia="Calibri" w:hAnsi="Century Gothic" w:cs="Arial"/>
        </w:rPr>
        <w:t>”</w:t>
      </w:r>
      <w:r w:rsidRPr="00594103">
        <w:rPr>
          <w:rFonts w:ascii="Century Gothic" w:eastAsia="Calibri" w:hAnsi="Century Gothic" w:cs="Arial"/>
        </w:rPr>
        <w:t>. Tampoco se trata de una remisión normativa a las disposiciones del EGCAP que regulan la subasta inversa; es simplemente un referente que las entidades podrán tener en cuenta a la hora de configurar sus manuales internos de contratación. Prueba de ello es que aun si esta norma no existiera, las empresas sociales del Estado podrían introducir en sus manuales mecanismos de subasta inversa, bien acogiendo el modelo establecido en el EGCAP o bien adoptado un nuevo modelo, en todo caso, respetando los principios tantas veces referidos.</w:t>
      </w:r>
    </w:p>
    <w:p w14:paraId="59D0AFB7" w14:textId="77777777" w:rsidR="00AA1E7C" w:rsidRPr="00981899" w:rsidRDefault="00AA1E7C" w:rsidP="00AA1E7C">
      <w:pPr>
        <w:spacing w:line="276" w:lineRule="auto"/>
        <w:ind w:firstLine="709"/>
        <w:jc w:val="both"/>
        <w:rPr>
          <w:rFonts w:ascii="Century Gothic" w:eastAsia="Calibri" w:hAnsi="Century Gothic" w:cs="Arial"/>
          <w:lang w:val="es-ES_tradnl"/>
        </w:rPr>
      </w:pPr>
      <w:r w:rsidRPr="00594103">
        <w:rPr>
          <w:rFonts w:ascii="Century Gothic" w:eastAsia="Calibri" w:hAnsi="Century Gothic" w:cs="Arial"/>
        </w:rPr>
        <w:t xml:space="preserve">Ahora bien, contrario a lo que ocurre con este ejemplo de la subasta inversa por medio del cual se habilita a las ESE a utilizar mecanismo, tenemos normas que se han introducido al ordenamiento jurídico que regula la contratación pública que obliga, inclusive a las entidades no sometidas al Estatuto General de la Contratación Pública, a introducir en sus procesos de selección acciones y medidas que propendan por acercar el sistema de compras públicas a ciertos sectores económicos. </w:t>
      </w:r>
    </w:p>
    <w:p w14:paraId="35F1D8B9" w14:textId="77777777" w:rsidR="00AA1E7C" w:rsidRDefault="00AA1E7C" w:rsidP="00AA1E7C">
      <w:pPr>
        <w:pStyle w:val="ListParagraph"/>
        <w:numPr>
          <w:ilvl w:val="0"/>
          <w:numId w:val="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Pr>
          <w:rFonts w:ascii="Century Gothic" w:eastAsia="Calibri" w:hAnsi="Century Gothic" w:cs="Arial"/>
          <w:b/>
          <w:lang w:val="es-ES_tradnl"/>
        </w:rPr>
        <w:t xml:space="preserve">Respuesta </w:t>
      </w:r>
    </w:p>
    <w:p w14:paraId="1A13F180" w14:textId="77777777" w:rsidR="00AA1E7C" w:rsidRDefault="00AA1E7C" w:rsidP="00AA1E7C">
      <w:pPr>
        <w:pStyle w:val="ListParagraph"/>
        <w:tabs>
          <w:tab w:val="left" w:pos="0"/>
          <w:tab w:val="left" w:pos="142"/>
          <w:tab w:val="left" w:pos="284"/>
        </w:tabs>
        <w:spacing w:after="0" w:line="276" w:lineRule="auto"/>
        <w:ind w:left="0"/>
        <w:jc w:val="both"/>
        <w:rPr>
          <w:rFonts w:ascii="Century Gothic" w:eastAsia="Calibri" w:hAnsi="Century Gothic" w:cs="Arial"/>
          <w:b/>
          <w:lang w:val="es-ES_tradnl"/>
        </w:rPr>
      </w:pPr>
    </w:p>
    <w:p w14:paraId="0A246923" w14:textId="77777777" w:rsidR="00AA1E7C" w:rsidRDefault="00AA1E7C" w:rsidP="00AA1E7C">
      <w:pPr>
        <w:spacing w:after="0" w:line="240" w:lineRule="auto"/>
        <w:ind w:left="709" w:right="709"/>
        <w:jc w:val="both"/>
        <w:rPr>
          <w:rFonts w:ascii="Century Gothic" w:hAnsi="Century Gothic"/>
          <w:sz w:val="20"/>
          <w:szCs w:val="20"/>
        </w:rPr>
      </w:pPr>
      <w:r w:rsidRPr="00874EAA">
        <w:rPr>
          <w:rFonts w:ascii="Century Gothic" w:hAnsi="Century Gothic"/>
          <w:sz w:val="20"/>
          <w:szCs w:val="20"/>
        </w:rPr>
        <w:lastRenderedPageBreak/>
        <w:t>“[…] 1. ¿</w:t>
      </w:r>
      <w:r>
        <w:rPr>
          <w:rFonts w:ascii="Century Gothic" w:hAnsi="Century Gothic"/>
          <w:sz w:val="20"/>
          <w:szCs w:val="20"/>
        </w:rPr>
        <w:t>Es necesario que una Empresa Social del Estado cuente con “facultades para contratar” otorgadas por la Entidad territorial del Consejo Municipal de Política fiscal (COMFIS)(sic).?</w:t>
      </w:r>
    </w:p>
    <w:p w14:paraId="31E20895" w14:textId="77777777" w:rsidR="00AA1E7C" w:rsidRDefault="00AA1E7C" w:rsidP="00AA1E7C">
      <w:pPr>
        <w:spacing w:after="0" w:line="240" w:lineRule="auto"/>
        <w:ind w:left="709" w:right="709"/>
        <w:jc w:val="both"/>
        <w:rPr>
          <w:rFonts w:ascii="Century Gothic" w:hAnsi="Century Gothic"/>
          <w:sz w:val="20"/>
          <w:szCs w:val="20"/>
        </w:rPr>
      </w:pPr>
    </w:p>
    <w:p w14:paraId="476FFDB1"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1.2 ¿Puede una Empresa Social del Estado suscribir contratos sin contar con la aprobación de facultades por parte del Consejo Municipal de Política Fiscal para estos efectos?</w:t>
      </w:r>
      <w:r w:rsidRPr="00874EAA">
        <w:rPr>
          <w:rFonts w:ascii="Century Gothic" w:hAnsi="Century Gothic"/>
          <w:sz w:val="20"/>
          <w:szCs w:val="20"/>
        </w:rPr>
        <w:t xml:space="preserve"> </w:t>
      </w:r>
    </w:p>
    <w:p w14:paraId="2E6446AB" w14:textId="77777777" w:rsidR="00AA1E7C" w:rsidRDefault="00AA1E7C" w:rsidP="00AA1E7C">
      <w:pPr>
        <w:spacing w:after="0" w:line="240" w:lineRule="auto"/>
        <w:ind w:left="709" w:right="709"/>
        <w:jc w:val="both"/>
        <w:rPr>
          <w:rFonts w:ascii="Century Gothic" w:hAnsi="Century Gothic"/>
          <w:sz w:val="20"/>
          <w:szCs w:val="20"/>
        </w:rPr>
      </w:pPr>
    </w:p>
    <w:p w14:paraId="57F7E004"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 xml:space="preserve">1.3 De existir norma que reglamente estas potestades. ¿Cuál es el sustento normativo de las “facultades para contratar” de los Gerentes de las Empresas Sociales del Estado del orden municipal. </w:t>
      </w:r>
    </w:p>
    <w:p w14:paraId="5B59E7BF" w14:textId="77777777" w:rsidR="00AA1E7C" w:rsidRDefault="00AA1E7C" w:rsidP="00AA1E7C">
      <w:pPr>
        <w:spacing w:after="0" w:line="240" w:lineRule="auto"/>
        <w:ind w:left="709" w:right="709"/>
        <w:jc w:val="both"/>
        <w:rPr>
          <w:rFonts w:ascii="Century Gothic" w:hAnsi="Century Gothic"/>
          <w:sz w:val="20"/>
          <w:szCs w:val="20"/>
        </w:rPr>
      </w:pPr>
    </w:p>
    <w:p w14:paraId="231C729D"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2.1. ¿Es procedente que una Entidad territorial (Municipio) a través del Consejo Municipal de Política Fiscal establezca límites a la contratación o ejecución del presupuesto de una Empresa Social del Estado, tanto su tiempo como en porcentaje.</w:t>
      </w:r>
    </w:p>
    <w:p w14:paraId="1565BDEA" w14:textId="77777777" w:rsidR="00AA1E7C" w:rsidRDefault="00AA1E7C" w:rsidP="00AA1E7C">
      <w:pPr>
        <w:spacing w:after="0" w:line="240" w:lineRule="auto"/>
        <w:ind w:left="709" w:right="709"/>
        <w:jc w:val="both"/>
        <w:rPr>
          <w:rFonts w:ascii="Century Gothic" w:hAnsi="Century Gothic"/>
          <w:sz w:val="20"/>
          <w:szCs w:val="20"/>
        </w:rPr>
      </w:pPr>
    </w:p>
    <w:p w14:paraId="7B337B6B" w14:textId="77777777" w:rsidR="00AA1E7C" w:rsidRDefault="00AA1E7C" w:rsidP="00AA1E7C">
      <w:pPr>
        <w:spacing w:after="0" w:line="240" w:lineRule="auto"/>
        <w:ind w:left="709" w:right="709"/>
        <w:jc w:val="both"/>
        <w:rPr>
          <w:rFonts w:ascii="Century Gothic" w:hAnsi="Century Gothic"/>
          <w:sz w:val="20"/>
          <w:szCs w:val="20"/>
        </w:rPr>
      </w:pPr>
      <w:r>
        <w:rPr>
          <w:rFonts w:ascii="Century Gothic" w:hAnsi="Century Gothic"/>
          <w:sz w:val="20"/>
          <w:szCs w:val="20"/>
        </w:rPr>
        <w:t xml:space="preserve">2.2. De ser positiva la respuesta a la primera consulta ¿Cuál es el sustento normativo que soporta esta potestad del COMFIS (sic)? </w:t>
      </w:r>
      <w:r w:rsidRPr="00874EAA">
        <w:rPr>
          <w:rFonts w:ascii="Century Gothic" w:hAnsi="Century Gothic"/>
          <w:sz w:val="20"/>
          <w:szCs w:val="20"/>
        </w:rPr>
        <w:t>[…]”</w:t>
      </w:r>
      <w:r w:rsidRPr="001A0A60">
        <w:rPr>
          <w:rFonts w:ascii="Century Gothic" w:hAnsi="Century Gothic"/>
          <w:sz w:val="20"/>
          <w:szCs w:val="20"/>
        </w:rPr>
        <w:t>.</w:t>
      </w:r>
    </w:p>
    <w:p w14:paraId="0112A7AB" w14:textId="77777777" w:rsidR="00AA1E7C" w:rsidRPr="00441870" w:rsidRDefault="00AA1E7C" w:rsidP="00AA1E7C">
      <w:pPr>
        <w:spacing w:after="0" w:line="240" w:lineRule="auto"/>
        <w:ind w:left="709" w:right="709"/>
        <w:jc w:val="both"/>
        <w:rPr>
          <w:rFonts w:ascii="Century Gothic" w:hAnsi="Century Gothic"/>
          <w:sz w:val="20"/>
          <w:szCs w:val="20"/>
        </w:rPr>
      </w:pPr>
    </w:p>
    <w:p w14:paraId="43B6FEE6" w14:textId="77777777" w:rsidR="00AA1E7C" w:rsidRPr="00D97DD0" w:rsidRDefault="00AA1E7C" w:rsidP="00AA1E7C">
      <w:pPr>
        <w:spacing w:before="120" w:line="276" w:lineRule="auto"/>
        <w:jc w:val="both"/>
        <w:rPr>
          <w:rFonts w:ascii="Century Gothic" w:eastAsia="Calibri" w:hAnsi="Century Gothic" w:cs="Arial"/>
        </w:rPr>
      </w:pPr>
      <w:r w:rsidRPr="00D97DD0">
        <w:rPr>
          <w:rFonts w:ascii="Century Gothic" w:eastAsia="Calibri" w:hAnsi="Century Gothic" w:cs="Arial"/>
        </w:rPr>
        <w:t>De lo expuesto se evidencia que como parte de la estructura de la Administración pública se encuentran las entidades descentralizadas por servicios, y dentro de esta categoría se ubican las Empresas Sociales del Estado, las cuales, sin perjuicio del control de tutela, tienen personería jurídica, autonomía administrativa y patrimonio propio.</w:t>
      </w:r>
      <w:r w:rsidRPr="00D97DD0">
        <w:rPr>
          <w:rFonts w:ascii="Century Gothic" w:eastAsia="Calibri" w:hAnsi="Century Gothic" w:cs="Arial"/>
          <w:b/>
          <w:bCs/>
        </w:rPr>
        <w:t xml:space="preserve"> </w:t>
      </w:r>
      <w:r w:rsidRPr="00D97DD0">
        <w:rPr>
          <w:rFonts w:ascii="Century Gothic" w:eastAsia="Calibri" w:hAnsi="Century Gothic" w:cs="Arial"/>
        </w:rPr>
        <w:t>Estas entidades, de acuerdo a lo que establece el artículo 83 de la Ley 489 de 1998, son “</w:t>
      </w:r>
      <w:r w:rsidRPr="00D97DD0">
        <w:rPr>
          <w:rFonts w:ascii="Century Gothic" w:eastAsia="Calibri" w:hAnsi="Century Gothic" w:cs="Arial"/>
          <w:i/>
          <w:iCs/>
        </w:rPr>
        <w:t>creadas por la Nación o por las entidades territoriales para la prestación en forma directa de servicios de salud</w:t>
      </w:r>
      <w:r w:rsidRPr="00D97DD0">
        <w:rPr>
          <w:rFonts w:ascii="Century Gothic" w:eastAsia="Calibri" w:hAnsi="Century Gothic" w:cs="Arial"/>
        </w:rPr>
        <w:t xml:space="preserve">”.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5E5D84BC" w14:textId="77777777" w:rsidR="00AA1E7C" w:rsidRPr="00D97DD0" w:rsidRDefault="00AA1E7C" w:rsidP="00AA1E7C">
      <w:pPr>
        <w:spacing w:line="276" w:lineRule="auto"/>
        <w:jc w:val="both"/>
        <w:rPr>
          <w:rFonts w:ascii="Century Gothic" w:eastAsia="Calibri" w:hAnsi="Century Gothic" w:cs="Arial"/>
        </w:rPr>
      </w:pPr>
      <w:r w:rsidRPr="00D97DD0">
        <w:rPr>
          <w:rFonts w:ascii="Century Gothic" w:eastAsia="Calibri" w:hAnsi="Century Gothic" w:cs="Arial"/>
        </w:rPr>
        <w:tab/>
        <w:t xml:space="preserve">Considerando la actividad que desarrollan, esto es, la prestación de los servicios de salud, el régimen jurídico aplicable a estas empresas difiere del que corresponde a otras entidades descentralizadas como las superintendencias con personería jurídica, los establecimientos públicos o las unidades administrativas especiales, puesto que por regla general las ESE se rigen por las disposiciones de derecho privado. Esto encuentra fundamento en el artículo 195, numeral 6, de la Ley 100 de 1993, el cual prescribe que en lo concerniente a aspectos contractuales </w:t>
      </w:r>
      <w:r w:rsidRPr="00D97DD0">
        <w:rPr>
          <w:rFonts w:ascii="Century Gothic" w:eastAsia="Calibri" w:hAnsi="Century Gothic" w:cs="Arial"/>
        </w:rPr>
        <w:lastRenderedPageBreak/>
        <w:t xml:space="preserve">se regirán por el derecho privado, pero podrá discrecionalmente utilizar las cláusulas exorbitantes previstas en el estatuto general de contratación de la administración pública. </w:t>
      </w:r>
      <w:r w:rsidRPr="00D97DD0">
        <w:rPr>
          <w:rFonts w:ascii="Century Gothic" w:eastAsia="Calibri" w:hAnsi="Century Gothic" w:cs="Arial"/>
          <w:lang w:val="es-ES_tradnl" w:eastAsia="es-ES_tradnl"/>
        </w:rPr>
        <w:t xml:space="preserve">Bajo este contexto, vale la pena precisar que estas Entidades </w:t>
      </w:r>
      <w:r w:rsidRPr="00D97DD0">
        <w:rPr>
          <w:rFonts w:ascii="Century Gothic" w:eastAsia="Calibri" w:hAnsi="Century Gothic" w:cs="Arial"/>
          <w:lang w:val="es-ES_tradnl"/>
        </w:rPr>
        <w:t>sometidas a regímenes especiales de derecho privado tienen una amplia libertad de configuración del contenido del manual de contratación. Esta libertad se deriva del principio de autonomía de la voluntad que les permite establecer la manera en que adelantarán sus procesos de contratación.</w:t>
      </w:r>
    </w:p>
    <w:p w14:paraId="44BA1B08" w14:textId="77777777" w:rsidR="00AA1E7C" w:rsidRPr="002F5721" w:rsidRDefault="00AA1E7C" w:rsidP="00AA1E7C">
      <w:pPr>
        <w:spacing w:line="276" w:lineRule="auto"/>
        <w:ind w:firstLine="708"/>
        <w:jc w:val="both"/>
        <w:rPr>
          <w:rFonts w:ascii="Century Gothic" w:eastAsia="Calibri" w:hAnsi="Century Gothic" w:cs="Arial"/>
          <w:lang w:val="en-CO"/>
        </w:rPr>
      </w:pPr>
      <w:r w:rsidRPr="00D97DD0">
        <w:rPr>
          <w:rFonts w:ascii="Century Gothic" w:eastAsia="Calibri" w:hAnsi="Century Gothic" w:cs="Arial"/>
          <w:lang w:val="es-ES_tradnl"/>
        </w:rPr>
        <w:t xml:space="preserve">Ahora bien, frente a las competencias atribuidas al Consejo Municipal de Política económica y fiscal “COMFIS” ha de </w:t>
      </w:r>
      <w:r>
        <w:rPr>
          <w:rFonts w:ascii="Century Gothic" w:eastAsia="Calibri" w:hAnsi="Century Gothic" w:cs="Arial"/>
          <w:lang w:val="es-ES_tradnl"/>
        </w:rPr>
        <w:t>manifestarse</w:t>
      </w:r>
      <w:r w:rsidRPr="00D97DD0">
        <w:rPr>
          <w:rFonts w:ascii="Century Gothic" w:eastAsia="Calibri" w:hAnsi="Century Gothic" w:cs="Arial"/>
          <w:lang w:val="es-ES_tradnl"/>
        </w:rPr>
        <w:t xml:space="preserve"> que cada entidad territorial crea este consejo con observancia a las disposiciones contempladas en los artículos 24,25, 26 y 104 del Decreto 111 de 1996 “</w:t>
      </w:r>
      <w:r w:rsidRPr="00D97DD0">
        <w:rPr>
          <w:rFonts w:ascii="Century Gothic" w:eastAsia="Calibri" w:hAnsi="Century Gothic" w:cs="Arial"/>
          <w:i/>
          <w:iCs/>
          <w:lang w:val="en-CO"/>
        </w:rPr>
        <w:t>por el cual se compilan la Ley 38 de 1989, la Ley 179 de 1994 y la ley 225 de 1995 que conforman el Estatuto Orgánico del Presupuesto</w:t>
      </w:r>
      <w:r w:rsidRPr="00D97DD0">
        <w:rPr>
          <w:rFonts w:ascii="Century Gothic" w:eastAsia="Calibri" w:hAnsi="Century Gothic" w:cs="Arial"/>
          <w:lang w:val="en-CO"/>
        </w:rPr>
        <w:t xml:space="preserve">.” En tal sentido, ha de tenerse en cuenta que el prinicipal objetivo de este cuerpo colegiado es servir de rector de la política fiscal y coordinar el sistema presupuestal. Así las cosas, </w:t>
      </w:r>
      <w:r>
        <w:rPr>
          <w:rFonts w:ascii="Century Gothic" w:eastAsia="Calibri" w:hAnsi="Century Gothic" w:cs="Arial"/>
          <w:lang w:val="en-CO"/>
        </w:rPr>
        <w:t xml:space="preserve">y en terminos generales de lo contemplado en el artículo 26 del </w:t>
      </w:r>
      <w:r w:rsidRPr="00D97DD0">
        <w:rPr>
          <w:rFonts w:ascii="Century Gothic" w:eastAsia="Calibri" w:hAnsi="Century Gothic" w:cs="Arial"/>
          <w:lang w:val="es-ES_tradnl"/>
        </w:rPr>
        <w:t>Decreto 111 de 1996</w:t>
      </w:r>
      <w:r>
        <w:rPr>
          <w:rFonts w:ascii="Century Gothic" w:eastAsia="Calibri" w:hAnsi="Century Gothic" w:cs="Arial"/>
          <w:lang w:val="en-CO"/>
        </w:rPr>
        <w:t xml:space="preserve">, el </w:t>
      </w:r>
      <w:r w:rsidRPr="00D97DD0">
        <w:rPr>
          <w:rFonts w:ascii="Century Gothic" w:eastAsia="Calibri" w:hAnsi="Century Gothic" w:cs="Arial"/>
          <w:lang w:val="es-ES_tradnl"/>
        </w:rPr>
        <w:t xml:space="preserve">Consejo de Política económica y fiscal </w:t>
      </w:r>
      <w:r>
        <w:rPr>
          <w:rFonts w:ascii="Century Gothic" w:eastAsia="Calibri" w:hAnsi="Century Gothic" w:cs="Arial"/>
          <w:lang w:val="es-ES_tradnl"/>
        </w:rPr>
        <w:t xml:space="preserve">si cuenta con la facultad para </w:t>
      </w:r>
      <w:r>
        <w:rPr>
          <w:rFonts w:ascii="Century Gothic" w:eastAsia="Calibri" w:hAnsi="Century Gothic" w:cs="Arial"/>
        </w:rPr>
        <w:t>a</w:t>
      </w:r>
      <w:r w:rsidRPr="001833A6">
        <w:rPr>
          <w:rFonts w:ascii="Century Gothic" w:eastAsia="Calibri" w:hAnsi="Century Gothic" w:cs="Arial"/>
        </w:rPr>
        <w:t>probar y modificar, mediante resolución, los presupuestos de ingresos y gastos de las Empresas Industriales y Comerciales del Estado y las Sociedades de Economía Mixta con el régimen de aquellas dedicadas a actividades no financieras, previa consulta con el Ministerio respectivo.  </w:t>
      </w:r>
    </w:p>
    <w:p w14:paraId="32ABC99D" w14:textId="77777777" w:rsidR="00AA1E7C" w:rsidRPr="00D97DD0" w:rsidRDefault="00AA1E7C" w:rsidP="00AA1E7C">
      <w:pPr>
        <w:widowControl w:val="0"/>
        <w:autoSpaceDE w:val="0"/>
        <w:autoSpaceDN w:val="0"/>
        <w:spacing w:line="276" w:lineRule="auto"/>
        <w:jc w:val="both"/>
        <w:rPr>
          <w:rFonts w:ascii="Century Gothic" w:eastAsia="Arial" w:hAnsi="Century Gothic" w:cs="Arial"/>
        </w:rPr>
      </w:pPr>
      <w:r w:rsidRPr="00D97DD0">
        <w:rPr>
          <w:rFonts w:ascii="Century Gothic" w:eastAsia="Arial" w:hAnsi="Century Gothic" w:cs="Arial"/>
        </w:rPr>
        <w:t>Este concepto tiene el alcance previsto en el artículo 28 del Código de Procedimiento Administrativo y de lo Contencioso Administrativo.</w:t>
      </w:r>
    </w:p>
    <w:p w14:paraId="03625F5C" w14:textId="77777777" w:rsidR="00AA1E7C" w:rsidRPr="00D97DD0" w:rsidRDefault="00AA1E7C" w:rsidP="00AA1E7C">
      <w:pPr>
        <w:widowControl w:val="0"/>
        <w:autoSpaceDE w:val="0"/>
        <w:autoSpaceDN w:val="0"/>
        <w:spacing w:after="120" w:line="276" w:lineRule="auto"/>
        <w:jc w:val="both"/>
        <w:rPr>
          <w:rFonts w:ascii="Century Gothic" w:eastAsia="Arial" w:hAnsi="Century Gothic" w:cs="Arial"/>
        </w:rPr>
      </w:pPr>
      <w:r w:rsidRPr="00D97DD0">
        <w:rPr>
          <w:rFonts w:ascii="Century Gothic" w:eastAsia="Arial" w:hAnsi="Century Gothic" w:cs="Arial"/>
        </w:rPr>
        <w:t>Atentamente,</w:t>
      </w:r>
    </w:p>
    <w:p w14:paraId="6FF0FF4C" w14:textId="4AA30DF9" w:rsidR="00AA1E7C" w:rsidRPr="00575F77" w:rsidRDefault="00201043" w:rsidP="00AA1E7C">
      <w:pPr>
        <w:jc w:val="center"/>
        <w:rPr>
          <w:rFonts w:ascii="Century Gothic" w:hAnsi="Century Gothic" w:cs="Arial"/>
          <w:lang w:val="es-ES" w:eastAsia="es-CO"/>
        </w:rPr>
      </w:pPr>
      <w:bookmarkStart w:id="5" w:name="_Hlk115432332"/>
      <w:r>
        <w:rPr>
          <w:noProof/>
        </w:rPr>
        <w:drawing>
          <wp:inline distT="0" distB="0" distL="0" distR="0" wp14:anchorId="6C5BE23F" wp14:editId="1C036E18">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AA1E7C" w:rsidRPr="00575F77" w14:paraId="45C40885" w14:textId="77777777" w:rsidTr="00AB2F00">
        <w:trPr>
          <w:trHeight w:val="315"/>
        </w:trPr>
        <w:tc>
          <w:tcPr>
            <w:tcW w:w="812" w:type="dxa"/>
            <w:vAlign w:val="center"/>
            <w:hideMark/>
          </w:tcPr>
          <w:p w14:paraId="0B7EED44" w14:textId="77777777" w:rsidR="00AA1E7C" w:rsidRPr="00575F77" w:rsidRDefault="00AA1E7C" w:rsidP="00AB2F00">
            <w:pPr>
              <w:rPr>
                <w:rFonts w:ascii="Century Gothic" w:hAnsi="Century Gothic" w:cs="Arial"/>
                <w:sz w:val="14"/>
                <w:szCs w:val="14"/>
                <w:lang w:val="es-ES" w:eastAsia="es-ES"/>
              </w:rPr>
            </w:pPr>
            <w:r w:rsidRPr="00575F77">
              <w:rPr>
                <w:rFonts w:ascii="Century Gothic" w:hAnsi="Century Gothic"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1F60F756" w14:textId="77777777" w:rsidR="00AA1E7C" w:rsidRPr="00575F77" w:rsidRDefault="00AA1E7C" w:rsidP="00AB2F00">
            <w:pPr>
              <w:jc w:val="both"/>
              <w:rPr>
                <w:rFonts w:ascii="Century Gothic" w:hAnsi="Century Gothic" w:cs="Arial"/>
                <w:sz w:val="14"/>
                <w:szCs w:val="14"/>
                <w:lang w:eastAsia="es-ES"/>
              </w:rPr>
            </w:pPr>
            <w:r w:rsidRPr="00575F77">
              <w:rPr>
                <w:rFonts w:ascii="Century Gothic" w:hAnsi="Century Gothic" w:cs="Arial"/>
                <w:sz w:val="14"/>
                <w:szCs w:val="14"/>
                <w:lang w:eastAsia="es-ES"/>
              </w:rPr>
              <w:t>Ana María Ortiz Ballesteros</w:t>
            </w:r>
          </w:p>
          <w:p w14:paraId="65FD6978" w14:textId="77777777" w:rsidR="00AA1E7C" w:rsidRPr="00575F77" w:rsidRDefault="00AA1E7C" w:rsidP="00AB2F00">
            <w:pPr>
              <w:jc w:val="both"/>
              <w:rPr>
                <w:rFonts w:ascii="Century Gothic" w:hAnsi="Century Gothic" w:cs="Arial"/>
                <w:sz w:val="14"/>
                <w:szCs w:val="14"/>
                <w:lang w:eastAsia="es-ES"/>
              </w:rPr>
            </w:pPr>
            <w:r w:rsidRPr="00575F77">
              <w:rPr>
                <w:rFonts w:ascii="Century Gothic" w:hAnsi="Century Gothic" w:cs="Arial"/>
                <w:sz w:val="14"/>
                <w:szCs w:val="14"/>
                <w:lang w:eastAsia="es-ES"/>
              </w:rPr>
              <w:t>Contratista de la Subdirección de Gestión Contractual</w:t>
            </w:r>
          </w:p>
        </w:tc>
      </w:tr>
      <w:tr w:rsidR="00AA1E7C" w:rsidRPr="00575F77" w14:paraId="3A9495B1" w14:textId="77777777" w:rsidTr="00AB2F00">
        <w:trPr>
          <w:trHeight w:val="315"/>
        </w:trPr>
        <w:tc>
          <w:tcPr>
            <w:tcW w:w="812" w:type="dxa"/>
            <w:vAlign w:val="center"/>
          </w:tcPr>
          <w:p w14:paraId="0C87ADB0" w14:textId="77777777" w:rsidR="00AA1E7C" w:rsidRPr="00575F77" w:rsidRDefault="00AA1E7C" w:rsidP="00AB2F00">
            <w:pPr>
              <w:rPr>
                <w:rFonts w:ascii="Century Gothic" w:hAnsi="Century Gothic" w:cs="Arial"/>
                <w:sz w:val="14"/>
                <w:szCs w:val="14"/>
                <w:lang w:val="es-ES" w:eastAsia="es-ES"/>
              </w:rPr>
            </w:pPr>
            <w:r w:rsidRPr="00575F77">
              <w:rPr>
                <w:rFonts w:ascii="Century Gothic" w:hAnsi="Century Gothic" w:cs="Arial"/>
                <w:sz w:val="14"/>
                <w:szCs w:val="14"/>
                <w:lang w:val="es-ES" w:eastAsia="es-ES"/>
              </w:rPr>
              <w:t>Reviso:</w:t>
            </w:r>
          </w:p>
        </w:tc>
        <w:tc>
          <w:tcPr>
            <w:tcW w:w="5284" w:type="dxa"/>
            <w:tcBorders>
              <w:top w:val="nil"/>
              <w:left w:val="nil"/>
              <w:bottom w:val="dotted" w:sz="4" w:space="0" w:color="7F7F7F" w:themeColor="text1" w:themeTint="80"/>
              <w:right w:val="nil"/>
            </w:tcBorders>
            <w:vAlign w:val="center"/>
          </w:tcPr>
          <w:p w14:paraId="4C1EE478" w14:textId="77777777" w:rsidR="00AA1E7C" w:rsidRPr="00575F77" w:rsidRDefault="00AA1E7C" w:rsidP="00AB2F00">
            <w:pPr>
              <w:jc w:val="both"/>
              <w:rPr>
                <w:rFonts w:ascii="Century Gothic" w:hAnsi="Century Gothic" w:cs="Arial"/>
                <w:sz w:val="14"/>
                <w:szCs w:val="14"/>
                <w:lang w:eastAsia="es-ES"/>
              </w:rPr>
            </w:pPr>
            <w:r>
              <w:rPr>
                <w:rFonts w:ascii="Century Gothic" w:hAnsi="Century Gothic" w:cs="Arial"/>
                <w:sz w:val="14"/>
                <w:szCs w:val="14"/>
                <w:lang w:eastAsia="es-ES"/>
              </w:rPr>
              <w:t>Juan David Cárdenas Cabeza</w:t>
            </w:r>
          </w:p>
          <w:p w14:paraId="582FBDE3" w14:textId="77777777" w:rsidR="00AA1E7C" w:rsidRPr="00575F77" w:rsidRDefault="00AA1E7C" w:rsidP="00AB2F00">
            <w:pPr>
              <w:jc w:val="both"/>
              <w:rPr>
                <w:rFonts w:ascii="Century Gothic" w:hAnsi="Century Gothic" w:cs="Arial"/>
                <w:sz w:val="14"/>
                <w:szCs w:val="14"/>
                <w:lang w:val="es-ES_tradnl" w:eastAsia="es-ES"/>
              </w:rPr>
            </w:pPr>
            <w:r w:rsidRPr="00575F77">
              <w:rPr>
                <w:rFonts w:ascii="Century Gothic" w:hAnsi="Century Gothic" w:cs="Arial"/>
                <w:sz w:val="14"/>
                <w:szCs w:val="14"/>
                <w:lang w:eastAsia="es-ES"/>
              </w:rPr>
              <w:t>Contratista de la Subdirección de Gestión Contractual</w:t>
            </w:r>
          </w:p>
        </w:tc>
      </w:tr>
      <w:tr w:rsidR="00AA1E7C" w:rsidRPr="00575F77" w14:paraId="0F6B8E19" w14:textId="77777777" w:rsidTr="00AB2F00">
        <w:trPr>
          <w:trHeight w:val="330"/>
        </w:trPr>
        <w:tc>
          <w:tcPr>
            <w:tcW w:w="812" w:type="dxa"/>
            <w:vAlign w:val="center"/>
            <w:hideMark/>
          </w:tcPr>
          <w:p w14:paraId="713F742D" w14:textId="77777777" w:rsidR="00AA1E7C" w:rsidRPr="00575F77" w:rsidRDefault="00AA1E7C" w:rsidP="00AB2F00">
            <w:pPr>
              <w:rPr>
                <w:rFonts w:ascii="Century Gothic" w:hAnsi="Century Gothic" w:cs="Arial"/>
                <w:sz w:val="14"/>
                <w:szCs w:val="14"/>
                <w:lang w:val="es-ES" w:eastAsia="es-ES"/>
              </w:rPr>
            </w:pPr>
            <w:r w:rsidRPr="00575F77">
              <w:rPr>
                <w:rFonts w:ascii="Century Gothic" w:hAnsi="Century Gothic"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2A58CA20" w14:textId="77777777" w:rsidR="00AA1E7C" w:rsidRPr="00575F77" w:rsidRDefault="00AA1E7C" w:rsidP="00AB2F00">
            <w:pPr>
              <w:textAlignment w:val="baseline"/>
              <w:rPr>
                <w:rFonts w:ascii="Century Gothic" w:hAnsi="Century Gothic" w:cs="Arial"/>
                <w:sz w:val="14"/>
                <w:szCs w:val="14"/>
                <w:lang w:val="es-ES" w:eastAsia="es-CO"/>
              </w:rPr>
            </w:pPr>
            <w:bookmarkStart w:id="6" w:name="_Hlk116036152"/>
            <w:r w:rsidRPr="00575F77">
              <w:rPr>
                <w:rFonts w:ascii="Century Gothic" w:hAnsi="Century Gothic" w:cs="Arial"/>
                <w:sz w:val="14"/>
                <w:szCs w:val="14"/>
                <w:lang w:val="es-ES" w:eastAsia="es-CO"/>
              </w:rPr>
              <w:t xml:space="preserve">Nohelia del Carmen </w:t>
            </w:r>
            <w:proofErr w:type="spellStart"/>
            <w:r w:rsidRPr="00575F77">
              <w:rPr>
                <w:rFonts w:ascii="Century Gothic" w:hAnsi="Century Gothic" w:cs="Arial"/>
                <w:sz w:val="14"/>
                <w:szCs w:val="14"/>
                <w:lang w:val="es-ES" w:eastAsia="es-CO"/>
              </w:rPr>
              <w:t>Zawady</w:t>
            </w:r>
            <w:proofErr w:type="spellEnd"/>
            <w:r w:rsidRPr="00575F77">
              <w:rPr>
                <w:rFonts w:ascii="Century Gothic" w:hAnsi="Century Gothic" w:cs="Arial"/>
                <w:sz w:val="14"/>
                <w:szCs w:val="14"/>
                <w:lang w:val="es-ES" w:eastAsia="es-CO"/>
              </w:rPr>
              <w:t xml:space="preserve"> Palacio</w:t>
            </w:r>
          </w:p>
          <w:p w14:paraId="2B4EF722" w14:textId="77777777" w:rsidR="00AA1E7C" w:rsidRPr="00575F77" w:rsidRDefault="00AA1E7C" w:rsidP="00AB2F00">
            <w:pPr>
              <w:rPr>
                <w:rFonts w:ascii="Century Gothic" w:hAnsi="Century Gothic" w:cs="Arial"/>
                <w:sz w:val="14"/>
                <w:szCs w:val="14"/>
                <w:lang w:val="es-ES" w:eastAsia="es-ES"/>
              </w:rPr>
            </w:pPr>
            <w:r w:rsidRPr="00575F77">
              <w:rPr>
                <w:rFonts w:ascii="Century Gothic" w:hAnsi="Century Gothic" w:cs="Arial"/>
                <w:sz w:val="14"/>
                <w:szCs w:val="14"/>
                <w:lang w:val="es-ES" w:eastAsia="es-ES"/>
              </w:rPr>
              <w:t xml:space="preserve">Subdirectora de Gestión Contractual </w:t>
            </w:r>
            <w:bookmarkEnd w:id="6"/>
            <w:r w:rsidRPr="00575F77">
              <w:rPr>
                <w:rFonts w:ascii="Century Gothic" w:hAnsi="Century Gothic" w:cs="Arial"/>
                <w:sz w:val="14"/>
                <w:szCs w:val="14"/>
                <w:lang w:val="es-ES" w:eastAsia="es-ES"/>
              </w:rPr>
              <w:t>ANCP – CCE</w:t>
            </w:r>
          </w:p>
        </w:tc>
      </w:tr>
      <w:bookmarkEnd w:id="5"/>
    </w:tbl>
    <w:p w14:paraId="0F293BF4" w14:textId="30684CE1" w:rsidR="00127233" w:rsidRPr="00C330EB" w:rsidRDefault="00127233" w:rsidP="00AA1E7C">
      <w:pPr>
        <w:spacing w:after="0"/>
        <w:rPr>
          <w:rFonts w:ascii="Century Gothic" w:hAnsi="Century Gothic"/>
        </w:rPr>
      </w:pPr>
    </w:p>
    <w:sectPr w:rsidR="00127233" w:rsidRPr="00C330EB" w:rsidSect="000578F9">
      <w:headerReference w:type="default" r:id="rId15"/>
      <w:footerReference w:type="default" r:id="rId16"/>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FC2FD" w14:textId="77777777" w:rsidR="000578F9" w:rsidRDefault="000578F9" w:rsidP="004A1847">
      <w:pPr>
        <w:spacing w:after="0" w:line="240" w:lineRule="auto"/>
      </w:pPr>
      <w:r>
        <w:separator/>
      </w:r>
    </w:p>
  </w:endnote>
  <w:endnote w:type="continuationSeparator" w:id="0">
    <w:p w14:paraId="4F4C3274" w14:textId="77777777" w:rsidR="000578F9" w:rsidRDefault="000578F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Footer"/>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112B5" w14:textId="77777777" w:rsidR="000578F9" w:rsidRDefault="000578F9" w:rsidP="004A1847">
      <w:pPr>
        <w:spacing w:after="0" w:line="240" w:lineRule="auto"/>
      </w:pPr>
      <w:r>
        <w:separator/>
      </w:r>
    </w:p>
  </w:footnote>
  <w:footnote w:type="continuationSeparator" w:id="0">
    <w:p w14:paraId="01248B0E" w14:textId="77777777" w:rsidR="000578F9" w:rsidRDefault="000578F9" w:rsidP="004A1847">
      <w:pPr>
        <w:spacing w:after="0" w:line="240" w:lineRule="auto"/>
      </w:pPr>
      <w:r>
        <w:continuationSeparator/>
      </w:r>
    </w:p>
  </w:footnote>
  <w:footnote w:id="1">
    <w:p w14:paraId="7542E168" w14:textId="77777777" w:rsidR="00AA1E7C" w:rsidRPr="00981899" w:rsidRDefault="00AA1E7C" w:rsidP="00AA1E7C">
      <w:pPr>
        <w:pStyle w:val="FootnoteText"/>
        <w:ind w:firstLine="708"/>
        <w:jc w:val="both"/>
        <w:rPr>
          <w:rFonts w:ascii="Century Gothic" w:hAnsi="Century Gothic" w:cs="Arial"/>
          <w:sz w:val="18"/>
          <w:szCs w:val="18"/>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La Agencia Nacional de Contratación Pública </w:t>
      </w:r>
      <w:r w:rsidRPr="00981899">
        <w:rPr>
          <w:rFonts w:ascii="Arial" w:hAnsi="Arial" w:cs="Arial"/>
          <w:sz w:val="18"/>
          <w:szCs w:val="18"/>
        </w:rPr>
        <w:t>‒</w:t>
      </w:r>
      <w:r w:rsidRPr="00981899">
        <w:rPr>
          <w:rFonts w:ascii="Century Gothic" w:hAnsi="Century Gothic" w:cs="Arial"/>
          <w:sz w:val="18"/>
          <w:szCs w:val="18"/>
        </w:rPr>
        <w:t xml:space="preserve"> Colombia Compra Eficiente fue creada por el Decreto Ley 4170 de 2011. Su objetivo es servir como ente rector de la pol</w:t>
      </w:r>
      <w:r w:rsidRPr="00981899">
        <w:rPr>
          <w:rFonts w:ascii="Century Gothic" w:hAnsi="Century Gothic" w:cs="Century Gothic"/>
          <w:sz w:val="18"/>
          <w:szCs w:val="18"/>
        </w:rPr>
        <w:t>í</w:t>
      </w:r>
      <w:r w:rsidRPr="00981899">
        <w:rPr>
          <w:rFonts w:ascii="Century Gothic" w:hAnsi="Century Gothic" w:cs="Arial"/>
          <w:sz w:val="18"/>
          <w:szCs w:val="18"/>
        </w:rPr>
        <w:t>tica de compras y contrataci</w:t>
      </w:r>
      <w:r w:rsidRPr="00981899">
        <w:rPr>
          <w:rFonts w:ascii="Century Gothic" w:hAnsi="Century Gothic" w:cs="Century Gothic"/>
          <w:sz w:val="18"/>
          <w:szCs w:val="18"/>
        </w:rPr>
        <w:t>ó</w:t>
      </w:r>
      <w:r w:rsidRPr="00981899">
        <w:rPr>
          <w:rFonts w:ascii="Century Gothic" w:hAnsi="Century Gothic" w:cs="Arial"/>
          <w:sz w:val="18"/>
          <w:szCs w:val="18"/>
        </w:rPr>
        <w:t xml:space="preserve">n del Estado. Para tales fines, como </w:t>
      </w:r>
      <w:r w:rsidRPr="00981899">
        <w:rPr>
          <w:rFonts w:ascii="Century Gothic" w:hAnsi="Century Gothic" w:cs="Century Gothic"/>
          <w:sz w:val="18"/>
          <w:szCs w:val="18"/>
        </w:rPr>
        <w:t>ó</w:t>
      </w:r>
      <w:r w:rsidRPr="00981899">
        <w:rPr>
          <w:rFonts w:ascii="Century Gothic" w:hAnsi="Century Gothic" w:cs="Arial"/>
          <w:sz w:val="18"/>
          <w:szCs w:val="18"/>
        </w:rPr>
        <w:t>rgano t</w:t>
      </w:r>
      <w:r w:rsidRPr="00981899">
        <w:rPr>
          <w:rFonts w:ascii="Century Gothic" w:hAnsi="Century Gothic" w:cs="Century Gothic"/>
          <w:sz w:val="18"/>
          <w:szCs w:val="18"/>
        </w:rPr>
        <w:t>é</w:t>
      </w:r>
      <w:r w:rsidRPr="00981899">
        <w:rPr>
          <w:rFonts w:ascii="Century Gothic" w:hAnsi="Century Gothic" w:cs="Arial"/>
          <w:sz w:val="18"/>
          <w:szCs w:val="18"/>
        </w:rPr>
        <w:t>cnico especializado, le corresponde formular pol</w:t>
      </w:r>
      <w:r w:rsidRPr="00981899">
        <w:rPr>
          <w:rFonts w:ascii="Century Gothic" w:hAnsi="Century Gothic" w:cs="Century Gothic"/>
          <w:sz w:val="18"/>
          <w:szCs w:val="18"/>
        </w:rPr>
        <w:t>í</w:t>
      </w:r>
      <w:r w:rsidRPr="00981899">
        <w:rPr>
          <w:rFonts w:ascii="Century Gothic" w:hAnsi="Century Gothic" w:cs="Arial"/>
          <w:sz w:val="18"/>
          <w:szCs w:val="18"/>
        </w:rPr>
        <w:t>ticas p</w:t>
      </w:r>
      <w:r w:rsidRPr="00981899">
        <w:rPr>
          <w:rFonts w:ascii="Century Gothic" w:hAnsi="Century Gothic" w:cs="Century Gothic"/>
          <w:sz w:val="18"/>
          <w:szCs w:val="18"/>
        </w:rPr>
        <w:t>ú</w:t>
      </w:r>
      <w:r w:rsidRPr="00981899">
        <w:rPr>
          <w:rFonts w:ascii="Century Gothic" w:hAnsi="Century Gothic" w:cs="Arial"/>
          <w:sz w:val="18"/>
          <w:szCs w:val="18"/>
        </w:rPr>
        <w:t>blicas y normas y unificar los procesos de contrataci</w:t>
      </w:r>
      <w:r w:rsidRPr="00981899">
        <w:rPr>
          <w:rFonts w:ascii="Century Gothic" w:hAnsi="Century Gothic" w:cs="Century Gothic"/>
          <w:sz w:val="18"/>
          <w:szCs w:val="18"/>
        </w:rPr>
        <w:t>ó</w:t>
      </w:r>
      <w:r w:rsidRPr="00981899">
        <w:rPr>
          <w:rFonts w:ascii="Century Gothic" w:hAnsi="Century Gothic" w:cs="Arial"/>
          <w:sz w:val="18"/>
          <w:szCs w:val="18"/>
        </w:rPr>
        <w:t>n estatal, con el fin de lograr una mayor eficiencia, transparencia y optimizaci</w:t>
      </w:r>
      <w:r w:rsidRPr="00981899">
        <w:rPr>
          <w:rFonts w:ascii="Century Gothic" w:hAnsi="Century Gothic" w:cs="Century Gothic"/>
          <w:sz w:val="18"/>
          <w:szCs w:val="18"/>
        </w:rPr>
        <w:t>ó</w:t>
      </w:r>
      <w:r w:rsidRPr="00981899">
        <w:rPr>
          <w:rFonts w:ascii="Century Gothic" w:hAnsi="Century Gothic" w:cs="Arial"/>
          <w:sz w:val="18"/>
          <w:szCs w:val="18"/>
        </w:rPr>
        <w:t>n de los recursos del Estado. El art</w:t>
      </w:r>
      <w:r w:rsidRPr="00981899">
        <w:rPr>
          <w:rFonts w:ascii="Century Gothic" w:hAnsi="Century Gothic" w:cs="Century Gothic"/>
          <w:sz w:val="18"/>
          <w:szCs w:val="18"/>
        </w:rPr>
        <w:t>í</w:t>
      </w:r>
      <w:r w:rsidRPr="00981899">
        <w:rPr>
          <w:rFonts w:ascii="Century Gothic" w:hAnsi="Century Gothic" w:cs="Arial"/>
          <w:sz w:val="18"/>
          <w:szCs w:val="18"/>
        </w:rPr>
        <w:t xml:space="preserve">culo 3 </w:t>
      </w:r>
      <w:r w:rsidRPr="00981899">
        <w:rPr>
          <w:rFonts w:ascii="Century Gothic" w:hAnsi="Century Gothic" w:cs="Arial"/>
          <w:i/>
          <w:iCs/>
          <w:sz w:val="18"/>
          <w:szCs w:val="18"/>
        </w:rPr>
        <w:t xml:space="preserve">ibidem </w:t>
      </w:r>
      <w:r w:rsidRPr="00981899">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1CE4892" w14:textId="77777777" w:rsidR="00AA1E7C" w:rsidRPr="00981899" w:rsidRDefault="00AA1E7C" w:rsidP="00AA1E7C">
      <w:pPr>
        <w:pStyle w:val="FootnoteText"/>
        <w:ind w:firstLine="708"/>
        <w:jc w:val="both"/>
        <w:rPr>
          <w:rFonts w:ascii="Century Gothic" w:hAnsi="Century Gothic" w:cs="Arial"/>
          <w:sz w:val="18"/>
          <w:szCs w:val="18"/>
        </w:rPr>
      </w:pPr>
    </w:p>
  </w:footnote>
  <w:footnote w:id="2">
    <w:p w14:paraId="01C2D133" w14:textId="77777777" w:rsidR="00AA1E7C" w:rsidRPr="00981899" w:rsidRDefault="00AA1E7C" w:rsidP="00AA1E7C">
      <w:pPr>
        <w:pStyle w:val="FootnoteText"/>
        <w:ind w:firstLine="708"/>
        <w:jc w:val="both"/>
        <w:rPr>
          <w:rFonts w:ascii="Century Gothic" w:hAnsi="Century Gothic" w:cs="Arial"/>
          <w:sz w:val="18"/>
          <w:szCs w:val="18"/>
          <w:shd w:val="clear" w:color="auto" w:fill="E6E6E6"/>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981899">
          <w:rPr>
            <w:rStyle w:val="Hyperlink"/>
            <w:rFonts w:ascii="Century Gothic" w:hAnsi="Century Gothic" w:cs="Arial"/>
            <w:color w:val="auto"/>
            <w:sz w:val="18"/>
            <w:szCs w:val="18"/>
          </w:rPr>
          <w:t>https://relatoria.colombiacompra.gov.co/busqueda/conceptos</w:t>
        </w:r>
      </w:hyperlink>
      <w:r w:rsidRPr="00981899">
        <w:rPr>
          <w:rStyle w:val="Hyperlink"/>
          <w:rFonts w:ascii="Century Gothic" w:hAnsi="Century Gothic" w:cs="Arial"/>
          <w:color w:val="auto"/>
          <w:sz w:val="18"/>
          <w:szCs w:val="18"/>
        </w:rPr>
        <w:t xml:space="preserve">. </w:t>
      </w:r>
      <w:r w:rsidRPr="00981899">
        <w:rPr>
          <w:rFonts w:ascii="Century Gothic" w:hAnsi="Century Gothic" w:cs="Arial"/>
          <w:sz w:val="18"/>
          <w:szCs w:val="18"/>
          <w:shd w:val="clear" w:color="auto" w:fill="E6E6E6"/>
        </w:rPr>
        <w:t xml:space="preserve">  </w:t>
      </w:r>
    </w:p>
    <w:p w14:paraId="29E041EF" w14:textId="77777777" w:rsidR="00AA1E7C" w:rsidRPr="00981899" w:rsidRDefault="00AA1E7C" w:rsidP="00AA1E7C">
      <w:pPr>
        <w:pStyle w:val="FootnoteText"/>
        <w:ind w:firstLine="708"/>
        <w:jc w:val="both"/>
        <w:rPr>
          <w:rFonts w:ascii="Century Gothic" w:hAnsi="Century Gothic" w:cs="Arial"/>
          <w:sz w:val="18"/>
          <w:szCs w:val="18"/>
          <w:shd w:val="clear" w:color="auto" w:fill="E6E6E6"/>
        </w:rPr>
      </w:pPr>
    </w:p>
  </w:footnote>
  <w:footnote w:id="3">
    <w:p w14:paraId="1B4E2E58" w14:textId="77777777" w:rsidR="00AA1E7C" w:rsidRPr="00981899" w:rsidRDefault="00AA1E7C" w:rsidP="00AA1E7C">
      <w:pPr>
        <w:pStyle w:val="FootnoteText"/>
        <w:ind w:firstLine="709"/>
        <w:jc w:val="both"/>
        <w:rPr>
          <w:rFonts w:ascii="Century Gothic" w:hAnsi="Century Gothic" w:cs="Arial"/>
          <w:color w:val="000000"/>
          <w:sz w:val="18"/>
          <w:szCs w:val="18"/>
        </w:rPr>
      </w:pPr>
      <w:r w:rsidRPr="00981899">
        <w:rPr>
          <w:rStyle w:val="FootnoteReference"/>
          <w:rFonts w:ascii="Century Gothic" w:hAnsi="Century Gothic" w:cs="Arial"/>
          <w:color w:val="000000"/>
          <w:sz w:val="18"/>
          <w:szCs w:val="18"/>
        </w:rPr>
        <w:footnoteRef/>
      </w:r>
      <w:r w:rsidRPr="00981899">
        <w:rPr>
          <w:rFonts w:ascii="Century Gothic" w:hAnsi="Century Gothic" w:cs="Arial"/>
          <w:color w:val="000000"/>
          <w:sz w:val="18"/>
          <w:szCs w:val="18"/>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21549926" w14:textId="77777777" w:rsidR="00AA1E7C" w:rsidRPr="00981899" w:rsidRDefault="00AA1E7C" w:rsidP="00AA1E7C">
      <w:pPr>
        <w:pStyle w:val="FootnoteText"/>
        <w:ind w:firstLine="709"/>
        <w:jc w:val="both"/>
        <w:rPr>
          <w:rFonts w:ascii="Century Gothic" w:hAnsi="Century Gothic" w:cs="Arial"/>
          <w:color w:val="000000"/>
          <w:sz w:val="18"/>
          <w:szCs w:val="18"/>
        </w:rPr>
      </w:pPr>
    </w:p>
  </w:footnote>
  <w:footnote w:id="4">
    <w:p w14:paraId="4583FC9A" w14:textId="77777777" w:rsidR="00AA1E7C" w:rsidRPr="00981899" w:rsidRDefault="00AA1E7C" w:rsidP="00AA1E7C">
      <w:pPr>
        <w:pStyle w:val="FootnoteText"/>
        <w:ind w:firstLine="709"/>
        <w:jc w:val="both"/>
        <w:rPr>
          <w:rFonts w:ascii="Century Gothic" w:hAnsi="Century Gothic" w:cs="Arial"/>
          <w:color w:val="000000"/>
          <w:sz w:val="18"/>
          <w:szCs w:val="18"/>
          <w:lang w:val="es-ES"/>
        </w:rPr>
      </w:pPr>
      <w:r w:rsidRPr="00981899">
        <w:rPr>
          <w:rStyle w:val="FootnoteReference"/>
          <w:rFonts w:ascii="Century Gothic" w:hAnsi="Century Gothic" w:cs="Arial"/>
          <w:color w:val="000000"/>
          <w:sz w:val="18"/>
          <w:szCs w:val="18"/>
        </w:rPr>
        <w:footnoteRef/>
      </w:r>
      <w:r w:rsidRPr="00981899">
        <w:rPr>
          <w:rFonts w:ascii="Century Gothic" w:hAnsi="Century Gothic" w:cs="Arial"/>
          <w:color w:val="000000"/>
          <w:sz w:val="18"/>
          <w:szCs w:val="18"/>
        </w:rPr>
        <w:t xml:space="preserve"> Consejo de Estado. Sección Tercera. Radicado No. 45.607 del 24 de octubre de 2016. Consejera Ponente: María Nubia Velásquez Rico.</w:t>
      </w:r>
    </w:p>
  </w:footnote>
  <w:footnote w:id="5">
    <w:p w14:paraId="737E89D1" w14:textId="77777777" w:rsidR="00AA1E7C" w:rsidRPr="00981899" w:rsidRDefault="00AA1E7C" w:rsidP="00AA1E7C">
      <w:pPr>
        <w:pStyle w:val="FootnoteText"/>
        <w:ind w:firstLine="709"/>
        <w:jc w:val="both"/>
        <w:rPr>
          <w:rFonts w:ascii="Century Gothic" w:hAnsi="Century Gothic" w:cs="Arial"/>
          <w:color w:val="000000"/>
          <w:sz w:val="18"/>
          <w:szCs w:val="18"/>
        </w:rPr>
      </w:pPr>
      <w:r w:rsidRPr="00981899">
        <w:rPr>
          <w:rStyle w:val="FootnoteReference"/>
          <w:rFonts w:ascii="Century Gothic" w:hAnsi="Century Gothic" w:cs="Arial"/>
          <w:color w:val="000000"/>
          <w:sz w:val="18"/>
          <w:szCs w:val="18"/>
        </w:rPr>
        <w:footnoteRef/>
      </w:r>
      <w:r w:rsidRPr="00981899">
        <w:rPr>
          <w:rFonts w:ascii="Century Gothic" w:hAnsi="Century Gothic" w:cs="Arial"/>
          <w:color w:val="000000"/>
          <w:sz w:val="18"/>
          <w:szCs w:val="18"/>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587A0A04" w14:textId="77777777" w:rsidR="00AA1E7C" w:rsidRPr="00981899" w:rsidRDefault="00AA1E7C" w:rsidP="00AA1E7C">
      <w:pPr>
        <w:pStyle w:val="FootnoteText"/>
        <w:ind w:firstLine="709"/>
        <w:jc w:val="both"/>
        <w:rPr>
          <w:rFonts w:ascii="Century Gothic" w:hAnsi="Century Gothic" w:cs="Arial"/>
          <w:color w:val="000000"/>
          <w:sz w:val="18"/>
          <w:szCs w:val="18"/>
          <w:lang w:val="es-ES"/>
        </w:rPr>
      </w:pPr>
      <w:r w:rsidRPr="00981899">
        <w:rPr>
          <w:rFonts w:ascii="Century Gothic" w:hAnsi="Century Gothic" w:cs="Arial"/>
          <w:color w:val="000000"/>
          <w:sz w:val="18"/>
          <w:szCs w:val="18"/>
        </w:rPr>
        <w:t xml:space="preserve"> </w:t>
      </w:r>
    </w:p>
  </w:footnote>
  <w:footnote w:id="6">
    <w:p w14:paraId="5CDF154A" w14:textId="77777777" w:rsidR="00AA1E7C" w:rsidRPr="00981899" w:rsidRDefault="00AA1E7C" w:rsidP="00AA1E7C">
      <w:pPr>
        <w:pStyle w:val="FootnoteText"/>
        <w:ind w:firstLine="709"/>
        <w:jc w:val="both"/>
        <w:rPr>
          <w:rFonts w:ascii="Century Gothic" w:hAnsi="Century Gothic" w:cs="Arial"/>
          <w:sz w:val="18"/>
          <w:szCs w:val="18"/>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w:t>
      </w:r>
      <w:r w:rsidRPr="00981899">
        <w:rPr>
          <w:rFonts w:ascii="Century Gothic" w:hAnsi="Century Gothic" w:cs="Arial"/>
          <w:sz w:val="18"/>
          <w:szCs w:val="18"/>
          <w:lang w:val="es-ES"/>
        </w:rPr>
        <w:t>“</w:t>
      </w:r>
      <w:r w:rsidRPr="00981899">
        <w:rPr>
          <w:rFonts w:ascii="Century Gothic" w:hAnsi="Century Gothic" w:cs="Arial"/>
          <w:sz w:val="18"/>
          <w:szCs w:val="18"/>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981899">
        <w:rPr>
          <w:rFonts w:ascii="Century Gothic" w:hAnsi="Century Gothic" w:cs="Arial"/>
          <w:sz w:val="18"/>
          <w:szCs w:val="18"/>
          <w:lang w:val="es-ES"/>
        </w:rPr>
        <w:t>”.</w:t>
      </w:r>
    </w:p>
  </w:footnote>
  <w:footnote w:id="7">
    <w:p w14:paraId="7540AFEA" w14:textId="77777777" w:rsidR="00AA1E7C" w:rsidRPr="00981899" w:rsidRDefault="00AA1E7C" w:rsidP="00AA1E7C">
      <w:pPr>
        <w:pStyle w:val="FootnoteText"/>
        <w:ind w:firstLine="709"/>
        <w:jc w:val="both"/>
        <w:rPr>
          <w:rFonts w:ascii="Century Gothic" w:hAnsi="Century Gothic" w:cs="Arial"/>
          <w:sz w:val="18"/>
          <w:szCs w:val="18"/>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Consejo de Estado. Sección Tercera. Sentencia 18 de febrero de 2010. Rad: 11001-03-26-000-2009-00058-00(37004). CP: Enrique Gil Botero. </w:t>
      </w:r>
    </w:p>
    <w:p w14:paraId="4DA9A3C3" w14:textId="77777777" w:rsidR="00AA1E7C" w:rsidRPr="00981899" w:rsidRDefault="00AA1E7C" w:rsidP="00AA1E7C">
      <w:pPr>
        <w:pStyle w:val="FootnoteText"/>
        <w:ind w:firstLine="709"/>
        <w:jc w:val="both"/>
        <w:rPr>
          <w:rFonts w:ascii="Century Gothic" w:hAnsi="Century Gothic" w:cs="Arial"/>
          <w:sz w:val="18"/>
          <w:szCs w:val="18"/>
        </w:rPr>
      </w:pPr>
    </w:p>
  </w:footnote>
  <w:footnote w:id="8">
    <w:p w14:paraId="7FFC3E23" w14:textId="77777777" w:rsidR="00AA1E7C" w:rsidRPr="00981899" w:rsidRDefault="00AA1E7C" w:rsidP="00AA1E7C">
      <w:pPr>
        <w:pStyle w:val="FootnoteText"/>
        <w:ind w:firstLine="709"/>
        <w:jc w:val="both"/>
        <w:rPr>
          <w:rFonts w:ascii="Century Gothic" w:hAnsi="Century Gothic" w:cs="Arial"/>
          <w:sz w:val="18"/>
          <w:szCs w:val="18"/>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En sentencia C-655 de 2000, la Corte Constitucional se pronunció, así: </w:t>
      </w:r>
      <w:r w:rsidRPr="00981899">
        <w:rPr>
          <w:rFonts w:ascii="Century Gothic" w:hAnsi="Century Gothic" w:cs="Arial"/>
          <w:sz w:val="18"/>
          <w:szCs w:val="18"/>
          <w:lang w:val="es-ES_tradnl"/>
        </w:rPr>
        <w:t>“</w:t>
      </w:r>
      <w:r w:rsidRPr="00981899">
        <w:rPr>
          <w:rFonts w:ascii="Century Gothic" w:hAnsi="Century Gothic" w:cs="Arial"/>
          <w:color w:val="000000"/>
          <w:sz w:val="18"/>
          <w:szCs w:val="18"/>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981899">
        <w:rPr>
          <w:rFonts w:ascii="Century Gothic" w:hAnsi="Century Gothic" w:cs="Arial"/>
          <w:sz w:val="18"/>
          <w:szCs w:val="18"/>
          <w:lang w:val="es-ES_tradnl"/>
        </w:rPr>
        <w:t>”</w:t>
      </w:r>
      <w:r w:rsidRPr="00981899">
        <w:rPr>
          <w:rFonts w:ascii="Century Gothic" w:hAnsi="Century Gothic" w:cs="Arial"/>
          <w:color w:val="000000"/>
          <w:sz w:val="18"/>
          <w:szCs w:val="18"/>
        </w:rPr>
        <w:t>.</w:t>
      </w:r>
    </w:p>
  </w:footnote>
  <w:footnote w:id="9">
    <w:p w14:paraId="0AE8BDCD" w14:textId="77777777" w:rsidR="00AA1E7C" w:rsidRPr="00981899" w:rsidRDefault="00AA1E7C" w:rsidP="00AA1E7C">
      <w:pPr>
        <w:spacing w:after="0" w:line="240" w:lineRule="auto"/>
        <w:ind w:firstLine="709"/>
        <w:jc w:val="both"/>
        <w:rPr>
          <w:rFonts w:ascii="Century Gothic" w:hAnsi="Century Gothic" w:cs="Arial"/>
          <w:sz w:val="18"/>
          <w:szCs w:val="18"/>
          <w:lang w:val="es-ES"/>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Consejo de Estado, Sección Tercera, sentencia de 27 de febrero de 2013, C.P: Mauricio Fajardo Gómez de Estado. Secc. 3ª, sentencia de 8 de abril de 2014, rad. No.</w:t>
      </w:r>
      <w:r w:rsidRPr="00981899">
        <w:rPr>
          <w:rFonts w:ascii="Century Gothic" w:hAnsi="Century Gothic" w:cs="Arial"/>
          <w:spacing w:val="-2"/>
          <w:sz w:val="18"/>
          <w:szCs w:val="18"/>
        </w:rPr>
        <w:t xml:space="preserve"> </w:t>
      </w:r>
      <w:r w:rsidRPr="00981899">
        <w:rPr>
          <w:rFonts w:ascii="Century Gothic" w:hAnsi="Century Gothic" w:cs="Arial"/>
          <w:sz w:val="18"/>
          <w:szCs w:val="18"/>
        </w:rPr>
        <w:t>2000-01561-01(25.590).</w:t>
      </w:r>
    </w:p>
    <w:p w14:paraId="1DC62955" w14:textId="77777777" w:rsidR="00AA1E7C" w:rsidRPr="00981899" w:rsidRDefault="00AA1E7C" w:rsidP="00AA1E7C">
      <w:pPr>
        <w:pStyle w:val="FootnoteText"/>
        <w:ind w:firstLine="709"/>
        <w:jc w:val="both"/>
        <w:rPr>
          <w:rFonts w:ascii="Century Gothic" w:hAnsi="Century Gothic" w:cs="Arial"/>
          <w:sz w:val="18"/>
          <w:szCs w:val="18"/>
        </w:rPr>
      </w:pPr>
    </w:p>
  </w:footnote>
  <w:footnote w:id="10">
    <w:p w14:paraId="562C5CC6" w14:textId="77777777" w:rsidR="00AA1E7C" w:rsidRPr="00981899" w:rsidRDefault="00AA1E7C" w:rsidP="00AA1E7C">
      <w:pPr>
        <w:pStyle w:val="FootnoteText"/>
        <w:ind w:firstLine="709"/>
        <w:jc w:val="both"/>
        <w:rPr>
          <w:rFonts w:ascii="Century Gothic" w:hAnsi="Century Gothic" w:cs="Arial"/>
          <w:color w:val="000000" w:themeColor="text1"/>
          <w:sz w:val="18"/>
          <w:szCs w:val="18"/>
        </w:rPr>
      </w:pPr>
      <w:r w:rsidRPr="00981899">
        <w:rPr>
          <w:rStyle w:val="FootnoteReference"/>
          <w:rFonts w:ascii="Century Gothic" w:hAnsi="Century Gothic" w:cs="Arial"/>
          <w:color w:val="000000" w:themeColor="text1"/>
          <w:sz w:val="18"/>
          <w:szCs w:val="18"/>
        </w:rPr>
        <w:footnoteRef/>
      </w:r>
      <w:r w:rsidRPr="00981899">
        <w:rPr>
          <w:rFonts w:ascii="Century Gothic" w:hAnsi="Century Gothic" w:cs="Arial"/>
          <w:color w:val="000000" w:themeColor="text1"/>
          <w:sz w:val="18"/>
          <w:szCs w:val="18"/>
        </w:rPr>
        <w:t xml:space="preserve"> Consejo de Estado. Sala de Consulta y Servicio Civil. Concepto del 27 de agosto de 1998, radicación No. 1.127, M.P. Javier Henao Hidrón; y concepto del 6 de abril de 2000. Radicación No. 1.263, M.P. Flavio Augusto Rodriguez Arce</w:t>
      </w:r>
    </w:p>
    <w:p w14:paraId="7EEFE8EC" w14:textId="77777777" w:rsidR="00AA1E7C" w:rsidRPr="00981899" w:rsidRDefault="00AA1E7C" w:rsidP="00AA1E7C">
      <w:pPr>
        <w:pStyle w:val="FootnoteText"/>
        <w:ind w:firstLine="709"/>
        <w:jc w:val="both"/>
        <w:rPr>
          <w:rFonts w:ascii="Century Gothic" w:hAnsi="Century Gothic" w:cs="Arial"/>
          <w:color w:val="000000" w:themeColor="text1"/>
          <w:sz w:val="18"/>
          <w:szCs w:val="18"/>
        </w:rPr>
      </w:pPr>
    </w:p>
  </w:footnote>
  <w:footnote w:id="11">
    <w:p w14:paraId="54C7B37F" w14:textId="77777777" w:rsidR="00AA1E7C" w:rsidRPr="00981899" w:rsidRDefault="00AA1E7C" w:rsidP="00AA1E7C">
      <w:pPr>
        <w:pStyle w:val="FootnoteText"/>
        <w:ind w:firstLine="709"/>
        <w:jc w:val="both"/>
        <w:rPr>
          <w:rFonts w:ascii="Century Gothic" w:hAnsi="Century Gothic" w:cs="Arial"/>
          <w:color w:val="000000" w:themeColor="text1"/>
          <w:sz w:val="18"/>
          <w:szCs w:val="18"/>
        </w:rPr>
      </w:pPr>
      <w:r w:rsidRPr="00981899">
        <w:rPr>
          <w:rStyle w:val="FootnoteReference"/>
          <w:rFonts w:ascii="Century Gothic" w:hAnsi="Century Gothic" w:cs="Arial"/>
          <w:color w:val="000000" w:themeColor="text1"/>
          <w:sz w:val="18"/>
          <w:szCs w:val="18"/>
        </w:rPr>
        <w:footnoteRef/>
      </w:r>
      <w:r w:rsidRPr="00981899">
        <w:rPr>
          <w:rFonts w:ascii="Century Gothic" w:hAnsi="Century Gothic" w:cs="Arial"/>
          <w:color w:val="000000" w:themeColor="text1"/>
          <w:sz w:val="18"/>
          <w:szCs w:val="18"/>
        </w:rPr>
        <w:t xml:space="preserve"> Ministerio de Salud y la Protección Social. Concepto del 16 de agosto de 2019. Expediente No. 201942301304712. </w:t>
      </w:r>
    </w:p>
    <w:p w14:paraId="0C3E0274" w14:textId="77777777" w:rsidR="00AA1E7C" w:rsidRPr="00981899" w:rsidRDefault="00AA1E7C" w:rsidP="00AA1E7C">
      <w:pPr>
        <w:pStyle w:val="FootnoteText"/>
        <w:ind w:firstLine="709"/>
        <w:jc w:val="both"/>
        <w:rPr>
          <w:rFonts w:ascii="Century Gothic" w:hAnsi="Century Gothic" w:cs="Arial"/>
          <w:color w:val="000000" w:themeColor="text1"/>
          <w:sz w:val="18"/>
          <w:szCs w:val="18"/>
        </w:rPr>
      </w:pPr>
    </w:p>
  </w:footnote>
  <w:footnote w:id="12">
    <w:p w14:paraId="41F0E486" w14:textId="77777777" w:rsidR="00AA1E7C" w:rsidRPr="00981899" w:rsidRDefault="00AA1E7C" w:rsidP="00AA1E7C">
      <w:pPr>
        <w:pStyle w:val="FootnoteText"/>
        <w:ind w:firstLine="709"/>
        <w:jc w:val="both"/>
        <w:rPr>
          <w:rFonts w:ascii="Century Gothic" w:hAnsi="Century Gothic" w:cs="Arial"/>
          <w:color w:val="000000" w:themeColor="text1"/>
          <w:sz w:val="18"/>
          <w:szCs w:val="18"/>
          <w:lang w:val="es-ES"/>
        </w:rPr>
      </w:pPr>
      <w:r w:rsidRPr="00981899">
        <w:rPr>
          <w:rStyle w:val="FootnoteReference"/>
          <w:rFonts w:ascii="Century Gothic" w:hAnsi="Century Gothic" w:cs="Arial"/>
          <w:color w:val="000000" w:themeColor="text1"/>
          <w:sz w:val="18"/>
          <w:szCs w:val="18"/>
        </w:rPr>
        <w:footnoteRef/>
      </w:r>
      <w:r w:rsidRPr="00981899">
        <w:rPr>
          <w:rFonts w:ascii="Century Gothic" w:hAnsi="Century Gothic" w:cs="Arial"/>
          <w:color w:val="000000" w:themeColor="text1"/>
          <w:sz w:val="18"/>
          <w:szCs w:val="18"/>
        </w:rPr>
        <w:t xml:space="preserve"> </w:t>
      </w:r>
      <w:r w:rsidRPr="00981899">
        <w:rPr>
          <w:rFonts w:ascii="Century Gothic" w:hAnsi="Century Gothic" w:cs="Arial"/>
          <w:color w:val="000000" w:themeColor="text1"/>
          <w:sz w:val="18"/>
          <w:szCs w:val="18"/>
          <w:lang w:val="es-ES"/>
        </w:rPr>
        <w:t>Consejo de Estado. Sección Tercera. Subsección “C”. Providencia del 8 de abril de 2014. Expediente No. 25801. C.P. Enrique Gil Botero.</w:t>
      </w:r>
    </w:p>
  </w:footnote>
  <w:footnote w:id="13">
    <w:p w14:paraId="517BADFD" w14:textId="77777777" w:rsidR="00AA1E7C" w:rsidRPr="00981899" w:rsidRDefault="00AA1E7C" w:rsidP="00AA1E7C">
      <w:pPr>
        <w:pStyle w:val="FootnoteText"/>
        <w:ind w:firstLine="708"/>
        <w:jc w:val="both"/>
        <w:rPr>
          <w:rFonts w:ascii="Century Gothic" w:hAnsi="Century Gothic" w:cs="Arial"/>
          <w:color w:val="000000" w:themeColor="text1"/>
          <w:sz w:val="18"/>
          <w:szCs w:val="18"/>
        </w:rPr>
      </w:pPr>
      <w:r w:rsidRPr="00981899">
        <w:rPr>
          <w:rStyle w:val="FootnoteReference"/>
          <w:rFonts w:ascii="Century Gothic" w:hAnsi="Century Gothic" w:cs="Arial"/>
          <w:color w:val="000000" w:themeColor="text1"/>
          <w:sz w:val="18"/>
          <w:szCs w:val="18"/>
        </w:rPr>
        <w:footnoteRef/>
      </w:r>
      <w:r w:rsidRPr="00981899">
        <w:rPr>
          <w:rFonts w:ascii="Century Gothic" w:hAnsi="Century Gothic" w:cs="Arial"/>
          <w:color w:val="000000" w:themeColor="text1"/>
          <w:sz w:val="18"/>
          <w:szCs w:val="18"/>
        </w:rPr>
        <w:t xml:space="preserve"> HINESTROSA FORERO, Fernando. Tratado de las Obligaciones II. De las fuentes de las obligaciones: el negocio jurídico. Volumen I. Bogotá: Universidad Externado de Colombia, 2015. p. 116.  </w:t>
      </w:r>
    </w:p>
  </w:footnote>
  <w:footnote w:id="14">
    <w:p w14:paraId="10CE9D6D" w14:textId="77777777" w:rsidR="00AA1E7C" w:rsidRPr="00981899" w:rsidRDefault="00AA1E7C" w:rsidP="00AA1E7C">
      <w:pPr>
        <w:pStyle w:val="FootnoteText"/>
        <w:ind w:firstLine="708"/>
        <w:jc w:val="both"/>
        <w:rPr>
          <w:rFonts w:ascii="Century Gothic" w:hAnsi="Century Gothic" w:cs="Arial"/>
          <w:sz w:val="18"/>
          <w:szCs w:val="18"/>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Cfr. Colombia Compra Eficiente. Subdirección de Gestión Contractual. Concepto C-362 del 3 de julio de 2020. Pág. 9.</w:t>
      </w:r>
    </w:p>
    <w:p w14:paraId="617A2242" w14:textId="77777777" w:rsidR="00AA1E7C" w:rsidRPr="00981899" w:rsidRDefault="00AA1E7C" w:rsidP="00AA1E7C">
      <w:pPr>
        <w:pStyle w:val="FootnoteText"/>
        <w:ind w:firstLine="708"/>
        <w:jc w:val="both"/>
        <w:rPr>
          <w:rFonts w:ascii="Century Gothic" w:hAnsi="Century Gothic" w:cs="Arial"/>
          <w:sz w:val="18"/>
          <w:szCs w:val="18"/>
        </w:rPr>
      </w:pPr>
    </w:p>
  </w:footnote>
  <w:footnote w:id="15">
    <w:p w14:paraId="258118A4" w14:textId="77777777" w:rsidR="00AA1E7C" w:rsidRPr="00E94744" w:rsidRDefault="00AA1E7C" w:rsidP="00AA1E7C">
      <w:pPr>
        <w:pStyle w:val="FootnoteText"/>
        <w:ind w:firstLine="708"/>
        <w:jc w:val="both"/>
        <w:rPr>
          <w:rFonts w:ascii="Century Gothic" w:hAnsi="Century Gothic" w:cs="Arial"/>
          <w:sz w:val="14"/>
          <w:szCs w:val="14"/>
        </w:rPr>
      </w:pPr>
      <w:r w:rsidRPr="00981899">
        <w:rPr>
          <w:rStyle w:val="FootnoteReference"/>
          <w:rFonts w:ascii="Century Gothic" w:hAnsi="Century Gothic" w:cs="Arial"/>
          <w:sz w:val="18"/>
          <w:szCs w:val="18"/>
        </w:rPr>
        <w:footnoteRef/>
      </w:r>
      <w:r w:rsidRPr="00981899">
        <w:rPr>
          <w:rFonts w:ascii="Century Gothic" w:hAnsi="Century Gothic" w:cs="Arial"/>
          <w:sz w:val="18"/>
          <w:szCs w:val="18"/>
        </w:rPr>
        <w:t xml:space="preserve"> Ibíd.</w:t>
      </w:r>
      <w:r w:rsidRPr="00E94744">
        <w:rPr>
          <w:rFonts w:ascii="Century Gothic" w:hAnsi="Century Gothic"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Header"/>
    </w:pPr>
    <w:r>
      <w:rPr>
        <w:noProof/>
        <w:lang w:eastAsia="es-CO"/>
      </w:rPr>
      <w:drawing>
        <wp:anchor distT="0" distB="0" distL="114300" distR="114300" simplePos="0" relativeHeight="251659264"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Header"/>
    </w:pPr>
  </w:p>
  <w:p w14:paraId="1BE2B9AE" w14:textId="4B94DB3B" w:rsidR="00756841" w:rsidRDefault="00756841">
    <w:pPr>
      <w:pStyle w:val="Header"/>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4F8"/>
    <w:multiLevelType w:val="multilevel"/>
    <w:tmpl w:val="092C36D0"/>
    <w:lvl w:ilvl="0">
      <w:start w:val="2"/>
      <w:numFmt w:val="decimal"/>
      <w:lvlText w:val="%1"/>
      <w:lvlJc w:val="left"/>
      <w:pPr>
        <w:ind w:left="360" w:hanging="360"/>
      </w:pPr>
      <w:rPr>
        <w:rFonts w:eastAsiaTheme="minorHAnsi" w:cstheme="minorBidi" w:hint="default"/>
      </w:rPr>
    </w:lvl>
    <w:lvl w:ilvl="1">
      <w:start w:val="3"/>
      <w:numFmt w:val="decimal"/>
      <w:lvlText w:val="%1.%2"/>
      <w:lvlJc w:val="left"/>
      <w:pPr>
        <w:ind w:left="360" w:hanging="36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92675D8"/>
    <w:multiLevelType w:val="multilevel"/>
    <w:tmpl w:val="4A74A406"/>
    <w:lvl w:ilvl="0">
      <w:start w:val="2"/>
      <w:numFmt w:val="decimal"/>
      <w:lvlText w:val="%1."/>
      <w:lvlJc w:val="left"/>
      <w:pPr>
        <w:ind w:left="360" w:hanging="360"/>
      </w:pPr>
      <w:rPr>
        <w:rFonts w:eastAsiaTheme="minorHAnsi" w:cstheme="minorBidi" w:hint="default"/>
      </w:rPr>
    </w:lvl>
    <w:lvl w:ilvl="1">
      <w:start w:val="3"/>
      <w:numFmt w:val="decimal"/>
      <w:lvlText w:val="%1.%2."/>
      <w:lvlJc w:val="left"/>
      <w:pPr>
        <w:ind w:left="720" w:hanging="720"/>
      </w:pPr>
      <w:rPr>
        <w:rFonts w:eastAsiaTheme="minorHAnsi" w:cstheme="minorBidi" w:hint="default"/>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1080" w:hanging="108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440" w:hanging="144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800" w:hanging="180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num w:numId="1" w16cid:durableId="4981954">
    <w:abstractNumId w:val="4"/>
  </w:num>
  <w:num w:numId="2" w16cid:durableId="486676265">
    <w:abstractNumId w:val="2"/>
  </w:num>
  <w:num w:numId="3" w16cid:durableId="608313202">
    <w:abstractNumId w:val="3"/>
  </w:num>
  <w:num w:numId="4" w16cid:durableId="266743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2"/>
  </w:num>
  <w:num w:numId="6" w16cid:durableId="1200699721">
    <w:abstractNumId w:val="1"/>
  </w:num>
  <w:num w:numId="7" w16cid:durableId="599021641">
    <w:abstractNumId w:val="0"/>
  </w:num>
  <w:num w:numId="8" w16cid:durableId="371466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578F9"/>
    <w:rsid w:val="000A683E"/>
    <w:rsid w:val="000B19B9"/>
    <w:rsid w:val="000C280F"/>
    <w:rsid w:val="000D0334"/>
    <w:rsid w:val="000D1EDE"/>
    <w:rsid w:val="000E4714"/>
    <w:rsid w:val="000F6486"/>
    <w:rsid w:val="00125105"/>
    <w:rsid w:val="00127233"/>
    <w:rsid w:val="001E4177"/>
    <w:rsid w:val="00201043"/>
    <w:rsid w:val="002951A0"/>
    <w:rsid w:val="002962BC"/>
    <w:rsid w:val="002A093D"/>
    <w:rsid w:val="002A49AC"/>
    <w:rsid w:val="002A64FD"/>
    <w:rsid w:val="002C7A84"/>
    <w:rsid w:val="002D7505"/>
    <w:rsid w:val="003448F4"/>
    <w:rsid w:val="00390521"/>
    <w:rsid w:val="003A779E"/>
    <w:rsid w:val="003D0F4D"/>
    <w:rsid w:val="003E0499"/>
    <w:rsid w:val="003F3941"/>
    <w:rsid w:val="00400548"/>
    <w:rsid w:val="004368BC"/>
    <w:rsid w:val="00472FC9"/>
    <w:rsid w:val="00480FD5"/>
    <w:rsid w:val="004A1847"/>
    <w:rsid w:val="004A305D"/>
    <w:rsid w:val="004F21C4"/>
    <w:rsid w:val="004F27E7"/>
    <w:rsid w:val="004F685F"/>
    <w:rsid w:val="00533E8F"/>
    <w:rsid w:val="005566E8"/>
    <w:rsid w:val="00574867"/>
    <w:rsid w:val="005A6AA1"/>
    <w:rsid w:val="005B5D8B"/>
    <w:rsid w:val="005C5CDC"/>
    <w:rsid w:val="005D476C"/>
    <w:rsid w:val="0061504C"/>
    <w:rsid w:val="006219F8"/>
    <w:rsid w:val="00665D70"/>
    <w:rsid w:val="00706C16"/>
    <w:rsid w:val="00727370"/>
    <w:rsid w:val="00756841"/>
    <w:rsid w:val="00763C80"/>
    <w:rsid w:val="007649AB"/>
    <w:rsid w:val="007833AC"/>
    <w:rsid w:val="007A4441"/>
    <w:rsid w:val="007B7171"/>
    <w:rsid w:val="007C3DC2"/>
    <w:rsid w:val="007E5497"/>
    <w:rsid w:val="00806F5F"/>
    <w:rsid w:val="00820278"/>
    <w:rsid w:val="008843B6"/>
    <w:rsid w:val="00891928"/>
    <w:rsid w:val="008A446D"/>
    <w:rsid w:val="008F0EA7"/>
    <w:rsid w:val="00923EEF"/>
    <w:rsid w:val="009419F9"/>
    <w:rsid w:val="00961B09"/>
    <w:rsid w:val="00965334"/>
    <w:rsid w:val="0097093E"/>
    <w:rsid w:val="009C71FA"/>
    <w:rsid w:val="009C72E7"/>
    <w:rsid w:val="009E2CD3"/>
    <w:rsid w:val="00A17F13"/>
    <w:rsid w:val="00A20739"/>
    <w:rsid w:val="00A33C78"/>
    <w:rsid w:val="00AA1E7C"/>
    <w:rsid w:val="00AB0ADB"/>
    <w:rsid w:val="00AD5E99"/>
    <w:rsid w:val="00B72CD3"/>
    <w:rsid w:val="00B72FFF"/>
    <w:rsid w:val="00BD15D4"/>
    <w:rsid w:val="00BD2E7A"/>
    <w:rsid w:val="00BD7F72"/>
    <w:rsid w:val="00C04FB3"/>
    <w:rsid w:val="00C330EB"/>
    <w:rsid w:val="00C754BE"/>
    <w:rsid w:val="00CB6357"/>
    <w:rsid w:val="00CC1B26"/>
    <w:rsid w:val="00D423A2"/>
    <w:rsid w:val="00D63AC2"/>
    <w:rsid w:val="00D7383B"/>
    <w:rsid w:val="00DA231B"/>
    <w:rsid w:val="00E16408"/>
    <w:rsid w:val="00E20894"/>
    <w:rsid w:val="00E245AB"/>
    <w:rsid w:val="00E27D39"/>
    <w:rsid w:val="00E463F8"/>
    <w:rsid w:val="00E50AFE"/>
    <w:rsid w:val="00E771DC"/>
    <w:rsid w:val="00E8772A"/>
    <w:rsid w:val="00E90F6B"/>
    <w:rsid w:val="00E92C27"/>
    <w:rsid w:val="00EA0E3D"/>
    <w:rsid w:val="00EE1AA8"/>
    <w:rsid w:val="00F17039"/>
    <w:rsid w:val="00F204AB"/>
    <w:rsid w:val="00F31EDC"/>
    <w:rsid w:val="00F5664F"/>
    <w:rsid w:val="00F613A2"/>
    <w:rsid w:val="00F76AFC"/>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AA1E7C"/>
    <w:rPr>
      <w:rFonts w:ascii="Geomanist Light" w:hAnsi="Geomanist Light"/>
      <w:lang w:val="es-ES"/>
    </w:rPr>
  </w:style>
  <w:style w:type="paragraph" w:customStyle="1" w:styleId="Appelnotedebasde">
    <w:name w:val="Appel note de bas de..."/>
    <w:basedOn w:val="Normal"/>
    <w:link w:val="FootnoteReference"/>
    <w:uiPriority w:val="99"/>
    <w:rsid w:val="00AA1E7C"/>
    <w:pPr>
      <w:spacing w:line="240" w:lineRule="exact"/>
    </w:pPr>
    <w:rPr>
      <w:vertAlign w:val="superscript"/>
    </w:rPr>
  </w:style>
  <w:style w:type="paragraph" w:styleId="NoSpacing">
    <w:name w:val="No Spacing"/>
    <w:aliases w:val="No Indent"/>
    <w:uiPriority w:val="1"/>
    <w:qFormat/>
    <w:rsid w:val="00AA1E7C"/>
    <w:pPr>
      <w:spacing w:after="0" w:line="240" w:lineRule="auto"/>
    </w:pPr>
    <w:rPr>
      <w:rFonts w:eastAsiaTheme="minorEastAsia"/>
    </w:rPr>
  </w:style>
  <w:style w:type="paragraph" w:styleId="BodyText">
    <w:name w:val="Body Text"/>
    <w:basedOn w:val="Normal"/>
    <w:link w:val="BodyTextChar"/>
    <w:uiPriority w:val="1"/>
    <w:unhideWhenUsed/>
    <w:rsid w:val="00AA1E7C"/>
    <w:pPr>
      <w:widowControl w:val="0"/>
      <w:autoSpaceDE w:val="0"/>
      <w:autoSpaceDN w:val="0"/>
    </w:pPr>
    <w:rPr>
      <w:rFonts w:ascii="Arial" w:eastAsia="Arial" w:hAnsi="Arial" w:cs="Arial"/>
      <w:lang w:val="es-ES"/>
    </w:rPr>
  </w:style>
  <w:style w:type="character" w:customStyle="1" w:styleId="BodyTextChar">
    <w:name w:val="Body Text Char"/>
    <w:basedOn w:val="DefaultParagraphFont"/>
    <w:link w:val="BodyText"/>
    <w:uiPriority w:val="1"/>
    <w:rsid w:val="00AA1E7C"/>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rafaeljuridicacamu@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D68C6164-E260-4258-A006-995868E00A6E}"/>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5182</Words>
  <Characters>29540</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22</cp:revision>
  <cp:lastPrinted>2023-01-10T21:18:00Z</cp:lastPrinted>
  <dcterms:created xsi:type="dcterms:W3CDTF">2024-04-24T01:50:00Z</dcterms:created>
  <dcterms:modified xsi:type="dcterms:W3CDTF">2024-04-24T01:53:00Z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