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36CA" w14:textId="77777777" w:rsidR="00652E72" w:rsidRPr="008546B4" w:rsidRDefault="00652E72" w:rsidP="00652E72">
      <w:pPr>
        <w:spacing w:after="0"/>
        <w:jc w:val="both"/>
        <w:rPr>
          <w:rFonts w:ascii="Verdana" w:eastAsia="Calibri" w:hAnsi="Verdana" w:cs="Arial"/>
          <w:b/>
        </w:rPr>
      </w:pPr>
      <w:r w:rsidRPr="008546B4">
        <w:rPr>
          <w:rFonts w:ascii="Verdana" w:eastAsia="Calibri" w:hAnsi="Verdana" w:cs="Arial"/>
          <w:b/>
        </w:rPr>
        <w:t xml:space="preserve">SANEAMIENTO DEL CONTRATO </w:t>
      </w:r>
      <w:r>
        <w:rPr>
          <w:rFonts w:ascii="Verdana" w:eastAsia="Calibri" w:hAnsi="Verdana" w:cs="Arial"/>
          <w:b/>
        </w:rPr>
        <w:t>–</w:t>
      </w:r>
      <w:r w:rsidRPr="008546B4">
        <w:rPr>
          <w:rFonts w:ascii="Verdana" w:eastAsia="Calibri" w:hAnsi="Verdana" w:cs="Arial"/>
          <w:b/>
        </w:rPr>
        <w:t xml:space="preserve"> </w:t>
      </w:r>
      <w:r>
        <w:rPr>
          <w:rFonts w:ascii="Verdana" w:eastAsia="Calibri" w:hAnsi="Verdana" w:cs="Arial"/>
          <w:b/>
        </w:rPr>
        <w:t>Autorización de la ley – Corrección de errores - Requisitos para su procedencia</w:t>
      </w:r>
    </w:p>
    <w:p w14:paraId="49E5C23E" w14:textId="77777777" w:rsidR="00652E72" w:rsidRPr="008546B4" w:rsidRDefault="00652E72" w:rsidP="00652E72">
      <w:pPr>
        <w:spacing w:after="0"/>
        <w:jc w:val="both"/>
        <w:rPr>
          <w:rFonts w:ascii="Verdana" w:eastAsia="Calibri" w:hAnsi="Verdana" w:cs="Arial"/>
          <w:bCs/>
        </w:rPr>
      </w:pPr>
    </w:p>
    <w:p w14:paraId="0E599CB8" w14:textId="77777777" w:rsidR="00652E72" w:rsidRDefault="00652E72" w:rsidP="00652E72">
      <w:pPr>
        <w:spacing w:after="0"/>
        <w:jc w:val="both"/>
        <w:rPr>
          <w:rFonts w:ascii="Verdana" w:eastAsia="Calibri" w:hAnsi="Verdana" w:cs="Arial"/>
          <w:bCs/>
        </w:rPr>
      </w:pPr>
      <w:r w:rsidRPr="008546B4">
        <w:rPr>
          <w:rFonts w:ascii="Verdana" w:eastAsia="Calibri" w:hAnsi="Verdana" w:cs="Arial"/>
          <w:bCs/>
        </w:rPr>
        <w:t>[…] la Ley 80 de 1993 otorga una autorización a las Entidades Estatales para que puedan remediar o corregir aquellos defectos o irregularidades de procedimiento o de forma que no constituyen causales de nulidad del contrato, a través de la figura del “saneamiento de los vicios de procedimiento o de forma” establecida en el artículo 49 […].</w:t>
      </w:r>
    </w:p>
    <w:p w14:paraId="1EDDEA4E" w14:textId="77777777" w:rsidR="00652E72" w:rsidRDefault="00652E72" w:rsidP="00652E72">
      <w:pPr>
        <w:spacing w:after="0"/>
        <w:jc w:val="both"/>
        <w:rPr>
          <w:rFonts w:ascii="Verdana" w:eastAsia="Calibri" w:hAnsi="Verdana" w:cs="Arial"/>
          <w:bCs/>
        </w:rPr>
      </w:pPr>
      <w:r>
        <w:rPr>
          <w:rFonts w:ascii="Verdana" w:eastAsia="Calibri" w:hAnsi="Verdana" w:cs="Arial"/>
          <w:bCs/>
        </w:rPr>
        <w:t>[…]</w:t>
      </w:r>
    </w:p>
    <w:p w14:paraId="4272734D" w14:textId="77777777" w:rsidR="00652E72" w:rsidRDefault="00652E72" w:rsidP="00652E72">
      <w:pPr>
        <w:spacing w:after="0"/>
        <w:jc w:val="both"/>
        <w:rPr>
          <w:rFonts w:ascii="Verdana" w:eastAsia="Calibri" w:hAnsi="Verdana" w:cs="Arial"/>
          <w:bCs/>
        </w:rPr>
      </w:pPr>
      <w:r w:rsidRPr="008546B4">
        <w:rPr>
          <w:rFonts w:ascii="Verdana" w:eastAsia="Calibri" w:hAnsi="Verdana" w:cs="Arial"/>
          <w:bCs/>
        </w:rPr>
        <w:t xml:space="preserve">Para la aplicación de lo anterior, se requiere el cumplimiento de los siguientes requisitos: i) el vicio a sanear tiene que ser de procedimiento o de forma, lo que significa que no es posible sanear a través de esta figura los vicios de fondo o sustanciales del acto o contrato, lo que lleva a </w:t>
      </w:r>
      <w:proofErr w:type="gramStart"/>
      <w:r w:rsidRPr="008546B4">
        <w:rPr>
          <w:rFonts w:ascii="Verdana" w:eastAsia="Calibri" w:hAnsi="Verdana" w:cs="Arial"/>
          <w:bCs/>
        </w:rPr>
        <w:t xml:space="preserve">que,  </w:t>
      </w:r>
      <w:proofErr w:type="spellStart"/>
      <w:r w:rsidRPr="008546B4">
        <w:rPr>
          <w:rFonts w:ascii="Verdana" w:eastAsia="Calibri" w:hAnsi="Verdana" w:cs="Arial"/>
          <w:bCs/>
        </w:rPr>
        <w:t>ii</w:t>
      </w:r>
      <w:proofErr w:type="spellEnd"/>
      <w:proofErr w:type="gramEnd"/>
      <w:r w:rsidRPr="008546B4">
        <w:rPr>
          <w:rFonts w:ascii="Verdana" w:eastAsia="Calibri" w:hAnsi="Verdana" w:cs="Arial"/>
          <w:bCs/>
        </w:rPr>
        <w:t xml:space="preserve">) el vicio a sanear no puede corresponder a  ninguna de las causales de nulidad absoluta o relativa de los contratos estatales, </w:t>
      </w:r>
      <w:proofErr w:type="spellStart"/>
      <w:r w:rsidRPr="008546B4">
        <w:rPr>
          <w:rFonts w:ascii="Verdana" w:eastAsia="Calibri" w:hAnsi="Verdana" w:cs="Arial"/>
          <w:bCs/>
        </w:rPr>
        <w:t>iii</w:t>
      </w:r>
      <w:proofErr w:type="spellEnd"/>
      <w:r w:rsidRPr="008546B4">
        <w:rPr>
          <w:rFonts w:ascii="Verdana" w:eastAsia="Calibri" w:hAnsi="Verdana" w:cs="Arial"/>
          <w:bCs/>
        </w:rPr>
        <w:t xml:space="preserve">) debe hacerse mediante acto administrativo motivado, </w:t>
      </w:r>
      <w:proofErr w:type="spellStart"/>
      <w:r w:rsidRPr="008546B4">
        <w:rPr>
          <w:rFonts w:ascii="Verdana" w:eastAsia="Calibri" w:hAnsi="Verdana" w:cs="Arial"/>
          <w:bCs/>
        </w:rPr>
        <w:t>iv</w:t>
      </w:r>
      <w:proofErr w:type="spellEnd"/>
      <w:r w:rsidRPr="008546B4">
        <w:rPr>
          <w:rFonts w:ascii="Verdana" w:eastAsia="Calibri" w:hAnsi="Verdana" w:cs="Arial"/>
          <w:bCs/>
        </w:rPr>
        <w:t>) el funcionario competente es el jefe o representante legal de la entidad y v) el saneamiento debe ocurrir cuando las necesidades del servicio lo exijan o a las reglas de la buena administración lo aconsejen.</w:t>
      </w:r>
    </w:p>
    <w:p w14:paraId="3BBE16F5" w14:textId="77777777" w:rsidR="00652E72" w:rsidRDefault="00652E72" w:rsidP="00652E72">
      <w:pPr>
        <w:spacing w:after="0"/>
        <w:jc w:val="both"/>
        <w:rPr>
          <w:rFonts w:ascii="Verdana" w:eastAsia="Calibri" w:hAnsi="Verdana" w:cs="Arial"/>
          <w:bCs/>
        </w:rPr>
      </w:pPr>
    </w:p>
    <w:p w14:paraId="06838182" w14:textId="77777777" w:rsidR="00652E72" w:rsidRPr="008546B4" w:rsidRDefault="00652E72" w:rsidP="00652E72">
      <w:pPr>
        <w:spacing w:after="0"/>
        <w:jc w:val="both"/>
        <w:rPr>
          <w:rFonts w:ascii="Verdana" w:eastAsia="Calibri" w:hAnsi="Verdana" w:cs="Arial"/>
          <w:b/>
        </w:rPr>
      </w:pPr>
      <w:r>
        <w:rPr>
          <w:rFonts w:ascii="Verdana" w:eastAsia="Calibri" w:hAnsi="Verdana" w:cs="Arial"/>
          <w:b/>
        </w:rPr>
        <w:t>NULIDAD DEL CONTRATO – Régimen aplicable – Derecho público – Derecho privado -</w:t>
      </w:r>
    </w:p>
    <w:p w14:paraId="7E0C1D28" w14:textId="77777777" w:rsidR="00652E72" w:rsidRPr="008546B4" w:rsidRDefault="00652E72" w:rsidP="00652E72">
      <w:pPr>
        <w:spacing w:after="0"/>
        <w:jc w:val="both"/>
        <w:rPr>
          <w:rFonts w:ascii="Verdana" w:eastAsia="Calibri" w:hAnsi="Verdana" w:cs="Arial"/>
          <w:bCs/>
        </w:rPr>
      </w:pPr>
    </w:p>
    <w:p w14:paraId="31C78BEE" w14:textId="77777777" w:rsidR="00652E72" w:rsidRDefault="00652E72" w:rsidP="00652E72">
      <w:pPr>
        <w:spacing w:after="0"/>
        <w:jc w:val="both"/>
        <w:rPr>
          <w:rFonts w:ascii="Verdana" w:eastAsia="Calibri" w:hAnsi="Verdana" w:cs="Arial"/>
          <w:bCs/>
        </w:rPr>
      </w:pPr>
      <w:r w:rsidRPr="008546B4">
        <w:rPr>
          <w:rFonts w:ascii="Verdana" w:eastAsia="Calibri" w:hAnsi="Verdana" w:cs="Arial"/>
          <w:bCs/>
        </w:rPr>
        <w:t>[…] el régimen de nulidades de los contratos estatales se encuentra regulado en el Estatuto General de Contratación de la Administración Pública, donde se establecen sus causales. Sin embargo, este integra, por remisión, las causales de nulidad del derecho civil y comercial. […].</w:t>
      </w:r>
    </w:p>
    <w:p w14:paraId="4F5001CD" w14:textId="77777777" w:rsidR="00652E72" w:rsidRDefault="00652E72" w:rsidP="00652E72">
      <w:pPr>
        <w:spacing w:after="0"/>
        <w:jc w:val="both"/>
        <w:rPr>
          <w:rFonts w:ascii="Verdana" w:eastAsia="Calibri" w:hAnsi="Verdana" w:cs="Arial"/>
          <w:bCs/>
        </w:rPr>
      </w:pPr>
      <w:r>
        <w:rPr>
          <w:rFonts w:ascii="Verdana" w:eastAsia="Calibri" w:hAnsi="Verdana" w:cs="Arial"/>
          <w:bCs/>
        </w:rPr>
        <w:t>[…]</w:t>
      </w:r>
    </w:p>
    <w:p w14:paraId="4B61F53B" w14:textId="77777777" w:rsidR="00652E72" w:rsidRDefault="00652E72" w:rsidP="00652E72">
      <w:pPr>
        <w:spacing w:after="0"/>
        <w:jc w:val="both"/>
        <w:rPr>
          <w:rFonts w:ascii="Verdana" w:eastAsia="Calibri" w:hAnsi="Verdana" w:cs="Arial"/>
          <w:bCs/>
        </w:rPr>
      </w:pPr>
      <w:r w:rsidRPr="008546B4">
        <w:rPr>
          <w:rFonts w:ascii="Verdana" w:eastAsia="Calibri" w:hAnsi="Verdana" w:cs="Arial"/>
          <w:bCs/>
        </w:rPr>
        <w:t xml:space="preserve">El Código Civil establece que “es nulo todo acto o contrato a que falta alguno de los requisitos que la ley prescribe para el valor del mismo acto o contrato según su especie y la calidad o estado de las partes” ,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 . De esta forma, en el derecho común se establecen como causales de nulidad: i) el objeto ilícito, </w:t>
      </w:r>
      <w:proofErr w:type="spellStart"/>
      <w:r w:rsidRPr="008546B4">
        <w:rPr>
          <w:rFonts w:ascii="Verdana" w:eastAsia="Calibri" w:hAnsi="Verdana" w:cs="Arial"/>
          <w:bCs/>
        </w:rPr>
        <w:t>ii</w:t>
      </w:r>
      <w:proofErr w:type="spellEnd"/>
      <w:r w:rsidRPr="008546B4">
        <w:rPr>
          <w:rFonts w:ascii="Verdana" w:eastAsia="Calibri" w:hAnsi="Verdana" w:cs="Arial"/>
          <w:bCs/>
        </w:rPr>
        <w:t xml:space="preserve">) la causa ilícita, </w:t>
      </w:r>
      <w:proofErr w:type="spellStart"/>
      <w:r w:rsidRPr="008546B4">
        <w:rPr>
          <w:rFonts w:ascii="Verdana" w:eastAsia="Calibri" w:hAnsi="Verdana" w:cs="Arial"/>
          <w:bCs/>
        </w:rPr>
        <w:t>iii</w:t>
      </w:r>
      <w:proofErr w:type="spellEnd"/>
      <w:r w:rsidRPr="008546B4">
        <w:rPr>
          <w:rFonts w:ascii="Verdana" w:eastAsia="Calibri" w:hAnsi="Verdana" w:cs="Arial"/>
          <w:bCs/>
        </w:rPr>
        <w:t xml:space="preserve">) omisión de las formas solemnes en su celebración, </w:t>
      </w:r>
      <w:proofErr w:type="spellStart"/>
      <w:r w:rsidRPr="008546B4">
        <w:rPr>
          <w:rFonts w:ascii="Verdana" w:eastAsia="Calibri" w:hAnsi="Verdana" w:cs="Arial"/>
          <w:bCs/>
        </w:rPr>
        <w:t>iv</w:t>
      </w:r>
      <w:proofErr w:type="spellEnd"/>
      <w:r w:rsidRPr="008546B4">
        <w:rPr>
          <w:rFonts w:ascii="Verdana" w:eastAsia="Calibri" w:hAnsi="Verdana" w:cs="Arial"/>
          <w:bCs/>
        </w:rPr>
        <w:t>) incapacidad absoluta de uno de los contratantes.</w:t>
      </w:r>
    </w:p>
    <w:p w14:paraId="0809B785" w14:textId="77777777" w:rsidR="00652E72" w:rsidRDefault="00652E72" w:rsidP="00652E72">
      <w:pPr>
        <w:spacing w:after="0"/>
        <w:jc w:val="both"/>
        <w:rPr>
          <w:rFonts w:ascii="Verdana" w:eastAsia="Calibri" w:hAnsi="Verdana" w:cs="Arial"/>
          <w:bCs/>
        </w:rPr>
      </w:pPr>
    </w:p>
    <w:p w14:paraId="77D2300C" w14:textId="77777777" w:rsidR="00652E72" w:rsidRPr="008546B4" w:rsidRDefault="00652E72" w:rsidP="00652E72">
      <w:pPr>
        <w:spacing w:after="0"/>
        <w:jc w:val="both"/>
        <w:rPr>
          <w:rFonts w:ascii="Verdana" w:eastAsia="Calibri" w:hAnsi="Verdana" w:cs="Arial"/>
          <w:b/>
        </w:rPr>
      </w:pPr>
      <w:r>
        <w:rPr>
          <w:rFonts w:ascii="Verdana" w:eastAsia="Calibri" w:hAnsi="Verdana" w:cs="Arial"/>
          <w:b/>
        </w:rPr>
        <w:t xml:space="preserve">NULIDAD DEL CONTRATO – Tipos </w:t>
      </w:r>
    </w:p>
    <w:p w14:paraId="558A282E" w14:textId="77777777" w:rsidR="00652E72" w:rsidRDefault="00652E72" w:rsidP="00652E72">
      <w:pPr>
        <w:spacing w:after="0"/>
        <w:jc w:val="both"/>
        <w:rPr>
          <w:rFonts w:ascii="Verdana" w:eastAsia="Calibri" w:hAnsi="Verdana" w:cs="Arial"/>
          <w:bCs/>
        </w:rPr>
      </w:pPr>
    </w:p>
    <w:p w14:paraId="3034553D" w14:textId="77777777" w:rsidR="00652E72" w:rsidRDefault="00652E72" w:rsidP="00652E72">
      <w:pPr>
        <w:spacing w:after="0"/>
        <w:jc w:val="both"/>
        <w:rPr>
          <w:rFonts w:ascii="Verdana" w:eastAsia="Calibri" w:hAnsi="Verdana" w:cs="Arial"/>
          <w:bCs/>
        </w:rPr>
      </w:pPr>
      <w:r>
        <w:rPr>
          <w:rFonts w:ascii="Verdana" w:eastAsia="Calibri" w:hAnsi="Verdana" w:cs="Arial"/>
          <w:bCs/>
        </w:rPr>
        <w:lastRenderedPageBreak/>
        <w:t xml:space="preserve">[…] </w:t>
      </w:r>
      <w:r w:rsidRPr="008546B4">
        <w:rPr>
          <w:rFonts w:ascii="Verdana" w:eastAsia="Calibri" w:hAnsi="Verdana" w:cs="Arial"/>
          <w:bCs/>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8546B4">
        <w:rPr>
          <w:rFonts w:ascii="Verdana" w:eastAsia="Calibri" w:hAnsi="Verdana" w:cs="Arial"/>
          <w:bCs/>
        </w:rPr>
        <w:t>ii</w:t>
      </w:r>
      <w:proofErr w:type="spellEnd"/>
      <w:r w:rsidRPr="008546B4">
        <w:rPr>
          <w:rFonts w:ascii="Verdana" w:eastAsia="Calibri" w:hAnsi="Verdana" w:cs="Arial"/>
          <w:bCs/>
        </w:rPr>
        <w:t xml:space="preserve">) se celebre contra expresa prohibición constitucional o legal, </w:t>
      </w:r>
      <w:proofErr w:type="spellStart"/>
      <w:r w:rsidRPr="008546B4">
        <w:rPr>
          <w:rFonts w:ascii="Verdana" w:eastAsia="Calibri" w:hAnsi="Verdana" w:cs="Arial"/>
          <w:bCs/>
        </w:rPr>
        <w:t>iii</w:t>
      </w:r>
      <w:proofErr w:type="spellEnd"/>
      <w:r w:rsidRPr="008546B4">
        <w:rPr>
          <w:rFonts w:ascii="Verdana" w:eastAsia="Calibri" w:hAnsi="Verdana" w:cs="Arial"/>
          <w:bCs/>
        </w:rPr>
        <w:t xml:space="preserve">) se celebre con abuso o desviación de poder, </w:t>
      </w:r>
      <w:proofErr w:type="spellStart"/>
      <w:r w:rsidRPr="008546B4">
        <w:rPr>
          <w:rFonts w:ascii="Verdana" w:eastAsia="Calibri" w:hAnsi="Verdana" w:cs="Arial"/>
          <w:bCs/>
        </w:rPr>
        <w:t>iv</w:t>
      </w:r>
      <w:proofErr w:type="spellEnd"/>
      <w:r w:rsidRPr="008546B4">
        <w:rPr>
          <w:rFonts w:ascii="Verdana" w:eastAsia="Calibri" w:hAnsi="Verdana" w:cs="Arial"/>
          <w:bCs/>
        </w:rPr>
        <w:t>) se declaren nulos los actos administrativos en que se fundamenten, v) se hubieren celebrado con desconocimiento de los criterios previstos para el tratamiento de ofertas nacionales y extranjeras o con violación de la reciprocidad</w:t>
      </w:r>
      <w:r>
        <w:rPr>
          <w:rFonts w:ascii="Verdana" w:eastAsia="Calibri" w:hAnsi="Verdana" w:cs="Arial"/>
          <w:bCs/>
        </w:rPr>
        <w:t>.</w:t>
      </w:r>
    </w:p>
    <w:p w14:paraId="62B6C78B" w14:textId="77777777" w:rsidR="00652E72" w:rsidRDefault="00652E72" w:rsidP="00652E72">
      <w:pPr>
        <w:spacing w:after="0"/>
        <w:jc w:val="both"/>
        <w:rPr>
          <w:rFonts w:ascii="Verdana" w:eastAsia="Calibri" w:hAnsi="Verdana" w:cs="Arial"/>
          <w:bCs/>
        </w:rPr>
      </w:pPr>
    </w:p>
    <w:p w14:paraId="19121D27" w14:textId="77777777" w:rsidR="00652E72" w:rsidRPr="008546B4" w:rsidRDefault="00652E72" w:rsidP="00652E72">
      <w:pPr>
        <w:spacing w:after="0"/>
        <w:jc w:val="both"/>
        <w:rPr>
          <w:rFonts w:ascii="Verdana" w:eastAsia="Calibri" w:hAnsi="Verdana" w:cs="Arial"/>
          <w:bCs/>
        </w:rPr>
      </w:pPr>
      <w:r w:rsidRPr="008546B4">
        <w:rPr>
          <w:rFonts w:ascii="Verdana" w:eastAsia="Calibri" w:hAnsi="Verdana" w:cs="Arial"/>
          <w:bCs/>
        </w:rPr>
        <w:t>En lo referente a la nulidad relativa, tanto la Ley 80 de 1993 como el Código Civil 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r>
        <w:rPr>
          <w:rFonts w:ascii="Verdana" w:eastAsia="Calibri" w:hAnsi="Verdana" w:cs="Arial"/>
          <w:bCs/>
        </w:rPr>
        <w:t xml:space="preserve"> […]</w:t>
      </w:r>
    </w:p>
    <w:p w14:paraId="0E948605" w14:textId="77777777" w:rsidR="000F4749" w:rsidRDefault="000F4749" w:rsidP="00AF3EA3">
      <w:pPr>
        <w:spacing w:after="0" w:line="240" w:lineRule="auto"/>
        <w:rPr>
          <w:rFonts w:ascii="Verdana" w:eastAsia="Aptos" w:hAnsi="Verdana" w:cs="Times New Roman"/>
          <w:sz w:val="20"/>
          <w:szCs w:val="20"/>
        </w:rPr>
      </w:pPr>
    </w:p>
    <w:p w14:paraId="0058FA47" w14:textId="2EB57F47" w:rsidR="000F4749" w:rsidRPr="00785737" w:rsidRDefault="00785737" w:rsidP="00AF3EA3">
      <w:pPr>
        <w:spacing w:after="0" w:line="240" w:lineRule="auto"/>
        <w:rPr>
          <w:rFonts w:ascii="Verdana" w:eastAsia="Aptos" w:hAnsi="Verdana" w:cs="Times New Roman"/>
          <w:b/>
          <w:bCs/>
        </w:rPr>
      </w:pPr>
      <w:r>
        <w:rPr>
          <w:rFonts w:ascii="Verdana" w:eastAsia="Aptos" w:hAnsi="Verdana" w:cs="Times New Roman"/>
          <w:b/>
          <w:bCs/>
        </w:rPr>
        <w:t>VALOR DEL CONTRATO ESTATAL – Diferencias – Suma que prevalece – Aplicabilidad derecho privado</w:t>
      </w:r>
    </w:p>
    <w:p w14:paraId="656B936E" w14:textId="77777777" w:rsidR="000F4749" w:rsidRDefault="000F4749" w:rsidP="00AF3EA3">
      <w:pPr>
        <w:spacing w:after="0" w:line="240" w:lineRule="auto"/>
        <w:rPr>
          <w:rFonts w:ascii="Verdana" w:eastAsia="Aptos" w:hAnsi="Verdana" w:cs="Times New Roman"/>
          <w:sz w:val="20"/>
          <w:szCs w:val="20"/>
        </w:rPr>
      </w:pPr>
    </w:p>
    <w:p w14:paraId="6356E3A6" w14:textId="7E4750C4" w:rsidR="00785737" w:rsidRPr="00785737" w:rsidRDefault="00785737" w:rsidP="00785737">
      <w:pPr>
        <w:spacing w:after="0" w:line="240" w:lineRule="auto"/>
        <w:jc w:val="both"/>
        <w:rPr>
          <w:rFonts w:ascii="Verdana" w:eastAsia="Aptos" w:hAnsi="Verdana" w:cs="Times New Roman"/>
          <w:sz w:val="20"/>
          <w:szCs w:val="20"/>
        </w:rPr>
      </w:pPr>
      <w:r>
        <w:rPr>
          <w:rFonts w:ascii="Verdana" w:eastAsia="Aptos" w:hAnsi="Verdana" w:cs="Times New Roman"/>
          <w:sz w:val="20"/>
          <w:szCs w:val="20"/>
        </w:rPr>
        <w:t xml:space="preserve">[…] </w:t>
      </w:r>
      <w:r w:rsidRPr="00785737">
        <w:rPr>
          <w:rFonts w:ascii="Verdana" w:eastAsia="Aptos" w:hAnsi="Verdana" w:cs="Times New Roman"/>
          <w:sz w:val="20"/>
          <w:szCs w:val="20"/>
        </w:rPr>
        <w:t>pese a que el referido estatuto no señala cómo han de solucionarse las divergencias que surjan entre las partes cuando existan diferencias entre el valor del contrato referenciado en letras y números, el Consejo de Estado en sentencia del 02 de septiembre de 2010, mediante un análisis hermeneútico jurídico indicó:”[…] cuando en un texto legal o contractual se quiere expresar un mismo valor o una misma suma en letras y números, presentándose diferencias y discordancias entre lo literal y lo numérico, debe primar el valor o la suma escrita en palabras, bajo el entendido de que resulta mucho menos probable que al escribirlas se presenten yerros o equivocaciones. Es precisamente por ello que el artículo 623 del Código de Comercio, al referirse a las diferencias que se pueden presentar en el importe de un título valor dispone: “Artículo 623. Diferencias en el título del importe escrito en cifras y en palabras – aparición de varias cifras. Si el importe del título aparece escrito a la vez en palabras y en cifras, valdrá, en caso de diferencia, la suma escrita en palabras”.</w:t>
      </w:r>
    </w:p>
    <w:p w14:paraId="176837E4" w14:textId="77777777" w:rsidR="00785737" w:rsidRPr="00785737" w:rsidRDefault="00785737" w:rsidP="00785737">
      <w:pPr>
        <w:spacing w:after="0" w:line="240" w:lineRule="auto"/>
        <w:jc w:val="both"/>
        <w:rPr>
          <w:rFonts w:ascii="Verdana" w:eastAsia="Aptos" w:hAnsi="Verdana" w:cs="Times New Roman"/>
          <w:sz w:val="20"/>
          <w:szCs w:val="20"/>
        </w:rPr>
      </w:pPr>
    </w:p>
    <w:p w14:paraId="09F31033" w14:textId="704FE854" w:rsidR="000F4749" w:rsidRDefault="00385E37" w:rsidP="00785737">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r w:rsidR="00785737" w:rsidRPr="00785737">
        <w:rPr>
          <w:rFonts w:ascii="Verdana" w:eastAsia="Aptos" w:hAnsi="Verdana" w:cs="Times New Roman"/>
          <w:sz w:val="20"/>
          <w:szCs w:val="20"/>
        </w:rPr>
        <w:t xml:space="preserve"> se colige que, la discrepancia entre la diferencia del valor del contrato escrito en letras y números, se resuelve bajo la aplicación de lo establecido en el artículo 623 del Código de Comercio, pues el artículo 13 de la Ley 80 de 1993 al señalar lo concerniente a la normatividad aplicable a los contratos estatales, permite que los contratos que celebren las Entidades Estatales no sólo se rijan por lo dispuesto en el Estatuto General de Contratación de la Administración Pública, sino también por las disposiciones comerciales y civiles pertinentes.</w:t>
      </w:r>
    </w:p>
    <w:p w14:paraId="296D7CEF" w14:textId="77777777" w:rsidR="000F4749" w:rsidRDefault="000F4749" w:rsidP="00AF3EA3">
      <w:pPr>
        <w:spacing w:after="0" w:line="240" w:lineRule="auto"/>
        <w:rPr>
          <w:rFonts w:ascii="Verdana" w:eastAsia="Aptos" w:hAnsi="Verdana" w:cs="Times New Roman"/>
          <w:sz w:val="20"/>
          <w:szCs w:val="20"/>
        </w:rPr>
      </w:pPr>
    </w:p>
    <w:p w14:paraId="112E507D" w14:textId="77777777" w:rsidR="000F4749" w:rsidRDefault="000F4749" w:rsidP="00AF3EA3">
      <w:pPr>
        <w:spacing w:after="0" w:line="240" w:lineRule="auto"/>
        <w:rPr>
          <w:rFonts w:ascii="Verdana" w:eastAsia="Aptos" w:hAnsi="Verdana" w:cs="Times New Roman"/>
          <w:sz w:val="20"/>
          <w:szCs w:val="20"/>
        </w:rPr>
      </w:pPr>
    </w:p>
    <w:p w14:paraId="5EA257B7" w14:textId="77777777" w:rsidR="00331DEB" w:rsidRPr="00331DEB" w:rsidRDefault="00331DEB" w:rsidP="00331DEB">
      <w:pPr>
        <w:spacing w:after="0" w:line="240" w:lineRule="auto"/>
        <w:rPr>
          <w:rFonts w:ascii="Verdana" w:eastAsia="Geomanist Light" w:hAnsi="Verdana" w:cs="Arial"/>
          <w:lang w:val="es-MX"/>
        </w:rPr>
      </w:pPr>
      <w:r w:rsidRPr="00331DEB">
        <w:rPr>
          <w:rFonts w:ascii="Verdana" w:eastAsia="Geomanist Light" w:hAnsi="Verdana" w:cs="Arial"/>
          <w:lang w:val="es-MX"/>
        </w:rPr>
        <w:lastRenderedPageBreak/>
        <w:t>Bogotá D.C., [Día] de [</w:t>
      </w:r>
      <w:proofErr w:type="spellStart"/>
      <w:r w:rsidRPr="00331DEB">
        <w:rPr>
          <w:rFonts w:ascii="Verdana" w:eastAsia="Geomanist Light" w:hAnsi="Verdana" w:cs="Arial"/>
          <w:lang w:val="es-MX"/>
        </w:rPr>
        <w:t>Mes.NombreCapitalizado</w:t>
      </w:r>
      <w:proofErr w:type="spellEnd"/>
      <w:r w:rsidRPr="00331DEB">
        <w:rPr>
          <w:rFonts w:ascii="Verdana" w:eastAsia="Geomanist Light" w:hAnsi="Verdana" w:cs="Arial"/>
          <w:lang w:val="es-MX"/>
        </w:rPr>
        <w:t>] de [Año]</w:t>
      </w:r>
    </w:p>
    <w:p w14:paraId="150BEFDC" w14:textId="77777777" w:rsidR="00331DEB" w:rsidRPr="00331DEB" w:rsidRDefault="00331DEB" w:rsidP="00331DEB">
      <w:pPr>
        <w:spacing w:after="0" w:line="240" w:lineRule="auto"/>
        <w:jc w:val="both"/>
        <w:rPr>
          <w:rFonts w:ascii="Verdana" w:eastAsia="Calibri" w:hAnsi="Verdana" w:cs="Arial"/>
          <w:lang w:val="es-ES"/>
        </w:rPr>
      </w:pPr>
    </w:p>
    <w:p w14:paraId="05FD7F60" w14:textId="02C7EAA2" w:rsidR="00331DEB" w:rsidRPr="00331DEB" w:rsidRDefault="00323541" w:rsidP="00331DEB">
      <w:pPr>
        <w:spacing w:after="0" w:line="240" w:lineRule="auto"/>
        <w:jc w:val="right"/>
        <w:rPr>
          <w:rFonts w:ascii="Verdana" w:eastAsia="Calibri" w:hAnsi="Verdana" w:cs="Arial"/>
          <w:lang w:val="es-ES"/>
        </w:rPr>
      </w:pPr>
      <w:r w:rsidRPr="00323541">
        <w:rPr>
          <w:rFonts w:ascii="Verdana" w:eastAsia="Calibri" w:hAnsi="Verdana" w:cs="Arial"/>
          <w:lang w:val="es-ES"/>
        </w:rPr>
        <w:drawing>
          <wp:inline distT="0" distB="0" distL="0" distR="0" wp14:anchorId="4A80F7E8" wp14:editId="50B35BD2">
            <wp:extent cx="3286584" cy="933580"/>
            <wp:effectExtent l="0" t="0" r="9525" b="0"/>
            <wp:docPr id="1295870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870053" name=""/>
                    <pic:cNvPicPr/>
                  </pic:nvPicPr>
                  <pic:blipFill>
                    <a:blip r:embed="rId10"/>
                    <a:stretch>
                      <a:fillRect/>
                    </a:stretch>
                  </pic:blipFill>
                  <pic:spPr>
                    <a:xfrm>
                      <a:off x="0" y="0"/>
                      <a:ext cx="3286584" cy="933580"/>
                    </a:xfrm>
                    <a:prstGeom prst="rect">
                      <a:avLst/>
                    </a:prstGeom>
                  </pic:spPr>
                </pic:pic>
              </a:graphicData>
            </a:graphic>
          </wp:inline>
        </w:drawing>
      </w:r>
    </w:p>
    <w:p w14:paraId="690C3F0B" w14:textId="77777777" w:rsidR="00331DEB" w:rsidRPr="00331DEB" w:rsidRDefault="00331DEB" w:rsidP="00331DEB">
      <w:pPr>
        <w:spacing w:after="0" w:line="240" w:lineRule="auto"/>
        <w:jc w:val="both"/>
        <w:rPr>
          <w:rFonts w:ascii="Verdana" w:eastAsia="Calibri" w:hAnsi="Verdana" w:cs="Arial"/>
          <w:lang w:val="es-ES" w:eastAsia="es-ES"/>
        </w:rPr>
      </w:pPr>
      <w:r w:rsidRPr="00331DEB">
        <w:rPr>
          <w:rFonts w:ascii="Verdana" w:eastAsia="Calibri" w:hAnsi="Verdana" w:cs="Arial"/>
          <w:lang w:val="es-ES" w:eastAsia="es-ES"/>
        </w:rPr>
        <w:t>Señor</w:t>
      </w:r>
    </w:p>
    <w:p w14:paraId="15DB798B" w14:textId="77777777" w:rsidR="00331DEB" w:rsidRPr="00331DEB" w:rsidRDefault="00331DEB" w:rsidP="00331DEB">
      <w:pPr>
        <w:spacing w:after="0" w:line="240" w:lineRule="auto"/>
        <w:rPr>
          <w:rFonts w:ascii="Verdana" w:eastAsia="Calibri" w:hAnsi="Verdana" w:cs="Arial"/>
          <w:b/>
          <w:lang w:val="es-ES_tradnl" w:eastAsia="es-ES_tradnl"/>
        </w:rPr>
      </w:pPr>
      <w:r w:rsidRPr="00331DEB">
        <w:rPr>
          <w:rFonts w:ascii="Verdana" w:eastAsia="Calibri" w:hAnsi="Verdana" w:cs="Arial"/>
          <w:b/>
          <w:lang w:val="es-ES_tradnl" w:eastAsia="es-ES_tradnl"/>
        </w:rPr>
        <w:t>Juan José Rodríguez Silva</w:t>
      </w:r>
    </w:p>
    <w:p w14:paraId="1FD2763B" w14:textId="77777777" w:rsidR="00331DEB" w:rsidRPr="00331DEB" w:rsidRDefault="00331DEB" w:rsidP="00331DEB">
      <w:pPr>
        <w:spacing w:after="0" w:line="240" w:lineRule="auto"/>
        <w:rPr>
          <w:rFonts w:ascii="Verdana" w:eastAsia="Aptos" w:hAnsi="Verdana" w:cs="Times New Roman"/>
        </w:rPr>
      </w:pPr>
      <w:hyperlink r:id="rId11" w:history="1">
        <w:r w:rsidRPr="00331DEB">
          <w:rPr>
            <w:rFonts w:ascii="Verdana" w:eastAsia="Aptos" w:hAnsi="Verdana" w:cs="Times New Roman"/>
            <w:color w:val="0000FF"/>
            <w:u w:val="single"/>
          </w:rPr>
          <w:t>jota.94.rs@gmail.com</w:t>
        </w:r>
      </w:hyperlink>
      <w:r w:rsidRPr="00331DEB">
        <w:rPr>
          <w:rFonts w:ascii="Verdana" w:eastAsia="Aptos" w:hAnsi="Verdana" w:cs="Times New Roman"/>
        </w:rPr>
        <w:t xml:space="preserve"> </w:t>
      </w:r>
    </w:p>
    <w:p w14:paraId="680E79C4" w14:textId="77777777" w:rsidR="00331DEB" w:rsidRPr="00331DEB" w:rsidRDefault="00331DEB" w:rsidP="00331DEB">
      <w:pPr>
        <w:spacing w:after="0" w:line="240" w:lineRule="auto"/>
        <w:rPr>
          <w:rFonts w:ascii="Verdana" w:eastAsia="Calibri" w:hAnsi="Verdana" w:cs="Arial"/>
          <w:b/>
          <w:bCs/>
          <w:lang w:val="es-ES_tradnl" w:eastAsia="es-ES_tradnl"/>
        </w:rPr>
      </w:pPr>
      <w:r w:rsidRPr="00331DEB">
        <w:rPr>
          <w:rFonts w:ascii="Verdana" w:eastAsia="Calibri" w:hAnsi="Verdana" w:cs="Arial"/>
          <w:lang w:val="es-ES" w:eastAsia="es-ES"/>
        </w:rPr>
        <w:t>Neiva, Huila</w:t>
      </w:r>
    </w:p>
    <w:p w14:paraId="0E624739" w14:textId="77777777" w:rsidR="00331DEB" w:rsidRPr="00331DEB" w:rsidRDefault="00331DEB" w:rsidP="00331DEB">
      <w:pPr>
        <w:spacing w:after="0" w:line="240" w:lineRule="auto"/>
        <w:rPr>
          <w:rFonts w:ascii="Verdana" w:eastAsia="Calibri" w:hAnsi="Verdana" w:cs="Arial"/>
          <w:b/>
          <w:bCs/>
          <w:lang w:val="es-ES_tradnl" w:eastAsia="es-ES_tradnl"/>
        </w:rPr>
      </w:pPr>
    </w:p>
    <w:tbl>
      <w:tblPr>
        <w:tblStyle w:val="Tablaconcuadrcula1"/>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31DEB" w:rsidRPr="00331DEB" w14:paraId="1D4AFE06" w14:textId="77777777" w:rsidTr="00331DEB">
        <w:trPr>
          <w:trHeight w:val="884"/>
        </w:trPr>
        <w:tc>
          <w:tcPr>
            <w:tcW w:w="2689" w:type="dxa"/>
          </w:tcPr>
          <w:p w14:paraId="6B530236" w14:textId="77777777" w:rsidR="00331DEB" w:rsidRPr="00331DEB" w:rsidRDefault="00331DEB" w:rsidP="00331DEB">
            <w:pPr>
              <w:spacing w:line="240" w:lineRule="auto"/>
              <w:jc w:val="both"/>
              <w:rPr>
                <w:rFonts w:ascii="Verdana" w:hAnsi="Verdana" w:cs="Arial"/>
                <w:b/>
                <w:bCs/>
                <w:lang w:val="es-ES_tradnl" w:eastAsia="es-ES_tradnl"/>
              </w:rPr>
            </w:pPr>
          </w:p>
        </w:tc>
        <w:tc>
          <w:tcPr>
            <w:tcW w:w="6100" w:type="dxa"/>
            <w:hideMark/>
          </w:tcPr>
          <w:p w14:paraId="6A88CDC5" w14:textId="77777777" w:rsidR="00331DEB" w:rsidRPr="00331DEB" w:rsidRDefault="00331DEB" w:rsidP="00331DEB">
            <w:pPr>
              <w:spacing w:line="240" w:lineRule="auto"/>
              <w:jc w:val="both"/>
              <w:rPr>
                <w:rFonts w:ascii="Verdana" w:hAnsi="Verdana" w:cs="Arial"/>
                <w:b/>
                <w:bCs/>
                <w:lang w:val="es-ES" w:eastAsia="es-ES"/>
              </w:rPr>
            </w:pPr>
            <w:r w:rsidRPr="00331DEB">
              <w:rPr>
                <w:rFonts w:ascii="Verdana" w:hAnsi="Verdana" w:cs="Arial"/>
                <w:b/>
                <w:bCs/>
                <w:lang w:val="es-ES" w:eastAsia="es-ES"/>
              </w:rPr>
              <w:t>Concepto C-041 de 2025</w:t>
            </w:r>
          </w:p>
        </w:tc>
      </w:tr>
      <w:tr w:rsidR="00331DEB" w:rsidRPr="00331DEB" w14:paraId="27E726D7" w14:textId="77777777" w:rsidTr="00331DEB">
        <w:trPr>
          <w:trHeight w:val="884"/>
        </w:trPr>
        <w:tc>
          <w:tcPr>
            <w:tcW w:w="2689" w:type="dxa"/>
            <w:hideMark/>
          </w:tcPr>
          <w:p w14:paraId="60FFDE88" w14:textId="77777777" w:rsidR="00331DEB" w:rsidRPr="00331DEB" w:rsidRDefault="00331DEB" w:rsidP="00331DEB">
            <w:pPr>
              <w:spacing w:line="240" w:lineRule="auto"/>
              <w:jc w:val="both"/>
              <w:rPr>
                <w:rFonts w:ascii="Verdana" w:hAnsi="Verdana" w:cs="Arial"/>
                <w:lang w:val="es-ES_tradnl" w:eastAsia="es-ES_tradnl"/>
              </w:rPr>
            </w:pPr>
            <w:r w:rsidRPr="00331DEB">
              <w:rPr>
                <w:rFonts w:ascii="Verdana" w:hAnsi="Verdana" w:cs="Arial"/>
                <w:b/>
                <w:lang w:val="es-ES_tradnl" w:eastAsia="es-ES_tradnl"/>
              </w:rPr>
              <w:t>Temas:</w:t>
            </w:r>
            <w:r w:rsidRPr="00331DEB">
              <w:rPr>
                <w:rFonts w:ascii="Verdana" w:hAnsi="Verdana" w:cs="Arial"/>
                <w:lang w:val="es-ES_tradnl" w:eastAsia="es-ES_tradnl"/>
              </w:rPr>
              <w:t xml:space="preserve">                   </w:t>
            </w:r>
          </w:p>
        </w:tc>
        <w:tc>
          <w:tcPr>
            <w:tcW w:w="6100" w:type="dxa"/>
          </w:tcPr>
          <w:p w14:paraId="5308E3A4" w14:textId="60B32C35" w:rsidR="00331DEB" w:rsidRPr="00331DEB" w:rsidRDefault="00331DEB" w:rsidP="00331DEB">
            <w:pPr>
              <w:spacing w:line="276" w:lineRule="auto"/>
              <w:jc w:val="both"/>
              <w:rPr>
                <w:rFonts w:ascii="Verdana" w:hAnsi="Verdana" w:cs="Arial"/>
                <w:lang w:val="es-ES" w:eastAsia="es-ES"/>
              </w:rPr>
            </w:pPr>
            <w:r w:rsidRPr="00331DEB">
              <w:rPr>
                <w:rFonts w:ascii="Verdana" w:hAnsi="Verdana" w:cs="Arial"/>
                <w:lang w:val="es-ES" w:eastAsia="es-ES"/>
              </w:rPr>
              <w:t>SANEAMIENTO DEL CONTRATO – Autorización de la ley – Corrección de errores – Requisitos para su procedencia / NULIDAD DEL CONTRATO – Régimen aplicable – Derecho público – Derecho privado / NULIDAD DEL CONTRATO – Tipos / VALOR DEL CONTRATO</w:t>
            </w:r>
            <w:r w:rsidR="00385E37">
              <w:rPr>
                <w:rFonts w:ascii="Verdana" w:hAnsi="Verdana" w:cs="Arial"/>
                <w:lang w:val="es-ES" w:eastAsia="es-ES"/>
              </w:rPr>
              <w:t xml:space="preserve"> ESTATAL</w:t>
            </w:r>
            <w:r w:rsidRPr="00331DEB">
              <w:rPr>
                <w:rFonts w:ascii="Verdana" w:hAnsi="Verdana" w:cs="Arial"/>
                <w:lang w:val="es-ES" w:eastAsia="es-ES"/>
              </w:rPr>
              <w:t xml:space="preserve"> – Diferencias – Suma que prevalece – Aplicabilidad derecho privado</w:t>
            </w:r>
          </w:p>
          <w:p w14:paraId="1711FB6C" w14:textId="77777777" w:rsidR="00331DEB" w:rsidRPr="00331DEB" w:rsidRDefault="00331DEB" w:rsidP="00331DEB">
            <w:pPr>
              <w:spacing w:line="276" w:lineRule="auto"/>
              <w:jc w:val="both"/>
              <w:rPr>
                <w:rFonts w:ascii="Verdana" w:hAnsi="Verdana" w:cs="Arial"/>
                <w:lang w:val="es-ES" w:eastAsia="es-ES"/>
              </w:rPr>
            </w:pPr>
          </w:p>
        </w:tc>
      </w:tr>
      <w:tr w:rsidR="00331DEB" w:rsidRPr="00331DEB" w14:paraId="66991D55" w14:textId="77777777" w:rsidTr="00331DEB">
        <w:tc>
          <w:tcPr>
            <w:tcW w:w="2689" w:type="dxa"/>
            <w:hideMark/>
          </w:tcPr>
          <w:p w14:paraId="69C9E051" w14:textId="77777777" w:rsidR="00331DEB" w:rsidRPr="00331DEB" w:rsidRDefault="00331DEB" w:rsidP="00331DEB">
            <w:pPr>
              <w:spacing w:line="240" w:lineRule="auto"/>
              <w:jc w:val="both"/>
              <w:rPr>
                <w:rFonts w:ascii="Verdana" w:hAnsi="Verdana" w:cs="Arial"/>
                <w:b/>
                <w:lang w:val="es-ES_tradnl" w:eastAsia="es-ES_tradnl"/>
              </w:rPr>
            </w:pPr>
            <w:r w:rsidRPr="00331DEB">
              <w:rPr>
                <w:rFonts w:ascii="Verdana" w:hAnsi="Verdana" w:cs="Arial"/>
                <w:b/>
                <w:lang w:val="es-ES_tradnl" w:eastAsia="es-ES_tradnl"/>
              </w:rPr>
              <w:t>Radicación:</w:t>
            </w:r>
            <w:r w:rsidRPr="00331DEB">
              <w:rPr>
                <w:rFonts w:ascii="Verdana" w:hAnsi="Verdana" w:cs="Arial"/>
                <w:lang w:val="es-ES_tradnl" w:eastAsia="es-ES_tradnl"/>
              </w:rPr>
              <w:t xml:space="preserve">               </w:t>
            </w:r>
          </w:p>
        </w:tc>
        <w:tc>
          <w:tcPr>
            <w:tcW w:w="6100" w:type="dxa"/>
            <w:hideMark/>
          </w:tcPr>
          <w:p w14:paraId="00AF77F2" w14:textId="77777777" w:rsidR="00331DEB" w:rsidRPr="00331DEB" w:rsidRDefault="00331DEB" w:rsidP="00331DEB">
            <w:pPr>
              <w:spacing w:line="240" w:lineRule="auto"/>
              <w:jc w:val="both"/>
              <w:rPr>
                <w:rFonts w:ascii="Verdana" w:hAnsi="Verdana" w:cs="Arial"/>
                <w:lang w:val="es-ES_tradnl" w:eastAsia="es-ES_tradnl"/>
              </w:rPr>
            </w:pPr>
            <w:r w:rsidRPr="00331DEB">
              <w:rPr>
                <w:rFonts w:ascii="Verdana" w:hAnsi="Verdana" w:cs="Arial"/>
                <w:lang w:val="es-ES_tradnl" w:eastAsia="es-ES_tradnl"/>
              </w:rPr>
              <w:t>Respuesta a consulta con radicado No.   P20250116000381</w:t>
            </w:r>
          </w:p>
        </w:tc>
      </w:tr>
    </w:tbl>
    <w:p w14:paraId="1B073C58" w14:textId="77777777" w:rsidR="00331DEB" w:rsidRPr="00331DEB" w:rsidRDefault="00331DEB" w:rsidP="00331DEB">
      <w:pPr>
        <w:spacing w:after="0" w:line="240" w:lineRule="auto"/>
        <w:jc w:val="both"/>
        <w:rPr>
          <w:rFonts w:ascii="Verdana" w:eastAsia="Calibri" w:hAnsi="Verdana" w:cs="Arial"/>
          <w:lang w:val="es-ES_tradnl" w:eastAsia="es-ES_tradnl"/>
        </w:rPr>
      </w:pPr>
    </w:p>
    <w:p w14:paraId="7FA2C193" w14:textId="77777777" w:rsidR="00331DEB" w:rsidRPr="00331DEB" w:rsidRDefault="00331DEB" w:rsidP="00331DEB">
      <w:pPr>
        <w:spacing w:after="0" w:line="240" w:lineRule="auto"/>
        <w:jc w:val="both"/>
        <w:rPr>
          <w:rFonts w:ascii="Verdana" w:eastAsia="Calibri" w:hAnsi="Verdana" w:cs="Arial"/>
          <w:lang w:val="es-ES_tradnl" w:eastAsia="es-ES_tradnl"/>
        </w:rPr>
      </w:pPr>
    </w:p>
    <w:p w14:paraId="21E91ACB" w14:textId="77777777" w:rsidR="00331DEB" w:rsidRPr="00331DEB" w:rsidRDefault="00331DEB" w:rsidP="00331DEB">
      <w:pPr>
        <w:spacing w:after="0" w:line="276" w:lineRule="auto"/>
        <w:jc w:val="both"/>
        <w:rPr>
          <w:rFonts w:ascii="Verdana" w:eastAsia="Calibri" w:hAnsi="Verdana" w:cs="Arial"/>
          <w:lang w:val="es-ES" w:eastAsia="es-ES"/>
        </w:rPr>
      </w:pPr>
      <w:r w:rsidRPr="00331DEB">
        <w:rPr>
          <w:rFonts w:ascii="Verdana" w:eastAsia="Calibri" w:hAnsi="Verdana" w:cs="Arial"/>
          <w:lang w:val="es-ES" w:eastAsia="es-ES"/>
        </w:rPr>
        <w:t xml:space="preserve">Estimado señor Rodríguez: </w:t>
      </w:r>
    </w:p>
    <w:p w14:paraId="06B590ED" w14:textId="77777777" w:rsidR="00331DEB" w:rsidRPr="00331DEB" w:rsidRDefault="00331DEB" w:rsidP="00331DEB">
      <w:pPr>
        <w:tabs>
          <w:tab w:val="left" w:pos="3768"/>
        </w:tabs>
        <w:spacing w:after="0" w:line="276" w:lineRule="auto"/>
        <w:jc w:val="both"/>
        <w:rPr>
          <w:rFonts w:ascii="Verdana" w:eastAsia="Calibri" w:hAnsi="Verdana" w:cs="Arial"/>
          <w:lang w:val="es-ES" w:eastAsia="es-ES"/>
        </w:rPr>
      </w:pPr>
    </w:p>
    <w:p w14:paraId="7E8589E5" w14:textId="77777777" w:rsidR="00331DEB" w:rsidRPr="00331DEB" w:rsidRDefault="00331DEB" w:rsidP="00331DEB">
      <w:pPr>
        <w:spacing w:after="0" w:line="276" w:lineRule="auto"/>
        <w:jc w:val="both"/>
        <w:rPr>
          <w:rFonts w:ascii="Verdana" w:eastAsia="Calibri" w:hAnsi="Verdana" w:cs="Arial"/>
          <w:lang w:val="es-ES" w:eastAsia="es-ES"/>
        </w:rPr>
      </w:pPr>
      <w:r w:rsidRPr="00331DEB">
        <w:rPr>
          <w:rFonts w:ascii="Verdana" w:eastAsia="Calibri" w:hAnsi="Verdana" w:cs="Arial"/>
          <w:lang w:val="es-ES" w:eastAsia="es-ES"/>
        </w:rPr>
        <w:t>En ejercicio de la competencia otorgada por los artículos 3, numeral 5º, y 11, numeral 8º, del Decreto Ley 4170 de 2011,</w:t>
      </w:r>
      <w:r w:rsidRPr="00331DEB">
        <w:rPr>
          <w:rFonts w:ascii="Verdana" w:eastAsia="Arial MT" w:hAnsi="Verdana" w:cs="Arial MT"/>
          <w:lang w:val="es-ES" w:eastAsia="es-ES"/>
        </w:rPr>
        <w:t xml:space="preserve"> </w:t>
      </w:r>
      <w:r w:rsidRPr="00331DEB">
        <w:rPr>
          <w:rFonts w:ascii="Verdana" w:eastAsia="Aptos" w:hAnsi="Verdana" w:cs="Arial"/>
        </w:rPr>
        <w:t xml:space="preserve">así como lo establecido en el artículo 4 de la Resolución 1707 de 2018 expedida por esta Entidad, </w:t>
      </w:r>
      <w:r w:rsidRPr="00331DEB">
        <w:rPr>
          <w:rFonts w:ascii="Verdana" w:eastAsia="Calibri" w:hAnsi="Verdana" w:cs="Arial"/>
          <w:lang w:val="es-ES" w:eastAsia="es-ES"/>
        </w:rPr>
        <w:t>la Agencia Nacional de Contratación Pública – Colombia Compra Eficiente– responde su solicitud de petición de fecha del 16 de enero de 2025, en la que realiza la siguiente consulta:</w:t>
      </w:r>
    </w:p>
    <w:p w14:paraId="64080010" w14:textId="77777777" w:rsidR="00331DEB" w:rsidRPr="00331DEB" w:rsidRDefault="00331DEB" w:rsidP="00331DEB">
      <w:pPr>
        <w:spacing w:after="0" w:line="276" w:lineRule="auto"/>
        <w:jc w:val="both"/>
        <w:rPr>
          <w:rFonts w:ascii="Verdana" w:eastAsia="Calibri" w:hAnsi="Verdana" w:cs="Arial"/>
          <w:lang w:val="es-ES" w:eastAsia="es-ES"/>
        </w:rPr>
      </w:pPr>
    </w:p>
    <w:p w14:paraId="21F758FB" w14:textId="77777777" w:rsidR="00331DEB" w:rsidRPr="00331DEB" w:rsidRDefault="00331DEB" w:rsidP="00331DEB">
      <w:pPr>
        <w:spacing w:after="0" w:line="240" w:lineRule="auto"/>
        <w:ind w:left="709" w:right="709"/>
        <w:jc w:val="both"/>
        <w:rPr>
          <w:rFonts w:ascii="Verdana" w:eastAsia="Calibri" w:hAnsi="Verdana" w:cs="Arial"/>
          <w:sz w:val="20"/>
          <w:szCs w:val="20"/>
          <w:lang w:val="es-MX"/>
        </w:rPr>
      </w:pPr>
      <w:r w:rsidRPr="00331DEB">
        <w:rPr>
          <w:rFonts w:ascii="Verdana" w:eastAsia="Calibri" w:hAnsi="Verdana" w:cs="Arial"/>
          <w:sz w:val="20"/>
          <w:szCs w:val="20"/>
          <w:lang w:val="es-MX"/>
        </w:rPr>
        <w:t>“[…] en un contrato estatal se presentan inconsistencias entre el valor del contrato señalado en letras es decir en palabras con el valor señalado en números. De manera hipotética y para una mayor ilustración se presenta el siguiente ejemplo:</w:t>
      </w:r>
    </w:p>
    <w:p w14:paraId="291D4FA1" w14:textId="77777777" w:rsidR="00331DEB" w:rsidRPr="00331DEB" w:rsidRDefault="00331DEB" w:rsidP="00331DEB">
      <w:pPr>
        <w:spacing w:before="120" w:after="0" w:line="240" w:lineRule="auto"/>
        <w:ind w:left="709" w:right="709"/>
        <w:jc w:val="both"/>
        <w:rPr>
          <w:rFonts w:ascii="Verdana" w:eastAsia="Calibri" w:hAnsi="Verdana" w:cs="Arial"/>
          <w:sz w:val="20"/>
          <w:szCs w:val="20"/>
          <w:lang w:val="es-MX"/>
        </w:rPr>
      </w:pPr>
      <w:r w:rsidRPr="00331DEB">
        <w:rPr>
          <w:rFonts w:ascii="Verdana" w:eastAsia="Calibri" w:hAnsi="Verdana" w:cs="Arial"/>
          <w:sz w:val="20"/>
          <w:szCs w:val="20"/>
          <w:lang w:val="es-MX"/>
        </w:rPr>
        <w:t>Valor del contrato: TREINTE SEIS MILLONES DE PESOS M/CTE ($36.000.000.000)</w:t>
      </w:r>
    </w:p>
    <w:p w14:paraId="6484A10A" w14:textId="77777777" w:rsidR="00331DEB" w:rsidRPr="00331DEB" w:rsidRDefault="00331DEB" w:rsidP="00331DEB">
      <w:pPr>
        <w:spacing w:before="120" w:after="0" w:line="240" w:lineRule="auto"/>
        <w:ind w:left="709" w:right="709"/>
        <w:jc w:val="both"/>
        <w:rPr>
          <w:rFonts w:ascii="Verdana" w:eastAsia="Calibri" w:hAnsi="Verdana" w:cs="Arial"/>
          <w:sz w:val="20"/>
          <w:szCs w:val="20"/>
          <w:lang w:val="es-MX"/>
        </w:rPr>
      </w:pPr>
      <w:r w:rsidRPr="00331DEB">
        <w:rPr>
          <w:rFonts w:ascii="Verdana" w:eastAsia="Calibri" w:hAnsi="Verdana" w:cs="Arial"/>
          <w:sz w:val="20"/>
          <w:szCs w:val="20"/>
          <w:lang w:val="es-MX"/>
        </w:rPr>
        <w:lastRenderedPageBreak/>
        <w:t xml:space="preserve">Dada la anterior situación, ¿Cuál </w:t>
      </w:r>
      <w:proofErr w:type="spellStart"/>
      <w:proofErr w:type="gramStart"/>
      <w:r w:rsidRPr="00331DEB">
        <w:rPr>
          <w:rFonts w:ascii="Verdana" w:eastAsia="Calibri" w:hAnsi="Verdana" w:cs="Arial"/>
          <w:sz w:val="20"/>
          <w:szCs w:val="20"/>
          <w:lang w:val="es-MX"/>
        </w:rPr>
        <w:t>seria</w:t>
      </w:r>
      <w:proofErr w:type="spellEnd"/>
      <w:proofErr w:type="gramEnd"/>
      <w:r w:rsidRPr="00331DEB">
        <w:rPr>
          <w:rFonts w:ascii="Verdana" w:eastAsia="Calibri" w:hAnsi="Verdana" w:cs="Arial"/>
          <w:sz w:val="20"/>
          <w:szCs w:val="20"/>
          <w:lang w:val="es-MX"/>
        </w:rPr>
        <w:t xml:space="preserve"> el valor del contrato que prevalecería, sí el señalado en la letras o palabras o el señalado en números?</w:t>
      </w:r>
    </w:p>
    <w:p w14:paraId="4F22D665" w14:textId="77777777" w:rsidR="00331DEB" w:rsidRPr="00331DEB" w:rsidRDefault="00331DEB" w:rsidP="00331DEB">
      <w:pPr>
        <w:spacing w:before="120" w:after="0" w:line="240" w:lineRule="auto"/>
        <w:ind w:left="709" w:right="709"/>
        <w:jc w:val="both"/>
        <w:rPr>
          <w:rFonts w:ascii="Verdana" w:eastAsia="Calibri" w:hAnsi="Verdana" w:cs="Arial"/>
          <w:sz w:val="20"/>
          <w:szCs w:val="20"/>
          <w:lang w:val="es-MX"/>
        </w:rPr>
      </w:pPr>
      <w:r w:rsidRPr="00331DEB">
        <w:rPr>
          <w:rFonts w:ascii="Verdana" w:eastAsia="Calibri" w:hAnsi="Verdana" w:cs="Arial"/>
          <w:sz w:val="20"/>
          <w:szCs w:val="20"/>
          <w:lang w:val="es-MX"/>
        </w:rPr>
        <w:t>Cualquiera que sea la respuesta a la presente consulta, se solicita indicar los fundamentos legales y jurisprudenciales de la respuesta”. [sic]</w:t>
      </w:r>
    </w:p>
    <w:p w14:paraId="0687D1C3" w14:textId="77777777" w:rsidR="00331DEB" w:rsidRPr="00331DEB" w:rsidRDefault="00331DEB" w:rsidP="00331DEB">
      <w:pPr>
        <w:tabs>
          <w:tab w:val="left" w:pos="142"/>
          <w:tab w:val="left" w:pos="284"/>
        </w:tabs>
        <w:spacing w:line="276" w:lineRule="auto"/>
        <w:contextualSpacing/>
        <w:jc w:val="both"/>
        <w:rPr>
          <w:rFonts w:ascii="Verdana" w:eastAsia="Century Gothic" w:hAnsi="Verdana" w:cs="Century Gothic"/>
          <w:b/>
          <w:bCs/>
          <w:lang w:val="es-ES"/>
        </w:rPr>
      </w:pPr>
    </w:p>
    <w:p w14:paraId="2386DCFD" w14:textId="77777777" w:rsidR="00331DEB" w:rsidRPr="00331DEB" w:rsidRDefault="00331DEB" w:rsidP="00331DEB">
      <w:pPr>
        <w:spacing w:after="120" w:line="276" w:lineRule="auto"/>
        <w:ind w:firstLine="709"/>
        <w:jc w:val="both"/>
        <w:rPr>
          <w:rFonts w:ascii="Verdana" w:eastAsia="Calibri" w:hAnsi="Verdana" w:cs="Arial"/>
          <w:szCs w:val="24"/>
          <w:lang w:val="es-ES_tradnl" w:eastAsia="es-ES_tradnl"/>
        </w:rPr>
      </w:pPr>
      <w:r w:rsidRPr="00331DE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7D8A3C4" w14:textId="77777777" w:rsidR="00331DEB" w:rsidRPr="00331DEB" w:rsidRDefault="00331DEB" w:rsidP="00331DEB">
      <w:pPr>
        <w:spacing w:after="0" w:line="276" w:lineRule="auto"/>
        <w:ind w:firstLine="709"/>
        <w:jc w:val="both"/>
        <w:rPr>
          <w:rFonts w:ascii="Verdana" w:eastAsia="Calibri" w:hAnsi="Verdana" w:cs="Arial"/>
          <w:lang w:val="es-ES" w:eastAsia="es-ES"/>
        </w:rPr>
      </w:pPr>
      <w:r w:rsidRPr="00331DE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D0F3F1E" w14:textId="77777777" w:rsidR="00331DEB" w:rsidRPr="00331DEB" w:rsidRDefault="00331DEB" w:rsidP="00331DEB">
      <w:pPr>
        <w:spacing w:after="0" w:line="276" w:lineRule="auto"/>
        <w:ind w:firstLine="709"/>
        <w:jc w:val="both"/>
        <w:rPr>
          <w:rFonts w:ascii="Verdana" w:eastAsia="Calibri" w:hAnsi="Verdana" w:cs="Arial"/>
          <w:lang w:val="es-ES" w:eastAsia="es-ES"/>
        </w:rPr>
      </w:pPr>
    </w:p>
    <w:p w14:paraId="6CF51C1E" w14:textId="77777777" w:rsidR="00331DEB" w:rsidRPr="00331DEB" w:rsidRDefault="00331DEB" w:rsidP="00331DEB">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31DEB">
        <w:rPr>
          <w:rFonts w:ascii="Verdana" w:eastAsia="Arial" w:hAnsi="Verdana" w:cs="Arial"/>
          <w:b/>
          <w:bCs/>
          <w:lang w:val="es-ES"/>
        </w:rPr>
        <w:t>1. Problema planteado:</w:t>
      </w:r>
    </w:p>
    <w:p w14:paraId="124489E9" w14:textId="77777777" w:rsidR="00331DEB" w:rsidRPr="00331DEB" w:rsidRDefault="00331DEB" w:rsidP="00331DEB">
      <w:pPr>
        <w:tabs>
          <w:tab w:val="left" w:pos="426"/>
        </w:tabs>
        <w:spacing w:after="0" w:line="276" w:lineRule="auto"/>
        <w:jc w:val="both"/>
        <w:rPr>
          <w:rFonts w:ascii="Verdana" w:eastAsia="Century Gothic" w:hAnsi="Verdana" w:cs="Century Gothic"/>
          <w:lang w:val="es-ES"/>
        </w:rPr>
      </w:pPr>
    </w:p>
    <w:p w14:paraId="6A6B6F68" w14:textId="77777777" w:rsidR="00331DEB" w:rsidRPr="00331DEB" w:rsidRDefault="00331DEB" w:rsidP="00331DEB">
      <w:pPr>
        <w:spacing w:after="0" w:line="276" w:lineRule="auto"/>
        <w:jc w:val="both"/>
        <w:rPr>
          <w:rFonts w:ascii="Verdana" w:eastAsia="Century Gothic" w:hAnsi="Verdana" w:cs="Century Gothic"/>
        </w:rPr>
      </w:pPr>
      <w:r w:rsidRPr="00331DEB">
        <w:rPr>
          <w:rFonts w:ascii="Verdana" w:eastAsia="Century Gothic" w:hAnsi="Verdana" w:cs="Century Gothic"/>
        </w:rPr>
        <w:t xml:space="preserve">De acuerdo con el contenido de su solicitud, </w:t>
      </w:r>
      <w:bookmarkStart w:id="0" w:name="_Hlk171070029"/>
      <w:r w:rsidRPr="00331DEB">
        <w:rPr>
          <w:rFonts w:ascii="Verdana" w:eastAsia="Century Gothic" w:hAnsi="Verdana" w:cs="Century Gothic"/>
        </w:rPr>
        <w:t xml:space="preserve">le informamos que la misma será resuelta desde los siguientes interrogantes: i) ¿En qué circunstancias pueden corregirse los errores del contrato estatal?, y </w:t>
      </w:r>
      <w:proofErr w:type="spellStart"/>
      <w:r w:rsidRPr="00331DEB">
        <w:rPr>
          <w:rFonts w:ascii="Verdana" w:eastAsia="Century Gothic" w:hAnsi="Verdana" w:cs="Century Gothic"/>
        </w:rPr>
        <w:t>ii</w:t>
      </w:r>
      <w:proofErr w:type="spellEnd"/>
      <w:r w:rsidRPr="00331DEB">
        <w:rPr>
          <w:rFonts w:ascii="Verdana" w:eastAsia="Century Gothic" w:hAnsi="Verdana" w:cs="Century Gothic"/>
        </w:rPr>
        <w:t>) si existen diferencias entre el valor del contrato reflejado en letras y en números ¿qué suma prevalece?</w:t>
      </w:r>
    </w:p>
    <w:p w14:paraId="369DD8BA" w14:textId="77777777" w:rsidR="00331DEB" w:rsidRPr="00331DEB" w:rsidRDefault="00331DEB" w:rsidP="00331DEB">
      <w:pPr>
        <w:spacing w:after="0" w:line="276" w:lineRule="auto"/>
        <w:jc w:val="both"/>
        <w:rPr>
          <w:rFonts w:ascii="Verdana" w:eastAsia="Calibri" w:hAnsi="Verdana" w:cs="Arial"/>
          <w:lang w:val="es-ES"/>
        </w:rPr>
      </w:pPr>
    </w:p>
    <w:bookmarkEnd w:id="0"/>
    <w:p w14:paraId="60901948" w14:textId="77777777" w:rsidR="00331DEB" w:rsidRPr="00331DEB" w:rsidRDefault="00331DEB" w:rsidP="00331DEB">
      <w:pPr>
        <w:widowControl w:val="0"/>
        <w:autoSpaceDE w:val="0"/>
        <w:autoSpaceDN w:val="0"/>
        <w:spacing w:before="1" w:after="0" w:line="240" w:lineRule="auto"/>
        <w:jc w:val="both"/>
        <w:outlineLvl w:val="0"/>
        <w:rPr>
          <w:rFonts w:ascii="Verdana" w:eastAsia="Arial" w:hAnsi="Verdana" w:cs="Arial"/>
          <w:b/>
          <w:bCs/>
          <w:lang w:val="es-ES"/>
        </w:rPr>
      </w:pPr>
      <w:r w:rsidRPr="00331DEB">
        <w:rPr>
          <w:rFonts w:ascii="Verdana" w:eastAsia="Arial" w:hAnsi="Verdana" w:cs="Arial"/>
          <w:b/>
          <w:bCs/>
          <w:lang w:val="es-ES"/>
        </w:rPr>
        <w:t>2. Respuesta:</w:t>
      </w:r>
    </w:p>
    <w:p w14:paraId="1326C476" w14:textId="77777777" w:rsidR="00331DEB" w:rsidRPr="00331DEB" w:rsidRDefault="00331DEB" w:rsidP="00331DEB">
      <w:pPr>
        <w:spacing w:after="0" w:line="256" w:lineRule="auto"/>
        <w:rPr>
          <w:rFonts w:ascii="Verdana" w:eastAsia="Aptos" w:hAnsi="Verdana" w:cs="Times New Roman"/>
        </w:rPr>
      </w:pPr>
    </w:p>
    <w:tbl>
      <w:tblPr>
        <w:tblStyle w:val="Tablaconcuadrcula1"/>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31DEB" w:rsidRPr="00331DEB" w14:paraId="73F866E5" w14:textId="77777777" w:rsidTr="00331DEB">
        <w:tc>
          <w:tcPr>
            <w:tcW w:w="8828" w:type="dxa"/>
            <w:tcBorders>
              <w:top w:val="dotted" w:sz="4" w:space="0" w:color="auto"/>
              <w:left w:val="dotted" w:sz="4" w:space="0" w:color="auto"/>
              <w:bottom w:val="dotted" w:sz="4" w:space="0" w:color="auto"/>
              <w:right w:val="dotted" w:sz="4" w:space="0" w:color="auto"/>
            </w:tcBorders>
          </w:tcPr>
          <w:p w14:paraId="514BAC85" w14:textId="77777777" w:rsidR="00331DEB" w:rsidRPr="00331DEB" w:rsidRDefault="00331DEB" w:rsidP="00331DEB">
            <w:pPr>
              <w:spacing w:line="276" w:lineRule="auto"/>
              <w:jc w:val="both"/>
              <w:rPr>
                <w:rFonts w:ascii="Verdana" w:hAnsi="Verdana" w:cs="Arial"/>
                <w:lang w:val="es-ES"/>
              </w:rPr>
            </w:pPr>
            <w:bookmarkStart w:id="1" w:name="_Hlk188540228"/>
            <w:bookmarkStart w:id="2" w:name="_Hlk171067516"/>
            <w:r w:rsidRPr="00331DEB">
              <w:rPr>
                <w:rFonts w:ascii="Verdana" w:hAnsi="Verdana" w:cs="Arial"/>
                <w:lang w:val="es-ES"/>
              </w:rPr>
              <w:t xml:space="preserve">i) Debe indicarse inicialmente, que la Ley 80 de 1993 otorga una autorización a las Entidades Estatales para que puedan remediar o corregir aquellos defectos o irregularidades de procedimiento o de forma que no constituyen causales de nulidad del contrato, a través de la figura del “saneamiento de los vicios de procedimiento o de forma” establecida en el artículo 49 Ibidem. Sin </w:t>
            </w:r>
            <w:r w:rsidRPr="00331DEB">
              <w:rPr>
                <w:rFonts w:ascii="Verdana" w:hAnsi="Verdana" w:cs="Arial"/>
                <w:lang w:val="es-ES"/>
              </w:rPr>
              <w:lastRenderedPageBreak/>
              <w:t xml:space="preserve">embargo, para que esto proceda, se requiere el cumplimiento de los siguientes requisitos: i) el vicio a sanear tiene que ser de procedimiento o de forma, lo que significa que no es posible sanear a través de esta figura los vicios de fondo o sustanciales del acto o contrato, lo que lleva a que; </w:t>
            </w:r>
            <w:proofErr w:type="spellStart"/>
            <w:r w:rsidRPr="00331DEB">
              <w:rPr>
                <w:rFonts w:ascii="Verdana" w:hAnsi="Verdana" w:cs="Arial"/>
                <w:lang w:val="es-ES"/>
              </w:rPr>
              <w:t>ii</w:t>
            </w:r>
            <w:proofErr w:type="spellEnd"/>
            <w:r w:rsidRPr="00331DEB">
              <w:rPr>
                <w:rFonts w:ascii="Verdana" w:hAnsi="Verdana" w:cs="Arial"/>
                <w:lang w:val="es-ES"/>
              </w:rPr>
              <w:t xml:space="preserve">) el vicio a sanear no puede corresponder a ninguna de las causales de nulidad absoluta o relativa de los contratos estatales; </w:t>
            </w:r>
            <w:proofErr w:type="spellStart"/>
            <w:r w:rsidRPr="00331DEB">
              <w:rPr>
                <w:rFonts w:ascii="Verdana" w:hAnsi="Verdana" w:cs="Arial"/>
                <w:lang w:val="es-ES"/>
              </w:rPr>
              <w:t>iii</w:t>
            </w:r>
            <w:proofErr w:type="spellEnd"/>
            <w:r w:rsidRPr="00331DEB">
              <w:rPr>
                <w:rFonts w:ascii="Verdana" w:hAnsi="Verdana" w:cs="Arial"/>
                <w:lang w:val="es-ES"/>
              </w:rPr>
              <w:t xml:space="preserve">) debe hacerse mediante acto administrativo motivado; </w:t>
            </w:r>
            <w:proofErr w:type="spellStart"/>
            <w:r w:rsidRPr="00331DEB">
              <w:rPr>
                <w:rFonts w:ascii="Verdana" w:hAnsi="Verdana" w:cs="Arial"/>
                <w:lang w:val="es-ES"/>
              </w:rPr>
              <w:t>iv</w:t>
            </w:r>
            <w:proofErr w:type="spellEnd"/>
            <w:r w:rsidRPr="00331DEB">
              <w:rPr>
                <w:rFonts w:ascii="Verdana" w:hAnsi="Verdana" w:cs="Arial"/>
                <w:lang w:val="es-ES"/>
              </w:rPr>
              <w:t>) el funcionario competente es el jefe o representante legal de la entidad; y v) el saneamiento debe ocurrir cuando las necesidades del servicio lo exijan o las reglas de la buena administración lo aconsejen.</w:t>
            </w:r>
          </w:p>
          <w:p w14:paraId="5F26595C" w14:textId="77777777" w:rsidR="00331DEB" w:rsidRPr="00331DEB" w:rsidRDefault="00331DEB" w:rsidP="00331DEB">
            <w:pPr>
              <w:spacing w:line="276" w:lineRule="auto"/>
              <w:jc w:val="both"/>
              <w:rPr>
                <w:rFonts w:ascii="Verdana" w:hAnsi="Verdana" w:cs="Arial"/>
                <w:lang w:val="es-ES"/>
              </w:rPr>
            </w:pPr>
          </w:p>
          <w:p w14:paraId="5D3EFF9A" w14:textId="77777777" w:rsidR="00331DEB" w:rsidRPr="00331DEB" w:rsidRDefault="00331DEB" w:rsidP="00331DEB">
            <w:pPr>
              <w:spacing w:line="276" w:lineRule="auto"/>
              <w:jc w:val="both"/>
              <w:rPr>
                <w:rFonts w:ascii="Verdana" w:hAnsi="Verdana" w:cs="Arial"/>
                <w:lang w:val="es-ES"/>
              </w:rPr>
            </w:pPr>
            <w:r w:rsidRPr="00331DEB">
              <w:rPr>
                <w:rFonts w:ascii="Verdana" w:hAnsi="Verdana" w:cs="Arial"/>
                <w:lang w:val="es-ES"/>
              </w:rPr>
              <w:t>En ese sentido, se precisa que al integrar el Estatuto General de Contratación de la Administración Pública el régimen de nulidades de los contratos estatales, así como las causales de nulidad relacionadas en el derecho civil y comercial, solo los vicios que no se encuentren tipificados en tales normas, podrán ser saneados directamente por la entidad. Por lo que, corresponderá a las Entidades Estatales según las reglas señaladas en las disposiciones aplicables, determinar cuándo se está frente a una situación que amerite el saneamiento de algún vicio del contrato o, las circunstancias en las que, sobre este, se requiera su declaratoria de nulidad.</w:t>
            </w:r>
            <w:bookmarkEnd w:id="1"/>
          </w:p>
          <w:p w14:paraId="54E0A756" w14:textId="77777777" w:rsidR="00331DEB" w:rsidRPr="00331DEB" w:rsidRDefault="00331DEB" w:rsidP="00331DEB">
            <w:pPr>
              <w:spacing w:line="276" w:lineRule="auto"/>
              <w:jc w:val="both"/>
              <w:rPr>
                <w:rFonts w:ascii="Verdana" w:hAnsi="Verdana" w:cs="Arial"/>
                <w:lang w:val="es-ES"/>
              </w:rPr>
            </w:pPr>
          </w:p>
          <w:p w14:paraId="498079C4" w14:textId="77777777" w:rsidR="00331DEB" w:rsidRPr="00331DEB" w:rsidRDefault="00331DEB" w:rsidP="00331DEB">
            <w:pPr>
              <w:spacing w:line="276" w:lineRule="auto"/>
              <w:jc w:val="both"/>
              <w:rPr>
                <w:rFonts w:ascii="Verdana" w:hAnsi="Verdana" w:cs="Arial"/>
                <w:lang w:val="es-ES"/>
              </w:rPr>
            </w:pPr>
            <w:proofErr w:type="spellStart"/>
            <w:r w:rsidRPr="00331DEB">
              <w:rPr>
                <w:rFonts w:ascii="Verdana" w:hAnsi="Verdana" w:cs="Arial"/>
                <w:lang w:val="es-ES"/>
              </w:rPr>
              <w:t>ii</w:t>
            </w:r>
            <w:proofErr w:type="spellEnd"/>
            <w:r w:rsidRPr="00331DEB">
              <w:rPr>
                <w:rFonts w:ascii="Verdana" w:hAnsi="Verdana" w:cs="Arial"/>
                <w:lang w:val="es-ES"/>
              </w:rPr>
              <w:t>) Pese a que el Estatuto General de Contratación de la Administración Pública –Ley 80 de 1993, Ley 1150 de 2007, Decreto 1082 de 2015 y demás normas que lo modifiquen o complementen– no establece la forma en la que han de interpretarse los contratos estatales, esto con el fin de resolver ciertas discrepancias que puedan surgir entre las partes que lo suscriben, permite que aquellos vacíos o asuntos que no se encuentren expresamente regulados en él, puedan resolverse con fundamento en las disposiciones contenidas en el derecho privado –Disposiciones comerciales y civiles–. Lo anterior, de acuerdo con lo establecido en los artículos 13, 32 y 40 de la Ley 80 de 1993.</w:t>
            </w:r>
          </w:p>
          <w:p w14:paraId="60CC20C7" w14:textId="77777777" w:rsidR="00331DEB" w:rsidRPr="00331DEB" w:rsidRDefault="00331DEB" w:rsidP="00331DEB">
            <w:pPr>
              <w:spacing w:line="276" w:lineRule="auto"/>
              <w:jc w:val="both"/>
              <w:rPr>
                <w:rFonts w:ascii="Verdana" w:hAnsi="Verdana" w:cs="Arial"/>
                <w:lang w:val="es-ES"/>
              </w:rPr>
            </w:pPr>
          </w:p>
          <w:p w14:paraId="12126490" w14:textId="77777777" w:rsidR="00331DEB" w:rsidRPr="00331DEB" w:rsidRDefault="00331DEB" w:rsidP="00331DEB">
            <w:pPr>
              <w:spacing w:line="276" w:lineRule="auto"/>
              <w:jc w:val="both"/>
              <w:rPr>
                <w:rFonts w:ascii="Verdana" w:hAnsi="Verdana" w:cs="Arial"/>
                <w:lang w:val="es-ES"/>
              </w:rPr>
            </w:pPr>
            <w:r w:rsidRPr="00331DEB">
              <w:rPr>
                <w:rFonts w:ascii="Verdana" w:hAnsi="Verdana" w:cs="Arial"/>
                <w:lang w:val="es-ES"/>
              </w:rPr>
              <w:t xml:space="preserve">Es por ello que, pese a que el referido estatuto no señala cómo han de solucionarse las divergencias que surjan entre las partes cuando existan diferencias entre el valor del contrato referenciado en letras y números, el Consejo de Estado en sentencia del 02 de septiembre de 2010, mediante un análisis hermeneútico jurídico indicó:”[…] cuando en un texto legal o contractual se quiere expresar un mismo valor o una misma suma en letras y números, presentándose diferencias y discordancias entre lo literal y lo numérico, debe primar el valor o la suma escrita en palabras, bajo el entendido </w:t>
            </w:r>
            <w:r w:rsidRPr="00331DEB">
              <w:rPr>
                <w:rFonts w:ascii="Verdana" w:hAnsi="Verdana" w:cs="Arial"/>
                <w:lang w:val="es-ES"/>
              </w:rPr>
              <w:lastRenderedPageBreak/>
              <w:t>de que resulta mucho menos probable que al escribirlas se presenten yerros o equivocaciones. Es precisamente por ello que el artículo 623 del Código de Comercio, al referirse a las diferencias que se pueden presentar en el importe de un título valor dispone: “Artículo 623. Diferencias en el título del importe escrito en cifras y en palabras – aparición de varias cifras. Si el importe del título aparece escrito a la vez en palabras y en cifras, valdrá, en caso de diferencia, la suma escrita en palabras”.</w:t>
            </w:r>
          </w:p>
          <w:p w14:paraId="66A89BDC" w14:textId="77777777" w:rsidR="00331DEB" w:rsidRPr="00331DEB" w:rsidRDefault="00331DEB" w:rsidP="00331DEB">
            <w:pPr>
              <w:spacing w:line="276" w:lineRule="auto"/>
              <w:jc w:val="both"/>
              <w:rPr>
                <w:rFonts w:ascii="Verdana" w:hAnsi="Verdana" w:cs="Arial"/>
                <w:lang w:val="es-ES"/>
              </w:rPr>
            </w:pPr>
          </w:p>
          <w:p w14:paraId="6D7045EC" w14:textId="77777777" w:rsidR="00331DEB" w:rsidRPr="00331DEB" w:rsidRDefault="00331DEB" w:rsidP="00331DEB">
            <w:pPr>
              <w:spacing w:line="276" w:lineRule="auto"/>
              <w:jc w:val="both"/>
              <w:rPr>
                <w:rFonts w:ascii="Verdana" w:hAnsi="Verdana" w:cs="Arial"/>
                <w:lang w:val="es-ES"/>
              </w:rPr>
            </w:pPr>
            <w:r w:rsidRPr="00331DEB">
              <w:rPr>
                <w:rFonts w:ascii="Verdana" w:hAnsi="Verdana" w:cs="Arial"/>
                <w:lang w:val="es-ES"/>
              </w:rPr>
              <w:t>De lo anterior, se colige que, la discrepancia entre la diferencia del valor del contrato escrito en letras y números, se resuelve bajo la aplicación de lo establecido en el artículo 623 del Código de Comercio, pues el artículo 13 de la Ley 80 de 1993 al señalar lo concerniente a la normatividad aplicable a los contratos estatales, permite que los contratos que celebren las Entidades Estatales no sólo se rijan por lo dispuesto en el Estatuto General de Contratación de la Administración Pública, sino también por las disposiciones comerciales y civiles pertinentes.</w:t>
            </w:r>
          </w:p>
          <w:p w14:paraId="07376A5F" w14:textId="77777777" w:rsidR="00331DEB" w:rsidRPr="00331DEB" w:rsidRDefault="00331DEB" w:rsidP="00331DEB">
            <w:pPr>
              <w:spacing w:line="276" w:lineRule="auto"/>
              <w:jc w:val="both"/>
              <w:rPr>
                <w:rFonts w:ascii="Verdana" w:hAnsi="Verdana" w:cs="Arial"/>
                <w:lang w:val="es-ES"/>
              </w:rPr>
            </w:pPr>
          </w:p>
        </w:tc>
      </w:tr>
      <w:bookmarkEnd w:id="2"/>
    </w:tbl>
    <w:p w14:paraId="1B905BBA" w14:textId="77777777" w:rsidR="00331DEB" w:rsidRPr="00331DEB" w:rsidRDefault="00331DEB" w:rsidP="00331DEB">
      <w:pPr>
        <w:widowControl w:val="0"/>
        <w:autoSpaceDE w:val="0"/>
        <w:autoSpaceDN w:val="0"/>
        <w:spacing w:before="1" w:after="0" w:line="240" w:lineRule="auto"/>
        <w:ind w:left="360" w:hanging="360"/>
        <w:outlineLvl w:val="0"/>
        <w:rPr>
          <w:rFonts w:ascii="Verdana" w:eastAsia="Arial" w:hAnsi="Verdana" w:cs="Arial"/>
          <w:b/>
          <w:bCs/>
          <w:lang w:val="es-ES"/>
        </w:rPr>
      </w:pPr>
    </w:p>
    <w:p w14:paraId="0C1B9DDB" w14:textId="77777777" w:rsidR="00331DEB" w:rsidRPr="00331DEB" w:rsidRDefault="00331DEB" w:rsidP="00331DEB">
      <w:pPr>
        <w:widowControl w:val="0"/>
        <w:autoSpaceDE w:val="0"/>
        <w:autoSpaceDN w:val="0"/>
        <w:spacing w:before="1" w:after="0" w:line="240" w:lineRule="auto"/>
        <w:ind w:left="360" w:hanging="360"/>
        <w:outlineLvl w:val="0"/>
        <w:rPr>
          <w:rFonts w:ascii="Verdana" w:eastAsia="Arial" w:hAnsi="Verdana" w:cs="Arial"/>
          <w:b/>
          <w:bCs/>
          <w:lang w:val="es-ES"/>
        </w:rPr>
      </w:pPr>
      <w:r w:rsidRPr="00331DEB">
        <w:rPr>
          <w:rFonts w:ascii="Verdana" w:eastAsia="Arial" w:hAnsi="Verdana" w:cs="Arial"/>
          <w:b/>
          <w:bCs/>
          <w:lang w:val="es-ES"/>
        </w:rPr>
        <w:t>3. Razones de la respuesta</w:t>
      </w:r>
    </w:p>
    <w:p w14:paraId="1A837F47" w14:textId="77777777" w:rsidR="00331DEB" w:rsidRPr="00331DEB" w:rsidRDefault="00331DEB" w:rsidP="00331DEB">
      <w:pPr>
        <w:spacing w:after="0" w:line="276" w:lineRule="auto"/>
        <w:jc w:val="both"/>
        <w:rPr>
          <w:rFonts w:ascii="Verdana" w:eastAsia="Calibri" w:hAnsi="Verdana" w:cs="Arial"/>
          <w:lang w:val="es-ES"/>
        </w:rPr>
      </w:pPr>
    </w:p>
    <w:p w14:paraId="41B67A6B" w14:textId="77777777" w:rsidR="00331DEB" w:rsidRPr="00331DEB" w:rsidRDefault="00331DEB" w:rsidP="00331DEB">
      <w:pPr>
        <w:spacing w:after="0" w:line="276" w:lineRule="auto"/>
        <w:jc w:val="both"/>
        <w:rPr>
          <w:rFonts w:ascii="Verdana" w:eastAsia="Calibri" w:hAnsi="Verdana" w:cs="Arial"/>
          <w:lang w:val="es-ES"/>
        </w:rPr>
      </w:pPr>
      <w:r w:rsidRPr="00331DEB">
        <w:rPr>
          <w:rFonts w:ascii="Verdana" w:eastAsia="Calibri" w:hAnsi="Verdana" w:cs="Arial"/>
          <w:lang w:val="es-ES"/>
        </w:rPr>
        <w:t xml:space="preserve">Las respuestas anteriores se sustentan en las siguientes consideraciones: </w:t>
      </w:r>
    </w:p>
    <w:p w14:paraId="10833A7C" w14:textId="77777777" w:rsidR="00331DEB" w:rsidRPr="00331DEB" w:rsidRDefault="00331DEB" w:rsidP="00331DEB">
      <w:pPr>
        <w:spacing w:line="276" w:lineRule="auto"/>
        <w:contextualSpacing/>
        <w:jc w:val="both"/>
        <w:rPr>
          <w:rFonts w:ascii="Verdana" w:eastAsia="Calibri" w:hAnsi="Verdana" w:cs="Arial"/>
          <w:lang w:val="es-ES"/>
        </w:rPr>
      </w:pPr>
    </w:p>
    <w:p w14:paraId="156751D5" w14:textId="77777777" w:rsidR="00331DEB" w:rsidRPr="00331DEB" w:rsidRDefault="00331DEB" w:rsidP="00331DEB">
      <w:pPr>
        <w:numPr>
          <w:ilvl w:val="0"/>
          <w:numId w:val="9"/>
        </w:numPr>
        <w:spacing w:after="0" w:line="276" w:lineRule="auto"/>
        <w:contextualSpacing/>
        <w:jc w:val="both"/>
        <w:rPr>
          <w:rFonts w:ascii="Verdana" w:eastAsia="Calibri" w:hAnsi="Verdana" w:cs="Arial"/>
          <w:bCs/>
        </w:rPr>
      </w:pPr>
      <w:r w:rsidRPr="00331DEB">
        <w:rPr>
          <w:rFonts w:ascii="Verdana" w:eastAsia="Calibri" w:hAnsi="Verdana" w:cs="Arial"/>
          <w:bCs/>
        </w:rPr>
        <w:t>De manera preliminar, es pertinente indicar que la Ley 80 de 1993 otorga una autorización a las Entidades Estatales para que puedan remediar o corregir aquellos defectos o irregularidades de procedimiento o de forma que no constituyen causales de nulidad del contrato, a través de la figura del “saneamiento de los vicios de procedimiento o de forma” establecida en el artículo 49 de la siguiente manera:</w:t>
      </w:r>
    </w:p>
    <w:p w14:paraId="37BB275B" w14:textId="77777777" w:rsidR="00331DEB" w:rsidRPr="00331DEB" w:rsidRDefault="00331DEB" w:rsidP="00331DEB">
      <w:pPr>
        <w:spacing w:after="0" w:line="276" w:lineRule="auto"/>
        <w:ind w:left="360"/>
        <w:jc w:val="both"/>
        <w:rPr>
          <w:rFonts w:ascii="Verdana" w:eastAsia="Calibri" w:hAnsi="Verdana" w:cs="Arial"/>
          <w:lang w:val="es-ES"/>
        </w:rPr>
      </w:pPr>
    </w:p>
    <w:p w14:paraId="21E192C5" w14:textId="77777777" w:rsidR="00331DEB" w:rsidRPr="00331DEB" w:rsidRDefault="00331DEB" w:rsidP="00331DEB">
      <w:pPr>
        <w:spacing w:after="0" w:line="240" w:lineRule="auto"/>
        <w:ind w:left="1276" w:right="1276"/>
        <w:jc w:val="both"/>
        <w:rPr>
          <w:rFonts w:ascii="Verdana" w:eastAsia="Calibri" w:hAnsi="Verdana" w:cs="Arial"/>
          <w:sz w:val="20"/>
          <w:szCs w:val="20"/>
        </w:rPr>
      </w:pPr>
      <w:r w:rsidRPr="00331DEB">
        <w:rPr>
          <w:rFonts w:ascii="Verdana" w:eastAsia="Calibri" w:hAnsi="Verdana" w:cs="Arial"/>
          <w:sz w:val="20"/>
          <w:szCs w:val="20"/>
        </w:rPr>
        <w:t>“Artículo 49. Del saneamiento de los vicios de procedimiento o de forma. Ante la ocurrencia de vicios que no constituyan causales de nulidad y cuando las necesidades del servicio lo exijan o las reglas de la buena administración lo aconsejen, el jefe o representante legal de la entidad, en acto motivado, podrá sanear el correspondiente vicio”. [Énfasis fuera de texto]</w:t>
      </w:r>
    </w:p>
    <w:p w14:paraId="65C858B2" w14:textId="77777777" w:rsidR="00331DEB" w:rsidRPr="00331DEB" w:rsidRDefault="00331DEB" w:rsidP="00331DEB">
      <w:pPr>
        <w:spacing w:after="0" w:line="276" w:lineRule="auto"/>
        <w:ind w:left="360"/>
        <w:jc w:val="both"/>
        <w:rPr>
          <w:rFonts w:ascii="Verdana" w:eastAsia="Calibri" w:hAnsi="Verdana" w:cs="Arial"/>
        </w:rPr>
      </w:pPr>
    </w:p>
    <w:p w14:paraId="51FF894B" w14:textId="77777777" w:rsidR="00331DEB" w:rsidRPr="00331DEB" w:rsidRDefault="00331DEB" w:rsidP="00331DEB">
      <w:pPr>
        <w:numPr>
          <w:ilvl w:val="0"/>
          <w:numId w:val="10"/>
        </w:numPr>
        <w:spacing w:after="0" w:line="276" w:lineRule="auto"/>
        <w:jc w:val="both"/>
        <w:rPr>
          <w:rFonts w:ascii="Verdana" w:eastAsia="Calibri" w:hAnsi="Verdana" w:cs="Arial"/>
          <w:lang w:val="es-ES_tradnl"/>
        </w:rPr>
      </w:pPr>
      <w:r w:rsidRPr="00331DEB">
        <w:rPr>
          <w:rFonts w:ascii="Verdana" w:eastAsia="Calibri" w:hAnsi="Verdana" w:cs="Arial"/>
          <w:bCs/>
        </w:rPr>
        <w:t xml:space="preserve">Para la aplicación de lo anterior, se requiere el cumplimiento de los siguientes requisitos: i) el vicio a sanear tiene que ser de procedimiento o de forma, lo que significa que no es posible sanear a través de esta figura los vicios de fondo o sustanciales del acto o contrato, lo que lleva a que,  </w:t>
      </w:r>
      <w:proofErr w:type="spellStart"/>
      <w:r w:rsidRPr="00331DEB">
        <w:rPr>
          <w:rFonts w:ascii="Verdana" w:eastAsia="Calibri" w:hAnsi="Verdana" w:cs="Arial"/>
          <w:bCs/>
        </w:rPr>
        <w:t>ii</w:t>
      </w:r>
      <w:proofErr w:type="spellEnd"/>
      <w:r w:rsidRPr="00331DEB">
        <w:rPr>
          <w:rFonts w:ascii="Verdana" w:eastAsia="Calibri" w:hAnsi="Verdana" w:cs="Arial"/>
          <w:bCs/>
        </w:rPr>
        <w:t xml:space="preserve">) el vicio a </w:t>
      </w:r>
      <w:r w:rsidRPr="00331DEB">
        <w:rPr>
          <w:rFonts w:ascii="Verdana" w:eastAsia="Calibri" w:hAnsi="Verdana" w:cs="Arial"/>
          <w:bCs/>
        </w:rPr>
        <w:lastRenderedPageBreak/>
        <w:t xml:space="preserve">sanear no puede corresponder a  ninguna de las causales de nulidad absoluta o relativa de los contratos estatales, </w:t>
      </w:r>
      <w:proofErr w:type="spellStart"/>
      <w:r w:rsidRPr="00331DEB">
        <w:rPr>
          <w:rFonts w:ascii="Verdana" w:eastAsia="Calibri" w:hAnsi="Verdana" w:cs="Arial"/>
          <w:bCs/>
        </w:rPr>
        <w:t>iii</w:t>
      </w:r>
      <w:proofErr w:type="spellEnd"/>
      <w:r w:rsidRPr="00331DEB">
        <w:rPr>
          <w:rFonts w:ascii="Verdana" w:eastAsia="Calibri" w:hAnsi="Verdana" w:cs="Arial"/>
          <w:bCs/>
        </w:rPr>
        <w:t xml:space="preserve">) debe hacerse mediante acto administrativo motivado, </w:t>
      </w:r>
      <w:proofErr w:type="spellStart"/>
      <w:r w:rsidRPr="00331DEB">
        <w:rPr>
          <w:rFonts w:ascii="Verdana" w:eastAsia="Calibri" w:hAnsi="Verdana" w:cs="Arial"/>
          <w:bCs/>
        </w:rPr>
        <w:t>iv</w:t>
      </w:r>
      <w:proofErr w:type="spellEnd"/>
      <w:r w:rsidRPr="00331DEB">
        <w:rPr>
          <w:rFonts w:ascii="Verdana" w:eastAsia="Calibri" w:hAnsi="Verdana" w:cs="Arial"/>
          <w:bCs/>
        </w:rPr>
        <w:t>) el funcionario competente es el jefe o representante legal de la entidad y v) el saneamiento debe ocurrir cuando las necesidades del servicio lo exijan o a las reglas de la buena administración lo aconsejen.</w:t>
      </w:r>
    </w:p>
    <w:p w14:paraId="5342D9E9" w14:textId="77777777" w:rsidR="00331DEB" w:rsidRPr="00331DEB" w:rsidRDefault="00331DEB" w:rsidP="00331DEB">
      <w:pPr>
        <w:spacing w:after="0" w:line="276" w:lineRule="auto"/>
        <w:ind w:left="360"/>
        <w:jc w:val="both"/>
        <w:rPr>
          <w:rFonts w:ascii="Verdana" w:eastAsia="Calibri" w:hAnsi="Verdana" w:cs="Arial"/>
          <w:lang w:val="es-ES_tradnl"/>
        </w:rPr>
      </w:pPr>
    </w:p>
    <w:p w14:paraId="46AEAD6A" w14:textId="77777777" w:rsidR="00331DEB" w:rsidRPr="00331DEB" w:rsidRDefault="00331DEB" w:rsidP="00331DEB">
      <w:pPr>
        <w:numPr>
          <w:ilvl w:val="0"/>
          <w:numId w:val="10"/>
        </w:numPr>
        <w:spacing w:after="0" w:line="276" w:lineRule="auto"/>
        <w:jc w:val="both"/>
        <w:rPr>
          <w:rFonts w:ascii="Verdana" w:eastAsia="Calibri" w:hAnsi="Verdana" w:cs="Arial"/>
          <w:lang w:val="es-ES_tradnl"/>
        </w:rPr>
      </w:pPr>
      <w:r w:rsidRPr="00331DEB">
        <w:rPr>
          <w:rFonts w:ascii="Verdana" w:eastAsia="Calibri" w:hAnsi="Verdana" w:cs="Arial"/>
          <w:bCs/>
        </w:rPr>
        <w:t>En ese sentido, resulta relevante precisar, en primer lugar, que los vicios de procedimiento o de forma son aquellos que se presentan cuando la Administración no observa los requisitos previos y concomitantes a la expedición del acto administrativo, como la omisión de las etapas de la licitación o el desconocimiento del carácter preclusivo y perentorio de las mismas, lo que puede originar un vicio de nulidad de la adjudicación, pues las etapas previas a la expedición del acto administrativo constituyen formalidades que deben cumplirse, como elemento de validez de este. Como ha dicho la doctrina: “[…] la inobservancia de las “formas” y requisitos del procedimiento administrativo se traduce en un defecto de preparación de la voluntad administrativa (así la defensa en juicio en el procedimiento administrativo; la licitación pública para las contrataciones; el concurso para la provisión de cargos), […]”</w:t>
      </w:r>
      <w:r w:rsidRPr="00331DEB">
        <w:rPr>
          <w:rFonts w:ascii="Verdana" w:eastAsia="Calibri" w:hAnsi="Verdana" w:cs="Aptos Display"/>
          <w:color w:val="000000"/>
          <w:vertAlign w:val="superscript"/>
          <w:lang w:val="es-ES_tradnl"/>
        </w:rPr>
        <w:footnoteReference w:id="1"/>
      </w:r>
      <w:r w:rsidRPr="00331DEB">
        <w:rPr>
          <w:rFonts w:ascii="Verdana" w:eastAsia="Calibri" w:hAnsi="Verdana" w:cs="Aptos Display"/>
          <w:color w:val="000000"/>
          <w:lang w:val="es-ES_tradnl"/>
        </w:rPr>
        <w:t>.</w:t>
      </w:r>
    </w:p>
    <w:p w14:paraId="363F9952" w14:textId="77777777" w:rsidR="00331DEB" w:rsidRPr="00331DEB" w:rsidRDefault="00331DEB" w:rsidP="00331DEB">
      <w:pPr>
        <w:spacing w:after="0" w:line="256" w:lineRule="auto"/>
        <w:ind w:left="720"/>
        <w:contextualSpacing/>
        <w:rPr>
          <w:rFonts w:ascii="Verdana" w:eastAsia="Calibri" w:hAnsi="Verdana" w:cs="Arial"/>
          <w:lang w:val="es-ES"/>
        </w:rPr>
      </w:pPr>
    </w:p>
    <w:p w14:paraId="40E9A226" w14:textId="77777777" w:rsidR="00331DEB" w:rsidRPr="00331DEB" w:rsidRDefault="00331DEB" w:rsidP="00331DEB">
      <w:pPr>
        <w:numPr>
          <w:ilvl w:val="0"/>
          <w:numId w:val="10"/>
        </w:numPr>
        <w:spacing w:after="0" w:line="276" w:lineRule="auto"/>
        <w:jc w:val="both"/>
        <w:rPr>
          <w:rFonts w:ascii="Verdana" w:eastAsia="Calibri" w:hAnsi="Verdana" w:cs="Arial"/>
          <w:lang w:val="es-ES_tradnl"/>
        </w:rPr>
      </w:pPr>
      <w:r w:rsidRPr="00331DEB">
        <w:rPr>
          <w:rFonts w:ascii="Verdana" w:eastAsia="Calibri" w:hAnsi="Verdana" w:cs="Arial"/>
          <w:lang w:val="es-ES"/>
        </w:rPr>
        <w:t>El saneamiento de vicios, por su parte, ha sido definido por parte de la Sección Tercera del Consejo de Estado como la convalidación de los negocios que nacieron con un vicio de formación, de la siguiente manera:</w:t>
      </w:r>
    </w:p>
    <w:p w14:paraId="5DFE70F5" w14:textId="77777777" w:rsidR="00331DEB" w:rsidRPr="00331DEB" w:rsidRDefault="00331DEB" w:rsidP="00331DEB">
      <w:pPr>
        <w:spacing w:after="0" w:line="256" w:lineRule="auto"/>
        <w:ind w:left="720"/>
        <w:contextualSpacing/>
        <w:rPr>
          <w:rFonts w:ascii="Verdana" w:eastAsia="Calibri" w:hAnsi="Verdana" w:cs="Arial"/>
          <w:lang w:val="es-ES"/>
        </w:rPr>
      </w:pPr>
    </w:p>
    <w:p w14:paraId="05404917"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
        </w:rPr>
      </w:pPr>
      <w:r w:rsidRPr="00331DEB">
        <w:rPr>
          <w:rFonts w:ascii="Verdana" w:eastAsia="Calibri" w:hAnsi="Verdana" w:cs="Arial"/>
          <w:sz w:val="20"/>
          <w:szCs w:val="20"/>
          <w:lang w:val="es-ES"/>
        </w:rPr>
        <w:t xml:space="preserve">“La doctrina define el saneamiento del contrato como “la remoción legal o voluntaria de la invalidez del acto”, que en caso de ser voluntaria se produce a través de la convalidación. (…) Como se ha considerado por la Sección Tercera el saneamiento convalida los negocios que nacieron con un vicio en su formación, bien sea porque las partes satisfacen con posterioridad la deficiencia de la que adolecía el negocio o por el transcurso del tiempo necesario para que opere la prescripción extraordinaria (20 o 10 años según el caso). (…) No obstante, el saneamiento por ratificación opera exclusivamente cuando sobre el contrato recae un vicio que lo afecta de nulidad relativa. Cuando la nulidad se genera por la existencia de objeto o causa ilícitos no es posible sanear tal </w:t>
      </w:r>
      <w:r w:rsidRPr="00331DEB">
        <w:rPr>
          <w:rFonts w:ascii="Verdana" w:eastAsia="Calibri" w:hAnsi="Verdana" w:cs="Arial"/>
          <w:sz w:val="20"/>
          <w:szCs w:val="20"/>
          <w:lang w:val="es-ES"/>
        </w:rPr>
        <w:lastRenderedPageBreak/>
        <w:t>vicio por convalidación de las partes, en virtud del mandato legal contenido en el artículo 1742 del Código Civil”.</w:t>
      </w:r>
    </w:p>
    <w:p w14:paraId="0E40A1EB" w14:textId="77777777" w:rsidR="00331DEB" w:rsidRPr="00331DEB" w:rsidRDefault="00331DEB" w:rsidP="00331DEB">
      <w:pPr>
        <w:spacing w:after="0" w:line="256" w:lineRule="auto"/>
        <w:ind w:left="720"/>
        <w:contextualSpacing/>
        <w:rPr>
          <w:rFonts w:ascii="Verdana" w:eastAsia="Calibri" w:hAnsi="Verdana" w:cs="Arial"/>
          <w:lang w:val="es-ES"/>
        </w:rPr>
      </w:pPr>
    </w:p>
    <w:p w14:paraId="60906E70" w14:textId="77777777" w:rsidR="00331DEB" w:rsidRPr="00331DEB" w:rsidRDefault="00331DEB" w:rsidP="00331DEB">
      <w:pPr>
        <w:numPr>
          <w:ilvl w:val="0"/>
          <w:numId w:val="10"/>
        </w:numPr>
        <w:spacing w:after="0" w:line="276" w:lineRule="auto"/>
        <w:jc w:val="both"/>
        <w:rPr>
          <w:rFonts w:ascii="Verdana" w:eastAsia="Calibri" w:hAnsi="Verdana" w:cs="Arial"/>
          <w:lang w:val="es-ES_tradnl"/>
        </w:rPr>
      </w:pPr>
      <w:r w:rsidRPr="00331DEB">
        <w:rPr>
          <w:rFonts w:ascii="Verdana" w:eastAsia="Calibri" w:hAnsi="Verdana" w:cs="Arial"/>
          <w:lang w:val="es-ES"/>
        </w:rPr>
        <w:t>Aunque el artículo 49 de la Ley 80 de 1993 establece que “[a]</w:t>
      </w:r>
      <w:proofErr w:type="spellStart"/>
      <w:r w:rsidRPr="00331DEB">
        <w:rPr>
          <w:rFonts w:ascii="Verdana" w:eastAsia="Calibri" w:hAnsi="Verdana" w:cs="Arial"/>
          <w:lang w:val="es-ES"/>
        </w:rPr>
        <w:t>nte</w:t>
      </w:r>
      <w:proofErr w:type="spellEnd"/>
      <w:r w:rsidRPr="00331DEB">
        <w:rPr>
          <w:rFonts w:ascii="Verdana" w:eastAsia="Calibri" w:hAnsi="Verdana" w:cs="Arial"/>
          <w:lang w:val="es-ES"/>
        </w:rPr>
        <w:t xml:space="preserve"> la ocurrencia de vicios que no constituyan causales de nulidad y cuando las necesidades del servicio lo exijan o las reglas de la buena administración lo aconsejen, el jefe o representante legal de la entidad, en acto motivado, podrá sanear el correspondiente vicio” [énfasis fuera de texto], debe advertirse que este artículo condiciona dicha facultad de saneamiento de los defectos formales a que los vicios “no constituyan causales de nulidad”.</w:t>
      </w:r>
    </w:p>
    <w:p w14:paraId="1FE9B620" w14:textId="77777777" w:rsidR="00331DEB" w:rsidRPr="00331DEB" w:rsidRDefault="00331DEB" w:rsidP="00331DEB">
      <w:pPr>
        <w:spacing w:after="0" w:line="256" w:lineRule="auto"/>
        <w:ind w:left="720"/>
        <w:contextualSpacing/>
        <w:rPr>
          <w:rFonts w:ascii="Verdana" w:eastAsia="Calibri" w:hAnsi="Verdana" w:cs="Arial"/>
          <w:lang w:val="es-ES"/>
        </w:rPr>
      </w:pPr>
    </w:p>
    <w:p w14:paraId="63FCB1A1" w14:textId="77777777" w:rsidR="00331DEB" w:rsidRPr="00331DEB" w:rsidRDefault="00331DEB" w:rsidP="00331DEB">
      <w:pPr>
        <w:numPr>
          <w:ilvl w:val="0"/>
          <w:numId w:val="10"/>
        </w:numPr>
        <w:spacing w:after="0" w:line="276" w:lineRule="auto"/>
        <w:contextualSpacing/>
        <w:jc w:val="both"/>
        <w:rPr>
          <w:rFonts w:ascii="Verdana" w:eastAsia="Calibri" w:hAnsi="Verdana" w:cs="Arial"/>
          <w:lang w:val="es-ES_tradnl"/>
        </w:rPr>
      </w:pPr>
      <w:r w:rsidRPr="00331DEB">
        <w:rPr>
          <w:rFonts w:ascii="Verdana" w:eastAsia="Calibri" w:hAnsi="Verdana" w:cs="Arial"/>
          <w:lang w:val="es-ES"/>
        </w:rPr>
        <w:t>En ese sentido, es preciso indicar que el régimen de nulidades de los contratos estatales se encuentra regulado en el Estatuto General de Contratación de la Administración Pública, donde se establecen sus causales. Sin embargo, este integra, por remisión, las causales de nulidad del derecho civil y comercial. 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70375CAE" w14:textId="77777777" w:rsidR="00331DEB" w:rsidRPr="00331DEB" w:rsidRDefault="00331DEB" w:rsidP="00331DEB">
      <w:pPr>
        <w:spacing w:after="0" w:line="240" w:lineRule="auto"/>
        <w:ind w:left="720"/>
        <w:contextualSpacing/>
        <w:rPr>
          <w:rFonts w:ascii="Verdana" w:eastAsia="Calibri" w:hAnsi="Verdana" w:cs="Arial"/>
          <w:sz w:val="20"/>
          <w:szCs w:val="20"/>
          <w:lang w:val="es-ES_tradnl"/>
        </w:rPr>
      </w:pPr>
    </w:p>
    <w:p w14:paraId="16EB6E55"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
        </w:rPr>
      </w:pPr>
      <w:r w:rsidRPr="00331DEB">
        <w:rPr>
          <w:rFonts w:ascii="Verdana" w:eastAsia="Calibri" w:hAnsi="Verdana" w:cs="Arial"/>
          <w:sz w:val="20"/>
          <w:szCs w:val="20"/>
          <w:lang w:val="es-ES"/>
        </w:rPr>
        <w:t xml:space="preserve">“En tal virtud, la nulidad es la sanción de invalidez del contrato </w:t>
      </w:r>
      <w:proofErr w:type="gramStart"/>
      <w:r w:rsidRPr="00331DEB">
        <w:rPr>
          <w:rFonts w:ascii="Verdana" w:eastAsia="Calibri" w:hAnsi="Verdana" w:cs="Arial"/>
          <w:sz w:val="20"/>
          <w:szCs w:val="20"/>
          <w:lang w:val="es-ES"/>
        </w:rPr>
        <w:t>que</w:t>
      </w:r>
      <w:proofErr w:type="gramEnd"/>
      <w:r w:rsidRPr="00331DEB">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60F474BD"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r w:rsidRPr="00331DEB">
        <w:rPr>
          <w:rFonts w:ascii="Verdana" w:eastAsia="Calibri" w:hAnsi="Verdana" w:cs="Arial"/>
          <w:sz w:val="20"/>
          <w:szCs w:val="20"/>
          <w:lang w:val="es-ES_tradnl"/>
        </w:rPr>
        <w:t>[…]</w:t>
      </w:r>
    </w:p>
    <w:p w14:paraId="1D2F69E7"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
        </w:rPr>
      </w:pPr>
      <w:r w:rsidRPr="00331DEB">
        <w:rPr>
          <w:rFonts w:ascii="Verdana" w:eastAsia="Calibri" w:hAnsi="Verdana" w:cs="Arial"/>
          <w:sz w:val="20"/>
          <w:szCs w:val="20"/>
          <w:lang w:val="es-ES"/>
        </w:rPr>
        <w:t xml:space="preserve">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w:t>
      </w:r>
      <w:r w:rsidRPr="00331DEB">
        <w:rPr>
          <w:rFonts w:ascii="Verdana" w:eastAsia="Calibri" w:hAnsi="Verdana" w:cs="Arial"/>
          <w:sz w:val="20"/>
          <w:szCs w:val="20"/>
          <w:lang w:val="es-ES"/>
        </w:rPr>
        <w:lastRenderedPageBreak/>
        <w:t xml:space="preserve">899 y ss. del Código de Comercio., 44 de la Ley 80 de 1993). (…) la nulidad es la sanción de invalidez del contrato </w:t>
      </w:r>
      <w:proofErr w:type="gramStart"/>
      <w:r w:rsidRPr="00331DEB">
        <w:rPr>
          <w:rFonts w:ascii="Verdana" w:eastAsia="Calibri" w:hAnsi="Verdana" w:cs="Arial"/>
          <w:sz w:val="20"/>
          <w:szCs w:val="20"/>
          <w:lang w:val="es-ES"/>
        </w:rPr>
        <w:t>que</w:t>
      </w:r>
      <w:proofErr w:type="gramEnd"/>
      <w:r w:rsidRPr="00331DEB">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p>
    <w:p w14:paraId="3EFE8455" w14:textId="77777777" w:rsidR="00331DEB" w:rsidRPr="00331DEB" w:rsidRDefault="00331DEB" w:rsidP="00331DEB">
      <w:pPr>
        <w:spacing w:after="0" w:line="276" w:lineRule="auto"/>
        <w:ind w:left="360"/>
        <w:contextualSpacing/>
        <w:jc w:val="both"/>
        <w:rPr>
          <w:rFonts w:ascii="Verdana" w:eastAsia="Calibri" w:hAnsi="Verdana" w:cs="Arial"/>
          <w:lang w:val="es-ES_tradnl"/>
        </w:rPr>
      </w:pPr>
    </w:p>
    <w:p w14:paraId="45277A4F" w14:textId="77777777" w:rsidR="00331DEB" w:rsidRPr="00331DEB" w:rsidRDefault="00331DEB" w:rsidP="00331DEB">
      <w:pPr>
        <w:numPr>
          <w:ilvl w:val="0"/>
          <w:numId w:val="10"/>
        </w:numPr>
        <w:spacing w:after="0" w:line="276" w:lineRule="auto"/>
        <w:jc w:val="both"/>
        <w:rPr>
          <w:rFonts w:ascii="Verdana" w:eastAsia="Calibri" w:hAnsi="Verdana" w:cs="Arial"/>
          <w:lang w:val="es-ES_tradnl"/>
        </w:rPr>
      </w:pPr>
      <w:r w:rsidRPr="00331DEB">
        <w:rPr>
          <w:rFonts w:ascii="Verdana" w:eastAsia="Calibri" w:hAnsi="Verdana" w:cs="Arial"/>
          <w:lang w:val="es-ES_tradnl"/>
        </w:rPr>
        <w:t>El Código Civil establece que “es nulo todo acto o contrato a que falta alguno de los requisitos que la ley prescribe para el valor del mismo acto o contrato según su especie y la calidad o estado de las partes”</w:t>
      </w:r>
      <w:r w:rsidRPr="00331DEB">
        <w:rPr>
          <w:rFonts w:ascii="Verdana" w:eastAsia="Aptos" w:hAnsi="Verdana" w:cs="Times New Roman"/>
          <w:vertAlign w:val="superscript"/>
          <w:lang w:val="es-MX"/>
        </w:rPr>
        <w:footnoteReference w:id="2"/>
      </w:r>
      <w:r w:rsidRPr="00331DEB">
        <w:rPr>
          <w:rFonts w:ascii="Verdana" w:eastAsia="Aptos" w:hAnsi="Verdana" w:cs="Times New Roman"/>
          <w:lang w:val="es-MX"/>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331DEB">
        <w:rPr>
          <w:rFonts w:ascii="Verdana" w:eastAsia="Arial" w:hAnsi="Verdana" w:cs="Arial"/>
          <w:vertAlign w:val="superscript"/>
          <w:lang w:val="es-ES"/>
        </w:rPr>
        <w:footnoteReference w:id="3"/>
      </w:r>
      <w:r w:rsidRPr="00331DEB">
        <w:rPr>
          <w:rFonts w:ascii="Verdana" w:eastAsia="Arial" w:hAnsi="Verdana" w:cs="Arial"/>
          <w:lang w:val="es-ES"/>
        </w:rPr>
        <w:t>.</w:t>
      </w:r>
      <w:r w:rsidRPr="00331DEB">
        <w:rPr>
          <w:rFonts w:ascii="Aptos" w:eastAsia="Aptos" w:hAnsi="Aptos" w:cs="Times New Roman"/>
          <w:lang w:val="es-ES"/>
        </w:rPr>
        <w:t xml:space="preserve"> </w:t>
      </w:r>
      <w:r w:rsidRPr="00331DEB">
        <w:rPr>
          <w:rFonts w:ascii="Verdana" w:eastAsia="Arial" w:hAnsi="Verdana" w:cs="Arial"/>
          <w:lang w:val="es-ES"/>
        </w:rPr>
        <w:t xml:space="preserve">De esta forma, en el derecho común se establecen como causales de nulidad: i) el objeto ilícito, </w:t>
      </w:r>
      <w:proofErr w:type="spellStart"/>
      <w:r w:rsidRPr="00331DEB">
        <w:rPr>
          <w:rFonts w:ascii="Verdana" w:eastAsia="Arial" w:hAnsi="Verdana" w:cs="Arial"/>
          <w:lang w:val="es-ES"/>
        </w:rPr>
        <w:t>ii</w:t>
      </w:r>
      <w:proofErr w:type="spellEnd"/>
      <w:r w:rsidRPr="00331DEB">
        <w:rPr>
          <w:rFonts w:ascii="Verdana" w:eastAsia="Arial" w:hAnsi="Verdana" w:cs="Arial"/>
          <w:lang w:val="es-ES"/>
        </w:rPr>
        <w:t xml:space="preserve">) la causa ilícita, </w:t>
      </w:r>
      <w:proofErr w:type="spellStart"/>
      <w:r w:rsidRPr="00331DEB">
        <w:rPr>
          <w:rFonts w:ascii="Verdana" w:eastAsia="Arial" w:hAnsi="Verdana" w:cs="Arial"/>
          <w:lang w:val="es-ES"/>
        </w:rPr>
        <w:t>iii</w:t>
      </w:r>
      <w:proofErr w:type="spellEnd"/>
      <w:r w:rsidRPr="00331DEB">
        <w:rPr>
          <w:rFonts w:ascii="Verdana" w:eastAsia="Arial" w:hAnsi="Verdana" w:cs="Arial"/>
          <w:lang w:val="es-ES"/>
        </w:rPr>
        <w:t xml:space="preserve">) omisión de las formas solemnes en su celebración, </w:t>
      </w:r>
      <w:proofErr w:type="spellStart"/>
      <w:r w:rsidRPr="00331DEB">
        <w:rPr>
          <w:rFonts w:ascii="Verdana" w:eastAsia="Arial" w:hAnsi="Verdana" w:cs="Arial"/>
          <w:lang w:val="es-ES"/>
        </w:rPr>
        <w:t>iv</w:t>
      </w:r>
      <w:proofErr w:type="spellEnd"/>
      <w:r w:rsidRPr="00331DEB">
        <w:rPr>
          <w:rFonts w:ascii="Verdana" w:eastAsia="Arial" w:hAnsi="Verdana" w:cs="Arial"/>
          <w:lang w:val="es-ES"/>
        </w:rPr>
        <w:t>) incapacidad absoluta de uno de los contratantes</w:t>
      </w:r>
      <w:r w:rsidRPr="00331DEB">
        <w:rPr>
          <w:rFonts w:ascii="Verdana" w:eastAsia="Arial" w:hAnsi="Verdana" w:cs="Arial"/>
          <w:vertAlign w:val="superscript"/>
          <w:lang w:val="es-ES"/>
        </w:rPr>
        <w:footnoteReference w:id="4"/>
      </w:r>
      <w:r w:rsidRPr="00331DEB">
        <w:rPr>
          <w:rFonts w:ascii="Verdana" w:eastAsia="Arial" w:hAnsi="Verdana" w:cs="Arial"/>
          <w:lang w:val="es-ES"/>
        </w:rPr>
        <w:t>.</w:t>
      </w:r>
    </w:p>
    <w:p w14:paraId="168C02D7" w14:textId="77777777" w:rsidR="00331DEB" w:rsidRPr="00331DEB" w:rsidRDefault="00331DEB" w:rsidP="00331DEB">
      <w:pPr>
        <w:spacing w:after="0" w:line="256" w:lineRule="auto"/>
        <w:ind w:left="720"/>
        <w:contextualSpacing/>
        <w:rPr>
          <w:rFonts w:ascii="Verdana" w:eastAsia="Calibri" w:hAnsi="Verdana" w:cs="Arial"/>
          <w:lang w:val="es-ES"/>
        </w:rPr>
      </w:pPr>
    </w:p>
    <w:p w14:paraId="1455B94A" w14:textId="77777777" w:rsidR="00331DEB" w:rsidRPr="00331DEB" w:rsidRDefault="00331DEB" w:rsidP="00331DEB">
      <w:pPr>
        <w:numPr>
          <w:ilvl w:val="0"/>
          <w:numId w:val="10"/>
        </w:numPr>
        <w:spacing w:after="0" w:line="276" w:lineRule="auto"/>
        <w:jc w:val="both"/>
        <w:rPr>
          <w:rFonts w:ascii="Verdana" w:eastAsia="Calibri" w:hAnsi="Verdana" w:cs="Arial"/>
          <w:lang w:val="es-ES_tradnl"/>
        </w:rPr>
      </w:pPr>
      <w:r w:rsidRPr="00331DEB">
        <w:rPr>
          <w:rFonts w:ascii="Verdana" w:eastAsia="Calibri" w:hAnsi="Verdana" w:cs="Arial"/>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331DEB">
        <w:rPr>
          <w:rFonts w:ascii="Verdana" w:eastAsia="Calibri" w:hAnsi="Verdana" w:cs="Arial"/>
        </w:rPr>
        <w:t>ii</w:t>
      </w:r>
      <w:proofErr w:type="spellEnd"/>
      <w:r w:rsidRPr="00331DEB">
        <w:rPr>
          <w:rFonts w:ascii="Verdana" w:eastAsia="Calibri" w:hAnsi="Verdana" w:cs="Arial"/>
        </w:rPr>
        <w:t xml:space="preserve">) se celebre contra expresa prohibición constitucional o legal, </w:t>
      </w:r>
      <w:proofErr w:type="spellStart"/>
      <w:r w:rsidRPr="00331DEB">
        <w:rPr>
          <w:rFonts w:ascii="Verdana" w:eastAsia="Calibri" w:hAnsi="Verdana" w:cs="Arial"/>
        </w:rPr>
        <w:t>iii</w:t>
      </w:r>
      <w:proofErr w:type="spellEnd"/>
      <w:r w:rsidRPr="00331DEB">
        <w:rPr>
          <w:rFonts w:ascii="Verdana" w:eastAsia="Calibri" w:hAnsi="Verdana" w:cs="Arial"/>
        </w:rPr>
        <w:t xml:space="preserve">) se celebre con abuso o desviación de poder, </w:t>
      </w:r>
      <w:proofErr w:type="spellStart"/>
      <w:r w:rsidRPr="00331DEB">
        <w:rPr>
          <w:rFonts w:ascii="Verdana" w:eastAsia="Calibri" w:hAnsi="Verdana" w:cs="Arial"/>
        </w:rPr>
        <w:t>iv</w:t>
      </w:r>
      <w:proofErr w:type="spellEnd"/>
      <w:r w:rsidRPr="00331DEB">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r w:rsidRPr="00331DEB">
        <w:rPr>
          <w:rFonts w:ascii="Verdana" w:eastAsia="Arial" w:hAnsi="Verdana" w:cs="Arial"/>
          <w:vertAlign w:val="superscript"/>
          <w:lang w:val="es-ES"/>
        </w:rPr>
        <w:footnoteReference w:id="5"/>
      </w:r>
      <w:r w:rsidRPr="00331DEB">
        <w:rPr>
          <w:rFonts w:ascii="Verdana" w:eastAsia="Arial" w:hAnsi="Verdana" w:cs="Arial"/>
          <w:lang w:val="es-ES"/>
        </w:rPr>
        <w:t>.</w:t>
      </w:r>
    </w:p>
    <w:p w14:paraId="37B214CA" w14:textId="77777777" w:rsidR="00331DEB" w:rsidRPr="00331DEB" w:rsidRDefault="00331DEB" w:rsidP="00331DEB">
      <w:pPr>
        <w:spacing w:after="0" w:line="276" w:lineRule="auto"/>
        <w:jc w:val="both"/>
        <w:rPr>
          <w:rFonts w:ascii="Verdana" w:eastAsia="Calibri" w:hAnsi="Verdana" w:cs="Arial"/>
          <w:lang w:val="es-ES_tradnl"/>
        </w:rPr>
      </w:pPr>
    </w:p>
    <w:p w14:paraId="45D4591B" w14:textId="77777777" w:rsidR="00331DEB" w:rsidRPr="00331DEB" w:rsidRDefault="00331DEB" w:rsidP="00331DEB">
      <w:pPr>
        <w:numPr>
          <w:ilvl w:val="0"/>
          <w:numId w:val="10"/>
        </w:numPr>
        <w:spacing w:after="0" w:line="276" w:lineRule="auto"/>
        <w:jc w:val="both"/>
        <w:rPr>
          <w:rFonts w:ascii="Verdana" w:eastAsia="Calibri" w:hAnsi="Verdana" w:cs="Arial"/>
          <w:lang w:val="es-ES_tradnl"/>
        </w:rPr>
      </w:pPr>
      <w:r w:rsidRPr="00331DEB">
        <w:rPr>
          <w:rFonts w:ascii="Verdana" w:eastAsia="Calibri" w:hAnsi="Verdana" w:cs="Arial"/>
          <w:bCs/>
        </w:rPr>
        <w:t>En lo referente a la nulidad relativa, tanto la Ley 80 de 1993</w:t>
      </w:r>
      <w:r w:rsidRPr="00331DEB">
        <w:rPr>
          <w:rFonts w:ascii="Verdana" w:eastAsia="Arial" w:hAnsi="Verdana" w:cs="Arial"/>
          <w:vertAlign w:val="superscript"/>
          <w:lang w:val="es-ES"/>
        </w:rPr>
        <w:footnoteReference w:id="6"/>
      </w:r>
      <w:r w:rsidRPr="00331DEB">
        <w:rPr>
          <w:rFonts w:ascii="Verdana" w:eastAsia="Calibri" w:hAnsi="Verdana" w:cs="Arial"/>
          <w:bCs/>
        </w:rPr>
        <w:t xml:space="preserve"> como el Código Civil</w:t>
      </w:r>
      <w:r w:rsidRPr="00331DEB">
        <w:rPr>
          <w:rFonts w:ascii="Verdana" w:eastAsia="Arial" w:hAnsi="Verdana" w:cs="Arial"/>
          <w:vertAlign w:val="superscript"/>
          <w:lang w:val="es-ES"/>
        </w:rPr>
        <w:footnoteReference w:id="7"/>
      </w:r>
      <w:r w:rsidRPr="00331DEB">
        <w:rPr>
          <w:rFonts w:ascii="Verdana" w:eastAsia="Arial" w:hAnsi="Verdana" w:cs="Arial"/>
          <w:lang w:val="es-ES"/>
        </w:rPr>
        <w:t xml:space="preserve"> </w:t>
      </w:r>
      <w:r w:rsidRPr="00331DEB">
        <w:rPr>
          <w:rFonts w:ascii="Verdana" w:eastAsia="Calibri" w:hAnsi="Verdana" w:cs="Arial"/>
          <w:bCs/>
        </w:rPr>
        <w:t>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 Entonces, para efectos de poder determinar cuáles son aquellos vicios que no producen la nulidad del contrato y que pueden ser objeto de saneamiento en virtud del artículo 49 de la Ley 80 de 1993, merece especial atención la Sentencia del 12 de agosto de 2014 del Consejo de Estado</w:t>
      </w:r>
      <w:r w:rsidRPr="00331DEB">
        <w:rPr>
          <w:rFonts w:ascii="Verdana" w:eastAsia="Aptos" w:hAnsi="Verdana" w:cs="Arial"/>
          <w:color w:val="000000"/>
          <w:vertAlign w:val="superscript"/>
        </w:rPr>
        <w:footnoteReference w:id="8"/>
      </w:r>
      <w:r w:rsidRPr="00331DEB">
        <w:rPr>
          <w:rFonts w:ascii="Verdana" w:eastAsia="Calibri" w:hAnsi="Verdana" w:cs="Arial"/>
          <w:bCs/>
        </w:rPr>
        <w:t xml:space="preserve">, que por su relevancia se cita </w:t>
      </w:r>
      <w:proofErr w:type="gramStart"/>
      <w:r w:rsidRPr="00331DEB">
        <w:rPr>
          <w:rFonts w:ascii="Verdana" w:eastAsia="Calibri" w:hAnsi="Verdana" w:cs="Arial"/>
          <w:bCs/>
          <w:i/>
          <w:iCs/>
        </w:rPr>
        <w:t>in extenso</w:t>
      </w:r>
      <w:proofErr w:type="gramEnd"/>
      <w:r w:rsidRPr="00331DEB">
        <w:rPr>
          <w:rFonts w:ascii="Verdana" w:eastAsia="Calibri" w:hAnsi="Verdana" w:cs="Arial"/>
          <w:bCs/>
        </w:rPr>
        <w:t>:</w:t>
      </w:r>
    </w:p>
    <w:p w14:paraId="7E6B44D6" w14:textId="77777777" w:rsidR="00331DEB" w:rsidRPr="00331DEB" w:rsidRDefault="00331DEB" w:rsidP="00331DEB">
      <w:pPr>
        <w:spacing w:after="0" w:line="256" w:lineRule="auto"/>
        <w:ind w:left="720"/>
        <w:contextualSpacing/>
        <w:rPr>
          <w:rFonts w:ascii="Verdana" w:eastAsia="Calibri" w:hAnsi="Verdana" w:cs="Arial"/>
          <w:lang w:val="es-ES_tradnl"/>
        </w:rPr>
      </w:pPr>
    </w:p>
    <w:p w14:paraId="743CB263"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r w:rsidRPr="00331DEB">
        <w:rPr>
          <w:rFonts w:ascii="Verdana" w:eastAsia="Calibri" w:hAnsi="Verdana" w:cs="Arial"/>
          <w:sz w:val="20"/>
          <w:szCs w:val="20"/>
          <w:lang w:val="es-ES_tradnl"/>
        </w:rPr>
        <w:t>“[…] Lo expresado hasta ahora significa que no cualquier defecto o irregularidad en la contratación estatal produce la nulidad el contrato, ni siquiera la relativa. De hecho, hay que distinguir los defectos que se presentan en las distintas etapas: proceso de selección, 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p>
    <w:p w14:paraId="5794687D"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p>
    <w:p w14:paraId="73796C3B"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r w:rsidRPr="00331DEB">
        <w:rPr>
          <w:rFonts w:ascii="Verdana" w:eastAsia="Calibri" w:hAnsi="Verdana" w:cs="Arial"/>
          <w:sz w:val="20"/>
          <w:szCs w:val="20"/>
          <w:lang w:val="es-ES_tradnl"/>
        </w:rPr>
        <w:t>Para mayor precisión, ni siquiera toda irregularidad que ocurra en las etapas de selección y perfeccionamiento del contrato producen, irremediablemente, su nulidad. Sólo producen esa consecuencia los defectos que se enmarquen, con precisión, en las causales legales o constitucionales. De hecho, el art. 49 de la Ley 80 de 1993 consagra la regla inversa:</w:t>
      </w:r>
    </w:p>
    <w:p w14:paraId="143A180F"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p>
    <w:p w14:paraId="13B9BE69"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r w:rsidRPr="00331DEB">
        <w:rPr>
          <w:rFonts w:ascii="Verdana" w:eastAsia="Calibri" w:hAnsi="Verdana" w:cs="Arial"/>
          <w:sz w:val="20"/>
          <w:szCs w:val="20"/>
          <w:lang w:val="es-ES_tradnl"/>
        </w:rPr>
        <w:lastRenderedPageBreak/>
        <w:t>Art. 49. Del saneamiento de los vicios de procedimiento o de forma. Ante la ocurrencia de vicios que no constituyan causales de nulidad y cuando las necesidades del servicio lo exijan o las reglas de la buena administración lo aconsejen, el jefe o representante legal de la entidad, en acto motivado, podrá sanear el correspondiente vicio.</w:t>
      </w:r>
    </w:p>
    <w:p w14:paraId="57CA7625"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p>
    <w:p w14:paraId="0D234588"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
        </w:rPr>
      </w:pPr>
      <w:r w:rsidRPr="00331DEB">
        <w:rPr>
          <w:rFonts w:ascii="Verdana" w:eastAsia="Calibri" w:hAnsi="Verdana" w:cs="Arial"/>
          <w:sz w:val="20"/>
          <w:szCs w:val="20"/>
          <w:lang w:val="es-ES"/>
        </w:rPr>
        <w:t xml:space="preserve">Esta norma, armonizada con las que describen las causales de nulidad, reclama un listado de defectos o irregularidades que producen la nulidad absoluta o relativa, y otro listado de las que no tienen esa consecuencia -pese a existir un defecto -. Esta providencia no asumirá esa tarea, enorme y casuística, pese a que bastaría ordenar las sentencias para concretar muchas respuestas. No obstante, a la jurisprudencia le falta analizar cuándo la omisión de ciertos requisitos produce la nulidad del contrato. Por ejemplo: i) falta de estudios de oportunidad y conveniencia, </w:t>
      </w:r>
      <w:proofErr w:type="spellStart"/>
      <w:r w:rsidRPr="00331DEB">
        <w:rPr>
          <w:rFonts w:ascii="Verdana" w:eastAsia="Calibri" w:hAnsi="Verdana" w:cs="Arial"/>
          <w:sz w:val="20"/>
          <w:szCs w:val="20"/>
          <w:lang w:val="es-ES"/>
        </w:rPr>
        <w:t>ii</w:t>
      </w:r>
      <w:proofErr w:type="spellEnd"/>
      <w:r w:rsidRPr="00331DEB">
        <w:rPr>
          <w:rFonts w:ascii="Verdana" w:eastAsia="Calibri" w:hAnsi="Verdana" w:cs="Arial"/>
          <w:sz w:val="20"/>
          <w:szCs w:val="20"/>
          <w:lang w:val="es-ES"/>
        </w:rPr>
        <w:t xml:space="preserve">) falta de convocatoria pública, </w:t>
      </w:r>
      <w:proofErr w:type="spellStart"/>
      <w:r w:rsidRPr="00331DEB">
        <w:rPr>
          <w:rFonts w:ascii="Verdana" w:eastAsia="Calibri" w:hAnsi="Verdana" w:cs="Arial"/>
          <w:sz w:val="20"/>
          <w:szCs w:val="20"/>
          <w:lang w:val="es-ES"/>
        </w:rPr>
        <w:t>iii</w:t>
      </w:r>
      <w:proofErr w:type="spellEnd"/>
      <w:r w:rsidRPr="00331DEB">
        <w:rPr>
          <w:rFonts w:ascii="Verdana" w:eastAsia="Calibri" w:hAnsi="Verdana" w:cs="Arial"/>
          <w:sz w:val="20"/>
          <w:szCs w:val="20"/>
          <w:lang w:val="es-ES"/>
        </w:rPr>
        <w:t xml:space="preserve">) falta de estudios y documentos previos de la contratación, </w:t>
      </w:r>
      <w:proofErr w:type="spellStart"/>
      <w:r w:rsidRPr="00331DEB">
        <w:rPr>
          <w:rFonts w:ascii="Verdana" w:eastAsia="Calibri" w:hAnsi="Verdana" w:cs="Arial"/>
          <w:sz w:val="20"/>
          <w:szCs w:val="20"/>
          <w:lang w:val="es-ES"/>
        </w:rPr>
        <w:t>iv</w:t>
      </w:r>
      <w:proofErr w:type="spellEnd"/>
      <w:r w:rsidRPr="00331DEB">
        <w:rPr>
          <w:rFonts w:ascii="Verdana" w:eastAsia="Calibri" w:hAnsi="Verdana" w:cs="Arial"/>
          <w:sz w:val="20"/>
          <w:szCs w:val="20"/>
          <w:lang w:val="es-ES"/>
        </w:rPr>
        <w:t xml:space="preserve">) falta de licencia ambiental –cuando se requiere-, v) falta de prepliego, vi) falta de avisos en la página web, </w:t>
      </w:r>
      <w:proofErr w:type="spellStart"/>
      <w:r w:rsidRPr="00331DEB">
        <w:rPr>
          <w:rFonts w:ascii="Verdana" w:eastAsia="Calibri" w:hAnsi="Verdana" w:cs="Arial"/>
          <w:sz w:val="20"/>
          <w:szCs w:val="20"/>
          <w:lang w:val="es-ES"/>
        </w:rPr>
        <w:t>vii</w:t>
      </w:r>
      <w:proofErr w:type="spellEnd"/>
      <w:r w:rsidRPr="00331DEB">
        <w:rPr>
          <w:rFonts w:ascii="Verdana" w:eastAsia="Calibri" w:hAnsi="Verdana" w:cs="Arial"/>
          <w:sz w:val="20"/>
          <w:szCs w:val="20"/>
          <w:lang w:val="es-ES"/>
        </w:rPr>
        <w:t xml:space="preserve">) ausencia de acto de apertura, </w:t>
      </w:r>
      <w:proofErr w:type="spellStart"/>
      <w:r w:rsidRPr="00331DEB">
        <w:rPr>
          <w:rFonts w:ascii="Verdana" w:eastAsia="Calibri" w:hAnsi="Verdana" w:cs="Arial"/>
          <w:sz w:val="20"/>
          <w:szCs w:val="20"/>
          <w:lang w:val="es-ES"/>
        </w:rPr>
        <w:t>viii</w:t>
      </w:r>
      <w:proofErr w:type="spellEnd"/>
      <w:r w:rsidRPr="00331DEB">
        <w:rPr>
          <w:rFonts w:ascii="Verdana" w:eastAsia="Calibri" w:hAnsi="Verdana" w:cs="Arial"/>
          <w:sz w:val="20"/>
          <w:szCs w:val="20"/>
          <w:lang w:val="es-ES"/>
        </w:rPr>
        <w:t xml:space="preserve">) falta de pliego definitivo, </w:t>
      </w:r>
      <w:proofErr w:type="spellStart"/>
      <w:r w:rsidRPr="00331DEB">
        <w:rPr>
          <w:rFonts w:ascii="Verdana" w:eastAsia="Calibri" w:hAnsi="Verdana" w:cs="Arial"/>
          <w:sz w:val="20"/>
          <w:szCs w:val="20"/>
          <w:lang w:val="es-ES"/>
        </w:rPr>
        <w:t>ix</w:t>
      </w:r>
      <w:proofErr w:type="spellEnd"/>
      <w:r w:rsidRPr="00331DEB">
        <w:rPr>
          <w:rFonts w:ascii="Verdana" w:eastAsia="Calibri" w:hAnsi="Verdana" w:cs="Arial"/>
          <w:sz w:val="20"/>
          <w:szCs w:val="20"/>
          <w:lang w:val="es-ES"/>
        </w:rPr>
        <w:t>) falta de evaluación de ofertas, x) no poner el informe de evaluación de ofertas a disposición de los oferentes, xi) no celebrar audiencia de adjudicación, entre otros”.</w:t>
      </w:r>
    </w:p>
    <w:p w14:paraId="1D2F2EF3"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p>
    <w:p w14:paraId="3628F120" w14:textId="77777777" w:rsidR="00331DEB" w:rsidRPr="00331DEB" w:rsidRDefault="00331DEB" w:rsidP="00331DEB">
      <w:pPr>
        <w:spacing w:after="0" w:line="240" w:lineRule="auto"/>
        <w:ind w:left="1276" w:right="1276"/>
        <w:contextualSpacing/>
        <w:jc w:val="both"/>
        <w:rPr>
          <w:rFonts w:ascii="Verdana" w:eastAsia="Calibri" w:hAnsi="Verdana" w:cs="Arial"/>
          <w:sz w:val="20"/>
          <w:szCs w:val="20"/>
          <w:lang w:val="es-ES_tradnl"/>
        </w:rPr>
      </w:pPr>
      <w:r w:rsidRPr="00331DEB">
        <w:rPr>
          <w:rFonts w:ascii="Verdana" w:eastAsia="Calibri" w:hAnsi="Verdana" w:cs="Arial"/>
          <w:sz w:val="20"/>
          <w:szCs w:val="20"/>
          <w:lang w:val="es-ES_tradnl"/>
        </w:rPr>
        <w:t>No obstante, la regla que introduce el art. 49 es el saneamiento general, así que la norma autoriza regularizar buena parte de los defectos cometidos con ocasión de los procesos de contratación.</w:t>
      </w:r>
    </w:p>
    <w:p w14:paraId="5BB73217" w14:textId="77777777" w:rsidR="00331DEB" w:rsidRPr="00331DEB" w:rsidRDefault="00331DEB" w:rsidP="00331DEB">
      <w:pPr>
        <w:spacing w:after="0" w:line="256" w:lineRule="auto"/>
        <w:ind w:left="720"/>
        <w:contextualSpacing/>
        <w:rPr>
          <w:rFonts w:ascii="Verdana" w:eastAsia="Calibri" w:hAnsi="Verdana" w:cs="Arial"/>
          <w:lang w:val="es-ES_tradnl"/>
        </w:rPr>
      </w:pPr>
    </w:p>
    <w:p w14:paraId="1E09718D" w14:textId="77777777" w:rsidR="00331DEB" w:rsidRPr="00331DEB" w:rsidRDefault="00331DEB" w:rsidP="00331DEB">
      <w:pPr>
        <w:numPr>
          <w:ilvl w:val="0"/>
          <w:numId w:val="10"/>
        </w:numPr>
        <w:spacing w:after="0" w:line="276" w:lineRule="auto"/>
        <w:jc w:val="both"/>
        <w:rPr>
          <w:rFonts w:ascii="Verdana" w:eastAsia="Calibri" w:hAnsi="Verdana" w:cs="Arial"/>
          <w:lang w:val="es-ES"/>
        </w:rPr>
      </w:pPr>
      <w:r w:rsidRPr="00331DEB">
        <w:rPr>
          <w:rFonts w:ascii="Verdana" w:eastAsia="Calibri" w:hAnsi="Verdana" w:cs="Arial"/>
          <w:lang w:val="es-ES"/>
        </w:rPr>
        <w:t>En línea con lo anterior, puede colegirse que, solamente aquellos vicios que no se encuentren tipificados en la Ley 80 de 1993, en el Código Civil y el Código de Comercio como causales de nulidad, podrán ser saneados directamente por la entidad. De ahí que, corresponda a las Entidades Estatales según las reglas señaladas en las disposiciones aplicables, determinar cuándo se está frente a una situación que amerite el saneamiento de algún vicio del contrato o, las circunstancias en las que, sobre este, se requiera su declaratoria de nulidad.</w:t>
      </w:r>
    </w:p>
    <w:p w14:paraId="6B55F5DA" w14:textId="77777777" w:rsidR="00331DEB" w:rsidRPr="00331DEB" w:rsidRDefault="00331DEB" w:rsidP="00331DEB">
      <w:pPr>
        <w:spacing w:after="0" w:line="276" w:lineRule="auto"/>
        <w:ind w:left="360"/>
        <w:jc w:val="both"/>
        <w:rPr>
          <w:rFonts w:ascii="Verdana" w:eastAsia="Calibri" w:hAnsi="Verdana" w:cs="Arial"/>
          <w:lang w:val="es-ES"/>
        </w:rPr>
      </w:pPr>
    </w:p>
    <w:p w14:paraId="5BC59EE9" w14:textId="77777777" w:rsidR="00331DEB" w:rsidRPr="00331DEB" w:rsidRDefault="00331DEB" w:rsidP="00331DEB">
      <w:pPr>
        <w:numPr>
          <w:ilvl w:val="0"/>
          <w:numId w:val="10"/>
        </w:numPr>
        <w:spacing w:after="0" w:line="276" w:lineRule="auto"/>
        <w:jc w:val="both"/>
        <w:rPr>
          <w:rFonts w:ascii="Verdana" w:eastAsia="Calibri" w:hAnsi="Verdana" w:cs="Arial"/>
          <w:lang w:val="es-ES"/>
        </w:rPr>
      </w:pPr>
      <w:r w:rsidRPr="00331DEB">
        <w:rPr>
          <w:rFonts w:ascii="Verdana" w:eastAsia="Calibri" w:hAnsi="Verdana" w:cs="Arial"/>
          <w:lang w:val="es-ES"/>
        </w:rPr>
        <w:t xml:space="preserve">Ahora bien, y con el fin de atender el tema objeto de la consulta, resulta a bien indicar que, pese a que el Estatuto General de Contratación de la Administración Pública –Ley 80 de 1993, Ley 1150 de 2007, Decreto 1082 de 2015 y demás normas que lo modifiquen o complementen– no establece la forma en la que han de interpretarse los contratos estatales, esto con el fin </w:t>
      </w:r>
      <w:r w:rsidRPr="00331DEB">
        <w:rPr>
          <w:rFonts w:ascii="Verdana" w:eastAsia="Calibri" w:hAnsi="Verdana" w:cs="Arial"/>
          <w:lang w:val="es-ES"/>
        </w:rPr>
        <w:lastRenderedPageBreak/>
        <w:t>de resolver ciertas discrepancias que puedan surgir entre las partes que lo suscriben, permite que aquellos vacíos o asuntos que no se encuentren expresamente regulados en él, puedan resolverse con fundamento en las disposiciones contenidas en el derecho privado –Disposiciones comerciales y civiles–. Lo anterior, de acuerdo con lo establecido en los artículos 13, 32 y 40 de la Ley 80 de 1993.</w:t>
      </w:r>
    </w:p>
    <w:p w14:paraId="476E2E14" w14:textId="77777777" w:rsidR="00331DEB" w:rsidRPr="00331DEB" w:rsidRDefault="00331DEB" w:rsidP="00331DEB">
      <w:pPr>
        <w:spacing w:after="0" w:line="276" w:lineRule="auto"/>
        <w:ind w:left="360"/>
        <w:jc w:val="both"/>
        <w:rPr>
          <w:rFonts w:ascii="Verdana" w:eastAsia="Calibri" w:hAnsi="Verdana" w:cs="Arial"/>
          <w:lang w:val="es-ES"/>
        </w:rPr>
      </w:pPr>
    </w:p>
    <w:p w14:paraId="68EAA282" w14:textId="77777777" w:rsidR="00331DEB" w:rsidRPr="00331DEB" w:rsidRDefault="00331DEB" w:rsidP="00331DEB">
      <w:pPr>
        <w:numPr>
          <w:ilvl w:val="0"/>
          <w:numId w:val="10"/>
        </w:numPr>
        <w:spacing w:after="0" w:line="276" w:lineRule="auto"/>
        <w:jc w:val="both"/>
        <w:rPr>
          <w:rFonts w:ascii="Verdana" w:eastAsia="Calibri" w:hAnsi="Verdana" w:cs="Arial"/>
          <w:lang w:val="es-ES"/>
        </w:rPr>
      </w:pPr>
      <w:r w:rsidRPr="00331DEB">
        <w:rPr>
          <w:rFonts w:ascii="Verdana" w:eastAsia="Calibri" w:hAnsi="Verdana" w:cs="Arial"/>
          <w:lang w:val="es-ES"/>
        </w:rPr>
        <w:t>Es por ello que, pese a que el referido estatuto no señala cómo han de solucionarse las divergencias que surjan entre las partes cuando existan diferencias entre el valor del contrato referenciado en letras y números, el Consejo de Estado en sentencia del 02 de septiembre de 2010, mediante un análisis hermeneútico jurídico indicó:”[…] cuando en un texto legal o contractual se quiere expresar un mismo valor o una misma suma en letras y números, presentándose diferencias y discordancias entre lo literal y lo numérico, debe primar el valor o la suma escrita en palabras, bajo el entendido de que resulta mucho menos probable que al escribirlas se presenten yerros o equivocaciones. Es precisamente por ello que el artículo 623 del Código de Comercio, al referirse a las diferencias que se pueden presentar en el importe de un título valor dispone: “Artículo 623. Diferencias en el título del importe escrito en cifras y en palabras – aparición de varias cifras. Si el importe del título aparece escrito a la vez en palabras y en cifras, valdrá, en caso de diferencia, la suma escrita en palabras”</w:t>
      </w:r>
      <w:r w:rsidRPr="00331DEB">
        <w:rPr>
          <w:rFonts w:ascii="Verdana" w:eastAsia="Calibri" w:hAnsi="Verdana" w:cs="Arial"/>
          <w:vertAlign w:val="superscript"/>
          <w:lang w:val="es-ES"/>
        </w:rPr>
        <w:footnoteReference w:id="9"/>
      </w:r>
      <w:r w:rsidRPr="00331DEB">
        <w:rPr>
          <w:rFonts w:ascii="Verdana" w:eastAsia="Calibri" w:hAnsi="Verdana" w:cs="Arial"/>
          <w:lang w:val="es-ES"/>
        </w:rPr>
        <w:t>.</w:t>
      </w:r>
    </w:p>
    <w:p w14:paraId="0C694EFD" w14:textId="77777777" w:rsidR="00331DEB" w:rsidRPr="00331DEB" w:rsidRDefault="00331DEB" w:rsidP="00331DEB">
      <w:pPr>
        <w:spacing w:after="0" w:line="276" w:lineRule="auto"/>
        <w:ind w:left="360"/>
        <w:jc w:val="both"/>
        <w:rPr>
          <w:rFonts w:ascii="Verdana" w:eastAsia="Calibri" w:hAnsi="Verdana" w:cs="Arial"/>
          <w:lang w:val="es-ES"/>
        </w:rPr>
      </w:pPr>
    </w:p>
    <w:p w14:paraId="3F07F9C1" w14:textId="77777777" w:rsidR="00331DEB" w:rsidRPr="00331DEB" w:rsidRDefault="00331DEB" w:rsidP="00331DEB">
      <w:pPr>
        <w:numPr>
          <w:ilvl w:val="0"/>
          <w:numId w:val="10"/>
        </w:numPr>
        <w:spacing w:after="0" w:line="276" w:lineRule="auto"/>
        <w:jc w:val="both"/>
        <w:rPr>
          <w:rFonts w:ascii="Verdana" w:eastAsia="Calibri" w:hAnsi="Verdana" w:cs="Arial"/>
          <w:lang w:val="es-ES"/>
        </w:rPr>
      </w:pPr>
      <w:r w:rsidRPr="00331DEB">
        <w:rPr>
          <w:rFonts w:ascii="Verdana" w:eastAsia="Calibri" w:hAnsi="Verdana" w:cs="Arial"/>
          <w:lang w:val="es-ES"/>
        </w:rPr>
        <w:t>De lo anterior, se colige que, la discrepancia entre la diferencia del valor del contrato escrito en letras y números, se resuelve bajo la aplicación de lo establecido en el artículo 623 del Código de Comercio, pues el artículo 13 de la Ley 80 de 1993 al señalar lo concerniente a la normatividad aplicable a los contratos estatales, permite que los contratos que celebren las Entidades Estatales no sólo se rijan por lo dispuesto en el Estatuto General de Contratación de la Administración Pública, sino también por las disposiciones comerciales y civiles pertinentes.</w:t>
      </w:r>
    </w:p>
    <w:p w14:paraId="300543A5" w14:textId="77777777" w:rsidR="00331DEB" w:rsidRPr="00331DEB" w:rsidRDefault="00331DEB" w:rsidP="00331DEB">
      <w:pPr>
        <w:spacing w:after="0" w:line="276" w:lineRule="auto"/>
        <w:ind w:left="360"/>
        <w:jc w:val="both"/>
        <w:rPr>
          <w:rFonts w:ascii="Verdana" w:eastAsia="Calibri" w:hAnsi="Verdana" w:cs="Arial"/>
          <w:bCs/>
        </w:rPr>
      </w:pPr>
    </w:p>
    <w:p w14:paraId="5500E54F" w14:textId="77777777" w:rsidR="00331DEB" w:rsidRPr="00331DEB" w:rsidRDefault="00331DEB" w:rsidP="00331DEB">
      <w:pPr>
        <w:numPr>
          <w:ilvl w:val="0"/>
          <w:numId w:val="10"/>
        </w:numPr>
        <w:spacing w:after="0" w:line="276" w:lineRule="auto"/>
        <w:contextualSpacing/>
        <w:jc w:val="both"/>
        <w:rPr>
          <w:rFonts w:ascii="Verdana" w:eastAsia="Calibri" w:hAnsi="Verdana" w:cs="Arial"/>
        </w:rPr>
      </w:pPr>
      <w:r w:rsidRPr="00331DEB">
        <w:rPr>
          <w:rFonts w:ascii="Verdana" w:eastAsia="Calibri" w:hAnsi="Verdana" w:cs="Arial"/>
          <w:lang w:val="es-ES_tradnl"/>
        </w:rPr>
        <w:t xml:space="preserve">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w:t>
      </w:r>
      <w:r w:rsidRPr="00331DEB">
        <w:rPr>
          <w:rFonts w:ascii="Verdana" w:eastAsia="Calibri" w:hAnsi="Verdana" w:cs="Arial"/>
          <w:lang w:val="es-ES_tradnl"/>
        </w:rPr>
        <w:lastRenderedPageBreak/>
        <w:t xml:space="preserve">adopten la decisión que corresponda, lo cual es acorde con el principio de juridicidad. </w:t>
      </w:r>
    </w:p>
    <w:p w14:paraId="1E69F5C5" w14:textId="77777777" w:rsidR="00331DEB" w:rsidRPr="00331DEB" w:rsidRDefault="00331DEB" w:rsidP="00331DEB">
      <w:pPr>
        <w:spacing w:after="0" w:line="276" w:lineRule="auto"/>
        <w:ind w:left="720"/>
        <w:contextualSpacing/>
        <w:jc w:val="both"/>
        <w:rPr>
          <w:rFonts w:ascii="Verdana" w:eastAsia="Calibri" w:hAnsi="Verdana" w:cs="Arial"/>
        </w:rPr>
      </w:pPr>
    </w:p>
    <w:p w14:paraId="620659E3" w14:textId="77777777" w:rsidR="00331DEB" w:rsidRPr="00331DEB" w:rsidRDefault="00331DEB" w:rsidP="00331DEB">
      <w:pPr>
        <w:widowControl w:val="0"/>
        <w:autoSpaceDE w:val="0"/>
        <w:autoSpaceDN w:val="0"/>
        <w:spacing w:before="1" w:after="0" w:line="240" w:lineRule="auto"/>
        <w:outlineLvl w:val="0"/>
        <w:rPr>
          <w:rFonts w:ascii="Verdana" w:eastAsia="Arial" w:hAnsi="Verdana" w:cs="Arial"/>
          <w:b/>
          <w:bCs/>
          <w:lang w:val="es-ES"/>
        </w:rPr>
      </w:pPr>
      <w:r w:rsidRPr="00331DEB">
        <w:rPr>
          <w:rFonts w:ascii="Verdana" w:eastAsia="Arial" w:hAnsi="Verdana" w:cs="Arial"/>
          <w:b/>
          <w:bCs/>
          <w:lang w:val="es-ES"/>
        </w:rPr>
        <w:t>4.Referencias normativas, jurisprudenciales y otras fuentes:</w:t>
      </w:r>
    </w:p>
    <w:p w14:paraId="28B332B5" w14:textId="77777777" w:rsidR="00331DEB" w:rsidRPr="00331DEB" w:rsidRDefault="00331DEB" w:rsidP="00331DEB">
      <w:pPr>
        <w:widowControl w:val="0"/>
        <w:autoSpaceDE w:val="0"/>
        <w:autoSpaceDN w:val="0"/>
        <w:spacing w:after="0" w:line="276" w:lineRule="auto"/>
        <w:jc w:val="both"/>
        <w:rPr>
          <w:rFonts w:ascii="Verdana" w:eastAsia="Aptos"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31DEB" w:rsidRPr="00331DEB" w14:paraId="11921494" w14:textId="77777777" w:rsidTr="00331DEB">
        <w:trPr>
          <w:trHeight w:val="870"/>
        </w:trPr>
        <w:tc>
          <w:tcPr>
            <w:tcW w:w="8647" w:type="dxa"/>
            <w:tcBorders>
              <w:top w:val="dotted" w:sz="4" w:space="0" w:color="auto"/>
              <w:left w:val="dotted" w:sz="4" w:space="0" w:color="auto"/>
              <w:bottom w:val="dotted" w:sz="4" w:space="0" w:color="auto"/>
              <w:right w:val="dotted" w:sz="4" w:space="0" w:color="auto"/>
            </w:tcBorders>
          </w:tcPr>
          <w:p w14:paraId="7DAD0A0A" w14:textId="77777777" w:rsidR="00331DEB" w:rsidRPr="00331DEB" w:rsidRDefault="00331DEB" w:rsidP="00331DEB">
            <w:pPr>
              <w:widowControl w:val="0"/>
              <w:numPr>
                <w:ilvl w:val="0"/>
                <w:numId w:val="11"/>
              </w:numPr>
              <w:autoSpaceDE w:val="0"/>
              <w:autoSpaceDN w:val="0"/>
              <w:spacing w:after="255" w:line="276" w:lineRule="auto"/>
              <w:contextualSpacing/>
              <w:jc w:val="both"/>
              <w:rPr>
                <w:rFonts w:ascii="Verdana" w:hAnsi="Verdana" w:cs="Arial"/>
                <w:lang w:val="es-ES"/>
              </w:rPr>
            </w:pPr>
            <w:r w:rsidRPr="00331DEB">
              <w:rPr>
                <w:rFonts w:ascii="Verdana" w:hAnsi="Verdana" w:cs="Arial"/>
                <w:lang w:val="es-ES"/>
              </w:rPr>
              <w:t>Ley 80 de 1993. Artículo 44, 46, 49.</w:t>
            </w:r>
          </w:p>
          <w:p w14:paraId="72671BFD" w14:textId="77777777" w:rsidR="00331DEB" w:rsidRPr="00331DEB" w:rsidRDefault="00331DEB" w:rsidP="00331DEB">
            <w:pPr>
              <w:widowControl w:val="0"/>
              <w:numPr>
                <w:ilvl w:val="0"/>
                <w:numId w:val="11"/>
              </w:numPr>
              <w:autoSpaceDE w:val="0"/>
              <w:autoSpaceDN w:val="0"/>
              <w:spacing w:after="255" w:line="276" w:lineRule="auto"/>
              <w:contextualSpacing/>
              <w:jc w:val="both"/>
              <w:rPr>
                <w:rFonts w:ascii="Verdana" w:hAnsi="Verdana" w:cs="Arial"/>
                <w:lang w:val="es-ES"/>
              </w:rPr>
            </w:pPr>
            <w:r w:rsidRPr="00331DEB">
              <w:rPr>
                <w:rFonts w:ascii="Verdana" w:hAnsi="Verdana" w:cs="Arial"/>
                <w:lang w:val="es-ES"/>
              </w:rPr>
              <w:t>Código Civil. Artículo 1740, 1741</w:t>
            </w:r>
          </w:p>
          <w:p w14:paraId="78A9AA93" w14:textId="77777777" w:rsidR="00331DEB" w:rsidRPr="00331DEB" w:rsidRDefault="00331DEB" w:rsidP="00331DEB">
            <w:pPr>
              <w:widowControl w:val="0"/>
              <w:numPr>
                <w:ilvl w:val="0"/>
                <w:numId w:val="11"/>
              </w:numPr>
              <w:autoSpaceDE w:val="0"/>
              <w:autoSpaceDN w:val="0"/>
              <w:spacing w:after="255" w:line="276" w:lineRule="auto"/>
              <w:contextualSpacing/>
              <w:jc w:val="both"/>
              <w:rPr>
                <w:rFonts w:ascii="Verdana" w:hAnsi="Verdana" w:cs="Arial"/>
                <w:lang w:val="es-ES"/>
              </w:rPr>
            </w:pPr>
            <w:r w:rsidRPr="00331DEB">
              <w:rPr>
                <w:rFonts w:ascii="Verdana" w:hAnsi="Verdana" w:cs="Arial"/>
                <w:lang w:val="es-ES"/>
              </w:rPr>
              <w:t>Código de Comercio. Artículo 899</w:t>
            </w:r>
          </w:p>
          <w:p w14:paraId="2001B860" w14:textId="77777777" w:rsidR="00331DEB" w:rsidRPr="00331DEB" w:rsidRDefault="00331DEB" w:rsidP="00331DEB">
            <w:pPr>
              <w:widowControl w:val="0"/>
              <w:numPr>
                <w:ilvl w:val="0"/>
                <w:numId w:val="11"/>
              </w:numPr>
              <w:autoSpaceDE w:val="0"/>
              <w:autoSpaceDN w:val="0"/>
              <w:spacing w:after="255" w:line="276" w:lineRule="auto"/>
              <w:contextualSpacing/>
              <w:jc w:val="both"/>
              <w:rPr>
                <w:rFonts w:ascii="Verdana" w:hAnsi="Verdana" w:cs="Arial"/>
                <w:lang w:val="es-ES"/>
              </w:rPr>
            </w:pPr>
            <w:r w:rsidRPr="00331DEB">
              <w:rPr>
                <w:rFonts w:ascii="Verdana" w:hAnsi="Verdana" w:cs="Arial"/>
                <w:lang w:val="es-ES"/>
              </w:rPr>
              <w:t>Consejo de Estado. Sala de lo Contencioso Administrativo, Sección Tercera – Subsección B. Sentencia del 30 de abril de 2012.  Radicación número: 25000-23-26-000-1995-00704-01(21699). Consejera ponente: Ruth Stella Correa Palacio.</w:t>
            </w:r>
          </w:p>
          <w:p w14:paraId="7D0AEECC" w14:textId="77777777" w:rsidR="00331DEB" w:rsidRPr="00331DEB" w:rsidRDefault="00331DEB" w:rsidP="00331DEB">
            <w:pPr>
              <w:widowControl w:val="0"/>
              <w:numPr>
                <w:ilvl w:val="0"/>
                <w:numId w:val="11"/>
              </w:numPr>
              <w:autoSpaceDE w:val="0"/>
              <w:autoSpaceDN w:val="0"/>
              <w:spacing w:after="255" w:line="276" w:lineRule="auto"/>
              <w:contextualSpacing/>
              <w:jc w:val="both"/>
              <w:rPr>
                <w:rFonts w:ascii="Verdana" w:hAnsi="Verdana" w:cs="Arial"/>
                <w:lang w:val="es-ES"/>
              </w:rPr>
            </w:pPr>
            <w:r w:rsidRPr="00331DEB">
              <w:rPr>
                <w:rFonts w:ascii="Verdana" w:hAnsi="Verdana" w:cs="Arial"/>
                <w:lang w:val="es-ES"/>
              </w:rPr>
              <w:t>Consejo de Estado. Sección Tercera. Subsección C. Sentencia del 12 de agosto de 2014.  Radicación: 05001-23-31-000-1998-01350-01(28565). C.P. Enrique Gil Botero.</w:t>
            </w:r>
          </w:p>
          <w:p w14:paraId="27780398" w14:textId="77777777" w:rsidR="00331DEB" w:rsidRPr="00331DEB" w:rsidRDefault="00331DEB" w:rsidP="00331DEB">
            <w:pPr>
              <w:widowControl w:val="0"/>
              <w:numPr>
                <w:ilvl w:val="0"/>
                <w:numId w:val="11"/>
              </w:numPr>
              <w:autoSpaceDE w:val="0"/>
              <w:autoSpaceDN w:val="0"/>
              <w:spacing w:after="255" w:line="276" w:lineRule="auto"/>
              <w:contextualSpacing/>
              <w:jc w:val="both"/>
              <w:rPr>
                <w:rFonts w:ascii="Verdana" w:hAnsi="Verdana" w:cs="Arial"/>
                <w:lang w:val="es-ES"/>
              </w:rPr>
            </w:pPr>
            <w:r w:rsidRPr="00331DEB">
              <w:rPr>
                <w:rFonts w:ascii="Verdana" w:hAnsi="Verdana" w:cs="Arial"/>
                <w:lang w:val="es-ES"/>
              </w:rPr>
              <w:t xml:space="preserve">Consejo de Estado. Sección primera. Sentencia del 02 de septiembre de 2010, Rad. 25000-23-24-000-2004-00948-01. C.P. Rafael E. </w:t>
            </w:r>
            <w:proofErr w:type="spellStart"/>
            <w:r w:rsidRPr="00331DEB">
              <w:rPr>
                <w:rFonts w:ascii="Verdana" w:hAnsi="Verdana" w:cs="Arial"/>
                <w:lang w:val="es-ES"/>
              </w:rPr>
              <w:t>Ostau</w:t>
            </w:r>
            <w:proofErr w:type="spellEnd"/>
            <w:r w:rsidRPr="00331DEB">
              <w:rPr>
                <w:rFonts w:ascii="Verdana" w:hAnsi="Verdana" w:cs="Arial"/>
                <w:lang w:val="es-ES"/>
              </w:rPr>
              <w:t xml:space="preserve"> De </w:t>
            </w:r>
            <w:proofErr w:type="spellStart"/>
            <w:r w:rsidRPr="00331DEB">
              <w:rPr>
                <w:rFonts w:ascii="Verdana" w:hAnsi="Verdana" w:cs="Arial"/>
                <w:lang w:val="es-ES"/>
              </w:rPr>
              <w:t>Lanfont</w:t>
            </w:r>
            <w:proofErr w:type="spellEnd"/>
            <w:r w:rsidRPr="00331DEB">
              <w:rPr>
                <w:rFonts w:ascii="Verdana" w:hAnsi="Verdana" w:cs="Arial"/>
                <w:lang w:val="es-ES"/>
              </w:rPr>
              <w:t xml:space="preserve"> </w:t>
            </w:r>
            <w:proofErr w:type="spellStart"/>
            <w:r w:rsidRPr="00331DEB">
              <w:rPr>
                <w:rFonts w:ascii="Verdana" w:hAnsi="Verdana" w:cs="Arial"/>
                <w:lang w:val="es-ES"/>
              </w:rPr>
              <w:t>Pianeta</w:t>
            </w:r>
            <w:proofErr w:type="spellEnd"/>
          </w:p>
          <w:p w14:paraId="422E9EE2" w14:textId="77777777" w:rsidR="00331DEB" w:rsidRPr="00331DEB" w:rsidRDefault="00331DEB" w:rsidP="00331DEB">
            <w:pPr>
              <w:widowControl w:val="0"/>
              <w:autoSpaceDE w:val="0"/>
              <w:autoSpaceDN w:val="0"/>
              <w:spacing w:after="255" w:line="276" w:lineRule="auto"/>
              <w:contextualSpacing/>
              <w:jc w:val="both"/>
              <w:rPr>
                <w:rFonts w:ascii="Verdana" w:eastAsia="Aptos" w:hAnsi="Verdana" w:cs="Arial"/>
              </w:rPr>
            </w:pPr>
          </w:p>
        </w:tc>
      </w:tr>
    </w:tbl>
    <w:p w14:paraId="2C2C2864" w14:textId="77777777" w:rsidR="00331DEB" w:rsidRPr="00331DEB" w:rsidRDefault="00331DEB" w:rsidP="00331DEB">
      <w:pPr>
        <w:widowControl w:val="0"/>
        <w:autoSpaceDE w:val="0"/>
        <w:autoSpaceDN w:val="0"/>
        <w:spacing w:after="0" w:line="276" w:lineRule="auto"/>
        <w:jc w:val="both"/>
        <w:rPr>
          <w:rFonts w:ascii="Verdana" w:eastAsia="Aptos" w:hAnsi="Verdana" w:cs="Arial"/>
        </w:rPr>
      </w:pPr>
    </w:p>
    <w:p w14:paraId="351647C4" w14:textId="77777777" w:rsidR="00331DEB" w:rsidRPr="00331DEB" w:rsidRDefault="00331DEB" w:rsidP="00331DEB">
      <w:pPr>
        <w:widowControl w:val="0"/>
        <w:autoSpaceDE w:val="0"/>
        <w:autoSpaceDN w:val="0"/>
        <w:spacing w:before="1" w:after="0" w:line="240" w:lineRule="auto"/>
        <w:outlineLvl w:val="0"/>
        <w:rPr>
          <w:rFonts w:ascii="Verdana" w:eastAsia="Arial" w:hAnsi="Verdana" w:cs="Arial"/>
          <w:b/>
          <w:bCs/>
          <w:lang w:val="es-ES"/>
        </w:rPr>
      </w:pPr>
      <w:r w:rsidRPr="00331DEB">
        <w:rPr>
          <w:rFonts w:ascii="Verdana" w:eastAsia="Arial" w:hAnsi="Verdana" w:cs="Arial"/>
          <w:b/>
          <w:bCs/>
          <w:lang w:val="es-ES"/>
        </w:rPr>
        <w:t>5. Doctrina de la Agencia Nacional de Contratación Pública:</w:t>
      </w:r>
    </w:p>
    <w:p w14:paraId="32CBEFF6" w14:textId="77777777" w:rsidR="00331DEB" w:rsidRPr="00331DEB" w:rsidRDefault="00331DEB" w:rsidP="00331DEB">
      <w:pPr>
        <w:widowControl w:val="0"/>
        <w:autoSpaceDE w:val="0"/>
        <w:autoSpaceDN w:val="0"/>
        <w:spacing w:after="0" w:line="276" w:lineRule="auto"/>
        <w:jc w:val="both"/>
        <w:rPr>
          <w:rFonts w:ascii="Verdana" w:eastAsia="Aptos" w:hAnsi="Verdana" w:cs="Arial"/>
        </w:rPr>
      </w:pPr>
    </w:p>
    <w:p w14:paraId="54C18E54" w14:textId="77777777" w:rsidR="00331DEB" w:rsidRPr="00331DEB" w:rsidRDefault="00331DEB" w:rsidP="00331DEB">
      <w:pPr>
        <w:widowControl w:val="0"/>
        <w:autoSpaceDE w:val="0"/>
        <w:autoSpaceDN w:val="0"/>
        <w:spacing w:after="0" w:line="276" w:lineRule="auto"/>
        <w:jc w:val="both"/>
        <w:rPr>
          <w:rFonts w:ascii="Verdana" w:eastAsia="Aptos" w:hAnsi="Verdana" w:cs="Arial"/>
          <w:shd w:val="clear" w:color="auto" w:fill="FFFFFF"/>
          <w:lang w:val="es-ES"/>
        </w:rPr>
      </w:pPr>
      <w:r w:rsidRPr="00331DEB">
        <w:rPr>
          <w:rFonts w:ascii="Verdana" w:eastAsia="Aptos" w:hAnsi="Verdana" w:cs="Arial"/>
          <w:shd w:val="clear" w:color="auto" w:fill="FFFFFF"/>
          <w:lang w:val="es-ES"/>
        </w:rPr>
        <w:t xml:space="preserve">Sobre el saneamiento de vicios de procedimiento y la nulidad de los contratos en el marco de la Ley 80 de 1993, esta Subdirección se ha referido en los conceptos Nos. C-600 del 13 de octubre de 2020, C-378 del 31 de agosto de 2021, C-575 del 13 de octubre de 2021, C-896 del 17 de enero de 2023,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31DEB">
          <w:rPr>
            <w:rFonts w:ascii="Verdana" w:eastAsia="Aptos" w:hAnsi="Verdana" w:cs="Arial"/>
            <w:color w:val="467886"/>
            <w:u w:val="single"/>
            <w:shd w:val="clear" w:color="auto" w:fill="FFFFFF"/>
            <w:lang w:val="es-ES"/>
          </w:rPr>
          <w:t>https://relatoria.colombiacompra.gov.co/</w:t>
        </w:r>
      </w:hyperlink>
      <w:r w:rsidRPr="00331DEB">
        <w:rPr>
          <w:rFonts w:ascii="Verdana" w:eastAsia="Aptos" w:hAnsi="Verdana" w:cs="Arial"/>
          <w:shd w:val="clear" w:color="auto" w:fill="FFFFFF"/>
          <w:lang w:val="es-ES"/>
        </w:rPr>
        <w:t xml:space="preserve">. </w:t>
      </w:r>
    </w:p>
    <w:p w14:paraId="207DFDD1" w14:textId="77777777" w:rsidR="00331DEB" w:rsidRPr="00331DEB" w:rsidRDefault="00331DEB" w:rsidP="00331DEB">
      <w:pPr>
        <w:widowControl w:val="0"/>
        <w:autoSpaceDE w:val="0"/>
        <w:autoSpaceDN w:val="0"/>
        <w:spacing w:after="0" w:line="276" w:lineRule="auto"/>
        <w:jc w:val="both"/>
        <w:rPr>
          <w:rFonts w:ascii="Verdana" w:eastAsia="Aptos" w:hAnsi="Verdana" w:cs="Arial"/>
          <w:shd w:val="clear" w:color="auto" w:fill="FFFFFF"/>
          <w:lang w:val="es-ES"/>
        </w:rPr>
      </w:pPr>
    </w:p>
    <w:p w14:paraId="1C7EF17A" w14:textId="77777777" w:rsidR="00331DEB" w:rsidRPr="00331DEB" w:rsidRDefault="00331DEB" w:rsidP="00331DEB">
      <w:pPr>
        <w:spacing w:after="0" w:line="240" w:lineRule="auto"/>
        <w:jc w:val="both"/>
        <w:rPr>
          <w:rFonts w:ascii="Verdana" w:eastAsia="Times New Roman" w:hAnsi="Verdana" w:cs="Times New Roman"/>
          <w:color w:val="000000"/>
          <w:bdr w:val="none" w:sz="0" w:space="0" w:color="auto" w:frame="1"/>
          <w:lang w:eastAsia="es-CO"/>
        </w:rPr>
      </w:pPr>
      <w:r w:rsidRPr="00331DEB">
        <w:rPr>
          <w:rFonts w:ascii="Verdana" w:eastAsia="Times New Roman" w:hAnsi="Verdana" w:cs="Times New Roman"/>
          <w:color w:val="000000"/>
          <w:bdr w:val="none" w:sz="0" w:space="0" w:color="auto" w:frame="1"/>
          <w:lang w:eastAsia="es-CO"/>
        </w:rPr>
        <w:t>Te informamos que ya se encuentra disponible la </w:t>
      </w:r>
      <w:r w:rsidRPr="00331DEB">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331DEB">
        <w:rPr>
          <w:rFonts w:ascii="Verdana" w:eastAsia="Times New Roman" w:hAnsi="Verdana" w:cs="Times New Roman"/>
          <w:color w:val="000000"/>
          <w:bdr w:val="none" w:sz="0" w:space="0" w:color="auto" w:frame="1"/>
          <w:lang w:eastAsia="es-CO"/>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w:t>
      </w:r>
      <w:r w:rsidRPr="00331DEB">
        <w:rPr>
          <w:rFonts w:ascii="Verdana" w:eastAsia="Times New Roman" w:hAnsi="Verdana" w:cs="Times New Roman"/>
          <w:color w:val="000000"/>
          <w:bdr w:val="none" w:sz="0" w:space="0" w:color="auto" w:frame="1"/>
          <w:lang w:eastAsia="es-CO"/>
        </w:rPr>
        <w:lastRenderedPageBreak/>
        <w:t>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331DEB">
          <w:rPr>
            <w:rFonts w:ascii="Verdana" w:eastAsia="Times New Roman" w:hAnsi="Verdana" w:cs="Times New Roman"/>
            <w:color w:val="0000FF"/>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4D0291C9" w14:textId="77777777" w:rsidR="00331DEB" w:rsidRPr="00331DEB" w:rsidRDefault="00331DEB" w:rsidP="00331DEB">
      <w:pPr>
        <w:spacing w:after="0" w:line="240" w:lineRule="auto"/>
        <w:jc w:val="both"/>
        <w:rPr>
          <w:rFonts w:ascii="Verdana" w:eastAsia="Times New Roman" w:hAnsi="Verdana" w:cs="Times New Roman"/>
          <w:color w:val="000000"/>
          <w:bdr w:val="none" w:sz="0" w:space="0" w:color="auto" w:frame="1"/>
          <w:lang w:eastAsia="es-CO"/>
        </w:rPr>
      </w:pPr>
    </w:p>
    <w:p w14:paraId="769FBC42" w14:textId="77777777" w:rsidR="00331DEB" w:rsidRPr="00331DEB" w:rsidRDefault="00331DEB" w:rsidP="00331DEB">
      <w:pPr>
        <w:spacing w:after="0" w:line="240" w:lineRule="auto"/>
        <w:jc w:val="both"/>
        <w:rPr>
          <w:rFonts w:ascii="Verdana" w:eastAsia="Times New Roman" w:hAnsi="Verdana" w:cs="Times New Roman"/>
          <w:color w:val="000000"/>
          <w:bdr w:val="none" w:sz="0" w:space="0" w:color="auto" w:frame="1"/>
          <w:lang w:eastAsia="es-CO"/>
        </w:rPr>
      </w:pPr>
      <w:r w:rsidRPr="00331DEB">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331DEB">
        <w:rPr>
          <w:rFonts w:ascii="Verdana" w:eastAsia="Times New Roman" w:hAnsi="Verdana" w:cs="Times New Roman"/>
          <w:b/>
          <w:bCs/>
          <w:color w:val="000000"/>
          <w:bdr w:val="none" w:sz="0" w:space="0" w:color="auto" w:frame="1"/>
          <w:lang w:eastAsia="es-CO"/>
        </w:rPr>
        <w:t>modificaciones y/o actualizaciones realizadas a los Documentos Tipo</w:t>
      </w:r>
      <w:r w:rsidRPr="00331DEB">
        <w:rPr>
          <w:rFonts w:ascii="Verdana" w:eastAsia="Times New Roman" w:hAnsi="Verdana" w:cs="Times New Roman"/>
          <w:color w:val="000000"/>
          <w:bdr w:val="none" w:sz="0" w:space="0" w:color="auto" w:frame="1"/>
          <w:lang w:eastAsia="es-CO"/>
        </w:rPr>
        <w:t>, hemos programado una serie de </w:t>
      </w:r>
      <w:r w:rsidRPr="00331DEB">
        <w:rPr>
          <w:rFonts w:ascii="Verdana" w:eastAsia="Times New Roman" w:hAnsi="Verdana" w:cs="Times New Roman"/>
          <w:b/>
          <w:bCs/>
          <w:color w:val="000000"/>
          <w:bdr w:val="none" w:sz="0" w:space="0" w:color="auto" w:frame="1"/>
          <w:lang w:eastAsia="es-CO"/>
        </w:rPr>
        <w:t>capacitaciones </w:t>
      </w:r>
      <w:r w:rsidRPr="00331DEB">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331DEB">
          <w:rPr>
            <w:rFonts w:ascii="Verdana" w:eastAsia="Times New Roman" w:hAnsi="Verdana" w:cs="Times New Roman"/>
            <w:color w:val="0000FF"/>
            <w:u w:val="single"/>
            <w:bdr w:val="none" w:sz="0" w:space="0" w:color="auto" w:frame="1"/>
            <w:lang w:eastAsia="es-CO"/>
          </w:rPr>
          <w:t>Calendario | Colombia Compra Eficiente | Agencia Nacional de Contratación Pública</w:t>
        </w:r>
      </w:hyperlink>
    </w:p>
    <w:p w14:paraId="690633EC" w14:textId="77777777" w:rsidR="00331DEB" w:rsidRPr="00331DEB" w:rsidRDefault="00331DEB" w:rsidP="00331DEB">
      <w:pPr>
        <w:spacing w:after="0" w:line="240" w:lineRule="auto"/>
        <w:jc w:val="both"/>
        <w:rPr>
          <w:rFonts w:ascii="Verdana" w:eastAsia="Times New Roman" w:hAnsi="Verdana" w:cs="Times New Roman"/>
          <w:color w:val="000000"/>
          <w:bdr w:val="none" w:sz="0" w:space="0" w:color="auto" w:frame="1"/>
          <w:lang w:eastAsia="es-CO"/>
        </w:rPr>
      </w:pPr>
    </w:p>
    <w:p w14:paraId="2E02DFFE" w14:textId="77777777" w:rsidR="00331DEB" w:rsidRPr="00331DEB" w:rsidRDefault="00331DEB" w:rsidP="00331DEB">
      <w:pPr>
        <w:spacing w:after="0" w:line="240" w:lineRule="auto"/>
        <w:jc w:val="both"/>
        <w:rPr>
          <w:rFonts w:ascii="Verdana" w:eastAsia="Times New Roman" w:hAnsi="Verdana" w:cs="Times New Roman"/>
          <w:color w:val="000000"/>
          <w:bdr w:val="none" w:sz="0" w:space="0" w:color="auto" w:frame="1"/>
          <w:lang w:eastAsia="es-CO"/>
        </w:rPr>
      </w:pPr>
      <w:r w:rsidRPr="00331DEB">
        <w:rPr>
          <w:rFonts w:ascii="Verdana" w:eastAsia="Times New Roman" w:hAnsi="Verdana" w:cs="Times New Roman"/>
          <w:color w:val="000000"/>
          <w:bdr w:val="none" w:sz="0" w:space="0" w:color="auto" w:frame="1"/>
          <w:lang w:eastAsia="es-CO"/>
        </w:rPr>
        <w:t>También, te contamos que ya publicamos </w:t>
      </w:r>
      <w:r w:rsidRPr="00331DEB">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331DEB">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331DEB">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p>
    <w:p w14:paraId="3F57E565" w14:textId="77777777" w:rsidR="00331DEB" w:rsidRPr="00331DEB" w:rsidRDefault="00331DEB" w:rsidP="00331DEB">
      <w:pPr>
        <w:spacing w:after="0" w:line="240" w:lineRule="auto"/>
        <w:jc w:val="both"/>
        <w:rPr>
          <w:rFonts w:ascii="Verdana" w:eastAsia="Times New Roman" w:hAnsi="Verdana" w:cs="Times New Roman"/>
          <w:color w:val="000000"/>
          <w:bdr w:val="none" w:sz="0" w:space="0" w:color="auto" w:frame="1"/>
          <w:lang w:eastAsia="es-CO"/>
        </w:rPr>
      </w:pPr>
    </w:p>
    <w:p w14:paraId="2A083087" w14:textId="77777777" w:rsidR="00331DEB" w:rsidRPr="00331DEB" w:rsidRDefault="00331DEB" w:rsidP="00331DEB">
      <w:pPr>
        <w:spacing w:after="0" w:line="240" w:lineRule="auto"/>
        <w:jc w:val="both"/>
        <w:rPr>
          <w:rFonts w:ascii="Verdana" w:eastAsia="Times New Roman" w:hAnsi="Verdana" w:cs="Times New Roman"/>
          <w:color w:val="000000"/>
          <w:bdr w:val="none" w:sz="0" w:space="0" w:color="auto" w:frame="1"/>
          <w:lang w:eastAsia="es-CO"/>
        </w:rPr>
      </w:pPr>
      <w:r w:rsidRPr="00331DEB">
        <w:rPr>
          <w:rFonts w:ascii="Verdana" w:eastAsia="Times New Roman" w:hAnsi="Verdana" w:cs="Times New Roman"/>
          <w:color w:val="000000"/>
          <w:bdr w:val="none" w:sz="0" w:space="0" w:color="auto" w:frame="1"/>
          <w:lang w:eastAsia="es-CO"/>
        </w:rPr>
        <w:t>Por último, lo invitamos a seguirnos en las redes sociales en las cuales se difunde información institucional:  </w:t>
      </w:r>
    </w:p>
    <w:p w14:paraId="173A86E8" w14:textId="77777777" w:rsidR="00331DEB" w:rsidRPr="00331DEB" w:rsidRDefault="00331DEB" w:rsidP="00331DEB">
      <w:pPr>
        <w:spacing w:after="0" w:line="240" w:lineRule="auto"/>
        <w:jc w:val="both"/>
        <w:rPr>
          <w:rFonts w:ascii="Verdana" w:eastAsia="Aptos" w:hAnsi="Verdana" w:cs="Times New Roman"/>
        </w:rPr>
      </w:pPr>
    </w:p>
    <w:p w14:paraId="3B564048" w14:textId="77777777" w:rsidR="00331DEB" w:rsidRPr="00331DEB" w:rsidRDefault="00331DEB" w:rsidP="00331DEB">
      <w:pPr>
        <w:spacing w:after="0" w:line="240" w:lineRule="auto"/>
        <w:jc w:val="both"/>
        <w:rPr>
          <w:rFonts w:ascii="Verdana" w:eastAsia="Aptos" w:hAnsi="Verdana" w:cs="Times New Roman"/>
        </w:rPr>
      </w:pPr>
      <w:r w:rsidRPr="00331DEB">
        <w:rPr>
          <w:rFonts w:ascii="Verdana" w:eastAsia="Aptos" w:hAnsi="Verdana" w:cs="Times New Roman"/>
        </w:rPr>
        <w:t xml:space="preserve">Twitter: </w:t>
      </w:r>
      <w:r w:rsidRPr="00331DEB">
        <w:rPr>
          <w:rFonts w:ascii="Verdana" w:eastAsia="Aptos" w:hAnsi="Verdana" w:cs="Arial"/>
          <w:color w:val="467886"/>
          <w:u w:val="single"/>
          <w:shd w:val="clear" w:color="auto" w:fill="FFFFFF"/>
          <w:lang w:val="es-ES"/>
        </w:rPr>
        <w:t>@colombiacompra</w:t>
      </w:r>
      <w:r w:rsidRPr="00331DEB">
        <w:rPr>
          <w:rFonts w:ascii="Verdana" w:eastAsia="Aptos" w:hAnsi="Verdana" w:cs="Times New Roman"/>
          <w:color w:val="156082"/>
          <w:lang w:val="es-ES"/>
        </w:rPr>
        <w:t xml:space="preserve"> </w:t>
      </w:r>
    </w:p>
    <w:p w14:paraId="76ECE75D" w14:textId="77777777" w:rsidR="00331DEB" w:rsidRPr="00331DEB" w:rsidRDefault="00331DEB" w:rsidP="00331DEB">
      <w:pPr>
        <w:spacing w:after="0" w:line="240" w:lineRule="auto"/>
        <w:jc w:val="both"/>
        <w:rPr>
          <w:rFonts w:ascii="Verdana" w:eastAsia="Aptos" w:hAnsi="Verdana" w:cs="Times New Roman"/>
        </w:rPr>
      </w:pPr>
      <w:r w:rsidRPr="00331DEB">
        <w:rPr>
          <w:rFonts w:ascii="Verdana" w:eastAsia="Aptos" w:hAnsi="Verdana" w:cs="Times New Roman"/>
        </w:rPr>
        <w:t xml:space="preserve">Facebook: </w:t>
      </w:r>
      <w:proofErr w:type="spellStart"/>
      <w:r w:rsidRPr="00331DEB">
        <w:rPr>
          <w:rFonts w:ascii="Verdana" w:eastAsia="Aptos" w:hAnsi="Verdana" w:cs="Arial"/>
          <w:color w:val="467886"/>
          <w:u w:val="single"/>
          <w:shd w:val="clear" w:color="auto" w:fill="FFFFFF"/>
          <w:lang w:val="es-ES"/>
        </w:rPr>
        <w:t>ColombiaCompraEficiente</w:t>
      </w:r>
      <w:proofErr w:type="spellEnd"/>
    </w:p>
    <w:p w14:paraId="7974D97C" w14:textId="77777777" w:rsidR="00331DEB" w:rsidRPr="00331DEB" w:rsidRDefault="00331DEB" w:rsidP="00331DEB">
      <w:pPr>
        <w:spacing w:after="0" w:line="240" w:lineRule="auto"/>
        <w:jc w:val="both"/>
        <w:rPr>
          <w:rFonts w:ascii="Verdana" w:eastAsia="Aptos" w:hAnsi="Verdana" w:cs="Times New Roman"/>
        </w:rPr>
      </w:pPr>
      <w:r w:rsidRPr="00331DEB">
        <w:rPr>
          <w:rFonts w:ascii="Verdana" w:eastAsia="Aptos" w:hAnsi="Verdana" w:cs="Times New Roman"/>
        </w:rPr>
        <w:t xml:space="preserve">LinkedIn: </w:t>
      </w:r>
      <w:r w:rsidRPr="00331DEB">
        <w:rPr>
          <w:rFonts w:ascii="Verdana" w:eastAsia="Aptos" w:hAnsi="Verdana" w:cs="Arial"/>
          <w:color w:val="467886"/>
          <w:u w:val="single"/>
          <w:shd w:val="clear" w:color="auto" w:fill="FFFFFF"/>
          <w:lang w:val="es-ES"/>
        </w:rPr>
        <w:t>Agencia Nacional de Contratación Pública - Colombia Compra Eficiente</w:t>
      </w:r>
      <w:r w:rsidRPr="00331DEB">
        <w:rPr>
          <w:rFonts w:ascii="Verdana" w:eastAsia="Aptos" w:hAnsi="Verdana" w:cs="Times New Roman"/>
          <w:color w:val="156082"/>
          <w:lang w:val="es-ES"/>
        </w:rPr>
        <w:t xml:space="preserve"> </w:t>
      </w:r>
      <w:r w:rsidRPr="00331DEB">
        <w:rPr>
          <w:rFonts w:ascii="Verdana" w:eastAsia="Aptos" w:hAnsi="Verdana" w:cs="Times New Roman"/>
        </w:rPr>
        <w:t xml:space="preserve">Instagram: </w:t>
      </w:r>
      <w:r w:rsidRPr="00331DEB">
        <w:rPr>
          <w:rFonts w:ascii="Verdana" w:eastAsia="Aptos" w:hAnsi="Verdana" w:cs="Arial"/>
          <w:color w:val="467886"/>
          <w:u w:val="single"/>
          <w:shd w:val="clear" w:color="auto" w:fill="FFFFFF"/>
          <w:lang w:val="es-ES"/>
        </w:rPr>
        <w:t>@colombiacompraeficiente_cce</w:t>
      </w:r>
    </w:p>
    <w:p w14:paraId="12C8703F" w14:textId="77777777" w:rsidR="00331DEB" w:rsidRPr="00331DEB" w:rsidRDefault="00331DEB" w:rsidP="00331DEB">
      <w:pPr>
        <w:widowControl w:val="0"/>
        <w:autoSpaceDE w:val="0"/>
        <w:autoSpaceDN w:val="0"/>
        <w:spacing w:after="0" w:line="276" w:lineRule="auto"/>
        <w:jc w:val="both"/>
        <w:rPr>
          <w:rFonts w:ascii="Verdana" w:eastAsia="Aptos" w:hAnsi="Verdana" w:cs="Arial"/>
        </w:rPr>
      </w:pPr>
    </w:p>
    <w:p w14:paraId="2E86E0A7" w14:textId="77777777" w:rsidR="00331DEB" w:rsidRPr="00331DEB" w:rsidRDefault="00331DEB" w:rsidP="00331DEB">
      <w:pPr>
        <w:widowControl w:val="0"/>
        <w:autoSpaceDE w:val="0"/>
        <w:autoSpaceDN w:val="0"/>
        <w:spacing w:after="0" w:line="276" w:lineRule="auto"/>
        <w:jc w:val="both"/>
        <w:rPr>
          <w:rFonts w:ascii="Verdana" w:eastAsia="Aptos" w:hAnsi="Verdana" w:cs="Arial"/>
          <w:lang w:val="es-ES_tradnl"/>
        </w:rPr>
      </w:pPr>
      <w:r w:rsidRPr="00331DEB">
        <w:rPr>
          <w:rFonts w:ascii="Verdana" w:eastAsia="Aptos" w:hAnsi="Verdana" w:cs="Arial"/>
        </w:rPr>
        <w:t xml:space="preserve">Este concepto tiene el alcance previsto en el artículo 28 del Código de Procedimiento Administrativo y de lo Contencioso Administrativo </w:t>
      </w:r>
      <w:r w:rsidRPr="00331DEB">
        <w:rPr>
          <w:rFonts w:ascii="Verdana" w:eastAsia="Aptos" w:hAnsi="Verdana" w:cs="Arial"/>
          <w:lang w:val="es-ES_tradnl"/>
        </w:rPr>
        <w:t>y las expresiones aquí utilizadas con mayúscula inicial deben ser entendidas con el significado que les otorga el artículo 2.2.1.1.1.3.1. del Decreto 1082 de 2015.</w:t>
      </w:r>
    </w:p>
    <w:p w14:paraId="07653040" w14:textId="77777777" w:rsidR="00331DEB" w:rsidRPr="00331DEB" w:rsidRDefault="00331DEB" w:rsidP="00331DEB">
      <w:pPr>
        <w:widowControl w:val="0"/>
        <w:autoSpaceDE w:val="0"/>
        <w:autoSpaceDN w:val="0"/>
        <w:spacing w:after="0" w:line="276" w:lineRule="auto"/>
        <w:jc w:val="both"/>
        <w:rPr>
          <w:rFonts w:ascii="Verdana" w:eastAsia="Aptos" w:hAnsi="Verdana" w:cs="Arial"/>
        </w:rPr>
      </w:pPr>
    </w:p>
    <w:p w14:paraId="4FF8C8F6" w14:textId="77777777" w:rsidR="00331DEB" w:rsidRPr="00331DEB" w:rsidRDefault="00331DEB" w:rsidP="00331DEB">
      <w:pPr>
        <w:spacing w:after="0" w:line="240" w:lineRule="auto"/>
        <w:rPr>
          <w:rFonts w:ascii="Verdana" w:eastAsia="Aptos" w:hAnsi="Verdana" w:cs="Arial"/>
          <w:lang w:eastAsia="es-CO"/>
        </w:rPr>
      </w:pPr>
      <w:r w:rsidRPr="00331DEB">
        <w:rPr>
          <w:rFonts w:ascii="Verdana" w:eastAsia="Times New Roman" w:hAnsi="Verdana" w:cs="Arial"/>
          <w:lang w:eastAsia="es-CO"/>
        </w:rPr>
        <w:t>Atentamente,</w:t>
      </w:r>
      <w:r w:rsidRPr="00331DEB">
        <w:rPr>
          <w:rFonts w:ascii="Verdana" w:eastAsia="Aptos" w:hAnsi="Verdana" w:cs="Arial"/>
          <w:lang w:eastAsia="es-CO"/>
        </w:rPr>
        <w:t xml:space="preserve"> </w:t>
      </w:r>
    </w:p>
    <w:p w14:paraId="16426AAC" w14:textId="2D8F56F1" w:rsidR="00331DEB" w:rsidRPr="00331DEB" w:rsidRDefault="00EC207E" w:rsidP="00331DEB">
      <w:pPr>
        <w:spacing w:line="276" w:lineRule="auto"/>
        <w:jc w:val="center"/>
        <w:rPr>
          <w:rFonts w:ascii="Verdana" w:eastAsia="Aptos" w:hAnsi="Verdana" w:cs="Arial"/>
          <w:lang w:val="es-ES_tradnl" w:eastAsia="es-CO"/>
        </w:rPr>
      </w:pPr>
      <w:r w:rsidRPr="00EC207E">
        <w:rPr>
          <w:rFonts w:ascii="Verdana" w:eastAsia="Aptos" w:hAnsi="Verdana" w:cs="Arial"/>
          <w:lang w:eastAsia="es-CO"/>
        </w:rPr>
        <w:lastRenderedPageBreak/>
        <w:drawing>
          <wp:inline distT="0" distB="0" distL="0" distR="0" wp14:anchorId="63E29428" wp14:editId="2867B4C9">
            <wp:extent cx="3771900" cy="1400175"/>
            <wp:effectExtent l="0" t="0" r="0" b="9525"/>
            <wp:docPr id="198369146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EC207E">
        <w:rPr>
          <w:rFonts w:ascii="Verdana" w:eastAsia="Aptos" w:hAnsi="Verdana" w:cs="Arial"/>
          <w:lang w:eastAsia="es-CO"/>
        </w:rPr>
        <w:br/>
      </w:r>
      <w:r w:rsidR="00331DEB" w:rsidRPr="00331DEB">
        <w:rPr>
          <w:rFonts w:ascii="Verdana" w:eastAsia="Aptos" w:hAnsi="Verdana" w:cs="Arial"/>
          <w:lang w:eastAsia="es-CO"/>
        </w:rPr>
        <w:br/>
      </w:r>
    </w:p>
    <w:tbl>
      <w:tblPr>
        <w:tblStyle w:val="Tablaconcuadrcula11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331DEB" w:rsidRPr="00331DEB" w14:paraId="7013136C" w14:textId="77777777" w:rsidTr="00331DEB">
        <w:trPr>
          <w:trHeight w:val="286"/>
        </w:trPr>
        <w:tc>
          <w:tcPr>
            <w:tcW w:w="901" w:type="dxa"/>
            <w:vAlign w:val="center"/>
            <w:hideMark/>
          </w:tcPr>
          <w:p w14:paraId="0D031224"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9DBB7C2"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Nasly Yeana Mosquera Rivas</w:t>
            </w:r>
          </w:p>
          <w:p w14:paraId="0D256EA9"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Analista T2–06 de la Subdirección de Gestión Contractual</w:t>
            </w:r>
          </w:p>
        </w:tc>
      </w:tr>
      <w:tr w:rsidR="00331DEB" w:rsidRPr="00331DEB" w14:paraId="70561DB6" w14:textId="77777777" w:rsidTr="00331DEB">
        <w:trPr>
          <w:trHeight w:val="299"/>
        </w:trPr>
        <w:tc>
          <w:tcPr>
            <w:tcW w:w="901" w:type="dxa"/>
            <w:vAlign w:val="center"/>
            <w:hideMark/>
          </w:tcPr>
          <w:p w14:paraId="26DD01C2"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hideMark/>
          </w:tcPr>
          <w:p w14:paraId="07993C22"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Ximena Ríos López</w:t>
            </w:r>
          </w:p>
          <w:p w14:paraId="1CA490DD"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Gestor T1 – 11 de la Subdirección de Gestión Contractual</w:t>
            </w:r>
          </w:p>
        </w:tc>
      </w:tr>
      <w:tr w:rsidR="00331DEB" w:rsidRPr="00331DEB" w14:paraId="7A2DE5F8" w14:textId="77777777" w:rsidTr="00331DEB">
        <w:trPr>
          <w:trHeight w:val="272"/>
        </w:trPr>
        <w:tc>
          <w:tcPr>
            <w:tcW w:w="901" w:type="dxa"/>
            <w:vAlign w:val="center"/>
            <w:hideMark/>
          </w:tcPr>
          <w:p w14:paraId="32BECE7F"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D04AFE2"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Carolina Quintero Gacharná</w:t>
            </w:r>
          </w:p>
          <w:p w14:paraId="17DC5176" w14:textId="77777777" w:rsidR="00331DEB" w:rsidRPr="00331DEB" w:rsidRDefault="00331DEB" w:rsidP="00331DEB">
            <w:pPr>
              <w:spacing w:line="240" w:lineRule="auto"/>
              <w:rPr>
                <w:rFonts w:ascii="Verdana" w:eastAsia="Aptos" w:hAnsi="Verdana" w:cs="Arial"/>
                <w:sz w:val="14"/>
                <w:szCs w:val="14"/>
                <w:lang w:eastAsia="es-ES"/>
              </w:rPr>
            </w:pPr>
            <w:r w:rsidRPr="00331DEB">
              <w:rPr>
                <w:rFonts w:ascii="Verdana" w:eastAsia="Aptos" w:hAnsi="Verdana" w:cs="Arial"/>
                <w:sz w:val="14"/>
                <w:szCs w:val="14"/>
                <w:lang w:eastAsia="es-ES"/>
              </w:rPr>
              <w:t>Subdirectora de Gestión Contractual ANCP – CCE</w:t>
            </w:r>
          </w:p>
        </w:tc>
      </w:tr>
    </w:tbl>
    <w:p w14:paraId="4DDC4D95" w14:textId="77777777" w:rsidR="00331DEB" w:rsidRPr="00331DEB" w:rsidRDefault="00331DEB" w:rsidP="00331DEB">
      <w:pPr>
        <w:spacing w:after="0" w:line="240" w:lineRule="auto"/>
        <w:rPr>
          <w:rFonts w:ascii="Verdana" w:eastAsia="Times New Roman" w:hAnsi="Verdana" w:cs="Arial"/>
          <w:sz w:val="24"/>
          <w:szCs w:val="24"/>
          <w:lang w:eastAsia="es-ES"/>
        </w:rPr>
      </w:pPr>
    </w:p>
    <w:p w14:paraId="17993BF3" w14:textId="77777777" w:rsidR="00331DEB" w:rsidRPr="00331DEB" w:rsidRDefault="00331DEB" w:rsidP="00331DEB">
      <w:pPr>
        <w:spacing w:line="256" w:lineRule="auto"/>
        <w:rPr>
          <w:rFonts w:ascii="Verdana" w:eastAsia="Aptos" w:hAnsi="Verdana" w:cs="Times New Roman"/>
        </w:rPr>
      </w:pPr>
    </w:p>
    <w:p w14:paraId="6C9DA58D" w14:textId="77777777" w:rsidR="00331DEB" w:rsidRPr="00331DEB" w:rsidRDefault="00331DEB" w:rsidP="00331DEB">
      <w:pPr>
        <w:spacing w:line="256" w:lineRule="auto"/>
        <w:rPr>
          <w:rFonts w:ascii="Verdana" w:eastAsia="Aptos" w:hAnsi="Verdana" w:cs="Times New Roman"/>
        </w:rPr>
      </w:pPr>
    </w:p>
    <w:p w14:paraId="76E50EFA" w14:textId="77777777" w:rsidR="00331DEB" w:rsidRPr="00331DEB" w:rsidRDefault="00331DEB" w:rsidP="00331DEB">
      <w:pPr>
        <w:spacing w:line="256" w:lineRule="auto"/>
        <w:rPr>
          <w:rFonts w:ascii="Aptos" w:eastAsia="Aptos" w:hAnsi="Aptos" w:cs="Times New Roman"/>
        </w:rPr>
      </w:pPr>
    </w:p>
    <w:p w14:paraId="4C7C774B" w14:textId="77777777" w:rsidR="00331DEB" w:rsidRPr="00331DEB" w:rsidRDefault="00331DEB" w:rsidP="00331DEB">
      <w:pPr>
        <w:spacing w:line="256" w:lineRule="auto"/>
        <w:rPr>
          <w:rFonts w:ascii="Calibri" w:eastAsia="Calibri" w:hAnsi="Calibri" w:cs="Times New Roman"/>
        </w:rPr>
      </w:pPr>
    </w:p>
    <w:p w14:paraId="681FD5EA" w14:textId="77777777" w:rsidR="00AF3EA3" w:rsidRDefault="00AF3EA3" w:rsidP="00331DEB">
      <w:pPr>
        <w:spacing w:after="0" w:line="240" w:lineRule="auto"/>
      </w:pPr>
    </w:p>
    <w:sectPr w:rsidR="00AF3EA3" w:rsidSect="00AF3EA3">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B81A7" w14:textId="77777777" w:rsidR="002B7B6F" w:rsidRDefault="002B7B6F" w:rsidP="00AF3EA3">
      <w:pPr>
        <w:spacing w:after="0" w:line="240" w:lineRule="auto"/>
      </w:pPr>
      <w:r>
        <w:separator/>
      </w:r>
    </w:p>
  </w:endnote>
  <w:endnote w:type="continuationSeparator" w:id="0">
    <w:p w14:paraId="1FB95015" w14:textId="77777777" w:rsidR="002B7B6F" w:rsidRDefault="002B7B6F" w:rsidP="00AF3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710F" w14:textId="77777777" w:rsidR="00827668" w:rsidRDefault="00827668">
    <w:pPr>
      <w:pStyle w:val="Piedepgina"/>
    </w:pPr>
  </w:p>
  <w:p w14:paraId="36254A54" w14:textId="77777777" w:rsidR="00827668" w:rsidRPr="00174B77" w:rsidRDefault="0020169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sz w:val="16"/>
        <w:szCs w:val="16"/>
        <w:lang w:val="es-ES"/>
      </w:rPr>
      <w:t xml:space="preserve">pág. </w:t>
    </w:r>
    <w:r w:rsidRPr="002E1330">
      <w:rPr>
        <w:rFonts w:ascii="Verdana" w:eastAsiaTheme="minorEastAsia" w:hAnsi="Verdana"/>
        <w:b/>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sz w:val="16"/>
        <w:szCs w:val="16"/>
      </w:rPr>
      <w:fldChar w:fldCharType="separate"/>
    </w:r>
    <w:r>
      <w:rPr>
        <w:rFonts w:ascii="Verdana" w:eastAsiaTheme="minorEastAsia" w:hAnsi="Verdana"/>
        <w:b/>
        <w:sz w:val="16"/>
        <w:szCs w:val="16"/>
      </w:rPr>
      <w:t>1</w:t>
    </w:r>
    <w:r w:rsidRPr="002E1330">
      <w:rPr>
        <w:rFonts w:ascii="Verdana" w:eastAsiaTheme="majorEastAsia" w:hAnsi="Verdana" w:cstheme="majorBidi"/>
        <w:b/>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A15859" w14:textId="77777777" w:rsidR="00827668" w:rsidRDefault="0020169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BC73462" w14:textId="77777777" w:rsidR="00827668" w:rsidRPr="00E41027" w:rsidRDefault="00201699" w:rsidP="00D520D8">
    <w:pPr>
      <w:spacing w:after="0"/>
      <w:jc w:val="both"/>
      <w:rPr>
        <w:rFonts w:ascii="Verdana" w:hAnsi="Verdana"/>
        <w:sz w:val="18"/>
        <w:szCs w:val="18"/>
      </w:rPr>
    </w:pPr>
    <w:r w:rsidRPr="00E41027">
      <w:rPr>
        <w:rFonts w:ascii="Verdana" w:hAnsi="Verdana"/>
        <w:sz w:val="18"/>
        <w:szCs w:val="18"/>
      </w:rPr>
      <w:t>Mesa de servicio: (+57) 601 7456788</w:t>
    </w:r>
  </w:p>
  <w:p w14:paraId="24317C94" w14:textId="77777777" w:rsidR="00827668" w:rsidRDefault="0020169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2514B" w14:textId="77777777" w:rsidR="002B7B6F" w:rsidRDefault="002B7B6F" w:rsidP="00AF3EA3">
      <w:pPr>
        <w:spacing w:after="0" w:line="240" w:lineRule="auto"/>
      </w:pPr>
      <w:r>
        <w:separator/>
      </w:r>
    </w:p>
  </w:footnote>
  <w:footnote w:type="continuationSeparator" w:id="0">
    <w:p w14:paraId="7E43B97E" w14:textId="77777777" w:rsidR="002B7B6F" w:rsidRDefault="002B7B6F" w:rsidP="00AF3EA3">
      <w:pPr>
        <w:spacing w:after="0" w:line="240" w:lineRule="auto"/>
      </w:pPr>
      <w:r>
        <w:continuationSeparator/>
      </w:r>
    </w:p>
  </w:footnote>
  <w:footnote w:id="1">
    <w:p w14:paraId="588E3BCE" w14:textId="77777777" w:rsidR="00331DEB" w:rsidRDefault="00331DEB" w:rsidP="00331DEB">
      <w:pPr>
        <w:pStyle w:val="Textonotapie"/>
        <w:ind w:firstLine="709"/>
        <w:jc w:val="both"/>
        <w:rPr>
          <w:rFonts w:ascii="Verdana" w:hAnsi="Verdana" w:cs="Arial"/>
          <w:sz w:val="10"/>
          <w:szCs w:val="10"/>
          <w:lang w:val="es-ES"/>
        </w:rPr>
      </w:pPr>
      <w:r>
        <w:rPr>
          <w:rStyle w:val="Refdenotaalpie"/>
          <w:rFonts w:ascii="Verdana" w:hAnsi="Verdana" w:cs="Arial"/>
          <w:sz w:val="10"/>
          <w:szCs w:val="10"/>
        </w:rPr>
        <w:footnoteRef/>
      </w:r>
      <w:r>
        <w:rPr>
          <w:rFonts w:ascii="Verdana" w:hAnsi="Verdana" w:cs="Arial"/>
          <w:sz w:val="10"/>
          <w:szCs w:val="10"/>
        </w:rPr>
        <w:t xml:space="preserve"> </w:t>
      </w:r>
      <w:r>
        <w:rPr>
          <w:rFonts w:ascii="Verdana" w:hAnsi="Verdana" w:cs="Arial"/>
          <w:sz w:val="10"/>
          <w:szCs w:val="10"/>
          <w:lang w:val="es-ES"/>
        </w:rPr>
        <w:t xml:space="preserve">GORDILLO, Agustín. Tratado de derecho administrativo y obras selectas. Tomo 5. Primeras obras. Libro II. El acto administrativo. Buenos Aires: Fundación de Derecho Administrativo, 2012. p. EAA-IV-29. </w:t>
      </w:r>
    </w:p>
    <w:p w14:paraId="639931CA" w14:textId="77777777" w:rsidR="00331DEB" w:rsidRDefault="00331DEB" w:rsidP="00331DEB">
      <w:pPr>
        <w:pStyle w:val="Textonotapie"/>
        <w:ind w:firstLine="709"/>
        <w:jc w:val="both"/>
        <w:rPr>
          <w:rFonts w:ascii="Verdana" w:hAnsi="Verdana" w:cs="Arial"/>
          <w:sz w:val="10"/>
          <w:szCs w:val="10"/>
          <w:lang w:val="es-ES"/>
        </w:rPr>
      </w:pPr>
    </w:p>
  </w:footnote>
  <w:footnote w:id="2">
    <w:p w14:paraId="0717F810" w14:textId="77777777" w:rsidR="00331DEB" w:rsidRDefault="00331DEB" w:rsidP="00331DEB">
      <w:pPr>
        <w:spacing w:after="0"/>
        <w:ind w:firstLine="707"/>
        <w:jc w:val="both"/>
        <w:rPr>
          <w:rFonts w:ascii="Verdana" w:hAnsi="Verdana" w:cs="Arial"/>
          <w:sz w:val="10"/>
          <w:szCs w:val="10"/>
        </w:rPr>
      </w:pPr>
      <w:r>
        <w:rPr>
          <w:rStyle w:val="Refdenotaalpie"/>
          <w:rFonts w:ascii="Verdana" w:hAnsi="Verdana" w:cs="Arial"/>
          <w:sz w:val="10"/>
          <w:szCs w:val="10"/>
        </w:rPr>
        <w:footnoteRef/>
      </w:r>
      <w:r>
        <w:rPr>
          <w:rFonts w:ascii="Verdana" w:hAnsi="Verdana" w:cs="Arial"/>
          <w:sz w:val="10"/>
          <w:szCs w:val="10"/>
        </w:rPr>
        <w:t xml:space="preserve"> </w:t>
      </w:r>
      <w:r>
        <w:rPr>
          <w:rFonts w:ascii="Verdana" w:hAnsi="Verdana" w:cs="Arial"/>
          <w:position w:val="6"/>
          <w:sz w:val="10"/>
          <w:szCs w:val="10"/>
        </w:rPr>
        <w:t xml:space="preserve"> “</w:t>
      </w:r>
      <w:r>
        <w:rPr>
          <w:rFonts w:ascii="Verdana" w:hAnsi="Verdana" w:cs="Arial"/>
          <w:sz w:val="10"/>
          <w:szCs w:val="10"/>
        </w:rPr>
        <w:t>Artículo 1740. Es nulo todo acto o contrato a que falta alguno de los requisitos que la ley prescribe para el valor del mismo acto o contrato según se especie y la calidad o estado de las partes. La nulidad puede ser absoluta o relativa”.</w:t>
      </w:r>
    </w:p>
    <w:p w14:paraId="3D9443F2" w14:textId="77777777" w:rsidR="00331DEB" w:rsidRDefault="00331DEB" w:rsidP="00331DEB">
      <w:pPr>
        <w:pStyle w:val="Textonotapie"/>
        <w:jc w:val="both"/>
        <w:rPr>
          <w:rFonts w:ascii="Verdana" w:hAnsi="Verdana" w:cs="Arial"/>
          <w:sz w:val="10"/>
          <w:szCs w:val="10"/>
          <w:lang w:val="es-CO"/>
        </w:rPr>
      </w:pPr>
    </w:p>
  </w:footnote>
  <w:footnote w:id="3">
    <w:p w14:paraId="7BFF7559" w14:textId="77777777" w:rsidR="00331DEB" w:rsidRDefault="00331DEB" w:rsidP="00331DEB">
      <w:pPr>
        <w:pStyle w:val="Textoindependiente1"/>
        <w:spacing w:after="0"/>
        <w:ind w:firstLine="720"/>
        <w:jc w:val="both"/>
        <w:rPr>
          <w:rFonts w:ascii="Verdana" w:hAnsi="Verdana" w:cs="Times New Roman"/>
          <w:sz w:val="10"/>
          <w:szCs w:val="10"/>
        </w:rPr>
      </w:pPr>
      <w:r>
        <w:rPr>
          <w:rStyle w:val="Refdenotaalpie"/>
          <w:rFonts w:ascii="Verdana" w:hAnsi="Verdana"/>
          <w:sz w:val="10"/>
          <w:szCs w:val="10"/>
        </w:rPr>
        <w:footnoteRef/>
      </w:r>
      <w:r>
        <w:rPr>
          <w:rFonts w:ascii="Verdana" w:hAnsi="Verdana"/>
          <w:sz w:val="10"/>
          <w:szCs w:val="10"/>
        </w:rPr>
        <w:t xml:space="preserve"> Código de Comercio. Artículo 899.</w:t>
      </w:r>
    </w:p>
    <w:p w14:paraId="1245E0C1" w14:textId="77777777" w:rsidR="00331DEB" w:rsidRDefault="00331DEB" w:rsidP="00331DEB">
      <w:pPr>
        <w:pStyle w:val="Textonotapie"/>
        <w:jc w:val="both"/>
        <w:rPr>
          <w:rFonts w:ascii="Verdana" w:hAnsi="Verdana" w:cs="Arial"/>
          <w:sz w:val="10"/>
          <w:szCs w:val="10"/>
          <w:lang w:val="es-CO"/>
        </w:rPr>
      </w:pPr>
    </w:p>
  </w:footnote>
  <w:footnote w:id="4">
    <w:p w14:paraId="1DCC04B0" w14:textId="77777777" w:rsidR="00331DEB" w:rsidRDefault="00331DEB" w:rsidP="00331DEB">
      <w:pPr>
        <w:pStyle w:val="Textoindependiente2"/>
        <w:spacing w:after="0"/>
        <w:ind w:firstLine="720"/>
        <w:jc w:val="both"/>
        <w:rPr>
          <w:rFonts w:ascii="Verdana" w:hAnsi="Verdana" w:cs="Times New Roman"/>
          <w:sz w:val="10"/>
          <w:szCs w:val="10"/>
        </w:rPr>
      </w:pPr>
      <w:r>
        <w:rPr>
          <w:rStyle w:val="Refdenotaalpie"/>
          <w:rFonts w:ascii="Verdana" w:hAnsi="Verdana"/>
          <w:sz w:val="10"/>
          <w:szCs w:val="10"/>
        </w:rPr>
        <w:footnoteRef/>
      </w:r>
      <w:r>
        <w:rPr>
          <w:rFonts w:ascii="Verdana" w:hAnsi="Verdana"/>
          <w:sz w:val="10"/>
          <w:szCs w:val="10"/>
        </w:rPr>
        <w:t xml:space="preserve"> </w:t>
      </w:r>
      <w:r>
        <w:rPr>
          <w:rFonts w:ascii="Verdana" w:hAnsi="Verdana"/>
          <w:position w:val="6"/>
          <w:sz w:val="10"/>
          <w:szCs w:val="10"/>
        </w:rPr>
        <w:t xml:space="preserve"> </w:t>
      </w:r>
      <w:r>
        <w:rPr>
          <w:rFonts w:ascii="Verdana" w:hAnsi="Verdana"/>
          <w:sz w:val="10"/>
          <w:szCs w:val="10"/>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36DC8CBC"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Hay asimismo nulidad absoluta en los actos y contratos de personas absolutamente incapaces.</w:t>
      </w:r>
    </w:p>
    <w:p w14:paraId="460FD5FF" w14:textId="77777777" w:rsidR="00331DEB" w:rsidRDefault="00331DEB" w:rsidP="00331DEB">
      <w:pPr>
        <w:pStyle w:val="Textoindependiente2"/>
        <w:spacing w:after="0"/>
        <w:ind w:firstLine="720"/>
        <w:jc w:val="both"/>
        <w:rPr>
          <w:rFonts w:ascii="Verdana" w:hAnsi="Verdana" w:cs="Times New Roman"/>
          <w:sz w:val="10"/>
          <w:szCs w:val="10"/>
        </w:rPr>
      </w:pPr>
      <w:r>
        <w:rPr>
          <w:rFonts w:ascii="Verdana" w:hAnsi="Verdana"/>
          <w:sz w:val="10"/>
          <w:szCs w:val="10"/>
        </w:rPr>
        <w:t>Código de Comercio. Artículo 899. Nulidad absoluta. Será nulo absolutamente el negocio jurídico en los siguientes casos:</w:t>
      </w:r>
    </w:p>
    <w:p w14:paraId="68917F56"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1) Cuando contraría una norma imperativa, salvo que la ley disponga otra cosa;</w:t>
      </w:r>
    </w:p>
    <w:p w14:paraId="30CEEF11"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2) Cuando tenga causa u objeto ilícitos, y</w:t>
      </w:r>
    </w:p>
    <w:p w14:paraId="0DB63D70" w14:textId="77777777" w:rsidR="00331DEB" w:rsidRDefault="00331DEB" w:rsidP="00331DEB">
      <w:pPr>
        <w:spacing w:after="0"/>
        <w:ind w:firstLine="707"/>
        <w:jc w:val="both"/>
        <w:rPr>
          <w:rFonts w:ascii="Verdana" w:hAnsi="Verdana" w:cs="Arial"/>
          <w:sz w:val="10"/>
          <w:szCs w:val="10"/>
        </w:rPr>
      </w:pPr>
      <w:r>
        <w:rPr>
          <w:rFonts w:ascii="Verdana" w:hAnsi="Verdana" w:cs="Arial"/>
          <w:sz w:val="10"/>
          <w:szCs w:val="10"/>
        </w:rPr>
        <w:t>3) Cuando se haya celebrado por persona absolutamente incapaz”.</w:t>
      </w:r>
    </w:p>
    <w:p w14:paraId="235FB87F" w14:textId="77777777" w:rsidR="00331DEB" w:rsidRDefault="00331DEB" w:rsidP="00331DEB">
      <w:pPr>
        <w:pStyle w:val="Textonotapie"/>
        <w:jc w:val="both"/>
        <w:rPr>
          <w:rFonts w:ascii="Verdana" w:hAnsi="Verdana" w:cs="Arial"/>
          <w:sz w:val="10"/>
          <w:szCs w:val="10"/>
          <w:lang w:val="es-CO"/>
        </w:rPr>
      </w:pPr>
    </w:p>
  </w:footnote>
  <w:footnote w:id="5">
    <w:p w14:paraId="2A35AC91" w14:textId="77777777" w:rsidR="00331DEB" w:rsidRDefault="00331DEB" w:rsidP="00331DEB">
      <w:pPr>
        <w:spacing w:after="0"/>
        <w:ind w:firstLine="707"/>
        <w:jc w:val="both"/>
        <w:rPr>
          <w:rFonts w:ascii="Verdana" w:hAnsi="Verdana" w:cs="Arial"/>
          <w:sz w:val="10"/>
          <w:szCs w:val="10"/>
        </w:rPr>
      </w:pPr>
      <w:r>
        <w:rPr>
          <w:rStyle w:val="Refdenotaalpie"/>
          <w:rFonts w:ascii="Verdana" w:hAnsi="Verdana" w:cs="Arial"/>
          <w:sz w:val="10"/>
          <w:szCs w:val="10"/>
        </w:rPr>
        <w:footnoteRef/>
      </w:r>
      <w:r>
        <w:rPr>
          <w:rFonts w:ascii="Verdana" w:hAnsi="Verdana" w:cs="Arial"/>
          <w:sz w:val="10"/>
          <w:szCs w:val="10"/>
        </w:rPr>
        <w:t xml:space="preserve"> “Artículo 44. Los contratos del Estado son absolutamente nulos en los casos previstos en el derecho común y además cuando:</w:t>
      </w:r>
    </w:p>
    <w:p w14:paraId="6829F4A4"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1o. Se celebren con personas incursas en causales de inhabilidad o incompatibilidad previstas en la Constitución y la ley;</w:t>
      </w:r>
    </w:p>
    <w:p w14:paraId="2C9B19BC"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 xml:space="preserve">2o. Se celebren contra expresa prohibición constitucional o legal; </w:t>
      </w:r>
    </w:p>
    <w:p w14:paraId="55371930"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3o. Se celebren con abuso o desviación de poder;</w:t>
      </w:r>
    </w:p>
    <w:p w14:paraId="3DCE22C0"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4o. Se declaren nulos los actos administrativos en que se fundamenten; y</w:t>
      </w:r>
    </w:p>
    <w:p w14:paraId="2817F133" w14:textId="77777777" w:rsidR="00331DEB" w:rsidRDefault="00331DEB" w:rsidP="00331DEB">
      <w:pPr>
        <w:spacing w:after="0"/>
        <w:ind w:firstLine="708"/>
        <w:jc w:val="both"/>
        <w:rPr>
          <w:rFonts w:ascii="Verdana" w:hAnsi="Verdana" w:cs="Arial"/>
          <w:sz w:val="10"/>
          <w:szCs w:val="10"/>
        </w:rPr>
      </w:pPr>
      <w:r>
        <w:rPr>
          <w:rFonts w:ascii="Verdana" w:hAnsi="Verdana" w:cs="Arial"/>
          <w:sz w:val="10"/>
          <w:szCs w:val="10"/>
        </w:rPr>
        <w:t>5o. Se hubieren celebrado con desconocimiento de los criterios previstos en el artículo 21 sobre tratamiento de ofertas nacionales y extranjeras o con violación de la reciprocidad de que trata esta ley”.</w:t>
      </w:r>
    </w:p>
    <w:p w14:paraId="398CF603" w14:textId="77777777" w:rsidR="00331DEB" w:rsidRDefault="00331DEB" w:rsidP="00331DEB">
      <w:pPr>
        <w:pStyle w:val="Textonotapie"/>
        <w:jc w:val="both"/>
        <w:rPr>
          <w:rFonts w:ascii="Verdana" w:hAnsi="Verdana" w:cs="Arial"/>
          <w:sz w:val="10"/>
          <w:szCs w:val="10"/>
          <w:lang w:val="es-CO"/>
        </w:rPr>
      </w:pPr>
    </w:p>
  </w:footnote>
  <w:footnote w:id="6">
    <w:p w14:paraId="6FC6ABAD" w14:textId="77777777" w:rsidR="00331DEB" w:rsidRDefault="00331DEB" w:rsidP="00331DEB">
      <w:pPr>
        <w:spacing w:after="0"/>
        <w:ind w:firstLine="708"/>
        <w:jc w:val="both"/>
        <w:rPr>
          <w:rFonts w:ascii="Verdana" w:hAnsi="Verdana" w:cs="Arial"/>
          <w:sz w:val="10"/>
          <w:szCs w:val="10"/>
        </w:rPr>
      </w:pPr>
      <w:r>
        <w:rPr>
          <w:rStyle w:val="Refdenotaalpie"/>
          <w:rFonts w:ascii="Verdana" w:hAnsi="Verdana" w:cs="Arial"/>
          <w:sz w:val="10"/>
          <w:szCs w:val="10"/>
        </w:rPr>
        <w:footnoteRef/>
      </w:r>
      <w:r>
        <w:rPr>
          <w:rFonts w:ascii="Verdana" w:hAnsi="Verdana" w:cs="Arial"/>
          <w:sz w:val="10"/>
          <w:szCs w:val="10"/>
        </w:rPr>
        <w:t xml:space="preserve"> “Artículo 46. de la nulidad relativa. Los demás vicios que se presenten en los contratos y que conforme al </w:t>
      </w:r>
      <w:r>
        <w:rPr>
          <w:rFonts w:ascii="Verdana" w:hAnsi="Verdana" w:cs="Arial"/>
          <w:i/>
          <w:sz w:val="10"/>
          <w:szCs w:val="10"/>
        </w:rPr>
        <w:t>derecho común</w:t>
      </w:r>
      <w:r>
        <w:rPr>
          <w:rFonts w:ascii="Verdana" w:hAnsi="Verdana" w:cs="Arial"/>
          <w:sz w:val="10"/>
          <w:szCs w:val="10"/>
        </w:rPr>
        <w:t xml:space="preserve"> constituyen causales de nulidad relativa, pueden sanearse por ratificación expresa de los interesados o por el transcurso de dos (2) años contados a partir de la ocurrencia del hecho generador del vicio”. [Énfasis fuera del texto].</w:t>
      </w:r>
    </w:p>
    <w:p w14:paraId="33B4FCD7" w14:textId="77777777" w:rsidR="00331DEB" w:rsidRDefault="00331DEB" w:rsidP="00331DEB">
      <w:pPr>
        <w:pStyle w:val="Textonotapie"/>
        <w:jc w:val="both"/>
        <w:rPr>
          <w:rFonts w:ascii="Verdana" w:hAnsi="Verdana" w:cs="Arial"/>
          <w:sz w:val="10"/>
          <w:szCs w:val="10"/>
          <w:lang w:val="es-ES"/>
        </w:rPr>
      </w:pPr>
    </w:p>
  </w:footnote>
  <w:footnote w:id="7">
    <w:p w14:paraId="41549AA6" w14:textId="77777777" w:rsidR="00331DEB" w:rsidRDefault="00331DEB" w:rsidP="00331DEB">
      <w:pPr>
        <w:pStyle w:val="Textonotapie"/>
        <w:ind w:firstLine="708"/>
        <w:jc w:val="both"/>
        <w:rPr>
          <w:rFonts w:ascii="Verdana" w:hAnsi="Verdana" w:cs="Arial"/>
          <w:sz w:val="10"/>
          <w:szCs w:val="10"/>
        </w:rPr>
      </w:pPr>
      <w:r>
        <w:rPr>
          <w:rStyle w:val="Refdenotaalpie"/>
          <w:rFonts w:ascii="Verdana" w:hAnsi="Verdana" w:cs="Arial"/>
          <w:sz w:val="10"/>
          <w:szCs w:val="10"/>
        </w:rPr>
        <w:footnoteRef/>
      </w:r>
      <w:r>
        <w:rPr>
          <w:rFonts w:ascii="Verdana" w:hAnsi="Verdana" w:cs="Arial"/>
          <w:sz w:val="10"/>
          <w:szCs w:val="10"/>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65BDA446" w14:textId="77777777" w:rsidR="00331DEB" w:rsidRDefault="00331DEB" w:rsidP="00331DEB">
      <w:pPr>
        <w:pStyle w:val="Textonotapie"/>
        <w:ind w:firstLine="708"/>
        <w:jc w:val="both"/>
        <w:rPr>
          <w:rFonts w:ascii="Verdana" w:hAnsi="Verdana" w:cs="Arial"/>
          <w:sz w:val="10"/>
          <w:szCs w:val="10"/>
        </w:rPr>
      </w:pPr>
      <w:r>
        <w:rPr>
          <w:rFonts w:ascii="Verdana" w:hAnsi="Verdana" w:cs="Arial"/>
          <w:sz w:val="10"/>
          <w:szCs w:val="10"/>
        </w:rPr>
        <w:t>Hay así mismo nulidad absoluta en los actos y contratos de personas absolutamente incapaces.</w:t>
      </w:r>
    </w:p>
    <w:p w14:paraId="375406B1" w14:textId="77777777" w:rsidR="00331DEB" w:rsidRDefault="00331DEB" w:rsidP="00331DEB">
      <w:pPr>
        <w:pStyle w:val="Textonotapie"/>
        <w:jc w:val="both"/>
        <w:rPr>
          <w:rFonts w:ascii="Verdana" w:hAnsi="Verdana" w:cs="Arial"/>
          <w:sz w:val="10"/>
          <w:szCs w:val="10"/>
        </w:rPr>
      </w:pPr>
      <w:r>
        <w:rPr>
          <w:rFonts w:ascii="Verdana" w:hAnsi="Verdana" w:cs="Arial"/>
          <w:i/>
          <w:sz w:val="10"/>
          <w:szCs w:val="10"/>
        </w:rPr>
        <w:t>Cualquiera otra especie de vicio produce nulidad relativa,</w:t>
      </w:r>
      <w:r>
        <w:rPr>
          <w:rFonts w:ascii="Verdana" w:hAnsi="Verdana" w:cs="Arial"/>
          <w:sz w:val="10"/>
          <w:szCs w:val="10"/>
        </w:rPr>
        <w:t xml:space="preserve"> y da derecho a la rescisión del acto o contrato” [Énfasis fuera del texto].</w:t>
      </w:r>
    </w:p>
    <w:p w14:paraId="2D919868" w14:textId="77777777" w:rsidR="00331DEB" w:rsidRDefault="00331DEB" w:rsidP="00331DEB">
      <w:pPr>
        <w:pStyle w:val="Textonotapie"/>
        <w:jc w:val="both"/>
        <w:rPr>
          <w:rFonts w:ascii="Verdana" w:hAnsi="Verdana" w:cs="Arial"/>
          <w:sz w:val="10"/>
          <w:szCs w:val="10"/>
          <w:lang w:val="es-ES"/>
        </w:rPr>
      </w:pPr>
    </w:p>
  </w:footnote>
  <w:footnote w:id="8">
    <w:p w14:paraId="45909B08" w14:textId="77777777" w:rsidR="00331DEB" w:rsidRDefault="00331DEB" w:rsidP="00331DEB">
      <w:pPr>
        <w:pStyle w:val="Textonotapie"/>
        <w:ind w:firstLine="708"/>
        <w:jc w:val="both"/>
        <w:rPr>
          <w:rFonts w:ascii="Verdana" w:hAnsi="Verdana" w:cs="Arial"/>
          <w:sz w:val="10"/>
          <w:szCs w:val="10"/>
          <w:lang w:val="es-CO"/>
        </w:rPr>
      </w:pPr>
      <w:r>
        <w:rPr>
          <w:rStyle w:val="Refdenotaalpie"/>
          <w:rFonts w:ascii="Verdana" w:hAnsi="Verdana" w:cs="Arial"/>
          <w:sz w:val="10"/>
          <w:szCs w:val="10"/>
        </w:rPr>
        <w:footnoteRef/>
      </w:r>
      <w:r>
        <w:rPr>
          <w:rFonts w:ascii="Verdana" w:hAnsi="Verdana" w:cs="Arial"/>
          <w:sz w:val="10"/>
          <w:szCs w:val="10"/>
        </w:rPr>
        <w:t xml:space="preserve"> </w:t>
      </w:r>
      <w:r>
        <w:rPr>
          <w:rStyle w:val="nfasis"/>
          <w:rFonts w:ascii="Verdana" w:hAnsi="Verdana" w:cs="Arial"/>
          <w:color w:val="000000"/>
          <w:sz w:val="10"/>
          <w:szCs w:val="10"/>
          <w:shd w:val="clear" w:color="auto" w:fill="FFFFFF"/>
        </w:rPr>
        <w:t>Consejo de Estado. Sección Tercera. Subsección C. Sentencia del 12 de agosto de 2014.  Radicación: 05001-23-31-000-1998-01350-01(28565). C.P. Enrique Gil Botero.</w:t>
      </w:r>
    </w:p>
  </w:footnote>
  <w:footnote w:id="9">
    <w:p w14:paraId="57986629" w14:textId="77777777" w:rsidR="00331DEB" w:rsidRDefault="00331DEB" w:rsidP="00331DEB">
      <w:pPr>
        <w:pStyle w:val="Textonotapie"/>
        <w:ind w:firstLine="708"/>
        <w:rPr>
          <w:rFonts w:ascii="Calibri" w:hAnsi="Calibri" w:cs="Times New Roman"/>
          <w:lang w:val="es-CO"/>
        </w:rPr>
      </w:pPr>
      <w:r>
        <w:rPr>
          <w:rStyle w:val="Refdenotaalpie"/>
        </w:rPr>
        <w:footnoteRef/>
      </w:r>
      <w:r>
        <w:t xml:space="preserve"> Consejo de Estado. Sección primera. Sentencia del 02 de septiembre de 2010, Rad. 25000-23-24-000-2004-00948-01. C.P. </w:t>
      </w:r>
      <w:r>
        <w:rPr>
          <w:lang w:val="es-CO"/>
        </w:rPr>
        <w:t>Rafael E. Ostau De Lanfont Pianeta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4BA2" w14:textId="77777777" w:rsidR="00827668" w:rsidRDefault="00201699">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E515562" wp14:editId="314559A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C8D5FB1" wp14:editId="669CE51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79A4A1D" w14:textId="77777777" w:rsidR="00827668" w:rsidRDefault="00827668">
    <w:pPr>
      <w:pStyle w:val="Encabezado"/>
    </w:pPr>
  </w:p>
  <w:p w14:paraId="651A0038" w14:textId="77777777" w:rsidR="00827668" w:rsidRDefault="00827668" w:rsidP="004A305D">
    <w:pPr>
      <w:spacing w:after="0"/>
      <w:rPr>
        <w:rFonts w:ascii="Verdana" w:hAnsi="Verdana"/>
        <w:b/>
        <w:bCs/>
      </w:rPr>
    </w:pPr>
  </w:p>
  <w:p w14:paraId="31875257" w14:textId="77777777" w:rsidR="00827668" w:rsidRPr="004A305D" w:rsidRDefault="00827668" w:rsidP="00B01B1A">
    <w:pPr>
      <w:spacing w:after="0" w:line="120" w:lineRule="auto"/>
      <w:rPr>
        <w:rFonts w:ascii="Century Gothic" w:eastAsia="Geo" w:hAnsi="Century Gothic" w:cs="Geo"/>
        <w:sz w:val="16"/>
        <w:szCs w:val="16"/>
        <w:lang w:eastAsia="es-CO"/>
      </w:rPr>
    </w:pPr>
  </w:p>
  <w:p w14:paraId="2F6E9FF5" w14:textId="77777777" w:rsidR="00827668" w:rsidRDefault="00827668"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29B"/>
    <w:multiLevelType w:val="hybridMultilevel"/>
    <w:tmpl w:val="4E2A0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49274D9"/>
    <w:multiLevelType w:val="hybridMultilevel"/>
    <w:tmpl w:val="E5020A5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8E5AE1"/>
    <w:multiLevelType w:val="hybridMultilevel"/>
    <w:tmpl w:val="621060B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A74137A"/>
    <w:multiLevelType w:val="hybridMultilevel"/>
    <w:tmpl w:val="B010EFB6"/>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6"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7"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9089576">
    <w:abstractNumId w:val="4"/>
  </w:num>
  <w:num w:numId="2" w16cid:durableId="1266187003">
    <w:abstractNumId w:val="3"/>
  </w:num>
  <w:num w:numId="3" w16cid:durableId="774180183">
    <w:abstractNumId w:val="0"/>
  </w:num>
  <w:num w:numId="4" w16cid:durableId="1518739868">
    <w:abstractNumId w:val="7"/>
  </w:num>
  <w:num w:numId="5" w16cid:durableId="333918801">
    <w:abstractNumId w:val="2"/>
  </w:num>
  <w:num w:numId="6" w16cid:durableId="256639413">
    <w:abstractNumId w:val="5"/>
  </w:num>
  <w:num w:numId="7" w16cid:durableId="1570069125">
    <w:abstractNumId w:val="6"/>
  </w:num>
  <w:num w:numId="8" w16cid:durableId="695814952">
    <w:abstractNumId w:val="1"/>
  </w:num>
  <w:num w:numId="9" w16cid:durableId="1094714668">
    <w:abstractNumId w:val="1"/>
  </w:num>
  <w:num w:numId="10" w16cid:durableId="60905925">
    <w:abstractNumId w:val="6"/>
  </w:num>
  <w:num w:numId="11" w16cid:durableId="68235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EA3"/>
    <w:rsid w:val="000036E3"/>
    <w:rsid w:val="00003DBB"/>
    <w:rsid w:val="00004D1E"/>
    <w:rsid w:val="0001125B"/>
    <w:rsid w:val="000120D8"/>
    <w:rsid w:val="00013028"/>
    <w:rsid w:val="00013ACE"/>
    <w:rsid w:val="0001760E"/>
    <w:rsid w:val="00023173"/>
    <w:rsid w:val="000328A5"/>
    <w:rsid w:val="00040414"/>
    <w:rsid w:val="00040F4E"/>
    <w:rsid w:val="00046C7F"/>
    <w:rsid w:val="00060B8F"/>
    <w:rsid w:val="00062280"/>
    <w:rsid w:val="000749B1"/>
    <w:rsid w:val="00084451"/>
    <w:rsid w:val="00095538"/>
    <w:rsid w:val="000960EF"/>
    <w:rsid w:val="00097678"/>
    <w:rsid w:val="000A1748"/>
    <w:rsid w:val="000A4090"/>
    <w:rsid w:val="000A5B85"/>
    <w:rsid w:val="000B2C87"/>
    <w:rsid w:val="000B5F7B"/>
    <w:rsid w:val="000B5FB0"/>
    <w:rsid w:val="000B7997"/>
    <w:rsid w:val="000C63B8"/>
    <w:rsid w:val="000C77BC"/>
    <w:rsid w:val="000E18DA"/>
    <w:rsid w:val="000E1FAD"/>
    <w:rsid w:val="000E7E86"/>
    <w:rsid w:val="000F16B7"/>
    <w:rsid w:val="000F4749"/>
    <w:rsid w:val="00101DD6"/>
    <w:rsid w:val="00113EA1"/>
    <w:rsid w:val="001218B9"/>
    <w:rsid w:val="00123CE3"/>
    <w:rsid w:val="00124224"/>
    <w:rsid w:val="00130F8C"/>
    <w:rsid w:val="00134F88"/>
    <w:rsid w:val="00136645"/>
    <w:rsid w:val="001473FB"/>
    <w:rsid w:val="0015332E"/>
    <w:rsid w:val="001559EC"/>
    <w:rsid w:val="0016045E"/>
    <w:rsid w:val="0016275A"/>
    <w:rsid w:val="00164407"/>
    <w:rsid w:val="00181950"/>
    <w:rsid w:val="001A63F6"/>
    <w:rsid w:val="001B1C72"/>
    <w:rsid w:val="001B2D88"/>
    <w:rsid w:val="001B6661"/>
    <w:rsid w:val="001E50B1"/>
    <w:rsid w:val="001E50C8"/>
    <w:rsid w:val="001F3B90"/>
    <w:rsid w:val="001F498C"/>
    <w:rsid w:val="001F61BF"/>
    <w:rsid w:val="001F73D7"/>
    <w:rsid w:val="001F7AB2"/>
    <w:rsid w:val="00200AB5"/>
    <w:rsid w:val="00201699"/>
    <w:rsid w:val="00205E06"/>
    <w:rsid w:val="00225E62"/>
    <w:rsid w:val="0022799E"/>
    <w:rsid w:val="00230752"/>
    <w:rsid w:val="00240838"/>
    <w:rsid w:val="002415CD"/>
    <w:rsid w:val="00245AAB"/>
    <w:rsid w:val="00247BDB"/>
    <w:rsid w:val="002502DC"/>
    <w:rsid w:val="0025313C"/>
    <w:rsid w:val="00260FD9"/>
    <w:rsid w:val="00262415"/>
    <w:rsid w:val="00266852"/>
    <w:rsid w:val="002705F5"/>
    <w:rsid w:val="002747FA"/>
    <w:rsid w:val="00276C0B"/>
    <w:rsid w:val="00277C32"/>
    <w:rsid w:val="002913DA"/>
    <w:rsid w:val="00293A87"/>
    <w:rsid w:val="00297E8A"/>
    <w:rsid w:val="002A3A67"/>
    <w:rsid w:val="002B34AB"/>
    <w:rsid w:val="002B6482"/>
    <w:rsid w:val="002B7B6F"/>
    <w:rsid w:val="002C0196"/>
    <w:rsid w:val="002C1C3B"/>
    <w:rsid w:val="002C2B6C"/>
    <w:rsid w:val="002C3498"/>
    <w:rsid w:val="002C36D9"/>
    <w:rsid w:val="002C464B"/>
    <w:rsid w:val="002C5F86"/>
    <w:rsid w:val="002E0A7B"/>
    <w:rsid w:val="002F0B1B"/>
    <w:rsid w:val="002F7A5E"/>
    <w:rsid w:val="00304F33"/>
    <w:rsid w:val="003063DF"/>
    <w:rsid w:val="00307D4E"/>
    <w:rsid w:val="00316138"/>
    <w:rsid w:val="00322484"/>
    <w:rsid w:val="00322BEE"/>
    <w:rsid w:val="00323541"/>
    <w:rsid w:val="00326FBB"/>
    <w:rsid w:val="00330A7C"/>
    <w:rsid w:val="00331DEB"/>
    <w:rsid w:val="003374EF"/>
    <w:rsid w:val="003424F4"/>
    <w:rsid w:val="003518CC"/>
    <w:rsid w:val="00353953"/>
    <w:rsid w:val="003632CA"/>
    <w:rsid w:val="003739A4"/>
    <w:rsid w:val="00375C19"/>
    <w:rsid w:val="00383952"/>
    <w:rsid w:val="00383C5A"/>
    <w:rsid w:val="00385E37"/>
    <w:rsid w:val="003865F5"/>
    <w:rsid w:val="003961BF"/>
    <w:rsid w:val="003A381A"/>
    <w:rsid w:val="003A74C6"/>
    <w:rsid w:val="003C2A41"/>
    <w:rsid w:val="003C52E5"/>
    <w:rsid w:val="003D0624"/>
    <w:rsid w:val="003D1A69"/>
    <w:rsid w:val="003D2871"/>
    <w:rsid w:val="003D2D0E"/>
    <w:rsid w:val="003D4F57"/>
    <w:rsid w:val="003E0B67"/>
    <w:rsid w:val="003E2D0E"/>
    <w:rsid w:val="003E6AC3"/>
    <w:rsid w:val="003F1680"/>
    <w:rsid w:val="003F62E7"/>
    <w:rsid w:val="0040257A"/>
    <w:rsid w:val="00411236"/>
    <w:rsid w:val="004144F6"/>
    <w:rsid w:val="00420BEC"/>
    <w:rsid w:val="00421D56"/>
    <w:rsid w:val="00421F91"/>
    <w:rsid w:val="004328DB"/>
    <w:rsid w:val="00440E99"/>
    <w:rsid w:val="00451550"/>
    <w:rsid w:val="00454B28"/>
    <w:rsid w:val="004559B8"/>
    <w:rsid w:val="0046204E"/>
    <w:rsid w:val="0046724B"/>
    <w:rsid w:val="0046789A"/>
    <w:rsid w:val="00471BAE"/>
    <w:rsid w:val="00483282"/>
    <w:rsid w:val="0049303E"/>
    <w:rsid w:val="00496CB6"/>
    <w:rsid w:val="004A3472"/>
    <w:rsid w:val="004A5A72"/>
    <w:rsid w:val="004A5E8C"/>
    <w:rsid w:val="004A6789"/>
    <w:rsid w:val="004A780E"/>
    <w:rsid w:val="004B0E1D"/>
    <w:rsid w:val="004B2DD5"/>
    <w:rsid w:val="004B2FDE"/>
    <w:rsid w:val="004C2146"/>
    <w:rsid w:val="004C3ECC"/>
    <w:rsid w:val="004C6AE8"/>
    <w:rsid w:val="004D2789"/>
    <w:rsid w:val="004E4BFD"/>
    <w:rsid w:val="004E5A4A"/>
    <w:rsid w:val="004F539C"/>
    <w:rsid w:val="004F5F6C"/>
    <w:rsid w:val="00505473"/>
    <w:rsid w:val="00507BDC"/>
    <w:rsid w:val="0051030D"/>
    <w:rsid w:val="005304AC"/>
    <w:rsid w:val="00533D28"/>
    <w:rsid w:val="00537B74"/>
    <w:rsid w:val="005448B8"/>
    <w:rsid w:val="005509CE"/>
    <w:rsid w:val="00550B7B"/>
    <w:rsid w:val="0055242F"/>
    <w:rsid w:val="00554972"/>
    <w:rsid w:val="005649DA"/>
    <w:rsid w:val="005670AE"/>
    <w:rsid w:val="005734C5"/>
    <w:rsid w:val="00574D19"/>
    <w:rsid w:val="005757E8"/>
    <w:rsid w:val="00586BCF"/>
    <w:rsid w:val="00590208"/>
    <w:rsid w:val="00590F87"/>
    <w:rsid w:val="00590FE1"/>
    <w:rsid w:val="00595CD8"/>
    <w:rsid w:val="0059624A"/>
    <w:rsid w:val="0059727A"/>
    <w:rsid w:val="005B7F6B"/>
    <w:rsid w:val="005C01E4"/>
    <w:rsid w:val="005C48E7"/>
    <w:rsid w:val="005E15C5"/>
    <w:rsid w:val="005E3E96"/>
    <w:rsid w:val="005E650F"/>
    <w:rsid w:val="005F0423"/>
    <w:rsid w:val="005F1665"/>
    <w:rsid w:val="005F1744"/>
    <w:rsid w:val="00607181"/>
    <w:rsid w:val="0060790B"/>
    <w:rsid w:val="00611B99"/>
    <w:rsid w:val="006272A3"/>
    <w:rsid w:val="00635E05"/>
    <w:rsid w:val="00652E72"/>
    <w:rsid w:val="00655F3F"/>
    <w:rsid w:val="00673569"/>
    <w:rsid w:val="006769D3"/>
    <w:rsid w:val="006974DF"/>
    <w:rsid w:val="006A1FA1"/>
    <w:rsid w:val="006A738F"/>
    <w:rsid w:val="006C09FB"/>
    <w:rsid w:val="006C2234"/>
    <w:rsid w:val="006C28F6"/>
    <w:rsid w:val="006C3081"/>
    <w:rsid w:val="006C5BE5"/>
    <w:rsid w:val="006C61CE"/>
    <w:rsid w:val="006D5814"/>
    <w:rsid w:val="006D796A"/>
    <w:rsid w:val="006E512B"/>
    <w:rsid w:val="006F280E"/>
    <w:rsid w:val="00701269"/>
    <w:rsid w:val="007133BF"/>
    <w:rsid w:val="007136B5"/>
    <w:rsid w:val="00717E49"/>
    <w:rsid w:val="00735D7B"/>
    <w:rsid w:val="00742D6C"/>
    <w:rsid w:val="00743406"/>
    <w:rsid w:val="00747EC0"/>
    <w:rsid w:val="00753968"/>
    <w:rsid w:val="00754DCD"/>
    <w:rsid w:val="007552FF"/>
    <w:rsid w:val="00756921"/>
    <w:rsid w:val="00761888"/>
    <w:rsid w:val="0077270E"/>
    <w:rsid w:val="00772BEC"/>
    <w:rsid w:val="007757E2"/>
    <w:rsid w:val="007843DC"/>
    <w:rsid w:val="00785737"/>
    <w:rsid w:val="00791790"/>
    <w:rsid w:val="00793668"/>
    <w:rsid w:val="0079742D"/>
    <w:rsid w:val="007A143A"/>
    <w:rsid w:val="007A2F8C"/>
    <w:rsid w:val="007C205F"/>
    <w:rsid w:val="007C6619"/>
    <w:rsid w:val="007D35C0"/>
    <w:rsid w:val="007D6C2E"/>
    <w:rsid w:val="007D6F52"/>
    <w:rsid w:val="007D75E4"/>
    <w:rsid w:val="007E1532"/>
    <w:rsid w:val="007E3E2F"/>
    <w:rsid w:val="007F26BC"/>
    <w:rsid w:val="007F4BCD"/>
    <w:rsid w:val="00802D89"/>
    <w:rsid w:val="00804C14"/>
    <w:rsid w:val="00815539"/>
    <w:rsid w:val="00817F09"/>
    <w:rsid w:val="00827668"/>
    <w:rsid w:val="0083040E"/>
    <w:rsid w:val="008602ED"/>
    <w:rsid w:val="00860B9D"/>
    <w:rsid w:val="00861BF4"/>
    <w:rsid w:val="0086323C"/>
    <w:rsid w:val="008648E1"/>
    <w:rsid w:val="00865A23"/>
    <w:rsid w:val="0087274E"/>
    <w:rsid w:val="00873E9D"/>
    <w:rsid w:val="00875883"/>
    <w:rsid w:val="00880B4B"/>
    <w:rsid w:val="00882079"/>
    <w:rsid w:val="00890800"/>
    <w:rsid w:val="008A046F"/>
    <w:rsid w:val="008A083B"/>
    <w:rsid w:val="008B4302"/>
    <w:rsid w:val="008C351F"/>
    <w:rsid w:val="008D09FC"/>
    <w:rsid w:val="008D53A6"/>
    <w:rsid w:val="008E56F1"/>
    <w:rsid w:val="00900FFB"/>
    <w:rsid w:val="00915952"/>
    <w:rsid w:val="009364EF"/>
    <w:rsid w:val="009526CC"/>
    <w:rsid w:val="00954195"/>
    <w:rsid w:val="00956F2F"/>
    <w:rsid w:val="009630E1"/>
    <w:rsid w:val="009636A6"/>
    <w:rsid w:val="0096539B"/>
    <w:rsid w:val="00967507"/>
    <w:rsid w:val="009822BC"/>
    <w:rsid w:val="00983566"/>
    <w:rsid w:val="00990067"/>
    <w:rsid w:val="00996575"/>
    <w:rsid w:val="00997944"/>
    <w:rsid w:val="009A1901"/>
    <w:rsid w:val="009A35D6"/>
    <w:rsid w:val="009A360B"/>
    <w:rsid w:val="009A4024"/>
    <w:rsid w:val="009C2901"/>
    <w:rsid w:val="009C6CC9"/>
    <w:rsid w:val="009D2C2F"/>
    <w:rsid w:val="009D5802"/>
    <w:rsid w:val="009D6740"/>
    <w:rsid w:val="009D7484"/>
    <w:rsid w:val="009F675E"/>
    <w:rsid w:val="00A10118"/>
    <w:rsid w:val="00A21BC0"/>
    <w:rsid w:val="00A26116"/>
    <w:rsid w:val="00A27D48"/>
    <w:rsid w:val="00A37D86"/>
    <w:rsid w:val="00A43620"/>
    <w:rsid w:val="00A65AAF"/>
    <w:rsid w:val="00A66F6F"/>
    <w:rsid w:val="00A67396"/>
    <w:rsid w:val="00A73F0E"/>
    <w:rsid w:val="00A83CDF"/>
    <w:rsid w:val="00AA1826"/>
    <w:rsid w:val="00AA2988"/>
    <w:rsid w:val="00AA5338"/>
    <w:rsid w:val="00AB0142"/>
    <w:rsid w:val="00AB36FC"/>
    <w:rsid w:val="00AB49E3"/>
    <w:rsid w:val="00AD0961"/>
    <w:rsid w:val="00AD1948"/>
    <w:rsid w:val="00AE11F7"/>
    <w:rsid w:val="00AE5612"/>
    <w:rsid w:val="00AF3EA3"/>
    <w:rsid w:val="00AF4B62"/>
    <w:rsid w:val="00B10770"/>
    <w:rsid w:val="00B42446"/>
    <w:rsid w:val="00B4466D"/>
    <w:rsid w:val="00B4541B"/>
    <w:rsid w:val="00B455D8"/>
    <w:rsid w:val="00B507D1"/>
    <w:rsid w:val="00B50F6D"/>
    <w:rsid w:val="00B51A33"/>
    <w:rsid w:val="00B51E1F"/>
    <w:rsid w:val="00B51FAD"/>
    <w:rsid w:val="00B65237"/>
    <w:rsid w:val="00B6703F"/>
    <w:rsid w:val="00B7030C"/>
    <w:rsid w:val="00B81B59"/>
    <w:rsid w:val="00BA24C9"/>
    <w:rsid w:val="00BB5839"/>
    <w:rsid w:val="00BB7898"/>
    <w:rsid w:val="00BC240E"/>
    <w:rsid w:val="00BC274C"/>
    <w:rsid w:val="00BD0666"/>
    <w:rsid w:val="00BD4137"/>
    <w:rsid w:val="00BE20D0"/>
    <w:rsid w:val="00BF5CA9"/>
    <w:rsid w:val="00C07217"/>
    <w:rsid w:val="00C07EE5"/>
    <w:rsid w:val="00C14C97"/>
    <w:rsid w:val="00C206BD"/>
    <w:rsid w:val="00C2448E"/>
    <w:rsid w:val="00C26EF7"/>
    <w:rsid w:val="00C317D3"/>
    <w:rsid w:val="00C342A0"/>
    <w:rsid w:val="00C51784"/>
    <w:rsid w:val="00C62DD3"/>
    <w:rsid w:val="00C640EE"/>
    <w:rsid w:val="00C64B0A"/>
    <w:rsid w:val="00C7146C"/>
    <w:rsid w:val="00C773B1"/>
    <w:rsid w:val="00CA0449"/>
    <w:rsid w:val="00CB5D8C"/>
    <w:rsid w:val="00CD0CFD"/>
    <w:rsid w:val="00CD43C6"/>
    <w:rsid w:val="00CE1A2F"/>
    <w:rsid w:val="00CE30D2"/>
    <w:rsid w:val="00CE31CA"/>
    <w:rsid w:val="00CE71A5"/>
    <w:rsid w:val="00CF045C"/>
    <w:rsid w:val="00D01994"/>
    <w:rsid w:val="00D059F3"/>
    <w:rsid w:val="00D13390"/>
    <w:rsid w:val="00D21F94"/>
    <w:rsid w:val="00D3166B"/>
    <w:rsid w:val="00D333C4"/>
    <w:rsid w:val="00D3373D"/>
    <w:rsid w:val="00D34323"/>
    <w:rsid w:val="00D34ADE"/>
    <w:rsid w:val="00D36919"/>
    <w:rsid w:val="00D539C8"/>
    <w:rsid w:val="00D54906"/>
    <w:rsid w:val="00D60305"/>
    <w:rsid w:val="00D81AD8"/>
    <w:rsid w:val="00DA100C"/>
    <w:rsid w:val="00DB4B64"/>
    <w:rsid w:val="00DB6D6B"/>
    <w:rsid w:val="00DE42AC"/>
    <w:rsid w:val="00DE6D9B"/>
    <w:rsid w:val="00DE7FEE"/>
    <w:rsid w:val="00DF5F91"/>
    <w:rsid w:val="00E205FE"/>
    <w:rsid w:val="00E21111"/>
    <w:rsid w:val="00E279A3"/>
    <w:rsid w:val="00E31975"/>
    <w:rsid w:val="00E361E4"/>
    <w:rsid w:val="00E37FF6"/>
    <w:rsid w:val="00E42B2A"/>
    <w:rsid w:val="00E50DB9"/>
    <w:rsid w:val="00E51399"/>
    <w:rsid w:val="00E5538C"/>
    <w:rsid w:val="00E661A8"/>
    <w:rsid w:val="00E74332"/>
    <w:rsid w:val="00E8356D"/>
    <w:rsid w:val="00E940F8"/>
    <w:rsid w:val="00E9617A"/>
    <w:rsid w:val="00EB559D"/>
    <w:rsid w:val="00EC0456"/>
    <w:rsid w:val="00EC207E"/>
    <w:rsid w:val="00EC2964"/>
    <w:rsid w:val="00EC6E62"/>
    <w:rsid w:val="00ED4C44"/>
    <w:rsid w:val="00EE74B8"/>
    <w:rsid w:val="00F01B26"/>
    <w:rsid w:val="00F04C9E"/>
    <w:rsid w:val="00F06034"/>
    <w:rsid w:val="00F15933"/>
    <w:rsid w:val="00F16AD2"/>
    <w:rsid w:val="00F26C1B"/>
    <w:rsid w:val="00F33EC6"/>
    <w:rsid w:val="00F42C2C"/>
    <w:rsid w:val="00F42CCF"/>
    <w:rsid w:val="00F45268"/>
    <w:rsid w:val="00F45ABB"/>
    <w:rsid w:val="00F57C2F"/>
    <w:rsid w:val="00F60D3D"/>
    <w:rsid w:val="00F7707D"/>
    <w:rsid w:val="00F77D85"/>
    <w:rsid w:val="00F86CDF"/>
    <w:rsid w:val="00F979B7"/>
    <w:rsid w:val="00FB1E2B"/>
    <w:rsid w:val="00FB4165"/>
    <w:rsid w:val="00FB43CE"/>
    <w:rsid w:val="00FB7DCB"/>
    <w:rsid w:val="00FC3D01"/>
    <w:rsid w:val="00FC4828"/>
    <w:rsid w:val="00FC7D8D"/>
    <w:rsid w:val="00FE3458"/>
    <w:rsid w:val="00FF7301"/>
    <w:rsid w:val="15F7DA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F6C36"/>
  <w15:chartTrackingRefBased/>
  <w15:docId w15:val="{EA8A5CD7-8EAC-4E39-A183-45790172D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EA3"/>
    <w:pPr>
      <w:spacing w:line="259" w:lineRule="auto"/>
    </w:pPr>
    <w:rPr>
      <w:kern w:val="0"/>
      <w:sz w:val="22"/>
      <w:szCs w:val="22"/>
      <w14:ligatures w14:val="none"/>
    </w:rPr>
  </w:style>
  <w:style w:type="paragraph" w:styleId="Ttulo1">
    <w:name w:val="heading 1"/>
    <w:basedOn w:val="Normal"/>
    <w:next w:val="Normal"/>
    <w:link w:val="Ttulo1Car"/>
    <w:uiPriority w:val="9"/>
    <w:qFormat/>
    <w:rsid w:val="00AF3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3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3EA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3EA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3EA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3EA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3EA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3EA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3EA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3EA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3EA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3EA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3EA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3EA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3EA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3EA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3EA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3EA3"/>
    <w:rPr>
      <w:rFonts w:eastAsiaTheme="majorEastAsia" w:cstheme="majorBidi"/>
      <w:color w:val="272727" w:themeColor="text1" w:themeTint="D8"/>
    </w:rPr>
  </w:style>
  <w:style w:type="paragraph" w:styleId="Ttulo">
    <w:name w:val="Title"/>
    <w:basedOn w:val="Normal"/>
    <w:next w:val="Normal"/>
    <w:link w:val="TtuloCar"/>
    <w:uiPriority w:val="10"/>
    <w:qFormat/>
    <w:rsid w:val="00AF3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3E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3EA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3EA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3EA3"/>
    <w:pPr>
      <w:spacing w:before="160"/>
      <w:jc w:val="center"/>
    </w:pPr>
    <w:rPr>
      <w:i/>
      <w:iCs/>
      <w:color w:val="404040" w:themeColor="text1" w:themeTint="BF"/>
    </w:rPr>
  </w:style>
  <w:style w:type="character" w:customStyle="1" w:styleId="CitaCar">
    <w:name w:val="Cita Car"/>
    <w:basedOn w:val="Fuentedeprrafopredeter"/>
    <w:link w:val="Cita"/>
    <w:uiPriority w:val="29"/>
    <w:rsid w:val="00AF3EA3"/>
    <w:rPr>
      <w:i/>
      <w:iCs/>
      <w:color w:val="404040" w:themeColor="text1" w:themeTint="BF"/>
    </w:rPr>
  </w:style>
  <w:style w:type="paragraph" w:styleId="Prrafodelista">
    <w:name w:val="List Paragraph"/>
    <w:basedOn w:val="Normal"/>
    <w:uiPriority w:val="34"/>
    <w:qFormat/>
    <w:rsid w:val="00AF3EA3"/>
    <w:pPr>
      <w:ind w:left="720"/>
      <w:contextualSpacing/>
    </w:pPr>
  </w:style>
  <w:style w:type="character" w:styleId="nfasisintenso">
    <w:name w:val="Intense Emphasis"/>
    <w:basedOn w:val="Fuentedeprrafopredeter"/>
    <w:uiPriority w:val="21"/>
    <w:qFormat/>
    <w:rsid w:val="00AF3EA3"/>
    <w:rPr>
      <w:i/>
      <w:iCs/>
      <w:color w:val="0F4761" w:themeColor="accent1" w:themeShade="BF"/>
    </w:rPr>
  </w:style>
  <w:style w:type="paragraph" w:styleId="Citadestacada">
    <w:name w:val="Intense Quote"/>
    <w:basedOn w:val="Normal"/>
    <w:next w:val="Normal"/>
    <w:link w:val="CitadestacadaCar"/>
    <w:uiPriority w:val="30"/>
    <w:qFormat/>
    <w:rsid w:val="00AF3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3EA3"/>
    <w:rPr>
      <w:i/>
      <w:iCs/>
      <w:color w:val="0F4761" w:themeColor="accent1" w:themeShade="BF"/>
    </w:rPr>
  </w:style>
  <w:style w:type="character" w:styleId="Referenciaintensa">
    <w:name w:val="Intense Reference"/>
    <w:basedOn w:val="Fuentedeprrafopredeter"/>
    <w:uiPriority w:val="32"/>
    <w:qFormat/>
    <w:rsid w:val="00AF3EA3"/>
    <w:rPr>
      <w:b/>
      <w:bCs/>
      <w:smallCaps/>
      <w:color w:val="0F4761" w:themeColor="accent1" w:themeShade="BF"/>
      <w:spacing w:val="5"/>
    </w:rPr>
  </w:style>
  <w:style w:type="paragraph" w:styleId="Encabezado">
    <w:name w:val="header"/>
    <w:basedOn w:val="Normal"/>
    <w:link w:val="EncabezadoCar"/>
    <w:uiPriority w:val="99"/>
    <w:unhideWhenUsed/>
    <w:rsid w:val="00AF3E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EA3"/>
    <w:rPr>
      <w:kern w:val="0"/>
      <w:sz w:val="22"/>
      <w:szCs w:val="22"/>
      <w14:ligatures w14:val="none"/>
    </w:rPr>
  </w:style>
  <w:style w:type="paragraph" w:styleId="Piedepgina">
    <w:name w:val="footer"/>
    <w:basedOn w:val="Normal"/>
    <w:link w:val="PiedepginaCar"/>
    <w:uiPriority w:val="99"/>
    <w:unhideWhenUsed/>
    <w:rsid w:val="00AF3E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EA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F3EA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F3EA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F3EA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AF3EA3"/>
    <w:rPr>
      <w:vertAlign w:val="superscript"/>
    </w:rPr>
  </w:style>
  <w:style w:type="table" w:styleId="Tablaconcuadrcula">
    <w:name w:val="Table Grid"/>
    <w:basedOn w:val="Tablanormal"/>
    <w:uiPriority w:val="39"/>
    <w:qFormat/>
    <w:rsid w:val="00AF3E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F3EA3"/>
    <w:rPr>
      <w:color w:val="0000FF"/>
      <w:u w:val="single"/>
    </w:rPr>
  </w:style>
  <w:style w:type="paragraph" w:styleId="NormalWeb">
    <w:name w:val="Normal (Web)"/>
    <w:basedOn w:val="Normal"/>
    <w:uiPriority w:val="99"/>
    <w:semiHidden/>
    <w:unhideWhenUsed/>
    <w:rsid w:val="00AF3EA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rsid w:val="00AF3EA3"/>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AF3E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AF3EA3"/>
    <w:rPr>
      <w:b/>
      <w:bCs/>
    </w:rPr>
  </w:style>
  <w:style w:type="character" w:styleId="nfasis">
    <w:name w:val="Emphasis"/>
    <w:basedOn w:val="Fuentedeprrafopredeter"/>
    <w:uiPriority w:val="20"/>
    <w:qFormat/>
    <w:rsid w:val="00AF3EA3"/>
    <w:rPr>
      <w:i/>
      <w:iCs/>
    </w:rPr>
  </w:style>
  <w:style w:type="character" w:styleId="Mencinsinresolver">
    <w:name w:val="Unresolved Mention"/>
    <w:basedOn w:val="Fuentedeprrafopredeter"/>
    <w:uiPriority w:val="99"/>
    <w:semiHidden/>
    <w:unhideWhenUsed/>
    <w:rsid w:val="00D3166B"/>
    <w:rPr>
      <w:color w:val="605E5C"/>
      <w:shd w:val="clear" w:color="auto" w:fill="E1DFDD"/>
    </w:rPr>
  </w:style>
  <w:style w:type="paragraph" w:styleId="Revisin">
    <w:name w:val="Revision"/>
    <w:hidden/>
    <w:uiPriority w:val="99"/>
    <w:semiHidden/>
    <w:rsid w:val="004A6789"/>
    <w:pPr>
      <w:spacing w:after="0" w:line="240" w:lineRule="auto"/>
    </w:pPr>
    <w:rPr>
      <w:kern w:val="0"/>
      <w:sz w:val="22"/>
      <w:szCs w:val="22"/>
      <w14:ligatures w14:val="none"/>
    </w:rPr>
  </w:style>
  <w:style w:type="paragraph" w:customStyle="1" w:styleId="Textoindependiente1">
    <w:name w:val="Texto independiente1"/>
    <w:basedOn w:val="Normal"/>
    <w:next w:val="Textoindependiente"/>
    <w:link w:val="TextoindependienteCar"/>
    <w:uiPriority w:val="99"/>
    <w:semiHidden/>
    <w:unhideWhenUsed/>
    <w:rsid w:val="0060790B"/>
    <w:pPr>
      <w:spacing w:after="120"/>
    </w:pPr>
    <w:rPr>
      <w:kern w:val="2"/>
      <w:sz w:val="24"/>
      <w:szCs w:val="24"/>
      <w14:ligatures w14:val="standardContextual"/>
    </w:rPr>
  </w:style>
  <w:style w:type="character" w:customStyle="1" w:styleId="TextoindependienteCar">
    <w:name w:val="Texto independiente Car"/>
    <w:basedOn w:val="Fuentedeprrafopredeter"/>
    <w:link w:val="Textoindependiente1"/>
    <w:uiPriority w:val="99"/>
    <w:semiHidden/>
    <w:rsid w:val="0060790B"/>
  </w:style>
  <w:style w:type="paragraph" w:styleId="Textoindependiente">
    <w:name w:val="Body Text"/>
    <w:basedOn w:val="Normal"/>
    <w:link w:val="TextoindependienteCar1"/>
    <w:uiPriority w:val="99"/>
    <w:semiHidden/>
    <w:unhideWhenUsed/>
    <w:rsid w:val="0060790B"/>
    <w:pPr>
      <w:spacing w:after="120"/>
    </w:pPr>
  </w:style>
  <w:style w:type="character" w:customStyle="1" w:styleId="TextoindependienteCar1">
    <w:name w:val="Texto independiente Car1"/>
    <w:basedOn w:val="Fuentedeprrafopredeter"/>
    <w:link w:val="Textoindependiente"/>
    <w:uiPriority w:val="99"/>
    <w:semiHidden/>
    <w:rsid w:val="0060790B"/>
    <w:rPr>
      <w:kern w:val="0"/>
      <w:sz w:val="22"/>
      <w:szCs w:val="22"/>
      <w14:ligatures w14:val="none"/>
    </w:rPr>
  </w:style>
  <w:style w:type="paragraph" w:customStyle="1" w:styleId="Textoindependiente2">
    <w:name w:val="Texto independiente2"/>
    <w:basedOn w:val="Normal"/>
    <w:next w:val="Textoindependiente"/>
    <w:uiPriority w:val="99"/>
    <w:semiHidden/>
    <w:unhideWhenUsed/>
    <w:rsid w:val="002C36D9"/>
    <w:pPr>
      <w:spacing w:after="120"/>
    </w:pPr>
  </w:style>
  <w:style w:type="table" w:customStyle="1" w:styleId="Tablaconcuadrcula1">
    <w:name w:val="Tabla con cuadrícula1"/>
    <w:basedOn w:val="Tablanormal"/>
    <w:next w:val="Tablaconcuadrcula"/>
    <w:uiPriority w:val="39"/>
    <w:qFormat/>
    <w:rsid w:val="00331DEB"/>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qFormat/>
    <w:rsid w:val="00331DEB"/>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3597">
      <w:bodyDiv w:val="1"/>
      <w:marLeft w:val="0"/>
      <w:marRight w:val="0"/>
      <w:marTop w:val="0"/>
      <w:marBottom w:val="0"/>
      <w:divBdr>
        <w:top w:val="none" w:sz="0" w:space="0" w:color="auto"/>
        <w:left w:val="none" w:sz="0" w:space="0" w:color="auto"/>
        <w:bottom w:val="none" w:sz="0" w:space="0" w:color="auto"/>
        <w:right w:val="none" w:sz="0" w:space="0" w:color="auto"/>
      </w:divBdr>
    </w:div>
    <w:div w:id="1704747839">
      <w:bodyDiv w:val="1"/>
      <w:marLeft w:val="0"/>
      <w:marRight w:val="0"/>
      <w:marTop w:val="0"/>
      <w:marBottom w:val="0"/>
      <w:divBdr>
        <w:top w:val="none" w:sz="0" w:space="0" w:color="auto"/>
        <w:left w:val="none" w:sz="0" w:space="0" w:color="auto"/>
        <w:bottom w:val="none" w:sz="0" w:space="0" w:color="auto"/>
        <w:right w:val="none" w:sz="0" w:space="0" w:color="auto"/>
      </w:divBdr>
    </w:div>
    <w:div w:id="18565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nasly.mosquera%40colombiacompra.gov.co%7Ceb0fd05604104aa4d3bc08dd4c4ad35e%7C7b09041e245149d08cb179d5e3d8c1be%7C0%7C0%7C638750606448243271%7CUnknown%7CTWFpbGZsb3d8eyJFbXB0eU1hcGkiOnRydWUsIlYiOiIwLjAuMDAwMCIsIlAiOiJXaW4zMiIsIkFOIjoiTWFpbCIsIldUIjoyfQ%3D%3D%7C0%7C%7C%7C&amp;sdata=%2BaMbYG9I053mm0acwlV7g96apxKOH%2F6lyhloUs3Jvs4%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ta.94.rs@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eb0fd05604104aa4d3bc08dd4c4ad35e%7C7b09041e245149d08cb179d5e3d8c1be%7C0%7C0%7C638750606448311827%7CUnknown%7CTWFpbGZsb3d8eyJFbXB0eU1hcGkiOnRydWUsIlYiOiIwLjAuMDAwMCIsIlAiOiJXaW4zMiIsIkFOIjoiTWFpbCIsIldUIjoyfQ%3D%3D%7C0%7C%7C%7C&amp;sdata=op%2FdsGuxoLsc%2FdyuXabMHLDixa%2FmBe0WyKZP9YDd5do%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nasly.mosquera%40colombiacompra.gov.co%7Ceb0fd05604104aa4d3bc08dd4c4ad35e%7C7b09041e245149d08cb179d5e3d8c1be%7C0%7C0%7C638750606448281193%7CUnknown%7CTWFpbGZsb3d8eyJFbXB0eU1hcGkiOnRydWUsIlYiOiIwLjAuMDAwMCIsIlAiOiJXaW4zMiIsIkFOIjoiTWFpbCIsIldUIjoyfQ%3D%3D%7C0%7C%7C%7C&amp;sdata=WsKFopu2ucs%2F5ycslMSsxrn8oLe%2FroXSHqQU6%2FDcb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C4454A-D716-4841-9DAA-7FC1E9DA0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99F46-75D1-467B-8976-3ED339B33F1A}">
  <ds:schemaRefs>
    <ds:schemaRef ds:uri="http://schemas.microsoft.com/sharepoint/v3/contenttype/forms"/>
  </ds:schemaRefs>
</ds:datastoreItem>
</file>

<file path=customXml/itemProps3.xml><?xml version="1.0" encoding="utf-8"?>
<ds:datastoreItem xmlns:ds="http://schemas.openxmlformats.org/officeDocument/2006/customXml" ds:itemID="{9FA79992-AD04-4B11-94B2-B4C96DDFAB1D}">
  <ds:schemaRefs>
    <ds:schemaRef ds:uri="http://schemas.microsoft.com/office/infopath/2007/PartnerControls"/>
    <ds:schemaRef ds:uri="http://purl.org/dc/dcmitype/"/>
    <ds:schemaRef ds:uri="http://purl.org/dc/elements/1.1/"/>
    <ds:schemaRef ds:uri="http://www.w3.org/XML/1998/namespace"/>
    <ds:schemaRef ds:uri="http://purl.org/dc/terms/"/>
    <ds:schemaRef ds:uri="http://schemas.microsoft.com/office/2006/documentManagement/types"/>
    <ds:schemaRef ds:uri="a6cb9e4b-f1d1-4245-83ec-6cad768d538a"/>
    <ds:schemaRef ds:uri="http://schemas.openxmlformats.org/package/2006/metadata/core-properties"/>
    <ds:schemaRef ds:uri="9d85dbaf-23eb-4e57-a637-93dcacc8b1a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5252</Words>
  <Characters>28887</Characters>
  <Application>Microsoft Office Word</Application>
  <DocSecurity>0</DocSecurity>
  <Lines>240</Lines>
  <Paragraphs>68</Paragraphs>
  <ScaleCrop>false</ScaleCrop>
  <Company/>
  <LinksUpToDate>false</LinksUpToDate>
  <CharactersWithSpaces>34071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ANCP-CCE</dc:creator>
  <cp:keywords/>
  <dc:description/>
  <cp:lastModifiedBy>Nasly Yeana Mosquera Rivas</cp:lastModifiedBy>
  <cp:revision>2</cp:revision>
  <dcterms:created xsi:type="dcterms:W3CDTF">2025-02-20T17:24:00Z</dcterms:created>
  <dcterms:modified xsi:type="dcterms:W3CDTF">2025-02-20T17:24:00Z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