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3CAC71" w14:textId="5282EFA7" w:rsidR="002415B8" w:rsidRPr="0042283A" w:rsidRDefault="00B55C69" w:rsidP="008536BB">
      <w:pPr>
        <w:jc w:val="right"/>
        <w:rPr>
          <w:rFonts w:ascii="Arial" w:eastAsia="Calibri" w:hAnsi="Arial" w:cs="Arial"/>
          <w:b/>
          <w:color w:val="000000" w:themeColor="text1"/>
          <w:sz w:val="20"/>
          <w:szCs w:val="20"/>
          <w:lang w:val="es-ES_tradnl"/>
        </w:rPr>
      </w:pPr>
      <w:bookmarkStart w:id="0" w:name="_Hlk28946138"/>
      <w:bookmarkStart w:id="1" w:name="_Hlk29548183"/>
      <w:r w:rsidRPr="0042283A">
        <w:rPr>
          <w:rFonts w:ascii="Arial" w:hAnsi="Arial" w:cs="Arial"/>
          <w:bCs/>
          <w:color w:val="000000" w:themeColor="text1"/>
          <w:sz w:val="16"/>
          <w:szCs w:val="16"/>
          <w:lang w:val="es-ES_tradnl" w:eastAsia="es-ES"/>
        </w:rPr>
        <w:t>CCE-DES-FM-17</w:t>
      </w:r>
      <w:bookmarkEnd w:id="0"/>
      <w:bookmarkEnd w:id="1"/>
    </w:p>
    <w:p w14:paraId="55FBD910" w14:textId="77777777" w:rsidR="008536BB" w:rsidRPr="0042283A" w:rsidRDefault="008536BB" w:rsidP="00B95C30">
      <w:pPr>
        <w:spacing w:line="276" w:lineRule="auto"/>
        <w:jc w:val="both"/>
        <w:rPr>
          <w:rFonts w:ascii="Arial" w:hAnsi="Arial" w:cs="Arial"/>
          <w:noProof/>
          <w:color w:val="000000" w:themeColor="text1"/>
          <w:sz w:val="22"/>
          <w:lang w:val="es-ES_tradnl"/>
        </w:rPr>
      </w:pPr>
    </w:p>
    <w:p w14:paraId="6ADC901E" w14:textId="7DE227E0" w:rsidR="009D163B" w:rsidRPr="0042283A" w:rsidRDefault="00D65B2B" w:rsidP="00C978D4">
      <w:pPr>
        <w:jc w:val="both"/>
        <w:rPr>
          <w:rFonts w:ascii="Arial" w:eastAsia="Calibri" w:hAnsi="Arial" w:cs="Arial"/>
          <w:b/>
          <w:sz w:val="22"/>
          <w:lang w:val="es-ES_tradnl"/>
        </w:rPr>
      </w:pPr>
      <w:r w:rsidRPr="0042283A">
        <w:rPr>
          <w:rFonts w:ascii="Arial" w:eastAsia="Calibri" w:hAnsi="Arial" w:cs="Arial"/>
          <w:b/>
          <w:sz w:val="22"/>
          <w:lang w:val="es-ES_tradnl"/>
        </w:rPr>
        <w:t>CONCURSO DE MÉRITOS</w:t>
      </w:r>
      <w:r w:rsidR="009D163B" w:rsidRPr="0042283A">
        <w:rPr>
          <w:rFonts w:ascii="Arial" w:eastAsia="Calibri" w:hAnsi="Arial" w:cs="Arial"/>
          <w:b/>
          <w:sz w:val="22"/>
          <w:lang w:val="es-ES_tradnl"/>
        </w:rPr>
        <w:t xml:space="preserve"> – Concepto – Modalidades</w:t>
      </w:r>
    </w:p>
    <w:p w14:paraId="36CE69AD" w14:textId="3E3BBBB8" w:rsidR="009D163B" w:rsidRPr="0042283A" w:rsidRDefault="009D163B" w:rsidP="00C978D4">
      <w:pPr>
        <w:jc w:val="both"/>
        <w:rPr>
          <w:rFonts w:ascii="Arial" w:eastAsia="Calibri" w:hAnsi="Arial" w:cs="Arial"/>
          <w:b/>
          <w:sz w:val="22"/>
          <w:lang w:val="es-ES_tradnl"/>
        </w:rPr>
      </w:pPr>
    </w:p>
    <w:p w14:paraId="72DEC53C" w14:textId="77777777" w:rsidR="009D163B" w:rsidRPr="0042283A" w:rsidRDefault="009D163B" w:rsidP="009D163B">
      <w:pPr>
        <w:jc w:val="both"/>
        <w:rPr>
          <w:rFonts w:ascii="Arial" w:hAnsi="Arial" w:cs="Arial"/>
          <w:color w:val="000000" w:themeColor="text1"/>
          <w:sz w:val="20"/>
          <w:szCs w:val="20"/>
          <w:lang w:val="es-ES_tradnl"/>
        </w:rPr>
      </w:pPr>
      <w:r w:rsidRPr="0042283A">
        <w:rPr>
          <w:rFonts w:ascii="Arial" w:hAnsi="Arial" w:cs="Arial"/>
          <w:color w:val="000000" w:themeColor="text1"/>
          <w:sz w:val="20"/>
          <w:szCs w:val="20"/>
          <w:lang w:val="es-ES_tradnl"/>
        </w:rPr>
        <w:t xml:space="preserve">El </w:t>
      </w:r>
      <w:r w:rsidRPr="0042283A">
        <w:rPr>
          <w:rFonts w:ascii="Arial" w:hAnsi="Arial" w:cs="Arial"/>
          <w:i/>
          <w:iCs/>
          <w:color w:val="000000" w:themeColor="text1"/>
          <w:sz w:val="20"/>
          <w:szCs w:val="20"/>
          <w:lang w:val="es-ES_tradnl"/>
        </w:rPr>
        <w:t xml:space="preserve">concurso de méritos </w:t>
      </w:r>
      <w:r w:rsidRPr="0042283A">
        <w:rPr>
          <w:rFonts w:ascii="Arial" w:hAnsi="Arial" w:cs="Arial"/>
          <w:color w:val="000000" w:themeColor="text1"/>
          <w:sz w:val="20"/>
          <w:szCs w:val="20"/>
          <w:lang w:val="es-ES_tradnl"/>
        </w:rPr>
        <w:t>es un procedimiento de selección que deben realizar las entidades estatales para escoger «consultores y proyectos», es decir, para celebrar contratos de consultoría, entendidos estos últimos como aquellos «[…]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 según lo dispuesto en el artículo 32, numeral 2, de la Ley 80 de 1993.</w:t>
      </w:r>
    </w:p>
    <w:p w14:paraId="245BC8AB" w14:textId="77777777" w:rsidR="009D163B" w:rsidRPr="0042283A" w:rsidRDefault="009D163B" w:rsidP="009D163B">
      <w:pPr>
        <w:jc w:val="both"/>
        <w:rPr>
          <w:rFonts w:ascii="Arial" w:hAnsi="Arial" w:cs="Arial"/>
          <w:color w:val="000000" w:themeColor="text1"/>
          <w:sz w:val="20"/>
          <w:szCs w:val="20"/>
          <w:lang w:val="es-ES_tradnl"/>
        </w:rPr>
      </w:pPr>
    </w:p>
    <w:p w14:paraId="67419391" w14:textId="0C6F494D" w:rsidR="009D163B" w:rsidRPr="0042283A" w:rsidRDefault="009D163B" w:rsidP="009D163B">
      <w:pPr>
        <w:jc w:val="both"/>
        <w:rPr>
          <w:rFonts w:ascii="Arial" w:hAnsi="Arial" w:cs="Arial"/>
          <w:color w:val="000000" w:themeColor="text1"/>
          <w:sz w:val="20"/>
          <w:szCs w:val="20"/>
          <w:lang w:val="es-ES_tradnl"/>
        </w:rPr>
      </w:pPr>
      <w:r w:rsidRPr="0042283A">
        <w:rPr>
          <w:rFonts w:ascii="Arial" w:hAnsi="Arial" w:cs="Arial"/>
          <w:color w:val="000000" w:themeColor="text1"/>
          <w:sz w:val="20"/>
          <w:szCs w:val="20"/>
          <w:lang w:val="es-ES_tradnl"/>
        </w:rPr>
        <w:t xml:space="preserve">El Libro 2, Parte 2, Título 1, Capítulo 2, Sección 1, Subsección 3 del Decreto 1082 de 2015, regula las distintas modalidades del concurso de méritos: i) concurso de méritos abierto o sin precalificación, ii) concurso de méritos cerrado o con precalificación y iii) concurso de méritos «para la selección de consultores de diseño, planos, anteproyectos y proyectos arquitectónicos». El primero está regulado en los artículos 2.2.1.2.1.3.1. y 2.2.1.2.1.3.2. </w:t>
      </w:r>
      <w:r w:rsidRPr="0042283A">
        <w:rPr>
          <w:rFonts w:ascii="Arial" w:hAnsi="Arial" w:cs="Arial"/>
          <w:i/>
          <w:iCs/>
          <w:color w:val="000000" w:themeColor="text1"/>
          <w:sz w:val="20"/>
          <w:szCs w:val="20"/>
          <w:lang w:val="es-ES_tradnl"/>
        </w:rPr>
        <w:t>ibídem</w:t>
      </w:r>
      <w:r w:rsidRPr="0042283A">
        <w:rPr>
          <w:rFonts w:ascii="Arial" w:hAnsi="Arial" w:cs="Arial"/>
          <w:color w:val="000000" w:themeColor="text1"/>
          <w:sz w:val="20"/>
          <w:szCs w:val="20"/>
          <w:lang w:val="es-ES_tradnl"/>
        </w:rPr>
        <w:t xml:space="preserve">. El segundo, además de los dos artículos anteriores, lo regulan los artículos 2.2.1.2.1.3.3. a 2.2.1.2.1.3.7. </w:t>
      </w:r>
      <w:proofErr w:type="spellStart"/>
      <w:r w:rsidRPr="0042283A">
        <w:rPr>
          <w:rFonts w:ascii="Arial" w:hAnsi="Arial" w:cs="Arial"/>
          <w:i/>
          <w:iCs/>
          <w:color w:val="000000" w:themeColor="text1"/>
          <w:sz w:val="20"/>
          <w:szCs w:val="20"/>
          <w:lang w:val="es-ES_tradnl"/>
        </w:rPr>
        <w:t>ejusdem</w:t>
      </w:r>
      <w:proofErr w:type="spellEnd"/>
      <w:r w:rsidRPr="0042283A">
        <w:rPr>
          <w:rFonts w:ascii="Arial" w:hAnsi="Arial" w:cs="Arial"/>
          <w:color w:val="000000" w:themeColor="text1"/>
          <w:sz w:val="20"/>
          <w:szCs w:val="20"/>
          <w:lang w:val="es-ES_tradnl"/>
        </w:rPr>
        <w:t>. El tercero lo regulan los artículos 2.2.1.2.1.3.8. a 2.2.1.2.1.3.25. del mencionado Decreto.</w:t>
      </w:r>
    </w:p>
    <w:p w14:paraId="149D5551" w14:textId="34107518" w:rsidR="009D163B" w:rsidRPr="0042283A" w:rsidRDefault="009D163B" w:rsidP="00C978D4">
      <w:pPr>
        <w:jc w:val="both"/>
        <w:rPr>
          <w:rFonts w:ascii="Arial" w:eastAsia="Calibri" w:hAnsi="Arial" w:cs="Arial"/>
          <w:b/>
          <w:sz w:val="22"/>
          <w:lang w:val="es-ES_tradnl"/>
        </w:rPr>
      </w:pPr>
    </w:p>
    <w:p w14:paraId="30802736" w14:textId="71A88E72" w:rsidR="009D163B" w:rsidRPr="0042283A" w:rsidRDefault="009D163B" w:rsidP="009D163B">
      <w:pPr>
        <w:jc w:val="both"/>
        <w:rPr>
          <w:rFonts w:ascii="Arial" w:eastAsia="Calibri" w:hAnsi="Arial" w:cs="Arial"/>
          <w:b/>
          <w:sz w:val="22"/>
          <w:szCs w:val="22"/>
          <w:lang w:val="es-ES_tradnl"/>
        </w:rPr>
      </w:pPr>
      <w:r w:rsidRPr="0042283A">
        <w:rPr>
          <w:rFonts w:ascii="Arial" w:eastAsia="Calibri" w:hAnsi="Arial" w:cs="Arial"/>
          <w:b/>
          <w:sz w:val="22"/>
          <w:szCs w:val="22"/>
          <w:lang w:val="es-ES_tradnl"/>
        </w:rPr>
        <w:t xml:space="preserve">CONCURSO DE MÉRITOS – </w:t>
      </w:r>
      <w:r w:rsidR="00D205C7" w:rsidRPr="0042283A">
        <w:rPr>
          <w:rFonts w:ascii="Arial" w:eastAsia="Calibri" w:hAnsi="Arial" w:cs="Arial"/>
          <w:b/>
          <w:sz w:val="22"/>
          <w:szCs w:val="22"/>
          <w:lang w:val="es-ES_tradnl"/>
        </w:rPr>
        <w:t>Decreto 1082 de 2015</w:t>
      </w:r>
      <w:r w:rsidRPr="0042283A">
        <w:rPr>
          <w:rFonts w:ascii="Arial" w:eastAsia="Calibri" w:hAnsi="Arial" w:cs="Arial"/>
          <w:b/>
          <w:sz w:val="22"/>
          <w:szCs w:val="22"/>
          <w:lang w:val="es-ES_tradnl"/>
        </w:rPr>
        <w:t xml:space="preserve"> – </w:t>
      </w:r>
      <w:r w:rsidR="00D205C7" w:rsidRPr="0042283A">
        <w:rPr>
          <w:rFonts w:ascii="Arial" w:hAnsi="Arial" w:cs="Arial"/>
          <w:b/>
          <w:color w:val="000000" w:themeColor="text1"/>
          <w:sz w:val="22"/>
          <w:szCs w:val="22"/>
          <w:lang w:val="es-ES_tradnl"/>
        </w:rPr>
        <w:t xml:space="preserve">artículo 2.2.1.2.1.3.2 – </w:t>
      </w:r>
      <w:r w:rsidR="00D205C7" w:rsidRPr="0042283A">
        <w:rPr>
          <w:rFonts w:ascii="Arial" w:eastAsia="Calibri" w:hAnsi="Arial" w:cs="Arial"/>
          <w:b/>
          <w:sz w:val="22"/>
          <w:szCs w:val="22"/>
          <w:lang w:val="es-ES_tradnl"/>
        </w:rPr>
        <w:t>Suspensión provisional</w:t>
      </w:r>
    </w:p>
    <w:p w14:paraId="7668E0AC" w14:textId="507A7AF1" w:rsidR="009D163B" w:rsidRPr="0042283A" w:rsidRDefault="009D163B" w:rsidP="00C978D4">
      <w:pPr>
        <w:jc w:val="both"/>
        <w:rPr>
          <w:rFonts w:ascii="Arial" w:eastAsia="Calibri" w:hAnsi="Arial" w:cs="Arial"/>
          <w:b/>
          <w:sz w:val="22"/>
          <w:lang w:val="es-ES_tradnl"/>
        </w:rPr>
      </w:pPr>
    </w:p>
    <w:p w14:paraId="65D37014" w14:textId="30BDD792" w:rsidR="00D205C7" w:rsidRPr="0042283A" w:rsidRDefault="00D205C7" w:rsidP="00D205C7">
      <w:pPr>
        <w:jc w:val="both"/>
        <w:rPr>
          <w:rFonts w:ascii="Arial" w:hAnsi="Arial" w:cs="Arial"/>
          <w:color w:val="000000" w:themeColor="text1"/>
          <w:sz w:val="20"/>
          <w:szCs w:val="20"/>
          <w:lang w:val="es-ES_tradnl"/>
        </w:rPr>
      </w:pPr>
      <w:r w:rsidRPr="0042283A">
        <w:rPr>
          <w:rFonts w:ascii="Arial" w:hAnsi="Arial" w:cs="Arial"/>
          <w:color w:val="000000" w:themeColor="text1"/>
          <w:sz w:val="20"/>
          <w:szCs w:val="20"/>
          <w:lang w:val="es-ES_tradnl"/>
        </w:rPr>
        <w:t>El Consejo de Estado consideró que los numerales 3, 4 y 5 violarían el artículo 5, numeral 4, último inciso, de la Ley 1150 de 2007, pues señaló que: «en ningún caso se podrá incluir el precio, como factor de escogencia para la selección de consultores», así como el artículo 25, numeral 2, de la Ley 80 de 1993 que dispone lo siguiente: «[…] las normas de los procedimientos contractuales se interpretarán de tal manera que no den ocasión a seguir trámites distintos y adicionales a los expresamente previstos […]». En este sentido, el alto tribunal explicó que la verificación de la coherencia del precio con la disponibilidad presupuestal y la necesidad de que se logre un acuerdo en relación con el mismo desconocía el principio de selección objetiva, convirtiendo el precio en un factor de selección. En lo que respecta al artículo 6, este violaría especialmente el artículo 25.18 del Estatuto General y el artículo 5 de la Ley 1150 de 2007, pues la declaratoria de desierta solo procede cuando no es posible la selección objetiva del contratista.</w:t>
      </w:r>
    </w:p>
    <w:p w14:paraId="7E03CAC9" w14:textId="77777777" w:rsidR="00D205C7" w:rsidRPr="0042283A" w:rsidRDefault="00D205C7" w:rsidP="00D205C7">
      <w:pPr>
        <w:jc w:val="both"/>
        <w:rPr>
          <w:rFonts w:ascii="Arial" w:hAnsi="Arial" w:cs="Arial"/>
          <w:color w:val="000000" w:themeColor="text1"/>
          <w:sz w:val="20"/>
          <w:szCs w:val="20"/>
          <w:lang w:val="es-ES_tradnl"/>
        </w:rPr>
      </w:pPr>
    </w:p>
    <w:p w14:paraId="7B7FAEDD" w14:textId="2DFE0811" w:rsidR="00D205C7" w:rsidRPr="0042283A" w:rsidRDefault="00D205C7" w:rsidP="00D205C7">
      <w:pPr>
        <w:jc w:val="both"/>
        <w:rPr>
          <w:rFonts w:ascii="Arial" w:eastAsia="Calibri" w:hAnsi="Arial" w:cs="Arial"/>
          <w:color w:val="000000" w:themeColor="text1"/>
          <w:sz w:val="20"/>
          <w:szCs w:val="20"/>
          <w:lang w:val="es-ES_tradnl"/>
        </w:rPr>
      </w:pPr>
      <w:r w:rsidRPr="0042283A">
        <w:rPr>
          <w:rFonts w:ascii="Arial" w:hAnsi="Arial" w:cs="Arial"/>
          <w:color w:val="000000" w:themeColor="text1"/>
          <w:sz w:val="20"/>
          <w:szCs w:val="20"/>
          <w:lang w:val="es-ES_tradnl"/>
        </w:rPr>
        <w:t xml:space="preserve">En consecuencia, </w:t>
      </w:r>
      <w:r w:rsidRPr="0042283A">
        <w:rPr>
          <w:rFonts w:ascii="Arial" w:eastAsia="Calibri" w:hAnsi="Arial" w:cs="Arial"/>
          <w:color w:val="000000" w:themeColor="text1"/>
          <w:sz w:val="20"/>
          <w:szCs w:val="20"/>
          <w:lang w:val="es-ES_tradnl"/>
        </w:rPr>
        <w:t>con los autos de suspensión provisional, el concurso de méritos abierto debía desarrollarse aplicando únicamente los numerales 1 y 2 del</w:t>
      </w:r>
      <w:r w:rsidRPr="0042283A">
        <w:rPr>
          <w:rFonts w:ascii="Arial" w:hAnsi="Arial" w:cs="Arial"/>
          <w:color w:val="000000" w:themeColor="text1"/>
          <w:sz w:val="20"/>
          <w:szCs w:val="20"/>
          <w:lang w:val="es-ES_tradnl"/>
        </w:rPr>
        <w:t xml:space="preserve"> artículo 2.2.1.2.1.3.2 del Decreto 1082 de 2015. Por lo tanto, </w:t>
      </w:r>
      <w:r w:rsidRPr="0042283A">
        <w:rPr>
          <w:rFonts w:ascii="Arial" w:hAnsi="Arial" w:cs="Arial"/>
          <w:i/>
          <w:iCs/>
          <w:color w:val="000000" w:themeColor="text1"/>
          <w:sz w:val="20"/>
          <w:szCs w:val="20"/>
          <w:lang w:val="es-ES_tradnl"/>
        </w:rPr>
        <w:t>siempre que estuviera dentro del presupuesto oficial</w:t>
      </w:r>
      <w:r w:rsidRPr="0042283A">
        <w:rPr>
          <w:rFonts w:ascii="Arial" w:hAnsi="Arial" w:cs="Arial"/>
          <w:color w:val="000000" w:themeColor="text1"/>
          <w:sz w:val="20"/>
          <w:szCs w:val="20"/>
          <w:lang w:val="es-ES_tradnl"/>
        </w:rPr>
        <w:t>, la entidad estatal debía adjudicar el contrato al proponente que ocupara el primer puesto en el orden de elegibilidad, independientemente del valor ofrecido</w:t>
      </w:r>
      <w:r w:rsidRPr="0042283A">
        <w:rPr>
          <w:rFonts w:ascii="Arial" w:eastAsia="Calibri" w:hAnsi="Arial" w:cs="Arial"/>
          <w:color w:val="000000" w:themeColor="text1"/>
          <w:sz w:val="20"/>
          <w:szCs w:val="20"/>
          <w:lang w:val="es-ES_tradnl"/>
        </w:rPr>
        <w:t>.</w:t>
      </w:r>
    </w:p>
    <w:p w14:paraId="05883F2F" w14:textId="56EC9ABB" w:rsidR="00D205C7" w:rsidRPr="0042283A" w:rsidRDefault="00D205C7" w:rsidP="00D205C7">
      <w:pPr>
        <w:jc w:val="both"/>
        <w:rPr>
          <w:rFonts w:ascii="Arial" w:eastAsia="Calibri" w:hAnsi="Arial" w:cs="Arial"/>
          <w:color w:val="000000" w:themeColor="text1"/>
          <w:sz w:val="20"/>
          <w:szCs w:val="20"/>
          <w:lang w:val="es-ES_tradnl"/>
        </w:rPr>
      </w:pPr>
    </w:p>
    <w:p w14:paraId="5F0FD987" w14:textId="754C983D" w:rsidR="00D205C7" w:rsidRPr="0042283A" w:rsidRDefault="00D205C7" w:rsidP="00D205C7">
      <w:pPr>
        <w:jc w:val="both"/>
        <w:rPr>
          <w:rFonts w:ascii="Arial" w:eastAsia="Calibri" w:hAnsi="Arial" w:cs="Arial"/>
          <w:b/>
          <w:sz w:val="22"/>
          <w:szCs w:val="22"/>
          <w:lang w:val="es-ES_tradnl"/>
        </w:rPr>
      </w:pPr>
      <w:r w:rsidRPr="0042283A">
        <w:rPr>
          <w:rFonts w:ascii="Arial" w:eastAsia="Calibri" w:hAnsi="Arial" w:cs="Arial"/>
          <w:b/>
          <w:sz w:val="22"/>
          <w:szCs w:val="22"/>
          <w:lang w:val="es-ES_tradnl"/>
        </w:rPr>
        <w:t xml:space="preserve">CONCURSO DE MÉRITOS – Decreto 1082 de 2015 – </w:t>
      </w:r>
      <w:r w:rsidRPr="0042283A">
        <w:rPr>
          <w:rFonts w:ascii="Arial" w:hAnsi="Arial" w:cs="Arial"/>
          <w:b/>
          <w:color w:val="000000" w:themeColor="text1"/>
          <w:sz w:val="22"/>
          <w:szCs w:val="22"/>
          <w:lang w:val="es-ES_tradnl"/>
        </w:rPr>
        <w:t xml:space="preserve">artículo 2.2.1.2.1.3.2 – </w:t>
      </w:r>
      <w:r w:rsidRPr="0042283A">
        <w:rPr>
          <w:rFonts w:ascii="Arial" w:eastAsia="Calibri" w:hAnsi="Arial" w:cs="Arial"/>
          <w:b/>
          <w:sz w:val="22"/>
          <w:szCs w:val="22"/>
          <w:lang w:val="es-ES_tradnl"/>
        </w:rPr>
        <w:t xml:space="preserve">Decreto </w:t>
      </w:r>
      <w:r w:rsidR="00313222" w:rsidRPr="0042283A">
        <w:rPr>
          <w:rFonts w:ascii="Arial" w:eastAsia="Calibri" w:hAnsi="Arial" w:cs="Arial"/>
          <w:b/>
          <w:sz w:val="22"/>
          <w:szCs w:val="22"/>
          <w:lang w:val="es-ES_tradnl"/>
        </w:rPr>
        <w:t>399 de 2021 – Artículo 2</w:t>
      </w:r>
    </w:p>
    <w:p w14:paraId="4DF8DBAA" w14:textId="6DB9681E" w:rsidR="00D205C7" w:rsidRPr="0042283A" w:rsidRDefault="00D205C7" w:rsidP="00D205C7">
      <w:pPr>
        <w:jc w:val="both"/>
        <w:rPr>
          <w:rFonts w:ascii="Arial" w:hAnsi="Arial" w:cs="Arial"/>
          <w:color w:val="000000" w:themeColor="text1"/>
          <w:sz w:val="20"/>
          <w:szCs w:val="20"/>
          <w:lang w:val="es-ES_tradnl"/>
        </w:rPr>
      </w:pPr>
    </w:p>
    <w:p w14:paraId="279839AD" w14:textId="621A5BFA" w:rsidR="00313222" w:rsidRPr="0042283A" w:rsidRDefault="00313222" w:rsidP="00313222">
      <w:pPr>
        <w:jc w:val="both"/>
        <w:rPr>
          <w:rFonts w:ascii="Arial" w:eastAsia="Calibri" w:hAnsi="Arial" w:cs="Arial"/>
          <w:color w:val="000000" w:themeColor="text1"/>
          <w:sz w:val="20"/>
          <w:szCs w:val="20"/>
          <w:lang w:val="es-ES_tradnl"/>
        </w:rPr>
      </w:pPr>
      <w:r w:rsidRPr="0042283A">
        <w:rPr>
          <w:rFonts w:ascii="Arial" w:eastAsia="Calibri" w:hAnsi="Arial" w:cs="Arial"/>
          <w:color w:val="000000" w:themeColor="text1"/>
          <w:sz w:val="20"/>
          <w:szCs w:val="20"/>
          <w:lang w:val="es-ES_tradnl"/>
        </w:rPr>
        <w:t xml:space="preserve">[…], el artículo 2 del Decreto 399 de 2021 reformó la reglamentación del concurso de méritos, para adecuarla a los pronunciamientos del Consejo de Estado que habían suspendido provisionalmente algunos numerales del artículo 2.2.1.2.1.3.2. del Decreto 1082 de 2015. A diferencia de lo que establecía este artículo en su redacción inicial, con la </w:t>
      </w:r>
      <w:proofErr w:type="gramStart"/>
      <w:r w:rsidRPr="0042283A">
        <w:rPr>
          <w:rFonts w:ascii="Arial" w:eastAsia="Calibri" w:hAnsi="Arial" w:cs="Arial"/>
          <w:color w:val="000000" w:themeColor="text1"/>
          <w:sz w:val="20"/>
          <w:szCs w:val="20"/>
          <w:lang w:val="es-ES_tradnl"/>
        </w:rPr>
        <w:t>entrada en vigencia</w:t>
      </w:r>
      <w:proofErr w:type="gramEnd"/>
      <w:r w:rsidRPr="0042283A">
        <w:rPr>
          <w:rFonts w:ascii="Arial" w:eastAsia="Calibri" w:hAnsi="Arial" w:cs="Arial"/>
          <w:color w:val="000000" w:themeColor="text1"/>
          <w:sz w:val="20"/>
          <w:szCs w:val="20"/>
          <w:lang w:val="es-ES_tradnl"/>
        </w:rPr>
        <w:t xml:space="preserve"> del artículo 2 del Decreto 399 de 2021 se observan los siguientes cambios:</w:t>
      </w:r>
    </w:p>
    <w:p w14:paraId="1E1F7901" w14:textId="77777777" w:rsidR="00313222" w:rsidRPr="0042283A" w:rsidRDefault="00313222" w:rsidP="00313222">
      <w:pPr>
        <w:jc w:val="both"/>
        <w:rPr>
          <w:rFonts w:ascii="Arial" w:eastAsia="Calibri" w:hAnsi="Arial" w:cs="Arial"/>
          <w:color w:val="000000" w:themeColor="text1"/>
          <w:sz w:val="20"/>
          <w:szCs w:val="20"/>
          <w:lang w:val="es-ES_tradnl"/>
        </w:rPr>
      </w:pPr>
    </w:p>
    <w:p w14:paraId="15E973E6" w14:textId="5F00007C" w:rsidR="00313222" w:rsidRPr="0042283A" w:rsidRDefault="00313222" w:rsidP="00313222">
      <w:pPr>
        <w:jc w:val="both"/>
        <w:rPr>
          <w:rFonts w:ascii="Arial" w:eastAsia="Calibri" w:hAnsi="Arial" w:cs="Arial"/>
          <w:color w:val="000000" w:themeColor="text1"/>
          <w:sz w:val="20"/>
          <w:szCs w:val="20"/>
          <w:lang w:val="es-ES_tradnl"/>
        </w:rPr>
      </w:pPr>
      <w:r w:rsidRPr="0042283A">
        <w:rPr>
          <w:rFonts w:ascii="Arial" w:eastAsia="Calibri" w:hAnsi="Arial" w:cs="Arial"/>
          <w:color w:val="000000" w:themeColor="text1"/>
          <w:sz w:val="20"/>
          <w:szCs w:val="20"/>
          <w:lang w:val="es-ES_tradnl"/>
        </w:rPr>
        <w:t>i) El informe de evaluación, que la entidad debe publicar durante tres (3) días hábiles, debe contener ya no solamente la calificación técnica y el orden de elegibilidad, sino «[…] la evaluación de las ofertas frente a todos los requisitos exigidos en el pliego de condiciones, incluyendo los requisitos habilitantes y los de asignación de puntaje». Esta nueva disposición permite que los interesados ejerzan su derecho a conocer el informe de evaluación y a formular las observaciones que consideren pertinentes.</w:t>
      </w:r>
    </w:p>
    <w:p w14:paraId="02DF0B59" w14:textId="77777777" w:rsidR="00313222" w:rsidRPr="0042283A" w:rsidRDefault="00313222" w:rsidP="00313222">
      <w:pPr>
        <w:jc w:val="both"/>
        <w:rPr>
          <w:rFonts w:ascii="Arial" w:eastAsia="Calibri" w:hAnsi="Arial" w:cs="Arial"/>
          <w:color w:val="000000" w:themeColor="text1"/>
          <w:sz w:val="20"/>
          <w:szCs w:val="20"/>
          <w:lang w:val="es-ES_tradnl"/>
        </w:rPr>
      </w:pPr>
    </w:p>
    <w:p w14:paraId="380FEE0F" w14:textId="3871DAAE" w:rsidR="00313222" w:rsidRPr="0042283A" w:rsidRDefault="00313222" w:rsidP="00313222">
      <w:pPr>
        <w:jc w:val="both"/>
        <w:rPr>
          <w:rFonts w:ascii="Arial" w:eastAsia="Calibri" w:hAnsi="Arial" w:cs="Arial"/>
          <w:color w:val="000000" w:themeColor="text1"/>
          <w:sz w:val="20"/>
          <w:szCs w:val="20"/>
          <w:lang w:val="es-ES_tradnl"/>
        </w:rPr>
      </w:pPr>
      <w:r w:rsidRPr="0042283A">
        <w:rPr>
          <w:rFonts w:ascii="Arial" w:eastAsia="Calibri" w:hAnsi="Arial" w:cs="Arial"/>
          <w:color w:val="000000" w:themeColor="text1"/>
          <w:sz w:val="20"/>
          <w:szCs w:val="20"/>
          <w:lang w:val="es-ES_tradnl"/>
        </w:rPr>
        <w:t>ii) A diferencia de la reglamentación anterior prevista en la redacción original del artículo 2.2.1.2.1.3.2. del Decreto 1082 de 2015, que establecía que luego de la publicación del informe de evaluación la entidad estatal debía revisar la oferta económica, para constatar su correspondencia con el presupuesto oficial, y que posteriormente debía tratar de llegar a un acuerdo con el oferente calificado en el primer lugar o, en subsidio, con el calificado en segundo orden, el artículo 2 del Decreto 399 de 2021 introduce una modificación trascendental, pues elimina estas etapas y señala, en su lugar, que «Una vez resueltas las observaciones al informe de evaluación, la entidad adjudicará el contrato mediante acto administrativo al oferente que haya cumplido todos los requisitos exigidos en el pliego de condiciones y haya obtenido el mayor puntaje». O sea que después de la respuesta a las observaciones del informe de evaluación ya la entidad estatal no debe revisar que la oferta económica sea acorde al presupuesto oficial –pues esto lo debió hacer para elaborar el informe de evaluación– y tampoco debe proceder con una fase de «negociación» con el oferente calificado en primer lugar sobre el valor y alcance del contrato, sino que debe proceder a la adjudicación a quien haya presentado objetivamente la mejor oferta, teniendo en cuenta todos los requisitos exigidos en el pliego de condiciones.</w:t>
      </w:r>
    </w:p>
    <w:p w14:paraId="724CBDD6" w14:textId="77777777" w:rsidR="00313222" w:rsidRPr="0042283A" w:rsidRDefault="00313222" w:rsidP="00313222">
      <w:pPr>
        <w:jc w:val="both"/>
        <w:rPr>
          <w:rFonts w:ascii="Arial" w:eastAsia="Calibri" w:hAnsi="Arial" w:cs="Arial"/>
          <w:color w:val="000000" w:themeColor="text1"/>
          <w:sz w:val="20"/>
          <w:szCs w:val="20"/>
          <w:lang w:val="es-ES_tradnl"/>
        </w:rPr>
      </w:pPr>
    </w:p>
    <w:p w14:paraId="356C76D9" w14:textId="36664BBA" w:rsidR="00002582" w:rsidRPr="0042283A" w:rsidRDefault="00313222" w:rsidP="00002582">
      <w:pPr>
        <w:jc w:val="both"/>
        <w:rPr>
          <w:rFonts w:ascii="Arial" w:eastAsia="Calibri" w:hAnsi="Arial" w:cs="Arial"/>
          <w:color w:val="000000" w:themeColor="text1"/>
          <w:sz w:val="20"/>
          <w:szCs w:val="20"/>
          <w:lang w:val="es-ES_tradnl"/>
        </w:rPr>
      </w:pPr>
      <w:r w:rsidRPr="0042283A">
        <w:rPr>
          <w:rFonts w:ascii="Arial" w:eastAsia="Calibri" w:hAnsi="Arial" w:cs="Arial"/>
          <w:color w:val="000000" w:themeColor="text1"/>
          <w:sz w:val="20"/>
          <w:szCs w:val="20"/>
          <w:lang w:val="es-ES_tradnl"/>
        </w:rPr>
        <w:t>iii) Como el nuevo artículo 2.2.1.2.1.3.2. del Decreto 1082 de 2015, modificado por el artículo 2 del Decreto 399 de 2021, ya no establece una fase de negociación entre la entidad estatal y el oferente calificado en el primer lugar de elegibilidad, por sustracción de materia, la entidad estatal tampoco debe intentar un acuerdo con el oferente calificado en el segundo orden de elegibilidad, ni puede ampararse en el carácter fallido de dicho acuerdo para declarar desierto el proceso de selección.</w:t>
      </w:r>
    </w:p>
    <w:p w14:paraId="358C2021" w14:textId="77777777" w:rsidR="00555E2F" w:rsidRPr="0042283A" w:rsidRDefault="00555E2F" w:rsidP="00002582">
      <w:pPr>
        <w:jc w:val="both"/>
        <w:rPr>
          <w:rFonts w:ascii="Arial" w:eastAsia="Calibri" w:hAnsi="Arial" w:cs="Arial"/>
          <w:b/>
          <w:sz w:val="22"/>
          <w:szCs w:val="22"/>
          <w:lang w:val="es-ES_tradnl"/>
        </w:rPr>
      </w:pPr>
    </w:p>
    <w:p w14:paraId="3B4BF10F" w14:textId="181C812C" w:rsidR="00002582" w:rsidRPr="0042283A" w:rsidRDefault="00002582" w:rsidP="00002582">
      <w:pPr>
        <w:jc w:val="both"/>
        <w:rPr>
          <w:rFonts w:ascii="Arial" w:eastAsia="Calibri" w:hAnsi="Arial" w:cs="Arial"/>
          <w:b/>
          <w:sz w:val="22"/>
          <w:szCs w:val="22"/>
          <w:lang w:val="es-ES_tradnl"/>
        </w:rPr>
      </w:pPr>
      <w:r w:rsidRPr="0042283A">
        <w:rPr>
          <w:rFonts w:ascii="Arial" w:eastAsia="Calibri" w:hAnsi="Arial" w:cs="Arial"/>
          <w:b/>
          <w:sz w:val="22"/>
          <w:szCs w:val="22"/>
          <w:lang w:val="es-ES_tradnl"/>
        </w:rPr>
        <w:t xml:space="preserve">PRINCIPIO DE PLANEACIÓN – Variables – Estudios previos – </w:t>
      </w:r>
      <w:r w:rsidRPr="0042283A">
        <w:rPr>
          <w:rFonts w:ascii="Arial" w:hAnsi="Arial" w:cs="Arial"/>
          <w:b/>
          <w:color w:val="000000" w:themeColor="text1"/>
          <w:sz w:val="22"/>
          <w:szCs w:val="22"/>
          <w:lang w:val="es-ES_tradnl"/>
        </w:rPr>
        <w:t xml:space="preserve">Precios unitarios – </w:t>
      </w:r>
      <w:r w:rsidRPr="0042283A">
        <w:rPr>
          <w:rFonts w:ascii="Arial" w:eastAsia="Calibri" w:hAnsi="Arial" w:cs="Arial"/>
          <w:b/>
          <w:sz w:val="22"/>
          <w:szCs w:val="22"/>
          <w:lang w:val="es-ES_tradnl"/>
        </w:rPr>
        <w:t>Decreto 399 de 2021 – Artículo 1</w:t>
      </w:r>
    </w:p>
    <w:p w14:paraId="7C19E280" w14:textId="77777777" w:rsidR="00002582" w:rsidRPr="0042283A" w:rsidRDefault="00002582" w:rsidP="00002582">
      <w:pPr>
        <w:jc w:val="both"/>
        <w:rPr>
          <w:rFonts w:ascii="Arial" w:hAnsi="Arial" w:cs="Arial"/>
          <w:color w:val="000000"/>
          <w:sz w:val="20"/>
          <w:szCs w:val="20"/>
          <w:lang w:val="es-ES_tradnl"/>
        </w:rPr>
      </w:pPr>
    </w:p>
    <w:p w14:paraId="62E23151" w14:textId="4129CFE9" w:rsidR="00002582" w:rsidRPr="0042283A" w:rsidRDefault="00002582" w:rsidP="00002582">
      <w:pPr>
        <w:jc w:val="both"/>
        <w:rPr>
          <w:rFonts w:ascii="Arial" w:eastAsia="Calibri" w:hAnsi="Arial" w:cs="Arial"/>
          <w:color w:val="000000" w:themeColor="text1"/>
          <w:sz w:val="20"/>
          <w:szCs w:val="20"/>
          <w:lang w:val="es-ES_tradnl"/>
        </w:rPr>
      </w:pPr>
      <w:r w:rsidRPr="0042283A">
        <w:rPr>
          <w:rFonts w:ascii="Arial" w:eastAsia="Calibri" w:hAnsi="Arial" w:cs="Arial"/>
          <w:color w:val="000000" w:themeColor="text1"/>
          <w:sz w:val="20"/>
          <w:szCs w:val="20"/>
          <w:lang w:val="es-ES_tradnl"/>
        </w:rPr>
        <w:t xml:space="preserve">Cabe precisar que, al decir el numeral 4 del artículo 2.2.1.1.2.1.1. del Decreto 1082 de 2015, modificado por el artículo 1 del Decreto 399 de 2021, que «Cuando el valor del contrato esté determinado por precios unitarios, la Entidad Estatal debe incluir la forma como los calculó y soportar sus cálculos presupuestales en la estimación de aquellos», esto significa, para el caso de los contratos de consultoría, que si el precio de este se calcula atendiendo al valor de las unidades –entregables o actividades– por las cantidades, se debe incluir en los estudios previos la forma como estos precios unitarios se calcularon, de acuerdo con el análisis del sector y los elementos técnicos tenidos en cuenta por la entidad contratante. </w:t>
      </w:r>
    </w:p>
    <w:p w14:paraId="41DA3253" w14:textId="77777777" w:rsidR="00002582" w:rsidRPr="0042283A" w:rsidRDefault="00002582" w:rsidP="00002582">
      <w:pPr>
        <w:jc w:val="both"/>
        <w:rPr>
          <w:rFonts w:ascii="Arial" w:eastAsia="Calibri" w:hAnsi="Arial" w:cs="Arial"/>
          <w:color w:val="000000" w:themeColor="text1"/>
          <w:sz w:val="20"/>
          <w:szCs w:val="20"/>
          <w:lang w:val="es-ES_tradnl"/>
        </w:rPr>
      </w:pPr>
    </w:p>
    <w:p w14:paraId="1A8AD967" w14:textId="492322A6" w:rsidR="00002582" w:rsidRPr="0042283A" w:rsidRDefault="00002582" w:rsidP="00002582">
      <w:pPr>
        <w:jc w:val="both"/>
        <w:rPr>
          <w:rFonts w:ascii="Arial" w:eastAsia="Calibri" w:hAnsi="Arial" w:cs="Arial"/>
          <w:color w:val="000000" w:themeColor="text1"/>
          <w:sz w:val="20"/>
          <w:szCs w:val="20"/>
          <w:lang w:val="es-ES_tradnl"/>
        </w:rPr>
      </w:pPr>
      <w:r w:rsidRPr="0042283A">
        <w:rPr>
          <w:rFonts w:ascii="Arial" w:eastAsia="Calibri" w:hAnsi="Arial" w:cs="Arial"/>
          <w:color w:val="000000" w:themeColor="text1"/>
          <w:sz w:val="20"/>
          <w:szCs w:val="20"/>
          <w:lang w:val="es-ES_tradnl"/>
        </w:rPr>
        <w:t xml:space="preserve">En efecto, como lo ha explicado el Consejo de Estado, «Los contratos […] por precio global son aquellos en los que el contratista, a cambio de las prestaciones a que se compromete, obtiene como remuneración una suma fija siendo el único responsable de la vinculación de personal, de la elaboración de subcontratos y de la obtención de materiales, mientras que en el contrato a precios unitarios la forma de pago es por unidades o cantidades […] y el valor total corresponde al que resulta de multiplicar las cantidades […] ejecutadas por el precio de cada una de ellas». Por lo tanto, independientemente de la denominación que la entidad estatal les otorgue a las unidades de </w:t>
      </w:r>
      <w:r w:rsidRPr="0042283A">
        <w:rPr>
          <w:rFonts w:ascii="Arial" w:eastAsia="Calibri" w:hAnsi="Arial" w:cs="Arial"/>
          <w:color w:val="000000" w:themeColor="text1"/>
          <w:sz w:val="20"/>
          <w:szCs w:val="20"/>
          <w:lang w:val="es-ES_tradnl"/>
        </w:rPr>
        <w:lastRenderedPageBreak/>
        <w:t xml:space="preserve">actividad del contrato de consultoría, si calcula su valor por precios unitarios, debe publicar en los estudios previos la forma como los calculó y estimar esta metodología presupuestal. Se trata de un imperativo, consagrado en el artículo 1 del Decreto 399 de 2021, que las entidades estatales no pueden negarse a cumplir, porque en la actualidad es un deber integrado a la garantía del principio de planeación en la contratación estatal. </w:t>
      </w:r>
    </w:p>
    <w:p w14:paraId="7C0AE1B5" w14:textId="77777777" w:rsidR="00D72A37" w:rsidRPr="0042283A" w:rsidRDefault="00D72A37" w:rsidP="00266EAD">
      <w:pPr>
        <w:jc w:val="both"/>
        <w:rPr>
          <w:rFonts w:ascii="Arial" w:eastAsia="Calibri" w:hAnsi="Arial" w:cs="Arial"/>
          <w:color w:val="000000" w:themeColor="text1"/>
          <w:sz w:val="20"/>
          <w:szCs w:val="20"/>
          <w:lang w:val="es-ES_tradnl"/>
        </w:rPr>
      </w:pPr>
    </w:p>
    <w:p w14:paraId="7D79AFAF" w14:textId="77777777" w:rsidR="00266EAD" w:rsidRPr="0042283A" w:rsidRDefault="00266EAD" w:rsidP="00B95C30">
      <w:pPr>
        <w:spacing w:line="276" w:lineRule="auto"/>
        <w:jc w:val="both"/>
        <w:rPr>
          <w:rFonts w:ascii="Arial" w:eastAsia="Calibri" w:hAnsi="Arial" w:cs="Arial"/>
          <w:b/>
          <w:sz w:val="22"/>
          <w:lang w:val="es-ES_tradnl"/>
        </w:rPr>
      </w:pPr>
    </w:p>
    <w:p w14:paraId="5767ED89" w14:textId="491074EA" w:rsidR="009C3A0A" w:rsidRPr="0042283A" w:rsidRDefault="009C3A0A" w:rsidP="00B95C30">
      <w:pPr>
        <w:spacing w:line="276" w:lineRule="auto"/>
        <w:jc w:val="both"/>
        <w:rPr>
          <w:rFonts w:ascii="Arial" w:eastAsia="Calibri" w:hAnsi="Arial" w:cs="Arial"/>
          <w:b/>
          <w:sz w:val="22"/>
          <w:lang w:val="es-ES_tradnl"/>
        </w:rPr>
      </w:pPr>
    </w:p>
    <w:p w14:paraId="17620E2D" w14:textId="0112BB61" w:rsidR="009C3A0A" w:rsidRPr="0042283A" w:rsidRDefault="009C3A0A" w:rsidP="00B95C30">
      <w:pPr>
        <w:spacing w:line="276" w:lineRule="auto"/>
        <w:jc w:val="both"/>
        <w:rPr>
          <w:rFonts w:ascii="Arial" w:eastAsia="Calibri" w:hAnsi="Arial" w:cs="Arial"/>
          <w:b/>
          <w:sz w:val="22"/>
          <w:lang w:val="es-ES_tradnl"/>
        </w:rPr>
      </w:pPr>
    </w:p>
    <w:p w14:paraId="46AB2E1D" w14:textId="77777777" w:rsidR="00327382" w:rsidRPr="0042283A" w:rsidRDefault="00327382" w:rsidP="00B95C30">
      <w:pPr>
        <w:spacing w:line="276" w:lineRule="auto"/>
        <w:jc w:val="both"/>
        <w:rPr>
          <w:rFonts w:ascii="Arial" w:hAnsi="Arial" w:cs="Arial"/>
          <w:noProof/>
          <w:color w:val="000000" w:themeColor="text1"/>
          <w:sz w:val="22"/>
          <w:lang w:val="es-ES_tradnl"/>
        </w:rPr>
      </w:pPr>
    </w:p>
    <w:p w14:paraId="5B23BC21" w14:textId="77777777" w:rsidR="00B167C8" w:rsidRPr="0042283A" w:rsidRDefault="00B167C8" w:rsidP="00B95C30">
      <w:pPr>
        <w:spacing w:line="276" w:lineRule="auto"/>
        <w:jc w:val="both"/>
        <w:rPr>
          <w:rFonts w:ascii="Arial" w:hAnsi="Arial" w:cs="Arial"/>
          <w:noProof/>
          <w:color w:val="000000" w:themeColor="text1"/>
          <w:sz w:val="22"/>
          <w:lang w:val="es-ES_tradnl"/>
        </w:rPr>
      </w:pPr>
    </w:p>
    <w:p w14:paraId="47C05A37" w14:textId="1069F92E" w:rsidR="00F53F4F" w:rsidRPr="0042283A" w:rsidRDefault="00F53F4F" w:rsidP="00B95C30">
      <w:pPr>
        <w:spacing w:line="276" w:lineRule="auto"/>
        <w:jc w:val="both"/>
        <w:rPr>
          <w:rFonts w:ascii="Arial" w:hAnsi="Arial" w:cs="Arial"/>
          <w:noProof/>
          <w:color w:val="000000" w:themeColor="text1"/>
          <w:sz w:val="22"/>
          <w:lang w:val="es-ES_tradnl"/>
        </w:rPr>
      </w:pPr>
    </w:p>
    <w:p w14:paraId="4C890ADD" w14:textId="4072A01E" w:rsidR="00160C01" w:rsidRPr="0042283A" w:rsidRDefault="00160C01" w:rsidP="00B95C30">
      <w:pPr>
        <w:spacing w:line="276" w:lineRule="auto"/>
        <w:jc w:val="both"/>
        <w:rPr>
          <w:rFonts w:ascii="Arial" w:hAnsi="Arial" w:cs="Arial"/>
          <w:noProof/>
          <w:color w:val="000000" w:themeColor="text1"/>
          <w:sz w:val="22"/>
          <w:lang w:val="es-ES_tradnl"/>
        </w:rPr>
      </w:pPr>
    </w:p>
    <w:p w14:paraId="087584F4" w14:textId="1F7A4741" w:rsidR="00160C01" w:rsidRPr="0042283A" w:rsidRDefault="00160C01" w:rsidP="00B95C30">
      <w:pPr>
        <w:spacing w:line="276" w:lineRule="auto"/>
        <w:jc w:val="both"/>
        <w:rPr>
          <w:rFonts w:ascii="Arial" w:hAnsi="Arial" w:cs="Arial"/>
          <w:noProof/>
          <w:color w:val="000000" w:themeColor="text1"/>
          <w:sz w:val="22"/>
          <w:lang w:val="es-ES_tradnl"/>
        </w:rPr>
      </w:pPr>
    </w:p>
    <w:p w14:paraId="310C4E73" w14:textId="402A5058" w:rsidR="00160C01" w:rsidRPr="0042283A" w:rsidRDefault="00160C01" w:rsidP="00B95C30">
      <w:pPr>
        <w:spacing w:line="276" w:lineRule="auto"/>
        <w:jc w:val="both"/>
        <w:rPr>
          <w:rFonts w:ascii="Arial" w:hAnsi="Arial" w:cs="Arial"/>
          <w:noProof/>
          <w:color w:val="000000" w:themeColor="text1"/>
          <w:sz w:val="22"/>
          <w:lang w:val="es-ES_tradnl"/>
        </w:rPr>
      </w:pPr>
    </w:p>
    <w:p w14:paraId="32590D25" w14:textId="1D5A21BB" w:rsidR="00160C01" w:rsidRPr="0042283A" w:rsidRDefault="00160C01" w:rsidP="00B95C30">
      <w:pPr>
        <w:spacing w:line="276" w:lineRule="auto"/>
        <w:jc w:val="both"/>
        <w:rPr>
          <w:rFonts w:ascii="Arial" w:hAnsi="Arial" w:cs="Arial"/>
          <w:noProof/>
          <w:color w:val="000000" w:themeColor="text1"/>
          <w:sz w:val="22"/>
          <w:lang w:val="es-ES_tradnl"/>
        </w:rPr>
      </w:pPr>
    </w:p>
    <w:p w14:paraId="25CCBBE2" w14:textId="3A508260" w:rsidR="00160C01" w:rsidRPr="0042283A" w:rsidRDefault="00160C01" w:rsidP="00B95C30">
      <w:pPr>
        <w:spacing w:line="276" w:lineRule="auto"/>
        <w:jc w:val="both"/>
        <w:rPr>
          <w:rFonts w:ascii="Arial" w:hAnsi="Arial" w:cs="Arial"/>
          <w:noProof/>
          <w:color w:val="000000" w:themeColor="text1"/>
          <w:sz w:val="22"/>
          <w:lang w:val="es-ES_tradnl"/>
        </w:rPr>
      </w:pPr>
    </w:p>
    <w:p w14:paraId="3DA67C56" w14:textId="77777777" w:rsidR="00160C01" w:rsidRPr="0042283A" w:rsidRDefault="00160C01" w:rsidP="00B95C30">
      <w:pPr>
        <w:spacing w:line="276" w:lineRule="auto"/>
        <w:jc w:val="both"/>
        <w:rPr>
          <w:rFonts w:ascii="Arial" w:hAnsi="Arial" w:cs="Arial"/>
          <w:noProof/>
          <w:color w:val="000000" w:themeColor="text1"/>
          <w:sz w:val="22"/>
          <w:lang w:val="es-ES_tradnl"/>
        </w:rPr>
      </w:pPr>
    </w:p>
    <w:p w14:paraId="12A9C41A" w14:textId="77777777" w:rsidR="00F53F4F" w:rsidRPr="0042283A" w:rsidRDefault="00F53F4F" w:rsidP="00B95C30">
      <w:pPr>
        <w:spacing w:line="276" w:lineRule="auto"/>
        <w:jc w:val="both"/>
        <w:rPr>
          <w:rFonts w:ascii="Arial" w:hAnsi="Arial" w:cs="Arial"/>
          <w:noProof/>
          <w:color w:val="000000" w:themeColor="text1"/>
          <w:sz w:val="22"/>
          <w:lang w:val="es-ES_tradnl"/>
        </w:rPr>
      </w:pPr>
    </w:p>
    <w:p w14:paraId="42F2CD37" w14:textId="77777777" w:rsidR="00555E2F" w:rsidRPr="0042283A" w:rsidRDefault="00555E2F" w:rsidP="000F29CE">
      <w:pPr>
        <w:spacing w:line="276" w:lineRule="auto"/>
        <w:jc w:val="both"/>
        <w:rPr>
          <w:rFonts w:ascii="Arial" w:hAnsi="Arial" w:cs="Arial"/>
          <w:noProof/>
          <w:color w:val="000000" w:themeColor="text1"/>
          <w:sz w:val="22"/>
          <w:lang w:val="es-ES_tradnl"/>
        </w:rPr>
      </w:pPr>
    </w:p>
    <w:p w14:paraId="4AEB2411" w14:textId="77777777" w:rsidR="00372B86" w:rsidRPr="0042283A" w:rsidRDefault="00372B86" w:rsidP="000F29CE">
      <w:pPr>
        <w:spacing w:line="276" w:lineRule="auto"/>
        <w:jc w:val="both"/>
        <w:rPr>
          <w:rFonts w:ascii="Arial" w:hAnsi="Arial" w:cs="Arial"/>
          <w:noProof/>
          <w:color w:val="000000" w:themeColor="text1"/>
          <w:sz w:val="22"/>
          <w:lang w:val="es-ES_tradnl"/>
        </w:rPr>
      </w:pPr>
    </w:p>
    <w:p w14:paraId="7EF194A9" w14:textId="77777777" w:rsidR="00372B86" w:rsidRPr="0042283A" w:rsidRDefault="00372B86" w:rsidP="000F29CE">
      <w:pPr>
        <w:spacing w:line="276" w:lineRule="auto"/>
        <w:jc w:val="both"/>
        <w:rPr>
          <w:rFonts w:ascii="Arial" w:hAnsi="Arial" w:cs="Arial"/>
          <w:noProof/>
          <w:color w:val="000000" w:themeColor="text1"/>
          <w:sz w:val="22"/>
          <w:lang w:val="es-ES_tradnl"/>
        </w:rPr>
      </w:pPr>
    </w:p>
    <w:p w14:paraId="2A6C531A" w14:textId="77777777" w:rsidR="00372B86" w:rsidRPr="0042283A" w:rsidRDefault="00372B86" w:rsidP="000F29CE">
      <w:pPr>
        <w:spacing w:line="276" w:lineRule="auto"/>
        <w:jc w:val="both"/>
        <w:rPr>
          <w:rFonts w:ascii="Arial" w:hAnsi="Arial" w:cs="Arial"/>
          <w:noProof/>
          <w:color w:val="000000" w:themeColor="text1"/>
          <w:sz w:val="22"/>
          <w:lang w:val="es-ES_tradnl"/>
        </w:rPr>
      </w:pPr>
    </w:p>
    <w:p w14:paraId="1CD0AA43" w14:textId="77777777" w:rsidR="00372B86" w:rsidRPr="0042283A" w:rsidRDefault="00372B86" w:rsidP="000F29CE">
      <w:pPr>
        <w:spacing w:line="276" w:lineRule="auto"/>
        <w:jc w:val="both"/>
        <w:rPr>
          <w:rFonts w:ascii="Arial" w:hAnsi="Arial" w:cs="Arial"/>
          <w:noProof/>
          <w:color w:val="000000" w:themeColor="text1"/>
          <w:sz w:val="22"/>
          <w:lang w:val="es-ES_tradnl"/>
        </w:rPr>
      </w:pPr>
    </w:p>
    <w:p w14:paraId="5B842DCA" w14:textId="77777777" w:rsidR="00372B86" w:rsidRPr="0042283A" w:rsidRDefault="00372B86" w:rsidP="000F29CE">
      <w:pPr>
        <w:spacing w:line="276" w:lineRule="auto"/>
        <w:jc w:val="both"/>
        <w:rPr>
          <w:rFonts w:ascii="Arial" w:hAnsi="Arial" w:cs="Arial"/>
          <w:noProof/>
          <w:color w:val="000000" w:themeColor="text1"/>
          <w:sz w:val="22"/>
          <w:lang w:val="es-ES_tradnl"/>
        </w:rPr>
      </w:pPr>
    </w:p>
    <w:p w14:paraId="66C3E411" w14:textId="77777777" w:rsidR="00372B86" w:rsidRPr="0042283A" w:rsidRDefault="00372B86" w:rsidP="000F29CE">
      <w:pPr>
        <w:spacing w:line="276" w:lineRule="auto"/>
        <w:jc w:val="both"/>
        <w:rPr>
          <w:rFonts w:ascii="Arial" w:hAnsi="Arial" w:cs="Arial"/>
          <w:noProof/>
          <w:color w:val="000000" w:themeColor="text1"/>
          <w:sz w:val="22"/>
          <w:lang w:val="es-ES_tradnl"/>
        </w:rPr>
      </w:pPr>
    </w:p>
    <w:p w14:paraId="5E9AAC07" w14:textId="77777777" w:rsidR="00372B86" w:rsidRPr="0042283A" w:rsidRDefault="00372B86" w:rsidP="000F29CE">
      <w:pPr>
        <w:spacing w:line="276" w:lineRule="auto"/>
        <w:jc w:val="both"/>
        <w:rPr>
          <w:rFonts w:ascii="Arial" w:hAnsi="Arial" w:cs="Arial"/>
          <w:noProof/>
          <w:color w:val="000000" w:themeColor="text1"/>
          <w:sz w:val="22"/>
          <w:lang w:val="es-ES_tradnl"/>
        </w:rPr>
      </w:pPr>
    </w:p>
    <w:p w14:paraId="4F50F1E3" w14:textId="77777777" w:rsidR="00372B86" w:rsidRPr="0042283A" w:rsidRDefault="00372B86" w:rsidP="000F29CE">
      <w:pPr>
        <w:spacing w:line="276" w:lineRule="auto"/>
        <w:jc w:val="both"/>
        <w:rPr>
          <w:rFonts w:ascii="Arial" w:hAnsi="Arial" w:cs="Arial"/>
          <w:noProof/>
          <w:color w:val="000000" w:themeColor="text1"/>
          <w:sz w:val="22"/>
          <w:lang w:val="es-ES_tradnl"/>
        </w:rPr>
      </w:pPr>
    </w:p>
    <w:p w14:paraId="768FCB0E" w14:textId="77777777" w:rsidR="00372B86" w:rsidRPr="0042283A" w:rsidRDefault="00372B86" w:rsidP="000F29CE">
      <w:pPr>
        <w:spacing w:line="276" w:lineRule="auto"/>
        <w:jc w:val="both"/>
        <w:rPr>
          <w:rFonts w:ascii="Arial" w:hAnsi="Arial" w:cs="Arial"/>
          <w:noProof/>
          <w:color w:val="000000" w:themeColor="text1"/>
          <w:sz w:val="22"/>
          <w:lang w:val="es-ES_tradnl"/>
        </w:rPr>
      </w:pPr>
    </w:p>
    <w:p w14:paraId="5EC80664" w14:textId="77777777" w:rsidR="00372B86" w:rsidRPr="0042283A" w:rsidRDefault="00372B86" w:rsidP="000F29CE">
      <w:pPr>
        <w:spacing w:line="276" w:lineRule="auto"/>
        <w:jc w:val="both"/>
        <w:rPr>
          <w:rFonts w:ascii="Arial" w:hAnsi="Arial" w:cs="Arial"/>
          <w:noProof/>
          <w:color w:val="000000" w:themeColor="text1"/>
          <w:sz w:val="22"/>
          <w:lang w:val="es-ES_tradnl"/>
        </w:rPr>
      </w:pPr>
    </w:p>
    <w:p w14:paraId="2BD18C69" w14:textId="77777777" w:rsidR="00372B86" w:rsidRPr="0042283A" w:rsidRDefault="00372B86" w:rsidP="000F29CE">
      <w:pPr>
        <w:spacing w:line="276" w:lineRule="auto"/>
        <w:jc w:val="both"/>
        <w:rPr>
          <w:rFonts w:ascii="Arial" w:hAnsi="Arial" w:cs="Arial"/>
          <w:noProof/>
          <w:color w:val="000000" w:themeColor="text1"/>
          <w:sz w:val="22"/>
          <w:lang w:val="es-ES_tradnl"/>
        </w:rPr>
      </w:pPr>
    </w:p>
    <w:p w14:paraId="420308D1" w14:textId="77777777" w:rsidR="00372B86" w:rsidRPr="0042283A" w:rsidRDefault="00372B86" w:rsidP="000F29CE">
      <w:pPr>
        <w:spacing w:line="276" w:lineRule="auto"/>
        <w:jc w:val="both"/>
        <w:rPr>
          <w:rFonts w:ascii="Arial" w:hAnsi="Arial" w:cs="Arial"/>
          <w:noProof/>
          <w:color w:val="000000" w:themeColor="text1"/>
          <w:sz w:val="22"/>
          <w:lang w:val="es-ES_tradnl"/>
        </w:rPr>
      </w:pPr>
    </w:p>
    <w:p w14:paraId="545AD800" w14:textId="77777777" w:rsidR="00372B86" w:rsidRPr="0042283A" w:rsidRDefault="00372B86" w:rsidP="000F29CE">
      <w:pPr>
        <w:spacing w:line="276" w:lineRule="auto"/>
        <w:jc w:val="both"/>
        <w:rPr>
          <w:rFonts w:ascii="Arial" w:hAnsi="Arial" w:cs="Arial"/>
          <w:noProof/>
          <w:color w:val="000000" w:themeColor="text1"/>
          <w:sz w:val="22"/>
          <w:lang w:val="es-ES_tradnl"/>
        </w:rPr>
      </w:pPr>
    </w:p>
    <w:p w14:paraId="4B01E07A" w14:textId="77777777" w:rsidR="00372B86" w:rsidRPr="0042283A" w:rsidRDefault="00372B86" w:rsidP="000F29CE">
      <w:pPr>
        <w:spacing w:line="276" w:lineRule="auto"/>
        <w:jc w:val="both"/>
        <w:rPr>
          <w:rFonts w:ascii="Arial" w:hAnsi="Arial" w:cs="Arial"/>
          <w:noProof/>
          <w:color w:val="000000" w:themeColor="text1"/>
          <w:sz w:val="22"/>
          <w:lang w:val="es-ES_tradnl"/>
        </w:rPr>
      </w:pPr>
    </w:p>
    <w:p w14:paraId="318193D0" w14:textId="77777777" w:rsidR="00372B86" w:rsidRPr="0042283A" w:rsidRDefault="00372B86" w:rsidP="000F29CE">
      <w:pPr>
        <w:spacing w:line="276" w:lineRule="auto"/>
        <w:jc w:val="both"/>
        <w:rPr>
          <w:rFonts w:ascii="Arial" w:hAnsi="Arial" w:cs="Arial"/>
          <w:noProof/>
          <w:color w:val="000000" w:themeColor="text1"/>
          <w:sz w:val="22"/>
          <w:lang w:val="es-ES_tradnl"/>
        </w:rPr>
      </w:pPr>
    </w:p>
    <w:p w14:paraId="425F2C93" w14:textId="77777777" w:rsidR="00372B86" w:rsidRPr="0042283A" w:rsidRDefault="00372B86" w:rsidP="000F29CE">
      <w:pPr>
        <w:spacing w:line="276" w:lineRule="auto"/>
        <w:jc w:val="both"/>
        <w:rPr>
          <w:rFonts w:ascii="Arial" w:hAnsi="Arial" w:cs="Arial"/>
          <w:noProof/>
          <w:color w:val="000000" w:themeColor="text1"/>
          <w:sz w:val="22"/>
          <w:lang w:val="es-ES_tradnl"/>
        </w:rPr>
      </w:pPr>
    </w:p>
    <w:p w14:paraId="547D2F9B" w14:textId="77777777" w:rsidR="00372B86" w:rsidRPr="0042283A" w:rsidRDefault="00372B86" w:rsidP="000F29CE">
      <w:pPr>
        <w:spacing w:line="276" w:lineRule="auto"/>
        <w:jc w:val="both"/>
        <w:rPr>
          <w:rFonts w:ascii="Arial" w:hAnsi="Arial" w:cs="Arial"/>
          <w:noProof/>
          <w:color w:val="000000" w:themeColor="text1"/>
          <w:sz w:val="22"/>
          <w:lang w:val="es-ES_tradnl"/>
        </w:rPr>
      </w:pPr>
    </w:p>
    <w:p w14:paraId="147AD1E3" w14:textId="77777777" w:rsidR="00372B86" w:rsidRPr="0042283A" w:rsidRDefault="00372B86" w:rsidP="000F29CE">
      <w:pPr>
        <w:spacing w:line="276" w:lineRule="auto"/>
        <w:jc w:val="both"/>
        <w:rPr>
          <w:rFonts w:ascii="Arial" w:hAnsi="Arial" w:cs="Arial"/>
          <w:noProof/>
          <w:color w:val="000000" w:themeColor="text1"/>
          <w:sz w:val="22"/>
          <w:lang w:val="es-ES_tradnl"/>
        </w:rPr>
      </w:pPr>
    </w:p>
    <w:p w14:paraId="772A1BB0" w14:textId="77777777" w:rsidR="00372B86" w:rsidRPr="0042283A" w:rsidRDefault="00372B86" w:rsidP="000F29CE">
      <w:pPr>
        <w:spacing w:line="276" w:lineRule="auto"/>
        <w:jc w:val="both"/>
        <w:rPr>
          <w:rFonts w:ascii="Arial" w:hAnsi="Arial" w:cs="Arial"/>
          <w:noProof/>
          <w:color w:val="000000" w:themeColor="text1"/>
          <w:sz w:val="22"/>
          <w:lang w:val="es-ES_tradnl"/>
        </w:rPr>
      </w:pPr>
    </w:p>
    <w:p w14:paraId="3AA7729C" w14:textId="77777777" w:rsidR="00372B86" w:rsidRPr="0042283A" w:rsidRDefault="00372B86" w:rsidP="000F29CE">
      <w:pPr>
        <w:spacing w:line="276" w:lineRule="auto"/>
        <w:jc w:val="both"/>
        <w:rPr>
          <w:rFonts w:ascii="Arial" w:hAnsi="Arial" w:cs="Arial"/>
          <w:noProof/>
          <w:color w:val="000000" w:themeColor="text1"/>
          <w:sz w:val="22"/>
          <w:lang w:val="es-ES_tradnl"/>
        </w:rPr>
      </w:pPr>
    </w:p>
    <w:p w14:paraId="6410E89F" w14:textId="77777777" w:rsidR="00372B86" w:rsidRPr="0042283A" w:rsidRDefault="00372B86" w:rsidP="000F29CE">
      <w:pPr>
        <w:spacing w:line="276" w:lineRule="auto"/>
        <w:jc w:val="both"/>
        <w:rPr>
          <w:rFonts w:ascii="Arial" w:hAnsi="Arial" w:cs="Arial"/>
          <w:noProof/>
          <w:color w:val="000000" w:themeColor="text1"/>
          <w:sz w:val="22"/>
          <w:lang w:val="es-ES_tradnl"/>
        </w:rPr>
      </w:pPr>
    </w:p>
    <w:p w14:paraId="6C22E85B" w14:textId="10EBEA05" w:rsidR="000F29CE" w:rsidRPr="0042283A" w:rsidRDefault="000F29CE" w:rsidP="000F29CE">
      <w:pPr>
        <w:spacing w:line="276" w:lineRule="auto"/>
        <w:jc w:val="both"/>
        <w:rPr>
          <w:rFonts w:ascii="Arial" w:hAnsi="Arial" w:cs="Arial"/>
          <w:b/>
          <w:color w:val="000000" w:themeColor="text1"/>
          <w:sz w:val="22"/>
          <w:lang w:val="es-ES_tradnl"/>
        </w:rPr>
      </w:pPr>
      <w:r w:rsidRPr="0042283A">
        <w:rPr>
          <w:rFonts w:ascii="Arial" w:hAnsi="Arial" w:cs="Arial"/>
          <w:noProof/>
          <w:color w:val="000000" w:themeColor="text1"/>
          <w:sz w:val="22"/>
          <w:lang w:val="es-ES_tradnl"/>
        </w:rPr>
        <w:lastRenderedPageBreak/>
        <w:t xml:space="preserve">Bogotá D.C., </w:t>
      </w:r>
      <w:r w:rsidR="007E3E1B">
        <w:rPr>
          <w:rFonts w:ascii="Arial" w:hAnsi="Arial" w:cs="Arial"/>
          <w:b/>
          <w:color w:val="000000" w:themeColor="text1"/>
          <w:sz w:val="22"/>
          <w:lang w:val="es-ES_tradnl"/>
        </w:rPr>
        <w:t>01/03/2022 08:</w:t>
      </w:r>
      <w:r w:rsidR="006E1B7E">
        <w:rPr>
          <w:rFonts w:ascii="Arial" w:hAnsi="Arial" w:cs="Arial"/>
          <w:b/>
          <w:color w:val="000000" w:themeColor="text1"/>
          <w:sz w:val="22"/>
          <w:lang w:val="es-ES_tradnl"/>
        </w:rPr>
        <w:t>54:07</w:t>
      </w:r>
    </w:p>
    <w:p w14:paraId="1238D1B7" w14:textId="77777777" w:rsidR="000F29CE" w:rsidRPr="0042283A" w:rsidRDefault="000F29CE" w:rsidP="000F29CE">
      <w:pPr>
        <w:spacing w:line="276" w:lineRule="auto"/>
        <w:jc w:val="both"/>
        <w:rPr>
          <w:rFonts w:ascii="Arial" w:eastAsia="Calibri" w:hAnsi="Arial" w:cs="Arial"/>
          <w:noProof/>
          <w:color w:val="000000" w:themeColor="text1"/>
          <w:sz w:val="22"/>
          <w:szCs w:val="22"/>
          <w:lang w:val="es-ES_tradnl"/>
        </w:rPr>
      </w:pPr>
    </w:p>
    <w:p w14:paraId="5E3EA3D8" w14:textId="1FA98208" w:rsidR="007E3E1B" w:rsidRDefault="007E3E1B" w:rsidP="007E3E1B">
      <w:pPr>
        <w:jc w:val="right"/>
      </w:pPr>
      <w:r>
        <w:fldChar w:fldCharType="begin"/>
      </w:r>
      <w:r>
        <w:instrText xml:space="preserve"> INCLUDEPICTURE "/var/folders/z2/mpmwzz0s3w31yr1_fh2qtrr80000gn/T/com.microsoft.Word/WebArchiveCopyPasteTempFiles/page1image3670699104" \* MERGEFORMATINET </w:instrText>
      </w:r>
      <w:r>
        <w:fldChar w:fldCharType="separate"/>
      </w:r>
      <w:r>
        <w:rPr>
          <w:noProof/>
        </w:rPr>
        <w:drawing>
          <wp:inline distT="0" distB="0" distL="0" distR="0" wp14:anchorId="641D9734" wp14:editId="0E74533A">
            <wp:extent cx="2402840" cy="609600"/>
            <wp:effectExtent l="0" t="0" r="0" b="0"/>
            <wp:docPr id="1" name="Imagen 1" descr="page1image3670699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image367069910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02840" cy="609600"/>
                    </a:xfrm>
                    <a:prstGeom prst="rect">
                      <a:avLst/>
                    </a:prstGeom>
                    <a:noFill/>
                    <a:ln>
                      <a:noFill/>
                    </a:ln>
                  </pic:spPr>
                </pic:pic>
              </a:graphicData>
            </a:graphic>
          </wp:inline>
        </w:drawing>
      </w:r>
      <w:r>
        <w:fldChar w:fldCharType="end"/>
      </w:r>
    </w:p>
    <w:p w14:paraId="1C6D6E82" w14:textId="77777777" w:rsidR="000F29CE" w:rsidRPr="0042283A" w:rsidRDefault="000F29CE" w:rsidP="000F29CE">
      <w:pPr>
        <w:jc w:val="both"/>
        <w:rPr>
          <w:rFonts w:ascii="Arial" w:hAnsi="Arial" w:cs="Arial"/>
          <w:bCs/>
          <w:color w:val="000000" w:themeColor="text1"/>
          <w:sz w:val="22"/>
          <w:lang w:val="es-ES_tradnl"/>
        </w:rPr>
      </w:pPr>
    </w:p>
    <w:p w14:paraId="24A88D3F" w14:textId="77777777" w:rsidR="00F53F4F" w:rsidRPr="0042283A" w:rsidRDefault="00F53F4F" w:rsidP="00B95C30">
      <w:pPr>
        <w:jc w:val="both"/>
        <w:rPr>
          <w:rFonts w:ascii="Arial" w:hAnsi="Arial" w:cs="Arial"/>
          <w:b/>
          <w:color w:val="000000" w:themeColor="text1"/>
          <w:sz w:val="22"/>
          <w:lang w:val="es-ES_tradnl"/>
        </w:rPr>
      </w:pPr>
    </w:p>
    <w:p w14:paraId="5F5AE9EF" w14:textId="48FE79D1" w:rsidR="00B95C30" w:rsidRPr="0042283A" w:rsidRDefault="00BE4FBF" w:rsidP="00B95C30">
      <w:pPr>
        <w:jc w:val="both"/>
        <w:rPr>
          <w:rFonts w:ascii="Arial" w:eastAsia="Calibri" w:hAnsi="Arial" w:cs="Arial"/>
          <w:color w:val="000000" w:themeColor="text1"/>
          <w:sz w:val="22"/>
          <w:lang w:val="es-ES_tradnl"/>
        </w:rPr>
      </w:pPr>
      <w:r w:rsidRPr="0042283A">
        <w:rPr>
          <w:rFonts w:ascii="Arial" w:eastAsia="Calibri" w:hAnsi="Arial" w:cs="Arial"/>
          <w:color w:val="000000" w:themeColor="text1"/>
          <w:sz w:val="22"/>
          <w:lang w:val="es-ES_tradnl"/>
        </w:rPr>
        <w:t>Señor</w:t>
      </w:r>
    </w:p>
    <w:p w14:paraId="3DCD58CE" w14:textId="4405EA26" w:rsidR="00B95C30" w:rsidRPr="0042283A" w:rsidRDefault="00FF6249" w:rsidP="00B95C30">
      <w:pPr>
        <w:jc w:val="both"/>
        <w:rPr>
          <w:rFonts w:ascii="Arial" w:eastAsia="Calibri" w:hAnsi="Arial" w:cs="Arial"/>
          <w:b/>
          <w:color w:val="000000" w:themeColor="text1"/>
          <w:sz w:val="22"/>
          <w:lang w:val="es-ES_tradnl"/>
        </w:rPr>
      </w:pPr>
      <w:r w:rsidRPr="0042283A">
        <w:rPr>
          <w:rFonts w:ascii="Arial" w:eastAsia="Calibri" w:hAnsi="Arial" w:cs="Arial"/>
          <w:b/>
          <w:color w:val="000000" w:themeColor="text1"/>
          <w:sz w:val="22"/>
          <w:lang w:val="es-ES_tradnl"/>
        </w:rPr>
        <w:t>Juan Manuel Bravo Páez</w:t>
      </w:r>
    </w:p>
    <w:p w14:paraId="09D4AEA8" w14:textId="7F1D99BF" w:rsidR="00B95C30" w:rsidRPr="0042283A" w:rsidRDefault="00957D07" w:rsidP="00B95C30">
      <w:pPr>
        <w:jc w:val="both"/>
        <w:rPr>
          <w:rFonts w:ascii="Arial" w:eastAsia="Calibri" w:hAnsi="Arial" w:cs="Arial"/>
          <w:color w:val="000000" w:themeColor="text1"/>
          <w:sz w:val="22"/>
          <w:lang w:val="es-ES_tradnl"/>
        </w:rPr>
      </w:pPr>
      <w:r w:rsidRPr="0042283A">
        <w:rPr>
          <w:rFonts w:ascii="Arial" w:eastAsia="Calibri" w:hAnsi="Arial" w:cs="Arial"/>
          <w:color w:val="000000" w:themeColor="text1"/>
          <w:sz w:val="22"/>
          <w:lang w:val="es-ES_tradnl"/>
        </w:rPr>
        <w:t>Bogotá, D.C.</w:t>
      </w:r>
    </w:p>
    <w:p w14:paraId="3B584A57" w14:textId="4528CA3D" w:rsidR="00F53F4F" w:rsidRPr="0042283A" w:rsidRDefault="00F53F4F" w:rsidP="00B95C30">
      <w:pPr>
        <w:jc w:val="both"/>
        <w:rPr>
          <w:rFonts w:ascii="Arial" w:eastAsia="Calibri" w:hAnsi="Arial" w:cs="Arial"/>
          <w:color w:val="000000" w:themeColor="text1"/>
          <w:sz w:val="22"/>
          <w:lang w:val="es-ES_tradnl"/>
        </w:rPr>
      </w:pPr>
    </w:p>
    <w:p w14:paraId="48E36FCF" w14:textId="77777777" w:rsidR="00F53F4F" w:rsidRPr="0042283A" w:rsidRDefault="00F53F4F" w:rsidP="00B95C30">
      <w:pPr>
        <w:jc w:val="both"/>
        <w:rPr>
          <w:rFonts w:ascii="Arial" w:eastAsia="Calibri" w:hAnsi="Arial" w:cs="Arial"/>
          <w:color w:val="000000" w:themeColor="text1"/>
          <w:sz w:val="22"/>
          <w:lang w:val="es-ES_tradnl"/>
        </w:rPr>
      </w:pPr>
    </w:p>
    <w:p w14:paraId="12E66182" w14:textId="2EE04D9E" w:rsidR="00B95C30" w:rsidRPr="0042283A" w:rsidRDefault="00F53F4F" w:rsidP="001D6CD2">
      <w:pPr>
        <w:rPr>
          <w:rFonts w:ascii="Arial" w:eastAsia="Calibri" w:hAnsi="Arial" w:cs="Arial"/>
          <w:b/>
          <w:bCs/>
          <w:color w:val="000000" w:themeColor="text1"/>
          <w:sz w:val="22"/>
          <w:lang w:val="es-ES_tradnl"/>
        </w:rPr>
      </w:pPr>
      <w:r w:rsidRPr="0042283A">
        <w:rPr>
          <w:rFonts w:ascii="Arial" w:eastAsia="Calibri" w:hAnsi="Arial" w:cs="Arial"/>
          <w:b/>
          <w:bCs/>
          <w:color w:val="000000" w:themeColor="text1"/>
          <w:sz w:val="22"/>
          <w:lang w:val="es-ES_tradnl"/>
        </w:rPr>
        <w:t xml:space="preserve">                                            </w:t>
      </w:r>
      <w:r w:rsidR="00B95C30" w:rsidRPr="0042283A">
        <w:rPr>
          <w:rFonts w:ascii="Arial" w:eastAsia="Calibri" w:hAnsi="Arial" w:cs="Arial"/>
          <w:b/>
          <w:bCs/>
          <w:color w:val="000000" w:themeColor="text1"/>
          <w:sz w:val="22"/>
          <w:lang w:val="es-ES_tradnl"/>
        </w:rPr>
        <w:t xml:space="preserve">Concepto C ‒ </w:t>
      </w:r>
      <w:r w:rsidR="00CD37B4" w:rsidRPr="0042283A">
        <w:rPr>
          <w:rFonts w:ascii="Arial" w:eastAsia="Calibri" w:hAnsi="Arial" w:cs="Arial"/>
          <w:b/>
          <w:bCs/>
          <w:color w:val="000000" w:themeColor="text1"/>
          <w:sz w:val="22"/>
          <w:lang w:val="es-ES_tradnl"/>
        </w:rPr>
        <w:t>043</w:t>
      </w:r>
      <w:r w:rsidR="00B95C30" w:rsidRPr="0042283A">
        <w:rPr>
          <w:rFonts w:ascii="Arial" w:eastAsia="Calibri" w:hAnsi="Arial" w:cs="Arial"/>
          <w:b/>
          <w:bCs/>
          <w:color w:val="000000" w:themeColor="text1"/>
          <w:sz w:val="22"/>
          <w:lang w:val="es-ES_tradnl"/>
        </w:rPr>
        <w:t xml:space="preserve"> de 202</w:t>
      </w:r>
      <w:r w:rsidR="00957D07" w:rsidRPr="0042283A">
        <w:rPr>
          <w:rFonts w:ascii="Arial" w:eastAsia="Calibri" w:hAnsi="Arial" w:cs="Arial"/>
          <w:b/>
          <w:bCs/>
          <w:color w:val="000000" w:themeColor="text1"/>
          <w:sz w:val="22"/>
          <w:lang w:val="es-ES_tradnl"/>
        </w:rPr>
        <w:t>2</w:t>
      </w:r>
    </w:p>
    <w:p w14:paraId="1BD594F9" w14:textId="77777777" w:rsidR="00B95C30" w:rsidRPr="0042283A" w:rsidRDefault="00B95C30" w:rsidP="00B95C30">
      <w:pPr>
        <w:jc w:val="both"/>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95C30" w:rsidRPr="0042283A" w14:paraId="19DFC051" w14:textId="77777777" w:rsidTr="008F4163">
        <w:tc>
          <w:tcPr>
            <w:tcW w:w="2689" w:type="dxa"/>
          </w:tcPr>
          <w:p w14:paraId="6BC0D1AC" w14:textId="77777777" w:rsidR="00B95C30" w:rsidRPr="0042283A" w:rsidRDefault="00B95C30" w:rsidP="008F4163">
            <w:pPr>
              <w:jc w:val="both"/>
              <w:rPr>
                <w:rFonts w:ascii="Arial" w:eastAsia="Calibri" w:hAnsi="Arial" w:cs="Arial"/>
                <w:color w:val="000000" w:themeColor="text1"/>
                <w:sz w:val="22"/>
                <w:lang w:val="es-ES_tradnl"/>
              </w:rPr>
            </w:pPr>
            <w:r w:rsidRPr="0042283A">
              <w:rPr>
                <w:rFonts w:ascii="Arial" w:eastAsia="Calibri" w:hAnsi="Arial" w:cs="Arial"/>
                <w:b/>
                <w:color w:val="000000" w:themeColor="text1"/>
                <w:sz w:val="22"/>
                <w:lang w:val="es-ES_tradnl"/>
              </w:rPr>
              <w:t>Temas:</w:t>
            </w:r>
            <w:r w:rsidRPr="0042283A">
              <w:rPr>
                <w:rFonts w:ascii="Arial" w:eastAsia="Calibri" w:hAnsi="Arial" w:cs="Arial"/>
                <w:color w:val="000000" w:themeColor="text1"/>
                <w:sz w:val="22"/>
                <w:lang w:val="es-ES_tradnl"/>
              </w:rPr>
              <w:t xml:space="preserve">                                      </w:t>
            </w:r>
          </w:p>
        </w:tc>
        <w:tc>
          <w:tcPr>
            <w:tcW w:w="6237" w:type="dxa"/>
          </w:tcPr>
          <w:p w14:paraId="5F389CAF" w14:textId="44EEF2BD" w:rsidR="00B95C30" w:rsidRPr="0042283A" w:rsidRDefault="00357C44" w:rsidP="008F4163">
            <w:pPr>
              <w:jc w:val="both"/>
              <w:rPr>
                <w:rFonts w:ascii="Arial" w:eastAsia="Calibri" w:hAnsi="Arial" w:cs="Arial"/>
                <w:color w:val="000000" w:themeColor="text1"/>
                <w:sz w:val="22"/>
                <w:lang w:val="es-ES_tradnl"/>
              </w:rPr>
            </w:pPr>
            <w:r w:rsidRPr="0042283A">
              <w:rPr>
                <w:rFonts w:ascii="Arial" w:eastAsia="Calibri" w:hAnsi="Arial" w:cs="Arial"/>
                <w:bCs/>
                <w:sz w:val="22"/>
                <w:lang w:val="es-ES_tradnl"/>
              </w:rPr>
              <w:t>CONCURSO DE MÉRITOS – Concepto – Modalidades / CONCURSO DE MÉRITOS – Decreto 1082 de 2015 – artículo 2.2.1.2.1.3.2 – Suspensión provisional / CONCURSO DE MÉRITOS – Decreto 1082 de 2015 – artículo 2.2.1.2.1.3.2 – Decreto 399 de 2021 – Artículo 2</w:t>
            </w:r>
            <w:r w:rsidR="007925C2" w:rsidRPr="0042283A">
              <w:rPr>
                <w:rFonts w:ascii="Arial" w:eastAsia="Calibri" w:hAnsi="Arial" w:cs="Arial"/>
                <w:bCs/>
                <w:sz w:val="22"/>
                <w:lang w:val="es-ES_tradnl"/>
              </w:rPr>
              <w:t xml:space="preserve"> / </w:t>
            </w:r>
            <w:r w:rsidR="00D60C4A" w:rsidRPr="0042283A">
              <w:rPr>
                <w:rFonts w:ascii="Arial" w:eastAsia="Calibri" w:hAnsi="Arial" w:cs="Arial"/>
                <w:bCs/>
                <w:sz w:val="22"/>
                <w:lang w:val="es-ES_tradnl"/>
              </w:rPr>
              <w:t>PRINCIPIO DE PLANEACIÓN – Variables – Estudios previos – Precios unitarios – Decreto 399 de 2021 – Artículo 1</w:t>
            </w:r>
            <w:r w:rsidR="00B95C30" w:rsidRPr="0042283A">
              <w:rPr>
                <w:rFonts w:ascii="Arial" w:eastAsia="Arial" w:hAnsi="Arial" w:cs="Arial"/>
                <w:sz w:val="22"/>
                <w:lang w:val="es-ES_tradnl"/>
              </w:rPr>
              <w:t>.</w:t>
            </w:r>
          </w:p>
        </w:tc>
      </w:tr>
      <w:tr w:rsidR="00B95C30" w:rsidRPr="0042283A" w14:paraId="27CD52AB" w14:textId="77777777" w:rsidTr="008F4163">
        <w:tc>
          <w:tcPr>
            <w:tcW w:w="2689" w:type="dxa"/>
          </w:tcPr>
          <w:p w14:paraId="37E195A1" w14:textId="1BA218D5" w:rsidR="00B95C30" w:rsidRPr="0042283A" w:rsidRDefault="00B95C30" w:rsidP="008F4163">
            <w:pPr>
              <w:spacing w:before="120"/>
              <w:jc w:val="both"/>
              <w:rPr>
                <w:rFonts w:ascii="Arial" w:eastAsia="Calibri" w:hAnsi="Arial" w:cs="Arial"/>
                <w:b/>
                <w:color w:val="000000" w:themeColor="text1"/>
                <w:sz w:val="22"/>
                <w:lang w:val="es-ES_tradnl"/>
              </w:rPr>
            </w:pPr>
            <w:r w:rsidRPr="0042283A">
              <w:rPr>
                <w:rFonts w:ascii="Arial" w:eastAsia="Calibri" w:hAnsi="Arial" w:cs="Arial"/>
                <w:b/>
                <w:color w:val="000000" w:themeColor="text1"/>
                <w:sz w:val="22"/>
                <w:lang w:val="es-ES_tradnl"/>
              </w:rPr>
              <w:t>Radicación:</w:t>
            </w:r>
            <w:r w:rsidRPr="0042283A">
              <w:rPr>
                <w:rFonts w:ascii="Arial" w:eastAsia="Calibri" w:hAnsi="Arial" w:cs="Arial"/>
                <w:color w:val="000000" w:themeColor="text1"/>
                <w:sz w:val="22"/>
                <w:lang w:val="es-ES_tradnl"/>
              </w:rPr>
              <w:t xml:space="preserve">                              </w:t>
            </w:r>
          </w:p>
        </w:tc>
        <w:tc>
          <w:tcPr>
            <w:tcW w:w="6237" w:type="dxa"/>
          </w:tcPr>
          <w:p w14:paraId="09088B1B" w14:textId="019D8319" w:rsidR="00B95C30" w:rsidRPr="0042283A" w:rsidRDefault="00B95C30" w:rsidP="008F4163">
            <w:pPr>
              <w:spacing w:before="120"/>
              <w:jc w:val="both"/>
              <w:rPr>
                <w:rFonts w:ascii="Arial" w:eastAsia="Calibri" w:hAnsi="Arial" w:cs="Arial"/>
                <w:color w:val="000000" w:themeColor="text1"/>
                <w:sz w:val="22"/>
                <w:lang w:val="es-ES_tradnl"/>
              </w:rPr>
            </w:pPr>
            <w:r w:rsidRPr="0042283A">
              <w:rPr>
                <w:rFonts w:ascii="Arial" w:eastAsia="Calibri" w:hAnsi="Arial" w:cs="Arial"/>
                <w:color w:val="000000" w:themeColor="text1"/>
                <w:sz w:val="22"/>
                <w:lang w:val="es-ES_tradnl"/>
              </w:rPr>
              <w:t>Respuesta a consulta</w:t>
            </w:r>
            <w:r w:rsidR="002311F0" w:rsidRPr="0042283A">
              <w:rPr>
                <w:rFonts w:ascii="Arial" w:eastAsia="Calibri" w:hAnsi="Arial" w:cs="Arial"/>
                <w:color w:val="000000" w:themeColor="text1"/>
                <w:sz w:val="22"/>
                <w:lang w:val="es-ES_tradnl"/>
              </w:rPr>
              <w:t xml:space="preserve"> </w:t>
            </w:r>
            <w:r w:rsidRPr="0042283A">
              <w:rPr>
                <w:rFonts w:ascii="Arial" w:eastAsia="Calibri" w:hAnsi="Arial" w:cs="Arial"/>
                <w:color w:val="000000" w:themeColor="text1"/>
                <w:sz w:val="22"/>
                <w:lang w:val="es-ES_tradnl"/>
              </w:rPr>
              <w:t xml:space="preserve"># </w:t>
            </w:r>
            <w:r w:rsidR="00253135" w:rsidRPr="0042283A">
              <w:rPr>
                <w:rFonts w:ascii="Arial" w:eastAsia="Calibri" w:hAnsi="Arial" w:cs="Arial"/>
                <w:color w:val="000000" w:themeColor="text1"/>
                <w:sz w:val="22"/>
                <w:lang w:val="es-ES_tradnl"/>
              </w:rPr>
              <w:t>P20220118000320</w:t>
            </w:r>
            <w:r w:rsidR="002311F0" w:rsidRPr="0042283A">
              <w:rPr>
                <w:rFonts w:ascii="Arial" w:eastAsia="Calibri" w:hAnsi="Arial" w:cs="Arial"/>
                <w:color w:val="000000" w:themeColor="text1"/>
                <w:sz w:val="22"/>
                <w:lang w:val="es-ES_tradnl"/>
              </w:rPr>
              <w:t>.</w:t>
            </w:r>
          </w:p>
        </w:tc>
      </w:tr>
    </w:tbl>
    <w:p w14:paraId="61B55CA4" w14:textId="77777777" w:rsidR="00716BB0" w:rsidRPr="0042283A" w:rsidRDefault="00716BB0" w:rsidP="003C3339">
      <w:pPr>
        <w:jc w:val="both"/>
        <w:rPr>
          <w:rFonts w:ascii="Arial" w:eastAsia="Calibri" w:hAnsi="Arial" w:cs="Arial"/>
          <w:color w:val="000000" w:themeColor="text1"/>
          <w:sz w:val="22"/>
          <w:lang w:val="es-ES_tradnl"/>
        </w:rPr>
      </w:pPr>
    </w:p>
    <w:p w14:paraId="4B9B5156" w14:textId="77777777" w:rsidR="00716BB0" w:rsidRPr="0042283A" w:rsidRDefault="00716BB0" w:rsidP="003C3339">
      <w:pPr>
        <w:jc w:val="both"/>
        <w:rPr>
          <w:rFonts w:ascii="Arial" w:eastAsia="Calibri" w:hAnsi="Arial" w:cs="Arial"/>
          <w:color w:val="000000" w:themeColor="text1"/>
          <w:sz w:val="22"/>
          <w:lang w:val="es-ES_tradnl"/>
        </w:rPr>
      </w:pPr>
    </w:p>
    <w:p w14:paraId="1CF4AEA0" w14:textId="5AD869B5" w:rsidR="003C3339" w:rsidRPr="0042283A" w:rsidRDefault="003C3339" w:rsidP="003C3339">
      <w:pPr>
        <w:jc w:val="both"/>
        <w:rPr>
          <w:rFonts w:ascii="Arial" w:eastAsia="Calibri" w:hAnsi="Arial" w:cs="Arial"/>
          <w:color w:val="000000" w:themeColor="text1"/>
          <w:sz w:val="22"/>
          <w:lang w:val="es-ES_tradnl"/>
        </w:rPr>
      </w:pPr>
      <w:r w:rsidRPr="0042283A">
        <w:rPr>
          <w:rFonts w:ascii="Arial" w:eastAsia="Calibri" w:hAnsi="Arial" w:cs="Arial"/>
          <w:color w:val="000000" w:themeColor="text1"/>
          <w:sz w:val="22"/>
          <w:lang w:val="es-ES_tradnl"/>
        </w:rPr>
        <w:t>Estimad</w:t>
      </w:r>
      <w:r w:rsidR="00514911" w:rsidRPr="0042283A">
        <w:rPr>
          <w:rFonts w:ascii="Arial" w:eastAsia="Calibri" w:hAnsi="Arial" w:cs="Arial"/>
          <w:color w:val="000000" w:themeColor="text1"/>
          <w:sz w:val="22"/>
          <w:lang w:val="es-ES_tradnl"/>
        </w:rPr>
        <w:t>o</w:t>
      </w:r>
      <w:r w:rsidRPr="0042283A">
        <w:rPr>
          <w:rFonts w:ascii="Arial" w:eastAsia="Calibri" w:hAnsi="Arial" w:cs="Arial"/>
          <w:color w:val="000000" w:themeColor="text1"/>
          <w:sz w:val="22"/>
          <w:lang w:val="es-ES_tradnl"/>
        </w:rPr>
        <w:t xml:space="preserve"> </w:t>
      </w:r>
      <w:r w:rsidR="0063732C" w:rsidRPr="0042283A">
        <w:rPr>
          <w:rFonts w:ascii="Arial" w:eastAsia="Calibri" w:hAnsi="Arial" w:cs="Arial"/>
          <w:color w:val="000000" w:themeColor="text1"/>
          <w:sz w:val="22"/>
          <w:lang w:val="es-ES_tradnl"/>
        </w:rPr>
        <w:t>señor</w:t>
      </w:r>
      <w:r w:rsidR="00BE4FBF" w:rsidRPr="0042283A">
        <w:rPr>
          <w:rFonts w:ascii="Arial" w:eastAsia="Calibri" w:hAnsi="Arial" w:cs="Arial"/>
          <w:color w:val="000000" w:themeColor="text1"/>
          <w:sz w:val="22"/>
          <w:lang w:val="es-ES_tradnl"/>
        </w:rPr>
        <w:t xml:space="preserve"> </w:t>
      </w:r>
      <w:r w:rsidR="00514911" w:rsidRPr="0042283A">
        <w:rPr>
          <w:rFonts w:ascii="Arial" w:eastAsia="Calibri" w:hAnsi="Arial" w:cs="Arial"/>
          <w:color w:val="000000" w:themeColor="text1"/>
          <w:sz w:val="22"/>
          <w:lang w:val="es-ES_tradnl"/>
        </w:rPr>
        <w:t>Bravo</w:t>
      </w:r>
      <w:r w:rsidRPr="0042283A">
        <w:rPr>
          <w:rFonts w:ascii="Arial" w:eastAsia="Calibri" w:hAnsi="Arial" w:cs="Arial"/>
          <w:color w:val="000000" w:themeColor="text1"/>
          <w:sz w:val="22"/>
          <w:lang w:val="es-ES_tradnl"/>
        </w:rPr>
        <w:t>:</w:t>
      </w:r>
    </w:p>
    <w:p w14:paraId="1EAE5543" w14:textId="77777777" w:rsidR="00DD5B04" w:rsidRPr="0042283A" w:rsidRDefault="00DD5B04" w:rsidP="00DF76A2">
      <w:pPr>
        <w:jc w:val="both"/>
        <w:rPr>
          <w:rFonts w:ascii="Arial" w:eastAsia="Calibri" w:hAnsi="Arial" w:cs="Arial"/>
          <w:color w:val="000000" w:themeColor="text1"/>
          <w:sz w:val="22"/>
          <w:lang w:val="es-ES_tradnl"/>
        </w:rPr>
      </w:pPr>
    </w:p>
    <w:p w14:paraId="2109B2D3" w14:textId="22A27C89" w:rsidR="00DD5B04" w:rsidRPr="0042283A" w:rsidRDefault="00DD5B04" w:rsidP="00DF76A2">
      <w:pPr>
        <w:spacing w:line="276" w:lineRule="auto"/>
        <w:jc w:val="both"/>
        <w:rPr>
          <w:rFonts w:ascii="Arial" w:eastAsia="Calibri" w:hAnsi="Arial" w:cs="Arial"/>
          <w:color w:val="000000" w:themeColor="text1"/>
          <w:sz w:val="22"/>
          <w:lang w:val="es-ES_tradnl"/>
        </w:rPr>
      </w:pPr>
      <w:r w:rsidRPr="0042283A">
        <w:rPr>
          <w:rFonts w:ascii="Arial" w:eastAsia="Calibri" w:hAnsi="Arial" w:cs="Arial"/>
          <w:color w:val="000000" w:themeColor="text1"/>
          <w:sz w:val="22"/>
          <w:lang w:val="es-ES_tradnl"/>
        </w:rPr>
        <w:t>En ejercicio de la competencia otorgada por el numeral 8 del artículo 11 y el numeral 5 del artículo 3 del Decreto Ley 4170 de 2011, la Agencia Nacional de Contratación Pública ― Colombia Compra Eficiente</w:t>
      </w:r>
      <w:r w:rsidR="008C3C57" w:rsidRPr="0042283A">
        <w:rPr>
          <w:rFonts w:ascii="Arial" w:eastAsia="Calibri" w:hAnsi="Arial" w:cs="Arial"/>
          <w:color w:val="000000" w:themeColor="text1"/>
          <w:sz w:val="22"/>
          <w:lang w:val="es-ES_tradnl"/>
        </w:rPr>
        <w:t xml:space="preserve"> </w:t>
      </w:r>
      <w:r w:rsidRPr="0042283A">
        <w:rPr>
          <w:rFonts w:ascii="Arial" w:eastAsia="Calibri" w:hAnsi="Arial" w:cs="Arial"/>
          <w:color w:val="000000" w:themeColor="text1"/>
          <w:sz w:val="22"/>
          <w:lang w:val="es-ES_tradnl"/>
        </w:rPr>
        <w:t xml:space="preserve">responde su consulta del </w:t>
      </w:r>
      <w:r w:rsidR="00464896" w:rsidRPr="0042283A">
        <w:rPr>
          <w:rFonts w:ascii="Arial" w:eastAsia="Calibri" w:hAnsi="Arial" w:cs="Arial"/>
          <w:color w:val="000000" w:themeColor="text1"/>
          <w:sz w:val="22"/>
          <w:lang w:val="es-ES_tradnl"/>
        </w:rPr>
        <w:t>18</w:t>
      </w:r>
      <w:r w:rsidR="00E06598" w:rsidRPr="0042283A">
        <w:rPr>
          <w:rFonts w:ascii="Arial" w:eastAsia="Calibri" w:hAnsi="Arial" w:cs="Arial"/>
          <w:color w:val="000000" w:themeColor="text1"/>
          <w:sz w:val="22"/>
          <w:lang w:val="es-ES_tradnl"/>
        </w:rPr>
        <w:t xml:space="preserve"> </w:t>
      </w:r>
      <w:r w:rsidR="00FD4AF3" w:rsidRPr="0042283A">
        <w:rPr>
          <w:rFonts w:ascii="Arial" w:eastAsia="Calibri" w:hAnsi="Arial" w:cs="Arial"/>
          <w:color w:val="000000" w:themeColor="text1"/>
          <w:sz w:val="22"/>
          <w:lang w:val="es-ES_tradnl"/>
        </w:rPr>
        <w:t xml:space="preserve">de </w:t>
      </w:r>
      <w:r w:rsidR="00464896" w:rsidRPr="0042283A">
        <w:rPr>
          <w:rFonts w:ascii="Arial" w:eastAsia="Calibri" w:hAnsi="Arial" w:cs="Arial"/>
          <w:color w:val="000000" w:themeColor="text1"/>
          <w:sz w:val="22"/>
          <w:lang w:val="es-ES_tradnl"/>
        </w:rPr>
        <w:t>enero</w:t>
      </w:r>
      <w:r w:rsidRPr="0042283A">
        <w:rPr>
          <w:rFonts w:ascii="Arial" w:eastAsia="Calibri" w:hAnsi="Arial" w:cs="Arial"/>
          <w:color w:val="000000" w:themeColor="text1"/>
          <w:sz w:val="22"/>
          <w:lang w:val="es-ES_tradnl"/>
        </w:rPr>
        <w:t xml:space="preserve"> del</w:t>
      </w:r>
      <w:r w:rsidR="007E74BF" w:rsidRPr="0042283A">
        <w:rPr>
          <w:rFonts w:ascii="Arial" w:eastAsia="Calibri" w:hAnsi="Arial" w:cs="Arial"/>
          <w:color w:val="000000" w:themeColor="text1"/>
          <w:sz w:val="22"/>
          <w:lang w:val="es-ES_tradnl"/>
        </w:rPr>
        <w:t xml:space="preserve"> </w:t>
      </w:r>
      <w:r w:rsidRPr="0042283A">
        <w:rPr>
          <w:rFonts w:ascii="Arial" w:eastAsia="Calibri" w:hAnsi="Arial" w:cs="Arial"/>
          <w:color w:val="000000" w:themeColor="text1"/>
          <w:sz w:val="22"/>
          <w:lang w:val="es-ES_tradnl"/>
        </w:rPr>
        <w:t>202</w:t>
      </w:r>
      <w:r w:rsidR="00464896" w:rsidRPr="0042283A">
        <w:rPr>
          <w:rFonts w:ascii="Arial" w:eastAsia="Calibri" w:hAnsi="Arial" w:cs="Arial"/>
          <w:color w:val="000000" w:themeColor="text1"/>
          <w:sz w:val="22"/>
          <w:lang w:val="es-ES_tradnl"/>
        </w:rPr>
        <w:t>2</w:t>
      </w:r>
      <w:r w:rsidR="008C3C57" w:rsidRPr="0042283A">
        <w:rPr>
          <w:rFonts w:ascii="Arial" w:eastAsia="Calibri" w:hAnsi="Arial" w:cs="Arial"/>
          <w:color w:val="000000" w:themeColor="text1"/>
          <w:sz w:val="22"/>
          <w:lang w:val="es-ES_tradnl"/>
        </w:rPr>
        <w:t>.</w:t>
      </w:r>
    </w:p>
    <w:p w14:paraId="0C1E0712" w14:textId="77777777" w:rsidR="00DD5B04" w:rsidRPr="0042283A" w:rsidRDefault="00DD5B04" w:rsidP="00DF76A2">
      <w:pPr>
        <w:spacing w:line="276" w:lineRule="auto"/>
        <w:jc w:val="both"/>
        <w:rPr>
          <w:rFonts w:ascii="Arial" w:eastAsia="Calibri" w:hAnsi="Arial" w:cs="Arial"/>
          <w:b/>
          <w:color w:val="000000" w:themeColor="text1"/>
          <w:sz w:val="22"/>
          <w:lang w:val="es-ES_tradnl"/>
        </w:rPr>
      </w:pPr>
    </w:p>
    <w:p w14:paraId="7701FCC7" w14:textId="77777777" w:rsidR="00DD5B04" w:rsidRPr="0042283A"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42283A">
        <w:rPr>
          <w:rFonts w:ascii="Arial" w:eastAsia="Calibri" w:hAnsi="Arial" w:cs="Arial"/>
          <w:b/>
          <w:color w:val="000000" w:themeColor="text1"/>
          <w:sz w:val="22"/>
          <w:lang w:val="es-ES_tradnl"/>
        </w:rPr>
        <w:t xml:space="preserve">Problema planteado </w:t>
      </w:r>
    </w:p>
    <w:p w14:paraId="224B43D3" w14:textId="77777777" w:rsidR="00DD5B04" w:rsidRPr="0042283A" w:rsidRDefault="00DD5B04" w:rsidP="00DF76A2">
      <w:pPr>
        <w:tabs>
          <w:tab w:val="left" w:pos="426"/>
        </w:tabs>
        <w:spacing w:line="276" w:lineRule="auto"/>
        <w:jc w:val="both"/>
        <w:rPr>
          <w:rFonts w:ascii="Arial" w:eastAsia="Calibri" w:hAnsi="Arial" w:cs="Arial"/>
          <w:b/>
          <w:color w:val="000000" w:themeColor="text1"/>
          <w:sz w:val="22"/>
          <w:lang w:val="es-ES_tradnl"/>
        </w:rPr>
      </w:pPr>
    </w:p>
    <w:p w14:paraId="3C575DE9" w14:textId="730A35CB" w:rsidR="00443B55" w:rsidRPr="0042283A" w:rsidRDefault="00DD5B04" w:rsidP="0099583D">
      <w:pPr>
        <w:spacing w:line="276" w:lineRule="auto"/>
        <w:jc w:val="both"/>
        <w:rPr>
          <w:rFonts w:ascii="Arial" w:hAnsi="Arial" w:cs="Arial"/>
          <w:color w:val="000000" w:themeColor="text1"/>
          <w:sz w:val="22"/>
          <w:lang w:val="es-ES_tradnl"/>
        </w:rPr>
      </w:pPr>
      <w:r w:rsidRPr="0042283A">
        <w:rPr>
          <w:rFonts w:ascii="Arial" w:hAnsi="Arial" w:cs="Arial"/>
          <w:color w:val="000000" w:themeColor="text1"/>
          <w:sz w:val="22"/>
          <w:lang w:val="es-ES_tradnl"/>
        </w:rPr>
        <w:t>Usted</w:t>
      </w:r>
      <w:r w:rsidR="005F0890" w:rsidRPr="0042283A">
        <w:rPr>
          <w:rFonts w:ascii="Arial" w:hAnsi="Arial" w:cs="Arial"/>
          <w:color w:val="000000" w:themeColor="text1"/>
          <w:sz w:val="22"/>
          <w:lang w:val="es-ES_tradnl"/>
        </w:rPr>
        <w:t xml:space="preserve"> realiza la siguiente consulta</w:t>
      </w:r>
      <w:r w:rsidR="00B420B8" w:rsidRPr="0042283A">
        <w:rPr>
          <w:rFonts w:ascii="Arial" w:hAnsi="Arial" w:cs="Arial"/>
          <w:color w:val="000000" w:themeColor="text1"/>
          <w:sz w:val="22"/>
          <w:lang w:val="es-ES_tradnl"/>
        </w:rPr>
        <w:t xml:space="preserve"> relacionada con el artículo </w:t>
      </w:r>
      <w:r w:rsidR="007C0FB9" w:rsidRPr="0042283A">
        <w:rPr>
          <w:rFonts w:ascii="Arial" w:hAnsi="Arial" w:cs="Arial"/>
          <w:color w:val="000000" w:themeColor="text1"/>
          <w:sz w:val="22"/>
          <w:lang w:val="es-ES_tradnl"/>
        </w:rPr>
        <w:t>1</w:t>
      </w:r>
      <w:r w:rsidR="00B24358" w:rsidRPr="0042283A">
        <w:rPr>
          <w:rFonts w:ascii="Arial" w:hAnsi="Arial" w:cs="Arial"/>
          <w:color w:val="000000" w:themeColor="text1"/>
          <w:sz w:val="22"/>
          <w:lang w:val="es-ES_tradnl"/>
        </w:rPr>
        <w:t>, numeral 4,</w:t>
      </w:r>
      <w:r w:rsidR="00B420B8" w:rsidRPr="0042283A">
        <w:rPr>
          <w:rFonts w:ascii="Arial" w:hAnsi="Arial" w:cs="Arial"/>
          <w:color w:val="000000" w:themeColor="text1"/>
          <w:sz w:val="22"/>
          <w:lang w:val="es-ES_tradnl"/>
        </w:rPr>
        <w:t xml:space="preserve"> del Decreto 399 de 2021</w:t>
      </w:r>
      <w:r w:rsidR="00637A68" w:rsidRPr="0042283A">
        <w:rPr>
          <w:rFonts w:ascii="Arial" w:hAnsi="Arial" w:cs="Arial"/>
          <w:color w:val="000000" w:themeColor="text1"/>
          <w:sz w:val="22"/>
          <w:lang w:val="es-ES_tradnl"/>
        </w:rPr>
        <w:t>:</w:t>
      </w:r>
      <w:r w:rsidR="007E18DF" w:rsidRPr="0042283A">
        <w:rPr>
          <w:rFonts w:ascii="Arial" w:hAnsi="Arial" w:cs="Arial"/>
          <w:color w:val="000000" w:themeColor="text1"/>
          <w:sz w:val="22"/>
          <w:lang w:val="es-ES_tradnl"/>
        </w:rPr>
        <w:t xml:space="preserve"> </w:t>
      </w:r>
    </w:p>
    <w:p w14:paraId="559EE20C" w14:textId="77777777" w:rsidR="00443B55" w:rsidRPr="0042283A" w:rsidRDefault="00443B55" w:rsidP="0099583D">
      <w:pPr>
        <w:spacing w:line="276" w:lineRule="auto"/>
        <w:jc w:val="both"/>
        <w:rPr>
          <w:rFonts w:ascii="Arial" w:hAnsi="Arial" w:cs="Arial"/>
          <w:color w:val="000000" w:themeColor="text1"/>
          <w:sz w:val="22"/>
          <w:lang w:val="es-ES_tradnl"/>
        </w:rPr>
      </w:pPr>
    </w:p>
    <w:p w14:paraId="033795E3" w14:textId="6F4C2C54" w:rsidR="00605712" w:rsidRPr="0042283A" w:rsidRDefault="00EE77D4" w:rsidP="00605712">
      <w:pPr>
        <w:ind w:left="709" w:right="709"/>
        <w:jc w:val="both"/>
        <w:rPr>
          <w:rFonts w:ascii="Arial" w:hAnsi="Arial" w:cs="Arial"/>
          <w:color w:val="000000" w:themeColor="text1"/>
          <w:sz w:val="21"/>
          <w:szCs w:val="21"/>
          <w:lang w:val="es-ES_tradnl"/>
        </w:rPr>
      </w:pPr>
      <w:r w:rsidRPr="0042283A">
        <w:rPr>
          <w:rFonts w:ascii="Arial" w:hAnsi="Arial" w:cs="Arial"/>
          <w:color w:val="000000" w:themeColor="text1"/>
          <w:sz w:val="21"/>
          <w:szCs w:val="21"/>
          <w:lang w:val="es-ES_tradnl"/>
        </w:rPr>
        <w:t>«</w:t>
      </w:r>
      <w:r w:rsidR="00605712" w:rsidRPr="0042283A">
        <w:rPr>
          <w:rFonts w:ascii="Arial" w:hAnsi="Arial" w:cs="Arial"/>
          <w:color w:val="000000" w:themeColor="text1"/>
          <w:sz w:val="21"/>
          <w:szCs w:val="21"/>
          <w:lang w:val="es-ES_tradnl"/>
        </w:rPr>
        <w:t xml:space="preserve">Teniendo en cuenta lo que reza la noma citada, a manera de ejemplo, el presupuesto de un contrato de </w:t>
      </w:r>
      <w:r w:rsidR="00622EA1" w:rsidRPr="0042283A">
        <w:rPr>
          <w:rFonts w:ascii="Arial" w:hAnsi="Arial" w:cs="Arial"/>
          <w:color w:val="000000" w:themeColor="text1"/>
          <w:sz w:val="21"/>
          <w:szCs w:val="21"/>
          <w:lang w:val="es-ES_tradnl"/>
        </w:rPr>
        <w:t>consultoría</w:t>
      </w:r>
      <w:r w:rsidR="00605712" w:rsidRPr="0042283A">
        <w:rPr>
          <w:rFonts w:ascii="Arial" w:hAnsi="Arial" w:cs="Arial"/>
          <w:color w:val="000000" w:themeColor="text1"/>
          <w:sz w:val="21"/>
          <w:szCs w:val="21"/>
          <w:lang w:val="es-ES_tradnl"/>
        </w:rPr>
        <w:t xml:space="preserve"> está compuesto principalmente por costos directos del personal que ejecutará las actividades de </w:t>
      </w:r>
      <w:r w:rsidR="00622EA1" w:rsidRPr="0042283A">
        <w:rPr>
          <w:rFonts w:ascii="Arial" w:hAnsi="Arial" w:cs="Arial"/>
          <w:color w:val="000000" w:themeColor="text1"/>
          <w:sz w:val="21"/>
          <w:szCs w:val="21"/>
          <w:lang w:val="es-ES_tradnl"/>
        </w:rPr>
        <w:t>consultoría</w:t>
      </w:r>
      <w:r w:rsidR="00605712" w:rsidRPr="0042283A">
        <w:rPr>
          <w:rFonts w:ascii="Arial" w:hAnsi="Arial" w:cs="Arial"/>
          <w:color w:val="000000" w:themeColor="text1"/>
          <w:sz w:val="21"/>
          <w:szCs w:val="21"/>
          <w:lang w:val="es-ES_tradnl"/>
        </w:rPr>
        <w:t xml:space="preserve"> contratadas. Dicho valor está </w:t>
      </w:r>
      <w:r w:rsidR="00622EA1" w:rsidRPr="0042283A">
        <w:rPr>
          <w:rFonts w:ascii="Arial" w:hAnsi="Arial" w:cs="Arial"/>
          <w:color w:val="000000" w:themeColor="text1"/>
          <w:sz w:val="21"/>
          <w:szCs w:val="21"/>
          <w:lang w:val="es-ES_tradnl"/>
        </w:rPr>
        <w:t>determinado</w:t>
      </w:r>
      <w:r w:rsidR="00605712" w:rsidRPr="0042283A">
        <w:rPr>
          <w:rFonts w:ascii="Arial" w:hAnsi="Arial" w:cs="Arial"/>
          <w:color w:val="000000" w:themeColor="text1"/>
          <w:sz w:val="21"/>
          <w:szCs w:val="21"/>
          <w:lang w:val="es-ES_tradnl"/>
        </w:rPr>
        <w:t xml:space="preserve"> por el personal requerido</w:t>
      </w:r>
      <w:r w:rsidR="00622EA1" w:rsidRPr="0042283A">
        <w:rPr>
          <w:rFonts w:ascii="Arial" w:hAnsi="Arial" w:cs="Arial"/>
          <w:color w:val="000000" w:themeColor="text1"/>
          <w:sz w:val="21"/>
          <w:szCs w:val="21"/>
          <w:lang w:val="es-ES_tradnl"/>
        </w:rPr>
        <w:t xml:space="preserve">, </w:t>
      </w:r>
      <w:r w:rsidR="00605712" w:rsidRPr="0042283A">
        <w:rPr>
          <w:rFonts w:ascii="Arial" w:hAnsi="Arial" w:cs="Arial"/>
          <w:color w:val="000000" w:themeColor="text1"/>
          <w:sz w:val="21"/>
          <w:szCs w:val="21"/>
          <w:lang w:val="es-ES_tradnl"/>
        </w:rPr>
        <w:t xml:space="preserve">cantidad, salario, </w:t>
      </w:r>
      <w:r w:rsidR="00622EA1" w:rsidRPr="0042283A">
        <w:rPr>
          <w:rFonts w:ascii="Arial" w:hAnsi="Arial" w:cs="Arial"/>
          <w:color w:val="000000" w:themeColor="text1"/>
          <w:sz w:val="21"/>
          <w:szCs w:val="21"/>
          <w:lang w:val="es-ES_tradnl"/>
        </w:rPr>
        <w:t>dedicación</w:t>
      </w:r>
      <w:r w:rsidR="00605712" w:rsidRPr="0042283A">
        <w:rPr>
          <w:rFonts w:ascii="Arial" w:hAnsi="Arial" w:cs="Arial"/>
          <w:color w:val="000000" w:themeColor="text1"/>
          <w:sz w:val="21"/>
          <w:szCs w:val="21"/>
          <w:lang w:val="es-ES_tradnl"/>
        </w:rPr>
        <w:t xml:space="preserve"> y el </w:t>
      </w:r>
      <w:r w:rsidR="000D405B" w:rsidRPr="0042283A">
        <w:rPr>
          <w:rFonts w:ascii="Arial" w:hAnsi="Arial" w:cs="Arial"/>
          <w:color w:val="000000" w:themeColor="text1"/>
          <w:sz w:val="21"/>
          <w:szCs w:val="21"/>
          <w:lang w:val="es-ES_tradnl"/>
        </w:rPr>
        <w:t>factor</w:t>
      </w:r>
      <w:r w:rsidR="00605712" w:rsidRPr="0042283A">
        <w:rPr>
          <w:rFonts w:ascii="Arial" w:hAnsi="Arial" w:cs="Arial"/>
          <w:color w:val="000000" w:themeColor="text1"/>
          <w:sz w:val="21"/>
          <w:szCs w:val="21"/>
          <w:lang w:val="es-ES_tradnl"/>
        </w:rPr>
        <w:t xml:space="preserve"> multiplicador calculado y definido por la entidad </w:t>
      </w:r>
      <w:r w:rsidR="000D405B" w:rsidRPr="0042283A">
        <w:rPr>
          <w:rFonts w:ascii="Arial" w:hAnsi="Arial" w:cs="Arial"/>
          <w:color w:val="000000" w:themeColor="text1"/>
          <w:sz w:val="21"/>
          <w:szCs w:val="21"/>
          <w:lang w:val="es-ES_tradnl"/>
        </w:rPr>
        <w:t>contratante.</w:t>
      </w:r>
    </w:p>
    <w:p w14:paraId="584D8E85" w14:textId="77777777" w:rsidR="000D405B" w:rsidRPr="0042283A" w:rsidRDefault="000D405B" w:rsidP="00605712">
      <w:pPr>
        <w:ind w:left="709" w:right="709"/>
        <w:jc w:val="both"/>
        <w:rPr>
          <w:rFonts w:ascii="Arial" w:hAnsi="Arial" w:cs="Arial"/>
          <w:color w:val="000000" w:themeColor="text1"/>
          <w:sz w:val="21"/>
          <w:szCs w:val="21"/>
          <w:lang w:val="es-ES_tradnl"/>
        </w:rPr>
      </w:pPr>
    </w:p>
    <w:p w14:paraId="323D8439" w14:textId="5759DCFF" w:rsidR="009F64E9" w:rsidRPr="0042283A" w:rsidRDefault="000D405B" w:rsidP="009F64E9">
      <w:pPr>
        <w:ind w:left="709" w:right="709"/>
        <w:jc w:val="both"/>
        <w:rPr>
          <w:rFonts w:ascii="Arial" w:hAnsi="Arial" w:cs="Arial"/>
          <w:color w:val="000000" w:themeColor="text1"/>
          <w:sz w:val="21"/>
          <w:szCs w:val="21"/>
          <w:lang w:val="es-ES_tradnl"/>
        </w:rPr>
      </w:pPr>
      <w:proofErr w:type="gramStart"/>
      <w:r w:rsidRPr="0042283A">
        <w:rPr>
          <w:rFonts w:ascii="Arial" w:hAnsi="Arial" w:cs="Arial"/>
          <w:color w:val="000000" w:themeColor="text1"/>
          <w:sz w:val="21"/>
          <w:szCs w:val="21"/>
          <w:lang w:val="es-ES_tradnl"/>
        </w:rPr>
        <w:lastRenderedPageBreak/>
        <w:t>»</w:t>
      </w:r>
      <w:r w:rsidR="00605712" w:rsidRPr="0042283A">
        <w:rPr>
          <w:rFonts w:ascii="Arial" w:hAnsi="Arial" w:cs="Arial"/>
          <w:color w:val="000000" w:themeColor="text1"/>
          <w:sz w:val="21"/>
          <w:szCs w:val="21"/>
          <w:lang w:val="es-ES_tradnl"/>
        </w:rPr>
        <w:t>En</w:t>
      </w:r>
      <w:proofErr w:type="gramEnd"/>
      <w:r w:rsidR="00605712" w:rsidRPr="0042283A">
        <w:rPr>
          <w:rFonts w:ascii="Arial" w:hAnsi="Arial" w:cs="Arial"/>
          <w:color w:val="000000" w:themeColor="text1"/>
          <w:sz w:val="21"/>
          <w:szCs w:val="21"/>
          <w:lang w:val="es-ES_tradnl"/>
        </w:rPr>
        <w:t xml:space="preserve"> este orden de ideas, y de acuerdo con lo establecido en el numeral 4 del </w:t>
      </w:r>
      <w:r w:rsidRPr="0042283A">
        <w:rPr>
          <w:rFonts w:ascii="Arial" w:hAnsi="Arial" w:cs="Arial"/>
          <w:color w:val="000000" w:themeColor="text1"/>
          <w:sz w:val="21"/>
          <w:szCs w:val="21"/>
          <w:lang w:val="es-ES_tradnl"/>
        </w:rPr>
        <w:t>artículo</w:t>
      </w:r>
      <w:r w:rsidR="00605712" w:rsidRPr="0042283A">
        <w:rPr>
          <w:rFonts w:ascii="Arial" w:hAnsi="Arial" w:cs="Arial"/>
          <w:color w:val="000000" w:themeColor="text1"/>
          <w:sz w:val="21"/>
          <w:szCs w:val="21"/>
          <w:lang w:val="es-ES_tradnl"/>
        </w:rPr>
        <w:t xml:space="preserve"> 1 del Decreto indicado en el asunto, </w:t>
      </w:r>
      <w:r w:rsidR="009F64E9" w:rsidRPr="0042283A">
        <w:rPr>
          <w:rFonts w:ascii="Arial" w:hAnsi="Arial" w:cs="Arial"/>
          <w:color w:val="000000" w:themeColor="text1"/>
          <w:sz w:val="21"/>
          <w:szCs w:val="21"/>
          <w:lang w:val="es-ES_tradnl"/>
        </w:rPr>
        <w:t>formulo</w:t>
      </w:r>
      <w:r w:rsidR="00605712" w:rsidRPr="0042283A">
        <w:rPr>
          <w:rFonts w:ascii="Arial" w:hAnsi="Arial" w:cs="Arial"/>
          <w:color w:val="000000" w:themeColor="text1"/>
          <w:sz w:val="21"/>
          <w:szCs w:val="21"/>
          <w:lang w:val="es-ES_tradnl"/>
        </w:rPr>
        <w:t xml:space="preserve"> a la Agencia las siguientes consultas con respecto a la </w:t>
      </w:r>
      <w:r w:rsidR="009F64E9" w:rsidRPr="0042283A">
        <w:rPr>
          <w:rFonts w:ascii="Arial" w:hAnsi="Arial" w:cs="Arial"/>
          <w:color w:val="000000" w:themeColor="text1"/>
          <w:sz w:val="21"/>
          <w:szCs w:val="21"/>
          <w:lang w:val="es-ES_tradnl"/>
        </w:rPr>
        <w:t>interpretación</w:t>
      </w:r>
      <w:r w:rsidR="00605712" w:rsidRPr="0042283A">
        <w:rPr>
          <w:rFonts w:ascii="Arial" w:hAnsi="Arial" w:cs="Arial"/>
          <w:color w:val="000000" w:themeColor="text1"/>
          <w:sz w:val="21"/>
          <w:szCs w:val="21"/>
          <w:lang w:val="es-ES_tradnl"/>
        </w:rPr>
        <w:t xml:space="preserve"> de la no</w:t>
      </w:r>
      <w:r w:rsidR="002E5E4F" w:rsidRPr="0042283A">
        <w:rPr>
          <w:rFonts w:ascii="Arial" w:hAnsi="Arial" w:cs="Arial"/>
          <w:color w:val="000000" w:themeColor="text1"/>
          <w:sz w:val="21"/>
          <w:szCs w:val="21"/>
          <w:lang w:val="es-ES_tradnl"/>
        </w:rPr>
        <w:t>r</w:t>
      </w:r>
      <w:r w:rsidR="00605712" w:rsidRPr="0042283A">
        <w:rPr>
          <w:rFonts w:ascii="Arial" w:hAnsi="Arial" w:cs="Arial"/>
          <w:color w:val="000000" w:themeColor="text1"/>
          <w:sz w:val="21"/>
          <w:szCs w:val="21"/>
          <w:lang w:val="es-ES_tradnl"/>
        </w:rPr>
        <w:t>ma:</w:t>
      </w:r>
    </w:p>
    <w:p w14:paraId="73721337" w14:textId="77777777" w:rsidR="009F64E9" w:rsidRPr="0042283A" w:rsidRDefault="009F64E9" w:rsidP="009F64E9">
      <w:pPr>
        <w:ind w:left="709" w:right="709"/>
        <w:jc w:val="both"/>
        <w:rPr>
          <w:rFonts w:ascii="Arial" w:hAnsi="Arial" w:cs="Arial"/>
          <w:color w:val="000000" w:themeColor="text1"/>
          <w:sz w:val="21"/>
          <w:szCs w:val="21"/>
          <w:lang w:val="es-ES_tradnl"/>
        </w:rPr>
      </w:pPr>
    </w:p>
    <w:p w14:paraId="27D497A0" w14:textId="07CCD09F" w:rsidR="00605712" w:rsidRPr="0042283A" w:rsidRDefault="008B4E4C" w:rsidP="007021B7">
      <w:pPr>
        <w:ind w:left="709" w:right="709"/>
        <w:jc w:val="both"/>
        <w:rPr>
          <w:rFonts w:ascii="Arial" w:hAnsi="Arial" w:cs="Arial"/>
          <w:color w:val="000000" w:themeColor="text1"/>
          <w:sz w:val="21"/>
          <w:szCs w:val="21"/>
          <w:lang w:val="es-ES_tradnl"/>
        </w:rPr>
      </w:pPr>
      <w:r w:rsidRPr="0042283A">
        <w:rPr>
          <w:rFonts w:ascii="Arial" w:hAnsi="Arial" w:cs="Arial"/>
          <w:color w:val="000000" w:themeColor="text1"/>
          <w:sz w:val="21"/>
          <w:szCs w:val="21"/>
          <w:lang w:val="es-ES_tradnl"/>
        </w:rPr>
        <w:t>»</w:t>
      </w:r>
      <w:r w:rsidR="009F64E9" w:rsidRPr="0042283A">
        <w:rPr>
          <w:rFonts w:ascii="Arial" w:hAnsi="Arial" w:cs="Arial"/>
          <w:color w:val="000000" w:themeColor="text1"/>
          <w:sz w:val="21"/>
          <w:szCs w:val="21"/>
          <w:lang w:val="es-ES_tradnl"/>
        </w:rPr>
        <w:t xml:space="preserve">- </w:t>
      </w:r>
      <w:r w:rsidR="00605712" w:rsidRPr="0042283A">
        <w:rPr>
          <w:rFonts w:ascii="Arial" w:hAnsi="Arial" w:cs="Arial"/>
          <w:color w:val="000000" w:themeColor="text1"/>
          <w:sz w:val="21"/>
          <w:szCs w:val="21"/>
          <w:lang w:val="es-ES_tradnl"/>
        </w:rPr>
        <w:t xml:space="preserve">¿Es viable que una entidad estatal que adelanta un concurso de </w:t>
      </w:r>
      <w:r w:rsidR="009F64E9" w:rsidRPr="0042283A">
        <w:rPr>
          <w:rFonts w:ascii="Arial" w:hAnsi="Arial" w:cs="Arial"/>
          <w:color w:val="000000" w:themeColor="text1"/>
          <w:sz w:val="21"/>
          <w:szCs w:val="21"/>
          <w:lang w:val="es-ES_tradnl"/>
        </w:rPr>
        <w:t>méritos</w:t>
      </w:r>
      <w:r w:rsidR="00605712" w:rsidRPr="0042283A">
        <w:rPr>
          <w:rFonts w:ascii="Arial" w:hAnsi="Arial" w:cs="Arial"/>
          <w:color w:val="000000" w:themeColor="text1"/>
          <w:sz w:val="21"/>
          <w:szCs w:val="21"/>
          <w:lang w:val="es-ES_tradnl"/>
        </w:rPr>
        <w:t xml:space="preserve"> para actividades de </w:t>
      </w:r>
      <w:r w:rsidR="009F64E9" w:rsidRPr="0042283A">
        <w:rPr>
          <w:rFonts w:ascii="Arial" w:hAnsi="Arial" w:cs="Arial"/>
          <w:color w:val="000000" w:themeColor="text1"/>
          <w:sz w:val="21"/>
          <w:szCs w:val="21"/>
          <w:lang w:val="es-ES_tradnl"/>
        </w:rPr>
        <w:t>consultoría</w:t>
      </w:r>
      <w:r w:rsidR="004F5A24" w:rsidRPr="0042283A">
        <w:rPr>
          <w:rFonts w:ascii="Arial" w:hAnsi="Arial" w:cs="Arial"/>
          <w:color w:val="000000" w:themeColor="text1"/>
          <w:sz w:val="21"/>
          <w:szCs w:val="21"/>
          <w:lang w:val="es-ES_tradnl"/>
        </w:rPr>
        <w:t xml:space="preserve"> </w:t>
      </w:r>
      <w:r w:rsidR="00605712" w:rsidRPr="0042283A">
        <w:rPr>
          <w:rFonts w:ascii="Arial" w:hAnsi="Arial" w:cs="Arial"/>
          <w:color w:val="000000" w:themeColor="text1"/>
          <w:sz w:val="21"/>
          <w:szCs w:val="21"/>
          <w:lang w:val="es-ES_tradnl"/>
        </w:rPr>
        <w:t xml:space="preserve">se niegue a discriminar la </w:t>
      </w:r>
      <w:r w:rsidR="004F5A24" w:rsidRPr="0042283A">
        <w:rPr>
          <w:rFonts w:ascii="Arial" w:hAnsi="Arial" w:cs="Arial"/>
          <w:color w:val="000000" w:themeColor="text1"/>
          <w:sz w:val="21"/>
          <w:szCs w:val="21"/>
          <w:lang w:val="es-ES_tradnl"/>
        </w:rPr>
        <w:t>forma</w:t>
      </w:r>
      <w:r w:rsidR="00605712" w:rsidRPr="0042283A">
        <w:rPr>
          <w:rFonts w:ascii="Arial" w:hAnsi="Arial" w:cs="Arial"/>
          <w:color w:val="000000" w:themeColor="text1"/>
          <w:sz w:val="21"/>
          <w:szCs w:val="21"/>
          <w:lang w:val="es-ES_tradnl"/>
        </w:rPr>
        <w:t xml:space="preserve"> en la que calculó el valor de una o de varias de las actividades de </w:t>
      </w:r>
      <w:r w:rsidR="004F5A24" w:rsidRPr="0042283A">
        <w:rPr>
          <w:rFonts w:ascii="Arial" w:hAnsi="Arial" w:cs="Arial"/>
          <w:color w:val="000000" w:themeColor="text1"/>
          <w:sz w:val="21"/>
          <w:szCs w:val="21"/>
          <w:lang w:val="es-ES_tradnl"/>
        </w:rPr>
        <w:t>consultoría</w:t>
      </w:r>
      <w:r w:rsidR="00605712" w:rsidRPr="0042283A">
        <w:rPr>
          <w:rFonts w:ascii="Arial" w:hAnsi="Arial" w:cs="Arial"/>
          <w:color w:val="000000" w:themeColor="text1"/>
          <w:sz w:val="21"/>
          <w:szCs w:val="21"/>
          <w:lang w:val="es-ES_tradnl"/>
        </w:rPr>
        <w:t xml:space="preserve"> requeridas en el objeto del contrato bajo la premisa de que esa o esas actividades no son</w:t>
      </w:r>
      <w:r w:rsidR="004F5A24" w:rsidRPr="0042283A">
        <w:rPr>
          <w:rFonts w:ascii="Arial" w:hAnsi="Arial" w:cs="Arial"/>
          <w:color w:val="000000" w:themeColor="text1"/>
          <w:sz w:val="21"/>
          <w:szCs w:val="21"/>
          <w:lang w:val="es-ES_tradnl"/>
        </w:rPr>
        <w:t xml:space="preserve"> </w:t>
      </w:r>
      <w:r w:rsidR="00605712" w:rsidRPr="0042283A">
        <w:rPr>
          <w:rFonts w:ascii="Arial" w:hAnsi="Arial" w:cs="Arial"/>
          <w:color w:val="000000" w:themeColor="text1"/>
          <w:sz w:val="21"/>
          <w:szCs w:val="21"/>
          <w:lang w:val="es-ES_tradnl"/>
        </w:rPr>
        <w:t xml:space="preserve">precios unitarios sino unos </w:t>
      </w:r>
      <w:r w:rsidR="007021B7" w:rsidRPr="0042283A">
        <w:rPr>
          <w:rFonts w:ascii="Arial" w:hAnsi="Arial" w:cs="Arial"/>
          <w:color w:val="000000" w:themeColor="text1"/>
          <w:sz w:val="21"/>
          <w:szCs w:val="21"/>
          <w:lang w:val="es-ES_tradnl"/>
        </w:rPr>
        <w:t xml:space="preserve">“productos técnicos entregables”, </w:t>
      </w:r>
      <w:r w:rsidR="00605712" w:rsidRPr="0042283A">
        <w:rPr>
          <w:rFonts w:ascii="Arial" w:hAnsi="Arial" w:cs="Arial"/>
          <w:color w:val="000000" w:themeColor="text1"/>
          <w:sz w:val="21"/>
          <w:szCs w:val="21"/>
          <w:lang w:val="es-ES_tradnl"/>
        </w:rPr>
        <w:t>por dar</w:t>
      </w:r>
      <w:r w:rsidR="007021B7" w:rsidRPr="0042283A">
        <w:rPr>
          <w:rFonts w:ascii="Arial" w:hAnsi="Arial" w:cs="Arial"/>
          <w:color w:val="000000" w:themeColor="text1"/>
          <w:sz w:val="21"/>
          <w:szCs w:val="21"/>
          <w:lang w:val="es-ES_tradnl"/>
        </w:rPr>
        <w:t>l</w:t>
      </w:r>
      <w:r w:rsidR="00605712" w:rsidRPr="0042283A">
        <w:rPr>
          <w:rFonts w:ascii="Arial" w:hAnsi="Arial" w:cs="Arial"/>
          <w:color w:val="000000" w:themeColor="text1"/>
          <w:sz w:val="21"/>
          <w:szCs w:val="21"/>
          <w:lang w:val="es-ES_tradnl"/>
        </w:rPr>
        <w:t xml:space="preserve">e alguna </w:t>
      </w:r>
      <w:r w:rsidR="007021B7" w:rsidRPr="0042283A">
        <w:rPr>
          <w:rFonts w:ascii="Arial" w:hAnsi="Arial" w:cs="Arial"/>
          <w:color w:val="000000" w:themeColor="text1"/>
          <w:sz w:val="21"/>
          <w:szCs w:val="21"/>
          <w:lang w:val="es-ES_tradnl"/>
        </w:rPr>
        <w:t>denominación</w:t>
      </w:r>
      <w:r w:rsidR="00605712" w:rsidRPr="0042283A">
        <w:rPr>
          <w:rFonts w:ascii="Arial" w:hAnsi="Arial" w:cs="Arial"/>
          <w:color w:val="000000" w:themeColor="text1"/>
          <w:sz w:val="21"/>
          <w:szCs w:val="21"/>
          <w:lang w:val="es-ES_tradnl"/>
        </w:rPr>
        <w:t xml:space="preserve"> diferente a la de precio unitario, y de esta forma obviar</w:t>
      </w:r>
      <w:r w:rsidR="007021B7" w:rsidRPr="0042283A">
        <w:rPr>
          <w:rFonts w:ascii="Arial" w:hAnsi="Arial" w:cs="Arial"/>
          <w:color w:val="000000" w:themeColor="text1"/>
          <w:sz w:val="21"/>
          <w:szCs w:val="21"/>
          <w:lang w:val="es-ES_tradnl"/>
        </w:rPr>
        <w:t xml:space="preserve"> lo </w:t>
      </w:r>
      <w:r w:rsidR="00605712" w:rsidRPr="0042283A">
        <w:rPr>
          <w:rFonts w:ascii="Arial" w:hAnsi="Arial" w:cs="Arial"/>
          <w:color w:val="000000" w:themeColor="text1"/>
          <w:sz w:val="21"/>
          <w:szCs w:val="21"/>
          <w:lang w:val="es-ES_tradnl"/>
        </w:rPr>
        <w:t>establecido en el Decreto 399 con respecto a justificar o</w:t>
      </w:r>
      <w:r w:rsidR="007021B7" w:rsidRPr="0042283A">
        <w:rPr>
          <w:rFonts w:ascii="Arial" w:hAnsi="Arial" w:cs="Arial"/>
          <w:color w:val="000000" w:themeColor="text1"/>
          <w:sz w:val="21"/>
          <w:szCs w:val="21"/>
          <w:lang w:val="es-ES_tradnl"/>
        </w:rPr>
        <w:t xml:space="preserve"> </w:t>
      </w:r>
      <w:r w:rsidR="00605712" w:rsidRPr="0042283A">
        <w:rPr>
          <w:rFonts w:ascii="Arial" w:hAnsi="Arial" w:cs="Arial"/>
          <w:color w:val="000000" w:themeColor="text1"/>
          <w:sz w:val="21"/>
          <w:szCs w:val="21"/>
          <w:lang w:val="es-ES_tradnl"/>
        </w:rPr>
        <w:t xml:space="preserve">discriminar las variables con las construyó el precio o el valor de esa o esas actividades de </w:t>
      </w:r>
      <w:r w:rsidR="00102C4D" w:rsidRPr="0042283A">
        <w:rPr>
          <w:rFonts w:ascii="Arial" w:hAnsi="Arial" w:cs="Arial"/>
          <w:color w:val="000000" w:themeColor="text1"/>
          <w:sz w:val="21"/>
          <w:szCs w:val="21"/>
          <w:lang w:val="es-ES_tradnl"/>
        </w:rPr>
        <w:t>consultoría</w:t>
      </w:r>
      <w:r w:rsidR="00605712" w:rsidRPr="0042283A">
        <w:rPr>
          <w:rFonts w:ascii="Arial" w:hAnsi="Arial" w:cs="Arial"/>
          <w:color w:val="000000" w:themeColor="text1"/>
          <w:sz w:val="21"/>
          <w:szCs w:val="21"/>
          <w:lang w:val="es-ES_tradnl"/>
        </w:rPr>
        <w:t>?</w:t>
      </w:r>
      <w:r w:rsidRPr="0042283A">
        <w:rPr>
          <w:rFonts w:ascii="Arial" w:hAnsi="Arial" w:cs="Arial"/>
          <w:color w:val="000000" w:themeColor="text1"/>
          <w:sz w:val="21"/>
          <w:szCs w:val="21"/>
          <w:lang w:val="es-ES_tradnl"/>
        </w:rPr>
        <w:t xml:space="preserve"> (sic)</w:t>
      </w:r>
    </w:p>
    <w:p w14:paraId="50ABFCF5" w14:textId="77777777" w:rsidR="00102C4D" w:rsidRPr="0042283A" w:rsidRDefault="00102C4D" w:rsidP="00605712">
      <w:pPr>
        <w:ind w:left="709" w:right="709"/>
        <w:jc w:val="both"/>
        <w:rPr>
          <w:rFonts w:ascii="Arial" w:hAnsi="Arial" w:cs="Arial"/>
          <w:color w:val="000000" w:themeColor="text1"/>
          <w:sz w:val="21"/>
          <w:szCs w:val="21"/>
          <w:lang w:val="es-ES_tradnl"/>
        </w:rPr>
      </w:pPr>
    </w:p>
    <w:p w14:paraId="3C3DA98F" w14:textId="4EAF1920" w:rsidR="00605712" w:rsidRPr="0042283A" w:rsidRDefault="00B24358" w:rsidP="00D44791">
      <w:pPr>
        <w:ind w:left="709" w:right="709"/>
        <w:jc w:val="both"/>
        <w:rPr>
          <w:rFonts w:ascii="Arial" w:hAnsi="Arial" w:cs="Arial"/>
          <w:color w:val="000000" w:themeColor="text1"/>
          <w:sz w:val="21"/>
          <w:szCs w:val="21"/>
          <w:lang w:val="es-ES_tradnl"/>
        </w:rPr>
      </w:pPr>
      <w:r w:rsidRPr="0042283A">
        <w:rPr>
          <w:rFonts w:ascii="Arial" w:hAnsi="Arial" w:cs="Arial"/>
          <w:color w:val="000000" w:themeColor="text1"/>
          <w:sz w:val="21"/>
          <w:szCs w:val="21"/>
          <w:lang w:val="es-ES_tradnl"/>
        </w:rPr>
        <w:t>»</w:t>
      </w:r>
      <w:r w:rsidR="00102C4D" w:rsidRPr="0042283A">
        <w:rPr>
          <w:rFonts w:ascii="Arial" w:hAnsi="Arial" w:cs="Arial"/>
          <w:color w:val="000000" w:themeColor="text1"/>
          <w:sz w:val="21"/>
          <w:szCs w:val="21"/>
          <w:lang w:val="es-ES_tradnl"/>
        </w:rPr>
        <w:t xml:space="preserve">- </w:t>
      </w:r>
      <w:r w:rsidR="00605712" w:rsidRPr="0042283A">
        <w:rPr>
          <w:rFonts w:ascii="Arial" w:hAnsi="Arial" w:cs="Arial"/>
          <w:color w:val="000000" w:themeColor="text1"/>
          <w:sz w:val="21"/>
          <w:szCs w:val="21"/>
          <w:lang w:val="es-ES_tradnl"/>
        </w:rPr>
        <w:t xml:space="preserve">Para el caso de un contrato de </w:t>
      </w:r>
      <w:r w:rsidR="00102C4D" w:rsidRPr="0042283A">
        <w:rPr>
          <w:rFonts w:ascii="Arial" w:hAnsi="Arial" w:cs="Arial"/>
          <w:color w:val="000000" w:themeColor="text1"/>
          <w:sz w:val="21"/>
          <w:szCs w:val="21"/>
          <w:lang w:val="es-ES_tradnl"/>
        </w:rPr>
        <w:t>consultoría</w:t>
      </w:r>
      <w:r w:rsidR="00605712" w:rsidRPr="0042283A">
        <w:rPr>
          <w:rFonts w:ascii="Arial" w:hAnsi="Arial" w:cs="Arial"/>
          <w:color w:val="000000" w:themeColor="text1"/>
          <w:sz w:val="21"/>
          <w:szCs w:val="21"/>
          <w:lang w:val="es-ES_tradnl"/>
        </w:rPr>
        <w:t xml:space="preserve">, ¿bajó qué condiciones una entidad estatal </w:t>
      </w:r>
      <w:r w:rsidR="00102C4D" w:rsidRPr="0042283A">
        <w:rPr>
          <w:rFonts w:ascii="Arial" w:hAnsi="Arial" w:cs="Arial"/>
          <w:color w:val="000000" w:themeColor="text1"/>
          <w:sz w:val="21"/>
          <w:szCs w:val="21"/>
          <w:lang w:val="es-ES_tradnl"/>
        </w:rPr>
        <w:t>podría</w:t>
      </w:r>
      <w:r w:rsidR="00605712" w:rsidRPr="0042283A">
        <w:rPr>
          <w:rFonts w:ascii="Arial" w:hAnsi="Arial" w:cs="Arial"/>
          <w:color w:val="000000" w:themeColor="text1"/>
          <w:sz w:val="21"/>
          <w:szCs w:val="21"/>
          <w:lang w:val="es-ES_tradnl"/>
        </w:rPr>
        <w:t xml:space="preserve"> argumentar</w:t>
      </w:r>
      <w:r w:rsidR="00D44791" w:rsidRPr="0042283A">
        <w:rPr>
          <w:rFonts w:ascii="Arial" w:hAnsi="Arial" w:cs="Arial"/>
          <w:color w:val="000000" w:themeColor="text1"/>
          <w:sz w:val="21"/>
          <w:szCs w:val="21"/>
          <w:lang w:val="es-ES_tradnl"/>
        </w:rPr>
        <w:t xml:space="preserve"> </w:t>
      </w:r>
      <w:r w:rsidR="00605712" w:rsidRPr="0042283A">
        <w:rPr>
          <w:rFonts w:ascii="Arial" w:hAnsi="Arial" w:cs="Arial"/>
          <w:color w:val="000000" w:themeColor="text1"/>
          <w:sz w:val="21"/>
          <w:szCs w:val="21"/>
          <w:lang w:val="es-ES_tradnl"/>
        </w:rPr>
        <w:t xml:space="preserve">que no la cobija el numeral 4 del </w:t>
      </w:r>
      <w:r w:rsidR="00D44791" w:rsidRPr="0042283A">
        <w:rPr>
          <w:rFonts w:ascii="Arial" w:hAnsi="Arial" w:cs="Arial"/>
          <w:color w:val="000000" w:themeColor="text1"/>
          <w:sz w:val="21"/>
          <w:szCs w:val="21"/>
          <w:lang w:val="es-ES_tradnl"/>
        </w:rPr>
        <w:t>artículo</w:t>
      </w:r>
      <w:r w:rsidR="00605712" w:rsidRPr="0042283A">
        <w:rPr>
          <w:rFonts w:ascii="Arial" w:hAnsi="Arial" w:cs="Arial"/>
          <w:color w:val="000000" w:themeColor="text1"/>
          <w:sz w:val="21"/>
          <w:szCs w:val="21"/>
          <w:lang w:val="es-ES_tradnl"/>
        </w:rPr>
        <w:t xml:space="preserve"> 1 del Decreto 399 de 2021 y que, en consecuencia, no debe</w:t>
      </w:r>
      <w:r w:rsidR="00D44791" w:rsidRPr="0042283A">
        <w:rPr>
          <w:rFonts w:ascii="Arial" w:hAnsi="Arial" w:cs="Arial"/>
          <w:color w:val="000000" w:themeColor="text1"/>
          <w:sz w:val="21"/>
          <w:szCs w:val="21"/>
          <w:lang w:val="es-ES_tradnl"/>
        </w:rPr>
        <w:t xml:space="preserve"> </w:t>
      </w:r>
      <w:r w:rsidR="00605712" w:rsidRPr="0042283A">
        <w:rPr>
          <w:rFonts w:ascii="Arial" w:hAnsi="Arial" w:cs="Arial"/>
          <w:color w:val="000000" w:themeColor="text1"/>
          <w:sz w:val="21"/>
          <w:szCs w:val="21"/>
          <w:lang w:val="es-ES_tradnl"/>
        </w:rPr>
        <w:t xml:space="preserve">publicar los </w:t>
      </w:r>
      <w:r w:rsidR="00D44791" w:rsidRPr="0042283A">
        <w:rPr>
          <w:rFonts w:ascii="Arial" w:hAnsi="Arial" w:cs="Arial"/>
          <w:color w:val="000000" w:themeColor="text1"/>
          <w:sz w:val="21"/>
          <w:szCs w:val="21"/>
          <w:lang w:val="es-ES_tradnl"/>
        </w:rPr>
        <w:t>cálculos</w:t>
      </w:r>
      <w:r w:rsidR="00605712" w:rsidRPr="0042283A">
        <w:rPr>
          <w:rFonts w:ascii="Arial" w:hAnsi="Arial" w:cs="Arial"/>
          <w:color w:val="000000" w:themeColor="text1"/>
          <w:sz w:val="21"/>
          <w:szCs w:val="21"/>
          <w:lang w:val="es-ES_tradnl"/>
        </w:rPr>
        <w:t xml:space="preserve"> y estimaciones que empleó para la </w:t>
      </w:r>
      <w:r w:rsidR="00D44791" w:rsidRPr="0042283A">
        <w:rPr>
          <w:rFonts w:ascii="Arial" w:hAnsi="Arial" w:cs="Arial"/>
          <w:color w:val="000000" w:themeColor="text1"/>
          <w:sz w:val="21"/>
          <w:szCs w:val="21"/>
          <w:lang w:val="es-ES_tradnl"/>
        </w:rPr>
        <w:t>determinación</w:t>
      </w:r>
      <w:r w:rsidR="00605712" w:rsidRPr="0042283A">
        <w:rPr>
          <w:rFonts w:ascii="Arial" w:hAnsi="Arial" w:cs="Arial"/>
          <w:color w:val="000000" w:themeColor="text1"/>
          <w:sz w:val="21"/>
          <w:szCs w:val="21"/>
          <w:lang w:val="es-ES_tradnl"/>
        </w:rPr>
        <w:t xml:space="preserve"> del valor de las actividades de </w:t>
      </w:r>
      <w:r w:rsidR="00D44791" w:rsidRPr="0042283A">
        <w:rPr>
          <w:rFonts w:ascii="Arial" w:hAnsi="Arial" w:cs="Arial"/>
          <w:color w:val="000000" w:themeColor="text1"/>
          <w:sz w:val="21"/>
          <w:szCs w:val="21"/>
          <w:lang w:val="es-ES_tradnl"/>
        </w:rPr>
        <w:t>consultoría</w:t>
      </w:r>
      <w:r w:rsidR="00605712" w:rsidRPr="0042283A">
        <w:rPr>
          <w:rFonts w:ascii="Arial" w:hAnsi="Arial" w:cs="Arial"/>
          <w:color w:val="000000" w:themeColor="text1"/>
          <w:sz w:val="21"/>
          <w:szCs w:val="21"/>
          <w:lang w:val="es-ES_tradnl"/>
        </w:rPr>
        <w:t>?</w:t>
      </w:r>
    </w:p>
    <w:p w14:paraId="4647F3DC" w14:textId="77777777" w:rsidR="00D44791" w:rsidRPr="0042283A" w:rsidRDefault="00D44791" w:rsidP="00605712">
      <w:pPr>
        <w:ind w:left="709" w:right="709"/>
        <w:jc w:val="both"/>
        <w:rPr>
          <w:rFonts w:ascii="Arial" w:hAnsi="Arial" w:cs="Arial"/>
          <w:color w:val="000000" w:themeColor="text1"/>
          <w:sz w:val="21"/>
          <w:szCs w:val="21"/>
          <w:lang w:val="es-ES_tradnl"/>
        </w:rPr>
      </w:pPr>
    </w:p>
    <w:p w14:paraId="7E424C46" w14:textId="2E63C9C0" w:rsidR="00285600" w:rsidRPr="0042283A" w:rsidRDefault="00B24358" w:rsidP="00605712">
      <w:pPr>
        <w:ind w:left="709" w:right="709"/>
        <w:jc w:val="both"/>
        <w:rPr>
          <w:rFonts w:ascii="Arial" w:hAnsi="Arial" w:cs="Arial"/>
          <w:color w:val="000000" w:themeColor="text1"/>
          <w:sz w:val="21"/>
          <w:szCs w:val="21"/>
          <w:lang w:val="es-ES_tradnl"/>
        </w:rPr>
      </w:pPr>
      <w:proofErr w:type="gramStart"/>
      <w:r w:rsidRPr="0042283A">
        <w:rPr>
          <w:rFonts w:ascii="Arial" w:hAnsi="Arial" w:cs="Arial"/>
          <w:color w:val="000000" w:themeColor="text1"/>
          <w:sz w:val="21"/>
          <w:szCs w:val="21"/>
          <w:lang w:val="es-ES_tradnl"/>
        </w:rPr>
        <w:t>»</w:t>
      </w:r>
      <w:r w:rsidR="00605712" w:rsidRPr="0042283A">
        <w:rPr>
          <w:rFonts w:ascii="Arial" w:hAnsi="Arial" w:cs="Arial"/>
          <w:color w:val="000000" w:themeColor="text1"/>
          <w:sz w:val="21"/>
          <w:szCs w:val="21"/>
          <w:lang w:val="es-ES_tradnl"/>
        </w:rPr>
        <w:t>Con</w:t>
      </w:r>
      <w:proofErr w:type="gramEnd"/>
      <w:r w:rsidR="00605712" w:rsidRPr="0042283A">
        <w:rPr>
          <w:rFonts w:ascii="Arial" w:hAnsi="Arial" w:cs="Arial"/>
          <w:color w:val="000000" w:themeColor="text1"/>
          <w:sz w:val="21"/>
          <w:szCs w:val="21"/>
          <w:lang w:val="es-ES_tradnl"/>
        </w:rPr>
        <w:t xml:space="preserve"> base en las preguntas </w:t>
      </w:r>
      <w:r w:rsidR="00D44791" w:rsidRPr="0042283A">
        <w:rPr>
          <w:rFonts w:ascii="Arial" w:hAnsi="Arial" w:cs="Arial"/>
          <w:color w:val="000000" w:themeColor="text1"/>
          <w:sz w:val="21"/>
          <w:szCs w:val="21"/>
          <w:lang w:val="es-ES_tradnl"/>
        </w:rPr>
        <w:t>formuladas</w:t>
      </w:r>
      <w:r w:rsidR="00605712" w:rsidRPr="0042283A">
        <w:rPr>
          <w:rFonts w:ascii="Arial" w:hAnsi="Arial" w:cs="Arial"/>
          <w:color w:val="000000" w:themeColor="text1"/>
          <w:sz w:val="21"/>
          <w:szCs w:val="21"/>
          <w:lang w:val="es-ES_tradnl"/>
        </w:rPr>
        <w:t xml:space="preserve"> </w:t>
      </w:r>
      <w:r w:rsidR="00D44791" w:rsidRPr="0042283A">
        <w:rPr>
          <w:rFonts w:ascii="Arial" w:hAnsi="Arial" w:cs="Arial"/>
          <w:color w:val="000000" w:themeColor="text1"/>
          <w:sz w:val="21"/>
          <w:szCs w:val="21"/>
          <w:lang w:val="es-ES_tradnl"/>
        </w:rPr>
        <w:t>anteriormente</w:t>
      </w:r>
      <w:r w:rsidR="00605712" w:rsidRPr="0042283A">
        <w:rPr>
          <w:rFonts w:ascii="Arial" w:hAnsi="Arial" w:cs="Arial"/>
          <w:color w:val="000000" w:themeColor="text1"/>
          <w:sz w:val="21"/>
          <w:szCs w:val="21"/>
          <w:lang w:val="es-ES_tradnl"/>
        </w:rPr>
        <w:t xml:space="preserve">, solicito a la Agencia Nacional de </w:t>
      </w:r>
      <w:r w:rsidR="00D44791" w:rsidRPr="0042283A">
        <w:rPr>
          <w:rFonts w:ascii="Arial" w:hAnsi="Arial" w:cs="Arial"/>
          <w:color w:val="000000" w:themeColor="text1"/>
          <w:sz w:val="21"/>
          <w:szCs w:val="21"/>
          <w:lang w:val="es-ES_tradnl"/>
        </w:rPr>
        <w:t>Contratación</w:t>
      </w:r>
      <w:r w:rsidR="00605712" w:rsidRPr="0042283A">
        <w:rPr>
          <w:rFonts w:ascii="Arial" w:hAnsi="Arial" w:cs="Arial"/>
          <w:color w:val="000000" w:themeColor="text1"/>
          <w:sz w:val="21"/>
          <w:szCs w:val="21"/>
          <w:lang w:val="es-ES_tradnl"/>
        </w:rPr>
        <w:t xml:space="preserve"> </w:t>
      </w:r>
      <w:r w:rsidR="00D44791" w:rsidRPr="0042283A">
        <w:rPr>
          <w:rFonts w:ascii="Arial" w:hAnsi="Arial" w:cs="Arial"/>
          <w:color w:val="000000" w:themeColor="text1"/>
          <w:sz w:val="21"/>
          <w:szCs w:val="21"/>
          <w:lang w:val="es-ES_tradnl"/>
        </w:rPr>
        <w:t>Pública</w:t>
      </w:r>
      <w:r w:rsidR="00605712" w:rsidRPr="0042283A">
        <w:rPr>
          <w:rFonts w:ascii="Arial" w:hAnsi="Arial" w:cs="Arial"/>
          <w:color w:val="000000" w:themeColor="text1"/>
          <w:sz w:val="21"/>
          <w:szCs w:val="21"/>
          <w:lang w:val="es-ES_tradnl"/>
        </w:rPr>
        <w:t xml:space="preserve"> emitir un concepto con respecto a la </w:t>
      </w:r>
      <w:r w:rsidR="00D44791" w:rsidRPr="0042283A">
        <w:rPr>
          <w:rFonts w:ascii="Arial" w:hAnsi="Arial" w:cs="Arial"/>
          <w:color w:val="000000" w:themeColor="text1"/>
          <w:sz w:val="21"/>
          <w:szCs w:val="21"/>
          <w:lang w:val="es-ES_tradnl"/>
        </w:rPr>
        <w:t>interpretación</w:t>
      </w:r>
      <w:r w:rsidR="00605712" w:rsidRPr="0042283A">
        <w:rPr>
          <w:rFonts w:ascii="Arial" w:hAnsi="Arial" w:cs="Arial"/>
          <w:color w:val="000000" w:themeColor="text1"/>
          <w:sz w:val="21"/>
          <w:szCs w:val="21"/>
          <w:lang w:val="es-ES_tradnl"/>
        </w:rPr>
        <w:t xml:space="preserve"> del numeral 4 del </w:t>
      </w:r>
      <w:r w:rsidR="00D44791" w:rsidRPr="0042283A">
        <w:rPr>
          <w:rFonts w:ascii="Arial" w:hAnsi="Arial" w:cs="Arial"/>
          <w:color w:val="000000" w:themeColor="text1"/>
          <w:sz w:val="21"/>
          <w:szCs w:val="21"/>
          <w:lang w:val="es-ES_tradnl"/>
        </w:rPr>
        <w:t>artículo</w:t>
      </w:r>
      <w:r w:rsidR="00605712" w:rsidRPr="0042283A">
        <w:rPr>
          <w:rFonts w:ascii="Arial" w:hAnsi="Arial" w:cs="Arial"/>
          <w:color w:val="000000" w:themeColor="text1"/>
          <w:sz w:val="21"/>
          <w:szCs w:val="21"/>
          <w:lang w:val="es-ES_tradnl"/>
        </w:rPr>
        <w:t xml:space="preserve"> 1 del Decreto 399 de 2021 y</w:t>
      </w:r>
      <w:r w:rsidR="00D44791" w:rsidRPr="0042283A">
        <w:rPr>
          <w:rFonts w:ascii="Arial" w:hAnsi="Arial" w:cs="Arial"/>
          <w:color w:val="000000" w:themeColor="text1"/>
          <w:sz w:val="21"/>
          <w:szCs w:val="21"/>
          <w:lang w:val="es-ES_tradnl"/>
        </w:rPr>
        <w:t xml:space="preserve">, así </w:t>
      </w:r>
      <w:r w:rsidR="00605712" w:rsidRPr="0042283A">
        <w:rPr>
          <w:rFonts w:ascii="Arial" w:hAnsi="Arial" w:cs="Arial"/>
          <w:color w:val="000000" w:themeColor="text1"/>
          <w:sz w:val="21"/>
          <w:szCs w:val="21"/>
          <w:lang w:val="es-ES_tradnl"/>
        </w:rPr>
        <w:t xml:space="preserve">mismo indicar, de forma general, el nivel de detalle con el cual una entidad del estado debe publicar las variables empleadas para el </w:t>
      </w:r>
      <w:r w:rsidR="008B4E4C" w:rsidRPr="0042283A">
        <w:rPr>
          <w:rFonts w:ascii="Arial" w:hAnsi="Arial" w:cs="Arial"/>
          <w:color w:val="000000" w:themeColor="text1"/>
          <w:sz w:val="21"/>
          <w:szCs w:val="21"/>
          <w:lang w:val="es-ES_tradnl"/>
        </w:rPr>
        <w:t>cálculo</w:t>
      </w:r>
      <w:r w:rsidR="00605712" w:rsidRPr="0042283A">
        <w:rPr>
          <w:rFonts w:ascii="Arial" w:hAnsi="Arial" w:cs="Arial"/>
          <w:color w:val="000000" w:themeColor="text1"/>
          <w:sz w:val="21"/>
          <w:szCs w:val="21"/>
          <w:lang w:val="es-ES_tradnl"/>
        </w:rPr>
        <w:t xml:space="preserve"> del </w:t>
      </w:r>
      <w:r w:rsidR="008B4E4C" w:rsidRPr="0042283A">
        <w:rPr>
          <w:rFonts w:ascii="Arial" w:hAnsi="Arial" w:cs="Arial"/>
          <w:color w:val="000000" w:themeColor="text1"/>
          <w:sz w:val="21"/>
          <w:szCs w:val="21"/>
          <w:lang w:val="es-ES_tradnl"/>
        </w:rPr>
        <w:t xml:space="preserve">presupuesto </w:t>
      </w:r>
      <w:r w:rsidR="00605712" w:rsidRPr="0042283A">
        <w:rPr>
          <w:rFonts w:ascii="Arial" w:hAnsi="Arial" w:cs="Arial"/>
          <w:color w:val="000000" w:themeColor="text1"/>
          <w:sz w:val="21"/>
          <w:szCs w:val="21"/>
          <w:lang w:val="es-ES_tradnl"/>
        </w:rPr>
        <w:t xml:space="preserve">de un proceso de </w:t>
      </w:r>
      <w:r w:rsidR="008B4E4C" w:rsidRPr="0042283A">
        <w:rPr>
          <w:rFonts w:ascii="Arial" w:hAnsi="Arial" w:cs="Arial"/>
          <w:color w:val="000000" w:themeColor="text1"/>
          <w:sz w:val="21"/>
          <w:szCs w:val="21"/>
          <w:lang w:val="es-ES_tradnl"/>
        </w:rPr>
        <w:t>contratación</w:t>
      </w:r>
      <w:r w:rsidR="00605712" w:rsidRPr="0042283A">
        <w:rPr>
          <w:rFonts w:ascii="Arial" w:hAnsi="Arial" w:cs="Arial"/>
          <w:color w:val="000000" w:themeColor="text1"/>
          <w:sz w:val="21"/>
          <w:szCs w:val="21"/>
          <w:lang w:val="es-ES_tradnl"/>
        </w:rPr>
        <w:t xml:space="preserve"> de servicios de </w:t>
      </w:r>
      <w:r w:rsidR="008B4E4C" w:rsidRPr="0042283A">
        <w:rPr>
          <w:rFonts w:ascii="Arial" w:hAnsi="Arial" w:cs="Arial"/>
          <w:color w:val="000000" w:themeColor="text1"/>
          <w:sz w:val="21"/>
          <w:szCs w:val="21"/>
          <w:lang w:val="es-ES_tradnl"/>
        </w:rPr>
        <w:t>consultoría</w:t>
      </w:r>
      <w:r w:rsidR="00285600" w:rsidRPr="0042283A">
        <w:rPr>
          <w:rFonts w:ascii="Arial" w:hAnsi="Arial" w:cs="Arial"/>
          <w:color w:val="000000" w:themeColor="text1"/>
          <w:sz w:val="21"/>
          <w:szCs w:val="21"/>
          <w:lang w:val="es-ES_tradnl"/>
        </w:rPr>
        <w:t>».</w:t>
      </w:r>
    </w:p>
    <w:p w14:paraId="1A8AEF4C" w14:textId="77777777" w:rsidR="007E0373" w:rsidRPr="0042283A" w:rsidRDefault="007E0373" w:rsidP="00B24358">
      <w:pPr>
        <w:ind w:right="709"/>
        <w:jc w:val="both"/>
        <w:rPr>
          <w:rFonts w:ascii="Arial" w:hAnsi="Arial" w:cs="Arial"/>
          <w:color w:val="000000" w:themeColor="text1"/>
          <w:sz w:val="21"/>
          <w:szCs w:val="21"/>
          <w:lang w:val="es-ES_tradnl"/>
        </w:rPr>
      </w:pPr>
    </w:p>
    <w:p w14:paraId="124D2DCA" w14:textId="77777777" w:rsidR="00DD5B04" w:rsidRPr="0042283A" w:rsidRDefault="00DD5B04" w:rsidP="00DF76A2">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42283A">
        <w:rPr>
          <w:rFonts w:ascii="Arial" w:eastAsia="Calibri" w:hAnsi="Arial" w:cs="Arial"/>
          <w:b/>
          <w:color w:val="000000" w:themeColor="text1"/>
          <w:sz w:val="22"/>
          <w:lang w:val="es-ES_tradnl"/>
        </w:rPr>
        <w:t>Consideraciones</w:t>
      </w:r>
    </w:p>
    <w:p w14:paraId="7D050D2E" w14:textId="35C0C6F2" w:rsidR="00435703" w:rsidRPr="0042283A" w:rsidRDefault="00435703" w:rsidP="00DF76A2">
      <w:pPr>
        <w:spacing w:line="276" w:lineRule="auto"/>
        <w:jc w:val="both"/>
        <w:rPr>
          <w:rFonts w:ascii="Arial" w:eastAsia="Calibri" w:hAnsi="Arial" w:cs="Arial"/>
          <w:color w:val="000000" w:themeColor="text1"/>
          <w:sz w:val="22"/>
          <w:szCs w:val="22"/>
          <w:lang w:val="es-ES_tradnl"/>
        </w:rPr>
      </w:pPr>
    </w:p>
    <w:p w14:paraId="058E2BA9" w14:textId="77777777" w:rsidR="00D169D8" w:rsidRPr="0042283A" w:rsidRDefault="00D169D8" w:rsidP="00D169D8">
      <w:pPr>
        <w:spacing w:after="120" w:line="276" w:lineRule="auto"/>
        <w:jc w:val="both"/>
        <w:rPr>
          <w:rFonts w:ascii="Arial" w:hAnsi="Arial" w:cs="Arial"/>
          <w:bCs/>
          <w:sz w:val="22"/>
        </w:rPr>
      </w:pPr>
      <w:r w:rsidRPr="0042283A">
        <w:rPr>
          <w:rFonts w:ascii="Arial" w:hAnsi="Arial" w:cs="Arial"/>
          <w:bCs/>
          <w:sz w:val="22"/>
        </w:rPr>
        <w:t>En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w:t>
      </w:r>
      <w:bookmarkStart w:id="2" w:name="_Hlk61701014"/>
      <w:bookmarkStart w:id="3" w:name="_Hlk62136649"/>
      <w:r w:rsidRPr="0042283A">
        <w:rPr>
          <w:rFonts w:ascii="Arial" w:hAnsi="Arial" w:cs="Arial"/>
          <w:bCs/>
          <w:sz w:val="22"/>
        </w:rPr>
        <w:t xml:space="preserve"> </w:t>
      </w:r>
      <w:r w:rsidRPr="0042283A">
        <w:rPr>
          <w:rFonts w:ascii="Arial" w:hAnsi="Arial" w:cs="Arial"/>
          <w:sz w:val="22"/>
          <w:lang w:val="es-ES"/>
        </w:rPr>
        <w:t xml:space="preserve">Es necesario tener en cuenta que </w:t>
      </w:r>
      <w:bookmarkStart w:id="4" w:name="_Hlk61026958"/>
      <w:r w:rsidRPr="0042283A">
        <w:rPr>
          <w:rFonts w:ascii="Arial" w:hAnsi="Arial" w:cs="Arial"/>
          <w:sz w:val="22"/>
          <w:lang w:val="es-ES"/>
        </w:rPr>
        <w:t>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42283A">
        <w:rPr>
          <w:rFonts w:ascii="Arial" w:hAnsi="Arial" w:cs="Arial"/>
          <w:bCs/>
          <w:sz w:val="22"/>
        </w:rPr>
        <w:t xml:space="preserve"> de todos los partícipes de la contratación estatal.</w:t>
      </w:r>
    </w:p>
    <w:p w14:paraId="10D48FA7" w14:textId="3A4B1A04" w:rsidR="00D169D8" w:rsidRPr="0042283A" w:rsidRDefault="00D169D8" w:rsidP="00D169D8">
      <w:pPr>
        <w:spacing w:after="120" w:line="276" w:lineRule="auto"/>
        <w:ind w:firstLine="708"/>
        <w:jc w:val="both"/>
        <w:rPr>
          <w:rFonts w:ascii="Arial" w:hAnsi="Arial" w:cs="Arial"/>
          <w:sz w:val="22"/>
          <w:lang w:val="es-ES"/>
        </w:rPr>
      </w:pPr>
      <w:r w:rsidRPr="0042283A">
        <w:rPr>
          <w:rFonts w:ascii="Arial" w:hAnsi="Arial" w:cs="Arial"/>
          <w:sz w:val="22"/>
          <w:lang w:val="es-ES"/>
        </w:rPr>
        <w:t xml:space="preserve">La competencia de esta entidad se fija con límites claros, con el objeto de evitar que la Agencia actúe como una instancia de validación de las actuaciones de las entidades </w:t>
      </w:r>
      <w:r w:rsidRPr="0042283A">
        <w:rPr>
          <w:rFonts w:ascii="Arial" w:hAnsi="Arial" w:cs="Arial"/>
          <w:sz w:val="22"/>
          <w:lang w:val="es-ES"/>
        </w:rPr>
        <w:lastRenderedPageBreak/>
        <w:t>sujetas a la Ley 80 de 1993 o de los demás participantes de la contratación pública</w:t>
      </w:r>
      <w:r w:rsidRPr="0042283A">
        <w:rPr>
          <w:rFonts w:ascii="Arial" w:hAnsi="Arial" w:cs="Arial"/>
          <w:sz w:val="22"/>
          <w:vertAlign w:val="superscript"/>
          <w:lang w:val="es-ES"/>
        </w:rPr>
        <w:footnoteReference w:id="2"/>
      </w:r>
      <w:r w:rsidRPr="0042283A">
        <w:rPr>
          <w:rFonts w:ascii="Arial" w:hAnsi="Arial" w:cs="Arial"/>
          <w:sz w:val="22"/>
          <w:lang w:val="es-ES"/>
        </w:rPr>
        <w:t>. Esta competencia de interpretación de normas generales, por definición, no puede extenderse a la resolución de controversias, ni a brindar asesorías sobre casos puntuales.</w:t>
      </w:r>
      <w:bookmarkEnd w:id="4"/>
      <w:r w:rsidRPr="0042283A">
        <w:rPr>
          <w:rFonts w:ascii="Arial" w:hAnsi="Arial" w:cs="Arial"/>
          <w:sz w:val="22"/>
          <w:lang w:val="es-ES"/>
        </w:rPr>
        <w:t xml:space="preserve"> En este contexto, previo concepto de sus órganos asesores, la solución de estos temas corresponde a la entidad que adelanta el procedimiento de selección y, en caso de conflicto, a las autoridades judiciales, fiscales y disciplinarias. </w:t>
      </w:r>
      <w:bookmarkEnd w:id="2"/>
      <w:bookmarkEnd w:id="3"/>
      <w:r w:rsidRPr="0042283A">
        <w:rPr>
          <w:rFonts w:ascii="Arial" w:eastAsia="Calibri" w:hAnsi="Arial" w:cs="Arial"/>
          <w:color w:val="000000" w:themeColor="text1"/>
          <w:sz w:val="22"/>
        </w:rPr>
        <w:t xml:space="preserve">Sin perjuicio de lo anterior, </w:t>
      </w:r>
      <w:r w:rsidRPr="0042283A">
        <w:rPr>
          <w:rFonts w:ascii="Arial" w:eastAsia="Calibri" w:hAnsi="Arial" w:cs="Arial"/>
          <w:color w:val="000000" w:themeColor="text1"/>
          <w:sz w:val="22"/>
          <w:lang w:val="es-ES"/>
        </w:rPr>
        <w:t>la Subdirección</w:t>
      </w:r>
      <w:r w:rsidR="00085E95" w:rsidRPr="0042283A">
        <w:rPr>
          <w:rFonts w:ascii="Arial" w:eastAsia="Calibri" w:hAnsi="Arial" w:cs="Arial"/>
          <w:color w:val="000000" w:themeColor="text1"/>
          <w:sz w:val="22"/>
          <w:lang w:val="es-ES"/>
        </w:rPr>
        <w:t>,</w:t>
      </w:r>
      <w:r w:rsidRPr="0042283A">
        <w:rPr>
          <w:rFonts w:ascii="Arial" w:eastAsia="Calibri" w:hAnsi="Arial" w:cs="Arial"/>
          <w:color w:val="000000" w:themeColor="text1"/>
          <w:sz w:val="22"/>
          <w:lang w:val="es-ES"/>
        </w:rPr>
        <w:t xml:space="preserve"> dentro de los límites de sus atribuciones </w:t>
      </w:r>
      <w:r w:rsidR="00085E95" w:rsidRPr="0042283A">
        <w:rPr>
          <w:rFonts w:ascii="Arial" w:eastAsia="Calibri" w:hAnsi="Arial" w:cs="Arial"/>
          <w:color w:val="000000" w:themeColor="text1"/>
          <w:sz w:val="22"/>
          <w:lang w:val="es-ES"/>
        </w:rPr>
        <w:t>–</w:t>
      </w:r>
      <w:r w:rsidRPr="0042283A">
        <w:rPr>
          <w:rFonts w:ascii="Arial" w:eastAsia="Calibri" w:hAnsi="Arial" w:cs="Arial"/>
          <w:color w:val="000000" w:themeColor="text1"/>
          <w:sz w:val="22"/>
          <w:lang w:val="es-ES"/>
        </w:rPr>
        <w:t xml:space="preserve">esto es, </w:t>
      </w:r>
      <w:bookmarkStart w:id="5" w:name="_Hlk61025408"/>
      <w:r w:rsidRPr="0042283A">
        <w:rPr>
          <w:rFonts w:ascii="Arial" w:eastAsia="Calibri" w:hAnsi="Arial" w:cs="Arial"/>
          <w:color w:val="000000" w:themeColor="text1"/>
          <w:sz w:val="22"/>
          <w:lang w:val="es-ES"/>
        </w:rPr>
        <w:t>haciendo abstracción del caso particular</w:t>
      </w:r>
      <w:r w:rsidR="00C47D0D" w:rsidRPr="0042283A">
        <w:rPr>
          <w:rFonts w:ascii="Arial" w:eastAsia="Calibri" w:hAnsi="Arial" w:cs="Arial"/>
          <w:color w:val="000000" w:themeColor="text1"/>
          <w:sz w:val="22"/>
          <w:lang w:val="es-ES"/>
        </w:rPr>
        <w:t xml:space="preserve"> hipotético</w:t>
      </w:r>
      <w:r w:rsidRPr="0042283A">
        <w:rPr>
          <w:rFonts w:ascii="Arial" w:eastAsia="Calibri" w:hAnsi="Arial" w:cs="Arial"/>
          <w:color w:val="000000" w:themeColor="text1"/>
          <w:sz w:val="22"/>
          <w:lang w:val="es-ES"/>
        </w:rPr>
        <w:t xml:space="preserve"> expuesto por el peticionario</w:t>
      </w:r>
      <w:bookmarkEnd w:id="5"/>
      <w:r w:rsidRPr="0042283A">
        <w:rPr>
          <w:rFonts w:ascii="Arial" w:eastAsia="Calibri" w:hAnsi="Arial" w:cs="Arial"/>
          <w:color w:val="000000" w:themeColor="text1"/>
          <w:sz w:val="22"/>
          <w:lang w:val="es-ES"/>
        </w:rPr>
        <w:t>–</w:t>
      </w:r>
      <w:r w:rsidR="00085E95" w:rsidRPr="0042283A">
        <w:rPr>
          <w:rFonts w:ascii="Arial" w:eastAsia="Calibri" w:hAnsi="Arial" w:cs="Arial"/>
          <w:color w:val="000000" w:themeColor="text1"/>
          <w:sz w:val="22"/>
          <w:lang w:val="es-ES"/>
        </w:rPr>
        <w:t>,</w:t>
      </w:r>
      <w:r w:rsidRPr="0042283A">
        <w:rPr>
          <w:rFonts w:ascii="Arial" w:eastAsia="Calibri" w:hAnsi="Arial" w:cs="Arial"/>
          <w:color w:val="000000" w:themeColor="text1"/>
          <w:sz w:val="22"/>
          <w:lang w:val="es-ES"/>
        </w:rPr>
        <w:t xml:space="preserve"> resolverá la consulta conforme a las normas generales en materia de contratación estatal.</w:t>
      </w:r>
    </w:p>
    <w:p w14:paraId="39560D03" w14:textId="50EBBA1D" w:rsidR="006B68CB" w:rsidRPr="0042283A" w:rsidRDefault="00C47D0D" w:rsidP="00D169D8">
      <w:pPr>
        <w:spacing w:after="120" w:line="276" w:lineRule="auto"/>
        <w:ind w:firstLine="708"/>
        <w:jc w:val="both"/>
        <w:rPr>
          <w:rFonts w:ascii="Arial" w:hAnsi="Arial" w:cs="Arial"/>
          <w:sz w:val="22"/>
          <w:lang w:val="es-ES"/>
        </w:rPr>
      </w:pPr>
      <w:r w:rsidRPr="0042283A">
        <w:rPr>
          <w:rFonts w:ascii="Arial" w:eastAsia="Calibri" w:hAnsi="Arial" w:cs="Arial"/>
          <w:color w:val="000000" w:themeColor="text1"/>
          <w:sz w:val="22"/>
          <w:szCs w:val="22"/>
          <w:lang w:val="es-ES_tradnl"/>
        </w:rPr>
        <w:t>En tal sentido,</w:t>
      </w:r>
      <w:r w:rsidR="00271230" w:rsidRPr="0042283A">
        <w:rPr>
          <w:rFonts w:ascii="Arial" w:eastAsia="Calibri" w:hAnsi="Arial" w:cs="Arial"/>
          <w:color w:val="000000" w:themeColor="text1"/>
          <w:sz w:val="22"/>
          <w:szCs w:val="22"/>
          <w:lang w:val="es-ES_tradnl"/>
        </w:rPr>
        <w:t xml:space="preserve"> </w:t>
      </w:r>
      <w:r w:rsidRPr="0042283A">
        <w:rPr>
          <w:rFonts w:ascii="Arial" w:eastAsia="Calibri" w:hAnsi="Arial" w:cs="Arial"/>
          <w:color w:val="000000" w:themeColor="text1"/>
          <w:sz w:val="22"/>
          <w:szCs w:val="22"/>
          <w:lang w:val="es-ES_tradnl"/>
        </w:rPr>
        <w:t xml:space="preserve">se analizarán </w:t>
      </w:r>
      <w:r w:rsidR="00271230" w:rsidRPr="0042283A">
        <w:rPr>
          <w:rFonts w:ascii="Arial" w:eastAsia="Calibri" w:hAnsi="Arial" w:cs="Arial"/>
          <w:color w:val="000000" w:themeColor="text1"/>
          <w:sz w:val="22"/>
          <w:szCs w:val="22"/>
          <w:lang w:val="es-ES_tradnl"/>
        </w:rPr>
        <w:t>los</w:t>
      </w:r>
      <w:r w:rsidR="00822EC4" w:rsidRPr="0042283A">
        <w:rPr>
          <w:rFonts w:ascii="Arial" w:eastAsia="Calibri" w:hAnsi="Arial" w:cs="Arial"/>
          <w:color w:val="000000" w:themeColor="text1"/>
          <w:sz w:val="22"/>
          <w:szCs w:val="22"/>
          <w:lang w:val="es-ES_tradnl"/>
        </w:rPr>
        <w:t xml:space="preserve"> siguientes temas: </w:t>
      </w:r>
      <w:r w:rsidR="00D93049" w:rsidRPr="0042283A">
        <w:rPr>
          <w:rFonts w:ascii="Arial" w:eastAsia="Calibri" w:hAnsi="Arial" w:cs="Arial"/>
          <w:color w:val="000000" w:themeColor="text1"/>
          <w:sz w:val="22"/>
          <w:szCs w:val="22"/>
          <w:lang w:val="es-ES_tradnl"/>
        </w:rPr>
        <w:t xml:space="preserve">i) </w:t>
      </w:r>
      <w:r w:rsidR="00123BBD" w:rsidRPr="0042283A">
        <w:rPr>
          <w:rFonts w:ascii="Arial" w:eastAsia="Calibri" w:hAnsi="Arial" w:cs="Arial"/>
          <w:color w:val="000000" w:themeColor="text1"/>
          <w:sz w:val="22"/>
          <w:szCs w:val="22"/>
          <w:lang w:val="es-ES_tradnl"/>
        </w:rPr>
        <w:t>procedimiento del concurso de méritos después de los autos de suspensión provisional del Consejo de Estado</w:t>
      </w:r>
      <w:r w:rsidR="005940D4" w:rsidRPr="0042283A">
        <w:rPr>
          <w:rFonts w:ascii="Arial" w:eastAsia="Calibri" w:hAnsi="Arial" w:cs="Arial"/>
          <w:color w:val="000000" w:themeColor="text1"/>
          <w:sz w:val="22"/>
          <w:szCs w:val="22"/>
          <w:lang w:val="es-ES_tradnl"/>
        </w:rPr>
        <w:t xml:space="preserve">, </w:t>
      </w:r>
      <w:r w:rsidR="00123BBD" w:rsidRPr="0042283A">
        <w:rPr>
          <w:rFonts w:ascii="Arial" w:eastAsia="Calibri" w:hAnsi="Arial" w:cs="Arial"/>
          <w:color w:val="000000" w:themeColor="text1"/>
          <w:sz w:val="22"/>
          <w:szCs w:val="22"/>
          <w:lang w:val="es-ES_tradnl"/>
        </w:rPr>
        <w:t xml:space="preserve">ii) </w:t>
      </w:r>
      <w:r w:rsidR="00AD7773" w:rsidRPr="0042283A">
        <w:rPr>
          <w:rFonts w:ascii="Arial" w:eastAsia="Calibri" w:hAnsi="Arial" w:cs="Arial"/>
          <w:color w:val="000000" w:themeColor="text1"/>
          <w:sz w:val="22"/>
          <w:szCs w:val="22"/>
          <w:lang w:val="es-ES_tradnl"/>
        </w:rPr>
        <w:t>reglamentación</w:t>
      </w:r>
      <w:r w:rsidR="0002702E" w:rsidRPr="0042283A">
        <w:rPr>
          <w:rFonts w:ascii="Arial" w:eastAsia="Calibri" w:hAnsi="Arial" w:cs="Arial"/>
          <w:color w:val="000000" w:themeColor="text1"/>
          <w:sz w:val="22"/>
          <w:szCs w:val="22"/>
          <w:lang w:val="es-ES_tradnl"/>
        </w:rPr>
        <w:t xml:space="preserve"> </w:t>
      </w:r>
      <w:r w:rsidR="00755D8C" w:rsidRPr="0042283A">
        <w:rPr>
          <w:rFonts w:ascii="Arial" w:eastAsia="Calibri" w:hAnsi="Arial" w:cs="Arial"/>
          <w:color w:val="000000" w:themeColor="text1"/>
          <w:sz w:val="22"/>
          <w:szCs w:val="22"/>
          <w:lang w:val="es-ES_tradnl"/>
        </w:rPr>
        <w:t>de esta modalidad de selección</w:t>
      </w:r>
      <w:r w:rsidR="00273A94" w:rsidRPr="0042283A">
        <w:rPr>
          <w:rFonts w:ascii="Arial" w:eastAsia="Calibri" w:hAnsi="Arial" w:cs="Arial"/>
          <w:color w:val="000000" w:themeColor="text1"/>
          <w:sz w:val="22"/>
          <w:szCs w:val="22"/>
          <w:lang w:val="es-ES_tradnl"/>
        </w:rPr>
        <w:t xml:space="preserve"> </w:t>
      </w:r>
      <w:r w:rsidR="00AD7773" w:rsidRPr="0042283A">
        <w:rPr>
          <w:rFonts w:ascii="Arial" w:eastAsia="Calibri" w:hAnsi="Arial" w:cs="Arial"/>
          <w:color w:val="000000" w:themeColor="text1"/>
          <w:sz w:val="22"/>
          <w:szCs w:val="22"/>
          <w:lang w:val="es-ES_tradnl"/>
        </w:rPr>
        <w:t xml:space="preserve">en el Decreto </w:t>
      </w:r>
      <w:r w:rsidR="00E57D8F" w:rsidRPr="0042283A">
        <w:rPr>
          <w:rFonts w:ascii="Arial" w:eastAsia="Calibri" w:hAnsi="Arial" w:cs="Arial"/>
          <w:color w:val="000000" w:themeColor="text1"/>
          <w:sz w:val="22"/>
          <w:szCs w:val="22"/>
          <w:lang w:val="es-ES_tradnl"/>
        </w:rPr>
        <w:t>399 de 2021</w:t>
      </w:r>
      <w:r w:rsidR="005940D4" w:rsidRPr="0042283A">
        <w:rPr>
          <w:rFonts w:ascii="Arial" w:eastAsia="Calibri" w:hAnsi="Arial" w:cs="Arial"/>
          <w:color w:val="000000" w:themeColor="text1"/>
          <w:sz w:val="22"/>
          <w:szCs w:val="22"/>
          <w:lang w:val="es-ES_tradnl"/>
        </w:rPr>
        <w:t xml:space="preserve"> y ii</w:t>
      </w:r>
      <w:r w:rsidR="007A5F83" w:rsidRPr="0042283A">
        <w:rPr>
          <w:rFonts w:ascii="Arial" w:eastAsia="Calibri" w:hAnsi="Arial" w:cs="Arial"/>
          <w:color w:val="000000" w:themeColor="text1"/>
          <w:sz w:val="22"/>
          <w:szCs w:val="22"/>
          <w:lang w:val="es-ES_tradnl"/>
        </w:rPr>
        <w:t>i</w:t>
      </w:r>
      <w:r w:rsidR="005940D4" w:rsidRPr="0042283A">
        <w:rPr>
          <w:rFonts w:ascii="Arial" w:eastAsia="Calibri" w:hAnsi="Arial" w:cs="Arial"/>
          <w:color w:val="000000" w:themeColor="text1"/>
          <w:sz w:val="22"/>
          <w:szCs w:val="22"/>
          <w:lang w:val="es-ES_tradnl"/>
        </w:rPr>
        <w:t xml:space="preserve">) </w:t>
      </w:r>
      <w:r w:rsidR="00282C98" w:rsidRPr="0042283A">
        <w:rPr>
          <w:rFonts w:ascii="Arial" w:eastAsia="Calibri" w:hAnsi="Arial" w:cs="Arial"/>
          <w:color w:val="000000" w:themeColor="text1"/>
          <w:sz w:val="22"/>
          <w:szCs w:val="22"/>
          <w:lang w:val="es-ES_tradnl"/>
        </w:rPr>
        <w:t>alcance de</w:t>
      </w:r>
      <w:r w:rsidR="003935A0" w:rsidRPr="0042283A">
        <w:rPr>
          <w:rFonts w:ascii="Arial" w:eastAsia="Calibri" w:hAnsi="Arial" w:cs="Arial"/>
          <w:color w:val="000000" w:themeColor="text1"/>
          <w:sz w:val="22"/>
          <w:szCs w:val="22"/>
          <w:lang w:val="es-ES_tradnl"/>
        </w:rPr>
        <w:t xml:space="preserve">l deber de </w:t>
      </w:r>
      <w:r w:rsidR="00E83A90" w:rsidRPr="0042283A">
        <w:rPr>
          <w:rFonts w:ascii="Arial" w:eastAsia="Calibri" w:hAnsi="Arial" w:cs="Arial"/>
          <w:color w:val="000000" w:themeColor="text1"/>
          <w:sz w:val="22"/>
          <w:szCs w:val="22"/>
          <w:lang w:val="es-ES_tradnl"/>
        </w:rPr>
        <w:t>incluir, en los estudios previos, la forma como se calcularon</w:t>
      </w:r>
      <w:r w:rsidR="0057230B" w:rsidRPr="0042283A">
        <w:rPr>
          <w:rFonts w:ascii="Arial" w:eastAsia="Calibri" w:hAnsi="Arial" w:cs="Arial"/>
          <w:color w:val="000000" w:themeColor="text1"/>
          <w:sz w:val="22"/>
          <w:szCs w:val="22"/>
          <w:lang w:val="es-ES_tradnl"/>
        </w:rPr>
        <w:t xml:space="preserve"> los precios unitarios, consagrado en el artículo 1, numeral 4, del Decreto 399 de 2021.</w:t>
      </w:r>
    </w:p>
    <w:p w14:paraId="62DB6C04" w14:textId="6E31EA4F" w:rsidR="00105EF9" w:rsidRPr="0042283A" w:rsidRDefault="00EC1DAE" w:rsidP="00FD5DFD">
      <w:pPr>
        <w:spacing w:before="120" w:line="276" w:lineRule="auto"/>
        <w:ind w:firstLine="709"/>
        <w:jc w:val="both"/>
        <w:rPr>
          <w:rFonts w:ascii="Arial" w:eastAsia="Calibri" w:hAnsi="Arial" w:cs="Arial"/>
          <w:color w:val="000000" w:themeColor="text1"/>
          <w:sz w:val="22"/>
          <w:lang w:val="es-ES_tradnl"/>
        </w:rPr>
      </w:pPr>
      <w:r w:rsidRPr="0042283A">
        <w:rPr>
          <w:rFonts w:ascii="Arial" w:eastAsia="Calibri" w:hAnsi="Arial" w:cs="Arial"/>
          <w:color w:val="000000" w:themeColor="text1"/>
          <w:sz w:val="22"/>
          <w:szCs w:val="22"/>
          <w:lang w:val="es-ES_tradnl"/>
        </w:rPr>
        <w:t>E</w:t>
      </w:r>
      <w:r w:rsidR="00C8331F" w:rsidRPr="0042283A">
        <w:rPr>
          <w:rFonts w:ascii="Arial" w:eastAsia="Calibri" w:hAnsi="Arial" w:cs="Arial"/>
          <w:color w:val="000000" w:themeColor="text1"/>
          <w:sz w:val="22"/>
          <w:szCs w:val="22"/>
          <w:lang w:val="es-ES_tradnl"/>
        </w:rPr>
        <w:t>s importante destacar que la Agencia Nacional de Contratación Pública</w:t>
      </w:r>
      <w:r w:rsidRPr="0042283A">
        <w:rPr>
          <w:rFonts w:ascii="Arial" w:eastAsia="Calibri" w:hAnsi="Arial" w:cs="Arial"/>
          <w:color w:val="000000" w:themeColor="text1"/>
          <w:sz w:val="22"/>
          <w:szCs w:val="22"/>
          <w:lang w:val="es-ES_tradnl"/>
        </w:rPr>
        <w:t xml:space="preserve"> – Colombia Compra Eficiente </w:t>
      </w:r>
      <w:r w:rsidR="005D6573" w:rsidRPr="0042283A">
        <w:rPr>
          <w:rFonts w:ascii="Arial" w:eastAsia="Calibri" w:hAnsi="Arial" w:cs="Arial"/>
          <w:color w:val="000000" w:themeColor="text1"/>
          <w:sz w:val="22"/>
          <w:lang w:val="es-ES_tradnl"/>
        </w:rPr>
        <w:t xml:space="preserve">expidió los </w:t>
      </w:r>
      <w:r w:rsidR="00332386" w:rsidRPr="0042283A">
        <w:rPr>
          <w:rFonts w:ascii="Arial" w:eastAsia="Calibri" w:hAnsi="Arial" w:cs="Arial"/>
          <w:color w:val="000000" w:themeColor="text1"/>
          <w:sz w:val="22"/>
          <w:lang w:val="es-ES_tradnl"/>
        </w:rPr>
        <w:t>c</w:t>
      </w:r>
      <w:r w:rsidR="005D6573" w:rsidRPr="0042283A">
        <w:rPr>
          <w:rFonts w:ascii="Arial" w:eastAsia="Calibri" w:hAnsi="Arial" w:cs="Arial"/>
          <w:color w:val="000000" w:themeColor="text1"/>
          <w:sz w:val="22"/>
          <w:lang w:val="es-ES_tradnl"/>
        </w:rPr>
        <w:t xml:space="preserve">onceptos </w:t>
      </w:r>
      <w:r w:rsidR="00874B90" w:rsidRPr="0042283A">
        <w:rPr>
          <w:rFonts w:ascii="Arial" w:eastAsia="Calibri" w:hAnsi="Arial" w:cs="Arial"/>
          <w:color w:val="000000" w:themeColor="text1"/>
          <w:sz w:val="22"/>
          <w:lang w:val="es-ES_tradnl"/>
        </w:rPr>
        <w:t xml:space="preserve">C-124 del 25 de marzo de 2020, </w:t>
      </w:r>
      <w:r w:rsidR="005D6573" w:rsidRPr="0042283A">
        <w:rPr>
          <w:rFonts w:ascii="Arial" w:eastAsia="Calibri" w:hAnsi="Arial" w:cs="Arial"/>
          <w:color w:val="000000" w:themeColor="text1"/>
          <w:sz w:val="22"/>
          <w:lang w:val="es-ES_tradnl"/>
        </w:rPr>
        <w:t>C-406 y C-477 del 13 de julio de 2020</w:t>
      </w:r>
      <w:r w:rsidR="00085E95" w:rsidRPr="0042283A">
        <w:rPr>
          <w:rFonts w:ascii="Arial" w:eastAsia="Calibri" w:hAnsi="Arial" w:cs="Arial"/>
          <w:color w:val="000000" w:themeColor="text1"/>
          <w:sz w:val="22"/>
          <w:lang w:val="es-ES_tradnl"/>
        </w:rPr>
        <w:t>,</w:t>
      </w:r>
      <w:r w:rsidR="005D6573" w:rsidRPr="0042283A">
        <w:rPr>
          <w:rFonts w:ascii="Arial" w:eastAsia="Calibri" w:hAnsi="Arial" w:cs="Arial"/>
          <w:color w:val="000000" w:themeColor="text1"/>
          <w:sz w:val="22"/>
          <w:lang w:val="es-ES_tradnl"/>
        </w:rPr>
        <w:t xml:space="preserve"> C-612 del 2 de octubre de 2020</w:t>
      </w:r>
      <w:r w:rsidR="00113E22" w:rsidRPr="0042283A">
        <w:rPr>
          <w:rFonts w:ascii="Arial" w:eastAsia="Calibri" w:hAnsi="Arial" w:cs="Arial"/>
          <w:color w:val="000000" w:themeColor="text1"/>
          <w:sz w:val="22"/>
          <w:lang w:val="es-ES_tradnl"/>
        </w:rPr>
        <w:t xml:space="preserve"> y </w:t>
      </w:r>
      <w:r w:rsidR="00874B90" w:rsidRPr="0042283A">
        <w:rPr>
          <w:rFonts w:ascii="Arial" w:eastAsia="Calibri" w:hAnsi="Arial" w:cs="Arial"/>
          <w:color w:val="000000" w:themeColor="text1"/>
          <w:sz w:val="22"/>
          <w:lang w:val="es-ES_tradnl"/>
        </w:rPr>
        <w:t>C-761 del 5 de enero de 2021,</w:t>
      </w:r>
      <w:r w:rsidR="005D6573" w:rsidRPr="0042283A">
        <w:rPr>
          <w:rFonts w:ascii="Arial" w:eastAsia="Calibri" w:hAnsi="Arial" w:cs="Arial"/>
          <w:color w:val="000000" w:themeColor="text1"/>
          <w:sz w:val="22"/>
          <w:lang w:val="es-ES_tradnl"/>
        </w:rPr>
        <w:t xml:space="preserve"> </w:t>
      </w:r>
      <w:r w:rsidR="00874B90" w:rsidRPr="0042283A">
        <w:rPr>
          <w:rFonts w:ascii="Arial" w:eastAsia="Calibri" w:hAnsi="Arial" w:cs="Arial"/>
          <w:color w:val="000000" w:themeColor="text1"/>
          <w:sz w:val="22"/>
          <w:lang w:val="es-ES_tradnl"/>
        </w:rPr>
        <w:t>en los cuales analizó la forma como se debe desarrollar el concurso de méritos, luego de los pronunciamientos del Consejo de Estado que suspendieron provisionalmente algunos</w:t>
      </w:r>
      <w:r w:rsidR="00D309A0" w:rsidRPr="0042283A">
        <w:rPr>
          <w:rFonts w:ascii="Arial" w:eastAsia="Calibri" w:hAnsi="Arial" w:cs="Arial"/>
          <w:color w:val="000000" w:themeColor="text1"/>
          <w:sz w:val="22"/>
          <w:lang w:val="es-ES_tradnl"/>
        </w:rPr>
        <w:t xml:space="preserve"> numerales del artículo </w:t>
      </w:r>
      <w:r w:rsidR="00C36FEA" w:rsidRPr="0042283A">
        <w:rPr>
          <w:rFonts w:ascii="Arial" w:eastAsia="Calibri" w:hAnsi="Arial" w:cs="Arial"/>
          <w:color w:val="000000" w:themeColor="text1"/>
          <w:sz w:val="22"/>
          <w:lang w:val="es-ES_tradnl"/>
        </w:rPr>
        <w:t>2.2.1.2.1.3.2. del Decreto 1082 de 2015</w:t>
      </w:r>
      <w:r w:rsidR="00FD5DFD" w:rsidRPr="0042283A">
        <w:rPr>
          <w:rFonts w:ascii="Arial" w:eastAsia="Calibri" w:hAnsi="Arial" w:cs="Arial"/>
          <w:color w:val="000000" w:themeColor="text1"/>
          <w:sz w:val="22"/>
          <w:lang w:val="es-ES_tradnl"/>
        </w:rPr>
        <w:t>.</w:t>
      </w:r>
      <w:r w:rsidR="00713ECF" w:rsidRPr="0042283A">
        <w:rPr>
          <w:rFonts w:ascii="Arial" w:eastAsia="Calibri" w:hAnsi="Arial" w:cs="Arial"/>
          <w:color w:val="000000" w:themeColor="text1"/>
          <w:sz w:val="22"/>
          <w:lang w:val="es-ES_tradnl"/>
        </w:rPr>
        <w:t xml:space="preserve"> </w:t>
      </w:r>
      <w:r w:rsidR="00105EF9" w:rsidRPr="0042283A">
        <w:rPr>
          <w:rFonts w:ascii="Arial" w:eastAsia="Calibri" w:hAnsi="Arial" w:cs="Arial"/>
          <w:color w:val="000000" w:themeColor="text1"/>
          <w:sz w:val="22"/>
          <w:szCs w:val="22"/>
          <w:lang w:val="es-ES_tradnl"/>
        </w:rPr>
        <w:t>Algunas de las consideraciones de estos conceptos se reiteran a continuación.</w:t>
      </w:r>
    </w:p>
    <w:p w14:paraId="331D0ECA" w14:textId="3305F48F" w:rsidR="003C4317" w:rsidRPr="0042283A" w:rsidRDefault="003C4317" w:rsidP="00271230">
      <w:pPr>
        <w:spacing w:line="276" w:lineRule="auto"/>
        <w:jc w:val="both"/>
        <w:rPr>
          <w:rFonts w:ascii="Arial" w:eastAsia="Calibri" w:hAnsi="Arial" w:cs="Arial"/>
          <w:color w:val="000000" w:themeColor="text1"/>
          <w:sz w:val="22"/>
          <w:szCs w:val="22"/>
          <w:lang w:val="es-ES_tradnl"/>
        </w:rPr>
      </w:pPr>
    </w:p>
    <w:p w14:paraId="0B0B37D0" w14:textId="3CBF1EBE" w:rsidR="00942641" w:rsidRPr="0042283A" w:rsidRDefault="00942641" w:rsidP="00942641">
      <w:pPr>
        <w:spacing w:line="276" w:lineRule="auto"/>
        <w:jc w:val="both"/>
        <w:rPr>
          <w:rFonts w:ascii="Arial" w:eastAsia="Calibri" w:hAnsi="Arial" w:cs="Arial"/>
          <w:b/>
          <w:bCs/>
          <w:color w:val="000000" w:themeColor="text1"/>
          <w:sz w:val="22"/>
          <w:lang w:val="es-ES_tradnl"/>
        </w:rPr>
      </w:pPr>
      <w:r w:rsidRPr="0042283A">
        <w:rPr>
          <w:rFonts w:ascii="Arial" w:eastAsia="Calibri" w:hAnsi="Arial" w:cs="Arial"/>
          <w:b/>
          <w:bCs/>
          <w:color w:val="000000" w:themeColor="text1"/>
          <w:sz w:val="22"/>
          <w:lang w:val="es-ES_tradnl"/>
        </w:rPr>
        <w:t>2.1. Procedimiento del concurso de méritos después de los autos de suspensión provisional del Consejo de Estado</w:t>
      </w:r>
    </w:p>
    <w:p w14:paraId="4868DB03" w14:textId="77777777" w:rsidR="00942641" w:rsidRPr="0042283A" w:rsidRDefault="00942641" w:rsidP="00942641">
      <w:pPr>
        <w:spacing w:line="276" w:lineRule="auto"/>
        <w:jc w:val="both"/>
        <w:rPr>
          <w:rFonts w:ascii="Arial" w:eastAsia="Calibri" w:hAnsi="Arial" w:cs="Arial"/>
          <w:b/>
          <w:bCs/>
          <w:color w:val="000000" w:themeColor="text1"/>
          <w:sz w:val="22"/>
          <w:lang w:val="es-ES_tradnl"/>
        </w:rPr>
      </w:pPr>
    </w:p>
    <w:p w14:paraId="79A6E19F" w14:textId="77777777" w:rsidR="00942641" w:rsidRPr="0042283A" w:rsidRDefault="00942641" w:rsidP="00942641">
      <w:pPr>
        <w:spacing w:line="276" w:lineRule="auto"/>
        <w:jc w:val="both"/>
        <w:rPr>
          <w:rFonts w:ascii="Arial" w:hAnsi="Arial" w:cs="Arial"/>
          <w:color w:val="000000" w:themeColor="text1"/>
          <w:sz w:val="22"/>
          <w:lang w:val="es-ES_tradnl"/>
        </w:rPr>
      </w:pPr>
      <w:r w:rsidRPr="0042283A">
        <w:rPr>
          <w:rFonts w:ascii="Arial" w:hAnsi="Arial" w:cs="Arial"/>
          <w:color w:val="000000" w:themeColor="text1"/>
          <w:sz w:val="22"/>
          <w:lang w:val="es-ES_tradnl"/>
        </w:rPr>
        <w:t xml:space="preserve">El </w:t>
      </w:r>
      <w:r w:rsidRPr="0042283A">
        <w:rPr>
          <w:rFonts w:ascii="Arial" w:hAnsi="Arial" w:cs="Arial"/>
          <w:i/>
          <w:iCs/>
          <w:color w:val="000000" w:themeColor="text1"/>
          <w:sz w:val="22"/>
          <w:lang w:val="es-ES_tradnl"/>
        </w:rPr>
        <w:t xml:space="preserve">concurso de méritos </w:t>
      </w:r>
      <w:r w:rsidRPr="0042283A">
        <w:rPr>
          <w:rFonts w:ascii="Arial" w:hAnsi="Arial" w:cs="Arial"/>
          <w:color w:val="000000" w:themeColor="text1"/>
          <w:sz w:val="22"/>
          <w:lang w:val="es-ES_tradnl"/>
        </w:rPr>
        <w:t xml:space="preserve">es un procedimiento de selección que deben realizar las entidades estatales para escoger «consultores y proyectos», es decir, para celebrar contratos de consultoría, entendidos estos últimos como aquellos «[…] que celebren las entidades estatales referidos a los estudios necesarios para la ejecución de proyectos de inversión, estudios de diagnóstico, prefactibilidad o factibilidad para programas o proyectos </w:t>
      </w:r>
      <w:r w:rsidRPr="0042283A">
        <w:rPr>
          <w:rFonts w:ascii="Arial" w:hAnsi="Arial" w:cs="Arial"/>
          <w:color w:val="000000" w:themeColor="text1"/>
          <w:sz w:val="22"/>
          <w:lang w:val="es-ES_tradnl"/>
        </w:rPr>
        <w:lastRenderedPageBreak/>
        <w:t>específicos, así como a las asesorías técnicas de coordinación, control y supervisión», según lo dispuesto en el artículo 32, numeral 2, de la Ley 80 de 1993.</w:t>
      </w:r>
    </w:p>
    <w:p w14:paraId="122A814F" w14:textId="09369DA9" w:rsidR="00942641" w:rsidRPr="0042283A" w:rsidRDefault="00942641" w:rsidP="00942641">
      <w:pPr>
        <w:spacing w:before="120" w:line="276" w:lineRule="auto"/>
        <w:ind w:firstLine="708"/>
        <w:jc w:val="both"/>
        <w:rPr>
          <w:rFonts w:ascii="Arial" w:hAnsi="Arial" w:cs="Arial"/>
          <w:color w:val="000000" w:themeColor="text1"/>
          <w:sz w:val="22"/>
          <w:lang w:val="es-ES_tradnl"/>
        </w:rPr>
      </w:pPr>
      <w:r w:rsidRPr="0042283A">
        <w:rPr>
          <w:rFonts w:ascii="Arial" w:hAnsi="Arial" w:cs="Arial"/>
          <w:color w:val="000000" w:themeColor="text1"/>
          <w:sz w:val="22"/>
          <w:lang w:val="es-ES_tradnl"/>
        </w:rPr>
        <w:t>El Libro 2, Parte 2, Título 1, Capítulo 2, Sección 1, Subsección 3 del Decreto 1082 de 2015</w:t>
      </w:r>
      <w:r w:rsidR="00F81100" w:rsidRPr="0042283A">
        <w:rPr>
          <w:rFonts w:ascii="Arial" w:hAnsi="Arial" w:cs="Arial"/>
          <w:color w:val="000000" w:themeColor="text1"/>
          <w:sz w:val="22"/>
          <w:lang w:val="es-ES_tradnl"/>
        </w:rPr>
        <w:t>,</w:t>
      </w:r>
      <w:r w:rsidRPr="0042283A">
        <w:rPr>
          <w:rFonts w:ascii="Arial" w:hAnsi="Arial" w:cs="Arial"/>
          <w:color w:val="000000" w:themeColor="text1"/>
          <w:sz w:val="22"/>
          <w:lang w:val="es-ES_tradnl"/>
        </w:rPr>
        <w:t xml:space="preserve"> regula </w:t>
      </w:r>
      <w:r w:rsidR="00515625" w:rsidRPr="0042283A">
        <w:rPr>
          <w:rFonts w:ascii="Arial" w:hAnsi="Arial" w:cs="Arial"/>
          <w:color w:val="000000" w:themeColor="text1"/>
          <w:sz w:val="22"/>
          <w:lang w:val="es-ES_tradnl"/>
        </w:rPr>
        <w:t>las distintas modalidades d</w:t>
      </w:r>
      <w:r w:rsidRPr="0042283A">
        <w:rPr>
          <w:rFonts w:ascii="Arial" w:hAnsi="Arial" w:cs="Arial"/>
          <w:color w:val="000000" w:themeColor="text1"/>
          <w:sz w:val="22"/>
          <w:lang w:val="es-ES_tradnl"/>
        </w:rPr>
        <w:t xml:space="preserve">el concurso de méritos: i) concurso de méritos abierto o sin precalificación, ii) concurso de méritos cerrado o con precalificación y iii) concurso de méritos «para la selección de consultores de diseño, planos, anteproyectos y proyectos arquitectónicos». El primero está regulado en los artículos 2.2.1.2.1.3.1. y 2.2.1.2.1.3.2. </w:t>
      </w:r>
      <w:r w:rsidRPr="0042283A">
        <w:rPr>
          <w:rFonts w:ascii="Arial" w:hAnsi="Arial" w:cs="Arial"/>
          <w:i/>
          <w:iCs/>
          <w:color w:val="000000" w:themeColor="text1"/>
          <w:sz w:val="22"/>
          <w:lang w:val="es-ES_tradnl"/>
        </w:rPr>
        <w:t>ibídem</w:t>
      </w:r>
      <w:r w:rsidRPr="0042283A">
        <w:rPr>
          <w:rFonts w:ascii="Arial" w:hAnsi="Arial" w:cs="Arial"/>
          <w:color w:val="000000" w:themeColor="text1"/>
          <w:sz w:val="22"/>
          <w:lang w:val="es-ES_tradnl"/>
        </w:rPr>
        <w:t xml:space="preserve">. El segundo, además de los dos artículos anteriores, lo regulan los artículos 2.2.1.2.1.3.3. a 2.2.1.2.1.3.7. </w:t>
      </w:r>
      <w:proofErr w:type="spellStart"/>
      <w:r w:rsidRPr="0042283A">
        <w:rPr>
          <w:rFonts w:ascii="Arial" w:hAnsi="Arial" w:cs="Arial"/>
          <w:i/>
          <w:iCs/>
          <w:color w:val="000000" w:themeColor="text1"/>
          <w:sz w:val="22"/>
          <w:lang w:val="es-ES_tradnl"/>
        </w:rPr>
        <w:t>ejusdem</w:t>
      </w:r>
      <w:proofErr w:type="spellEnd"/>
      <w:r w:rsidRPr="0042283A">
        <w:rPr>
          <w:rFonts w:ascii="Arial" w:hAnsi="Arial" w:cs="Arial"/>
          <w:color w:val="000000" w:themeColor="text1"/>
          <w:sz w:val="22"/>
          <w:lang w:val="es-ES_tradnl"/>
        </w:rPr>
        <w:t>. El tercero lo regulan los artículos 2.2.1.2.1.3.8. a 2.2.1.2.1.3.25. del mencionado Decreto.</w:t>
      </w:r>
    </w:p>
    <w:p w14:paraId="03AF6096" w14:textId="2C09A0BA" w:rsidR="00942641" w:rsidRPr="0042283A" w:rsidRDefault="00942641" w:rsidP="00942641">
      <w:pPr>
        <w:spacing w:before="120" w:line="276" w:lineRule="auto"/>
        <w:ind w:firstLine="708"/>
        <w:jc w:val="both"/>
        <w:rPr>
          <w:rFonts w:ascii="Arial" w:hAnsi="Arial" w:cs="Arial"/>
          <w:color w:val="000000" w:themeColor="text1"/>
          <w:sz w:val="22"/>
          <w:lang w:val="es-ES_tradnl"/>
        </w:rPr>
      </w:pPr>
      <w:r w:rsidRPr="0042283A">
        <w:rPr>
          <w:rFonts w:ascii="Arial" w:hAnsi="Arial" w:cs="Arial"/>
          <w:color w:val="000000" w:themeColor="text1"/>
          <w:sz w:val="22"/>
          <w:lang w:val="es-ES_tradnl"/>
        </w:rPr>
        <w:t xml:space="preserve">Ahora bien, </w:t>
      </w:r>
      <w:bookmarkStart w:id="6" w:name="_Hlk43918348"/>
      <w:r w:rsidRPr="0042283A">
        <w:rPr>
          <w:rFonts w:ascii="Arial" w:hAnsi="Arial" w:cs="Arial"/>
          <w:color w:val="000000" w:themeColor="text1"/>
          <w:sz w:val="22"/>
          <w:lang w:val="es-ES_tradnl"/>
        </w:rPr>
        <w:t>la Sección Tercera del Consejo de Estado, en autos del 25 de julio de 2018</w:t>
      </w:r>
      <w:r w:rsidRPr="0042283A">
        <w:rPr>
          <w:rStyle w:val="Refdenotaalpie"/>
          <w:rFonts w:ascii="Arial" w:hAnsi="Arial" w:cs="Arial"/>
          <w:color w:val="000000" w:themeColor="text1"/>
          <w:sz w:val="22"/>
          <w:lang w:val="es-ES_tradnl"/>
        </w:rPr>
        <w:footnoteReference w:id="3"/>
      </w:r>
      <w:r w:rsidRPr="0042283A">
        <w:rPr>
          <w:rFonts w:ascii="Arial" w:hAnsi="Arial" w:cs="Arial"/>
          <w:color w:val="000000" w:themeColor="text1"/>
          <w:sz w:val="22"/>
          <w:lang w:val="es-ES_tradnl"/>
        </w:rPr>
        <w:t xml:space="preserve"> y del 20 de febrero de 2019</w:t>
      </w:r>
      <w:r w:rsidRPr="0042283A">
        <w:rPr>
          <w:rStyle w:val="Refdenotaalpie"/>
          <w:rFonts w:ascii="Arial" w:hAnsi="Arial" w:cs="Arial"/>
          <w:color w:val="000000" w:themeColor="text1"/>
          <w:sz w:val="22"/>
          <w:lang w:val="es-ES_tradnl"/>
        </w:rPr>
        <w:footnoteReference w:id="4"/>
      </w:r>
      <w:r w:rsidRPr="0042283A">
        <w:rPr>
          <w:rFonts w:ascii="Arial" w:hAnsi="Arial" w:cs="Arial"/>
          <w:color w:val="000000" w:themeColor="text1"/>
          <w:sz w:val="22"/>
          <w:lang w:val="es-ES_tradnl"/>
        </w:rPr>
        <w:t>, suspendió provisionalmente, por un lado, el numeral 6 del artículo 2.2.1.2.1.3.2. del Decreto 1082 de 2015 y, por el otro, los numerales 3, 4 y 5 de la misma disposición. Las normas suspendidas regula</w:t>
      </w:r>
      <w:r w:rsidR="009B7FFD" w:rsidRPr="0042283A">
        <w:rPr>
          <w:rFonts w:ascii="Arial" w:hAnsi="Arial" w:cs="Arial"/>
          <w:color w:val="000000" w:themeColor="text1"/>
          <w:sz w:val="22"/>
          <w:lang w:val="es-ES_tradnl"/>
        </w:rPr>
        <w:t>ba</w:t>
      </w:r>
      <w:r w:rsidRPr="0042283A">
        <w:rPr>
          <w:rFonts w:ascii="Arial" w:hAnsi="Arial" w:cs="Arial"/>
          <w:color w:val="000000" w:themeColor="text1"/>
          <w:sz w:val="22"/>
          <w:lang w:val="es-ES_tradnl"/>
        </w:rPr>
        <w:t>n el concurso de méritos abierto o sin precalificación</w:t>
      </w:r>
      <w:bookmarkEnd w:id="6"/>
      <w:r w:rsidR="00085E95" w:rsidRPr="0042283A">
        <w:rPr>
          <w:rFonts w:ascii="Arial" w:hAnsi="Arial" w:cs="Arial"/>
          <w:color w:val="000000" w:themeColor="text1"/>
          <w:sz w:val="22"/>
          <w:lang w:val="es-ES_tradnl"/>
        </w:rPr>
        <w:t>. Además, se precisa que dichas disposiciones fueron posteriormente modificadas por el Decreto 399 del de 2021, al que se hará referencia más adelante</w:t>
      </w:r>
      <w:r w:rsidRPr="0042283A">
        <w:rPr>
          <w:rFonts w:ascii="Arial" w:hAnsi="Arial" w:cs="Arial"/>
          <w:color w:val="000000" w:themeColor="text1"/>
          <w:sz w:val="22"/>
          <w:lang w:val="es-ES_tradnl"/>
        </w:rPr>
        <w:t xml:space="preserve">. El texto de estos numerales </w:t>
      </w:r>
      <w:r w:rsidR="009B7FFD" w:rsidRPr="0042283A">
        <w:rPr>
          <w:rFonts w:ascii="Arial" w:hAnsi="Arial" w:cs="Arial"/>
          <w:color w:val="000000" w:themeColor="text1"/>
          <w:sz w:val="22"/>
          <w:lang w:val="es-ES_tradnl"/>
        </w:rPr>
        <w:t>disponía</w:t>
      </w:r>
      <w:r w:rsidRPr="0042283A">
        <w:rPr>
          <w:rFonts w:ascii="Arial" w:hAnsi="Arial" w:cs="Arial"/>
          <w:color w:val="000000" w:themeColor="text1"/>
          <w:sz w:val="22"/>
          <w:lang w:val="es-ES_tradnl"/>
        </w:rPr>
        <w:t xml:space="preserve"> lo siguiente: </w:t>
      </w:r>
    </w:p>
    <w:p w14:paraId="7A190666" w14:textId="77777777" w:rsidR="00942641" w:rsidRPr="0042283A" w:rsidRDefault="00942641" w:rsidP="00942641">
      <w:pPr>
        <w:pStyle w:val="Sinespaciado"/>
        <w:spacing w:line="276" w:lineRule="auto"/>
        <w:jc w:val="both"/>
        <w:rPr>
          <w:rFonts w:ascii="Arial" w:hAnsi="Arial" w:cs="Arial"/>
          <w:color w:val="000000" w:themeColor="text1"/>
          <w:lang w:val="es-ES_tradnl"/>
        </w:rPr>
      </w:pPr>
    </w:p>
    <w:p w14:paraId="2D1761D4" w14:textId="77777777" w:rsidR="00942641" w:rsidRPr="0042283A" w:rsidRDefault="00942641" w:rsidP="00942641">
      <w:pPr>
        <w:pStyle w:val="Sinespaciado"/>
        <w:spacing w:after="120"/>
        <w:ind w:left="709" w:right="709"/>
        <w:jc w:val="both"/>
        <w:rPr>
          <w:rFonts w:ascii="Arial" w:hAnsi="Arial" w:cs="Arial"/>
          <w:color w:val="000000" w:themeColor="text1"/>
          <w:sz w:val="21"/>
          <w:szCs w:val="21"/>
          <w:lang w:val="es-ES_tradnl"/>
        </w:rPr>
      </w:pPr>
      <w:r w:rsidRPr="0042283A">
        <w:rPr>
          <w:rFonts w:ascii="Arial" w:hAnsi="Arial" w:cs="Arial"/>
          <w:color w:val="000000" w:themeColor="text1"/>
          <w:sz w:val="21"/>
          <w:szCs w:val="21"/>
          <w:lang w:val="es-ES_tradnl"/>
        </w:rPr>
        <w:t>Artículo 2.2.1.2.1.3.2. Procedimiento del concurso de méritos. Además de las reglas generales previstas en la ley y en el presente título, las siguientes reglas son aplicables al concurso de méritos abierto o con precalificación:</w:t>
      </w:r>
    </w:p>
    <w:p w14:paraId="7510D5B5" w14:textId="77777777" w:rsidR="00942641" w:rsidRPr="0042283A" w:rsidRDefault="00942641" w:rsidP="00942641">
      <w:pPr>
        <w:pStyle w:val="Sinespaciado"/>
        <w:spacing w:after="120"/>
        <w:ind w:left="709" w:right="709"/>
        <w:jc w:val="both"/>
        <w:rPr>
          <w:rFonts w:ascii="Arial" w:hAnsi="Arial" w:cs="Arial"/>
          <w:color w:val="000000" w:themeColor="text1"/>
          <w:sz w:val="21"/>
          <w:szCs w:val="21"/>
          <w:lang w:val="es-ES_tradnl"/>
        </w:rPr>
      </w:pPr>
      <w:r w:rsidRPr="0042283A">
        <w:rPr>
          <w:rFonts w:ascii="Arial" w:hAnsi="Arial" w:cs="Arial"/>
          <w:color w:val="000000" w:themeColor="text1"/>
          <w:sz w:val="21"/>
          <w:szCs w:val="21"/>
          <w:lang w:val="es-ES_tradnl"/>
        </w:rPr>
        <w:t>1. La Entidad Estatal en los pliegos de condiciones debe indicar la forma como calificará, entre otros, los siguientes criterios: a) la experiencia del interesado y del equipo de trabajo, y b) la formación académica y las publicaciones técnicas y científicas del equipo de trabajo.</w:t>
      </w:r>
    </w:p>
    <w:p w14:paraId="21E37CD6" w14:textId="77777777" w:rsidR="00942641" w:rsidRPr="0042283A" w:rsidRDefault="00942641" w:rsidP="00942641">
      <w:pPr>
        <w:pStyle w:val="Sinespaciado"/>
        <w:spacing w:after="120"/>
        <w:ind w:left="709" w:right="709"/>
        <w:jc w:val="both"/>
        <w:rPr>
          <w:rFonts w:ascii="Arial" w:hAnsi="Arial" w:cs="Arial"/>
          <w:color w:val="000000" w:themeColor="text1"/>
          <w:sz w:val="21"/>
          <w:szCs w:val="21"/>
          <w:lang w:val="es-ES_tradnl"/>
        </w:rPr>
      </w:pPr>
      <w:r w:rsidRPr="0042283A">
        <w:rPr>
          <w:rFonts w:ascii="Arial" w:hAnsi="Arial" w:cs="Arial"/>
          <w:color w:val="000000" w:themeColor="text1"/>
          <w:sz w:val="21"/>
          <w:szCs w:val="21"/>
          <w:lang w:val="es-ES_tradnl"/>
        </w:rPr>
        <w:t>2. La Entidad Estatal debe publicar durante tres (3) días hábiles el informe de evaluación, el cual debe contener la calificación técnica y el orden de elegibilidad.</w:t>
      </w:r>
    </w:p>
    <w:p w14:paraId="2F38EFCA" w14:textId="77777777" w:rsidR="00942641" w:rsidRPr="0042283A" w:rsidRDefault="00942641" w:rsidP="00942641">
      <w:pPr>
        <w:pStyle w:val="Sinespaciado"/>
        <w:spacing w:after="120"/>
        <w:ind w:left="709" w:right="709"/>
        <w:jc w:val="both"/>
        <w:rPr>
          <w:rFonts w:ascii="Arial" w:hAnsi="Arial" w:cs="Arial"/>
          <w:i/>
          <w:color w:val="000000" w:themeColor="text1"/>
          <w:sz w:val="21"/>
          <w:szCs w:val="21"/>
          <w:lang w:val="es-ES_tradnl"/>
        </w:rPr>
      </w:pPr>
      <w:r w:rsidRPr="0042283A">
        <w:rPr>
          <w:rFonts w:ascii="Arial" w:hAnsi="Arial" w:cs="Arial"/>
          <w:i/>
          <w:color w:val="000000" w:themeColor="text1"/>
          <w:sz w:val="21"/>
          <w:szCs w:val="21"/>
          <w:lang w:val="es-ES_tradnl"/>
        </w:rPr>
        <w:t>3. La Entidad Estatal debe revisar la oferta económica y verificar que está en el rango del valor estimado consignado en los documentos y estudios previos y del presupuesto asignado para el contrato.</w:t>
      </w:r>
    </w:p>
    <w:p w14:paraId="3653EE40" w14:textId="77777777" w:rsidR="00942641" w:rsidRPr="0042283A" w:rsidRDefault="00942641" w:rsidP="00942641">
      <w:pPr>
        <w:pStyle w:val="Sinespaciado"/>
        <w:spacing w:after="120"/>
        <w:ind w:left="709" w:right="709"/>
        <w:jc w:val="both"/>
        <w:rPr>
          <w:rFonts w:ascii="Arial" w:hAnsi="Arial" w:cs="Arial"/>
          <w:i/>
          <w:color w:val="000000" w:themeColor="text1"/>
          <w:sz w:val="21"/>
          <w:szCs w:val="21"/>
          <w:lang w:val="es-ES_tradnl"/>
        </w:rPr>
      </w:pPr>
      <w:r w:rsidRPr="0042283A">
        <w:rPr>
          <w:rFonts w:ascii="Arial" w:hAnsi="Arial" w:cs="Arial"/>
          <w:i/>
          <w:color w:val="000000" w:themeColor="text1"/>
          <w:sz w:val="21"/>
          <w:szCs w:val="21"/>
          <w:lang w:val="es-ES_tradnl"/>
        </w:rPr>
        <w:t xml:space="preserve">4. La Entidad Estatal debe revisar con el oferente calificado en el primer lugar de elegibilidad la coherencia y consistencia entre: i) la necesidad identificada por la Entidad Estatal y el alcance de la oferta; ii) la </w:t>
      </w:r>
      <w:proofErr w:type="gramStart"/>
      <w:r w:rsidRPr="0042283A">
        <w:rPr>
          <w:rFonts w:ascii="Arial" w:hAnsi="Arial" w:cs="Arial"/>
          <w:i/>
          <w:color w:val="000000" w:themeColor="text1"/>
          <w:sz w:val="21"/>
          <w:szCs w:val="21"/>
          <w:lang w:val="es-ES_tradnl"/>
        </w:rPr>
        <w:t>consultoría ofrecida y el precio ofrecido</w:t>
      </w:r>
      <w:proofErr w:type="gramEnd"/>
      <w:r w:rsidRPr="0042283A">
        <w:rPr>
          <w:rFonts w:ascii="Arial" w:hAnsi="Arial" w:cs="Arial"/>
          <w:i/>
          <w:color w:val="000000" w:themeColor="text1"/>
          <w:sz w:val="21"/>
          <w:szCs w:val="21"/>
          <w:lang w:val="es-ES_tradnl"/>
        </w:rPr>
        <w:t xml:space="preserve">, y iii) el precio ofrecido y la disponibilidad presupuestal del respectivo </w:t>
      </w:r>
      <w:r w:rsidRPr="0042283A">
        <w:rPr>
          <w:rFonts w:ascii="Arial" w:hAnsi="Arial" w:cs="Arial"/>
          <w:i/>
          <w:color w:val="000000" w:themeColor="text1"/>
          <w:sz w:val="21"/>
          <w:szCs w:val="21"/>
          <w:lang w:val="es-ES_tradnl"/>
        </w:rPr>
        <w:lastRenderedPageBreak/>
        <w:t xml:space="preserve">Proceso de Contratación. Si la Entidad Estatal y el oferente llegan a un acuerdo sobre el alcance y el valor del contrato, dejarán constancia </w:t>
      </w:r>
      <w:proofErr w:type="gramStart"/>
      <w:r w:rsidRPr="0042283A">
        <w:rPr>
          <w:rFonts w:ascii="Arial" w:hAnsi="Arial" w:cs="Arial"/>
          <w:i/>
          <w:color w:val="000000" w:themeColor="text1"/>
          <w:sz w:val="21"/>
          <w:szCs w:val="21"/>
          <w:lang w:val="es-ES_tradnl"/>
        </w:rPr>
        <w:t>del mismo</w:t>
      </w:r>
      <w:proofErr w:type="gramEnd"/>
      <w:r w:rsidRPr="0042283A">
        <w:rPr>
          <w:rFonts w:ascii="Arial" w:hAnsi="Arial" w:cs="Arial"/>
          <w:i/>
          <w:color w:val="000000" w:themeColor="text1"/>
          <w:sz w:val="21"/>
          <w:szCs w:val="21"/>
          <w:lang w:val="es-ES_tradnl"/>
        </w:rPr>
        <w:t xml:space="preserve"> y firmarán el contrato.</w:t>
      </w:r>
    </w:p>
    <w:p w14:paraId="4CE7ED3C" w14:textId="77777777" w:rsidR="00942641" w:rsidRPr="0042283A" w:rsidRDefault="00942641" w:rsidP="00942641">
      <w:pPr>
        <w:pStyle w:val="Sinespaciado"/>
        <w:spacing w:after="120"/>
        <w:ind w:left="709" w:right="709"/>
        <w:jc w:val="both"/>
        <w:rPr>
          <w:rFonts w:ascii="Arial" w:hAnsi="Arial" w:cs="Arial"/>
          <w:i/>
          <w:color w:val="000000" w:themeColor="text1"/>
          <w:sz w:val="21"/>
          <w:szCs w:val="21"/>
          <w:lang w:val="es-ES_tradnl"/>
        </w:rPr>
      </w:pPr>
      <w:r w:rsidRPr="0042283A">
        <w:rPr>
          <w:rFonts w:ascii="Arial" w:hAnsi="Arial" w:cs="Arial"/>
          <w:i/>
          <w:color w:val="000000" w:themeColor="text1"/>
          <w:sz w:val="21"/>
          <w:szCs w:val="21"/>
          <w:lang w:val="es-ES_tradnl"/>
        </w:rPr>
        <w:t xml:space="preserve">5. Si la Entidad Estatal y el oferente calificado en el primer lugar de elegibilidad no llegan a un acuerdo dejarán constancia de ello y la Entidad Estatal revisará con el oferente calificado en el segundo lugar de elegibilidad los aspectos a los que se refiere el numeral anterior. Si la Entidad Estatal y el oferente llegan a un acuerdo dejarán constancia </w:t>
      </w:r>
      <w:proofErr w:type="gramStart"/>
      <w:r w:rsidRPr="0042283A">
        <w:rPr>
          <w:rFonts w:ascii="Arial" w:hAnsi="Arial" w:cs="Arial"/>
          <w:i/>
          <w:color w:val="000000" w:themeColor="text1"/>
          <w:sz w:val="21"/>
          <w:szCs w:val="21"/>
          <w:lang w:val="es-ES_tradnl"/>
        </w:rPr>
        <w:t>del mismo</w:t>
      </w:r>
      <w:proofErr w:type="gramEnd"/>
      <w:r w:rsidRPr="0042283A">
        <w:rPr>
          <w:rFonts w:ascii="Arial" w:hAnsi="Arial" w:cs="Arial"/>
          <w:i/>
          <w:color w:val="000000" w:themeColor="text1"/>
          <w:sz w:val="21"/>
          <w:szCs w:val="21"/>
          <w:lang w:val="es-ES_tradnl"/>
        </w:rPr>
        <w:t xml:space="preserve"> y firmarán el contrato.</w:t>
      </w:r>
    </w:p>
    <w:p w14:paraId="7884E46B" w14:textId="77777777" w:rsidR="00942641" w:rsidRPr="0042283A" w:rsidRDefault="00942641" w:rsidP="00942641">
      <w:pPr>
        <w:pStyle w:val="Sinespaciado"/>
        <w:ind w:left="709" w:right="709"/>
        <w:jc w:val="both"/>
        <w:rPr>
          <w:rFonts w:ascii="Arial" w:hAnsi="Arial" w:cs="Arial"/>
          <w:color w:val="000000" w:themeColor="text1"/>
          <w:sz w:val="21"/>
          <w:szCs w:val="21"/>
          <w:lang w:val="es-ES_tradnl"/>
        </w:rPr>
      </w:pPr>
      <w:r w:rsidRPr="0042283A">
        <w:rPr>
          <w:rFonts w:ascii="Arial" w:hAnsi="Arial" w:cs="Arial"/>
          <w:i/>
          <w:color w:val="000000" w:themeColor="text1"/>
          <w:sz w:val="21"/>
          <w:szCs w:val="21"/>
          <w:lang w:val="es-ES_tradnl"/>
        </w:rPr>
        <w:t>6. Si la Entidad Estatal y el oferente calificado en el segundo lugar de elegibilidad no llegan a un acuerdo, la Entidad Estatal debe declarar desierto el Proceso de Contratación</w:t>
      </w:r>
      <w:r w:rsidRPr="0042283A">
        <w:rPr>
          <w:rFonts w:ascii="Arial" w:hAnsi="Arial" w:cs="Arial"/>
          <w:color w:val="000000" w:themeColor="text1"/>
          <w:sz w:val="21"/>
          <w:szCs w:val="21"/>
          <w:lang w:val="es-ES_tradnl"/>
        </w:rPr>
        <w:t>. (Énfasis fuera de texto)</w:t>
      </w:r>
    </w:p>
    <w:p w14:paraId="1D3BE3F8" w14:textId="77777777" w:rsidR="00942641" w:rsidRPr="0042283A" w:rsidRDefault="00942641" w:rsidP="00942641">
      <w:pPr>
        <w:jc w:val="both"/>
        <w:rPr>
          <w:rFonts w:ascii="Arial" w:hAnsi="Arial" w:cs="Arial"/>
          <w:color w:val="000000" w:themeColor="text1"/>
          <w:sz w:val="22"/>
          <w:lang w:val="es-ES_tradnl"/>
        </w:rPr>
      </w:pPr>
    </w:p>
    <w:p w14:paraId="1DA567C1" w14:textId="7B34B38A" w:rsidR="00942641" w:rsidRPr="0042283A" w:rsidRDefault="00942641" w:rsidP="00942641">
      <w:pPr>
        <w:spacing w:after="120" w:line="276" w:lineRule="auto"/>
        <w:ind w:firstLine="709"/>
        <w:jc w:val="both"/>
        <w:rPr>
          <w:rFonts w:ascii="Arial" w:hAnsi="Arial" w:cs="Arial"/>
          <w:color w:val="000000" w:themeColor="text1"/>
          <w:sz w:val="22"/>
          <w:lang w:val="es-ES_tradnl"/>
        </w:rPr>
      </w:pPr>
      <w:r w:rsidRPr="0042283A">
        <w:rPr>
          <w:rFonts w:ascii="Arial" w:hAnsi="Arial" w:cs="Arial"/>
          <w:color w:val="000000" w:themeColor="text1"/>
          <w:sz w:val="22"/>
          <w:lang w:val="es-ES_tradnl"/>
        </w:rPr>
        <w:t xml:space="preserve">Los citados numerales 3, 4 y 5 </w:t>
      </w:r>
      <w:r w:rsidR="00237D1D" w:rsidRPr="0042283A">
        <w:rPr>
          <w:rFonts w:ascii="Arial" w:hAnsi="Arial" w:cs="Arial"/>
          <w:color w:val="000000" w:themeColor="text1"/>
          <w:sz w:val="22"/>
          <w:lang w:val="es-ES_tradnl"/>
        </w:rPr>
        <w:t>disponían</w:t>
      </w:r>
      <w:r w:rsidRPr="0042283A">
        <w:rPr>
          <w:rFonts w:ascii="Arial" w:hAnsi="Arial" w:cs="Arial"/>
          <w:color w:val="000000" w:themeColor="text1"/>
          <w:sz w:val="22"/>
          <w:lang w:val="es-ES_tradnl"/>
        </w:rPr>
        <w:t xml:space="preserve"> la verificación del precio. Por un lado, los numerales 3 y 4 </w:t>
      </w:r>
      <w:r w:rsidR="00237D1D" w:rsidRPr="0042283A">
        <w:rPr>
          <w:rFonts w:ascii="Arial" w:hAnsi="Arial" w:cs="Arial"/>
          <w:color w:val="000000" w:themeColor="text1"/>
          <w:sz w:val="22"/>
          <w:lang w:val="es-ES_tradnl"/>
        </w:rPr>
        <w:t>exigían</w:t>
      </w:r>
      <w:r w:rsidRPr="0042283A">
        <w:rPr>
          <w:rFonts w:ascii="Arial" w:hAnsi="Arial" w:cs="Arial"/>
          <w:color w:val="000000" w:themeColor="text1"/>
          <w:sz w:val="22"/>
          <w:lang w:val="es-ES_tradnl"/>
        </w:rPr>
        <w:t xml:space="preserve"> que </w:t>
      </w:r>
      <w:r w:rsidR="00237D1D" w:rsidRPr="0042283A">
        <w:rPr>
          <w:rFonts w:ascii="Arial" w:hAnsi="Arial" w:cs="Arial"/>
          <w:color w:val="000000" w:themeColor="text1"/>
          <w:sz w:val="22"/>
          <w:lang w:val="es-ES_tradnl"/>
        </w:rPr>
        <w:t>estuviera</w:t>
      </w:r>
      <w:r w:rsidRPr="0042283A">
        <w:rPr>
          <w:rFonts w:ascii="Arial" w:hAnsi="Arial" w:cs="Arial"/>
          <w:color w:val="000000" w:themeColor="text1"/>
          <w:sz w:val="22"/>
          <w:lang w:val="es-ES_tradnl"/>
        </w:rPr>
        <w:t xml:space="preserve"> dentro del presupuesto disponible y que este aspecto </w:t>
      </w:r>
      <w:r w:rsidR="002A38C8" w:rsidRPr="0042283A">
        <w:rPr>
          <w:rFonts w:ascii="Arial" w:hAnsi="Arial" w:cs="Arial"/>
          <w:color w:val="000000" w:themeColor="text1"/>
          <w:sz w:val="22"/>
          <w:lang w:val="es-ES_tradnl"/>
        </w:rPr>
        <w:t>fuera</w:t>
      </w:r>
      <w:r w:rsidRPr="0042283A">
        <w:rPr>
          <w:rFonts w:ascii="Arial" w:hAnsi="Arial" w:cs="Arial"/>
          <w:color w:val="000000" w:themeColor="text1"/>
          <w:sz w:val="22"/>
          <w:lang w:val="es-ES_tradnl"/>
        </w:rPr>
        <w:t xml:space="preserve"> producto del acuerdo entre la entidad y el oferente calificado en primer lugar. Por otro lado, el numeral 5 </w:t>
      </w:r>
      <w:r w:rsidR="002A38C8" w:rsidRPr="0042283A">
        <w:rPr>
          <w:rFonts w:ascii="Arial" w:hAnsi="Arial" w:cs="Arial"/>
          <w:color w:val="000000" w:themeColor="text1"/>
          <w:sz w:val="22"/>
          <w:lang w:val="es-ES_tradnl"/>
        </w:rPr>
        <w:t>disponía</w:t>
      </w:r>
      <w:r w:rsidRPr="0042283A">
        <w:rPr>
          <w:rFonts w:ascii="Arial" w:hAnsi="Arial" w:cs="Arial"/>
          <w:color w:val="000000" w:themeColor="text1"/>
          <w:sz w:val="22"/>
          <w:lang w:val="es-ES_tradnl"/>
        </w:rPr>
        <w:t xml:space="preserve"> el procedimiento a seguir en el evento en que la entidad estatal y el calificado en primer orden de elegibilidad no lleg</w:t>
      </w:r>
      <w:r w:rsidR="002A38C8" w:rsidRPr="0042283A">
        <w:rPr>
          <w:rFonts w:ascii="Arial" w:hAnsi="Arial" w:cs="Arial"/>
          <w:color w:val="000000" w:themeColor="text1"/>
          <w:sz w:val="22"/>
          <w:lang w:val="es-ES_tradnl"/>
        </w:rPr>
        <w:t>aran</w:t>
      </w:r>
      <w:r w:rsidRPr="0042283A">
        <w:rPr>
          <w:rFonts w:ascii="Arial" w:hAnsi="Arial" w:cs="Arial"/>
          <w:color w:val="000000" w:themeColor="text1"/>
          <w:sz w:val="22"/>
          <w:lang w:val="es-ES_tradnl"/>
        </w:rPr>
        <w:t xml:space="preserve"> a un acuerdo sobre el precio del contrato. Además, el numeral 6 solo permit</w:t>
      </w:r>
      <w:r w:rsidR="002A38C8" w:rsidRPr="0042283A">
        <w:rPr>
          <w:rFonts w:ascii="Arial" w:hAnsi="Arial" w:cs="Arial"/>
          <w:color w:val="000000" w:themeColor="text1"/>
          <w:sz w:val="22"/>
          <w:lang w:val="es-ES_tradnl"/>
        </w:rPr>
        <w:t>ía</w:t>
      </w:r>
      <w:r w:rsidRPr="0042283A">
        <w:rPr>
          <w:rFonts w:ascii="Arial" w:hAnsi="Arial" w:cs="Arial"/>
          <w:color w:val="000000" w:themeColor="text1"/>
          <w:sz w:val="22"/>
          <w:lang w:val="es-ES_tradnl"/>
        </w:rPr>
        <w:t xml:space="preserve"> negociar el precio con el proponente que ocup</w:t>
      </w:r>
      <w:r w:rsidR="002A38C8" w:rsidRPr="0042283A">
        <w:rPr>
          <w:rFonts w:ascii="Arial" w:hAnsi="Arial" w:cs="Arial"/>
          <w:color w:val="000000" w:themeColor="text1"/>
          <w:sz w:val="22"/>
          <w:lang w:val="es-ES_tradnl"/>
        </w:rPr>
        <w:t>ara</w:t>
      </w:r>
      <w:r w:rsidRPr="0042283A">
        <w:rPr>
          <w:rFonts w:ascii="Arial" w:hAnsi="Arial" w:cs="Arial"/>
          <w:color w:val="000000" w:themeColor="text1"/>
          <w:sz w:val="22"/>
          <w:lang w:val="es-ES_tradnl"/>
        </w:rPr>
        <w:t xml:space="preserve"> e</w:t>
      </w:r>
      <w:r w:rsidR="002A38C8" w:rsidRPr="0042283A">
        <w:rPr>
          <w:rFonts w:ascii="Arial" w:hAnsi="Arial" w:cs="Arial"/>
          <w:color w:val="000000" w:themeColor="text1"/>
          <w:sz w:val="22"/>
          <w:lang w:val="es-ES_tradnl"/>
        </w:rPr>
        <w:t>l</w:t>
      </w:r>
      <w:r w:rsidRPr="0042283A">
        <w:rPr>
          <w:rFonts w:ascii="Arial" w:hAnsi="Arial" w:cs="Arial"/>
          <w:color w:val="000000" w:themeColor="text1"/>
          <w:sz w:val="22"/>
          <w:lang w:val="es-ES_tradnl"/>
        </w:rPr>
        <w:t xml:space="preserve"> segundo orden de elegibilidad, por lo </w:t>
      </w:r>
      <w:proofErr w:type="gramStart"/>
      <w:r w:rsidRPr="0042283A">
        <w:rPr>
          <w:rFonts w:ascii="Arial" w:hAnsi="Arial" w:cs="Arial"/>
          <w:color w:val="000000" w:themeColor="text1"/>
          <w:sz w:val="22"/>
          <w:lang w:val="es-ES_tradnl"/>
        </w:rPr>
        <w:t>que</w:t>
      </w:r>
      <w:proofErr w:type="gramEnd"/>
      <w:r w:rsidRPr="0042283A">
        <w:rPr>
          <w:rFonts w:ascii="Arial" w:hAnsi="Arial" w:cs="Arial"/>
          <w:color w:val="000000" w:themeColor="text1"/>
          <w:sz w:val="22"/>
          <w:lang w:val="es-ES_tradnl"/>
        </w:rPr>
        <w:t xml:space="preserve"> si no </w:t>
      </w:r>
      <w:r w:rsidR="002A38C8" w:rsidRPr="0042283A">
        <w:rPr>
          <w:rFonts w:ascii="Arial" w:hAnsi="Arial" w:cs="Arial"/>
          <w:color w:val="000000" w:themeColor="text1"/>
          <w:sz w:val="22"/>
          <w:lang w:val="es-ES_tradnl"/>
        </w:rPr>
        <w:t>era</w:t>
      </w:r>
      <w:r w:rsidRPr="0042283A">
        <w:rPr>
          <w:rFonts w:ascii="Arial" w:hAnsi="Arial" w:cs="Arial"/>
          <w:color w:val="000000" w:themeColor="text1"/>
          <w:sz w:val="22"/>
          <w:lang w:val="es-ES_tradnl"/>
        </w:rPr>
        <w:t xml:space="preserve"> posible llegar a un acuerdo con este, procedía la declaración de desierta. </w:t>
      </w:r>
    </w:p>
    <w:p w14:paraId="6D8A159A" w14:textId="7614BEC5" w:rsidR="00942641" w:rsidRPr="0042283A" w:rsidRDefault="00942641" w:rsidP="00942641">
      <w:pPr>
        <w:spacing w:after="120" w:line="276" w:lineRule="auto"/>
        <w:ind w:firstLine="709"/>
        <w:jc w:val="both"/>
        <w:rPr>
          <w:rFonts w:ascii="Arial" w:hAnsi="Arial" w:cs="Arial"/>
          <w:color w:val="000000" w:themeColor="text1"/>
          <w:sz w:val="22"/>
          <w:lang w:val="es-ES_tradnl"/>
        </w:rPr>
      </w:pPr>
      <w:bookmarkStart w:id="8" w:name="_Hlk43918393"/>
      <w:r w:rsidRPr="0042283A">
        <w:rPr>
          <w:rFonts w:ascii="Arial" w:hAnsi="Arial" w:cs="Arial"/>
          <w:color w:val="000000" w:themeColor="text1"/>
          <w:sz w:val="22"/>
          <w:lang w:val="es-ES_tradnl"/>
        </w:rPr>
        <w:t>El Consejo de Estado consider</w:t>
      </w:r>
      <w:r w:rsidR="00E1119F" w:rsidRPr="0042283A">
        <w:rPr>
          <w:rFonts w:ascii="Arial" w:hAnsi="Arial" w:cs="Arial"/>
          <w:color w:val="000000" w:themeColor="text1"/>
          <w:sz w:val="22"/>
          <w:lang w:val="es-ES_tradnl"/>
        </w:rPr>
        <w:t>ó</w:t>
      </w:r>
      <w:r w:rsidRPr="0042283A">
        <w:rPr>
          <w:rFonts w:ascii="Arial" w:hAnsi="Arial" w:cs="Arial"/>
          <w:color w:val="000000" w:themeColor="text1"/>
          <w:sz w:val="22"/>
          <w:lang w:val="es-ES_tradnl"/>
        </w:rPr>
        <w:t xml:space="preserve"> que los numerales 3, 4 y 5 violarían el artículo 5, numeral 4, último inciso, de la Ley 1150 de 2007, pues señal</w:t>
      </w:r>
      <w:r w:rsidR="00390C0B" w:rsidRPr="0042283A">
        <w:rPr>
          <w:rFonts w:ascii="Arial" w:hAnsi="Arial" w:cs="Arial"/>
          <w:color w:val="000000" w:themeColor="text1"/>
          <w:sz w:val="22"/>
          <w:lang w:val="es-ES_tradnl"/>
        </w:rPr>
        <w:t>ó</w:t>
      </w:r>
      <w:r w:rsidRPr="0042283A">
        <w:rPr>
          <w:rFonts w:ascii="Arial" w:hAnsi="Arial" w:cs="Arial"/>
          <w:color w:val="000000" w:themeColor="text1"/>
          <w:sz w:val="22"/>
          <w:lang w:val="es-ES_tradnl"/>
        </w:rPr>
        <w:t xml:space="preserve"> que: «en ningún caso se podrá incluir el precio, como factor de escogencia para la selección de consultores», así como el artículo 25, numeral 2, de la Ley 80 de 1993 que dispone lo siguiente: «[…] las normas de los procedimientos contractuales se interpretarán de tal manera que no den ocasión a seguir trámites distintos y adicionales a los expresamente previstos […]». En este sentido, </w:t>
      </w:r>
      <w:r w:rsidR="00F70F72" w:rsidRPr="0042283A">
        <w:rPr>
          <w:rFonts w:ascii="Arial" w:hAnsi="Arial" w:cs="Arial"/>
          <w:color w:val="000000" w:themeColor="text1"/>
          <w:sz w:val="22"/>
          <w:lang w:val="es-ES_tradnl"/>
        </w:rPr>
        <w:t xml:space="preserve">el alto tribunal </w:t>
      </w:r>
      <w:r w:rsidRPr="0042283A">
        <w:rPr>
          <w:rFonts w:ascii="Arial" w:hAnsi="Arial" w:cs="Arial"/>
          <w:color w:val="000000" w:themeColor="text1"/>
          <w:sz w:val="22"/>
          <w:lang w:val="es-ES_tradnl"/>
        </w:rPr>
        <w:t>expli</w:t>
      </w:r>
      <w:r w:rsidR="00F70F72" w:rsidRPr="0042283A">
        <w:rPr>
          <w:rFonts w:ascii="Arial" w:hAnsi="Arial" w:cs="Arial"/>
          <w:color w:val="000000" w:themeColor="text1"/>
          <w:sz w:val="22"/>
          <w:lang w:val="es-ES_tradnl"/>
        </w:rPr>
        <w:t xml:space="preserve">có </w:t>
      </w:r>
      <w:r w:rsidRPr="0042283A">
        <w:rPr>
          <w:rFonts w:ascii="Arial" w:hAnsi="Arial" w:cs="Arial"/>
          <w:color w:val="000000" w:themeColor="text1"/>
          <w:sz w:val="22"/>
          <w:lang w:val="es-ES_tradnl"/>
        </w:rPr>
        <w:t>que la verificación de la coherencia del precio con la disponibilidad presupuestal y la necesidad de que se logre un acuerdo en relación con el mismo desconoc</w:t>
      </w:r>
      <w:r w:rsidR="0023548D" w:rsidRPr="0042283A">
        <w:rPr>
          <w:rFonts w:ascii="Arial" w:hAnsi="Arial" w:cs="Arial"/>
          <w:color w:val="000000" w:themeColor="text1"/>
          <w:sz w:val="22"/>
          <w:lang w:val="es-ES_tradnl"/>
        </w:rPr>
        <w:t>ía</w:t>
      </w:r>
      <w:r w:rsidRPr="0042283A">
        <w:rPr>
          <w:rFonts w:ascii="Arial" w:hAnsi="Arial" w:cs="Arial"/>
          <w:color w:val="000000" w:themeColor="text1"/>
          <w:sz w:val="22"/>
          <w:lang w:val="es-ES_tradnl"/>
        </w:rPr>
        <w:t xml:space="preserve"> el principio de selección objetiva, convirtiendo el precio en un factor de selección</w:t>
      </w:r>
      <w:r w:rsidRPr="0042283A">
        <w:rPr>
          <w:rStyle w:val="Refdenotaalpie"/>
          <w:rFonts w:ascii="Arial" w:hAnsi="Arial" w:cs="Arial"/>
          <w:color w:val="000000" w:themeColor="text1"/>
          <w:sz w:val="22"/>
          <w:lang w:val="es-ES_tradnl"/>
        </w:rPr>
        <w:footnoteReference w:id="5"/>
      </w:r>
      <w:r w:rsidRPr="0042283A">
        <w:rPr>
          <w:rFonts w:ascii="Arial" w:hAnsi="Arial" w:cs="Arial"/>
          <w:color w:val="000000" w:themeColor="text1"/>
          <w:sz w:val="22"/>
          <w:lang w:val="es-ES_tradnl"/>
        </w:rPr>
        <w:t xml:space="preserve">. En lo que respecta al artículo 6, este violaría especialmente el artículo 25.18 del </w:t>
      </w:r>
      <w:r w:rsidRPr="0042283A">
        <w:rPr>
          <w:rFonts w:ascii="Arial" w:hAnsi="Arial" w:cs="Arial"/>
          <w:color w:val="000000" w:themeColor="text1"/>
          <w:sz w:val="22"/>
          <w:lang w:val="es-ES_tradnl"/>
        </w:rPr>
        <w:lastRenderedPageBreak/>
        <w:t>Estatuto General y el artículo 5 de la Ley 1150 de 2007, pues la declaratoria de desierta solo procede cuando no es posible la selección objetiva del contratista</w:t>
      </w:r>
      <w:bookmarkEnd w:id="8"/>
      <w:r w:rsidRPr="0042283A">
        <w:rPr>
          <w:rStyle w:val="Refdenotaalpie"/>
          <w:rFonts w:ascii="Arial" w:hAnsi="Arial" w:cs="Arial"/>
          <w:color w:val="000000" w:themeColor="text1"/>
          <w:sz w:val="22"/>
          <w:lang w:val="es-ES_tradnl"/>
        </w:rPr>
        <w:footnoteReference w:id="6"/>
      </w:r>
      <w:r w:rsidRPr="0042283A">
        <w:rPr>
          <w:rFonts w:ascii="Arial" w:hAnsi="Arial" w:cs="Arial"/>
          <w:color w:val="000000" w:themeColor="text1"/>
          <w:sz w:val="22"/>
          <w:lang w:val="es-ES_tradnl"/>
        </w:rPr>
        <w:t>.</w:t>
      </w:r>
    </w:p>
    <w:p w14:paraId="6DE39043" w14:textId="77777777" w:rsidR="00A43377" w:rsidRPr="0042283A" w:rsidRDefault="00035A1B" w:rsidP="00A43377">
      <w:pPr>
        <w:spacing w:line="276" w:lineRule="auto"/>
        <w:ind w:firstLine="709"/>
        <w:jc w:val="both"/>
        <w:rPr>
          <w:rFonts w:ascii="Arial" w:eastAsia="Calibri" w:hAnsi="Arial" w:cs="Arial"/>
          <w:color w:val="000000" w:themeColor="text1"/>
          <w:sz w:val="22"/>
          <w:lang w:val="es-ES_tradnl"/>
        </w:rPr>
      </w:pPr>
      <w:bookmarkStart w:id="9" w:name="_Hlk43916091"/>
      <w:r w:rsidRPr="0042283A">
        <w:rPr>
          <w:rFonts w:ascii="Arial" w:hAnsi="Arial" w:cs="Arial"/>
          <w:color w:val="000000" w:themeColor="text1"/>
          <w:sz w:val="22"/>
          <w:lang w:val="es-ES_tradnl"/>
        </w:rPr>
        <w:t xml:space="preserve">En consecuencia, </w:t>
      </w:r>
      <w:r w:rsidR="00942641" w:rsidRPr="0042283A">
        <w:rPr>
          <w:rFonts w:ascii="Arial" w:eastAsia="Calibri" w:hAnsi="Arial" w:cs="Arial"/>
          <w:color w:val="000000" w:themeColor="text1"/>
          <w:sz w:val="22"/>
          <w:lang w:val="es-ES_tradnl"/>
        </w:rPr>
        <w:t>con los autos de suspensión provisional</w:t>
      </w:r>
      <w:r w:rsidRPr="0042283A">
        <w:rPr>
          <w:rFonts w:ascii="Arial" w:eastAsia="Calibri" w:hAnsi="Arial" w:cs="Arial"/>
          <w:color w:val="000000" w:themeColor="text1"/>
          <w:sz w:val="22"/>
          <w:lang w:val="es-ES_tradnl"/>
        </w:rPr>
        <w:t>,</w:t>
      </w:r>
      <w:r w:rsidR="00942641" w:rsidRPr="0042283A">
        <w:rPr>
          <w:rFonts w:ascii="Arial" w:eastAsia="Calibri" w:hAnsi="Arial" w:cs="Arial"/>
          <w:color w:val="000000" w:themeColor="text1"/>
          <w:sz w:val="22"/>
          <w:lang w:val="es-ES_tradnl"/>
        </w:rPr>
        <w:t xml:space="preserve"> el concurso de méritos abierto </w:t>
      </w:r>
      <w:r w:rsidRPr="0042283A">
        <w:rPr>
          <w:rFonts w:ascii="Arial" w:eastAsia="Calibri" w:hAnsi="Arial" w:cs="Arial"/>
          <w:color w:val="000000" w:themeColor="text1"/>
          <w:sz w:val="22"/>
          <w:lang w:val="es-ES_tradnl"/>
        </w:rPr>
        <w:t>debía desarrollarse</w:t>
      </w:r>
      <w:r w:rsidR="00942641" w:rsidRPr="0042283A">
        <w:rPr>
          <w:rFonts w:ascii="Arial" w:eastAsia="Calibri" w:hAnsi="Arial" w:cs="Arial"/>
          <w:color w:val="000000" w:themeColor="text1"/>
          <w:sz w:val="22"/>
          <w:lang w:val="es-ES_tradnl"/>
        </w:rPr>
        <w:t xml:space="preserve"> aplicando únicamente los numerales 1 y 2 del</w:t>
      </w:r>
      <w:r w:rsidR="00942641" w:rsidRPr="0042283A">
        <w:rPr>
          <w:rFonts w:ascii="Arial" w:hAnsi="Arial" w:cs="Arial"/>
          <w:color w:val="000000" w:themeColor="text1"/>
          <w:sz w:val="22"/>
          <w:lang w:val="es-ES_tradnl"/>
        </w:rPr>
        <w:t xml:space="preserve"> artículo 2.2.1.2.1.3.2 del Decreto 1082 de 2015.</w:t>
      </w:r>
      <w:bookmarkStart w:id="10" w:name="_Hlk43916290"/>
      <w:bookmarkEnd w:id="9"/>
      <w:r w:rsidR="002A6CB8" w:rsidRPr="0042283A">
        <w:rPr>
          <w:rFonts w:ascii="Arial" w:hAnsi="Arial" w:cs="Arial"/>
          <w:color w:val="000000" w:themeColor="text1"/>
          <w:sz w:val="22"/>
          <w:lang w:val="es-ES_tradnl"/>
        </w:rPr>
        <w:t xml:space="preserve"> </w:t>
      </w:r>
      <w:r w:rsidR="00942641" w:rsidRPr="0042283A">
        <w:rPr>
          <w:rFonts w:ascii="Arial" w:hAnsi="Arial" w:cs="Arial"/>
          <w:color w:val="000000" w:themeColor="text1"/>
          <w:sz w:val="22"/>
          <w:lang w:val="es-ES_tradnl"/>
        </w:rPr>
        <w:t xml:space="preserve">Por lo tanto, </w:t>
      </w:r>
      <w:r w:rsidR="00942641" w:rsidRPr="0042283A">
        <w:rPr>
          <w:rFonts w:ascii="Arial" w:hAnsi="Arial" w:cs="Arial"/>
          <w:i/>
          <w:iCs/>
          <w:color w:val="000000" w:themeColor="text1"/>
          <w:sz w:val="22"/>
          <w:lang w:val="es-ES_tradnl"/>
        </w:rPr>
        <w:t xml:space="preserve">siempre que </w:t>
      </w:r>
      <w:r w:rsidR="009D0815" w:rsidRPr="0042283A">
        <w:rPr>
          <w:rFonts w:ascii="Arial" w:hAnsi="Arial" w:cs="Arial"/>
          <w:i/>
          <w:iCs/>
          <w:color w:val="000000" w:themeColor="text1"/>
          <w:sz w:val="22"/>
          <w:lang w:val="es-ES_tradnl"/>
        </w:rPr>
        <w:t>estuviera</w:t>
      </w:r>
      <w:r w:rsidR="00942641" w:rsidRPr="0042283A">
        <w:rPr>
          <w:rFonts w:ascii="Arial" w:hAnsi="Arial" w:cs="Arial"/>
          <w:i/>
          <w:iCs/>
          <w:color w:val="000000" w:themeColor="text1"/>
          <w:sz w:val="22"/>
          <w:lang w:val="es-ES_tradnl"/>
        </w:rPr>
        <w:t xml:space="preserve"> dentro del presupuesto oficial</w:t>
      </w:r>
      <w:r w:rsidR="00942641" w:rsidRPr="0042283A">
        <w:rPr>
          <w:rFonts w:ascii="Arial" w:hAnsi="Arial" w:cs="Arial"/>
          <w:color w:val="000000" w:themeColor="text1"/>
          <w:sz w:val="22"/>
          <w:lang w:val="es-ES_tradnl"/>
        </w:rPr>
        <w:t>, la entidad</w:t>
      </w:r>
      <w:r w:rsidR="009D0815" w:rsidRPr="0042283A">
        <w:rPr>
          <w:rFonts w:ascii="Arial" w:hAnsi="Arial" w:cs="Arial"/>
          <w:color w:val="000000" w:themeColor="text1"/>
          <w:sz w:val="22"/>
          <w:lang w:val="es-ES_tradnl"/>
        </w:rPr>
        <w:t xml:space="preserve"> estatal</w:t>
      </w:r>
      <w:r w:rsidR="00942641" w:rsidRPr="0042283A">
        <w:rPr>
          <w:rFonts w:ascii="Arial" w:hAnsi="Arial" w:cs="Arial"/>
          <w:color w:val="000000" w:themeColor="text1"/>
          <w:sz w:val="22"/>
          <w:lang w:val="es-ES_tradnl"/>
        </w:rPr>
        <w:t xml:space="preserve"> </w:t>
      </w:r>
      <w:r w:rsidR="009D0815" w:rsidRPr="0042283A">
        <w:rPr>
          <w:rFonts w:ascii="Arial" w:hAnsi="Arial" w:cs="Arial"/>
          <w:color w:val="000000" w:themeColor="text1"/>
          <w:sz w:val="22"/>
          <w:lang w:val="es-ES_tradnl"/>
        </w:rPr>
        <w:t>debía</w:t>
      </w:r>
      <w:r w:rsidR="00942641" w:rsidRPr="0042283A">
        <w:rPr>
          <w:rFonts w:ascii="Arial" w:hAnsi="Arial" w:cs="Arial"/>
          <w:color w:val="000000" w:themeColor="text1"/>
          <w:sz w:val="22"/>
          <w:lang w:val="es-ES_tradnl"/>
        </w:rPr>
        <w:t xml:space="preserve"> adjudicar el contrato al proponente que ocup</w:t>
      </w:r>
      <w:r w:rsidR="009D0815" w:rsidRPr="0042283A">
        <w:rPr>
          <w:rFonts w:ascii="Arial" w:hAnsi="Arial" w:cs="Arial"/>
          <w:color w:val="000000" w:themeColor="text1"/>
          <w:sz w:val="22"/>
          <w:lang w:val="es-ES_tradnl"/>
        </w:rPr>
        <w:t>ara</w:t>
      </w:r>
      <w:r w:rsidR="00942641" w:rsidRPr="0042283A">
        <w:rPr>
          <w:rFonts w:ascii="Arial" w:hAnsi="Arial" w:cs="Arial"/>
          <w:color w:val="000000" w:themeColor="text1"/>
          <w:sz w:val="22"/>
          <w:lang w:val="es-ES_tradnl"/>
        </w:rPr>
        <w:t xml:space="preserve"> el primer puesto en el orden de elegibilidad, independientemente del valor ofrecido</w:t>
      </w:r>
      <w:r w:rsidR="00942641" w:rsidRPr="0042283A">
        <w:rPr>
          <w:rFonts w:ascii="Arial" w:eastAsia="Calibri" w:hAnsi="Arial" w:cs="Arial"/>
          <w:color w:val="000000" w:themeColor="text1"/>
          <w:sz w:val="22"/>
          <w:lang w:val="es-ES_tradnl"/>
        </w:rPr>
        <w:t>.</w:t>
      </w:r>
    </w:p>
    <w:p w14:paraId="508FE583" w14:textId="77777777" w:rsidR="00A43377" w:rsidRPr="0042283A" w:rsidRDefault="00A43377" w:rsidP="00A43377">
      <w:pPr>
        <w:spacing w:line="276" w:lineRule="auto"/>
        <w:jc w:val="both"/>
        <w:rPr>
          <w:rFonts w:ascii="Arial" w:eastAsia="Calibri" w:hAnsi="Arial" w:cs="Arial"/>
          <w:b/>
          <w:bCs/>
          <w:color w:val="000000" w:themeColor="text1"/>
          <w:sz w:val="22"/>
          <w:lang w:val="es-ES_tradnl"/>
        </w:rPr>
      </w:pPr>
    </w:p>
    <w:p w14:paraId="6E39F8CE" w14:textId="096DE356" w:rsidR="00A43377" w:rsidRPr="0042283A" w:rsidRDefault="00A43377" w:rsidP="00A43377">
      <w:pPr>
        <w:spacing w:line="276" w:lineRule="auto"/>
        <w:jc w:val="both"/>
        <w:rPr>
          <w:rFonts w:ascii="Arial" w:eastAsia="Calibri" w:hAnsi="Arial" w:cs="Arial"/>
          <w:color w:val="000000" w:themeColor="text1"/>
          <w:sz w:val="22"/>
          <w:lang w:val="es-ES_tradnl"/>
        </w:rPr>
      </w:pPr>
      <w:r w:rsidRPr="0042283A">
        <w:rPr>
          <w:rFonts w:ascii="Arial" w:eastAsia="Calibri" w:hAnsi="Arial" w:cs="Arial"/>
          <w:b/>
          <w:bCs/>
          <w:color w:val="000000" w:themeColor="text1"/>
          <w:sz w:val="22"/>
          <w:lang w:val="es-ES_tradnl"/>
        </w:rPr>
        <w:t>2.2. Reglamentación del concurso de méritos</w:t>
      </w:r>
      <w:r w:rsidR="00FE1D81" w:rsidRPr="0042283A">
        <w:rPr>
          <w:rFonts w:ascii="Arial" w:eastAsia="Calibri" w:hAnsi="Arial" w:cs="Arial"/>
          <w:b/>
          <w:bCs/>
          <w:color w:val="000000" w:themeColor="text1"/>
          <w:sz w:val="22"/>
          <w:lang w:val="es-ES_tradnl"/>
        </w:rPr>
        <w:t xml:space="preserve"> abierto o con precalificación</w:t>
      </w:r>
      <w:r w:rsidRPr="0042283A">
        <w:rPr>
          <w:rFonts w:ascii="Arial" w:eastAsia="Calibri" w:hAnsi="Arial" w:cs="Arial"/>
          <w:b/>
          <w:bCs/>
          <w:color w:val="000000" w:themeColor="text1"/>
          <w:sz w:val="22"/>
          <w:lang w:val="es-ES_tradnl"/>
        </w:rPr>
        <w:t xml:space="preserve"> en el Decreto 399 de 2021</w:t>
      </w:r>
    </w:p>
    <w:p w14:paraId="5C9484F1" w14:textId="77777777" w:rsidR="00A43377" w:rsidRPr="0042283A" w:rsidRDefault="00A43377" w:rsidP="00A43377">
      <w:pPr>
        <w:spacing w:line="276" w:lineRule="auto"/>
        <w:jc w:val="both"/>
        <w:rPr>
          <w:rFonts w:ascii="Arial" w:eastAsia="Calibri" w:hAnsi="Arial" w:cs="Arial"/>
          <w:color w:val="000000" w:themeColor="text1"/>
          <w:sz w:val="22"/>
          <w:lang w:val="es-ES_tradnl"/>
        </w:rPr>
      </w:pPr>
    </w:p>
    <w:p w14:paraId="2890CFFD" w14:textId="42DE133B" w:rsidR="00DE67D2" w:rsidRPr="0042283A" w:rsidRDefault="008F462B" w:rsidP="00A43377">
      <w:pPr>
        <w:spacing w:line="276" w:lineRule="auto"/>
        <w:jc w:val="both"/>
        <w:rPr>
          <w:rFonts w:ascii="Arial" w:eastAsia="Calibri" w:hAnsi="Arial" w:cs="Arial"/>
          <w:color w:val="000000" w:themeColor="text1"/>
          <w:sz w:val="22"/>
          <w:lang w:val="es-ES_tradnl"/>
        </w:rPr>
      </w:pPr>
      <w:r w:rsidRPr="0042283A">
        <w:rPr>
          <w:rFonts w:ascii="Arial" w:eastAsia="Calibri" w:hAnsi="Arial" w:cs="Arial"/>
          <w:color w:val="000000" w:themeColor="text1"/>
          <w:sz w:val="22"/>
          <w:lang w:val="es-ES_tradnl"/>
        </w:rPr>
        <w:t>E</w:t>
      </w:r>
      <w:r w:rsidR="008E51C2" w:rsidRPr="0042283A">
        <w:rPr>
          <w:rFonts w:ascii="Arial" w:eastAsia="Calibri" w:hAnsi="Arial" w:cs="Arial"/>
          <w:color w:val="000000" w:themeColor="text1"/>
          <w:sz w:val="22"/>
          <w:lang w:val="es-ES_tradnl"/>
        </w:rPr>
        <w:t xml:space="preserve">l </w:t>
      </w:r>
      <w:r w:rsidR="00E068BB" w:rsidRPr="0042283A">
        <w:rPr>
          <w:rFonts w:ascii="Arial" w:eastAsia="Calibri" w:hAnsi="Arial" w:cs="Arial"/>
          <w:color w:val="000000" w:themeColor="text1"/>
          <w:sz w:val="22"/>
          <w:lang w:val="es-ES_tradnl"/>
        </w:rPr>
        <w:t xml:space="preserve">artículo 2 del </w:t>
      </w:r>
      <w:r w:rsidR="008E51C2" w:rsidRPr="0042283A">
        <w:rPr>
          <w:rFonts w:ascii="Arial" w:eastAsia="Calibri" w:hAnsi="Arial" w:cs="Arial"/>
          <w:color w:val="000000" w:themeColor="text1"/>
          <w:sz w:val="22"/>
          <w:lang w:val="es-ES_tradnl"/>
        </w:rPr>
        <w:t>Decreto 399 de 2021</w:t>
      </w:r>
      <w:r w:rsidR="00E068BB" w:rsidRPr="0042283A">
        <w:rPr>
          <w:rFonts w:ascii="Arial" w:eastAsia="Calibri" w:hAnsi="Arial" w:cs="Arial"/>
          <w:color w:val="000000" w:themeColor="text1"/>
          <w:sz w:val="22"/>
          <w:lang w:val="es-ES_tradnl"/>
        </w:rPr>
        <w:t xml:space="preserve"> modificó el artículo 2.2.1.2.1.3.2.</w:t>
      </w:r>
      <w:r w:rsidR="00E57CC5" w:rsidRPr="0042283A">
        <w:rPr>
          <w:rFonts w:ascii="Arial" w:eastAsia="Calibri" w:hAnsi="Arial" w:cs="Arial"/>
          <w:color w:val="000000" w:themeColor="text1"/>
          <w:sz w:val="22"/>
          <w:lang w:val="es-ES_tradnl"/>
        </w:rPr>
        <w:t xml:space="preserve"> del Decreto 1082 de 2015,</w:t>
      </w:r>
      <w:r w:rsidR="00DE67D2" w:rsidRPr="0042283A">
        <w:rPr>
          <w:rFonts w:ascii="Arial" w:eastAsia="Calibri" w:hAnsi="Arial" w:cs="Arial"/>
          <w:color w:val="000000" w:themeColor="text1"/>
          <w:sz w:val="22"/>
          <w:lang w:val="es-ES_tradnl"/>
        </w:rPr>
        <w:t xml:space="preserve"> en los siguientes términos:</w:t>
      </w:r>
    </w:p>
    <w:p w14:paraId="65D1A6CB" w14:textId="77777777" w:rsidR="00607460" w:rsidRPr="0042283A" w:rsidRDefault="00607460" w:rsidP="00DE67D2">
      <w:pPr>
        <w:shd w:val="clear" w:color="auto" w:fill="FFFFFF"/>
        <w:ind w:left="709" w:right="709"/>
        <w:jc w:val="both"/>
        <w:rPr>
          <w:rFonts w:ascii="Arial" w:hAnsi="Arial" w:cs="Arial"/>
          <w:color w:val="000000" w:themeColor="text1"/>
          <w:sz w:val="21"/>
          <w:szCs w:val="21"/>
          <w:lang w:val="es-ES_tradnl"/>
        </w:rPr>
      </w:pPr>
    </w:p>
    <w:p w14:paraId="71A0E597" w14:textId="00BCBF84" w:rsidR="00DE67D2" w:rsidRPr="0042283A" w:rsidRDefault="00900FC5" w:rsidP="00DE67D2">
      <w:pPr>
        <w:shd w:val="clear" w:color="auto" w:fill="FFFFFF"/>
        <w:ind w:left="709" w:right="709"/>
        <w:jc w:val="both"/>
        <w:rPr>
          <w:rFonts w:ascii="Arial" w:hAnsi="Arial" w:cs="Arial"/>
          <w:color w:val="000000" w:themeColor="text1"/>
          <w:sz w:val="21"/>
          <w:szCs w:val="21"/>
          <w:lang w:val="es-ES_tradnl"/>
        </w:rPr>
      </w:pPr>
      <w:r w:rsidRPr="0042283A">
        <w:rPr>
          <w:rFonts w:ascii="Arial" w:hAnsi="Arial" w:cs="Arial"/>
          <w:color w:val="000000" w:themeColor="text1"/>
          <w:sz w:val="21"/>
          <w:szCs w:val="21"/>
          <w:lang w:val="es-ES_tradnl"/>
        </w:rPr>
        <w:t>Artículo</w:t>
      </w:r>
      <w:bookmarkStart w:id="11" w:name="2"/>
      <w:r w:rsidR="00DE67D2" w:rsidRPr="0042283A">
        <w:rPr>
          <w:rFonts w:ascii="Arial" w:hAnsi="Arial" w:cs="Arial"/>
          <w:color w:val="000000" w:themeColor="text1"/>
          <w:sz w:val="21"/>
          <w:szCs w:val="21"/>
          <w:lang w:val="es-ES_tradnl"/>
        </w:rPr>
        <w:t> </w:t>
      </w:r>
      <w:bookmarkEnd w:id="11"/>
      <w:r w:rsidR="00DE67D2" w:rsidRPr="0042283A">
        <w:rPr>
          <w:rFonts w:ascii="Arial" w:hAnsi="Arial" w:cs="Arial"/>
          <w:color w:val="000000" w:themeColor="text1"/>
          <w:sz w:val="21"/>
          <w:szCs w:val="21"/>
          <w:lang w:val="es-ES_tradnl"/>
        </w:rPr>
        <w:t>2. Modificación del artículo </w:t>
      </w:r>
      <w:hyperlink r:id="rId12" w:anchor="2.2.1.2.1.3.2" w:history="1">
        <w:r w:rsidR="00DE67D2" w:rsidRPr="0042283A">
          <w:rPr>
            <w:rStyle w:val="Hipervnculo"/>
            <w:rFonts w:ascii="Arial" w:hAnsi="Arial" w:cs="Arial"/>
            <w:color w:val="000000" w:themeColor="text1"/>
            <w:sz w:val="21"/>
            <w:szCs w:val="21"/>
            <w:u w:val="none"/>
            <w:lang w:val="es-ES_tradnl"/>
          </w:rPr>
          <w:t>2.2.1.2.1.3.2</w:t>
        </w:r>
      </w:hyperlink>
      <w:r w:rsidR="00DE67D2" w:rsidRPr="0042283A">
        <w:rPr>
          <w:rFonts w:ascii="Arial" w:hAnsi="Arial" w:cs="Arial"/>
          <w:color w:val="000000" w:themeColor="text1"/>
          <w:sz w:val="21"/>
          <w:szCs w:val="21"/>
          <w:lang w:val="es-ES_tradnl"/>
        </w:rPr>
        <w:t>. del Decreto 1082 de 2015, Único Reglamentario del Sector Administrativo de Planeación Nacional. Modifíquese el artículo 2.2.1.2.1.3.2. de la Subsección 3 de la Sección 1 del Capítulo 2 del Título 1 de la Parte 2 del Libro 2 del Decreto 1082 de 2015, Único Reglamentario del Sector Administrativo de Planeación Nacional, el cual quedará así:</w:t>
      </w:r>
    </w:p>
    <w:p w14:paraId="4494BB0E" w14:textId="77777777" w:rsidR="00DE67D2" w:rsidRPr="0042283A" w:rsidRDefault="00DE67D2" w:rsidP="00DE67D2">
      <w:pPr>
        <w:shd w:val="clear" w:color="auto" w:fill="FFFFFF"/>
        <w:ind w:left="709" w:right="709"/>
        <w:jc w:val="both"/>
        <w:rPr>
          <w:rFonts w:ascii="Arial" w:hAnsi="Arial" w:cs="Arial"/>
          <w:color w:val="000000" w:themeColor="text1"/>
          <w:sz w:val="21"/>
          <w:szCs w:val="21"/>
          <w:lang w:val="es-ES_tradnl"/>
        </w:rPr>
      </w:pPr>
      <w:r w:rsidRPr="0042283A">
        <w:rPr>
          <w:rFonts w:ascii="Arial" w:hAnsi="Arial" w:cs="Arial"/>
          <w:color w:val="000000" w:themeColor="text1"/>
          <w:sz w:val="21"/>
          <w:szCs w:val="21"/>
          <w:lang w:val="es-ES_tradnl"/>
        </w:rPr>
        <w:t> </w:t>
      </w:r>
    </w:p>
    <w:p w14:paraId="18D8E2D4" w14:textId="6382EC38" w:rsidR="00DE67D2" w:rsidRPr="0042283A" w:rsidRDefault="00DE67D2" w:rsidP="00DE67D2">
      <w:pPr>
        <w:shd w:val="clear" w:color="auto" w:fill="FFFFFF"/>
        <w:ind w:left="709" w:right="709"/>
        <w:jc w:val="both"/>
        <w:rPr>
          <w:rFonts w:ascii="Arial" w:hAnsi="Arial" w:cs="Arial"/>
          <w:color w:val="000000" w:themeColor="text1"/>
          <w:sz w:val="21"/>
          <w:szCs w:val="21"/>
          <w:lang w:val="es-ES_tradnl"/>
        </w:rPr>
      </w:pPr>
      <w:r w:rsidRPr="0042283A">
        <w:rPr>
          <w:rFonts w:ascii="Arial" w:hAnsi="Arial" w:cs="Arial"/>
          <w:color w:val="000000" w:themeColor="text1"/>
          <w:sz w:val="21"/>
          <w:szCs w:val="21"/>
          <w:lang w:val="es-ES_tradnl"/>
        </w:rPr>
        <w:t>"</w:t>
      </w:r>
      <w:r w:rsidR="00900FC5" w:rsidRPr="0042283A">
        <w:rPr>
          <w:rFonts w:ascii="Arial" w:hAnsi="Arial" w:cs="Arial"/>
          <w:color w:val="000000" w:themeColor="text1"/>
          <w:sz w:val="21"/>
          <w:szCs w:val="21"/>
          <w:lang w:val="es-ES_tradnl"/>
        </w:rPr>
        <w:t>Artículo</w:t>
      </w:r>
      <w:r w:rsidRPr="0042283A">
        <w:rPr>
          <w:rFonts w:ascii="Arial" w:hAnsi="Arial" w:cs="Arial"/>
          <w:color w:val="000000" w:themeColor="text1"/>
          <w:sz w:val="21"/>
          <w:szCs w:val="21"/>
          <w:lang w:val="es-ES_tradnl"/>
        </w:rPr>
        <w:t xml:space="preserve"> 2.2.1.2.1.3.2. Procedimiento del concurso de méritos. Además de las reglas generales previstas en la ley y en el presente título, las siguientes reglas son aplicables al concurso de méritos abierto o con precalificación:</w:t>
      </w:r>
    </w:p>
    <w:p w14:paraId="53829137" w14:textId="77777777" w:rsidR="00DE67D2" w:rsidRPr="0042283A" w:rsidRDefault="00DE67D2" w:rsidP="00DE67D2">
      <w:pPr>
        <w:shd w:val="clear" w:color="auto" w:fill="FFFFFF"/>
        <w:ind w:left="709" w:right="709"/>
        <w:jc w:val="both"/>
        <w:rPr>
          <w:rFonts w:ascii="Arial" w:hAnsi="Arial" w:cs="Arial"/>
          <w:color w:val="000000" w:themeColor="text1"/>
          <w:sz w:val="21"/>
          <w:szCs w:val="21"/>
          <w:lang w:val="es-ES_tradnl"/>
        </w:rPr>
      </w:pPr>
      <w:r w:rsidRPr="0042283A">
        <w:rPr>
          <w:rFonts w:ascii="Arial" w:hAnsi="Arial" w:cs="Arial"/>
          <w:color w:val="000000" w:themeColor="text1"/>
          <w:sz w:val="21"/>
          <w:szCs w:val="21"/>
          <w:lang w:val="es-ES_tradnl"/>
        </w:rPr>
        <w:t> </w:t>
      </w:r>
    </w:p>
    <w:p w14:paraId="5309DFA5" w14:textId="77777777" w:rsidR="00DE67D2" w:rsidRPr="0042283A" w:rsidRDefault="00DE67D2" w:rsidP="00DE67D2">
      <w:pPr>
        <w:shd w:val="clear" w:color="auto" w:fill="FFFFFF"/>
        <w:ind w:left="709" w:right="709"/>
        <w:jc w:val="both"/>
        <w:rPr>
          <w:rFonts w:ascii="Arial" w:hAnsi="Arial" w:cs="Arial"/>
          <w:color w:val="000000" w:themeColor="text1"/>
          <w:sz w:val="21"/>
          <w:szCs w:val="21"/>
          <w:lang w:val="es-ES_tradnl"/>
        </w:rPr>
      </w:pPr>
      <w:r w:rsidRPr="0042283A">
        <w:rPr>
          <w:rFonts w:ascii="Arial" w:hAnsi="Arial" w:cs="Arial"/>
          <w:color w:val="000000" w:themeColor="text1"/>
          <w:sz w:val="21"/>
          <w:szCs w:val="21"/>
          <w:lang w:val="es-ES_tradnl"/>
        </w:rPr>
        <w:t>1. La Entidad Estatal en los pliegos de condiciones debe indicar la forma como calificará, entre otros, los siguientes criterios: a) la experiencia del interesado y del equipo de trabajo y b) la formación académica del equipo de trabajo.</w:t>
      </w:r>
    </w:p>
    <w:p w14:paraId="3CD58FAA" w14:textId="77777777" w:rsidR="00DE67D2" w:rsidRPr="0042283A" w:rsidRDefault="00DE67D2" w:rsidP="00DE67D2">
      <w:pPr>
        <w:shd w:val="clear" w:color="auto" w:fill="FFFFFF"/>
        <w:ind w:left="709" w:right="709"/>
        <w:jc w:val="both"/>
        <w:rPr>
          <w:rFonts w:ascii="Arial" w:hAnsi="Arial" w:cs="Arial"/>
          <w:color w:val="000000" w:themeColor="text1"/>
          <w:sz w:val="21"/>
          <w:szCs w:val="21"/>
          <w:lang w:val="es-ES_tradnl"/>
        </w:rPr>
      </w:pPr>
      <w:r w:rsidRPr="0042283A">
        <w:rPr>
          <w:rFonts w:ascii="Arial" w:hAnsi="Arial" w:cs="Arial"/>
          <w:color w:val="000000" w:themeColor="text1"/>
          <w:sz w:val="21"/>
          <w:szCs w:val="21"/>
          <w:lang w:val="es-ES_tradnl"/>
        </w:rPr>
        <w:t> </w:t>
      </w:r>
    </w:p>
    <w:p w14:paraId="67F5349D" w14:textId="77777777" w:rsidR="00DE67D2" w:rsidRPr="0042283A" w:rsidRDefault="00DE67D2" w:rsidP="00DE67D2">
      <w:pPr>
        <w:shd w:val="clear" w:color="auto" w:fill="FFFFFF"/>
        <w:ind w:left="709" w:right="709"/>
        <w:jc w:val="both"/>
        <w:rPr>
          <w:rFonts w:ascii="Arial" w:hAnsi="Arial" w:cs="Arial"/>
          <w:color w:val="000000" w:themeColor="text1"/>
          <w:sz w:val="21"/>
          <w:szCs w:val="21"/>
          <w:lang w:val="es-ES_tradnl"/>
        </w:rPr>
      </w:pPr>
      <w:r w:rsidRPr="0042283A">
        <w:rPr>
          <w:rFonts w:ascii="Arial" w:hAnsi="Arial" w:cs="Arial"/>
          <w:color w:val="000000" w:themeColor="text1"/>
          <w:sz w:val="21"/>
          <w:szCs w:val="21"/>
          <w:lang w:val="es-ES_tradnl"/>
        </w:rPr>
        <w:lastRenderedPageBreak/>
        <w:t>2. La Entidad Estatal debe publicar durante tres (3) días hábiles el informe de evaluación, el cual debe contener la evaluación de las ofertas frente a todos los requisitos exigidos en el pliego de condiciones, incluyendo los requisitos habilitantes y los de asignación de puntaje.</w:t>
      </w:r>
    </w:p>
    <w:p w14:paraId="44F04C4B" w14:textId="77777777" w:rsidR="00DE67D2" w:rsidRPr="0042283A" w:rsidRDefault="00DE67D2" w:rsidP="00DE67D2">
      <w:pPr>
        <w:shd w:val="clear" w:color="auto" w:fill="FFFFFF"/>
        <w:ind w:left="709" w:right="709"/>
        <w:jc w:val="both"/>
        <w:rPr>
          <w:rFonts w:ascii="Arial" w:hAnsi="Arial" w:cs="Arial"/>
          <w:color w:val="000000" w:themeColor="text1"/>
          <w:sz w:val="21"/>
          <w:szCs w:val="21"/>
          <w:lang w:val="es-ES_tradnl"/>
        </w:rPr>
      </w:pPr>
      <w:r w:rsidRPr="0042283A">
        <w:rPr>
          <w:rFonts w:ascii="Arial" w:hAnsi="Arial" w:cs="Arial"/>
          <w:color w:val="000000" w:themeColor="text1"/>
          <w:sz w:val="21"/>
          <w:szCs w:val="21"/>
          <w:lang w:val="es-ES_tradnl"/>
        </w:rPr>
        <w:t> </w:t>
      </w:r>
    </w:p>
    <w:p w14:paraId="51ABAA3E" w14:textId="77777777" w:rsidR="00DE67D2" w:rsidRPr="0042283A" w:rsidRDefault="00DE67D2" w:rsidP="00DE67D2">
      <w:pPr>
        <w:shd w:val="clear" w:color="auto" w:fill="FFFFFF"/>
        <w:ind w:left="709" w:right="709"/>
        <w:jc w:val="both"/>
        <w:rPr>
          <w:rFonts w:ascii="Arial" w:hAnsi="Arial" w:cs="Arial"/>
          <w:color w:val="000000" w:themeColor="text1"/>
          <w:sz w:val="21"/>
          <w:szCs w:val="21"/>
          <w:lang w:val="es-ES_tradnl"/>
        </w:rPr>
      </w:pPr>
      <w:r w:rsidRPr="0042283A">
        <w:rPr>
          <w:rFonts w:ascii="Arial" w:hAnsi="Arial" w:cs="Arial"/>
          <w:color w:val="000000" w:themeColor="text1"/>
          <w:sz w:val="21"/>
          <w:szCs w:val="21"/>
          <w:lang w:val="es-ES_tradnl"/>
        </w:rPr>
        <w:t>3. Una vez resueltas las observaciones al informe de evaluación, la entidad adjudicará el contrato mediante acto administrativo al oferente que haya cumplido todos los requisitos exigidos en el pliego de condiciones y haya obtenido el mayor puntaje".</w:t>
      </w:r>
    </w:p>
    <w:p w14:paraId="41AEF3ED" w14:textId="77777777" w:rsidR="00DE67D2" w:rsidRPr="0042283A" w:rsidRDefault="00DE67D2" w:rsidP="00DE67D2">
      <w:pPr>
        <w:rPr>
          <w:color w:val="000000" w:themeColor="text1"/>
          <w:lang w:val="es-ES_tradnl"/>
        </w:rPr>
      </w:pPr>
    </w:p>
    <w:p w14:paraId="1A70CA59" w14:textId="58CB88B7" w:rsidR="0013756B" w:rsidRPr="0042283A" w:rsidRDefault="0013756B" w:rsidP="0013756B">
      <w:pPr>
        <w:spacing w:line="276" w:lineRule="auto"/>
        <w:ind w:firstLine="709"/>
        <w:jc w:val="both"/>
        <w:rPr>
          <w:rFonts w:ascii="Arial" w:eastAsia="Calibri" w:hAnsi="Arial" w:cs="Arial"/>
          <w:color w:val="000000" w:themeColor="text1"/>
          <w:sz w:val="22"/>
          <w:lang w:val="es-ES_tradnl"/>
        </w:rPr>
      </w:pPr>
      <w:r w:rsidRPr="0042283A">
        <w:rPr>
          <w:rFonts w:ascii="Arial" w:eastAsia="Calibri" w:hAnsi="Arial" w:cs="Arial"/>
          <w:color w:val="000000" w:themeColor="text1"/>
          <w:sz w:val="22"/>
          <w:lang w:val="es-ES_tradnl"/>
        </w:rPr>
        <w:t>Como se observa,</w:t>
      </w:r>
      <w:r w:rsidR="0061163C" w:rsidRPr="0042283A">
        <w:rPr>
          <w:rFonts w:ascii="Arial" w:eastAsia="Calibri" w:hAnsi="Arial" w:cs="Arial"/>
          <w:color w:val="000000" w:themeColor="text1"/>
          <w:sz w:val="22"/>
          <w:lang w:val="es-ES_tradnl"/>
        </w:rPr>
        <w:t xml:space="preserve"> el artículo 2 del Decreto 399 de 2021</w:t>
      </w:r>
      <w:r w:rsidR="00CE026B" w:rsidRPr="0042283A">
        <w:rPr>
          <w:rFonts w:ascii="Arial" w:eastAsia="Calibri" w:hAnsi="Arial" w:cs="Arial"/>
          <w:color w:val="000000" w:themeColor="text1"/>
          <w:sz w:val="22"/>
          <w:lang w:val="es-ES_tradnl"/>
        </w:rPr>
        <w:t xml:space="preserve"> </w:t>
      </w:r>
      <w:r w:rsidR="00390C0B" w:rsidRPr="0042283A">
        <w:rPr>
          <w:rFonts w:ascii="Arial" w:eastAsia="Calibri" w:hAnsi="Arial" w:cs="Arial"/>
          <w:color w:val="000000" w:themeColor="text1"/>
          <w:sz w:val="22"/>
          <w:lang w:val="es-ES_tradnl"/>
        </w:rPr>
        <w:t>reformó</w:t>
      </w:r>
      <w:r w:rsidR="00CE026B" w:rsidRPr="0042283A">
        <w:rPr>
          <w:rFonts w:ascii="Arial" w:eastAsia="Calibri" w:hAnsi="Arial" w:cs="Arial"/>
          <w:color w:val="000000" w:themeColor="text1"/>
          <w:sz w:val="22"/>
          <w:lang w:val="es-ES_tradnl"/>
        </w:rPr>
        <w:t xml:space="preserve"> la reglamentación del concurso de méritos, para adecuarla a los pronunciamientos del Consejo de Estado que habían suspendido provisionalmente algunos numerales del artículo </w:t>
      </w:r>
      <w:r w:rsidR="00A475B4" w:rsidRPr="0042283A">
        <w:rPr>
          <w:rFonts w:ascii="Arial" w:eastAsia="Calibri" w:hAnsi="Arial" w:cs="Arial"/>
          <w:color w:val="000000" w:themeColor="text1"/>
          <w:sz w:val="22"/>
          <w:lang w:val="es-ES_tradnl"/>
        </w:rPr>
        <w:t>2.2.1.2.1.3.2. del Decreto 1082 de 2015</w:t>
      </w:r>
      <w:r w:rsidR="00A475B4" w:rsidRPr="0042283A">
        <w:rPr>
          <w:rStyle w:val="Refdenotaalpie"/>
          <w:rFonts w:ascii="Arial" w:eastAsia="Calibri" w:hAnsi="Arial" w:cs="Arial"/>
          <w:color w:val="000000" w:themeColor="text1"/>
          <w:sz w:val="22"/>
          <w:lang w:val="es-ES_tradnl"/>
        </w:rPr>
        <w:footnoteReference w:id="7"/>
      </w:r>
      <w:r w:rsidR="00022FD5" w:rsidRPr="0042283A">
        <w:rPr>
          <w:rFonts w:ascii="Arial" w:eastAsia="Calibri" w:hAnsi="Arial" w:cs="Arial"/>
          <w:color w:val="000000" w:themeColor="text1"/>
          <w:sz w:val="22"/>
          <w:lang w:val="es-ES_tradnl"/>
        </w:rPr>
        <w:t xml:space="preserve">. </w:t>
      </w:r>
      <w:r w:rsidR="00467EE3" w:rsidRPr="0042283A">
        <w:rPr>
          <w:rFonts w:ascii="Arial" w:eastAsia="Calibri" w:hAnsi="Arial" w:cs="Arial"/>
          <w:color w:val="000000" w:themeColor="text1"/>
          <w:sz w:val="22"/>
          <w:lang w:val="es-ES_tradnl"/>
        </w:rPr>
        <w:t xml:space="preserve">A diferencia de lo que establecía este artículo en su redacción inicial, con la </w:t>
      </w:r>
      <w:proofErr w:type="gramStart"/>
      <w:r w:rsidR="00DB244B" w:rsidRPr="0042283A">
        <w:rPr>
          <w:rFonts w:ascii="Arial" w:eastAsia="Calibri" w:hAnsi="Arial" w:cs="Arial"/>
          <w:color w:val="000000" w:themeColor="text1"/>
          <w:sz w:val="22"/>
          <w:lang w:val="es-ES_tradnl"/>
        </w:rPr>
        <w:t>entrada en vigencia</w:t>
      </w:r>
      <w:proofErr w:type="gramEnd"/>
      <w:r w:rsidR="00DB244B" w:rsidRPr="0042283A">
        <w:rPr>
          <w:rFonts w:ascii="Arial" w:eastAsia="Calibri" w:hAnsi="Arial" w:cs="Arial"/>
          <w:color w:val="000000" w:themeColor="text1"/>
          <w:sz w:val="22"/>
          <w:lang w:val="es-ES_tradnl"/>
        </w:rPr>
        <w:t xml:space="preserve"> del artículo 2 del Decreto 399 de 2021 se observan los siguientes cambios:</w:t>
      </w:r>
    </w:p>
    <w:p w14:paraId="69870692" w14:textId="77777777" w:rsidR="009E28B6" w:rsidRPr="0042283A" w:rsidRDefault="00DB244B" w:rsidP="00521A91">
      <w:pPr>
        <w:spacing w:before="120" w:line="276" w:lineRule="auto"/>
        <w:ind w:firstLine="709"/>
        <w:jc w:val="both"/>
        <w:rPr>
          <w:rFonts w:ascii="Arial" w:eastAsia="Calibri" w:hAnsi="Arial" w:cs="Arial"/>
          <w:color w:val="000000" w:themeColor="text1"/>
          <w:sz w:val="22"/>
          <w:lang w:val="es-ES_tradnl"/>
        </w:rPr>
      </w:pPr>
      <w:r w:rsidRPr="0042283A">
        <w:rPr>
          <w:rFonts w:ascii="Arial" w:eastAsia="Calibri" w:hAnsi="Arial" w:cs="Arial"/>
          <w:color w:val="000000" w:themeColor="text1"/>
          <w:sz w:val="22"/>
          <w:lang w:val="es-ES_tradnl"/>
        </w:rPr>
        <w:t xml:space="preserve">i) </w:t>
      </w:r>
      <w:r w:rsidR="003B242E" w:rsidRPr="0042283A">
        <w:rPr>
          <w:rFonts w:ascii="Arial" w:eastAsia="Calibri" w:hAnsi="Arial" w:cs="Arial"/>
          <w:color w:val="000000" w:themeColor="text1"/>
          <w:sz w:val="22"/>
          <w:lang w:val="es-ES_tradnl"/>
        </w:rPr>
        <w:t>E</w:t>
      </w:r>
      <w:r w:rsidR="00521A91" w:rsidRPr="0042283A">
        <w:rPr>
          <w:rFonts w:ascii="Arial" w:eastAsia="Calibri" w:hAnsi="Arial" w:cs="Arial"/>
          <w:color w:val="000000" w:themeColor="text1"/>
          <w:sz w:val="22"/>
          <w:lang w:val="es-ES_tradnl"/>
        </w:rPr>
        <w:t xml:space="preserve">l informe de evaluación, que la entidad debe publicar </w:t>
      </w:r>
      <w:r w:rsidR="003B242E" w:rsidRPr="0042283A">
        <w:rPr>
          <w:rFonts w:ascii="Arial" w:eastAsia="Calibri" w:hAnsi="Arial" w:cs="Arial"/>
          <w:color w:val="000000" w:themeColor="text1"/>
          <w:sz w:val="22"/>
          <w:lang w:val="es-ES_tradnl"/>
        </w:rPr>
        <w:t xml:space="preserve">durante tres (3) días hábiles, debe contener ya no solamente </w:t>
      </w:r>
      <w:r w:rsidR="00AA0A87" w:rsidRPr="0042283A">
        <w:rPr>
          <w:rFonts w:ascii="Arial" w:eastAsia="Calibri" w:hAnsi="Arial" w:cs="Arial"/>
          <w:color w:val="000000" w:themeColor="text1"/>
          <w:sz w:val="22"/>
          <w:lang w:val="es-ES_tradnl"/>
        </w:rPr>
        <w:t>la calificación técnica y el orden de elegibilidad, sino «[…] la evaluación de las ofertas frente a todos los requisitos exigidos en el pliego de condiciones, incluyendo los requisitos habilitantes y los de asignación de puntaje».</w:t>
      </w:r>
      <w:r w:rsidR="009E28B6" w:rsidRPr="0042283A">
        <w:rPr>
          <w:rFonts w:ascii="Arial" w:eastAsia="Calibri" w:hAnsi="Arial" w:cs="Arial"/>
          <w:color w:val="000000" w:themeColor="text1"/>
          <w:sz w:val="22"/>
          <w:lang w:val="es-ES_tradnl"/>
        </w:rPr>
        <w:t xml:space="preserve"> Esta nueva disposición permite que los interesados ejerzan su derecho a conocer el informe de evaluación y a formular las observaciones que consideren pertinentes.</w:t>
      </w:r>
    </w:p>
    <w:p w14:paraId="2DC53642" w14:textId="614A3258" w:rsidR="00E806D9" w:rsidRPr="0042283A" w:rsidRDefault="009E28B6" w:rsidP="00521A91">
      <w:pPr>
        <w:spacing w:before="120" w:line="276" w:lineRule="auto"/>
        <w:ind w:firstLine="709"/>
        <w:jc w:val="both"/>
        <w:rPr>
          <w:rFonts w:ascii="Arial" w:eastAsia="Calibri" w:hAnsi="Arial" w:cs="Arial"/>
          <w:color w:val="000000" w:themeColor="text1"/>
          <w:sz w:val="22"/>
          <w:lang w:val="es-ES_tradnl"/>
        </w:rPr>
      </w:pPr>
      <w:r w:rsidRPr="0042283A">
        <w:rPr>
          <w:rFonts w:ascii="Arial" w:eastAsia="Calibri" w:hAnsi="Arial" w:cs="Arial"/>
          <w:color w:val="000000" w:themeColor="text1"/>
          <w:sz w:val="22"/>
          <w:lang w:val="es-ES_tradnl"/>
        </w:rPr>
        <w:t>ii)</w:t>
      </w:r>
      <w:r w:rsidR="00080D30" w:rsidRPr="0042283A">
        <w:rPr>
          <w:rFonts w:ascii="Arial" w:eastAsia="Calibri" w:hAnsi="Arial" w:cs="Arial"/>
          <w:color w:val="000000" w:themeColor="text1"/>
          <w:sz w:val="22"/>
          <w:lang w:val="es-ES_tradnl"/>
        </w:rPr>
        <w:t xml:space="preserve"> A diferencia de </w:t>
      </w:r>
      <w:r w:rsidR="00D23732" w:rsidRPr="0042283A">
        <w:rPr>
          <w:rFonts w:ascii="Arial" w:eastAsia="Calibri" w:hAnsi="Arial" w:cs="Arial"/>
          <w:color w:val="000000" w:themeColor="text1"/>
          <w:sz w:val="22"/>
          <w:lang w:val="es-ES_tradnl"/>
        </w:rPr>
        <w:t xml:space="preserve">la reglamentación anterior prevista en la redacción original del artículo 2.2.1.2.1.3.2. del Decreto 1082 de 2015, </w:t>
      </w:r>
      <w:r w:rsidR="00FD16ED" w:rsidRPr="0042283A">
        <w:rPr>
          <w:rFonts w:ascii="Arial" w:eastAsia="Calibri" w:hAnsi="Arial" w:cs="Arial"/>
          <w:color w:val="000000" w:themeColor="text1"/>
          <w:sz w:val="22"/>
          <w:lang w:val="es-ES_tradnl"/>
        </w:rPr>
        <w:t>que establecía que luego de la publicación del informe de evaluación la entidad estatal debía revisar la oferta económica</w:t>
      </w:r>
      <w:r w:rsidR="003A6219" w:rsidRPr="0042283A">
        <w:rPr>
          <w:rFonts w:ascii="Arial" w:eastAsia="Calibri" w:hAnsi="Arial" w:cs="Arial"/>
          <w:color w:val="000000" w:themeColor="text1"/>
          <w:sz w:val="22"/>
          <w:lang w:val="es-ES_tradnl"/>
        </w:rPr>
        <w:t>,</w:t>
      </w:r>
      <w:r w:rsidR="00522E0D" w:rsidRPr="0042283A">
        <w:rPr>
          <w:rFonts w:ascii="Arial" w:eastAsia="Calibri" w:hAnsi="Arial" w:cs="Arial"/>
          <w:color w:val="000000" w:themeColor="text1"/>
          <w:sz w:val="22"/>
          <w:lang w:val="es-ES_tradnl"/>
        </w:rPr>
        <w:t xml:space="preserve"> para constatar su</w:t>
      </w:r>
      <w:r w:rsidR="003A6219" w:rsidRPr="0042283A">
        <w:rPr>
          <w:rFonts w:ascii="Arial" w:eastAsia="Calibri" w:hAnsi="Arial" w:cs="Arial"/>
          <w:color w:val="000000" w:themeColor="text1"/>
          <w:sz w:val="22"/>
          <w:lang w:val="es-ES_tradnl"/>
        </w:rPr>
        <w:t xml:space="preserve"> correspondencia con el presupuesto oficial, y que posteriormente debía tratar de llegar a un acuerdo</w:t>
      </w:r>
      <w:r w:rsidR="001D4874" w:rsidRPr="0042283A">
        <w:rPr>
          <w:rFonts w:ascii="Arial" w:eastAsia="Calibri" w:hAnsi="Arial" w:cs="Arial"/>
          <w:color w:val="000000" w:themeColor="text1"/>
          <w:sz w:val="22"/>
          <w:lang w:val="es-ES_tradnl"/>
        </w:rPr>
        <w:t xml:space="preserve"> con el oferente calificado en el primer lugar</w:t>
      </w:r>
      <w:r w:rsidR="00E24670" w:rsidRPr="0042283A">
        <w:rPr>
          <w:rFonts w:ascii="Arial" w:eastAsia="Calibri" w:hAnsi="Arial" w:cs="Arial"/>
          <w:color w:val="000000" w:themeColor="text1"/>
          <w:sz w:val="22"/>
          <w:lang w:val="es-ES_tradnl"/>
        </w:rPr>
        <w:t xml:space="preserve"> o, en subsidio, con el calificado en segundo </w:t>
      </w:r>
      <w:r w:rsidR="002B5DA7" w:rsidRPr="0042283A">
        <w:rPr>
          <w:rFonts w:ascii="Arial" w:eastAsia="Calibri" w:hAnsi="Arial" w:cs="Arial"/>
          <w:color w:val="000000" w:themeColor="text1"/>
          <w:sz w:val="22"/>
          <w:lang w:val="es-ES_tradnl"/>
        </w:rPr>
        <w:t>orden</w:t>
      </w:r>
      <w:r w:rsidR="001D4874" w:rsidRPr="0042283A">
        <w:rPr>
          <w:rFonts w:ascii="Arial" w:eastAsia="Calibri" w:hAnsi="Arial" w:cs="Arial"/>
          <w:color w:val="000000" w:themeColor="text1"/>
          <w:sz w:val="22"/>
          <w:lang w:val="es-ES_tradnl"/>
        </w:rPr>
        <w:t>, el artículo 2 del Decreto 399 de 2021 introduce una modificación trascendental,</w:t>
      </w:r>
      <w:r w:rsidR="008D3330" w:rsidRPr="0042283A">
        <w:rPr>
          <w:rFonts w:ascii="Arial" w:eastAsia="Calibri" w:hAnsi="Arial" w:cs="Arial"/>
          <w:color w:val="000000" w:themeColor="text1"/>
          <w:sz w:val="22"/>
          <w:lang w:val="es-ES_tradnl"/>
        </w:rPr>
        <w:t xml:space="preserve"> pues elimina estas etapas</w:t>
      </w:r>
      <w:r w:rsidR="00BB26A6" w:rsidRPr="0042283A">
        <w:rPr>
          <w:rFonts w:ascii="Arial" w:eastAsia="Calibri" w:hAnsi="Arial" w:cs="Arial"/>
          <w:color w:val="000000" w:themeColor="text1"/>
          <w:sz w:val="22"/>
          <w:lang w:val="es-ES_tradnl"/>
        </w:rPr>
        <w:t xml:space="preserve"> y señala, en su lugar, que «Una vez resueltas las observaciones al informe de evaluación, la entidad adjudicará el contrato mediante acto administrativo al oferente que haya cumplido todos los requisitos exigidos en el pliego de condiciones y haya obtenido el mayor puntaje».</w:t>
      </w:r>
      <w:r w:rsidR="00DE2E9B" w:rsidRPr="0042283A">
        <w:rPr>
          <w:rFonts w:ascii="Arial" w:eastAsia="Calibri" w:hAnsi="Arial" w:cs="Arial"/>
          <w:color w:val="000000" w:themeColor="text1"/>
          <w:sz w:val="22"/>
          <w:lang w:val="es-ES_tradnl"/>
        </w:rPr>
        <w:t xml:space="preserve"> O sea que después de </w:t>
      </w:r>
      <w:r w:rsidR="00613746" w:rsidRPr="0042283A">
        <w:rPr>
          <w:rFonts w:ascii="Arial" w:eastAsia="Calibri" w:hAnsi="Arial" w:cs="Arial"/>
          <w:color w:val="000000" w:themeColor="text1"/>
          <w:sz w:val="22"/>
          <w:lang w:val="es-ES_tradnl"/>
        </w:rPr>
        <w:t xml:space="preserve">la </w:t>
      </w:r>
      <w:r w:rsidR="00613746" w:rsidRPr="0042283A">
        <w:rPr>
          <w:rFonts w:ascii="Arial" w:eastAsia="Calibri" w:hAnsi="Arial" w:cs="Arial"/>
          <w:color w:val="000000" w:themeColor="text1"/>
          <w:sz w:val="22"/>
          <w:lang w:val="es-ES_tradnl"/>
        </w:rPr>
        <w:lastRenderedPageBreak/>
        <w:t xml:space="preserve">respuesta a las observaciones del informe de evaluación ya la entidad estatal no debe </w:t>
      </w:r>
      <w:r w:rsidR="00931165" w:rsidRPr="0042283A">
        <w:rPr>
          <w:rFonts w:ascii="Arial" w:eastAsia="Calibri" w:hAnsi="Arial" w:cs="Arial"/>
          <w:color w:val="000000" w:themeColor="text1"/>
          <w:sz w:val="22"/>
          <w:lang w:val="es-ES_tradnl"/>
        </w:rPr>
        <w:t xml:space="preserve">revisar que la oferta económica sea acorde al presupuesto oficial –pues esto lo debió hacer </w:t>
      </w:r>
      <w:r w:rsidR="009F7ED3" w:rsidRPr="0042283A">
        <w:rPr>
          <w:rFonts w:ascii="Arial" w:eastAsia="Calibri" w:hAnsi="Arial" w:cs="Arial"/>
          <w:color w:val="000000" w:themeColor="text1"/>
          <w:sz w:val="22"/>
          <w:lang w:val="es-ES_tradnl"/>
        </w:rPr>
        <w:t xml:space="preserve">para elaborar el informe de evaluación– y tampoco debe proceder con una fase de «negociación» con </w:t>
      </w:r>
      <w:r w:rsidR="00E13234" w:rsidRPr="0042283A">
        <w:rPr>
          <w:rFonts w:ascii="Arial" w:eastAsia="Calibri" w:hAnsi="Arial" w:cs="Arial"/>
          <w:color w:val="000000" w:themeColor="text1"/>
          <w:sz w:val="22"/>
          <w:lang w:val="es-ES_tradnl"/>
        </w:rPr>
        <w:t>el</w:t>
      </w:r>
      <w:r w:rsidR="009F7ED3" w:rsidRPr="0042283A">
        <w:rPr>
          <w:rFonts w:ascii="Arial" w:eastAsia="Calibri" w:hAnsi="Arial" w:cs="Arial"/>
          <w:color w:val="000000" w:themeColor="text1"/>
          <w:sz w:val="22"/>
          <w:lang w:val="es-ES_tradnl"/>
        </w:rPr>
        <w:t xml:space="preserve"> oferente calificado en primer lugar</w:t>
      </w:r>
      <w:r w:rsidR="001620B3" w:rsidRPr="0042283A">
        <w:rPr>
          <w:rFonts w:ascii="Arial" w:eastAsia="Calibri" w:hAnsi="Arial" w:cs="Arial"/>
          <w:color w:val="000000" w:themeColor="text1"/>
          <w:sz w:val="22"/>
          <w:lang w:val="es-ES_tradnl"/>
        </w:rPr>
        <w:t xml:space="preserve"> sobre el valor y alcance del contrato, sino que debe proceder a la </w:t>
      </w:r>
      <w:r w:rsidR="00E80ADE" w:rsidRPr="0042283A">
        <w:rPr>
          <w:rFonts w:ascii="Arial" w:eastAsia="Calibri" w:hAnsi="Arial" w:cs="Arial"/>
          <w:color w:val="000000" w:themeColor="text1"/>
          <w:sz w:val="22"/>
          <w:lang w:val="es-ES_tradnl"/>
        </w:rPr>
        <w:t>adjudicación a quien haya presentado objetivamente la mejor ofert</w:t>
      </w:r>
      <w:r w:rsidR="00F905BE" w:rsidRPr="0042283A">
        <w:rPr>
          <w:rFonts w:ascii="Arial" w:eastAsia="Calibri" w:hAnsi="Arial" w:cs="Arial"/>
          <w:color w:val="000000" w:themeColor="text1"/>
          <w:sz w:val="22"/>
          <w:lang w:val="es-ES_tradnl"/>
        </w:rPr>
        <w:t>a, teniendo en cuenta todos los requisitos exigidos en el pliego de condiciones.</w:t>
      </w:r>
    </w:p>
    <w:p w14:paraId="3ECD027A" w14:textId="77777777" w:rsidR="004F76BF" w:rsidRPr="0042283A" w:rsidRDefault="00E806D9" w:rsidP="004F76BF">
      <w:pPr>
        <w:spacing w:before="120" w:line="276" w:lineRule="auto"/>
        <w:ind w:firstLine="709"/>
        <w:jc w:val="both"/>
        <w:rPr>
          <w:rFonts w:ascii="Arial" w:eastAsia="Calibri" w:hAnsi="Arial" w:cs="Arial"/>
          <w:color w:val="000000" w:themeColor="text1"/>
          <w:sz w:val="22"/>
          <w:lang w:val="es-ES_tradnl"/>
        </w:rPr>
      </w:pPr>
      <w:r w:rsidRPr="0042283A">
        <w:rPr>
          <w:rFonts w:ascii="Arial" w:eastAsia="Calibri" w:hAnsi="Arial" w:cs="Arial"/>
          <w:color w:val="000000" w:themeColor="text1"/>
          <w:sz w:val="22"/>
          <w:lang w:val="es-ES_tradnl"/>
        </w:rPr>
        <w:t xml:space="preserve">iii) </w:t>
      </w:r>
      <w:r w:rsidR="005C1D8B" w:rsidRPr="0042283A">
        <w:rPr>
          <w:rFonts w:ascii="Arial" w:eastAsia="Calibri" w:hAnsi="Arial" w:cs="Arial"/>
          <w:color w:val="000000" w:themeColor="text1"/>
          <w:sz w:val="22"/>
          <w:lang w:val="es-ES_tradnl"/>
        </w:rPr>
        <w:t>C</w:t>
      </w:r>
      <w:r w:rsidRPr="0042283A">
        <w:rPr>
          <w:rFonts w:ascii="Arial" w:eastAsia="Calibri" w:hAnsi="Arial" w:cs="Arial"/>
          <w:color w:val="000000" w:themeColor="text1"/>
          <w:sz w:val="22"/>
          <w:lang w:val="es-ES_tradnl"/>
        </w:rPr>
        <w:t>omo el nuevo artículo 2.2.1.2.1.3.2. del Decreto 1082 de 2015, modificado por el artículo 2 del Decreto 399 de 2021</w:t>
      </w:r>
      <w:r w:rsidR="005C1D8B" w:rsidRPr="0042283A">
        <w:rPr>
          <w:rFonts w:ascii="Arial" w:eastAsia="Calibri" w:hAnsi="Arial" w:cs="Arial"/>
          <w:color w:val="000000" w:themeColor="text1"/>
          <w:sz w:val="22"/>
          <w:lang w:val="es-ES_tradnl"/>
        </w:rPr>
        <w:t>,</w:t>
      </w:r>
      <w:r w:rsidRPr="0042283A">
        <w:rPr>
          <w:rFonts w:ascii="Arial" w:eastAsia="Calibri" w:hAnsi="Arial" w:cs="Arial"/>
          <w:color w:val="000000" w:themeColor="text1"/>
          <w:sz w:val="22"/>
          <w:lang w:val="es-ES_tradnl"/>
        </w:rPr>
        <w:t xml:space="preserve"> ya no establece</w:t>
      </w:r>
      <w:r w:rsidR="005C1D8B" w:rsidRPr="0042283A">
        <w:rPr>
          <w:rFonts w:ascii="Arial" w:eastAsia="Calibri" w:hAnsi="Arial" w:cs="Arial"/>
          <w:color w:val="000000" w:themeColor="text1"/>
          <w:sz w:val="22"/>
          <w:lang w:val="es-ES_tradnl"/>
        </w:rPr>
        <w:t xml:space="preserve"> </w:t>
      </w:r>
      <w:r w:rsidR="00C033EC" w:rsidRPr="0042283A">
        <w:rPr>
          <w:rFonts w:ascii="Arial" w:eastAsia="Calibri" w:hAnsi="Arial" w:cs="Arial"/>
          <w:color w:val="000000" w:themeColor="text1"/>
          <w:sz w:val="22"/>
          <w:lang w:val="es-ES_tradnl"/>
        </w:rPr>
        <w:t>una</w:t>
      </w:r>
      <w:r w:rsidR="005C1D8B" w:rsidRPr="0042283A">
        <w:rPr>
          <w:rFonts w:ascii="Arial" w:eastAsia="Calibri" w:hAnsi="Arial" w:cs="Arial"/>
          <w:color w:val="000000" w:themeColor="text1"/>
          <w:sz w:val="22"/>
          <w:lang w:val="es-ES_tradnl"/>
        </w:rPr>
        <w:t xml:space="preserve"> fase </w:t>
      </w:r>
      <w:r w:rsidR="00C033EC" w:rsidRPr="0042283A">
        <w:rPr>
          <w:rFonts w:ascii="Arial" w:eastAsia="Calibri" w:hAnsi="Arial" w:cs="Arial"/>
          <w:color w:val="000000" w:themeColor="text1"/>
          <w:sz w:val="22"/>
          <w:lang w:val="es-ES_tradnl"/>
        </w:rPr>
        <w:t>de negociación</w:t>
      </w:r>
      <w:r w:rsidR="005C1D8B" w:rsidRPr="0042283A">
        <w:rPr>
          <w:rFonts w:ascii="Arial" w:eastAsia="Calibri" w:hAnsi="Arial" w:cs="Arial"/>
          <w:color w:val="000000" w:themeColor="text1"/>
          <w:sz w:val="22"/>
          <w:lang w:val="es-ES_tradnl"/>
        </w:rPr>
        <w:t xml:space="preserve"> entre la entidad estatal y el oferente calificado en el primer lugar de elegibilidad, por sustracción de materia</w:t>
      </w:r>
      <w:r w:rsidR="00023FC9" w:rsidRPr="0042283A">
        <w:rPr>
          <w:rFonts w:ascii="Arial" w:eastAsia="Calibri" w:hAnsi="Arial" w:cs="Arial"/>
          <w:color w:val="000000" w:themeColor="text1"/>
          <w:sz w:val="22"/>
          <w:lang w:val="es-ES_tradnl"/>
        </w:rPr>
        <w:t>,</w:t>
      </w:r>
      <w:r w:rsidR="005C1D8B" w:rsidRPr="0042283A">
        <w:rPr>
          <w:rFonts w:ascii="Arial" w:eastAsia="Calibri" w:hAnsi="Arial" w:cs="Arial"/>
          <w:color w:val="000000" w:themeColor="text1"/>
          <w:sz w:val="22"/>
          <w:lang w:val="es-ES_tradnl"/>
        </w:rPr>
        <w:t xml:space="preserve"> </w:t>
      </w:r>
      <w:r w:rsidR="00023FC9" w:rsidRPr="0042283A">
        <w:rPr>
          <w:rFonts w:ascii="Arial" w:eastAsia="Calibri" w:hAnsi="Arial" w:cs="Arial"/>
          <w:color w:val="000000" w:themeColor="text1"/>
          <w:sz w:val="22"/>
          <w:lang w:val="es-ES_tradnl"/>
        </w:rPr>
        <w:t xml:space="preserve">la entidad estatal </w:t>
      </w:r>
      <w:r w:rsidR="005C1D8B" w:rsidRPr="0042283A">
        <w:rPr>
          <w:rFonts w:ascii="Arial" w:eastAsia="Calibri" w:hAnsi="Arial" w:cs="Arial"/>
          <w:color w:val="000000" w:themeColor="text1"/>
          <w:sz w:val="22"/>
          <w:lang w:val="es-ES_tradnl"/>
        </w:rPr>
        <w:t xml:space="preserve">tampoco </w:t>
      </w:r>
      <w:r w:rsidR="00C033EC" w:rsidRPr="0042283A">
        <w:rPr>
          <w:rFonts w:ascii="Arial" w:eastAsia="Calibri" w:hAnsi="Arial" w:cs="Arial"/>
          <w:color w:val="000000" w:themeColor="text1"/>
          <w:sz w:val="22"/>
          <w:lang w:val="es-ES_tradnl"/>
        </w:rPr>
        <w:t xml:space="preserve">debe intentar un acuerdo con el oferente </w:t>
      </w:r>
      <w:r w:rsidR="00FF25D7" w:rsidRPr="0042283A">
        <w:rPr>
          <w:rFonts w:ascii="Arial" w:eastAsia="Calibri" w:hAnsi="Arial" w:cs="Arial"/>
          <w:color w:val="000000" w:themeColor="text1"/>
          <w:sz w:val="22"/>
          <w:lang w:val="es-ES_tradnl"/>
        </w:rPr>
        <w:t>calificado en el segundo orden de elegibilidad</w:t>
      </w:r>
      <w:r w:rsidR="00D9502A" w:rsidRPr="0042283A">
        <w:rPr>
          <w:rFonts w:ascii="Arial" w:eastAsia="Calibri" w:hAnsi="Arial" w:cs="Arial"/>
          <w:color w:val="000000" w:themeColor="text1"/>
          <w:sz w:val="22"/>
          <w:lang w:val="es-ES_tradnl"/>
        </w:rPr>
        <w:t>,</w:t>
      </w:r>
      <w:r w:rsidR="00FF25D7" w:rsidRPr="0042283A">
        <w:rPr>
          <w:rFonts w:ascii="Arial" w:eastAsia="Calibri" w:hAnsi="Arial" w:cs="Arial"/>
          <w:color w:val="000000" w:themeColor="text1"/>
          <w:sz w:val="22"/>
          <w:lang w:val="es-ES_tradnl"/>
        </w:rPr>
        <w:t xml:space="preserve"> ni puede ampararse en el carácter fallido de dicho acuerdo para declarar desierto el proceso de selección</w:t>
      </w:r>
      <w:r w:rsidR="00FD1A96" w:rsidRPr="0042283A">
        <w:rPr>
          <w:rFonts w:ascii="Arial" w:eastAsia="Calibri" w:hAnsi="Arial" w:cs="Arial"/>
          <w:color w:val="000000" w:themeColor="text1"/>
          <w:sz w:val="22"/>
          <w:lang w:val="es-ES_tradnl"/>
        </w:rPr>
        <w:t>, en armonía con lo</w:t>
      </w:r>
      <w:r w:rsidR="00D231DD" w:rsidRPr="0042283A">
        <w:rPr>
          <w:rFonts w:ascii="Arial" w:eastAsia="Calibri" w:hAnsi="Arial" w:cs="Arial"/>
          <w:color w:val="000000" w:themeColor="text1"/>
          <w:sz w:val="22"/>
          <w:lang w:val="es-ES_tradnl"/>
        </w:rPr>
        <w:t xml:space="preserve"> decidido en los</w:t>
      </w:r>
      <w:r w:rsidR="00FD1A96" w:rsidRPr="0042283A">
        <w:rPr>
          <w:rFonts w:ascii="Arial" w:eastAsia="Calibri" w:hAnsi="Arial" w:cs="Arial"/>
          <w:color w:val="000000" w:themeColor="text1"/>
          <w:sz w:val="22"/>
          <w:lang w:val="es-ES_tradnl"/>
        </w:rPr>
        <w:t xml:space="preserve"> Autos del Consejo de Estado antes señalados</w:t>
      </w:r>
      <w:r w:rsidR="00FF25D7" w:rsidRPr="0042283A">
        <w:rPr>
          <w:rFonts w:ascii="Arial" w:eastAsia="Calibri" w:hAnsi="Arial" w:cs="Arial"/>
          <w:color w:val="000000" w:themeColor="text1"/>
          <w:sz w:val="22"/>
          <w:lang w:val="es-ES_tradnl"/>
        </w:rPr>
        <w:t>.</w:t>
      </w:r>
    </w:p>
    <w:p w14:paraId="501431F0" w14:textId="2B6FEFFD" w:rsidR="00CE24D3" w:rsidRPr="0042283A" w:rsidRDefault="00275CBF" w:rsidP="004F76BF">
      <w:pPr>
        <w:spacing w:before="120" w:line="276" w:lineRule="auto"/>
        <w:ind w:firstLine="709"/>
        <w:jc w:val="both"/>
        <w:rPr>
          <w:rFonts w:ascii="Arial" w:eastAsia="Calibri" w:hAnsi="Arial" w:cs="Arial"/>
          <w:color w:val="000000" w:themeColor="text1"/>
          <w:sz w:val="22"/>
          <w:lang w:val="es-ES_tradnl"/>
        </w:rPr>
      </w:pPr>
      <w:r w:rsidRPr="0042283A">
        <w:rPr>
          <w:rFonts w:ascii="Arial" w:eastAsia="Calibri" w:hAnsi="Arial" w:cs="Arial"/>
          <w:color w:val="000000" w:themeColor="text1"/>
          <w:sz w:val="22"/>
          <w:lang w:val="es-ES_tradnl"/>
        </w:rPr>
        <w:t>Al respecto</w:t>
      </w:r>
      <w:r w:rsidR="00D753E7" w:rsidRPr="0042283A">
        <w:rPr>
          <w:rFonts w:ascii="Arial" w:eastAsia="Calibri" w:hAnsi="Arial" w:cs="Arial"/>
          <w:color w:val="000000" w:themeColor="text1"/>
          <w:sz w:val="22"/>
          <w:lang w:val="es-ES_tradnl"/>
        </w:rPr>
        <w:t xml:space="preserve">, </w:t>
      </w:r>
      <w:r w:rsidR="00780D19" w:rsidRPr="0042283A">
        <w:rPr>
          <w:rFonts w:ascii="Arial" w:eastAsia="Calibri" w:hAnsi="Arial" w:cs="Arial"/>
          <w:color w:val="000000" w:themeColor="text1"/>
          <w:sz w:val="22"/>
          <w:lang w:val="es-ES_tradnl"/>
        </w:rPr>
        <w:t>se aclara que</w:t>
      </w:r>
      <w:r w:rsidR="00D753E7" w:rsidRPr="0042283A">
        <w:rPr>
          <w:rFonts w:ascii="Arial" w:eastAsia="Calibri" w:hAnsi="Arial" w:cs="Arial"/>
          <w:color w:val="000000" w:themeColor="text1"/>
          <w:sz w:val="22"/>
          <w:lang w:val="es-ES_tradnl"/>
        </w:rPr>
        <w:t xml:space="preserve"> </w:t>
      </w:r>
      <w:r w:rsidRPr="0042283A">
        <w:rPr>
          <w:rFonts w:ascii="Arial" w:eastAsia="Calibri" w:hAnsi="Arial" w:cs="Arial"/>
          <w:color w:val="000000" w:themeColor="text1"/>
          <w:sz w:val="22"/>
          <w:lang w:val="es-ES_tradnl"/>
        </w:rPr>
        <w:t>el</w:t>
      </w:r>
      <w:r w:rsidR="00780D19" w:rsidRPr="0042283A">
        <w:rPr>
          <w:rFonts w:ascii="Arial" w:eastAsia="Calibri" w:hAnsi="Arial" w:cs="Arial"/>
          <w:color w:val="000000" w:themeColor="text1"/>
          <w:sz w:val="22"/>
          <w:lang w:val="es-ES_tradnl"/>
        </w:rPr>
        <w:t xml:space="preserve"> Decreto 399 de 2021 en ningún caso</w:t>
      </w:r>
      <w:r w:rsidR="002530A0" w:rsidRPr="0042283A">
        <w:rPr>
          <w:rFonts w:ascii="Arial" w:eastAsia="Calibri" w:hAnsi="Arial" w:cs="Arial"/>
          <w:color w:val="000000" w:themeColor="text1"/>
          <w:sz w:val="22"/>
          <w:lang w:val="es-ES_tradnl"/>
        </w:rPr>
        <w:t xml:space="preserve"> contradice lo establecido en el</w:t>
      </w:r>
      <w:r w:rsidRPr="0042283A">
        <w:rPr>
          <w:rFonts w:ascii="Arial" w:eastAsia="Calibri" w:hAnsi="Arial" w:cs="Arial"/>
          <w:color w:val="000000" w:themeColor="text1"/>
          <w:sz w:val="22"/>
          <w:lang w:val="es-ES_tradnl"/>
        </w:rPr>
        <w:t xml:space="preserve"> artículo 5, numeral 4</w:t>
      </w:r>
      <w:r w:rsidR="002530A0" w:rsidRPr="0042283A">
        <w:rPr>
          <w:rFonts w:ascii="Arial" w:eastAsia="Calibri" w:hAnsi="Arial" w:cs="Arial"/>
          <w:color w:val="000000" w:themeColor="text1"/>
          <w:sz w:val="22"/>
          <w:lang w:val="es-ES_tradnl"/>
        </w:rPr>
        <w:t>, de la Ley 1150 de 2007</w:t>
      </w:r>
      <w:r w:rsidR="00FF0EC4" w:rsidRPr="0042283A">
        <w:rPr>
          <w:rFonts w:ascii="Arial" w:eastAsia="Calibri" w:hAnsi="Arial" w:cs="Arial"/>
          <w:color w:val="000000" w:themeColor="text1"/>
          <w:sz w:val="22"/>
          <w:lang w:val="es-ES_tradnl"/>
        </w:rPr>
        <w:t>;</w:t>
      </w:r>
      <w:r w:rsidR="002530A0" w:rsidRPr="0042283A">
        <w:rPr>
          <w:rFonts w:ascii="Arial" w:eastAsia="Calibri" w:hAnsi="Arial" w:cs="Arial"/>
          <w:color w:val="000000" w:themeColor="text1"/>
          <w:sz w:val="22"/>
          <w:lang w:val="es-ES_tradnl"/>
        </w:rPr>
        <w:t xml:space="preserve"> </w:t>
      </w:r>
      <w:r w:rsidR="001935FF" w:rsidRPr="0042283A">
        <w:rPr>
          <w:rFonts w:ascii="Arial" w:eastAsia="Calibri" w:hAnsi="Arial" w:cs="Arial"/>
          <w:color w:val="000000" w:themeColor="text1"/>
          <w:sz w:val="22"/>
          <w:lang w:val="es-ES_tradnl"/>
        </w:rPr>
        <w:t xml:space="preserve">norma que dispone que «En los procesos para la selección de consultores se hará uso de factores de calificación destinados a valorar los aspectos técnicos de la oferta o proyecto […]» y que </w:t>
      </w:r>
      <w:r w:rsidR="00DA1863" w:rsidRPr="0042283A">
        <w:rPr>
          <w:rFonts w:ascii="Arial" w:eastAsia="Calibri" w:hAnsi="Arial" w:cs="Arial"/>
          <w:color w:val="000000" w:themeColor="text1"/>
          <w:sz w:val="22"/>
          <w:lang w:val="es-ES_tradnl"/>
        </w:rPr>
        <w:t>«En ningún caso se podrá incluir el precio, como factor de escogencia para la selección de consultores».</w:t>
      </w:r>
      <w:r w:rsidR="00976256" w:rsidRPr="0042283A">
        <w:rPr>
          <w:rFonts w:ascii="Arial" w:eastAsia="Calibri" w:hAnsi="Arial" w:cs="Arial"/>
          <w:color w:val="000000" w:themeColor="text1"/>
          <w:sz w:val="22"/>
          <w:lang w:val="es-ES_tradnl"/>
        </w:rPr>
        <w:t xml:space="preserve"> El hecho de que desaparezca la etapa en la cual la entidad estatal </w:t>
      </w:r>
      <w:r w:rsidR="0048757F" w:rsidRPr="0042283A">
        <w:rPr>
          <w:rFonts w:ascii="Arial" w:eastAsia="Calibri" w:hAnsi="Arial" w:cs="Arial"/>
          <w:color w:val="000000" w:themeColor="text1"/>
          <w:sz w:val="22"/>
          <w:lang w:val="es-ES_tradnl"/>
        </w:rPr>
        <w:t>debía intentar</w:t>
      </w:r>
      <w:r w:rsidR="00976256" w:rsidRPr="0042283A">
        <w:rPr>
          <w:rFonts w:ascii="Arial" w:eastAsia="Calibri" w:hAnsi="Arial" w:cs="Arial"/>
          <w:color w:val="000000" w:themeColor="text1"/>
          <w:sz w:val="22"/>
          <w:lang w:val="es-ES_tradnl"/>
        </w:rPr>
        <w:t xml:space="preserve"> un acuerdo sobre el</w:t>
      </w:r>
      <w:r w:rsidR="0048757F" w:rsidRPr="0042283A">
        <w:rPr>
          <w:rFonts w:ascii="Arial" w:eastAsia="Calibri" w:hAnsi="Arial" w:cs="Arial"/>
          <w:color w:val="000000" w:themeColor="text1"/>
          <w:sz w:val="22"/>
          <w:lang w:val="es-ES_tradnl"/>
        </w:rPr>
        <w:t xml:space="preserve"> alcance y el valor del contrato</w:t>
      </w:r>
      <w:r w:rsidR="00976256" w:rsidRPr="0042283A">
        <w:rPr>
          <w:rFonts w:ascii="Arial" w:eastAsia="Calibri" w:hAnsi="Arial" w:cs="Arial"/>
          <w:color w:val="000000" w:themeColor="text1"/>
          <w:sz w:val="22"/>
          <w:lang w:val="es-ES_tradnl"/>
        </w:rPr>
        <w:t xml:space="preserve"> con el oferente calificado en el primer orden de elegibilidad</w:t>
      </w:r>
      <w:r w:rsidR="0048757F" w:rsidRPr="0042283A">
        <w:rPr>
          <w:rFonts w:ascii="Arial" w:eastAsia="Calibri" w:hAnsi="Arial" w:cs="Arial"/>
          <w:color w:val="000000" w:themeColor="text1"/>
          <w:sz w:val="22"/>
          <w:lang w:val="es-ES_tradnl"/>
        </w:rPr>
        <w:t xml:space="preserve"> no significa que </w:t>
      </w:r>
      <w:r w:rsidR="00E70412" w:rsidRPr="0042283A">
        <w:rPr>
          <w:rFonts w:ascii="Arial" w:eastAsia="Calibri" w:hAnsi="Arial" w:cs="Arial"/>
          <w:color w:val="000000" w:themeColor="text1"/>
          <w:sz w:val="22"/>
          <w:lang w:val="es-ES_tradnl"/>
        </w:rPr>
        <w:t xml:space="preserve">se esté introduciendo el precio como factor de escogencia. Lo que se deduce del artículo 2 del Decreto 399 de 2021 es que </w:t>
      </w:r>
      <w:r w:rsidR="00B5644C" w:rsidRPr="0042283A">
        <w:rPr>
          <w:rFonts w:ascii="Arial" w:eastAsia="Calibri" w:hAnsi="Arial" w:cs="Arial"/>
          <w:color w:val="000000" w:themeColor="text1"/>
          <w:sz w:val="22"/>
          <w:lang w:val="es-ES_tradnl"/>
        </w:rPr>
        <w:t>en el pliego de condiciones debe quedar claramente establecido el presupuesto oficial</w:t>
      </w:r>
      <w:r w:rsidR="002C15BF" w:rsidRPr="0042283A">
        <w:rPr>
          <w:rFonts w:ascii="Arial" w:eastAsia="Calibri" w:hAnsi="Arial" w:cs="Arial"/>
          <w:color w:val="000000" w:themeColor="text1"/>
          <w:sz w:val="22"/>
          <w:lang w:val="es-ES_tradnl"/>
        </w:rPr>
        <w:t>, así como la prohibición de superar</w:t>
      </w:r>
      <w:r w:rsidR="000E40E4" w:rsidRPr="0042283A">
        <w:rPr>
          <w:rFonts w:ascii="Arial" w:eastAsia="Calibri" w:hAnsi="Arial" w:cs="Arial"/>
          <w:color w:val="000000" w:themeColor="text1"/>
          <w:sz w:val="22"/>
          <w:lang w:val="es-ES_tradnl"/>
        </w:rPr>
        <w:t xml:space="preserve">lo </w:t>
      </w:r>
      <w:r w:rsidR="002C15BF" w:rsidRPr="0042283A">
        <w:rPr>
          <w:rFonts w:ascii="Arial" w:eastAsia="Calibri" w:hAnsi="Arial" w:cs="Arial"/>
          <w:color w:val="000000" w:themeColor="text1"/>
          <w:sz w:val="22"/>
          <w:lang w:val="es-ES_tradnl"/>
        </w:rPr>
        <w:t>como requisito habilitante dentro del concurso de méritos.</w:t>
      </w:r>
    </w:p>
    <w:p w14:paraId="3ACBD486" w14:textId="21EB7015" w:rsidR="00DA1863" w:rsidRPr="0042283A" w:rsidRDefault="002820DA" w:rsidP="00CE24D3">
      <w:pPr>
        <w:spacing w:before="120" w:line="276" w:lineRule="auto"/>
        <w:ind w:firstLine="709"/>
        <w:jc w:val="both"/>
        <w:rPr>
          <w:rFonts w:ascii="Arial" w:eastAsia="Calibri" w:hAnsi="Arial" w:cs="Arial"/>
          <w:color w:val="000000" w:themeColor="text1"/>
          <w:sz w:val="22"/>
          <w:lang w:val="es-ES_tradnl"/>
        </w:rPr>
      </w:pPr>
      <w:r w:rsidRPr="0042283A">
        <w:rPr>
          <w:rFonts w:ascii="Arial" w:eastAsia="Calibri" w:hAnsi="Arial" w:cs="Arial"/>
          <w:color w:val="000000" w:themeColor="text1"/>
          <w:sz w:val="22"/>
          <w:lang w:val="es-ES_tradnl"/>
        </w:rPr>
        <w:t>Dicho de otro modo, una vez verificado el cumplimiento de los requisitos habilitantes –entre los cuales está no superar el presupuesto oficial– y de ponderar</w:t>
      </w:r>
      <w:r w:rsidR="004068CD" w:rsidRPr="0042283A">
        <w:rPr>
          <w:rFonts w:ascii="Arial" w:eastAsia="Calibri" w:hAnsi="Arial" w:cs="Arial"/>
          <w:color w:val="000000" w:themeColor="text1"/>
          <w:sz w:val="22"/>
          <w:lang w:val="es-ES_tradnl"/>
        </w:rPr>
        <w:t xml:space="preserve"> los factores de calificación, se deberá elaborar el informe de evaluación respectivo</w:t>
      </w:r>
      <w:r w:rsidR="00991361" w:rsidRPr="0042283A">
        <w:rPr>
          <w:rFonts w:ascii="Arial" w:eastAsia="Calibri" w:hAnsi="Arial" w:cs="Arial"/>
          <w:color w:val="000000" w:themeColor="text1"/>
          <w:sz w:val="22"/>
          <w:lang w:val="es-ES_tradnl"/>
        </w:rPr>
        <w:t xml:space="preserve"> –el cual es susceptible de observaciones–</w:t>
      </w:r>
      <w:r w:rsidR="004068CD" w:rsidRPr="0042283A">
        <w:rPr>
          <w:rFonts w:ascii="Arial" w:eastAsia="Calibri" w:hAnsi="Arial" w:cs="Arial"/>
          <w:color w:val="000000" w:themeColor="text1"/>
          <w:sz w:val="22"/>
          <w:lang w:val="es-ES_tradnl"/>
        </w:rPr>
        <w:t xml:space="preserve"> y </w:t>
      </w:r>
      <w:r w:rsidRPr="0042283A">
        <w:rPr>
          <w:rFonts w:ascii="Arial" w:eastAsia="Calibri" w:hAnsi="Arial" w:cs="Arial"/>
          <w:color w:val="000000" w:themeColor="text1"/>
          <w:sz w:val="22"/>
          <w:lang w:val="es-ES_tradnl"/>
        </w:rPr>
        <w:t>solo se podrá adjudicar el contrato a quien ocupe el primer orden de elegibilidad según los criterios de calificación.</w:t>
      </w:r>
      <w:r w:rsidR="00F45756" w:rsidRPr="0042283A">
        <w:rPr>
          <w:rFonts w:ascii="Arial" w:eastAsia="Calibri" w:hAnsi="Arial" w:cs="Arial"/>
          <w:color w:val="000000" w:themeColor="text1"/>
          <w:sz w:val="22"/>
          <w:lang w:val="es-ES_tradnl"/>
        </w:rPr>
        <w:t xml:space="preserve"> Esto significa que luego de </w:t>
      </w:r>
      <w:r w:rsidR="00CE24D3" w:rsidRPr="0042283A">
        <w:rPr>
          <w:rFonts w:ascii="Arial" w:eastAsia="Calibri" w:hAnsi="Arial" w:cs="Arial"/>
          <w:color w:val="000000" w:themeColor="text1"/>
          <w:sz w:val="22"/>
          <w:lang w:val="es-ES_tradnl"/>
        </w:rPr>
        <w:t>resolver las observaciones al informe de</w:t>
      </w:r>
      <w:r w:rsidR="00F45756" w:rsidRPr="0042283A">
        <w:rPr>
          <w:rFonts w:ascii="Arial" w:eastAsia="Calibri" w:hAnsi="Arial" w:cs="Arial"/>
          <w:color w:val="000000" w:themeColor="text1"/>
          <w:sz w:val="22"/>
          <w:lang w:val="es-ES_tradnl"/>
        </w:rPr>
        <w:t xml:space="preserve"> evaluación</w:t>
      </w:r>
      <w:r w:rsidR="00CE24D3" w:rsidRPr="0042283A">
        <w:rPr>
          <w:rFonts w:ascii="Arial" w:eastAsia="Calibri" w:hAnsi="Arial" w:cs="Arial"/>
          <w:color w:val="000000" w:themeColor="text1"/>
          <w:sz w:val="22"/>
          <w:lang w:val="es-ES_tradnl"/>
        </w:rPr>
        <w:t xml:space="preserve"> y de quedar en firme est</w:t>
      </w:r>
      <w:r w:rsidR="00BD7522" w:rsidRPr="0042283A">
        <w:rPr>
          <w:rFonts w:ascii="Arial" w:eastAsia="Calibri" w:hAnsi="Arial" w:cs="Arial"/>
          <w:color w:val="000000" w:themeColor="text1"/>
          <w:sz w:val="22"/>
          <w:lang w:val="es-ES_tradnl"/>
        </w:rPr>
        <w:t>e</w:t>
      </w:r>
      <w:r w:rsidR="00CE24D3" w:rsidRPr="0042283A">
        <w:rPr>
          <w:rFonts w:ascii="Arial" w:eastAsia="Calibri" w:hAnsi="Arial" w:cs="Arial"/>
          <w:color w:val="000000" w:themeColor="text1"/>
          <w:sz w:val="22"/>
          <w:lang w:val="es-ES_tradnl"/>
        </w:rPr>
        <w:t>,</w:t>
      </w:r>
      <w:r w:rsidR="00F45756" w:rsidRPr="0042283A">
        <w:rPr>
          <w:rFonts w:ascii="Arial" w:eastAsia="Calibri" w:hAnsi="Arial" w:cs="Arial"/>
          <w:color w:val="000000" w:themeColor="text1"/>
          <w:sz w:val="22"/>
          <w:lang w:val="es-ES_tradnl"/>
        </w:rPr>
        <w:t xml:space="preserve"> ya la entidad estatal no puede revisar</w:t>
      </w:r>
      <w:r w:rsidR="00FA4034" w:rsidRPr="0042283A">
        <w:rPr>
          <w:rFonts w:ascii="Arial" w:eastAsia="Calibri" w:hAnsi="Arial" w:cs="Arial"/>
          <w:color w:val="000000" w:themeColor="text1"/>
          <w:sz w:val="22"/>
          <w:lang w:val="es-ES_tradnl"/>
        </w:rPr>
        <w:t xml:space="preserve"> la conformidad de la oferta económica con el presupuesto oficial –pues esto debió hacerlo antes de publicar el informe de evaluación–</w:t>
      </w:r>
      <w:r w:rsidR="00F45756" w:rsidRPr="0042283A">
        <w:rPr>
          <w:rFonts w:ascii="Arial" w:eastAsia="Calibri" w:hAnsi="Arial" w:cs="Arial"/>
          <w:color w:val="000000" w:themeColor="text1"/>
          <w:sz w:val="22"/>
          <w:lang w:val="es-ES_tradnl"/>
        </w:rPr>
        <w:t xml:space="preserve">, ni </w:t>
      </w:r>
      <w:r w:rsidR="00FA4034" w:rsidRPr="0042283A">
        <w:rPr>
          <w:rFonts w:ascii="Arial" w:eastAsia="Calibri" w:hAnsi="Arial" w:cs="Arial"/>
          <w:color w:val="000000" w:themeColor="text1"/>
          <w:sz w:val="22"/>
          <w:lang w:val="es-ES_tradnl"/>
        </w:rPr>
        <w:t>intentar un acuerdo sobre el precio</w:t>
      </w:r>
      <w:r w:rsidR="00501525" w:rsidRPr="0042283A">
        <w:rPr>
          <w:rFonts w:ascii="Arial" w:eastAsia="Calibri" w:hAnsi="Arial" w:cs="Arial"/>
          <w:color w:val="000000" w:themeColor="text1"/>
          <w:sz w:val="22"/>
          <w:lang w:val="es-ES_tradnl"/>
        </w:rPr>
        <w:t xml:space="preserve">, como sí lo permitían los numerales </w:t>
      </w:r>
      <w:r w:rsidR="00D2374F" w:rsidRPr="0042283A">
        <w:rPr>
          <w:rFonts w:ascii="Arial" w:eastAsia="Calibri" w:hAnsi="Arial" w:cs="Arial"/>
          <w:color w:val="000000" w:themeColor="text1"/>
          <w:sz w:val="22"/>
          <w:lang w:val="es-ES_tradnl"/>
        </w:rPr>
        <w:t>4 y 5 del artículo 2.2.1.2.1.3.2. del Decreto 1082 de 2015 en su redacción inicial</w:t>
      </w:r>
      <w:r w:rsidR="00FA4034" w:rsidRPr="0042283A">
        <w:rPr>
          <w:rFonts w:ascii="Arial" w:eastAsia="Calibri" w:hAnsi="Arial" w:cs="Arial"/>
          <w:color w:val="000000" w:themeColor="text1"/>
          <w:sz w:val="22"/>
          <w:lang w:val="es-ES_tradnl"/>
        </w:rPr>
        <w:t>.</w:t>
      </w:r>
      <w:r w:rsidR="00CE24D3" w:rsidRPr="0042283A">
        <w:rPr>
          <w:rFonts w:ascii="Arial" w:eastAsia="Calibri" w:hAnsi="Arial" w:cs="Arial"/>
          <w:color w:val="000000" w:themeColor="text1"/>
          <w:sz w:val="22"/>
          <w:lang w:val="es-ES_tradnl"/>
        </w:rPr>
        <w:t xml:space="preserve"> Lo que procede</w:t>
      </w:r>
      <w:r w:rsidR="00D2374F" w:rsidRPr="0042283A">
        <w:rPr>
          <w:rFonts w:ascii="Arial" w:eastAsia="Calibri" w:hAnsi="Arial" w:cs="Arial"/>
          <w:color w:val="000000" w:themeColor="text1"/>
          <w:sz w:val="22"/>
          <w:lang w:val="es-ES_tradnl"/>
        </w:rPr>
        <w:t xml:space="preserve"> una vez resueltas las observaciones al informe de evaluació</w:t>
      </w:r>
      <w:r w:rsidR="009B1F52" w:rsidRPr="0042283A">
        <w:rPr>
          <w:rFonts w:ascii="Arial" w:eastAsia="Calibri" w:hAnsi="Arial" w:cs="Arial"/>
          <w:color w:val="000000" w:themeColor="text1"/>
          <w:sz w:val="22"/>
          <w:lang w:val="es-ES_tradnl"/>
        </w:rPr>
        <w:t>n</w:t>
      </w:r>
      <w:r w:rsidR="00CE24D3" w:rsidRPr="0042283A">
        <w:rPr>
          <w:rFonts w:ascii="Arial" w:eastAsia="Calibri" w:hAnsi="Arial" w:cs="Arial"/>
          <w:color w:val="000000" w:themeColor="text1"/>
          <w:sz w:val="22"/>
          <w:lang w:val="es-ES_tradnl"/>
        </w:rPr>
        <w:t xml:space="preserve"> es la adjudicación del contrato o la declaratoria de desierta</w:t>
      </w:r>
      <w:r w:rsidR="00D2374F" w:rsidRPr="0042283A">
        <w:rPr>
          <w:rFonts w:ascii="Arial" w:eastAsia="Calibri" w:hAnsi="Arial" w:cs="Arial"/>
          <w:color w:val="000000" w:themeColor="text1"/>
          <w:sz w:val="22"/>
          <w:lang w:val="es-ES_tradnl"/>
        </w:rPr>
        <w:t>,</w:t>
      </w:r>
      <w:r w:rsidR="00CE24D3" w:rsidRPr="0042283A">
        <w:rPr>
          <w:rFonts w:ascii="Arial" w:eastAsia="Calibri" w:hAnsi="Arial" w:cs="Arial"/>
          <w:color w:val="000000" w:themeColor="text1"/>
          <w:sz w:val="22"/>
          <w:lang w:val="es-ES_tradnl"/>
        </w:rPr>
        <w:t xml:space="preserve"> si ninguno de los oferentes cumple los requisitos habilitantes.</w:t>
      </w:r>
    </w:p>
    <w:bookmarkEnd w:id="10"/>
    <w:p w14:paraId="75AB8E56" w14:textId="71711921" w:rsidR="0081338F" w:rsidRPr="0042283A" w:rsidRDefault="0081338F" w:rsidP="00510DE9">
      <w:pPr>
        <w:tabs>
          <w:tab w:val="left" w:pos="0"/>
        </w:tabs>
        <w:jc w:val="both"/>
        <w:rPr>
          <w:rFonts w:ascii="Arial" w:eastAsia="Calibri" w:hAnsi="Arial" w:cs="Arial"/>
          <w:b/>
          <w:color w:val="000000" w:themeColor="text1"/>
          <w:sz w:val="22"/>
          <w:lang w:val="es-ES_tradnl"/>
        </w:rPr>
      </w:pPr>
    </w:p>
    <w:p w14:paraId="1ADE0D43" w14:textId="0CB38844" w:rsidR="00B466C4" w:rsidRPr="0042283A" w:rsidRDefault="00B466C4" w:rsidP="00AD749E">
      <w:pPr>
        <w:tabs>
          <w:tab w:val="left" w:pos="0"/>
        </w:tabs>
        <w:spacing w:line="276" w:lineRule="auto"/>
        <w:jc w:val="both"/>
        <w:rPr>
          <w:rFonts w:ascii="Arial" w:eastAsia="Calibri" w:hAnsi="Arial" w:cs="Arial"/>
          <w:b/>
          <w:color w:val="000000" w:themeColor="text1"/>
          <w:sz w:val="22"/>
          <w:lang w:val="es-ES_tradnl"/>
        </w:rPr>
      </w:pPr>
      <w:r w:rsidRPr="0042283A">
        <w:rPr>
          <w:rFonts w:ascii="Arial" w:eastAsia="Calibri" w:hAnsi="Arial" w:cs="Arial"/>
          <w:b/>
          <w:color w:val="000000" w:themeColor="text1"/>
          <w:sz w:val="22"/>
          <w:lang w:val="es-ES_tradnl"/>
        </w:rPr>
        <w:lastRenderedPageBreak/>
        <w:t>2.3. Alcance del deber de incluir, en los estudios previos, la forma como se calcularon los precios unitarios, consagrado en el artículo 1, numeral 4, del Decreto 399 de 2021</w:t>
      </w:r>
      <w:r w:rsidR="00D12264" w:rsidRPr="0042283A">
        <w:rPr>
          <w:rFonts w:ascii="Arial" w:eastAsia="Calibri" w:hAnsi="Arial" w:cs="Arial"/>
          <w:b/>
          <w:color w:val="000000" w:themeColor="text1"/>
          <w:sz w:val="22"/>
          <w:lang w:val="es-ES_tradnl"/>
        </w:rPr>
        <w:t>:</w:t>
      </w:r>
      <w:r w:rsidRPr="0042283A">
        <w:rPr>
          <w:rFonts w:ascii="Arial" w:eastAsia="Calibri" w:hAnsi="Arial" w:cs="Arial"/>
          <w:b/>
          <w:color w:val="000000" w:themeColor="text1"/>
          <w:sz w:val="22"/>
          <w:lang w:val="es-ES_tradnl"/>
        </w:rPr>
        <w:t xml:space="preserve"> </w:t>
      </w:r>
      <w:r w:rsidR="00D12264" w:rsidRPr="0042283A">
        <w:rPr>
          <w:rFonts w:ascii="Arial" w:eastAsia="Calibri" w:hAnsi="Arial" w:cs="Arial"/>
          <w:b/>
          <w:color w:val="000000" w:themeColor="text1"/>
          <w:sz w:val="22"/>
          <w:lang w:val="es-ES_tradnl"/>
        </w:rPr>
        <w:t>s</w:t>
      </w:r>
      <w:r w:rsidRPr="0042283A">
        <w:rPr>
          <w:rFonts w:ascii="Arial" w:eastAsia="Calibri" w:hAnsi="Arial" w:cs="Arial"/>
          <w:b/>
          <w:color w:val="000000" w:themeColor="text1"/>
          <w:sz w:val="22"/>
          <w:lang w:val="es-ES_tradnl"/>
        </w:rPr>
        <w:t>u aplicación en el concurso de méritos</w:t>
      </w:r>
    </w:p>
    <w:p w14:paraId="257561DB" w14:textId="503F914D" w:rsidR="005C1D5F" w:rsidRPr="0042283A" w:rsidRDefault="005C1D5F" w:rsidP="00190520">
      <w:pPr>
        <w:spacing w:line="276" w:lineRule="auto"/>
        <w:jc w:val="both"/>
        <w:rPr>
          <w:rFonts w:ascii="Arial" w:eastAsia="Calibri" w:hAnsi="Arial" w:cs="Arial"/>
          <w:sz w:val="22"/>
          <w:lang w:val="es-ES_tradnl"/>
        </w:rPr>
      </w:pPr>
    </w:p>
    <w:p w14:paraId="32FA32DA" w14:textId="059B6507" w:rsidR="005C39CB" w:rsidRPr="0042283A" w:rsidRDefault="005C39CB" w:rsidP="005C39CB">
      <w:pPr>
        <w:spacing w:after="120" w:line="276" w:lineRule="auto"/>
        <w:jc w:val="both"/>
      </w:pPr>
      <w:r w:rsidRPr="0042283A">
        <w:rPr>
          <w:rFonts w:ascii="Arial" w:eastAsia="Calibri" w:hAnsi="Arial" w:cs="Arial"/>
          <w:bCs/>
          <w:sz w:val="22"/>
          <w:lang w:val="es-ES_tradnl"/>
        </w:rPr>
        <w:t>La planeación contractual es una herramienta de gerencia pública, que exige estructurar el proceso contractual dedicando tiempo y esfuerzos para elaborar estudios previos, con el fin de determinar la necesidad que pretende satisfacer la entidad estatal y cuál es la mejor manera de hacerlo, consultando el tipo de bienes y servicios que ofrece el mercado y sus características, especificaciones, precios, costos, riesgos, garantías, disponibilidad, oferentes, etc. Lo anterior</w:t>
      </w:r>
      <w:r w:rsidR="00D31B3C" w:rsidRPr="0042283A">
        <w:rPr>
          <w:rFonts w:ascii="Arial" w:eastAsia="Calibri" w:hAnsi="Arial" w:cs="Arial"/>
          <w:bCs/>
          <w:sz w:val="22"/>
          <w:lang w:val="es-ES_tradnl"/>
        </w:rPr>
        <w:t>,</w:t>
      </w:r>
      <w:r w:rsidRPr="0042283A">
        <w:rPr>
          <w:rFonts w:ascii="Arial" w:eastAsia="Calibri" w:hAnsi="Arial" w:cs="Arial"/>
          <w:bCs/>
          <w:sz w:val="22"/>
          <w:lang w:val="es-ES_tradnl"/>
        </w:rPr>
        <w:t xml:space="preserve"> con la finalidad de realizar la escogencia diligente de la mejor oferta, para beneficiar los intereses y fines públicos inmersos en la contratación de las entidades estatales</w:t>
      </w:r>
      <w:r w:rsidRPr="0042283A">
        <w:rPr>
          <w:rFonts w:ascii="Arial" w:eastAsia="Calibri" w:hAnsi="Arial" w:cs="Arial"/>
          <w:bCs/>
          <w:sz w:val="21"/>
          <w:szCs w:val="21"/>
          <w:lang w:val="es-ES_tradnl"/>
        </w:rPr>
        <w:t>.</w:t>
      </w:r>
    </w:p>
    <w:p w14:paraId="437DB1E2" w14:textId="5E7F5B03" w:rsidR="005C39CB" w:rsidRPr="0042283A" w:rsidRDefault="005C39CB" w:rsidP="005C39CB">
      <w:pPr>
        <w:pStyle w:val="Sinespaciado"/>
        <w:spacing w:before="120" w:line="276" w:lineRule="auto"/>
        <w:ind w:firstLine="708"/>
        <w:jc w:val="both"/>
        <w:rPr>
          <w:rFonts w:ascii="Arial" w:hAnsi="Arial" w:cs="Arial"/>
          <w:bCs/>
          <w:sz w:val="22"/>
          <w:lang w:val="es-ES"/>
        </w:rPr>
      </w:pPr>
      <w:r w:rsidRPr="0042283A">
        <w:rPr>
          <w:rFonts w:ascii="Arial" w:hAnsi="Arial" w:cs="Arial"/>
          <w:bCs/>
          <w:sz w:val="22"/>
        </w:rPr>
        <w:t xml:space="preserve">El Estatuto General de Contratación de la Administración Pública contiene disposiciones que exigen a las entidades estatales el deber de realizar planeación en la etapa precontractual, para que los procesos de contratación satisfagan las necesidades de la Administración, cumplan sus fines, logren la continua y eficiente prestación de los servicios públicos y permitan la efectividad de los derechos e intereses de los administrados que colaboran en </w:t>
      </w:r>
      <w:r w:rsidR="00D31B3C" w:rsidRPr="0042283A">
        <w:rPr>
          <w:rFonts w:ascii="Arial" w:hAnsi="Arial" w:cs="Arial"/>
          <w:bCs/>
          <w:sz w:val="22"/>
        </w:rPr>
        <w:t xml:space="preserve">su </w:t>
      </w:r>
      <w:r w:rsidRPr="0042283A">
        <w:rPr>
          <w:rFonts w:ascii="Arial" w:hAnsi="Arial" w:cs="Arial"/>
          <w:bCs/>
          <w:sz w:val="22"/>
        </w:rPr>
        <w:t xml:space="preserve">consecución. En relación con el valor del futuro contrato y su correlativo respaldo presupuestal, se tienen, por ejemplo, las siguientes reglas derivadas de la aplicación del principio de economía previsto en el artículo 25 de la Ley 80 de 1993: </w:t>
      </w:r>
    </w:p>
    <w:p w14:paraId="481DF907" w14:textId="77777777" w:rsidR="005C39CB" w:rsidRPr="0042283A" w:rsidRDefault="005C39CB" w:rsidP="005C39CB">
      <w:pPr>
        <w:pStyle w:val="Sinespaciado"/>
        <w:spacing w:line="276" w:lineRule="auto"/>
        <w:ind w:firstLine="708"/>
        <w:jc w:val="both"/>
        <w:rPr>
          <w:rFonts w:ascii="Arial" w:hAnsi="Arial" w:cs="Arial"/>
          <w:bCs/>
          <w:sz w:val="22"/>
          <w:lang w:val="es-ES"/>
        </w:rPr>
      </w:pPr>
    </w:p>
    <w:p w14:paraId="40E757C9" w14:textId="77777777" w:rsidR="005C39CB" w:rsidRPr="0042283A" w:rsidRDefault="005C39CB" w:rsidP="005C39CB">
      <w:pPr>
        <w:pStyle w:val="Sinespaciado"/>
        <w:ind w:left="709" w:right="709"/>
        <w:jc w:val="both"/>
        <w:rPr>
          <w:rFonts w:ascii="Arial" w:hAnsi="Arial" w:cs="Arial"/>
          <w:sz w:val="21"/>
          <w:szCs w:val="21"/>
        </w:rPr>
      </w:pPr>
      <w:r w:rsidRPr="0042283A">
        <w:rPr>
          <w:rFonts w:ascii="Arial" w:hAnsi="Arial" w:cs="Arial"/>
          <w:sz w:val="21"/>
          <w:szCs w:val="21"/>
        </w:rPr>
        <w:t>7o. La conveniencia o inconveniencia del objeto a contratar y las autorizaciones y aprobaciones para ello, se analizarán o impartirán con antelación al inicio del proceso de selección del contratista o al de la firma del contrato, según el caso.</w:t>
      </w:r>
    </w:p>
    <w:p w14:paraId="061F967C" w14:textId="77777777" w:rsidR="005C39CB" w:rsidRPr="0042283A" w:rsidRDefault="005C39CB" w:rsidP="005C39CB">
      <w:pPr>
        <w:pStyle w:val="Sinespaciado"/>
        <w:spacing w:after="120"/>
        <w:ind w:left="709" w:right="709"/>
        <w:jc w:val="both"/>
        <w:rPr>
          <w:rFonts w:ascii="Arial" w:hAnsi="Arial" w:cs="Arial"/>
          <w:sz w:val="21"/>
          <w:szCs w:val="21"/>
        </w:rPr>
      </w:pPr>
      <w:r w:rsidRPr="0042283A">
        <w:rPr>
          <w:rFonts w:ascii="Arial" w:hAnsi="Arial" w:cs="Arial"/>
          <w:sz w:val="21"/>
          <w:szCs w:val="21"/>
        </w:rPr>
        <w:t>[…]</w:t>
      </w:r>
    </w:p>
    <w:p w14:paraId="04DCCC12" w14:textId="77777777" w:rsidR="005C39CB" w:rsidRPr="0042283A" w:rsidRDefault="005C39CB" w:rsidP="005C39CB">
      <w:pPr>
        <w:pStyle w:val="Sinespaciado"/>
        <w:spacing w:after="120"/>
        <w:ind w:left="709" w:right="709"/>
        <w:jc w:val="both"/>
        <w:rPr>
          <w:rFonts w:ascii="Arial" w:hAnsi="Arial" w:cs="Arial"/>
          <w:sz w:val="21"/>
          <w:szCs w:val="21"/>
        </w:rPr>
      </w:pPr>
      <w:r w:rsidRPr="0042283A">
        <w:rPr>
          <w:rFonts w:ascii="Arial" w:hAnsi="Arial" w:cs="Arial"/>
          <w:sz w:val="21"/>
          <w:szCs w:val="21"/>
        </w:rPr>
        <w:t>12. Previo a la apertura de un proceso de selección, o a la firma del contrato en el caso en que la modalidad de selección sea contratación directa, deberán elaborarse los estudios, diseños y proyectos requeridos, y los pliegos de condiciones, según corresponda.</w:t>
      </w:r>
    </w:p>
    <w:p w14:paraId="258D8AC9" w14:textId="77777777" w:rsidR="005C39CB" w:rsidRPr="0042283A" w:rsidRDefault="005C39CB" w:rsidP="005C39CB">
      <w:pPr>
        <w:pStyle w:val="Sinespaciado"/>
        <w:spacing w:after="120"/>
        <w:ind w:left="709" w:right="709"/>
        <w:jc w:val="both"/>
        <w:rPr>
          <w:rFonts w:ascii="Arial" w:hAnsi="Arial" w:cs="Arial"/>
          <w:sz w:val="21"/>
          <w:szCs w:val="21"/>
        </w:rPr>
      </w:pPr>
      <w:r w:rsidRPr="0042283A">
        <w:rPr>
          <w:rFonts w:ascii="Arial" w:hAnsi="Arial" w:cs="Arial"/>
          <w:sz w:val="21"/>
          <w:szCs w:val="21"/>
        </w:rPr>
        <w:t>Cuando el objeto de la contratación incluya la realización de una obra, en la misma oportunidad señalada en el inciso primero, la entidad contratante deberá contar con los estudios y diseños que permitan establecer la viabilidad del proyecto y su impacto social, económico y ambiental. Esta condición será aplicable incluso para los contratos que incluyan dentro del objeto el diseño.</w:t>
      </w:r>
    </w:p>
    <w:p w14:paraId="4211F5FE" w14:textId="77777777" w:rsidR="005C39CB" w:rsidRPr="0042283A" w:rsidRDefault="005C39CB" w:rsidP="005C39CB">
      <w:pPr>
        <w:spacing w:after="120"/>
        <w:ind w:left="709" w:right="709"/>
        <w:jc w:val="both"/>
        <w:rPr>
          <w:rFonts w:ascii="Arial" w:hAnsi="Arial" w:cs="Arial"/>
          <w:sz w:val="21"/>
          <w:szCs w:val="21"/>
        </w:rPr>
      </w:pPr>
      <w:r w:rsidRPr="0042283A">
        <w:rPr>
          <w:rFonts w:ascii="Arial" w:hAnsi="Arial" w:cs="Arial"/>
          <w:sz w:val="21"/>
          <w:szCs w:val="21"/>
        </w:rPr>
        <w:t>13. Las autoridades constituirán las reservas y compromisos presupuestales necesarios, tomando como base el valor de las prestaciones al momento de celebrar el contrato y el estimativo de los ajustes resultantes de la aplicación de la cláusula de actualización de precios.</w:t>
      </w:r>
    </w:p>
    <w:p w14:paraId="4616FB39" w14:textId="77777777" w:rsidR="005C39CB" w:rsidRPr="0042283A" w:rsidRDefault="005C39CB" w:rsidP="005C39CB">
      <w:pPr>
        <w:ind w:left="709" w:right="709"/>
        <w:jc w:val="both"/>
        <w:rPr>
          <w:rFonts w:ascii="Arial" w:hAnsi="Arial" w:cs="Arial"/>
          <w:sz w:val="21"/>
          <w:szCs w:val="21"/>
        </w:rPr>
      </w:pPr>
      <w:r w:rsidRPr="0042283A">
        <w:rPr>
          <w:rFonts w:ascii="Arial" w:hAnsi="Arial" w:cs="Arial"/>
          <w:sz w:val="21"/>
          <w:szCs w:val="21"/>
        </w:rPr>
        <w:t xml:space="preserve">14. Las entidades incluirán en sus presupuestos anuales una apropiación global destinada a cubrir los costos imprevistos ocasionados por los retardos en los pagos, así como los que se originen en la revisión de los precios pactados por </w:t>
      </w:r>
      <w:r w:rsidRPr="0042283A">
        <w:rPr>
          <w:rFonts w:ascii="Arial" w:hAnsi="Arial" w:cs="Arial"/>
          <w:sz w:val="21"/>
          <w:szCs w:val="21"/>
        </w:rPr>
        <w:lastRenderedPageBreak/>
        <w:t>razón de los cambios o alteraciones en las condiciones iniciales de los contratos por ellas celebrados […].</w:t>
      </w:r>
    </w:p>
    <w:p w14:paraId="7AB08D66" w14:textId="77777777" w:rsidR="005C39CB" w:rsidRPr="0042283A" w:rsidRDefault="005C39CB" w:rsidP="005C39CB">
      <w:pPr>
        <w:spacing w:line="276" w:lineRule="auto"/>
        <w:ind w:left="709" w:right="709"/>
        <w:jc w:val="both"/>
        <w:rPr>
          <w:rFonts w:ascii="Arial" w:hAnsi="Arial" w:cs="Arial"/>
          <w:sz w:val="22"/>
        </w:rPr>
      </w:pPr>
    </w:p>
    <w:p w14:paraId="622D7E22" w14:textId="2CD23BB3" w:rsidR="005C39CB" w:rsidRPr="0042283A" w:rsidRDefault="005C39CB" w:rsidP="005C39CB">
      <w:pPr>
        <w:spacing w:line="276" w:lineRule="auto"/>
        <w:ind w:firstLine="709"/>
        <w:jc w:val="both"/>
        <w:rPr>
          <w:rFonts w:ascii="Arial" w:hAnsi="Arial" w:cs="Arial"/>
          <w:sz w:val="22"/>
        </w:rPr>
      </w:pPr>
      <w:r w:rsidRPr="0042283A">
        <w:rPr>
          <w:rFonts w:ascii="Arial" w:hAnsi="Arial" w:cs="Arial"/>
          <w:sz w:val="22"/>
        </w:rPr>
        <w:t>Lo anterior le permitirá a la entidad estatal identificar</w:t>
      </w:r>
      <w:r w:rsidR="00002FC5" w:rsidRPr="0042283A">
        <w:rPr>
          <w:rFonts w:ascii="Arial" w:hAnsi="Arial" w:cs="Arial"/>
          <w:sz w:val="22"/>
        </w:rPr>
        <w:t>,</w:t>
      </w:r>
      <w:r w:rsidRPr="0042283A">
        <w:rPr>
          <w:rFonts w:ascii="Arial" w:hAnsi="Arial" w:cs="Arial"/>
          <w:sz w:val="22"/>
        </w:rPr>
        <w:t xml:space="preserve"> desde el punto de vista técnico y financiero</w:t>
      </w:r>
      <w:r w:rsidR="00002FC5" w:rsidRPr="0042283A">
        <w:rPr>
          <w:rFonts w:ascii="Arial" w:hAnsi="Arial" w:cs="Arial"/>
          <w:sz w:val="22"/>
        </w:rPr>
        <w:t>,</w:t>
      </w:r>
      <w:r w:rsidRPr="0042283A">
        <w:rPr>
          <w:rFonts w:ascii="Arial" w:hAnsi="Arial" w:cs="Arial"/>
          <w:sz w:val="22"/>
        </w:rPr>
        <w:t xml:space="preserve"> el objeto del contrato, las particularidades de su ejecución, los potenciales proponentes, requisitos mínimos para evaluar la idoneidad del contratista, así como analizar todas las variables que puedan afectar el procedimiento de selección, celebración y ejecución del contrato. Tal es la importancia de los estudios y documentos previos</w:t>
      </w:r>
      <w:r w:rsidR="0025210F" w:rsidRPr="0042283A">
        <w:rPr>
          <w:rFonts w:ascii="Arial" w:hAnsi="Arial" w:cs="Arial"/>
          <w:sz w:val="22"/>
        </w:rPr>
        <w:t>,</w:t>
      </w:r>
      <w:r w:rsidRPr="0042283A">
        <w:rPr>
          <w:rFonts w:ascii="Arial" w:hAnsi="Arial" w:cs="Arial"/>
          <w:sz w:val="22"/>
        </w:rPr>
        <w:t xml:space="preserve"> que su deficiencia o ausencia «genera prácticas indebidas, revocatoria de actos administrativos de apertura, declaratorias de desierta de procesos de selección, comisión de faltas disciplinarias, mayores costos o mayor permanencia de la obra y, en general, el fracaso en la ejecución de contratos estatales»</w:t>
      </w:r>
      <w:r w:rsidRPr="0042283A">
        <w:rPr>
          <w:rFonts w:ascii="Arial" w:hAnsi="Arial" w:cs="Arial"/>
          <w:sz w:val="22"/>
          <w:vertAlign w:val="superscript"/>
        </w:rPr>
        <w:footnoteReference w:id="8"/>
      </w:r>
      <w:r w:rsidRPr="0042283A">
        <w:rPr>
          <w:rFonts w:ascii="Arial" w:hAnsi="Arial" w:cs="Arial"/>
          <w:sz w:val="22"/>
        </w:rPr>
        <w:t>. En congruencia con el artículo 25 de la Ley 80 de 1993, el Decreto Único Reglamentario del Sector Administrativo de Planeación Nacional –Decreto 1082 de 2015–, dispone en el artículo 2.2.1.1.2.1.1</w:t>
      </w:r>
      <w:r w:rsidR="003B719D" w:rsidRPr="0042283A">
        <w:rPr>
          <w:rFonts w:ascii="Arial" w:hAnsi="Arial" w:cs="Arial"/>
          <w:sz w:val="22"/>
        </w:rPr>
        <w:t xml:space="preserve"> –modificado por el artículo 1 del Decreto 399 de 2021–</w:t>
      </w:r>
      <w:r w:rsidRPr="0042283A">
        <w:rPr>
          <w:rFonts w:ascii="Arial" w:hAnsi="Arial" w:cs="Arial"/>
          <w:sz w:val="22"/>
        </w:rPr>
        <w:t xml:space="preserve"> el contenido mínimo de los estudios y documentos previos</w:t>
      </w:r>
      <w:r w:rsidR="003B719D" w:rsidRPr="0042283A">
        <w:rPr>
          <w:rFonts w:ascii="Arial" w:hAnsi="Arial" w:cs="Arial"/>
          <w:sz w:val="22"/>
        </w:rPr>
        <w:t>, de la siguiente manera:</w:t>
      </w:r>
    </w:p>
    <w:p w14:paraId="064CD6C4" w14:textId="77777777" w:rsidR="005C39CB" w:rsidRPr="0042283A" w:rsidRDefault="005C39CB" w:rsidP="005C39CB">
      <w:pPr>
        <w:pStyle w:val="Textoindependiente"/>
        <w:spacing w:after="0"/>
        <w:ind w:left="709" w:right="709"/>
      </w:pPr>
    </w:p>
    <w:p w14:paraId="4CD7CCB5" w14:textId="77777777" w:rsidR="005C39CB" w:rsidRPr="0042283A" w:rsidRDefault="005C39CB" w:rsidP="005C39CB">
      <w:pPr>
        <w:spacing w:after="120"/>
        <w:ind w:left="709" w:right="709"/>
        <w:jc w:val="both"/>
        <w:rPr>
          <w:rFonts w:ascii="Arial" w:hAnsi="Arial" w:cs="Arial"/>
          <w:sz w:val="21"/>
          <w:szCs w:val="21"/>
        </w:rPr>
      </w:pPr>
      <w:r w:rsidRPr="0042283A">
        <w:rPr>
          <w:rFonts w:ascii="Arial" w:hAnsi="Arial" w:cs="Arial"/>
          <w:sz w:val="21"/>
          <w:szCs w:val="21"/>
        </w:rPr>
        <w:t xml:space="preserve">Artículo 2.2.1.1.2.1.1. Los estudios y documentos previos son el soporte para elaborar el proyecto de pliegos, los pliegos de condiciones y el contrato. Estos deben permanecer a disposición del público durante el desarrollo del Proceso de Contratación y contener los siguientes elementos, además de los indicados para cada modalidad de selección: </w:t>
      </w:r>
    </w:p>
    <w:p w14:paraId="0DD51BBE" w14:textId="77777777" w:rsidR="005C39CB" w:rsidRPr="0042283A" w:rsidRDefault="005C39CB" w:rsidP="005C39CB">
      <w:pPr>
        <w:spacing w:after="120"/>
        <w:ind w:left="709" w:right="709"/>
        <w:jc w:val="both"/>
        <w:rPr>
          <w:rFonts w:ascii="Arial" w:hAnsi="Arial" w:cs="Arial"/>
          <w:sz w:val="21"/>
          <w:szCs w:val="21"/>
        </w:rPr>
      </w:pPr>
      <w:r w:rsidRPr="0042283A">
        <w:rPr>
          <w:rFonts w:ascii="Arial" w:hAnsi="Arial" w:cs="Arial"/>
          <w:sz w:val="21"/>
          <w:szCs w:val="21"/>
        </w:rPr>
        <w:t>1. La descripción de la necesidad que la Entidad Estatal pretende satisfacer con el Proceso de Contratación. ​</w:t>
      </w:r>
    </w:p>
    <w:p w14:paraId="4395EF49" w14:textId="77777777" w:rsidR="005C39CB" w:rsidRPr="0042283A" w:rsidRDefault="005C39CB" w:rsidP="005C39CB">
      <w:pPr>
        <w:spacing w:after="120"/>
        <w:ind w:left="709" w:right="709"/>
        <w:jc w:val="both"/>
        <w:rPr>
          <w:rFonts w:ascii="Arial" w:hAnsi="Arial" w:cs="Arial"/>
          <w:sz w:val="21"/>
          <w:szCs w:val="21"/>
        </w:rPr>
      </w:pPr>
      <w:r w:rsidRPr="0042283A">
        <w:rPr>
          <w:rFonts w:ascii="Arial" w:hAnsi="Arial" w:cs="Arial"/>
          <w:sz w:val="21"/>
          <w:szCs w:val="21"/>
        </w:rPr>
        <w:t xml:space="preserve">2. El objeto a contratar, con sus especificaciones, las autorizaciones, permisos y licencias requeridos para su ejecución, y cuando el contrato incluye diseño y construcción, los documentos técnicos para el desarrollo del proyecto. </w:t>
      </w:r>
    </w:p>
    <w:p w14:paraId="6A09A440" w14:textId="77777777" w:rsidR="005C39CB" w:rsidRPr="0042283A" w:rsidRDefault="005C39CB" w:rsidP="005C39CB">
      <w:pPr>
        <w:spacing w:after="120"/>
        <w:ind w:left="709" w:right="709"/>
        <w:jc w:val="both"/>
        <w:rPr>
          <w:rFonts w:ascii="Arial" w:hAnsi="Arial" w:cs="Arial"/>
          <w:sz w:val="21"/>
          <w:szCs w:val="21"/>
        </w:rPr>
      </w:pPr>
      <w:r w:rsidRPr="0042283A">
        <w:rPr>
          <w:rFonts w:ascii="Arial" w:hAnsi="Arial" w:cs="Arial"/>
          <w:sz w:val="21"/>
          <w:szCs w:val="21"/>
        </w:rPr>
        <w:t xml:space="preserve">3. La modalidad de selección del contratista y su justificación, incluyendo los fundamentos jurídicos. </w:t>
      </w:r>
    </w:p>
    <w:p w14:paraId="0EEF1833" w14:textId="77777777" w:rsidR="005C39CB" w:rsidRPr="0042283A" w:rsidRDefault="005C39CB" w:rsidP="005C39CB">
      <w:pPr>
        <w:spacing w:after="120"/>
        <w:ind w:left="709" w:right="709"/>
        <w:jc w:val="both"/>
        <w:rPr>
          <w:rFonts w:ascii="Arial" w:hAnsi="Arial" w:cs="Arial"/>
          <w:sz w:val="21"/>
          <w:szCs w:val="21"/>
        </w:rPr>
      </w:pPr>
      <w:r w:rsidRPr="0042283A">
        <w:rPr>
          <w:rFonts w:ascii="Arial" w:hAnsi="Arial" w:cs="Arial"/>
          <w:sz w:val="21"/>
          <w:szCs w:val="21"/>
        </w:rPr>
        <w:t xml:space="preserve">4. El valor estimado del contrato y la justificación del mismo. Cuando el valor del contrato esté determinado por precios unitarios, la Entidad Estatal debe incluir la forma como los calculó y soportar sus cálculos presupuestales en la estimación de aquellos. Si el contrato es de concesión, la Entidad Estatal no debe publicar el modelo financiero utilizado en su estructuración. </w:t>
      </w:r>
    </w:p>
    <w:p w14:paraId="0580140E" w14:textId="77777777" w:rsidR="005C39CB" w:rsidRPr="0042283A" w:rsidRDefault="005C39CB" w:rsidP="005C39CB">
      <w:pPr>
        <w:spacing w:after="120"/>
        <w:ind w:left="709" w:right="709"/>
        <w:jc w:val="both"/>
        <w:rPr>
          <w:rFonts w:ascii="Arial" w:hAnsi="Arial" w:cs="Arial"/>
          <w:sz w:val="21"/>
          <w:szCs w:val="21"/>
        </w:rPr>
      </w:pPr>
      <w:r w:rsidRPr="0042283A">
        <w:rPr>
          <w:rFonts w:ascii="Arial" w:hAnsi="Arial" w:cs="Arial"/>
          <w:sz w:val="21"/>
          <w:szCs w:val="21"/>
        </w:rPr>
        <w:t xml:space="preserve">5. Los criterios para seleccionar la oferta más favorable. </w:t>
      </w:r>
    </w:p>
    <w:p w14:paraId="1D8E010E" w14:textId="77777777" w:rsidR="005C39CB" w:rsidRPr="0042283A" w:rsidRDefault="005C39CB" w:rsidP="005C39CB">
      <w:pPr>
        <w:spacing w:after="120"/>
        <w:ind w:left="709" w:right="709"/>
        <w:jc w:val="both"/>
        <w:rPr>
          <w:rFonts w:ascii="Arial" w:hAnsi="Arial" w:cs="Arial"/>
          <w:sz w:val="21"/>
          <w:szCs w:val="21"/>
        </w:rPr>
      </w:pPr>
      <w:r w:rsidRPr="0042283A">
        <w:rPr>
          <w:rFonts w:ascii="Arial" w:hAnsi="Arial" w:cs="Arial"/>
          <w:sz w:val="21"/>
          <w:szCs w:val="21"/>
        </w:rPr>
        <w:t xml:space="preserve">6. El análisis de Riesgo y la forma de mitigarlo. </w:t>
      </w:r>
    </w:p>
    <w:p w14:paraId="6BCB30C1" w14:textId="77777777" w:rsidR="005C39CB" w:rsidRPr="0042283A" w:rsidRDefault="005C39CB" w:rsidP="005C39CB">
      <w:pPr>
        <w:spacing w:after="120"/>
        <w:ind w:left="709" w:right="709"/>
        <w:jc w:val="both"/>
        <w:rPr>
          <w:rFonts w:ascii="Arial" w:hAnsi="Arial" w:cs="Arial"/>
          <w:sz w:val="21"/>
          <w:szCs w:val="21"/>
        </w:rPr>
      </w:pPr>
      <w:r w:rsidRPr="0042283A">
        <w:rPr>
          <w:rFonts w:ascii="Arial" w:hAnsi="Arial" w:cs="Arial"/>
          <w:sz w:val="21"/>
          <w:szCs w:val="21"/>
        </w:rPr>
        <w:lastRenderedPageBreak/>
        <w:t xml:space="preserve">7. Las garantías que la Entidad Estatal contempla exigir en el proceso de contratación. </w:t>
      </w:r>
    </w:p>
    <w:p w14:paraId="6D1A3E91" w14:textId="77777777" w:rsidR="005C39CB" w:rsidRPr="0042283A" w:rsidRDefault="005C39CB" w:rsidP="005C39CB">
      <w:pPr>
        <w:spacing w:after="120"/>
        <w:ind w:left="709" w:right="709"/>
        <w:jc w:val="both"/>
        <w:rPr>
          <w:rFonts w:ascii="Arial" w:hAnsi="Arial" w:cs="Arial"/>
          <w:sz w:val="21"/>
          <w:szCs w:val="21"/>
        </w:rPr>
      </w:pPr>
      <w:r w:rsidRPr="0042283A">
        <w:rPr>
          <w:rFonts w:ascii="Arial" w:hAnsi="Arial" w:cs="Arial"/>
          <w:sz w:val="21"/>
          <w:szCs w:val="21"/>
        </w:rPr>
        <w:t xml:space="preserve">8. La indicación de si el proceso de contratación está cobijado por un acuerdo comercial. </w:t>
      </w:r>
    </w:p>
    <w:p w14:paraId="22DF3498" w14:textId="77777777" w:rsidR="005C39CB" w:rsidRPr="0042283A" w:rsidRDefault="005C39CB" w:rsidP="005C39CB">
      <w:pPr>
        <w:ind w:left="709" w:right="709"/>
        <w:jc w:val="both"/>
        <w:rPr>
          <w:rFonts w:ascii="Arial" w:hAnsi="Arial" w:cs="Arial"/>
          <w:sz w:val="21"/>
          <w:szCs w:val="21"/>
        </w:rPr>
      </w:pPr>
      <w:r w:rsidRPr="0042283A">
        <w:rPr>
          <w:rFonts w:ascii="Arial" w:hAnsi="Arial" w:cs="Arial"/>
          <w:sz w:val="21"/>
          <w:szCs w:val="21"/>
        </w:rPr>
        <w:t>El presente artículo no es aplicable a la contratación por mínima cuantía.</w:t>
      </w:r>
    </w:p>
    <w:p w14:paraId="67F15EB1" w14:textId="77777777" w:rsidR="005C39CB" w:rsidRPr="0042283A" w:rsidRDefault="005C39CB" w:rsidP="005C39CB">
      <w:pPr>
        <w:pStyle w:val="Prrafodelista"/>
        <w:widowControl w:val="0"/>
        <w:tabs>
          <w:tab w:val="left" w:pos="1305"/>
        </w:tabs>
        <w:autoSpaceDE w:val="0"/>
        <w:autoSpaceDN w:val="0"/>
        <w:spacing w:line="276" w:lineRule="auto"/>
        <w:ind w:left="828" w:right="822"/>
        <w:contextualSpacing w:val="0"/>
        <w:rPr>
          <w:rFonts w:ascii="Arial" w:hAnsi="Arial" w:cs="Arial"/>
          <w:sz w:val="22"/>
        </w:rPr>
      </w:pPr>
    </w:p>
    <w:p w14:paraId="31CAA456" w14:textId="211DB0A6" w:rsidR="005C39CB" w:rsidRPr="0042283A" w:rsidRDefault="005C39CB" w:rsidP="005C39CB">
      <w:pPr>
        <w:spacing w:after="120" w:line="276" w:lineRule="auto"/>
        <w:ind w:firstLine="709"/>
        <w:jc w:val="both"/>
        <w:rPr>
          <w:rFonts w:ascii="Arial" w:hAnsi="Arial" w:cs="Arial"/>
          <w:sz w:val="22"/>
        </w:rPr>
      </w:pPr>
      <w:bookmarkStart w:id="12" w:name="_Hlk54011351"/>
      <w:r w:rsidRPr="0042283A">
        <w:rPr>
          <w:rFonts w:ascii="Arial" w:hAnsi="Arial" w:cs="Arial"/>
          <w:sz w:val="22"/>
        </w:rPr>
        <w:t xml:space="preserve">De esta manera, antes de iniciar un procedimiento de selección, la entidad estatal </w:t>
      </w:r>
      <w:r w:rsidR="00135739" w:rsidRPr="0042283A">
        <w:rPr>
          <w:rFonts w:ascii="Arial" w:hAnsi="Arial" w:cs="Arial"/>
          <w:sz w:val="22"/>
        </w:rPr>
        <w:t>debe</w:t>
      </w:r>
      <w:r w:rsidRPr="0042283A">
        <w:rPr>
          <w:rFonts w:ascii="Arial" w:hAnsi="Arial" w:cs="Arial"/>
          <w:sz w:val="22"/>
        </w:rPr>
        <w:t xml:space="preserve"> determinar </w:t>
      </w:r>
      <w:r w:rsidR="000D63F1" w:rsidRPr="0042283A">
        <w:rPr>
          <w:rFonts w:ascii="Arial" w:hAnsi="Arial" w:cs="Arial"/>
          <w:sz w:val="22"/>
        </w:rPr>
        <w:t>en</w:t>
      </w:r>
      <w:r w:rsidRPr="0042283A">
        <w:rPr>
          <w:rFonts w:ascii="Arial" w:hAnsi="Arial" w:cs="Arial"/>
          <w:sz w:val="22"/>
        </w:rPr>
        <w:t xml:space="preserve"> los estudios previos: i) la verdadera necesidad de la celebración del contrato</w:t>
      </w:r>
      <w:r w:rsidR="00A068D4" w:rsidRPr="0042283A">
        <w:rPr>
          <w:rFonts w:ascii="Arial" w:hAnsi="Arial" w:cs="Arial"/>
          <w:sz w:val="22"/>
        </w:rPr>
        <w:t>,</w:t>
      </w:r>
      <w:r w:rsidRPr="0042283A">
        <w:rPr>
          <w:rFonts w:ascii="Arial" w:hAnsi="Arial" w:cs="Arial"/>
          <w:sz w:val="22"/>
        </w:rPr>
        <w:t xml:space="preserve"> ii) las modalidades existentes para satisfacer esa necesidad y las razones que justifiquen la modalidad o tipo contractual que se escoja</w:t>
      </w:r>
      <w:r w:rsidR="00A068D4" w:rsidRPr="0042283A">
        <w:rPr>
          <w:rFonts w:ascii="Arial" w:hAnsi="Arial" w:cs="Arial"/>
          <w:sz w:val="22"/>
        </w:rPr>
        <w:t>,</w:t>
      </w:r>
      <w:r w:rsidRPr="0042283A">
        <w:rPr>
          <w:rFonts w:ascii="Arial" w:hAnsi="Arial" w:cs="Arial"/>
          <w:sz w:val="22"/>
        </w:rPr>
        <w:t xml:space="preserve"> iii) las calidades, especificaciones, cantidades y demás características que puedan o deban reunir los bienes, las obras, los servicios, etcétera, cuya contratación se haya determinado necesaria, iv) los costos, valores y alternativas que, a precios de mercado reales, podría demandar la celebración y ejecución del contrato, v) la disponibilidad de recursos o la capacidad financiera de la entidad contratante para asumir las obligaciones de pago producto de la celebración de ese pretendido contrato; vi) la existencia y disponibilidad, en el mercado nacional o internacional, de proveedores, constructores, profesionales, etc., en condiciones de atender los requerimientos y satisfacer las necesidades y vii) los procedimientos, trámites y requisitos que deban satisfacerse, reunirse u obtenerse para llevar a cabo la selección del respectivo contratista y la celebración del contrato que se pretend</w:t>
      </w:r>
      <w:r w:rsidR="00D31B3C" w:rsidRPr="0042283A">
        <w:rPr>
          <w:rFonts w:ascii="Arial" w:hAnsi="Arial" w:cs="Arial"/>
          <w:sz w:val="22"/>
        </w:rPr>
        <w:t>e</w:t>
      </w:r>
      <w:r w:rsidRPr="0042283A">
        <w:rPr>
          <w:rFonts w:ascii="Arial" w:hAnsi="Arial" w:cs="Arial"/>
          <w:sz w:val="22"/>
        </w:rPr>
        <w:t xml:space="preserve"> </w:t>
      </w:r>
      <w:r w:rsidR="000A26A5" w:rsidRPr="0042283A">
        <w:rPr>
          <w:rFonts w:ascii="Arial" w:hAnsi="Arial" w:cs="Arial"/>
          <w:sz w:val="22"/>
        </w:rPr>
        <w:t>ejecutar</w:t>
      </w:r>
      <w:r w:rsidRPr="0042283A">
        <w:rPr>
          <w:rStyle w:val="Refdenotaalpie"/>
          <w:rFonts w:ascii="Arial" w:hAnsi="Arial" w:cs="Arial"/>
          <w:sz w:val="22"/>
        </w:rPr>
        <w:footnoteReference w:id="9"/>
      </w:r>
      <w:r w:rsidRPr="0042283A">
        <w:rPr>
          <w:rFonts w:ascii="Arial" w:hAnsi="Arial" w:cs="Arial"/>
          <w:sz w:val="22"/>
        </w:rPr>
        <w:t>.</w:t>
      </w:r>
    </w:p>
    <w:bookmarkEnd w:id="12"/>
    <w:p w14:paraId="54952513" w14:textId="3DCE709C" w:rsidR="005C39CB" w:rsidRPr="0042283A" w:rsidRDefault="003213FA" w:rsidP="000A26A5">
      <w:pPr>
        <w:spacing w:after="120" w:line="276" w:lineRule="auto"/>
        <w:ind w:firstLine="709"/>
        <w:jc w:val="both"/>
        <w:rPr>
          <w:rFonts w:ascii="Arial" w:hAnsi="Arial" w:cs="Arial"/>
          <w:sz w:val="22"/>
        </w:rPr>
      </w:pPr>
      <w:r w:rsidRPr="0042283A">
        <w:rPr>
          <w:rFonts w:ascii="Arial" w:hAnsi="Arial" w:cs="Arial"/>
          <w:sz w:val="22"/>
        </w:rPr>
        <w:t xml:space="preserve">Por ello, el hecho que </w:t>
      </w:r>
      <w:r w:rsidR="005C39CB" w:rsidRPr="0042283A">
        <w:rPr>
          <w:rFonts w:ascii="Arial" w:hAnsi="Arial" w:cs="Arial"/>
          <w:sz w:val="22"/>
        </w:rPr>
        <w:t>las entidades cumpl</w:t>
      </w:r>
      <w:r w:rsidRPr="0042283A">
        <w:rPr>
          <w:rFonts w:ascii="Arial" w:hAnsi="Arial" w:cs="Arial"/>
          <w:sz w:val="22"/>
        </w:rPr>
        <w:t>a</w:t>
      </w:r>
      <w:r w:rsidR="005C39CB" w:rsidRPr="0042283A">
        <w:rPr>
          <w:rFonts w:ascii="Arial" w:hAnsi="Arial" w:cs="Arial"/>
          <w:sz w:val="22"/>
        </w:rPr>
        <w:t xml:space="preserve">n con los elementos mínimos establecidos en la norma y aquellos adicionales que identifiquen en la etapa de planeación de los </w:t>
      </w:r>
      <w:r w:rsidR="005C39CB" w:rsidRPr="0042283A">
        <w:rPr>
          <w:rFonts w:ascii="Arial" w:eastAsia="Calibri" w:hAnsi="Arial" w:cs="Arial"/>
          <w:bCs/>
          <w:sz w:val="22"/>
          <w:lang w:val="es-ES_tradnl"/>
        </w:rPr>
        <w:t xml:space="preserve">procedimientos de contratación, permite que los contratos resultantes cuenten con el sustento técnico, económico y jurídico que incidirá </w:t>
      </w:r>
      <w:r w:rsidR="005C39CB" w:rsidRPr="0042283A">
        <w:rPr>
          <w:rFonts w:ascii="Arial" w:hAnsi="Arial" w:cs="Arial"/>
          <w:sz w:val="22"/>
        </w:rPr>
        <w:t>en una adecuada ejecución.</w:t>
      </w:r>
      <w:r w:rsidR="000A26A5" w:rsidRPr="0042283A">
        <w:rPr>
          <w:rFonts w:ascii="Arial" w:hAnsi="Arial" w:cs="Arial"/>
          <w:sz w:val="22"/>
        </w:rPr>
        <w:t xml:space="preserve"> </w:t>
      </w:r>
      <w:r w:rsidR="005C39CB" w:rsidRPr="0042283A">
        <w:rPr>
          <w:rFonts w:ascii="Arial" w:hAnsi="Arial" w:cs="Arial"/>
          <w:sz w:val="22"/>
        </w:rPr>
        <w:t>Mas allá del cumplimiento de la normativa, «los estudios y documentos previos son el soporte para elaborar el proyecto de pliegos, los pliegos de condiciones, y el contrato»</w:t>
      </w:r>
      <w:r w:rsidR="005C39CB" w:rsidRPr="0042283A">
        <w:rPr>
          <w:rStyle w:val="Refdenotaalpie"/>
          <w:rFonts w:ascii="Arial" w:hAnsi="Arial" w:cs="Arial"/>
          <w:sz w:val="22"/>
        </w:rPr>
        <w:footnoteReference w:id="10"/>
      </w:r>
      <w:r w:rsidR="005C39CB" w:rsidRPr="0042283A">
        <w:rPr>
          <w:rFonts w:ascii="Arial" w:hAnsi="Arial" w:cs="Arial"/>
          <w:sz w:val="22"/>
        </w:rPr>
        <w:t>, por lo que deben publicarse en la etapa precontractual y sirven de motivación para los documentos expedidos unilateralmente por la entidad estatal</w:t>
      </w:r>
      <w:r w:rsidR="00F91862" w:rsidRPr="0042283A">
        <w:rPr>
          <w:rFonts w:ascii="Arial" w:hAnsi="Arial" w:cs="Arial"/>
          <w:sz w:val="22"/>
        </w:rPr>
        <w:t>,</w:t>
      </w:r>
      <w:r w:rsidR="005C39CB" w:rsidRPr="0042283A">
        <w:rPr>
          <w:rFonts w:ascii="Arial" w:hAnsi="Arial" w:cs="Arial"/>
          <w:sz w:val="22"/>
        </w:rPr>
        <w:t xml:space="preserve"> tales como el acto administrativo de apertura, los pliegos de condiciones y el acto de adjudicación, entre otros.</w:t>
      </w:r>
    </w:p>
    <w:p w14:paraId="78BC3C04" w14:textId="2D05A2E5" w:rsidR="005C39CB" w:rsidRPr="0042283A" w:rsidRDefault="005C39CB" w:rsidP="005C39CB">
      <w:pPr>
        <w:spacing w:after="120" w:line="276" w:lineRule="auto"/>
        <w:ind w:right="105" w:firstLine="709"/>
        <w:jc w:val="both"/>
        <w:rPr>
          <w:rFonts w:ascii="Arial" w:hAnsi="Arial" w:cs="Arial"/>
          <w:sz w:val="22"/>
        </w:rPr>
      </w:pPr>
      <w:bookmarkStart w:id="14" w:name="_Hlk54011438"/>
      <w:r w:rsidRPr="0042283A">
        <w:rPr>
          <w:rFonts w:ascii="Arial" w:hAnsi="Arial" w:cs="Arial"/>
          <w:sz w:val="22"/>
        </w:rPr>
        <w:t>De lo explicado se desprende que los estudios y documentos previos son necesarios antes de la</w:t>
      </w:r>
      <w:r w:rsidR="00F91862" w:rsidRPr="0042283A">
        <w:rPr>
          <w:rFonts w:ascii="Arial" w:hAnsi="Arial" w:cs="Arial"/>
          <w:sz w:val="22"/>
        </w:rPr>
        <w:t xml:space="preserve"> realización del procedimiento de selección y la </w:t>
      </w:r>
      <w:r w:rsidRPr="0042283A">
        <w:rPr>
          <w:rFonts w:ascii="Arial" w:hAnsi="Arial" w:cs="Arial"/>
          <w:sz w:val="22"/>
        </w:rPr>
        <w:t xml:space="preserve">celebración del </w:t>
      </w:r>
      <w:r w:rsidRPr="0042283A">
        <w:rPr>
          <w:rFonts w:ascii="Arial" w:hAnsi="Arial" w:cs="Arial"/>
          <w:sz w:val="22"/>
        </w:rPr>
        <w:lastRenderedPageBreak/>
        <w:t xml:space="preserve">contrato, pues fundamentan las condiciones que la entidad estatal exige en su proceso de contratación. </w:t>
      </w:r>
      <w:bookmarkEnd w:id="14"/>
    </w:p>
    <w:p w14:paraId="685757CB" w14:textId="77777777" w:rsidR="005C39CB" w:rsidRPr="0042283A" w:rsidRDefault="005C39CB" w:rsidP="005C39CB">
      <w:pPr>
        <w:spacing w:after="120" w:line="276" w:lineRule="auto"/>
        <w:ind w:right="104" w:firstLine="709"/>
        <w:jc w:val="both"/>
        <w:rPr>
          <w:rFonts w:ascii="Arial" w:hAnsi="Arial" w:cs="Arial"/>
          <w:sz w:val="22"/>
        </w:rPr>
      </w:pPr>
      <w:r w:rsidRPr="0042283A">
        <w:rPr>
          <w:rFonts w:ascii="Arial" w:hAnsi="Arial" w:cs="Arial"/>
          <w:sz w:val="22"/>
        </w:rPr>
        <w:t>El numeral 15 del artículo 25 de la Ley 80 de 1993, antes citado, establece el deber de las entidades de realizar estudios previos en dos momentos específicos: i) previo a la apertura de un proceso de selección y ii) previo a la firma del contrato en el caso en que la modalidad de selección sea contratación directa. Por su parte, el reglamento, es decir los artículos 2.2.1.1.1.6.1 y 2.2.1.1.2.1.1 del Decreto 1082 de 2015, no imponen la obligación de realizar estudios y documentos previos en etapas diferentes a la de planeación del contrato.</w:t>
      </w:r>
    </w:p>
    <w:p w14:paraId="37FB9FC0" w14:textId="77777777" w:rsidR="005C39CB" w:rsidRPr="0042283A" w:rsidRDefault="005C39CB" w:rsidP="005C39CB">
      <w:pPr>
        <w:spacing w:line="276" w:lineRule="auto"/>
        <w:ind w:firstLine="708"/>
        <w:jc w:val="both"/>
        <w:rPr>
          <w:rFonts w:ascii="Arial" w:eastAsia="Calibri" w:hAnsi="Arial" w:cs="Arial"/>
          <w:bCs/>
          <w:sz w:val="22"/>
          <w:lang w:val="es-ES_tradnl"/>
        </w:rPr>
      </w:pPr>
      <w:r w:rsidRPr="0042283A">
        <w:rPr>
          <w:rFonts w:ascii="Arial" w:hAnsi="Arial" w:cs="Arial"/>
          <w:sz w:val="22"/>
        </w:rPr>
        <w:t xml:space="preserve">Por otra parte, en virtud de los numerales 2 y 4 del artículo 2.2.1.1.2.1.1 del Decreto 1082 de 2015, la norma exige que se determine el objeto a contratar con sus especificaciones y se estime el costo que implica la celebración del contrato. </w:t>
      </w:r>
      <w:r w:rsidRPr="0042283A">
        <w:rPr>
          <w:rFonts w:ascii="Arial" w:eastAsia="Calibri" w:hAnsi="Arial" w:cs="Arial"/>
          <w:bCs/>
          <w:sz w:val="22"/>
          <w:lang w:val="es-ES_tradnl"/>
        </w:rPr>
        <w:t xml:space="preserve">Para cumplir este objetivo es necesario el estudio del mercado y el análisis del sector económico y de los oferentes, actividad de planeación previa que sirve para identificar aspectos concretos del mercado que pueden afectar el proceso de selección o las condiciones del negocio a realizar mediante el proceso de contratación de bienes, obras o servicios. En este sentido, el artículo </w:t>
      </w:r>
      <w:bookmarkStart w:id="15" w:name="_Hlk36117416"/>
      <w:r w:rsidRPr="0042283A">
        <w:rPr>
          <w:rFonts w:ascii="Arial" w:eastAsia="Calibri" w:hAnsi="Arial" w:cs="Arial"/>
          <w:bCs/>
          <w:sz w:val="22"/>
          <w:lang w:val="es-ES_tradnl"/>
        </w:rPr>
        <w:t>2.2.1.1.1.6.1 del Decreto 1082 de 2015</w:t>
      </w:r>
      <w:bookmarkEnd w:id="15"/>
      <w:r w:rsidRPr="0042283A">
        <w:rPr>
          <w:rFonts w:ascii="Arial" w:eastAsia="Calibri" w:hAnsi="Arial" w:cs="Arial"/>
          <w:bCs/>
          <w:sz w:val="22"/>
          <w:lang w:val="es-ES_tradnl"/>
        </w:rPr>
        <w:t xml:space="preserve"> dispone que «La Entidad Estatal debe hacer, durante la etapa de planeación, el análisis necesario para conocer el sector relativo al objeto del Proceso de Contratación desde la perspectiva legal, comercial, financiera, organizacional, técnica, y de análisis de Riesgo. La Entidad Estatal debe dejar constancia de este análisis en los Documentos del Proceso».</w:t>
      </w:r>
    </w:p>
    <w:p w14:paraId="4B2C564D" w14:textId="115BA70D" w:rsidR="005C39CB" w:rsidRPr="0042283A" w:rsidRDefault="005C39CB" w:rsidP="005C39CB">
      <w:pPr>
        <w:spacing w:before="120" w:line="276" w:lineRule="auto"/>
        <w:ind w:firstLine="709"/>
        <w:jc w:val="both"/>
        <w:rPr>
          <w:rFonts w:ascii="Arial" w:eastAsia="Calibri" w:hAnsi="Arial" w:cs="Arial"/>
          <w:bCs/>
          <w:sz w:val="22"/>
          <w:lang w:val="es-ES_tradnl"/>
        </w:rPr>
      </w:pPr>
      <w:r w:rsidRPr="0042283A">
        <w:rPr>
          <w:rFonts w:ascii="Arial" w:eastAsia="Calibri" w:hAnsi="Arial" w:cs="Arial"/>
          <w:bCs/>
          <w:sz w:val="22"/>
          <w:lang w:val="es-ES_tradnl"/>
        </w:rPr>
        <w:t xml:space="preserve">De acuerdo con la norma citada, </w:t>
      </w:r>
      <w:bookmarkStart w:id="16" w:name="_Hlk36140682"/>
      <w:r w:rsidRPr="0042283A">
        <w:rPr>
          <w:rFonts w:ascii="Arial" w:eastAsia="Calibri" w:hAnsi="Arial" w:cs="Arial"/>
          <w:bCs/>
          <w:sz w:val="22"/>
          <w:lang w:val="es-ES_tradnl"/>
        </w:rPr>
        <w:t xml:space="preserve">la entidad debe realizar el </w:t>
      </w:r>
      <w:r w:rsidR="009C4EFB" w:rsidRPr="0042283A">
        <w:rPr>
          <w:rFonts w:ascii="Arial" w:eastAsia="Calibri" w:hAnsi="Arial" w:cs="Arial"/>
          <w:bCs/>
          <w:sz w:val="22"/>
          <w:lang w:val="es-ES_tradnl"/>
        </w:rPr>
        <w:t>estudio</w:t>
      </w:r>
      <w:r w:rsidRPr="0042283A">
        <w:rPr>
          <w:rFonts w:ascii="Arial" w:eastAsia="Calibri" w:hAnsi="Arial" w:cs="Arial"/>
          <w:bCs/>
          <w:sz w:val="22"/>
          <w:lang w:val="es-ES_tradnl"/>
        </w:rPr>
        <w:t xml:space="preserve"> necesario para conocer el sector relativo al objeto del proceso de contratación, sin que sea relevante la modalidad de selección. Hacer un análisis desde la perspectiva legal implica la revisión de la regulación vigente para el mercado dentro del que se encuentra el objeto del contrato. La perspectiva comercial hace referencia a analizar quiénes pueden ofrecer el bien o servicio que se quiere contratar, cuáles son sus </w:t>
      </w:r>
      <w:r w:rsidR="00F3159D" w:rsidRPr="0042283A">
        <w:rPr>
          <w:rFonts w:ascii="Arial" w:eastAsia="Calibri" w:hAnsi="Arial" w:cs="Arial"/>
          <w:bCs/>
          <w:sz w:val="22"/>
          <w:lang w:val="es-ES_tradnl"/>
        </w:rPr>
        <w:t>características</w:t>
      </w:r>
      <w:r w:rsidRPr="0042283A">
        <w:rPr>
          <w:rFonts w:ascii="Arial" w:eastAsia="Calibri" w:hAnsi="Arial" w:cs="Arial"/>
          <w:bCs/>
          <w:sz w:val="22"/>
          <w:lang w:val="es-ES_tradnl"/>
        </w:rPr>
        <w:t>, si tienen condiciones especiales que sean relevantes para determinar los requisitos habilitantes, entre otros. Desde una perspectiva financiera, el análisis conlleva una revisión de las características financieras que se presentan dentro del mercado del bien o servicio, como</w:t>
      </w:r>
      <w:r w:rsidR="00892401" w:rsidRPr="0042283A">
        <w:rPr>
          <w:rFonts w:ascii="Arial" w:eastAsia="Calibri" w:hAnsi="Arial" w:cs="Arial"/>
          <w:bCs/>
          <w:sz w:val="22"/>
          <w:lang w:val="es-ES_tradnl"/>
        </w:rPr>
        <w:t>,</w:t>
      </w:r>
      <w:r w:rsidRPr="0042283A">
        <w:rPr>
          <w:rFonts w:ascii="Arial" w:eastAsia="Calibri" w:hAnsi="Arial" w:cs="Arial"/>
          <w:bCs/>
          <w:sz w:val="22"/>
          <w:lang w:val="es-ES_tradnl"/>
        </w:rPr>
        <w:t xml:space="preserve"> por ejemplo</w:t>
      </w:r>
      <w:r w:rsidR="00892401" w:rsidRPr="0042283A">
        <w:rPr>
          <w:rFonts w:ascii="Arial" w:eastAsia="Calibri" w:hAnsi="Arial" w:cs="Arial"/>
          <w:bCs/>
          <w:sz w:val="22"/>
          <w:lang w:val="es-ES_tradnl"/>
        </w:rPr>
        <w:t>,</w:t>
      </w:r>
      <w:r w:rsidRPr="0042283A">
        <w:rPr>
          <w:rFonts w:ascii="Arial" w:eastAsia="Calibri" w:hAnsi="Arial" w:cs="Arial"/>
          <w:bCs/>
          <w:sz w:val="22"/>
          <w:lang w:val="es-ES_tradnl"/>
        </w:rPr>
        <w:t xml:space="preserve"> el índice de endeudamiento que tienen las empresas o personas naturales que ofrecen dicho bien o servicio. Con la perspectiva organizacional se pretende que la entidad estatal entienda cómo están organizados internamente los posibles oferentes y de qué manera realizan sus negocios y operaciones.</w:t>
      </w:r>
    </w:p>
    <w:p w14:paraId="7EF7A1BC" w14:textId="5D19DE50" w:rsidR="005C39CB" w:rsidRPr="0042283A" w:rsidRDefault="005C39CB" w:rsidP="005C39CB">
      <w:pPr>
        <w:spacing w:before="120" w:line="276" w:lineRule="auto"/>
        <w:ind w:firstLine="709"/>
        <w:jc w:val="both"/>
        <w:rPr>
          <w:rFonts w:ascii="Arial" w:eastAsia="Calibri" w:hAnsi="Arial" w:cs="Arial"/>
          <w:bCs/>
          <w:sz w:val="22"/>
          <w:lang w:val="es-ES_tradnl"/>
        </w:rPr>
      </w:pPr>
      <w:r w:rsidRPr="0042283A">
        <w:rPr>
          <w:rFonts w:ascii="Arial" w:eastAsia="Calibri" w:hAnsi="Arial" w:cs="Arial"/>
          <w:bCs/>
          <w:sz w:val="22"/>
          <w:lang w:val="es-ES_tradnl"/>
        </w:rPr>
        <w:t xml:space="preserve">Para negociar de manera adecuada, es necesario conocer la estructura de los posibles contratistas, pues </w:t>
      </w:r>
      <w:r w:rsidR="00E86A3D" w:rsidRPr="0042283A">
        <w:rPr>
          <w:rFonts w:ascii="Arial" w:eastAsia="Calibri" w:hAnsi="Arial" w:cs="Arial"/>
          <w:bCs/>
          <w:sz w:val="22"/>
          <w:lang w:val="es-ES_tradnl"/>
        </w:rPr>
        <w:t xml:space="preserve">esto </w:t>
      </w:r>
      <w:r w:rsidRPr="0042283A">
        <w:rPr>
          <w:rFonts w:ascii="Arial" w:eastAsia="Calibri" w:hAnsi="Arial" w:cs="Arial"/>
          <w:bCs/>
          <w:sz w:val="22"/>
          <w:lang w:val="es-ES_tradnl"/>
        </w:rPr>
        <w:t xml:space="preserve">permite identificar la forma en la que suplirá los requerimientos de la entidad. El análisis del sector debe tener en cuenta el objeto del proceso de contratación, las condiciones del bien o servicio y las ventajas que representa </w:t>
      </w:r>
      <w:r w:rsidRPr="0042283A">
        <w:rPr>
          <w:rFonts w:ascii="Arial" w:eastAsia="Calibri" w:hAnsi="Arial" w:cs="Arial"/>
          <w:bCs/>
          <w:sz w:val="22"/>
          <w:lang w:val="es-ES_tradnl"/>
        </w:rPr>
        <w:lastRenderedPageBreak/>
        <w:t>para la Administración contratar el bien o servicio con el contratista. En este último punto, el análisis del sector permite sustentar la decisión de realizar un proceso de contratación desde el punto de vista de la eficiencia, eficacia y economía.</w:t>
      </w:r>
    </w:p>
    <w:p w14:paraId="7D049A5C" w14:textId="3352C6CD" w:rsidR="005C39CB" w:rsidRPr="0042283A" w:rsidRDefault="005C39CB" w:rsidP="005C39CB">
      <w:pPr>
        <w:spacing w:before="120" w:line="276" w:lineRule="auto"/>
        <w:ind w:firstLine="709"/>
        <w:jc w:val="both"/>
        <w:rPr>
          <w:rFonts w:ascii="Arial" w:eastAsia="Calibri" w:hAnsi="Arial" w:cs="Arial"/>
          <w:bCs/>
          <w:sz w:val="22"/>
          <w:lang w:val="es-ES_tradnl"/>
        </w:rPr>
      </w:pPr>
      <w:r w:rsidRPr="0042283A">
        <w:rPr>
          <w:rFonts w:ascii="Arial" w:eastAsia="Calibri" w:hAnsi="Arial" w:cs="Arial"/>
          <w:bCs/>
          <w:sz w:val="22"/>
          <w:lang w:val="es-ES_tradnl"/>
        </w:rPr>
        <w:t xml:space="preserve">Dicho análisis facilita tanto el conocimiento del sector, desde una perspectiva multidisciplinaria, como de los proveedores disponibles en el mercado para satisfacer la necesidad de la entidad contratante. Así mismo, el análisis del sector implica un estudio de la oferta, lo que permitirá identificar qué proveedores existen en el mercado y cómo intervienen en la cadena de producción, comercialización y distribución de los bienes, obras o servicios. </w:t>
      </w:r>
      <w:r w:rsidR="00D0642C" w:rsidRPr="0042283A">
        <w:rPr>
          <w:rFonts w:ascii="Arial" w:eastAsia="Calibri" w:hAnsi="Arial" w:cs="Arial"/>
          <w:bCs/>
          <w:sz w:val="22"/>
          <w:lang w:val="es-ES_tradnl"/>
        </w:rPr>
        <w:t xml:space="preserve">Adicionalmente, permite </w:t>
      </w:r>
      <w:r w:rsidRPr="0042283A">
        <w:rPr>
          <w:rFonts w:ascii="Arial" w:eastAsia="Calibri" w:hAnsi="Arial" w:cs="Arial"/>
          <w:bCs/>
          <w:sz w:val="22"/>
          <w:lang w:val="es-ES_tradnl"/>
        </w:rPr>
        <w:t>estudiar la demanda para determinar cómo las entidades estatales y los particulares adquieren esos bienes, obras o servicios</w:t>
      </w:r>
      <w:r w:rsidR="00D0642C" w:rsidRPr="0042283A">
        <w:rPr>
          <w:rFonts w:ascii="Arial" w:eastAsia="Calibri" w:hAnsi="Arial" w:cs="Arial"/>
          <w:bCs/>
          <w:sz w:val="22"/>
          <w:lang w:val="es-ES_tradnl"/>
        </w:rPr>
        <w:t>,</w:t>
      </w:r>
      <w:r w:rsidRPr="0042283A">
        <w:rPr>
          <w:rFonts w:ascii="Arial" w:eastAsia="Calibri" w:hAnsi="Arial" w:cs="Arial"/>
          <w:bCs/>
          <w:sz w:val="22"/>
          <w:lang w:val="es-ES_tradnl"/>
        </w:rPr>
        <w:t xml:space="preserve"> para extraer las mejores prácticas e información para el proceso de contratación. </w:t>
      </w:r>
    </w:p>
    <w:bookmarkEnd w:id="16"/>
    <w:p w14:paraId="34A2BF5F" w14:textId="0B2BD124" w:rsidR="005C39CB" w:rsidRPr="0042283A" w:rsidRDefault="005C39CB" w:rsidP="005C39CB">
      <w:pPr>
        <w:spacing w:before="120" w:after="120" w:line="276" w:lineRule="auto"/>
        <w:ind w:firstLine="709"/>
        <w:jc w:val="both"/>
        <w:rPr>
          <w:rFonts w:ascii="Arial" w:eastAsia="Calibri" w:hAnsi="Arial" w:cs="Arial"/>
          <w:bCs/>
          <w:sz w:val="22"/>
          <w:lang w:val="es-ES_tradnl"/>
        </w:rPr>
      </w:pPr>
      <w:r w:rsidRPr="0042283A">
        <w:rPr>
          <w:rFonts w:ascii="Arial" w:eastAsia="Calibri" w:hAnsi="Arial" w:cs="Arial"/>
          <w:bCs/>
          <w:sz w:val="22"/>
          <w:lang w:val="es-ES_tradnl"/>
        </w:rPr>
        <w:t>Colombia Compra Eficiente dispone de una «Guía para la Elaboración de Estudios del Sector», instrumento que sirve de apoyo para entender el mercado del bien, obra o servicio que la entidad estatal pretende adquirir para diseñar el proceso de contratación con la información necesaria para alcanzar los objetivos de eficacia, eficiencia, economía, promoción de la competencia y manejo del riesgo. En este instrumento se recomienda un análisis integral sobre varios aspectos del mercado –económico, técnico, regulatorio, etc.</w:t>
      </w:r>
      <w:r w:rsidR="003706EB" w:rsidRPr="0042283A">
        <w:rPr>
          <w:rFonts w:ascii="Arial" w:eastAsia="Calibri" w:hAnsi="Arial" w:cs="Arial"/>
          <w:bCs/>
          <w:sz w:val="22"/>
          <w:lang w:val="es-ES_tradnl"/>
        </w:rPr>
        <w:t>–</w:t>
      </w:r>
      <w:r w:rsidRPr="0042283A">
        <w:rPr>
          <w:rFonts w:ascii="Arial" w:eastAsia="Calibri" w:hAnsi="Arial" w:cs="Arial"/>
          <w:bCs/>
          <w:sz w:val="22"/>
          <w:lang w:val="es-ES_tradnl"/>
        </w:rPr>
        <w:t>, lo cual permitirá que la entidad delimite con precisión qué bienes y servicios existen, cuáles son las condiciones de su comercialización, cómo es la oferta y la demanda y cuáles son los factores que inciden en el valor del contrato, tales como el análisis de precios, las cargas tributarias, la tasa de cambio, las garantías, los gastos de transporte, etc.</w:t>
      </w:r>
    </w:p>
    <w:p w14:paraId="1F84DCAD" w14:textId="570E53EA" w:rsidR="007E63EA" w:rsidRPr="0042283A" w:rsidRDefault="007E63EA" w:rsidP="007E63EA">
      <w:pPr>
        <w:spacing w:before="120" w:line="276" w:lineRule="auto"/>
        <w:ind w:firstLine="709"/>
        <w:jc w:val="both"/>
        <w:rPr>
          <w:rFonts w:ascii="Arial" w:eastAsia="Calibri" w:hAnsi="Arial" w:cs="Arial"/>
          <w:color w:val="000000" w:themeColor="text1"/>
          <w:sz w:val="22"/>
          <w:lang w:val="es-ES_tradnl"/>
        </w:rPr>
      </w:pPr>
      <w:r w:rsidRPr="0042283A">
        <w:rPr>
          <w:rFonts w:ascii="Arial" w:eastAsia="Calibri" w:hAnsi="Arial" w:cs="Arial"/>
          <w:color w:val="000000" w:themeColor="text1"/>
          <w:sz w:val="22"/>
          <w:lang w:val="es-ES_tradnl"/>
        </w:rPr>
        <w:t xml:space="preserve">En suma, un aspecto importante que introduce el Decreto 399 de 2021 y que incide sobre el trámite del concurso de méritos, tiene que ver con el contenido de los estudios y documentos previos que soportan el proceso de contratación. Recuérdese que el numeral 4 del artículo 2.2.1.1.2.1.1. del Decreto 1082 de 2015 establecía que la entidad estatal no debía «[…] publicar las variables utilizadas para calcular el valor estimado del contrato cuando la modalidad de selección del contratista sea en concurso de méritos». Pues bien, el artículo 1 del Decreto 399 de 2021 elimina esta prohibición, para garantizar que los interesados conozcan la información relacionada con el valor estimado del contrato en los concursos de méritos y potenciar la garantía de los principios de publicidad y transparencia. En efecto, así lo justifica el gobierno nacional en las consideraciones de dicho Decreto: </w:t>
      </w:r>
    </w:p>
    <w:p w14:paraId="47129012" w14:textId="77777777" w:rsidR="007E63EA" w:rsidRPr="0042283A" w:rsidRDefault="007E63EA" w:rsidP="007E63EA">
      <w:pPr>
        <w:shd w:val="clear" w:color="auto" w:fill="FFFFFF"/>
        <w:ind w:left="709" w:right="709"/>
        <w:jc w:val="both"/>
        <w:rPr>
          <w:rFonts w:ascii="Arial" w:hAnsi="Arial" w:cs="Arial"/>
          <w:color w:val="000000" w:themeColor="text1"/>
          <w:sz w:val="21"/>
          <w:szCs w:val="21"/>
          <w:lang w:val="es-ES_tradnl"/>
        </w:rPr>
      </w:pPr>
    </w:p>
    <w:p w14:paraId="2E2DD75C" w14:textId="77777777" w:rsidR="007E63EA" w:rsidRPr="0042283A" w:rsidRDefault="007E63EA" w:rsidP="007E63EA">
      <w:pPr>
        <w:shd w:val="clear" w:color="auto" w:fill="FFFFFF"/>
        <w:ind w:left="709" w:right="709"/>
        <w:jc w:val="both"/>
        <w:rPr>
          <w:rFonts w:ascii="Arial" w:hAnsi="Arial" w:cs="Arial"/>
          <w:color w:val="000000" w:themeColor="text1"/>
          <w:sz w:val="21"/>
          <w:szCs w:val="21"/>
          <w:lang w:val="es-ES_tradnl"/>
        </w:rPr>
      </w:pPr>
      <w:r w:rsidRPr="0042283A">
        <w:rPr>
          <w:rFonts w:ascii="Arial" w:hAnsi="Arial" w:cs="Arial"/>
          <w:color w:val="000000" w:themeColor="text1"/>
          <w:sz w:val="21"/>
          <w:szCs w:val="21"/>
          <w:lang w:val="es-ES_tradnl"/>
        </w:rPr>
        <w:t>Que en consideración a la importancia de conocer los valores y criterios utilizados por las entidades estatales que sirvan de soporte para definir el valor estimado del contrato en la modalidad de selección de concurso de méritos, y ante la inexistencia de una reserva legal de esta información, es necesario eliminar la restricción respecto al deber de publicación de dichos análisis.</w:t>
      </w:r>
    </w:p>
    <w:p w14:paraId="2FABAF94" w14:textId="77777777" w:rsidR="007E63EA" w:rsidRPr="0042283A" w:rsidRDefault="007E63EA" w:rsidP="007E63EA">
      <w:pPr>
        <w:shd w:val="clear" w:color="auto" w:fill="FFFFFF"/>
        <w:ind w:left="709" w:right="709"/>
        <w:jc w:val="both"/>
        <w:rPr>
          <w:rFonts w:ascii="Arial" w:hAnsi="Arial" w:cs="Arial"/>
          <w:color w:val="000000" w:themeColor="text1"/>
          <w:sz w:val="21"/>
          <w:szCs w:val="21"/>
          <w:lang w:val="es-ES_tradnl"/>
        </w:rPr>
      </w:pPr>
      <w:r w:rsidRPr="0042283A">
        <w:rPr>
          <w:rFonts w:ascii="Arial" w:hAnsi="Arial" w:cs="Arial"/>
          <w:color w:val="000000" w:themeColor="text1"/>
          <w:sz w:val="21"/>
          <w:szCs w:val="21"/>
          <w:lang w:val="es-ES_tradnl"/>
        </w:rPr>
        <w:t> </w:t>
      </w:r>
    </w:p>
    <w:p w14:paraId="687B7B5B" w14:textId="77777777" w:rsidR="007E63EA" w:rsidRPr="0042283A" w:rsidRDefault="007E63EA" w:rsidP="007E63EA">
      <w:pPr>
        <w:shd w:val="clear" w:color="auto" w:fill="FFFFFF"/>
        <w:ind w:left="709" w:right="709"/>
        <w:jc w:val="both"/>
        <w:rPr>
          <w:rFonts w:ascii="Arial" w:hAnsi="Arial" w:cs="Arial"/>
          <w:color w:val="000000" w:themeColor="text1"/>
          <w:sz w:val="21"/>
          <w:szCs w:val="21"/>
          <w:lang w:val="es-ES_tradnl"/>
        </w:rPr>
      </w:pPr>
      <w:r w:rsidRPr="0042283A">
        <w:rPr>
          <w:rFonts w:ascii="Arial" w:hAnsi="Arial" w:cs="Arial"/>
          <w:color w:val="000000" w:themeColor="text1"/>
          <w:sz w:val="21"/>
          <w:szCs w:val="21"/>
          <w:lang w:val="es-ES_tradnl"/>
        </w:rPr>
        <w:lastRenderedPageBreak/>
        <w:t>Que se considera conveniente dar publicidad a la forma como se calcula el valor del contrato en los concursos de méritos, con la finalidad de garantizar al máximo los principios de publicidad y transparencia. Además, para que los interesados, de conformidad con el artículo 8 de la Ley 1150 de 2007, puedan realizar observaciones al proyecto de pliego de condiciones, que debe incluir el valor estimado del contrato.</w:t>
      </w:r>
      <w:r w:rsidRPr="0042283A">
        <w:rPr>
          <w:rFonts w:ascii="Arial" w:eastAsia="Calibri" w:hAnsi="Arial" w:cs="Arial"/>
          <w:color w:val="000000" w:themeColor="text1"/>
          <w:sz w:val="22"/>
          <w:lang w:val="es-ES_tradnl"/>
        </w:rPr>
        <w:t xml:space="preserve">  </w:t>
      </w:r>
    </w:p>
    <w:p w14:paraId="643853E8" w14:textId="77777777" w:rsidR="007E63EA" w:rsidRPr="0042283A" w:rsidRDefault="007E63EA" w:rsidP="007E63EA">
      <w:pPr>
        <w:spacing w:line="276" w:lineRule="auto"/>
        <w:ind w:firstLine="709"/>
        <w:jc w:val="both"/>
        <w:rPr>
          <w:rFonts w:ascii="Arial" w:eastAsia="Calibri" w:hAnsi="Arial" w:cs="Arial"/>
          <w:color w:val="000000" w:themeColor="text1"/>
          <w:sz w:val="22"/>
          <w:lang w:val="es-ES_tradnl"/>
        </w:rPr>
      </w:pPr>
    </w:p>
    <w:p w14:paraId="31B62019" w14:textId="08FE2CD8" w:rsidR="005C39CB" w:rsidRPr="0042283A" w:rsidRDefault="007E63EA" w:rsidP="000D5F9D">
      <w:pPr>
        <w:spacing w:after="120" w:line="276" w:lineRule="auto"/>
        <w:ind w:firstLine="709"/>
        <w:jc w:val="both"/>
        <w:rPr>
          <w:rFonts w:ascii="Arial" w:eastAsia="Calibri" w:hAnsi="Arial" w:cs="Arial"/>
          <w:color w:val="000000" w:themeColor="text1"/>
          <w:sz w:val="22"/>
          <w:lang w:val="es-ES_tradnl"/>
        </w:rPr>
      </w:pPr>
      <w:r w:rsidRPr="0042283A">
        <w:rPr>
          <w:rFonts w:ascii="Arial" w:eastAsia="Calibri" w:hAnsi="Arial" w:cs="Arial"/>
          <w:color w:val="000000" w:themeColor="text1"/>
          <w:sz w:val="22"/>
          <w:lang w:val="es-ES_tradnl"/>
        </w:rPr>
        <w:t xml:space="preserve">Por lo tanto, a partir de la </w:t>
      </w:r>
      <w:proofErr w:type="gramStart"/>
      <w:r w:rsidRPr="0042283A">
        <w:rPr>
          <w:rFonts w:ascii="Arial" w:eastAsia="Calibri" w:hAnsi="Arial" w:cs="Arial"/>
          <w:color w:val="000000" w:themeColor="text1"/>
          <w:sz w:val="22"/>
          <w:lang w:val="es-ES_tradnl"/>
        </w:rPr>
        <w:t>entrada en vigencia</w:t>
      </w:r>
      <w:proofErr w:type="gramEnd"/>
      <w:r w:rsidRPr="0042283A">
        <w:rPr>
          <w:rFonts w:ascii="Arial" w:eastAsia="Calibri" w:hAnsi="Arial" w:cs="Arial"/>
          <w:color w:val="000000" w:themeColor="text1"/>
          <w:sz w:val="22"/>
          <w:lang w:val="es-ES_tradnl"/>
        </w:rPr>
        <w:t xml:space="preserve"> del Decreto 399 de 2021, las entidades estatales deben incluir en los estudios previos del concurso de méritos la información correspondiente a las variables empleadas para calcular el valor estimado del contrato, determinando así el presupuesto oficial</w:t>
      </w:r>
      <w:r w:rsidR="007A5590" w:rsidRPr="0042283A">
        <w:rPr>
          <w:rFonts w:ascii="Arial" w:eastAsia="Calibri" w:hAnsi="Arial" w:cs="Arial"/>
          <w:color w:val="000000" w:themeColor="text1"/>
          <w:sz w:val="22"/>
          <w:lang w:val="es-ES_tradnl"/>
        </w:rPr>
        <w:t>, en similares condiciones a lo que sucede en las demás modalidades de selección</w:t>
      </w:r>
      <w:r w:rsidRPr="0042283A">
        <w:rPr>
          <w:rFonts w:ascii="Arial" w:eastAsia="Calibri" w:hAnsi="Arial" w:cs="Arial"/>
          <w:color w:val="000000" w:themeColor="text1"/>
          <w:sz w:val="22"/>
          <w:lang w:val="es-ES_tradnl"/>
        </w:rPr>
        <w:t>.</w:t>
      </w:r>
      <w:r w:rsidR="00F8768C" w:rsidRPr="0042283A">
        <w:rPr>
          <w:rFonts w:ascii="Arial" w:eastAsia="Calibri" w:hAnsi="Arial" w:cs="Arial"/>
          <w:color w:val="000000" w:themeColor="text1"/>
          <w:sz w:val="22"/>
          <w:lang w:val="es-ES_tradnl"/>
        </w:rPr>
        <w:t xml:space="preserve"> </w:t>
      </w:r>
      <w:r w:rsidRPr="0042283A">
        <w:rPr>
          <w:rFonts w:ascii="Arial" w:eastAsia="Calibri" w:hAnsi="Arial" w:cs="Arial"/>
          <w:color w:val="000000" w:themeColor="text1"/>
          <w:sz w:val="22"/>
          <w:lang w:val="es-ES_tradnl"/>
        </w:rPr>
        <w:t>Además, los interesados pueden formular observaciones al proyecto de pliego de condiciones sobre este tema. Adicionalmente, en el pliego de condiciones deben establecerse con claridad los requisitos habilitantes y criterios de calificación con fundamento en los cuales la entidad estatal elaborará el informe de evaluación respectivo</w:t>
      </w:r>
      <w:r w:rsidR="000C2E78" w:rsidRPr="0042283A">
        <w:rPr>
          <w:rFonts w:ascii="Arial" w:eastAsia="Calibri" w:hAnsi="Arial" w:cs="Arial"/>
          <w:color w:val="000000" w:themeColor="text1"/>
          <w:sz w:val="22"/>
          <w:lang w:val="es-ES_tradnl"/>
        </w:rPr>
        <w:t>.</w:t>
      </w:r>
      <w:r w:rsidR="00F8768C" w:rsidRPr="0042283A">
        <w:rPr>
          <w:rFonts w:ascii="Arial" w:eastAsia="Calibri" w:hAnsi="Arial" w:cs="Arial"/>
          <w:color w:val="000000" w:themeColor="text1"/>
          <w:sz w:val="22"/>
          <w:lang w:val="es-ES_tradnl"/>
        </w:rPr>
        <w:t xml:space="preserve"> </w:t>
      </w:r>
    </w:p>
    <w:p w14:paraId="1E21B1CC" w14:textId="59B0DDFB" w:rsidR="00D76951" w:rsidRPr="0042283A" w:rsidRDefault="00F8768C" w:rsidP="000D5F9D">
      <w:pPr>
        <w:spacing w:after="120" w:line="276" w:lineRule="auto"/>
        <w:ind w:firstLine="709"/>
        <w:jc w:val="both"/>
        <w:rPr>
          <w:rFonts w:ascii="Arial" w:eastAsia="Calibri" w:hAnsi="Arial" w:cs="Arial"/>
          <w:color w:val="000000" w:themeColor="text1"/>
          <w:sz w:val="22"/>
          <w:lang w:val="es-ES_tradnl"/>
        </w:rPr>
      </w:pPr>
      <w:r w:rsidRPr="0042283A">
        <w:rPr>
          <w:rFonts w:ascii="Arial" w:eastAsia="Calibri" w:hAnsi="Arial" w:cs="Arial"/>
          <w:color w:val="000000" w:themeColor="text1"/>
          <w:sz w:val="22"/>
          <w:lang w:val="es-ES_tradnl"/>
        </w:rPr>
        <w:t xml:space="preserve">Cabe </w:t>
      </w:r>
      <w:r w:rsidR="00F145EA" w:rsidRPr="0042283A">
        <w:rPr>
          <w:rFonts w:ascii="Arial" w:eastAsia="Calibri" w:hAnsi="Arial" w:cs="Arial"/>
          <w:color w:val="000000" w:themeColor="text1"/>
          <w:sz w:val="22"/>
          <w:lang w:val="es-ES_tradnl"/>
        </w:rPr>
        <w:t xml:space="preserve">precisar que, </w:t>
      </w:r>
      <w:r w:rsidR="00734608" w:rsidRPr="0042283A">
        <w:rPr>
          <w:rFonts w:ascii="Arial" w:eastAsia="Calibri" w:hAnsi="Arial" w:cs="Arial"/>
          <w:color w:val="000000" w:themeColor="text1"/>
          <w:sz w:val="22"/>
          <w:lang w:val="es-ES_tradnl"/>
        </w:rPr>
        <w:t xml:space="preserve">al </w:t>
      </w:r>
      <w:r w:rsidR="002164E8" w:rsidRPr="0042283A">
        <w:rPr>
          <w:rFonts w:ascii="Arial" w:eastAsia="Calibri" w:hAnsi="Arial" w:cs="Arial"/>
          <w:color w:val="000000" w:themeColor="text1"/>
          <w:sz w:val="22"/>
          <w:lang w:val="es-ES_tradnl"/>
        </w:rPr>
        <w:t xml:space="preserve">señalar </w:t>
      </w:r>
      <w:r w:rsidR="00F145EA" w:rsidRPr="0042283A">
        <w:rPr>
          <w:rFonts w:ascii="Arial" w:eastAsia="Calibri" w:hAnsi="Arial" w:cs="Arial"/>
          <w:color w:val="000000" w:themeColor="text1"/>
          <w:sz w:val="22"/>
          <w:lang w:val="es-ES_tradnl"/>
        </w:rPr>
        <w:t>el numeral 4</w:t>
      </w:r>
      <w:r w:rsidR="005A662B" w:rsidRPr="0042283A">
        <w:rPr>
          <w:rFonts w:ascii="Arial" w:eastAsia="Calibri" w:hAnsi="Arial" w:cs="Arial"/>
          <w:color w:val="000000" w:themeColor="text1"/>
          <w:sz w:val="22"/>
          <w:lang w:val="es-ES_tradnl"/>
        </w:rPr>
        <w:t xml:space="preserve"> del artículo 2.2.1.1.2.1.1.</w:t>
      </w:r>
      <w:r w:rsidR="00D75924" w:rsidRPr="0042283A">
        <w:rPr>
          <w:rFonts w:ascii="Arial" w:eastAsia="Calibri" w:hAnsi="Arial" w:cs="Arial"/>
          <w:color w:val="000000" w:themeColor="text1"/>
          <w:sz w:val="22"/>
          <w:lang w:val="es-ES_tradnl"/>
        </w:rPr>
        <w:t xml:space="preserve"> del Decreto 1082 de 2015</w:t>
      </w:r>
      <w:r w:rsidR="005A662B" w:rsidRPr="0042283A">
        <w:rPr>
          <w:rFonts w:ascii="Arial" w:eastAsia="Calibri" w:hAnsi="Arial" w:cs="Arial"/>
          <w:color w:val="000000" w:themeColor="text1"/>
          <w:sz w:val="22"/>
          <w:lang w:val="es-ES_tradnl"/>
        </w:rPr>
        <w:t>, modificado por el artículo 1 del Decreto 399 de 2021</w:t>
      </w:r>
      <w:r w:rsidR="00734608" w:rsidRPr="0042283A">
        <w:rPr>
          <w:rFonts w:ascii="Arial" w:eastAsia="Calibri" w:hAnsi="Arial" w:cs="Arial"/>
          <w:color w:val="000000" w:themeColor="text1"/>
          <w:sz w:val="22"/>
          <w:lang w:val="es-ES_tradnl"/>
        </w:rPr>
        <w:t>,</w:t>
      </w:r>
      <w:r w:rsidR="005A662B" w:rsidRPr="0042283A">
        <w:rPr>
          <w:rFonts w:ascii="Arial" w:eastAsia="Calibri" w:hAnsi="Arial" w:cs="Arial"/>
          <w:color w:val="000000" w:themeColor="text1"/>
          <w:sz w:val="22"/>
          <w:lang w:val="es-ES_tradnl"/>
        </w:rPr>
        <w:t xml:space="preserve"> </w:t>
      </w:r>
      <w:r w:rsidR="0068192C" w:rsidRPr="0042283A">
        <w:rPr>
          <w:rFonts w:ascii="Arial" w:eastAsia="Calibri" w:hAnsi="Arial" w:cs="Arial"/>
          <w:color w:val="000000" w:themeColor="text1"/>
          <w:sz w:val="22"/>
          <w:lang w:val="es-ES_tradnl"/>
        </w:rPr>
        <w:t xml:space="preserve">que «Cuando el valor del contrato esté determinado por precios unitarios, la Entidad Estatal debe incluir la forma como los calculó y soportar sus cálculos presupuestales en la estimación de aquellos», esto significa, para el caso de los contratos de consultoría, que si el </w:t>
      </w:r>
      <w:r w:rsidR="004A2F71" w:rsidRPr="0042283A">
        <w:rPr>
          <w:rFonts w:ascii="Arial" w:eastAsia="Calibri" w:hAnsi="Arial" w:cs="Arial"/>
          <w:color w:val="000000" w:themeColor="text1"/>
          <w:sz w:val="22"/>
          <w:lang w:val="es-ES_tradnl"/>
        </w:rPr>
        <w:t>precio</w:t>
      </w:r>
      <w:r w:rsidR="0068192C" w:rsidRPr="0042283A">
        <w:rPr>
          <w:rFonts w:ascii="Arial" w:eastAsia="Calibri" w:hAnsi="Arial" w:cs="Arial"/>
          <w:color w:val="000000" w:themeColor="text1"/>
          <w:sz w:val="22"/>
          <w:lang w:val="es-ES_tradnl"/>
        </w:rPr>
        <w:t xml:space="preserve"> </w:t>
      </w:r>
      <w:r w:rsidR="00D75924" w:rsidRPr="0042283A">
        <w:rPr>
          <w:rFonts w:ascii="Arial" w:eastAsia="Calibri" w:hAnsi="Arial" w:cs="Arial"/>
          <w:color w:val="000000" w:themeColor="text1"/>
          <w:sz w:val="22"/>
          <w:lang w:val="es-ES_tradnl"/>
        </w:rPr>
        <w:t>de este</w:t>
      </w:r>
      <w:r w:rsidR="0068192C" w:rsidRPr="0042283A">
        <w:rPr>
          <w:rFonts w:ascii="Arial" w:eastAsia="Calibri" w:hAnsi="Arial" w:cs="Arial"/>
          <w:color w:val="000000" w:themeColor="text1"/>
          <w:sz w:val="22"/>
          <w:lang w:val="es-ES_tradnl"/>
        </w:rPr>
        <w:t xml:space="preserve"> se calcula atendiendo al </w:t>
      </w:r>
      <w:r w:rsidR="004A2F71" w:rsidRPr="0042283A">
        <w:rPr>
          <w:rFonts w:ascii="Arial" w:eastAsia="Calibri" w:hAnsi="Arial" w:cs="Arial"/>
          <w:color w:val="000000" w:themeColor="text1"/>
          <w:sz w:val="22"/>
          <w:lang w:val="es-ES_tradnl"/>
        </w:rPr>
        <w:t xml:space="preserve">valor de </w:t>
      </w:r>
      <w:r w:rsidR="00D75924" w:rsidRPr="0042283A">
        <w:rPr>
          <w:rFonts w:ascii="Arial" w:eastAsia="Calibri" w:hAnsi="Arial" w:cs="Arial"/>
          <w:color w:val="000000" w:themeColor="text1"/>
          <w:sz w:val="22"/>
          <w:lang w:val="es-ES_tradnl"/>
        </w:rPr>
        <w:t xml:space="preserve">las </w:t>
      </w:r>
      <w:r w:rsidR="004A2F71" w:rsidRPr="0042283A">
        <w:rPr>
          <w:rFonts w:ascii="Arial" w:eastAsia="Calibri" w:hAnsi="Arial" w:cs="Arial"/>
          <w:color w:val="000000" w:themeColor="text1"/>
          <w:sz w:val="22"/>
          <w:lang w:val="es-ES_tradnl"/>
        </w:rPr>
        <w:t xml:space="preserve">unidades –entregables o actividades– por </w:t>
      </w:r>
      <w:r w:rsidR="00D75924" w:rsidRPr="0042283A">
        <w:rPr>
          <w:rFonts w:ascii="Arial" w:eastAsia="Calibri" w:hAnsi="Arial" w:cs="Arial"/>
          <w:color w:val="000000" w:themeColor="text1"/>
          <w:sz w:val="22"/>
          <w:lang w:val="es-ES_tradnl"/>
        </w:rPr>
        <w:t xml:space="preserve">las </w:t>
      </w:r>
      <w:r w:rsidR="004A2F71" w:rsidRPr="0042283A">
        <w:rPr>
          <w:rFonts w:ascii="Arial" w:eastAsia="Calibri" w:hAnsi="Arial" w:cs="Arial"/>
          <w:color w:val="000000" w:themeColor="text1"/>
          <w:sz w:val="22"/>
          <w:lang w:val="es-ES_tradnl"/>
        </w:rPr>
        <w:t>cantidades</w:t>
      </w:r>
      <w:r w:rsidR="008E10ED" w:rsidRPr="0042283A">
        <w:rPr>
          <w:rFonts w:ascii="Arial" w:eastAsia="Calibri" w:hAnsi="Arial" w:cs="Arial"/>
          <w:color w:val="000000" w:themeColor="text1"/>
          <w:sz w:val="22"/>
          <w:lang w:val="es-ES_tradnl"/>
        </w:rPr>
        <w:t>, se debe incluir en los estudios previos la forma como estos precios unitarios se calcularon, de acuerdo con el análisis del sector y los elementos técnicos tenidos en cuenta</w:t>
      </w:r>
      <w:r w:rsidR="00D75924" w:rsidRPr="0042283A">
        <w:rPr>
          <w:rFonts w:ascii="Arial" w:eastAsia="Calibri" w:hAnsi="Arial" w:cs="Arial"/>
          <w:color w:val="000000" w:themeColor="text1"/>
          <w:sz w:val="22"/>
          <w:lang w:val="es-ES_tradnl"/>
        </w:rPr>
        <w:t xml:space="preserve"> por la entidad contratante</w:t>
      </w:r>
      <w:r w:rsidR="008E10ED" w:rsidRPr="0042283A">
        <w:rPr>
          <w:rFonts w:ascii="Arial" w:eastAsia="Calibri" w:hAnsi="Arial" w:cs="Arial"/>
          <w:color w:val="000000" w:themeColor="text1"/>
          <w:sz w:val="22"/>
          <w:lang w:val="es-ES_tradnl"/>
        </w:rPr>
        <w:t xml:space="preserve">. </w:t>
      </w:r>
    </w:p>
    <w:p w14:paraId="21DA9988" w14:textId="383136E9" w:rsidR="00C33CC1" w:rsidRPr="0042283A" w:rsidRDefault="00D75924" w:rsidP="00405D2F">
      <w:pPr>
        <w:spacing w:after="120" w:line="276" w:lineRule="auto"/>
        <w:ind w:firstLine="709"/>
        <w:jc w:val="both"/>
        <w:rPr>
          <w:rFonts w:ascii="Arial" w:eastAsia="Calibri" w:hAnsi="Arial" w:cs="Arial"/>
          <w:color w:val="000000" w:themeColor="text1"/>
          <w:sz w:val="22"/>
          <w:lang w:val="es-ES_tradnl"/>
        </w:rPr>
      </w:pPr>
      <w:r w:rsidRPr="0042283A">
        <w:rPr>
          <w:rFonts w:ascii="Arial" w:eastAsia="Calibri" w:hAnsi="Arial" w:cs="Arial"/>
          <w:color w:val="000000" w:themeColor="text1"/>
          <w:sz w:val="22"/>
          <w:lang w:val="es-ES_tradnl"/>
        </w:rPr>
        <w:t>En efecto</w:t>
      </w:r>
      <w:r w:rsidR="00D76951" w:rsidRPr="0042283A">
        <w:rPr>
          <w:rFonts w:ascii="Arial" w:eastAsia="Calibri" w:hAnsi="Arial" w:cs="Arial"/>
          <w:color w:val="000000" w:themeColor="text1"/>
          <w:sz w:val="22"/>
          <w:lang w:val="es-ES_tradnl"/>
        </w:rPr>
        <w:t xml:space="preserve">, como lo ha explicado el Consejo de Estado, «Los contratos […] por precio global son aquellos en los que el contratista, a cambio de las prestaciones a que se compromete, obtiene como remuneración una suma fija siendo el único responsable de la vinculación de personal, de la elaboración de subcontratos y de la obtención de materiales, mientras que en el contrato a precios unitarios la forma de pago es por unidades o cantidades […] y el valor total corresponde al que resulta de multiplicar las cantidades </w:t>
      </w:r>
      <w:r w:rsidR="000901CD" w:rsidRPr="0042283A">
        <w:rPr>
          <w:rFonts w:ascii="Arial" w:eastAsia="Calibri" w:hAnsi="Arial" w:cs="Arial"/>
          <w:color w:val="000000" w:themeColor="text1"/>
          <w:sz w:val="22"/>
          <w:lang w:val="es-ES_tradnl"/>
        </w:rPr>
        <w:t xml:space="preserve">[…] </w:t>
      </w:r>
      <w:r w:rsidR="00D76951" w:rsidRPr="0042283A">
        <w:rPr>
          <w:rFonts w:ascii="Arial" w:eastAsia="Calibri" w:hAnsi="Arial" w:cs="Arial"/>
          <w:color w:val="000000" w:themeColor="text1"/>
          <w:sz w:val="22"/>
          <w:lang w:val="es-ES_tradnl"/>
        </w:rPr>
        <w:t>ejecutadas por el precio de cada una de ellas</w:t>
      </w:r>
      <w:r w:rsidR="000901CD" w:rsidRPr="0042283A">
        <w:rPr>
          <w:rFonts w:ascii="Arial" w:eastAsia="Calibri" w:hAnsi="Arial" w:cs="Arial"/>
          <w:color w:val="000000" w:themeColor="text1"/>
          <w:sz w:val="22"/>
          <w:lang w:val="es-ES_tradnl"/>
        </w:rPr>
        <w:t>»</w:t>
      </w:r>
      <w:r w:rsidR="000901CD" w:rsidRPr="0042283A">
        <w:rPr>
          <w:rStyle w:val="Refdenotaalpie"/>
          <w:rFonts w:ascii="Arial" w:eastAsia="Calibri" w:hAnsi="Arial" w:cs="Arial"/>
          <w:color w:val="000000" w:themeColor="text1"/>
          <w:sz w:val="22"/>
          <w:lang w:val="es-ES_tradnl"/>
        </w:rPr>
        <w:footnoteReference w:id="11"/>
      </w:r>
      <w:r w:rsidR="00D76951" w:rsidRPr="0042283A">
        <w:rPr>
          <w:rFonts w:ascii="Arial" w:eastAsia="Calibri" w:hAnsi="Arial" w:cs="Arial"/>
          <w:color w:val="000000" w:themeColor="text1"/>
          <w:sz w:val="22"/>
          <w:lang w:val="es-ES_tradnl"/>
        </w:rPr>
        <w:t>.</w:t>
      </w:r>
      <w:r w:rsidR="00734608" w:rsidRPr="0042283A">
        <w:rPr>
          <w:rFonts w:ascii="Arial" w:eastAsia="Calibri" w:hAnsi="Arial" w:cs="Arial"/>
          <w:color w:val="000000" w:themeColor="text1"/>
          <w:sz w:val="22"/>
          <w:lang w:val="es-ES_tradnl"/>
        </w:rPr>
        <w:t xml:space="preserve"> Por lo tanto,</w:t>
      </w:r>
      <w:r w:rsidR="0028212C" w:rsidRPr="0042283A">
        <w:rPr>
          <w:rFonts w:ascii="Arial" w:eastAsia="Calibri" w:hAnsi="Arial" w:cs="Arial"/>
          <w:color w:val="000000" w:themeColor="text1"/>
          <w:sz w:val="22"/>
          <w:lang w:val="es-ES_tradnl"/>
        </w:rPr>
        <w:t xml:space="preserve"> independientemente de la denominación que la entidad estatal le</w:t>
      </w:r>
      <w:r w:rsidR="00485F27" w:rsidRPr="0042283A">
        <w:rPr>
          <w:rFonts w:ascii="Arial" w:eastAsia="Calibri" w:hAnsi="Arial" w:cs="Arial"/>
          <w:color w:val="000000" w:themeColor="text1"/>
          <w:sz w:val="22"/>
          <w:lang w:val="es-ES_tradnl"/>
        </w:rPr>
        <w:t>s</w:t>
      </w:r>
      <w:r w:rsidR="0028212C" w:rsidRPr="0042283A">
        <w:rPr>
          <w:rFonts w:ascii="Arial" w:eastAsia="Calibri" w:hAnsi="Arial" w:cs="Arial"/>
          <w:color w:val="000000" w:themeColor="text1"/>
          <w:sz w:val="22"/>
          <w:lang w:val="es-ES_tradnl"/>
        </w:rPr>
        <w:t xml:space="preserve"> otorgue a las unidades de actividad del contrato de consultoría, si </w:t>
      </w:r>
      <w:r w:rsidR="00115A62" w:rsidRPr="0042283A">
        <w:rPr>
          <w:rFonts w:ascii="Arial" w:eastAsia="Calibri" w:hAnsi="Arial" w:cs="Arial"/>
          <w:color w:val="000000" w:themeColor="text1"/>
          <w:sz w:val="22"/>
          <w:lang w:val="es-ES_tradnl"/>
        </w:rPr>
        <w:t xml:space="preserve">calcula su valor por precios unitarios, debe publicar en los estudios previos la forma como los calculó y estimar </w:t>
      </w:r>
      <w:r w:rsidR="00405D2F" w:rsidRPr="0042283A">
        <w:rPr>
          <w:rFonts w:ascii="Arial" w:eastAsia="Calibri" w:hAnsi="Arial" w:cs="Arial"/>
          <w:color w:val="000000" w:themeColor="text1"/>
          <w:sz w:val="22"/>
          <w:lang w:val="es-ES_tradnl"/>
        </w:rPr>
        <w:t>esta metodología presupuestal.</w:t>
      </w:r>
      <w:r w:rsidR="00B6541D" w:rsidRPr="0042283A">
        <w:rPr>
          <w:rFonts w:ascii="Arial" w:eastAsia="Calibri" w:hAnsi="Arial" w:cs="Arial"/>
          <w:color w:val="000000" w:themeColor="text1"/>
          <w:sz w:val="22"/>
          <w:lang w:val="es-ES_tradnl"/>
        </w:rPr>
        <w:t xml:space="preserve"> </w:t>
      </w:r>
      <w:r w:rsidR="004741A6" w:rsidRPr="0042283A">
        <w:rPr>
          <w:rFonts w:ascii="Arial" w:eastAsia="Calibri" w:hAnsi="Arial" w:cs="Arial"/>
          <w:color w:val="000000" w:themeColor="text1"/>
          <w:sz w:val="22"/>
          <w:lang w:val="es-ES_tradnl"/>
        </w:rPr>
        <w:t>Se trata de un imperativo</w:t>
      </w:r>
      <w:r w:rsidR="00485F27" w:rsidRPr="0042283A">
        <w:rPr>
          <w:rFonts w:ascii="Arial" w:eastAsia="Calibri" w:hAnsi="Arial" w:cs="Arial"/>
          <w:color w:val="000000" w:themeColor="text1"/>
          <w:sz w:val="22"/>
          <w:lang w:val="es-ES_tradnl"/>
        </w:rPr>
        <w:t>,</w:t>
      </w:r>
      <w:r w:rsidR="004741A6" w:rsidRPr="0042283A">
        <w:rPr>
          <w:rFonts w:ascii="Arial" w:eastAsia="Calibri" w:hAnsi="Arial" w:cs="Arial"/>
          <w:color w:val="000000" w:themeColor="text1"/>
          <w:sz w:val="22"/>
          <w:lang w:val="es-ES_tradnl"/>
        </w:rPr>
        <w:t xml:space="preserve"> consagrado en el artículo 1 del Decreto 399 de 2021</w:t>
      </w:r>
      <w:r w:rsidR="00485F27" w:rsidRPr="0042283A">
        <w:rPr>
          <w:rFonts w:ascii="Arial" w:eastAsia="Calibri" w:hAnsi="Arial" w:cs="Arial"/>
          <w:color w:val="000000" w:themeColor="text1"/>
          <w:sz w:val="22"/>
          <w:lang w:val="es-ES_tradnl"/>
        </w:rPr>
        <w:t>,</w:t>
      </w:r>
      <w:r w:rsidR="004741A6" w:rsidRPr="0042283A">
        <w:rPr>
          <w:rFonts w:ascii="Arial" w:eastAsia="Calibri" w:hAnsi="Arial" w:cs="Arial"/>
          <w:color w:val="000000" w:themeColor="text1"/>
          <w:sz w:val="22"/>
          <w:lang w:val="es-ES_tradnl"/>
        </w:rPr>
        <w:t xml:space="preserve"> que las entidades estatales </w:t>
      </w:r>
      <w:r w:rsidR="004741A6" w:rsidRPr="0042283A">
        <w:rPr>
          <w:rFonts w:ascii="Arial" w:eastAsia="Calibri" w:hAnsi="Arial" w:cs="Arial"/>
          <w:color w:val="000000" w:themeColor="text1"/>
          <w:sz w:val="22"/>
          <w:lang w:val="es-ES_tradnl"/>
        </w:rPr>
        <w:lastRenderedPageBreak/>
        <w:t>no pueden negarse a cumplir, porque en la actualidad es un deber integrado a la garantía del principio de planeación</w:t>
      </w:r>
      <w:r w:rsidR="007A5590" w:rsidRPr="0042283A">
        <w:rPr>
          <w:rFonts w:ascii="Arial" w:eastAsia="Calibri" w:hAnsi="Arial" w:cs="Arial"/>
          <w:color w:val="000000" w:themeColor="text1"/>
          <w:sz w:val="22"/>
          <w:lang w:val="es-ES_tradnl"/>
        </w:rPr>
        <w:t>, transparencia y publicidad</w:t>
      </w:r>
      <w:r w:rsidR="004741A6" w:rsidRPr="0042283A">
        <w:rPr>
          <w:rFonts w:ascii="Arial" w:eastAsia="Calibri" w:hAnsi="Arial" w:cs="Arial"/>
          <w:color w:val="000000" w:themeColor="text1"/>
          <w:sz w:val="22"/>
          <w:lang w:val="es-ES_tradnl"/>
        </w:rPr>
        <w:t xml:space="preserve"> en la contratación estatal.</w:t>
      </w:r>
      <w:r w:rsidR="00B6541D" w:rsidRPr="0042283A">
        <w:rPr>
          <w:rFonts w:ascii="Arial" w:eastAsia="Calibri" w:hAnsi="Arial" w:cs="Arial"/>
          <w:color w:val="000000" w:themeColor="text1"/>
          <w:sz w:val="22"/>
          <w:lang w:val="es-ES_tradnl"/>
        </w:rPr>
        <w:t xml:space="preserve"> </w:t>
      </w:r>
    </w:p>
    <w:p w14:paraId="5F1AEE83" w14:textId="292D3BD3" w:rsidR="007E63EA" w:rsidRPr="0042283A" w:rsidRDefault="00B6541D" w:rsidP="00405D2F">
      <w:pPr>
        <w:spacing w:after="120" w:line="276" w:lineRule="auto"/>
        <w:ind w:firstLine="709"/>
        <w:jc w:val="both"/>
        <w:rPr>
          <w:rFonts w:ascii="Arial" w:eastAsia="Calibri" w:hAnsi="Arial" w:cs="Arial"/>
          <w:color w:val="000000" w:themeColor="text1"/>
          <w:sz w:val="22"/>
          <w:lang w:val="es-MX"/>
        </w:rPr>
      </w:pPr>
      <w:r w:rsidRPr="0042283A">
        <w:rPr>
          <w:rFonts w:ascii="Arial" w:eastAsia="Calibri" w:hAnsi="Arial" w:cs="Arial"/>
          <w:color w:val="000000" w:themeColor="text1"/>
          <w:sz w:val="22"/>
          <w:lang w:val="es-ES_tradnl"/>
        </w:rPr>
        <w:t>En consecuencia, la obligación de publicar la forma como se calcularon los precios unitarios opera sobre las entidades sometidas al Estatuto General de Contratación de la Administración Pública, en los procedimientos de selección que adelanten</w:t>
      </w:r>
      <w:r w:rsidR="00690396" w:rsidRPr="0042283A">
        <w:rPr>
          <w:rFonts w:ascii="Arial" w:eastAsia="Calibri" w:hAnsi="Arial" w:cs="Arial"/>
          <w:color w:val="000000" w:themeColor="text1"/>
          <w:sz w:val="22"/>
          <w:lang w:val="es-ES_tradnl"/>
        </w:rPr>
        <w:t>, incluidos los concursos de méritos para la selección de consultores</w:t>
      </w:r>
      <w:r w:rsidR="00C33CC1" w:rsidRPr="0042283A">
        <w:rPr>
          <w:rFonts w:ascii="Arial" w:eastAsia="Calibri" w:hAnsi="Arial" w:cs="Arial"/>
          <w:color w:val="000000" w:themeColor="text1"/>
          <w:sz w:val="22"/>
          <w:lang w:val="es-ES_tradnl"/>
        </w:rPr>
        <w:t xml:space="preserve">. Sin embargo, el mismo numeral 4 de la norma en comento establece que «Si el contrato es de concesión, la Entidad Estatal no debe publicar el modelo financiero utilizado en su estructuración». </w:t>
      </w:r>
      <w:r w:rsidRPr="0042283A">
        <w:rPr>
          <w:rFonts w:ascii="Arial" w:eastAsia="Calibri" w:hAnsi="Arial" w:cs="Arial"/>
          <w:color w:val="000000" w:themeColor="text1"/>
          <w:sz w:val="22"/>
          <w:lang w:val="es-ES_tradnl"/>
        </w:rPr>
        <w:t xml:space="preserve"> </w:t>
      </w:r>
    </w:p>
    <w:p w14:paraId="6BD891F7" w14:textId="77777777" w:rsidR="00405D2F" w:rsidRPr="0042283A" w:rsidRDefault="00405D2F" w:rsidP="00510DE9">
      <w:pPr>
        <w:tabs>
          <w:tab w:val="left" w:pos="0"/>
        </w:tabs>
        <w:jc w:val="both"/>
        <w:rPr>
          <w:rFonts w:ascii="Arial" w:eastAsia="Calibri" w:hAnsi="Arial" w:cs="Arial"/>
          <w:b/>
          <w:color w:val="000000" w:themeColor="text1"/>
          <w:sz w:val="22"/>
          <w:lang w:val="es-ES_tradnl"/>
        </w:rPr>
      </w:pPr>
    </w:p>
    <w:p w14:paraId="37CA9805" w14:textId="0ECD0F81" w:rsidR="00DD5B04" w:rsidRPr="0042283A" w:rsidRDefault="004177A6" w:rsidP="00510DE9">
      <w:pPr>
        <w:tabs>
          <w:tab w:val="left" w:pos="0"/>
        </w:tabs>
        <w:jc w:val="both"/>
        <w:rPr>
          <w:rFonts w:ascii="Arial" w:eastAsia="Calibri" w:hAnsi="Arial" w:cs="Arial"/>
          <w:b/>
          <w:color w:val="000000" w:themeColor="text1"/>
          <w:sz w:val="22"/>
          <w:lang w:val="es-ES_tradnl"/>
        </w:rPr>
      </w:pPr>
      <w:r w:rsidRPr="0042283A">
        <w:rPr>
          <w:rFonts w:ascii="Arial" w:eastAsia="Calibri" w:hAnsi="Arial" w:cs="Arial"/>
          <w:b/>
          <w:color w:val="000000" w:themeColor="text1"/>
          <w:sz w:val="22"/>
          <w:lang w:val="es-ES_tradnl"/>
        </w:rPr>
        <w:t>3</w:t>
      </w:r>
      <w:r w:rsidR="00B011A9" w:rsidRPr="0042283A">
        <w:rPr>
          <w:rFonts w:ascii="Arial" w:eastAsia="Calibri" w:hAnsi="Arial" w:cs="Arial"/>
          <w:b/>
          <w:color w:val="000000" w:themeColor="text1"/>
          <w:sz w:val="22"/>
          <w:lang w:val="es-ES_tradnl"/>
        </w:rPr>
        <w:t xml:space="preserve">. </w:t>
      </w:r>
      <w:r w:rsidR="00DD5B04" w:rsidRPr="0042283A">
        <w:rPr>
          <w:rFonts w:ascii="Arial" w:eastAsia="Calibri" w:hAnsi="Arial" w:cs="Arial"/>
          <w:b/>
          <w:color w:val="000000" w:themeColor="text1"/>
          <w:sz w:val="22"/>
          <w:lang w:val="es-ES_tradnl"/>
        </w:rPr>
        <w:t>Respuesta</w:t>
      </w:r>
    </w:p>
    <w:p w14:paraId="6EAE6234" w14:textId="32FA51EA" w:rsidR="00E00990" w:rsidRPr="0042283A" w:rsidRDefault="00E00990" w:rsidP="00510DE9">
      <w:pPr>
        <w:tabs>
          <w:tab w:val="left" w:pos="0"/>
        </w:tabs>
        <w:jc w:val="both"/>
        <w:rPr>
          <w:rFonts w:ascii="Arial" w:eastAsia="Calibri" w:hAnsi="Arial" w:cs="Arial"/>
          <w:color w:val="000000" w:themeColor="text1"/>
          <w:sz w:val="22"/>
          <w:lang w:val="es-ES_tradnl"/>
        </w:rPr>
      </w:pPr>
    </w:p>
    <w:p w14:paraId="37351047" w14:textId="77777777" w:rsidR="008A4C11" w:rsidRPr="0042283A" w:rsidRDefault="008A4C11" w:rsidP="008A4C11">
      <w:pPr>
        <w:ind w:left="709" w:right="709"/>
        <w:jc w:val="both"/>
        <w:rPr>
          <w:rFonts w:ascii="Arial" w:hAnsi="Arial" w:cs="Arial"/>
          <w:color w:val="000000" w:themeColor="text1"/>
          <w:sz w:val="21"/>
          <w:szCs w:val="21"/>
          <w:lang w:val="es-ES_tradnl"/>
        </w:rPr>
      </w:pPr>
      <w:r w:rsidRPr="0042283A">
        <w:rPr>
          <w:rFonts w:ascii="Arial" w:hAnsi="Arial" w:cs="Arial"/>
          <w:color w:val="000000" w:themeColor="text1"/>
          <w:sz w:val="21"/>
          <w:szCs w:val="21"/>
          <w:lang w:val="es-ES_tradnl"/>
        </w:rPr>
        <w:t>«Teniendo en cuenta lo que reza la noma citada, a manera de ejemplo, el presupuesto de un contrato de consultoría está compuesto principalmente por costos directos del personal que ejecutará las actividades de consultoría contratadas. Dicho valor está determinado por el personal requerido, cantidad, salario, dedicación y el factor multiplicador calculado y definido por la entidad contratante.</w:t>
      </w:r>
    </w:p>
    <w:p w14:paraId="09BE3D27" w14:textId="77777777" w:rsidR="008A4C11" w:rsidRPr="0042283A" w:rsidRDefault="008A4C11" w:rsidP="008A4C11">
      <w:pPr>
        <w:ind w:left="709" w:right="709"/>
        <w:jc w:val="both"/>
        <w:rPr>
          <w:rFonts w:ascii="Arial" w:hAnsi="Arial" w:cs="Arial"/>
          <w:color w:val="000000" w:themeColor="text1"/>
          <w:sz w:val="21"/>
          <w:szCs w:val="21"/>
          <w:lang w:val="es-ES_tradnl"/>
        </w:rPr>
      </w:pPr>
    </w:p>
    <w:p w14:paraId="623CADF9" w14:textId="77777777" w:rsidR="008A4C11" w:rsidRPr="0042283A" w:rsidRDefault="008A4C11" w:rsidP="008A4C11">
      <w:pPr>
        <w:ind w:left="709" w:right="709"/>
        <w:jc w:val="both"/>
        <w:rPr>
          <w:rFonts w:ascii="Arial" w:hAnsi="Arial" w:cs="Arial"/>
          <w:color w:val="000000" w:themeColor="text1"/>
          <w:sz w:val="21"/>
          <w:szCs w:val="21"/>
          <w:lang w:val="es-ES_tradnl"/>
        </w:rPr>
      </w:pPr>
      <w:proofErr w:type="gramStart"/>
      <w:r w:rsidRPr="0042283A">
        <w:rPr>
          <w:rFonts w:ascii="Arial" w:hAnsi="Arial" w:cs="Arial"/>
          <w:color w:val="000000" w:themeColor="text1"/>
          <w:sz w:val="21"/>
          <w:szCs w:val="21"/>
          <w:lang w:val="es-ES_tradnl"/>
        </w:rPr>
        <w:t>»En</w:t>
      </w:r>
      <w:proofErr w:type="gramEnd"/>
      <w:r w:rsidRPr="0042283A">
        <w:rPr>
          <w:rFonts w:ascii="Arial" w:hAnsi="Arial" w:cs="Arial"/>
          <w:color w:val="000000" w:themeColor="text1"/>
          <w:sz w:val="21"/>
          <w:szCs w:val="21"/>
          <w:lang w:val="es-ES_tradnl"/>
        </w:rPr>
        <w:t xml:space="preserve"> este orden de ideas, y de acuerdo con lo establecido en el numeral 4 del artículo 1 del Decreto indicado en el asunto, formulo a la Agencia las siguientes consultas con respecto a la interpretación de la norma:</w:t>
      </w:r>
    </w:p>
    <w:p w14:paraId="4CEB1B1F" w14:textId="77777777" w:rsidR="008A4C11" w:rsidRPr="0042283A" w:rsidRDefault="008A4C11" w:rsidP="008A4C11">
      <w:pPr>
        <w:ind w:left="709" w:right="709"/>
        <w:jc w:val="both"/>
        <w:rPr>
          <w:rFonts w:ascii="Arial" w:hAnsi="Arial" w:cs="Arial"/>
          <w:color w:val="000000" w:themeColor="text1"/>
          <w:sz w:val="21"/>
          <w:szCs w:val="21"/>
          <w:lang w:val="es-ES_tradnl"/>
        </w:rPr>
      </w:pPr>
    </w:p>
    <w:p w14:paraId="727C6327" w14:textId="77777777" w:rsidR="008A4C11" w:rsidRPr="0042283A" w:rsidRDefault="008A4C11" w:rsidP="008A4C11">
      <w:pPr>
        <w:ind w:left="709" w:right="709"/>
        <w:jc w:val="both"/>
        <w:rPr>
          <w:rFonts w:ascii="Arial" w:hAnsi="Arial" w:cs="Arial"/>
          <w:color w:val="000000" w:themeColor="text1"/>
          <w:sz w:val="21"/>
          <w:szCs w:val="21"/>
          <w:lang w:val="es-ES_tradnl"/>
        </w:rPr>
      </w:pPr>
      <w:r w:rsidRPr="0042283A">
        <w:rPr>
          <w:rFonts w:ascii="Arial" w:hAnsi="Arial" w:cs="Arial"/>
          <w:color w:val="000000" w:themeColor="text1"/>
          <w:sz w:val="21"/>
          <w:szCs w:val="21"/>
          <w:lang w:val="es-ES_tradnl"/>
        </w:rPr>
        <w:t>»- ¿Es viable que una entidad estatal que adelanta un concurso de méritos para actividades de consultoría se niegue a discriminar la forma en la que calculó el valor de una o de varias de las actividades de consultoría requeridas en el objeto del contrato bajo la premisa de que esa o esas actividades no son precios unitarios sino unos “productos técnicos entregables”, por darle alguna denominación diferente a la de precio unitario, y de esta forma obviar lo establecido en el Decreto 399 con respecto a justificar o discriminar las variables con las construyó el precio o el valor de esa o esas actividades de consultoría? (sic)</w:t>
      </w:r>
    </w:p>
    <w:p w14:paraId="28F4C8C7" w14:textId="77777777" w:rsidR="008A4C11" w:rsidRPr="0042283A" w:rsidRDefault="008A4C11" w:rsidP="008A4C11">
      <w:pPr>
        <w:ind w:left="709" w:right="709"/>
        <w:jc w:val="both"/>
        <w:rPr>
          <w:rFonts w:ascii="Arial" w:hAnsi="Arial" w:cs="Arial"/>
          <w:color w:val="000000" w:themeColor="text1"/>
          <w:sz w:val="21"/>
          <w:szCs w:val="21"/>
          <w:lang w:val="es-ES_tradnl"/>
        </w:rPr>
      </w:pPr>
    </w:p>
    <w:p w14:paraId="51C74CA3" w14:textId="77777777" w:rsidR="008A4C11" w:rsidRPr="0042283A" w:rsidRDefault="008A4C11" w:rsidP="008A4C11">
      <w:pPr>
        <w:ind w:left="709" w:right="709"/>
        <w:jc w:val="both"/>
        <w:rPr>
          <w:rFonts w:ascii="Arial" w:hAnsi="Arial" w:cs="Arial"/>
          <w:color w:val="000000" w:themeColor="text1"/>
          <w:sz w:val="21"/>
          <w:szCs w:val="21"/>
          <w:lang w:val="es-ES_tradnl"/>
        </w:rPr>
      </w:pPr>
      <w:r w:rsidRPr="0042283A">
        <w:rPr>
          <w:rFonts w:ascii="Arial" w:hAnsi="Arial" w:cs="Arial"/>
          <w:color w:val="000000" w:themeColor="text1"/>
          <w:sz w:val="21"/>
          <w:szCs w:val="21"/>
          <w:lang w:val="es-ES_tradnl"/>
        </w:rPr>
        <w:t>»- Para el caso de un contrato de consultoría, ¿bajó qué condiciones una entidad estatal podría argumentar que no la cobija el numeral 4 del artículo 1 del Decreto 399 de 2021 y que, en consecuencia, no debe publicar los cálculos y estimaciones que empleó para la determinación del valor de las actividades de consultoría?</w:t>
      </w:r>
    </w:p>
    <w:p w14:paraId="65D3FAF4" w14:textId="77777777" w:rsidR="008A4C11" w:rsidRPr="0042283A" w:rsidRDefault="008A4C11" w:rsidP="008A4C11">
      <w:pPr>
        <w:ind w:left="709" w:right="709"/>
        <w:jc w:val="both"/>
        <w:rPr>
          <w:rFonts w:ascii="Arial" w:hAnsi="Arial" w:cs="Arial"/>
          <w:color w:val="000000" w:themeColor="text1"/>
          <w:sz w:val="21"/>
          <w:szCs w:val="21"/>
          <w:lang w:val="es-ES_tradnl"/>
        </w:rPr>
      </w:pPr>
    </w:p>
    <w:p w14:paraId="104F5882" w14:textId="77777777" w:rsidR="008A4C11" w:rsidRPr="0042283A" w:rsidRDefault="008A4C11" w:rsidP="008A4C11">
      <w:pPr>
        <w:ind w:left="709" w:right="709"/>
        <w:jc w:val="both"/>
        <w:rPr>
          <w:rFonts w:ascii="Arial" w:hAnsi="Arial" w:cs="Arial"/>
          <w:color w:val="000000" w:themeColor="text1"/>
          <w:sz w:val="21"/>
          <w:szCs w:val="21"/>
          <w:lang w:val="es-ES_tradnl"/>
        </w:rPr>
      </w:pPr>
      <w:proofErr w:type="gramStart"/>
      <w:r w:rsidRPr="0042283A">
        <w:rPr>
          <w:rFonts w:ascii="Arial" w:hAnsi="Arial" w:cs="Arial"/>
          <w:color w:val="000000" w:themeColor="text1"/>
          <w:sz w:val="21"/>
          <w:szCs w:val="21"/>
          <w:lang w:val="es-ES_tradnl"/>
        </w:rPr>
        <w:t>»Con</w:t>
      </w:r>
      <w:proofErr w:type="gramEnd"/>
      <w:r w:rsidRPr="0042283A">
        <w:rPr>
          <w:rFonts w:ascii="Arial" w:hAnsi="Arial" w:cs="Arial"/>
          <w:color w:val="000000" w:themeColor="text1"/>
          <w:sz w:val="21"/>
          <w:szCs w:val="21"/>
          <w:lang w:val="es-ES_tradnl"/>
        </w:rPr>
        <w:t xml:space="preserve"> base en las preguntas formuladas anteriormente, solicito a la Agencia Nacional de Contratación Pública emitir un concepto con respecto a la interpretación del numeral 4 del artículo 1 del Decreto 399 de 2021 y, así mismo indicar, de forma general, el nivel de detalle con el cual una entidad del estado debe publicar las variables empleadas para el cálculo del presupuesto de un proceso de contratación de servicios de consultoría».</w:t>
      </w:r>
    </w:p>
    <w:p w14:paraId="60171B8B" w14:textId="424203E5" w:rsidR="00E00990" w:rsidRPr="0042283A" w:rsidRDefault="00E00990" w:rsidP="00E00990">
      <w:pPr>
        <w:ind w:left="709" w:right="709"/>
        <w:jc w:val="both"/>
        <w:rPr>
          <w:rFonts w:ascii="Arial" w:hAnsi="Arial" w:cs="Arial"/>
          <w:color w:val="000000" w:themeColor="text1"/>
          <w:sz w:val="21"/>
          <w:szCs w:val="21"/>
          <w:lang w:val="es-ES_tradnl"/>
        </w:rPr>
      </w:pPr>
    </w:p>
    <w:p w14:paraId="22320FD4" w14:textId="0B4CBB27" w:rsidR="0089351F" w:rsidRPr="0042283A" w:rsidRDefault="00A31554" w:rsidP="0037640C">
      <w:pPr>
        <w:spacing w:after="120" w:line="276" w:lineRule="auto"/>
        <w:jc w:val="both"/>
        <w:rPr>
          <w:rFonts w:ascii="Arial" w:eastAsia="Calibri" w:hAnsi="Arial" w:cs="Arial"/>
          <w:color w:val="000000" w:themeColor="text1"/>
          <w:sz w:val="22"/>
          <w:lang w:val="es-ES_tradnl"/>
        </w:rPr>
      </w:pPr>
      <w:r w:rsidRPr="0042283A">
        <w:rPr>
          <w:rFonts w:ascii="Arial" w:eastAsia="Calibri" w:hAnsi="Arial" w:cs="Arial"/>
          <w:color w:val="000000" w:themeColor="text1"/>
          <w:sz w:val="22"/>
          <w:lang w:val="es-ES_tradnl"/>
        </w:rPr>
        <w:lastRenderedPageBreak/>
        <w:t>Un</w:t>
      </w:r>
      <w:r w:rsidR="0089351F" w:rsidRPr="0042283A">
        <w:rPr>
          <w:rFonts w:ascii="Arial" w:eastAsia="Calibri" w:hAnsi="Arial" w:cs="Arial"/>
          <w:color w:val="000000" w:themeColor="text1"/>
          <w:sz w:val="22"/>
          <w:lang w:val="es-ES_tradnl"/>
        </w:rPr>
        <w:t xml:space="preserve"> aspecto importante que introduce el Decreto 399 de 2021 y que incide sobre el trámite del concurso de méritos, tiene que ver con el contenido de los estudios y documentos previos que soportan el proceso de contratación. </w:t>
      </w:r>
      <w:r w:rsidR="00E16B74" w:rsidRPr="0042283A">
        <w:rPr>
          <w:rFonts w:ascii="Arial" w:eastAsia="Calibri" w:hAnsi="Arial" w:cs="Arial"/>
          <w:color w:val="000000" w:themeColor="text1"/>
          <w:sz w:val="22"/>
          <w:lang w:val="es-ES_tradnl"/>
        </w:rPr>
        <w:t>E</w:t>
      </w:r>
      <w:r w:rsidR="0089351F" w:rsidRPr="0042283A">
        <w:rPr>
          <w:rFonts w:ascii="Arial" w:eastAsia="Calibri" w:hAnsi="Arial" w:cs="Arial"/>
          <w:color w:val="000000" w:themeColor="text1"/>
          <w:sz w:val="22"/>
          <w:lang w:val="es-ES_tradnl"/>
        </w:rPr>
        <w:t>l numeral 4 del artículo 2.2.1.1.2.1.1. del Decreto 1082 de 2015 establecía que la entidad estatal no debía «[…] publicar las variables utilizadas para calcular el valor estimado del contrato cuando la modalidad de selección del contratista sea en concurso de méritos». Pues bien, el artículo 1 del Decreto 399 de 2021 elimina esta prohibición, para garantizar que los interesados conozcan la información relacionada con el valor estimado del contrato en los concursos de méritos y potenciar la garantía de los principios de publicidad y transparencia.</w:t>
      </w:r>
    </w:p>
    <w:p w14:paraId="436E649A" w14:textId="521068E6" w:rsidR="00E16B74" w:rsidRPr="0042283A" w:rsidRDefault="00E16B74" w:rsidP="00E16B74">
      <w:pPr>
        <w:spacing w:before="120" w:line="276" w:lineRule="auto"/>
        <w:ind w:firstLine="709"/>
        <w:jc w:val="both"/>
        <w:rPr>
          <w:rFonts w:ascii="Arial" w:eastAsia="Calibri" w:hAnsi="Arial" w:cs="Arial"/>
          <w:color w:val="000000" w:themeColor="text1"/>
          <w:sz w:val="22"/>
          <w:lang w:val="es-ES_tradnl"/>
        </w:rPr>
      </w:pPr>
      <w:r w:rsidRPr="0042283A">
        <w:rPr>
          <w:rFonts w:ascii="Arial" w:eastAsia="Calibri" w:hAnsi="Arial" w:cs="Arial"/>
          <w:color w:val="000000" w:themeColor="text1"/>
          <w:sz w:val="22"/>
          <w:lang w:val="es-ES_tradnl"/>
        </w:rPr>
        <w:t>Por tanto, a</w:t>
      </w:r>
      <w:r w:rsidR="0037640C" w:rsidRPr="0042283A">
        <w:rPr>
          <w:rFonts w:ascii="Arial" w:eastAsia="Calibri" w:hAnsi="Arial" w:cs="Arial"/>
          <w:color w:val="000000" w:themeColor="text1"/>
          <w:sz w:val="22"/>
          <w:lang w:val="es-ES_tradnl"/>
        </w:rPr>
        <w:t xml:space="preserve"> partir de la </w:t>
      </w:r>
      <w:proofErr w:type="gramStart"/>
      <w:r w:rsidR="0037640C" w:rsidRPr="0042283A">
        <w:rPr>
          <w:rFonts w:ascii="Arial" w:eastAsia="Calibri" w:hAnsi="Arial" w:cs="Arial"/>
          <w:color w:val="000000" w:themeColor="text1"/>
          <w:sz w:val="22"/>
          <w:lang w:val="es-ES_tradnl"/>
        </w:rPr>
        <w:t>entrada en vigencia</w:t>
      </w:r>
      <w:proofErr w:type="gramEnd"/>
      <w:r w:rsidR="0037640C" w:rsidRPr="0042283A">
        <w:rPr>
          <w:rFonts w:ascii="Arial" w:eastAsia="Calibri" w:hAnsi="Arial" w:cs="Arial"/>
          <w:color w:val="000000" w:themeColor="text1"/>
          <w:sz w:val="22"/>
          <w:lang w:val="es-ES_tradnl"/>
        </w:rPr>
        <w:t xml:space="preserve"> del Decreto 399 de 2021, las entidades estatales deben incluir en los estudios previos del concurso de méritos la información correspondiente a las variables empleadas para calcular el valor estimado del contrato, determinando así el presupuesto oficial</w:t>
      </w:r>
      <w:r w:rsidR="002164E8" w:rsidRPr="0042283A">
        <w:rPr>
          <w:rFonts w:ascii="Arial" w:eastAsia="Calibri" w:hAnsi="Arial" w:cs="Arial"/>
          <w:color w:val="000000" w:themeColor="text1"/>
          <w:sz w:val="22"/>
          <w:lang w:val="es-ES_tradnl"/>
        </w:rPr>
        <w:t>, en similares condiciones a lo que sucede en las demás modalidades de selección</w:t>
      </w:r>
      <w:r w:rsidR="0037640C" w:rsidRPr="0042283A">
        <w:rPr>
          <w:rFonts w:ascii="Arial" w:eastAsia="Calibri" w:hAnsi="Arial" w:cs="Arial"/>
          <w:color w:val="000000" w:themeColor="text1"/>
          <w:sz w:val="22"/>
          <w:lang w:val="es-ES_tradnl"/>
        </w:rPr>
        <w:t xml:space="preserve">. Además, los interesados pueden formular observaciones al proyecto de pliego de condiciones sobre este tema. Adicionalmente, en el pliego de condiciones deben establecerse con claridad los requisitos habilitantes y criterios de calificación con fundamento en los cuales la entidad estatal elaborará el informe de evaluación respectivo. </w:t>
      </w:r>
    </w:p>
    <w:p w14:paraId="7B7ED597" w14:textId="7140D90C" w:rsidR="00E16B74" w:rsidRPr="0042283A" w:rsidRDefault="0037640C" w:rsidP="00E16B74">
      <w:pPr>
        <w:spacing w:before="120" w:line="276" w:lineRule="auto"/>
        <w:ind w:firstLine="709"/>
        <w:jc w:val="both"/>
        <w:rPr>
          <w:rFonts w:ascii="Arial" w:eastAsia="Calibri" w:hAnsi="Arial" w:cs="Arial"/>
          <w:color w:val="000000" w:themeColor="text1"/>
          <w:sz w:val="22"/>
          <w:lang w:val="es-ES_tradnl"/>
        </w:rPr>
      </w:pPr>
      <w:r w:rsidRPr="0042283A">
        <w:rPr>
          <w:rFonts w:ascii="Arial" w:eastAsia="Calibri" w:hAnsi="Arial" w:cs="Arial"/>
          <w:color w:val="000000" w:themeColor="text1"/>
          <w:sz w:val="22"/>
          <w:lang w:val="es-ES_tradnl"/>
        </w:rPr>
        <w:t xml:space="preserve">Cabe precisar que, </w:t>
      </w:r>
      <w:r w:rsidR="002164E8" w:rsidRPr="0042283A">
        <w:rPr>
          <w:rFonts w:ascii="Arial" w:eastAsia="Calibri" w:hAnsi="Arial" w:cs="Arial"/>
          <w:color w:val="000000" w:themeColor="text1"/>
          <w:sz w:val="22"/>
          <w:lang w:val="es-ES_tradnl"/>
        </w:rPr>
        <w:t>al señalar</w:t>
      </w:r>
      <w:r w:rsidRPr="0042283A">
        <w:rPr>
          <w:rFonts w:ascii="Arial" w:eastAsia="Calibri" w:hAnsi="Arial" w:cs="Arial"/>
          <w:color w:val="000000" w:themeColor="text1"/>
          <w:sz w:val="22"/>
          <w:lang w:val="es-ES_tradnl"/>
        </w:rPr>
        <w:t xml:space="preserve"> el numeral 4 del artículo 2.2.1.1.2.1.1. del Decreto 1082 de 2015, modificado por el artículo 1 del Decreto 399 de 2021, que «Cuando el valor del contrato esté determinado por precios unitarios, la Entidad Estatal debe incluir la forma como los calculó y soportar sus cálculos presupuestales en la estimación de aquellos», esto significa, para el caso de los contratos de consultoría, que si el precio de este se calcula atendiendo al valor de las unidades –entregables o actividades– por las cantidades, se debe incluir en los estudios previos la forma como estos precios unitarios se calcularon, de acuerdo con el análisis del sector y los elementos técnicos tenidos en cuenta por la entidad contratante. </w:t>
      </w:r>
    </w:p>
    <w:p w14:paraId="4AD7E0BC" w14:textId="26D7496A" w:rsidR="00E16B74" w:rsidRPr="0042283A" w:rsidRDefault="0037640C" w:rsidP="00E16B74">
      <w:pPr>
        <w:spacing w:before="120" w:line="276" w:lineRule="auto"/>
        <w:ind w:firstLine="709"/>
        <w:jc w:val="both"/>
        <w:rPr>
          <w:rFonts w:ascii="Arial" w:eastAsia="Calibri" w:hAnsi="Arial" w:cs="Arial"/>
          <w:color w:val="000000" w:themeColor="text1"/>
          <w:sz w:val="22"/>
          <w:lang w:val="es-ES_tradnl"/>
        </w:rPr>
      </w:pPr>
      <w:r w:rsidRPr="0042283A">
        <w:rPr>
          <w:rFonts w:ascii="Arial" w:eastAsia="Calibri" w:hAnsi="Arial" w:cs="Arial"/>
          <w:color w:val="000000" w:themeColor="text1"/>
          <w:sz w:val="22"/>
          <w:lang w:val="es-ES_tradnl"/>
        </w:rPr>
        <w:t>En efecto, como lo ha explicado el Consejo de Estado, «Los contratos […] por precio global son aquellos en los que el contratista, a cambio de las prestaciones a que se compromete, obtiene como remuneración una suma fija siendo el único responsable de la vinculación de personal, de la elaboración de subcontratos y de la obtención de materiales, mientras que en el contrato a precios unitarios la forma de pago es por unidades o cantidades […] y el valor total corresponde al que resulta de multiplicar las cantidades […] ejecutadas por el precio de cada una de ellas»</w:t>
      </w:r>
      <w:r w:rsidRPr="0042283A">
        <w:rPr>
          <w:rStyle w:val="Refdenotaalpie"/>
          <w:rFonts w:ascii="Arial" w:eastAsia="Calibri" w:hAnsi="Arial" w:cs="Arial"/>
          <w:color w:val="000000" w:themeColor="text1"/>
          <w:sz w:val="22"/>
          <w:lang w:val="es-ES_tradnl"/>
        </w:rPr>
        <w:footnoteReference w:id="12"/>
      </w:r>
      <w:r w:rsidRPr="0042283A">
        <w:rPr>
          <w:rFonts w:ascii="Arial" w:eastAsia="Calibri" w:hAnsi="Arial" w:cs="Arial"/>
          <w:color w:val="000000" w:themeColor="text1"/>
          <w:sz w:val="22"/>
          <w:lang w:val="es-ES_tradnl"/>
        </w:rPr>
        <w:t>. Por lo tanto, independientemente de la denominación que la entidad estatal le</w:t>
      </w:r>
      <w:r w:rsidR="00485F27" w:rsidRPr="0042283A">
        <w:rPr>
          <w:rFonts w:ascii="Arial" w:eastAsia="Calibri" w:hAnsi="Arial" w:cs="Arial"/>
          <w:color w:val="000000" w:themeColor="text1"/>
          <w:sz w:val="22"/>
          <w:lang w:val="es-ES_tradnl"/>
        </w:rPr>
        <w:t>s</w:t>
      </w:r>
      <w:r w:rsidRPr="0042283A">
        <w:rPr>
          <w:rFonts w:ascii="Arial" w:eastAsia="Calibri" w:hAnsi="Arial" w:cs="Arial"/>
          <w:color w:val="000000" w:themeColor="text1"/>
          <w:sz w:val="22"/>
          <w:lang w:val="es-ES_tradnl"/>
        </w:rPr>
        <w:t xml:space="preserve"> otorgue a las unidades de actividad del contrato de consultoría, si calcula su valor por precios unitarios, debe publicar en los estudios previos </w:t>
      </w:r>
      <w:r w:rsidRPr="0042283A">
        <w:rPr>
          <w:rFonts w:ascii="Arial" w:eastAsia="Calibri" w:hAnsi="Arial" w:cs="Arial"/>
          <w:color w:val="000000" w:themeColor="text1"/>
          <w:sz w:val="22"/>
          <w:lang w:val="es-ES_tradnl"/>
        </w:rPr>
        <w:lastRenderedPageBreak/>
        <w:t>la forma como los calculó y estimar esta metodología presupuestal. Se trata de un imperativo</w:t>
      </w:r>
      <w:r w:rsidR="00485F27" w:rsidRPr="0042283A">
        <w:rPr>
          <w:rFonts w:ascii="Arial" w:eastAsia="Calibri" w:hAnsi="Arial" w:cs="Arial"/>
          <w:color w:val="000000" w:themeColor="text1"/>
          <w:sz w:val="22"/>
          <w:lang w:val="es-ES_tradnl"/>
        </w:rPr>
        <w:t>,</w:t>
      </w:r>
      <w:r w:rsidRPr="0042283A">
        <w:rPr>
          <w:rFonts w:ascii="Arial" w:eastAsia="Calibri" w:hAnsi="Arial" w:cs="Arial"/>
          <w:color w:val="000000" w:themeColor="text1"/>
          <w:sz w:val="22"/>
          <w:lang w:val="es-ES_tradnl"/>
        </w:rPr>
        <w:t xml:space="preserve"> consagrado en el artículo 1 del Decreto 399 de 2021</w:t>
      </w:r>
      <w:r w:rsidR="00485F27" w:rsidRPr="0042283A">
        <w:rPr>
          <w:rFonts w:ascii="Arial" w:eastAsia="Calibri" w:hAnsi="Arial" w:cs="Arial"/>
          <w:color w:val="000000" w:themeColor="text1"/>
          <w:sz w:val="22"/>
          <w:lang w:val="es-ES_tradnl"/>
        </w:rPr>
        <w:t>,</w:t>
      </w:r>
      <w:r w:rsidRPr="0042283A">
        <w:rPr>
          <w:rFonts w:ascii="Arial" w:eastAsia="Calibri" w:hAnsi="Arial" w:cs="Arial"/>
          <w:color w:val="000000" w:themeColor="text1"/>
          <w:sz w:val="22"/>
          <w:lang w:val="es-ES_tradnl"/>
        </w:rPr>
        <w:t xml:space="preserve"> que las entidades estatales no pueden negarse a cumplir, porque en la actualidad es un deber integrado a la garantía del principio de planeación</w:t>
      </w:r>
      <w:r w:rsidR="002164E8" w:rsidRPr="0042283A">
        <w:rPr>
          <w:rFonts w:ascii="Arial" w:eastAsia="Calibri" w:hAnsi="Arial" w:cs="Arial"/>
          <w:color w:val="000000" w:themeColor="text1"/>
          <w:sz w:val="22"/>
          <w:lang w:val="es-ES_tradnl"/>
        </w:rPr>
        <w:t>, transparencia y publicidad</w:t>
      </w:r>
      <w:r w:rsidRPr="0042283A">
        <w:rPr>
          <w:rFonts w:ascii="Arial" w:eastAsia="Calibri" w:hAnsi="Arial" w:cs="Arial"/>
          <w:color w:val="000000" w:themeColor="text1"/>
          <w:sz w:val="22"/>
          <w:lang w:val="es-ES_tradnl"/>
        </w:rPr>
        <w:t xml:space="preserve"> en la contratación estatal. </w:t>
      </w:r>
    </w:p>
    <w:p w14:paraId="19E17D3B" w14:textId="352175CA" w:rsidR="0037640C" w:rsidRPr="0042283A" w:rsidRDefault="0037640C" w:rsidP="00E16B74">
      <w:pPr>
        <w:spacing w:before="120" w:line="276" w:lineRule="auto"/>
        <w:ind w:firstLine="709"/>
        <w:jc w:val="both"/>
        <w:rPr>
          <w:rFonts w:ascii="Arial" w:eastAsia="Calibri" w:hAnsi="Arial" w:cs="Arial"/>
          <w:color w:val="000000" w:themeColor="text1"/>
          <w:sz w:val="22"/>
          <w:lang w:val="es-ES_tradnl"/>
        </w:rPr>
      </w:pPr>
      <w:r w:rsidRPr="0042283A">
        <w:rPr>
          <w:rFonts w:ascii="Arial" w:eastAsia="Calibri" w:hAnsi="Arial" w:cs="Arial"/>
          <w:color w:val="000000" w:themeColor="text1"/>
          <w:sz w:val="22"/>
          <w:lang w:val="es-ES_tradnl"/>
        </w:rPr>
        <w:t>En consecuencia, la obligación de publicar la forma como se calcularon los precios unitarios opera sobre las entidades sometidas al Estatuto General de Contratación de la Administración Pública, en los procedimientos de selección que adelanten, incluidos los concursos de méritos para la selección de consultores. Sin embargo, el mismo numeral 4 de la norma en comento establece que «Si el contrato es de concesión, la Entidad Estatal no debe publicar el modelo financiero utilizado en su estructuración»</w:t>
      </w:r>
      <w:r w:rsidR="00AD455B" w:rsidRPr="0042283A">
        <w:rPr>
          <w:rFonts w:ascii="Arial" w:eastAsia="Calibri" w:hAnsi="Arial" w:cs="Arial"/>
          <w:color w:val="000000" w:themeColor="text1"/>
          <w:sz w:val="22"/>
          <w:lang w:val="es-ES_tradnl"/>
        </w:rPr>
        <w:t>, por lo que las entidades est</w:t>
      </w:r>
      <w:r w:rsidR="00B974E4" w:rsidRPr="0042283A">
        <w:rPr>
          <w:rFonts w:ascii="Arial" w:eastAsia="Calibri" w:hAnsi="Arial" w:cs="Arial"/>
          <w:color w:val="000000" w:themeColor="text1"/>
          <w:sz w:val="22"/>
          <w:lang w:val="es-ES_tradnl"/>
        </w:rPr>
        <w:t>arán</w:t>
      </w:r>
      <w:r w:rsidR="00AD455B" w:rsidRPr="0042283A">
        <w:rPr>
          <w:rFonts w:ascii="Arial" w:eastAsia="Calibri" w:hAnsi="Arial" w:cs="Arial"/>
          <w:color w:val="000000" w:themeColor="text1"/>
          <w:sz w:val="22"/>
          <w:lang w:val="es-ES_tradnl"/>
        </w:rPr>
        <w:t xml:space="preserve"> exentas de publicar</w:t>
      </w:r>
      <w:r w:rsidR="00111115" w:rsidRPr="0042283A">
        <w:rPr>
          <w:rFonts w:ascii="Arial" w:eastAsia="Calibri" w:hAnsi="Arial" w:cs="Arial"/>
          <w:color w:val="000000" w:themeColor="text1"/>
          <w:sz w:val="22"/>
          <w:lang w:val="es-ES_tradnl"/>
        </w:rPr>
        <w:t>lo</w:t>
      </w:r>
      <w:r w:rsidR="00AD455B" w:rsidRPr="0042283A">
        <w:rPr>
          <w:rFonts w:ascii="Arial" w:eastAsia="Calibri" w:hAnsi="Arial" w:cs="Arial"/>
          <w:color w:val="000000" w:themeColor="text1"/>
          <w:sz w:val="22"/>
          <w:lang w:val="es-ES_tradnl"/>
        </w:rPr>
        <w:t xml:space="preserve"> cuando celebren este tipo contractual</w:t>
      </w:r>
      <w:r w:rsidRPr="0042283A">
        <w:rPr>
          <w:rFonts w:ascii="Arial" w:eastAsia="Calibri" w:hAnsi="Arial" w:cs="Arial"/>
          <w:color w:val="000000" w:themeColor="text1"/>
          <w:sz w:val="22"/>
          <w:lang w:val="es-ES_tradnl"/>
        </w:rPr>
        <w:t xml:space="preserve">.  </w:t>
      </w:r>
    </w:p>
    <w:p w14:paraId="18B33146" w14:textId="584EC35D" w:rsidR="002306BF" w:rsidRPr="0042283A" w:rsidRDefault="002306BF" w:rsidP="009E03C7">
      <w:pPr>
        <w:spacing w:line="276" w:lineRule="auto"/>
        <w:jc w:val="both"/>
        <w:rPr>
          <w:rFonts w:ascii="Arial" w:hAnsi="Arial" w:cs="Arial"/>
          <w:color w:val="000000" w:themeColor="text1"/>
          <w:sz w:val="22"/>
          <w:szCs w:val="22"/>
          <w:lang w:val="es-ES_tradnl"/>
        </w:rPr>
      </w:pPr>
    </w:p>
    <w:p w14:paraId="7B2C921D" w14:textId="0F929B38" w:rsidR="00DD5B04" w:rsidRPr="0042283A" w:rsidRDefault="00DD5B04" w:rsidP="00DF76A2">
      <w:pPr>
        <w:spacing w:line="276" w:lineRule="auto"/>
        <w:jc w:val="both"/>
        <w:rPr>
          <w:rFonts w:ascii="Arial" w:hAnsi="Arial" w:cs="Arial"/>
          <w:color w:val="000000" w:themeColor="text1"/>
          <w:sz w:val="22"/>
          <w:lang w:val="es-ES_tradnl"/>
        </w:rPr>
      </w:pPr>
      <w:r w:rsidRPr="0042283A">
        <w:rPr>
          <w:rFonts w:ascii="Arial" w:hAnsi="Arial" w:cs="Arial"/>
          <w:color w:val="000000" w:themeColor="text1"/>
          <w:sz w:val="22"/>
          <w:lang w:val="es-ES_tradnl"/>
        </w:rPr>
        <w:t>Este concepto tiene el alcance previsto en el artículo 28 del Código de Procedimiento Administrativo y de lo Contencioso Administrativo.</w:t>
      </w:r>
    </w:p>
    <w:p w14:paraId="77EE5912" w14:textId="77777777" w:rsidR="00DD5B04" w:rsidRPr="0042283A"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4EEC4049" w14:textId="5389CCD1" w:rsidR="00973BE5" w:rsidRPr="0042283A" w:rsidRDefault="00DD5B04" w:rsidP="00973BE5">
      <w:pPr>
        <w:pStyle w:val="NormalWeb"/>
        <w:spacing w:before="0" w:beforeAutospacing="0" w:after="0" w:afterAutospacing="0" w:line="276" w:lineRule="auto"/>
        <w:jc w:val="both"/>
        <w:rPr>
          <w:rFonts w:ascii="Arial" w:hAnsi="Arial" w:cs="Arial"/>
          <w:color w:val="000000" w:themeColor="text1"/>
          <w:sz w:val="22"/>
          <w:szCs w:val="22"/>
          <w:lang w:val="es-ES_tradnl"/>
        </w:rPr>
      </w:pPr>
      <w:r w:rsidRPr="0042283A">
        <w:rPr>
          <w:rFonts w:ascii="Arial" w:hAnsi="Arial" w:cs="Arial"/>
          <w:color w:val="000000" w:themeColor="text1"/>
          <w:sz w:val="22"/>
          <w:szCs w:val="22"/>
          <w:lang w:val="es-ES_tradnl"/>
        </w:rPr>
        <w:t>Atentamente,</w:t>
      </w:r>
    </w:p>
    <w:p w14:paraId="688360DD" w14:textId="77777777" w:rsidR="00973BE5" w:rsidRPr="0042283A" w:rsidRDefault="00973BE5" w:rsidP="00973BE5">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586B0543" w14:textId="14A31916" w:rsidR="00973BE5" w:rsidRPr="0042283A" w:rsidRDefault="002A7678" w:rsidP="002A7678">
      <w:pPr>
        <w:pStyle w:val="NormalWeb"/>
        <w:spacing w:before="0" w:beforeAutospacing="0" w:after="0" w:afterAutospacing="0" w:line="276" w:lineRule="auto"/>
        <w:jc w:val="center"/>
        <w:rPr>
          <w:rFonts w:ascii="Arial" w:hAnsi="Arial" w:cs="Arial"/>
          <w:color w:val="000000" w:themeColor="text1"/>
          <w:lang w:val="es-ES_tradnl"/>
        </w:rPr>
      </w:pPr>
      <w:r>
        <w:rPr>
          <w:noProof/>
        </w:rPr>
        <w:drawing>
          <wp:inline distT="0" distB="0" distL="0" distR="0" wp14:anchorId="50062148" wp14:editId="16379B27">
            <wp:extent cx="2518154" cy="1116000"/>
            <wp:effectExtent l="0" t="0" r="0" b="1905"/>
            <wp:docPr id="1881124724" name="Imagen 188112472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extLst>
                        <a:ext uri="{28A0092B-C50C-407E-A947-70E740481C1C}">
                          <a14:useLocalDpi xmlns:a14="http://schemas.microsoft.com/office/drawing/2010/main" val="0"/>
                        </a:ext>
                      </a:extLst>
                    </a:blip>
                    <a:stretch>
                      <a:fillRect/>
                    </a:stretch>
                  </pic:blipFill>
                  <pic:spPr>
                    <a:xfrm>
                      <a:off x="0" y="0"/>
                      <a:ext cx="2518154" cy="1116000"/>
                    </a:xfrm>
                    <a:prstGeom prst="rect">
                      <a:avLst/>
                    </a:prstGeom>
                  </pic:spPr>
                </pic:pic>
              </a:graphicData>
            </a:graphic>
          </wp:inline>
        </w:drawing>
      </w:r>
    </w:p>
    <w:p w14:paraId="1CB5C5E4" w14:textId="77777777" w:rsidR="00973BE5" w:rsidRPr="0042283A" w:rsidRDefault="00973BE5" w:rsidP="00973BE5">
      <w:pPr>
        <w:jc w:val="center"/>
        <w:rPr>
          <w:rFonts w:ascii="Arial" w:hAnsi="Arial" w:cs="Arial"/>
          <w:color w:val="000000" w:themeColor="text1"/>
          <w:sz w:val="18"/>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973BE5" w:rsidRPr="0042283A" w14:paraId="7F6E5689" w14:textId="77777777" w:rsidTr="0031268B">
        <w:trPr>
          <w:trHeight w:val="315"/>
        </w:trPr>
        <w:tc>
          <w:tcPr>
            <w:tcW w:w="812" w:type="dxa"/>
            <w:vAlign w:val="center"/>
            <w:hideMark/>
          </w:tcPr>
          <w:p w14:paraId="04757A8C" w14:textId="77777777" w:rsidR="00973BE5" w:rsidRPr="0042283A" w:rsidRDefault="00973BE5" w:rsidP="0031268B">
            <w:pPr>
              <w:jc w:val="both"/>
              <w:rPr>
                <w:rFonts w:ascii="Arial" w:hAnsi="Arial" w:cs="Arial"/>
                <w:color w:val="000000" w:themeColor="text1"/>
                <w:sz w:val="16"/>
                <w:szCs w:val="16"/>
                <w:lang w:val="es-ES_tradnl" w:eastAsia="es-ES"/>
              </w:rPr>
            </w:pPr>
            <w:r w:rsidRPr="0042283A">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29EB019C" w14:textId="77777777" w:rsidR="00973BE5" w:rsidRPr="0042283A" w:rsidRDefault="00973BE5" w:rsidP="0031268B">
            <w:pPr>
              <w:jc w:val="both"/>
              <w:rPr>
                <w:rFonts w:ascii="Arial" w:hAnsi="Arial" w:cs="Arial"/>
                <w:color w:val="000000" w:themeColor="text1"/>
                <w:sz w:val="16"/>
                <w:szCs w:val="16"/>
                <w:lang w:val="es-ES_tradnl" w:eastAsia="es-ES"/>
              </w:rPr>
            </w:pPr>
            <w:r w:rsidRPr="0042283A">
              <w:rPr>
                <w:rFonts w:ascii="Arial" w:hAnsi="Arial" w:cs="Arial"/>
                <w:color w:val="000000" w:themeColor="text1"/>
                <w:sz w:val="16"/>
                <w:szCs w:val="16"/>
                <w:lang w:val="es-ES_tradnl" w:eastAsia="es-ES"/>
              </w:rPr>
              <w:t>Cristian Andrés Díaz Díez</w:t>
            </w:r>
          </w:p>
          <w:p w14:paraId="37A992B7" w14:textId="77777777" w:rsidR="00973BE5" w:rsidRPr="0042283A" w:rsidRDefault="00973BE5" w:rsidP="0031268B">
            <w:pPr>
              <w:jc w:val="both"/>
              <w:rPr>
                <w:rFonts w:ascii="Arial" w:hAnsi="Arial" w:cs="Arial"/>
                <w:color w:val="000000" w:themeColor="text1"/>
                <w:sz w:val="16"/>
                <w:szCs w:val="16"/>
                <w:lang w:val="es-ES_tradnl" w:eastAsia="es-ES"/>
              </w:rPr>
            </w:pPr>
            <w:r w:rsidRPr="0042283A">
              <w:rPr>
                <w:rFonts w:ascii="Arial" w:hAnsi="Arial" w:cs="Arial"/>
                <w:color w:val="000000" w:themeColor="text1"/>
                <w:sz w:val="16"/>
                <w:szCs w:val="16"/>
                <w:lang w:val="es-ES_tradnl" w:eastAsia="es-ES"/>
              </w:rPr>
              <w:t>Contratista de la Subdirección de Gestión Contractual</w:t>
            </w:r>
          </w:p>
        </w:tc>
      </w:tr>
      <w:tr w:rsidR="00973BE5" w:rsidRPr="0042283A" w14:paraId="03611D2A" w14:textId="77777777" w:rsidTr="0031268B">
        <w:trPr>
          <w:trHeight w:val="330"/>
        </w:trPr>
        <w:tc>
          <w:tcPr>
            <w:tcW w:w="812" w:type="dxa"/>
            <w:vAlign w:val="center"/>
            <w:hideMark/>
          </w:tcPr>
          <w:p w14:paraId="46FAC0BA" w14:textId="77777777" w:rsidR="00973BE5" w:rsidRPr="0042283A" w:rsidRDefault="00973BE5" w:rsidP="0031268B">
            <w:pPr>
              <w:jc w:val="both"/>
              <w:rPr>
                <w:rFonts w:ascii="Arial" w:hAnsi="Arial" w:cs="Arial"/>
                <w:color w:val="000000" w:themeColor="text1"/>
                <w:sz w:val="16"/>
                <w:szCs w:val="16"/>
                <w:lang w:val="es-ES_tradnl" w:eastAsia="es-ES"/>
              </w:rPr>
            </w:pPr>
            <w:r w:rsidRPr="0042283A">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CC07C42" w14:textId="77777777" w:rsidR="00973BE5" w:rsidRPr="0042283A" w:rsidRDefault="00973BE5" w:rsidP="0031268B">
            <w:pPr>
              <w:jc w:val="both"/>
              <w:rPr>
                <w:rFonts w:ascii="Arial" w:hAnsi="Arial" w:cs="Arial"/>
                <w:color w:val="000000" w:themeColor="text1"/>
                <w:sz w:val="16"/>
                <w:szCs w:val="16"/>
                <w:lang w:val="es-ES_tradnl" w:eastAsia="es-ES"/>
              </w:rPr>
            </w:pPr>
            <w:r w:rsidRPr="0042283A">
              <w:rPr>
                <w:rFonts w:ascii="Arial" w:hAnsi="Arial" w:cs="Arial"/>
                <w:color w:val="000000" w:themeColor="text1"/>
                <w:sz w:val="16"/>
                <w:szCs w:val="16"/>
                <w:lang w:val="es-ES_tradnl" w:eastAsia="es-ES"/>
              </w:rPr>
              <w:t>Sebastián Ramírez Grisales</w:t>
            </w:r>
          </w:p>
          <w:p w14:paraId="1F6BBDE8" w14:textId="77777777" w:rsidR="00973BE5" w:rsidRPr="0042283A" w:rsidRDefault="00973BE5" w:rsidP="0031268B">
            <w:pPr>
              <w:jc w:val="both"/>
              <w:rPr>
                <w:rFonts w:ascii="Arial" w:hAnsi="Arial" w:cs="Arial"/>
                <w:color w:val="000000" w:themeColor="text1"/>
                <w:sz w:val="16"/>
                <w:szCs w:val="16"/>
                <w:lang w:val="es-ES_tradnl" w:eastAsia="es-ES"/>
              </w:rPr>
            </w:pPr>
            <w:r w:rsidRPr="0042283A">
              <w:rPr>
                <w:rFonts w:ascii="Arial" w:hAnsi="Arial" w:cs="Arial"/>
                <w:color w:val="000000" w:themeColor="text1"/>
                <w:sz w:val="16"/>
                <w:szCs w:val="16"/>
                <w:lang w:val="es-ES_tradnl" w:eastAsia="es-ES"/>
              </w:rPr>
              <w:t xml:space="preserve">Contratista de la Subdirección de Gestión Contractual  </w:t>
            </w:r>
          </w:p>
        </w:tc>
      </w:tr>
      <w:tr w:rsidR="00973BE5" w:rsidRPr="005A69FC" w14:paraId="61E5B95E" w14:textId="77777777" w:rsidTr="0031268B">
        <w:trPr>
          <w:trHeight w:val="300"/>
        </w:trPr>
        <w:tc>
          <w:tcPr>
            <w:tcW w:w="812" w:type="dxa"/>
            <w:vAlign w:val="center"/>
            <w:hideMark/>
          </w:tcPr>
          <w:p w14:paraId="3FA88A5B" w14:textId="77777777" w:rsidR="00973BE5" w:rsidRPr="0042283A" w:rsidRDefault="00973BE5" w:rsidP="0031268B">
            <w:pPr>
              <w:jc w:val="both"/>
              <w:rPr>
                <w:rFonts w:ascii="Arial" w:hAnsi="Arial" w:cs="Arial"/>
                <w:color w:val="000000" w:themeColor="text1"/>
                <w:sz w:val="16"/>
                <w:szCs w:val="16"/>
                <w:lang w:val="es-ES_tradnl" w:eastAsia="es-ES"/>
              </w:rPr>
            </w:pPr>
            <w:r w:rsidRPr="0042283A">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FD0A471" w14:textId="77777777" w:rsidR="00973BE5" w:rsidRPr="0042283A" w:rsidRDefault="00973BE5" w:rsidP="0031268B">
            <w:pPr>
              <w:jc w:val="both"/>
              <w:rPr>
                <w:rFonts w:ascii="Arial" w:hAnsi="Arial" w:cs="Arial"/>
                <w:color w:val="000000" w:themeColor="text1"/>
                <w:sz w:val="16"/>
                <w:szCs w:val="16"/>
                <w:lang w:val="es-ES_tradnl" w:eastAsia="es-ES"/>
              </w:rPr>
            </w:pPr>
            <w:r w:rsidRPr="0042283A">
              <w:rPr>
                <w:rFonts w:ascii="Arial" w:hAnsi="Arial" w:cs="Arial"/>
                <w:color w:val="000000" w:themeColor="text1"/>
                <w:sz w:val="16"/>
                <w:szCs w:val="16"/>
                <w:lang w:val="es-ES_tradnl" w:eastAsia="es-ES"/>
              </w:rPr>
              <w:t>Jorge Augusto Tirado Navarro</w:t>
            </w:r>
          </w:p>
          <w:p w14:paraId="424165A8" w14:textId="77777777" w:rsidR="00973BE5" w:rsidRPr="005A69FC" w:rsidRDefault="00973BE5" w:rsidP="0031268B">
            <w:pPr>
              <w:jc w:val="both"/>
              <w:rPr>
                <w:rFonts w:ascii="Arial" w:hAnsi="Arial" w:cs="Arial"/>
                <w:color w:val="000000" w:themeColor="text1"/>
                <w:sz w:val="16"/>
                <w:szCs w:val="16"/>
                <w:lang w:val="es-ES_tradnl" w:eastAsia="es-ES"/>
              </w:rPr>
            </w:pPr>
            <w:r w:rsidRPr="0042283A">
              <w:rPr>
                <w:rFonts w:ascii="Arial" w:hAnsi="Arial" w:cs="Arial"/>
                <w:color w:val="000000" w:themeColor="text1"/>
                <w:sz w:val="16"/>
                <w:szCs w:val="16"/>
                <w:lang w:val="es-ES_tradnl" w:eastAsia="es-ES"/>
              </w:rPr>
              <w:t>Subdirector de Gestión Contractual ANCP – CCE</w:t>
            </w:r>
          </w:p>
        </w:tc>
      </w:tr>
    </w:tbl>
    <w:p w14:paraId="45053519" w14:textId="77777777" w:rsidR="00973BE5" w:rsidRPr="005A69FC" w:rsidRDefault="00973BE5" w:rsidP="00973BE5">
      <w:pPr>
        <w:rPr>
          <w:rFonts w:ascii="Arial" w:hAnsi="Arial" w:cs="Arial"/>
          <w:color w:val="000000" w:themeColor="text1"/>
          <w:lang w:val="es-ES_tradnl"/>
        </w:rPr>
      </w:pPr>
    </w:p>
    <w:p w14:paraId="35B56F46" w14:textId="77777777" w:rsidR="00746E08" w:rsidRPr="004A121B" w:rsidRDefault="00746E08" w:rsidP="00973BE5">
      <w:pPr>
        <w:pStyle w:val="NormalWeb"/>
        <w:spacing w:before="0" w:beforeAutospacing="0" w:after="0" w:afterAutospacing="0" w:line="276" w:lineRule="auto"/>
        <w:jc w:val="both"/>
        <w:rPr>
          <w:rFonts w:ascii="Arial" w:hAnsi="Arial" w:cs="Arial"/>
          <w:lang w:val="es-ES_tradnl"/>
        </w:rPr>
      </w:pPr>
    </w:p>
    <w:sectPr w:rsidR="00746E08" w:rsidRPr="004A121B" w:rsidSect="005D791B">
      <w:headerReference w:type="default" r:id="rId14"/>
      <w:footerReference w:type="default" r:id="rId15"/>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6F8E49" w14:textId="77777777" w:rsidR="00A1032F" w:rsidRDefault="00A1032F">
      <w:r>
        <w:separator/>
      </w:r>
    </w:p>
  </w:endnote>
  <w:endnote w:type="continuationSeparator" w:id="0">
    <w:p w14:paraId="4FCEB61F" w14:textId="77777777" w:rsidR="00A1032F" w:rsidRDefault="00A1032F">
      <w:r>
        <w:continuationSeparator/>
      </w:r>
    </w:p>
  </w:endnote>
  <w:endnote w:type="continuationNotice" w:id="1">
    <w:p w14:paraId="1B778305" w14:textId="77777777" w:rsidR="00A1032F" w:rsidRDefault="00A1032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02A34" w14:textId="77777777" w:rsidR="008F4163" w:rsidRDefault="008F4163" w:rsidP="00322937">
    <w:pPr>
      <w:pStyle w:val="Sinespaciado"/>
      <w:jc w:val="right"/>
      <w:rPr>
        <w:rFonts w:ascii="Arial" w:hAnsi="Arial" w:cs="Arial"/>
        <w:sz w:val="18"/>
        <w:szCs w:val="18"/>
      </w:rPr>
    </w:pPr>
  </w:p>
  <w:p w14:paraId="7A3785F3" w14:textId="2EF28465" w:rsidR="008F4163" w:rsidRPr="008217B7" w:rsidRDefault="008F4163"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48FC6A04" w14:textId="5FD1A7C9" w:rsidR="008F4163" w:rsidRDefault="008F4163" w:rsidP="00322937">
    <w:pPr>
      <w:pStyle w:val="Piedepgina"/>
      <w:jc w:val="center"/>
      <w:rPr>
        <w:lang w:val="es-ES"/>
      </w:rPr>
    </w:pPr>
    <w:r>
      <w:rPr>
        <w:noProof/>
        <w:lang w:val="es-ES_tradnl" w:eastAsia="es-ES_tradnl"/>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8F4163" w:rsidRDefault="008F4163" w:rsidP="007B0854">
    <w:pPr>
      <w:pStyle w:val="Piedepgina"/>
      <w:jc w:val="center"/>
      <w:rPr>
        <w:lang w:val="es-ES"/>
      </w:rPr>
    </w:pPr>
  </w:p>
  <w:p w14:paraId="53F92E14" w14:textId="77777777" w:rsidR="00E86DA7" w:rsidRDefault="00E86DA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C4E73C" w14:textId="77777777" w:rsidR="00A1032F" w:rsidRDefault="00A1032F">
      <w:r>
        <w:separator/>
      </w:r>
    </w:p>
  </w:footnote>
  <w:footnote w:type="continuationSeparator" w:id="0">
    <w:p w14:paraId="2F0B79E8" w14:textId="77777777" w:rsidR="00A1032F" w:rsidRDefault="00A1032F">
      <w:r>
        <w:continuationSeparator/>
      </w:r>
    </w:p>
  </w:footnote>
  <w:footnote w:type="continuationNotice" w:id="1">
    <w:p w14:paraId="393A9FB0" w14:textId="77777777" w:rsidR="00A1032F" w:rsidRDefault="00A1032F"/>
  </w:footnote>
  <w:footnote w:id="2">
    <w:p w14:paraId="0638370E" w14:textId="77777777" w:rsidR="00D169D8" w:rsidRPr="00734608" w:rsidRDefault="00D169D8" w:rsidP="00734608">
      <w:pPr>
        <w:pStyle w:val="Textonotapie"/>
        <w:ind w:firstLine="709"/>
        <w:jc w:val="both"/>
        <w:rPr>
          <w:rFonts w:ascii="Arial" w:hAnsi="Arial" w:cs="Arial"/>
          <w:color w:val="000000" w:themeColor="text1"/>
          <w:sz w:val="19"/>
          <w:szCs w:val="19"/>
          <w:lang w:val="es-ES"/>
        </w:rPr>
      </w:pPr>
      <w:r w:rsidRPr="00734608">
        <w:rPr>
          <w:rStyle w:val="Refdenotaalpie"/>
          <w:rFonts w:ascii="Arial" w:hAnsi="Arial" w:cs="Arial"/>
          <w:color w:val="000000" w:themeColor="text1"/>
          <w:sz w:val="19"/>
          <w:szCs w:val="19"/>
        </w:rPr>
        <w:footnoteRef/>
      </w:r>
      <w:r w:rsidRPr="00734608">
        <w:rPr>
          <w:rFonts w:ascii="Arial" w:hAnsi="Arial" w:cs="Arial"/>
          <w:color w:val="000000" w:themeColor="text1"/>
          <w:sz w:val="19"/>
          <w:szCs w:val="19"/>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734608">
        <w:rPr>
          <w:rFonts w:ascii="Arial" w:hAnsi="Arial" w:cs="Arial"/>
          <w:i/>
          <w:iCs/>
          <w:color w:val="000000" w:themeColor="text1"/>
          <w:sz w:val="19"/>
          <w:szCs w:val="19"/>
        </w:rPr>
        <w:t xml:space="preserve">ibidem </w:t>
      </w:r>
      <w:r w:rsidRPr="00734608">
        <w:rPr>
          <w:rFonts w:ascii="Arial" w:hAnsi="Arial" w:cs="Arial"/>
          <w:color w:val="000000" w:themeColor="text1"/>
          <w:sz w:val="19"/>
          <w:szCs w:val="19"/>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3">
    <w:p w14:paraId="40F67198" w14:textId="77777777" w:rsidR="00942641" w:rsidRPr="00734608" w:rsidRDefault="00942641" w:rsidP="00734608">
      <w:pPr>
        <w:pStyle w:val="Textonotapie"/>
        <w:ind w:firstLine="709"/>
        <w:jc w:val="both"/>
        <w:rPr>
          <w:rFonts w:ascii="Arial" w:hAnsi="Arial" w:cs="Arial"/>
          <w:color w:val="000000" w:themeColor="text1"/>
          <w:sz w:val="19"/>
          <w:szCs w:val="19"/>
        </w:rPr>
      </w:pPr>
      <w:r w:rsidRPr="00734608">
        <w:rPr>
          <w:rStyle w:val="Refdenotaalpie"/>
          <w:rFonts w:ascii="Arial" w:hAnsi="Arial" w:cs="Arial"/>
          <w:color w:val="000000" w:themeColor="text1"/>
          <w:sz w:val="19"/>
          <w:szCs w:val="19"/>
        </w:rPr>
        <w:footnoteRef/>
      </w:r>
      <w:r w:rsidRPr="00734608">
        <w:rPr>
          <w:rFonts w:ascii="Arial" w:hAnsi="Arial" w:cs="Arial"/>
          <w:color w:val="000000" w:themeColor="text1"/>
          <w:sz w:val="19"/>
          <w:szCs w:val="19"/>
        </w:rPr>
        <w:t xml:space="preserve"> </w:t>
      </w:r>
      <w:r w:rsidRPr="00734608">
        <w:rPr>
          <w:rFonts w:ascii="Arial" w:hAnsi="Arial" w:cs="Arial"/>
          <w:color w:val="000000" w:themeColor="text1"/>
          <w:sz w:val="19"/>
          <w:szCs w:val="19"/>
        </w:rPr>
        <w:t xml:space="preserve">CONSEJO DE ESTADO. Sección Tercera. Subsección A. Auto del 25 de julio de 2018. Rad. 56.165A. C.P. Marta Nubia Velásquez Rico. </w:t>
      </w:r>
    </w:p>
    <w:p w14:paraId="4970B819" w14:textId="77777777" w:rsidR="00942641" w:rsidRPr="00734608" w:rsidRDefault="00942641" w:rsidP="00734608">
      <w:pPr>
        <w:pStyle w:val="Textonotapie"/>
        <w:ind w:firstLine="709"/>
        <w:jc w:val="both"/>
        <w:rPr>
          <w:rFonts w:ascii="Arial" w:hAnsi="Arial" w:cs="Arial"/>
          <w:color w:val="000000" w:themeColor="text1"/>
          <w:sz w:val="19"/>
          <w:szCs w:val="19"/>
          <w:lang w:val="es-ES"/>
        </w:rPr>
      </w:pPr>
    </w:p>
  </w:footnote>
  <w:footnote w:id="4">
    <w:p w14:paraId="045375CC" w14:textId="77777777" w:rsidR="00942641" w:rsidRPr="00734608" w:rsidRDefault="00942641" w:rsidP="00734608">
      <w:pPr>
        <w:pStyle w:val="Textonotapie"/>
        <w:ind w:firstLine="709"/>
        <w:jc w:val="both"/>
        <w:rPr>
          <w:rFonts w:ascii="Arial" w:hAnsi="Arial" w:cs="Arial"/>
          <w:color w:val="000000" w:themeColor="text1"/>
          <w:sz w:val="19"/>
          <w:szCs w:val="19"/>
          <w:lang w:val="es-ES"/>
        </w:rPr>
      </w:pPr>
      <w:r w:rsidRPr="00734608">
        <w:rPr>
          <w:rStyle w:val="Refdenotaalpie"/>
          <w:rFonts w:ascii="Arial" w:hAnsi="Arial" w:cs="Arial"/>
          <w:color w:val="000000" w:themeColor="text1"/>
          <w:sz w:val="19"/>
          <w:szCs w:val="19"/>
        </w:rPr>
        <w:footnoteRef/>
      </w:r>
      <w:r w:rsidRPr="00734608">
        <w:rPr>
          <w:rFonts w:ascii="Arial" w:hAnsi="Arial" w:cs="Arial"/>
          <w:color w:val="000000" w:themeColor="text1"/>
          <w:sz w:val="19"/>
          <w:szCs w:val="19"/>
        </w:rPr>
        <w:t xml:space="preserve"> </w:t>
      </w:r>
      <w:bookmarkStart w:id="7" w:name="_Hlk43903111"/>
      <w:r w:rsidRPr="00734608">
        <w:rPr>
          <w:rFonts w:ascii="Arial" w:hAnsi="Arial" w:cs="Arial"/>
          <w:color w:val="000000" w:themeColor="text1"/>
          <w:sz w:val="19"/>
          <w:szCs w:val="19"/>
        </w:rPr>
        <w:t>CONSEJO DE ESTADO. Sección Tercera. Subsección A. Auto del 20 de febrero de 2019. Rad. 61.463. C.P. Carlos Alberto Zambrano Barrera.</w:t>
      </w:r>
      <w:bookmarkEnd w:id="7"/>
    </w:p>
  </w:footnote>
  <w:footnote w:id="5">
    <w:p w14:paraId="10DAB701" w14:textId="428765A6" w:rsidR="00942641" w:rsidRPr="00734608" w:rsidRDefault="00942641" w:rsidP="00734608">
      <w:pPr>
        <w:pStyle w:val="Textonotapie"/>
        <w:ind w:firstLine="709"/>
        <w:jc w:val="both"/>
        <w:rPr>
          <w:rFonts w:ascii="Arial" w:hAnsi="Arial" w:cs="Arial"/>
          <w:color w:val="000000" w:themeColor="text1"/>
          <w:sz w:val="19"/>
          <w:szCs w:val="19"/>
        </w:rPr>
      </w:pPr>
      <w:r w:rsidRPr="00734608">
        <w:rPr>
          <w:rStyle w:val="Refdenotaalpie"/>
          <w:rFonts w:ascii="Arial" w:hAnsi="Arial" w:cs="Arial"/>
          <w:color w:val="000000" w:themeColor="text1"/>
          <w:sz w:val="19"/>
          <w:szCs w:val="19"/>
        </w:rPr>
        <w:footnoteRef/>
      </w:r>
      <w:r w:rsidRPr="00734608">
        <w:rPr>
          <w:rFonts w:ascii="Arial" w:hAnsi="Arial" w:cs="Arial"/>
          <w:color w:val="000000" w:themeColor="text1"/>
          <w:sz w:val="19"/>
          <w:szCs w:val="19"/>
        </w:rPr>
        <w:t xml:space="preserve"> </w:t>
      </w:r>
      <w:r w:rsidRPr="00734608">
        <w:rPr>
          <w:rFonts w:ascii="Arial" w:hAnsi="Arial" w:cs="Arial"/>
          <w:color w:val="000000" w:themeColor="text1"/>
          <w:sz w:val="19"/>
          <w:szCs w:val="19"/>
        </w:rPr>
        <w:t>Sobre este aspecto, «[…] los numerales 3, 4 y 5 del artículo 2.2.1.2.1.3.2 del decreto acusado resultan violatorios del citado artículo 5, numeral 4, de la Ley 1150 de 2007, pues, en efecto, revisar la coherencia del «</w:t>
      </w:r>
      <w:r w:rsidR="008E0A71" w:rsidRPr="00734608">
        <w:rPr>
          <w:rFonts w:ascii="Arial" w:hAnsi="Arial" w:cs="Arial"/>
          <w:color w:val="000000" w:themeColor="text1"/>
          <w:sz w:val="19"/>
          <w:szCs w:val="19"/>
        </w:rPr>
        <w:t>[</w:t>
      </w:r>
      <w:r w:rsidRPr="00734608">
        <w:rPr>
          <w:rFonts w:ascii="Arial" w:hAnsi="Arial" w:cs="Arial"/>
          <w:color w:val="000000" w:themeColor="text1"/>
          <w:sz w:val="19"/>
          <w:szCs w:val="19"/>
        </w:rPr>
        <w:t>…</w:t>
      </w:r>
      <w:r w:rsidR="008E0A71" w:rsidRPr="00734608">
        <w:rPr>
          <w:rFonts w:ascii="Arial" w:hAnsi="Arial" w:cs="Arial"/>
          <w:color w:val="000000" w:themeColor="text1"/>
          <w:sz w:val="19"/>
          <w:szCs w:val="19"/>
        </w:rPr>
        <w:t xml:space="preserve">] </w:t>
      </w:r>
      <w:r w:rsidRPr="00734608">
        <w:rPr>
          <w:rFonts w:ascii="Arial" w:hAnsi="Arial" w:cs="Arial"/>
          <w:color w:val="000000" w:themeColor="text1"/>
          <w:sz w:val="19"/>
          <w:szCs w:val="19"/>
        </w:rPr>
        <w:t xml:space="preserve">precio ofrecido </w:t>
      </w:r>
      <w:r w:rsidR="008E0A71" w:rsidRPr="00734608">
        <w:rPr>
          <w:rFonts w:ascii="Arial" w:hAnsi="Arial" w:cs="Arial"/>
          <w:color w:val="000000" w:themeColor="text1"/>
          <w:sz w:val="19"/>
          <w:szCs w:val="19"/>
        </w:rPr>
        <w:t>[</w:t>
      </w:r>
      <w:r w:rsidRPr="00734608">
        <w:rPr>
          <w:rFonts w:ascii="Arial" w:hAnsi="Arial" w:cs="Arial"/>
          <w:color w:val="000000" w:themeColor="text1"/>
          <w:sz w:val="19"/>
          <w:szCs w:val="19"/>
        </w:rPr>
        <w:t>…</w:t>
      </w:r>
      <w:r w:rsidR="008E0A71" w:rsidRPr="00734608">
        <w:rPr>
          <w:rFonts w:ascii="Arial" w:hAnsi="Arial" w:cs="Arial"/>
          <w:color w:val="000000" w:themeColor="text1"/>
          <w:sz w:val="19"/>
          <w:szCs w:val="19"/>
        </w:rPr>
        <w:t>]</w:t>
      </w:r>
      <w:r w:rsidRPr="00734608">
        <w:rPr>
          <w:rFonts w:ascii="Arial" w:hAnsi="Arial" w:cs="Arial"/>
          <w:color w:val="000000" w:themeColor="text1"/>
          <w:sz w:val="19"/>
          <w:szCs w:val="19"/>
        </w:rPr>
        <w:t>» con la disponibilidad presupuestal (núm. 4, art. 2.2.1.2.1.3.2), así como disponer que se debe llegar a un «acuerdo» sobre el mismo (numerales 4 y 5, art. 2.2.1.2.1.3.2), como lo hace el decreto acusado, desconoce el principio de selección objetiva, en la medida en que incluir factores económicos en los concursos de méritos implica, necesariamente, que el precio se torne determinante para la escogencia de los contratistas, circunstancia que, como se ve, viola la citada norma, pues en ningún caso el precio puede ser factor de escogencia bajo la modalidad del concurso de méritos.</w:t>
      </w:r>
    </w:p>
    <w:p w14:paraId="31AB5511" w14:textId="47B4FB6A" w:rsidR="00942641" w:rsidRPr="00734608" w:rsidRDefault="00942641" w:rsidP="00734608">
      <w:pPr>
        <w:pStyle w:val="Textonotapie"/>
        <w:ind w:firstLine="709"/>
        <w:jc w:val="both"/>
        <w:rPr>
          <w:rFonts w:ascii="Arial" w:hAnsi="Arial" w:cs="Arial"/>
          <w:color w:val="000000" w:themeColor="text1"/>
          <w:sz w:val="19"/>
          <w:szCs w:val="19"/>
        </w:rPr>
      </w:pPr>
      <w:r w:rsidRPr="00734608">
        <w:rPr>
          <w:rFonts w:ascii="Arial" w:hAnsi="Arial" w:cs="Arial"/>
          <w:color w:val="000000" w:themeColor="text1"/>
          <w:sz w:val="19"/>
          <w:szCs w:val="19"/>
        </w:rPr>
        <w:t>»Sumado a lo anterior, el Despacho encuentra que los numerales 4 y 5 del artículo 2.2.1.2.1.3.2 del decreto acusado violan lo dispuesto en el numeral 2 del artículo 25 de la ley 80 de 1993, pues es claro que se siguen «</w:t>
      </w:r>
      <w:r w:rsidR="008E0A71" w:rsidRPr="00734608">
        <w:rPr>
          <w:rFonts w:ascii="Arial" w:hAnsi="Arial" w:cs="Arial"/>
          <w:color w:val="000000" w:themeColor="text1"/>
          <w:sz w:val="19"/>
          <w:szCs w:val="19"/>
        </w:rPr>
        <w:t>[</w:t>
      </w:r>
      <w:r w:rsidRPr="00734608">
        <w:rPr>
          <w:rFonts w:ascii="Arial" w:hAnsi="Arial" w:cs="Arial"/>
          <w:color w:val="000000" w:themeColor="text1"/>
          <w:sz w:val="19"/>
          <w:szCs w:val="19"/>
        </w:rPr>
        <w:t>…</w:t>
      </w:r>
      <w:r w:rsidR="008E0A71" w:rsidRPr="00734608">
        <w:rPr>
          <w:rFonts w:ascii="Arial" w:hAnsi="Arial" w:cs="Arial"/>
          <w:color w:val="000000" w:themeColor="text1"/>
          <w:sz w:val="19"/>
          <w:szCs w:val="19"/>
        </w:rPr>
        <w:t xml:space="preserve">] </w:t>
      </w:r>
      <w:r w:rsidRPr="00734608">
        <w:rPr>
          <w:rFonts w:ascii="Arial" w:hAnsi="Arial" w:cs="Arial"/>
          <w:color w:val="000000" w:themeColor="text1"/>
          <w:sz w:val="19"/>
          <w:szCs w:val="19"/>
        </w:rPr>
        <w:t xml:space="preserve">trámites distintos y adicionales a los expresamente previstos </w:t>
      </w:r>
      <w:r w:rsidR="008E0A71" w:rsidRPr="00734608">
        <w:rPr>
          <w:rFonts w:ascii="Arial" w:hAnsi="Arial" w:cs="Arial"/>
          <w:color w:val="000000" w:themeColor="text1"/>
          <w:sz w:val="19"/>
          <w:szCs w:val="19"/>
        </w:rPr>
        <w:t>[</w:t>
      </w:r>
      <w:r w:rsidRPr="00734608">
        <w:rPr>
          <w:rFonts w:ascii="Arial" w:hAnsi="Arial" w:cs="Arial"/>
          <w:color w:val="000000" w:themeColor="text1"/>
          <w:sz w:val="19"/>
          <w:szCs w:val="19"/>
        </w:rPr>
        <w:t>…</w:t>
      </w:r>
      <w:r w:rsidR="008E0A71" w:rsidRPr="00734608">
        <w:rPr>
          <w:rFonts w:ascii="Arial" w:hAnsi="Arial" w:cs="Arial"/>
          <w:color w:val="000000" w:themeColor="text1"/>
          <w:sz w:val="19"/>
          <w:szCs w:val="19"/>
        </w:rPr>
        <w:t>]</w:t>
      </w:r>
      <w:r w:rsidRPr="00734608">
        <w:rPr>
          <w:rFonts w:ascii="Arial" w:hAnsi="Arial" w:cs="Arial"/>
          <w:color w:val="000000" w:themeColor="text1"/>
          <w:sz w:val="19"/>
          <w:szCs w:val="19"/>
        </w:rPr>
        <w:t>» en la ley; en efecto, celebrar un «acuerdo» sobre el precio ofrecido es una situación que, de una u otra forma, aboca a la entidad a una segunda evaluación de lo que para ella sería la oferta más favorable –según el precio–, cuando para este segundo momento se supone que ya se debió haber verificado el cumplimiento de los requisitos exigidos en los pliegos de condiciones para la escogencia del contratista; en consecuencia, no se entiende porqué, luego de agotado todo el procedimiento de selección objetiva, se tenga que realizar un acuerdo sobre el precio ofrecido» (CONSEJO DE ESTADO. Sección Tercera. Subsección A. Auto del 20 de febrero de 2019. Rad. 61.463. C.P. Carlos Alberto Zambrano Barrera).</w:t>
      </w:r>
    </w:p>
    <w:p w14:paraId="14EB2D64" w14:textId="77777777" w:rsidR="00942641" w:rsidRPr="00734608" w:rsidRDefault="00942641" w:rsidP="00734608">
      <w:pPr>
        <w:pStyle w:val="Textonotapie"/>
        <w:ind w:firstLine="709"/>
        <w:jc w:val="both"/>
        <w:rPr>
          <w:rFonts w:ascii="Arial" w:hAnsi="Arial" w:cs="Arial"/>
          <w:color w:val="000000" w:themeColor="text1"/>
          <w:sz w:val="19"/>
          <w:szCs w:val="19"/>
          <w:lang w:val="es-ES"/>
        </w:rPr>
      </w:pPr>
    </w:p>
  </w:footnote>
  <w:footnote w:id="6">
    <w:p w14:paraId="1D39225B" w14:textId="77777777" w:rsidR="00942641" w:rsidRPr="00734608" w:rsidRDefault="00942641" w:rsidP="00734608">
      <w:pPr>
        <w:pStyle w:val="Textonotapie"/>
        <w:ind w:firstLine="709"/>
        <w:jc w:val="both"/>
        <w:rPr>
          <w:rFonts w:ascii="Arial" w:hAnsi="Arial" w:cs="Arial"/>
          <w:color w:val="000000" w:themeColor="text1"/>
          <w:sz w:val="19"/>
          <w:szCs w:val="19"/>
        </w:rPr>
      </w:pPr>
      <w:r w:rsidRPr="00734608">
        <w:rPr>
          <w:rStyle w:val="Refdenotaalpie"/>
          <w:rFonts w:ascii="Arial" w:hAnsi="Arial" w:cs="Arial"/>
          <w:color w:val="000000" w:themeColor="text1"/>
          <w:sz w:val="19"/>
          <w:szCs w:val="19"/>
        </w:rPr>
        <w:footnoteRef/>
      </w:r>
      <w:r w:rsidRPr="00734608">
        <w:rPr>
          <w:rFonts w:ascii="Arial" w:hAnsi="Arial" w:cs="Arial"/>
          <w:color w:val="000000" w:themeColor="text1"/>
          <w:sz w:val="19"/>
          <w:szCs w:val="19"/>
        </w:rPr>
        <w:t xml:space="preserve"> </w:t>
      </w:r>
      <w:r w:rsidRPr="00734608">
        <w:rPr>
          <w:rFonts w:ascii="Arial" w:hAnsi="Arial" w:cs="Arial"/>
          <w:color w:val="000000" w:themeColor="text1"/>
          <w:sz w:val="19"/>
          <w:szCs w:val="19"/>
        </w:rPr>
        <w:t>En efecto, «[…] cuando el numeral 6 del artículo 2.2.1.2.1.3.2 del Decreto 1082 de 2015 dispuso que la entidad estatal debe declarar desierto el concurso de méritos cuando aquella no llegue a un acuerdo con el segundo lugar de elegibilidad, sí excedió el contenido de los artículos 25 (numeral 18) de la Ley 80 de 1993 y 5 de la Ley 1150 de 2007, puesto que, se reitera, dado que el legislador previó dicha decisión para cuando se presentaran motivos que impidieran la selección objetiva, sin restringirlos» (CONSEJO DE ESTADO. Sección Tercera. Subsección A. Auto del 25 de julio de 2018. Rad. 56.165A. C.P. Marta Nubia Velásquez Rico).</w:t>
      </w:r>
    </w:p>
  </w:footnote>
  <w:footnote w:id="7">
    <w:p w14:paraId="23A09604" w14:textId="6E118BA6" w:rsidR="00263EC5" w:rsidRPr="00734608" w:rsidRDefault="00A475B4" w:rsidP="00734608">
      <w:pPr>
        <w:ind w:firstLine="709"/>
        <w:jc w:val="both"/>
        <w:rPr>
          <w:rFonts w:ascii="Arial" w:eastAsiaTheme="minorHAnsi" w:hAnsi="Arial" w:cs="Arial"/>
          <w:color w:val="000000" w:themeColor="text1"/>
          <w:sz w:val="19"/>
          <w:szCs w:val="19"/>
          <w:lang w:val="es-ES" w:eastAsia="en-US"/>
        </w:rPr>
      </w:pPr>
      <w:r w:rsidRPr="00734608">
        <w:rPr>
          <w:rStyle w:val="Refdenotaalpie"/>
          <w:rFonts w:ascii="Arial" w:hAnsi="Arial" w:cs="Arial"/>
          <w:color w:val="000000" w:themeColor="text1"/>
          <w:sz w:val="19"/>
          <w:szCs w:val="19"/>
        </w:rPr>
        <w:footnoteRef/>
      </w:r>
      <w:r w:rsidRPr="00734608">
        <w:rPr>
          <w:rFonts w:ascii="Arial" w:hAnsi="Arial" w:cs="Arial"/>
          <w:color w:val="000000" w:themeColor="text1"/>
          <w:sz w:val="19"/>
          <w:szCs w:val="19"/>
        </w:rPr>
        <w:t xml:space="preserve"> </w:t>
      </w:r>
      <w:r w:rsidRPr="00734608">
        <w:rPr>
          <w:rFonts w:ascii="Arial" w:hAnsi="Arial" w:cs="Arial"/>
          <w:color w:val="000000" w:themeColor="text1"/>
          <w:sz w:val="19"/>
          <w:szCs w:val="19"/>
          <w:lang w:val="es-ES"/>
        </w:rPr>
        <w:t>En efecto, dentro de las</w:t>
      </w:r>
      <w:r w:rsidR="00263EC5" w:rsidRPr="00734608">
        <w:rPr>
          <w:rFonts w:ascii="Arial" w:hAnsi="Arial" w:cs="Arial"/>
          <w:color w:val="000000" w:themeColor="text1"/>
          <w:sz w:val="19"/>
          <w:szCs w:val="19"/>
          <w:lang w:val="es-ES"/>
        </w:rPr>
        <w:t xml:space="preserve"> consideraciones que motivan el Decreto 399 de 2021 se lee la siguiente: «</w:t>
      </w:r>
      <w:r w:rsidR="00263EC5" w:rsidRPr="00734608">
        <w:rPr>
          <w:rFonts w:ascii="Arial" w:eastAsiaTheme="minorHAnsi" w:hAnsi="Arial" w:cs="Arial"/>
          <w:color w:val="000000" w:themeColor="text1"/>
          <w:sz w:val="19"/>
          <w:szCs w:val="19"/>
          <w:lang w:val="es-ES" w:eastAsia="en-US"/>
        </w:rPr>
        <w:t xml:space="preserve">Que teniendo en cuenta que el Auto del 20 de febrero de 2019 </w:t>
      </w:r>
      <w:proofErr w:type="spellStart"/>
      <w:r w:rsidR="00263EC5" w:rsidRPr="00734608">
        <w:rPr>
          <w:rFonts w:ascii="Arial" w:eastAsiaTheme="minorHAnsi" w:hAnsi="Arial" w:cs="Arial"/>
          <w:color w:val="000000" w:themeColor="text1"/>
          <w:sz w:val="19"/>
          <w:szCs w:val="19"/>
          <w:lang w:val="es-ES" w:eastAsia="en-US"/>
        </w:rPr>
        <w:t>Exp</w:t>
      </w:r>
      <w:proofErr w:type="spellEnd"/>
      <w:r w:rsidR="00263EC5" w:rsidRPr="00734608">
        <w:rPr>
          <w:rFonts w:ascii="Arial" w:eastAsiaTheme="minorHAnsi" w:hAnsi="Arial" w:cs="Arial"/>
          <w:color w:val="000000" w:themeColor="text1"/>
          <w:sz w:val="19"/>
          <w:szCs w:val="19"/>
          <w:lang w:val="es-ES" w:eastAsia="en-US"/>
        </w:rPr>
        <w:t xml:space="preserve">. 61.463 de la Subsección A de la Sección Tercera del Consejo de Estado suspendió provisionalmente los numerales 3, 4 y 5 del artículo 2.2.1.2.1.3.2. del Decreto 1082 de 2015, Único Reglamentario del Sector Administrativo de Planeación Nacional y que el Auto del 25 de julio de 2018 </w:t>
      </w:r>
      <w:proofErr w:type="spellStart"/>
      <w:r w:rsidR="00263EC5" w:rsidRPr="00734608">
        <w:rPr>
          <w:rFonts w:ascii="Arial" w:eastAsiaTheme="minorHAnsi" w:hAnsi="Arial" w:cs="Arial"/>
          <w:color w:val="000000" w:themeColor="text1"/>
          <w:sz w:val="19"/>
          <w:szCs w:val="19"/>
          <w:lang w:val="es-ES" w:eastAsia="en-US"/>
        </w:rPr>
        <w:t>Exp</w:t>
      </w:r>
      <w:proofErr w:type="spellEnd"/>
      <w:r w:rsidR="00263EC5" w:rsidRPr="00734608">
        <w:rPr>
          <w:rFonts w:ascii="Arial" w:eastAsiaTheme="minorHAnsi" w:hAnsi="Arial" w:cs="Arial"/>
          <w:color w:val="000000" w:themeColor="text1"/>
          <w:sz w:val="19"/>
          <w:szCs w:val="19"/>
          <w:lang w:val="es-ES" w:eastAsia="en-US"/>
        </w:rPr>
        <w:t>. 56.165 de la Subsección A de la Sección Tercera del Consejo de Estado suspendió provisionalmente el numeral 6 de la misma disposición, los cuales están relacionados con las reglas aplicables al procedimiento de concurso de méritos, es necesario modificar dicho artículo para establecer las reglas aplicables a esta modalidad de selección».</w:t>
      </w:r>
    </w:p>
    <w:p w14:paraId="21C35D60" w14:textId="62A7E60D" w:rsidR="00A475B4" w:rsidRPr="00734608" w:rsidRDefault="00A475B4" w:rsidP="00734608">
      <w:pPr>
        <w:pStyle w:val="Textonotapie"/>
        <w:ind w:firstLine="709"/>
        <w:jc w:val="both"/>
        <w:rPr>
          <w:rFonts w:ascii="Arial" w:hAnsi="Arial" w:cs="Arial"/>
          <w:color w:val="000000" w:themeColor="text1"/>
          <w:sz w:val="19"/>
          <w:szCs w:val="19"/>
          <w:lang w:val="es-CO"/>
        </w:rPr>
      </w:pPr>
    </w:p>
  </w:footnote>
  <w:footnote w:id="8">
    <w:p w14:paraId="25633D0D" w14:textId="77777777" w:rsidR="005C39CB" w:rsidRPr="00734608" w:rsidRDefault="005C39CB" w:rsidP="00734608">
      <w:pPr>
        <w:ind w:firstLine="709"/>
        <w:jc w:val="both"/>
        <w:rPr>
          <w:rFonts w:ascii="Arial" w:hAnsi="Arial" w:cs="Arial"/>
          <w:color w:val="000000" w:themeColor="text1"/>
          <w:sz w:val="19"/>
          <w:szCs w:val="19"/>
        </w:rPr>
      </w:pPr>
      <w:r w:rsidRPr="00734608">
        <w:rPr>
          <w:rStyle w:val="Refdenotaalpie"/>
          <w:rFonts w:ascii="Arial" w:hAnsi="Arial" w:cs="Arial"/>
          <w:color w:val="000000" w:themeColor="text1"/>
          <w:sz w:val="19"/>
          <w:szCs w:val="19"/>
        </w:rPr>
        <w:footnoteRef/>
      </w:r>
      <w:r w:rsidRPr="00734608">
        <w:rPr>
          <w:rFonts w:ascii="Arial" w:hAnsi="Arial" w:cs="Arial"/>
          <w:color w:val="000000" w:themeColor="text1"/>
          <w:position w:val="6"/>
          <w:sz w:val="19"/>
          <w:szCs w:val="19"/>
        </w:rPr>
        <w:t xml:space="preserve"> </w:t>
      </w:r>
      <w:r w:rsidRPr="00734608">
        <w:rPr>
          <w:rFonts w:ascii="Arial" w:hAnsi="Arial" w:cs="Arial"/>
          <w:color w:val="000000" w:themeColor="text1"/>
          <w:sz w:val="19"/>
          <w:szCs w:val="19"/>
        </w:rPr>
        <w:t>DEIK ACOSTAMADIEDO, Carolina, Guía de Contratación Estatal: Deber de planeación y modalidades de selección, Buenos Aires, 2015, p. 59.</w:t>
      </w:r>
    </w:p>
    <w:p w14:paraId="6B29F0B0" w14:textId="77777777" w:rsidR="005C39CB" w:rsidRPr="00734608" w:rsidRDefault="005C39CB" w:rsidP="00734608">
      <w:pPr>
        <w:pStyle w:val="Textonotapie"/>
        <w:ind w:firstLine="709"/>
        <w:jc w:val="both"/>
        <w:rPr>
          <w:rFonts w:ascii="Arial" w:hAnsi="Arial" w:cs="Arial"/>
          <w:color w:val="000000" w:themeColor="text1"/>
          <w:sz w:val="19"/>
          <w:szCs w:val="19"/>
        </w:rPr>
      </w:pPr>
    </w:p>
  </w:footnote>
  <w:footnote w:id="9">
    <w:p w14:paraId="43038F64" w14:textId="77777777" w:rsidR="005C39CB" w:rsidRPr="00734608" w:rsidRDefault="005C39CB" w:rsidP="00734608">
      <w:pPr>
        <w:pStyle w:val="Textonotapie"/>
        <w:ind w:firstLine="709"/>
        <w:jc w:val="both"/>
        <w:rPr>
          <w:rFonts w:ascii="Arial" w:hAnsi="Arial" w:cs="Arial"/>
          <w:color w:val="000000" w:themeColor="text1"/>
          <w:sz w:val="19"/>
          <w:szCs w:val="19"/>
          <w:lang w:val="pt-BR"/>
        </w:rPr>
      </w:pPr>
      <w:r w:rsidRPr="00734608">
        <w:rPr>
          <w:rFonts w:ascii="Arial" w:hAnsi="Arial" w:cs="Arial"/>
          <w:color w:val="000000" w:themeColor="text1"/>
          <w:sz w:val="19"/>
          <w:szCs w:val="19"/>
          <w:lang w:val="pt-BR"/>
        </w:rPr>
        <w:t xml:space="preserve">   </w:t>
      </w:r>
      <w:r w:rsidRPr="00734608">
        <w:rPr>
          <w:rStyle w:val="Refdenotaalpie"/>
          <w:rFonts w:ascii="Arial" w:hAnsi="Arial" w:cs="Arial"/>
          <w:color w:val="000000" w:themeColor="text1"/>
          <w:sz w:val="19"/>
          <w:szCs w:val="19"/>
        </w:rPr>
        <w:footnoteRef/>
      </w:r>
      <w:r w:rsidRPr="00734608">
        <w:rPr>
          <w:rFonts w:ascii="Arial" w:hAnsi="Arial" w:cs="Arial"/>
          <w:color w:val="000000" w:themeColor="text1"/>
          <w:sz w:val="19"/>
          <w:szCs w:val="19"/>
          <w:lang w:val="pt-BR"/>
        </w:rPr>
        <w:t xml:space="preserve"> Tomado de </w:t>
      </w:r>
      <w:hyperlink r:id="rId1" w:history="1">
        <w:r w:rsidRPr="00734608">
          <w:rPr>
            <w:rStyle w:val="Hipervnculo"/>
            <w:rFonts w:ascii="Arial" w:hAnsi="Arial" w:cs="Arial"/>
            <w:color w:val="000000" w:themeColor="text1"/>
            <w:sz w:val="19"/>
            <w:szCs w:val="19"/>
            <w:u w:val="none"/>
            <w:lang w:val="pt-BR"/>
          </w:rPr>
          <w:t>https://sintesis.colombiacompra.gov.co/sintesis/9-etapa-precontractual-estudios-previos</w:t>
        </w:r>
      </w:hyperlink>
      <w:r w:rsidRPr="00734608">
        <w:rPr>
          <w:rFonts w:ascii="Arial" w:hAnsi="Arial" w:cs="Arial"/>
          <w:color w:val="000000" w:themeColor="text1"/>
          <w:sz w:val="19"/>
          <w:szCs w:val="19"/>
          <w:lang w:val="pt-BR"/>
        </w:rPr>
        <w:t>.</w:t>
      </w:r>
    </w:p>
    <w:p w14:paraId="7AA0C81D" w14:textId="77777777" w:rsidR="005C39CB" w:rsidRPr="00734608" w:rsidRDefault="005C39CB" w:rsidP="00734608">
      <w:pPr>
        <w:pStyle w:val="Textonotapie"/>
        <w:ind w:firstLine="709"/>
        <w:jc w:val="both"/>
        <w:rPr>
          <w:rFonts w:ascii="Arial" w:hAnsi="Arial" w:cs="Arial"/>
          <w:color w:val="000000" w:themeColor="text1"/>
          <w:sz w:val="19"/>
          <w:szCs w:val="19"/>
          <w:lang w:val="pt-BR"/>
        </w:rPr>
      </w:pPr>
    </w:p>
  </w:footnote>
  <w:footnote w:id="10">
    <w:p w14:paraId="052A0A1B" w14:textId="77777777" w:rsidR="005C39CB" w:rsidRPr="00734608" w:rsidRDefault="005C39CB" w:rsidP="00734608">
      <w:pPr>
        <w:pStyle w:val="Textoindependiente"/>
        <w:spacing w:after="0" w:line="240" w:lineRule="auto"/>
        <w:ind w:firstLine="709"/>
        <w:jc w:val="both"/>
        <w:rPr>
          <w:rFonts w:ascii="Arial" w:hAnsi="Arial" w:cs="Arial"/>
          <w:color w:val="000000" w:themeColor="text1"/>
          <w:sz w:val="19"/>
          <w:szCs w:val="19"/>
        </w:rPr>
      </w:pPr>
      <w:r w:rsidRPr="00734608">
        <w:rPr>
          <w:rStyle w:val="Refdenotaalpie"/>
          <w:rFonts w:ascii="Arial" w:hAnsi="Arial" w:cs="Arial"/>
          <w:color w:val="000000" w:themeColor="text1"/>
          <w:sz w:val="19"/>
          <w:szCs w:val="19"/>
        </w:rPr>
        <w:footnoteRef/>
      </w:r>
      <w:r w:rsidRPr="00734608">
        <w:rPr>
          <w:rFonts w:ascii="Arial" w:hAnsi="Arial" w:cs="Arial"/>
          <w:color w:val="000000" w:themeColor="text1"/>
          <w:sz w:val="19"/>
          <w:szCs w:val="19"/>
        </w:rPr>
        <w:t xml:space="preserve"> </w:t>
      </w:r>
      <w:r w:rsidRPr="00734608">
        <w:rPr>
          <w:rFonts w:ascii="Arial" w:hAnsi="Arial" w:cs="Arial"/>
          <w:color w:val="000000" w:themeColor="text1"/>
          <w:position w:val="6"/>
          <w:sz w:val="19"/>
          <w:szCs w:val="19"/>
        </w:rPr>
        <w:t xml:space="preserve"> </w:t>
      </w:r>
      <w:r w:rsidRPr="00734608">
        <w:rPr>
          <w:rFonts w:ascii="Arial" w:hAnsi="Arial" w:cs="Arial"/>
          <w:color w:val="000000" w:themeColor="text1"/>
          <w:sz w:val="19"/>
          <w:szCs w:val="19"/>
        </w:rPr>
        <w:t xml:space="preserve">«Artículo </w:t>
      </w:r>
      <w:bookmarkStart w:id="13" w:name="_Hlk54173885"/>
      <w:r w:rsidRPr="00734608">
        <w:rPr>
          <w:rFonts w:ascii="Arial" w:hAnsi="Arial" w:cs="Arial"/>
          <w:color w:val="000000" w:themeColor="text1"/>
          <w:sz w:val="19"/>
          <w:szCs w:val="19"/>
        </w:rPr>
        <w:t>2.2.1.1.2.1.1</w:t>
      </w:r>
      <w:bookmarkEnd w:id="13"/>
      <w:r w:rsidRPr="00734608">
        <w:rPr>
          <w:rFonts w:ascii="Arial" w:hAnsi="Arial" w:cs="Arial"/>
          <w:color w:val="000000" w:themeColor="text1"/>
          <w:sz w:val="19"/>
          <w:szCs w:val="19"/>
        </w:rPr>
        <w:t>. Estudios y documentos previos. Los estudios y documentos previos son el soporte para elaborar el proyecto de pliegos, los pliegos de condiciones, y el contrato. Deben permanecer a disposición del público durante el desarrollo del Proceso de Contratación y contener los siguientes elementos, además de los indicados para cada modalidad de selección: (…)».</w:t>
      </w:r>
    </w:p>
    <w:p w14:paraId="38D2742B" w14:textId="77777777" w:rsidR="005C39CB" w:rsidRPr="00734608" w:rsidRDefault="005C39CB" w:rsidP="00734608">
      <w:pPr>
        <w:pStyle w:val="Textonotapie"/>
        <w:ind w:firstLine="709"/>
        <w:jc w:val="both"/>
        <w:rPr>
          <w:rFonts w:ascii="Arial" w:hAnsi="Arial" w:cs="Arial"/>
          <w:color w:val="000000" w:themeColor="text1"/>
          <w:sz w:val="19"/>
          <w:szCs w:val="19"/>
        </w:rPr>
      </w:pPr>
    </w:p>
  </w:footnote>
  <w:footnote w:id="11">
    <w:p w14:paraId="3DEA73F0" w14:textId="302D178F" w:rsidR="000901CD" w:rsidRPr="00734608" w:rsidRDefault="000901CD" w:rsidP="00734608">
      <w:pPr>
        <w:pStyle w:val="Textonotapie"/>
        <w:ind w:firstLine="709"/>
        <w:jc w:val="both"/>
        <w:rPr>
          <w:rFonts w:ascii="Arial" w:hAnsi="Arial" w:cs="Arial"/>
          <w:sz w:val="19"/>
          <w:szCs w:val="19"/>
          <w:lang w:val="es-ES"/>
        </w:rPr>
      </w:pPr>
      <w:r w:rsidRPr="00734608">
        <w:rPr>
          <w:rStyle w:val="Refdenotaalpie"/>
          <w:rFonts w:ascii="Arial" w:hAnsi="Arial" w:cs="Arial"/>
          <w:sz w:val="19"/>
          <w:szCs w:val="19"/>
        </w:rPr>
        <w:footnoteRef/>
      </w:r>
      <w:r w:rsidRPr="00734608">
        <w:rPr>
          <w:rFonts w:ascii="Arial" w:hAnsi="Arial" w:cs="Arial"/>
          <w:sz w:val="19"/>
          <w:szCs w:val="19"/>
        </w:rPr>
        <w:t xml:space="preserve"> </w:t>
      </w:r>
      <w:r w:rsidR="009B4448" w:rsidRPr="00734608">
        <w:rPr>
          <w:rFonts w:ascii="Arial" w:hAnsi="Arial" w:cs="Arial"/>
          <w:sz w:val="19"/>
          <w:szCs w:val="19"/>
        </w:rPr>
        <w:t xml:space="preserve">Consejo de Estado. Sección Tercera. </w:t>
      </w:r>
      <w:r w:rsidR="00F65EED" w:rsidRPr="00734608">
        <w:rPr>
          <w:rFonts w:ascii="Arial" w:hAnsi="Arial" w:cs="Arial"/>
          <w:sz w:val="19"/>
          <w:szCs w:val="19"/>
        </w:rPr>
        <w:t>Sentencia del 31 de agosto de 2011.</w:t>
      </w:r>
      <w:r w:rsidR="002D068A" w:rsidRPr="00734608">
        <w:rPr>
          <w:rFonts w:ascii="Arial" w:hAnsi="Arial" w:cs="Arial"/>
          <w:sz w:val="19"/>
          <w:szCs w:val="19"/>
        </w:rPr>
        <w:t xml:space="preserve"> Consejera Ponente: Ruth Stella Correa Palacio. Expediente: </w:t>
      </w:r>
      <w:r w:rsidR="00734608" w:rsidRPr="00734608">
        <w:rPr>
          <w:rFonts w:ascii="Arial" w:hAnsi="Arial" w:cs="Arial"/>
          <w:sz w:val="19"/>
          <w:szCs w:val="19"/>
        </w:rPr>
        <w:t>18080.</w:t>
      </w:r>
    </w:p>
  </w:footnote>
  <w:footnote w:id="12">
    <w:p w14:paraId="7A8DF28F" w14:textId="77777777" w:rsidR="0037640C" w:rsidRPr="00734608" w:rsidRDefault="0037640C" w:rsidP="0037640C">
      <w:pPr>
        <w:pStyle w:val="Textonotapie"/>
        <w:ind w:firstLine="709"/>
        <w:jc w:val="both"/>
        <w:rPr>
          <w:rFonts w:ascii="Arial" w:hAnsi="Arial" w:cs="Arial"/>
          <w:sz w:val="19"/>
          <w:szCs w:val="19"/>
          <w:lang w:val="es-ES"/>
        </w:rPr>
      </w:pPr>
      <w:r w:rsidRPr="00734608">
        <w:rPr>
          <w:rStyle w:val="Refdenotaalpie"/>
          <w:rFonts w:ascii="Arial" w:hAnsi="Arial" w:cs="Arial"/>
          <w:sz w:val="19"/>
          <w:szCs w:val="19"/>
        </w:rPr>
        <w:footnoteRef/>
      </w:r>
      <w:r w:rsidRPr="00734608">
        <w:rPr>
          <w:rFonts w:ascii="Arial" w:hAnsi="Arial" w:cs="Arial"/>
          <w:sz w:val="19"/>
          <w:szCs w:val="19"/>
        </w:rPr>
        <w:t xml:space="preserve"> </w:t>
      </w:r>
      <w:r w:rsidRPr="00734608">
        <w:rPr>
          <w:rFonts w:ascii="Arial" w:hAnsi="Arial" w:cs="Arial"/>
          <w:sz w:val="19"/>
          <w:szCs w:val="19"/>
        </w:rPr>
        <w:t>Consejo de Estado. Sección Tercera. Sentencia del 31 de agosto de 2011. Consejera Ponente: Ruth Stella Correa Palacio. Expediente: 18080.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8F4163" w:rsidRDefault="008F4163">
    <w:pPr>
      <w:pStyle w:val="Encabezado"/>
    </w:pPr>
    <w:r>
      <w:rPr>
        <w:noProof/>
        <w:lang w:val="es-ES_tradnl" w:eastAsia="es-ES_tradnl"/>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CC8CCE2" w14:textId="77777777" w:rsidR="00E86DA7" w:rsidRDefault="00E86DA7"/>
  <w:p w14:paraId="782E9AC2" w14:textId="77777777" w:rsidR="00E86DA7" w:rsidRDefault="00E86DA7"/>
  <w:p w14:paraId="6C84CD3B" w14:textId="77777777" w:rsidR="00E86DA7" w:rsidRDefault="00E86DA7"/>
  <w:p w14:paraId="7A4C69ED" w14:textId="77777777" w:rsidR="00E86DA7" w:rsidRDefault="00E86DA7"/>
  <w:p w14:paraId="44CCBC26" w14:textId="77777777" w:rsidR="00E86DA7" w:rsidRDefault="00E86DA7"/>
  <w:p w14:paraId="2752218C" w14:textId="77777777" w:rsidR="00E86DA7" w:rsidRDefault="00E86DA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6"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1"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6" w15:restartNumberingAfterBreak="0">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8"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9"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0"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1"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2"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9"/>
  </w:num>
  <w:num w:numId="2">
    <w:abstractNumId w:val="7"/>
  </w:num>
  <w:num w:numId="3">
    <w:abstractNumId w:val="12"/>
  </w:num>
  <w:num w:numId="4">
    <w:abstractNumId w:val="15"/>
  </w:num>
  <w:num w:numId="5">
    <w:abstractNumId w:val="19"/>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num>
  <w:num w:numId="8">
    <w:abstractNumId w:val="0"/>
  </w:num>
  <w:num w:numId="9">
    <w:abstractNumId w:val="3"/>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num>
  <w:num w:numId="13">
    <w:abstractNumId w:val="11"/>
  </w:num>
  <w:num w:numId="14">
    <w:abstractNumId w:val="6"/>
  </w:num>
  <w:num w:numId="15">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1"/>
  </w:num>
  <w:num w:numId="18">
    <w:abstractNumId w:val="13"/>
  </w:num>
  <w:num w:numId="19">
    <w:abstractNumId w:val="2"/>
  </w:num>
  <w:num w:numId="20">
    <w:abstractNumId w:val="22"/>
  </w:num>
  <w:num w:numId="21">
    <w:abstractNumId w:val="14"/>
  </w:num>
  <w:num w:numId="22">
    <w:abstractNumId w:val="5"/>
  </w:num>
  <w:num w:numId="23">
    <w:abstractNumId w:val="4"/>
  </w:num>
  <w:num w:numId="24">
    <w:abstractNumId w:val="20"/>
  </w:num>
  <w:num w:numId="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62E"/>
    <w:rsid w:val="00001A1C"/>
    <w:rsid w:val="00001FFD"/>
    <w:rsid w:val="00002027"/>
    <w:rsid w:val="000020FE"/>
    <w:rsid w:val="00002173"/>
    <w:rsid w:val="00002582"/>
    <w:rsid w:val="00002FC5"/>
    <w:rsid w:val="000031A8"/>
    <w:rsid w:val="00003C5C"/>
    <w:rsid w:val="00003D39"/>
    <w:rsid w:val="000040D7"/>
    <w:rsid w:val="0000433A"/>
    <w:rsid w:val="00004556"/>
    <w:rsid w:val="000051AF"/>
    <w:rsid w:val="000059D3"/>
    <w:rsid w:val="00005B6D"/>
    <w:rsid w:val="0000600A"/>
    <w:rsid w:val="00006081"/>
    <w:rsid w:val="00007750"/>
    <w:rsid w:val="000077FD"/>
    <w:rsid w:val="00007E37"/>
    <w:rsid w:val="00010C40"/>
    <w:rsid w:val="000112B4"/>
    <w:rsid w:val="00011DCC"/>
    <w:rsid w:val="00012532"/>
    <w:rsid w:val="00012B9E"/>
    <w:rsid w:val="00012F37"/>
    <w:rsid w:val="00012FBA"/>
    <w:rsid w:val="00013875"/>
    <w:rsid w:val="00013C6B"/>
    <w:rsid w:val="0001406B"/>
    <w:rsid w:val="000143F8"/>
    <w:rsid w:val="00014624"/>
    <w:rsid w:val="00015B44"/>
    <w:rsid w:val="00015F42"/>
    <w:rsid w:val="00016081"/>
    <w:rsid w:val="000165AC"/>
    <w:rsid w:val="00016651"/>
    <w:rsid w:val="000171A2"/>
    <w:rsid w:val="00017B65"/>
    <w:rsid w:val="00020158"/>
    <w:rsid w:val="000207E0"/>
    <w:rsid w:val="000209E2"/>
    <w:rsid w:val="00020B09"/>
    <w:rsid w:val="00020F8F"/>
    <w:rsid w:val="00021A95"/>
    <w:rsid w:val="00021C8A"/>
    <w:rsid w:val="0002256F"/>
    <w:rsid w:val="00022FD5"/>
    <w:rsid w:val="00023DAE"/>
    <w:rsid w:val="00023FC9"/>
    <w:rsid w:val="00024896"/>
    <w:rsid w:val="000255FA"/>
    <w:rsid w:val="00025D0A"/>
    <w:rsid w:val="00025D7D"/>
    <w:rsid w:val="000263F0"/>
    <w:rsid w:val="00026407"/>
    <w:rsid w:val="00026608"/>
    <w:rsid w:val="0002702E"/>
    <w:rsid w:val="0002743E"/>
    <w:rsid w:val="00027787"/>
    <w:rsid w:val="000278D2"/>
    <w:rsid w:val="00030DFB"/>
    <w:rsid w:val="00031364"/>
    <w:rsid w:val="000315E1"/>
    <w:rsid w:val="0003236E"/>
    <w:rsid w:val="0003339A"/>
    <w:rsid w:val="000341F2"/>
    <w:rsid w:val="00035046"/>
    <w:rsid w:val="000351F2"/>
    <w:rsid w:val="00035768"/>
    <w:rsid w:val="00035A1B"/>
    <w:rsid w:val="00036E03"/>
    <w:rsid w:val="000406DB"/>
    <w:rsid w:val="0004094D"/>
    <w:rsid w:val="00041029"/>
    <w:rsid w:val="00041357"/>
    <w:rsid w:val="0004149B"/>
    <w:rsid w:val="00041FC6"/>
    <w:rsid w:val="000422EA"/>
    <w:rsid w:val="00042961"/>
    <w:rsid w:val="00042C25"/>
    <w:rsid w:val="00042D03"/>
    <w:rsid w:val="00043086"/>
    <w:rsid w:val="000430A0"/>
    <w:rsid w:val="00043D3B"/>
    <w:rsid w:val="0004418C"/>
    <w:rsid w:val="00044204"/>
    <w:rsid w:val="0004477A"/>
    <w:rsid w:val="000449D4"/>
    <w:rsid w:val="000450D0"/>
    <w:rsid w:val="0004600D"/>
    <w:rsid w:val="000463B5"/>
    <w:rsid w:val="00046717"/>
    <w:rsid w:val="00046A63"/>
    <w:rsid w:val="00046C09"/>
    <w:rsid w:val="00046C0A"/>
    <w:rsid w:val="0004716A"/>
    <w:rsid w:val="00047385"/>
    <w:rsid w:val="000473E8"/>
    <w:rsid w:val="000504DE"/>
    <w:rsid w:val="00050A89"/>
    <w:rsid w:val="00051074"/>
    <w:rsid w:val="000526F0"/>
    <w:rsid w:val="0005273D"/>
    <w:rsid w:val="00052B79"/>
    <w:rsid w:val="00052E4B"/>
    <w:rsid w:val="00052EA0"/>
    <w:rsid w:val="000536A7"/>
    <w:rsid w:val="000536E3"/>
    <w:rsid w:val="00053896"/>
    <w:rsid w:val="00053A00"/>
    <w:rsid w:val="0005474D"/>
    <w:rsid w:val="00055CB9"/>
    <w:rsid w:val="00056F66"/>
    <w:rsid w:val="0005702F"/>
    <w:rsid w:val="0006088D"/>
    <w:rsid w:val="00061010"/>
    <w:rsid w:val="00061D06"/>
    <w:rsid w:val="00062CDD"/>
    <w:rsid w:val="00062DB3"/>
    <w:rsid w:val="000630EC"/>
    <w:rsid w:val="00063472"/>
    <w:rsid w:val="000640AF"/>
    <w:rsid w:val="00064940"/>
    <w:rsid w:val="00064CAE"/>
    <w:rsid w:val="00064DB7"/>
    <w:rsid w:val="00064FA7"/>
    <w:rsid w:val="00065195"/>
    <w:rsid w:val="0006536C"/>
    <w:rsid w:val="0006626E"/>
    <w:rsid w:val="00066D6D"/>
    <w:rsid w:val="00067AA8"/>
    <w:rsid w:val="00070AF1"/>
    <w:rsid w:val="000714DE"/>
    <w:rsid w:val="0007254F"/>
    <w:rsid w:val="0007357C"/>
    <w:rsid w:val="00073C30"/>
    <w:rsid w:val="00074305"/>
    <w:rsid w:val="000744D0"/>
    <w:rsid w:val="00074B2A"/>
    <w:rsid w:val="00074EEE"/>
    <w:rsid w:val="000753D5"/>
    <w:rsid w:val="00075B3E"/>
    <w:rsid w:val="00076456"/>
    <w:rsid w:val="00076817"/>
    <w:rsid w:val="00076BD9"/>
    <w:rsid w:val="0007779B"/>
    <w:rsid w:val="000777E7"/>
    <w:rsid w:val="0007790A"/>
    <w:rsid w:val="000779F2"/>
    <w:rsid w:val="0008017B"/>
    <w:rsid w:val="00080ACD"/>
    <w:rsid w:val="00080D30"/>
    <w:rsid w:val="000811ED"/>
    <w:rsid w:val="00081D62"/>
    <w:rsid w:val="00082832"/>
    <w:rsid w:val="00082B74"/>
    <w:rsid w:val="00083099"/>
    <w:rsid w:val="00083259"/>
    <w:rsid w:val="00083546"/>
    <w:rsid w:val="00083EDC"/>
    <w:rsid w:val="00084B97"/>
    <w:rsid w:val="00084FB1"/>
    <w:rsid w:val="0008510E"/>
    <w:rsid w:val="000856DE"/>
    <w:rsid w:val="00085E95"/>
    <w:rsid w:val="00085F17"/>
    <w:rsid w:val="00085FB0"/>
    <w:rsid w:val="00085FB3"/>
    <w:rsid w:val="0008686B"/>
    <w:rsid w:val="00086B2A"/>
    <w:rsid w:val="00086ED2"/>
    <w:rsid w:val="00087A64"/>
    <w:rsid w:val="000901CD"/>
    <w:rsid w:val="0009082C"/>
    <w:rsid w:val="00090C39"/>
    <w:rsid w:val="000914D6"/>
    <w:rsid w:val="00091569"/>
    <w:rsid w:val="00092CDB"/>
    <w:rsid w:val="00092DCA"/>
    <w:rsid w:val="00093851"/>
    <w:rsid w:val="000942EB"/>
    <w:rsid w:val="00095B70"/>
    <w:rsid w:val="0009617E"/>
    <w:rsid w:val="0009628D"/>
    <w:rsid w:val="0009670F"/>
    <w:rsid w:val="000970E4"/>
    <w:rsid w:val="000975D1"/>
    <w:rsid w:val="000979CF"/>
    <w:rsid w:val="000A03C8"/>
    <w:rsid w:val="000A05F2"/>
    <w:rsid w:val="000A06C4"/>
    <w:rsid w:val="000A0861"/>
    <w:rsid w:val="000A0B6F"/>
    <w:rsid w:val="000A0EC4"/>
    <w:rsid w:val="000A0ED1"/>
    <w:rsid w:val="000A12DB"/>
    <w:rsid w:val="000A137E"/>
    <w:rsid w:val="000A171D"/>
    <w:rsid w:val="000A17C8"/>
    <w:rsid w:val="000A1B74"/>
    <w:rsid w:val="000A20D7"/>
    <w:rsid w:val="000A2128"/>
    <w:rsid w:val="000A26A5"/>
    <w:rsid w:val="000A362F"/>
    <w:rsid w:val="000A3B49"/>
    <w:rsid w:val="000A46FE"/>
    <w:rsid w:val="000A47E6"/>
    <w:rsid w:val="000A52C0"/>
    <w:rsid w:val="000A5AAF"/>
    <w:rsid w:val="000A5ACE"/>
    <w:rsid w:val="000A5F97"/>
    <w:rsid w:val="000A622F"/>
    <w:rsid w:val="000A648E"/>
    <w:rsid w:val="000A7268"/>
    <w:rsid w:val="000A73BB"/>
    <w:rsid w:val="000A73E8"/>
    <w:rsid w:val="000A7EF4"/>
    <w:rsid w:val="000B0A15"/>
    <w:rsid w:val="000B103F"/>
    <w:rsid w:val="000B1437"/>
    <w:rsid w:val="000B1470"/>
    <w:rsid w:val="000B244D"/>
    <w:rsid w:val="000B2A1A"/>
    <w:rsid w:val="000B2B86"/>
    <w:rsid w:val="000B2CFF"/>
    <w:rsid w:val="000B3051"/>
    <w:rsid w:val="000B419B"/>
    <w:rsid w:val="000B4861"/>
    <w:rsid w:val="000B5781"/>
    <w:rsid w:val="000B5CB1"/>
    <w:rsid w:val="000B5EE5"/>
    <w:rsid w:val="000B75F4"/>
    <w:rsid w:val="000C0185"/>
    <w:rsid w:val="000C0933"/>
    <w:rsid w:val="000C0F81"/>
    <w:rsid w:val="000C128D"/>
    <w:rsid w:val="000C17A3"/>
    <w:rsid w:val="000C1D4B"/>
    <w:rsid w:val="000C2DC4"/>
    <w:rsid w:val="000C2E78"/>
    <w:rsid w:val="000C3239"/>
    <w:rsid w:val="000C3260"/>
    <w:rsid w:val="000C3B77"/>
    <w:rsid w:val="000C3F6D"/>
    <w:rsid w:val="000C4F49"/>
    <w:rsid w:val="000C5861"/>
    <w:rsid w:val="000C5BDE"/>
    <w:rsid w:val="000C639D"/>
    <w:rsid w:val="000C6C31"/>
    <w:rsid w:val="000C6DBC"/>
    <w:rsid w:val="000C6F79"/>
    <w:rsid w:val="000C7476"/>
    <w:rsid w:val="000C7480"/>
    <w:rsid w:val="000C7711"/>
    <w:rsid w:val="000C7AA2"/>
    <w:rsid w:val="000D0462"/>
    <w:rsid w:val="000D053D"/>
    <w:rsid w:val="000D0ED2"/>
    <w:rsid w:val="000D107D"/>
    <w:rsid w:val="000D1101"/>
    <w:rsid w:val="000D13FD"/>
    <w:rsid w:val="000D1546"/>
    <w:rsid w:val="000D1CEB"/>
    <w:rsid w:val="000D2322"/>
    <w:rsid w:val="000D2563"/>
    <w:rsid w:val="000D25BF"/>
    <w:rsid w:val="000D2FE4"/>
    <w:rsid w:val="000D3FDC"/>
    <w:rsid w:val="000D405B"/>
    <w:rsid w:val="000D490B"/>
    <w:rsid w:val="000D4E38"/>
    <w:rsid w:val="000D50DB"/>
    <w:rsid w:val="000D5F9D"/>
    <w:rsid w:val="000D60A1"/>
    <w:rsid w:val="000D6288"/>
    <w:rsid w:val="000D63F1"/>
    <w:rsid w:val="000D728B"/>
    <w:rsid w:val="000D7541"/>
    <w:rsid w:val="000D75E1"/>
    <w:rsid w:val="000E22C5"/>
    <w:rsid w:val="000E22CF"/>
    <w:rsid w:val="000E2977"/>
    <w:rsid w:val="000E2CC0"/>
    <w:rsid w:val="000E30AC"/>
    <w:rsid w:val="000E3B46"/>
    <w:rsid w:val="000E3E11"/>
    <w:rsid w:val="000E40E4"/>
    <w:rsid w:val="000E4596"/>
    <w:rsid w:val="000E4927"/>
    <w:rsid w:val="000E4B94"/>
    <w:rsid w:val="000E4D50"/>
    <w:rsid w:val="000E5768"/>
    <w:rsid w:val="000E5843"/>
    <w:rsid w:val="000E6139"/>
    <w:rsid w:val="000E63B7"/>
    <w:rsid w:val="000E653C"/>
    <w:rsid w:val="000E6BE1"/>
    <w:rsid w:val="000E7E0B"/>
    <w:rsid w:val="000F0136"/>
    <w:rsid w:val="000F078A"/>
    <w:rsid w:val="000F122D"/>
    <w:rsid w:val="000F1450"/>
    <w:rsid w:val="000F14E8"/>
    <w:rsid w:val="000F1546"/>
    <w:rsid w:val="000F1BBD"/>
    <w:rsid w:val="000F290F"/>
    <w:rsid w:val="000F29CE"/>
    <w:rsid w:val="000F4403"/>
    <w:rsid w:val="000F480B"/>
    <w:rsid w:val="000F4E17"/>
    <w:rsid w:val="000F5615"/>
    <w:rsid w:val="000F6084"/>
    <w:rsid w:val="000F6578"/>
    <w:rsid w:val="000F6693"/>
    <w:rsid w:val="000F6F92"/>
    <w:rsid w:val="000F725D"/>
    <w:rsid w:val="000F7E8F"/>
    <w:rsid w:val="000F7FBB"/>
    <w:rsid w:val="001000FB"/>
    <w:rsid w:val="00100A9E"/>
    <w:rsid w:val="00100F6A"/>
    <w:rsid w:val="00101638"/>
    <w:rsid w:val="00101EE8"/>
    <w:rsid w:val="00102605"/>
    <w:rsid w:val="00102686"/>
    <w:rsid w:val="00102745"/>
    <w:rsid w:val="00102C4D"/>
    <w:rsid w:val="001036B4"/>
    <w:rsid w:val="00103795"/>
    <w:rsid w:val="00103915"/>
    <w:rsid w:val="001039AA"/>
    <w:rsid w:val="00103EA0"/>
    <w:rsid w:val="00104149"/>
    <w:rsid w:val="00104F1C"/>
    <w:rsid w:val="00105096"/>
    <w:rsid w:val="001051E5"/>
    <w:rsid w:val="00105A74"/>
    <w:rsid w:val="00105ACB"/>
    <w:rsid w:val="00105AEF"/>
    <w:rsid w:val="00105EF9"/>
    <w:rsid w:val="00106259"/>
    <w:rsid w:val="001068EB"/>
    <w:rsid w:val="001073F0"/>
    <w:rsid w:val="001078CE"/>
    <w:rsid w:val="00110F61"/>
    <w:rsid w:val="00111115"/>
    <w:rsid w:val="001111BD"/>
    <w:rsid w:val="001113DF"/>
    <w:rsid w:val="0011165A"/>
    <w:rsid w:val="00111B2B"/>
    <w:rsid w:val="00112774"/>
    <w:rsid w:val="00112B2E"/>
    <w:rsid w:val="00113003"/>
    <w:rsid w:val="00113062"/>
    <w:rsid w:val="0011359A"/>
    <w:rsid w:val="00113705"/>
    <w:rsid w:val="00113975"/>
    <w:rsid w:val="00113B64"/>
    <w:rsid w:val="00113CFC"/>
    <w:rsid w:val="00113E22"/>
    <w:rsid w:val="00113FEA"/>
    <w:rsid w:val="00114A22"/>
    <w:rsid w:val="00114E9D"/>
    <w:rsid w:val="0011507B"/>
    <w:rsid w:val="001156A7"/>
    <w:rsid w:val="00115A62"/>
    <w:rsid w:val="00115C37"/>
    <w:rsid w:val="00116328"/>
    <w:rsid w:val="001163CF"/>
    <w:rsid w:val="00116EC5"/>
    <w:rsid w:val="001174C9"/>
    <w:rsid w:val="001177FE"/>
    <w:rsid w:val="00117E69"/>
    <w:rsid w:val="00121103"/>
    <w:rsid w:val="00121B78"/>
    <w:rsid w:val="00121BAB"/>
    <w:rsid w:val="00121E10"/>
    <w:rsid w:val="00121E3C"/>
    <w:rsid w:val="00122B23"/>
    <w:rsid w:val="00122B7E"/>
    <w:rsid w:val="00123BBD"/>
    <w:rsid w:val="00123E27"/>
    <w:rsid w:val="00123FB5"/>
    <w:rsid w:val="0012400F"/>
    <w:rsid w:val="001249DC"/>
    <w:rsid w:val="0012572D"/>
    <w:rsid w:val="00125A2E"/>
    <w:rsid w:val="00125BED"/>
    <w:rsid w:val="00125C59"/>
    <w:rsid w:val="00125D4F"/>
    <w:rsid w:val="00127004"/>
    <w:rsid w:val="0012770B"/>
    <w:rsid w:val="00127AF2"/>
    <w:rsid w:val="00127EDC"/>
    <w:rsid w:val="00127F42"/>
    <w:rsid w:val="00127F6D"/>
    <w:rsid w:val="00130355"/>
    <w:rsid w:val="00130365"/>
    <w:rsid w:val="001304E5"/>
    <w:rsid w:val="00131B5A"/>
    <w:rsid w:val="001329BC"/>
    <w:rsid w:val="00132C30"/>
    <w:rsid w:val="00132EFD"/>
    <w:rsid w:val="00133AED"/>
    <w:rsid w:val="0013490B"/>
    <w:rsid w:val="00134BCD"/>
    <w:rsid w:val="00134E09"/>
    <w:rsid w:val="001350AB"/>
    <w:rsid w:val="00135739"/>
    <w:rsid w:val="00135DB9"/>
    <w:rsid w:val="00135E5D"/>
    <w:rsid w:val="0013695C"/>
    <w:rsid w:val="001369D2"/>
    <w:rsid w:val="00136BF7"/>
    <w:rsid w:val="00136C78"/>
    <w:rsid w:val="0013756B"/>
    <w:rsid w:val="001378B9"/>
    <w:rsid w:val="00137FFA"/>
    <w:rsid w:val="00140109"/>
    <w:rsid w:val="0014029B"/>
    <w:rsid w:val="00140464"/>
    <w:rsid w:val="00140A4F"/>
    <w:rsid w:val="001413AB"/>
    <w:rsid w:val="00141DBF"/>
    <w:rsid w:val="00142EFD"/>
    <w:rsid w:val="00144335"/>
    <w:rsid w:val="0014502F"/>
    <w:rsid w:val="00145282"/>
    <w:rsid w:val="001453B0"/>
    <w:rsid w:val="001454D9"/>
    <w:rsid w:val="00145D8E"/>
    <w:rsid w:val="00146083"/>
    <w:rsid w:val="001462F7"/>
    <w:rsid w:val="001471AB"/>
    <w:rsid w:val="00147F35"/>
    <w:rsid w:val="00150005"/>
    <w:rsid w:val="0015117F"/>
    <w:rsid w:val="00151AEB"/>
    <w:rsid w:val="00151B99"/>
    <w:rsid w:val="00151E79"/>
    <w:rsid w:val="001521B2"/>
    <w:rsid w:val="00152EDD"/>
    <w:rsid w:val="00153491"/>
    <w:rsid w:val="0015361C"/>
    <w:rsid w:val="0015372F"/>
    <w:rsid w:val="00153BFB"/>
    <w:rsid w:val="0015407E"/>
    <w:rsid w:val="0015448E"/>
    <w:rsid w:val="00154A6F"/>
    <w:rsid w:val="00154B68"/>
    <w:rsid w:val="001558B7"/>
    <w:rsid w:val="00155BED"/>
    <w:rsid w:val="00155D08"/>
    <w:rsid w:val="0015623B"/>
    <w:rsid w:val="00156BE5"/>
    <w:rsid w:val="00157232"/>
    <w:rsid w:val="00157B92"/>
    <w:rsid w:val="00160401"/>
    <w:rsid w:val="00160C01"/>
    <w:rsid w:val="00160D4E"/>
    <w:rsid w:val="00161DDA"/>
    <w:rsid w:val="00161E62"/>
    <w:rsid w:val="00161F1C"/>
    <w:rsid w:val="0016200B"/>
    <w:rsid w:val="0016204B"/>
    <w:rsid w:val="001620B3"/>
    <w:rsid w:val="00163D7A"/>
    <w:rsid w:val="00163E11"/>
    <w:rsid w:val="00164281"/>
    <w:rsid w:val="00165703"/>
    <w:rsid w:val="00165E5C"/>
    <w:rsid w:val="00166204"/>
    <w:rsid w:val="00166797"/>
    <w:rsid w:val="0016685F"/>
    <w:rsid w:val="0016712F"/>
    <w:rsid w:val="00167503"/>
    <w:rsid w:val="001676A9"/>
    <w:rsid w:val="00167A15"/>
    <w:rsid w:val="00167A50"/>
    <w:rsid w:val="00167D1A"/>
    <w:rsid w:val="00167DF5"/>
    <w:rsid w:val="00167FD3"/>
    <w:rsid w:val="00170001"/>
    <w:rsid w:val="00172198"/>
    <w:rsid w:val="00172612"/>
    <w:rsid w:val="00172817"/>
    <w:rsid w:val="001734E3"/>
    <w:rsid w:val="001742BF"/>
    <w:rsid w:val="001742E1"/>
    <w:rsid w:val="00175E49"/>
    <w:rsid w:val="001762A8"/>
    <w:rsid w:val="0017649F"/>
    <w:rsid w:val="0017655B"/>
    <w:rsid w:val="00177EAA"/>
    <w:rsid w:val="001805C1"/>
    <w:rsid w:val="00180A2E"/>
    <w:rsid w:val="001813AF"/>
    <w:rsid w:val="001826C9"/>
    <w:rsid w:val="001829CD"/>
    <w:rsid w:val="00182F01"/>
    <w:rsid w:val="00184219"/>
    <w:rsid w:val="00184F27"/>
    <w:rsid w:val="0018519B"/>
    <w:rsid w:val="00185966"/>
    <w:rsid w:val="00185A2D"/>
    <w:rsid w:val="00185AFE"/>
    <w:rsid w:val="00185E78"/>
    <w:rsid w:val="00186F4C"/>
    <w:rsid w:val="00187177"/>
    <w:rsid w:val="00187A09"/>
    <w:rsid w:val="00187ABD"/>
    <w:rsid w:val="00190089"/>
    <w:rsid w:val="001904E3"/>
    <w:rsid w:val="00190520"/>
    <w:rsid w:val="0019087A"/>
    <w:rsid w:val="00190B04"/>
    <w:rsid w:val="00191C5A"/>
    <w:rsid w:val="00191CEB"/>
    <w:rsid w:val="00191D7D"/>
    <w:rsid w:val="00191E63"/>
    <w:rsid w:val="00192AF3"/>
    <w:rsid w:val="00192D68"/>
    <w:rsid w:val="001935FF"/>
    <w:rsid w:val="0019388B"/>
    <w:rsid w:val="00193ADE"/>
    <w:rsid w:val="00193B9A"/>
    <w:rsid w:val="001940ED"/>
    <w:rsid w:val="001946AE"/>
    <w:rsid w:val="001946D5"/>
    <w:rsid w:val="001949C4"/>
    <w:rsid w:val="00194E8C"/>
    <w:rsid w:val="00194EE2"/>
    <w:rsid w:val="001962EC"/>
    <w:rsid w:val="001963DD"/>
    <w:rsid w:val="001965DB"/>
    <w:rsid w:val="00196B5A"/>
    <w:rsid w:val="00196D01"/>
    <w:rsid w:val="00196DC9"/>
    <w:rsid w:val="00196E95"/>
    <w:rsid w:val="00196FDB"/>
    <w:rsid w:val="0019709F"/>
    <w:rsid w:val="00197758"/>
    <w:rsid w:val="001A0236"/>
    <w:rsid w:val="001A04E2"/>
    <w:rsid w:val="001A0915"/>
    <w:rsid w:val="001A0AF8"/>
    <w:rsid w:val="001A0E1B"/>
    <w:rsid w:val="001A1490"/>
    <w:rsid w:val="001A18D5"/>
    <w:rsid w:val="001A1A38"/>
    <w:rsid w:val="001A1BE0"/>
    <w:rsid w:val="001A1D4A"/>
    <w:rsid w:val="001A3011"/>
    <w:rsid w:val="001A3078"/>
    <w:rsid w:val="001A4A9B"/>
    <w:rsid w:val="001A4B32"/>
    <w:rsid w:val="001A4DAF"/>
    <w:rsid w:val="001A54CD"/>
    <w:rsid w:val="001A66DF"/>
    <w:rsid w:val="001A67D0"/>
    <w:rsid w:val="001A6863"/>
    <w:rsid w:val="001A7591"/>
    <w:rsid w:val="001A75B1"/>
    <w:rsid w:val="001A7B06"/>
    <w:rsid w:val="001B0366"/>
    <w:rsid w:val="001B0444"/>
    <w:rsid w:val="001B096B"/>
    <w:rsid w:val="001B0F9F"/>
    <w:rsid w:val="001B123C"/>
    <w:rsid w:val="001B1A0D"/>
    <w:rsid w:val="001B1BF1"/>
    <w:rsid w:val="001B20A6"/>
    <w:rsid w:val="001B21AC"/>
    <w:rsid w:val="001B2456"/>
    <w:rsid w:val="001B449C"/>
    <w:rsid w:val="001B4AA2"/>
    <w:rsid w:val="001B4ADE"/>
    <w:rsid w:val="001B5530"/>
    <w:rsid w:val="001B5DAE"/>
    <w:rsid w:val="001B5EF8"/>
    <w:rsid w:val="001B610A"/>
    <w:rsid w:val="001B6BD0"/>
    <w:rsid w:val="001B71E8"/>
    <w:rsid w:val="001B7B50"/>
    <w:rsid w:val="001C033E"/>
    <w:rsid w:val="001C07C6"/>
    <w:rsid w:val="001C0C86"/>
    <w:rsid w:val="001C120D"/>
    <w:rsid w:val="001C16DA"/>
    <w:rsid w:val="001C19CD"/>
    <w:rsid w:val="001C1E2B"/>
    <w:rsid w:val="001C22D5"/>
    <w:rsid w:val="001C2515"/>
    <w:rsid w:val="001C26FB"/>
    <w:rsid w:val="001C2BA4"/>
    <w:rsid w:val="001C33C1"/>
    <w:rsid w:val="001C3E30"/>
    <w:rsid w:val="001C3E5C"/>
    <w:rsid w:val="001C5072"/>
    <w:rsid w:val="001C5B2A"/>
    <w:rsid w:val="001C600B"/>
    <w:rsid w:val="001C6898"/>
    <w:rsid w:val="001C6DD8"/>
    <w:rsid w:val="001C76FA"/>
    <w:rsid w:val="001C79A4"/>
    <w:rsid w:val="001C7C7B"/>
    <w:rsid w:val="001D068D"/>
    <w:rsid w:val="001D12D1"/>
    <w:rsid w:val="001D15DF"/>
    <w:rsid w:val="001D2EEE"/>
    <w:rsid w:val="001D30F3"/>
    <w:rsid w:val="001D31A0"/>
    <w:rsid w:val="001D338E"/>
    <w:rsid w:val="001D34C3"/>
    <w:rsid w:val="001D4562"/>
    <w:rsid w:val="001D46A9"/>
    <w:rsid w:val="001D4874"/>
    <w:rsid w:val="001D56E9"/>
    <w:rsid w:val="001D59D9"/>
    <w:rsid w:val="001D6944"/>
    <w:rsid w:val="001D6CD2"/>
    <w:rsid w:val="001D796A"/>
    <w:rsid w:val="001D7A84"/>
    <w:rsid w:val="001D7C79"/>
    <w:rsid w:val="001E003B"/>
    <w:rsid w:val="001E1CC4"/>
    <w:rsid w:val="001E1D38"/>
    <w:rsid w:val="001E28A0"/>
    <w:rsid w:val="001E302E"/>
    <w:rsid w:val="001E3FFE"/>
    <w:rsid w:val="001E4258"/>
    <w:rsid w:val="001E5140"/>
    <w:rsid w:val="001E55E6"/>
    <w:rsid w:val="001E5D6A"/>
    <w:rsid w:val="001E6A94"/>
    <w:rsid w:val="001E70FB"/>
    <w:rsid w:val="001E780A"/>
    <w:rsid w:val="001E79A5"/>
    <w:rsid w:val="001F0806"/>
    <w:rsid w:val="001F0D15"/>
    <w:rsid w:val="001F0FA0"/>
    <w:rsid w:val="001F1349"/>
    <w:rsid w:val="001F14C3"/>
    <w:rsid w:val="001F1863"/>
    <w:rsid w:val="001F2356"/>
    <w:rsid w:val="001F2A68"/>
    <w:rsid w:val="001F2C47"/>
    <w:rsid w:val="001F3221"/>
    <w:rsid w:val="001F4773"/>
    <w:rsid w:val="001F4F91"/>
    <w:rsid w:val="001F5008"/>
    <w:rsid w:val="001F56AA"/>
    <w:rsid w:val="001F57EB"/>
    <w:rsid w:val="001F58AA"/>
    <w:rsid w:val="001F5A4E"/>
    <w:rsid w:val="001F5EF6"/>
    <w:rsid w:val="001F657F"/>
    <w:rsid w:val="001F68FA"/>
    <w:rsid w:val="001F6FB6"/>
    <w:rsid w:val="001F72BB"/>
    <w:rsid w:val="001F7978"/>
    <w:rsid w:val="001F7A0E"/>
    <w:rsid w:val="001F7A4B"/>
    <w:rsid w:val="0020022E"/>
    <w:rsid w:val="0020054E"/>
    <w:rsid w:val="00201508"/>
    <w:rsid w:val="00201AC4"/>
    <w:rsid w:val="00201C45"/>
    <w:rsid w:val="00201F1E"/>
    <w:rsid w:val="0020247D"/>
    <w:rsid w:val="00202761"/>
    <w:rsid w:val="0020299B"/>
    <w:rsid w:val="00202B2A"/>
    <w:rsid w:val="00202E44"/>
    <w:rsid w:val="002037AA"/>
    <w:rsid w:val="00203FE3"/>
    <w:rsid w:val="002041DD"/>
    <w:rsid w:val="002042D8"/>
    <w:rsid w:val="00204515"/>
    <w:rsid w:val="00204BF5"/>
    <w:rsid w:val="00204E6B"/>
    <w:rsid w:val="002053EF"/>
    <w:rsid w:val="002058D4"/>
    <w:rsid w:val="002060D6"/>
    <w:rsid w:val="0020632A"/>
    <w:rsid w:val="0020697F"/>
    <w:rsid w:val="0020726E"/>
    <w:rsid w:val="002072E7"/>
    <w:rsid w:val="00207389"/>
    <w:rsid w:val="002074C2"/>
    <w:rsid w:val="002110EB"/>
    <w:rsid w:val="00211338"/>
    <w:rsid w:val="00211387"/>
    <w:rsid w:val="00211388"/>
    <w:rsid w:val="0021148C"/>
    <w:rsid w:val="00211694"/>
    <w:rsid w:val="00211C40"/>
    <w:rsid w:val="0021201A"/>
    <w:rsid w:val="00212545"/>
    <w:rsid w:val="002138FE"/>
    <w:rsid w:val="00213A1F"/>
    <w:rsid w:val="00213C63"/>
    <w:rsid w:val="00214502"/>
    <w:rsid w:val="00214741"/>
    <w:rsid w:val="00214938"/>
    <w:rsid w:val="0021539A"/>
    <w:rsid w:val="00215852"/>
    <w:rsid w:val="00215B01"/>
    <w:rsid w:val="00215B8E"/>
    <w:rsid w:val="00216264"/>
    <w:rsid w:val="002164E8"/>
    <w:rsid w:val="002169A0"/>
    <w:rsid w:val="002176B6"/>
    <w:rsid w:val="0021792D"/>
    <w:rsid w:val="00217DB8"/>
    <w:rsid w:val="002202CE"/>
    <w:rsid w:val="0022032A"/>
    <w:rsid w:val="0022194E"/>
    <w:rsid w:val="002220B1"/>
    <w:rsid w:val="002221CE"/>
    <w:rsid w:val="00222B1D"/>
    <w:rsid w:val="00222BE8"/>
    <w:rsid w:val="00222DF6"/>
    <w:rsid w:val="00223102"/>
    <w:rsid w:val="002232CB"/>
    <w:rsid w:val="00224022"/>
    <w:rsid w:val="00226055"/>
    <w:rsid w:val="0022609C"/>
    <w:rsid w:val="0022613F"/>
    <w:rsid w:val="0022614F"/>
    <w:rsid w:val="00226236"/>
    <w:rsid w:val="002266AF"/>
    <w:rsid w:val="002270C9"/>
    <w:rsid w:val="00227A8B"/>
    <w:rsid w:val="002306BF"/>
    <w:rsid w:val="002311F0"/>
    <w:rsid w:val="0023146B"/>
    <w:rsid w:val="002315A0"/>
    <w:rsid w:val="00231748"/>
    <w:rsid w:val="00231CBD"/>
    <w:rsid w:val="00231DCC"/>
    <w:rsid w:val="00231EC7"/>
    <w:rsid w:val="00232AF1"/>
    <w:rsid w:val="00232E15"/>
    <w:rsid w:val="00233079"/>
    <w:rsid w:val="0023382C"/>
    <w:rsid w:val="00233977"/>
    <w:rsid w:val="00233C58"/>
    <w:rsid w:val="00233C71"/>
    <w:rsid w:val="002345B6"/>
    <w:rsid w:val="002347A6"/>
    <w:rsid w:val="00234B84"/>
    <w:rsid w:val="0023548D"/>
    <w:rsid w:val="00236016"/>
    <w:rsid w:val="00237065"/>
    <w:rsid w:val="00237589"/>
    <w:rsid w:val="0023758D"/>
    <w:rsid w:val="002375A7"/>
    <w:rsid w:val="00237D1D"/>
    <w:rsid w:val="0024019A"/>
    <w:rsid w:val="00240A1F"/>
    <w:rsid w:val="00240EC1"/>
    <w:rsid w:val="0024120F"/>
    <w:rsid w:val="0024131D"/>
    <w:rsid w:val="002415B8"/>
    <w:rsid w:val="00241B82"/>
    <w:rsid w:val="0024296E"/>
    <w:rsid w:val="00242D5F"/>
    <w:rsid w:val="00242D62"/>
    <w:rsid w:val="002430D0"/>
    <w:rsid w:val="002431D7"/>
    <w:rsid w:val="00244058"/>
    <w:rsid w:val="0024561A"/>
    <w:rsid w:val="00245718"/>
    <w:rsid w:val="002457E9"/>
    <w:rsid w:val="00245E07"/>
    <w:rsid w:val="0024665E"/>
    <w:rsid w:val="00247712"/>
    <w:rsid w:val="0024794C"/>
    <w:rsid w:val="00250A9E"/>
    <w:rsid w:val="00250EC6"/>
    <w:rsid w:val="002515C7"/>
    <w:rsid w:val="00251866"/>
    <w:rsid w:val="00251A9F"/>
    <w:rsid w:val="00251E66"/>
    <w:rsid w:val="0025210F"/>
    <w:rsid w:val="00252492"/>
    <w:rsid w:val="00252B35"/>
    <w:rsid w:val="00253070"/>
    <w:rsid w:val="002530A0"/>
    <w:rsid w:val="00253135"/>
    <w:rsid w:val="0025316D"/>
    <w:rsid w:val="00253A02"/>
    <w:rsid w:val="00253B81"/>
    <w:rsid w:val="00254AE9"/>
    <w:rsid w:val="002554DE"/>
    <w:rsid w:val="00255575"/>
    <w:rsid w:val="00255E11"/>
    <w:rsid w:val="002564B7"/>
    <w:rsid w:val="00256835"/>
    <w:rsid w:val="002569F0"/>
    <w:rsid w:val="00256C01"/>
    <w:rsid w:val="00256E1A"/>
    <w:rsid w:val="00256ECF"/>
    <w:rsid w:val="00257730"/>
    <w:rsid w:val="00257999"/>
    <w:rsid w:val="002604AA"/>
    <w:rsid w:val="0026129B"/>
    <w:rsid w:val="00261560"/>
    <w:rsid w:val="00261715"/>
    <w:rsid w:val="00261A36"/>
    <w:rsid w:val="00261CF9"/>
    <w:rsid w:val="00261EC0"/>
    <w:rsid w:val="0026231B"/>
    <w:rsid w:val="00263101"/>
    <w:rsid w:val="002631D1"/>
    <w:rsid w:val="00263201"/>
    <w:rsid w:val="00263A37"/>
    <w:rsid w:val="00263EC5"/>
    <w:rsid w:val="00264266"/>
    <w:rsid w:val="002646A3"/>
    <w:rsid w:val="0026471F"/>
    <w:rsid w:val="0026480D"/>
    <w:rsid w:val="002653A6"/>
    <w:rsid w:val="002654B1"/>
    <w:rsid w:val="002655EF"/>
    <w:rsid w:val="002661F1"/>
    <w:rsid w:val="00266316"/>
    <w:rsid w:val="00266DB6"/>
    <w:rsid w:val="00266EAD"/>
    <w:rsid w:val="002711A4"/>
    <w:rsid w:val="00271230"/>
    <w:rsid w:val="00271F13"/>
    <w:rsid w:val="00272945"/>
    <w:rsid w:val="00272E89"/>
    <w:rsid w:val="00273A94"/>
    <w:rsid w:val="002742D0"/>
    <w:rsid w:val="0027482E"/>
    <w:rsid w:val="002748F1"/>
    <w:rsid w:val="00274DB5"/>
    <w:rsid w:val="00275BB1"/>
    <w:rsid w:val="00275CBF"/>
    <w:rsid w:val="002766F9"/>
    <w:rsid w:val="00276EF7"/>
    <w:rsid w:val="0027770B"/>
    <w:rsid w:val="00277933"/>
    <w:rsid w:val="00277EC1"/>
    <w:rsid w:val="00277F8D"/>
    <w:rsid w:val="00277FA7"/>
    <w:rsid w:val="00280046"/>
    <w:rsid w:val="00280806"/>
    <w:rsid w:val="00280B4F"/>
    <w:rsid w:val="00280F3D"/>
    <w:rsid w:val="0028106A"/>
    <w:rsid w:val="00281EB4"/>
    <w:rsid w:val="002820DA"/>
    <w:rsid w:val="0028212C"/>
    <w:rsid w:val="00282C98"/>
    <w:rsid w:val="00282E03"/>
    <w:rsid w:val="0028308E"/>
    <w:rsid w:val="002834E9"/>
    <w:rsid w:val="002837BA"/>
    <w:rsid w:val="00283A52"/>
    <w:rsid w:val="00283C5E"/>
    <w:rsid w:val="00283E26"/>
    <w:rsid w:val="0028428F"/>
    <w:rsid w:val="00284CFC"/>
    <w:rsid w:val="0028552A"/>
    <w:rsid w:val="00285600"/>
    <w:rsid w:val="00285832"/>
    <w:rsid w:val="00285943"/>
    <w:rsid w:val="00285969"/>
    <w:rsid w:val="0028599C"/>
    <w:rsid w:val="00285DE7"/>
    <w:rsid w:val="0028663B"/>
    <w:rsid w:val="00286CEC"/>
    <w:rsid w:val="002870F9"/>
    <w:rsid w:val="002871A9"/>
    <w:rsid w:val="00287505"/>
    <w:rsid w:val="00287BDB"/>
    <w:rsid w:val="00290781"/>
    <w:rsid w:val="00291784"/>
    <w:rsid w:val="002920DF"/>
    <w:rsid w:val="00292139"/>
    <w:rsid w:val="002928A3"/>
    <w:rsid w:val="002929BB"/>
    <w:rsid w:val="0029371B"/>
    <w:rsid w:val="00294368"/>
    <w:rsid w:val="00294B78"/>
    <w:rsid w:val="0029534C"/>
    <w:rsid w:val="00295416"/>
    <w:rsid w:val="00295949"/>
    <w:rsid w:val="00295D7C"/>
    <w:rsid w:val="0029624A"/>
    <w:rsid w:val="00296922"/>
    <w:rsid w:val="00297098"/>
    <w:rsid w:val="0029745A"/>
    <w:rsid w:val="002A05D4"/>
    <w:rsid w:val="002A06DB"/>
    <w:rsid w:val="002A09FF"/>
    <w:rsid w:val="002A0E60"/>
    <w:rsid w:val="002A1A58"/>
    <w:rsid w:val="002A1B02"/>
    <w:rsid w:val="002A1C53"/>
    <w:rsid w:val="002A1F84"/>
    <w:rsid w:val="002A244B"/>
    <w:rsid w:val="002A28FC"/>
    <w:rsid w:val="002A2B44"/>
    <w:rsid w:val="002A2EA5"/>
    <w:rsid w:val="002A301E"/>
    <w:rsid w:val="002A3555"/>
    <w:rsid w:val="002A38C8"/>
    <w:rsid w:val="002A3D94"/>
    <w:rsid w:val="002A4736"/>
    <w:rsid w:val="002A4B1C"/>
    <w:rsid w:val="002A55FE"/>
    <w:rsid w:val="002A625C"/>
    <w:rsid w:val="002A632B"/>
    <w:rsid w:val="002A6AFB"/>
    <w:rsid w:val="002A6CB8"/>
    <w:rsid w:val="002A733D"/>
    <w:rsid w:val="002A7559"/>
    <w:rsid w:val="002A7678"/>
    <w:rsid w:val="002A774A"/>
    <w:rsid w:val="002A7840"/>
    <w:rsid w:val="002A78F3"/>
    <w:rsid w:val="002A7D84"/>
    <w:rsid w:val="002A7E5C"/>
    <w:rsid w:val="002A7F6D"/>
    <w:rsid w:val="002B0D83"/>
    <w:rsid w:val="002B1342"/>
    <w:rsid w:val="002B1F83"/>
    <w:rsid w:val="002B27C8"/>
    <w:rsid w:val="002B2A7F"/>
    <w:rsid w:val="002B330B"/>
    <w:rsid w:val="002B39BE"/>
    <w:rsid w:val="002B3A3B"/>
    <w:rsid w:val="002B3D38"/>
    <w:rsid w:val="002B438C"/>
    <w:rsid w:val="002B48DB"/>
    <w:rsid w:val="002B4B34"/>
    <w:rsid w:val="002B541A"/>
    <w:rsid w:val="002B5DA7"/>
    <w:rsid w:val="002B5EAB"/>
    <w:rsid w:val="002B5F2E"/>
    <w:rsid w:val="002B6407"/>
    <w:rsid w:val="002B6416"/>
    <w:rsid w:val="002B6459"/>
    <w:rsid w:val="002B6F22"/>
    <w:rsid w:val="002B7014"/>
    <w:rsid w:val="002B73B0"/>
    <w:rsid w:val="002C15BF"/>
    <w:rsid w:val="002C24B4"/>
    <w:rsid w:val="002C2B3A"/>
    <w:rsid w:val="002C2B87"/>
    <w:rsid w:val="002C3CF4"/>
    <w:rsid w:val="002C441A"/>
    <w:rsid w:val="002C4A73"/>
    <w:rsid w:val="002C4B84"/>
    <w:rsid w:val="002C4C0C"/>
    <w:rsid w:val="002C5016"/>
    <w:rsid w:val="002C5C2F"/>
    <w:rsid w:val="002C5D0F"/>
    <w:rsid w:val="002C60B9"/>
    <w:rsid w:val="002C6BAA"/>
    <w:rsid w:val="002C6F77"/>
    <w:rsid w:val="002C704D"/>
    <w:rsid w:val="002D068A"/>
    <w:rsid w:val="002D0845"/>
    <w:rsid w:val="002D0933"/>
    <w:rsid w:val="002D1555"/>
    <w:rsid w:val="002D15B6"/>
    <w:rsid w:val="002D19BB"/>
    <w:rsid w:val="002D1A9B"/>
    <w:rsid w:val="002D1F51"/>
    <w:rsid w:val="002D20F8"/>
    <w:rsid w:val="002D22BD"/>
    <w:rsid w:val="002D22C5"/>
    <w:rsid w:val="002D302A"/>
    <w:rsid w:val="002D36C6"/>
    <w:rsid w:val="002D37C1"/>
    <w:rsid w:val="002D444B"/>
    <w:rsid w:val="002D46A6"/>
    <w:rsid w:val="002D46B4"/>
    <w:rsid w:val="002D46CE"/>
    <w:rsid w:val="002D49C2"/>
    <w:rsid w:val="002D4A45"/>
    <w:rsid w:val="002D4B42"/>
    <w:rsid w:val="002D4B43"/>
    <w:rsid w:val="002D5A1B"/>
    <w:rsid w:val="002D6504"/>
    <w:rsid w:val="002D6558"/>
    <w:rsid w:val="002D65BC"/>
    <w:rsid w:val="002E055C"/>
    <w:rsid w:val="002E1050"/>
    <w:rsid w:val="002E107E"/>
    <w:rsid w:val="002E18E5"/>
    <w:rsid w:val="002E1953"/>
    <w:rsid w:val="002E2C3F"/>
    <w:rsid w:val="002E2CB5"/>
    <w:rsid w:val="002E2D7D"/>
    <w:rsid w:val="002E32D0"/>
    <w:rsid w:val="002E3D76"/>
    <w:rsid w:val="002E40A1"/>
    <w:rsid w:val="002E48EC"/>
    <w:rsid w:val="002E4B44"/>
    <w:rsid w:val="002E4ECB"/>
    <w:rsid w:val="002E4F23"/>
    <w:rsid w:val="002E5E4F"/>
    <w:rsid w:val="002E61AE"/>
    <w:rsid w:val="002E635A"/>
    <w:rsid w:val="002E6D68"/>
    <w:rsid w:val="002E6F4A"/>
    <w:rsid w:val="002E7847"/>
    <w:rsid w:val="002F0073"/>
    <w:rsid w:val="002F1B27"/>
    <w:rsid w:val="002F1C67"/>
    <w:rsid w:val="002F240B"/>
    <w:rsid w:val="002F24DA"/>
    <w:rsid w:val="002F2F50"/>
    <w:rsid w:val="002F33EC"/>
    <w:rsid w:val="002F34E3"/>
    <w:rsid w:val="002F3601"/>
    <w:rsid w:val="002F40E2"/>
    <w:rsid w:val="002F45F6"/>
    <w:rsid w:val="002F4BEC"/>
    <w:rsid w:val="002F5A6F"/>
    <w:rsid w:val="002F692F"/>
    <w:rsid w:val="002F7031"/>
    <w:rsid w:val="002F7961"/>
    <w:rsid w:val="002F7B66"/>
    <w:rsid w:val="00300CB4"/>
    <w:rsid w:val="00300E24"/>
    <w:rsid w:val="00300F9A"/>
    <w:rsid w:val="0030257B"/>
    <w:rsid w:val="00302B9D"/>
    <w:rsid w:val="003033BA"/>
    <w:rsid w:val="00303866"/>
    <w:rsid w:val="00303C19"/>
    <w:rsid w:val="003043A3"/>
    <w:rsid w:val="0030462D"/>
    <w:rsid w:val="00304BD4"/>
    <w:rsid w:val="00304F54"/>
    <w:rsid w:val="0030500A"/>
    <w:rsid w:val="003052EB"/>
    <w:rsid w:val="00305C93"/>
    <w:rsid w:val="00305FCB"/>
    <w:rsid w:val="003063C3"/>
    <w:rsid w:val="003069DC"/>
    <w:rsid w:val="00306A13"/>
    <w:rsid w:val="00306B44"/>
    <w:rsid w:val="00306F2B"/>
    <w:rsid w:val="00307C44"/>
    <w:rsid w:val="0031040A"/>
    <w:rsid w:val="0031088E"/>
    <w:rsid w:val="00310D01"/>
    <w:rsid w:val="00310E8A"/>
    <w:rsid w:val="00311376"/>
    <w:rsid w:val="00311A1F"/>
    <w:rsid w:val="00311B47"/>
    <w:rsid w:val="00311D52"/>
    <w:rsid w:val="00312190"/>
    <w:rsid w:val="003125E0"/>
    <w:rsid w:val="0031271D"/>
    <w:rsid w:val="00313222"/>
    <w:rsid w:val="003132BB"/>
    <w:rsid w:val="00313337"/>
    <w:rsid w:val="00313447"/>
    <w:rsid w:val="003135CC"/>
    <w:rsid w:val="00313748"/>
    <w:rsid w:val="00313EA3"/>
    <w:rsid w:val="003151FE"/>
    <w:rsid w:val="003152AB"/>
    <w:rsid w:val="00315365"/>
    <w:rsid w:val="00315457"/>
    <w:rsid w:val="003161A4"/>
    <w:rsid w:val="00316955"/>
    <w:rsid w:val="0031713F"/>
    <w:rsid w:val="0031720A"/>
    <w:rsid w:val="0031749B"/>
    <w:rsid w:val="003174E5"/>
    <w:rsid w:val="00317C9D"/>
    <w:rsid w:val="00317CD2"/>
    <w:rsid w:val="00317D99"/>
    <w:rsid w:val="003203BF"/>
    <w:rsid w:val="0032078D"/>
    <w:rsid w:val="00320ADF"/>
    <w:rsid w:val="0032137B"/>
    <w:rsid w:val="003213FA"/>
    <w:rsid w:val="00321A70"/>
    <w:rsid w:val="00321BD6"/>
    <w:rsid w:val="00321FA3"/>
    <w:rsid w:val="003227D3"/>
    <w:rsid w:val="00322805"/>
    <w:rsid w:val="00322937"/>
    <w:rsid w:val="00323881"/>
    <w:rsid w:val="00323C46"/>
    <w:rsid w:val="00324885"/>
    <w:rsid w:val="003251A8"/>
    <w:rsid w:val="003254B1"/>
    <w:rsid w:val="00325AD9"/>
    <w:rsid w:val="00325D98"/>
    <w:rsid w:val="00325DA8"/>
    <w:rsid w:val="0032682A"/>
    <w:rsid w:val="00327382"/>
    <w:rsid w:val="00327A5C"/>
    <w:rsid w:val="003305BD"/>
    <w:rsid w:val="003308BE"/>
    <w:rsid w:val="0033092C"/>
    <w:rsid w:val="00330BF8"/>
    <w:rsid w:val="0033122A"/>
    <w:rsid w:val="003315AC"/>
    <w:rsid w:val="00331932"/>
    <w:rsid w:val="00331F74"/>
    <w:rsid w:val="00332382"/>
    <w:rsid w:val="00332386"/>
    <w:rsid w:val="00332453"/>
    <w:rsid w:val="0033251B"/>
    <w:rsid w:val="0033300D"/>
    <w:rsid w:val="00333A88"/>
    <w:rsid w:val="00335B15"/>
    <w:rsid w:val="00335B21"/>
    <w:rsid w:val="00335D3F"/>
    <w:rsid w:val="00336104"/>
    <w:rsid w:val="00336729"/>
    <w:rsid w:val="00336CD9"/>
    <w:rsid w:val="0033726D"/>
    <w:rsid w:val="00337CA8"/>
    <w:rsid w:val="00340D3F"/>
    <w:rsid w:val="0034174B"/>
    <w:rsid w:val="0034177C"/>
    <w:rsid w:val="003420E9"/>
    <w:rsid w:val="00342345"/>
    <w:rsid w:val="00342C27"/>
    <w:rsid w:val="003430C8"/>
    <w:rsid w:val="003432C8"/>
    <w:rsid w:val="003434B3"/>
    <w:rsid w:val="00343536"/>
    <w:rsid w:val="00343EFB"/>
    <w:rsid w:val="00344760"/>
    <w:rsid w:val="00344A9D"/>
    <w:rsid w:val="003454E8"/>
    <w:rsid w:val="00345574"/>
    <w:rsid w:val="00345965"/>
    <w:rsid w:val="0034680A"/>
    <w:rsid w:val="00346C62"/>
    <w:rsid w:val="00347202"/>
    <w:rsid w:val="0034778E"/>
    <w:rsid w:val="00347A5A"/>
    <w:rsid w:val="003501E2"/>
    <w:rsid w:val="00351E10"/>
    <w:rsid w:val="0035252F"/>
    <w:rsid w:val="003533F4"/>
    <w:rsid w:val="003536F6"/>
    <w:rsid w:val="00353DD5"/>
    <w:rsid w:val="00353F36"/>
    <w:rsid w:val="00355131"/>
    <w:rsid w:val="00355F74"/>
    <w:rsid w:val="003560DB"/>
    <w:rsid w:val="003564DB"/>
    <w:rsid w:val="00356F87"/>
    <w:rsid w:val="00357C44"/>
    <w:rsid w:val="00357E83"/>
    <w:rsid w:val="0036086B"/>
    <w:rsid w:val="00360CF3"/>
    <w:rsid w:val="003614DB"/>
    <w:rsid w:val="00361A59"/>
    <w:rsid w:val="00363348"/>
    <w:rsid w:val="003634D4"/>
    <w:rsid w:val="00363857"/>
    <w:rsid w:val="00363D59"/>
    <w:rsid w:val="00363F08"/>
    <w:rsid w:val="003640F7"/>
    <w:rsid w:val="003658F2"/>
    <w:rsid w:val="0036594A"/>
    <w:rsid w:val="00365D3A"/>
    <w:rsid w:val="003664FF"/>
    <w:rsid w:val="00366BD2"/>
    <w:rsid w:val="003670B8"/>
    <w:rsid w:val="003704A3"/>
    <w:rsid w:val="003706EB"/>
    <w:rsid w:val="003706F2"/>
    <w:rsid w:val="003709E8"/>
    <w:rsid w:val="0037124F"/>
    <w:rsid w:val="00372B86"/>
    <w:rsid w:val="00372C5B"/>
    <w:rsid w:val="00373827"/>
    <w:rsid w:val="0037401C"/>
    <w:rsid w:val="0037507B"/>
    <w:rsid w:val="00375C7C"/>
    <w:rsid w:val="0037640C"/>
    <w:rsid w:val="00376A50"/>
    <w:rsid w:val="00377027"/>
    <w:rsid w:val="00377135"/>
    <w:rsid w:val="00377EAC"/>
    <w:rsid w:val="00380272"/>
    <w:rsid w:val="003805DB"/>
    <w:rsid w:val="00380B96"/>
    <w:rsid w:val="00380C7F"/>
    <w:rsid w:val="0038152A"/>
    <w:rsid w:val="0038245D"/>
    <w:rsid w:val="00382BAD"/>
    <w:rsid w:val="003835FD"/>
    <w:rsid w:val="00383EDF"/>
    <w:rsid w:val="00384C5E"/>
    <w:rsid w:val="00384DF1"/>
    <w:rsid w:val="00384FF3"/>
    <w:rsid w:val="00386456"/>
    <w:rsid w:val="003865A9"/>
    <w:rsid w:val="003872D3"/>
    <w:rsid w:val="0039092B"/>
    <w:rsid w:val="00390BD9"/>
    <w:rsid w:val="00390C0B"/>
    <w:rsid w:val="00390F32"/>
    <w:rsid w:val="0039135E"/>
    <w:rsid w:val="0039285D"/>
    <w:rsid w:val="0039319C"/>
    <w:rsid w:val="00393577"/>
    <w:rsid w:val="003935A0"/>
    <w:rsid w:val="00393C80"/>
    <w:rsid w:val="00393CAE"/>
    <w:rsid w:val="003945F4"/>
    <w:rsid w:val="00394EB5"/>
    <w:rsid w:val="003953B4"/>
    <w:rsid w:val="0039615F"/>
    <w:rsid w:val="003966A0"/>
    <w:rsid w:val="00396A29"/>
    <w:rsid w:val="00397FF0"/>
    <w:rsid w:val="003A0878"/>
    <w:rsid w:val="003A1561"/>
    <w:rsid w:val="003A1D25"/>
    <w:rsid w:val="003A22A2"/>
    <w:rsid w:val="003A2447"/>
    <w:rsid w:val="003A2AA1"/>
    <w:rsid w:val="003A31A5"/>
    <w:rsid w:val="003A329A"/>
    <w:rsid w:val="003A3603"/>
    <w:rsid w:val="003A36AC"/>
    <w:rsid w:val="003A3851"/>
    <w:rsid w:val="003A3902"/>
    <w:rsid w:val="003A39DD"/>
    <w:rsid w:val="003A40DB"/>
    <w:rsid w:val="003A4199"/>
    <w:rsid w:val="003A41C5"/>
    <w:rsid w:val="003A4A8E"/>
    <w:rsid w:val="003A563C"/>
    <w:rsid w:val="003A581E"/>
    <w:rsid w:val="003A5E7E"/>
    <w:rsid w:val="003A6160"/>
    <w:rsid w:val="003A6219"/>
    <w:rsid w:val="003A65A5"/>
    <w:rsid w:val="003A65AC"/>
    <w:rsid w:val="003A72F5"/>
    <w:rsid w:val="003A78E5"/>
    <w:rsid w:val="003B0341"/>
    <w:rsid w:val="003B15F3"/>
    <w:rsid w:val="003B1961"/>
    <w:rsid w:val="003B1E57"/>
    <w:rsid w:val="003B1E5C"/>
    <w:rsid w:val="003B242E"/>
    <w:rsid w:val="003B2EF3"/>
    <w:rsid w:val="003B48C4"/>
    <w:rsid w:val="003B4ADC"/>
    <w:rsid w:val="003B4D27"/>
    <w:rsid w:val="003B534F"/>
    <w:rsid w:val="003B5391"/>
    <w:rsid w:val="003B58CE"/>
    <w:rsid w:val="003B6273"/>
    <w:rsid w:val="003B65D7"/>
    <w:rsid w:val="003B65E0"/>
    <w:rsid w:val="003B6BD4"/>
    <w:rsid w:val="003B6F4D"/>
    <w:rsid w:val="003B6FE7"/>
    <w:rsid w:val="003B719D"/>
    <w:rsid w:val="003B74E8"/>
    <w:rsid w:val="003C0491"/>
    <w:rsid w:val="003C0C0F"/>
    <w:rsid w:val="003C0D1F"/>
    <w:rsid w:val="003C116A"/>
    <w:rsid w:val="003C1AF4"/>
    <w:rsid w:val="003C1CB8"/>
    <w:rsid w:val="003C22DA"/>
    <w:rsid w:val="003C2550"/>
    <w:rsid w:val="003C287F"/>
    <w:rsid w:val="003C2B2B"/>
    <w:rsid w:val="003C3339"/>
    <w:rsid w:val="003C375A"/>
    <w:rsid w:val="003C37AB"/>
    <w:rsid w:val="003C4317"/>
    <w:rsid w:val="003C4D9F"/>
    <w:rsid w:val="003C4EA9"/>
    <w:rsid w:val="003C5247"/>
    <w:rsid w:val="003C5B02"/>
    <w:rsid w:val="003C5D7C"/>
    <w:rsid w:val="003C5E8A"/>
    <w:rsid w:val="003C5E93"/>
    <w:rsid w:val="003C622C"/>
    <w:rsid w:val="003C6505"/>
    <w:rsid w:val="003C73C7"/>
    <w:rsid w:val="003C7CFB"/>
    <w:rsid w:val="003D050B"/>
    <w:rsid w:val="003D0B98"/>
    <w:rsid w:val="003D0C3C"/>
    <w:rsid w:val="003D0DE5"/>
    <w:rsid w:val="003D1351"/>
    <w:rsid w:val="003D15B3"/>
    <w:rsid w:val="003D21C1"/>
    <w:rsid w:val="003D370F"/>
    <w:rsid w:val="003D3B15"/>
    <w:rsid w:val="003D3B2E"/>
    <w:rsid w:val="003D3F28"/>
    <w:rsid w:val="003D4101"/>
    <w:rsid w:val="003D484D"/>
    <w:rsid w:val="003D49CB"/>
    <w:rsid w:val="003D5F10"/>
    <w:rsid w:val="003D6B8F"/>
    <w:rsid w:val="003D7566"/>
    <w:rsid w:val="003E0224"/>
    <w:rsid w:val="003E09BB"/>
    <w:rsid w:val="003E13D2"/>
    <w:rsid w:val="003E159D"/>
    <w:rsid w:val="003E1E64"/>
    <w:rsid w:val="003E20EA"/>
    <w:rsid w:val="003E210C"/>
    <w:rsid w:val="003E2294"/>
    <w:rsid w:val="003E2F55"/>
    <w:rsid w:val="003E324A"/>
    <w:rsid w:val="003E34DB"/>
    <w:rsid w:val="003E3833"/>
    <w:rsid w:val="003E3AF9"/>
    <w:rsid w:val="003E4A70"/>
    <w:rsid w:val="003E4C48"/>
    <w:rsid w:val="003E4CD9"/>
    <w:rsid w:val="003E52C2"/>
    <w:rsid w:val="003E54B3"/>
    <w:rsid w:val="003E56AC"/>
    <w:rsid w:val="003E5780"/>
    <w:rsid w:val="003E5B9F"/>
    <w:rsid w:val="003E6072"/>
    <w:rsid w:val="003E60D6"/>
    <w:rsid w:val="003E6AB6"/>
    <w:rsid w:val="003E6E0B"/>
    <w:rsid w:val="003E71CD"/>
    <w:rsid w:val="003E78DA"/>
    <w:rsid w:val="003E7A8B"/>
    <w:rsid w:val="003E7D83"/>
    <w:rsid w:val="003F060E"/>
    <w:rsid w:val="003F0F7F"/>
    <w:rsid w:val="003F115C"/>
    <w:rsid w:val="003F153A"/>
    <w:rsid w:val="003F1C94"/>
    <w:rsid w:val="003F300D"/>
    <w:rsid w:val="003F391F"/>
    <w:rsid w:val="003F4599"/>
    <w:rsid w:val="003F45E1"/>
    <w:rsid w:val="003F4F6C"/>
    <w:rsid w:val="003F559E"/>
    <w:rsid w:val="003F6181"/>
    <w:rsid w:val="003F6BFC"/>
    <w:rsid w:val="003F7343"/>
    <w:rsid w:val="00400002"/>
    <w:rsid w:val="00400054"/>
    <w:rsid w:val="00400DC1"/>
    <w:rsid w:val="004016A3"/>
    <w:rsid w:val="00401B31"/>
    <w:rsid w:val="0040202B"/>
    <w:rsid w:val="0040219D"/>
    <w:rsid w:val="00402B33"/>
    <w:rsid w:val="00402DE1"/>
    <w:rsid w:val="00402EEB"/>
    <w:rsid w:val="004037C2"/>
    <w:rsid w:val="00403FDE"/>
    <w:rsid w:val="00404041"/>
    <w:rsid w:val="004040D4"/>
    <w:rsid w:val="00404B43"/>
    <w:rsid w:val="00404C61"/>
    <w:rsid w:val="00405487"/>
    <w:rsid w:val="00405B8A"/>
    <w:rsid w:val="00405D2F"/>
    <w:rsid w:val="0040602B"/>
    <w:rsid w:val="0040606C"/>
    <w:rsid w:val="004060DC"/>
    <w:rsid w:val="004068CD"/>
    <w:rsid w:val="00406DF5"/>
    <w:rsid w:val="00406F35"/>
    <w:rsid w:val="00407192"/>
    <w:rsid w:val="004077D0"/>
    <w:rsid w:val="00407A7A"/>
    <w:rsid w:val="00407ABC"/>
    <w:rsid w:val="00407E2E"/>
    <w:rsid w:val="00407F1E"/>
    <w:rsid w:val="004103B3"/>
    <w:rsid w:val="00410A88"/>
    <w:rsid w:val="00410CC8"/>
    <w:rsid w:val="00411317"/>
    <w:rsid w:val="00411692"/>
    <w:rsid w:val="00411A9E"/>
    <w:rsid w:val="0041259F"/>
    <w:rsid w:val="00412B1B"/>
    <w:rsid w:val="00412B4D"/>
    <w:rsid w:val="00412C51"/>
    <w:rsid w:val="00413262"/>
    <w:rsid w:val="0041329C"/>
    <w:rsid w:val="004139F4"/>
    <w:rsid w:val="00413FFA"/>
    <w:rsid w:val="00414246"/>
    <w:rsid w:val="0041463D"/>
    <w:rsid w:val="00414D9A"/>
    <w:rsid w:val="00415194"/>
    <w:rsid w:val="00415816"/>
    <w:rsid w:val="00415B88"/>
    <w:rsid w:val="00415D32"/>
    <w:rsid w:val="00415E6A"/>
    <w:rsid w:val="004160A2"/>
    <w:rsid w:val="0041674B"/>
    <w:rsid w:val="004170D7"/>
    <w:rsid w:val="004177A6"/>
    <w:rsid w:val="00417C00"/>
    <w:rsid w:val="00417C23"/>
    <w:rsid w:val="00417EFD"/>
    <w:rsid w:val="004200EE"/>
    <w:rsid w:val="00420786"/>
    <w:rsid w:val="004209D2"/>
    <w:rsid w:val="00420BBA"/>
    <w:rsid w:val="00420D6E"/>
    <w:rsid w:val="00420F50"/>
    <w:rsid w:val="0042158C"/>
    <w:rsid w:val="00421617"/>
    <w:rsid w:val="004217A7"/>
    <w:rsid w:val="00421BD2"/>
    <w:rsid w:val="00421E00"/>
    <w:rsid w:val="00421FCB"/>
    <w:rsid w:val="004220E2"/>
    <w:rsid w:val="0042283A"/>
    <w:rsid w:val="00422DCA"/>
    <w:rsid w:val="00423D04"/>
    <w:rsid w:val="00423F9F"/>
    <w:rsid w:val="00424C5B"/>
    <w:rsid w:val="00425C43"/>
    <w:rsid w:val="004273FA"/>
    <w:rsid w:val="004275A7"/>
    <w:rsid w:val="00427BDA"/>
    <w:rsid w:val="00430186"/>
    <w:rsid w:val="00430F17"/>
    <w:rsid w:val="00431CC7"/>
    <w:rsid w:val="0043260C"/>
    <w:rsid w:val="0043269A"/>
    <w:rsid w:val="00432E92"/>
    <w:rsid w:val="004333C2"/>
    <w:rsid w:val="00434787"/>
    <w:rsid w:val="00434C13"/>
    <w:rsid w:val="00434D8B"/>
    <w:rsid w:val="00435294"/>
    <w:rsid w:val="00435530"/>
    <w:rsid w:val="00435703"/>
    <w:rsid w:val="00435BD5"/>
    <w:rsid w:val="00435C7F"/>
    <w:rsid w:val="00436323"/>
    <w:rsid w:val="0043683F"/>
    <w:rsid w:val="00436C94"/>
    <w:rsid w:val="00436F40"/>
    <w:rsid w:val="004370FA"/>
    <w:rsid w:val="00440096"/>
    <w:rsid w:val="004403DD"/>
    <w:rsid w:val="00440CF3"/>
    <w:rsid w:val="00440DB0"/>
    <w:rsid w:val="00440DDC"/>
    <w:rsid w:val="00440FAD"/>
    <w:rsid w:val="00441291"/>
    <w:rsid w:val="00441E04"/>
    <w:rsid w:val="004420AB"/>
    <w:rsid w:val="004422D6"/>
    <w:rsid w:val="004427AC"/>
    <w:rsid w:val="00442C7D"/>
    <w:rsid w:val="00442D13"/>
    <w:rsid w:val="00442D4D"/>
    <w:rsid w:val="0044361F"/>
    <w:rsid w:val="0044374D"/>
    <w:rsid w:val="004437B1"/>
    <w:rsid w:val="00443ACA"/>
    <w:rsid w:val="00443B55"/>
    <w:rsid w:val="00443D27"/>
    <w:rsid w:val="0044500B"/>
    <w:rsid w:val="004451C5"/>
    <w:rsid w:val="00446037"/>
    <w:rsid w:val="00446270"/>
    <w:rsid w:val="0044642F"/>
    <w:rsid w:val="0044772C"/>
    <w:rsid w:val="00450846"/>
    <w:rsid w:val="00451A52"/>
    <w:rsid w:val="0045271D"/>
    <w:rsid w:val="00452755"/>
    <w:rsid w:val="00452803"/>
    <w:rsid w:val="004529C6"/>
    <w:rsid w:val="00452EAD"/>
    <w:rsid w:val="004533D1"/>
    <w:rsid w:val="004534D1"/>
    <w:rsid w:val="004540B8"/>
    <w:rsid w:val="00454548"/>
    <w:rsid w:val="00454717"/>
    <w:rsid w:val="00454C0F"/>
    <w:rsid w:val="00454DB5"/>
    <w:rsid w:val="00454DF8"/>
    <w:rsid w:val="00455004"/>
    <w:rsid w:val="00455047"/>
    <w:rsid w:val="00455354"/>
    <w:rsid w:val="0045558D"/>
    <w:rsid w:val="00455BD3"/>
    <w:rsid w:val="004560FE"/>
    <w:rsid w:val="004567DA"/>
    <w:rsid w:val="00456970"/>
    <w:rsid w:val="00456BB1"/>
    <w:rsid w:val="00456CD4"/>
    <w:rsid w:val="00456DDB"/>
    <w:rsid w:val="00456E61"/>
    <w:rsid w:val="00457031"/>
    <w:rsid w:val="00460915"/>
    <w:rsid w:val="00460946"/>
    <w:rsid w:val="004614A9"/>
    <w:rsid w:val="00461E97"/>
    <w:rsid w:val="0046268F"/>
    <w:rsid w:val="0046284F"/>
    <w:rsid w:val="00462B10"/>
    <w:rsid w:val="00462C04"/>
    <w:rsid w:val="0046320A"/>
    <w:rsid w:val="00463347"/>
    <w:rsid w:val="004636CC"/>
    <w:rsid w:val="004638E2"/>
    <w:rsid w:val="00464030"/>
    <w:rsid w:val="00464235"/>
    <w:rsid w:val="004647F8"/>
    <w:rsid w:val="004647FB"/>
    <w:rsid w:val="00464896"/>
    <w:rsid w:val="00465347"/>
    <w:rsid w:val="00465677"/>
    <w:rsid w:val="00466616"/>
    <w:rsid w:val="00466A0C"/>
    <w:rsid w:val="00466A53"/>
    <w:rsid w:val="00467EE3"/>
    <w:rsid w:val="00470A6A"/>
    <w:rsid w:val="00470ABA"/>
    <w:rsid w:val="00470C12"/>
    <w:rsid w:val="00470D73"/>
    <w:rsid w:val="00470D92"/>
    <w:rsid w:val="00471DF7"/>
    <w:rsid w:val="004734CF"/>
    <w:rsid w:val="00473A5B"/>
    <w:rsid w:val="00473F33"/>
    <w:rsid w:val="004741A6"/>
    <w:rsid w:val="0047586C"/>
    <w:rsid w:val="00475A31"/>
    <w:rsid w:val="00475C5A"/>
    <w:rsid w:val="00475C9C"/>
    <w:rsid w:val="0047676B"/>
    <w:rsid w:val="0047773C"/>
    <w:rsid w:val="00477C5F"/>
    <w:rsid w:val="00480050"/>
    <w:rsid w:val="0048011C"/>
    <w:rsid w:val="004808DE"/>
    <w:rsid w:val="00480F9A"/>
    <w:rsid w:val="00481912"/>
    <w:rsid w:val="00481AC4"/>
    <w:rsid w:val="00481DC1"/>
    <w:rsid w:val="00482194"/>
    <w:rsid w:val="00482507"/>
    <w:rsid w:val="0048268A"/>
    <w:rsid w:val="004826AE"/>
    <w:rsid w:val="00482A64"/>
    <w:rsid w:val="00482FA9"/>
    <w:rsid w:val="004835CA"/>
    <w:rsid w:val="004836D7"/>
    <w:rsid w:val="004836F8"/>
    <w:rsid w:val="004836FE"/>
    <w:rsid w:val="00484A39"/>
    <w:rsid w:val="00484F0F"/>
    <w:rsid w:val="00484F40"/>
    <w:rsid w:val="0048540C"/>
    <w:rsid w:val="00485F27"/>
    <w:rsid w:val="004861B4"/>
    <w:rsid w:val="00486226"/>
    <w:rsid w:val="0048690F"/>
    <w:rsid w:val="00486BD0"/>
    <w:rsid w:val="00486D00"/>
    <w:rsid w:val="00486FF7"/>
    <w:rsid w:val="00487263"/>
    <w:rsid w:val="0048734F"/>
    <w:rsid w:val="0048757F"/>
    <w:rsid w:val="0049029D"/>
    <w:rsid w:val="0049030C"/>
    <w:rsid w:val="004903C0"/>
    <w:rsid w:val="0049114B"/>
    <w:rsid w:val="004912A8"/>
    <w:rsid w:val="00491577"/>
    <w:rsid w:val="004918E1"/>
    <w:rsid w:val="0049196A"/>
    <w:rsid w:val="0049196E"/>
    <w:rsid w:val="0049241A"/>
    <w:rsid w:val="00492844"/>
    <w:rsid w:val="00492C1F"/>
    <w:rsid w:val="00492E4C"/>
    <w:rsid w:val="00493521"/>
    <w:rsid w:val="00493664"/>
    <w:rsid w:val="004938FD"/>
    <w:rsid w:val="00493E04"/>
    <w:rsid w:val="004940E3"/>
    <w:rsid w:val="0049530F"/>
    <w:rsid w:val="004958F6"/>
    <w:rsid w:val="00495D30"/>
    <w:rsid w:val="00496023"/>
    <w:rsid w:val="00496664"/>
    <w:rsid w:val="00496786"/>
    <w:rsid w:val="0049695B"/>
    <w:rsid w:val="00496D8F"/>
    <w:rsid w:val="00497463"/>
    <w:rsid w:val="004A054C"/>
    <w:rsid w:val="004A08D1"/>
    <w:rsid w:val="004A121B"/>
    <w:rsid w:val="004A16C1"/>
    <w:rsid w:val="004A1CE2"/>
    <w:rsid w:val="004A2F71"/>
    <w:rsid w:val="004A34D2"/>
    <w:rsid w:val="004A3EEA"/>
    <w:rsid w:val="004A4301"/>
    <w:rsid w:val="004A4D93"/>
    <w:rsid w:val="004A546E"/>
    <w:rsid w:val="004A58EE"/>
    <w:rsid w:val="004A59B7"/>
    <w:rsid w:val="004A6051"/>
    <w:rsid w:val="004A623B"/>
    <w:rsid w:val="004A6A04"/>
    <w:rsid w:val="004A6A52"/>
    <w:rsid w:val="004B09B0"/>
    <w:rsid w:val="004B0A44"/>
    <w:rsid w:val="004B0F0B"/>
    <w:rsid w:val="004B205A"/>
    <w:rsid w:val="004B2197"/>
    <w:rsid w:val="004B298A"/>
    <w:rsid w:val="004B2BB8"/>
    <w:rsid w:val="004B2EA5"/>
    <w:rsid w:val="004B50CB"/>
    <w:rsid w:val="004B578D"/>
    <w:rsid w:val="004B5BE7"/>
    <w:rsid w:val="004B5E2D"/>
    <w:rsid w:val="004B6C07"/>
    <w:rsid w:val="004B74D3"/>
    <w:rsid w:val="004B755E"/>
    <w:rsid w:val="004B788E"/>
    <w:rsid w:val="004B7E5D"/>
    <w:rsid w:val="004C1198"/>
    <w:rsid w:val="004C22F7"/>
    <w:rsid w:val="004C2B27"/>
    <w:rsid w:val="004C3929"/>
    <w:rsid w:val="004C4160"/>
    <w:rsid w:val="004C5160"/>
    <w:rsid w:val="004C5212"/>
    <w:rsid w:val="004C5EF0"/>
    <w:rsid w:val="004C64C9"/>
    <w:rsid w:val="004C7226"/>
    <w:rsid w:val="004C74C9"/>
    <w:rsid w:val="004C7915"/>
    <w:rsid w:val="004C7D70"/>
    <w:rsid w:val="004D02F9"/>
    <w:rsid w:val="004D03FE"/>
    <w:rsid w:val="004D0446"/>
    <w:rsid w:val="004D06A3"/>
    <w:rsid w:val="004D0F95"/>
    <w:rsid w:val="004D106A"/>
    <w:rsid w:val="004D1162"/>
    <w:rsid w:val="004D1C7E"/>
    <w:rsid w:val="004D245A"/>
    <w:rsid w:val="004D31EE"/>
    <w:rsid w:val="004D36AF"/>
    <w:rsid w:val="004D3BD1"/>
    <w:rsid w:val="004D4040"/>
    <w:rsid w:val="004D4BA1"/>
    <w:rsid w:val="004D584D"/>
    <w:rsid w:val="004D5A7E"/>
    <w:rsid w:val="004D6120"/>
    <w:rsid w:val="004D6826"/>
    <w:rsid w:val="004D7497"/>
    <w:rsid w:val="004E023F"/>
    <w:rsid w:val="004E03E8"/>
    <w:rsid w:val="004E0546"/>
    <w:rsid w:val="004E0556"/>
    <w:rsid w:val="004E0742"/>
    <w:rsid w:val="004E0C64"/>
    <w:rsid w:val="004E0F6B"/>
    <w:rsid w:val="004E1545"/>
    <w:rsid w:val="004E1F1C"/>
    <w:rsid w:val="004E2695"/>
    <w:rsid w:val="004E2A35"/>
    <w:rsid w:val="004E2C09"/>
    <w:rsid w:val="004E2CCF"/>
    <w:rsid w:val="004E3B71"/>
    <w:rsid w:val="004E40CE"/>
    <w:rsid w:val="004E5736"/>
    <w:rsid w:val="004E5A3C"/>
    <w:rsid w:val="004E5B36"/>
    <w:rsid w:val="004E5D5D"/>
    <w:rsid w:val="004E6045"/>
    <w:rsid w:val="004E67D0"/>
    <w:rsid w:val="004E6D01"/>
    <w:rsid w:val="004E6F43"/>
    <w:rsid w:val="004E7200"/>
    <w:rsid w:val="004E787E"/>
    <w:rsid w:val="004E7AA1"/>
    <w:rsid w:val="004F0805"/>
    <w:rsid w:val="004F0960"/>
    <w:rsid w:val="004F0A5C"/>
    <w:rsid w:val="004F1596"/>
    <w:rsid w:val="004F163F"/>
    <w:rsid w:val="004F18A0"/>
    <w:rsid w:val="004F1A08"/>
    <w:rsid w:val="004F2480"/>
    <w:rsid w:val="004F2B64"/>
    <w:rsid w:val="004F31B8"/>
    <w:rsid w:val="004F33FA"/>
    <w:rsid w:val="004F375E"/>
    <w:rsid w:val="004F3764"/>
    <w:rsid w:val="004F3EEF"/>
    <w:rsid w:val="004F5129"/>
    <w:rsid w:val="004F5180"/>
    <w:rsid w:val="004F57C9"/>
    <w:rsid w:val="004F5930"/>
    <w:rsid w:val="004F5970"/>
    <w:rsid w:val="004F5A24"/>
    <w:rsid w:val="004F5F0C"/>
    <w:rsid w:val="004F6121"/>
    <w:rsid w:val="004F6161"/>
    <w:rsid w:val="004F66BC"/>
    <w:rsid w:val="004F6C26"/>
    <w:rsid w:val="004F6F6D"/>
    <w:rsid w:val="004F76BF"/>
    <w:rsid w:val="004F7AC9"/>
    <w:rsid w:val="0050062F"/>
    <w:rsid w:val="00500E74"/>
    <w:rsid w:val="005013EB"/>
    <w:rsid w:val="00501525"/>
    <w:rsid w:val="0050160F"/>
    <w:rsid w:val="0050284E"/>
    <w:rsid w:val="0050306F"/>
    <w:rsid w:val="0050309C"/>
    <w:rsid w:val="00503A17"/>
    <w:rsid w:val="00505892"/>
    <w:rsid w:val="00505DCB"/>
    <w:rsid w:val="0050674C"/>
    <w:rsid w:val="00507066"/>
    <w:rsid w:val="005075CA"/>
    <w:rsid w:val="00507B06"/>
    <w:rsid w:val="00507BF1"/>
    <w:rsid w:val="0051074C"/>
    <w:rsid w:val="00510DE9"/>
    <w:rsid w:val="005111E2"/>
    <w:rsid w:val="00511231"/>
    <w:rsid w:val="00511741"/>
    <w:rsid w:val="005119D2"/>
    <w:rsid w:val="0051255B"/>
    <w:rsid w:val="00512C4F"/>
    <w:rsid w:val="00513042"/>
    <w:rsid w:val="0051334F"/>
    <w:rsid w:val="00513399"/>
    <w:rsid w:val="00513AF2"/>
    <w:rsid w:val="00514575"/>
    <w:rsid w:val="00514911"/>
    <w:rsid w:val="00514C03"/>
    <w:rsid w:val="00514D67"/>
    <w:rsid w:val="0051522A"/>
    <w:rsid w:val="00515515"/>
    <w:rsid w:val="005155E3"/>
    <w:rsid w:val="00515625"/>
    <w:rsid w:val="0051635C"/>
    <w:rsid w:val="00516C5B"/>
    <w:rsid w:val="00516DB7"/>
    <w:rsid w:val="005172DA"/>
    <w:rsid w:val="00517612"/>
    <w:rsid w:val="00517CFB"/>
    <w:rsid w:val="00517F85"/>
    <w:rsid w:val="0052002F"/>
    <w:rsid w:val="00520235"/>
    <w:rsid w:val="005203F6"/>
    <w:rsid w:val="00520899"/>
    <w:rsid w:val="00520922"/>
    <w:rsid w:val="005209FC"/>
    <w:rsid w:val="00520C09"/>
    <w:rsid w:val="00521A30"/>
    <w:rsid w:val="00521A91"/>
    <w:rsid w:val="00521D7C"/>
    <w:rsid w:val="00521EA7"/>
    <w:rsid w:val="005224E5"/>
    <w:rsid w:val="00522E0D"/>
    <w:rsid w:val="0052311A"/>
    <w:rsid w:val="0052370B"/>
    <w:rsid w:val="00523903"/>
    <w:rsid w:val="005239B6"/>
    <w:rsid w:val="00523C45"/>
    <w:rsid w:val="00523F41"/>
    <w:rsid w:val="00524165"/>
    <w:rsid w:val="005244FC"/>
    <w:rsid w:val="005246E7"/>
    <w:rsid w:val="00524B08"/>
    <w:rsid w:val="00524C38"/>
    <w:rsid w:val="00524FD2"/>
    <w:rsid w:val="00525621"/>
    <w:rsid w:val="00526181"/>
    <w:rsid w:val="00526431"/>
    <w:rsid w:val="00527532"/>
    <w:rsid w:val="00527DEB"/>
    <w:rsid w:val="00527E57"/>
    <w:rsid w:val="00527F2C"/>
    <w:rsid w:val="00530405"/>
    <w:rsid w:val="00530458"/>
    <w:rsid w:val="00530522"/>
    <w:rsid w:val="005305E5"/>
    <w:rsid w:val="0053086F"/>
    <w:rsid w:val="00530CBA"/>
    <w:rsid w:val="00530F38"/>
    <w:rsid w:val="00531F26"/>
    <w:rsid w:val="00532501"/>
    <w:rsid w:val="0053277C"/>
    <w:rsid w:val="005327C0"/>
    <w:rsid w:val="00532AB8"/>
    <w:rsid w:val="00533101"/>
    <w:rsid w:val="00533CA9"/>
    <w:rsid w:val="005346AD"/>
    <w:rsid w:val="00534EFB"/>
    <w:rsid w:val="00534F60"/>
    <w:rsid w:val="005357F1"/>
    <w:rsid w:val="005359BF"/>
    <w:rsid w:val="00535B2F"/>
    <w:rsid w:val="00535C73"/>
    <w:rsid w:val="00535D15"/>
    <w:rsid w:val="00535FC3"/>
    <w:rsid w:val="00536053"/>
    <w:rsid w:val="005363C6"/>
    <w:rsid w:val="005369E6"/>
    <w:rsid w:val="005371AC"/>
    <w:rsid w:val="00537672"/>
    <w:rsid w:val="005376B5"/>
    <w:rsid w:val="0053772F"/>
    <w:rsid w:val="00537A70"/>
    <w:rsid w:val="00537B64"/>
    <w:rsid w:val="00537B77"/>
    <w:rsid w:val="00540617"/>
    <w:rsid w:val="00540C4C"/>
    <w:rsid w:val="00540DC5"/>
    <w:rsid w:val="00541469"/>
    <w:rsid w:val="00541571"/>
    <w:rsid w:val="005419DA"/>
    <w:rsid w:val="00541B1F"/>
    <w:rsid w:val="0054275A"/>
    <w:rsid w:val="005428B8"/>
    <w:rsid w:val="005428BE"/>
    <w:rsid w:val="00542BD7"/>
    <w:rsid w:val="00542D08"/>
    <w:rsid w:val="00543084"/>
    <w:rsid w:val="00543584"/>
    <w:rsid w:val="00543A9E"/>
    <w:rsid w:val="0054413A"/>
    <w:rsid w:val="00544288"/>
    <w:rsid w:val="005446BB"/>
    <w:rsid w:val="00544DA5"/>
    <w:rsid w:val="00544F43"/>
    <w:rsid w:val="00545997"/>
    <w:rsid w:val="00545E30"/>
    <w:rsid w:val="00545EA3"/>
    <w:rsid w:val="00546C9B"/>
    <w:rsid w:val="00546F81"/>
    <w:rsid w:val="00547378"/>
    <w:rsid w:val="00547BF6"/>
    <w:rsid w:val="00547FB3"/>
    <w:rsid w:val="00551098"/>
    <w:rsid w:val="00551598"/>
    <w:rsid w:val="0055162B"/>
    <w:rsid w:val="00551A56"/>
    <w:rsid w:val="00551BFF"/>
    <w:rsid w:val="00551D68"/>
    <w:rsid w:val="00551DFF"/>
    <w:rsid w:val="005525C9"/>
    <w:rsid w:val="00552B3E"/>
    <w:rsid w:val="00553A23"/>
    <w:rsid w:val="00554578"/>
    <w:rsid w:val="00554D57"/>
    <w:rsid w:val="0055518C"/>
    <w:rsid w:val="005551AA"/>
    <w:rsid w:val="00555BCE"/>
    <w:rsid w:val="00555E2F"/>
    <w:rsid w:val="005564CA"/>
    <w:rsid w:val="005568BD"/>
    <w:rsid w:val="005568EA"/>
    <w:rsid w:val="00557140"/>
    <w:rsid w:val="0055715A"/>
    <w:rsid w:val="0055729E"/>
    <w:rsid w:val="00557436"/>
    <w:rsid w:val="00557984"/>
    <w:rsid w:val="00557A3F"/>
    <w:rsid w:val="00560BC1"/>
    <w:rsid w:val="00560C87"/>
    <w:rsid w:val="00560F51"/>
    <w:rsid w:val="00561249"/>
    <w:rsid w:val="0056182B"/>
    <w:rsid w:val="00561A88"/>
    <w:rsid w:val="00561AF3"/>
    <w:rsid w:val="00561E0B"/>
    <w:rsid w:val="00562141"/>
    <w:rsid w:val="00562D86"/>
    <w:rsid w:val="005640CA"/>
    <w:rsid w:val="00564704"/>
    <w:rsid w:val="00564712"/>
    <w:rsid w:val="005657A8"/>
    <w:rsid w:val="00565952"/>
    <w:rsid w:val="00566866"/>
    <w:rsid w:val="005670A5"/>
    <w:rsid w:val="00567285"/>
    <w:rsid w:val="00567723"/>
    <w:rsid w:val="0056772D"/>
    <w:rsid w:val="005678F5"/>
    <w:rsid w:val="00567AB8"/>
    <w:rsid w:val="00570A26"/>
    <w:rsid w:val="00570CFD"/>
    <w:rsid w:val="00570E4C"/>
    <w:rsid w:val="00571872"/>
    <w:rsid w:val="00571A8A"/>
    <w:rsid w:val="0057221F"/>
    <w:rsid w:val="0057230B"/>
    <w:rsid w:val="00572421"/>
    <w:rsid w:val="00572539"/>
    <w:rsid w:val="00573355"/>
    <w:rsid w:val="0057337D"/>
    <w:rsid w:val="00573504"/>
    <w:rsid w:val="0057355F"/>
    <w:rsid w:val="00573BA3"/>
    <w:rsid w:val="00574708"/>
    <w:rsid w:val="00574D81"/>
    <w:rsid w:val="0057515E"/>
    <w:rsid w:val="005756AA"/>
    <w:rsid w:val="00576814"/>
    <w:rsid w:val="0057696F"/>
    <w:rsid w:val="005774FE"/>
    <w:rsid w:val="0058040C"/>
    <w:rsid w:val="00580D6D"/>
    <w:rsid w:val="00580FD8"/>
    <w:rsid w:val="005813DE"/>
    <w:rsid w:val="00581796"/>
    <w:rsid w:val="0058195C"/>
    <w:rsid w:val="00581B45"/>
    <w:rsid w:val="00582480"/>
    <w:rsid w:val="00582805"/>
    <w:rsid w:val="0058290E"/>
    <w:rsid w:val="00582CAB"/>
    <w:rsid w:val="00582FA6"/>
    <w:rsid w:val="005836D5"/>
    <w:rsid w:val="0058375E"/>
    <w:rsid w:val="005838D5"/>
    <w:rsid w:val="00584233"/>
    <w:rsid w:val="0058425C"/>
    <w:rsid w:val="005842D0"/>
    <w:rsid w:val="005845FB"/>
    <w:rsid w:val="005855AE"/>
    <w:rsid w:val="00585829"/>
    <w:rsid w:val="00585CA8"/>
    <w:rsid w:val="00586412"/>
    <w:rsid w:val="005864B9"/>
    <w:rsid w:val="00586564"/>
    <w:rsid w:val="005866C4"/>
    <w:rsid w:val="005872A0"/>
    <w:rsid w:val="00590F1A"/>
    <w:rsid w:val="00591C03"/>
    <w:rsid w:val="00591E2A"/>
    <w:rsid w:val="005923C4"/>
    <w:rsid w:val="0059397D"/>
    <w:rsid w:val="00593EA2"/>
    <w:rsid w:val="00593F75"/>
    <w:rsid w:val="005940A0"/>
    <w:rsid w:val="005940D4"/>
    <w:rsid w:val="0059429A"/>
    <w:rsid w:val="00594CBE"/>
    <w:rsid w:val="00596AF7"/>
    <w:rsid w:val="00596CCE"/>
    <w:rsid w:val="005A0AE0"/>
    <w:rsid w:val="005A1976"/>
    <w:rsid w:val="005A200E"/>
    <w:rsid w:val="005A2120"/>
    <w:rsid w:val="005A2501"/>
    <w:rsid w:val="005A2C80"/>
    <w:rsid w:val="005A3066"/>
    <w:rsid w:val="005A33BF"/>
    <w:rsid w:val="005A3B35"/>
    <w:rsid w:val="005A3C4B"/>
    <w:rsid w:val="005A3E5A"/>
    <w:rsid w:val="005A43F3"/>
    <w:rsid w:val="005A496F"/>
    <w:rsid w:val="005A4A56"/>
    <w:rsid w:val="005A4F3C"/>
    <w:rsid w:val="005A5259"/>
    <w:rsid w:val="005A5608"/>
    <w:rsid w:val="005A5A3D"/>
    <w:rsid w:val="005A6035"/>
    <w:rsid w:val="005A662B"/>
    <w:rsid w:val="005A6B75"/>
    <w:rsid w:val="005A6E00"/>
    <w:rsid w:val="005A718A"/>
    <w:rsid w:val="005A72DD"/>
    <w:rsid w:val="005A7885"/>
    <w:rsid w:val="005B0293"/>
    <w:rsid w:val="005B12B2"/>
    <w:rsid w:val="005B143B"/>
    <w:rsid w:val="005B19BD"/>
    <w:rsid w:val="005B1E45"/>
    <w:rsid w:val="005B21C4"/>
    <w:rsid w:val="005B2A28"/>
    <w:rsid w:val="005B35AB"/>
    <w:rsid w:val="005B3621"/>
    <w:rsid w:val="005B3EBE"/>
    <w:rsid w:val="005B4948"/>
    <w:rsid w:val="005B501D"/>
    <w:rsid w:val="005B54CC"/>
    <w:rsid w:val="005B6F69"/>
    <w:rsid w:val="005B71BB"/>
    <w:rsid w:val="005B74AD"/>
    <w:rsid w:val="005B7E96"/>
    <w:rsid w:val="005C0429"/>
    <w:rsid w:val="005C06A5"/>
    <w:rsid w:val="005C084F"/>
    <w:rsid w:val="005C0EE9"/>
    <w:rsid w:val="005C169F"/>
    <w:rsid w:val="005C16A8"/>
    <w:rsid w:val="005C1716"/>
    <w:rsid w:val="005C1954"/>
    <w:rsid w:val="005C1C0B"/>
    <w:rsid w:val="005C1D5F"/>
    <w:rsid w:val="005C1D8B"/>
    <w:rsid w:val="005C2011"/>
    <w:rsid w:val="005C39CB"/>
    <w:rsid w:val="005C3EA3"/>
    <w:rsid w:val="005C44DE"/>
    <w:rsid w:val="005C5011"/>
    <w:rsid w:val="005C5241"/>
    <w:rsid w:val="005C529E"/>
    <w:rsid w:val="005C57BA"/>
    <w:rsid w:val="005C5C52"/>
    <w:rsid w:val="005C5D3D"/>
    <w:rsid w:val="005C5DB6"/>
    <w:rsid w:val="005C5F05"/>
    <w:rsid w:val="005C6186"/>
    <w:rsid w:val="005C6CF7"/>
    <w:rsid w:val="005C6D19"/>
    <w:rsid w:val="005C7E45"/>
    <w:rsid w:val="005C7F3E"/>
    <w:rsid w:val="005D06D3"/>
    <w:rsid w:val="005D0C3B"/>
    <w:rsid w:val="005D103E"/>
    <w:rsid w:val="005D1051"/>
    <w:rsid w:val="005D1606"/>
    <w:rsid w:val="005D1D10"/>
    <w:rsid w:val="005D2044"/>
    <w:rsid w:val="005D209E"/>
    <w:rsid w:val="005D2917"/>
    <w:rsid w:val="005D2EB2"/>
    <w:rsid w:val="005D2F48"/>
    <w:rsid w:val="005D3902"/>
    <w:rsid w:val="005D3B32"/>
    <w:rsid w:val="005D464B"/>
    <w:rsid w:val="005D466F"/>
    <w:rsid w:val="005D49F0"/>
    <w:rsid w:val="005D51F7"/>
    <w:rsid w:val="005D51FA"/>
    <w:rsid w:val="005D53E8"/>
    <w:rsid w:val="005D5A9D"/>
    <w:rsid w:val="005D5D15"/>
    <w:rsid w:val="005D6573"/>
    <w:rsid w:val="005D6651"/>
    <w:rsid w:val="005D691D"/>
    <w:rsid w:val="005D6A72"/>
    <w:rsid w:val="005D6F38"/>
    <w:rsid w:val="005D791B"/>
    <w:rsid w:val="005D7CF2"/>
    <w:rsid w:val="005D7F92"/>
    <w:rsid w:val="005E062C"/>
    <w:rsid w:val="005E0D7B"/>
    <w:rsid w:val="005E1595"/>
    <w:rsid w:val="005E1F1D"/>
    <w:rsid w:val="005E273D"/>
    <w:rsid w:val="005E3278"/>
    <w:rsid w:val="005E363B"/>
    <w:rsid w:val="005E3736"/>
    <w:rsid w:val="005E3D4B"/>
    <w:rsid w:val="005E4B72"/>
    <w:rsid w:val="005E5022"/>
    <w:rsid w:val="005E52C9"/>
    <w:rsid w:val="005E781C"/>
    <w:rsid w:val="005F0890"/>
    <w:rsid w:val="005F2856"/>
    <w:rsid w:val="005F2955"/>
    <w:rsid w:val="005F2D8B"/>
    <w:rsid w:val="005F305B"/>
    <w:rsid w:val="005F3361"/>
    <w:rsid w:val="005F361A"/>
    <w:rsid w:val="005F3B47"/>
    <w:rsid w:val="005F4481"/>
    <w:rsid w:val="005F4596"/>
    <w:rsid w:val="005F47AC"/>
    <w:rsid w:val="005F49AF"/>
    <w:rsid w:val="005F4A58"/>
    <w:rsid w:val="005F54D1"/>
    <w:rsid w:val="005F54DF"/>
    <w:rsid w:val="005F5888"/>
    <w:rsid w:val="005F5984"/>
    <w:rsid w:val="005F5A9D"/>
    <w:rsid w:val="005F5EAB"/>
    <w:rsid w:val="005F6CE2"/>
    <w:rsid w:val="005F6EC8"/>
    <w:rsid w:val="005F6F24"/>
    <w:rsid w:val="005F72E9"/>
    <w:rsid w:val="005F780B"/>
    <w:rsid w:val="0060009C"/>
    <w:rsid w:val="00600473"/>
    <w:rsid w:val="0060139A"/>
    <w:rsid w:val="006013C9"/>
    <w:rsid w:val="00602931"/>
    <w:rsid w:val="00602B45"/>
    <w:rsid w:val="00603499"/>
    <w:rsid w:val="006035F5"/>
    <w:rsid w:val="00603CC2"/>
    <w:rsid w:val="006047D1"/>
    <w:rsid w:val="006048A4"/>
    <w:rsid w:val="00604A55"/>
    <w:rsid w:val="00604D4E"/>
    <w:rsid w:val="00604E3E"/>
    <w:rsid w:val="00605712"/>
    <w:rsid w:val="00605AC3"/>
    <w:rsid w:val="00606908"/>
    <w:rsid w:val="00607460"/>
    <w:rsid w:val="0060776B"/>
    <w:rsid w:val="00607996"/>
    <w:rsid w:val="00607A37"/>
    <w:rsid w:val="00607E9F"/>
    <w:rsid w:val="006102D8"/>
    <w:rsid w:val="00610407"/>
    <w:rsid w:val="0061085E"/>
    <w:rsid w:val="006112A7"/>
    <w:rsid w:val="00611398"/>
    <w:rsid w:val="006113B4"/>
    <w:rsid w:val="006115F7"/>
    <w:rsid w:val="0061163C"/>
    <w:rsid w:val="0061186D"/>
    <w:rsid w:val="006119B7"/>
    <w:rsid w:val="00612322"/>
    <w:rsid w:val="006123C0"/>
    <w:rsid w:val="006129AB"/>
    <w:rsid w:val="00613191"/>
    <w:rsid w:val="006133F9"/>
    <w:rsid w:val="00613413"/>
    <w:rsid w:val="006134B3"/>
    <w:rsid w:val="00613746"/>
    <w:rsid w:val="00613DE1"/>
    <w:rsid w:val="0061401F"/>
    <w:rsid w:val="00614166"/>
    <w:rsid w:val="00614817"/>
    <w:rsid w:val="006149CC"/>
    <w:rsid w:val="00614E21"/>
    <w:rsid w:val="006157A9"/>
    <w:rsid w:val="0061591D"/>
    <w:rsid w:val="00615ED0"/>
    <w:rsid w:val="0061604C"/>
    <w:rsid w:val="00616C2B"/>
    <w:rsid w:val="00616D21"/>
    <w:rsid w:val="00616D7F"/>
    <w:rsid w:val="006178D1"/>
    <w:rsid w:val="00617D72"/>
    <w:rsid w:val="00620719"/>
    <w:rsid w:val="006212C9"/>
    <w:rsid w:val="0062131B"/>
    <w:rsid w:val="00621D0C"/>
    <w:rsid w:val="00622185"/>
    <w:rsid w:val="00622229"/>
    <w:rsid w:val="00622470"/>
    <w:rsid w:val="00622725"/>
    <w:rsid w:val="00622785"/>
    <w:rsid w:val="00622B63"/>
    <w:rsid w:val="00622EA1"/>
    <w:rsid w:val="006231AA"/>
    <w:rsid w:val="00623482"/>
    <w:rsid w:val="00623AC2"/>
    <w:rsid w:val="00623EBC"/>
    <w:rsid w:val="0062475D"/>
    <w:rsid w:val="00625642"/>
    <w:rsid w:val="00625DF2"/>
    <w:rsid w:val="006266D7"/>
    <w:rsid w:val="00626D42"/>
    <w:rsid w:val="00626EE3"/>
    <w:rsid w:val="006274AD"/>
    <w:rsid w:val="00627519"/>
    <w:rsid w:val="00627532"/>
    <w:rsid w:val="006302AA"/>
    <w:rsid w:val="006310C3"/>
    <w:rsid w:val="0063161E"/>
    <w:rsid w:val="00631BB5"/>
    <w:rsid w:val="00631DD0"/>
    <w:rsid w:val="00633D6C"/>
    <w:rsid w:val="00633DBF"/>
    <w:rsid w:val="00634122"/>
    <w:rsid w:val="0063444B"/>
    <w:rsid w:val="00634BEF"/>
    <w:rsid w:val="00635E32"/>
    <w:rsid w:val="006360FC"/>
    <w:rsid w:val="006361C9"/>
    <w:rsid w:val="00636405"/>
    <w:rsid w:val="006365DE"/>
    <w:rsid w:val="00636BE4"/>
    <w:rsid w:val="00636F88"/>
    <w:rsid w:val="0063732C"/>
    <w:rsid w:val="00637802"/>
    <w:rsid w:val="00637836"/>
    <w:rsid w:val="00637A68"/>
    <w:rsid w:val="00637C26"/>
    <w:rsid w:val="00637F44"/>
    <w:rsid w:val="00641078"/>
    <w:rsid w:val="00641242"/>
    <w:rsid w:val="00641761"/>
    <w:rsid w:val="00642126"/>
    <w:rsid w:val="00642A32"/>
    <w:rsid w:val="00642B8E"/>
    <w:rsid w:val="00642F7C"/>
    <w:rsid w:val="006433D5"/>
    <w:rsid w:val="00643412"/>
    <w:rsid w:val="00645844"/>
    <w:rsid w:val="00645CEB"/>
    <w:rsid w:val="00645E63"/>
    <w:rsid w:val="00646B20"/>
    <w:rsid w:val="00646D0F"/>
    <w:rsid w:val="00647A36"/>
    <w:rsid w:val="00647DCC"/>
    <w:rsid w:val="00647E8E"/>
    <w:rsid w:val="00647EFA"/>
    <w:rsid w:val="00647F14"/>
    <w:rsid w:val="00650027"/>
    <w:rsid w:val="0065040E"/>
    <w:rsid w:val="00650E89"/>
    <w:rsid w:val="006516E6"/>
    <w:rsid w:val="00651B9C"/>
    <w:rsid w:val="00651C47"/>
    <w:rsid w:val="006525BD"/>
    <w:rsid w:val="00652E70"/>
    <w:rsid w:val="00652F4D"/>
    <w:rsid w:val="0065339A"/>
    <w:rsid w:val="00653469"/>
    <w:rsid w:val="0065443A"/>
    <w:rsid w:val="00654A38"/>
    <w:rsid w:val="00654DCE"/>
    <w:rsid w:val="00655301"/>
    <w:rsid w:val="00655371"/>
    <w:rsid w:val="00655507"/>
    <w:rsid w:val="006564A5"/>
    <w:rsid w:val="00656C4B"/>
    <w:rsid w:val="00656FA2"/>
    <w:rsid w:val="006572A7"/>
    <w:rsid w:val="006572DA"/>
    <w:rsid w:val="006573EA"/>
    <w:rsid w:val="006577C9"/>
    <w:rsid w:val="006606A4"/>
    <w:rsid w:val="00661029"/>
    <w:rsid w:val="006610C3"/>
    <w:rsid w:val="0066135A"/>
    <w:rsid w:val="00661A38"/>
    <w:rsid w:val="0066272D"/>
    <w:rsid w:val="00662E58"/>
    <w:rsid w:val="00662F39"/>
    <w:rsid w:val="0066352A"/>
    <w:rsid w:val="006635A0"/>
    <w:rsid w:val="00663D26"/>
    <w:rsid w:val="00664351"/>
    <w:rsid w:val="00665968"/>
    <w:rsid w:val="00665BF7"/>
    <w:rsid w:val="00665E65"/>
    <w:rsid w:val="006660F0"/>
    <w:rsid w:val="00666178"/>
    <w:rsid w:val="0066639E"/>
    <w:rsid w:val="00666473"/>
    <w:rsid w:val="006665B0"/>
    <w:rsid w:val="00666B49"/>
    <w:rsid w:val="00666C72"/>
    <w:rsid w:val="00666E6C"/>
    <w:rsid w:val="0066707F"/>
    <w:rsid w:val="00667ED8"/>
    <w:rsid w:val="0067064C"/>
    <w:rsid w:val="00670B20"/>
    <w:rsid w:val="00670E12"/>
    <w:rsid w:val="00670F27"/>
    <w:rsid w:val="00672E80"/>
    <w:rsid w:val="0067333F"/>
    <w:rsid w:val="006737ED"/>
    <w:rsid w:val="006739E4"/>
    <w:rsid w:val="00673ECF"/>
    <w:rsid w:val="0067426B"/>
    <w:rsid w:val="00674A1B"/>
    <w:rsid w:val="00674D08"/>
    <w:rsid w:val="00674F1C"/>
    <w:rsid w:val="006754F8"/>
    <w:rsid w:val="00676127"/>
    <w:rsid w:val="00676AED"/>
    <w:rsid w:val="00677212"/>
    <w:rsid w:val="006776D3"/>
    <w:rsid w:val="00677F26"/>
    <w:rsid w:val="006800EE"/>
    <w:rsid w:val="006802A7"/>
    <w:rsid w:val="00680A86"/>
    <w:rsid w:val="00680FEA"/>
    <w:rsid w:val="006811C9"/>
    <w:rsid w:val="006812CE"/>
    <w:rsid w:val="006817D5"/>
    <w:rsid w:val="0068192C"/>
    <w:rsid w:val="006826C1"/>
    <w:rsid w:val="00682C89"/>
    <w:rsid w:val="006832B8"/>
    <w:rsid w:val="00683329"/>
    <w:rsid w:val="006837B2"/>
    <w:rsid w:val="00683800"/>
    <w:rsid w:val="00684462"/>
    <w:rsid w:val="00684C0D"/>
    <w:rsid w:val="00684C8A"/>
    <w:rsid w:val="00684CF5"/>
    <w:rsid w:val="0068553E"/>
    <w:rsid w:val="00685D37"/>
    <w:rsid w:val="00685E7B"/>
    <w:rsid w:val="00686551"/>
    <w:rsid w:val="00686CAB"/>
    <w:rsid w:val="00686E5A"/>
    <w:rsid w:val="0068717F"/>
    <w:rsid w:val="0068730C"/>
    <w:rsid w:val="00687504"/>
    <w:rsid w:val="00687A14"/>
    <w:rsid w:val="00687A8C"/>
    <w:rsid w:val="00690396"/>
    <w:rsid w:val="00690839"/>
    <w:rsid w:val="006908DB"/>
    <w:rsid w:val="00690DE9"/>
    <w:rsid w:val="00691563"/>
    <w:rsid w:val="00691A1A"/>
    <w:rsid w:val="00691DE9"/>
    <w:rsid w:val="00691EAA"/>
    <w:rsid w:val="00692245"/>
    <w:rsid w:val="00692745"/>
    <w:rsid w:val="00692FFA"/>
    <w:rsid w:val="00693772"/>
    <w:rsid w:val="00693984"/>
    <w:rsid w:val="00693B77"/>
    <w:rsid w:val="00694160"/>
    <w:rsid w:val="00694E8B"/>
    <w:rsid w:val="006959A5"/>
    <w:rsid w:val="00695C0C"/>
    <w:rsid w:val="00696736"/>
    <w:rsid w:val="00696A05"/>
    <w:rsid w:val="00697010"/>
    <w:rsid w:val="00697665"/>
    <w:rsid w:val="00697C9A"/>
    <w:rsid w:val="00697E68"/>
    <w:rsid w:val="00697FC1"/>
    <w:rsid w:val="006A0274"/>
    <w:rsid w:val="006A27BC"/>
    <w:rsid w:val="006A2A43"/>
    <w:rsid w:val="006A2BF1"/>
    <w:rsid w:val="006A2F9A"/>
    <w:rsid w:val="006A3321"/>
    <w:rsid w:val="006A34E4"/>
    <w:rsid w:val="006A35AC"/>
    <w:rsid w:val="006A3A5A"/>
    <w:rsid w:val="006A4312"/>
    <w:rsid w:val="006A44CF"/>
    <w:rsid w:val="006A457D"/>
    <w:rsid w:val="006A4B5A"/>
    <w:rsid w:val="006A4C06"/>
    <w:rsid w:val="006A55EE"/>
    <w:rsid w:val="006A575B"/>
    <w:rsid w:val="006A59DE"/>
    <w:rsid w:val="006A64C6"/>
    <w:rsid w:val="006A6655"/>
    <w:rsid w:val="006A6BF9"/>
    <w:rsid w:val="006A7AB8"/>
    <w:rsid w:val="006A7CB5"/>
    <w:rsid w:val="006A7FD0"/>
    <w:rsid w:val="006B025C"/>
    <w:rsid w:val="006B04DB"/>
    <w:rsid w:val="006B08ED"/>
    <w:rsid w:val="006B2170"/>
    <w:rsid w:val="006B2534"/>
    <w:rsid w:val="006B2CB2"/>
    <w:rsid w:val="006B347D"/>
    <w:rsid w:val="006B3E19"/>
    <w:rsid w:val="006B4488"/>
    <w:rsid w:val="006B4D5D"/>
    <w:rsid w:val="006B50C4"/>
    <w:rsid w:val="006B53AE"/>
    <w:rsid w:val="006B58B4"/>
    <w:rsid w:val="006B5D71"/>
    <w:rsid w:val="006B67AC"/>
    <w:rsid w:val="006B68CB"/>
    <w:rsid w:val="006B6B99"/>
    <w:rsid w:val="006B6F2B"/>
    <w:rsid w:val="006B786A"/>
    <w:rsid w:val="006B7E4E"/>
    <w:rsid w:val="006C003A"/>
    <w:rsid w:val="006C0273"/>
    <w:rsid w:val="006C107C"/>
    <w:rsid w:val="006C189C"/>
    <w:rsid w:val="006C2454"/>
    <w:rsid w:val="006C2551"/>
    <w:rsid w:val="006C27B9"/>
    <w:rsid w:val="006C37CA"/>
    <w:rsid w:val="006C39AE"/>
    <w:rsid w:val="006C40D2"/>
    <w:rsid w:val="006C441D"/>
    <w:rsid w:val="006C4B85"/>
    <w:rsid w:val="006C4BBD"/>
    <w:rsid w:val="006C551E"/>
    <w:rsid w:val="006C5B15"/>
    <w:rsid w:val="006C5D32"/>
    <w:rsid w:val="006C5DCB"/>
    <w:rsid w:val="006C6475"/>
    <w:rsid w:val="006C70C4"/>
    <w:rsid w:val="006C741F"/>
    <w:rsid w:val="006D04DA"/>
    <w:rsid w:val="006D10F6"/>
    <w:rsid w:val="006D1544"/>
    <w:rsid w:val="006D1688"/>
    <w:rsid w:val="006D1BE1"/>
    <w:rsid w:val="006D1DD3"/>
    <w:rsid w:val="006D1FF3"/>
    <w:rsid w:val="006D2C65"/>
    <w:rsid w:val="006D3097"/>
    <w:rsid w:val="006D32C6"/>
    <w:rsid w:val="006D360E"/>
    <w:rsid w:val="006D3697"/>
    <w:rsid w:val="006D39D2"/>
    <w:rsid w:val="006D3A94"/>
    <w:rsid w:val="006D3F2A"/>
    <w:rsid w:val="006D4370"/>
    <w:rsid w:val="006D46A3"/>
    <w:rsid w:val="006D4A81"/>
    <w:rsid w:val="006D5DCB"/>
    <w:rsid w:val="006D62E0"/>
    <w:rsid w:val="006D6575"/>
    <w:rsid w:val="006D658F"/>
    <w:rsid w:val="006D66B2"/>
    <w:rsid w:val="006D6A12"/>
    <w:rsid w:val="006D712D"/>
    <w:rsid w:val="006D7687"/>
    <w:rsid w:val="006D7D1F"/>
    <w:rsid w:val="006D7D8A"/>
    <w:rsid w:val="006E046C"/>
    <w:rsid w:val="006E0572"/>
    <w:rsid w:val="006E05D8"/>
    <w:rsid w:val="006E08EE"/>
    <w:rsid w:val="006E0F32"/>
    <w:rsid w:val="006E0FB3"/>
    <w:rsid w:val="006E155A"/>
    <w:rsid w:val="006E1B7E"/>
    <w:rsid w:val="006E2C34"/>
    <w:rsid w:val="006E359B"/>
    <w:rsid w:val="006E39D1"/>
    <w:rsid w:val="006E3B05"/>
    <w:rsid w:val="006E437F"/>
    <w:rsid w:val="006E4D5B"/>
    <w:rsid w:val="006E602F"/>
    <w:rsid w:val="006E6720"/>
    <w:rsid w:val="006E7275"/>
    <w:rsid w:val="006E77B8"/>
    <w:rsid w:val="006E7AAF"/>
    <w:rsid w:val="006F0838"/>
    <w:rsid w:val="006F0F74"/>
    <w:rsid w:val="006F13BA"/>
    <w:rsid w:val="006F15CC"/>
    <w:rsid w:val="006F15F6"/>
    <w:rsid w:val="006F1716"/>
    <w:rsid w:val="006F36EA"/>
    <w:rsid w:val="006F373D"/>
    <w:rsid w:val="006F4147"/>
    <w:rsid w:val="006F4315"/>
    <w:rsid w:val="006F4CB0"/>
    <w:rsid w:val="006F4F78"/>
    <w:rsid w:val="006F547E"/>
    <w:rsid w:val="006F5CCF"/>
    <w:rsid w:val="006F6F04"/>
    <w:rsid w:val="006F71F5"/>
    <w:rsid w:val="006F72A8"/>
    <w:rsid w:val="006F79BB"/>
    <w:rsid w:val="007000A6"/>
    <w:rsid w:val="00700610"/>
    <w:rsid w:val="00700AD7"/>
    <w:rsid w:val="0070138A"/>
    <w:rsid w:val="0070157E"/>
    <w:rsid w:val="007021B7"/>
    <w:rsid w:val="007030D4"/>
    <w:rsid w:val="00703279"/>
    <w:rsid w:val="00703B61"/>
    <w:rsid w:val="00703E11"/>
    <w:rsid w:val="00704102"/>
    <w:rsid w:val="0070437C"/>
    <w:rsid w:val="0070461C"/>
    <w:rsid w:val="00704F37"/>
    <w:rsid w:val="00705631"/>
    <w:rsid w:val="00705818"/>
    <w:rsid w:val="00705F62"/>
    <w:rsid w:val="00706321"/>
    <w:rsid w:val="00706813"/>
    <w:rsid w:val="0070773F"/>
    <w:rsid w:val="00707A2E"/>
    <w:rsid w:val="00707ED3"/>
    <w:rsid w:val="007101B7"/>
    <w:rsid w:val="00710668"/>
    <w:rsid w:val="00711019"/>
    <w:rsid w:val="007110F4"/>
    <w:rsid w:val="007112B1"/>
    <w:rsid w:val="0071130F"/>
    <w:rsid w:val="007118D2"/>
    <w:rsid w:val="00712714"/>
    <w:rsid w:val="007129AB"/>
    <w:rsid w:val="00712B63"/>
    <w:rsid w:val="00712E5F"/>
    <w:rsid w:val="00713406"/>
    <w:rsid w:val="00713526"/>
    <w:rsid w:val="00713ECF"/>
    <w:rsid w:val="00713FC5"/>
    <w:rsid w:val="00714DCA"/>
    <w:rsid w:val="007150F3"/>
    <w:rsid w:val="00715BBF"/>
    <w:rsid w:val="00715C29"/>
    <w:rsid w:val="00715CBD"/>
    <w:rsid w:val="00715EAA"/>
    <w:rsid w:val="00715EF5"/>
    <w:rsid w:val="00716119"/>
    <w:rsid w:val="00716630"/>
    <w:rsid w:val="00716BB0"/>
    <w:rsid w:val="00716CAD"/>
    <w:rsid w:val="00716CD3"/>
    <w:rsid w:val="00716F18"/>
    <w:rsid w:val="00717363"/>
    <w:rsid w:val="0071765C"/>
    <w:rsid w:val="00717786"/>
    <w:rsid w:val="00717ACB"/>
    <w:rsid w:val="0072138B"/>
    <w:rsid w:val="00721BFF"/>
    <w:rsid w:val="007227B6"/>
    <w:rsid w:val="007232EE"/>
    <w:rsid w:val="00723475"/>
    <w:rsid w:val="0072359F"/>
    <w:rsid w:val="007236C4"/>
    <w:rsid w:val="00724635"/>
    <w:rsid w:val="00724F21"/>
    <w:rsid w:val="00725134"/>
    <w:rsid w:val="0072554B"/>
    <w:rsid w:val="0072571F"/>
    <w:rsid w:val="00725AFD"/>
    <w:rsid w:val="00726603"/>
    <w:rsid w:val="007266AC"/>
    <w:rsid w:val="00727799"/>
    <w:rsid w:val="00727B1D"/>
    <w:rsid w:val="00727DDC"/>
    <w:rsid w:val="00730CD6"/>
    <w:rsid w:val="00730F74"/>
    <w:rsid w:val="0073114B"/>
    <w:rsid w:val="00731CAA"/>
    <w:rsid w:val="00732151"/>
    <w:rsid w:val="00732CCA"/>
    <w:rsid w:val="00732EBC"/>
    <w:rsid w:val="00734608"/>
    <w:rsid w:val="00734952"/>
    <w:rsid w:val="00734987"/>
    <w:rsid w:val="00734990"/>
    <w:rsid w:val="00734FF5"/>
    <w:rsid w:val="00735B78"/>
    <w:rsid w:val="00735DA7"/>
    <w:rsid w:val="00736700"/>
    <w:rsid w:val="007368B4"/>
    <w:rsid w:val="007378E0"/>
    <w:rsid w:val="00737A4D"/>
    <w:rsid w:val="0074040E"/>
    <w:rsid w:val="00740529"/>
    <w:rsid w:val="00740876"/>
    <w:rsid w:val="00741358"/>
    <w:rsid w:val="007414B3"/>
    <w:rsid w:val="00741626"/>
    <w:rsid w:val="00742332"/>
    <w:rsid w:val="007426DA"/>
    <w:rsid w:val="00742886"/>
    <w:rsid w:val="00742A3A"/>
    <w:rsid w:val="00742DD2"/>
    <w:rsid w:val="00743241"/>
    <w:rsid w:val="007437C6"/>
    <w:rsid w:val="007441A2"/>
    <w:rsid w:val="00744E80"/>
    <w:rsid w:val="00745035"/>
    <w:rsid w:val="0074531C"/>
    <w:rsid w:val="00745547"/>
    <w:rsid w:val="007459D0"/>
    <w:rsid w:val="0074623A"/>
    <w:rsid w:val="00746420"/>
    <w:rsid w:val="00746499"/>
    <w:rsid w:val="007465DD"/>
    <w:rsid w:val="00746618"/>
    <w:rsid w:val="00746A60"/>
    <w:rsid w:val="00746E04"/>
    <w:rsid w:val="00746E08"/>
    <w:rsid w:val="00746E3D"/>
    <w:rsid w:val="007473B9"/>
    <w:rsid w:val="00747C96"/>
    <w:rsid w:val="00750075"/>
    <w:rsid w:val="007502EC"/>
    <w:rsid w:val="00750382"/>
    <w:rsid w:val="0075094E"/>
    <w:rsid w:val="00750FA8"/>
    <w:rsid w:val="00750FB5"/>
    <w:rsid w:val="007520F0"/>
    <w:rsid w:val="007522E8"/>
    <w:rsid w:val="007529DB"/>
    <w:rsid w:val="007534AD"/>
    <w:rsid w:val="00753BAC"/>
    <w:rsid w:val="00754A0B"/>
    <w:rsid w:val="00755229"/>
    <w:rsid w:val="007552DB"/>
    <w:rsid w:val="0075549F"/>
    <w:rsid w:val="00755B08"/>
    <w:rsid w:val="00755D8C"/>
    <w:rsid w:val="00755DD0"/>
    <w:rsid w:val="0075647A"/>
    <w:rsid w:val="00756A2F"/>
    <w:rsid w:val="007573E1"/>
    <w:rsid w:val="0075749E"/>
    <w:rsid w:val="00757722"/>
    <w:rsid w:val="00757B2D"/>
    <w:rsid w:val="00757BAD"/>
    <w:rsid w:val="00757D62"/>
    <w:rsid w:val="00760021"/>
    <w:rsid w:val="00760561"/>
    <w:rsid w:val="00760867"/>
    <w:rsid w:val="00760EB6"/>
    <w:rsid w:val="007616DB"/>
    <w:rsid w:val="00761AB7"/>
    <w:rsid w:val="00761CE6"/>
    <w:rsid w:val="0076228A"/>
    <w:rsid w:val="00762440"/>
    <w:rsid w:val="00762499"/>
    <w:rsid w:val="0076275B"/>
    <w:rsid w:val="007629B7"/>
    <w:rsid w:val="00762E60"/>
    <w:rsid w:val="00762F54"/>
    <w:rsid w:val="007634AD"/>
    <w:rsid w:val="0076445F"/>
    <w:rsid w:val="00764EC5"/>
    <w:rsid w:val="007651EF"/>
    <w:rsid w:val="00766D49"/>
    <w:rsid w:val="00766ECC"/>
    <w:rsid w:val="007672F3"/>
    <w:rsid w:val="007673F2"/>
    <w:rsid w:val="007677B5"/>
    <w:rsid w:val="007678B1"/>
    <w:rsid w:val="007708A8"/>
    <w:rsid w:val="00772100"/>
    <w:rsid w:val="00772275"/>
    <w:rsid w:val="00772C9A"/>
    <w:rsid w:val="007734E4"/>
    <w:rsid w:val="0077380D"/>
    <w:rsid w:val="00773BC8"/>
    <w:rsid w:val="007742CB"/>
    <w:rsid w:val="00774549"/>
    <w:rsid w:val="0077466F"/>
    <w:rsid w:val="007752B7"/>
    <w:rsid w:val="007759A8"/>
    <w:rsid w:val="00775C27"/>
    <w:rsid w:val="00775D98"/>
    <w:rsid w:val="00776B93"/>
    <w:rsid w:val="00776FE5"/>
    <w:rsid w:val="00777101"/>
    <w:rsid w:val="007774E7"/>
    <w:rsid w:val="0077768C"/>
    <w:rsid w:val="00777696"/>
    <w:rsid w:val="00777EDF"/>
    <w:rsid w:val="00777FF4"/>
    <w:rsid w:val="00780251"/>
    <w:rsid w:val="007804FE"/>
    <w:rsid w:val="00780D19"/>
    <w:rsid w:val="00780F32"/>
    <w:rsid w:val="00781049"/>
    <w:rsid w:val="0078122E"/>
    <w:rsid w:val="00781939"/>
    <w:rsid w:val="00781D29"/>
    <w:rsid w:val="007825EF"/>
    <w:rsid w:val="0078286B"/>
    <w:rsid w:val="00782D2C"/>
    <w:rsid w:val="00782FC2"/>
    <w:rsid w:val="0078347A"/>
    <w:rsid w:val="0078410A"/>
    <w:rsid w:val="00784938"/>
    <w:rsid w:val="00784FC4"/>
    <w:rsid w:val="00785815"/>
    <w:rsid w:val="00785BBB"/>
    <w:rsid w:val="00786937"/>
    <w:rsid w:val="00786FAD"/>
    <w:rsid w:val="00787B1B"/>
    <w:rsid w:val="00787CCC"/>
    <w:rsid w:val="00787D90"/>
    <w:rsid w:val="00787F5E"/>
    <w:rsid w:val="00790164"/>
    <w:rsid w:val="007905C6"/>
    <w:rsid w:val="00790A24"/>
    <w:rsid w:val="00790A37"/>
    <w:rsid w:val="00790A60"/>
    <w:rsid w:val="0079146D"/>
    <w:rsid w:val="00791C32"/>
    <w:rsid w:val="00791FF0"/>
    <w:rsid w:val="007923D0"/>
    <w:rsid w:val="007925C2"/>
    <w:rsid w:val="00792765"/>
    <w:rsid w:val="007930D3"/>
    <w:rsid w:val="0079381F"/>
    <w:rsid w:val="00793A57"/>
    <w:rsid w:val="00793B2E"/>
    <w:rsid w:val="007948F5"/>
    <w:rsid w:val="00795647"/>
    <w:rsid w:val="007963F6"/>
    <w:rsid w:val="00796DC8"/>
    <w:rsid w:val="00796E80"/>
    <w:rsid w:val="0079744F"/>
    <w:rsid w:val="0079776F"/>
    <w:rsid w:val="007979AD"/>
    <w:rsid w:val="00797A9C"/>
    <w:rsid w:val="007A0502"/>
    <w:rsid w:val="007A0EAB"/>
    <w:rsid w:val="007A2341"/>
    <w:rsid w:val="007A2754"/>
    <w:rsid w:val="007A293F"/>
    <w:rsid w:val="007A38A1"/>
    <w:rsid w:val="007A3BBE"/>
    <w:rsid w:val="007A4766"/>
    <w:rsid w:val="007A5590"/>
    <w:rsid w:val="007A5947"/>
    <w:rsid w:val="007A5F83"/>
    <w:rsid w:val="007A603C"/>
    <w:rsid w:val="007A717B"/>
    <w:rsid w:val="007A7714"/>
    <w:rsid w:val="007B0302"/>
    <w:rsid w:val="007B0313"/>
    <w:rsid w:val="007B0854"/>
    <w:rsid w:val="007B0E48"/>
    <w:rsid w:val="007B19DE"/>
    <w:rsid w:val="007B1D1B"/>
    <w:rsid w:val="007B1F16"/>
    <w:rsid w:val="007B209C"/>
    <w:rsid w:val="007B21AA"/>
    <w:rsid w:val="007B2504"/>
    <w:rsid w:val="007B2549"/>
    <w:rsid w:val="007B303E"/>
    <w:rsid w:val="007B32C0"/>
    <w:rsid w:val="007B32F7"/>
    <w:rsid w:val="007B3659"/>
    <w:rsid w:val="007B38B5"/>
    <w:rsid w:val="007B3B3B"/>
    <w:rsid w:val="007B3BF3"/>
    <w:rsid w:val="007B431B"/>
    <w:rsid w:val="007B4558"/>
    <w:rsid w:val="007B4632"/>
    <w:rsid w:val="007B46A2"/>
    <w:rsid w:val="007B4828"/>
    <w:rsid w:val="007B4B2D"/>
    <w:rsid w:val="007B4D4A"/>
    <w:rsid w:val="007B5428"/>
    <w:rsid w:val="007B59B7"/>
    <w:rsid w:val="007B6545"/>
    <w:rsid w:val="007B6C64"/>
    <w:rsid w:val="007B6EC8"/>
    <w:rsid w:val="007B6F81"/>
    <w:rsid w:val="007B7EA2"/>
    <w:rsid w:val="007C097D"/>
    <w:rsid w:val="007C0AF2"/>
    <w:rsid w:val="007C0FB9"/>
    <w:rsid w:val="007C1672"/>
    <w:rsid w:val="007C17AE"/>
    <w:rsid w:val="007C1CFF"/>
    <w:rsid w:val="007C24EE"/>
    <w:rsid w:val="007C312A"/>
    <w:rsid w:val="007C3538"/>
    <w:rsid w:val="007C3570"/>
    <w:rsid w:val="007C3F3B"/>
    <w:rsid w:val="007C4097"/>
    <w:rsid w:val="007C4241"/>
    <w:rsid w:val="007C425E"/>
    <w:rsid w:val="007C55FF"/>
    <w:rsid w:val="007C6339"/>
    <w:rsid w:val="007C753F"/>
    <w:rsid w:val="007C796C"/>
    <w:rsid w:val="007C7C43"/>
    <w:rsid w:val="007C7E15"/>
    <w:rsid w:val="007C7F0D"/>
    <w:rsid w:val="007D06E3"/>
    <w:rsid w:val="007D09E4"/>
    <w:rsid w:val="007D1134"/>
    <w:rsid w:val="007D231B"/>
    <w:rsid w:val="007D23F7"/>
    <w:rsid w:val="007D2566"/>
    <w:rsid w:val="007D2A8A"/>
    <w:rsid w:val="007D2C18"/>
    <w:rsid w:val="007D2D74"/>
    <w:rsid w:val="007D3693"/>
    <w:rsid w:val="007D3C6D"/>
    <w:rsid w:val="007D481A"/>
    <w:rsid w:val="007D4B96"/>
    <w:rsid w:val="007D4ED0"/>
    <w:rsid w:val="007D5648"/>
    <w:rsid w:val="007D58C5"/>
    <w:rsid w:val="007D5DE8"/>
    <w:rsid w:val="007D7CFC"/>
    <w:rsid w:val="007E0373"/>
    <w:rsid w:val="007E0812"/>
    <w:rsid w:val="007E0825"/>
    <w:rsid w:val="007E18DF"/>
    <w:rsid w:val="007E1AE5"/>
    <w:rsid w:val="007E214A"/>
    <w:rsid w:val="007E238D"/>
    <w:rsid w:val="007E2C36"/>
    <w:rsid w:val="007E2FEB"/>
    <w:rsid w:val="007E350D"/>
    <w:rsid w:val="007E3ACA"/>
    <w:rsid w:val="007E3E1B"/>
    <w:rsid w:val="007E3F27"/>
    <w:rsid w:val="007E3F4A"/>
    <w:rsid w:val="007E4D8A"/>
    <w:rsid w:val="007E4F0D"/>
    <w:rsid w:val="007E564D"/>
    <w:rsid w:val="007E5C4A"/>
    <w:rsid w:val="007E6135"/>
    <w:rsid w:val="007E63EA"/>
    <w:rsid w:val="007E64D4"/>
    <w:rsid w:val="007E66E9"/>
    <w:rsid w:val="007E69F2"/>
    <w:rsid w:val="007E7432"/>
    <w:rsid w:val="007E74BF"/>
    <w:rsid w:val="007E7657"/>
    <w:rsid w:val="007E7D2E"/>
    <w:rsid w:val="007F14D3"/>
    <w:rsid w:val="007F172C"/>
    <w:rsid w:val="007F1814"/>
    <w:rsid w:val="007F1D9D"/>
    <w:rsid w:val="007F1E28"/>
    <w:rsid w:val="007F1F63"/>
    <w:rsid w:val="007F22A0"/>
    <w:rsid w:val="007F2902"/>
    <w:rsid w:val="007F2903"/>
    <w:rsid w:val="007F2BEC"/>
    <w:rsid w:val="007F2F90"/>
    <w:rsid w:val="007F3320"/>
    <w:rsid w:val="007F3AC1"/>
    <w:rsid w:val="007F4976"/>
    <w:rsid w:val="007F4B40"/>
    <w:rsid w:val="007F4C94"/>
    <w:rsid w:val="007F5A56"/>
    <w:rsid w:val="007F5D42"/>
    <w:rsid w:val="007F616E"/>
    <w:rsid w:val="007F6B46"/>
    <w:rsid w:val="007F72CB"/>
    <w:rsid w:val="007F736A"/>
    <w:rsid w:val="007F7635"/>
    <w:rsid w:val="007F785F"/>
    <w:rsid w:val="007F7961"/>
    <w:rsid w:val="007F7AF6"/>
    <w:rsid w:val="007F7E36"/>
    <w:rsid w:val="00800E6D"/>
    <w:rsid w:val="008014D9"/>
    <w:rsid w:val="0080150F"/>
    <w:rsid w:val="0080153A"/>
    <w:rsid w:val="00801577"/>
    <w:rsid w:val="00801A2A"/>
    <w:rsid w:val="00802041"/>
    <w:rsid w:val="008022C9"/>
    <w:rsid w:val="00802605"/>
    <w:rsid w:val="00802F9E"/>
    <w:rsid w:val="00803700"/>
    <w:rsid w:val="00803D9D"/>
    <w:rsid w:val="0080548A"/>
    <w:rsid w:val="008059C6"/>
    <w:rsid w:val="00805AD7"/>
    <w:rsid w:val="00805BD6"/>
    <w:rsid w:val="00805C3B"/>
    <w:rsid w:val="00805DE3"/>
    <w:rsid w:val="00807C35"/>
    <w:rsid w:val="00807F35"/>
    <w:rsid w:val="00807F69"/>
    <w:rsid w:val="008100F7"/>
    <w:rsid w:val="00810206"/>
    <w:rsid w:val="0081022B"/>
    <w:rsid w:val="00810A15"/>
    <w:rsid w:val="0081154C"/>
    <w:rsid w:val="00811898"/>
    <w:rsid w:val="00811CDC"/>
    <w:rsid w:val="008124D8"/>
    <w:rsid w:val="0081338F"/>
    <w:rsid w:val="00813A7B"/>
    <w:rsid w:val="00813F04"/>
    <w:rsid w:val="0081513E"/>
    <w:rsid w:val="00815DA5"/>
    <w:rsid w:val="00816221"/>
    <w:rsid w:val="00816515"/>
    <w:rsid w:val="008174F3"/>
    <w:rsid w:val="0081766B"/>
    <w:rsid w:val="008201DE"/>
    <w:rsid w:val="008205AC"/>
    <w:rsid w:val="00820705"/>
    <w:rsid w:val="00820CBF"/>
    <w:rsid w:val="00820FA8"/>
    <w:rsid w:val="008212FD"/>
    <w:rsid w:val="00821489"/>
    <w:rsid w:val="0082168D"/>
    <w:rsid w:val="008217B7"/>
    <w:rsid w:val="0082239B"/>
    <w:rsid w:val="0082292E"/>
    <w:rsid w:val="00822D06"/>
    <w:rsid w:val="00822EC4"/>
    <w:rsid w:val="0082348D"/>
    <w:rsid w:val="008236BE"/>
    <w:rsid w:val="00824183"/>
    <w:rsid w:val="008241CE"/>
    <w:rsid w:val="00825240"/>
    <w:rsid w:val="00825B43"/>
    <w:rsid w:val="00826F71"/>
    <w:rsid w:val="008276A2"/>
    <w:rsid w:val="00827CC0"/>
    <w:rsid w:val="008306AB"/>
    <w:rsid w:val="00831026"/>
    <w:rsid w:val="0083119B"/>
    <w:rsid w:val="00831BAE"/>
    <w:rsid w:val="00832216"/>
    <w:rsid w:val="00832513"/>
    <w:rsid w:val="00832CD0"/>
    <w:rsid w:val="00833430"/>
    <w:rsid w:val="00833ADA"/>
    <w:rsid w:val="00834128"/>
    <w:rsid w:val="0083417F"/>
    <w:rsid w:val="00835143"/>
    <w:rsid w:val="0083569B"/>
    <w:rsid w:val="00835741"/>
    <w:rsid w:val="008369E8"/>
    <w:rsid w:val="00836A50"/>
    <w:rsid w:val="00836E74"/>
    <w:rsid w:val="00836EAB"/>
    <w:rsid w:val="00837673"/>
    <w:rsid w:val="00837937"/>
    <w:rsid w:val="00837D82"/>
    <w:rsid w:val="008404C8"/>
    <w:rsid w:val="00840669"/>
    <w:rsid w:val="00840893"/>
    <w:rsid w:val="00840E88"/>
    <w:rsid w:val="00840ECC"/>
    <w:rsid w:val="008410B1"/>
    <w:rsid w:val="008423EC"/>
    <w:rsid w:val="008429A6"/>
    <w:rsid w:val="00843615"/>
    <w:rsid w:val="00843698"/>
    <w:rsid w:val="00843A4B"/>
    <w:rsid w:val="00843B57"/>
    <w:rsid w:val="00843B60"/>
    <w:rsid w:val="00843D33"/>
    <w:rsid w:val="008444F0"/>
    <w:rsid w:val="00844D4F"/>
    <w:rsid w:val="00844F38"/>
    <w:rsid w:val="00845523"/>
    <w:rsid w:val="00845AE3"/>
    <w:rsid w:val="008466A0"/>
    <w:rsid w:val="00847535"/>
    <w:rsid w:val="00847B6D"/>
    <w:rsid w:val="0085092D"/>
    <w:rsid w:val="008509A5"/>
    <w:rsid w:val="00850B75"/>
    <w:rsid w:val="00850C79"/>
    <w:rsid w:val="00850D82"/>
    <w:rsid w:val="00850F79"/>
    <w:rsid w:val="0085100B"/>
    <w:rsid w:val="008510A1"/>
    <w:rsid w:val="00851636"/>
    <w:rsid w:val="0085192D"/>
    <w:rsid w:val="0085304C"/>
    <w:rsid w:val="008536BB"/>
    <w:rsid w:val="00853A3C"/>
    <w:rsid w:val="008548CA"/>
    <w:rsid w:val="008563B0"/>
    <w:rsid w:val="00856C06"/>
    <w:rsid w:val="0085790B"/>
    <w:rsid w:val="008579B9"/>
    <w:rsid w:val="00857C95"/>
    <w:rsid w:val="00857E78"/>
    <w:rsid w:val="00860AEF"/>
    <w:rsid w:val="00860B18"/>
    <w:rsid w:val="00860D5E"/>
    <w:rsid w:val="0086122C"/>
    <w:rsid w:val="00861310"/>
    <w:rsid w:val="00861530"/>
    <w:rsid w:val="00861C4D"/>
    <w:rsid w:val="00861F53"/>
    <w:rsid w:val="008625EC"/>
    <w:rsid w:val="0086289E"/>
    <w:rsid w:val="008629CB"/>
    <w:rsid w:val="0086328E"/>
    <w:rsid w:val="0086394E"/>
    <w:rsid w:val="00863DB9"/>
    <w:rsid w:val="00863F8A"/>
    <w:rsid w:val="00863FE3"/>
    <w:rsid w:val="008640C4"/>
    <w:rsid w:val="00864241"/>
    <w:rsid w:val="008645AA"/>
    <w:rsid w:val="0086468A"/>
    <w:rsid w:val="00865059"/>
    <w:rsid w:val="008650BE"/>
    <w:rsid w:val="00865AF2"/>
    <w:rsid w:val="00865EAF"/>
    <w:rsid w:val="0086633B"/>
    <w:rsid w:val="00866495"/>
    <w:rsid w:val="00866881"/>
    <w:rsid w:val="00866931"/>
    <w:rsid w:val="00867512"/>
    <w:rsid w:val="008678A3"/>
    <w:rsid w:val="00867C13"/>
    <w:rsid w:val="00867C1D"/>
    <w:rsid w:val="0087033C"/>
    <w:rsid w:val="008715ED"/>
    <w:rsid w:val="008717D8"/>
    <w:rsid w:val="00871E3C"/>
    <w:rsid w:val="00872F97"/>
    <w:rsid w:val="00874607"/>
    <w:rsid w:val="008747E9"/>
    <w:rsid w:val="00874915"/>
    <w:rsid w:val="00874B44"/>
    <w:rsid w:val="00874B89"/>
    <w:rsid w:val="00874B90"/>
    <w:rsid w:val="00875403"/>
    <w:rsid w:val="00875434"/>
    <w:rsid w:val="00875C1F"/>
    <w:rsid w:val="00876215"/>
    <w:rsid w:val="0087646C"/>
    <w:rsid w:val="00876815"/>
    <w:rsid w:val="00877932"/>
    <w:rsid w:val="008808C7"/>
    <w:rsid w:val="0088106B"/>
    <w:rsid w:val="0088107D"/>
    <w:rsid w:val="0088187A"/>
    <w:rsid w:val="00881E64"/>
    <w:rsid w:val="00882335"/>
    <w:rsid w:val="00882E39"/>
    <w:rsid w:val="00883246"/>
    <w:rsid w:val="00883559"/>
    <w:rsid w:val="00884183"/>
    <w:rsid w:val="008850EB"/>
    <w:rsid w:val="00885228"/>
    <w:rsid w:val="008857E3"/>
    <w:rsid w:val="00886DF2"/>
    <w:rsid w:val="00886FB9"/>
    <w:rsid w:val="00887057"/>
    <w:rsid w:val="00887080"/>
    <w:rsid w:val="00887C79"/>
    <w:rsid w:val="008908DC"/>
    <w:rsid w:val="0089107B"/>
    <w:rsid w:val="008913CC"/>
    <w:rsid w:val="008914AE"/>
    <w:rsid w:val="008919CF"/>
    <w:rsid w:val="00891F84"/>
    <w:rsid w:val="00891FC3"/>
    <w:rsid w:val="00892401"/>
    <w:rsid w:val="008928EC"/>
    <w:rsid w:val="00892A15"/>
    <w:rsid w:val="00892E5D"/>
    <w:rsid w:val="0089351F"/>
    <w:rsid w:val="008935CF"/>
    <w:rsid w:val="0089436B"/>
    <w:rsid w:val="00894436"/>
    <w:rsid w:val="00894BB1"/>
    <w:rsid w:val="008951D0"/>
    <w:rsid w:val="00895442"/>
    <w:rsid w:val="0089582D"/>
    <w:rsid w:val="008959C6"/>
    <w:rsid w:val="00895E48"/>
    <w:rsid w:val="0089606D"/>
    <w:rsid w:val="00896129"/>
    <w:rsid w:val="00896316"/>
    <w:rsid w:val="0089713C"/>
    <w:rsid w:val="0089774F"/>
    <w:rsid w:val="00897875"/>
    <w:rsid w:val="00897B8F"/>
    <w:rsid w:val="00897F59"/>
    <w:rsid w:val="008A00D9"/>
    <w:rsid w:val="008A07D5"/>
    <w:rsid w:val="008A1C96"/>
    <w:rsid w:val="008A1FB7"/>
    <w:rsid w:val="008A229A"/>
    <w:rsid w:val="008A2A23"/>
    <w:rsid w:val="008A2AF5"/>
    <w:rsid w:val="008A2B5A"/>
    <w:rsid w:val="008A38DE"/>
    <w:rsid w:val="008A3F9D"/>
    <w:rsid w:val="008A41F8"/>
    <w:rsid w:val="008A4C11"/>
    <w:rsid w:val="008A4FF8"/>
    <w:rsid w:val="008A5474"/>
    <w:rsid w:val="008A5C9A"/>
    <w:rsid w:val="008A6005"/>
    <w:rsid w:val="008A614F"/>
    <w:rsid w:val="008A6A55"/>
    <w:rsid w:val="008A6DF0"/>
    <w:rsid w:val="008A6F6E"/>
    <w:rsid w:val="008A7888"/>
    <w:rsid w:val="008A796E"/>
    <w:rsid w:val="008B0862"/>
    <w:rsid w:val="008B088C"/>
    <w:rsid w:val="008B1A42"/>
    <w:rsid w:val="008B1BF5"/>
    <w:rsid w:val="008B263F"/>
    <w:rsid w:val="008B3045"/>
    <w:rsid w:val="008B3E9E"/>
    <w:rsid w:val="008B47A6"/>
    <w:rsid w:val="008B4E4C"/>
    <w:rsid w:val="008B5C7C"/>
    <w:rsid w:val="008B63FE"/>
    <w:rsid w:val="008B672C"/>
    <w:rsid w:val="008B7108"/>
    <w:rsid w:val="008C065F"/>
    <w:rsid w:val="008C067F"/>
    <w:rsid w:val="008C0743"/>
    <w:rsid w:val="008C0B4C"/>
    <w:rsid w:val="008C11D9"/>
    <w:rsid w:val="008C11F0"/>
    <w:rsid w:val="008C1918"/>
    <w:rsid w:val="008C1DBA"/>
    <w:rsid w:val="008C24E7"/>
    <w:rsid w:val="008C2500"/>
    <w:rsid w:val="008C2CAC"/>
    <w:rsid w:val="008C3C57"/>
    <w:rsid w:val="008C3E2A"/>
    <w:rsid w:val="008C45BD"/>
    <w:rsid w:val="008C4B19"/>
    <w:rsid w:val="008C62D4"/>
    <w:rsid w:val="008C67A2"/>
    <w:rsid w:val="008C6B89"/>
    <w:rsid w:val="008C6B97"/>
    <w:rsid w:val="008C7EF7"/>
    <w:rsid w:val="008D094D"/>
    <w:rsid w:val="008D18AA"/>
    <w:rsid w:val="008D1A2A"/>
    <w:rsid w:val="008D1ADE"/>
    <w:rsid w:val="008D3199"/>
    <w:rsid w:val="008D3330"/>
    <w:rsid w:val="008D35D9"/>
    <w:rsid w:val="008D3B36"/>
    <w:rsid w:val="008D3B85"/>
    <w:rsid w:val="008D3BF8"/>
    <w:rsid w:val="008D462D"/>
    <w:rsid w:val="008D6084"/>
    <w:rsid w:val="008D64AC"/>
    <w:rsid w:val="008D656F"/>
    <w:rsid w:val="008D66CA"/>
    <w:rsid w:val="008D69B1"/>
    <w:rsid w:val="008D7338"/>
    <w:rsid w:val="008D785E"/>
    <w:rsid w:val="008D7D66"/>
    <w:rsid w:val="008E0012"/>
    <w:rsid w:val="008E0A71"/>
    <w:rsid w:val="008E0DF7"/>
    <w:rsid w:val="008E0FAD"/>
    <w:rsid w:val="008E10ED"/>
    <w:rsid w:val="008E11E4"/>
    <w:rsid w:val="008E1252"/>
    <w:rsid w:val="008E1347"/>
    <w:rsid w:val="008E16E0"/>
    <w:rsid w:val="008E1C15"/>
    <w:rsid w:val="008E1C9A"/>
    <w:rsid w:val="008E28BD"/>
    <w:rsid w:val="008E2BE6"/>
    <w:rsid w:val="008E30C4"/>
    <w:rsid w:val="008E38B4"/>
    <w:rsid w:val="008E3BA4"/>
    <w:rsid w:val="008E3F17"/>
    <w:rsid w:val="008E44AB"/>
    <w:rsid w:val="008E4CAE"/>
    <w:rsid w:val="008E5179"/>
    <w:rsid w:val="008E51C2"/>
    <w:rsid w:val="008E57FE"/>
    <w:rsid w:val="008E6598"/>
    <w:rsid w:val="008E710F"/>
    <w:rsid w:val="008E7214"/>
    <w:rsid w:val="008E7471"/>
    <w:rsid w:val="008E7497"/>
    <w:rsid w:val="008E7884"/>
    <w:rsid w:val="008E7D6E"/>
    <w:rsid w:val="008F1056"/>
    <w:rsid w:val="008F2E8D"/>
    <w:rsid w:val="008F361D"/>
    <w:rsid w:val="008F387B"/>
    <w:rsid w:val="008F3DD9"/>
    <w:rsid w:val="008F4163"/>
    <w:rsid w:val="008F462B"/>
    <w:rsid w:val="008F4814"/>
    <w:rsid w:val="008F4B18"/>
    <w:rsid w:val="008F4DA6"/>
    <w:rsid w:val="008F538E"/>
    <w:rsid w:val="008F5A20"/>
    <w:rsid w:val="008F5ABA"/>
    <w:rsid w:val="008F6157"/>
    <w:rsid w:val="008F698E"/>
    <w:rsid w:val="008F71AB"/>
    <w:rsid w:val="008F7905"/>
    <w:rsid w:val="008F7989"/>
    <w:rsid w:val="00900912"/>
    <w:rsid w:val="00900FC5"/>
    <w:rsid w:val="00901F1D"/>
    <w:rsid w:val="009028E8"/>
    <w:rsid w:val="00902E5C"/>
    <w:rsid w:val="0090363E"/>
    <w:rsid w:val="00903788"/>
    <w:rsid w:val="00903EE2"/>
    <w:rsid w:val="009045CC"/>
    <w:rsid w:val="009046E5"/>
    <w:rsid w:val="009047C5"/>
    <w:rsid w:val="00910683"/>
    <w:rsid w:val="00910E00"/>
    <w:rsid w:val="00910E04"/>
    <w:rsid w:val="009116CE"/>
    <w:rsid w:val="00911714"/>
    <w:rsid w:val="00911D04"/>
    <w:rsid w:val="00911EFF"/>
    <w:rsid w:val="0091310F"/>
    <w:rsid w:val="009136D4"/>
    <w:rsid w:val="00914B9A"/>
    <w:rsid w:val="00914C3F"/>
    <w:rsid w:val="00914F33"/>
    <w:rsid w:val="00915EFE"/>
    <w:rsid w:val="00915FCE"/>
    <w:rsid w:val="00916AFE"/>
    <w:rsid w:val="00916FC8"/>
    <w:rsid w:val="009170D3"/>
    <w:rsid w:val="0091759C"/>
    <w:rsid w:val="00920026"/>
    <w:rsid w:val="009203E2"/>
    <w:rsid w:val="00920BF5"/>
    <w:rsid w:val="00920F61"/>
    <w:rsid w:val="00921304"/>
    <w:rsid w:val="00921395"/>
    <w:rsid w:val="00921805"/>
    <w:rsid w:val="00921E63"/>
    <w:rsid w:val="00923396"/>
    <w:rsid w:val="00923F56"/>
    <w:rsid w:val="009242A6"/>
    <w:rsid w:val="00924770"/>
    <w:rsid w:val="00925346"/>
    <w:rsid w:val="00925743"/>
    <w:rsid w:val="0092579F"/>
    <w:rsid w:val="00927128"/>
    <w:rsid w:val="00927E8D"/>
    <w:rsid w:val="00927F23"/>
    <w:rsid w:val="009307CD"/>
    <w:rsid w:val="00930823"/>
    <w:rsid w:val="00931165"/>
    <w:rsid w:val="00931364"/>
    <w:rsid w:val="00931365"/>
    <w:rsid w:val="00931451"/>
    <w:rsid w:val="00931491"/>
    <w:rsid w:val="009314FA"/>
    <w:rsid w:val="0093194F"/>
    <w:rsid w:val="00931BF3"/>
    <w:rsid w:val="00931C55"/>
    <w:rsid w:val="0093228F"/>
    <w:rsid w:val="00933333"/>
    <w:rsid w:val="0093349A"/>
    <w:rsid w:val="0093360C"/>
    <w:rsid w:val="009338BA"/>
    <w:rsid w:val="00933FCB"/>
    <w:rsid w:val="009346C8"/>
    <w:rsid w:val="00934CEC"/>
    <w:rsid w:val="00934E69"/>
    <w:rsid w:val="00935056"/>
    <w:rsid w:val="00935745"/>
    <w:rsid w:val="00935E70"/>
    <w:rsid w:val="0093609A"/>
    <w:rsid w:val="00936517"/>
    <w:rsid w:val="00937401"/>
    <w:rsid w:val="009376FB"/>
    <w:rsid w:val="00937BA0"/>
    <w:rsid w:val="00937D6B"/>
    <w:rsid w:val="00940477"/>
    <w:rsid w:val="00940876"/>
    <w:rsid w:val="00940A53"/>
    <w:rsid w:val="00940F3C"/>
    <w:rsid w:val="009410E0"/>
    <w:rsid w:val="00941FA9"/>
    <w:rsid w:val="00942641"/>
    <w:rsid w:val="009439B6"/>
    <w:rsid w:val="009444B4"/>
    <w:rsid w:val="00944644"/>
    <w:rsid w:val="00944652"/>
    <w:rsid w:val="009461CC"/>
    <w:rsid w:val="00946A24"/>
    <w:rsid w:val="009470D4"/>
    <w:rsid w:val="00947337"/>
    <w:rsid w:val="00947E6E"/>
    <w:rsid w:val="009512FA"/>
    <w:rsid w:val="009516A9"/>
    <w:rsid w:val="00951E57"/>
    <w:rsid w:val="00952350"/>
    <w:rsid w:val="00952505"/>
    <w:rsid w:val="00953018"/>
    <w:rsid w:val="009533E2"/>
    <w:rsid w:val="00953554"/>
    <w:rsid w:val="0095385A"/>
    <w:rsid w:val="00954F3A"/>
    <w:rsid w:val="0095562A"/>
    <w:rsid w:val="00955DFD"/>
    <w:rsid w:val="0095674F"/>
    <w:rsid w:val="0095780A"/>
    <w:rsid w:val="009578C3"/>
    <w:rsid w:val="009579E4"/>
    <w:rsid w:val="00957AA4"/>
    <w:rsid w:val="00957ACB"/>
    <w:rsid w:val="00957D07"/>
    <w:rsid w:val="00957F27"/>
    <w:rsid w:val="00960BDB"/>
    <w:rsid w:val="0096105C"/>
    <w:rsid w:val="0096147D"/>
    <w:rsid w:val="00961C14"/>
    <w:rsid w:val="00961D53"/>
    <w:rsid w:val="00961E5F"/>
    <w:rsid w:val="009625C6"/>
    <w:rsid w:val="009629B5"/>
    <w:rsid w:val="00962A50"/>
    <w:rsid w:val="00963550"/>
    <w:rsid w:val="00964138"/>
    <w:rsid w:val="009648D6"/>
    <w:rsid w:val="00964B3F"/>
    <w:rsid w:val="00964C98"/>
    <w:rsid w:val="00967507"/>
    <w:rsid w:val="00971441"/>
    <w:rsid w:val="00971555"/>
    <w:rsid w:val="009715D4"/>
    <w:rsid w:val="0097179A"/>
    <w:rsid w:val="00971B0A"/>
    <w:rsid w:val="009731F4"/>
    <w:rsid w:val="009732A4"/>
    <w:rsid w:val="00973507"/>
    <w:rsid w:val="00973AB3"/>
    <w:rsid w:val="00973BE5"/>
    <w:rsid w:val="00973C05"/>
    <w:rsid w:val="0097494E"/>
    <w:rsid w:val="00974999"/>
    <w:rsid w:val="009749BB"/>
    <w:rsid w:val="00974B58"/>
    <w:rsid w:val="00974CBD"/>
    <w:rsid w:val="00975445"/>
    <w:rsid w:val="009761ED"/>
    <w:rsid w:val="00976256"/>
    <w:rsid w:val="0097737D"/>
    <w:rsid w:val="00980209"/>
    <w:rsid w:val="0098022F"/>
    <w:rsid w:val="009810DE"/>
    <w:rsid w:val="00981B91"/>
    <w:rsid w:val="009822D7"/>
    <w:rsid w:val="009827E6"/>
    <w:rsid w:val="00982F84"/>
    <w:rsid w:val="009831C3"/>
    <w:rsid w:val="009833B4"/>
    <w:rsid w:val="0098427D"/>
    <w:rsid w:val="00984567"/>
    <w:rsid w:val="00985102"/>
    <w:rsid w:val="009854BC"/>
    <w:rsid w:val="00985A66"/>
    <w:rsid w:val="0098606C"/>
    <w:rsid w:val="009865D5"/>
    <w:rsid w:val="009876F2"/>
    <w:rsid w:val="00987C77"/>
    <w:rsid w:val="00987FED"/>
    <w:rsid w:val="00990345"/>
    <w:rsid w:val="00990701"/>
    <w:rsid w:val="0099119C"/>
    <w:rsid w:val="00991361"/>
    <w:rsid w:val="0099137A"/>
    <w:rsid w:val="0099211C"/>
    <w:rsid w:val="00993013"/>
    <w:rsid w:val="009930AB"/>
    <w:rsid w:val="00993B78"/>
    <w:rsid w:val="00993D92"/>
    <w:rsid w:val="00994F3F"/>
    <w:rsid w:val="00995119"/>
    <w:rsid w:val="0099531F"/>
    <w:rsid w:val="009953AD"/>
    <w:rsid w:val="009957D7"/>
    <w:rsid w:val="0099583D"/>
    <w:rsid w:val="00996020"/>
    <w:rsid w:val="0099629E"/>
    <w:rsid w:val="009968CF"/>
    <w:rsid w:val="00996992"/>
    <w:rsid w:val="00996E1E"/>
    <w:rsid w:val="00997148"/>
    <w:rsid w:val="00997392"/>
    <w:rsid w:val="0099747C"/>
    <w:rsid w:val="0099771C"/>
    <w:rsid w:val="00997A88"/>
    <w:rsid w:val="009A01E4"/>
    <w:rsid w:val="009A0917"/>
    <w:rsid w:val="009A0A33"/>
    <w:rsid w:val="009A0CC0"/>
    <w:rsid w:val="009A10B2"/>
    <w:rsid w:val="009A1351"/>
    <w:rsid w:val="009A1AAB"/>
    <w:rsid w:val="009A2041"/>
    <w:rsid w:val="009A2435"/>
    <w:rsid w:val="009A35DC"/>
    <w:rsid w:val="009A38AB"/>
    <w:rsid w:val="009A39EE"/>
    <w:rsid w:val="009A3A33"/>
    <w:rsid w:val="009A3D47"/>
    <w:rsid w:val="009A4D63"/>
    <w:rsid w:val="009A5356"/>
    <w:rsid w:val="009A5468"/>
    <w:rsid w:val="009A55D8"/>
    <w:rsid w:val="009A5D99"/>
    <w:rsid w:val="009A608C"/>
    <w:rsid w:val="009A66D6"/>
    <w:rsid w:val="009A6FDF"/>
    <w:rsid w:val="009A715F"/>
    <w:rsid w:val="009A76D6"/>
    <w:rsid w:val="009A7970"/>
    <w:rsid w:val="009B03F1"/>
    <w:rsid w:val="009B15C4"/>
    <w:rsid w:val="009B1F52"/>
    <w:rsid w:val="009B2374"/>
    <w:rsid w:val="009B28D6"/>
    <w:rsid w:val="009B2E29"/>
    <w:rsid w:val="009B3163"/>
    <w:rsid w:val="009B422F"/>
    <w:rsid w:val="009B4448"/>
    <w:rsid w:val="009B46BC"/>
    <w:rsid w:val="009B4D1A"/>
    <w:rsid w:val="009B519D"/>
    <w:rsid w:val="009B558B"/>
    <w:rsid w:val="009B60FE"/>
    <w:rsid w:val="009B663F"/>
    <w:rsid w:val="009B6863"/>
    <w:rsid w:val="009B6D21"/>
    <w:rsid w:val="009B7460"/>
    <w:rsid w:val="009B78ED"/>
    <w:rsid w:val="009B7FFD"/>
    <w:rsid w:val="009C0E23"/>
    <w:rsid w:val="009C181C"/>
    <w:rsid w:val="009C1A44"/>
    <w:rsid w:val="009C1C7F"/>
    <w:rsid w:val="009C1EC7"/>
    <w:rsid w:val="009C2210"/>
    <w:rsid w:val="009C28A2"/>
    <w:rsid w:val="009C3239"/>
    <w:rsid w:val="009C3828"/>
    <w:rsid w:val="009C3A0A"/>
    <w:rsid w:val="009C3AD3"/>
    <w:rsid w:val="009C3AF4"/>
    <w:rsid w:val="009C3D2C"/>
    <w:rsid w:val="009C4987"/>
    <w:rsid w:val="009C4EFB"/>
    <w:rsid w:val="009C4FDE"/>
    <w:rsid w:val="009C523F"/>
    <w:rsid w:val="009C59BF"/>
    <w:rsid w:val="009C5E4F"/>
    <w:rsid w:val="009C5F64"/>
    <w:rsid w:val="009C5F82"/>
    <w:rsid w:val="009C60EA"/>
    <w:rsid w:val="009C6BFC"/>
    <w:rsid w:val="009C70F8"/>
    <w:rsid w:val="009C78A3"/>
    <w:rsid w:val="009C7E68"/>
    <w:rsid w:val="009D00D7"/>
    <w:rsid w:val="009D0156"/>
    <w:rsid w:val="009D03B4"/>
    <w:rsid w:val="009D05DA"/>
    <w:rsid w:val="009D0815"/>
    <w:rsid w:val="009D11F6"/>
    <w:rsid w:val="009D163B"/>
    <w:rsid w:val="009D1A14"/>
    <w:rsid w:val="009D1E2A"/>
    <w:rsid w:val="009D1FA0"/>
    <w:rsid w:val="009D2BDF"/>
    <w:rsid w:val="009D3736"/>
    <w:rsid w:val="009D4529"/>
    <w:rsid w:val="009D460F"/>
    <w:rsid w:val="009D4E02"/>
    <w:rsid w:val="009D604F"/>
    <w:rsid w:val="009D61BB"/>
    <w:rsid w:val="009D6410"/>
    <w:rsid w:val="009D68BB"/>
    <w:rsid w:val="009D6909"/>
    <w:rsid w:val="009D6B46"/>
    <w:rsid w:val="009D700F"/>
    <w:rsid w:val="009D70C2"/>
    <w:rsid w:val="009D7244"/>
    <w:rsid w:val="009D77B9"/>
    <w:rsid w:val="009D7ADB"/>
    <w:rsid w:val="009D7B33"/>
    <w:rsid w:val="009E03C7"/>
    <w:rsid w:val="009E0490"/>
    <w:rsid w:val="009E06C3"/>
    <w:rsid w:val="009E0703"/>
    <w:rsid w:val="009E1035"/>
    <w:rsid w:val="009E16DA"/>
    <w:rsid w:val="009E1CD4"/>
    <w:rsid w:val="009E2391"/>
    <w:rsid w:val="009E28B6"/>
    <w:rsid w:val="009E2A11"/>
    <w:rsid w:val="009E476A"/>
    <w:rsid w:val="009E4A16"/>
    <w:rsid w:val="009E4E05"/>
    <w:rsid w:val="009E56FF"/>
    <w:rsid w:val="009E5CB1"/>
    <w:rsid w:val="009E5E56"/>
    <w:rsid w:val="009E61EA"/>
    <w:rsid w:val="009E6990"/>
    <w:rsid w:val="009E6FEE"/>
    <w:rsid w:val="009F00B9"/>
    <w:rsid w:val="009F060F"/>
    <w:rsid w:val="009F0781"/>
    <w:rsid w:val="009F0850"/>
    <w:rsid w:val="009F15A8"/>
    <w:rsid w:val="009F1950"/>
    <w:rsid w:val="009F1BDF"/>
    <w:rsid w:val="009F1EAE"/>
    <w:rsid w:val="009F210A"/>
    <w:rsid w:val="009F2732"/>
    <w:rsid w:val="009F2848"/>
    <w:rsid w:val="009F369D"/>
    <w:rsid w:val="009F36FE"/>
    <w:rsid w:val="009F3971"/>
    <w:rsid w:val="009F3A42"/>
    <w:rsid w:val="009F4481"/>
    <w:rsid w:val="009F4990"/>
    <w:rsid w:val="009F4F25"/>
    <w:rsid w:val="009F59C2"/>
    <w:rsid w:val="009F60AF"/>
    <w:rsid w:val="009F64E9"/>
    <w:rsid w:val="009F7263"/>
    <w:rsid w:val="009F73B6"/>
    <w:rsid w:val="009F75B7"/>
    <w:rsid w:val="009F76EA"/>
    <w:rsid w:val="009F78EB"/>
    <w:rsid w:val="009F7DB2"/>
    <w:rsid w:val="009F7EB8"/>
    <w:rsid w:val="009F7ED3"/>
    <w:rsid w:val="009F7F32"/>
    <w:rsid w:val="009F7FEB"/>
    <w:rsid w:val="00A003D5"/>
    <w:rsid w:val="00A0056C"/>
    <w:rsid w:val="00A00F5E"/>
    <w:rsid w:val="00A0120D"/>
    <w:rsid w:val="00A01852"/>
    <w:rsid w:val="00A0188B"/>
    <w:rsid w:val="00A01C35"/>
    <w:rsid w:val="00A01E73"/>
    <w:rsid w:val="00A02341"/>
    <w:rsid w:val="00A023E7"/>
    <w:rsid w:val="00A02B88"/>
    <w:rsid w:val="00A03160"/>
    <w:rsid w:val="00A036AC"/>
    <w:rsid w:val="00A03C54"/>
    <w:rsid w:val="00A03DE5"/>
    <w:rsid w:val="00A041BC"/>
    <w:rsid w:val="00A0447F"/>
    <w:rsid w:val="00A046D2"/>
    <w:rsid w:val="00A04712"/>
    <w:rsid w:val="00A04A54"/>
    <w:rsid w:val="00A058B8"/>
    <w:rsid w:val="00A05B4B"/>
    <w:rsid w:val="00A066C3"/>
    <w:rsid w:val="00A06754"/>
    <w:rsid w:val="00A068D4"/>
    <w:rsid w:val="00A069E0"/>
    <w:rsid w:val="00A06E4A"/>
    <w:rsid w:val="00A070E9"/>
    <w:rsid w:val="00A078FB"/>
    <w:rsid w:val="00A10209"/>
    <w:rsid w:val="00A1032F"/>
    <w:rsid w:val="00A1036D"/>
    <w:rsid w:val="00A1069F"/>
    <w:rsid w:val="00A10ACA"/>
    <w:rsid w:val="00A10D08"/>
    <w:rsid w:val="00A1181E"/>
    <w:rsid w:val="00A11B4E"/>
    <w:rsid w:val="00A11E78"/>
    <w:rsid w:val="00A12355"/>
    <w:rsid w:val="00A12574"/>
    <w:rsid w:val="00A127D2"/>
    <w:rsid w:val="00A1284E"/>
    <w:rsid w:val="00A13CF5"/>
    <w:rsid w:val="00A143EC"/>
    <w:rsid w:val="00A149E8"/>
    <w:rsid w:val="00A1500F"/>
    <w:rsid w:val="00A15621"/>
    <w:rsid w:val="00A15670"/>
    <w:rsid w:val="00A157A0"/>
    <w:rsid w:val="00A1585B"/>
    <w:rsid w:val="00A15C19"/>
    <w:rsid w:val="00A15FE9"/>
    <w:rsid w:val="00A16809"/>
    <w:rsid w:val="00A16864"/>
    <w:rsid w:val="00A169E2"/>
    <w:rsid w:val="00A16F53"/>
    <w:rsid w:val="00A17584"/>
    <w:rsid w:val="00A17769"/>
    <w:rsid w:val="00A1780D"/>
    <w:rsid w:val="00A17EA2"/>
    <w:rsid w:val="00A201DB"/>
    <w:rsid w:val="00A20264"/>
    <w:rsid w:val="00A20997"/>
    <w:rsid w:val="00A210D4"/>
    <w:rsid w:val="00A213DD"/>
    <w:rsid w:val="00A21454"/>
    <w:rsid w:val="00A216CE"/>
    <w:rsid w:val="00A216F9"/>
    <w:rsid w:val="00A22025"/>
    <w:rsid w:val="00A22498"/>
    <w:rsid w:val="00A22571"/>
    <w:rsid w:val="00A2298D"/>
    <w:rsid w:val="00A235E1"/>
    <w:rsid w:val="00A23C69"/>
    <w:rsid w:val="00A24560"/>
    <w:rsid w:val="00A25B0F"/>
    <w:rsid w:val="00A25BBB"/>
    <w:rsid w:val="00A27FB6"/>
    <w:rsid w:val="00A30121"/>
    <w:rsid w:val="00A30368"/>
    <w:rsid w:val="00A3043A"/>
    <w:rsid w:val="00A30E02"/>
    <w:rsid w:val="00A30F6A"/>
    <w:rsid w:val="00A31060"/>
    <w:rsid w:val="00A31554"/>
    <w:rsid w:val="00A31C3E"/>
    <w:rsid w:val="00A34538"/>
    <w:rsid w:val="00A34677"/>
    <w:rsid w:val="00A3540F"/>
    <w:rsid w:val="00A35630"/>
    <w:rsid w:val="00A35914"/>
    <w:rsid w:val="00A36189"/>
    <w:rsid w:val="00A3677A"/>
    <w:rsid w:val="00A37E73"/>
    <w:rsid w:val="00A37FB6"/>
    <w:rsid w:val="00A409E2"/>
    <w:rsid w:val="00A4104A"/>
    <w:rsid w:val="00A41081"/>
    <w:rsid w:val="00A411CA"/>
    <w:rsid w:val="00A42080"/>
    <w:rsid w:val="00A42096"/>
    <w:rsid w:val="00A426F3"/>
    <w:rsid w:val="00A42FDF"/>
    <w:rsid w:val="00A430A9"/>
    <w:rsid w:val="00A431FE"/>
    <w:rsid w:val="00A43377"/>
    <w:rsid w:val="00A4384F"/>
    <w:rsid w:val="00A439E5"/>
    <w:rsid w:val="00A4414E"/>
    <w:rsid w:val="00A4497A"/>
    <w:rsid w:val="00A44AB5"/>
    <w:rsid w:val="00A44BE8"/>
    <w:rsid w:val="00A44C96"/>
    <w:rsid w:val="00A44CDD"/>
    <w:rsid w:val="00A44F54"/>
    <w:rsid w:val="00A44FE3"/>
    <w:rsid w:val="00A45F9B"/>
    <w:rsid w:val="00A46574"/>
    <w:rsid w:val="00A475B4"/>
    <w:rsid w:val="00A47701"/>
    <w:rsid w:val="00A47849"/>
    <w:rsid w:val="00A500B1"/>
    <w:rsid w:val="00A5140D"/>
    <w:rsid w:val="00A51906"/>
    <w:rsid w:val="00A52A53"/>
    <w:rsid w:val="00A52EE5"/>
    <w:rsid w:val="00A53037"/>
    <w:rsid w:val="00A532B9"/>
    <w:rsid w:val="00A5351D"/>
    <w:rsid w:val="00A53E79"/>
    <w:rsid w:val="00A53EAB"/>
    <w:rsid w:val="00A54031"/>
    <w:rsid w:val="00A5426D"/>
    <w:rsid w:val="00A54FC2"/>
    <w:rsid w:val="00A55122"/>
    <w:rsid w:val="00A55806"/>
    <w:rsid w:val="00A55CEA"/>
    <w:rsid w:val="00A56DE7"/>
    <w:rsid w:val="00A57EB2"/>
    <w:rsid w:val="00A6009E"/>
    <w:rsid w:val="00A60265"/>
    <w:rsid w:val="00A60540"/>
    <w:rsid w:val="00A60B1F"/>
    <w:rsid w:val="00A6144B"/>
    <w:rsid w:val="00A61C60"/>
    <w:rsid w:val="00A62589"/>
    <w:rsid w:val="00A62AD0"/>
    <w:rsid w:val="00A62C3A"/>
    <w:rsid w:val="00A6319C"/>
    <w:rsid w:val="00A63812"/>
    <w:rsid w:val="00A63DF7"/>
    <w:rsid w:val="00A6454D"/>
    <w:rsid w:val="00A64767"/>
    <w:rsid w:val="00A64F2F"/>
    <w:rsid w:val="00A6611E"/>
    <w:rsid w:val="00A668BA"/>
    <w:rsid w:val="00A66FA7"/>
    <w:rsid w:val="00A66FA8"/>
    <w:rsid w:val="00A67170"/>
    <w:rsid w:val="00A67E16"/>
    <w:rsid w:val="00A67EB1"/>
    <w:rsid w:val="00A67F1C"/>
    <w:rsid w:val="00A703CC"/>
    <w:rsid w:val="00A70C5C"/>
    <w:rsid w:val="00A710A2"/>
    <w:rsid w:val="00A71EA7"/>
    <w:rsid w:val="00A730AD"/>
    <w:rsid w:val="00A73855"/>
    <w:rsid w:val="00A738FF"/>
    <w:rsid w:val="00A73D64"/>
    <w:rsid w:val="00A74216"/>
    <w:rsid w:val="00A74360"/>
    <w:rsid w:val="00A744B4"/>
    <w:rsid w:val="00A74B91"/>
    <w:rsid w:val="00A751E3"/>
    <w:rsid w:val="00A7536B"/>
    <w:rsid w:val="00A753B9"/>
    <w:rsid w:val="00A7549A"/>
    <w:rsid w:val="00A75504"/>
    <w:rsid w:val="00A75FD7"/>
    <w:rsid w:val="00A77168"/>
    <w:rsid w:val="00A7723B"/>
    <w:rsid w:val="00A773C3"/>
    <w:rsid w:val="00A778FA"/>
    <w:rsid w:val="00A7793C"/>
    <w:rsid w:val="00A77D21"/>
    <w:rsid w:val="00A80085"/>
    <w:rsid w:val="00A80276"/>
    <w:rsid w:val="00A8043B"/>
    <w:rsid w:val="00A807DA"/>
    <w:rsid w:val="00A80DA0"/>
    <w:rsid w:val="00A81323"/>
    <w:rsid w:val="00A820CB"/>
    <w:rsid w:val="00A82342"/>
    <w:rsid w:val="00A8236F"/>
    <w:rsid w:val="00A82D06"/>
    <w:rsid w:val="00A83BEF"/>
    <w:rsid w:val="00A84443"/>
    <w:rsid w:val="00A8487F"/>
    <w:rsid w:val="00A849A3"/>
    <w:rsid w:val="00A84A0E"/>
    <w:rsid w:val="00A84EB0"/>
    <w:rsid w:val="00A8575D"/>
    <w:rsid w:val="00A861F4"/>
    <w:rsid w:val="00A86E0B"/>
    <w:rsid w:val="00A87199"/>
    <w:rsid w:val="00A90F12"/>
    <w:rsid w:val="00A91DAA"/>
    <w:rsid w:val="00A93101"/>
    <w:rsid w:val="00A93239"/>
    <w:rsid w:val="00A9413E"/>
    <w:rsid w:val="00A94293"/>
    <w:rsid w:val="00A9496E"/>
    <w:rsid w:val="00A949F0"/>
    <w:rsid w:val="00A94BDE"/>
    <w:rsid w:val="00A94FCA"/>
    <w:rsid w:val="00A95BDE"/>
    <w:rsid w:val="00A95E4C"/>
    <w:rsid w:val="00A96C60"/>
    <w:rsid w:val="00A9740B"/>
    <w:rsid w:val="00A9766C"/>
    <w:rsid w:val="00A977F8"/>
    <w:rsid w:val="00A979DB"/>
    <w:rsid w:val="00A97C93"/>
    <w:rsid w:val="00AA06C6"/>
    <w:rsid w:val="00AA08E7"/>
    <w:rsid w:val="00AA0A06"/>
    <w:rsid w:val="00AA0A87"/>
    <w:rsid w:val="00AA1351"/>
    <w:rsid w:val="00AA184C"/>
    <w:rsid w:val="00AA1AF4"/>
    <w:rsid w:val="00AA1C84"/>
    <w:rsid w:val="00AA1E3E"/>
    <w:rsid w:val="00AA3D7B"/>
    <w:rsid w:val="00AA42A0"/>
    <w:rsid w:val="00AA442B"/>
    <w:rsid w:val="00AA46A4"/>
    <w:rsid w:val="00AA5779"/>
    <w:rsid w:val="00AA58A1"/>
    <w:rsid w:val="00AA61C7"/>
    <w:rsid w:val="00AA669D"/>
    <w:rsid w:val="00AA66ED"/>
    <w:rsid w:val="00AA6B59"/>
    <w:rsid w:val="00AA6BE1"/>
    <w:rsid w:val="00AA7416"/>
    <w:rsid w:val="00AA7A60"/>
    <w:rsid w:val="00AA7B42"/>
    <w:rsid w:val="00AB041C"/>
    <w:rsid w:val="00AB14E8"/>
    <w:rsid w:val="00AB1B1D"/>
    <w:rsid w:val="00AB1CD8"/>
    <w:rsid w:val="00AB2216"/>
    <w:rsid w:val="00AB358D"/>
    <w:rsid w:val="00AB37A1"/>
    <w:rsid w:val="00AB3BAD"/>
    <w:rsid w:val="00AB3CFD"/>
    <w:rsid w:val="00AB49BC"/>
    <w:rsid w:val="00AB4DEE"/>
    <w:rsid w:val="00AB4E32"/>
    <w:rsid w:val="00AB5C19"/>
    <w:rsid w:val="00AB724B"/>
    <w:rsid w:val="00AB726C"/>
    <w:rsid w:val="00AB72B4"/>
    <w:rsid w:val="00AB7549"/>
    <w:rsid w:val="00AB7A7A"/>
    <w:rsid w:val="00AC02AA"/>
    <w:rsid w:val="00AC0537"/>
    <w:rsid w:val="00AC0A84"/>
    <w:rsid w:val="00AC0F74"/>
    <w:rsid w:val="00AC1508"/>
    <w:rsid w:val="00AC2A0B"/>
    <w:rsid w:val="00AC2BEE"/>
    <w:rsid w:val="00AC2E53"/>
    <w:rsid w:val="00AC3208"/>
    <w:rsid w:val="00AC484F"/>
    <w:rsid w:val="00AC4AD2"/>
    <w:rsid w:val="00AC4B20"/>
    <w:rsid w:val="00AC5395"/>
    <w:rsid w:val="00AC55C7"/>
    <w:rsid w:val="00AC56F2"/>
    <w:rsid w:val="00AC5D9D"/>
    <w:rsid w:val="00AC71C3"/>
    <w:rsid w:val="00AC7F29"/>
    <w:rsid w:val="00AD09F7"/>
    <w:rsid w:val="00AD1EFA"/>
    <w:rsid w:val="00AD2072"/>
    <w:rsid w:val="00AD21B5"/>
    <w:rsid w:val="00AD2DBD"/>
    <w:rsid w:val="00AD2FBF"/>
    <w:rsid w:val="00AD33A1"/>
    <w:rsid w:val="00AD340E"/>
    <w:rsid w:val="00AD39BD"/>
    <w:rsid w:val="00AD455B"/>
    <w:rsid w:val="00AD455D"/>
    <w:rsid w:val="00AD463C"/>
    <w:rsid w:val="00AD47C9"/>
    <w:rsid w:val="00AD4F60"/>
    <w:rsid w:val="00AD5044"/>
    <w:rsid w:val="00AD5114"/>
    <w:rsid w:val="00AD6236"/>
    <w:rsid w:val="00AD69D5"/>
    <w:rsid w:val="00AD6D07"/>
    <w:rsid w:val="00AD749E"/>
    <w:rsid w:val="00AD7619"/>
    <w:rsid w:val="00AD7770"/>
    <w:rsid w:val="00AD7773"/>
    <w:rsid w:val="00AE1772"/>
    <w:rsid w:val="00AE1990"/>
    <w:rsid w:val="00AE210C"/>
    <w:rsid w:val="00AE25E8"/>
    <w:rsid w:val="00AE2AD4"/>
    <w:rsid w:val="00AE2CA7"/>
    <w:rsid w:val="00AE2F1D"/>
    <w:rsid w:val="00AE4A7D"/>
    <w:rsid w:val="00AE4C81"/>
    <w:rsid w:val="00AE4E63"/>
    <w:rsid w:val="00AE586F"/>
    <w:rsid w:val="00AE5964"/>
    <w:rsid w:val="00AE62FE"/>
    <w:rsid w:val="00AE6582"/>
    <w:rsid w:val="00AE6DC5"/>
    <w:rsid w:val="00AE7686"/>
    <w:rsid w:val="00AE799A"/>
    <w:rsid w:val="00AF0340"/>
    <w:rsid w:val="00AF083A"/>
    <w:rsid w:val="00AF0E81"/>
    <w:rsid w:val="00AF117A"/>
    <w:rsid w:val="00AF134E"/>
    <w:rsid w:val="00AF16CA"/>
    <w:rsid w:val="00AF186E"/>
    <w:rsid w:val="00AF19DF"/>
    <w:rsid w:val="00AF1C77"/>
    <w:rsid w:val="00AF1D41"/>
    <w:rsid w:val="00AF26CF"/>
    <w:rsid w:val="00AF3124"/>
    <w:rsid w:val="00AF344D"/>
    <w:rsid w:val="00AF39B3"/>
    <w:rsid w:val="00AF3C1F"/>
    <w:rsid w:val="00AF3FED"/>
    <w:rsid w:val="00AF4402"/>
    <w:rsid w:val="00AF4639"/>
    <w:rsid w:val="00AF49CE"/>
    <w:rsid w:val="00AF4E92"/>
    <w:rsid w:val="00AF554B"/>
    <w:rsid w:val="00AF5C9B"/>
    <w:rsid w:val="00AF5D53"/>
    <w:rsid w:val="00AF5E2D"/>
    <w:rsid w:val="00AF644B"/>
    <w:rsid w:val="00AF69EB"/>
    <w:rsid w:val="00AF6CA6"/>
    <w:rsid w:val="00AF6DEC"/>
    <w:rsid w:val="00AF6EB6"/>
    <w:rsid w:val="00AF776A"/>
    <w:rsid w:val="00AF7796"/>
    <w:rsid w:val="00B003DB"/>
    <w:rsid w:val="00B011A9"/>
    <w:rsid w:val="00B01BAF"/>
    <w:rsid w:val="00B0224B"/>
    <w:rsid w:val="00B024ED"/>
    <w:rsid w:val="00B026B8"/>
    <w:rsid w:val="00B02EB3"/>
    <w:rsid w:val="00B02F7C"/>
    <w:rsid w:val="00B02FCB"/>
    <w:rsid w:val="00B033AF"/>
    <w:rsid w:val="00B033F8"/>
    <w:rsid w:val="00B03C1E"/>
    <w:rsid w:val="00B03FE4"/>
    <w:rsid w:val="00B04400"/>
    <w:rsid w:val="00B04493"/>
    <w:rsid w:val="00B04835"/>
    <w:rsid w:val="00B05A55"/>
    <w:rsid w:val="00B05DE1"/>
    <w:rsid w:val="00B06595"/>
    <w:rsid w:val="00B06645"/>
    <w:rsid w:val="00B06862"/>
    <w:rsid w:val="00B10109"/>
    <w:rsid w:val="00B10351"/>
    <w:rsid w:val="00B1085E"/>
    <w:rsid w:val="00B10FD1"/>
    <w:rsid w:val="00B112D5"/>
    <w:rsid w:val="00B11378"/>
    <w:rsid w:val="00B1219D"/>
    <w:rsid w:val="00B12735"/>
    <w:rsid w:val="00B12F44"/>
    <w:rsid w:val="00B13C48"/>
    <w:rsid w:val="00B13E35"/>
    <w:rsid w:val="00B13EC0"/>
    <w:rsid w:val="00B14102"/>
    <w:rsid w:val="00B14778"/>
    <w:rsid w:val="00B14D32"/>
    <w:rsid w:val="00B1507C"/>
    <w:rsid w:val="00B152B8"/>
    <w:rsid w:val="00B1557C"/>
    <w:rsid w:val="00B155DC"/>
    <w:rsid w:val="00B15766"/>
    <w:rsid w:val="00B15E4A"/>
    <w:rsid w:val="00B1666A"/>
    <w:rsid w:val="00B167C8"/>
    <w:rsid w:val="00B1686D"/>
    <w:rsid w:val="00B168AA"/>
    <w:rsid w:val="00B16BF7"/>
    <w:rsid w:val="00B17129"/>
    <w:rsid w:val="00B1741D"/>
    <w:rsid w:val="00B17447"/>
    <w:rsid w:val="00B17719"/>
    <w:rsid w:val="00B1771D"/>
    <w:rsid w:val="00B17B91"/>
    <w:rsid w:val="00B20209"/>
    <w:rsid w:val="00B203C9"/>
    <w:rsid w:val="00B2088D"/>
    <w:rsid w:val="00B208FF"/>
    <w:rsid w:val="00B211C6"/>
    <w:rsid w:val="00B21271"/>
    <w:rsid w:val="00B22E22"/>
    <w:rsid w:val="00B22F5F"/>
    <w:rsid w:val="00B23353"/>
    <w:rsid w:val="00B237E6"/>
    <w:rsid w:val="00B23813"/>
    <w:rsid w:val="00B23DA0"/>
    <w:rsid w:val="00B23FD9"/>
    <w:rsid w:val="00B24358"/>
    <w:rsid w:val="00B24591"/>
    <w:rsid w:val="00B245D5"/>
    <w:rsid w:val="00B245EF"/>
    <w:rsid w:val="00B24C36"/>
    <w:rsid w:val="00B24D9F"/>
    <w:rsid w:val="00B24F94"/>
    <w:rsid w:val="00B25126"/>
    <w:rsid w:val="00B255BF"/>
    <w:rsid w:val="00B25703"/>
    <w:rsid w:val="00B25A52"/>
    <w:rsid w:val="00B25EAF"/>
    <w:rsid w:val="00B25FC3"/>
    <w:rsid w:val="00B2692F"/>
    <w:rsid w:val="00B27875"/>
    <w:rsid w:val="00B3008D"/>
    <w:rsid w:val="00B30884"/>
    <w:rsid w:val="00B30E11"/>
    <w:rsid w:val="00B30EAE"/>
    <w:rsid w:val="00B30EEB"/>
    <w:rsid w:val="00B31423"/>
    <w:rsid w:val="00B317AE"/>
    <w:rsid w:val="00B323E0"/>
    <w:rsid w:val="00B32DC0"/>
    <w:rsid w:val="00B32E31"/>
    <w:rsid w:val="00B3346C"/>
    <w:rsid w:val="00B335E4"/>
    <w:rsid w:val="00B33C23"/>
    <w:rsid w:val="00B345B4"/>
    <w:rsid w:val="00B348B1"/>
    <w:rsid w:val="00B34A28"/>
    <w:rsid w:val="00B35046"/>
    <w:rsid w:val="00B357F4"/>
    <w:rsid w:val="00B359A6"/>
    <w:rsid w:val="00B35B6A"/>
    <w:rsid w:val="00B36D2B"/>
    <w:rsid w:val="00B37657"/>
    <w:rsid w:val="00B37AFD"/>
    <w:rsid w:val="00B37B07"/>
    <w:rsid w:val="00B4046F"/>
    <w:rsid w:val="00B406B3"/>
    <w:rsid w:val="00B40A36"/>
    <w:rsid w:val="00B41BCA"/>
    <w:rsid w:val="00B41D39"/>
    <w:rsid w:val="00B420B8"/>
    <w:rsid w:val="00B422C0"/>
    <w:rsid w:val="00B426CA"/>
    <w:rsid w:val="00B426E1"/>
    <w:rsid w:val="00B4387A"/>
    <w:rsid w:val="00B44746"/>
    <w:rsid w:val="00B44854"/>
    <w:rsid w:val="00B44BA5"/>
    <w:rsid w:val="00B458D0"/>
    <w:rsid w:val="00B466C4"/>
    <w:rsid w:val="00B4792C"/>
    <w:rsid w:val="00B50CAE"/>
    <w:rsid w:val="00B512AD"/>
    <w:rsid w:val="00B5196C"/>
    <w:rsid w:val="00B525CB"/>
    <w:rsid w:val="00B52697"/>
    <w:rsid w:val="00B53D1A"/>
    <w:rsid w:val="00B54215"/>
    <w:rsid w:val="00B54D8F"/>
    <w:rsid w:val="00B55857"/>
    <w:rsid w:val="00B55C69"/>
    <w:rsid w:val="00B5644C"/>
    <w:rsid w:val="00B56851"/>
    <w:rsid w:val="00B56D6E"/>
    <w:rsid w:val="00B572F7"/>
    <w:rsid w:val="00B57B9D"/>
    <w:rsid w:val="00B57DAF"/>
    <w:rsid w:val="00B60094"/>
    <w:rsid w:val="00B6022C"/>
    <w:rsid w:val="00B6040C"/>
    <w:rsid w:val="00B614F8"/>
    <w:rsid w:val="00B61994"/>
    <w:rsid w:val="00B61B18"/>
    <w:rsid w:val="00B61FD4"/>
    <w:rsid w:val="00B6235B"/>
    <w:rsid w:val="00B62880"/>
    <w:rsid w:val="00B63872"/>
    <w:rsid w:val="00B63CB2"/>
    <w:rsid w:val="00B64246"/>
    <w:rsid w:val="00B64EDB"/>
    <w:rsid w:val="00B6541D"/>
    <w:rsid w:val="00B65938"/>
    <w:rsid w:val="00B65C8A"/>
    <w:rsid w:val="00B65CE2"/>
    <w:rsid w:val="00B660AD"/>
    <w:rsid w:val="00B66109"/>
    <w:rsid w:val="00B66349"/>
    <w:rsid w:val="00B669B3"/>
    <w:rsid w:val="00B67FBF"/>
    <w:rsid w:val="00B70832"/>
    <w:rsid w:val="00B71376"/>
    <w:rsid w:val="00B716D7"/>
    <w:rsid w:val="00B72110"/>
    <w:rsid w:val="00B72B91"/>
    <w:rsid w:val="00B73019"/>
    <w:rsid w:val="00B7315F"/>
    <w:rsid w:val="00B7323A"/>
    <w:rsid w:val="00B7353B"/>
    <w:rsid w:val="00B737FB"/>
    <w:rsid w:val="00B73E5D"/>
    <w:rsid w:val="00B73EF3"/>
    <w:rsid w:val="00B7423D"/>
    <w:rsid w:val="00B74D05"/>
    <w:rsid w:val="00B74EF8"/>
    <w:rsid w:val="00B75893"/>
    <w:rsid w:val="00B771F4"/>
    <w:rsid w:val="00B7762A"/>
    <w:rsid w:val="00B777FA"/>
    <w:rsid w:val="00B77850"/>
    <w:rsid w:val="00B7796B"/>
    <w:rsid w:val="00B77D85"/>
    <w:rsid w:val="00B80C72"/>
    <w:rsid w:val="00B8101E"/>
    <w:rsid w:val="00B817DF"/>
    <w:rsid w:val="00B81964"/>
    <w:rsid w:val="00B81E6F"/>
    <w:rsid w:val="00B82123"/>
    <w:rsid w:val="00B8225B"/>
    <w:rsid w:val="00B82BB5"/>
    <w:rsid w:val="00B83182"/>
    <w:rsid w:val="00B839F0"/>
    <w:rsid w:val="00B851E4"/>
    <w:rsid w:val="00B854CE"/>
    <w:rsid w:val="00B85681"/>
    <w:rsid w:val="00B857EB"/>
    <w:rsid w:val="00B858AD"/>
    <w:rsid w:val="00B86162"/>
    <w:rsid w:val="00B86877"/>
    <w:rsid w:val="00B86930"/>
    <w:rsid w:val="00B8695D"/>
    <w:rsid w:val="00B86E66"/>
    <w:rsid w:val="00B873BA"/>
    <w:rsid w:val="00B8746F"/>
    <w:rsid w:val="00B8760D"/>
    <w:rsid w:val="00B87706"/>
    <w:rsid w:val="00B90A49"/>
    <w:rsid w:val="00B90A73"/>
    <w:rsid w:val="00B90B70"/>
    <w:rsid w:val="00B91B8E"/>
    <w:rsid w:val="00B92531"/>
    <w:rsid w:val="00B92618"/>
    <w:rsid w:val="00B92751"/>
    <w:rsid w:val="00B92871"/>
    <w:rsid w:val="00B92B69"/>
    <w:rsid w:val="00B92CC6"/>
    <w:rsid w:val="00B935C9"/>
    <w:rsid w:val="00B93E3D"/>
    <w:rsid w:val="00B94C95"/>
    <w:rsid w:val="00B95464"/>
    <w:rsid w:val="00B95C30"/>
    <w:rsid w:val="00B95E3D"/>
    <w:rsid w:val="00B9691F"/>
    <w:rsid w:val="00B96EEC"/>
    <w:rsid w:val="00B97392"/>
    <w:rsid w:val="00B974E4"/>
    <w:rsid w:val="00B976C7"/>
    <w:rsid w:val="00B97A73"/>
    <w:rsid w:val="00BA0C54"/>
    <w:rsid w:val="00BA1382"/>
    <w:rsid w:val="00BA15E3"/>
    <w:rsid w:val="00BA1A8C"/>
    <w:rsid w:val="00BA20B6"/>
    <w:rsid w:val="00BA20D8"/>
    <w:rsid w:val="00BA22FC"/>
    <w:rsid w:val="00BA27B6"/>
    <w:rsid w:val="00BA2C2A"/>
    <w:rsid w:val="00BA2F30"/>
    <w:rsid w:val="00BA35D9"/>
    <w:rsid w:val="00BA3982"/>
    <w:rsid w:val="00BA405F"/>
    <w:rsid w:val="00BA4771"/>
    <w:rsid w:val="00BA482B"/>
    <w:rsid w:val="00BA5027"/>
    <w:rsid w:val="00BA5D92"/>
    <w:rsid w:val="00BA665B"/>
    <w:rsid w:val="00BA6FE8"/>
    <w:rsid w:val="00BA732D"/>
    <w:rsid w:val="00BA7370"/>
    <w:rsid w:val="00BA778B"/>
    <w:rsid w:val="00BB0888"/>
    <w:rsid w:val="00BB0DF1"/>
    <w:rsid w:val="00BB0E49"/>
    <w:rsid w:val="00BB0E9B"/>
    <w:rsid w:val="00BB15EE"/>
    <w:rsid w:val="00BB26A6"/>
    <w:rsid w:val="00BB2841"/>
    <w:rsid w:val="00BB300F"/>
    <w:rsid w:val="00BB32C9"/>
    <w:rsid w:val="00BB35C5"/>
    <w:rsid w:val="00BB4048"/>
    <w:rsid w:val="00BB4C8E"/>
    <w:rsid w:val="00BB5324"/>
    <w:rsid w:val="00BB57ED"/>
    <w:rsid w:val="00BB5A2D"/>
    <w:rsid w:val="00BB606C"/>
    <w:rsid w:val="00BB65C3"/>
    <w:rsid w:val="00BB662E"/>
    <w:rsid w:val="00BB67A9"/>
    <w:rsid w:val="00BB6C01"/>
    <w:rsid w:val="00BB7942"/>
    <w:rsid w:val="00BB7CD1"/>
    <w:rsid w:val="00BC0F33"/>
    <w:rsid w:val="00BC14A7"/>
    <w:rsid w:val="00BC17CC"/>
    <w:rsid w:val="00BC209F"/>
    <w:rsid w:val="00BC20A1"/>
    <w:rsid w:val="00BC24AD"/>
    <w:rsid w:val="00BC2898"/>
    <w:rsid w:val="00BC2928"/>
    <w:rsid w:val="00BC29BD"/>
    <w:rsid w:val="00BC2BB1"/>
    <w:rsid w:val="00BC34A3"/>
    <w:rsid w:val="00BC3FF9"/>
    <w:rsid w:val="00BC4834"/>
    <w:rsid w:val="00BC4A97"/>
    <w:rsid w:val="00BC566B"/>
    <w:rsid w:val="00BC5A25"/>
    <w:rsid w:val="00BC5FDD"/>
    <w:rsid w:val="00BC68B4"/>
    <w:rsid w:val="00BC7277"/>
    <w:rsid w:val="00BD0140"/>
    <w:rsid w:val="00BD02CC"/>
    <w:rsid w:val="00BD088E"/>
    <w:rsid w:val="00BD0F18"/>
    <w:rsid w:val="00BD182E"/>
    <w:rsid w:val="00BD2063"/>
    <w:rsid w:val="00BD28C4"/>
    <w:rsid w:val="00BD2950"/>
    <w:rsid w:val="00BD337A"/>
    <w:rsid w:val="00BD33D9"/>
    <w:rsid w:val="00BD38C5"/>
    <w:rsid w:val="00BD3A6D"/>
    <w:rsid w:val="00BD3AF1"/>
    <w:rsid w:val="00BD3DEA"/>
    <w:rsid w:val="00BD3E97"/>
    <w:rsid w:val="00BD40E4"/>
    <w:rsid w:val="00BD52FE"/>
    <w:rsid w:val="00BD6265"/>
    <w:rsid w:val="00BD62CF"/>
    <w:rsid w:val="00BD67B2"/>
    <w:rsid w:val="00BD68E2"/>
    <w:rsid w:val="00BD6D41"/>
    <w:rsid w:val="00BD7522"/>
    <w:rsid w:val="00BD76E5"/>
    <w:rsid w:val="00BD78FE"/>
    <w:rsid w:val="00BD7FA3"/>
    <w:rsid w:val="00BE0149"/>
    <w:rsid w:val="00BE0767"/>
    <w:rsid w:val="00BE07A6"/>
    <w:rsid w:val="00BE0CDF"/>
    <w:rsid w:val="00BE0F24"/>
    <w:rsid w:val="00BE12D7"/>
    <w:rsid w:val="00BE1372"/>
    <w:rsid w:val="00BE1775"/>
    <w:rsid w:val="00BE18DA"/>
    <w:rsid w:val="00BE1A14"/>
    <w:rsid w:val="00BE26C0"/>
    <w:rsid w:val="00BE3442"/>
    <w:rsid w:val="00BE37CD"/>
    <w:rsid w:val="00BE47B2"/>
    <w:rsid w:val="00BE4881"/>
    <w:rsid w:val="00BE48C7"/>
    <w:rsid w:val="00BE4F66"/>
    <w:rsid w:val="00BE4FBF"/>
    <w:rsid w:val="00BE5238"/>
    <w:rsid w:val="00BE5742"/>
    <w:rsid w:val="00BE6074"/>
    <w:rsid w:val="00BE69EB"/>
    <w:rsid w:val="00BE6D73"/>
    <w:rsid w:val="00BE7257"/>
    <w:rsid w:val="00BE792A"/>
    <w:rsid w:val="00BF020D"/>
    <w:rsid w:val="00BF0532"/>
    <w:rsid w:val="00BF0609"/>
    <w:rsid w:val="00BF0EE8"/>
    <w:rsid w:val="00BF0F20"/>
    <w:rsid w:val="00BF10ED"/>
    <w:rsid w:val="00BF15F2"/>
    <w:rsid w:val="00BF1DD2"/>
    <w:rsid w:val="00BF23A3"/>
    <w:rsid w:val="00BF2A7E"/>
    <w:rsid w:val="00BF2CD0"/>
    <w:rsid w:val="00BF3331"/>
    <w:rsid w:val="00BF3A45"/>
    <w:rsid w:val="00BF436F"/>
    <w:rsid w:val="00BF5C05"/>
    <w:rsid w:val="00BF6A12"/>
    <w:rsid w:val="00BF6FC6"/>
    <w:rsid w:val="00BF7B1E"/>
    <w:rsid w:val="00BF7C52"/>
    <w:rsid w:val="00BF7F99"/>
    <w:rsid w:val="00C00713"/>
    <w:rsid w:val="00C009A0"/>
    <w:rsid w:val="00C0167E"/>
    <w:rsid w:val="00C01F74"/>
    <w:rsid w:val="00C020C1"/>
    <w:rsid w:val="00C02558"/>
    <w:rsid w:val="00C025FE"/>
    <w:rsid w:val="00C0285F"/>
    <w:rsid w:val="00C028F5"/>
    <w:rsid w:val="00C02F35"/>
    <w:rsid w:val="00C03305"/>
    <w:rsid w:val="00C033EC"/>
    <w:rsid w:val="00C03515"/>
    <w:rsid w:val="00C03738"/>
    <w:rsid w:val="00C037A6"/>
    <w:rsid w:val="00C04221"/>
    <w:rsid w:val="00C043F5"/>
    <w:rsid w:val="00C044E3"/>
    <w:rsid w:val="00C04607"/>
    <w:rsid w:val="00C04BDB"/>
    <w:rsid w:val="00C052C6"/>
    <w:rsid w:val="00C056DF"/>
    <w:rsid w:val="00C05A61"/>
    <w:rsid w:val="00C05FBA"/>
    <w:rsid w:val="00C05FEE"/>
    <w:rsid w:val="00C066B4"/>
    <w:rsid w:val="00C06CCF"/>
    <w:rsid w:val="00C0794D"/>
    <w:rsid w:val="00C1066C"/>
    <w:rsid w:val="00C10E78"/>
    <w:rsid w:val="00C1159D"/>
    <w:rsid w:val="00C1233E"/>
    <w:rsid w:val="00C1276C"/>
    <w:rsid w:val="00C12FB3"/>
    <w:rsid w:val="00C138BC"/>
    <w:rsid w:val="00C13D85"/>
    <w:rsid w:val="00C14575"/>
    <w:rsid w:val="00C14639"/>
    <w:rsid w:val="00C14E82"/>
    <w:rsid w:val="00C14FF6"/>
    <w:rsid w:val="00C157F1"/>
    <w:rsid w:val="00C15A85"/>
    <w:rsid w:val="00C1637C"/>
    <w:rsid w:val="00C1641B"/>
    <w:rsid w:val="00C1641F"/>
    <w:rsid w:val="00C165FC"/>
    <w:rsid w:val="00C16DCE"/>
    <w:rsid w:val="00C176D5"/>
    <w:rsid w:val="00C17918"/>
    <w:rsid w:val="00C17D24"/>
    <w:rsid w:val="00C2082C"/>
    <w:rsid w:val="00C20EB0"/>
    <w:rsid w:val="00C21004"/>
    <w:rsid w:val="00C21005"/>
    <w:rsid w:val="00C218DF"/>
    <w:rsid w:val="00C220B6"/>
    <w:rsid w:val="00C22258"/>
    <w:rsid w:val="00C2296B"/>
    <w:rsid w:val="00C22D7C"/>
    <w:rsid w:val="00C22DDE"/>
    <w:rsid w:val="00C2338B"/>
    <w:rsid w:val="00C233CE"/>
    <w:rsid w:val="00C237DD"/>
    <w:rsid w:val="00C238F4"/>
    <w:rsid w:val="00C2393A"/>
    <w:rsid w:val="00C23A99"/>
    <w:rsid w:val="00C23AB5"/>
    <w:rsid w:val="00C245EE"/>
    <w:rsid w:val="00C24AE1"/>
    <w:rsid w:val="00C24B8D"/>
    <w:rsid w:val="00C24BD7"/>
    <w:rsid w:val="00C24F7A"/>
    <w:rsid w:val="00C25813"/>
    <w:rsid w:val="00C26C71"/>
    <w:rsid w:val="00C27143"/>
    <w:rsid w:val="00C2725D"/>
    <w:rsid w:val="00C27490"/>
    <w:rsid w:val="00C27556"/>
    <w:rsid w:val="00C27D37"/>
    <w:rsid w:val="00C309E8"/>
    <w:rsid w:val="00C31583"/>
    <w:rsid w:val="00C32017"/>
    <w:rsid w:val="00C32571"/>
    <w:rsid w:val="00C325CD"/>
    <w:rsid w:val="00C3322E"/>
    <w:rsid w:val="00C337F5"/>
    <w:rsid w:val="00C3383E"/>
    <w:rsid w:val="00C33B90"/>
    <w:rsid w:val="00C33CC1"/>
    <w:rsid w:val="00C34161"/>
    <w:rsid w:val="00C34B5F"/>
    <w:rsid w:val="00C358D4"/>
    <w:rsid w:val="00C365C6"/>
    <w:rsid w:val="00C366F4"/>
    <w:rsid w:val="00C36785"/>
    <w:rsid w:val="00C36FEA"/>
    <w:rsid w:val="00C3711C"/>
    <w:rsid w:val="00C37256"/>
    <w:rsid w:val="00C37A7B"/>
    <w:rsid w:val="00C37DC1"/>
    <w:rsid w:val="00C37FA6"/>
    <w:rsid w:val="00C37FFE"/>
    <w:rsid w:val="00C40B50"/>
    <w:rsid w:val="00C419E3"/>
    <w:rsid w:val="00C419F4"/>
    <w:rsid w:val="00C41E6A"/>
    <w:rsid w:val="00C42150"/>
    <w:rsid w:val="00C42247"/>
    <w:rsid w:val="00C428E7"/>
    <w:rsid w:val="00C438A2"/>
    <w:rsid w:val="00C439BE"/>
    <w:rsid w:val="00C43A17"/>
    <w:rsid w:val="00C451B2"/>
    <w:rsid w:val="00C4539B"/>
    <w:rsid w:val="00C45466"/>
    <w:rsid w:val="00C455C1"/>
    <w:rsid w:val="00C4581D"/>
    <w:rsid w:val="00C46CA4"/>
    <w:rsid w:val="00C4709B"/>
    <w:rsid w:val="00C47472"/>
    <w:rsid w:val="00C47D0D"/>
    <w:rsid w:val="00C500F0"/>
    <w:rsid w:val="00C504A7"/>
    <w:rsid w:val="00C506C9"/>
    <w:rsid w:val="00C50A16"/>
    <w:rsid w:val="00C518CF"/>
    <w:rsid w:val="00C51C9A"/>
    <w:rsid w:val="00C52C68"/>
    <w:rsid w:val="00C52D98"/>
    <w:rsid w:val="00C52DA1"/>
    <w:rsid w:val="00C53D24"/>
    <w:rsid w:val="00C54640"/>
    <w:rsid w:val="00C547A6"/>
    <w:rsid w:val="00C54A3A"/>
    <w:rsid w:val="00C55C32"/>
    <w:rsid w:val="00C5602D"/>
    <w:rsid w:val="00C56A67"/>
    <w:rsid w:val="00C56CC2"/>
    <w:rsid w:val="00C56D8D"/>
    <w:rsid w:val="00C57498"/>
    <w:rsid w:val="00C5763C"/>
    <w:rsid w:val="00C5780C"/>
    <w:rsid w:val="00C5796B"/>
    <w:rsid w:val="00C57C64"/>
    <w:rsid w:val="00C612C4"/>
    <w:rsid w:val="00C619A1"/>
    <w:rsid w:val="00C62370"/>
    <w:rsid w:val="00C62BBB"/>
    <w:rsid w:val="00C6305F"/>
    <w:rsid w:val="00C6325B"/>
    <w:rsid w:val="00C63888"/>
    <w:rsid w:val="00C63DDD"/>
    <w:rsid w:val="00C63E31"/>
    <w:rsid w:val="00C63E99"/>
    <w:rsid w:val="00C649B8"/>
    <w:rsid w:val="00C64A64"/>
    <w:rsid w:val="00C65151"/>
    <w:rsid w:val="00C657F4"/>
    <w:rsid w:val="00C6598D"/>
    <w:rsid w:val="00C660FE"/>
    <w:rsid w:val="00C66119"/>
    <w:rsid w:val="00C66292"/>
    <w:rsid w:val="00C672A3"/>
    <w:rsid w:val="00C672F1"/>
    <w:rsid w:val="00C673D0"/>
    <w:rsid w:val="00C6742E"/>
    <w:rsid w:val="00C67B0B"/>
    <w:rsid w:val="00C67C0E"/>
    <w:rsid w:val="00C70012"/>
    <w:rsid w:val="00C70539"/>
    <w:rsid w:val="00C707DD"/>
    <w:rsid w:val="00C71767"/>
    <w:rsid w:val="00C71E2A"/>
    <w:rsid w:val="00C733BA"/>
    <w:rsid w:val="00C742F6"/>
    <w:rsid w:val="00C760DC"/>
    <w:rsid w:val="00C7747E"/>
    <w:rsid w:val="00C77777"/>
    <w:rsid w:val="00C8082B"/>
    <w:rsid w:val="00C80C6B"/>
    <w:rsid w:val="00C81A88"/>
    <w:rsid w:val="00C81D46"/>
    <w:rsid w:val="00C82298"/>
    <w:rsid w:val="00C82DC7"/>
    <w:rsid w:val="00C8331F"/>
    <w:rsid w:val="00C833B4"/>
    <w:rsid w:val="00C84284"/>
    <w:rsid w:val="00C84E33"/>
    <w:rsid w:val="00C85FFC"/>
    <w:rsid w:val="00C861FC"/>
    <w:rsid w:val="00C86C87"/>
    <w:rsid w:val="00C9005E"/>
    <w:rsid w:val="00C90111"/>
    <w:rsid w:val="00C9038E"/>
    <w:rsid w:val="00C9077B"/>
    <w:rsid w:val="00C90B39"/>
    <w:rsid w:val="00C90CA9"/>
    <w:rsid w:val="00C90F49"/>
    <w:rsid w:val="00C90F88"/>
    <w:rsid w:val="00C915F2"/>
    <w:rsid w:val="00C917B1"/>
    <w:rsid w:val="00C9193C"/>
    <w:rsid w:val="00C91B77"/>
    <w:rsid w:val="00C920E2"/>
    <w:rsid w:val="00C925F1"/>
    <w:rsid w:val="00C9370F"/>
    <w:rsid w:val="00C93765"/>
    <w:rsid w:val="00C93877"/>
    <w:rsid w:val="00C939D1"/>
    <w:rsid w:val="00C93D8C"/>
    <w:rsid w:val="00C93E07"/>
    <w:rsid w:val="00C940D9"/>
    <w:rsid w:val="00C946CC"/>
    <w:rsid w:val="00C959BD"/>
    <w:rsid w:val="00C95DFE"/>
    <w:rsid w:val="00C95F44"/>
    <w:rsid w:val="00C96331"/>
    <w:rsid w:val="00C96D1B"/>
    <w:rsid w:val="00C97106"/>
    <w:rsid w:val="00C978D4"/>
    <w:rsid w:val="00CA0031"/>
    <w:rsid w:val="00CA0413"/>
    <w:rsid w:val="00CA043A"/>
    <w:rsid w:val="00CA0E51"/>
    <w:rsid w:val="00CA1691"/>
    <w:rsid w:val="00CA2697"/>
    <w:rsid w:val="00CA41E7"/>
    <w:rsid w:val="00CA4A99"/>
    <w:rsid w:val="00CA4CCC"/>
    <w:rsid w:val="00CA5173"/>
    <w:rsid w:val="00CA5520"/>
    <w:rsid w:val="00CA5812"/>
    <w:rsid w:val="00CA5984"/>
    <w:rsid w:val="00CA5BD4"/>
    <w:rsid w:val="00CA5C14"/>
    <w:rsid w:val="00CA6B2F"/>
    <w:rsid w:val="00CA7019"/>
    <w:rsid w:val="00CA76FC"/>
    <w:rsid w:val="00CA7E7B"/>
    <w:rsid w:val="00CB0236"/>
    <w:rsid w:val="00CB0C97"/>
    <w:rsid w:val="00CB0CB1"/>
    <w:rsid w:val="00CB137C"/>
    <w:rsid w:val="00CB1800"/>
    <w:rsid w:val="00CB1881"/>
    <w:rsid w:val="00CB1969"/>
    <w:rsid w:val="00CB19E3"/>
    <w:rsid w:val="00CB2C3A"/>
    <w:rsid w:val="00CB2D38"/>
    <w:rsid w:val="00CB2F5E"/>
    <w:rsid w:val="00CB4137"/>
    <w:rsid w:val="00CB50D0"/>
    <w:rsid w:val="00CB52D0"/>
    <w:rsid w:val="00CB5578"/>
    <w:rsid w:val="00CB5671"/>
    <w:rsid w:val="00CB591C"/>
    <w:rsid w:val="00CB5943"/>
    <w:rsid w:val="00CB61B3"/>
    <w:rsid w:val="00CB61F2"/>
    <w:rsid w:val="00CB6801"/>
    <w:rsid w:val="00CB6F83"/>
    <w:rsid w:val="00CB72AE"/>
    <w:rsid w:val="00CC00CD"/>
    <w:rsid w:val="00CC0579"/>
    <w:rsid w:val="00CC090E"/>
    <w:rsid w:val="00CC0AF3"/>
    <w:rsid w:val="00CC0BC6"/>
    <w:rsid w:val="00CC0E68"/>
    <w:rsid w:val="00CC1780"/>
    <w:rsid w:val="00CC194E"/>
    <w:rsid w:val="00CC1C03"/>
    <w:rsid w:val="00CC21AC"/>
    <w:rsid w:val="00CC232E"/>
    <w:rsid w:val="00CC2514"/>
    <w:rsid w:val="00CC2D34"/>
    <w:rsid w:val="00CC2F69"/>
    <w:rsid w:val="00CC315F"/>
    <w:rsid w:val="00CC3D38"/>
    <w:rsid w:val="00CC3F2F"/>
    <w:rsid w:val="00CC40C3"/>
    <w:rsid w:val="00CC40E0"/>
    <w:rsid w:val="00CC4CB4"/>
    <w:rsid w:val="00CC4E5D"/>
    <w:rsid w:val="00CC4EF4"/>
    <w:rsid w:val="00CC4F87"/>
    <w:rsid w:val="00CC50AE"/>
    <w:rsid w:val="00CC5FFE"/>
    <w:rsid w:val="00CC61B7"/>
    <w:rsid w:val="00CC61CA"/>
    <w:rsid w:val="00CC69EC"/>
    <w:rsid w:val="00CC71D3"/>
    <w:rsid w:val="00CC743D"/>
    <w:rsid w:val="00CD02ED"/>
    <w:rsid w:val="00CD050A"/>
    <w:rsid w:val="00CD1017"/>
    <w:rsid w:val="00CD109C"/>
    <w:rsid w:val="00CD205D"/>
    <w:rsid w:val="00CD2A22"/>
    <w:rsid w:val="00CD2B50"/>
    <w:rsid w:val="00CD3172"/>
    <w:rsid w:val="00CD37B4"/>
    <w:rsid w:val="00CD405A"/>
    <w:rsid w:val="00CD4506"/>
    <w:rsid w:val="00CD520B"/>
    <w:rsid w:val="00CD592E"/>
    <w:rsid w:val="00CD5982"/>
    <w:rsid w:val="00CD5A1A"/>
    <w:rsid w:val="00CD5C26"/>
    <w:rsid w:val="00CD6126"/>
    <w:rsid w:val="00CD6CAB"/>
    <w:rsid w:val="00CD7EFA"/>
    <w:rsid w:val="00CE020E"/>
    <w:rsid w:val="00CE026B"/>
    <w:rsid w:val="00CE0566"/>
    <w:rsid w:val="00CE1CD4"/>
    <w:rsid w:val="00CE24D3"/>
    <w:rsid w:val="00CE2761"/>
    <w:rsid w:val="00CE28FC"/>
    <w:rsid w:val="00CE314E"/>
    <w:rsid w:val="00CE3A85"/>
    <w:rsid w:val="00CE3D5C"/>
    <w:rsid w:val="00CE3E09"/>
    <w:rsid w:val="00CE3E14"/>
    <w:rsid w:val="00CE44C7"/>
    <w:rsid w:val="00CE53CC"/>
    <w:rsid w:val="00CE5F60"/>
    <w:rsid w:val="00CE65A7"/>
    <w:rsid w:val="00CE68EF"/>
    <w:rsid w:val="00CE68FE"/>
    <w:rsid w:val="00CE69CC"/>
    <w:rsid w:val="00CE6EC4"/>
    <w:rsid w:val="00CE7F26"/>
    <w:rsid w:val="00CF021C"/>
    <w:rsid w:val="00CF1226"/>
    <w:rsid w:val="00CF1ABB"/>
    <w:rsid w:val="00CF1E1D"/>
    <w:rsid w:val="00CF1EB8"/>
    <w:rsid w:val="00CF24FE"/>
    <w:rsid w:val="00CF287F"/>
    <w:rsid w:val="00CF305E"/>
    <w:rsid w:val="00CF35D0"/>
    <w:rsid w:val="00CF3B57"/>
    <w:rsid w:val="00CF3D61"/>
    <w:rsid w:val="00CF3DD5"/>
    <w:rsid w:val="00CF43E7"/>
    <w:rsid w:val="00CF4AF7"/>
    <w:rsid w:val="00CF4D20"/>
    <w:rsid w:val="00CF5EC0"/>
    <w:rsid w:val="00CF73F8"/>
    <w:rsid w:val="00CF7675"/>
    <w:rsid w:val="00CF7928"/>
    <w:rsid w:val="00CF7CA2"/>
    <w:rsid w:val="00D00911"/>
    <w:rsid w:val="00D00A8E"/>
    <w:rsid w:val="00D00DE0"/>
    <w:rsid w:val="00D00F79"/>
    <w:rsid w:val="00D012BF"/>
    <w:rsid w:val="00D01760"/>
    <w:rsid w:val="00D01838"/>
    <w:rsid w:val="00D028B5"/>
    <w:rsid w:val="00D0368E"/>
    <w:rsid w:val="00D03AC3"/>
    <w:rsid w:val="00D03D2D"/>
    <w:rsid w:val="00D03E7B"/>
    <w:rsid w:val="00D0401A"/>
    <w:rsid w:val="00D047E0"/>
    <w:rsid w:val="00D04B9F"/>
    <w:rsid w:val="00D04D43"/>
    <w:rsid w:val="00D04F94"/>
    <w:rsid w:val="00D04FFB"/>
    <w:rsid w:val="00D055FE"/>
    <w:rsid w:val="00D058E9"/>
    <w:rsid w:val="00D0612A"/>
    <w:rsid w:val="00D0642C"/>
    <w:rsid w:val="00D06693"/>
    <w:rsid w:val="00D1060D"/>
    <w:rsid w:val="00D10D14"/>
    <w:rsid w:val="00D10E7C"/>
    <w:rsid w:val="00D11182"/>
    <w:rsid w:val="00D1137B"/>
    <w:rsid w:val="00D11508"/>
    <w:rsid w:val="00D11807"/>
    <w:rsid w:val="00D11881"/>
    <w:rsid w:val="00D11DB3"/>
    <w:rsid w:val="00D12264"/>
    <w:rsid w:val="00D12D82"/>
    <w:rsid w:val="00D12F77"/>
    <w:rsid w:val="00D1306E"/>
    <w:rsid w:val="00D130B7"/>
    <w:rsid w:val="00D134CD"/>
    <w:rsid w:val="00D13FE4"/>
    <w:rsid w:val="00D1401E"/>
    <w:rsid w:val="00D14B5F"/>
    <w:rsid w:val="00D14E13"/>
    <w:rsid w:val="00D14F23"/>
    <w:rsid w:val="00D160F6"/>
    <w:rsid w:val="00D16740"/>
    <w:rsid w:val="00D169D8"/>
    <w:rsid w:val="00D16A8B"/>
    <w:rsid w:val="00D16E39"/>
    <w:rsid w:val="00D171DE"/>
    <w:rsid w:val="00D172A4"/>
    <w:rsid w:val="00D17951"/>
    <w:rsid w:val="00D17AD8"/>
    <w:rsid w:val="00D205C7"/>
    <w:rsid w:val="00D2104A"/>
    <w:rsid w:val="00D21A58"/>
    <w:rsid w:val="00D21BB5"/>
    <w:rsid w:val="00D21FFC"/>
    <w:rsid w:val="00D223B6"/>
    <w:rsid w:val="00D223E8"/>
    <w:rsid w:val="00D224E1"/>
    <w:rsid w:val="00D22DC8"/>
    <w:rsid w:val="00D23094"/>
    <w:rsid w:val="00D231DD"/>
    <w:rsid w:val="00D23732"/>
    <w:rsid w:val="00D2374F"/>
    <w:rsid w:val="00D2477B"/>
    <w:rsid w:val="00D24F93"/>
    <w:rsid w:val="00D25027"/>
    <w:rsid w:val="00D2519C"/>
    <w:rsid w:val="00D2522A"/>
    <w:rsid w:val="00D2531C"/>
    <w:rsid w:val="00D25428"/>
    <w:rsid w:val="00D2553E"/>
    <w:rsid w:val="00D2587F"/>
    <w:rsid w:val="00D2742F"/>
    <w:rsid w:val="00D2754F"/>
    <w:rsid w:val="00D277C5"/>
    <w:rsid w:val="00D279D9"/>
    <w:rsid w:val="00D309A0"/>
    <w:rsid w:val="00D30C8F"/>
    <w:rsid w:val="00D312DC"/>
    <w:rsid w:val="00D31B3C"/>
    <w:rsid w:val="00D31B84"/>
    <w:rsid w:val="00D31C6A"/>
    <w:rsid w:val="00D31EDF"/>
    <w:rsid w:val="00D31FF9"/>
    <w:rsid w:val="00D32149"/>
    <w:rsid w:val="00D32256"/>
    <w:rsid w:val="00D32784"/>
    <w:rsid w:val="00D32A27"/>
    <w:rsid w:val="00D32ABC"/>
    <w:rsid w:val="00D33D9B"/>
    <w:rsid w:val="00D33EE9"/>
    <w:rsid w:val="00D33FA4"/>
    <w:rsid w:val="00D34B25"/>
    <w:rsid w:val="00D34C7F"/>
    <w:rsid w:val="00D34F4E"/>
    <w:rsid w:val="00D357F3"/>
    <w:rsid w:val="00D35C0E"/>
    <w:rsid w:val="00D36FBF"/>
    <w:rsid w:val="00D373A8"/>
    <w:rsid w:val="00D379A5"/>
    <w:rsid w:val="00D37BB3"/>
    <w:rsid w:val="00D37C5D"/>
    <w:rsid w:val="00D401BE"/>
    <w:rsid w:val="00D4043A"/>
    <w:rsid w:val="00D40DB0"/>
    <w:rsid w:val="00D41093"/>
    <w:rsid w:val="00D41858"/>
    <w:rsid w:val="00D41EEB"/>
    <w:rsid w:val="00D422DB"/>
    <w:rsid w:val="00D4289B"/>
    <w:rsid w:val="00D42AC2"/>
    <w:rsid w:val="00D44791"/>
    <w:rsid w:val="00D4498E"/>
    <w:rsid w:val="00D4515F"/>
    <w:rsid w:val="00D451E8"/>
    <w:rsid w:val="00D45EE8"/>
    <w:rsid w:val="00D466C9"/>
    <w:rsid w:val="00D46B43"/>
    <w:rsid w:val="00D47275"/>
    <w:rsid w:val="00D517F6"/>
    <w:rsid w:val="00D51AB7"/>
    <w:rsid w:val="00D51E15"/>
    <w:rsid w:val="00D5240E"/>
    <w:rsid w:val="00D52B7E"/>
    <w:rsid w:val="00D52E2F"/>
    <w:rsid w:val="00D52F59"/>
    <w:rsid w:val="00D53445"/>
    <w:rsid w:val="00D536E0"/>
    <w:rsid w:val="00D53C61"/>
    <w:rsid w:val="00D53E3E"/>
    <w:rsid w:val="00D54620"/>
    <w:rsid w:val="00D55904"/>
    <w:rsid w:val="00D55DFF"/>
    <w:rsid w:val="00D5614E"/>
    <w:rsid w:val="00D5616F"/>
    <w:rsid w:val="00D57940"/>
    <w:rsid w:val="00D60327"/>
    <w:rsid w:val="00D605BB"/>
    <w:rsid w:val="00D60C4A"/>
    <w:rsid w:val="00D61384"/>
    <w:rsid w:val="00D61526"/>
    <w:rsid w:val="00D61C39"/>
    <w:rsid w:val="00D61F81"/>
    <w:rsid w:val="00D62088"/>
    <w:rsid w:val="00D620A6"/>
    <w:rsid w:val="00D623C0"/>
    <w:rsid w:val="00D62631"/>
    <w:rsid w:val="00D62BE6"/>
    <w:rsid w:val="00D62F00"/>
    <w:rsid w:val="00D63359"/>
    <w:rsid w:val="00D63706"/>
    <w:rsid w:val="00D63766"/>
    <w:rsid w:val="00D63912"/>
    <w:rsid w:val="00D63923"/>
    <w:rsid w:val="00D6451B"/>
    <w:rsid w:val="00D64B57"/>
    <w:rsid w:val="00D650F4"/>
    <w:rsid w:val="00D651A1"/>
    <w:rsid w:val="00D65B2B"/>
    <w:rsid w:val="00D65C15"/>
    <w:rsid w:val="00D65DEA"/>
    <w:rsid w:val="00D6650F"/>
    <w:rsid w:val="00D66579"/>
    <w:rsid w:val="00D66CF2"/>
    <w:rsid w:val="00D676D3"/>
    <w:rsid w:val="00D67B06"/>
    <w:rsid w:val="00D67BC7"/>
    <w:rsid w:val="00D67C3B"/>
    <w:rsid w:val="00D701F1"/>
    <w:rsid w:val="00D705D3"/>
    <w:rsid w:val="00D70E00"/>
    <w:rsid w:val="00D70F7C"/>
    <w:rsid w:val="00D715AC"/>
    <w:rsid w:val="00D71851"/>
    <w:rsid w:val="00D718CF"/>
    <w:rsid w:val="00D728F5"/>
    <w:rsid w:val="00D72A37"/>
    <w:rsid w:val="00D72BC3"/>
    <w:rsid w:val="00D72E9D"/>
    <w:rsid w:val="00D73249"/>
    <w:rsid w:val="00D732AC"/>
    <w:rsid w:val="00D73419"/>
    <w:rsid w:val="00D73437"/>
    <w:rsid w:val="00D73881"/>
    <w:rsid w:val="00D73CA9"/>
    <w:rsid w:val="00D74387"/>
    <w:rsid w:val="00D751B7"/>
    <w:rsid w:val="00D75232"/>
    <w:rsid w:val="00D7524B"/>
    <w:rsid w:val="00D75396"/>
    <w:rsid w:val="00D753E7"/>
    <w:rsid w:val="00D75924"/>
    <w:rsid w:val="00D759C0"/>
    <w:rsid w:val="00D75AF5"/>
    <w:rsid w:val="00D75E99"/>
    <w:rsid w:val="00D765CE"/>
    <w:rsid w:val="00D766C7"/>
    <w:rsid w:val="00D7692B"/>
    <w:rsid w:val="00D76951"/>
    <w:rsid w:val="00D7734F"/>
    <w:rsid w:val="00D7762A"/>
    <w:rsid w:val="00D7791D"/>
    <w:rsid w:val="00D77CB6"/>
    <w:rsid w:val="00D77CF4"/>
    <w:rsid w:val="00D77D89"/>
    <w:rsid w:val="00D8039E"/>
    <w:rsid w:val="00D8044C"/>
    <w:rsid w:val="00D805D6"/>
    <w:rsid w:val="00D8075E"/>
    <w:rsid w:val="00D80860"/>
    <w:rsid w:val="00D80D4C"/>
    <w:rsid w:val="00D8184D"/>
    <w:rsid w:val="00D81A7B"/>
    <w:rsid w:val="00D8223C"/>
    <w:rsid w:val="00D82A7D"/>
    <w:rsid w:val="00D82B57"/>
    <w:rsid w:val="00D82CE5"/>
    <w:rsid w:val="00D82DFA"/>
    <w:rsid w:val="00D831E3"/>
    <w:rsid w:val="00D8342C"/>
    <w:rsid w:val="00D84983"/>
    <w:rsid w:val="00D84C00"/>
    <w:rsid w:val="00D85494"/>
    <w:rsid w:val="00D8582C"/>
    <w:rsid w:val="00D85D61"/>
    <w:rsid w:val="00D8616D"/>
    <w:rsid w:val="00D8711B"/>
    <w:rsid w:val="00D87384"/>
    <w:rsid w:val="00D87882"/>
    <w:rsid w:val="00D9015D"/>
    <w:rsid w:val="00D90683"/>
    <w:rsid w:val="00D90B2A"/>
    <w:rsid w:val="00D91483"/>
    <w:rsid w:val="00D915C8"/>
    <w:rsid w:val="00D92E63"/>
    <w:rsid w:val="00D93049"/>
    <w:rsid w:val="00D9310B"/>
    <w:rsid w:val="00D931F3"/>
    <w:rsid w:val="00D93726"/>
    <w:rsid w:val="00D93F3E"/>
    <w:rsid w:val="00D9405B"/>
    <w:rsid w:val="00D94942"/>
    <w:rsid w:val="00D9502A"/>
    <w:rsid w:val="00D95145"/>
    <w:rsid w:val="00D96594"/>
    <w:rsid w:val="00D96678"/>
    <w:rsid w:val="00D967CB"/>
    <w:rsid w:val="00D968D4"/>
    <w:rsid w:val="00D96EAB"/>
    <w:rsid w:val="00D96EE0"/>
    <w:rsid w:val="00D96F14"/>
    <w:rsid w:val="00D97BD1"/>
    <w:rsid w:val="00D97EF0"/>
    <w:rsid w:val="00DA00C3"/>
    <w:rsid w:val="00DA01E9"/>
    <w:rsid w:val="00DA06B8"/>
    <w:rsid w:val="00DA14A9"/>
    <w:rsid w:val="00DA1863"/>
    <w:rsid w:val="00DA1CE7"/>
    <w:rsid w:val="00DA286D"/>
    <w:rsid w:val="00DA2969"/>
    <w:rsid w:val="00DA29B7"/>
    <w:rsid w:val="00DA2E5F"/>
    <w:rsid w:val="00DA337C"/>
    <w:rsid w:val="00DA422F"/>
    <w:rsid w:val="00DA4842"/>
    <w:rsid w:val="00DA4C97"/>
    <w:rsid w:val="00DA5989"/>
    <w:rsid w:val="00DA5AB1"/>
    <w:rsid w:val="00DA5F9D"/>
    <w:rsid w:val="00DA6719"/>
    <w:rsid w:val="00DA69B2"/>
    <w:rsid w:val="00DA7462"/>
    <w:rsid w:val="00DA7AD0"/>
    <w:rsid w:val="00DB02D7"/>
    <w:rsid w:val="00DB03CC"/>
    <w:rsid w:val="00DB12D4"/>
    <w:rsid w:val="00DB14F0"/>
    <w:rsid w:val="00DB1745"/>
    <w:rsid w:val="00DB177C"/>
    <w:rsid w:val="00DB19BB"/>
    <w:rsid w:val="00DB1A00"/>
    <w:rsid w:val="00DB1AFF"/>
    <w:rsid w:val="00DB219A"/>
    <w:rsid w:val="00DB244B"/>
    <w:rsid w:val="00DB3165"/>
    <w:rsid w:val="00DB4292"/>
    <w:rsid w:val="00DB5023"/>
    <w:rsid w:val="00DB52D2"/>
    <w:rsid w:val="00DB6E46"/>
    <w:rsid w:val="00DB7117"/>
    <w:rsid w:val="00DB7760"/>
    <w:rsid w:val="00DB7DD4"/>
    <w:rsid w:val="00DC00B4"/>
    <w:rsid w:val="00DC0954"/>
    <w:rsid w:val="00DC0DF8"/>
    <w:rsid w:val="00DC15BA"/>
    <w:rsid w:val="00DC18CD"/>
    <w:rsid w:val="00DC1A68"/>
    <w:rsid w:val="00DC2072"/>
    <w:rsid w:val="00DC30B8"/>
    <w:rsid w:val="00DC478F"/>
    <w:rsid w:val="00DC5950"/>
    <w:rsid w:val="00DC61AC"/>
    <w:rsid w:val="00DC62E5"/>
    <w:rsid w:val="00DC6D70"/>
    <w:rsid w:val="00DC6DAA"/>
    <w:rsid w:val="00DC6F33"/>
    <w:rsid w:val="00DC7349"/>
    <w:rsid w:val="00DC7389"/>
    <w:rsid w:val="00DD0EA9"/>
    <w:rsid w:val="00DD14D8"/>
    <w:rsid w:val="00DD1599"/>
    <w:rsid w:val="00DD16F1"/>
    <w:rsid w:val="00DD1B03"/>
    <w:rsid w:val="00DD1E43"/>
    <w:rsid w:val="00DD1EDF"/>
    <w:rsid w:val="00DD1FF6"/>
    <w:rsid w:val="00DD2A62"/>
    <w:rsid w:val="00DD2F2F"/>
    <w:rsid w:val="00DD2F7A"/>
    <w:rsid w:val="00DD36D2"/>
    <w:rsid w:val="00DD37C4"/>
    <w:rsid w:val="00DD3885"/>
    <w:rsid w:val="00DD47D3"/>
    <w:rsid w:val="00DD5808"/>
    <w:rsid w:val="00DD5946"/>
    <w:rsid w:val="00DD5B04"/>
    <w:rsid w:val="00DD5DAE"/>
    <w:rsid w:val="00DD5EC6"/>
    <w:rsid w:val="00DD605F"/>
    <w:rsid w:val="00DD6A79"/>
    <w:rsid w:val="00DD6DBA"/>
    <w:rsid w:val="00DD72A0"/>
    <w:rsid w:val="00DD735D"/>
    <w:rsid w:val="00DD7F7D"/>
    <w:rsid w:val="00DE0159"/>
    <w:rsid w:val="00DE064A"/>
    <w:rsid w:val="00DE082D"/>
    <w:rsid w:val="00DE1410"/>
    <w:rsid w:val="00DE1B18"/>
    <w:rsid w:val="00DE20C6"/>
    <w:rsid w:val="00DE2C0C"/>
    <w:rsid w:val="00DE2E9B"/>
    <w:rsid w:val="00DE3119"/>
    <w:rsid w:val="00DE3789"/>
    <w:rsid w:val="00DE3C24"/>
    <w:rsid w:val="00DE3FF0"/>
    <w:rsid w:val="00DE4105"/>
    <w:rsid w:val="00DE4BEA"/>
    <w:rsid w:val="00DE5189"/>
    <w:rsid w:val="00DE6506"/>
    <w:rsid w:val="00DE67D2"/>
    <w:rsid w:val="00DE7108"/>
    <w:rsid w:val="00DE7742"/>
    <w:rsid w:val="00DE78D1"/>
    <w:rsid w:val="00DE78FF"/>
    <w:rsid w:val="00DE7B11"/>
    <w:rsid w:val="00DF0263"/>
    <w:rsid w:val="00DF0EB4"/>
    <w:rsid w:val="00DF158B"/>
    <w:rsid w:val="00DF170E"/>
    <w:rsid w:val="00DF193C"/>
    <w:rsid w:val="00DF1E36"/>
    <w:rsid w:val="00DF236B"/>
    <w:rsid w:val="00DF258A"/>
    <w:rsid w:val="00DF2A91"/>
    <w:rsid w:val="00DF3889"/>
    <w:rsid w:val="00DF3CC9"/>
    <w:rsid w:val="00DF4451"/>
    <w:rsid w:val="00DF49FF"/>
    <w:rsid w:val="00DF4FFB"/>
    <w:rsid w:val="00DF5236"/>
    <w:rsid w:val="00DF651F"/>
    <w:rsid w:val="00DF6F43"/>
    <w:rsid w:val="00DF71EA"/>
    <w:rsid w:val="00DF752F"/>
    <w:rsid w:val="00DF76A2"/>
    <w:rsid w:val="00E007AA"/>
    <w:rsid w:val="00E00990"/>
    <w:rsid w:val="00E00B25"/>
    <w:rsid w:val="00E00B7A"/>
    <w:rsid w:val="00E01677"/>
    <w:rsid w:val="00E02144"/>
    <w:rsid w:val="00E02186"/>
    <w:rsid w:val="00E025C0"/>
    <w:rsid w:val="00E025C2"/>
    <w:rsid w:val="00E026BB"/>
    <w:rsid w:val="00E027C5"/>
    <w:rsid w:val="00E03124"/>
    <w:rsid w:val="00E031C3"/>
    <w:rsid w:val="00E03951"/>
    <w:rsid w:val="00E03DB8"/>
    <w:rsid w:val="00E03F17"/>
    <w:rsid w:val="00E0420C"/>
    <w:rsid w:val="00E04EDD"/>
    <w:rsid w:val="00E057B6"/>
    <w:rsid w:val="00E05E70"/>
    <w:rsid w:val="00E064BC"/>
    <w:rsid w:val="00E06598"/>
    <w:rsid w:val="00E068BB"/>
    <w:rsid w:val="00E070C1"/>
    <w:rsid w:val="00E07225"/>
    <w:rsid w:val="00E073FC"/>
    <w:rsid w:val="00E076B4"/>
    <w:rsid w:val="00E07B55"/>
    <w:rsid w:val="00E10579"/>
    <w:rsid w:val="00E109DD"/>
    <w:rsid w:val="00E1119F"/>
    <w:rsid w:val="00E11229"/>
    <w:rsid w:val="00E114CA"/>
    <w:rsid w:val="00E127D1"/>
    <w:rsid w:val="00E13234"/>
    <w:rsid w:val="00E13867"/>
    <w:rsid w:val="00E1397F"/>
    <w:rsid w:val="00E13AB8"/>
    <w:rsid w:val="00E1482E"/>
    <w:rsid w:val="00E16382"/>
    <w:rsid w:val="00E1699C"/>
    <w:rsid w:val="00E16B74"/>
    <w:rsid w:val="00E16E75"/>
    <w:rsid w:val="00E1746D"/>
    <w:rsid w:val="00E2012A"/>
    <w:rsid w:val="00E205A2"/>
    <w:rsid w:val="00E20BA4"/>
    <w:rsid w:val="00E210D0"/>
    <w:rsid w:val="00E21887"/>
    <w:rsid w:val="00E21CC0"/>
    <w:rsid w:val="00E226EF"/>
    <w:rsid w:val="00E23137"/>
    <w:rsid w:val="00E23980"/>
    <w:rsid w:val="00E23AB0"/>
    <w:rsid w:val="00E241E9"/>
    <w:rsid w:val="00E243D8"/>
    <w:rsid w:val="00E24670"/>
    <w:rsid w:val="00E2490F"/>
    <w:rsid w:val="00E257C3"/>
    <w:rsid w:val="00E25CB3"/>
    <w:rsid w:val="00E25DA4"/>
    <w:rsid w:val="00E26237"/>
    <w:rsid w:val="00E26CB8"/>
    <w:rsid w:val="00E26D16"/>
    <w:rsid w:val="00E26FCF"/>
    <w:rsid w:val="00E27165"/>
    <w:rsid w:val="00E275D9"/>
    <w:rsid w:val="00E3044A"/>
    <w:rsid w:val="00E30E49"/>
    <w:rsid w:val="00E312B1"/>
    <w:rsid w:val="00E31A4A"/>
    <w:rsid w:val="00E32C77"/>
    <w:rsid w:val="00E3344A"/>
    <w:rsid w:val="00E337CC"/>
    <w:rsid w:val="00E33B29"/>
    <w:rsid w:val="00E33B62"/>
    <w:rsid w:val="00E3403D"/>
    <w:rsid w:val="00E34376"/>
    <w:rsid w:val="00E344BD"/>
    <w:rsid w:val="00E34548"/>
    <w:rsid w:val="00E34E6C"/>
    <w:rsid w:val="00E353E2"/>
    <w:rsid w:val="00E36345"/>
    <w:rsid w:val="00E36C86"/>
    <w:rsid w:val="00E36CEB"/>
    <w:rsid w:val="00E37A28"/>
    <w:rsid w:val="00E37E95"/>
    <w:rsid w:val="00E400C7"/>
    <w:rsid w:val="00E40430"/>
    <w:rsid w:val="00E40690"/>
    <w:rsid w:val="00E40AEB"/>
    <w:rsid w:val="00E40E82"/>
    <w:rsid w:val="00E41141"/>
    <w:rsid w:val="00E4143A"/>
    <w:rsid w:val="00E41E97"/>
    <w:rsid w:val="00E41FFC"/>
    <w:rsid w:val="00E424C8"/>
    <w:rsid w:val="00E4251D"/>
    <w:rsid w:val="00E427EF"/>
    <w:rsid w:val="00E43D00"/>
    <w:rsid w:val="00E43FCB"/>
    <w:rsid w:val="00E443B4"/>
    <w:rsid w:val="00E445E4"/>
    <w:rsid w:val="00E457CB"/>
    <w:rsid w:val="00E45D47"/>
    <w:rsid w:val="00E45DE4"/>
    <w:rsid w:val="00E45E63"/>
    <w:rsid w:val="00E45F35"/>
    <w:rsid w:val="00E47027"/>
    <w:rsid w:val="00E4759C"/>
    <w:rsid w:val="00E505F7"/>
    <w:rsid w:val="00E50A7B"/>
    <w:rsid w:val="00E50B0B"/>
    <w:rsid w:val="00E50C57"/>
    <w:rsid w:val="00E510FE"/>
    <w:rsid w:val="00E514BA"/>
    <w:rsid w:val="00E51E25"/>
    <w:rsid w:val="00E5205B"/>
    <w:rsid w:val="00E521AE"/>
    <w:rsid w:val="00E529A3"/>
    <w:rsid w:val="00E533EE"/>
    <w:rsid w:val="00E53A21"/>
    <w:rsid w:val="00E53BCA"/>
    <w:rsid w:val="00E53DE2"/>
    <w:rsid w:val="00E53F02"/>
    <w:rsid w:val="00E5428D"/>
    <w:rsid w:val="00E54534"/>
    <w:rsid w:val="00E548C3"/>
    <w:rsid w:val="00E54C6E"/>
    <w:rsid w:val="00E54F27"/>
    <w:rsid w:val="00E55FF1"/>
    <w:rsid w:val="00E56090"/>
    <w:rsid w:val="00E56408"/>
    <w:rsid w:val="00E565B9"/>
    <w:rsid w:val="00E56E7B"/>
    <w:rsid w:val="00E5733B"/>
    <w:rsid w:val="00E5756C"/>
    <w:rsid w:val="00E5768D"/>
    <w:rsid w:val="00E57811"/>
    <w:rsid w:val="00E57CC5"/>
    <w:rsid w:val="00E57D8F"/>
    <w:rsid w:val="00E57FB0"/>
    <w:rsid w:val="00E601BE"/>
    <w:rsid w:val="00E60A44"/>
    <w:rsid w:val="00E60B5F"/>
    <w:rsid w:val="00E613AE"/>
    <w:rsid w:val="00E61429"/>
    <w:rsid w:val="00E61ABB"/>
    <w:rsid w:val="00E61FD7"/>
    <w:rsid w:val="00E623E6"/>
    <w:rsid w:val="00E62BBF"/>
    <w:rsid w:val="00E62C76"/>
    <w:rsid w:val="00E630A2"/>
    <w:rsid w:val="00E630C0"/>
    <w:rsid w:val="00E63107"/>
    <w:rsid w:val="00E6312C"/>
    <w:rsid w:val="00E634E6"/>
    <w:rsid w:val="00E63740"/>
    <w:rsid w:val="00E63DCE"/>
    <w:rsid w:val="00E642EF"/>
    <w:rsid w:val="00E643A3"/>
    <w:rsid w:val="00E64700"/>
    <w:rsid w:val="00E65074"/>
    <w:rsid w:val="00E65857"/>
    <w:rsid w:val="00E65E70"/>
    <w:rsid w:val="00E66087"/>
    <w:rsid w:val="00E66D79"/>
    <w:rsid w:val="00E66FF9"/>
    <w:rsid w:val="00E6706F"/>
    <w:rsid w:val="00E67148"/>
    <w:rsid w:val="00E673A2"/>
    <w:rsid w:val="00E67856"/>
    <w:rsid w:val="00E679C8"/>
    <w:rsid w:val="00E70314"/>
    <w:rsid w:val="00E70412"/>
    <w:rsid w:val="00E724E7"/>
    <w:rsid w:val="00E72791"/>
    <w:rsid w:val="00E72B41"/>
    <w:rsid w:val="00E7347B"/>
    <w:rsid w:val="00E73792"/>
    <w:rsid w:val="00E73D03"/>
    <w:rsid w:val="00E7471C"/>
    <w:rsid w:val="00E7498A"/>
    <w:rsid w:val="00E7514E"/>
    <w:rsid w:val="00E758E0"/>
    <w:rsid w:val="00E75A1F"/>
    <w:rsid w:val="00E76537"/>
    <w:rsid w:val="00E77784"/>
    <w:rsid w:val="00E77AF5"/>
    <w:rsid w:val="00E8035B"/>
    <w:rsid w:val="00E806D9"/>
    <w:rsid w:val="00E80ADE"/>
    <w:rsid w:val="00E820F4"/>
    <w:rsid w:val="00E82263"/>
    <w:rsid w:val="00E823F9"/>
    <w:rsid w:val="00E82C1F"/>
    <w:rsid w:val="00E83671"/>
    <w:rsid w:val="00E83A90"/>
    <w:rsid w:val="00E83D1E"/>
    <w:rsid w:val="00E840EE"/>
    <w:rsid w:val="00E84314"/>
    <w:rsid w:val="00E849CA"/>
    <w:rsid w:val="00E84A71"/>
    <w:rsid w:val="00E8556F"/>
    <w:rsid w:val="00E86556"/>
    <w:rsid w:val="00E86A3D"/>
    <w:rsid w:val="00E86D35"/>
    <w:rsid w:val="00E86DA7"/>
    <w:rsid w:val="00E86DC2"/>
    <w:rsid w:val="00E86E32"/>
    <w:rsid w:val="00E86F2E"/>
    <w:rsid w:val="00E8732E"/>
    <w:rsid w:val="00E9011F"/>
    <w:rsid w:val="00E906EB"/>
    <w:rsid w:val="00E9170E"/>
    <w:rsid w:val="00E919FB"/>
    <w:rsid w:val="00E9241E"/>
    <w:rsid w:val="00E92460"/>
    <w:rsid w:val="00E92E62"/>
    <w:rsid w:val="00E93804"/>
    <w:rsid w:val="00E9429D"/>
    <w:rsid w:val="00E95434"/>
    <w:rsid w:val="00E96467"/>
    <w:rsid w:val="00E966DA"/>
    <w:rsid w:val="00E96948"/>
    <w:rsid w:val="00E9737B"/>
    <w:rsid w:val="00E97A3F"/>
    <w:rsid w:val="00E97F0A"/>
    <w:rsid w:val="00EA0100"/>
    <w:rsid w:val="00EA0455"/>
    <w:rsid w:val="00EA0BCE"/>
    <w:rsid w:val="00EA10E4"/>
    <w:rsid w:val="00EA17BC"/>
    <w:rsid w:val="00EA2744"/>
    <w:rsid w:val="00EA37B9"/>
    <w:rsid w:val="00EA39F7"/>
    <w:rsid w:val="00EA3DC2"/>
    <w:rsid w:val="00EA434E"/>
    <w:rsid w:val="00EA4757"/>
    <w:rsid w:val="00EA560B"/>
    <w:rsid w:val="00EA5669"/>
    <w:rsid w:val="00EA5A56"/>
    <w:rsid w:val="00EA5CC6"/>
    <w:rsid w:val="00EA63EF"/>
    <w:rsid w:val="00EA7026"/>
    <w:rsid w:val="00EA7CBF"/>
    <w:rsid w:val="00EB0A89"/>
    <w:rsid w:val="00EB0BD8"/>
    <w:rsid w:val="00EB1573"/>
    <w:rsid w:val="00EB1910"/>
    <w:rsid w:val="00EB2564"/>
    <w:rsid w:val="00EB2D83"/>
    <w:rsid w:val="00EB2E97"/>
    <w:rsid w:val="00EB3416"/>
    <w:rsid w:val="00EB497D"/>
    <w:rsid w:val="00EB4AE1"/>
    <w:rsid w:val="00EB52F4"/>
    <w:rsid w:val="00EB5694"/>
    <w:rsid w:val="00EB5779"/>
    <w:rsid w:val="00EB5D2F"/>
    <w:rsid w:val="00EB67F1"/>
    <w:rsid w:val="00EB6ADA"/>
    <w:rsid w:val="00EB7132"/>
    <w:rsid w:val="00EB72CD"/>
    <w:rsid w:val="00EB749A"/>
    <w:rsid w:val="00EB76B6"/>
    <w:rsid w:val="00EB7D8A"/>
    <w:rsid w:val="00EC04F7"/>
    <w:rsid w:val="00EC05E2"/>
    <w:rsid w:val="00EC0E84"/>
    <w:rsid w:val="00EC16E2"/>
    <w:rsid w:val="00EC1CE7"/>
    <w:rsid w:val="00EC1DAE"/>
    <w:rsid w:val="00EC26F1"/>
    <w:rsid w:val="00EC2E9D"/>
    <w:rsid w:val="00EC3BA2"/>
    <w:rsid w:val="00EC3C94"/>
    <w:rsid w:val="00EC44DF"/>
    <w:rsid w:val="00EC4FB9"/>
    <w:rsid w:val="00EC5393"/>
    <w:rsid w:val="00EC5741"/>
    <w:rsid w:val="00EC5DA3"/>
    <w:rsid w:val="00EC6014"/>
    <w:rsid w:val="00EC6170"/>
    <w:rsid w:val="00EC6565"/>
    <w:rsid w:val="00EC6B3E"/>
    <w:rsid w:val="00EC73DE"/>
    <w:rsid w:val="00EC7637"/>
    <w:rsid w:val="00EC7C07"/>
    <w:rsid w:val="00EC7CF2"/>
    <w:rsid w:val="00ED046C"/>
    <w:rsid w:val="00ED053A"/>
    <w:rsid w:val="00ED163A"/>
    <w:rsid w:val="00ED1F03"/>
    <w:rsid w:val="00ED249D"/>
    <w:rsid w:val="00ED2D27"/>
    <w:rsid w:val="00ED2E91"/>
    <w:rsid w:val="00ED3347"/>
    <w:rsid w:val="00ED3441"/>
    <w:rsid w:val="00ED3860"/>
    <w:rsid w:val="00ED3954"/>
    <w:rsid w:val="00ED39AC"/>
    <w:rsid w:val="00ED43A2"/>
    <w:rsid w:val="00ED4967"/>
    <w:rsid w:val="00ED5140"/>
    <w:rsid w:val="00ED538C"/>
    <w:rsid w:val="00ED5771"/>
    <w:rsid w:val="00ED587F"/>
    <w:rsid w:val="00ED5964"/>
    <w:rsid w:val="00ED623F"/>
    <w:rsid w:val="00ED63A5"/>
    <w:rsid w:val="00ED69BA"/>
    <w:rsid w:val="00ED6D1A"/>
    <w:rsid w:val="00ED72E9"/>
    <w:rsid w:val="00ED732E"/>
    <w:rsid w:val="00ED74B3"/>
    <w:rsid w:val="00ED7609"/>
    <w:rsid w:val="00ED77F0"/>
    <w:rsid w:val="00ED7825"/>
    <w:rsid w:val="00ED7FBC"/>
    <w:rsid w:val="00EE0253"/>
    <w:rsid w:val="00EE0297"/>
    <w:rsid w:val="00EE1258"/>
    <w:rsid w:val="00EE13DA"/>
    <w:rsid w:val="00EE1668"/>
    <w:rsid w:val="00EE1EDB"/>
    <w:rsid w:val="00EE24E2"/>
    <w:rsid w:val="00EE2A20"/>
    <w:rsid w:val="00EE365D"/>
    <w:rsid w:val="00EE366D"/>
    <w:rsid w:val="00EE40A4"/>
    <w:rsid w:val="00EE5454"/>
    <w:rsid w:val="00EE59B5"/>
    <w:rsid w:val="00EE5FB7"/>
    <w:rsid w:val="00EE6783"/>
    <w:rsid w:val="00EE678B"/>
    <w:rsid w:val="00EE77D4"/>
    <w:rsid w:val="00EE7B54"/>
    <w:rsid w:val="00EE7C47"/>
    <w:rsid w:val="00EE7C88"/>
    <w:rsid w:val="00EE7C8B"/>
    <w:rsid w:val="00EF0209"/>
    <w:rsid w:val="00EF0B6B"/>
    <w:rsid w:val="00EF0EA4"/>
    <w:rsid w:val="00EF13A6"/>
    <w:rsid w:val="00EF1E97"/>
    <w:rsid w:val="00EF2436"/>
    <w:rsid w:val="00EF2547"/>
    <w:rsid w:val="00EF28D8"/>
    <w:rsid w:val="00EF2B2B"/>
    <w:rsid w:val="00EF2E1C"/>
    <w:rsid w:val="00EF2FD6"/>
    <w:rsid w:val="00EF326A"/>
    <w:rsid w:val="00EF397D"/>
    <w:rsid w:val="00EF41E8"/>
    <w:rsid w:val="00EF427A"/>
    <w:rsid w:val="00EF45DF"/>
    <w:rsid w:val="00EF4944"/>
    <w:rsid w:val="00EF4952"/>
    <w:rsid w:val="00EF498F"/>
    <w:rsid w:val="00EF4A42"/>
    <w:rsid w:val="00EF510C"/>
    <w:rsid w:val="00EF55C4"/>
    <w:rsid w:val="00EF57BC"/>
    <w:rsid w:val="00EF5CA8"/>
    <w:rsid w:val="00EF6784"/>
    <w:rsid w:val="00EF688A"/>
    <w:rsid w:val="00EF6A03"/>
    <w:rsid w:val="00EF6DC2"/>
    <w:rsid w:val="00EF7506"/>
    <w:rsid w:val="00EF760B"/>
    <w:rsid w:val="00EF7BF4"/>
    <w:rsid w:val="00EF7F76"/>
    <w:rsid w:val="00F0030F"/>
    <w:rsid w:val="00F00674"/>
    <w:rsid w:val="00F00EDC"/>
    <w:rsid w:val="00F01657"/>
    <w:rsid w:val="00F01E67"/>
    <w:rsid w:val="00F0254C"/>
    <w:rsid w:val="00F02744"/>
    <w:rsid w:val="00F02BFD"/>
    <w:rsid w:val="00F02D25"/>
    <w:rsid w:val="00F02FF4"/>
    <w:rsid w:val="00F03A9C"/>
    <w:rsid w:val="00F03C3D"/>
    <w:rsid w:val="00F0435D"/>
    <w:rsid w:val="00F04580"/>
    <w:rsid w:val="00F04ECA"/>
    <w:rsid w:val="00F04F8B"/>
    <w:rsid w:val="00F06E19"/>
    <w:rsid w:val="00F06F84"/>
    <w:rsid w:val="00F076E7"/>
    <w:rsid w:val="00F07A86"/>
    <w:rsid w:val="00F07AA1"/>
    <w:rsid w:val="00F102E0"/>
    <w:rsid w:val="00F105AE"/>
    <w:rsid w:val="00F10618"/>
    <w:rsid w:val="00F1085C"/>
    <w:rsid w:val="00F10E7D"/>
    <w:rsid w:val="00F1108B"/>
    <w:rsid w:val="00F114FA"/>
    <w:rsid w:val="00F11768"/>
    <w:rsid w:val="00F11951"/>
    <w:rsid w:val="00F12262"/>
    <w:rsid w:val="00F12564"/>
    <w:rsid w:val="00F12AF8"/>
    <w:rsid w:val="00F12C52"/>
    <w:rsid w:val="00F13381"/>
    <w:rsid w:val="00F13828"/>
    <w:rsid w:val="00F13E62"/>
    <w:rsid w:val="00F13F51"/>
    <w:rsid w:val="00F145EA"/>
    <w:rsid w:val="00F148B7"/>
    <w:rsid w:val="00F14EA9"/>
    <w:rsid w:val="00F15505"/>
    <w:rsid w:val="00F15BFF"/>
    <w:rsid w:val="00F1634B"/>
    <w:rsid w:val="00F16E4F"/>
    <w:rsid w:val="00F171B2"/>
    <w:rsid w:val="00F17244"/>
    <w:rsid w:val="00F20931"/>
    <w:rsid w:val="00F20ECE"/>
    <w:rsid w:val="00F213A0"/>
    <w:rsid w:val="00F21D54"/>
    <w:rsid w:val="00F21EF4"/>
    <w:rsid w:val="00F221A2"/>
    <w:rsid w:val="00F22697"/>
    <w:rsid w:val="00F23069"/>
    <w:rsid w:val="00F23113"/>
    <w:rsid w:val="00F23145"/>
    <w:rsid w:val="00F23255"/>
    <w:rsid w:val="00F23393"/>
    <w:rsid w:val="00F23759"/>
    <w:rsid w:val="00F24644"/>
    <w:rsid w:val="00F24BB1"/>
    <w:rsid w:val="00F25947"/>
    <w:rsid w:val="00F262D6"/>
    <w:rsid w:val="00F26F33"/>
    <w:rsid w:val="00F273D5"/>
    <w:rsid w:val="00F2748A"/>
    <w:rsid w:val="00F2786C"/>
    <w:rsid w:val="00F300A8"/>
    <w:rsid w:val="00F302C6"/>
    <w:rsid w:val="00F30400"/>
    <w:rsid w:val="00F3079E"/>
    <w:rsid w:val="00F31289"/>
    <w:rsid w:val="00F3159D"/>
    <w:rsid w:val="00F3232D"/>
    <w:rsid w:val="00F32D60"/>
    <w:rsid w:val="00F3399B"/>
    <w:rsid w:val="00F33F4B"/>
    <w:rsid w:val="00F346ED"/>
    <w:rsid w:val="00F34945"/>
    <w:rsid w:val="00F34E1E"/>
    <w:rsid w:val="00F354D0"/>
    <w:rsid w:val="00F3570C"/>
    <w:rsid w:val="00F363A4"/>
    <w:rsid w:val="00F36765"/>
    <w:rsid w:val="00F368FF"/>
    <w:rsid w:val="00F37068"/>
    <w:rsid w:val="00F37E5F"/>
    <w:rsid w:val="00F37F3F"/>
    <w:rsid w:val="00F40992"/>
    <w:rsid w:val="00F40F72"/>
    <w:rsid w:val="00F41596"/>
    <w:rsid w:val="00F41D8B"/>
    <w:rsid w:val="00F42121"/>
    <w:rsid w:val="00F424B3"/>
    <w:rsid w:val="00F428B1"/>
    <w:rsid w:val="00F428B4"/>
    <w:rsid w:val="00F4345D"/>
    <w:rsid w:val="00F4387B"/>
    <w:rsid w:val="00F45756"/>
    <w:rsid w:val="00F45921"/>
    <w:rsid w:val="00F45B91"/>
    <w:rsid w:val="00F46639"/>
    <w:rsid w:val="00F476FD"/>
    <w:rsid w:val="00F50183"/>
    <w:rsid w:val="00F50D92"/>
    <w:rsid w:val="00F51765"/>
    <w:rsid w:val="00F51A51"/>
    <w:rsid w:val="00F51BC6"/>
    <w:rsid w:val="00F51CB4"/>
    <w:rsid w:val="00F51DE0"/>
    <w:rsid w:val="00F52200"/>
    <w:rsid w:val="00F52324"/>
    <w:rsid w:val="00F52950"/>
    <w:rsid w:val="00F52C9D"/>
    <w:rsid w:val="00F533F1"/>
    <w:rsid w:val="00F53F4F"/>
    <w:rsid w:val="00F55185"/>
    <w:rsid w:val="00F55679"/>
    <w:rsid w:val="00F561E3"/>
    <w:rsid w:val="00F565E6"/>
    <w:rsid w:val="00F56AFA"/>
    <w:rsid w:val="00F575E2"/>
    <w:rsid w:val="00F579FF"/>
    <w:rsid w:val="00F57A5D"/>
    <w:rsid w:val="00F600E0"/>
    <w:rsid w:val="00F605EC"/>
    <w:rsid w:val="00F60F60"/>
    <w:rsid w:val="00F612CE"/>
    <w:rsid w:val="00F6133C"/>
    <w:rsid w:val="00F61405"/>
    <w:rsid w:val="00F62227"/>
    <w:rsid w:val="00F624A7"/>
    <w:rsid w:val="00F62AB6"/>
    <w:rsid w:val="00F630AC"/>
    <w:rsid w:val="00F65559"/>
    <w:rsid w:val="00F659BB"/>
    <w:rsid w:val="00F65A3C"/>
    <w:rsid w:val="00F65EED"/>
    <w:rsid w:val="00F66009"/>
    <w:rsid w:val="00F66282"/>
    <w:rsid w:val="00F6639E"/>
    <w:rsid w:val="00F663DD"/>
    <w:rsid w:val="00F670E9"/>
    <w:rsid w:val="00F6749F"/>
    <w:rsid w:val="00F67AF1"/>
    <w:rsid w:val="00F67D8B"/>
    <w:rsid w:val="00F700CD"/>
    <w:rsid w:val="00F701C5"/>
    <w:rsid w:val="00F705A2"/>
    <w:rsid w:val="00F70961"/>
    <w:rsid w:val="00F70A8F"/>
    <w:rsid w:val="00F70F72"/>
    <w:rsid w:val="00F71397"/>
    <w:rsid w:val="00F72389"/>
    <w:rsid w:val="00F72516"/>
    <w:rsid w:val="00F72DD9"/>
    <w:rsid w:val="00F72FB4"/>
    <w:rsid w:val="00F732CF"/>
    <w:rsid w:val="00F735E5"/>
    <w:rsid w:val="00F73B82"/>
    <w:rsid w:val="00F73E80"/>
    <w:rsid w:val="00F7469C"/>
    <w:rsid w:val="00F7492E"/>
    <w:rsid w:val="00F74945"/>
    <w:rsid w:val="00F749A3"/>
    <w:rsid w:val="00F74AE8"/>
    <w:rsid w:val="00F76C11"/>
    <w:rsid w:val="00F77021"/>
    <w:rsid w:val="00F770AB"/>
    <w:rsid w:val="00F77E61"/>
    <w:rsid w:val="00F80221"/>
    <w:rsid w:val="00F80A0A"/>
    <w:rsid w:val="00F80C81"/>
    <w:rsid w:val="00F81100"/>
    <w:rsid w:val="00F815AC"/>
    <w:rsid w:val="00F83B33"/>
    <w:rsid w:val="00F83CAE"/>
    <w:rsid w:val="00F840BF"/>
    <w:rsid w:val="00F8427A"/>
    <w:rsid w:val="00F843DF"/>
    <w:rsid w:val="00F84646"/>
    <w:rsid w:val="00F8476E"/>
    <w:rsid w:val="00F84899"/>
    <w:rsid w:val="00F85585"/>
    <w:rsid w:val="00F859F0"/>
    <w:rsid w:val="00F85CC1"/>
    <w:rsid w:val="00F86B5D"/>
    <w:rsid w:val="00F87634"/>
    <w:rsid w:val="00F8768C"/>
    <w:rsid w:val="00F87C13"/>
    <w:rsid w:val="00F87C5A"/>
    <w:rsid w:val="00F87E29"/>
    <w:rsid w:val="00F87F18"/>
    <w:rsid w:val="00F87F68"/>
    <w:rsid w:val="00F905BE"/>
    <w:rsid w:val="00F9075B"/>
    <w:rsid w:val="00F90C4D"/>
    <w:rsid w:val="00F91098"/>
    <w:rsid w:val="00F9167D"/>
    <w:rsid w:val="00F91862"/>
    <w:rsid w:val="00F91CB2"/>
    <w:rsid w:val="00F927E8"/>
    <w:rsid w:val="00F9289C"/>
    <w:rsid w:val="00F92FC1"/>
    <w:rsid w:val="00F932D1"/>
    <w:rsid w:val="00F93DBC"/>
    <w:rsid w:val="00F93E41"/>
    <w:rsid w:val="00F94644"/>
    <w:rsid w:val="00F952E4"/>
    <w:rsid w:val="00F9537B"/>
    <w:rsid w:val="00F96079"/>
    <w:rsid w:val="00F963FC"/>
    <w:rsid w:val="00F97459"/>
    <w:rsid w:val="00F97CF1"/>
    <w:rsid w:val="00FA015F"/>
    <w:rsid w:val="00FA0FAC"/>
    <w:rsid w:val="00FA10F7"/>
    <w:rsid w:val="00FA1C4A"/>
    <w:rsid w:val="00FA1DA2"/>
    <w:rsid w:val="00FA313F"/>
    <w:rsid w:val="00FA3414"/>
    <w:rsid w:val="00FA347A"/>
    <w:rsid w:val="00FA3CDE"/>
    <w:rsid w:val="00FA4034"/>
    <w:rsid w:val="00FA49B7"/>
    <w:rsid w:val="00FA5043"/>
    <w:rsid w:val="00FA60C1"/>
    <w:rsid w:val="00FA65A3"/>
    <w:rsid w:val="00FA667A"/>
    <w:rsid w:val="00FA6BCA"/>
    <w:rsid w:val="00FA6D46"/>
    <w:rsid w:val="00FA6F8B"/>
    <w:rsid w:val="00FA727C"/>
    <w:rsid w:val="00FA7A30"/>
    <w:rsid w:val="00FB033F"/>
    <w:rsid w:val="00FB0880"/>
    <w:rsid w:val="00FB12E3"/>
    <w:rsid w:val="00FB1570"/>
    <w:rsid w:val="00FB193B"/>
    <w:rsid w:val="00FB1FBC"/>
    <w:rsid w:val="00FB27B7"/>
    <w:rsid w:val="00FB35E3"/>
    <w:rsid w:val="00FB40BA"/>
    <w:rsid w:val="00FB4C98"/>
    <w:rsid w:val="00FB4CE3"/>
    <w:rsid w:val="00FB583C"/>
    <w:rsid w:val="00FB630E"/>
    <w:rsid w:val="00FB6738"/>
    <w:rsid w:val="00FB691B"/>
    <w:rsid w:val="00FB6BE6"/>
    <w:rsid w:val="00FB731C"/>
    <w:rsid w:val="00FB7628"/>
    <w:rsid w:val="00FC0363"/>
    <w:rsid w:val="00FC05A0"/>
    <w:rsid w:val="00FC0811"/>
    <w:rsid w:val="00FC09B3"/>
    <w:rsid w:val="00FC1196"/>
    <w:rsid w:val="00FC15EB"/>
    <w:rsid w:val="00FC162C"/>
    <w:rsid w:val="00FC18DC"/>
    <w:rsid w:val="00FC2477"/>
    <w:rsid w:val="00FC2AC4"/>
    <w:rsid w:val="00FC2BF3"/>
    <w:rsid w:val="00FC2F73"/>
    <w:rsid w:val="00FC3A9B"/>
    <w:rsid w:val="00FC3AE1"/>
    <w:rsid w:val="00FC3DFC"/>
    <w:rsid w:val="00FC3EF4"/>
    <w:rsid w:val="00FC431B"/>
    <w:rsid w:val="00FC434C"/>
    <w:rsid w:val="00FC453B"/>
    <w:rsid w:val="00FC472C"/>
    <w:rsid w:val="00FC4FDF"/>
    <w:rsid w:val="00FC5CF4"/>
    <w:rsid w:val="00FC5D64"/>
    <w:rsid w:val="00FC61D6"/>
    <w:rsid w:val="00FC65FC"/>
    <w:rsid w:val="00FC6A39"/>
    <w:rsid w:val="00FC6DB9"/>
    <w:rsid w:val="00FC7221"/>
    <w:rsid w:val="00FC76A9"/>
    <w:rsid w:val="00FC79AB"/>
    <w:rsid w:val="00FC7BE7"/>
    <w:rsid w:val="00FC7DAC"/>
    <w:rsid w:val="00FD005D"/>
    <w:rsid w:val="00FD0216"/>
    <w:rsid w:val="00FD04AE"/>
    <w:rsid w:val="00FD0DFA"/>
    <w:rsid w:val="00FD16ED"/>
    <w:rsid w:val="00FD1890"/>
    <w:rsid w:val="00FD1994"/>
    <w:rsid w:val="00FD1A96"/>
    <w:rsid w:val="00FD3508"/>
    <w:rsid w:val="00FD393C"/>
    <w:rsid w:val="00FD3AFF"/>
    <w:rsid w:val="00FD43BB"/>
    <w:rsid w:val="00FD4AF3"/>
    <w:rsid w:val="00FD5443"/>
    <w:rsid w:val="00FD5DFD"/>
    <w:rsid w:val="00FD6675"/>
    <w:rsid w:val="00FD6DC5"/>
    <w:rsid w:val="00FD72B1"/>
    <w:rsid w:val="00FD798D"/>
    <w:rsid w:val="00FE113F"/>
    <w:rsid w:val="00FE141E"/>
    <w:rsid w:val="00FE144E"/>
    <w:rsid w:val="00FE1768"/>
    <w:rsid w:val="00FE1D81"/>
    <w:rsid w:val="00FE1DD5"/>
    <w:rsid w:val="00FE1FCD"/>
    <w:rsid w:val="00FE24ED"/>
    <w:rsid w:val="00FE24F4"/>
    <w:rsid w:val="00FE2560"/>
    <w:rsid w:val="00FE35D0"/>
    <w:rsid w:val="00FE42ED"/>
    <w:rsid w:val="00FE4E06"/>
    <w:rsid w:val="00FE55A7"/>
    <w:rsid w:val="00FE5C5A"/>
    <w:rsid w:val="00FE601E"/>
    <w:rsid w:val="00FE6432"/>
    <w:rsid w:val="00FE72A0"/>
    <w:rsid w:val="00FF0050"/>
    <w:rsid w:val="00FF045F"/>
    <w:rsid w:val="00FF05D7"/>
    <w:rsid w:val="00FF0816"/>
    <w:rsid w:val="00FF0EC4"/>
    <w:rsid w:val="00FF13D4"/>
    <w:rsid w:val="00FF2053"/>
    <w:rsid w:val="00FF22E8"/>
    <w:rsid w:val="00FF25D7"/>
    <w:rsid w:val="00FF26FB"/>
    <w:rsid w:val="00FF3B37"/>
    <w:rsid w:val="00FF3CC7"/>
    <w:rsid w:val="00FF3D6F"/>
    <w:rsid w:val="00FF441A"/>
    <w:rsid w:val="00FF4BD8"/>
    <w:rsid w:val="00FF4D11"/>
    <w:rsid w:val="00FF5214"/>
    <w:rsid w:val="00FF54D2"/>
    <w:rsid w:val="00FF596E"/>
    <w:rsid w:val="00FF5B59"/>
    <w:rsid w:val="00FF5BFD"/>
    <w:rsid w:val="00FF6095"/>
    <w:rsid w:val="00FF6249"/>
    <w:rsid w:val="00FF62FE"/>
    <w:rsid w:val="00FF6553"/>
    <w:rsid w:val="00FF70BD"/>
    <w:rsid w:val="00FF7124"/>
    <w:rsid w:val="00FF77F3"/>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3E1B"/>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paragraph" w:styleId="Ttulo2">
    <w:name w:val="heading 2"/>
    <w:basedOn w:val="Normal"/>
    <w:next w:val="Normal"/>
    <w:link w:val="Ttulo2Car"/>
    <w:uiPriority w:val="9"/>
    <w:semiHidden/>
    <w:unhideWhenUsed/>
    <w:qFormat/>
    <w:rsid w:val="00E8431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1"/>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styleId="Mencinsinresolver">
    <w:name w:val="Unresolved Mention"/>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character" w:customStyle="1" w:styleId="Ttulo2Car">
    <w:name w:val="Título 2 Car"/>
    <w:basedOn w:val="Fuentedeprrafopredeter"/>
    <w:link w:val="Ttulo2"/>
    <w:uiPriority w:val="9"/>
    <w:semiHidden/>
    <w:rsid w:val="00E84314"/>
    <w:rPr>
      <w:rFonts w:asciiTheme="majorHAnsi" w:eastAsiaTheme="majorEastAsia" w:hAnsiTheme="majorHAnsi" w:cstheme="majorBidi"/>
      <w:color w:val="365F91" w:themeColor="accent1" w:themeShade="BF"/>
      <w:sz w:val="26"/>
      <w:szCs w:val="26"/>
      <w:lang w:eastAsia="es-ES_tradnl"/>
    </w:rPr>
  </w:style>
  <w:style w:type="character" w:customStyle="1" w:styleId="tabchar">
    <w:name w:val="tabchar"/>
    <w:basedOn w:val="Fuentedeprrafopredeter"/>
    <w:rsid w:val="00C2725D"/>
  </w:style>
  <w:style w:type="character" w:customStyle="1" w:styleId="apple-converted-space">
    <w:name w:val="apple-converted-space"/>
    <w:basedOn w:val="Fuentedeprrafopredeter"/>
    <w:rsid w:val="000F1546"/>
  </w:style>
  <w:style w:type="paragraph" w:styleId="Revisin">
    <w:name w:val="Revision"/>
    <w:hidden/>
    <w:uiPriority w:val="99"/>
    <w:semiHidden/>
    <w:rsid w:val="00085E95"/>
    <w:pPr>
      <w:spacing w:after="0" w:line="240" w:lineRule="auto"/>
    </w:pPr>
    <w:rPr>
      <w:rFonts w:ascii="Times New Roman" w:eastAsia="Times New Roman" w:hAnsi="Times New Roman" w:cs="Times New Roman"/>
      <w:sz w:val="24"/>
      <w:szCs w:val="24"/>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1722">
      <w:bodyDiv w:val="1"/>
      <w:marLeft w:val="0"/>
      <w:marRight w:val="0"/>
      <w:marTop w:val="0"/>
      <w:marBottom w:val="0"/>
      <w:divBdr>
        <w:top w:val="none" w:sz="0" w:space="0" w:color="auto"/>
        <w:left w:val="none" w:sz="0" w:space="0" w:color="auto"/>
        <w:bottom w:val="none" w:sz="0" w:space="0" w:color="auto"/>
        <w:right w:val="none" w:sz="0" w:space="0" w:color="auto"/>
      </w:divBdr>
      <w:divsChild>
        <w:div w:id="2023972410">
          <w:marLeft w:val="0"/>
          <w:marRight w:val="0"/>
          <w:marTop w:val="0"/>
          <w:marBottom w:val="0"/>
          <w:divBdr>
            <w:top w:val="none" w:sz="0" w:space="0" w:color="auto"/>
            <w:left w:val="none" w:sz="0" w:space="0" w:color="auto"/>
            <w:bottom w:val="none" w:sz="0" w:space="0" w:color="auto"/>
            <w:right w:val="none" w:sz="0" w:space="0" w:color="auto"/>
          </w:divBdr>
          <w:divsChild>
            <w:div w:id="1518273839">
              <w:marLeft w:val="0"/>
              <w:marRight w:val="0"/>
              <w:marTop w:val="0"/>
              <w:marBottom w:val="0"/>
              <w:divBdr>
                <w:top w:val="none" w:sz="0" w:space="0" w:color="auto"/>
                <w:left w:val="none" w:sz="0" w:space="0" w:color="auto"/>
                <w:bottom w:val="none" w:sz="0" w:space="0" w:color="auto"/>
                <w:right w:val="none" w:sz="0" w:space="0" w:color="auto"/>
              </w:divBdr>
              <w:divsChild>
                <w:div w:id="1364289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5715773">
      <w:bodyDiv w:val="1"/>
      <w:marLeft w:val="0"/>
      <w:marRight w:val="0"/>
      <w:marTop w:val="0"/>
      <w:marBottom w:val="0"/>
      <w:divBdr>
        <w:top w:val="none" w:sz="0" w:space="0" w:color="auto"/>
        <w:left w:val="none" w:sz="0" w:space="0" w:color="auto"/>
        <w:bottom w:val="none" w:sz="0" w:space="0" w:color="auto"/>
        <w:right w:val="none" w:sz="0" w:space="0" w:color="auto"/>
      </w:divBdr>
      <w:divsChild>
        <w:div w:id="180780418">
          <w:marLeft w:val="0"/>
          <w:marRight w:val="0"/>
          <w:marTop w:val="0"/>
          <w:marBottom w:val="0"/>
          <w:divBdr>
            <w:top w:val="none" w:sz="0" w:space="0" w:color="auto"/>
            <w:left w:val="none" w:sz="0" w:space="0" w:color="auto"/>
            <w:bottom w:val="none" w:sz="0" w:space="0" w:color="auto"/>
            <w:right w:val="none" w:sz="0" w:space="0" w:color="auto"/>
          </w:divBdr>
          <w:divsChild>
            <w:div w:id="135420010">
              <w:marLeft w:val="0"/>
              <w:marRight w:val="0"/>
              <w:marTop w:val="0"/>
              <w:marBottom w:val="0"/>
              <w:divBdr>
                <w:top w:val="none" w:sz="0" w:space="0" w:color="auto"/>
                <w:left w:val="none" w:sz="0" w:space="0" w:color="auto"/>
                <w:bottom w:val="none" w:sz="0" w:space="0" w:color="auto"/>
                <w:right w:val="none" w:sz="0" w:space="0" w:color="auto"/>
              </w:divBdr>
              <w:divsChild>
                <w:div w:id="1855802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144344">
      <w:bodyDiv w:val="1"/>
      <w:marLeft w:val="0"/>
      <w:marRight w:val="0"/>
      <w:marTop w:val="0"/>
      <w:marBottom w:val="0"/>
      <w:divBdr>
        <w:top w:val="none" w:sz="0" w:space="0" w:color="auto"/>
        <w:left w:val="none" w:sz="0" w:space="0" w:color="auto"/>
        <w:bottom w:val="none" w:sz="0" w:space="0" w:color="auto"/>
        <w:right w:val="none" w:sz="0" w:space="0" w:color="auto"/>
      </w:divBdr>
      <w:divsChild>
        <w:div w:id="1610551597">
          <w:marLeft w:val="0"/>
          <w:marRight w:val="0"/>
          <w:marTop w:val="0"/>
          <w:marBottom w:val="0"/>
          <w:divBdr>
            <w:top w:val="none" w:sz="0" w:space="0" w:color="auto"/>
            <w:left w:val="none" w:sz="0" w:space="0" w:color="auto"/>
            <w:bottom w:val="none" w:sz="0" w:space="0" w:color="auto"/>
            <w:right w:val="none" w:sz="0" w:space="0" w:color="auto"/>
          </w:divBdr>
          <w:divsChild>
            <w:div w:id="2038459412">
              <w:marLeft w:val="0"/>
              <w:marRight w:val="0"/>
              <w:marTop w:val="0"/>
              <w:marBottom w:val="0"/>
              <w:divBdr>
                <w:top w:val="none" w:sz="0" w:space="0" w:color="auto"/>
                <w:left w:val="none" w:sz="0" w:space="0" w:color="auto"/>
                <w:bottom w:val="none" w:sz="0" w:space="0" w:color="auto"/>
                <w:right w:val="none" w:sz="0" w:space="0" w:color="auto"/>
              </w:divBdr>
              <w:divsChild>
                <w:div w:id="20606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705607">
      <w:bodyDiv w:val="1"/>
      <w:marLeft w:val="0"/>
      <w:marRight w:val="0"/>
      <w:marTop w:val="0"/>
      <w:marBottom w:val="0"/>
      <w:divBdr>
        <w:top w:val="none" w:sz="0" w:space="0" w:color="auto"/>
        <w:left w:val="none" w:sz="0" w:space="0" w:color="auto"/>
        <w:bottom w:val="none" w:sz="0" w:space="0" w:color="auto"/>
        <w:right w:val="none" w:sz="0" w:space="0" w:color="auto"/>
      </w:divBdr>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5637734">
      <w:bodyDiv w:val="1"/>
      <w:marLeft w:val="0"/>
      <w:marRight w:val="0"/>
      <w:marTop w:val="0"/>
      <w:marBottom w:val="0"/>
      <w:divBdr>
        <w:top w:val="none" w:sz="0" w:space="0" w:color="auto"/>
        <w:left w:val="none" w:sz="0" w:space="0" w:color="auto"/>
        <w:bottom w:val="none" w:sz="0" w:space="0" w:color="auto"/>
        <w:right w:val="none" w:sz="0" w:space="0" w:color="auto"/>
      </w:divBdr>
      <w:divsChild>
        <w:div w:id="2103181439">
          <w:marLeft w:val="0"/>
          <w:marRight w:val="0"/>
          <w:marTop w:val="0"/>
          <w:marBottom w:val="0"/>
          <w:divBdr>
            <w:top w:val="none" w:sz="0" w:space="0" w:color="auto"/>
            <w:left w:val="none" w:sz="0" w:space="0" w:color="auto"/>
            <w:bottom w:val="none" w:sz="0" w:space="0" w:color="auto"/>
            <w:right w:val="none" w:sz="0" w:space="0" w:color="auto"/>
          </w:divBdr>
          <w:divsChild>
            <w:div w:id="2070616539">
              <w:marLeft w:val="0"/>
              <w:marRight w:val="0"/>
              <w:marTop w:val="0"/>
              <w:marBottom w:val="0"/>
              <w:divBdr>
                <w:top w:val="none" w:sz="0" w:space="0" w:color="auto"/>
                <w:left w:val="none" w:sz="0" w:space="0" w:color="auto"/>
                <w:bottom w:val="none" w:sz="0" w:space="0" w:color="auto"/>
                <w:right w:val="none" w:sz="0" w:space="0" w:color="auto"/>
              </w:divBdr>
              <w:divsChild>
                <w:div w:id="758605140">
                  <w:marLeft w:val="0"/>
                  <w:marRight w:val="0"/>
                  <w:marTop w:val="0"/>
                  <w:marBottom w:val="0"/>
                  <w:divBdr>
                    <w:top w:val="none" w:sz="0" w:space="0" w:color="auto"/>
                    <w:left w:val="none" w:sz="0" w:space="0" w:color="auto"/>
                    <w:bottom w:val="none" w:sz="0" w:space="0" w:color="auto"/>
                    <w:right w:val="none" w:sz="0" w:space="0" w:color="auto"/>
                  </w:divBdr>
                  <w:divsChild>
                    <w:div w:id="1845318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79496941">
      <w:bodyDiv w:val="1"/>
      <w:marLeft w:val="0"/>
      <w:marRight w:val="0"/>
      <w:marTop w:val="0"/>
      <w:marBottom w:val="0"/>
      <w:divBdr>
        <w:top w:val="none" w:sz="0" w:space="0" w:color="auto"/>
        <w:left w:val="none" w:sz="0" w:space="0" w:color="auto"/>
        <w:bottom w:val="none" w:sz="0" w:space="0" w:color="auto"/>
        <w:right w:val="none" w:sz="0" w:space="0" w:color="auto"/>
      </w:divBdr>
      <w:divsChild>
        <w:div w:id="689528428">
          <w:marLeft w:val="0"/>
          <w:marRight w:val="0"/>
          <w:marTop w:val="0"/>
          <w:marBottom w:val="0"/>
          <w:divBdr>
            <w:top w:val="none" w:sz="0" w:space="0" w:color="auto"/>
            <w:left w:val="none" w:sz="0" w:space="0" w:color="auto"/>
            <w:bottom w:val="none" w:sz="0" w:space="0" w:color="auto"/>
            <w:right w:val="none" w:sz="0" w:space="0" w:color="auto"/>
          </w:divBdr>
          <w:divsChild>
            <w:div w:id="23706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4449001">
      <w:bodyDiv w:val="1"/>
      <w:marLeft w:val="0"/>
      <w:marRight w:val="0"/>
      <w:marTop w:val="0"/>
      <w:marBottom w:val="0"/>
      <w:divBdr>
        <w:top w:val="none" w:sz="0" w:space="0" w:color="auto"/>
        <w:left w:val="none" w:sz="0" w:space="0" w:color="auto"/>
        <w:bottom w:val="none" w:sz="0" w:space="0" w:color="auto"/>
        <w:right w:val="none" w:sz="0" w:space="0" w:color="auto"/>
      </w:divBdr>
    </w:div>
    <w:div w:id="94985693">
      <w:bodyDiv w:val="1"/>
      <w:marLeft w:val="0"/>
      <w:marRight w:val="0"/>
      <w:marTop w:val="0"/>
      <w:marBottom w:val="0"/>
      <w:divBdr>
        <w:top w:val="none" w:sz="0" w:space="0" w:color="auto"/>
        <w:left w:val="none" w:sz="0" w:space="0" w:color="auto"/>
        <w:bottom w:val="none" w:sz="0" w:space="0" w:color="auto"/>
        <w:right w:val="none" w:sz="0" w:space="0" w:color="auto"/>
      </w:divBdr>
    </w:div>
    <w:div w:id="116534613">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90619">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0048198">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76891374">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3010207">
      <w:bodyDiv w:val="1"/>
      <w:marLeft w:val="0"/>
      <w:marRight w:val="0"/>
      <w:marTop w:val="0"/>
      <w:marBottom w:val="0"/>
      <w:divBdr>
        <w:top w:val="none" w:sz="0" w:space="0" w:color="auto"/>
        <w:left w:val="none" w:sz="0" w:space="0" w:color="auto"/>
        <w:bottom w:val="none" w:sz="0" w:space="0" w:color="auto"/>
        <w:right w:val="none" w:sz="0" w:space="0" w:color="auto"/>
      </w:divBdr>
      <w:divsChild>
        <w:div w:id="2048749202">
          <w:marLeft w:val="0"/>
          <w:marRight w:val="0"/>
          <w:marTop w:val="0"/>
          <w:marBottom w:val="0"/>
          <w:divBdr>
            <w:top w:val="none" w:sz="0" w:space="0" w:color="auto"/>
            <w:left w:val="none" w:sz="0" w:space="0" w:color="auto"/>
            <w:bottom w:val="none" w:sz="0" w:space="0" w:color="auto"/>
            <w:right w:val="none" w:sz="0" w:space="0" w:color="auto"/>
          </w:divBdr>
          <w:divsChild>
            <w:div w:id="394548460">
              <w:marLeft w:val="0"/>
              <w:marRight w:val="0"/>
              <w:marTop w:val="0"/>
              <w:marBottom w:val="0"/>
              <w:divBdr>
                <w:top w:val="none" w:sz="0" w:space="0" w:color="auto"/>
                <w:left w:val="none" w:sz="0" w:space="0" w:color="auto"/>
                <w:bottom w:val="none" w:sz="0" w:space="0" w:color="auto"/>
                <w:right w:val="none" w:sz="0" w:space="0" w:color="auto"/>
              </w:divBdr>
              <w:divsChild>
                <w:div w:id="704797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056181">
      <w:bodyDiv w:val="1"/>
      <w:marLeft w:val="0"/>
      <w:marRight w:val="0"/>
      <w:marTop w:val="0"/>
      <w:marBottom w:val="0"/>
      <w:divBdr>
        <w:top w:val="none" w:sz="0" w:space="0" w:color="auto"/>
        <w:left w:val="none" w:sz="0" w:space="0" w:color="auto"/>
        <w:bottom w:val="none" w:sz="0" w:space="0" w:color="auto"/>
        <w:right w:val="none" w:sz="0" w:space="0" w:color="auto"/>
      </w:divBdr>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58679361">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67278991">
      <w:bodyDiv w:val="1"/>
      <w:marLeft w:val="0"/>
      <w:marRight w:val="0"/>
      <w:marTop w:val="0"/>
      <w:marBottom w:val="0"/>
      <w:divBdr>
        <w:top w:val="none" w:sz="0" w:space="0" w:color="auto"/>
        <w:left w:val="none" w:sz="0" w:space="0" w:color="auto"/>
        <w:bottom w:val="none" w:sz="0" w:space="0" w:color="auto"/>
        <w:right w:val="none" w:sz="0" w:space="0" w:color="auto"/>
      </w:divBdr>
    </w:div>
    <w:div w:id="268900729">
      <w:bodyDiv w:val="1"/>
      <w:marLeft w:val="0"/>
      <w:marRight w:val="0"/>
      <w:marTop w:val="0"/>
      <w:marBottom w:val="0"/>
      <w:divBdr>
        <w:top w:val="none" w:sz="0" w:space="0" w:color="auto"/>
        <w:left w:val="none" w:sz="0" w:space="0" w:color="auto"/>
        <w:bottom w:val="none" w:sz="0" w:space="0" w:color="auto"/>
        <w:right w:val="none" w:sz="0" w:space="0" w:color="auto"/>
      </w:divBdr>
    </w:div>
    <w:div w:id="282688623">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0133555">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1881237">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48802467">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5446229">
      <w:bodyDiv w:val="1"/>
      <w:marLeft w:val="0"/>
      <w:marRight w:val="0"/>
      <w:marTop w:val="0"/>
      <w:marBottom w:val="0"/>
      <w:divBdr>
        <w:top w:val="none" w:sz="0" w:space="0" w:color="auto"/>
        <w:left w:val="none" w:sz="0" w:space="0" w:color="auto"/>
        <w:bottom w:val="none" w:sz="0" w:space="0" w:color="auto"/>
        <w:right w:val="none" w:sz="0" w:space="0" w:color="auto"/>
      </w:divBdr>
      <w:divsChild>
        <w:div w:id="1042360156">
          <w:marLeft w:val="0"/>
          <w:marRight w:val="0"/>
          <w:marTop w:val="0"/>
          <w:marBottom w:val="0"/>
          <w:divBdr>
            <w:top w:val="none" w:sz="0" w:space="0" w:color="auto"/>
            <w:left w:val="none" w:sz="0" w:space="0" w:color="auto"/>
            <w:bottom w:val="none" w:sz="0" w:space="0" w:color="auto"/>
            <w:right w:val="none" w:sz="0" w:space="0" w:color="auto"/>
          </w:divBdr>
          <w:divsChild>
            <w:div w:id="469910124">
              <w:marLeft w:val="0"/>
              <w:marRight w:val="0"/>
              <w:marTop w:val="0"/>
              <w:marBottom w:val="0"/>
              <w:divBdr>
                <w:top w:val="none" w:sz="0" w:space="0" w:color="auto"/>
                <w:left w:val="none" w:sz="0" w:space="0" w:color="auto"/>
                <w:bottom w:val="none" w:sz="0" w:space="0" w:color="auto"/>
                <w:right w:val="none" w:sz="0" w:space="0" w:color="auto"/>
              </w:divBdr>
              <w:divsChild>
                <w:div w:id="1034884912">
                  <w:marLeft w:val="0"/>
                  <w:marRight w:val="0"/>
                  <w:marTop w:val="0"/>
                  <w:marBottom w:val="0"/>
                  <w:divBdr>
                    <w:top w:val="none" w:sz="0" w:space="0" w:color="auto"/>
                    <w:left w:val="none" w:sz="0" w:space="0" w:color="auto"/>
                    <w:bottom w:val="none" w:sz="0" w:space="0" w:color="auto"/>
                    <w:right w:val="none" w:sz="0" w:space="0" w:color="auto"/>
                  </w:divBdr>
                  <w:divsChild>
                    <w:div w:id="172166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6266046">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55149140">
      <w:bodyDiv w:val="1"/>
      <w:marLeft w:val="0"/>
      <w:marRight w:val="0"/>
      <w:marTop w:val="0"/>
      <w:marBottom w:val="0"/>
      <w:divBdr>
        <w:top w:val="none" w:sz="0" w:space="0" w:color="auto"/>
        <w:left w:val="none" w:sz="0" w:space="0" w:color="auto"/>
        <w:bottom w:val="none" w:sz="0" w:space="0" w:color="auto"/>
        <w:right w:val="none" w:sz="0" w:space="0" w:color="auto"/>
      </w:divBdr>
    </w:div>
    <w:div w:id="461339907">
      <w:bodyDiv w:val="1"/>
      <w:marLeft w:val="0"/>
      <w:marRight w:val="0"/>
      <w:marTop w:val="0"/>
      <w:marBottom w:val="0"/>
      <w:divBdr>
        <w:top w:val="none" w:sz="0" w:space="0" w:color="auto"/>
        <w:left w:val="none" w:sz="0" w:space="0" w:color="auto"/>
        <w:bottom w:val="none" w:sz="0" w:space="0" w:color="auto"/>
        <w:right w:val="none" w:sz="0" w:space="0" w:color="auto"/>
      </w:divBdr>
      <w:divsChild>
        <w:div w:id="1982536059">
          <w:marLeft w:val="0"/>
          <w:marRight w:val="0"/>
          <w:marTop w:val="0"/>
          <w:marBottom w:val="0"/>
          <w:divBdr>
            <w:top w:val="none" w:sz="0" w:space="0" w:color="auto"/>
            <w:left w:val="none" w:sz="0" w:space="0" w:color="auto"/>
            <w:bottom w:val="none" w:sz="0" w:space="0" w:color="auto"/>
            <w:right w:val="none" w:sz="0" w:space="0" w:color="auto"/>
          </w:divBdr>
          <w:divsChild>
            <w:div w:id="2022706307">
              <w:marLeft w:val="0"/>
              <w:marRight w:val="0"/>
              <w:marTop w:val="0"/>
              <w:marBottom w:val="0"/>
              <w:divBdr>
                <w:top w:val="none" w:sz="0" w:space="0" w:color="auto"/>
                <w:left w:val="none" w:sz="0" w:space="0" w:color="auto"/>
                <w:bottom w:val="none" w:sz="0" w:space="0" w:color="auto"/>
                <w:right w:val="none" w:sz="0" w:space="0" w:color="auto"/>
              </w:divBdr>
              <w:divsChild>
                <w:div w:id="894196165">
                  <w:marLeft w:val="0"/>
                  <w:marRight w:val="0"/>
                  <w:marTop w:val="0"/>
                  <w:marBottom w:val="0"/>
                  <w:divBdr>
                    <w:top w:val="none" w:sz="0" w:space="0" w:color="auto"/>
                    <w:left w:val="none" w:sz="0" w:space="0" w:color="auto"/>
                    <w:bottom w:val="none" w:sz="0" w:space="0" w:color="auto"/>
                    <w:right w:val="none" w:sz="0" w:space="0" w:color="auto"/>
                  </w:divBdr>
                  <w:divsChild>
                    <w:div w:id="38015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78150842">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641010">
      <w:bodyDiv w:val="1"/>
      <w:marLeft w:val="0"/>
      <w:marRight w:val="0"/>
      <w:marTop w:val="0"/>
      <w:marBottom w:val="0"/>
      <w:divBdr>
        <w:top w:val="none" w:sz="0" w:space="0" w:color="auto"/>
        <w:left w:val="none" w:sz="0" w:space="0" w:color="auto"/>
        <w:bottom w:val="none" w:sz="0" w:space="0" w:color="auto"/>
        <w:right w:val="none" w:sz="0" w:space="0" w:color="auto"/>
      </w:divBdr>
      <w:divsChild>
        <w:div w:id="2075425971">
          <w:marLeft w:val="0"/>
          <w:marRight w:val="0"/>
          <w:marTop w:val="0"/>
          <w:marBottom w:val="0"/>
          <w:divBdr>
            <w:top w:val="none" w:sz="0" w:space="0" w:color="auto"/>
            <w:left w:val="none" w:sz="0" w:space="0" w:color="auto"/>
            <w:bottom w:val="none" w:sz="0" w:space="0" w:color="auto"/>
            <w:right w:val="none" w:sz="0" w:space="0" w:color="auto"/>
          </w:divBdr>
          <w:divsChild>
            <w:div w:id="205337403">
              <w:marLeft w:val="0"/>
              <w:marRight w:val="0"/>
              <w:marTop w:val="0"/>
              <w:marBottom w:val="0"/>
              <w:divBdr>
                <w:top w:val="none" w:sz="0" w:space="0" w:color="auto"/>
                <w:left w:val="none" w:sz="0" w:space="0" w:color="auto"/>
                <w:bottom w:val="none" w:sz="0" w:space="0" w:color="auto"/>
                <w:right w:val="none" w:sz="0" w:space="0" w:color="auto"/>
              </w:divBdr>
              <w:divsChild>
                <w:div w:id="1457597653">
                  <w:marLeft w:val="0"/>
                  <w:marRight w:val="0"/>
                  <w:marTop w:val="0"/>
                  <w:marBottom w:val="0"/>
                  <w:divBdr>
                    <w:top w:val="none" w:sz="0" w:space="0" w:color="auto"/>
                    <w:left w:val="none" w:sz="0" w:space="0" w:color="auto"/>
                    <w:bottom w:val="none" w:sz="0" w:space="0" w:color="auto"/>
                    <w:right w:val="none" w:sz="0" w:space="0" w:color="auto"/>
                  </w:divBdr>
                  <w:divsChild>
                    <w:div w:id="1452169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12846565">
      <w:bodyDiv w:val="1"/>
      <w:marLeft w:val="0"/>
      <w:marRight w:val="0"/>
      <w:marTop w:val="0"/>
      <w:marBottom w:val="0"/>
      <w:divBdr>
        <w:top w:val="none" w:sz="0" w:space="0" w:color="auto"/>
        <w:left w:val="none" w:sz="0" w:space="0" w:color="auto"/>
        <w:bottom w:val="none" w:sz="0" w:space="0" w:color="auto"/>
        <w:right w:val="none" w:sz="0" w:space="0" w:color="auto"/>
      </w:divBdr>
    </w:div>
    <w:div w:id="512959422">
      <w:bodyDiv w:val="1"/>
      <w:marLeft w:val="0"/>
      <w:marRight w:val="0"/>
      <w:marTop w:val="0"/>
      <w:marBottom w:val="0"/>
      <w:divBdr>
        <w:top w:val="none" w:sz="0" w:space="0" w:color="auto"/>
        <w:left w:val="none" w:sz="0" w:space="0" w:color="auto"/>
        <w:bottom w:val="none" w:sz="0" w:space="0" w:color="auto"/>
        <w:right w:val="none" w:sz="0" w:space="0" w:color="auto"/>
      </w:divBdr>
    </w:div>
    <w:div w:id="519860012">
      <w:bodyDiv w:val="1"/>
      <w:marLeft w:val="0"/>
      <w:marRight w:val="0"/>
      <w:marTop w:val="0"/>
      <w:marBottom w:val="0"/>
      <w:divBdr>
        <w:top w:val="none" w:sz="0" w:space="0" w:color="auto"/>
        <w:left w:val="none" w:sz="0" w:space="0" w:color="auto"/>
        <w:bottom w:val="none" w:sz="0" w:space="0" w:color="auto"/>
        <w:right w:val="none" w:sz="0" w:space="0" w:color="auto"/>
      </w:divBdr>
      <w:divsChild>
        <w:div w:id="935869752">
          <w:marLeft w:val="0"/>
          <w:marRight w:val="0"/>
          <w:marTop w:val="0"/>
          <w:marBottom w:val="0"/>
          <w:divBdr>
            <w:top w:val="none" w:sz="0" w:space="0" w:color="auto"/>
            <w:left w:val="none" w:sz="0" w:space="0" w:color="auto"/>
            <w:bottom w:val="none" w:sz="0" w:space="0" w:color="auto"/>
            <w:right w:val="none" w:sz="0" w:space="0" w:color="auto"/>
          </w:divBdr>
          <w:divsChild>
            <w:div w:id="1469087117">
              <w:marLeft w:val="0"/>
              <w:marRight w:val="0"/>
              <w:marTop w:val="0"/>
              <w:marBottom w:val="0"/>
              <w:divBdr>
                <w:top w:val="none" w:sz="0" w:space="0" w:color="auto"/>
                <w:left w:val="none" w:sz="0" w:space="0" w:color="auto"/>
                <w:bottom w:val="none" w:sz="0" w:space="0" w:color="auto"/>
                <w:right w:val="none" w:sz="0" w:space="0" w:color="auto"/>
              </w:divBdr>
              <w:divsChild>
                <w:div w:id="1080370908">
                  <w:marLeft w:val="0"/>
                  <w:marRight w:val="0"/>
                  <w:marTop w:val="0"/>
                  <w:marBottom w:val="0"/>
                  <w:divBdr>
                    <w:top w:val="none" w:sz="0" w:space="0" w:color="auto"/>
                    <w:left w:val="none" w:sz="0" w:space="0" w:color="auto"/>
                    <w:bottom w:val="none" w:sz="0" w:space="0" w:color="auto"/>
                    <w:right w:val="none" w:sz="0" w:space="0" w:color="auto"/>
                  </w:divBdr>
                  <w:divsChild>
                    <w:div w:id="1690063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619698">
      <w:bodyDiv w:val="1"/>
      <w:marLeft w:val="0"/>
      <w:marRight w:val="0"/>
      <w:marTop w:val="0"/>
      <w:marBottom w:val="0"/>
      <w:divBdr>
        <w:top w:val="none" w:sz="0" w:space="0" w:color="auto"/>
        <w:left w:val="none" w:sz="0" w:space="0" w:color="auto"/>
        <w:bottom w:val="none" w:sz="0" w:space="0" w:color="auto"/>
        <w:right w:val="none" w:sz="0" w:space="0" w:color="auto"/>
      </w:divBdr>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59361122">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69076510">
      <w:bodyDiv w:val="1"/>
      <w:marLeft w:val="0"/>
      <w:marRight w:val="0"/>
      <w:marTop w:val="0"/>
      <w:marBottom w:val="0"/>
      <w:divBdr>
        <w:top w:val="none" w:sz="0" w:space="0" w:color="auto"/>
        <w:left w:val="none" w:sz="0" w:space="0" w:color="auto"/>
        <w:bottom w:val="none" w:sz="0" w:space="0" w:color="auto"/>
        <w:right w:val="none" w:sz="0" w:space="0" w:color="auto"/>
      </w:divBdr>
    </w:div>
    <w:div w:id="581140375">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0837253">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08127359">
      <w:bodyDiv w:val="1"/>
      <w:marLeft w:val="0"/>
      <w:marRight w:val="0"/>
      <w:marTop w:val="0"/>
      <w:marBottom w:val="0"/>
      <w:divBdr>
        <w:top w:val="none" w:sz="0" w:space="0" w:color="auto"/>
        <w:left w:val="none" w:sz="0" w:space="0" w:color="auto"/>
        <w:bottom w:val="none" w:sz="0" w:space="0" w:color="auto"/>
        <w:right w:val="none" w:sz="0" w:space="0" w:color="auto"/>
      </w:divBdr>
      <w:divsChild>
        <w:div w:id="1523393933">
          <w:marLeft w:val="0"/>
          <w:marRight w:val="0"/>
          <w:marTop w:val="0"/>
          <w:marBottom w:val="0"/>
          <w:divBdr>
            <w:top w:val="none" w:sz="0" w:space="0" w:color="auto"/>
            <w:left w:val="none" w:sz="0" w:space="0" w:color="auto"/>
            <w:bottom w:val="none" w:sz="0" w:space="0" w:color="auto"/>
            <w:right w:val="none" w:sz="0" w:space="0" w:color="auto"/>
          </w:divBdr>
          <w:divsChild>
            <w:div w:id="668682271">
              <w:marLeft w:val="0"/>
              <w:marRight w:val="0"/>
              <w:marTop w:val="0"/>
              <w:marBottom w:val="0"/>
              <w:divBdr>
                <w:top w:val="none" w:sz="0" w:space="0" w:color="auto"/>
                <w:left w:val="none" w:sz="0" w:space="0" w:color="auto"/>
                <w:bottom w:val="none" w:sz="0" w:space="0" w:color="auto"/>
                <w:right w:val="none" w:sz="0" w:space="0" w:color="auto"/>
              </w:divBdr>
              <w:divsChild>
                <w:div w:id="899948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39269798">
      <w:bodyDiv w:val="1"/>
      <w:marLeft w:val="0"/>
      <w:marRight w:val="0"/>
      <w:marTop w:val="0"/>
      <w:marBottom w:val="0"/>
      <w:divBdr>
        <w:top w:val="none" w:sz="0" w:space="0" w:color="auto"/>
        <w:left w:val="none" w:sz="0" w:space="0" w:color="auto"/>
        <w:bottom w:val="none" w:sz="0" w:space="0" w:color="auto"/>
        <w:right w:val="none" w:sz="0" w:space="0" w:color="auto"/>
      </w:divBdr>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4988896">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0984687">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685861657">
      <w:bodyDiv w:val="1"/>
      <w:marLeft w:val="0"/>
      <w:marRight w:val="0"/>
      <w:marTop w:val="0"/>
      <w:marBottom w:val="0"/>
      <w:divBdr>
        <w:top w:val="none" w:sz="0" w:space="0" w:color="auto"/>
        <w:left w:val="none" w:sz="0" w:space="0" w:color="auto"/>
        <w:bottom w:val="none" w:sz="0" w:space="0" w:color="auto"/>
        <w:right w:val="none" w:sz="0" w:space="0" w:color="auto"/>
      </w:divBdr>
    </w:div>
    <w:div w:id="688533712">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7239180">
      <w:bodyDiv w:val="1"/>
      <w:marLeft w:val="0"/>
      <w:marRight w:val="0"/>
      <w:marTop w:val="0"/>
      <w:marBottom w:val="0"/>
      <w:divBdr>
        <w:top w:val="none" w:sz="0" w:space="0" w:color="auto"/>
        <w:left w:val="none" w:sz="0" w:space="0" w:color="auto"/>
        <w:bottom w:val="none" w:sz="0" w:space="0" w:color="auto"/>
        <w:right w:val="none" w:sz="0" w:space="0" w:color="auto"/>
      </w:divBdr>
      <w:divsChild>
        <w:div w:id="1031154432">
          <w:marLeft w:val="0"/>
          <w:marRight w:val="0"/>
          <w:marTop w:val="0"/>
          <w:marBottom w:val="0"/>
          <w:divBdr>
            <w:top w:val="none" w:sz="0" w:space="0" w:color="auto"/>
            <w:left w:val="none" w:sz="0" w:space="0" w:color="auto"/>
            <w:bottom w:val="none" w:sz="0" w:space="0" w:color="auto"/>
            <w:right w:val="none" w:sz="0" w:space="0" w:color="auto"/>
          </w:divBdr>
        </w:div>
      </w:divsChild>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27996429">
      <w:bodyDiv w:val="1"/>
      <w:marLeft w:val="0"/>
      <w:marRight w:val="0"/>
      <w:marTop w:val="0"/>
      <w:marBottom w:val="0"/>
      <w:divBdr>
        <w:top w:val="none" w:sz="0" w:space="0" w:color="auto"/>
        <w:left w:val="none" w:sz="0" w:space="0" w:color="auto"/>
        <w:bottom w:val="none" w:sz="0" w:space="0" w:color="auto"/>
        <w:right w:val="none" w:sz="0" w:space="0" w:color="auto"/>
      </w:divBdr>
      <w:divsChild>
        <w:div w:id="1994790054">
          <w:marLeft w:val="0"/>
          <w:marRight w:val="0"/>
          <w:marTop w:val="0"/>
          <w:marBottom w:val="0"/>
          <w:divBdr>
            <w:top w:val="none" w:sz="0" w:space="0" w:color="auto"/>
            <w:left w:val="none" w:sz="0" w:space="0" w:color="auto"/>
            <w:bottom w:val="none" w:sz="0" w:space="0" w:color="auto"/>
            <w:right w:val="none" w:sz="0" w:space="0" w:color="auto"/>
          </w:divBdr>
          <w:divsChild>
            <w:div w:id="1492988414">
              <w:marLeft w:val="0"/>
              <w:marRight w:val="0"/>
              <w:marTop w:val="0"/>
              <w:marBottom w:val="0"/>
              <w:divBdr>
                <w:top w:val="none" w:sz="0" w:space="0" w:color="auto"/>
                <w:left w:val="none" w:sz="0" w:space="0" w:color="auto"/>
                <w:bottom w:val="none" w:sz="0" w:space="0" w:color="auto"/>
                <w:right w:val="none" w:sz="0" w:space="0" w:color="auto"/>
              </w:divBdr>
              <w:divsChild>
                <w:div w:id="63457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5422922">
      <w:bodyDiv w:val="1"/>
      <w:marLeft w:val="0"/>
      <w:marRight w:val="0"/>
      <w:marTop w:val="0"/>
      <w:marBottom w:val="0"/>
      <w:divBdr>
        <w:top w:val="none" w:sz="0" w:space="0" w:color="auto"/>
        <w:left w:val="none" w:sz="0" w:space="0" w:color="auto"/>
        <w:bottom w:val="none" w:sz="0" w:space="0" w:color="auto"/>
        <w:right w:val="none" w:sz="0" w:space="0" w:color="auto"/>
      </w:divBdr>
    </w:div>
    <w:div w:id="747657133">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2238690">
      <w:bodyDiv w:val="1"/>
      <w:marLeft w:val="0"/>
      <w:marRight w:val="0"/>
      <w:marTop w:val="0"/>
      <w:marBottom w:val="0"/>
      <w:divBdr>
        <w:top w:val="none" w:sz="0" w:space="0" w:color="auto"/>
        <w:left w:val="none" w:sz="0" w:space="0" w:color="auto"/>
        <w:bottom w:val="none" w:sz="0" w:space="0" w:color="auto"/>
        <w:right w:val="none" w:sz="0" w:space="0" w:color="auto"/>
      </w:divBdr>
      <w:divsChild>
        <w:div w:id="1005858410">
          <w:marLeft w:val="0"/>
          <w:marRight w:val="0"/>
          <w:marTop w:val="0"/>
          <w:marBottom w:val="0"/>
          <w:divBdr>
            <w:top w:val="none" w:sz="0" w:space="0" w:color="auto"/>
            <w:left w:val="none" w:sz="0" w:space="0" w:color="auto"/>
            <w:bottom w:val="none" w:sz="0" w:space="0" w:color="auto"/>
            <w:right w:val="none" w:sz="0" w:space="0" w:color="auto"/>
          </w:divBdr>
          <w:divsChild>
            <w:div w:id="874081206">
              <w:marLeft w:val="0"/>
              <w:marRight w:val="0"/>
              <w:marTop w:val="0"/>
              <w:marBottom w:val="0"/>
              <w:divBdr>
                <w:top w:val="none" w:sz="0" w:space="0" w:color="auto"/>
                <w:left w:val="none" w:sz="0" w:space="0" w:color="auto"/>
                <w:bottom w:val="none" w:sz="0" w:space="0" w:color="auto"/>
                <w:right w:val="none" w:sz="0" w:space="0" w:color="auto"/>
              </w:divBdr>
              <w:divsChild>
                <w:div w:id="1299800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76798332">
      <w:bodyDiv w:val="1"/>
      <w:marLeft w:val="0"/>
      <w:marRight w:val="0"/>
      <w:marTop w:val="0"/>
      <w:marBottom w:val="0"/>
      <w:divBdr>
        <w:top w:val="none" w:sz="0" w:space="0" w:color="auto"/>
        <w:left w:val="none" w:sz="0" w:space="0" w:color="auto"/>
        <w:bottom w:val="none" w:sz="0" w:space="0" w:color="auto"/>
        <w:right w:val="none" w:sz="0" w:space="0" w:color="auto"/>
      </w:divBdr>
      <w:divsChild>
        <w:div w:id="642001577">
          <w:marLeft w:val="0"/>
          <w:marRight w:val="0"/>
          <w:marTop w:val="0"/>
          <w:marBottom w:val="0"/>
          <w:divBdr>
            <w:top w:val="none" w:sz="0" w:space="0" w:color="auto"/>
            <w:left w:val="none" w:sz="0" w:space="0" w:color="auto"/>
            <w:bottom w:val="none" w:sz="0" w:space="0" w:color="auto"/>
            <w:right w:val="none" w:sz="0" w:space="0" w:color="auto"/>
          </w:divBdr>
          <w:divsChild>
            <w:div w:id="1454715168">
              <w:marLeft w:val="0"/>
              <w:marRight w:val="0"/>
              <w:marTop w:val="0"/>
              <w:marBottom w:val="0"/>
              <w:divBdr>
                <w:top w:val="none" w:sz="0" w:space="0" w:color="auto"/>
                <w:left w:val="none" w:sz="0" w:space="0" w:color="auto"/>
                <w:bottom w:val="none" w:sz="0" w:space="0" w:color="auto"/>
                <w:right w:val="none" w:sz="0" w:space="0" w:color="auto"/>
              </w:divBdr>
              <w:divsChild>
                <w:div w:id="973949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1875811">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41503518">
      <w:bodyDiv w:val="1"/>
      <w:marLeft w:val="0"/>
      <w:marRight w:val="0"/>
      <w:marTop w:val="0"/>
      <w:marBottom w:val="0"/>
      <w:divBdr>
        <w:top w:val="none" w:sz="0" w:space="0" w:color="auto"/>
        <w:left w:val="none" w:sz="0" w:space="0" w:color="auto"/>
        <w:bottom w:val="none" w:sz="0" w:space="0" w:color="auto"/>
        <w:right w:val="none" w:sz="0" w:space="0" w:color="auto"/>
      </w:divBdr>
      <w:divsChild>
        <w:div w:id="1472594732">
          <w:marLeft w:val="0"/>
          <w:marRight w:val="0"/>
          <w:marTop w:val="0"/>
          <w:marBottom w:val="0"/>
          <w:divBdr>
            <w:top w:val="none" w:sz="0" w:space="0" w:color="auto"/>
            <w:left w:val="none" w:sz="0" w:space="0" w:color="auto"/>
            <w:bottom w:val="none" w:sz="0" w:space="0" w:color="auto"/>
            <w:right w:val="none" w:sz="0" w:space="0" w:color="auto"/>
          </w:divBdr>
          <w:divsChild>
            <w:div w:id="558857304">
              <w:marLeft w:val="0"/>
              <w:marRight w:val="0"/>
              <w:marTop w:val="0"/>
              <w:marBottom w:val="0"/>
              <w:divBdr>
                <w:top w:val="none" w:sz="0" w:space="0" w:color="auto"/>
                <w:left w:val="none" w:sz="0" w:space="0" w:color="auto"/>
                <w:bottom w:val="none" w:sz="0" w:space="0" w:color="auto"/>
                <w:right w:val="none" w:sz="0" w:space="0" w:color="auto"/>
              </w:divBdr>
              <w:divsChild>
                <w:div w:id="164450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830520">
      <w:bodyDiv w:val="1"/>
      <w:marLeft w:val="0"/>
      <w:marRight w:val="0"/>
      <w:marTop w:val="0"/>
      <w:marBottom w:val="0"/>
      <w:divBdr>
        <w:top w:val="none" w:sz="0" w:space="0" w:color="auto"/>
        <w:left w:val="none" w:sz="0" w:space="0" w:color="auto"/>
        <w:bottom w:val="none" w:sz="0" w:space="0" w:color="auto"/>
        <w:right w:val="none" w:sz="0" w:space="0" w:color="auto"/>
      </w:divBdr>
    </w:div>
    <w:div w:id="850291622">
      <w:bodyDiv w:val="1"/>
      <w:marLeft w:val="0"/>
      <w:marRight w:val="0"/>
      <w:marTop w:val="0"/>
      <w:marBottom w:val="0"/>
      <w:divBdr>
        <w:top w:val="none" w:sz="0" w:space="0" w:color="auto"/>
        <w:left w:val="none" w:sz="0" w:space="0" w:color="auto"/>
        <w:bottom w:val="none" w:sz="0" w:space="0" w:color="auto"/>
        <w:right w:val="none" w:sz="0" w:space="0" w:color="auto"/>
      </w:divBdr>
      <w:divsChild>
        <w:div w:id="790710805">
          <w:marLeft w:val="0"/>
          <w:marRight w:val="0"/>
          <w:marTop w:val="0"/>
          <w:marBottom w:val="0"/>
          <w:divBdr>
            <w:top w:val="none" w:sz="0" w:space="0" w:color="auto"/>
            <w:left w:val="none" w:sz="0" w:space="0" w:color="auto"/>
            <w:bottom w:val="none" w:sz="0" w:space="0" w:color="auto"/>
            <w:right w:val="none" w:sz="0" w:space="0" w:color="auto"/>
          </w:divBdr>
          <w:divsChild>
            <w:div w:id="986281473">
              <w:marLeft w:val="0"/>
              <w:marRight w:val="0"/>
              <w:marTop w:val="0"/>
              <w:marBottom w:val="0"/>
              <w:divBdr>
                <w:top w:val="none" w:sz="0" w:space="0" w:color="auto"/>
                <w:left w:val="none" w:sz="0" w:space="0" w:color="auto"/>
                <w:bottom w:val="none" w:sz="0" w:space="0" w:color="auto"/>
                <w:right w:val="none" w:sz="0" w:space="0" w:color="auto"/>
              </w:divBdr>
              <w:divsChild>
                <w:div w:id="1367755429">
                  <w:marLeft w:val="0"/>
                  <w:marRight w:val="0"/>
                  <w:marTop w:val="0"/>
                  <w:marBottom w:val="0"/>
                  <w:divBdr>
                    <w:top w:val="none" w:sz="0" w:space="0" w:color="auto"/>
                    <w:left w:val="none" w:sz="0" w:space="0" w:color="auto"/>
                    <w:bottom w:val="none" w:sz="0" w:space="0" w:color="auto"/>
                    <w:right w:val="none" w:sz="0" w:space="0" w:color="auto"/>
                  </w:divBdr>
                  <w:divsChild>
                    <w:div w:id="1516072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0337716">
      <w:bodyDiv w:val="1"/>
      <w:marLeft w:val="0"/>
      <w:marRight w:val="0"/>
      <w:marTop w:val="0"/>
      <w:marBottom w:val="0"/>
      <w:divBdr>
        <w:top w:val="none" w:sz="0" w:space="0" w:color="auto"/>
        <w:left w:val="none" w:sz="0" w:space="0" w:color="auto"/>
        <w:bottom w:val="none" w:sz="0" w:space="0" w:color="auto"/>
        <w:right w:val="none" w:sz="0" w:space="0" w:color="auto"/>
      </w:divBdr>
      <w:divsChild>
        <w:div w:id="1303539871">
          <w:marLeft w:val="0"/>
          <w:marRight w:val="0"/>
          <w:marTop w:val="0"/>
          <w:marBottom w:val="0"/>
          <w:divBdr>
            <w:top w:val="none" w:sz="0" w:space="0" w:color="auto"/>
            <w:left w:val="none" w:sz="0" w:space="0" w:color="auto"/>
            <w:bottom w:val="none" w:sz="0" w:space="0" w:color="auto"/>
            <w:right w:val="none" w:sz="0" w:space="0" w:color="auto"/>
          </w:divBdr>
          <w:divsChild>
            <w:div w:id="494688211">
              <w:marLeft w:val="0"/>
              <w:marRight w:val="0"/>
              <w:marTop w:val="0"/>
              <w:marBottom w:val="0"/>
              <w:divBdr>
                <w:top w:val="none" w:sz="0" w:space="0" w:color="auto"/>
                <w:left w:val="none" w:sz="0" w:space="0" w:color="auto"/>
                <w:bottom w:val="none" w:sz="0" w:space="0" w:color="auto"/>
                <w:right w:val="none" w:sz="0" w:space="0" w:color="auto"/>
              </w:divBdr>
              <w:divsChild>
                <w:div w:id="1644038439">
                  <w:marLeft w:val="0"/>
                  <w:marRight w:val="0"/>
                  <w:marTop w:val="0"/>
                  <w:marBottom w:val="0"/>
                  <w:divBdr>
                    <w:top w:val="none" w:sz="0" w:space="0" w:color="auto"/>
                    <w:left w:val="none" w:sz="0" w:space="0" w:color="auto"/>
                    <w:bottom w:val="none" w:sz="0" w:space="0" w:color="auto"/>
                    <w:right w:val="none" w:sz="0" w:space="0" w:color="auto"/>
                  </w:divBdr>
                  <w:divsChild>
                    <w:div w:id="93240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68177788">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048670">
      <w:bodyDiv w:val="1"/>
      <w:marLeft w:val="0"/>
      <w:marRight w:val="0"/>
      <w:marTop w:val="0"/>
      <w:marBottom w:val="0"/>
      <w:divBdr>
        <w:top w:val="none" w:sz="0" w:space="0" w:color="auto"/>
        <w:left w:val="none" w:sz="0" w:space="0" w:color="auto"/>
        <w:bottom w:val="none" w:sz="0" w:space="0" w:color="auto"/>
        <w:right w:val="none" w:sz="0" w:space="0" w:color="auto"/>
      </w:divBdr>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894200762">
      <w:bodyDiv w:val="1"/>
      <w:marLeft w:val="0"/>
      <w:marRight w:val="0"/>
      <w:marTop w:val="0"/>
      <w:marBottom w:val="0"/>
      <w:divBdr>
        <w:top w:val="none" w:sz="0" w:space="0" w:color="auto"/>
        <w:left w:val="none" w:sz="0" w:space="0" w:color="auto"/>
        <w:bottom w:val="none" w:sz="0" w:space="0" w:color="auto"/>
        <w:right w:val="none" w:sz="0" w:space="0" w:color="auto"/>
      </w:divBdr>
    </w:div>
    <w:div w:id="894463004">
      <w:bodyDiv w:val="1"/>
      <w:marLeft w:val="0"/>
      <w:marRight w:val="0"/>
      <w:marTop w:val="0"/>
      <w:marBottom w:val="0"/>
      <w:divBdr>
        <w:top w:val="none" w:sz="0" w:space="0" w:color="auto"/>
        <w:left w:val="none" w:sz="0" w:space="0" w:color="auto"/>
        <w:bottom w:val="none" w:sz="0" w:space="0" w:color="auto"/>
        <w:right w:val="none" w:sz="0" w:space="0" w:color="auto"/>
      </w:divBdr>
      <w:divsChild>
        <w:div w:id="68617061">
          <w:marLeft w:val="0"/>
          <w:marRight w:val="0"/>
          <w:marTop w:val="0"/>
          <w:marBottom w:val="0"/>
          <w:divBdr>
            <w:top w:val="none" w:sz="0" w:space="0" w:color="auto"/>
            <w:left w:val="none" w:sz="0" w:space="0" w:color="auto"/>
            <w:bottom w:val="none" w:sz="0" w:space="0" w:color="auto"/>
            <w:right w:val="none" w:sz="0" w:space="0" w:color="auto"/>
          </w:divBdr>
          <w:divsChild>
            <w:div w:id="1053651746">
              <w:marLeft w:val="0"/>
              <w:marRight w:val="0"/>
              <w:marTop w:val="0"/>
              <w:marBottom w:val="0"/>
              <w:divBdr>
                <w:top w:val="none" w:sz="0" w:space="0" w:color="auto"/>
                <w:left w:val="none" w:sz="0" w:space="0" w:color="auto"/>
                <w:bottom w:val="none" w:sz="0" w:space="0" w:color="auto"/>
                <w:right w:val="none" w:sz="0" w:space="0" w:color="auto"/>
              </w:divBdr>
              <w:divsChild>
                <w:div w:id="443117741">
                  <w:marLeft w:val="0"/>
                  <w:marRight w:val="0"/>
                  <w:marTop w:val="0"/>
                  <w:marBottom w:val="0"/>
                  <w:divBdr>
                    <w:top w:val="none" w:sz="0" w:space="0" w:color="auto"/>
                    <w:left w:val="none" w:sz="0" w:space="0" w:color="auto"/>
                    <w:bottom w:val="none" w:sz="0" w:space="0" w:color="auto"/>
                    <w:right w:val="none" w:sz="0" w:space="0" w:color="auto"/>
                  </w:divBdr>
                  <w:divsChild>
                    <w:div w:id="302927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3639335">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2814326">
      <w:bodyDiv w:val="1"/>
      <w:marLeft w:val="0"/>
      <w:marRight w:val="0"/>
      <w:marTop w:val="0"/>
      <w:marBottom w:val="0"/>
      <w:divBdr>
        <w:top w:val="none" w:sz="0" w:space="0" w:color="auto"/>
        <w:left w:val="none" w:sz="0" w:space="0" w:color="auto"/>
        <w:bottom w:val="none" w:sz="0" w:space="0" w:color="auto"/>
        <w:right w:val="none" w:sz="0" w:space="0" w:color="auto"/>
      </w:divBdr>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3296817">
      <w:bodyDiv w:val="1"/>
      <w:marLeft w:val="0"/>
      <w:marRight w:val="0"/>
      <w:marTop w:val="0"/>
      <w:marBottom w:val="0"/>
      <w:divBdr>
        <w:top w:val="none" w:sz="0" w:space="0" w:color="auto"/>
        <w:left w:val="none" w:sz="0" w:space="0" w:color="auto"/>
        <w:bottom w:val="none" w:sz="0" w:space="0" w:color="auto"/>
        <w:right w:val="none" w:sz="0" w:space="0" w:color="auto"/>
      </w:divBdr>
    </w:div>
    <w:div w:id="925843760">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1285824">
      <w:bodyDiv w:val="1"/>
      <w:marLeft w:val="0"/>
      <w:marRight w:val="0"/>
      <w:marTop w:val="0"/>
      <w:marBottom w:val="0"/>
      <w:divBdr>
        <w:top w:val="none" w:sz="0" w:space="0" w:color="auto"/>
        <w:left w:val="none" w:sz="0" w:space="0" w:color="auto"/>
        <w:bottom w:val="none" w:sz="0" w:space="0" w:color="auto"/>
        <w:right w:val="none" w:sz="0" w:space="0" w:color="auto"/>
      </w:divBdr>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0675878">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6565552">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3509096">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25904290">
      <w:bodyDiv w:val="1"/>
      <w:marLeft w:val="0"/>
      <w:marRight w:val="0"/>
      <w:marTop w:val="0"/>
      <w:marBottom w:val="0"/>
      <w:divBdr>
        <w:top w:val="none" w:sz="0" w:space="0" w:color="auto"/>
        <w:left w:val="none" w:sz="0" w:space="0" w:color="auto"/>
        <w:bottom w:val="none" w:sz="0" w:space="0" w:color="auto"/>
        <w:right w:val="none" w:sz="0" w:space="0" w:color="auto"/>
      </w:divBdr>
    </w:div>
    <w:div w:id="1038163578">
      <w:bodyDiv w:val="1"/>
      <w:marLeft w:val="0"/>
      <w:marRight w:val="0"/>
      <w:marTop w:val="0"/>
      <w:marBottom w:val="0"/>
      <w:divBdr>
        <w:top w:val="none" w:sz="0" w:space="0" w:color="auto"/>
        <w:left w:val="none" w:sz="0" w:space="0" w:color="auto"/>
        <w:bottom w:val="none" w:sz="0" w:space="0" w:color="auto"/>
        <w:right w:val="none" w:sz="0" w:space="0" w:color="auto"/>
      </w:divBdr>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86338786">
      <w:bodyDiv w:val="1"/>
      <w:marLeft w:val="0"/>
      <w:marRight w:val="0"/>
      <w:marTop w:val="0"/>
      <w:marBottom w:val="0"/>
      <w:divBdr>
        <w:top w:val="none" w:sz="0" w:space="0" w:color="auto"/>
        <w:left w:val="none" w:sz="0" w:space="0" w:color="auto"/>
        <w:bottom w:val="none" w:sz="0" w:space="0" w:color="auto"/>
        <w:right w:val="none" w:sz="0" w:space="0" w:color="auto"/>
      </w:divBdr>
    </w:div>
    <w:div w:id="1086416888">
      <w:bodyDiv w:val="1"/>
      <w:marLeft w:val="0"/>
      <w:marRight w:val="0"/>
      <w:marTop w:val="0"/>
      <w:marBottom w:val="0"/>
      <w:divBdr>
        <w:top w:val="none" w:sz="0" w:space="0" w:color="auto"/>
        <w:left w:val="none" w:sz="0" w:space="0" w:color="auto"/>
        <w:bottom w:val="none" w:sz="0" w:space="0" w:color="auto"/>
        <w:right w:val="none" w:sz="0" w:space="0" w:color="auto"/>
      </w:divBdr>
    </w:div>
    <w:div w:id="1102533683">
      <w:bodyDiv w:val="1"/>
      <w:marLeft w:val="0"/>
      <w:marRight w:val="0"/>
      <w:marTop w:val="0"/>
      <w:marBottom w:val="0"/>
      <w:divBdr>
        <w:top w:val="none" w:sz="0" w:space="0" w:color="auto"/>
        <w:left w:val="none" w:sz="0" w:space="0" w:color="auto"/>
        <w:bottom w:val="none" w:sz="0" w:space="0" w:color="auto"/>
        <w:right w:val="none" w:sz="0" w:space="0" w:color="auto"/>
      </w:divBdr>
      <w:divsChild>
        <w:div w:id="937952928">
          <w:marLeft w:val="0"/>
          <w:marRight w:val="0"/>
          <w:marTop w:val="0"/>
          <w:marBottom w:val="0"/>
          <w:divBdr>
            <w:top w:val="none" w:sz="0" w:space="0" w:color="auto"/>
            <w:left w:val="none" w:sz="0" w:space="0" w:color="auto"/>
            <w:bottom w:val="none" w:sz="0" w:space="0" w:color="auto"/>
            <w:right w:val="none" w:sz="0" w:space="0" w:color="auto"/>
          </w:divBdr>
          <w:divsChild>
            <w:div w:id="266161672">
              <w:marLeft w:val="0"/>
              <w:marRight w:val="0"/>
              <w:marTop w:val="0"/>
              <w:marBottom w:val="0"/>
              <w:divBdr>
                <w:top w:val="none" w:sz="0" w:space="0" w:color="auto"/>
                <w:left w:val="none" w:sz="0" w:space="0" w:color="auto"/>
                <w:bottom w:val="none" w:sz="0" w:space="0" w:color="auto"/>
                <w:right w:val="none" w:sz="0" w:space="0" w:color="auto"/>
              </w:divBdr>
              <w:divsChild>
                <w:div w:id="1082483636">
                  <w:marLeft w:val="0"/>
                  <w:marRight w:val="0"/>
                  <w:marTop w:val="0"/>
                  <w:marBottom w:val="0"/>
                  <w:divBdr>
                    <w:top w:val="none" w:sz="0" w:space="0" w:color="auto"/>
                    <w:left w:val="none" w:sz="0" w:space="0" w:color="auto"/>
                    <w:bottom w:val="none" w:sz="0" w:space="0" w:color="auto"/>
                    <w:right w:val="none" w:sz="0" w:space="0" w:color="auto"/>
                  </w:divBdr>
                  <w:divsChild>
                    <w:div w:id="167137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08046331">
      <w:bodyDiv w:val="1"/>
      <w:marLeft w:val="0"/>
      <w:marRight w:val="0"/>
      <w:marTop w:val="0"/>
      <w:marBottom w:val="0"/>
      <w:divBdr>
        <w:top w:val="none" w:sz="0" w:space="0" w:color="auto"/>
        <w:left w:val="none" w:sz="0" w:space="0" w:color="auto"/>
        <w:bottom w:val="none" w:sz="0" w:space="0" w:color="auto"/>
        <w:right w:val="none" w:sz="0" w:space="0" w:color="auto"/>
      </w:divBdr>
      <w:divsChild>
        <w:div w:id="1363172650">
          <w:marLeft w:val="0"/>
          <w:marRight w:val="0"/>
          <w:marTop w:val="0"/>
          <w:marBottom w:val="0"/>
          <w:divBdr>
            <w:top w:val="none" w:sz="0" w:space="0" w:color="auto"/>
            <w:left w:val="none" w:sz="0" w:space="0" w:color="auto"/>
            <w:bottom w:val="none" w:sz="0" w:space="0" w:color="auto"/>
            <w:right w:val="none" w:sz="0" w:space="0" w:color="auto"/>
          </w:divBdr>
          <w:divsChild>
            <w:div w:id="1155224784">
              <w:marLeft w:val="0"/>
              <w:marRight w:val="0"/>
              <w:marTop w:val="0"/>
              <w:marBottom w:val="0"/>
              <w:divBdr>
                <w:top w:val="none" w:sz="0" w:space="0" w:color="auto"/>
                <w:left w:val="none" w:sz="0" w:space="0" w:color="auto"/>
                <w:bottom w:val="none" w:sz="0" w:space="0" w:color="auto"/>
                <w:right w:val="none" w:sz="0" w:space="0" w:color="auto"/>
              </w:divBdr>
              <w:divsChild>
                <w:div w:id="1605845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715178">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55221749">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1649574">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02355599">
      <w:bodyDiv w:val="1"/>
      <w:marLeft w:val="0"/>
      <w:marRight w:val="0"/>
      <w:marTop w:val="0"/>
      <w:marBottom w:val="0"/>
      <w:divBdr>
        <w:top w:val="none" w:sz="0" w:space="0" w:color="auto"/>
        <w:left w:val="none" w:sz="0" w:space="0" w:color="auto"/>
        <w:bottom w:val="none" w:sz="0" w:space="0" w:color="auto"/>
        <w:right w:val="none" w:sz="0" w:space="0" w:color="auto"/>
      </w:divBdr>
      <w:divsChild>
        <w:div w:id="994988833">
          <w:marLeft w:val="0"/>
          <w:marRight w:val="0"/>
          <w:marTop w:val="0"/>
          <w:marBottom w:val="0"/>
          <w:divBdr>
            <w:top w:val="none" w:sz="0" w:space="0" w:color="auto"/>
            <w:left w:val="none" w:sz="0" w:space="0" w:color="auto"/>
            <w:bottom w:val="none" w:sz="0" w:space="0" w:color="auto"/>
            <w:right w:val="none" w:sz="0" w:space="0" w:color="auto"/>
          </w:divBdr>
          <w:divsChild>
            <w:div w:id="167017869">
              <w:marLeft w:val="0"/>
              <w:marRight w:val="0"/>
              <w:marTop w:val="0"/>
              <w:marBottom w:val="0"/>
              <w:divBdr>
                <w:top w:val="none" w:sz="0" w:space="0" w:color="auto"/>
                <w:left w:val="none" w:sz="0" w:space="0" w:color="auto"/>
                <w:bottom w:val="none" w:sz="0" w:space="0" w:color="auto"/>
                <w:right w:val="none" w:sz="0" w:space="0" w:color="auto"/>
              </w:divBdr>
              <w:divsChild>
                <w:div w:id="1901361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2572790">
      <w:bodyDiv w:val="1"/>
      <w:marLeft w:val="0"/>
      <w:marRight w:val="0"/>
      <w:marTop w:val="0"/>
      <w:marBottom w:val="0"/>
      <w:divBdr>
        <w:top w:val="none" w:sz="0" w:space="0" w:color="auto"/>
        <w:left w:val="none" w:sz="0" w:space="0" w:color="auto"/>
        <w:bottom w:val="none" w:sz="0" w:space="0" w:color="auto"/>
        <w:right w:val="none" w:sz="0" w:space="0" w:color="auto"/>
      </w:divBdr>
    </w:div>
    <w:div w:id="1213425965">
      <w:bodyDiv w:val="1"/>
      <w:marLeft w:val="0"/>
      <w:marRight w:val="0"/>
      <w:marTop w:val="0"/>
      <w:marBottom w:val="0"/>
      <w:divBdr>
        <w:top w:val="none" w:sz="0" w:space="0" w:color="auto"/>
        <w:left w:val="none" w:sz="0" w:space="0" w:color="auto"/>
        <w:bottom w:val="none" w:sz="0" w:space="0" w:color="auto"/>
        <w:right w:val="none" w:sz="0" w:space="0" w:color="auto"/>
      </w:divBdr>
      <w:divsChild>
        <w:div w:id="1898123514">
          <w:marLeft w:val="0"/>
          <w:marRight w:val="0"/>
          <w:marTop w:val="0"/>
          <w:marBottom w:val="0"/>
          <w:divBdr>
            <w:top w:val="none" w:sz="0" w:space="0" w:color="auto"/>
            <w:left w:val="none" w:sz="0" w:space="0" w:color="auto"/>
            <w:bottom w:val="none" w:sz="0" w:space="0" w:color="auto"/>
            <w:right w:val="none" w:sz="0" w:space="0" w:color="auto"/>
          </w:divBdr>
          <w:divsChild>
            <w:div w:id="577178891">
              <w:marLeft w:val="0"/>
              <w:marRight w:val="0"/>
              <w:marTop w:val="0"/>
              <w:marBottom w:val="0"/>
              <w:divBdr>
                <w:top w:val="none" w:sz="0" w:space="0" w:color="auto"/>
                <w:left w:val="none" w:sz="0" w:space="0" w:color="auto"/>
                <w:bottom w:val="none" w:sz="0" w:space="0" w:color="auto"/>
                <w:right w:val="none" w:sz="0" w:space="0" w:color="auto"/>
              </w:divBdr>
              <w:divsChild>
                <w:div w:id="1346323552">
                  <w:marLeft w:val="0"/>
                  <w:marRight w:val="0"/>
                  <w:marTop w:val="0"/>
                  <w:marBottom w:val="0"/>
                  <w:divBdr>
                    <w:top w:val="none" w:sz="0" w:space="0" w:color="auto"/>
                    <w:left w:val="none" w:sz="0" w:space="0" w:color="auto"/>
                    <w:bottom w:val="none" w:sz="0" w:space="0" w:color="auto"/>
                    <w:right w:val="none" w:sz="0" w:space="0" w:color="auto"/>
                  </w:divBdr>
                  <w:divsChild>
                    <w:div w:id="53616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27375474">
      <w:bodyDiv w:val="1"/>
      <w:marLeft w:val="0"/>
      <w:marRight w:val="0"/>
      <w:marTop w:val="0"/>
      <w:marBottom w:val="0"/>
      <w:divBdr>
        <w:top w:val="none" w:sz="0" w:space="0" w:color="auto"/>
        <w:left w:val="none" w:sz="0" w:space="0" w:color="auto"/>
        <w:bottom w:val="none" w:sz="0" w:space="0" w:color="auto"/>
        <w:right w:val="none" w:sz="0" w:space="0" w:color="auto"/>
      </w:divBdr>
    </w:div>
    <w:div w:id="1229728175">
      <w:bodyDiv w:val="1"/>
      <w:marLeft w:val="0"/>
      <w:marRight w:val="0"/>
      <w:marTop w:val="0"/>
      <w:marBottom w:val="0"/>
      <w:divBdr>
        <w:top w:val="none" w:sz="0" w:space="0" w:color="auto"/>
        <w:left w:val="none" w:sz="0" w:space="0" w:color="auto"/>
        <w:bottom w:val="none" w:sz="0" w:space="0" w:color="auto"/>
        <w:right w:val="none" w:sz="0" w:space="0" w:color="auto"/>
      </w:divBdr>
    </w:div>
    <w:div w:id="1236671725">
      <w:bodyDiv w:val="1"/>
      <w:marLeft w:val="0"/>
      <w:marRight w:val="0"/>
      <w:marTop w:val="0"/>
      <w:marBottom w:val="0"/>
      <w:divBdr>
        <w:top w:val="none" w:sz="0" w:space="0" w:color="auto"/>
        <w:left w:val="none" w:sz="0" w:space="0" w:color="auto"/>
        <w:bottom w:val="none" w:sz="0" w:space="0" w:color="auto"/>
        <w:right w:val="none" w:sz="0" w:space="0" w:color="auto"/>
      </w:divBdr>
    </w:div>
    <w:div w:id="1246646857">
      <w:bodyDiv w:val="1"/>
      <w:marLeft w:val="0"/>
      <w:marRight w:val="0"/>
      <w:marTop w:val="0"/>
      <w:marBottom w:val="0"/>
      <w:divBdr>
        <w:top w:val="none" w:sz="0" w:space="0" w:color="auto"/>
        <w:left w:val="none" w:sz="0" w:space="0" w:color="auto"/>
        <w:bottom w:val="none" w:sz="0" w:space="0" w:color="auto"/>
        <w:right w:val="none" w:sz="0" w:space="0" w:color="auto"/>
      </w:divBdr>
    </w:div>
    <w:div w:id="1267736845">
      <w:bodyDiv w:val="1"/>
      <w:marLeft w:val="0"/>
      <w:marRight w:val="0"/>
      <w:marTop w:val="0"/>
      <w:marBottom w:val="0"/>
      <w:divBdr>
        <w:top w:val="none" w:sz="0" w:space="0" w:color="auto"/>
        <w:left w:val="none" w:sz="0" w:space="0" w:color="auto"/>
        <w:bottom w:val="none" w:sz="0" w:space="0" w:color="auto"/>
        <w:right w:val="none" w:sz="0" w:space="0" w:color="auto"/>
      </w:divBdr>
      <w:divsChild>
        <w:div w:id="1452167976">
          <w:marLeft w:val="0"/>
          <w:marRight w:val="0"/>
          <w:marTop w:val="0"/>
          <w:marBottom w:val="0"/>
          <w:divBdr>
            <w:top w:val="none" w:sz="0" w:space="0" w:color="auto"/>
            <w:left w:val="none" w:sz="0" w:space="0" w:color="auto"/>
            <w:bottom w:val="none" w:sz="0" w:space="0" w:color="auto"/>
            <w:right w:val="none" w:sz="0" w:space="0" w:color="auto"/>
          </w:divBdr>
          <w:divsChild>
            <w:div w:id="2031253661">
              <w:marLeft w:val="0"/>
              <w:marRight w:val="0"/>
              <w:marTop w:val="0"/>
              <w:marBottom w:val="0"/>
              <w:divBdr>
                <w:top w:val="none" w:sz="0" w:space="0" w:color="auto"/>
                <w:left w:val="none" w:sz="0" w:space="0" w:color="auto"/>
                <w:bottom w:val="none" w:sz="0" w:space="0" w:color="auto"/>
                <w:right w:val="none" w:sz="0" w:space="0" w:color="auto"/>
              </w:divBdr>
              <w:divsChild>
                <w:div w:id="1322352162">
                  <w:marLeft w:val="0"/>
                  <w:marRight w:val="0"/>
                  <w:marTop w:val="0"/>
                  <w:marBottom w:val="0"/>
                  <w:divBdr>
                    <w:top w:val="none" w:sz="0" w:space="0" w:color="auto"/>
                    <w:left w:val="none" w:sz="0" w:space="0" w:color="auto"/>
                    <w:bottom w:val="none" w:sz="0" w:space="0" w:color="auto"/>
                    <w:right w:val="none" w:sz="0" w:space="0" w:color="auto"/>
                  </w:divBdr>
                  <w:divsChild>
                    <w:div w:id="1548450850">
                      <w:marLeft w:val="0"/>
                      <w:marRight w:val="0"/>
                      <w:marTop w:val="0"/>
                      <w:marBottom w:val="0"/>
                      <w:divBdr>
                        <w:top w:val="none" w:sz="0" w:space="0" w:color="auto"/>
                        <w:left w:val="none" w:sz="0" w:space="0" w:color="auto"/>
                        <w:bottom w:val="none" w:sz="0" w:space="0" w:color="auto"/>
                        <w:right w:val="none" w:sz="0" w:space="0" w:color="auto"/>
                      </w:divBdr>
                    </w:div>
                  </w:divsChild>
                </w:div>
                <w:div w:id="972716266">
                  <w:marLeft w:val="0"/>
                  <w:marRight w:val="0"/>
                  <w:marTop w:val="0"/>
                  <w:marBottom w:val="0"/>
                  <w:divBdr>
                    <w:top w:val="none" w:sz="0" w:space="0" w:color="auto"/>
                    <w:left w:val="none" w:sz="0" w:space="0" w:color="auto"/>
                    <w:bottom w:val="none" w:sz="0" w:space="0" w:color="auto"/>
                    <w:right w:val="none" w:sz="0" w:space="0" w:color="auto"/>
                  </w:divBdr>
                  <w:divsChild>
                    <w:div w:id="403794229">
                      <w:marLeft w:val="0"/>
                      <w:marRight w:val="0"/>
                      <w:marTop w:val="0"/>
                      <w:marBottom w:val="0"/>
                      <w:divBdr>
                        <w:top w:val="none" w:sz="0" w:space="0" w:color="auto"/>
                        <w:left w:val="none" w:sz="0" w:space="0" w:color="auto"/>
                        <w:bottom w:val="none" w:sz="0" w:space="0" w:color="auto"/>
                        <w:right w:val="none" w:sz="0" w:space="0" w:color="auto"/>
                      </w:divBdr>
                    </w:div>
                  </w:divsChild>
                </w:div>
                <w:div w:id="653948564">
                  <w:marLeft w:val="0"/>
                  <w:marRight w:val="0"/>
                  <w:marTop w:val="0"/>
                  <w:marBottom w:val="0"/>
                  <w:divBdr>
                    <w:top w:val="none" w:sz="0" w:space="0" w:color="auto"/>
                    <w:left w:val="none" w:sz="0" w:space="0" w:color="auto"/>
                    <w:bottom w:val="none" w:sz="0" w:space="0" w:color="auto"/>
                    <w:right w:val="none" w:sz="0" w:space="0" w:color="auto"/>
                  </w:divBdr>
                  <w:divsChild>
                    <w:div w:id="1319920641">
                      <w:marLeft w:val="0"/>
                      <w:marRight w:val="0"/>
                      <w:marTop w:val="0"/>
                      <w:marBottom w:val="0"/>
                      <w:divBdr>
                        <w:top w:val="none" w:sz="0" w:space="0" w:color="auto"/>
                        <w:left w:val="none" w:sz="0" w:space="0" w:color="auto"/>
                        <w:bottom w:val="none" w:sz="0" w:space="0" w:color="auto"/>
                        <w:right w:val="none" w:sz="0" w:space="0" w:color="auto"/>
                      </w:divBdr>
                    </w:div>
                  </w:divsChild>
                </w:div>
                <w:div w:id="150560135">
                  <w:marLeft w:val="0"/>
                  <w:marRight w:val="0"/>
                  <w:marTop w:val="0"/>
                  <w:marBottom w:val="0"/>
                  <w:divBdr>
                    <w:top w:val="none" w:sz="0" w:space="0" w:color="auto"/>
                    <w:left w:val="none" w:sz="0" w:space="0" w:color="auto"/>
                    <w:bottom w:val="none" w:sz="0" w:space="0" w:color="auto"/>
                    <w:right w:val="none" w:sz="0" w:space="0" w:color="auto"/>
                  </w:divBdr>
                  <w:divsChild>
                    <w:div w:id="1063941499">
                      <w:marLeft w:val="0"/>
                      <w:marRight w:val="0"/>
                      <w:marTop w:val="0"/>
                      <w:marBottom w:val="0"/>
                      <w:divBdr>
                        <w:top w:val="none" w:sz="0" w:space="0" w:color="auto"/>
                        <w:left w:val="none" w:sz="0" w:space="0" w:color="auto"/>
                        <w:bottom w:val="none" w:sz="0" w:space="0" w:color="auto"/>
                        <w:right w:val="none" w:sz="0" w:space="0" w:color="auto"/>
                      </w:divBdr>
                    </w:div>
                  </w:divsChild>
                </w:div>
                <w:div w:id="1060667264">
                  <w:marLeft w:val="0"/>
                  <w:marRight w:val="0"/>
                  <w:marTop w:val="0"/>
                  <w:marBottom w:val="0"/>
                  <w:divBdr>
                    <w:top w:val="none" w:sz="0" w:space="0" w:color="auto"/>
                    <w:left w:val="none" w:sz="0" w:space="0" w:color="auto"/>
                    <w:bottom w:val="none" w:sz="0" w:space="0" w:color="auto"/>
                    <w:right w:val="none" w:sz="0" w:space="0" w:color="auto"/>
                  </w:divBdr>
                  <w:divsChild>
                    <w:div w:id="1510219111">
                      <w:marLeft w:val="0"/>
                      <w:marRight w:val="0"/>
                      <w:marTop w:val="0"/>
                      <w:marBottom w:val="0"/>
                      <w:divBdr>
                        <w:top w:val="none" w:sz="0" w:space="0" w:color="auto"/>
                        <w:left w:val="none" w:sz="0" w:space="0" w:color="auto"/>
                        <w:bottom w:val="none" w:sz="0" w:space="0" w:color="auto"/>
                        <w:right w:val="none" w:sz="0" w:space="0" w:color="auto"/>
                      </w:divBdr>
                      <w:divsChild>
                        <w:div w:id="657804586">
                          <w:marLeft w:val="0"/>
                          <w:marRight w:val="0"/>
                          <w:marTop w:val="0"/>
                          <w:marBottom w:val="0"/>
                          <w:divBdr>
                            <w:top w:val="none" w:sz="0" w:space="0" w:color="auto"/>
                            <w:left w:val="none" w:sz="0" w:space="0" w:color="auto"/>
                            <w:bottom w:val="none" w:sz="0" w:space="0" w:color="auto"/>
                            <w:right w:val="none" w:sz="0" w:space="0" w:color="auto"/>
                          </w:divBdr>
                        </w:div>
                      </w:divsChild>
                    </w:div>
                    <w:div w:id="374543059">
                      <w:marLeft w:val="0"/>
                      <w:marRight w:val="0"/>
                      <w:marTop w:val="0"/>
                      <w:marBottom w:val="0"/>
                      <w:divBdr>
                        <w:top w:val="none" w:sz="0" w:space="0" w:color="auto"/>
                        <w:left w:val="none" w:sz="0" w:space="0" w:color="auto"/>
                        <w:bottom w:val="none" w:sz="0" w:space="0" w:color="auto"/>
                        <w:right w:val="none" w:sz="0" w:space="0" w:color="auto"/>
                      </w:divBdr>
                      <w:divsChild>
                        <w:div w:id="160320244">
                          <w:marLeft w:val="0"/>
                          <w:marRight w:val="0"/>
                          <w:marTop w:val="0"/>
                          <w:marBottom w:val="0"/>
                          <w:divBdr>
                            <w:top w:val="none" w:sz="0" w:space="0" w:color="auto"/>
                            <w:left w:val="none" w:sz="0" w:space="0" w:color="auto"/>
                            <w:bottom w:val="none" w:sz="0" w:space="0" w:color="auto"/>
                            <w:right w:val="none" w:sz="0" w:space="0" w:color="auto"/>
                          </w:divBdr>
                        </w:div>
                      </w:divsChild>
                    </w:div>
                    <w:div w:id="351343690">
                      <w:marLeft w:val="0"/>
                      <w:marRight w:val="0"/>
                      <w:marTop w:val="0"/>
                      <w:marBottom w:val="0"/>
                      <w:divBdr>
                        <w:top w:val="none" w:sz="0" w:space="0" w:color="auto"/>
                        <w:left w:val="none" w:sz="0" w:space="0" w:color="auto"/>
                        <w:bottom w:val="none" w:sz="0" w:space="0" w:color="auto"/>
                        <w:right w:val="none" w:sz="0" w:space="0" w:color="auto"/>
                      </w:divBdr>
                      <w:divsChild>
                        <w:div w:id="1203666416">
                          <w:marLeft w:val="0"/>
                          <w:marRight w:val="0"/>
                          <w:marTop w:val="0"/>
                          <w:marBottom w:val="0"/>
                          <w:divBdr>
                            <w:top w:val="none" w:sz="0" w:space="0" w:color="auto"/>
                            <w:left w:val="none" w:sz="0" w:space="0" w:color="auto"/>
                            <w:bottom w:val="none" w:sz="0" w:space="0" w:color="auto"/>
                            <w:right w:val="none" w:sz="0" w:space="0" w:color="auto"/>
                          </w:divBdr>
                        </w:div>
                      </w:divsChild>
                    </w:div>
                    <w:div w:id="312952423">
                      <w:marLeft w:val="0"/>
                      <w:marRight w:val="0"/>
                      <w:marTop w:val="0"/>
                      <w:marBottom w:val="0"/>
                      <w:divBdr>
                        <w:top w:val="none" w:sz="0" w:space="0" w:color="auto"/>
                        <w:left w:val="none" w:sz="0" w:space="0" w:color="auto"/>
                        <w:bottom w:val="none" w:sz="0" w:space="0" w:color="auto"/>
                        <w:right w:val="none" w:sz="0" w:space="0" w:color="auto"/>
                      </w:divBdr>
                      <w:divsChild>
                        <w:div w:id="1575046170">
                          <w:marLeft w:val="0"/>
                          <w:marRight w:val="0"/>
                          <w:marTop w:val="0"/>
                          <w:marBottom w:val="0"/>
                          <w:divBdr>
                            <w:top w:val="none" w:sz="0" w:space="0" w:color="auto"/>
                            <w:left w:val="none" w:sz="0" w:space="0" w:color="auto"/>
                            <w:bottom w:val="none" w:sz="0" w:space="0" w:color="auto"/>
                            <w:right w:val="none" w:sz="0" w:space="0" w:color="auto"/>
                          </w:divBdr>
                        </w:div>
                      </w:divsChild>
                    </w:div>
                    <w:div w:id="1598558344">
                      <w:marLeft w:val="0"/>
                      <w:marRight w:val="0"/>
                      <w:marTop w:val="0"/>
                      <w:marBottom w:val="0"/>
                      <w:divBdr>
                        <w:top w:val="none" w:sz="0" w:space="0" w:color="auto"/>
                        <w:left w:val="none" w:sz="0" w:space="0" w:color="auto"/>
                        <w:bottom w:val="none" w:sz="0" w:space="0" w:color="auto"/>
                        <w:right w:val="none" w:sz="0" w:space="0" w:color="auto"/>
                      </w:divBdr>
                      <w:divsChild>
                        <w:div w:id="63839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8388750">
      <w:bodyDiv w:val="1"/>
      <w:marLeft w:val="0"/>
      <w:marRight w:val="0"/>
      <w:marTop w:val="0"/>
      <w:marBottom w:val="0"/>
      <w:divBdr>
        <w:top w:val="none" w:sz="0" w:space="0" w:color="auto"/>
        <w:left w:val="none" w:sz="0" w:space="0" w:color="auto"/>
        <w:bottom w:val="none" w:sz="0" w:space="0" w:color="auto"/>
        <w:right w:val="none" w:sz="0" w:space="0" w:color="auto"/>
      </w:divBdr>
      <w:divsChild>
        <w:div w:id="1755397340">
          <w:marLeft w:val="0"/>
          <w:marRight w:val="0"/>
          <w:marTop w:val="0"/>
          <w:marBottom w:val="0"/>
          <w:divBdr>
            <w:top w:val="none" w:sz="0" w:space="0" w:color="auto"/>
            <w:left w:val="none" w:sz="0" w:space="0" w:color="auto"/>
            <w:bottom w:val="none" w:sz="0" w:space="0" w:color="auto"/>
            <w:right w:val="none" w:sz="0" w:space="0" w:color="auto"/>
          </w:divBdr>
        </w:div>
      </w:divsChild>
    </w:div>
    <w:div w:id="1274241602">
      <w:bodyDiv w:val="1"/>
      <w:marLeft w:val="0"/>
      <w:marRight w:val="0"/>
      <w:marTop w:val="0"/>
      <w:marBottom w:val="0"/>
      <w:divBdr>
        <w:top w:val="none" w:sz="0" w:space="0" w:color="auto"/>
        <w:left w:val="none" w:sz="0" w:space="0" w:color="auto"/>
        <w:bottom w:val="none" w:sz="0" w:space="0" w:color="auto"/>
        <w:right w:val="none" w:sz="0" w:space="0" w:color="auto"/>
      </w:divBdr>
      <w:divsChild>
        <w:div w:id="1004476359">
          <w:marLeft w:val="0"/>
          <w:marRight w:val="0"/>
          <w:marTop w:val="0"/>
          <w:marBottom w:val="0"/>
          <w:divBdr>
            <w:top w:val="none" w:sz="0" w:space="0" w:color="auto"/>
            <w:left w:val="none" w:sz="0" w:space="0" w:color="auto"/>
            <w:bottom w:val="none" w:sz="0" w:space="0" w:color="auto"/>
            <w:right w:val="none" w:sz="0" w:space="0" w:color="auto"/>
          </w:divBdr>
          <w:divsChild>
            <w:div w:id="1039665925">
              <w:marLeft w:val="0"/>
              <w:marRight w:val="0"/>
              <w:marTop w:val="0"/>
              <w:marBottom w:val="0"/>
              <w:divBdr>
                <w:top w:val="none" w:sz="0" w:space="0" w:color="auto"/>
                <w:left w:val="none" w:sz="0" w:space="0" w:color="auto"/>
                <w:bottom w:val="none" w:sz="0" w:space="0" w:color="auto"/>
                <w:right w:val="none" w:sz="0" w:space="0" w:color="auto"/>
              </w:divBdr>
              <w:divsChild>
                <w:div w:id="1104957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4484622">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09088797">
      <w:bodyDiv w:val="1"/>
      <w:marLeft w:val="0"/>
      <w:marRight w:val="0"/>
      <w:marTop w:val="0"/>
      <w:marBottom w:val="0"/>
      <w:divBdr>
        <w:top w:val="none" w:sz="0" w:space="0" w:color="auto"/>
        <w:left w:val="none" w:sz="0" w:space="0" w:color="auto"/>
        <w:bottom w:val="none" w:sz="0" w:space="0" w:color="auto"/>
        <w:right w:val="none" w:sz="0" w:space="0" w:color="auto"/>
      </w:divBdr>
    </w:div>
    <w:div w:id="1312295347">
      <w:bodyDiv w:val="1"/>
      <w:marLeft w:val="0"/>
      <w:marRight w:val="0"/>
      <w:marTop w:val="0"/>
      <w:marBottom w:val="0"/>
      <w:divBdr>
        <w:top w:val="none" w:sz="0" w:space="0" w:color="auto"/>
        <w:left w:val="none" w:sz="0" w:space="0" w:color="auto"/>
        <w:bottom w:val="none" w:sz="0" w:space="0" w:color="auto"/>
        <w:right w:val="none" w:sz="0" w:space="0" w:color="auto"/>
      </w:divBdr>
    </w:div>
    <w:div w:id="1314288308">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0426134">
      <w:bodyDiv w:val="1"/>
      <w:marLeft w:val="0"/>
      <w:marRight w:val="0"/>
      <w:marTop w:val="0"/>
      <w:marBottom w:val="0"/>
      <w:divBdr>
        <w:top w:val="none" w:sz="0" w:space="0" w:color="auto"/>
        <w:left w:val="none" w:sz="0" w:space="0" w:color="auto"/>
        <w:bottom w:val="none" w:sz="0" w:space="0" w:color="auto"/>
        <w:right w:val="none" w:sz="0" w:space="0" w:color="auto"/>
      </w:divBdr>
    </w:div>
    <w:div w:id="1327973237">
      <w:bodyDiv w:val="1"/>
      <w:marLeft w:val="0"/>
      <w:marRight w:val="0"/>
      <w:marTop w:val="0"/>
      <w:marBottom w:val="0"/>
      <w:divBdr>
        <w:top w:val="none" w:sz="0" w:space="0" w:color="auto"/>
        <w:left w:val="none" w:sz="0" w:space="0" w:color="auto"/>
        <w:bottom w:val="none" w:sz="0" w:space="0" w:color="auto"/>
        <w:right w:val="none" w:sz="0" w:space="0" w:color="auto"/>
      </w:divBdr>
    </w:div>
    <w:div w:id="1329864676">
      <w:bodyDiv w:val="1"/>
      <w:marLeft w:val="0"/>
      <w:marRight w:val="0"/>
      <w:marTop w:val="0"/>
      <w:marBottom w:val="0"/>
      <w:divBdr>
        <w:top w:val="none" w:sz="0" w:space="0" w:color="auto"/>
        <w:left w:val="none" w:sz="0" w:space="0" w:color="auto"/>
        <w:bottom w:val="none" w:sz="0" w:space="0" w:color="auto"/>
        <w:right w:val="none" w:sz="0" w:space="0" w:color="auto"/>
      </w:divBdr>
      <w:divsChild>
        <w:div w:id="385421705">
          <w:marLeft w:val="0"/>
          <w:marRight w:val="0"/>
          <w:marTop w:val="0"/>
          <w:marBottom w:val="0"/>
          <w:divBdr>
            <w:top w:val="none" w:sz="0" w:space="0" w:color="auto"/>
            <w:left w:val="none" w:sz="0" w:space="0" w:color="auto"/>
            <w:bottom w:val="none" w:sz="0" w:space="0" w:color="auto"/>
            <w:right w:val="none" w:sz="0" w:space="0" w:color="auto"/>
          </w:divBdr>
          <w:divsChild>
            <w:div w:id="17966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1251202">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4014264">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4213872">
      <w:bodyDiv w:val="1"/>
      <w:marLeft w:val="0"/>
      <w:marRight w:val="0"/>
      <w:marTop w:val="0"/>
      <w:marBottom w:val="0"/>
      <w:divBdr>
        <w:top w:val="none" w:sz="0" w:space="0" w:color="auto"/>
        <w:left w:val="none" w:sz="0" w:space="0" w:color="auto"/>
        <w:bottom w:val="none" w:sz="0" w:space="0" w:color="auto"/>
        <w:right w:val="none" w:sz="0" w:space="0" w:color="auto"/>
      </w:divBdr>
      <w:divsChild>
        <w:div w:id="694817135">
          <w:marLeft w:val="0"/>
          <w:marRight w:val="0"/>
          <w:marTop w:val="0"/>
          <w:marBottom w:val="0"/>
          <w:divBdr>
            <w:top w:val="none" w:sz="0" w:space="0" w:color="auto"/>
            <w:left w:val="none" w:sz="0" w:space="0" w:color="auto"/>
            <w:bottom w:val="none" w:sz="0" w:space="0" w:color="auto"/>
            <w:right w:val="none" w:sz="0" w:space="0" w:color="auto"/>
          </w:divBdr>
          <w:divsChild>
            <w:div w:id="1524246835">
              <w:marLeft w:val="0"/>
              <w:marRight w:val="0"/>
              <w:marTop w:val="0"/>
              <w:marBottom w:val="0"/>
              <w:divBdr>
                <w:top w:val="none" w:sz="0" w:space="0" w:color="auto"/>
                <w:left w:val="none" w:sz="0" w:space="0" w:color="auto"/>
                <w:bottom w:val="none" w:sz="0" w:space="0" w:color="auto"/>
                <w:right w:val="none" w:sz="0" w:space="0" w:color="auto"/>
              </w:divBdr>
              <w:divsChild>
                <w:div w:id="667445988">
                  <w:marLeft w:val="0"/>
                  <w:marRight w:val="0"/>
                  <w:marTop w:val="0"/>
                  <w:marBottom w:val="0"/>
                  <w:divBdr>
                    <w:top w:val="none" w:sz="0" w:space="0" w:color="auto"/>
                    <w:left w:val="none" w:sz="0" w:space="0" w:color="auto"/>
                    <w:bottom w:val="none" w:sz="0" w:space="0" w:color="auto"/>
                    <w:right w:val="none" w:sz="0" w:space="0" w:color="auto"/>
                  </w:divBdr>
                  <w:divsChild>
                    <w:div w:id="1787580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3867950">
      <w:bodyDiv w:val="1"/>
      <w:marLeft w:val="0"/>
      <w:marRight w:val="0"/>
      <w:marTop w:val="0"/>
      <w:marBottom w:val="0"/>
      <w:divBdr>
        <w:top w:val="none" w:sz="0" w:space="0" w:color="auto"/>
        <w:left w:val="none" w:sz="0" w:space="0" w:color="auto"/>
        <w:bottom w:val="none" w:sz="0" w:space="0" w:color="auto"/>
        <w:right w:val="none" w:sz="0" w:space="0" w:color="auto"/>
      </w:divBdr>
      <w:divsChild>
        <w:div w:id="1098938956">
          <w:marLeft w:val="0"/>
          <w:marRight w:val="0"/>
          <w:marTop w:val="0"/>
          <w:marBottom w:val="0"/>
          <w:divBdr>
            <w:top w:val="none" w:sz="0" w:space="0" w:color="auto"/>
            <w:left w:val="none" w:sz="0" w:space="0" w:color="auto"/>
            <w:bottom w:val="none" w:sz="0" w:space="0" w:color="auto"/>
            <w:right w:val="none" w:sz="0" w:space="0" w:color="auto"/>
          </w:divBdr>
          <w:divsChild>
            <w:div w:id="519439712">
              <w:marLeft w:val="0"/>
              <w:marRight w:val="0"/>
              <w:marTop w:val="0"/>
              <w:marBottom w:val="0"/>
              <w:divBdr>
                <w:top w:val="none" w:sz="0" w:space="0" w:color="auto"/>
                <w:left w:val="none" w:sz="0" w:space="0" w:color="auto"/>
                <w:bottom w:val="none" w:sz="0" w:space="0" w:color="auto"/>
                <w:right w:val="none" w:sz="0" w:space="0" w:color="auto"/>
              </w:divBdr>
              <w:divsChild>
                <w:div w:id="710954694">
                  <w:marLeft w:val="0"/>
                  <w:marRight w:val="0"/>
                  <w:marTop w:val="0"/>
                  <w:marBottom w:val="0"/>
                  <w:divBdr>
                    <w:top w:val="none" w:sz="0" w:space="0" w:color="auto"/>
                    <w:left w:val="none" w:sz="0" w:space="0" w:color="auto"/>
                    <w:bottom w:val="none" w:sz="0" w:space="0" w:color="auto"/>
                    <w:right w:val="none" w:sz="0" w:space="0" w:color="auto"/>
                  </w:divBdr>
                </w:div>
              </w:divsChild>
            </w:div>
            <w:div w:id="2111317641">
              <w:marLeft w:val="0"/>
              <w:marRight w:val="0"/>
              <w:marTop w:val="0"/>
              <w:marBottom w:val="0"/>
              <w:divBdr>
                <w:top w:val="none" w:sz="0" w:space="0" w:color="auto"/>
                <w:left w:val="none" w:sz="0" w:space="0" w:color="auto"/>
                <w:bottom w:val="none" w:sz="0" w:space="0" w:color="auto"/>
                <w:right w:val="none" w:sz="0" w:space="0" w:color="auto"/>
              </w:divBdr>
              <w:divsChild>
                <w:div w:id="941572125">
                  <w:marLeft w:val="0"/>
                  <w:marRight w:val="0"/>
                  <w:marTop w:val="0"/>
                  <w:marBottom w:val="0"/>
                  <w:divBdr>
                    <w:top w:val="none" w:sz="0" w:space="0" w:color="auto"/>
                    <w:left w:val="none" w:sz="0" w:space="0" w:color="auto"/>
                    <w:bottom w:val="none" w:sz="0" w:space="0" w:color="auto"/>
                    <w:right w:val="none" w:sz="0" w:space="0" w:color="auto"/>
                  </w:divBdr>
                </w:div>
                <w:div w:id="580913766">
                  <w:marLeft w:val="0"/>
                  <w:marRight w:val="0"/>
                  <w:marTop w:val="0"/>
                  <w:marBottom w:val="0"/>
                  <w:divBdr>
                    <w:top w:val="none" w:sz="0" w:space="0" w:color="auto"/>
                    <w:left w:val="none" w:sz="0" w:space="0" w:color="auto"/>
                    <w:bottom w:val="none" w:sz="0" w:space="0" w:color="auto"/>
                    <w:right w:val="none" w:sz="0" w:space="0" w:color="auto"/>
                  </w:divBdr>
                </w:div>
              </w:divsChild>
            </w:div>
            <w:div w:id="416099192">
              <w:marLeft w:val="0"/>
              <w:marRight w:val="0"/>
              <w:marTop w:val="0"/>
              <w:marBottom w:val="0"/>
              <w:divBdr>
                <w:top w:val="none" w:sz="0" w:space="0" w:color="auto"/>
                <w:left w:val="none" w:sz="0" w:space="0" w:color="auto"/>
                <w:bottom w:val="none" w:sz="0" w:space="0" w:color="auto"/>
                <w:right w:val="none" w:sz="0" w:space="0" w:color="auto"/>
              </w:divBdr>
              <w:divsChild>
                <w:div w:id="1833451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3338029">
      <w:bodyDiv w:val="1"/>
      <w:marLeft w:val="0"/>
      <w:marRight w:val="0"/>
      <w:marTop w:val="0"/>
      <w:marBottom w:val="0"/>
      <w:divBdr>
        <w:top w:val="none" w:sz="0" w:space="0" w:color="auto"/>
        <w:left w:val="none" w:sz="0" w:space="0" w:color="auto"/>
        <w:bottom w:val="none" w:sz="0" w:space="0" w:color="auto"/>
        <w:right w:val="none" w:sz="0" w:space="0" w:color="auto"/>
      </w:divBdr>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48960988">
      <w:bodyDiv w:val="1"/>
      <w:marLeft w:val="0"/>
      <w:marRight w:val="0"/>
      <w:marTop w:val="0"/>
      <w:marBottom w:val="0"/>
      <w:divBdr>
        <w:top w:val="none" w:sz="0" w:space="0" w:color="auto"/>
        <w:left w:val="none" w:sz="0" w:space="0" w:color="auto"/>
        <w:bottom w:val="none" w:sz="0" w:space="0" w:color="auto"/>
        <w:right w:val="none" w:sz="0" w:space="0" w:color="auto"/>
      </w:divBdr>
    </w:div>
    <w:div w:id="1450199100">
      <w:bodyDiv w:val="1"/>
      <w:marLeft w:val="0"/>
      <w:marRight w:val="0"/>
      <w:marTop w:val="0"/>
      <w:marBottom w:val="0"/>
      <w:divBdr>
        <w:top w:val="none" w:sz="0" w:space="0" w:color="auto"/>
        <w:left w:val="none" w:sz="0" w:space="0" w:color="auto"/>
        <w:bottom w:val="none" w:sz="0" w:space="0" w:color="auto"/>
        <w:right w:val="none" w:sz="0" w:space="0" w:color="auto"/>
      </w:divBdr>
      <w:divsChild>
        <w:div w:id="1101296270">
          <w:marLeft w:val="0"/>
          <w:marRight w:val="0"/>
          <w:marTop w:val="0"/>
          <w:marBottom w:val="0"/>
          <w:divBdr>
            <w:top w:val="none" w:sz="0" w:space="0" w:color="auto"/>
            <w:left w:val="none" w:sz="0" w:space="0" w:color="auto"/>
            <w:bottom w:val="none" w:sz="0" w:space="0" w:color="auto"/>
            <w:right w:val="none" w:sz="0" w:space="0" w:color="auto"/>
          </w:divBdr>
          <w:divsChild>
            <w:div w:id="2140220424">
              <w:marLeft w:val="0"/>
              <w:marRight w:val="0"/>
              <w:marTop w:val="0"/>
              <w:marBottom w:val="0"/>
              <w:divBdr>
                <w:top w:val="none" w:sz="0" w:space="0" w:color="auto"/>
                <w:left w:val="none" w:sz="0" w:space="0" w:color="auto"/>
                <w:bottom w:val="none" w:sz="0" w:space="0" w:color="auto"/>
                <w:right w:val="none" w:sz="0" w:space="0" w:color="auto"/>
              </w:divBdr>
              <w:divsChild>
                <w:div w:id="1593582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76794065">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89908005">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7138254">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66140219">
      <w:bodyDiv w:val="1"/>
      <w:marLeft w:val="0"/>
      <w:marRight w:val="0"/>
      <w:marTop w:val="0"/>
      <w:marBottom w:val="0"/>
      <w:divBdr>
        <w:top w:val="none" w:sz="0" w:space="0" w:color="auto"/>
        <w:left w:val="none" w:sz="0" w:space="0" w:color="auto"/>
        <w:bottom w:val="none" w:sz="0" w:space="0" w:color="auto"/>
        <w:right w:val="none" w:sz="0" w:space="0" w:color="auto"/>
      </w:divBdr>
    </w:div>
    <w:div w:id="1573925530">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238503">
      <w:bodyDiv w:val="1"/>
      <w:marLeft w:val="0"/>
      <w:marRight w:val="0"/>
      <w:marTop w:val="0"/>
      <w:marBottom w:val="0"/>
      <w:divBdr>
        <w:top w:val="none" w:sz="0" w:space="0" w:color="auto"/>
        <w:left w:val="none" w:sz="0" w:space="0" w:color="auto"/>
        <w:bottom w:val="none" w:sz="0" w:space="0" w:color="auto"/>
        <w:right w:val="none" w:sz="0" w:space="0" w:color="auto"/>
      </w:divBdr>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01329495">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2418497">
      <w:bodyDiv w:val="1"/>
      <w:marLeft w:val="0"/>
      <w:marRight w:val="0"/>
      <w:marTop w:val="0"/>
      <w:marBottom w:val="0"/>
      <w:divBdr>
        <w:top w:val="none" w:sz="0" w:space="0" w:color="auto"/>
        <w:left w:val="none" w:sz="0" w:space="0" w:color="auto"/>
        <w:bottom w:val="none" w:sz="0" w:space="0" w:color="auto"/>
        <w:right w:val="none" w:sz="0" w:space="0" w:color="auto"/>
      </w:divBdr>
      <w:divsChild>
        <w:div w:id="1985574549">
          <w:marLeft w:val="0"/>
          <w:marRight w:val="0"/>
          <w:marTop w:val="0"/>
          <w:marBottom w:val="0"/>
          <w:divBdr>
            <w:top w:val="none" w:sz="0" w:space="0" w:color="auto"/>
            <w:left w:val="none" w:sz="0" w:space="0" w:color="auto"/>
            <w:bottom w:val="none" w:sz="0" w:space="0" w:color="auto"/>
            <w:right w:val="none" w:sz="0" w:space="0" w:color="auto"/>
          </w:divBdr>
          <w:divsChild>
            <w:div w:id="632835754">
              <w:marLeft w:val="0"/>
              <w:marRight w:val="0"/>
              <w:marTop w:val="0"/>
              <w:marBottom w:val="0"/>
              <w:divBdr>
                <w:top w:val="none" w:sz="0" w:space="0" w:color="auto"/>
                <w:left w:val="none" w:sz="0" w:space="0" w:color="auto"/>
                <w:bottom w:val="none" w:sz="0" w:space="0" w:color="auto"/>
                <w:right w:val="none" w:sz="0" w:space="0" w:color="auto"/>
              </w:divBdr>
              <w:divsChild>
                <w:div w:id="841696715">
                  <w:marLeft w:val="0"/>
                  <w:marRight w:val="0"/>
                  <w:marTop w:val="0"/>
                  <w:marBottom w:val="0"/>
                  <w:divBdr>
                    <w:top w:val="none" w:sz="0" w:space="0" w:color="auto"/>
                    <w:left w:val="none" w:sz="0" w:space="0" w:color="auto"/>
                    <w:bottom w:val="none" w:sz="0" w:space="0" w:color="auto"/>
                    <w:right w:val="none" w:sz="0" w:space="0" w:color="auto"/>
                  </w:divBdr>
                  <w:divsChild>
                    <w:div w:id="1419786072">
                      <w:marLeft w:val="0"/>
                      <w:marRight w:val="0"/>
                      <w:marTop w:val="0"/>
                      <w:marBottom w:val="0"/>
                      <w:divBdr>
                        <w:top w:val="none" w:sz="0" w:space="0" w:color="auto"/>
                        <w:left w:val="none" w:sz="0" w:space="0" w:color="auto"/>
                        <w:bottom w:val="none" w:sz="0" w:space="0" w:color="auto"/>
                        <w:right w:val="none" w:sz="0" w:space="0" w:color="auto"/>
                      </w:divBdr>
                    </w:div>
                  </w:divsChild>
                </w:div>
                <w:div w:id="192773848">
                  <w:marLeft w:val="0"/>
                  <w:marRight w:val="0"/>
                  <w:marTop w:val="0"/>
                  <w:marBottom w:val="0"/>
                  <w:divBdr>
                    <w:top w:val="none" w:sz="0" w:space="0" w:color="auto"/>
                    <w:left w:val="none" w:sz="0" w:space="0" w:color="auto"/>
                    <w:bottom w:val="none" w:sz="0" w:space="0" w:color="auto"/>
                    <w:right w:val="none" w:sz="0" w:space="0" w:color="auto"/>
                  </w:divBdr>
                  <w:divsChild>
                    <w:div w:id="280655086">
                      <w:marLeft w:val="0"/>
                      <w:marRight w:val="0"/>
                      <w:marTop w:val="0"/>
                      <w:marBottom w:val="0"/>
                      <w:divBdr>
                        <w:top w:val="none" w:sz="0" w:space="0" w:color="auto"/>
                        <w:left w:val="none" w:sz="0" w:space="0" w:color="auto"/>
                        <w:bottom w:val="none" w:sz="0" w:space="0" w:color="auto"/>
                        <w:right w:val="none" w:sz="0" w:space="0" w:color="auto"/>
                      </w:divBdr>
                    </w:div>
                  </w:divsChild>
                </w:div>
                <w:div w:id="195237933">
                  <w:marLeft w:val="0"/>
                  <w:marRight w:val="0"/>
                  <w:marTop w:val="0"/>
                  <w:marBottom w:val="0"/>
                  <w:divBdr>
                    <w:top w:val="none" w:sz="0" w:space="0" w:color="auto"/>
                    <w:left w:val="none" w:sz="0" w:space="0" w:color="auto"/>
                    <w:bottom w:val="none" w:sz="0" w:space="0" w:color="auto"/>
                    <w:right w:val="none" w:sz="0" w:space="0" w:color="auto"/>
                  </w:divBdr>
                  <w:divsChild>
                    <w:div w:id="1656907643">
                      <w:marLeft w:val="0"/>
                      <w:marRight w:val="0"/>
                      <w:marTop w:val="0"/>
                      <w:marBottom w:val="0"/>
                      <w:divBdr>
                        <w:top w:val="none" w:sz="0" w:space="0" w:color="auto"/>
                        <w:left w:val="none" w:sz="0" w:space="0" w:color="auto"/>
                        <w:bottom w:val="none" w:sz="0" w:space="0" w:color="auto"/>
                        <w:right w:val="none" w:sz="0" w:space="0" w:color="auto"/>
                      </w:divBdr>
                    </w:div>
                  </w:divsChild>
                </w:div>
                <w:div w:id="716704166">
                  <w:marLeft w:val="0"/>
                  <w:marRight w:val="0"/>
                  <w:marTop w:val="0"/>
                  <w:marBottom w:val="0"/>
                  <w:divBdr>
                    <w:top w:val="none" w:sz="0" w:space="0" w:color="auto"/>
                    <w:left w:val="none" w:sz="0" w:space="0" w:color="auto"/>
                    <w:bottom w:val="none" w:sz="0" w:space="0" w:color="auto"/>
                    <w:right w:val="none" w:sz="0" w:space="0" w:color="auto"/>
                  </w:divBdr>
                  <w:divsChild>
                    <w:div w:id="2095979600">
                      <w:marLeft w:val="0"/>
                      <w:marRight w:val="0"/>
                      <w:marTop w:val="0"/>
                      <w:marBottom w:val="0"/>
                      <w:divBdr>
                        <w:top w:val="none" w:sz="0" w:space="0" w:color="auto"/>
                        <w:left w:val="none" w:sz="0" w:space="0" w:color="auto"/>
                        <w:bottom w:val="none" w:sz="0" w:space="0" w:color="auto"/>
                        <w:right w:val="none" w:sz="0" w:space="0" w:color="auto"/>
                      </w:divBdr>
                    </w:div>
                  </w:divsChild>
                </w:div>
                <w:div w:id="1268347137">
                  <w:marLeft w:val="0"/>
                  <w:marRight w:val="0"/>
                  <w:marTop w:val="0"/>
                  <w:marBottom w:val="0"/>
                  <w:divBdr>
                    <w:top w:val="none" w:sz="0" w:space="0" w:color="auto"/>
                    <w:left w:val="none" w:sz="0" w:space="0" w:color="auto"/>
                    <w:bottom w:val="none" w:sz="0" w:space="0" w:color="auto"/>
                    <w:right w:val="none" w:sz="0" w:space="0" w:color="auto"/>
                  </w:divBdr>
                  <w:divsChild>
                    <w:div w:id="1949847721">
                      <w:marLeft w:val="0"/>
                      <w:marRight w:val="0"/>
                      <w:marTop w:val="0"/>
                      <w:marBottom w:val="0"/>
                      <w:divBdr>
                        <w:top w:val="none" w:sz="0" w:space="0" w:color="auto"/>
                        <w:left w:val="none" w:sz="0" w:space="0" w:color="auto"/>
                        <w:bottom w:val="none" w:sz="0" w:space="0" w:color="auto"/>
                        <w:right w:val="none" w:sz="0" w:space="0" w:color="auto"/>
                      </w:divBdr>
                      <w:divsChild>
                        <w:div w:id="854269243">
                          <w:marLeft w:val="0"/>
                          <w:marRight w:val="0"/>
                          <w:marTop w:val="0"/>
                          <w:marBottom w:val="0"/>
                          <w:divBdr>
                            <w:top w:val="none" w:sz="0" w:space="0" w:color="auto"/>
                            <w:left w:val="none" w:sz="0" w:space="0" w:color="auto"/>
                            <w:bottom w:val="none" w:sz="0" w:space="0" w:color="auto"/>
                            <w:right w:val="none" w:sz="0" w:space="0" w:color="auto"/>
                          </w:divBdr>
                        </w:div>
                      </w:divsChild>
                    </w:div>
                    <w:div w:id="722950558">
                      <w:marLeft w:val="0"/>
                      <w:marRight w:val="0"/>
                      <w:marTop w:val="0"/>
                      <w:marBottom w:val="0"/>
                      <w:divBdr>
                        <w:top w:val="none" w:sz="0" w:space="0" w:color="auto"/>
                        <w:left w:val="none" w:sz="0" w:space="0" w:color="auto"/>
                        <w:bottom w:val="none" w:sz="0" w:space="0" w:color="auto"/>
                        <w:right w:val="none" w:sz="0" w:space="0" w:color="auto"/>
                      </w:divBdr>
                      <w:divsChild>
                        <w:div w:id="2074771069">
                          <w:marLeft w:val="0"/>
                          <w:marRight w:val="0"/>
                          <w:marTop w:val="0"/>
                          <w:marBottom w:val="0"/>
                          <w:divBdr>
                            <w:top w:val="none" w:sz="0" w:space="0" w:color="auto"/>
                            <w:left w:val="none" w:sz="0" w:space="0" w:color="auto"/>
                            <w:bottom w:val="none" w:sz="0" w:space="0" w:color="auto"/>
                            <w:right w:val="none" w:sz="0" w:space="0" w:color="auto"/>
                          </w:divBdr>
                        </w:div>
                      </w:divsChild>
                    </w:div>
                    <w:div w:id="1059399072">
                      <w:marLeft w:val="0"/>
                      <w:marRight w:val="0"/>
                      <w:marTop w:val="0"/>
                      <w:marBottom w:val="0"/>
                      <w:divBdr>
                        <w:top w:val="none" w:sz="0" w:space="0" w:color="auto"/>
                        <w:left w:val="none" w:sz="0" w:space="0" w:color="auto"/>
                        <w:bottom w:val="none" w:sz="0" w:space="0" w:color="auto"/>
                        <w:right w:val="none" w:sz="0" w:space="0" w:color="auto"/>
                      </w:divBdr>
                      <w:divsChild>
                        <w:div w:id="318121348">
                          <w:marLeft w:val="0"/>
                          <w:marRight w:val="0"/>
                          <w:marTop w:val="0"/>
                          <w:marBottom w:val="0"/>
                          <w:divBdr>
                            <w:top w:val="none" w:sz="0" w:space="0" w:color="auto"/>
                            <w:left w:val="none" w:sz="0" w:space="0" w:color="auto"/>
                            <w:bottom w:val="none" w:sz="0" w:space="0" w:color="auto"/>
                            <w:right w:val="none" w:sz="0" w:space="0" w:color="auto"/>
                          </w:divBdr>
                        </w:div>
                      </w:divsChild>
                    </w:div>
                    <w:div w:id="985545809">
                      <w:marLeft w:val="0"/>
                      <w:marRight w:val="0"/>
                      <w:marTop w:val="0"/>
                      <w:marBottom w:val="0"/>
                      <w:divBdr>
                        <w:top w:val="none" w:sz="0" w:space="0" w:color="auto"/>
                        <w:left w:val="none" w:sz="0" w:space="0" w:color="auto"/>
                        <w:bottom w:val="none" w:sz="0" w:space="0" w:color="auto"/>
                        <w:right w:val="none" w:sz="0" w:space="0" w:color="auto"/>
                      </w:divBdr>
                      <w:divsChild>
                        <w:div w:id="127481684">
                          <w:marLeft w:val="0"/>
                          <w:marRight w:val="0"/>
                          <w:marTop w:val="0"/>
                          <w:marBottom w:val="0"/>
                          <w:divBdr>
                            <w:top w:val="none" w:sz="0" w:space="0" w:color="auto"/>
                            <w:left w:val="none" w:sz="0" w:space="0" w:color="auto"/>
                            <w:bottom w:val="none" w:sz="0" w:space="0" w:color="auto"/>
                            <w:right w:val="none" w:sz="0" w:space="0" w:color="auto"/>
                          </w:divBdr>
                        </w:div>
                      </w:divsChild>
                    </w:div>
                    <w:div w:id="970745688">
                      <w:marLeft w:val="0"/>
                      <w:marRight w:val="0"/>
                      <w:marTop w:val="0"/>
                      <w:marBottom w:val="0"/>
                      <w:divBdr>
                        <w:top w:val="none" w:sz="0" w:space="0" w:color="auto"/>
                        <w:left w:val="none" w:sz="0" w:space="0" w:color="auto"/>
                        <w:bottom w:val="none" w:sz="0" w:space="0" w:color="auto"/>
                        <w:right w:val="none" w:sz="0" w:space="0" w:color="auto"/>
                      </w:divBdr>
                      <w:divsChild>
                        <w:div w:id="401102041">
                          <w:marLeft w:val="0"/>
                          <w:marRight w:val="0"/>
                          <w:marTop w:val="0"/>
                          <w:marBottom w:val="0"/>
                          <w:divBdr>
                            <w:top w:val="none" w:sz="0" w:space="0" w:color="auto"/>
                            <w:left w:val="none" w:sz="0" w:space="0" w:color="auto"/>
                            <w:bottom w:val="none" w:sz="0" w:space="0" w:color="auto"/>
                            <w:right w:val="none" w:sz="0" w:space="0" w:color="auto"/>
                          </w:divBdr>
                        </w:div>
                      </w:divsChild>
                    </w:div>
                    <w:div w:id="1597516611">
                      <w:marLeft w:val="0"/>
                      <w:marRight w:val="0"/>
                      <w:marTop w:val="0"/>
                      <w:marBottom w:val="0"/>
                      <w:divBdr>
                        <w:top w:val="none" w:sz="0" w:space="0" w:color="auto"/>
                        <w:left w:val="none" w:sz="0" w:space="0" w:color="auto"/>
                        <w:bottom w:val="none" w:sz="0" w:space="0" w:color="auto"/>
                        <w:right w:val="none" w:sz="0" w:space="0" w:color="auto"/>
                      </w:divBdr>
                      <w:divsChild>
                        <w:div w:id="1309628741">
                          <w:marLeft w:val="0"/>
                          <w:marRight w:val="0"/>
                          <w:marTop w:val="0"/>
                          <w:marBottom w:val="0"/>
                          <w:divBdr>
                            <w:top w:val="none" w:sz="0" w:space="0" w:color="auto"/>
                            <w:left w:val="none" w:sz="0" w:space="0" w:color="auto"/>
                            <w:bottom w:val="none" w:sz="0" w:space="0" w:color="auto"/>
                            <w:right w:val="none" w:sz="0" w:space="0" w:color="auto"/>
                          </w:divBdr>
                        </w:div>
                      </w:divsChild>
                    </w:div>
                    <w:div w:id="1517386018">
                      <w:marLeft w:val="0"/>
                      <w:marRight w:val="0"/>
                      <w:marTop w:val="0"/>
                      <w:marBottom w:val="0"/>
                      <w:divBdr>
                        <w:top w:val="none" w:sz="0" w:space="0" w:color="auto"/>
                        <w:left w:val="none" w:sz="0" w:space="0" w:color="auto"/>
                        <w:bottom w:val="none" w:sz="0" w:space="0" w:color="auto"/>
                        <w:right w:val="none" w:sz="0" w:space="0" w:color="auto"/>
                      </w:divBdr>
                      <w:divsChild>
                        <w:div w:id="991717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6997603">
                  <w:marLeft w:val="0"/>
                  <w:marRight w:val="0"/>
                  <w:marTop w:val="0"/>
                  <w:marBottom w:val="0"/>
                  <w:divBdr>
                    <w:top w:val="none" w:sz="0" w:space="0" w:color="auto"/>
                    <w:left w:val="none" w:sz="0" w:space="0" w:color="auto"/>
                    <w:bottom w:val="none" w:sz="0" w:space="0" w:color="auto"/>
                    <w:right w:val="none" w:sz="0" w:space="0" w:color="auto"/>
                  </w:divBdr>
                  <w:divsChild>
                    <w:div w:id="1418089279">
                      <w:marLeft w:val="0"/>
                      <w:marRight w:val="0"/>
                      <w:marTop w:val="0"/>
                      <w:marBottom w:val="0"/>
                      <w:divBdr>
                        <w:top w:val="none" w:sz="0" w:space="0" w:color="auto"/>
                        <w:left w:val="none" w:sz="0" w:space="0" w:color="auto"/>
                        <w:bottom w:val="none" w:sz="0" w:space="0" w:color="auto"/>
                        <w:right w:val="none" w:sz="0" w:space="0" w:color="auto"/>
                      </w:divBdr>
                    </w:div>
                  </w:divsChild>
                </w:div>
                <w:div w:id="82410784">
                  <w:marLeft w:val="0"/>
                  <w:marRight w:val="0"/>
                  <w:marTop w:val="0"/>
                  <w:marBottom w:val="0"/>
                  <w:divBdr>
                    <w:top w:val="none" w:sz="0" w:space="0" w:color="auto"/>
                    <w:left w:val="none" w:sz="0" w:space="0" w:color="auto"/>
                    <w:bottom w:val="none" w:sz="0" w:space="0" w:color="auto"/>
                    <w:right w:val="none" w:sz="0" w:space="0" w:color="auto"/>
                  </w:divBdr>
                  <w:divsChild>
                    <w:div w:id="635183734">
                      <w:marLeft w:val="0"/>
                      <w:marRight w:val="0"/>
                      <w:marTop w:val="0"/>
                      <w:marBottom w:val="0"/>
                      <w:divBdr>
                        <w:top w:val="none" w:sz="0" w:space="0" w:color="auto"/>
                        <w:left w:val="none" w:sz="0" w:space="0" w:color="auto"/>
                        <w:bottom w:val="none" w:sz="0" w:space="0" w:color="auto"/>
                        <w:right w:val="none" w:sz="0" w:space="0" w:color="auto"/>
                      </w:divBdr>
                      <w:divsChild>
                        <w:div w:id="352734594">
                          <w:marLeft w:val="0"/>
                          <w:marRight w:val="0"/>
                          <w:marTop w:val="0"/>
                          <w:marBottom w:val="0"/>
                          <w:divBdr>
                            <w:top w:val="none" w:sz="0" w:space="0" w:color="auto"/>
                            <w:left w:val="none" w:sz="0" w:space="0" w:color="auto"/>
                            <w:bottom w:val="none" w:sz="0" w:space="0" w:color="auto"/>
                            <w:right w:val="none" w:sz="0" w:space="0" w:color="auto"/>
                          </w:divBdr>
                        </w:div>
                      </w:divsChild>
                    </w:div>
                    <w:div w:id="897395353">
                      <w:marLeft w:val="0"/>
                      <w:marRight w:val="0"/>
                      <w:marTop w:val="0"/>
                      <w:marBottom w:val="0"/>
                      <w:divBdr>
                        <w:top w:val="none" w:sz="0" w:space="0" w:color="auto"/>
                        <w:left w:val="none" w:sz="0" w:space="0" w:color="auto"/>
                        <w:bottom w:val="none" w:sz="0" w:space="0" w:color="auto"/>
                        <w:right w:val="none" w:sz="0" w:space="0" w:color="auto"/>
                      </w:divBdr>
                      <w:divsChild>
                        <w:div w:id="208301509">
                          <w:marLeft w:val="0"/>
                          <w:marRight w:val="0"/>
                          <w:marTop w:val="0"/>
                          <w:marBottom w:val="0"/>
                          <w:divBdr>
                            <w:top w:val="none" w:sz="0" w:space="0" w:color="auto"/>
                            <w:left w:val="none" w:sz="0" w:space="0" w:color="auto"/>
                            <w:bottom w:val="none" w:sz="0" w:space="0" w:color="auto"/>
                            <w:right w:val="none" w:sz="0" w:space="0" w:color="auto"/>
                          </w:divBdr>
                        </w:div>
                      </w:divsChild>
                    </w:div>
                    <w:div w:id="1125780052">
                      <w:marLeft w:val="0"/>
                      <w:marRight w:val="0"/>
                      <w:marTop w:val="0"/>
                      <w:marBottom w:val="0"/>
                      <w:divBdr>
                        <w:top w:val="none" w:sz="0" w:space="0" w:color="auto"/>
                        <w:left w:val="none" w:sz="0" w:space="0" w:color="auto"/>
                        <w:bottom w:val="none" w:sz="0" w:space="0" w:color="auto"/>
                        <w:right w:val="none" w:sz="0" w:space="0" w:color="auto"/>
                      </w:divBdr>
                      <w:divsChild>
                        <w:div w:id="1094129664">
                          <w:marLeft w:val="0"/>
                          <w:marRight w:val="0"/>
                          <w:marTop w:val="0"/>
                          <w:marBottom w:val="0"/>
                          <w:divBdr>
                            <w:top w:val="none" w:sz="0" w:space="0" w:color="auto"/>
                            <w:left w:val="none" w:sz="0" w:space="0" w:color="auto"/>
                            <w:bottom w:val="none" w:sz="0" w:space="0" w:color="auto"/>
                            <w:right w:val="none" w:sz="0" w:space="0" w:color="auto"/>
                          </w:divBdr>
                        </w:div>
                      </w:divsChild>
                    </w:div>
                    <w:div w:id="94250647">
                      <w:marLeft w:val="0"/>
                      <w:marRight w:val="0"/>
                      <w:marTop w:val="0"/>
                      <w:marBottom w:val="0"/>
                      <w:divBdr>
                        <w:top w:val="none" w:sz="0" w:space="0" w:color="auto"/>
                        <w:left w:val="none" w:sz="0" w:space="0" w:color="auto"/>
                        <w:bottom w:val="none" w:sz="0" w:space="0" w:color="auto"/>
                        <w:right w:val="none" w:sz="0" w:space="0" w:color="auto"/>
                      </w:divBdr>
                      <w:divsChild>
                        <w:div w:id="1041442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777734">
                  <w:marLeft w:val="0"/>
                  <w:marRight w:val="0"/>
                  <w:marTop w:val="0"/>
                  <w:marBottom w:val="0"/>
                  <w:divBdr>
                    <w:top w:val="none" w:sz="0" w:space="0" w:color="auto"/>
                    <w:left w:val="none" w:sz="0" w:space="0" w:color="auto"/>
                    <w:bottom w:val="none" w:sz="0" w:space="0" w:color="auto"/>
                    <w:right w:val="none" w:sz="0" w:space="0" w:color="auto"/>
                  </w:divBdr>
                  <w:divsChild>
                    <w:div w:id="1421369443">
                      <w:marLeft w:val="0"/>
                      <w:marRight w:val="0"/>
                      <w:marTop w:val="0"/>
                      <w:marBottom w:val="0"/>
                      <w:divBdr>
                        <w:top w:val="none" w:sz="0" w:space="0" w:color="auto"/>
                        <w:left w:val="none" w:sz="0" w:space="0" w:color="auto"/>
                        <w:bottom w:val="none" w:sz="0" w:space="0" w:color="auto"/>
                        <w:right w:val="none" w:sz="0" w:space="0" w:color="auto"/>
                      </w:divBdr>
                    </w:div>
                  </w:divsChild>
                </w:div>
                <w:div w:id="440150556">
                  <w:marLeft w:val="0"/>
                  <w:marRight w:val="0"/>
                  <w:marTop w:val="0"/>
                  <w:marBottom w:val="0"/>
                  <w:divBdr>
                    <w:top w:val="none" w:sz="0" w:space="0" w:color="auto"/>
                    <w:left w:val="none" w:sz="0" w:space="0" w:color="auto"/>
                    <w:bottom w:val="none" w:sz="0" w:space="0" w:color="auto"/>
                    <w:right w:val="none" w:sz="0" w:space="0" w:color="auto"/>
                  </w:divBdr>
                  <w:divsChild>
                    <w:div w:id="109975684">
                      <w:marLeft w:val="0"/>
                      <w:marRight w:val="0"/>
                      <w:marTop w:val="0"/>
                      <w:marBottom w:val="0"/>
                      <w:divBdr>
                        <w:top w:val="none" w:sz="0" w:space="0" w:color="auto"/>
                        <w:left w:val="none" w:sz="0" w:space="0" w:color="auto"/>
                        <w:bottom w:val="none" w:sz="0" w:space="0" w:color="auto"/>
                        <w:right w:val="none" w:sz="0" w:space="0" w:color="auto"/>
                      </w:divBdr>
                    </w:div>
                  </w:divsChild>
                </w:div>
                <w:div w:id="542720054">
                  <w:marLeft w:val="0"/>
                  <w:marRight w:val="0"/>
                  <w:marTop w:val="0"/>
                  <w:marBottom w:val="0"/>
                  <w:divBdr>
                    <w:top w:val="none" w:sz="0" w:space="0" w:color="auto"/>
                    <w:left w:val="none" w:sz="0" w:space="0" w:color="auto"/>
                    <w:bottom w:val="none" w:sz="0" w:space="0" w:color="auto"/>
                    <w:right w:val="none" w:sz="0" w:space="0" w:color="auto"/>
                  </w:divBdr>
                  <w:divsChild>
                    <w:div w:id="1986087135">
                      <w:marLeft w:val="0"/>
                      <w:marRight w:val="0"/>
                      <w:marTop w:val="0"/>
                      <w:marBottom w:val="0"/>
                      <w:divBdr>
                        <w:top w:val="none" w:sz="0" w:space="0" w:color="auto"/>
                        <w:left w:val="none" w:sz="0" w:space="0" w:color="auto"/>
                        <w:bottom w:val="none" w:sz="0" w:space="0" w:color="auto"/>
                        <w:right w:val="none" w:sz="0" w:space="0" w:color="auto"/>
                      </w:divBdr>
                    </w:div>
                  </w:divsChild>
                </w:div>
                <w:div w:id="1797020092">
                  <w:marLeft w:val="0"/>
                  <w:marRight w:val="0"/>
                  <w:marTop w:val="0"/>
                  <w:marBottom w:val="0"/>
                  <w:divBdr>
                    <w:top w:val="none" w:sz="0" w:space="0" w:color="auto"/>
                    <w:left w:val="none" w:sz="0" w:space="0" w:color="auto"/>
                    <w:bottom w:val="none" w:sz="0" w:space="0" w:color="auto"/>
                    <w:right w:val="none" w:sz="0" w:space="0" w:color="auto"/>
                  </w:divBdr>
                  <w:divsChild>
                    <w:div w:id="1908032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0284887">
      <w:bodyDiv w:val="1"/>
      <w:marLeft w:val="0"/>
      <w:marRight w:val="0"/>
      <w:marTop w:val="0"/>
      <w:marBottom w:val="0"/>
      <w:divBdr>
        <w:top w:val="none" w:sz="0" w:space="0" w:color="auto"/>
        <w:left w:val="none" w:sz="0" w:space="0" w:color="auto"/>
        <w:bottom w:val="none" w:sz="0" w:space="0" w:color="auto"/>
        <w:right w:val="none" w:sz="0" w:space="0" w:color="auto"/>
      </w:divBdr>
      <w:divsChild>
        <w:div w:id="927079769">
          <w:marLeft w:val="0"/>
          <w:marRight w:val="0"/>
          <w:marTop w:val="0"/>
          <w:marBottom w:val="0"/>
          <w:divBdr>
            <w:top w:val="none" w:sz="0" w:space="0" w:color="auto"/>
            <w:left w:val="none" w:sz="0" w:space="0" w:color="auto"/>
            <w:bottom w:val="none" w:sz="0" w:space="0" w:color="auto"/>
            <w:right w:val="none" w:sz="0" w:space="0" w:color="auto"/>
          </w:divBdr>
          <w:divsChild>
            <w:div w:id="1644701967">
              <w:marLeft w:val="0"/>
              <w:marRight w:val="0"/>
              <w:marTop w:val="0"/>
              <w:marBottom w:val="0"/>
              <w:divBdr>
                <w:top w:val="none" w:sz="0" w:space="0" w:color="auto"/>
                <w:left w:val="none" w:sz="0" w:space="0" w:color="auto"/>
                <w:bottom w:val="none" w:sz="0" w:space="0" w:color="auto"/>
                <w:right w:val="none" w:sz="0" w:space="0" w:color="auto"/>
              </w:divBdr>
              <w:divsChild>
                <w:div w:id="371923142">
                  <w:marLeft w:val="0"/>
                  <w:marRight w:val="0"/>
                  <w:marTop w:val="0"/>
                  <w:marBottom w:val="0"/>
                  <w:divBdr>
                    <w:top w:val="none" w:sz="0" w:space="0" w:color="auto"/>
                    <w:left w:val="none" w:sz="0" w:space="0" w:color="auto"/>
                    <w:bottom w:val="none" w:sz="0" w:space="0" w:color="auto"/>
                    <w:right w:val="none" w:sz="0" w:space="0" w:color="auto"/>
                  </w:divBdr>
                  <w:divsChild>
                    <w:div w:id="1952516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59769040">
      <w:bodyDiv w:val="1"/>
      <w:marLeft w:val="0"/>
      <w:marRight w:val="0"/>
      <w:marTop w:val="0"/>
      <w:marBottom w:val="0"/>
      <w:divBdr>
        <w:top w:val="none" w:sz="0" w:space="0" w:color="auto"/>
        <w:left w:val="none" w:sz="0" w:space="0" w:color="auto"/>
        <w:bottom w:val="none" w:sz="0" w:space="0" w:color="auto"/>
        <w:right w:val="none" w:sz="0" w:space="0" w:color="auto"/>
      </w:divBdr>
      <w:divsChild>
        <w:div w:id="1846508715">
          <w:marLeft w:val="0"/>
          <w:marRight w:val="0"/>
          <w:marTop w:val="0"/>
          <w:marBottom w:val="0"/>
          <w:divBdr>
            <w:top w:val="none" w:sz="0" w:space="0" w:color="auto"/>
            <w:left w:val="none" w:sz="0" w:space="0" w:color="auto"/>
            <w:bottom w:val="none" w:sz="0" w:space="0" w:color="auto"/>
            <w:right w:val="none" w:sz="0" w:space="0" w:color="auto"/>
          </w:divBdr>
          <w:divsChild>
            <w:div w:id="600843179">
              <w:marLeft w:val="0"/>
              <w:marRight w:val="0"/>
              <w:marTop w:val="0"/>
              <w:marBottom w:val="0"/>
              <w:divBdr>
                <w:top w:val="none" w:sz="0" w:space="0" w:color="auto"/>
                <w:left w:val="none" w:sz="0" w:space="0" w:color="auto"/>
                <w:bottom w:val="none" w:sz="0" w:space="0" w:color="auto"/>
                <w:right w:val="none" w:sz="0" w:space="0" w:color="auto"/>
              </w:divBdr>
              <w:divsChild>
                <w:div w:id="1632831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3193784">
      <w:bodyDiv w:val="1"/>
      <w:marLeft w:val="0"/>
      <w:marRight w:val="0"/>
      <w:marTop w:val="0"/>
      <w:marBottom w:val="0"/>
      <w:divBdr>
        <w:top w:val="none" w:sz="0" w:space="0" w:color="auto"/>
        <w:left w:val="none" w:sz="0" w:space="0" w:color="auto"/>
        <w:bottom w:val="none" w:sz="0" w:space="0" w:color="auto"/>
        <w:right w:val="none" w:sz="0" w:space="0" w:color="auto"/>
      </w:divBdr>
      <w:divsChild>
        <w:div w:id="1417903108">
          <w:marLeft w:val="0"/>
          <w:marRight w:val="0"/>
          <w:marTop w:val="0"/>
          <w:marBottom w:val="0"/>
          <w:divBdr>
            <w:top w:val="none" w:sz="0" w:space="0" w:color="auto"/>
            <w:left w:val="none" w:sz="0" w:space="0" w:color="auto"/>
            <w:bottom w:val="none" w:sz="0" w:space="0" w:color="auto"/>
            <w:right w:val="none" w:sz="0" w:space="0" w:color="auto"/>
          </w:divBdr>
          <w:divsChild>
            <w:div w:id="1264530621">
              <w:marLeft w:val="0"/>
              <w:marRight w:val="0"/>
              <w:marTop w:val="0"/>
              <w:marBottom w:val="0"/>
              <w:divBdr>
                <w:top w:val="none" w:sz="0" w:space="0" w:color="auto"/>
                <w:left w:val="none" w:sz="0" w:space="0" w:color="auto"/>
                <w:bottom w:val="none" w:sz="0" w:space="0" w:color="auto"/>
                <w:right w:val="none" w:sz="0" w:space="0" w:color="auto"/>
              </w:divBdr>
              <w:divsChild>
                <w:div w:id="1960649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2419156">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5423701">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410328">
      <w:bodyDiv w:val="1"/>
      <w:marLeft w:val="0"/>
      <w:marRight w:val="0"/>
      <w:marTop w:val="0"/>
      <w:marBottom w:val="0"/>
      <w:divBdr>
        <w:top w:val="none" w:sz="0" w:space="0" w:color="auto"/>
        <w:left w:val="none" w:sz="0" w:space="0" w:color="auto"/>
        <w:bottom w:val="none" w:sz="0" w:space="0" w:color="auto"/>
        <w:right w:val="none" w:sz="0" w:space="0" w:color="auto"/>
      </w:divBdr>
      <w:divsChild>
        <w:div w:id="932855324">
          <w:marLeft w:val="0"/>
          <w:marRight w:val="0"/>
          <w:marTop w:val="0"/>
          <w:marBottom w:val="0"/>
          <w:divBdr>
            <w:top w:val="none" w:sz="0" w:space="0" w:color="auto"/>
            <w:left w:val="none" w:sz="0" w:space="0" w:color="auto"/>
            <w:bottom w:val="none" w:sz="0" w:space="0" w:color="auto"/>
            <w:right w:val="none" w:sz="0" w:space="0" w:color="auto"/>
          </w:divBdr>
          <w:divsChild>
            <w:div w:id="984509499">
              <w:marLeft w:val="0"/>
              <w:marRight w:val="0"/>
              <w:marTop w:val="0"/>
              <w:marBottom w:val="0"/>
              <w:divBdr>
                <w:top w:val="none" w:sz="0" w:space="0" w:color="auto"/>
                <w:left w:val="none" w:sz="0" w:space="0" w:color="auto"/>
                <w:bottom w:val="none" w:sz="0" w:space="0" w:color="auto"/>
                <w:right w:val="none" w:sz="0" w:space="0" w:color="auto"/>
              </w:divBdr>
              <w:divsChild>
                <w:div w:id="1891262088">
                  <w:marLeft w:val="0"/>
                  <w:marRight w:val="0"/>
                  <w:marTop w:val="0"/>
                  <w:marBottom w:val="0"/>
                  <w:divBdr>
                    <w:top w:val="none" w:sz="0" w:space="0" w:color="auto"/>
                    <w:left w:val="none" w:sz="0" w:space="0" w:color="auto"/>
                    <w:bottom w:val="none" w:sz="0" w:space="0" w:color="auto"/>
                    <w:right w:val="none" w:sz="0" w:space="0" w:color="auto"/>
                  </w:divBdr>
                  <w:divsChild>
                    <w:div w:id="69195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16732616">
      <w:bodyDiv w:val="1"/>
      <w:marLeft w:val="0"/>
      <w:marRight w:val="0"/>
      <w:marTop w:val="0"/>
      <w:marBottom w:val="0"/>
      <w:divBdr>
        <w:top w:val="none" w:sz="0" w:space="0" w:color="auto"/>
        <w:left w:val="none" w:sz="0" w:space="0" w:color="auto"/>
        <w:bottom w:val="none" w:sz="0" w:space="0" w:color="auto"/>
        <w:right w:val="none" w:sz="0" w:space="0" w:color="auto"/>
      </w:divBdr>
      <w:divsChild>
        <w:div w:id="590891673">
          <w:marLeft w:val="0"/>
          <w:marRight w:val="0"/>
          <w:marTop w:val="0"/>
          <w:marBottom w:val="0"/>
          <w:divBdr>
            <w:top w:val="none" w:sz="0" w:space="0" w:color="auto"/>
            <w:left w:val="none" w:sz="0" w:space="0" w:color="auto"/>
            <w:bottom w:val="none" w:sz="0" w:space="0" w:color="auto"/>
            <w:right w:val="none" w:sz="0" w:space="0" w:color="auto"/>
          </w:divBdr>
          <w:divsChild>
            <w:div w:id="1439565445">
              <w:marLeft w:val="0"/>
              <w:marRight w:val="0"/>
              <w:marTop w:val="0"/>
              <w:marBottom w:val="0"/>
              <w:divBdr>
                <w:top w:val="none" w:sz="0" w:space="0" w:color="auto"/>
                <w:left w:val="none" w:sz="0" w:space="0" w:color="auto"/>
                <w:bottom w:val="none" w:sz="0" w:space="0" w:color="auto"/>
                <w:right w:val="none" w:sz="0" w:space="0" w:color="auto"/>
              </w:divBdr>
              <w:divsChild>
                <w:div w:id="1181165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48769308">
      <w:bodyDiv w:val="1"/>
      <w:marLeft w:val="0"/>
      <w:marRight w:val="0"/>
      <w:marTop w:val="0"/>
      <w:marBottom w:val="0"/>
      <w:divBdr>
        <w:top w:val="none" w:sz="0" w:space="0" w:color="auto"/>
        <w:left w:val="none" w:sz="0" w:space="0" w:color="auto"/>
        <w:bottom w:val="none" w:sz="0" w:space="0" w:color="auto"/>
        <w:right w:val="none" w:sz="0" w:space="0" w:color="auto"/>
      </w:divBdr>
      <w:divsChild>
        <w:div w:id="849875501">
          <w:marLeft w:val="0"/>
          <w:marRight w:val="0"/>
          <w:marTop w:val="0"/>
          <w:marBottom w:val="0"/>
          <w:divBdr>
            <w:top w:val="none" w:sz="0" w:space="0" w:color="auto"/>
            <w:left w:val="none" w:sz="0" w:space="0" w:color="auto"/>
            <w:bottom w:val="none" w:sz="0" w:space="0" w:color="auto"/>
            <w:right w:val="none" w:sz="0" w:space="0" w:color="auto"/>
          </w:divBdr>
          <w:divsChild>
            <w:div w:id="627515589">
              <w:marLeft w:val="0"/>
              <w:marRight w:val="0"/>
              <w:marTop w:val="0"/>
              <w:marBottom w:val="0"/>
              <w:divBdr>
                <w:top w:val="none" w:sz="0" w:space="0" w:color="auto"/>
                <w:left w:val="none" w:sz="0" w:space="0" w:color="auto"/>
                <w:bottom w:val="none" w:sz="0" w:space="0" w:color="auto"/>
                <w:right w:val="none" w:sz="0" w:space="0" w:color="auto"/>
              </w:divBdr>
              <w:divsChild>
                <w:div w:id="2104102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400849">
      <w:bodyDiv w:val="1"/>
      <w:marLeft w:val="0"/>
      <w:marRight w:val="0"/>
      <w:marTop w:val="0"/>
      <w:marBottom w:val="0"/>
      <w:divBdr>
        <w:top w:val="none" w:sz="0" w:space="0" w:color="auto"/>
        <w:left w:val="none" w:sz="0" w:space="0" w:color="auto"/>
        <w:bottom w:val="none" w:sz="0" w:space="0" w:color="auto"/>
        <w:right w:val="none" w:sz="0" w:space="0" w:color="auto"/>
      </w:divBdr>
      <w:divsChild>
        <w:div w:id="2108649876">
          <w:marLeft w:val="0"/>
          <w:marRight w:val="0"/>
          <w:marTop w:val="0"/>
          <w:marBottom w:val="0"/>
          <w:divBdr>
            <w:top w:val="none" w:sz="0" w:space="0" w:color="auto"/>
            <w:left w:val="none" w:sz="0" w:space="0" w:color="auto"/>
            <w:bottom w:val="none" w:sz="0" w:space="0" w:color="auto"/>
            <w:right w:val="none" w:sz="0" w:space="0" w:color="auto"/>
          </w:divBdr>
          <w:divsChild>
            <w:div w:id="955403916">
              <w:marLeft w:val="0"/>
              <w:marRight w:val="0"/>
              <w:marTop w:val="0"/>
              <w:marBottom w:val="0"/>
              <w:divBdr>
                <w:top w:val="none" w:sz="0" w:space="0" w:color="auto"/>
                <w:left w:val="none" w:sz="0" w:space="0" w:color="auto"/>
                <w:bottom w:val="none" w:sz="0" w:space="0" w:color="auto"/>
                <w:right w:val="none" w:sz="0" w:space="0" w:color="auto"/>
              </w:divBdr>
              <w:divsChild>
                <w:div w:id="933324785">
                  <w:marLeft w:val="0"/>
                  <w:marRight w:val="0"/>
                  <w:marTop w:val="0"/>
                  <w:marBottom w:val="0"/>
                  <w:divBdr>
                    <w:top w:val="none" w:sz="0" w:space="0" w:color="auto"/>
                    <w:left w:val="none" w:sz="0" w:space="0" w:color="auto"/>
                    <w:bottom w:val="none" w:sz="0" w:space="0" w:color="auto"/>
                    <w:right w:val="none" w:sz="0" w:space="0" w:color="auto"/>
                  </w:divBdr>
                  <w:divsChild>
                    <w:div w:id="31676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3262592">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682798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46305">
      <w:bodyDiv w:val="1"/>
      <w:marLeft w:val="0"/>
      <w:marRight w:val="0"/>
      <w:marTop w:val="0"/>
      <w:marBottom w:val="0"/>
      <w:divBdr>
        <w:top w:val="none" w:sz="0" w:space="0" w:color="auto"/>
        <w:left w:val="none" w:sz="0" w:space="0" w:color="auto"/>
        <w:bottom w:val="none" w:sz="0" w:space="0" w:color="auto"/>
        <w:right w:val="none" w:sz="0" w:space="0" w:color="auto"/>
      </w:divBdr>
    </w:div>
    <w:div w:id="1789466845">
      <w:bodyDiv w:val="1"/>
      <w:marLeft w:val="0"/>
      <w:marRight w:val="0"/>
      <w:marTop w:val="0"/>
      <w:marBottom w:val="0"/>
      <w:divBdr>
        <w:top w:val="none" w:sz="0" w:space="0" w:color="auto"/>
        <w:left w:val="none" w:sz="0" w:space="0" w:color="auto"/>
        <w:bottom w:val="none" w:sz="0" w:space="0" w:color="auto"/>
        <w:right w:val="none" w:sz="0" w:space="0" w:color="auto"/>
      </w:divBdr>
    </w:div>
    <w:div w:id="1790930521">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4473260">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3115059">
      <w:bodyDiv w:val="1"/>
      <w:marLeft w:val="0"/>
      <w:marRight w:val="0"/>
      <w:marTop w:val="0"/>
      <w:marBottom w:val="0"/>
      <w:divBdr>
        <w:top w:val="none" w:sz="0" w:space="0" w:color="auto"/>
        <w:left w:val="none" w:sz="0" w:space="0" w:color="auto"/>
        <w:bottom w:val="none" w:sz="0" w:space="0" w:color="auto"/>
        <w:right w:val="none" w:sz="0" w:space="0" w:color="auto"/>
      </w:divBdr>
      <w:divsChild>
        <w:div w:id="798455519">
          <w:marLeft w:val="0"/>
          <w:marRight w:val="0"/>
          <w:marTop w:val="0"/>
          <w:marBottom w:val="0"/>
          <w:divBdr>
            <w:top w:val="none" w:sz="0" w:space="0" w:color="auto"/>
            <w:left w:val="none" w:sz="0" w:space="0" w:color="auto"/>
            <w:bottom w:val="none" w:sz="0" w:space="0" w:color="auto"/>
            <w:right w:val="none" w:sz="0" w:space="0" w:color="auto"/>
          </w:divBdr>
          <w:divsChild>
            <w:div w:id="752972302">
              <w:marLeft w:val="0"/>
              <w:marRight w:val="0"/>
              <w:marTop w:val="0"/>
              <w:marBottom w:val="0"/>
              <w:divBdr>
                <w:top w:val="none" w:sz="0" w:space="0" w:color="auto"/>
                <w:left w:val="none" w:sz="0" w:space="0" w:color="auto"/>
                <w:bottom w:val="none" w:sz="0" w:space="0" w:color="auto"/>
                <w:right w:val="none" w:sz="0" w:space="0" w:color="auto"/>
              </w:divBdr>
              <w:divsChild>
                <w:div w:id="1629780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6777416">
      <w:bodyDiv w:val="1"/>
      <w:marLeft w:val="0"/>
      <w:marRight w:val="0"/>
      <w:marTop w:val="0"/>
      <w:marBottom w:val="0"/>
      <w:divBdr>
        <w:top w:val="none" w:sz="0" w:space="0" w:color="auto"/>
        <w:left w:val="none" w:sz="0" w:space="0" w:color="auto"/>
        <w:bottom w:val="none" w:sz="0" w:space="0" w:color="auto"/>
        <w:right w:val="none" w:sz="0" w:space="0" w:color="auto"/>
      </w:divBdr>
      <w:divsChild>
        <w:div w:id="878473400">
          <w:marLeft w:val="0"/>
          <w:marRight w:val="0"/>
          <w:marTop w:val="0"/>
          <w:marBottom w:val="0"/>
          <w:divBdr>
            <w:top w:val="none" w:sz="0" w:space="0" w:color="auto"/>
            <w:left w:val="none" w:sz="0" w:space="0" w:color="auto"/>
            <w:bottom w:val="none" w:sz="0" w:space="0" w:color="auto"/>
            <w:right w:val="none" w:sz="0" w:space="0" w:color="auto"/>
          </w:divBdr>
          <w:divsChild>
            <w:div w:id="636031269">
              <w:marLeft w:val="0"/>
              <w:marRight w:val="0"/>
              <w:marTop w:val="0"/>
              <w:marBottom w:val="0"/>
              <w:divBdr>
                <w:top w:val="none" w:sz="0" w:space="0" w:color="auto"/>
                <w:left w:val="none" w:sz="0" w:space="0" w:color="auto"/>
                <w:bottom w:val="none" w:sz="0" w:space="0" w:color="auto"/>
                <w:right w:val="none" w:sz="0" w:space="0" w:color="auto"/>
              </w:divBdr>
              <w:divsChild>
                <w:div w:id="990787999">
                  <w:marLeft w:val="0"/>
                  <w:marRight w:val="0"/>
                  <w:marTop w:val="0"/>
                  <w:marBottom w:val="0"/>
                  <w:divBdr>
                    <w:top w:val="none" w:sz="0" w:space="0" w:color="auto"/>
                    <w:left w:val="none" w:sz="0" w:space="0" w:color="auto"/>
                    <w:bottom w:val="none" w:sz="0" w:space="0" w:color="auto"/>
                    <w:right w:val="none" w:sz="0" w:space="0" w:color="auto"/>
                  </w:divBdr>
                  <w:divsChild>
                    <w:div w:id="21004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19567881">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085538">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24808483">
      <w:bodyDiv w:val="1"/>
      <w:marLeft w:val="0"/>
      <w:marRight w:val="0"/>
      <w:marTop w:val="0"/>
      <w:marBottom w:val="0"/>
      <w:divBdr>
        <w:top w:val="none" w:sz="0" w:space="0" w:color="auto"/>
        <w:left w:val="none" w:sz="0" w:space="0" w:color="auto"/>
        <w:bottom w:val="none" w:sz="0" w:space="0" w:color="auto"/>
        <w:right w:val="none" w:sz="0" w:space="0" w:color="auto"/>
      </w:divBdr>
    </w:div>
    <w:div w:id="1831403781">
      <w:bodyDiv w:val="1"/>
      <w:marLeft w:val="0"/>
      <w:marRight w:val="0"/>
      <w:marTop w:val="0"/>
      <w:marBottom w:val="0"/>
      <w:divBdr>
        <w:top w:val="none" w:sz="0" w:space="0" w:color="auto"/>
        <w:left w:val="none" w:sz="0" w:space="0" w:color="auto"/>
        <w:bottom w:val="none" w:sz="0" w:space="0" w:color="auto"/>
        <w:right w:val="none" w:sz="0" w:space="0" w:color="auto"/>
      </w:divBdr>
      <w:divsChild>
        <w:div w:id="191847310">
          <w:marLeft w:val="0"/>
          <w:marRight w:val="0"/>
          <w:marTop w:val="0"/>
          <w:marBottom w:val="0"/>
          <w:divBdr>
            <w:top w:val="none" w:sz="0" w:space="0" w:color="auto"/>
            <w:left w:val="none" w:sz="0" w:space="0" w:color="auto"/>
            <w:bottom w:val="none" w:sz="0" w:space="0" w:color="auto"/>
            <w:right w:val="none" w:sz="0" w:space="0" w:color="auto"/>
          </w:divBdr>
          <w:divsChild>
            <w:div w:id="1736853169">
              <w:marLeft w:val="0"/>
              <w:marRight w:val="0"/>
              <w:marTop w:val="0"/>
              <w:marBottom w:val="0"/>
              <w:divBdr>
                <w:top w:val="none" w:sz="0" w:space="0" w:color="auto"/>
                <w:left w:val="none" w:sz="0" w:space="0" w:color="auto"/>
                <w:bottom w:val="none" w:sz="0" w:space="0" w:color="auto"/>
                <w:right w:val="none" w:sz="0" w:space="0" w:color="auto"/>
              </w:divBdr>
              <w:divsChild>
                <w:div w:id="774059411">
                  <w:marLeft w:val="0"/>
                  <w:marRight w:val="0"/>
                  <w:marTop w:val="0"/>
                  <w:marBottom w:val="0"/>
                  <w:divBdr>
                    <w:top w:val="none" w:sz="0" w:space="0" w:color="auto"/>
                    <w:left w:val="none" w:sz="0" w:space="0" w:color="auto"/>
                    <w:bottom w:val="none" w:sz="0" w:space="0" w:color="auto"/>
                    <w:right w:val="none" w:sz="0" w:space="0" w:color="auto"/>
                  </w:divBdr>
                  <w:divsChild>
                    <w:div w:id="1908689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4857320">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1214066">
      <w:bodyDiv w:val="1"/>
      <w:marLeft w:val="0"/>
      <w:marRight w:val="0"/>
      <w:marTop w:val="0"/>
      <w:marBottom w:val="0"/>
      <w:divBdr>
        <w:top w:val="none" w:sz="0" w:space="0" w:color="auto"/>
        <w:left w:val="none" w:sz="0" w:space="0" w:color="auto"/>
        <w:bottom w:val="none" w:sz="0" w:space="0" w:color="auto"/>
        <w:right w:val="none" w:sz="0" w:space="0" w:color="auto"/>
      </w:divBdr>
      <w:divsChild>
        <w:div w:id="1904019703">
          <w:marLeft w:val="0"/>
          <w:marRight w:val="0"/>
          <w:marTop w:val="0"/>
          <w:marBottom w:val="0"/>
          <w:divBdr>
            <w:top w:val="none" w:sz="0" w:space="0" w:color="auto"/>
            <w:left w:val="none" w:sz="0" w:space="0" w:color="auto"/>
            <w:bottom w:val="none" w:sz="0" w:space="0" w:color="auto"/>
            <w:right w:val="none" w:sz="0" w:space="0" w:color="auto"/>
          </w:divBdr>
        </w:div>
      </w:divsChild>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903786389">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08612517">
      <w:bodyDiv w:val="1"/>
      <w:marLeft w:val="0"/>
      <w:marRight w:val="0"/>
      <w:marTop w:val="0"/>
      <w:marBottom w:val="0"/>
      <w:divBdr>
        <w:top w:val="none" w:sz="0" w:space="0" w:color="auto"/>
        <w:left w:val="none" w:sz="0" w:space="0" w:color="auto"/>
        <w:bottom w:val="none" w:sz="0" w:space="0" w:color="auto"/>
        <w:right w:val="none" w:sz="0" w:space="0" w:color="auto"/>
      </w:divBdr>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333555">
      <w:bodyDiv w:val="1"/>
      <w:marLeft w:val="0"/>
      <w:marRight w:val="0"/>
      <w:marTop w:val="0"/>
      <w:marBottom w:val="0"/>
      <w:divBdr>
        <w:top w:val="none" w:sz="0" w:space="0" w:color="auto"/>
        <w:left w:val="none" w:sz="0" w:space="0" w:color="auto"/>
        <w:bottom w:val="none" w:sz="0" w:space="0" w:color="auto"/>
        <w:right w:val="none" w:sz="0" w:space="0" w:color="auto"/>
      </w:divBdr>
      <w:divsChild>
        <w:div w:id="1618832351">
          <w:marLeft w:val="0"/>
          <w:marRight w:val="0"/>
          <w:marTop w:val="0"/>
          <w:marBottom w:val="0"/>
          <w:divBdr>
            <w:top w:val="none" w:sz="0" w:space="0" w:color="auto"/>
            <w:left w:val="none" w:sz="0" w:space="0" w:color="auto"/>
            <w:bottom w:val="none" w:sz="0" w:space="0" w:color="auto"/>
            <w:right w:val="none" w:sz="0" w:space="0" w:color="auto"/>
          </w:divBdr>
          <w:divsChild>
            <w:div w:id="438573280">
              <w:marLeft w:val="0"/>
              <w:marRight w:val="0"/>
              <w:marTop w:val="0"/>
              <w:marBottom w:val="0"/>
              <w:divBdr>
                <w:top w:val="none" w:sz="0" w:space="0" w:color="auto"/>
                <w:left w:val="none" w:sz="0" w:space="0" w:color="auto"/>
                <w:bottom w:val="none" w:sz="0" w:space="0" w:color="auto"/>
                <w:right w:val="none" w:sz="0" w:space="0" w:color="auto"/>
              </w:divBdr>
              <w:divsChild>
                <w:div w:id="371198100">
                  <w:marLeft w:val="0"/>
                  <w:marRight w:val="0"/>
                  <w:marTop w:val="0"/>
                  <w:marBottom w:val="0"/>
                  <w:divBdr>
                    <w:top w:val="none" w:sz="0" w:space="0" w:color="auto"/>
                    <w:left w:val="none" w:sz="0" w:space="0" w:color="auto"/>
                    <w:bottom w:val="none" w:sz="0" w:space="0" w:color="auto"/>
                    <w:right w:val="none" w:sz="0" w:space="0" w:color="auto"/>
                  </w:divBdr>
                  <w:divsChild>
                    <w:div w:id="915288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7619228">
      <w:bodyDiv w:val="1"/>
      <w:marLeft w:val="0"/>
      <w:marRight w:val="0"/>
      <w:marTop w:val="0"/>
      <w:marBottom w:val="0"/>
      <w:divBdr>
        <w:top w:val="none" w:sz="0" w:space="0" w:color="auto"/>
        <w:left w:val="none" w:sz="0" w:space="0" w:color="auto"/>
        <w:bottom w:val="none" w:sz="0" w:space="0" w:color="auto"/>
        <w:right w:val="none" w:sz="0" w:space="0" w:color="auto"/>
      </w:divBdr>
      <w:divsChild>
        <w:div w:id="1073091653">
          <w:marLeft w:val="0"/>
          <w:marRight w:val="0"/>
          <w:marTop w:val="0"/>
          <w:marBottom w:val="0"/>
          <w:divBdr>
            <w:top w:val="none" w:sz="0" w:space="0" w:color="auto"/>
            <w:left w:val="none" w:sz="0" w:space="0" w:color="auto"/>
            <w:bottom w:val="none" w:sz="0" w:space="0" w:color="auto"/>
            <w:right w:val="none" w:sz="0" w:space="0" w:color="auto"/>
          </w:divBdr>
        </w:div>
        <w:div w:id="989165463">
          <w:marLeft w:val="0"/>
          <w:marRight w:val="0"/>
          <w:marTop w:val="0"/>
          <w:marBottom w:val="0"/>
          <w:divBdr>
            <w:top w:val="none" w:sz="0" w:space="0" w:color="auto"/>
            <w:left w:val="none" w:sz="0" w:space="0" w:color="auto"/>
            <w:bottom w:val="none" w:sz="0" w:space="0" w:color="auto"/>
            <w:right w:val="none" w:sz="0" w:space="0" w:color="auto"/>
          </w:divBdr>
        </w:div>
        <w:div w:id="2059669214">
          <w:marLeft w:val="0"/>
          <w:marRight w:val="0"/>
          <w:marTop w:val="0"/>
          <w:marBottom w:val="0"/>
          <w:divBdr>
            <w:top w:val="none" w:sz="0" w:space="0" w:color="auto"/>
            <w:left w:val="none" w:sz="0" w:space="0" w:color="auto"/>
            <w:bottom w:val="none" w:sz="0" w:space="0" w:color="auto"/>
            <w:right w:val="none" w:sz="0" w:space="0" w:color="auto"/>
          </w:divBdr>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57641380">
      <w:bodyDiv w:val="1"/>
      <w:marLeft w:val="0"/>
      <w:marRight w:val="0"/>
      <w:marTop w:val="0"/>
      <w:marBottom w:val="0"/>
      <w:divBdr>
        <w:top w:val="none" w:sz="0" w:space="0" w:color="auto"/>
        <w:left w:val="none" w:sz="0" w:space="0" w:color="auto"/>
        <w:bottom w:val="none" w:sz="0" w:space="0" w:color="auto"/>
        <w:right w:val="none" w:sz="0" w:space="0" w:color="auto"/>
      </w:divBdr>
    </w:div>
    <w:div w:id="1967008671">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0964369">
      <w:bodyDiv w:val="1"/>
      <w:marLeft w:val="0"/>
      <w:marRight w:val="0"/>
      <w:marTop w:val="0"/>
      <w:marBottom w:val="0"/>
      <w:divBdr>
        <w:top w:val="none" w:sz="0" w:space="0" w:color="auto"/>
        <w:left w:val="none" w:sz="0" w:space="0" w:color="auto"/>
        <w:bottom w:val="none" w:sz="0" w:space="0" w:color="auto"/>
        <w:right w:val="none" w:sz="0" w:space="0" w:color="auto"/>
      </w:divBdr>
    </w:div>
    <w:div w:id="2007396015">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09597345">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22047850">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1952717">
      <w:bodyDiv w:val="1"/>
      <w:marLeft w:val="0"/>
      <w:marRight w:val="0"/>
      <w:marTop w:val="0"/>
      <w:marBottom w:val="0"/>
      <w:divBdr>
        <w:top w:val="none" w:sz="0" w:space="0" w:color="auto"/>
        <w:left w:val="none" w:sz="0" w:space="0" w:color="auto"/>
        <w:bottom w:val="none" w:sz="0" w:space="0" w:color="auto"/>
        <w:right w:val="none" w:sz="0" w:space="0" w:color="auto"/>
      </w:divBdr>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45056635">
      <w:bodyDiv w:val="1"/>
      <w:marLeft w:val="0"/>
      <w:marRight w:val="0"/>
      <w:marTop w:val="0"/>
      <w:marBottom w:val="0"/>
      <w:divBdr>
        <w:top w:val="none" w:sz="0" w:space="0" w:color="auto"/>
        <w:left w:val="none" w:sz="0" w:space="0" w:color="auto"/>
        <w:bottom w:val="none" w:sz="0" w:space="0" w:color="auto"/>
        <w:right w:val="none" w:sz="0" w:space="0" w:color="auto"/>
      </w:divBdr>
    </w:div>
    <w:div w:id="2065136020">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86803058">
      <w:bodyDiv w:val="1"/>
      <w:marLeft w:val="0"/>
      <w:marRight w:val="0"/>
      <w:marTop w:val="0"/>
      <w:marBottom w:val="0"/>
      <w:divBdr>
        <w:top w:val="none" w:sz="0" w:space="0" w:color="auto"/>
        <w:left w:val="none" w:sz="0" w:space="0" w:color="auto"/>
        <w:bottom w:val="none" w:sz="0" w:space="0" w:color="auto"/>
        <w:right w:val="none" w:sz="0" w:space="0" w:color="auto"/>
      </w:divBdr>
      <w:divsChild>
        <w:div w:id="177240049">
          <w:marLeft w:val="0"/>
          <w:marRight w:val="0"/>
          <w:marTop w:val="0"/>
          <w:marBottom w:val="0"/>
          <w:divBdr>
            <w:top w:val="none" w:sz="0" w:space="0" w:color="auto"/>
            <w:left w:val="none" w:sz="0" w:space="0" w:color="auto"/>
            <w:bottom w:val="none" w:sz="0" w:space="0" w:color="auto"/>
            <w:right w:val="none" w:sz="0" w:space="0" w:color="auto"/>
          </w:divBdr>
          <w:divsChild>
            <w:div w:id="1581257025">
              <w:marLeft w:val="0"/>
              <w:marRight w:val="0"/>
              <w:marTop w:val="0"/>
              <w:marBottom w:val="0"/>
              <w:divBdr>
                <w:top w:val="none" w:sz="0" w:space="0" w:color="auto"/>
                <w:left w:val="none" w:sz="0" w:space="0" w:color="auto"/>
                <w:bottom w:val="none" w:sz="0" w:space="0" w:color="auto"/>
                <w:right w:val="none" w:sz="0" w:space="0" w:color="auto"/>
              </w:divBdr>
              <w:divsChild>
                <w:div w:id="810488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2308994">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398012">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14550049">
      <w:bodyDiv w:val="1"/>
      <w:marLeft w:val="0"/>
      <w:marRight w:val="0"/>
      <w:marTop w:val="0"/>
      <w:marBottom w:val="0"/>
      <w:divBdr>
        <w:top w:val="none" w:sz="0" w:space="0" w:color="auto"/>
        <w:left w:val="none" w:sz="0" w:space="0" w:color="auto"/>
        <w:bottom w:val="none" w:sz="0" w:space="0" w:color="auto"/>
        <w:right w:val="none" w:sz="0" w:space="0" w:color="auto"/>
      </w:divBdr>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funcionpublica.gov.co/eva/gestornormativo/norma.php?i=77653"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1" Type="http://schemas.openxmlformats.org/officeDocument/2006/relationships/hyperlink" Target="https://sintesis.colombiacompra.gov.co/sintesis/9-etapa-precontractual-estudios-previo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9AF60F-577E-4D94-A4D6-00A1D3F366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F8521671-D56A-F342-8BC5-FA15744391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C:\Users\ximena.cabezas\AppData\Local\Microsoft\Windows\INetCache\Content.Outlook\N37DCYCK\Respuesta a consultas.dotm</Template>
  <TotalTime>41</TotalTime>
  <Pages>20</Pages>
  <Words>7807</Words>
  <Characters>42942</Characters>
  <Application>Microsoft Office Word</Application>
  <DocSecurity>0</DocSecurity>
  <Lines>357</Lines>
  <Paragraphs>101</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50648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Cristian Andres Diaz Diez</cp:lastModifiedBy>
  <cp:revision>22</cp:revision>
  <cp:lastPrinted>2020-01-30T15:05:00Z</cp:lastPrinted>
  <dcterms:created xsi:type="dcterms:W3CDTF">2022-03-01T02:14:00Z</dcterms:created>
  <dcterms:modified xsi:type="dcterms:W3CDTF">2022-03-01T13:57:00Z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