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1568E" w:rsidR="00577296" w:rsidP="00577296" w:rsidRDefault="00577296" w14:paraId="46185375" w14:textId="77777777">
      <w:pPr>
        <w:spacing w:after="0" w:line="240" w:lineRule="auto"/>
        <w:contextualSpacing/>
        <w:jc w:val="both"/>
        <w:rPr>
          <w:rFonts w:ascii="Verdana" w:hAnsi="Verdana" w:eastAsia="Arial"/>
          <w:b/>
          <w:bCs/>
          <w:lang w:val="es-ES" w:eastAsia="es-ES_tradnl"/>
        </w:rPr>
      </w:pPr>
      <w:bookmarkStart w:name="_Hlk143780582" w:id="0"/>
      <w:r w:rsidRPr="0051568E">
        <w:rPr>
          <w:rFonts w:ascii="Verdana" w:hAnsi="Verdana" w:eastAsia="Arial"/>
          <w:b/>
          <w:bCs/>
          <w:lang w:val="es-ES" w:eastAsia="es-ES_tradnl"/>
        </w:rPr>
        <w:t xml:space="preserve">CONTRATO – Definición </w:t>
      </w:r>
    </w:p>
    <w:p w:rsidRPr="0051568E" w:rsidR="00577296" w:rsidP="00577296" w:rsidRDefault="00577296" w14:paraId="2E469961" w14:textId="77777777">
      <w:pPr>
        <w:spacing w:after="0" w:line="240" w:lineRule="auto"/>
        <w:contextualSpacing/>
        <w:jc w:val="both"/>
        <w:rPr>
          <w:rFonts w:ascii="Verdana" w:hAnsi="Verdana" w:eastAsia="Arial"/>
          <w:b/>
          <w:bCs/>
          <w:sz w:val="20"/>
          <w:szCs w:val="20"/>
          <w:lang w:val="es-ES" w:eastAsia="es-ES_tradnl"/>
        </w:rPr>
      </w:pPr>
    </w:p>
    <w:p w:rsidRPr="0051568E" w:rsidR="00577296" w:rsidP="6DB59E88" w:rsidRDefault="00577296" w14:paraId="6576EAF7" w14:textId="77777777" w14:noSpellErr="1">
      <w:pPr>
        <w:widowControl w:val="0"/>
        <w:autoSpaceDE w:val="0"/>
        <w:autoSpaceDN w:val="0"/>
        <w:spacing w:after="0" w:line="240" w:lineRule="auto"/>
        <w:contextualSpacing/>
        <w:jc w:val="both"/>
        <w:rPr>
          <w:rFonts w:ascii="Verdana" w:hAnsi="Verdana" w:eastAsia="Arial" w:cs="Arial"/>
          <w:color w:val="000000" w:themeColor="text1"/>
          <w:sz w:val="20"/>
          <w:szCs w:val="20"/>
          <w:lang w:val="es-ES" w:eastAsia="es-ES"/>
        </w:rPr>
      </w:pPr>
      <w:r w:rsidRPr="6DB59E88" w:rsidR="00577296">
        <w:rPr>
          <w:rFonts w:ascii="Verdana" w:hAnsi="Verdana" w:eastAsia="Arial" w:cs="Arial"/>
          <w:color w:val="000000" w:themeColor="text1" w:themeTint="FF" w:themeShade="FF"/>
          <w:sz w:val="20"/>
          <w:szCs w:val="20"/>
          <w:lang w:val="es-ES" w:eastAsia="es-ES"/>
        </w:rPr>
        <w:t xml:space="preserve">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 </w:t>
      </w:r>
    </w:p>
    <w:p w:rsidRPr="0051568E" w:rsidR="00577296" w:rsidP="00577296" w:rsidRDefault="00577296" w14:paraId="1E20DF92" w14:textId="77777777">
      <w:pPr>
        <w:spacing w:after="0" w:line="240" w:lineRule="auto"/>
        <w:contextualSpacing/>
        <w:jc w:val="both"/>
        <w:rPr>
          <w:rFonts w:ascii="Verdana" w:hAnsi="Verdana" w:eastAsia="Arial"/>
          <w:b/>
          <w:bCs/>
          <w:sz w:val="20"/>
          <w:szCs w:val="20"/>
          <w:lang w:val="es-ES" w:eastAsia="es-ES_tradnl"/>
        </w:rPr>
      </w:pPr>
    </w:p>
    <w:p w:rsidRPr="0051568E" w:rsidR="00577296" w:rsidP="00577296" w:rsidRDefault="00577296" w14:paraId="6E2DB5B5" w14:textId="77777777">
      <w:pPr>
        <w:spacing w:after="0" w:line="240" w:lineRule="auto"/>
        <w:contextualSpacing/>
        <w:jc w:val="both"/>
        <w:rPr>
          <w:rFonts w:ascii="Verdana" w:hAnsi="Verdana" w:eastAsia="Arial"/>
          <w:b/>
          <w:bCs/>
          <w:lang w:val="es-ES" w:eastAsia="es-ES_tradnl"/>
        </w:rPr>
      </w:pPr>
      <w:r w:rsidRPr="0051568E">
        <w:rPr>
          <w:rFonts w:ascii="Verdana" w:hAnsi="Verdana" w:eastAsia="Arial"/>
          <w:b/>
          <w:bCs/>
          <w:lang w:val="es-ES" w:eastAsia="es-ES_tradnl"/>
        </w:rPr>
        <w:t xml:space="preserve">CONTRATO ESTATAL – Definición </w:t>
      </w:r>
    </w:p>
    <w:p w:rsidRPr="0051568E" w:rsidR="00577296" w:rsidP="00577296" w:rsidRDefault="00577296" w14:paraId="6AA0E081" w14:textId="77777777">
      <w:pPr>
        <w:spacing w:after="0" w:line="240" w:lineRule="auto"/>
        <w:contextualSpacing/>
        <w:jc w:val="both"/>
        <w:rPr>
          <w:rFonts w:ascii="Verdana" w:hAnsi="Verdana" w:eastAsia="Arial"/>
          <w:b/>
          <w:bCs/>
          <w:sz w:val="20"/>
          <w:szCs w:val="20"/>
          <w:lang w:val="es-ES" w:eastAsia="es-ES_tradnl"/>
        </w:rPr>
      </w:pPr>
    </w:p>
    <w:p w:rsidR="00577296" w:rsidP="00577296" w:rsidRDefault="00577296" w14:paraId="38D1A987" w14:textId="77777777">
      <w:pPr>
        <w:widowControl w:val="0"/>
        <w:autoSpaceDE w:val="0"/>
        <w:autoSpaceDN w:val="0"/>
        <w:spacing w:after="0" w:line="240" w:lineRule="auto"/>
        <w:contextualSpacing/>
        <w:jc w:val="both"/>
        <w:rPr>
          <w:rFonts w:ascii="Verdana" w:hAnsi="Verdana" w:eastAsia="Arial" w:cs="Arial"/>
          <w:color w:val="000000" w:themeColor="text1"/>
          <w:sz w:val="20"/>
          <w:szCs w:val="20"/>
          <w:lang w:val="es-ES_tradnl" w:eastAsia="es-ES_tradnl"/>
        </w:rPr>
      </w:pPr>
      <w:r w:rsidRPr="0051568E">
        <w:rPr>
          <w:rFonts w:ascii="Verdana" w:hAnsi="Verdana" w:eastAsia="Arial" w:cs="Arial"/>
          <w:color w:val="000000" w:themeColor="text1"/>
          <w:sz w:val="20"/>
          <w:szCs w:val="20"/>
          <w:lang w:val="es-ES_tradnl" w:eastAsia="es-ES_tradnl"/>
        </w:rPr>
        <w:t>[…]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rsidRPr="0051568E" w:rsidR="00577296" w:rsidP="00577296" w:rsidRDefault="00577296" w14:paraId="71C756B4" w14:textId="77777777">
      <w:pPr>
        <w:widowControl w:val="0"/>
        <w:autoSpaceDE w:val="0"/>
        <w:autoSpaceDN w:val="0"/>
        <w:spacing w:after="0" w:line="240" w:lineRule="auto"/>
        <w:contextualSpacing/>
        <w:jc w:val="both"/>
        <w:rPr>
          <w:rFonts w:ascii="Verdana" w:hAnsi="Verdana" w:eastAsia="Arial" w:cs="Arial"/>
          <w:color w:val="000000" w:themeColor="text1"/>
          <w:sz w:val="20"/>
          <w:szCs w:val="20"/>
          <w:lang w:val="es-ES_tradnl" w:eastAsia="es-ES_tradnl"/>
        </w:rPr>
      </w:pPr>
    </w:p>
    <w:p w:rsidRPr="0051568E" w:rsidR="00577296" w:rsidP="00577296" w:rsidRDefault="00577296" w14:paraId="5E6172C3" w14:textId="77777777">
      <w:pPr>
        <w:spacing w:after="0" w:line="240" w:lineRule="auto"/>
        <w:contextualSpacing/>
        <w:jc w:val="both"/>
        <w:rPr>
          <w:rFonts w:ascii="Verdana" w:hAnsi="Verdana" w:eastAsia="Arial"/>
          <w:b/>
          <w:bCs/>
          <w:sz w:val="20"/>
          <w:szCs w:val="20"/>
          <w:lang w:val="es-ES" w:eastAsia="es-ES_tradnl"/>
        </w:rPr>
      </w:pPr>
      <w:r w:rsidRPr="0051568E">
        <w:rPr>
          <w:rFonts w:ascii="Verdana" w:hAnsi="Verdana" w:eastAsia="Arial" w:cs="Arial"/>
          <w:color w:val="000000" w:themeColor="text1"/>
          <w:sz w:val="20"/>
          <w:szCs w:val="20"/>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51568E">
        <w:rPr>
          <w:rFonts w:ascii="Verdana" w:hAnsi="Verdana" w:eastAsia="Arial" w:cs="Arial"/>
          <w:sz w:val="20"/>
          <w:szCs w:val="20"/>
          <w:lang w:eastAsia="es-ES_tradnl"/>
        </w:rPr>
        <w:t xml:space="preserve"> </w:t>
      </w:r>
      <w:r w:rsidRPr="0051568E">
        <w:rPr>
          <w:rFonts w:ascii="Verdana" w:hAnsi="Verdana" w:eastAsia="Arial" w:cs="Arial"/>
          <w:color w:val="000000" w:themeColor="text1"/>
          <w:sz w:val="20"/>
          <w:szCs w:val="20"/>
          <w:lang w:eastAsia="es-ES_tradnl"/>
        </w:rPr>
        <w:t>bajo la égida del contrato estatal, caracterizado por tener un régimen jurídico mixto, integrado por normas de derecho público y derecho privado”.</w:t>
      </w:r>
    </w:p>
    <w:p w:rsidRPr="0051568E" w:rsidR="00577296" w:rsidP="00577296" w:rsidRDefault="00577296" w14:paraId="5B7C910F" w14:textId="77777777">
      <w:pPr>
        <w:spacing w:after="0" w:line="240" w:lineRule="auto"/>
        <w:contextualSpacing/>
        <w:jc w:val="both"/>
        <w:rPr>
          <w:rFonts w:ascii="Verdana" w:hAnsi="Verdana" w:eastAsia="Arial"/>
          <w:b/>
          <w:bCs/>
          <w:sz w:val="20"/>
          <w:szCs w:val="20"/>
          <w:lang w:val="es-ES" w:eastAsia="es-ES_tradnl"/>
        </w:rPr>
      </w:pPr>
    </w:p>
    <w:p w:rsidRPr="0051568E" w:rsidR="00577296" w:rsidP="00577296" w:rsidRDefault="00577296" w14:paraId="54D5CDB5" w14:textId="77777777">
      <w:pPr>
        <w:spacing w:after="0" w:line="240" w:lineRule="auto"/>
        <w:contextualSpacing/>
        <w:jc w:val="both"/>
        <w:rPr>
          <w:rFonts w:ascii="Verdana" w:hAnsi="Verdana" w:eastAsia="Arial"/>
          <w:b/>
          <w:bCs/>
          <w:lang w:val="es-ES" w:eastAsia="es-ES_tradnl"/>
        </w:rPr>
      </w:pPr>
      <w:r w:rsidRPr="0051568E">
        <w:rPr>
          <w:rFonts w:ascii="Verdana" w:hAnsi="Verdana" w:eastAsia="Arial"/>
          <w:b/>
          <w:bCs/>
          <w:lang w:val="es-ES" w:eastAsia="es-ES_tradnl"/>
        </w:rPr>
        <w:t>CONTRATOS ATIPICOS – Definición – Entidades sometidas – EGCAP</w:t>
      </w:r>
    </w:p>
    <w:p w:rsidRPr="0051568E" w:rsidR="00577296" w:rsidP="00577296" w:rsidRDefault="00577296" w14:paraId="294169C1" w14:textId="77777777">
      <w:pPr>
        <w:tabs>
          <w:tab w:val="left" w:pos="142"/>
          <w:tab w:val="left" w:pos="426"/>
        </w:tabs>
        <w:spacing w:after="0" w:line="240" w:lineRule="auto"/>
        <w:contextualSpacing/>
        <w:jc w:val="both"/>
        <w:rPr>
          <w:rFonts w:ascii="Verdana" w:hAnsi="Verdana"/>
          <w:sz w:val="20"/>
          <w:szCs w:val="20"/>
        </w:rPr>
      </w:pPr>
    </w:p>
    <w:p w:rsidR="00577296" w:rsidP="00577296" w:rsidRDefault="00577296" w14:paraId="4D82D227" w14:textId="77777777">
      <w:pPr>
        <w:tabs>
          <w:tab w:val="left" w:pos="142"/>
          <w:tab w:val="left" w:pos="426"/>
        </w:tabs>
        <w:spacing w:after="0" w:line="240" w:lineRule="auto"/>
        <w:contextualSpacing/>
        <w:jc w:val="both"/>
        <w:rPr>
          <w:rFonts w:ascii="Verdana" w:hAnsi="Verdana"/>
          <w:sz w:val="20"/>
          <w:szCs w:val="20"/>
        </w:rPr>
      </w:pPr>
      <w:r w:rsidRPr="0051568E">
        <w:rPr>
          <w:rFonts w:ascii="Verdana" w:hAnsi="Verdana"/>
          <w:sz w:val="20"/>
          <w:szCs w:val="20"/>
        </w:rPr>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p>
    <w:p w:rsidRPr="0051568E" w:rsidR="00577296" w:rsidP="00577296" w:rsidRDefault="00577296" w14:paraId="12070F50" w14:textId="77777777">
      <w:pPr>
        <w:tabs>
          <w:tab w:val="left" w:pos="142"/>
          <w:tab w:val="left" w:pos="426"/>
        </w:tabs>
        <w:spacing w:after="0" w:line="240" w:lineRule="auto"/>
        <w:contextualSpacing/>
        <w:jc w:val="both"/>
        <w:rPr>
          <w:rFonts w:ascii="Verdana" w:hAnsi="Verdana"/>
          <w:sz w:val="20"/>
          <w:szCs w:val="20"/>
        </w:rPr>
      </w:pPr>
    </w:p>
    <w:p w:rsidRPr="0051568E" w:rsidR="00577296" w:rsidP="00577296" w:rsidRDefault="00577296" w14:paraId="2EC4EF1F" w14:textId="77777777">
      <w:pPr>
        <w:tabs>
          <w:tab w:val="left" w:pos="142"/>
          <w:tab w:val="left" w:pos="426"/>
        </w:tabs>
        <w:spacing w:after="0" w:line="240" w:lineRule="auto"/>
        <w:contextualSpacing/>
        <w:jc w:val="both"/>
        <w:rPr>
          <w:rFonts w:ascii="Verdana" w:hAnsi="Verdana"/>
          <w:sz w:val="20"/>
          <w:szCs w:val="20"/>
        </w:rPr>
      </w:pPr>
      <w:r w:rsidRPr="0051568E">
        <w:rPr>
          <w:rFonts w:ascii="Verdana" w:hAnsi="Verdana"/>
          <w:sz w:val="20"/>
          <w:szCs w:val="20"/>
        </w:rPr>
        <w:t xml:space="preserve">Tratándose de contratos atípicos estatales y su contenido el mismo, estos son admisibles en nuestro ordenamiento jurídico, siempre y cuando esté dentro del orden público, que no tenga </w:t>
      </w:r>
      <w:proofErr w:type="gramStart"/>
      <w:r w:rsidRPr="0051568E">
        <w:rPr>
          <w:rFonts w:ascii="Verdana" w:hAnsi="Verdana"/>
          <w:sz w:val="20"/>
          <w:szCs w:val="20"/>
        </w:rPr>
        <w:t>objeto ilícito o causa ilícita</w:t>
      </w:r>
      <w:proofErr w:type="gramEnd"/>
      <w:r w:rsidRPr="0051568E">
        <w:rPr>
          <w:rFonts w:ascii="Verdana" w:hAnsi="Verdana"/>
          <w:sz w:val="20"/>
          <w:szCs w:val="20"/>
        </w:rPr>
        <w:t xml:space="preserve">, que no estén presentes vicios del consentimiento y que, en aquellos casos que se exigen formalidades, se cumplan para el nacimiento del contrato. Dado que se trata de contratos de la administración, además de cumplir con los anteriores requisitos el contrato debe constar por escrito. </w:t>
      </w:r>
    </w:p>
    <w:p w:rsidRPr="0051568E" w:rsidR="00577296" w:rsidP="00577296" w:rsidRDefault="00577296" w14:paraId="541640A4" w14:textId="77777777">
      <w:pPr>
        <w:spacing w:after="0" w:line="240" w:lineRule="auto"/>
        <w:contextualSpacing/>
        <w:jc w:val="both"/>
        <w:rPr>
          <w:rFonts w:ascii="Verdana" w:hAnsi="Verdana" w:eastAsia="Arial"/>
          <w:b/>
          <w:bCs/>
          <w:sz w:val="20"/>
          <w:szCs w:val="20"/>
          <w:lang w:val="es-ES" w:eastAsia="es-ES_tradnl"/>
        </w:rPr>
      </w:pPr>
    </w:p>
    <w:p w:rsidRPr="0051568E" w:rsidR="00577296" w:rsidP="00577296" w:rsidRDefault="00577296" w14:paraId="74BABF3F" w14:textId="77777777">
      <w:pPr>
        <w:spacing w:after="0" w:line="240" w:lineRule="auto"/>
        <w:contextualSpacing/>
        <w:jc w:val="both"/>
        <w:rPr>
          <w:rFonts w:ascii="Verdana" w:hAnsi="Verdana" w:eastAsia="Arial"/>
          <w:b/>
          <w:bCs/>
          <w:lang w:val="es-ES" w:eastAsia="es-ES_tradnl"/>
        </w:rPr>
      </w:pPr>
      <w:r w:rsidRPr="0051568E">
        <w:rPr>
          <w:rFonts w:ascii="Verdana" w:hAnsi="Verdana" w:eastAsia="Arial"/>
          <w:b/>
          <w:bCs/>
          <w:lang w:val="es-ES" w:eastAsia="es-ES_tradnl"/>
        </w:rPr>
        <w:t>CONTRATOS ATIPICOS – Elementos – Autonomía de la voluntad</w:t>
      </w:r>
    </w:p>
    <w:p w:rsidRPr="0051568E" w:rsidR="00577296" w:rsidP="00577296" w:rsidRDefault="00577296" w14:paraId="3B47D4C4" w14:textId="77777777">
      <w:pPr>
        <w:spacing w:after="0" w:line="240" w:lineRule="auto"/>
        <w:contextualSpacing/>
        <w:jc w:val="both"/>
        <w:rPr>
          <w:rFonts w:ascii="Verdana" w:hAnsi="Verdana" w:eastAsia="Arial"/>
          <w:b/>
          <w:bCs/>
          <w:sz w:val="20"/>
          <w:szCs w:val="20"/>
          <w:lang w:val="es-ES" w:eastAsia="es-ES_tradnl"/>
        </w:rPr>
      </w:pPr>
    </w:p>
    <w:p w:rsidRPr="0051568E" w:rsidR="00577296" w:rsidP="00577296" w:rsidRDefault="00577296" w14:paraId="4DBA26DD" w14:textId="77777777">
      <w:pPr>
        <w:tabs>
          <w:tab w:val="left" w:pos="142"/>
          <w:tab w:val="left" w:pos="426"/>
        </w:tabs>
        <w:spacing w:after="0" w:line="240" w:lineRule="auto"/>
        <w:contextualSpacing/>
        <w:jc w:val="both"/>
        <w:rPr>
          <w:rFonts w:ascii="Verdana" w:hAnsi="Verdana" w:eastAsia="Calibri" w:cs="Arial"/>
          <w:b/>
          <w:sz w:val="20"/>
          <w:szCs w:val="20"/>
          <w:lang w:val="es-ES"/>
        </w:rPr>
      </w:pPr>
      <w:r w:rsidRPr="0051568E">
        <w:rPr>
          <w:rFonts w:ascii="Verdana" w:hAnsi="Verdana"/>
          <w:sz w:val="20"/>
          <w:szCs w:val="20"/>
        </w:rPr>
        <w:t xml:space="preserve">[…] 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51568E">
        <w:rPr>
          <w:rFonts w:ascii="Verdana" w:hAnsi="Verdana"/>
          <w:sz w:val="20"/>
          <w:szCs w:val="20"/>
        </w:rPr>
        <w:t>ii</w:t>
      </w:r>
      <w:proofErr w:type="spellEnd"/>
      <w:r w:rsidRPr="0051568E">
        <w:rPr>
          <w:rFonts w:ascii="Verdana" w:hAnsi="Verdana"/>
          <w:sz w:val="20"/>
          <w:szCs w:val="20"/>
        </w:rPr>
        <w:t xml:space="preserve">) los límites impuestos por el orden público; </w:t>
      </w:r>
      <w:proofErr w:type="spellStart"/>
      <w:r w:rsidRPr="0051568E">
        <w:rPr>
          <w:rFonts w:ascii="Verdana" w:hAnsi="Verdana"/>
          <w:sz w:val="20"/>
          <w:szCs w:val="20"/>
        </w:rPr>
        <w:t>iii</w:t>
      </w:r>
      <w:proofErr w:type="spellEnd"/>
      <w:r w:rsidRPr="0051568E">
        <w:rPr>
          <w:rFonts w:ascii="Verdana" w:hAnsi="Verdana"/>
          <w:sz w:val="20"/>
          <w:szCs w:val="20"/>
        </w:rPr>
        <w:t xml:space="preserve">) en aquellos casos en los que se encuentren vacíos en el contrato o se requiera interpretar aspectos de aquel se deberá tener en cuenta que el EGCAP opera de forma supletiva frente al silencio de las partes; </w:t>
      </w:r>
      <w:proofErr w:type="spellStart"/>
      <w:r w:rsidRPr="0051568E">
        <w:rPr>
          <w:rFonts w:ascii="Verdana" w:hAnsi="Verdana"/>
          <w:sz w:val="20"/>
          <w:szCs w:val="20"/>
        </w:rPr>
        <w:t>iv</w:t>
      </w:r>
      <w:proofErr w:type="spellEnd"/>
      <w:r w:rsidRPr="0051568E">
        <w:rPr>
          <w:rFonts w:ascii="Verdana" w:hAnsi="Verdana"/>
          <w:sz w:val="20"/>
          <w:szCs w:val="20"/>
        </w:rPr>
        <w:t>) las normas generales sobre contratos contenidas en las normas de derecho privado de conformidad con el artículo 13 de la Ley 80 de 1993 y v) la aplicación de los principios generales de derecho y de la administración pública en especial.</w:t>
      </w:r>
    </w:p>
    <w:p w:rsidRPr="0051568E" w:rsidR="00577296" w:rsidP="00577296" w:rsidRDefault="00577296" w14:paraId="1CEA29E0" w14:textId="77777777">
      <w:pPr>
        <w:spacing w:after="0" w:line="240" w:lineRule="auto"/>
        <w:contextualSpacing/>
        <w:jc w:val="both"/>
        <w:rPr>
          <w:rFonts w:ascii="Verdana" w:hAnsi="Verdana" w:eastAsia="Arial"/>
          <w:b/>
          <w:bCs/>
          <w:sz w:val="20"/>
          <w:szCs w:val="20"/>
          <w:lang w:val="es-ES" w:eastAsia="es-ES_tradnl"/>
        </w:rPr>
      </w:pPr>
    </w:p>
    <w:p w:rsidRPr="0051568E" w:rsidR="00577296" w:rsidP="00577296" w:rsidRDefault="00577296" w14:paraId="5E5548DF" w14:textId="77777777">
      <w:pPr>
        <w:spacing w:after="0" w:line="240" w:lineRule="auto"/>
        <w:contextualSpacing/>
        <w:jc w:val="both"/>
        <w:rPr>
          <w:rFonts w:ascii="Verdana" w:hAnsi="Verdana" w:eastAsia="Calibri"/>
          <w:b/>
          <w:bCs/>
          <w:lang w:val="es-ES_tradnl" w:eastAsia="es-ES_tradnl"/>
        </w:rPr>
      </w:pPr>
      <w:r w:rsidRPr="0051568E">
        <w:rPr>
          <w:rFonts w:ascii="Verdana" w:hAnsi="Verdana" w:eastAsia="Arial"/>
          <w:b/>
          <w:bCs/>
          <w:lang w:val="es-ES" w:eastAsia="es-ES_tradnl"/>
        </w:rPr>
        <w:t>CONTRATO DE CONCESIÓN – Posibilidad – Elementos – Modalidad de selección</w:t>
      </w:r>
    </w:p>
    <w:p w:rsidRPr="0051568E" w:rsidR="00577296" w:rsidP="00577296" w:rsidRDefault="00577296" w14:paraId="08D96C54" w14:textId="77777777">
      <w:pPr>
        <w:spacing w:after="0" w:line="240" w:lineRule="auto"/>
        <w:contextualSpacing/>
        <w:rPr>
          <w:rFonts w:ascii="Verdana" w:hAnsi="Verdana"/>
          <w:sz w:val="20"/>
          <w:szCs w:val="20"/>
          <w:lang w:val="es-ES_tradnl"/>
        </w:rPr>
      </w:pPr>
    </w:p>
    <w:p w:rsidRPr="0051568E" w:rsidR="00577296" w:rsidP="00577296" w:rsidRDefault="00577296" w14:paraId="181D99C6" w14:textId="77777777">
      <w:pPr>
        <w:spacing w:after="0" w:line="240" w:lineRule="auto"/>
        <w:contextualSpacing/>
        <w:jc w:val="both"/>
        <w:rPr>
          <w:rFonts w:ascii="Verdana" w:hAnsi="Verdana" w:eastAsia="Times New Roman" w:cs="Times New Roman"/>
          <w:sz w:val="20"/>
          <w:szCs w:val="20"/>
          <w:lang w:eastAsia="es-ES_tradnl"/>
        </w:rPr>
      </w:pPr>
      <w:r w:rsidRPr="0051568E">
        <w:rPr>
          <w:rFonts w:ascii="Verdana" w:hAnsi="Verdana" w:eastAsia="Times New Roman" w:cs="Times New Roman"/>
          <w:sz w:val="20"/>
          <w:szCs w:val="20"/>
          <w:shd w:val="clear" w:color="auto" w:fill="FFFFFF"/>
          <w:lang w:eastAsia="es-ES_tradnl"/>
        </w:rPr>
        <w:t>Ahora bien, la gestión de los bienes de uso público mediante contratos plantea, entre otros, la dificultad de la elección del tipo contractual que se adapte mejor al cumplimiento de los fines buscados, la cual se ve ampliada por libertad contractual que la Ley 80 de 1993 les otorga a las Entidades Estatales. En ese sentido, pueden las Entidades Territoriales celebrar</w:t>
      </w:r>
      <w:r w:rsidRPr="0051568E">
        <w:rPr>
          <w:rFonts w:ascii="Verdana" w:hAnsi="Verdana" w:eastAsia="Times New Roman" w:cs="Times New Roman"/>
          <w:sz w:val="20"/>
          <w:szCs w:val="20"/>
          <w:lang w:eastAsia="es-ES_tradnl"/>
        </w:rPr>
        <w:t xml:space="preserve"> contratos de concesión de bienes públicos – como al que hace referencia en su consulta – o contratos de aprovechamiento de espacio público. </w:t>
      </w:r>
    </w:p>
    <w:p w:rsidR="00577296" w:rsidP="00577296" w:rsidRDefault="00577296" w14:paraId="42A110CE" w14:textId="77777777">
      <w:pPr>
        <w:spacing w:after="0" w:line="240" w:lineRule="auto"/>
        <w:contextualSpacing/>
        <w:jc w:val="both"/>
        <w:rPr>
          <w:rFonts w:ascii="Verdana" w:hAnsi="Verdana" w:eastAsia="Times New Roman" w:cs="Times New Roman"/>
          <w:sz w:val="20"/>
          <w:szCs w:val="20"/>
          <w:lang w:eastAsia="es-ES_tradnl"/>
        </w:rPr>
      </w:pPr>
    </w:p>
    <w:p w:rsidRPr="0051568E" w:rsidR="00577296" w:rsidP="00577296" w:rsidRDefault="00577296" w14:paraId="380E7A70" w14:textId="77777777">
      <w:pPr>
        <w:spacing w:after="0" w:line="240" w:lineRule="auto"/>
        <w:contextualSpacing/>
        <w:jc w:val="both"/>
        <w:rPr>
          <w:rFonts w:ascii="Verdana" w:hAnsi="Verdana" w:eastAsia="Times New Roman" w:cs="Times New Roman"/>
          <w:sz w:val="20"/>
          <w:szCs w:val="20"/>
          <w:lang w:eastAsia="es-ES_tradnl"/>
        </w:rPr>
      </w:pPr>
      <w:r w:rsidRPr="0051568E">
        <w:rPr>
          <w:rFonts w:ascii="Verdana" w:hAnsi="Verdana" w:eastAsia="Times New Roman" w:cs="Times New Roman"/>
          <w:sz w:val="20"/>
          <w:szCs w:val="20"/>
          <w:lang w:eastAsia="es-ES_tradnl"/>
        </w:rPr>
        <w:t xml:space="preserve">Pese a que la legislación no regula este tipo de contratos como se ha venido mencionando, se pueden extraer los siguientes elementos: a) la ocupación privativa, complementaria o compatible con el uso público del bien,- b) una remuneración a favor de la Administración propietaria por el uso privativo directamente ligado al beneficio financiero extraído de esta ocupación; c) la inclusión de una cláusula de protección de la afectación del bien, cláusulas excepcionales y de reversión; y d) la imposibilidad de reconocer derechos reales en ese caso. </w:t>
      </w:r>
    </w:p>
    <w:p w:rsidR="00577296" w:rsidP="00577296" w:rsidRDefault="00577296" w14:paraId="1E7BFF18" w14:textId="77777777">
      <w:pPr>
        <w:spacing w:after="0" w:line="240" w:lineRule="auto"/>
        <w:contextualSpacing/>
        <w:rPr>
          <w:rFonts w:ascii="Verdana" w:hAnsi="Verdana"/>
          <w:sz w:val="20"/>
          <w:szCs w:val="20"/>
        </w:rPr>
      </w:pPr>
    </w:p>
    <w:p w:rsidRPr="0051568E" w:rsidR="00577296" w:rsidP="00577296" w:rsidRDefault="00577296" w14:paraId="15F5FE7C" w14:textId="77777777">
      <w:pPr>
        <w:spacing w:after="0" w:line="240" w:lineRule="auto"/>
        <w:contextualSpacing/>
        <w:rPr>
          <w:rFonts w:ascii="Verdana" w:hAnsi="Verdana"/>
          <w:sz w:val="20"/>
          <w:szCs w:val="20"/>
        </w:rPr>
      </w:pPr>
      <w:r w:rsidRPr="0051568E">
        <w:rPr>
          <w:rFonts w:ascii="Verdana" w:hAnsi="Verdana"/>
          <w:sz w:val="20"/>
          <w:szCs w:val="20"/>
        </w:rPr>
        <w:t>[…]</w:t>
      </w:r>
    </w:p>
    <w:p w:rsidR="00577296" w:rsidP="00577296" w:rsidRDefault="00577296" w14:paraId="19308875" w14:textId="77777777">
      <w:pPr>
        <w:spacing w:after="0" w:line="240" w:lineRule="auto"/>
        <w:contextualSpacing/>
        <w:jc w:val="both"/>
        <w:rPr>
          <w:rFonts w:ascii="Verdana" w:hAnsi="Verdana"/>
          <w:sz w:val="20"/>
          <w:szCs w:val="20"/>
        </w:rPr>
      </w:pPr>
    </w:p>
    <w:p w:rsidRPr="0051568E" w:rsidR="00577296" w:rsidP="00577296" w:rsidRDefault="00577296" w14:paraId="75EFA6D3" w14:textId="77777777">
      <w:pPr>
        <w:spacing w:after="0" w:line="240" w:lineRule="auto"/>
        <w:contextualSpacing/>
        <w:jc w:val="both"/>
        <w:rPr>
          <w:rFonts w:ascii="Verdana" w:hAnsi="Verdana" w:eastAsia="Century Gothic" w:cs="Century Gothic"/>
          <w:b/>
          <w:bCs/>
          <w:sz w:val="20"/>
          <w:szCs w:val="20"/>
          <w:lang w:eastAsia="es-ES_tradnl"/>
        </w:rPr>
      </w:pPr>
      <w:r w:rsidRPr="0051568E">
        <w:rPr>
          <w:rFonts w:ascii="Verdana" w:hAnsi="Verdana"/>
          <w:sz w:val="20"/>
          <w:szCs w:val="20"/>
        </w:rPr>
        <w:t xml:space="preserve">Se concluye entonces que, la normativa del sistema de compra pública no define una tipología contractual referida al contrato de concesión de espacios públicos. No obstante, las Entidades Estatales, en virtud de la autonomía de la voluntad, pueden crear derechos y obligaciones contenidos en contratos atípicos los cuales no se encuentran prohibidos por el ordenamiento jurídico en la medida en que no contravengan el orden público y las buenas costumbres. </w:t>
      </w:r>
    </w:p>
    <w:p w:rsidR="00E92504" w:rsidRDefault="00E92504" w14:paraId="37784001" w14:textId="77777777">
      <w:pPr>
        <w:rPr>
          <w:rFonts w:ascii="Verdana" w:hAnsi="Verdana"/>
        </w:rPr>
      </w:pPr>
      <w:r>
        <w:rPr>
          <w:rFonts w:ascii="Verdana" w:hAnsi="Verdana"/>
        </w:rPr>
        <w:br w:type="page"/>
      </w:r>
    </w:p>
    <w:p w:rsidRPr="00A068FC" w:rsidR="00B76D42" w:rsidP="00B76D42" w:rsidRDefault="00B76D42" w14:paraId="63FADCD3" w14:textId="383A811E">
      <w:pPr>
        <w:spacing w:after="0" w:line="240" w:lineRule="auto"/>
        <w:jc w:val="both"/>
        <w:rPr>
          <w:rFonts w:ascii="Verdana" w:hAnsi="Verdana"/>
        </w:rPr>
      </w:pPr>
      <w:r w:rsidRPr="00A068FC">
        <w:rPr>
          <w:rFonts w:ascii="Verdana" w:hAnsi="Verdana"/>
        </w:rPr>
        <w:t xml:space="preserve">Bogotá D.C., </w:t>
      </w:r>
      <w:r w:rsidR="00D04772">
        <w:rPr>
          <w:rFonts w:ascii="Verdana" w:hAnsi="Verdana"/>
        </w:rPr>
        <w:t>4 de julio de 2024.</w:t>
      </w:r>
    </w:p>
    <w:p w:rsidRPr="00A068FC" w:rsidR="00B76D42" w:rsidP="00D04772" w:rsidRDefault="00D04772" w14:paraId="29F68277" w14:textId="19A850CE">
      <w:pPr>
        <w:spacing w:after="0" w:line="240" w:lineRule="auto"/>
        <w:jc w:val="right"/>
        <w:rPr>
          <w:rFonts w:ascii="Verdana" w:hAnsi="Verdana"/>
        </w:rPr>
      </w:pPr>
      <w:r>
        <w:rPr>
          <w:noProof/>
        </w:rPr>
        <w:drawing>
          <wp:inline distT="0" distB="0" distL="0" distR="0" wp14:anchorId="6930BF15" wp14:editId="050760D0">
            <wp:extent cx="3428388" cy="978196"/>
            <wp:effectExtent l="0" t="0" r="635" b="0"/>
            <wp:docPr id="1874402014"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02014" name="Imagen 1" descr="Interfaz de usuario gráfica, Texto&#10;&#10;Descripción generada automáticamente"/>
                    <pic:cNvPicPr/>
                  </pic:nvPicPr>
                  <pic:blipFill rotWithShape="1">
                    <a:blip r:embed="rId10"/>
                    <a:srcRect t="8168" b="8323"/>
                    <a:stretch/>
                  </pic:blipFill>
                  <pic:spPr bwMode="auto">
                    <a:xfrm>
                      <a:off x="0" y="0"/>
                      <a:ext cx="3429000" cy="978371"/>
                    </a:xfrm>
                    <a:prstGeom prst="rect">
                      <a:avLst/>
                    </a:prstGeom>
                    <a:ln>
                      <a:noFill/>
                    </a:ln>
                    <a:extLst>
                      <a:ext uri="{53640926-AAD7-44D8-BBD7-CCE9431645EC}">
                        <a14:shadowObscured xmlns:a14="http://schemas.microsoft.com/office/drawing/2010/main"/>
                      </a:ext>
                    </a:extLst>
                  </pic:spPr>
                </pic:pic>
              </a:graphicData>
            </a:graphic>
          </wp:inline>
        </w:drawing>
      </w:r>
    </w:p>
    <w:bookmarkEnd w:id="0"/>
    <w:p w:rsidRPr="00A068FC" w:rsidR="00B76D42" w:rsidP="00B76D42" w:rsidRDefault="00B76D42" w14:paraId="70F7EAB7" w14:textId="77777777">
      <w:pPr>
        <w:spacing w:after="0" w:line="240" w:lineRule="auto"/>
        <w:contextualSpacing/>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Señor</w:t>
      </w:r>
    </w:p>
    <w:p w:rsidRPr="00B76D42" w:rsidR="00B76D42" w:rsidP="00B76D42" w:rsidRDefault="00B76D42" w14:paraId="71F4665D" w14:textId="3EECA86F">
      <w:pPr>
        <w:spacing w:after="0" w:line="240" w:lineRule="auto"/>
        <w:contextualSpacing/>
        <w:jc w:val="both"/>
        <w:rPr>
          <w:rFonts w:ascii="Verdana" w:hAnsi="Verdana" w:eastAsia="Century Gothic" w:cs="Century Gothic"/>
          <w:b/>
          <w:bCs/>
          <w:lang w:eastAsia="es-ES_tradnl"/>
        </w:rPr>
      </w:pPr>
      <w:r w:rsidRPr="00B76D42">
        <w:rPr>
          <w:rFonts w:ascii="Verdana" w:hAnsi="Verdana" w:eastAsia="Century Gothic" w:cs="Century Gothic"/>
          <w:b/>
          <w:bCs/>
          <w:lang w:eastAsia="es-ES_tradnl"/>
        </w:rPr>
        <w:t xml:space="preserve">Jaime Alberto </w:t>
      </w:r>
      <w:r w:rsidRPr="00B76D42" w:rsidR="00EB782A">
        <w:rPr>
          <w:rFonts w:ascii="Verdana" w:hAnsi="Verdana" w:eastAsia="Century Gothic" w:cs="Century Gothic"/>
          <w:b/>
          <w:bCs/>
          <w:lang w:eastAsia="es-ES_tradnl"/>
        </w:rPr>
        <w:t>Pabón</w:t>
      </w:r>
      <w:r w:rsidRPr="00B76D42">
        <w:rPr>
          <w:rFonts w:ascii="Verdana" w:hAnsi="Verdana" w:eastAsia="Century Gothic" w:cs="Century Gothic"/>
          <w:b/>
          <w:bCs/>
          <w:lang w:eastAsia="es-ES_tradnl"/>
        </w:rPr>
        <w:t xml:space="preserve"> </w:t>
      </w:r>
      <w:r w:rsidRPr="00B76D42" w:rsidR="00EB782A">
        <w:rPr>
          <w:rFonts w:ascii="Verdana" w:hAnsi="Verdana" w:eastAsia="Century Gothic" w:cs="Century Gothic"/>
          <w:b/>
          <w:bCs/>
          <w:lang w:eastAsia="es-ES_tradnl"/>
        </w:rPr>
        <w:t>Pérez</w:t>
      </w:r>
    </w:p>
    <w:p w:rsidRPr="00B76D42" w:rsidR="00B76D42" w:rsidP="00B76D42" w:rsidRDefault="00B76D42" w14:paraId="4807EF9A" w14:textId="77777777">
      <w:pPr>
        <w:spacing w:after="0" w:line="240" w:lineRule="auto"/>
        <w:contextualSpacing/>
        <w:jc w:val="both"/>
        <w:rPr>
          <w:rFonts w:ascii="Verdana" w:hAnsi="Verdana" w:eastAsia="Century Gothic" w:cs="Century Gothic"/>
          <w:lang w:eastAsia="es-ES_tradnl"/>
        </w:rPr>
      </w:pPr>
      <w:r w:rsidRPr="00B76D42">
        <w:rPr>
          <w:rFonts w:ascii="Verdana" w:hAnsi="Verdana" w:eastAsia="Century Gothic" w:cs="Century Gothic"/>
          <w:lang w:eastAsia="es-ES_tradnl"/>
        </w:rPr>
        <w:t xml:space="preserve">Bucaramanga, Santander </w:t>
      </w:r>
    </w:p>
    <w:p w:rsidRPr="00B76D42" w:rsidR="00B76D42" w:rsidP="00B76D42" w:rsidRDefault="00B76D42" w14:paraId="737FBD7C" w14:textId="77777777">
      <w:pPr>
        <w:spacing w:after="0" w:line="240" w:lineRule="auto"/>
        <w:contextualSpacing/>
        <w:jc w:val="both"/>
        <w:rPr>
          <w:rFonts w:ascii="Verdana" w:hAnsi="Verdana" w:eastAsia="Century Gothic" w:cs="Century Gothic"/>
          <w:lang w:eastAsia="es-ES_tradnl"/>
        </w:rPr>
      </w:pPr>
    </w:p>
    <w:p w:rsidRPr="00B76D42" w:rsidR="00B76D42" w:rsidP="00B76D42" w:rsidRDefault="00B76D42" w14:paraId="06953663" w14:textId="77777777">
      <w:pPr>
        <w:spacing w:after="0" w:line="240" w:lineRule="auto"/>
        <w:contextualSpacing/>
        <w:jc w:val="both"/>
        <w:rPr>
          <w:rFonts w:ascii="Verdana" w:hAnsi="Verdana" w:eastAsia="Century Gothic" w:cs="Century Gothic"/>
          <w:lang w:eastAsia="es-ES_tradnl"/>
        </w:rPr>
      </w:pPr>
    </w:p>
    <w:p w:rsidRPr="00A068FC" w:rsidR="00B76D42" w:rsidP="00B76D42" w:rsidRDefault="00B76D42" w14:paraId="25541CA7" w14:textId="77777777">
      <w:pPr>
        <w:spacing w:after="0" w:line="240" w:lineRule="auto"/>
        <w:ind w:left="2694"/>
        <w:contextualSpacing/>
        <w:jc w:val="both"/>
        <w:rPr>
          <w:rFonts w:ascii="Verdana" w:hAnsi="Verdana" w:eastAsia="Century Gothic" w:cs="Century Gothic"/>
          <w:b/>
          <w:bCs/>
          <w:lang w:val="es-ES" w:eastAsia="es-ES_tradnl"/>
        </w:rPr>
      </w:pPr>
      <w:r w:rsidRPr="00A068FC">
        <w:rPr>
          <w:rFonts w:ascii="Verdana" w:hAnsi="Verdana" w:eastAsia="Century Gothic" w:cs="Century Gothic"/>
          <w:b/>
          <w:bCs/>
          <w:lang w:val="es-ES" w:eastAsia="es-ES_tradnl"/>
        </w:rPr>
        <w:t>Concepto C-043 de 2024</w:t>
      </w:r>
    </w:p>
    <w:p w:rsidRPr="00A068FC" w:rsidR="00B76D42" w:rsidP="00B76D42" w:rsidRDefault="00B76D42" w14:paraId="26DBFE59" w14:textId="77777777">
      <w:pPr>
        <w:spacing w:after="0" w:line="240" w:lineRule="auto"/>
        <w:contextualSpacing/>
        <w:jc w:val="both"/>
        <w:rPr>
          <w:rFonts w:ascii="Verdana" w:hAnsi="Verdana" w:eastAsia="Century Gothic" w:cs="Century Gothic"/>
          <w:lang w:val="es-ES"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A068FC" w:rsidR="00B76D42" w:rsidTr="006748A1" w14:paraId="7F83D216" w14:textId="77777777">
        <w:trPr>
          <w:jc w:val="right"/>
        </w:trPr>
        <w:tc>
          <w:tcPr>
            <w:tcW w:w="1838" w:type="dxa"/>
          </w:tcPr>
          <w:p w:rsidRPr="00A068FC" w:rsidR="00B76D42" w:rsidP="006748A1" w:rsidRDefault="00B76D42" w14:paraId="60B96157" w14:textId="77777777">
            <w:pPr>
              <w:contextualSpacing/>
              <w:jc w:val="both"/>
              <w:rPr>
                <w:rFonts w:ascii="Verdana" w:hAnsi="Verdana" w:eastAsia="Century Gothic" w:cs="Century Gothic"/>
                <w:lang w:val="es-ES" w:eastAsia="es-ES_tradnl"/>
              </w:rPr>
            </w:pPr>
            <w:r w:rsidRPr="00A068FC">
              <w:rPr>
                <w:rFonts w:ascii="Verdana" w:hAnsi="Verdana" w:eastAsia="Century Gothic" w:cs="Century Gothic"/>
                <w:b/>
                <w:bCs/>
                <w:lang w:val="es-ES" w:eastAsia="es-ES_tradnl"/>
              </w:rPr>
              <w:t>Temas:</w:t>
            </w:r>
          </w:p>
        </w:tc>
        <w:tc>
          <w:tcPr>
            <w:tcW w:w="6237" w:type="dxa"/>
          </w:tcPr>
          <w:p w:rsidRPr="00A068FC" w:rsidR="00B76D42" w:rsidP="006748A1" w:rsidRDefault="00B76D42" w14:paraId="42D82B9C" w14:textId="7BE02924">
            <w:pPr>
              <w:contextualSpacing/>
              <w:jc w:val="both"/>
              <w:rPr>
                <w:rFonts w:ascii="Verdana" w:hAnsi="Verdana" w:eastAsia="Calibri"/>
                <w:lang w:val="es-ES_tradnl" w:eastAsia="es-ES_tradnl"/>
              </w:rPr>
            </w:pPr>
            <w:r w:rsidRPr="00A068FC">
              <w:rPr>
                <w:rFonts w:ascii="Verdana" w:hAnsi="Verdana" w:eastAsia="Arial"/>
                <w:lang w:val="es-ES" w:eastAsia="es-ES_tradnl"/>
              </w:rPr>
              <w:t xml:space="preserve">CONTRATO – Definición / CONTRATO ESTATAL – Definición / </w:t>
            </w:r>
            <w:r w:rsidR="00AE66B6">
              <w:rPr>
                <w:rFonts w:ascii="Verdana" w:hAnsi="Verdana" w:eastAsia="Arial"/>
                <w:lang w:val="es-ES" w:eastAsia="es-ES_tradnl"/>
              </w:rPr>
              <w:t>CONTRATOS ATIPICOS – Definición – Entidades sometidas – EGCAP / CONTRATOS ATIPICOS – Elementos – Autonomía de la voluntad / CONTRATO DE CONCESIÓN – Posibilidad – Elementos – Modalidad de selección</w:t>
            </w:r>
          </w:p>
          <w:p w:rsidRPr="00A068FC" w:rsidR="00B76D42" w:rsidP="006748A1" w:rsidRDefault="00B76D42" w14:paraId="7A0DD3D0" w14:textId="77777777">
            <w:pPr>
              <w:contextualSpacing/>
              <w:jc w:val="both"/>
              <w:rPr>
                <w:rFonts w:ascii="Verdana" w:hAnsi="Verdana" w:eastAsia="Century Gothic" w:cs="Century Gothic"/>
                <w:lang w:val="es-ES" w:eastAsia="es-ES_tradnl"/>
              </w:rPr>
            </w:pPr>
          </w:p>
        </w:tc>
      </w:tr>
      <w:tr w:rsidRPr="00A068FC" w:rsidR="00B76D42" w:rsidTr="006748A1" w14:paraId="187A94A3" w14:textId="77777777">
        <w:trPr>
          <w:jc w:val="right"/>
        </w:trPr>
        <w:tc>
          <w:tcPr>
            <w:tcW w:w="1838" w:type="dxa"/>
          </w:tcPr>
          <w:p w:rsidRPr="00A068FC" w:rsidR="00B76D42" w:rsidP="006748A1" w:rsidRDefault="00B76D42" w14:paraId="7F1F9C2F" w14:textId="77777777">
            <w:pPr>
              <w:contextualSpacing/>
              <w:jc w:val="both"/>
              <w:rPr>
                <w:rFonts w:ascii="Verdana" w:hAnsi="Verdana" w:eastAsia="Century Gothic" w:cs="Century Gothic"/>
                <w:b/>
                <w:bCs/>
                <w:lang w:val="es-ES" w:eastAsia="es-ES_tradnl"/>
              </w:rPr>
            </w:pPr>
            <w:r w:rsidRPr="00A068FC">
              <w:rPr>
                <w:rFonts w:ascii="Verdana" w:hAnsi="Verdana" w:eastAsia="Century Gothic" w:cs="Century Gothic"/>
                <w:b/>
                <w:bCs/>
                <w:lang w:val="es-ES" w:eastAsia="es-ES_tradnl"/>
              </w:rPr>
              <w:t>Radicación:</w:t>
            </w:r>
          </w:p>
        </w:tc>
        <w:tc>
          <w:tcPr>
            <w:tcW w:w="6237" w:type="dxa"/>
          </w:tcPr>
          <w:p w:rsidRPr="00A068FC" w:rsidR="00B76D42" w:rsidP="006748A1" w:rsidRDefault="00B76D42" w14:paraId="7AB7C390" w14:textId="77777777">
            <w:pPr>
              <w:contextualSpacing/>
              <w:jc w:val="both"/>
              <w:rPr>
                <w:rFonts w:ascii="Verdana" w:hAnsi="Verdana" w:eastAsia="Times New Roman" w:cs="Calibri"/>
                <w:lang w:eastAsia="es-CO"/>
              </w:rPr>
            </w:pPr>
            <w:r w:rsidRPr="00A068FC">
              <w:rPr>
                <w:rFonts w:ascii="Verdana" w:hAnsi="Verdana" w:eastAsia="Century Gothic" w:cs="Century Gothic"/>
                <w:lang w:val="es-ES" w:eastAsia="es-ES_tradnl"/>
              </w:rPr>
              <w:t xml:space="preserve">Respuesta a consulta </w:t>
            </w:r>
            <w:r w:rsidRPr="00A068FC">
              <w:rPr>
                <w:rFonts w:ascii="Verdana" w:hAnsi="Verdana" w:cs="Calibri"/>
                <w:color w:val="000000"/>
              </w:rPr>
              <w:t>P20240416003924</w:t>
            </w:r>
          </w:p>
          <w:p w:rsidRPr="00A068FC" w:rsidR="00B76D42" w:rsidP="006748A1" w:rsidRDefault="00B76D42" w14:paraId="76D65B54" w14:textId="77777777">
            <w:pPr>
              <w:contextualSpacing/>
              <w:jc w:val="both"/>
              <w:rPr>
                <w:rFonts w:ascii="Verdana" w:hAnsi="Verdana" w:eastAsia="Times New Roman" w:cs="Calibri"/>
                <w:lang w:eastAsia="es-CO"/>
              </w:rPr>
            </w:pPr>
          </w:p>
        </w:tc>
      </w:tr>
    </w:tbl>
    <w:p w:rsidRPr="00A068FC" w:rsidR="00B76D42" w:rsidP="00B76D42" w:rsidRDefault="00B76D42" w14:paraId="31A4F314" w14:textId="77777777">
      <w:pPr>
        <w:spacing w:after="0" w:line="240" w:lineRule="auto"/>
        <w:jc w:val="both"/>
        <w:rPr>
          <w:rFonts w:ascii="Verdana" w:hAnsi="Verdana" w:eastAsia="Century Gothic" w:cs="Century Gothic"/>
          <w:lang w:val="es-ES" w:eastAsia="es-ES_tradnl"/>
        </w:rPr>
      </w:pPr>
    </w:p>
    <w:p w:rsidRPr="00A068FC" w:rsidR="00B76D42" w:rsidP="00B76D42" w:rsidRDefault="00B76D42" w14:paraId="200E1325" w14:textId="77777777">
      <w:pPr>
        <w:spacing w:after="0" w:line="240" w:lineRule="auto"/>
        <w:jc w:val="both"/>
        <w:rPr>
          <w:rFonts w:ascii="Verdana" w:hAnsi="Verdana" w:eastAsia="Century Gothic" w:cs="Century Gothic"/>
          <w:lang w:val="es-ES" w:eastAsia="es-ES_tradnl"/>
        </w:rPr>
      </w:pPr>
    </w:p>
    <w:p w:rsidRPr="00A068FC" w:rsidR="00B76D42" w:rsidP="00B76D42" w:rsidRDefault="00B76D42" w14:paraId="570133DA" w14:textId="77777777">
      <w:pPr>
        <w:spacing w:after="0" w:line="276" w:lineRule="auto"/>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 xml:space="preserve">Estimado señor </w:t>
      </w:r>
      <w:r w:rsidRPr="00A068FC">
        <w:rPr>
          <w:rFonts w:ascii="Verdana" w:hAnsi="Verdana" w:eastAsia="Century Gothic" w:cs="Century Gothic"/>
          <w:lang w:val="it-IT" w:eastAsia="es-ES_tradnl"/>
        </w:rPr>
        <w:t>Pabon Perez</w:t>
      </w:r>
      <w:r w:rsidRPr="00A068FC">
        <w:rPr>
          <w:rFonts w:ascii="Verdana" w:hAnsi="Verdana" w:eastAsia="Century Gothic" w:cs="Century Gothic"/>
          <w:lang w:val="es-ES" w:eastAsia="es-ES_tradnl"/>
        </w:rPr>
        <w:t>:</w:t>
      </w:r>
    </w:p>
    <w:p w:rsidRPr="00A068FC" w:rsidR="00B76D42" w:rsidP="00B76D42" w:rsidRDefault="00B76D42" w14:paraId="642F21FD" w14:textId="77777777">
      <w:pPr>
        <w:spacing w:after="0" w:line="276" w:lineRule="auto"/>
        <w:jc w:val="both"/>
        <w:rPr>
          <w:rFonts w:ascii="Verdana" w:hAnsi="Verdana" w:eastAsia="Century Gothic" w:cs="Century Gothic"/>
          <w:lang w:val="es-ES" w:eastAsia="es-ES_tradnl"/>
        </w:rPr>
      </w:pPr>
    </w:p>
    <w:p w:rsidRPr="00A068FC" w:rsidR="00B76D42" w:rsidP="00B76D42" w:rsidRDefault="00B76D42" w14:paraId="7F37C10C" w14:textId="77777777">
      <w:pPr>
        <w:spacing w:after="0" w:line="276" w:lineRule="auto"/>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En ejercicio de la competencia otorgada por el numeral 8° del artículo 11 y el numeral 5° del artículo 3 del Decreto Ley 4170 de 2011</w:t>
      </w:r>
      <w:r w:rsidRPr="00A068FC">
        <w:rPr>
          <w:rFonts w:ascii="Verdana" w:hAnsi="Verdana" w:eastAsia="Century Gothic" w:cs="Century Gothic"/>
          <w:lang w:eastAsia="es-ES_tradnl"/>
        </w:rPr>
        <w:t>, así como lo establecido en la Resolución 1707 de 2018 expedida por esta Entidad</w:t>
      </w:r>
      <w:r w:rsidRPr="00A068FC">
        <w:rPr>
          <w:rFonts w:ascii="Verdana" w:hAnsi="Verdana" w:eastAsia="Century Gothic" w:cs="Century Gothic"/>
          <w:lang w:val="es-ES" w:eastAsia="es-ES_tradnl"/>
        </w:rPr>
        <w:t>, la Agencia Nacional de Contratación Pública ― Colombia Compra Eficiente responde su consulta del 16 de abril de 2024.</w:t>
      </w:r>
    </w:p>
    <w:p w:rsidRPr="00A068FC" w:rsidR="00B76D42" w:rsidP="00B76D42" w:rsidRDefault="00B76D42" w14:paraId="18F5D6E8" w14:textId="77777777">
      <w:pPr>
        <w:spacing w:after="0" w:line="276" w:lineRule="auto"/>
        <w:jc w:val="both"/>
        <w:rPr>
          <w:rFonts w:ascii="Verdana" w:hAnsi="Verdana" w:eastAsia="Century Gothic" w:cs="Century Gothic"/>
          <w:b/>
          <w:bCs/>
          <w:lang w:val="es-ES" w:eastAsia="es-ES_tradnl"/>
        </w:rPr>
      </w:pPr>
    </w:p>
    <w:p w:rsidRPr="00A068FC" w:rsidR="00B76D42" w:rsidP="00B76D42" w:rsidRDefault="00B76D42" w14:paraId="2A424B57" w14:textId="77777777">
      <w:pPr>
        <w:numPr>
          <w:ilvl w:val="0"/>
          <w:numId w:val="6"/>
        </w:numPr>
        <w:tabs>
          <w:tab w:val="left" w:pos="142"/>
          <w:tab w:val="left" w:pos="284"/>
        </w:tabs>
        <w:spacing w:after="0" w:line="276" w:lineRule="auto"/>
        <w:ind w:left="0" w:firstLine="0"/>
        <w:jc w:val="both"/>
        <w:rPr>
          <w:rFonts w:ascii="Verdana" w:hAnsi="Verdana" w:eastAsia="Century Gothic" w:cs="Century Gothic"/>
          <w:b/>
          <w:bCs/>
          <w:lang w:val="es-ES"/>
        </w:rPr>
      </w:pPr>
      <w:r w:rsidRPr="00A068FC">
        <w:rPr>
          <w:rFonts w:ascii="Verdana" w:hAnsi="Verdana" w:eastAsia="Century Gothic" w:cs="Century Gothic"/>
          <w:b/>
          <w:bCs/>
          <w:lang w:val="es-ES"/>
        </w:rPr>
        <w:t xml:space="preserve">Problema planteado </w:t>
      </w:r>
    </w:p>
    <w:p w:rsidRPr="00A068FC" w:rsidR="00B76D42" w:rsidP="00B76D42" w:rsidRDefault="00B76D42" w14:paraId="4C50FFE7" w14:textId="77777777">
      <w:pPr>
        <w:spacing w:after="0" w:line="276" w:lineRule="auto"/>
        <w:jc w:val="both"/>
        <w:rPr>
          <w:rFonts w:ascii="Verdana" w:hAnsi="Verdana" w:eastAsia="Century Gothic" w:cs="Century Gothic"/>
          <w:lang w:eastAsia="es-ES_tradnl"/>
        </w:rPr>
      </w:pPr>
    </w:p>
    <w:p w:rsidRPr="00A068FC" w:rsidR="00B76D42" w:rsidP="00B76D42" w:rsidRDefault="00B76D42" w14:paraId="5A761CB4" w14:textId="77777777">
      <w:pPr>
        <w:spacing w:after="0" w:line="276" w:lineRule="auto"/>
        <w:jc w:val="both"/>
        <w:rPr>
          <w:rFonts w:ascii="Verdana" w:hAnsi="Verdana" w:eastAsia="Century Gothic" w:cs="Century Gothic"/>
          <w:lang w:eastAsia="es-ES_tradnl"/>
        </w:rPr>
      </w:pPr>
      <w:r w:rsidRPr="00A068FC">
        <w:rPr>
          <w:rFonts w:ascii="Verdana" w:hAnsi="Verdana" w:eastAsia="Century Gothic" w:cs="Century Gothic"/>
          <w:lang w:eastAsia="es-ES_tradnl"/>
        </w:rPr>
        <w:t xml:space="preserve">Usted formula las siguientes consultas: </w:t>
      </w:r>
    </w:p>
    <w:p w:rsidRPr="00A068FC" w:rsidR="00B76D42" w:rsidP="00B76D42" w:rsidRDefault="00B76D42" w14:paraId="003812CA" w14:textId="77777777">
      <w:pPr>
        <w:spacing w:after="0" w:line="276" w:lineRule="auto"/>
        <w:jc w:val="both"/>
        <w:rPr>
          <w:rFonts w:ascii="Verdana" w:hAnsi="Verdana" w:eastAsia="Century Gothic" w:cs="Century Gothic"/>
          <w:lang w:val="es-ES" w:eastAsia="es-ES_tradnl"/>
        </w:rPr>
      </w:pPr>
      <w:bookmarkStart w:name="_Hlk170982027" w:id="1"/>
    </w:p>
    <w:p w:rsidRPr="00A068FC" w:rsidR="00B76D42" w:rsidP="00B76D42" w:rsidRDefault="007921E7" w14:paraId="02358A5B" w14:textId="3EFA7F56">
      <w:pPr>
        <w:spacing w:after="0" w:line="240" w:lineRule="auto"/>
        <w:ind w:left="709" w:right="709"/>
        <w:jc w:val="both"/>
        <w:rPr>
          <w:rFonts w:ascii="Verdana" w:hAnsi="Verdana" w:eastAsia="Century Gothic" w:cs="Century Gothic"/>
          <w:sz w:val="20"/>
          <w:szCs w:val="20"/>
          <w:lang w:eastAsia="es-ES_tradnl"/>
        </w:rPr>
      </w:pPr>
      <w:r>
        <w:rPr>
          <w:rFonts w:ascii="Verdana" w:hAnsi="Verdana" w:eastAsia="Century Gothic" w:cs="Century Gothic"/>
          <w:sz w:val="20"/>
          <w:szCs w:val="20"/>
          <w:lang w:eastAsia="es-ES_tradnl"/>
        </w:rPr>
        <w:t>“</w:t>
      </w:r>
      <w:r w:rsidRPr="00A068FC" w:rsidR="00B76D42">
        <w:rPr>
          <w:rFonts w:ascii="Verdana" w:hAnsi="Verdana" w:eastAsia="Century Gothic" w:cs="Century Gothic"/>
          <w:sz w:val="20"/>
          <w:szCs w:val="20"/>
          <w:lang w:eastAsia="es-ES_tradnl"/>
        </w:rPr>
        <w:t>Teniendo en cuenta que el Estatuto General de Contratación de la Administración Pública permite la suscripción de cualquier contrato regulado en el derecho privado, nos permitimos preguntar:</w:t>
      </w:r>
    </w:p>
    <w:p w:rsidRPr="00A068FC" w:rsidR="00B76D42" w:rsidP="00B76D42" w:rsidRDefault="00B76D42" w14:paraId="5B0976A9"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151A230D"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¿Los contratos atípicos denominados CONCESIÓN MERCANTIL DE ESPACIOS FÍSICOS pueden ser suscritos por las Entidades reguladas por el Estatuto General de Contratación de la Administración Pública?</w:t>
      </w:r>
    </w:p>
    <w:p w:rsidRPr="00A068FC" w:rsidR="00B76D42" w:rsidP="00B76D42" w:rsidRDefault="00B76D42" w14:paraId="26BF7254"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1991DABB"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¿Cuál sería la modalidad de contratación que debería adelantarse para la suscripción de este tipo de contratos atípicos?</w:t>
      </w:r>
    </w:p>
    <w:p w:rsidRPr="00A068FC" w:rsidR="00B76D42" w:rsidP="00B76D42" w:rsidRDefault="00B76D42" w14:paraId="0B810616"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6FD33EC6"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¿Puede aplicarse por analogía las disposiciones legales que regulan el contrato de arriendo comercial al contrato atípico de CONCESIÓN MERCANTIL DE ESPACIOS FÍSICOS?</w:t>
      </w:r>
    </w:p>
    <w:p w:rsidRPr="00A068FC" w:rsidR="00B76D42" w:rsidP="00B76D42" w:rsidRDefault="00B76D42" w14:paraId="161C2865"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514664E9"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¿Cuáles son los elementos esenciales, naturales y accidentales de los CONCESIÓN MERCANTIL DE ESPACIOS FÍSICOS?</w:t>
      </w:r>
    </w:p>
    <w:p w:rsidRPr="00A068FC" w:rsidR="00B76D42" w:rsidP="00B76D42" w:rsidRDefault="00B76D42" w14:paraId="149A1DA8"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777075CB"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¿Cuáles son los aspectos de planeación contractual mínimos que deben adelantarse en marco del estudio de mercado y de precios previo la suscripción del contrato atípico de CONCESIÓN MERCANTIL DE ESPACIOS FÍSICOS?</w:t>
      </w:r>
      <w:r>
        <w:rPr>
          <w:rFonts w:ascii="Verdana" w:hAnsi="Verdana" w:eastAsia="Century Gothic" w:cs="Century Gothic"/>
          <w:sz w:val="20"/>
          <w:szCs w:val="20"/>
          <w:lang w:eastAsia="es-ES_tradnl"/>
        </w:rPr>
        <w:t>”.</w:t>
      </w:r>
    </w:p>
    <w:bookmarkEnd w:id="1"/>
    <w:p w:rsidRPr="00A068FC" w:rsidR="00B76D42" w:rsidP="00B76D42" w:rsidRDefault="00B76D42" w14:paraId="3063DCB1" w14:textId="77777777">
      <w:pPr>
        <w:spacing w:after="0" w:line="276" w:lineRule="auto"/>
        <w:jc w:val="both"/>
        <w:rPr>
          <w:rFonts w:ascii="Verdana" w:hAnsi="Verdana" w:eastAsia="Century Gothic" w:cs="Century Gothic"/>
          <w:lang w:val="es-ES" w:eastAsia="es-ES_tradnl"/>
        </w:rPr>
      </w:pPr>
    </w:p>
    <w:p w:rsidRPr="00A068FC" w:rsidR="00B76D42" w:rsidP="00B76D42" w:rsidRDefault="00B76D42" w14:paraId="0216342B" w14:textId="77777777">
      <w:pPr>
        <w:numPr>
          <w:ilvl w:val="0"/>
          <w:numId w:val="6"/>
        </w:numPr>
        <w:tabs>
          <w:tab w:val="left" w:pos="284"/>
        </w:tabs>
        <w:spacing w:after="0" w:line="276" w:lineRule="auto"/>
        <w:ind w:left="0" w:firstLine="0"/>
        <w:jc w:val="both"/>
        <w:rPr>
          <w:rFonts w:ascii="Verdana" w:hAnsi="Verdana" w:eastAsia="Century Gothic" w:cs="Century Gothic"/>
          <w:b/>
          <w:bCs/>
          <w:lang w:val="es-ES"/>
        </w:rPr>
      </w:pPr>
      <w:r w:rsidRPr="00A068FC">
        <w:rPr>
          <w:rFonts w:ascii="Verdana" w:hAnsi="Verdana" w:eastAsia="Century Gothic" w:cs="Century Gothic"/>
          <w:b/>
          <w:bCs/>
          <w:lang w:val="es-ES"/>
        </w:rPr>
        <w:t>Consideraciones</w:t>
      </w:r>
    </w:p>
    <w:p w:rsidRPr="00A068FC" w:rsidR="00B76D42" w:rsidP="00B76D42" w:rsidRDefault="00B76D42" w14:paraId="28DBFC23" w14:textId="77777777">
      <w:pPr>
        <w:tabs>
          <w:tab w:val="left" w:pos="284"/>
        </w:tabs>
        <w:spacing w:after="0" w:line="276" w:lineRule="auto"/>
        <w:jc w:val="both"/>
        <w:rPr>
          <w:rFonts w:ascii="Verdana" w:hAnsi="Verdana" w:eastAsia="Century Gothic" w:cs="Century Gothic"/>
          <w:b/>
          <w:bCs/>
          <w:lang w:val="es-ES"/>
        </w:rPr>
      </w:pPr>
    </w:p>
    <w:p w:rsidRPr="00A068FC" w:rsidR="00B76D42" w:rsidP="00B76D42" w:rsidRDefault="00B76D42" w14:paraId="1A648C22" w14:textId="77777777">
      <w:pPr>
        <w:spacing w:after="120" w:line="276" w:lineRule="auto"/>
        <w:jc w:val="both"/>
        <w:rPr>
          <w:rFonts w:ascii="Verdana" w:hAnsi="Verdana" w:eastAsia="Century Gothic" w:cs="Century Gothic"/>
          <w:lang w:val="es-ES" w:eastAsia="es-ES_tradnl"/>
        </w:rPr>
      </w:pPr>
      <w:r w:rsidRPr="00A068FC">
        <w:rPr>
          <w:rFonts w:ascii="Verdana" w:hAnsi="Verdana" w:eastAsia="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2"/>
      <w:bookmarkStart w:name="_Hlk62136649" w:id="3"/>
      <w:r w:rsidRPr="00A068FC">
        <w:rPr>
          <w:rFonts w:ascii="Verdana" w:hAnsi="Verdana" w:eastAsia="Century Gothic" w:cs="Century Gothic"/>
          <w:lang w:eastAsia="es-ES_tradnl"/>
        </w:rPr>
        <w:t xml:space="preserve"> </w:t>
      </w:r>
      <w:r w:rsidRPr="00A068FC">
        <w:rPr>
          <w:rFonts w:ascii="Verdana" w:hAnsi="Verdana" w:eastAsia="Century Gothic" w:cs="Century Gothic"/>
          <w:lang w:val="es-ES" w:eastAsia="es-ES_tradnl"/>
        </w:rPr>
        <w:t xml:space="preserve">Es necesario tener en cuenta que </w:t>
      </w:r>
      <w:bookmarkStart w:name="_Hlk61026958" w:id="4"/>
      <w:r w:rsidRPr="00A068FC">
        <w:rPr>
          <w:rFonts w:ascii="Verdana" w:hAnsi="Verdana" w:eastAsia="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068FC">
        <w:rPr>
          <w:rFonts w:ascii="Verdana" w:hAnsi="Verdana" w:eastAsia="Century Gothic" w:cs="Century Gothic"/>
          <w:lang w:eastAsia="es-ES_tradnl"/>
        </w:rPr>
        <w:t xml:space="preserve"> de todos los partícipes de la contratación estatal.</w:t>
      </w:r>
    </w:p>
    <w:p w:rsidRPr="00A068FC" w:rsidR="00B76D42" w:rsidP="00B76D42" w:rsidRDefault="00B76D42" w14:paraId="1E60AE6C" w14:textId="77777777">
      <w:pPr>
        <w:spacing w:after="120" w:line="276" w:lineRule="auto"/>
        <w:ind w:firstLine="708"/>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068FC">
        <w:rPr>
          <w:rFonts w:ascii="Verdana" w:hAnsi="Verdana" w:eastAsia="Century Gothic" w:cs="Century Gothic"/>
          <w:vertAlign w:val="superscript"/>
          <w:lang w:val="es-ES" w:eastAsia="es-ES_tradnl"/>
        </w:rPr>
        <w:footnoteReference w:id="2"/>
      </w:r>
      <w:r w:rsidRPr="00A068FC">
        <w:rPr>
          <w:rFonts w:ascii="Verdana" w:hAnsi="Verdana" w:eastAsia="Century Gothic" w:cs="Century Gothic"/>
          <w:lang w:val="es-ES" w:eastAsia="es-ES_tradnl"/>
        </w:rPr>
        <w:t xml:space="preserve">. Esta competencia de interpretación de normas generales, por definición, no </w:t>
      </w:r>
      <w:r w:rsidRPr="00A068FC">
        <w:rPr>
          <w:rFonts w:ascii="Verdana" w:hAnsi="Verdana" w:eastAsia="Century Gothic" w:cs="Century Gothic"/>
          <w:lang w:val="es-ES" w:eastAsia="es-ES_tradnl"/>
        </w:rPr>
        <w:t>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A068FC">
        <w:rPr>
          <w:rFonts w:ascii="Verdana" w:hAnsi="Verdana" w:eastAsia="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bookmarkEnd w:id="3"/>
    <w:p w:rsidRPr="00A068FC" w:rsidR="00B76D42" w:rsidP="00B76D42" w:rsidRDefault="00B76D42" w14:paraId="7E10364E" w14:textId="3D67AFB8">
      <w:pPr>
        <w:tabs>
          <w:tab w:val="left" w:pos="426"/>
        </w:tabs>
        <w:spacing w:after="120" w:line="276" w:lineRule="auto"/>
        <w:jc w:val="both"/>
        <w:rPr>
          <w:rFonts w:ascii="Verdana" w:hAnsi="Verdana" w:eastAsia="Century Gothic" w:cs="Century Gothic"/>
          <w:lang w:val="es-ES" w:eastAsia="es-ES_tradnl"/>
        </w:rPr>
      </w:pPr>
      <w:r w:rsidRPr="00A068FC">
        <w:rPr>
          <w:rFonts w:ascii="Verdana" w:hAnsi="Verdana" w:eastAsia="Times New Roman" w:cs="Arial"/>
          <w:lang w:eastAsia="es-ES_tradnl"/>
        </w:rPr>
        <w:tab/>
      </w:r>
      <w:r w:rsidRPr="00A068FC">
        <w:rPr>
          <w:rFonts w:ascii="Verdana" w:hAnsi="Verdana" w:eastAsia="Times New Roman" w:cs="Arial"/>
          <w:lang w:eastAsia="es-ES_tradnl"/>
        </w:rPr>
        <w:tab/>
      </w:r>
      <w:r w:rsidRPr="00A068FC">
        <w:rPr>
          <w:rFonts w:ascii="Verdana" w:hAnsi="Verdana" w:eastAsia="Century Gothic" w:cs="Century Gothic"/>
          <w:lang w:eastAsia="es-ES_tradnl"/>
        </w:rPr>
        <w:t xml:space="preserve">En atención de lo anterior, la Subdirección de Gestión Contractual –dentro de los límites de sus atribuciones– resolverá la consulta conforme a las normas generales en materia de contratación estatal. Con este objetivo se analizarán </w:t>
      </w:r>
      <w:r w:rsidRPr="00A068FC">
        <w:rPr>
          <w:rFonts w:ascii="Verdana" w:hAnsi="Verdana" w:eastAsia="Century Gothic" w:cs="Century Gothic"/>
          <w:lang w:val="es-ES" w:eastAsia="es-ES_tradnl"/>
        </w:rPr>
        <w:t xml:space="preserve">los siguientes temas: </w:t>
      </w:r>
      <w:r w:rsidRPr="00A06E49">
        <w:rPr>
          <w:rFonts w:ascii="Verdana" w:hAnsi="Verdana" w:eastAsia="Century Gothic" w:cs="Century Gothic"/>
          <w:lang w:val="es-ES" w:eastAsia="es-ES_tradnl"/>
        </w:rPr>
        <w:t xml:space="preserve">i) </w:t>
      </w:r>
      <w:r w:rsidRPr="00A06E49">
        <w:rPr>
          <w:rFonts w:ascii="Verdana" w:hAnsi="Verdana" w:eastAsia="Times New Roman" w:cs="Arial"/>
          <w:lang w:eastAsia="es-ES_tradnl"/>
        </w:rPr>
        <w:t xml:space="preserve">Los contratos estatales; </w:t>
      </w:r>
      <w:proofErr w:type="spellStart"/>
      <w:r w:rsidRPr="00A06E49">
        <w:rPr>
          <w:rFonts w:ascii="Verdana" w:hAnsi="Verdana" w:eastAsia="Times New Roman" w:cs="Arial"/>
          <w:lang w:eastAsia="es-ES_tradnl"/>
        </w:rPr>
        <w:t>ii</w:t>
      </w:r>
      <w:proofErr w:type="spellEnd"/>
      <w:r w:rsidRPr="00A06E49">
        <w:rPr>
          <w:rFonts w:ascii="Verdana" w:hAnsi="Verdana" w:eastAsia="Times New Roman" w:cs="Arial"/>
          <w:lang w:eastAsia="es-ES_tradnl"/>
        </w:rPr>
        <w:t xml:space="preserve">) </w:t>
      </w:r>
      <w:r w:rsidR="00A06E49">
        <w:rPr>
          <w:rFonts w:ascii="Verdana" w:hAnsi="Verdana" w:eastAsia="Calibri" w:cs="Arial"/>
          <w:lang w:eastAsia="es-ES_tradnl"/>
        </w:rPr>
        <w:t xml:space="preserve">los contratos atípicos de la administración pública y; </w:t>
      </w:r>
      <w:proofErr w:type="spellStart"/>
      <w:r w:rsidR="00A06E49">
        <w:rPr>
          <w:rFonts w:ascii="Verdana" w:hAnsi="Verdana" w:eastAsia="Calibri" w:cs="Arial"/>
          <w:lang w:eastAsia="es-ES_tradnl"/>
        </w:rPr>
        <w:t>iii</w:t>
      </w:r>
      <w:proofErr w:type="spellEnd"/>
      <w:r w:rsidR="00A06E49">
        <w:rPr>
          <w:rFonts w:ascii="Verdana" w:hAnsi="Verdana" w:eastAsia="Calibri" w:cs="Arial"/>
          <w:lang w:eastAsia="es-ES_tradnl"/>
        </w:rPr>
        <w:t xml:space="preserve">) </w:t>
      </w:r>
      <w:r w:rsidRPr="00A06E49" w:rsidR="00A06E49">
        <w:rPr>
          <w:rFonts w:ascii="Verdana" w:hAnsi="Verdana" w:eastAsia="Calibri" w:cs="Arial"/>
          <w:lang w:eastAsia="es-ES_tradnl"/>
        </w:rPr>
        <w:t>el r</w:t>
      </w:r>
      <w:proofErr w:type="spellStart"/>
      <w:r w:rsidRPr="00A06E49" w:rsidR="00A06E49">
        <w:rPr>
          <w:rFonts w:ascii="Verdana" w:hAnsi="Verdana" w:eastAsia="Calibri" w:cs="Arial"/>
          <w:lang w:val="es-ES"/>
        </w:rPr>
        <w:t>égimen</w:t>
      </w:r>
      <w:proofErr w:type="spellEnd"/>
      <w:r w:rsidRPr="00A06E49" w:rsidR="00A06E49">
        <w:rPr>
          <w:rFonts w:ascii="Verdana" w:hAnsi="Verdana" w:eastAsia="Calibri" w:cs="Arial"/>
          <w:lang w:val="es-ES"/>
        </w:rPr>
        <w:t xml:space="preserve"> jurídico sobre el a</w:t>
      </w:r>
      <w:proofErr w:type="spellStart"/>
      <w:r w:rsidRPr="00A06E49" w:rsidR="00A06E49">
        <w:rPr>
          <w:rFonts w:ascii="Verdana" w:hAnsi="Verdana" w:eastAsia="Times New Roman" w:cs="Times New Roman"/>
          <w:shd w:val="clear" w:color="auto" w:fill="FFFFFF"/>
          <w:lang w:eastAsia="es-ES_tradnl"/>
        </w:rPr>
        <w:t>provechamiento</w:t>
      </w:r>
      <w:proofErr w:type="spellEnd"/>
      <w:r w:rsidRPr="00A06E49" w:rsidR="00A06E49">
        <w:rPr>
          <w:rFonts w:ascii="Verdana" w:hAnsi="Verdana" w:eastAsia="Times New Roman" w:cs="Times New Roman"/>
          <w:shd w:val="clear" w:color="auto" w:fill="FFFFFF"/>
          <w:lang w:eastAsia="es-ES_tradnl"/>
        </w:rPr>
        <w:t xml:space="preserve"> económico del espacio público. </w:t>
      </w:r>
    </w:p>
    <w:p w:rsidRPr="00A068FC" w:rsidR="00B76D42" w:rsidP="00B76D42" w:rsidRDefault="00B76D42" w14:paraId="4F003CB4" w14:textId="77777777">
      <w:pPr>
        <w:tabs>
          <w:tab w:val="left" w:pos="426"/>
        </w:tabs>
        <w:spacing w:before="120" w:after="0" w:line="276" w:lineRule="auto"/>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ab/>
      </w:r>
      <w:r w:rsidRPr="00A068FC">
        <w:rPr>
          <w:rFonts w:ascii="Verdana" w:hAnsi="Verdana" w:eastAsia="Century Gothic" w:cs="Century Gothic"/>
          <w:lang w:val="es-ES" w:eastAsia="es-ES_tradnl"/>
        </w:rPr>
        <w:tab/>
      </w:r>
      <w:r w:rsidRPr="00A068FC">
        <w:rPr>
          <w:rFonts w:ascii="Verdana" w:hAnsi="Verdana" w:eastAsia="Century Gothic" w:cs="Century Gothic"/>
          <w:lang w:val="es-ES" w:eastAsia="es-ES_tradnl"/>
        </w:rPr>
        <w:t xml:space="preserve">La Agencia Nacional de Contratación Pública – Colombia Compra Eficiente, </w:t>
      </w:r>
      <w:r w:rsidRPr="00A068FC">
        <w:rPr>
          <w:rFonts w:ascii="Verdana" w:hAnsi="Verdana" w:eastAsia="Calibri" w:cs="Arial"/>
          <w:bCs/>
          <w:color w:val="000000" w:themeColor="text1"/>
          <w:lang w:eastAsia="es-ES_tradnl"/>
        </w:rPr>
        <w:t>estudió el alcance de la definición del contrato estatal en los conceptos 4201912000006493 del 15 de noviembre de 2019, 4201912000006710 del 19 de noviembre de 2019, C-466 del 21 de julio de 2022, C-604 del 23 de septiembre de 2022 y C-823 del 21 de diciembre de 2022</w:t>
      </w:r>
      <w:r w:rsidRPr="00A068FC">
        <w:rPr>
          <w:rFonts w:ascii="Verdana" w:hAnsi="Verdana" w:eastAsia="Calibri" w:cs="Arial"/>
          <w:lang w:eastAsia="es-ES_tradnl"/>
        </w:rPr>
        <w:t>.</w:t>
      </w:r>
      <w:r w:rsidRPr="00A068FC">
        <w:rPr>
          <w:rFonts w:ascii="Verdana" w:hAnsi="Verdana" w:eastAsia="Century Gothic" w:cs="Century Gothic"/>
          <w:vertAlign w:val="superscript"/>
          <w:lang w:val="es-ES" w:eastAsia="es-ES_tradnl"/>
        </w:rPr>
        <w:footnoteReference w:id="3"/>
      </w:r>
      <w:r w:rsidRPr="00A068FC">
        <w:rPr>
          <w:rFonts w:ascii="Verdana" w:hAnsi="Verdana" w:eastAsia="Century Gothic" w:cs="Century Gothic"/>
          <w:lang w:val="es-ES" w:eastAsia="es-ES_tradnl"/>
        </w:rPr>
        <w:t xml:space="preserve">. Las tesis expuestas en estos conceptos se reiteran a continuación y se complementan en lo pertinente, teniendo en cuenta los interrogantes planteados. </w:t>
      </w:r>
    </w:p>
    <w:p w:rsidRPr="008B23AD" w:rsidR="00B76D42" w:rsidP="00B76D42" w:rsidRDefault="00B76D42" w14:paraId="5725B4A8" w14:textId="77777777">
      <w:pPr>
        <w:spacing w:after="0" w:line="276" w:lineRule="auto"/>
        <w:jc w:val="both"/>
        <w:rPr>
          <w:rFonts w:ascii="Verdana" w:hAnsi="Verdana" w:eastAsia="Century Gothic" w:cs="Century Gothic"/>
          <w:lang w:val="es-ES" w:eastAsia="es-ES_tradnl"/>
        </w:rPr>
      </w:pPr>
    </w:p>
    <w:p w:rsidRPr="008B23AD" w:rsidR="00B76D42" w:rsidP="00B76D42" w:rsidRDefault="00B76D42" w14:paraId="5C90871E" w14:textId="77777777">
      <w:pPr>
        <w:spacing w:after="0" w:line="276" w:lineRule="auto"/>
        <w:jc w:val="both"/>
        <w:rPr>
          <w:rFonts w:ascii="Verdana" w:hAnsi="Verdana" w:eastAsia="Times New Roman" w:cs="Arial"/>
          <w:b/>
          <w:bCs/>
          <w:color w:val="000000" w:themeColor="text1"/>
          <w:lang w:eastAsia="es-ES_tradnl"/>
        </w:rPr>
      </w:pPr>
      <w:bookmarkStart w:name="_Hlk117695077" w:id="5"/>
      <w:r w:rsidRPr="008B23AD">
        <w:rPr>
          <w:rFonts w:ascii="Verdana" w:hAnsi="Verdana" w:eastAsia="Times New Roman" w:cs="Arial"/>
          <w:b/>
          <w:bCs/>
          <w:color w:val="000000" w:themeColor="text1"/>
          <w:lang w:eastAsia="es-ES_tradnl"/>
        </w:rPr>
        <w:t xml:space="preserve">2.1. Los contratos estatales y la autonomía de la voluntad </w:t>
      </w:r>
    </w:p>
    <w:p w:rsidRPr="008B23AD" w:rsidR="00B76D42" w:rsidP="00B76D42" w:rsidRDefault="00B76D42" w14:paraId="2F9C6DEE" w14:textId="77777777">
      <w:pPr>
        <w:spacing w:after="0" w:line="276" w:lineRule="auto"/>
        <w:jc w:val="both"/>
        <w:rPr>
          <w:rFonts w:ascii="Verdana" w:hAnsi="Verdana" w:eastAsia="Times New Roman" w:cs="Arial"/>
          <w:b/>
          <w:bCs/>
          <w:color w:val="000000" w:themeColor="text1"/>
          <w:lang w:eastAsia="es-ES_tradnl"/>
        </w:rPr>
      </w:pPr>
    </w:p>
    <w:p w:rsidRPr="00A068FC" w:rsidR="00B76D42" w:rsidP="00B76D42" w:rsidRDefault="00B76D42" w14:paraId="1F3209BF" w14:textId="77777777">
      <w:pPr>
        <w:widowControl w:val="0"/>
        <w:autoSpaceDE w:val="0"/>
        <w:autoSpaceDN w:val="0"/>
        <w:spacing w:after="120" w:line="276" w:lineRule="auto"/>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El contrato es un “acto jurídico voluntario, una declaración de voluntad, que tiene por objeto establecer una relación jurídica entre dos personas, obligando a la una para con otra a determinada prestación”</w:t>
      </w:r>
      <w:r w:rsidRPr="00A068FC">
        <w:rPr>
          <w:rFonts w:ascii="Verdana" w:hAnsi="Verdana" w:eastAsia="Arial" w:cs="Arial"/>
          <w:color w:val="000000" w:themeColor="text1"/>
          <w:vertAlign w:val="superscript"/>
          <w:lang w:val="es-ES_tradnl" w:eastAsia="es-ES_tradnl"/>
        </w:rPr>
        <w:footnoteReference w:id="4"/>
      </w:r>
      <w:r w:rsidRPr="00A068FC">
        <w:rPr>
          <w:rFonts w:ascii="Verdana" w:hAnsi="Verdana" w:eastAsia="Arial"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A068FC">
        <w:rPr>
          <w:rFonts w:ascii="Verdana" w:hAnsi="Verdana" w:eastAsia="Arial" w:cs="Arial"/>
          <w:color w:val="000000" w:themeColor="text1"/>
          <w:vertAlign w:val="superscript"/>
          <w:lang w:val="es-ES_tradnl" w:eastAsia="es-ES_tradnl"/>
        </w:rPr>
        <w:footnoteReference w:id="5"/>
      </w:r>
      <w:r w:rsidRPr="00A068FC">
        <w:rPr>
          <w:rFonts w:ascii="Verdana" w:hAnsi="Verdana" w:eastAsia="Arial" w:cs="Arial"/>
          <w:color w:val="000000" w:themeColor="text1"/>
          <w:lang w:val="es-ES_tradnl" w:eastAsia="es-ES_tradnl"/>
        </w:rPr>
        <w:t xml:space="preserve">. </w:t>
      </w:r>
    </w:p>
    <w:p w:rsidRPr="00A068FC" w:rsidR="00B76D42" w:rsidP="6DB59E88" w:rsidRDefault="00B76D42" w14:paraId="5DACA666" w14:textId="77777777">
      <w:pPr>
        <w:widowControl w:val="0"/>
        <w:autoSpaceDE w:val="0"/>
        <w:autoSpaceDN w:val="0"/>
        <w:spacing w:after="120" w:line="276" w:lineRule="auto"/>
        <w:ind w:firstLine="708"/>
        <w:jc w:val="both"/>
        <w:rPr>
          <w:rFonts w:ascii="Verdana" w:hAnsi="Verdana" w:eastAsia="Arial" w:cs="Arial"/>
          <w:color w:val="000000" w:themeColor="text1"/>
          <w:lang w:val="es-ES" w:eastAsia="es-ES"/>
        </w:rPr>
      </w:pPr>
      <w:r w:rsidRPr="6DB59E88" w:rsidR="00B76D42">
        <w:rPr>
          <w:rFonts w:ascii="Verdana" w:hAnsi="Verdana" w:eastAsia="Arial" w:cs="Arial"/>
          <w:color w:val="000000" w:themeColor="text1" w:themeTint="FF" w:themeShade="FF"/>
          <w:lang w:val="es-ES" w:eastAsia="es-ES"/>
        </w:rPr>
        <w:t>En efecto, el artículo 1495 del Código Civil establece que el “[c]</w:t>
      </w:r>
      <w:r w:rsidRPr="6DB59E88" w:rsidR="00B76D42">
        <w:rPr>
          <w:rFonts w:ascii="Verdana" w:hAnsi="Verdana" w:eastAsia="Arial" w:cs="Arial"/>
          <w:color w:val="000000" w:themeColor="text1" w:themeTint="FF" w:themeShade="FF"/>
          <w:lang w:val="es-ES" w:eastAsia="es-ES"/>
        </w:rPr>
        <w:t>ontrato</w:t>
      </w:r>
      <w:r w:rsidRPr="6DB59E88" w:rsidR="00B76D42">
        <w:rPr>
          <w:rFonts w:ascii="Verdana" w:hAnsi="Verdana" w:eastAsia="Arial" w:cs="Arial"/>
          <w:color w:val="000000" w:themeColor="text1" w:themeTint="FF" w:themeShade="FF"/>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rsidRPr="00A068FC" w:rsidR="00B76D42" w:rsidP="00B76D42" w:rsidRDefault="00B76D42" w14:paraId="437871DE" w14:textId="77777777">
      <w:pPr>
        <w:widowControl w:val="0"/>
        <w:autoSpaceDE w:val="0"/>
        <w:autoSpaceDN w:val="0"/>
        <w:spacing w:after="120" w:line="276" w:lineRule="auto"/>
        <w:ind w:firstLine="708"/>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A068FC">
        <w:rPr>
          <w:rFonts w:ascii="Verdana" w:hAnsi="Verdana" w:eastAsia="Arial" w:cs="Arial"/>
          <w:i/>
          <w:iCs/>
          <w:color w:val="000000" w:themeColor="text1"/>
          <w:lang w:val="es-ES_tradnl" w:eastAsia="es-ES_tradnl"/>
        </w:rPr>
        <w:t>ibidem</w:t>
      </w:r>
      <w:r w:rsidRPr="00A068FC">
        <w:rPr>
          <w:rFonts w:ascii="Verdana" w:hAnsi="Verdana" w:eastAsia="Arial"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rsidRPr="00A068FC" w:rsidR="00B76D42" w:rsidP="00B76D42" w:rsidRDefault="00B76D42" w14:paraId="7EB5312E" w14:textId="77777777">
      <w:pPr>
        <w:widowControl w:val="0"/>
        <w:autoSpaceDE w:val="0"/>
        <w:autoSpaceDN w:val="0"/>
        <w:spacing w:after="0" w:line="276" w:lineRule="auto"/>
        <w:ind w:firstLine="709"/>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 xml:space="preserve">De acuerdo con lo anterior, </w:t>
      </w:r>
      <w:bookmarkStart w:name="_Hlk150759794" w:id="6"/>
      <w:r w:rsidRPr="00A068FC">
        <w:rPr>
          <w:rFonts w:ascii="Verdana" w:hAnsi="Verdana" w:eastAsia="Arial" w:cs="Arial"/>
          <w:color w:val="000000" w:themeColor="text1"/>
          <w:lang w:val="es-ES_tradnl" w:eastAsia="es-ES_tradnl"/>
        </w:rPr>
        <w:t>para la definición de contrato estatal basta con que una de las entidades que enumera el artículo 2º de la Ley 80 de 1993</w:t>
      </w:r>
      <w:r w:rsidRPr="00A068FC">
        <w:rPr>
          <w:rFonts w:ascii="Verdana" w:hAnsi="Verdana" w:eastAsia="Arial" w:cs="Arial"/>
          <w:color w:val="000000" w:themeColor="text1"/>
          <w:vertAlign w:val="superscript"/>
          <w:lang w:val="es-ES_tradnl" w:eastAsia="es-ES_tradnl"/>
        </w:rPr>
        <w:footnoteReference w:id="6"/>
      </w:r>
      <w:r w:rsidRPr="00A068FC">
        <w:rPr>
          <w:rFonts w:ascii="Verdana" w:hAnsi="Verdana" w:eastAsia="Arial" w:cs="Arial"/>
          <w:color w:val="000000" w:themeColor="text1"/>
          <w:lang w:val="es-ES_tradnl" w:eastAsia="es-ES_tradnl"/>
        </w:rPr>
        <w:t xml:space="preserve"> sea una de las partes, sin importar el extremo de la relación jurídico negocial que</w:t>
      </w:r>
      <w:r w:rsidRPr="00A068FC">
        <w:rPr>
          <w:rFonts w:ascii="Verdana" w:hAnsi="Verdana" w:eastAsia="Arial" w:cs="Arial"/>
          <w:color w:val="000000" w:themeColor="text1"/>
          <w:spacing w:val="-14"/>
          <w:lang w:val="es-ES_tradnl" w:eastAsia="es-ES_tradnl"/>
        </w:rPr>
        <w:t xml:space="preserve"> </w:t>
      </w:r>
      <w:r w:rsidRPr="00A068FC">
        <w:rPr>
          <w:rFonts w:ascii="Verdana" w:hAnsi="Verdana" w:eastAsia="Arial" w:cs="Arial"/>
          <w:color w:val="000000" w:themeColor="text1"/>
          <w:lang w:val="es-ES_tradnl" w:eastAsia="es-ES_tradnl"/>
        </w:rPr>
        <w:t>asuma. Al respecto, el Consejo de Estado ha sostenido que el criterio definitorio de un contrato estatal es que haya sido celebrado por una Entidad Estatal</w:t>
      </w:r>
      <w:bookmarkEnd w:id="6"/>
      <w:r w:rsidRPr="00A068FC">
        <w:rPr>
          <w:rFonts w:ascii="Verdana" w:hAnsi="Verdana" w:eastAsia="Arial" w:cs="Arial"/>
          <w:color w:val="000000" w:themeColor="text1"/>
          <w:lang w:val="es-ES_tradnl" w:eastAsia="es-ES_tradnl"/>
        </w:rPr>
        <w:t>:</w:t>
      </w:r>
    </w:p>
    <w:p w:rsidRPr="00A068FC" w:rsidR="00B76D42" w:rsidP="00B76D42" w:rsidRDefault="00B76D42" w14:paraId="082CA242" w14:textId="77777777">
      <w:pPr>
        <w:widowControl w:val="0"/>
        <w:autoSpaceDE w:val="0"/>
        <w:autoSpaceDN w:val="0"/>
        <w:spacing w:after="0" w:line="276" w:lineRule="auto"/>
        <w:ind w:firstLine="261"/>
        <w:contextualSpacing/>
        <w:jc w:val="both"/>
        <w:rPr>
          <w:rFonts w:ascii="Verdana" w:hAnsi="Verdana" w:eastAsia="Arial" w:cs="Arial"/>
          <w:color w:val="000000" w:themeColor="text1"/>
          <w:lang w:val="es-ES_tradnl" w:eastAsia="es-ES_tradnl"/>
        </w:rPr>
      </w:pPr>
    </w:p>
    <w:p w:rsidRPr="00A068FC" w:rsidR="00B76D42" w:rsidP="00B76D42" w:rsidRDefault="00B76D42" w14:paraId="33596ADC" w14:textId="77777777">
      <w:pPr>
        <w:widowControl w:val="0"/>
        <w:tabs>
          <w:tab w:val="left" w:pos="7797"/>
        </w:tabs>
        <w:autoSpaceDE w:val="0"/>
        <w:autoSpaceDN w:val="0"/>
        <w:spacing w:after="0" w:line="240" w:lineRule="auto"/>
        <w:ind w:left="709" w:right="709"/>
        <w:contextualSpacing/>
        <w:jc w:val="both"/>
        <w:rPr>
          <w:rFonts w:ascii="Verdana" w:hAnsi="Verdana" w:eastAsia="Arial" w:cs="Arial"/>
          <w:color w:val="000000" w:themeColor="text1"/>
          <w:sz w:val="20"/>
          <w:szCs w:val="20"/>
          <w:lang w:val="es-ES_tradnl" w:eastAsia="es-ES_tradnl"/>
        </w:rPr>
      </w:pPr>
      <w:r w:rsidRPr="00A068FC">
        <w:rPr>
          <w:rFonts w:ascii="Verdana" w:hAnsi="Verdana" w:eastAsia="Arial" w:cs="Arial"/>
          <w:color w:val="000000" w:themeColor="text1"/>
          <w:sz w:val="20"/>
          <w:szCs w:val="20"/>
          <w:lang w:val="es-ES_tradnl" w:eastAsia="es-ES_tradnl"/>
        </w:rPr>
        <w:t xml:space="preserve">“Nótese cómo, elemento esencial para calificar de estatal un contrato, es que haya sido celebrado por una entidad estatal, es decir, una entidad pública con capacidad legal para celebrarlo. Dicho de otro modo, no existen contratos </w:t>
      </w:r>
      <w:r w:rsidRPr="00A068FC">
        <w:rPr>
          <w:rFonts w:ascii="Verdana" w:hAnsi="Verdana" w:eastAsia="Arial" w:cs="Arial"/>
          <w:color w:val="000000" w:themeColor="text1"/>
          <w:sz w:val="20"/>
          <w:szCs w:val="20"/>
          <w:lang w:val="es-ES_tradnl" w:eastAsia="es-ES_tradnl"/>
        </w:rPr>
        <w:t>estatales celebrados entre particulares, ni siquiera cuando éstos han sido habilitados legalmente para el ejercicio de funciones</w:t>
      </w:r>
      <w:r w:rsidRPr="00A068FC">
        <w:rPr>
          <w:rFonts w:ascii="Verdana" w:hAnsi="Verdana" w:eastAsia="Arial" w:cs="Arial"/>
          <w:color w:val="000000" w:themeColor="text1"/>
          <w:spacing w:val="-4"/>
          <w:sz w:val="20"/>
          <w:szCs w:val="20"/>
          <w:lang w:val="es-ES_tradnl" w:eastAsia="es-ES_tradnl"/>
        </w:rPr>
        <w:t xml:space="preserve"> </w:t>
      </w:r>
      <w:r w:rsidRPr="00A068FC">
        <w:rPr>
          <w:rFonts w:ascii="Verdana" w:hAnsi="Verdana" w:eastAsia="Arial" w:cs="Arial"/>
          <w:color w:val="000000" w:themeColor="text1"/>
          <w:sz w:val="20"/>
          <w:szCs w:val="20"/>
          <w:lang w:val="es-ES_tradnl" w:eastAsia="es-ES_tradnl"/>
        </w:rPr>
        <w:t>públicas”</w:t>
      </w:r>
      <w:r w:rsidRPr="00A068FC">
        <w:rPr>
          <w:rFonts w:ascii="Verdana" w:hAnsi="Verdana" w:eastAsia="Arial" w:cs="Arial"/>
          <w:color w:val="000000" w:themeColor="text1"/>
          <w:sz w:val="20"/>
          <w:szCs w:val="20"/>
          <w:vertAlign w:val="superscript"/>
          <w:lang w:val="es-ES_tradnl" w:eastAsia="es-ES_tradnl"/>
        </w:rPr>
        <w:footnoteReference w:id="7"/>
      </w:r>
      <w:r w:rsidRPr="00A068FC">
        <w:rPr>
          <w:rFonts w:ascii="Verdana" w:hAnsi="Verdana" w:eastAsia="Arial" w:cs="Arial"/>
          <w:color w:val="000000" w:themeColor="text1"/>
          <w:sz w:val="20"/>
          <w:szCs w:val="20"/>
          <w:lang w:val="es-ES_tradnl" w:eastAsia="es-ES_tradnl"/>
        </w:rPr>
        <w:t>.</w:t>
      </w:r>
    </w:p>
    <w:p w:rsidRPr="00A068FC" w:rsidR="00B76D42" w:rsidP="00B76D42" w:rsidRDefault="00B76D42" w14:paraId="08654C32" w14:textId="77777777">
      <w:pPr>
        <w:widowControl w:val="0"/>
        <w:autoSpaceDE w:val="0"/>
        <w:autoSpaceDN w:val="0"/>
        <w:spacing w:after="0" w:line="276" w:lineRule="auto"/>
        <w:contextualSpacing/>
        <w:jc w:val="both"/>
        <w:rPr>
          <w:rFonts w:ascii="Verdana" w:hAnsi="Verdana" w:eastAsia="Arial" w:cs="Arial"/>
          <w:color w:val="000000" w:themeColor="text1"/>
          <w:lang w:val="es-ES_tradnl" w:eastAsia="es-ES_tradnl"/>
        </w:rPr>
      </w:pPr>
    </w:p>
    <w:p w:rsidRPr="00A068FC" w:rsidR="00B76D42" w:rsidP="00B76D42" w:rsidRDefault="00B76D42" w14:paraId="3128DE93" w14:textId="77777777">
      <w:pPr>
        <w:widowControl w:val="0"/>
        <w:autoSpaceDE w:val="0"/>
        <w:autoSpaceDN w:val="0"/>
        <w:spacing w:after="120" w:line="276" w:lineRule="auto"/>
        <w:ind w:firstLine="607"/>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name="_Hlk150759930" w:id="7"/>
      <w:r w:rsidRPr="00A068FC">
        <w:rPr>
          <w:rFonts w:ascii="Verdana" w:hAnsi="Verdana" w:eastAsia="Arial"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A068FC">
        <w:rPr>
          <w:rFonts w:ascii="Verdana" w:hAnsi="Verdana" w:eastAsia="Arial" w:cs="Arial"/>
          <w:color w:val="000000" w:themeColor="text1"/>
          <w:vertAlign w:val="superscript"/>
          <w:lang w:val="es-ES_tradnl" w:eastAsia="es-ES_tradnl"/>
        </w:rPr>
        <w:footnoteReference w:id="8"/>
      </w:r>
      <w:r w:rsidRPr="00A068FC">
        <w:rPr>
          <w:rFonts w:ascii="Verdana" w:hAnsi="Verdana" w:eastAsia="Arial" w:cs="Arial"/>
          <w:color w:val="000000" w:themeColor="text1"/>
          <w:lang w:val="es-ES_tradnl" w:eastAsia="es-ES_tradnl"/>
        </w:rPr>
        <w:t>, con independencia del régimen de derecho aplicable.</w:t>
      </w:r>
    </w:p>
    <w:bookmarkEnd w:id="7"/>
    <w:p w:rsidRPr="00A068FC" w:rsidR="00B76D42" w:rsidP="00B76D42" w:rsidRDefault="00B76D42" w14:paraId="07EF8107" w14:textId="77777777">
      <w:pPr>
        <w:widowControl w:val="0"/>
        <w:autoSpaceDE w:val="0"/>
        <w:autoSpaceDN w:val="0"/>
        <w:spacing w:after="0" w:line="276" w:lineRule="auto"/>
        <w:ind w:firstLine="607"/>
        <w:jc w:val="both"/>
        <w:rPr>
          <w:rFonts w:ascii="Verdana" w:hAnsi="Verdana" w:eastAsia="Arial" w:cs="Arial"/>
          <w:color w:val="000000" w:themeColor="text1"/>
          <w:lang w:eastAsia="es-ES_tradnl"/>
        </w:rPr>
      </w:pPr>
      <w:r w:rsidRPr="00A068FC">
        <w:rPr>
          <w:rFonts w:ascii="Verdana" w:hAnsi="Verdana" w:eastAsia="Arial" w:cs="Arial"/>
          <w:color w:val="000000" w:themeColor="text1"/>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A068FC">
        <w:rPr>
          <w:rFonts w:ascii="Verdana" w:hAnsi="Verdana" w:eastAsia="Arial" w:cs="Arial"/>
          <w:lang w:eastAsia="es-ES_tradnl"/>
        </w:rPr>
        <w:t xml:space="preserve"> </w:t>
      </w:r>
      <w:r w:rsidRPr="00A068FC">
        <w:rPr>
          <w:rFonts w:ascii="Verdana" w:hAnsi="Verdana" w:eastAsia="Arial" w:cs="Arial"/>
          <w:color w:val="000000" w:themeColor="text1"/>
          <w:lang w:eastAsia="es-ES_tradnl"/>
        </w:rPr>
        <w:t>bajo la égida del contrato estatal, caracterizado por tener un régimen jurídico mixto, integrado por normas de derecho público y derecho privado”</w:t>
      </w:r>
      <w:r w:rsidRPr="00A068FC">
        <w:rPr>
          <w:rFonts w:ascii="Verdana" w:hAnsi="Verdana" w:eastAsia="Arial" w:cs="Arial"/>
          <w:color w:val="000000" w:themeColor="text1"/>
          <w:vertAlign w:val="superscript"/>
          <w:lang w:eastAsia="es-ES_tradnl"/>
        </w:rPr>
        <w:footnoteReference w:id="9"/>
      </w:r>
      <w:r w:rsidRPr="00A068FC">
        <w:rPr>
          <w:rFonts w:ascii="Verdana" w:hAnsi="Verdana" w:eastAsia="Arial" w:cs="Arial"/>
          <w:color w:val="000000" w:themeColor="text1"/>
          <w:lang w:eastAsia="es-ES_tradnl"/>
        </w:rPr>
        <w:t xml:space="preserve">. En armonía con lo anterior, la Sala de Consulta y Servicio Civil del Consejo de Estado, expresó que, </w:t>
      </w:r>
      <w:r w:rsidRPr="00A068FC">
        <w:rPr>
          <w:rFonts w:ascii="Verdana" w:hAnsi="Verdana" w:eastAsia="Arial" w:cs="Arial"/>
          <w:iCs/>
          <w:color w:val="000000" w:themeColor="text1"/>
          <w:lang w:eastAsia="es-ES_tradnl"/>
        </w:rPr>
        <w:t>en tal virtud, p</w:t>
      </w:r>
      <w:r w:rsidRPr="00A068FC">
        <w:rPr>
          <w:rFonts w:ascii="Verdana" w:hAnsi="Verdana" w:eastAsia="Arial" w:cs="Arial"/>
          <w:color w:val="000000" w:themeColor="text1"/>
          <w:lang w:eastAsia="es-ES_tradnl"/>
        </w:rPr>
        <w:t>or regla general:</w:t>
      </w:r>
    </w:p>
    <w:p w:rsidRPr="00A068FC" w:rsidR="00B76D42" w:rsidP="00B76D42" w:rsidRDefault="00B76D42" w14:paraId="0A3591EF" w14:textId="77777777">
      <w:pPr>
        <w:widowControl w:val="0"/>
        <w:autoSpaceDE w:val="0"/>
        <w:autoSpaceDN w:val="0"/>
        <w:spacing w:after="0" w:line="276" w:lineRule="auto"/>
        <w:ind w:firstLine="607"/>
        <w:jc w:val="both"/>
        <w:rPr>
          <w:rFonts w:ascii="Verdana" w:hAnsi="Verdana" w:eastAsia="Arial" w:cs="Arial"/>
          <w:color w:val="000000" w:themeColor="text1"/>
          <w:lang w:eastAsia="es-ES_tradnl"/>
        </w:rPr>
      </w:pPr>
    </w:p>
    <w:p w:rsidRPr="003E6340" w:rsidR="00B76D42" w:rsidP="00B76D42" w:rsidRDefault="00B76D42" w14:paraId="442C2DA1" w14:textId="77777777">
      <w:pPr>
        <w:widowControl w:val="0"/>
        <w:autoSpaceDE w:val="0"/>
        <w:autoSpaceDN w:val="0"/>
        <w:spacing w:after="0" w:line="240" w:lineRule="auto"/>
        <w:ind w:left="709" w:right="709"/>
        <w:contextualSpacing/>
        <w:jc w:val="both"/>
        <w:rPr>
          <w:rFonts w:ascii="Verdana" w:hAnsi="Verdana" w:eastAsia="Arial" w:cs="Arial"/>
          <w:b/>
          <w:color w:val="000000" w:themeColor="text1"/>
          <w:sz w:val="20"/>
          <w:szCs w:val="20"/>
          <w:lang w:eastAsia="es-ES_tradnl"/>
        </w:rPr>
      </w:pPr>
      <w:r w:rsidRPr="003E6340">
        <w:rPr>
          <w:rFonts w:ascii="Verdana" w:hAnsi="Verdana" w:eastAsia="Arial" w:cs="Arial"/>
          <w:color w:val="000000" w:themeColor="text1"/>
          <w:sz w:val="20"/>
          <w:szCs w:val="20"/>
          <w:lang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w:t>
      </w:r>
      <w:r w:rsidRPr="003E6340">
        <w:rPr>
          <w:rFonts w:ascii="Verdana" w:hAnsi="Verdana" w:eastAsia="Arial" w:cs="Arial"/>
          <w:color w:val="000000" w:themeColor="text1"/>
          <w:sz w:val="20"/>
          <w:szCs w:val="20"/>
          <w:lang w:eastAsia="es-ES_tradnl"/>
        </w:rPr>
        <w:t>imposición y efectividad de las multas y cláusula penal una vez pactadas, las garantías del contrato, las nulidades específicas del contrato estatal, el silencio administrativo positivo, la liquidación del contrato, entre otras”</w:t>
      </w:r>
      <w:r w:rsidRPr="003E6340">
        <w:rPr>
          <w:rFonts w:ascii="Verdana" w:hAnsi="Verdana" w:eastAsia="Arial" w:cs="Arial"/>
          <w:color w:val="000000" w:themeColor="text1"/>
          <w:sz w:val="20"/>
          <w:szCs w:val="20"/>
          <w:vertAlign w:val="superscript"/>
          <w:lang w:eastAsia="es-ES_tradnl"/>
        </w:rPr>
        <w:footnoteReference w:id="10"/>
      </w:r>
      <w:r w:rsidRPr="003E6340">
        <w:rPr>
          <w:rFonts w:ascii="Verdana" w:hAnsi="Verdana" w:eastAsia="Arial" w:cs="Arial"/>
          <w:color w:val="000000" w:themeColor="text1"/>
          <w:sz w:val="20"/>
          <w:szCs w:val="20"/>
          <w:lang w:eastAsia="es-ES_tradnl"/>
        </w:rPr>
        <w:t>.</w:t>
      </w:r>
      <w:r w:rsidRPr="003E6340">
        <w:rPr>
          <w:rFonts w:ascii="Verdana" w:hAnsi="Verdana" w:eastAsia="Arial" w:cs="Arial"/>
          <w:b/>
          <w:color w:val="000000" w:themeColor="text1"/>
          <w:sz w:val="20"/>
          <w:szCs w:val="20"/>
          <w:lang w:eastAsia="es-ES_tradnl"/>
        </w:rPr>
        <w:t xml:space="preserve"> </w:t>
      </w:r>
    </w:p>
    <w:p w:rsidRPr="00A068FC" w:rsidR="00B76D42" w:rsidP="00B76D42" w:rsidRDefault="00B76D42" w14:paraId="6DDF4EFB" w14:textId="77777777">
      <w:pPr>
        <w:widowControl w:val="0"/>
        <w:autoSpaceDE w:val="0"/>
        <w:autoSpaceDN w:val="0"/>
        <w:spacing w:after="0" w:line="276" w:lineRule="auto"/>
        <w:ind w:left="709" w:right="709"/>
        <w:jc w:val="both"/>
        <w:rPr>
          <w:rFonts w:ascii="Verdana" w:hAnsi="Verdana" w:eastAsia="Arial" w:cs="Arial"/>
          <w:b/>
          <w:color w:val="000000" w:themeColor="text1"/>
          <w:lang w:eastAsia="es-ES_tradnl"/>
        </w:rPr>
      </w:pPr>
    </w:p>
    <w:p w:rsidRPr="00A068FC" w:rsidR="00B76D42" w:rsidP="00B76D42" w:rsidRDefault="00B76D42" w14:paraId="2AE5D6B1" w14:textId="77777777">
      <w:pPr>
        <w:widowControl w:val="0"/>
        <w:autoSpaceDE w:val="0"/>
        <w:autoSpaceDN w:val="0"/>
        <w:spacing w:after="120" w:line="276" w:lineRule="auto"/>
        <w:ind w:firstLine="607"/>
        <w:jc w:val="both"/>
        <w:rPr>
          <w:rFonts w:ascii="Verdana" w:hAnsi="Verdana" w:eastAsia="Arial" w:cs="Arial"/>
          <w:iCs/>
          <w:color w:val="000000" w:themeColor="text1"/>
          <w:lang w:eastAsia="es-ES_tradnl"/>
        </w:rPr>
      </w:pPr>
      <w:bookmarkStart w:name="_Hlk170973098" w:id="8"/>
      <w:r w:rsidRPr="00A068FC">
        <w:rPr>
          <w:rFonts w:ascii="Verdana" w:hAnsi="Verdana" w:eastAsia="Arial" w:cs="Arial"/>
          <w:iCs/>
          <w:color w:val="000000" w:themeColor="text1"/>
          <w:lang w:eastAsia="es-ES_tradnl"/>
        </w:rPr>
        <w:t xml:space="preserve">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w:t>
      </w:r>
      <w:bookmarkStart w:name="_Hlk170973355" w:id="9"/>
      <w:bookmarkEnd w:id="8"/>
      <w:r w:rsidRPr="00A068FC">
        <w:rPr>
          <w:rFonts w:ascii="Verdana" w:hAnsi="Verdana" w:eastAsia="Arial" w:cs="Arial"/>
          <w:iCs/>
          <w:color w:val="000000" w:themeColor="text1"/>
          <w:lang w:eastAsia="es-ES_tradnl"/>
        </w:rPr>
        <w:t xml:space="preserve">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w:t>
      </w:r>
      <w:r>
        <w:rPr>
          <w:rFonts w:ascii="Verdana" w:hAnsi="Verdana" w:eastAsia="Arial" w:cs="Arial"/>
          <w:iCs/>
          <w:color w:val="000000" w:themeColor="text1"/>
          <w:lang w:eastAsia="es-ES_tradnl"/>
        </w:rPr>
        <w:t>-</w:t>
      </w:r>
      <w:r w:rsidRPr="00A068FC">
        <w:rPr>
          <w:rFonts w:ascii="Verdana" w:hAnsi="Verdana" w:eastAsia="Arial" w:cs="Arial"/>
          <w:iCs/>
          <w:color w:val="000000" w:themeColor="text1"/>
          <w:lang w:eastAsia="es-ES_tradnl"/>
        </w:rPr>
        <w:t>1. Licitación pública. 2. Selección abreviada. 3. Concurso de méritos, 4. Contratación directa y 5. Mínima cuantía, artículos 24 de la Ley 80 de 1993 y 2 de la Ley 1150 de 2007</w:t>
      </w:r>
      <w:r>
        <w:rPr>
          <w:rFonts w:ascii="Verdana" w:hAnsi="Verdana" w:eastAsia="Arial" w:cs="Arial"/>
          <w:iCs/>
          <w:color w:val="000000" w:themeColor="text1"/>
          <w:lang w:eastAsia="es-ES_tradnl"/>
        </w:rPr>
        <w:t>-</w:t>
      </w:r>
      <w:r w:rsidRPr="00A068FC">
        <w:rPr>
          <w:rFonts w:ascii="Verdana" w:hAnsi="Verdana" w:eastAsia="Arial" w:cs="Arial"/>
          <w:iCs/>
          <w:color w:val="000000" w:themeColor="text1"/>
          <w:lang w:eastAsia="es-ES_tradnl"/>
        </w:rPr>
        <w:t>.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bookmarkEnd w:id="9"/>
    <w:p w:rsidRPr="00A068FC" w:rsidR="00B76D42" w:rsidP="6DB59E88" w:rsidRDefault="00B76D42" w14:paraId="4E6A002B" w14:textId="77777777" w14:noSpellErr="1">
      <w:pPr>
        <w:widowControl w:val="0"/>
        <w:autoSpaceDE w:val="0"/>
        <w:autoSpaceDN w:val="0"/>
        <w:spacing w:after="0" w:line="276" w:lineRule="auto"/>
        <w:ind w:firstLine="607"/>
        <w:jc w:val="both"/>
        <w:rPr>
          <w:rFonts w:ascii="Verdana" w:hAnsi="Verdana" w:eastAsia="Arial" w:cs="Arial"/>
          <w:color w:val="000000" w:themeColor="text1"/>
          <w:lang w:val="es-ES" w:eastAsia="es-ES"/>
        </w:rPr>
      </w:pPr>
      <w:r w:rsidRPr="6DB59E88" w:rsidR="00B76D42">
        <w:rPr>
          <w:rFonts w:ascii="Verdana" w:hAnsi="Verdana" w:eastAsia="Arial" w:cs="Arial"/>
          <w:color w:val="000000" w:themeColor="text1" w:themeTint="FF" w:themeShade="FF"/>
          <w:lang w:val="es-ES" w:eastAsia="es-ES"/>
        </w:rPr>
        <w:t xml:space="preserve">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r w:rsidRPr="6DB59E88" w:rsidR="00B76D42">
        <w:rPr>
          <w:rFonts w:ascii="Verdana" w:hAnsi="Verdana" w:eastAsia="Arial" w:cs="Arial"/>
          <w:color w:val="000000" w:themeColor="text1" w:themeTint="FF" w:themeShade="FF"/>
          <w:lang w:val="es-ES" w:eastAsia="es-ES"/>
        </w:rPr>
        <w:t>del mismo</w:t>
      </w:r>
      <w:r w:rsidRPr="6DB59E88" w:rsidR="00B76D42">
        <w:rPr>
          <w:rFonts w:ascii="Verdana" w:hAnsi="Verdana" w:eastAsia="Arial" w:cs="Arial"/>
          <w:color w:val="000000" w:themeColor="text1" w:themeTint="FF" w:themeShade="FF"/>
          <w:lang w:val="es-ES" w:eastAsia="es-ES"/>
        </w:rPr>
        <w:t>:</w:t>
      </w:r>
    </w:p>
    <w:p w:rsidRPr="00A068FC" w:rsidR="00B76D42" w:rsidP="00B76D42" w:rsidRDefault="00B76D42" w14:paraId="5395507B" w14:textId="77777777">
      <w:pPr>
        <w:widowControl w:val="0"/>
        <w:autoSpaceDE w:val="0"/>
        <w:autoSpaceDN w:val="0"/>
        <w:spacing w:after="0" w:line="276" w:lineRule="auto"/>
        <w:ind w:firstLine="607"/>
        <w:jc w:val="both"/>
        <w:rPr>
          <w:rFonts w:ascii="Verdana" w:hAnsi="Verdana" w:eastAsia="Arial" w:cs="Arial"/>
          <w:color w:val="000000" w:themeColor="text1"/>
          <w:lang w:val="es-ES_tradnl" w:eastAsia="es-ES_tradnl"/>
        </w:rPr>
      </w:pPr>
    </w:p>
    <w:p w:rsidRPr="00A068FC" w:rsidR="00B76D42" w:rsidP="00B76D42" w:rsidRDefault="00B76D42" w14:paraId="223D56E0" w14:textId="77777777">
      <w:pPr>
        <w:widowControl w:val="0"/>
        <w:autoSpaceDE w:val="0"/>
        <w:autoSpaceDN w:val="0"/>
        <w:spacing w:after="0" w:line="240" w:lineRule="auto"/>
        <w:ind w:left="709" w:right="709"/>
        <w:jc w:val="both"/>
        <w:rPr>
          <w:rFonts w:ascii="Verdana" w:hAnsi="Verdana" w:eastAsia="Arial" w:cs="Arial"/>
          <w:color w:val="000000" w:themeColor="text1"/>
          <w:sz w:val="20"/>
          <w:szCs w:val="20"/>
          <w:lang w:val="es-ES_tradnl" w:eastAsia="es-ES_tradnl"/>
        </w:rPr>
      </w:pPr>
      <w:r w:rsidRPr="00A068FC">
        <w:rPr>
          <w:rFonts w:ascii="Verdana" w:hAnsi="Verdana" w:eastAsia="Arial" w:cs="Arial"/>
          <w:color w:val="000000" w:themeColor="text1"/>
          <w:sz w:val="20"/>
          <w:szCs w:val="20"/>
          <w:lang w:val="es-ES_tradnl" w:eastAsia="es-ES_tradnl"/>
        </w:rPr>
        <w:t xml:space="preserve">“[L]a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w:t>
      </w:r>
      <w:r w:rsidRPr="00A068FC">
        <w:rPr>
          <w:rFonts w:ascii="Verdana" w:hAnsi="Verdana" w:eastAsia="Arial" w:cs="Arial"/>
          <w:color w:val="000000" w:themeColor="text1"/>
          <w:sz w:val="20"/>
          <w:szCs w:val="20"/>
          <w:lang w:val="es-ES_tradnl" w:eastAsia="es-ES_tradnl"/>
        </w:rPr>
        <w:t>por el Estatuto General de Contratación Administrativa o que estén sujetos a regímenes especiales’”.</w:t>
      </w:r>
      <w:r w:rsidRPr="00A068FC">
        <w:rPr>
          <w:rFonts w:ascii="Verdana" w:hAnsi="Verdana" w:eastAsia="Arial" w:cs="Arial"/>
          <w:color w:val="000000" w:themeColor="text1"/>
          <w:sz w:val="20"/>
          <w:szCs w:val="20"/>
          <w:vertAlign w:val="superscript"/>
          <w:lang w:val="es-ES_tradnl" w:eastAsia="es-ES_tradnl"/>
        </w:rPr>
        <w:footnoteReference w:id="11"/>
      </w:r>
    </w:p>
    <w:p w:rsidRPr="00A068FC" w:rsidR="00B76D42" w:rsidP="00B76D42" w:rsidRDefault="00B76D42" w14:paraId="263AA133" w14:textId="77777777">
      <w:pPr>
        <w:widowControl w:val="0"/>
        <w:autoSpaceDE w:val="0"/>
        <w:autoSpaceDN w:val="0"/>
        <w:spacing w:after="0" w:line="276" w:lineRule="auto"/>
        <w:ind w:firstLine="608"/>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 xml:space="preserve"> </w:t>
      </w:r>
    </w:p>
    <w:p w:rsidRPr="00A068FC" w:rsidR="00B76D42" w:rsidP="00B76D42" w:rsidRDefault="00B76D42" w14:paraId="3246E27E" w14:textId="77777777">
      <w:pPr>
        <w:widowControl w:val="0"/>
        <w:autoSpaceDE w:val="0"/>
        <w:autoSpaceDN w:val="0"/>
        <w:spacing w:after="120" w:line="276" w:lineRule="auto"/>
        <w:ind w:firstLine="607"/>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 como se estudiará más adelante –, según mandato expreso del artículo 13 de la Ley 1150 de 2007, sin perjuicio, de la aplicación de otras disposiciones que aplican de forma transversal a los contratos celebrados por Entidades Públicas.</w:t>
      </w:r>
    </w:p>
    <w:p w:rsidRPr="00A068FC" w:rsidR="00B76D42" w:rsidP="00B76D42" w:rsidRDefault="00B76D42" w14:paraId="646BC1C1" w14:textId="77777777">
      <w:pPr>
        <w:spacing w:after="120" w:line="276" w:lineRule="auto"/>
        <w:ind w:firstLine="709"/>
        <w:jc w:val="both"/>
        <w:rPr>
          <w:rFonts w:ascii="Verdana" w:hAnsi="Verdana" w:eastAsia="Calibri" w:cs="Arial"/>
          <w:lang w:eastAsia="es-ES_tradnl"/>
        </w:rPr>
      </w:pPr>
      <w:bookmarkStart w:name="_Hlk121750642" w:id="10"/>
      <w:r w:rsidRPr="00A068FC">
        <w:rPr>
          <w:rFonts w:ascii="Verdana" w:hAnsi="Verdana" w:eastAsia="Times New Roman" w:cs="Arial"/>
          <w:color w:val="000000" w:themeColor="text1"/>
          <w:lang w:eastAsia="es-ES_tradnl"/>
        </w:rPr>
        <w:t xml:space="preserve">Ahora bien, teniendo en cuenta el objeto de su consulta, es preciso mencionar que las </w:t>
      </w:r>
      <w:r w:rsidRPr="00A068FC">
        <w:rPr>
          <w:rFonts w:ascii="Verdana" w:hAnsi="Verdana" w:eastAsia="Calibri" w:cs="Arial"/>
          <w:lang w:eastAsia="es-ES_tradnl"/>
        </w:rPr>
        <w:t xml:space="preserve">Entidades Estatales regidas por el EGCAP están habilitadas para celebrar los contratos que suelen celebrar los particulares entre sí – como el de concesión de espacios al que se refiere en sus preguntas –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10"/>
    <w:p w:rsidRPr="00A068FC" w:rsidR="00B76D42" w:rsidP="00B76D42" w:rsidRDefault="00B76D42" w14:paraId="14F4FBFB" w14:textId="77777777">
      <w:pPr>
        <w:spacing w:after="120" w:line="276" w:lineRule="auto"/>
        <w:ind w:firstLine="709"/>
        <w:jc w:val="both"/>
        <w:rPr>
          <w:rFonts w:ascii="Verdana" w:hAnsi="Verdana" w:eastAsia="Calibri" w:cs="Arial"/>
          <w:lang w:eastAsia="es-ES_tradnl"/>
        </w:rPr>
      </w:pPr>
      <w:r w:rsidRPr="00A068FC">
        <w:rPr>
          <w:rFonts w:ascii="Verdana" w:hAnsi="Verdana" w:eastAsia="Calibri" w:cs="Arial"/>
          <w:lang w:eastAsia="es-ES_tradn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w:t>
      </w:r>
      <w:r w:rsidRPr="00A068FC">
        <w:rPr>
          <w:rFonts w:ascii="Verdana" w:hAnsi="Verdana" w:eastAsia="Calibri" w:cs="Arial"/>
          <w:lang w:eastAsia="es-ES_tradnl"/>
        </w:rPr>
        <w:t xml:space="preserve">cumplimiento de sus funciones administrativas y cometidos misionales, involucran un interés público. </w:t>
      </w:r>
    </w:p>
    <w:p w:rsidRPr="00A068FC" w:rsidR="00B76D42" w:rsidP="00B76D42" w:rsidRDefault="00B76D42" w14:paraId="1573911F" w14:textId="77777777">
      <w:pPr>
        <w:widowControl w:val="0"/>
        <w:autoSpaceDE w:val="0"/>
        <w:autoSpaceDN w:val="0"/>
        <w:spacing w:after="120" w:line="276" w:lineRule="auto"/>
        <w:ind w:firstLine="709"/>
        <w:jc w:val="both"/>
        <w:rPr>
          <w:rFonts w:ascii="Verdana" w:hAnsi="Verdana" w:eastAsia="Arial" w:cs="Arial"/>
          <w:color w:val="000000"/>
          <w:szCs w:val="24"/>
          <w:lang w:val="es-ES" w:eastAsia="es-ES_tradnl"/>
        </w:rPr>
      </w:pPr>
      <w:r w:rsidRPr="00A068FC">
        <w:rPr>
          <w:rFonts w:ascii="Verdana" w:hAnsi="Verdana" w:eastAsia="Arial" w:cs="Arial"/>
          <w:color w:val="000000"/>
          <w:szCs w:val="24"/>
          <w:lang w:val="es-ES" w:eastAsia="es-ES_tradnl"/>
        </w:rPr>
        <w:t>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w:t>
      </w:r>
    </w:p>
    <w:p w:rsidRPr="00A068FC" w:rsidR="00B76D42" w:rsidP="00B76D42" w:rsidRDefault="00B76D42" w14:paraId="0D9309F0" w14:textId="77777777">
      <w:pPr>
        <w:widowControl w:val="0"/>
        <w:autoSpaceDE w:val="0"/>
        <w:autoSpaceDN w:val="0"/>
        <w:spacing w:after="0" w:line="276" w:lineRule="auto"/>
        <w:ind w:firstLine="607"/>
        <w:jc w:val="both"/>
        <w:rPr>
          <w:rFonts w:ascii="Verdana" w:hAnsi="Verdana" w:eastAsia="Arial" w:cs="Arial"/>
          <w:color w:val="000000" w:themeColor="text1"/>
          <w:lang w:val="es-ES_tradnl" w:eastAsia="es-ES_tradnl"/>
        </w:rPr>
      </w:pPr>
      <w:r w:rsidRPr="00A068FC">
        <w:rPr>
          <w:rFonts w:ascii="Verdana" w:hAnsi="Verdana" w:eastAsia="Arial" w:cs="Arial"/>
          <w:color w:val="000000" w:themeColor="text1"/>
          <w:lang w:val="es-ES_tradnl" w:eastAsia="es-ES_tradnl"/>
        </w:rPr>
        <w:t>En atención a lo expuesto, se concluye que, el contrato estatal, sea sujeto al ámbito del EGCAP o por fuera de él, es un acuerdo de voluntades celebrado por una Entidad Estatal con un particular u otra entidad que genera, extingue o modifica obligaciones para quienes lo</w:t>
      </w:r>
      <w:r w:rsidRPr="00A068FC">
        <w:rPr>
          <w:rFonts w:ascii="Verdana" w:hAnsi="Verdana" w:eastAsia="Arial" w:cs="Arial"/>
          <w:color w:val="000000" w:themeColor="text1"/>
          <w:spacing w:val="-5"/>
          <w:lang w:val="es-ES_tradnl" w:eastAsia="es-ES_tradnl"/>
        </w:rPr>
        <w:t xml:space="preserve"> </w:t>
      </w:r>
      <w:r w:rsidRPr="00A068FC">
        <w:rPr>
          <w:rFonts w:ascii="Verdana" w:hAnsi="Verdana" w:eastAsia="Arial" w:cs="Arial"/>
          <w:color w:val="000000" w:themeColor="text1"/>
          <w:lang w:val="es-ES_tradnl" w:eastAsia="es-ES_tradnl"/>
        </w:rPr>
        <w:t xml:space="preserve">suscriben, regida por un derecho mixto, en los términos explicados. </w:t>
      </w:r>
    </w:p>
    <w:p w:rsidRPr="00A068FC" w:rsidR="00B76D42" w:rsidP="00B76D42" w:rsidRDefault="00B76D42" w14:paraId="5CF0EE17" w14:textId="77777777">
      <w:pPr>
        <w:spacing w:after="0" w:line="276" w:lineRule="auto"/>
        <w:jc w:val="both"/>
        <w:rPr>
          <w:rFonts w:ascii="Verdana" w:hAnsi="Verdana" w:eastAsia="Century Gothic" w:cs="Century Gothic"/>
          <w:b/>
          <w:bCs/>
          <w:lang w:val="es-ES_tradnl" w:eastAsia="es-ES_tradnl"/>
        </w:rPr>
      </w:pPr>
    </w:p>
    <w:p w:rsidRPr="00A068FC" w:rsidR="00B76D42" w:rsidP="00B76D42" w:rsidRDefault="00B76D42" w14:paraId="21EAC126" w14:textId="77777777">
      <w:pPr>
        <w:tabs>
          <w:tab w:val="left" w:pos="142"/>
          <w:tab w:val="left" w:pos="426"/>
        </w:tabs>
        <w:spacing w:after="0" w:line="276" w:lineRule="auto"/>
        <w:jc w:val="both"/>
        <w:rPr>
          <w:rFonts w:ascii="Verdana" w:hAnsi="Verdana" w:eastAsia="Calibri" w:cs="Arial"/>
          <w:b/>
          <w:lang w:val="es-ES"/>
        </w:rPr>
      </w:pPr>
      <w:r w:rsidRPr="00A068FC">
        <w:rPr>
          <w:rFonts w:ascii="Verdana" w:hAnsi="Verdana" w:eastAsia="Calibri" w:cs="Arial"/>
          <w:b/>
          <w:lang w:val="es-ES"/>
        </w:rPr>
        <w:t xml:space="preserve">2.2. Los contratos atípicos </w:t>
      </w:r>
      <w:r>
        <w:rPr>
          <w:rFonts w:ascii="Verdana" w:hAnsi="Verdana" w:eastAsia="Calibri" w:cs="Arial"/>
          <w:b/>
          <w:lang w:val="es-ES"/>
        </w:rPr>
        <w:t>en el derecho administrativo</w:t>
      </w:r>
    </w:p>
    <w:p w:rsidRPr="00A068FC" w:rsidR="00B76D42" w:rsidP="00B76D42" w:rsidRDefault="00B76D42" w14:paraId="46008BA5" w14:textId="77777777">
      <w:pPr>
        <w:tabs>
          <w:tab w:val="left" w:pos="142"/>
          <w:tab w:val="left" w:pos="426"/>
        </w:tabs>
        <w:spacing w:after="0" w:line="276" w:lineRule="auto"/>
        <w:jc w:val="both"/>
        <w:rPr>
          <w:rFonts w:ascii="Verdana" w:hAnsi="Verdana" w:eastAsia="Calibri" w:cs="Arial"/>
          <w:b/>
          <w:lang w:val="es-ES"/>
        </w:rPr>
      </w:pPr>
    </w:p>
    <w:p w:rsidR="00B76D42" w:rsidP="00B76D42" w:rsidRDefault="00B76D42" w14:paraId="1DFA25AA" w14:textId="77777777">
      <w:pPr>
        <w:tabs>
          <w:tab w:val="left" w:pos="142"/>
          <w:tab w:val="left" w:pos="426"/>
        </w:tabs>
        <w:spacing w:after="120" w:line="276" w:lineRule="auto"/>
        <w:jc w:val="both"/>
        <w:rPr>
          <w:rFonts w:ascii="Verdana" w:hAnsi="Verdana"/>
        </w:rPr>
      </w:pPr>
      <w:r>
        <w:rPr>
          <w:rFonts w:ascii="Verdana" w:hAnsi="Verdana"/>
        </w:rPr>
        <w:t>Teniendo en cuenta el contenido de su consulta</w:t>
      </w:r>
      <w:r w:rsidRPr="00A068FC">
        <w:rPr>
          <w:rFonts w:ascii="Verdana" w:hAnsi="Verdana"/>
        </w:rPr>
        <w:t>, resulta importante mencionar que los contratos estatales – al igual que los que se celebran en el derecho privado – pueden clasificarse en contratos típicos y contratos atípicos. Los contratos atípicos se caracterizan por ser contratos en los cuales su causa o función socioeconómica no corresponde a ninguna de los contratos tipificados por la ley</w:t>
      </w:r>
      <w:r w:rsidRPr="00A068FC">
        <w:rPr>
          <w:rStyle w:val="Refdenotaalpie"/>
          <w:rFonts w:ascii="Verdana" w:hAnsi="Verdana"/>
        </w:rPr>
        <w:footnoteReference w:id="12"/>
      </w:r>
      <w:r w:rsidRPr="00A068FC">
        <w:rPr>
          <w:rFonts w:ascii="Verdana" w:hAnsi="Verdana"/>
        </w:rPr>
        <w:t>.</w:t>
      </w:r>
    </w:p>
    <w:p w:rsidRPr="00A068FC" w:rsidR="00B76D42" w:rsidP="00B76D42" w:rsidRDefault="00B76D42" w14:paraId="2083B3BD" w14:textId="77777777">
      <w:pPr>
        <w:tabs>
          <w:tab w:val="left" w:pos="142"/>
          <w:tab w:val="left" w:pos="426"/>
        </w:tabs>
        <w:spacing w:after="120" w:line="276" w:lineRule="auto"/>
        <w:jc w:val="both"/>
        <w:rPr>
          <w:rFonts w:ascii="Verdana" w:hAnsi="Verdana"/>
        </w:rPr>
      </w:pPr>
      <w:r>
        <w:rPr>
          <w:rFonts w:ascii="Verdana" w:hAnsi="Verdana"/>
        </w:rPr>
        <w:tab/>
      </w:r>
      <w:r>
        <w:rPr>
          <w:rFonts w:ascii="Verdana" w:hAnsi="Verdana"/>
        </w:rPr>
        <w:tab/>
      </w:r>
      <w:r>
        <w:rPr>
          <w:rFonts w:ascii="Verdana" w:hAnsi="Verdana"/>
        </w:rPr>
        <w:tab/>
      </w:r>
      <w:r w:rsidRPr="00A068FC">
        <w:rPr>
          <w:rFonts w:ascii="Verdana" w:hAnsi="Verdana"/>
        </w:rPr>
        <w:t>Tanto la jurisprudencia como la doctrina de derecho administrativo aceptan la presencia de contratos administrativos atípicos. En efecto, el Consejo de Estado, ha señalado que</w:t>
      </w:r>
      <w:r>
        <w:rPr>
          <w:rFonts w:ascii="Verdana" w:hAnsi="Verdana"/>
        </w:rPr>
        <w:t xml:space="preserve">: </w:t>
      </w:r>
      <w:r w:rsidRPr="00A068FC">
        <w:rPr>
          <w:rFonts w:ascii="Verdana" w:hAnsi="Verdana"/>
        </w:rPr>
        <w:t>“Como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r w:rsidRPr="00A068FC">
        <w:rPr>
          <w:rStyle w:val="Refdenotaalpie"/>
          <w:rFonts w:ascii="Verdana" w:hAnsi="Verdana"/>
        </w:rPr>
        <w:footnoteReference w:id="13"/>
      </w:r>
      <w:r w:rsidRPr="00A068FC">
        <w:rPr>
          <w:rFonts w:ascii="Verdana" w:hAnsi="Verdana"/>
        </w:rPr>
        <w:t>.</w:t>
      </w:r>
    </w:p>
    <w:p w:rsidR="00B76D42" w:rsidP="00B76D42" w:rsidRDefault="00B76D42" w14:paraId="77933059" w14:textId="77777777">
      <w:pPr>
        <w:tabs>
          <w:tab w:val="left" w:pos="142"/>
          <w:tab w:val="left" w:pos="426"/>
        </w:tabs>
        <w:spacing w:after="120" w:line="276" w:lineRule="auto"/>
        <w:jc w:val="both"/>
        <w:rPr>
          <w:rFonts w:ascii="Verdana" w:hAnsi="Verdana"/>
        </w:rPr>
      </w:pPr>
      <w:r w:rsidRPr="00A068FC">
        <w:rPr>
          <w:rFonts w:ascii="Verdana" w:hAnsi="Verdana"/>
        </w:rPr>
        <w:tab/>
      </w:r>
      <w:r w:rsidRPr="00A068FC">
        <w:rPr>
          <w:rFonts w:ascii="Verdana" w:hAnsi="Verdana"/>
        </w:rPr>
        <w:tab/>
      </w:r>
      <w:r w:rsidRPr="00A068FC">
        <w:rPr>
          <w:rFonts w:ascii="Verdana" w:hAnsi="Verdana"/>
        </w:rPr>
        <w:tab/>
      </w:r>
      <w:r w:rsidRPr="00A068FC">
        <w:rPr>
          <w:rFonts w:ascii="Verdana" w:hAnsi="Verdana"/>
        </w:rPr>
        <w:t xml:space="preserve">Tratándose de contratos atípicos estatales y </w:t>
      </w:r>
      <w:r>
        <w:rPr>
          <w:rFonts w:ascii="Verdana" w:hAnsi="Verdana"/>
        </w:rPr>
        <w:t>su</w:t>
      </w:r>
      <w:r w:rsidRPr="00A068FC">
        <w:rPr>
          <w:rFonts w:ascii="Verdana" w:hAnsi="Verdana"/>
        </w:rPr>
        <w:t xml:space="preserve"> contenido el mismo, estos son admisibles en nuestro ordenamiento jurídico, siempre y cuando esté dentro del orden público, que no tenga </w:t>
      </w:r>
      <w:proofErr w:type="gramStart"/>
      <w:r w:rsidRPr="00A068FC">
        <w:rPr>
          <w:rFonts w:ascii="Verdana" w:hAnsi="Verdana"/>
        </w:rPr>
        <w:t>objeto ilícito o causa ilícita</w:t>
      </w:r>
      <w:proofErr w:type="gramEnd"/>
      <w:r w:rsidRPr="00A068FC">
        <w:rPr>
          <w:rFonts w:ascii="Verdana" w:hAnsi="Verdana"/>
        </w:rPr>
        <w:t>, que no estén presentes vicios del consentimiento y que</w:t>
      </w:r>
      <w:r>
        <w:rPr>
          <w:rFonts w:ascii="Verdana" w:hAnsi="Verdana"/>
        </w:rPr>
        <w:t>,</w:t>
      </w:r>
      <w:r w:rsidRPr="00A068FC">
        <w:rPr>
          <w:rFonts w:ascii="Verdana" w:hAnsi="Verdana"/>
        </w:rPr>
        <w:t xml:space="preserve"> en aquellos casos que se exigen formalidades</w:t>
      </w:r>
      <w:r>
        <w:rPr>
          <w:rFonts w:ascii="Verdana" w:hAnsi="Verdana"/>
        </w:rPr>
        <w:t>,</w:t>
      </w:r>
      <w:r w:rsidRPr="00A068FC">
        <w:rPr>
          <w:rFonts w:ascii="Verdana" w:hAnsi="Verdana"/>
        </w:rPr>
        <w:t xml:space="preserve"> se cumplan para </w:t>
      </w:r>
      <w:r w:rsidRPr="00A068FC">
        <w:rPr>
          <w:rFonts w:ascii="Verdana" w:hAnsi="Verdana"/>
        </w:rPr>
        <w:t xml:space="preserve">el nacimiento del contrato. </w:t>
      </w:r>
      <w:r>
        <w:rPr>
          <w:rFonts w:ascii="Verdana" w:hAnsi="Verdana"/>
        </w:rPr>
        <w:t>Dado</w:t>
      </w:r>
      <w:r w:rsidRPr="00A068FC">
        <w:rPr>
          <w:rFonts w:ascii="Verdana" w:hAnsi="Verdana"/>
        </w:rPr>
        <w:t xml:space="preserve"> que se trata de contratos de la administración, además de cumplir con los anteriores requisitos el contrato debe constar por escrito. </w:t>
      </w:r>
    </w:p>
    <w:p w:rsidR="00B76D42" w:rsidP="00B76D42" w:rsidRDefault="00B76D42" w14:paraId="64B2CC9A" w14:textId="4F518A66">
      <w:pPr>
        <w:tabs>
          <w:tab w:val="left" w:pos="142"/>
          <w:tab w:val="left" w:pos="426"/>
        </w:tabs>
        <w:spacing w:after="120" w:line="276" w:lineRule="auto"/>
        <w:jc w:val="both"/>
        <w:rPr>
          <w:rFonts w:ascii="Verdana" w:hAnsi="Verdana"/>
        </w:rPr>
      </w:pPr>
      <w:r>
        <w:rPr>
          <w:rFonts w:ascii="Verdana" w:hAnsi="Verdana"/>
        </w:rPr>
        <w:tab/>
      </w:r>
      <w:r>
        <w:rPr>
          <w:rFonts w:ascii="Verdana" w:hAnsi="Verdana"/>
        </w:rPr>
        <w:tab/>
      </w:r>
      <w:r>
        <w:rPr>
          <w:rFonts w:ascii="Verdana" w:hAnsi="Verdana"/>
        </w:rPr>
        <w:tab/>
      </w:r>
      <w:r>
        <w:rPr>
          <w:rFonts w:ascii="Verdana" w:hAnsi="Verdana"/>
        </w:rPr>
        <w:t>Conforme lo expuesto y r</w:t>
      </w:r>
      <w:r w:rsidRPr="00A068FC">
        <w:rPr>
          <w:rFonts w:ascii="Verdana" w:hAnsi="Verdana"/>
        </w:rPr>
        <w:t>espondiendo a sus consultas,</w:t>
      </w:r>
      <w:r>
        <w:rPr>
          <w:rFonts w:ascii="Verdana" w:hAnsi="Verdana"/>
        </w:rPr>
        <w:t xml:space="preserve"> esta Agencia considera que</w:t>
      </w:r>
      <w:r w:rsidRPr="00A068FC">
        <w:rPr>
          <w:rFonts w:ascii="Verdana" w:hAnsi="Verdana"/>
        </w:rPr>
        <w:t xml:space="preserve"> la </w:t>
      </w:r>
      <w:r w:rsidR="007921E7">
        <w:rPr>
          <w:rFonts w:ascii="Verdana" w:hAnsi="Verdana"/>
        </w:rPr>
        <w:t>L</w:t>
      </w:r>
      <w:r w:rsidRPr="00A068FC">
        <w:rPr>
          <w:rFonts w:ascii="Verdana" w:hAnsi="Verdana"/>
        </w:rPr>
        <w:t>ey 80 de 1993 facultó a las Entidades Públicas para que estas</w:t>
      </w:r>
      <w:r>
        <w:rPr>
          <w:rFonts w:ascii="Verdana" w:hAnsi="Verdana"/>
        </w:rPr>
        <w:t>,</w:t>
      </w:r>
      <w:r w:rsidRPr="00A068FC">
        <w:rPr>
          <w:rFonts w:ascii="Verdana" w:hAnsi="Verdana"/>
        </w:rPr>
        <w:t xml:space="preserve"> en aplicación de</w:t>
      </w:r>
      <w:r>
        <w:rPr>
          <w:rFonts w:ascii="Verdana" w:hAnsi="Verdana"/>
        </w:rPr>
        <w:t>l principio de autonomía explicado en el acápite anterior,</w:t>
      </w:r>
      <w:r w:rsidRPr="00A068FC">
        <w:rPr>
          <w:rFonts w:ascii="Verdana" w:hAnsi="Verdana"/>
        </w:rPr>
        <w:t xml:space="preserve"> sean quienes determinen el tipo de contrato que mejor se ajuste al interés general e incluyan en sus contratos las cláusulas necesarias para dicho fin.</w:t>
      </w:r>
    </w:p>
    <w:p w:rsidRPr="00A068FC" w:rsidR="00B76D42" w:rsidP="00B76D42" w:rsidRDefault="00B76D42" w14:paraId="3A601CF7" w14:textId="77777777">
      <w:pPr>
        <w:tabs>
          <w:tab w:val="left" w:pos="142"/>
          <w:tab w:val="left" w:pos="426"/>
        </w:tabs>
        <w:spacing w:after="0" w:line="276" w:lineRule="auto"/>
        <w:contextualSpacing/>
        <w:jc w:val="both"/>
        <w:rPr>
          <w:rFonts w:ascii="Verdana" w:hAnsi="Verdana"/>
        </w:rPr>
      </w:pPr>
      <w:r w:rsidRPr="00A068FC">
        <w:rPr>
          <w:rFonts w:ascii="Verdana" w:hAnsi="Verdana"/>
        </w:rPr>
        <w:tab/>
      </w:r>
      <w:r w:rsidRPr="00A068FC">
        <w:rPr>
          <w:rFonts w:ascii="Verdana" w:hAnsi="Verdana"/>
        </w:rPr>
        <w:tab/>
      </w:r>
      <w:r w:rsidRPr="00A068FC">
        <w:rPr>
          <w:rFonts w:ascii="Verdana" w:hAnsi="Verdana"/>
        </w:rPr>
        <w:tab/>
      </w:r>
      <w:r>
        <w:rPr>
          <w:rFonts w:ascii="Verdana" w:hAnsi="Verdana"/>
        </w:rPr>
        <w:t xml:space="preserve">Ahora bien, frente a su consulta acerca de los elementos que componen los contratos atípicos como el contrato de concesión de espacios, es imperioso decir que, </w:t>
      </w:r>
      <w:r w:rsidRPr="00A068FC">
        <w:rPr>
          <w:rFonts w:ascii="Verdana" w:hAnsi="Verdana"/>
        </w:rPr>
        <w:t>las partes son las que dotan al contrato de aquellos elementos esenciales que confluyen bien sea de tomar elementos propios de otras figuras o de elementos originales para crear una relación jurídica propia que difiere de las demás. Al respecto, el Consejo de Estado ha manifestado:</w:t>
      </w:r>
    </w:p>
    <w:p w:rsidRPr="005F0A4B" w:rsidR="00B76D42" w:rsidP="00B76D42" w:rsidRDefault="00B76D42" w14:paraId="14441496" w14:textId="77777777">
      <w:pPr>
        <w:tabs>
          <w:tab w:val="left" w:pos="142"/>
          <w:tab w:val="left" w:pos="426"/>
        </w:tabs>
        <w:spacing w:after="0" w:line="276" w:lineRule="auto"/>
        <w:contextualSpacing/>
        <w:jc w:val="both"/>
        <w:rPr>
          <w:rFonts w:ascii="Verdana" w:hAnsi="Verdana"/>
        </w:rPr>
      </w:pPr>
    </w:p>
    <w:p w:rsidRPr="005F0A4B" w:rsidR="00B76D42" w:rsidP="00B76D42" w:rsidRDefault="00B76D42" w14:paraId="12D684B4" w14:textId="77777777">
      <w:pPr>
        <w:tabs>
          <w:tab w:val="left" w:pos="142"/>
          <w:tab w:val="left" w:pos="426"/>
        </w:tabs>
        <w:spacing w:after="0" w:line="240" w:lineRule="auto"/>
        <w:ind w:left="709" w:right="709"/>
        <w:contextualSpacing/>
        <w:jc w:val="both"/>
        <w:rPr>
          <w:rFonts w:ascii="Verdana" w:hAnsi="Verdana" w:eastAsia="Calibri" w:cs="Arial"/>
          <w:b/>
          <w:sz w:val="20"/>
          <w:szCs w:val="20"/>
          <w:lang w:val="es-ES"/>
        </w:rPr>
      </w:pPr>
      <w:r w:rsidRPr="005F0A4B">
        <w:rPr>
          <w:rFonts w:ascii="Verdana" w:hAnsi="Verdana"/>
          <w:sz w:val="20"/>
          <w:szCs w:val="20"/>
        </w:rPr>
        <w:t>“Así las cosas, puede decirse que lo esencial en un acuerdo de voluntades, es aquello sin lo cual ese acuerdo deja de serlo para mutar en otro diferente o simplemente para extinguirse. En otras palabras, si llegaren a desaparecer elementos esenciales durante la ejecución de un contrato, la consecuencia lógica sería su terminación, o la necesidad de suscribir otro que regule la nueva situación fáctica que se presenta, precisamente por el desaparecimiento del elemento esencial que determinaba la existencia del contrato anterior”.</w:t>
      </w:r>
      <w:r w:rsidRPr="005F0A4B">
        <w:rPr>
          <w:rStyle w:val="Refdenotaalpie"/>
          <w:rFonts w:ascii="Verdana" w:hAnsi="Verdana"/>
          <w:sz w:val="20"/>
          <w:szCs w:val="20"/>
        </w:rPr>
        <w:footnoteReference w:id="14"/>
      </w:r>
    </w:p>
    <w:p w:rsidRPr="00A068FC" w:rsidR="00B76D42" w:rsidP="00B76D42" w:rsidRDefault="00B76D42" w14:paraId="4AADA86F" w14:textId="77777777">
      <w:pPr>
        <w:tabs>
          <w:tab w:val="left" w:pos="142"/>
          <w:tab w:val="left" w:pos="426"/>
        </w:tabs>
        <w:spacing w:after="0" w:line="276" w:lineRule="auto"/>
        <w:jc w:val="both"/>
        <w:rPr>
          <w:rFonts w:ascii="Verdana" w:hAnsi="Verdana"/>
        </w:rPr>
      </w:pPr>
    </w:p>
    <w:p w:rsidRPr="004B7010" w:rsidR="00B76D42" w:rsidP="00B76D42" w:rsidRDefault="00B76D42" w14:paraId="03238943" w14:textId="77777777">
      <w:pPr>
        <w:tabs>
          <w:tab w:val="left" w:pos="142"/>
          <w:tab w:val="left" w:pos="426"/>
        </w:tabs>
        <w:spacing w:after="0" w:line="276" w:lineRule="auto"/>
        <w:jc w:val="both"/>
        <w:rPr>
          <w:rFonts w:ascii="Verdana" w:hAnsi="Verdana" w:eastAsia="Calibri" w:cs="Arial"/>
          <w:b/>
          <w:lang w:val="es-ES"/>
        </w:rPr>
      </w:pPr>
      <w:r w:rsidRPr="004B7010">
        <w:rPr>
          <w:rFonts w:ascii="Verdana" w:hAnsi="Verdana"/>
        </w:rPr>
        <w:tab/>
      </w:r>
      <w:r w:rsidRPr="004B7010">
        <w:rPr>
          <w:rFonts w:ascii="Verdana" w:hAnsi="Verdana"/>
        </w:rPr>
        <w:tab/>
      </w:r>
      <w:r w:rsidRPr="004B7010">
        <w:rPr>
          <w:rFonts w:ascii="Verdana" w:hAnsi="Verdana"/>
        </w:rPr>
        <w:tab/>
      </w:r>
      <w:r w:rsidRPr="004B7010">
        <w:rPr>
          <w:rFonts w:ascii="Verdana" w:hAnsi="Verdana"/>
        </w:rPr>
        <w:t xml:space="preserve">Conforme lo expuesto, 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4B7010">
        <w:rPr>
          <w:rFonts w:ascii="Verdana" w:hAnsi="Verdana"/>
        </w:rPr>
        <w:t>ii</w:t>
      </w:r>
      <w:proofErr w:type="spellEnd"/>
      <w:r w:rsidRPr="004B7010">
        <w:rPr>
          <w:rFonts w:ascii="Verdana" w:hAnsi="Verdana"/>
        </w:rPr>
        <w:t xml:space="preserve">) los límites impuestos por el orden público; </w:t>
      </w:r>
      <w:proofErr w:type="spellStart"/>
      <w:r w:rsidRPr="004B7010">
        <w:rPr>
          <w:rFonts w:ascii="Verdana" w:hAnsi="Verdana"/>
        </w:rPr>
        <w:t>iii</w:t>
      </w:r>
      <w:proofErr w:type="spellEnd"/>
      <w:r w:rsidRPr="004B7010">
        <w:rPr>
          <w:rFonts w:ascii="Verdana" w:hAnsi="Verdana"/>
        </w:rPr>
        <w:t xml:space="preserve">) en aquellos casos en los que se encuentren vacíos en el contrato o se requiera interpretar aspectos de aquel se deberá tener en cuenta que el EGCAP opera de forma supletiva frente al silencio de las partes; </w:t>
      </w:r>
      <w:proofErr w:type="spellStart"/>
      <w:r w:rsidRPr="004B7010">
        <w:rPr>
          <w:rFonts w:ascii="Verdana" w:hAnsi="Verdana"/>
        </w:rPr>
        <w:t>iv</w:t>
      </w:r>
      <w:proofErr w:type="spellEnd"/>
      <w:r w:rsidRPr="004B7010">
        <w:rPr>
          <w:rFonts w:ascii="Verdana" w:hAnsi="Verdana"/>
        </w:rPr>
        <w:t>) las normas generales sobre contratos contenidas en las normas de derecho privado de conformidad con el artículo 13 de la Ley 80 de 1993 y v) la aplicación de los principios generales de derecho y de la administración pública en especial</w:t>
      </w:r>
      <w:r>
        <w:rPr>
          <w:rFonts w:ascii="Verdana" w:hAnsi="Verdana"/>
        </w:rPr>
        <w:t>.</w:t>
      </w:r>
    </w:p>
    <w:p w:rsidRPr="004B7010" w:rsidR="00B76D42" w:rsidP="00B76D42" w:rsidRDefault="00B76D42" w14:paraId="05558824" w14:textId="77777777">
      <w:pPr>
        <w:tabs>
          <w:tab w:val="left" w:pos="142"/>
          <w:tab w:val="left" w:pos="426"/>
        </w:tabs>
        <w:spacing w:after="0" w:line="276" w:lineRule="auto"/>
        <w:jc w:val="both"/>
        <w:rPr>
          <w:rFonts w:ascii="Verdana" w:hAnsi="Verdana" w:eastAsia="Calibri" w:cs="Arial"/>
          <w:b/>
          <w:lang w:val="es-ES"/>
        </w:rPr>
      </w:pPr>
    </w:p>
    <w:p w:rsidRPr="00A068FC" w:rsidR="00B76D42" w:rsidP="00B76D42" w:rsidRDefault="00B76D42" w14:paraId="3D54746B" w14:textId="12188E55">
      <w:pPr>
        <w:tabs>
          <w:tab w:val="left" w:pos="142"/>
          <w:tab w:val="left" w:pos="426"/>
        </w:tabs>
        <w:spacing w:after="0" w:line="276" w:lineRule="auto"/>
        <w:jc w:val="both"/>
        <w:rPr>
          <w:rFonts w:ascii="Verdana" w:hAnsi="Verdana" w:eastAsia="Calibri" w:cs="Arial"/>
          <w:b/>
          <w:lang w:val="es-ES"/>
        </w:rPr>
      </w:pPr>
      <w:r w:rsidRPr="004B7010">
        <w:rPr>
          <w:rFonts w:ascii="Verdana" w:hAnsi="Verdana" w:eastAsia="Calibri" w:cs="Arial"/>
          <w:b/>
          <w:lang w:val="es-ES"/>
        </w:rPr>
        <w:t xml:space="preserve">2.3. </w:t>
      </w:r>
      <w:r>
        <w:rPr>
          <w:rFonts w:ascii="Verdana" w:hAnsi="Verdana" w:eastAsia="Calibri" w:cs="Arial"/>
          <w:b/>
          <w:lang w:val="es-ES"/>
        </w:rPr>
        <w:t xml:space="preserve">Régimen jurídico sobre el </w:t>
      </w:r>
      <w:r w:rsidRPr="004B7010" w:rsidR="00F70015">
        <w:rPr>
          <w:rFonts w:ascii="Verdana" w:hAnsi="Verdana" w:eastAsia="Times New Roman" w:cs="Times New Roman"/>
          <w:b/>
          <w:bCs/>
          <w:shd w:val="clear" w:color="auto" w:fill="FFFFFF"/>
          <w:lang w:eastAsia="es-ES_tradnl"/>
        </w:rPr>
        <w:t>aprovechamiento</w:t>
      </w:r>
      <w:r w:rsidRPr="004B7010">
        <w:rPr>
          <w:rFonts w:ascii="Verdana" w:hAnsi="Verdana" w:eastAsia="Times New Roman" w:cs="Times New Roman"/>
          <w:b/>
          <w:bCs/>
          <w:shd w:val="clear" w:color="auto" w:fill="FFFFFF"/>
          <w:lang w:eastAsia="es-ES_tradnl"/>
        </w:rPr>
        <w:t xml:space="preserve"> económico del espacio público</w:t>
      </w:r>
    </w:p>
    <w:p w:rsidRPr="00A068FC" w:rsidR="00B76D42" w:rsidP="00B76D42" w:rsidRDefault="00B76D42" w14:paraId="6C030533" w14:textId="77777777">
      <w:pPr>
        <w:tabs>
          <w:tab w:val="left" w:pos="142"/>
          <w:tab w:val="left" w:pos="426"/>
        </w:tabs>
        <w:spacing w:after="0" w:line="276" w:lineRule="auto"/>
        <w:jc w:val="both"/>
        <w:rPr>
          <w:rFonts w:ascii="Verdana" w:hAnsi="Verdana" w:eastAsia="Times New Roman" w:cs="Arial"/>
          <w:szCs w:val="24"/>
          <w:lang w:eastAsia="es-ES_tradnl"/>
        </w:rPr>
      </w:pPr>
    </w:p>
    <w:p w:rsidRPr="000C2D90" w:rsidR="00B76D42" w:rsidP="00B76D42" w:rsidRDefault="00B76D42" w14:paraId="4AEB6C5D" w14:textId="77777777">
      <w:pPr>
        <w:spacing w:after="120" w:line="276" w:lineRule="auto"/>
        <w:jc w:val="both"/>
        <w:rPr>
          <w:rFonts w:ascii="Verdana" w:hAnsi="Verdana" w:eastAsia="Times New Roman" w:cs="Times New Roman"/>
          <w:lang w:eastAsia="es-ES_tradnl"/>
        </w:rPr>
      </w:pPr>
      <w:r w:rsidRPr="000C2D90">
        <w:rPr>
          <w:rFonts w:ascii="Verdana" w:hAnsi="Verdana" w:eastAsia="Times New Roman" w:cs="Arial"/>
          <w:lang w:eastAsia="es-MX"/>
        </w:rPr>
        <w:t xml:space="preserve">Respecto del objeto de su consulta acerca del contrato de concesión de espacios públicos, es importante mencionar que, de acuerdo con </w:t>
      </w:r>
      <w:r w:rsidRPr="000C2D90">
        <w:rPr>
          <w:rFonts w:ascii="Verdana" w:hAnsi="Verdana" w:eastAsia="Times New Roman" w:cs="Arial"/>
          <w:bCs/>
          <w:color w:val="000000" w:themeColor="text1"/>
          <w:lang w:val="es-ES" w:eastAsia="es-ES_tradnl"/>
        </w:rPr>
        <w:t>la Sección Tercera del Consejo de Estado</w:t>
      </w:r>
      <w:r w:rsidRPr="000C2D90">
        <w:rPr>
          <w:rFonts w:ascii="Verdana" w:hAnsi="Verdana" w:eastAsia="Times New Roman" w:cs="Arial"/>
          <w:lang w:eastAsia="es-MX"/>
        </w:rPr>
        <w:t xml:space="preserve"> </w:t>
      </w:r>
      <w:r w:rsidRPr="000C2D90">
        <w:rPr>
          <w:rFonts w:ascii="Verdana" w:hAnsi="Verdana" w:eastAsia="Times New Roman" w:cs="Arial"/>
          <w:bCs/>
          <w:color w:val="000000" w:themeColor="text1"/>
          <w:lang w:val="es-ES" w:eastAsia="es-ES_tradnl"/>
        </w:rPr>
        <w:t>si el arrendamiento recae sobre bienes públicos los bienes que pueden ser susceptibles de arrendamiento son únicamente los bienes fiscales, no los bienes de uso público</w:t>
      </w:r>
      <w:r w:rsidRPr="000C2D90">
        <w:rPr>
          <w:rFonts w:ascii="Verdana" w:hAnsi="Verdana" w:eastAsia="Times New Roman" w:cs="Arial"/>
          <w:vertAlign w:val="superscript"/>
          <w:lang w:eastAsia="es-ES_tradnl"/>
        </w:rPr>
        <w:footnoteReference w:id="15"/>
      </w:r>
      <w:r w:rsidRPr="000C2D90">
        <w:rPr>
          <w:rFonts w:ascii="Verdana" w:hAnsi="Verdana" w:eastAsia="Times New Roman" w:cs="Arial"/>
          <w:bCs/>
          <w:color w:val="000000" w:themeColor="text1"/>
          <w:lang w:val="es-ES" w:eastAsia="es-ES_tradnl"/>
        </w:rPr>
        <w:t>. Por lo anterior, es necesario adentrarnos en el estudio de los contratos relativos al aprovechamiento económico del espacio público.</w:t>
      </w:r>
    </w:p>
    <w:p w:rsidRPr="000C2D90" w:rsidR="00B76D42" w:rsidP="00B76D42" w:rsidRDefault="00B76D42" w14:paraId="44A908EC" w14:textId="77777777">
      <w:pPr>
        <w:tabs>
          <w:tab w:val="left" w:pos="142"/>
          <w:tab w:val="left" w:pos="426"/>
        </w:tabs>
        <w:spacing w:after="120" w:line="276" w:lineRule="auto"/>
        <w:jc w:val="both"/>
        <w:rPr>
          <w:rFonts w:ascii="Verdana" w:hAnsi="Verdana" w:eastAsia="Times New Roman" w:cs="Arial"/>
          <w:bCs/>
          <w:color w:val="000000" w:themeColor="text1"/>
          <w:lang w:val="es-ES" w:eastAsia="es-ES_tradnl"/>
        </w:rPr>
      </w:pPr>
      <w:r w:rsidRPr="000C2D90">
        <w:rPr>
          <w:rFonts w:ascii="Verdana" w:hAnsi="Verdana" w:eastAsia="Times New Roman" w:cs="Arial"/>
          <w:bCs/>
          <w:color w:val="000000" w:themeColor="text1"/>
          <w:lang w:val="es-ES" w:eastAsia="es-ES_tradnl"/>
        </w:rPr>
        <w:tab/>
      </w:r>
      <w:r w:rsidRPr="000C2D90">
        <w:rPr>
          <w:rFonts w:ascii="Verdana" w:hAnsi="Verdana" w:eastAsia="Times New Roman" w:cs="Arial"/>
          <w:bCs/>
          <w:color w:val="000000" w:themeColor="text1"/>
          <w:lang w:val="es-ES" w:eastAsia="es-ES_tradnl"/>
        </w:rPr>
        <w:tab/>
      </w:r>
      <w:r w:rsidRPr="000C2D90">
        <w:rPr>
          <w:rFonts w:ascii="Verdana" w:hAnsi="Verdana" w:eastAsia="Times New Roman" w:cs="Arial"/>
          <w:bCs/>
          <w:color w:val="000000" w:themeColor="text1"/>
          <w:lang w:val="es-ES" w:eastAsia="es-ES_tradnl"/>
        </w:rPr>
        <w:tab/>
      </w:r>
      <w:r w:rsidRPr="000C2D90">
        <w:rPr>
          <w:rFonts w:ascii="Verdana" w:hAnsi="Verdana" w:eastAsia="Times New Roman" w:cs="Times New Roman"/>
          <w:lang w:eastAsia="es-ES_tradnl"/>
        </w:rPr>
        <w:t>De acuerdo con el artículo 311 de la Constitución Política, les corresponde a los municipios “ordenar el desarrollo de su territorio” y “el mejoramiento social y cultural de sus habitantes”. En consonancia con lo anterior, el numeral 9 del artículo 313.</w:t>
      </w:r>
      <w:r w:rsidRPr="000C2D90">
        <w:rPr>
          <w:rFonts w:ascii="Verdana" w:hAnsi="Verdana" w:eastAsia="Times New Roman" w:cs="Times New Roman"/>
          <w:i/>
          <w:iCs/>
          <w:lang w:eastAsia="es-ES_tradnl"/>
        </w:rPr>
        <w:t>ibidem</w:t>
      </w:r>
      <w:r w:rsidRPr="000C2D90">
        <w:rPr>
          <w:rFonts w:ascii="Verdana" w:hAnsi="Verdana" w:eastAsia="Times New Roman" w:cs="Times New Roman"/>
          <w:lang w:eastAsia="es-ES_tradnl"/>
        </w:rPr>
        <w:t xml:space="preserve"> encomienda a los concejos municipales “[d]</w:t>
      </w:r>
      <w:proofErr w:type="spellStart"/>
      <w:r w:rsidRPr="000C2D90">
        <w:rPr>
          <w:rFonts w:ascii="Verdana" w:hAnsi="Verdana" w:eastAsia="Times New Roman" w:cs="Times New Roman"/>
          <w:lang w:eastAsia="es-ES_tradnl"/>
        </w:rPr>
        <w:t>ictar</w:t>
      </w:r>
      <w:proofErr w:type="spellEnd"/>
      <w:r w:rsidRPr="000C2D90">
        <w:rPr>
          <w:rFonts w:ascii="Verdana" w:hAnsi="Verdana" w:eastAsia="Times New Roman" w:cs="Times New Roman"/>
          <w:lang w:eastAsia="es-ES_tradnl"/>
        </w:rPr>
        <w:t xml:space="preserve"> las normas necesarias para el control, la preservación y defensa del patrimonio ecológico y cultural del municipio”.</w:t>
      </w:r>
    </w:p>
    <w:p w:rsidRPr="000C2D90" w:rsidR="00B76D42" w:rsidP="00B76D42" w:rsidRDefault="00B76D42" w14:paraId="23C8171C"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Teniendo en cuenta las facultades que le otorga la a los entes locales, los artículos 5 y 6 de la Ley 388 de 1997</w:t>
      </w:r>
      <w:r w:rsidRPr="000C2D90">
        <w:rPr>
          <w:rStyle w:val="Refdenotaalpie"/>
          <w:rFonts w:ascii="Verdana" w:hAnsi="Verdana" w:eastAsia="Times New Roman" w:cs="Times New Roman"/>
          <w:lang w:eastAsia="es-ES_tradnl"/>
        </w:rPr>
        <w:footnoteReference w:id="16"/>
      </w:r>
      <w:r w:rsidRPr="000C2D90">
        <w:rPr>
          <w:rFonts w:ascii="Verdana" w:hAnsi="Verdana" w:eastAsia="Times New Roman" w:cs="Times New Roman"/>
          <w:lang w:eastAsia="es-ES_tradnl"/>
        </w:rPr>
        <w:t xml:space="preserve"> habilitan a las autoridades municipales y distritales a regular la ocupación del espacio público cuando, por ejemplo, delimitan el ordenamiento territorial como una función pública concebida para “disponer de instrumentos eficientes para orientar el desarrollo del territorio bajo su jurisdicción y regular la utilización, transformación y ocupación del espacio…” y para la “…definición de las estrategias territoriales de uso, ocupación y manejo del suelo, en función de los objetivos económicos, sociales, urbanísticos y ambientales”. </w:t>
      </w:r>
    </w:p>
    <w:p w:rsidRPr="000C2D90" w:rsidR="00B76D42" w:rsidP="00B76D42" w:rsidRDefault="00B76D42" w14:paraId="4E2B4AB0"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 xml:space="preserve">De lo expuesto se concluye que, el diseño del espacio público y la determinación de su uso corresponden a las autoridades municipales. No en vano el artículo 7º del Decreto 1504 de 1998 lo cataloga como “el elemento articulador y estructurante fundamental del espacio en la ciudad, así como el regulador de las condiciones ambientales de la misma, y por lo tanto se constituye en uno de los principales elementos estructurales de los Planes de Ordenamiento Territorial”. </w:t>
      </w:r>
    </w:p>
    <w:p w:rsidRPr="000C2D90" w:rsidR="00B76D42" w:rsidP="00B76D42" w:rsidRDefault="00B76D42" w14:paraId="6DDD20A5"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 xml:space="preserve">Es claro entonces que las principales determinaciones en relación con este bien colectivo incumben a los concejos municipales o distritales en ejercicio de su competencia relacionada con la ordenación del territorio local. </w:t>
      </w:r>
    </w:p>
    <w:p w:rsidRPr="000C2D90" w:rsidR="00B76D42" w:rsidP="00B76D42" w:rsidRDefault="00B76D42" w14:paraId="573A4A8F" w14:textId="77777777">
      <w:pPr>
        <w:spacing w:after="0" w:line="276" w:lineRule="auto"/>
        <w:ind w:firstLine="709"/>
        <w:jc w:val="both"/>
        <w:rPr>
          <w:rFonts w:ascii="Verdana" w:hAnsi="Verdana" w:eastAsia="Times New Roman" w:cs="Times New Roman"/>
          <w:lang w:eastAsia="es-ES_tradnl"/>
        </w:rPr>
      </w:pPr>
      <w:r w:rsidRPr="000C2D90">
        <w:rPr>
          <w:rFonts w:ascii="Verdana" w:hAnsi="Verdana" w:eastAsia="Times New Roman" w:cs="Times New Roman"/>
          <w:lang w:eastAsia="es-ES_tradnl"/>
        </w:rPr>
        <w:t xml:space="preserve">Ahora bien, debe traerse a colación lo dispuesto en el Decreto 1504 de 1998 respecto a la posibilidad de entregar a particulares la gestión de este bien, pues allí se habilita a dichos entes territoriales para autorizar la administración, mantenimiento y el aprovechamiento económico del espacio público cuando así lo solicitan los particulares y las autoridades lo estimen oportuno, siempre que ello no incida sobre la destinación al uso común que es propia de esta clase de bienes, no se generen derechos reales y aseguren la prevalencia del interés general sobre el particular. Lo anterior se extrae del artículo </w:t>
      </w:r>
      <w:r w:rsidRPr="000C2D90">
        <w:rPr>
          <w:rFonts w:ascii="Verdana" w:hAnsi="Verdana" w:eastAsia="Times New Roman" w:cs="Times New Roman"/>
          <w:color w:val="505050"/>
          <w:lang w:eastAsia="es-ES_tradnl"/>
        </w:rPr>
        <w:t>19</w:t>
      </w:r>
      <w:r w:rsidRPr="000C2D90">
        <w:rPr>
          <w:rFonts w:ascii="Verdana" w:hAnsi="Verdana" w:eastAsia="Times New Roman" w:cs="Times New Roman"/>
          <w:lang w:eastAsia="es-ES_tradnl"/>
        </w:rPr>
        <w:t xml:space="preserve">, que a tenor literal dispone: </w:t>
      </w:r>
    </w:p>
    <w:p w:rsidRPr="000C2D90" w:rsidR="00B76D42" w:rsidP="00B76D42" w:rsidRDefault="00B76D42" w14:paraId="724B2A16" w14:textId="77777777">
      <w:pPr>
        <w:spacing w:after="0" w:line="276" w:lineRule="auto"/>
        <w:jc w:val="both"/>
        <w:rPr>
          <w:rFonts w:ascii="Verdana" w:hAnsi="Verdana" w:eastAsia="Times New Roman" w:cs="Times New Roman"/>
          <w:lang w:eastAsia="es-ES_tradnl"/>
        </w:rPr>
      </w:pPr>
    </w:p>
    <w:p w:rsidRPr="00A068FC" w:rsidR="00B76D42" w:rsidP="00B76D42" w:rsidRDefault="00B76D42" w14:paraId="489A7B8A" w14:textId="77777777">
      <w:pPr>
        <w:spacing w:after="0" w:line="240" w:lineRule="auto"/>
        <w:ind w:left="709" w:right="709"/>
        <w:jc w:val="both"/>
        <w:rPr>
          <w:rFonts w:ascii="Verdana" w:hAnsi="Verdana" w:eastAsia="Times New Roman" w:cs="Times New Roman"/>
          <w:sz w:val="20"/>
          <w:szCs w:val="20"/>
          <w:lang w:eastAsia="es-ES_tradnl"/>
        </w:rPr>
      </w:pPr>
      <w:r w:rsidRPr="00A068FC">
        <w:rPr>
          <w:rFonts w:ascii="Verdana" w:hAnsi="Verdana" w:eastAsia="Times New Roman" w:cs="Times New Roman"/>
          <w:sz w:val="20"/>
          <w:szCs w:val="20"/>
          <w:lang w:eastAsia="es-ES_tradnl"/>
        </w:rPr>
        <w:t xml:space="preserve">“Artículo 19. En el caso de áreas públicas de uso activo o pasivo, en especial parques, plazas y plazoletas, los municipios y distritos podrán autorizar su uso por parte de entidades privadas para usos compatibles con la condición del espacio mediante contratos. En ningún caso estos contratos generarán derechos reales para las entidades privadas y deberán dar estricto cumplimiento a la prevalencia del interés general sobre el particular.” </w:t>
      </w:r>
    </w:p>
    <w:p w:rsidRPr="00A068FC" w:rsidR="00B76D42" w:rsidP="00B76D42" w:rsidRDefault="00B76D42" w14:paraId="69822630" w14:textId="77777777">
      <w:pPr>
        <w:spacing w:after="0" w:line="276" w:lineRule="auto"/>
        <w:jc w:val="both"/>
        <w:rPr>
          <w:rFonts w:ascii="Verdana" w:hAnsi="Verdana" w:eastAsia="Times New Roman" w:cs="Times New Roman"/>
          <w:lang w:eastAsia="es-ES_tradnl"/>
        </w:rPr>
      </w:pPr>
    </w:p>
    <w:p w:rsidRPr="000C2D90" w:rsidR="00B76D42" w:rsidP="00B76D42" w:rsidRDefault="00B76D42" w14:paraId="40FFDD19"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De lo que se trata es de posibilitar una gestión eficiente de este recurso por parte de los entes municipales, sin perjuicio del imperativo constitucional y legal de asegurar tanto la afectación al fin público propio de esta clase de bienes, como su inalienabilidad, inembargabilidad e imprescriptibilidad, todo lo cual se debe traducir en un clausulado contractual que al tiempo que garantice y desarrolle la prevalencia del interés general, respete los límites que se derivan del régimen jurídico delineado para estos bienes por el artículo 63 de la Constitución</w:t>
      </w:r>
      <w:r>
        <w:rPr>
          <w:rFonts w:ascii="Verdana" w:hAnsi="Verdana" w:eastAsia="Times New Roman" w:cs="Times New Roman"/>
          <w:lang w:eastAsia="es-ES_tradnl"/>
        </w:rPr>
        <w:t xml:space="preserve"> Política</w:t>
      </w:r>
      <w:r w:rsidRPr="000C2D90">
        <w:rPr>
          <w:rFonts w:ascii="Verdana" w:hAnsi="Verdana" w:eastAsia="Times New Roman" w:cs="Times New Roman"/>
          <w:lang w:eastAsia="es-ES_tradnl"/>
        </w:rPr>
        <w:t xml:space="preserve">. </w:t>
      </w:r>
    </w:p>
    <w:p w:rsidRPr="000C2D90" w:rsidR="00B76D42" w:rsidP="00B76D42" w:rsidRDefault="00B76D42" w14:paraId="32D1E3DF"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shd w:val="clear" w:color="auto" w:fill="FFFFFF"/>
          <w:lang w:eastAsia="es-ES_tradnl"/>
        </w:rPr>
        <w:t>Ahora bien, la gestión de los bienes de uso público mediante contratos plantea, entre otros, la dificultad de la elección del tipo contractual que se adapte mejor al cumplimiento de los fines buscados, la cual se ve ampliada por libertad contractual que la Ley 80 de 1993 les otorga a las Entidades Estatales. En ese sentido, pueden las Entidades Territoriales celebrar</w:t>
      </w:r>
      <w:r w:rsidRPr="000C2D90">
        <w:rPr>
          <w:rFonts w:ascii="Verdana" w:hAnsi="Verdana" w:eastAsia="Times New Roman" w:cs="Times New Roman"/>
          <w:lang w:eastAsia="es-ES_tradnl"/>
        </w:rPr>
        <w:t xml:space="preserve"> contratos de concesión de bienes públicos</w:t>
      </w:r>
      <w:r>
        <w:rPr>
          <w:rFonts w:ascii="Verdana" w:hAnsi="Verdana" w:eastAsia="Times New Roman" w:cs="Times New Roman"/>
          <w:lang w:eastAsia="es-ES_tradnl"/>
        </w:rPr>
        <w:t xml:space="preserve"> – como al que hace referencia en su consulta –</w:t>
      </w:r>
      <w:r w:rsidRPr="000C2D90">
        <w:rPr>
          <w:rFonts w:ascii="Verdana" w:hAnsi="Verdana" w:eastAsia="Times New Roman" w:cs="Times New Roman"/>
          <w:lang w:eastAsia="es-ES_tradnl"/>
        </w:rPr>
        <w:t xml:space="preserve"> o</w:t>
      </w:r>
      <w:r>
        <w:rPr>
          <w:rFonts w:ascii="Verdana" w:hAnsi="Verdana" w:eastAsia="Times New Roman" w:cs="Times New Roman"/>
          <w:lang w:eastAsia="es-ES_tradnl"/>
        </w:rPr>
        <w:t xml:space="preserve"> </w:t>
      </w:r>
      <w:r w:rsidRPr="000C2D90">
        <w:rPr>
          <w:rFonts w:ascii="Verdana" w:hAnsi="Verdana" w:eastAsia="Times New Roman" w:cs="Times New Roman"/>
          <w:lang w:eastAsia="es-ES_tradnl"/>
        </w:rPr>
        <w:t xml:space="preserve">contratos de aprovechamiento de espacio público. </w:t>
      </w:r>
    </w:p>
    <w:p w:rsidRPr="000C2D90" w:rsidR="00B76D42" w:rsidP="00B76D42" w:rsidRDefault="00B76D42" w14:paraId="391FA90B"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 xml:space="preserve">Pese a que la legislación no regula este tipo de contratos como se ha venido mencionando, se pueden extraer los siguientes elementos: a) la ocupación privativa, complementaria o compatible con el uso público del bien,- b) una remuneración a favor de la Administración propietaria por el uso privativo directamente ligado al </w:t>
      </w:r>
      <w:r w:rsidRPr="000C2D90">
        <w:rPr>
          <w:rFonts w:ascii="Verdana" w:hAnsi="Verdana" w:eastAsia="Times New Roman" w:cs="Times New Roman"/>
          <w:lang w:eastAsia="es-ES_tradnl"/>
        </w:rPr>
        <w:t>beneficio financiero extraído de esta ocupación; c) la inclusión de una cláusula de protección de la afectación del bien, cláusulas excepcionales y de reversión; y d) la imposibilidad de reconocer derechos reales en ese caso</w:t>
      </w:r>
      <w:r>
        <w:rPr>
          <w:rStyle w:val="Refdenotaalpie"/>
          <w:rFonts w:ascii="Verdana" w:hAnsi="Verdana" w:eastAsia="Times New Roman" w:cs="Times New Roman"/>
          <w:lang w:eastAsia="es-ES_tradnl"/>
        </w:rPr>
        <w:footnoteReference w:id="17"/>
      </w:r>
      <w:r w:rsidRPr="000C2D90">
        <w:rPr>
          <w:rFonts w:ascii="Verdana" w:hAnsi="Verdana" w:eastAsia="Times New Roman" w:cs="Times New Roman"/>
          <w:lang w:eastAsia="es-ES_tradnl"/>
        </w:rPr>
        <w:t xml:space="preserve">. </w:t>
      </w:r>
    </w:p>
    <w:p w:rsidRPr="000C2D90" w:rsidR="00B76D42" w:rsidP="00B76D42" w:rsidRDefault="00B76D42" w14:paraId="0EA4EC55" w14:textId="77777777">
      <w:pPr>
        <w:spacing w:after="120" w:line="276" w:lineRule="auto"/>
        <w:ind w:firstLine="708"/>
        <w:jc w:val="both"/>
        <w:rPr>
          <w:rFonts w:ascii="Verdana" w:hAnsi="Verdana" w:eastAsia="Times New Roman" w:cs="Times New Roman"/>
          <w:lang w:eastAsia="es-ES_tradnl"/>
        </w:rPr>
      </w:pPr>
      <w:r w:rsidRPr="000C2D90">
        <w:rPr>
          <w:rFonts w:ascii="Verdana" w:hAnsi="Verdana" w:eastAsia="Times New Roman" w:cs="Times New Roman"/>
          <w:lang w:eastAsia="es-ES_tradnl"/>
        </w:rPr>
        <w:t>Por otra parte,</w:t>
      </w:r>
      <w:r>
        <w:rPr>
          <w:rFonts w:ascii="Verdana" w:hAnsi="Verdana" w:eastAsia="Times New Roman" w:cs="Times New Roman"/>
          <w:lang w:eastAsia="es-ES_tradnl"/>
        </w:rPr>
        <w:t xml:space="preserve"> pese a las características antes mencionadas, debe señalarse que </w:t>
      </w:r>
      <w:r w:rsidRPr="000C2D90">
        <w:rPr>
          <w:rFonts w:ascii="Verdana" w:hAnsi="Verdana" w:eastAsia="Times New Roman" w:cs="Times New Roman"/>
          <w:lang w:eastAsia="es-ES_tradnl"/>
        </w:rPr>
        <w:t>no existe claridad en cuanto a la naturaleza del acto</w:t>
      </w:r>
      <w:r w:rsidRPr="000C2D90">
        <w:rPr>
          <w:rFonts w:ascii="Verdana" w:hAnsi="Verdana" w:eastAsia="Times New Roman" w:cs="Times New Roman"/>
          <w:shd w:val="clear" w:color="auto" w:fill="FFFFFF"/>
          <w:lang w:eastAsia="es-ES_tradnl"/>
        </w:rPr>
        <w:t>, es decir si tiene carácter unilateral o contractual. Sobre ese punto, si bien existe alguna postura que afirma que dicha concesión solo puede ser unilateral, el consenso legal y doctrinal es que su naturaleza puede ser tanto bilateral -contrato-, como unilateral -permiso. Lo importante es que en ambos casos los títulos habilitantes desarrollan el interés patrimonial del Estado, sin dejar de lado preocupaciones ligadas al respeto de la afectación y la garantía del orden público. Al respecto, e</w:t>
      </w:r>
      <w:r w:rsidRPr="000C2D90">
        <w:rPr>
          <w:rFonts w:ascii="Verdana" w:hAnsi="Verdana" w:eastAsia="Times New Roman" w:cs="Times New Roman"/>
          <w:lang w:eastAsia="es-ES_tradnl"/>
        </w:rPr>
        <w:t xml:space="preserve">l Consejo de Estado ha señalado que: </w:t>
      </w:r>
    </w:p>
    <w:p w:rsidRPr="000C2D90" w:rsidR="00B76D42" w:rsidP="00B76D42" w:rsidRDefault="00B76D42" w14:paraId="680B2A7B" w14:textId="77777777">
      <w:pPr>
        <w:spacing w:after="120" w:line="276" w:lineRule="auto"/>
        <w:ind w:firstLine="708"/>
        <w:jc w:val="both"/>
        <w:rPr>
          <w:rFonts w:ascii="Verdana" w:hAnsi="Verdana" w:eastAsia="Times New Roman" w:cs="Times New Roman"/>
          <w:lang w:eastAsia="es-ES_tradnl"/>
        </w:rPr>
      </w:pPr>
      <w:r>
        <w:rPr>
          <w:rFonts w:ascii="Verdana" w:hAnsi="Verdana" w:eastAsia="Times New Roman" w:cs="Times New Roman"/>
          <w:lang w:eastAsia="es-ES_tradnl"/>
        </w:rPr>
        <w:t>C</w:t>
      </w:r>
      <w:r w:rsidRPr="000C2D90">
        <w:rPr>
          <w:rFonts w:ascii="Verdana" w:hAnsi="Verdana" w:eastAsia="Times New Roman" w:cs="Times New Roman"/>
          <w:lang w:eastAsia="es-ES_tradnl"/>
        </w:rPr>
        <w:t xml:space="preserve">on independencia del instrumento jurídico que se utilice para la gestión del bien </w:t>
      </w:r>
      <w:r>
        <w:rPr>
          <w:rFonts w:ascii="Verdana" w:hAnsi="Verdana" w:eastAsia="Times New Roman" w:cs="Times New Roman"/>
          <w:lang w:eastAsia="es-ES_tradnl"/>
        </w:rPr>
        <w:t xml:space="preserve">– </w:t>
      </w:r>
      <w:r w:rsidRPr="000C2D90">
        <w:rPr>
          <w:rFonts w:ascii="Verdana" w:hAnsi="Verdana" w:eastAsia="Times New Roman" w:cs="Times New Roman"/>
          <w:lang w:eastAsia="es-ES_tradnl"/>
        </w:rPr>
        <w:t>acto</w:t>
      </w:r>
      <w:r>
        <w:rPr>
          <w:rFonts w:ascii="Verdana" w:hAnsi="Verdana" w:eastAsia="Times New Roman" w:cs="Times New Roman"/>
          <w:lang w:eastAsia="es-ES_tradnl"/>
        </w:rPr>
        <w:t xml:space="preserve"> </w:t>
      </w:r>
      <w:r w:rsidRPr="000C2D90">
        <w:rPr>
          <w:rFonts w:ascii="Verdana" w:hAnsi="Verdana" w:eastAsia="Times New Roman" w:cs="Times New Roman"/>
          <w:lang w:eastAsia="es-ES_tradnl"/>
        </w:rPr>
        <w:t>administrativo unilateral o contrato a excepción del contrato de arrendamiento</w:t>
      </w:r>
      <w:r>
        <w:rPr>
          <w:rFonts w:ascii="Verdana" w:hAnsi="Verdana" w:eastAsia="Times New Roman" w:cs="Times New Roman"/>
          <w:lang w:eastAsia="es-ES_tradnl"/>
        </w:rPr>
        <w:t xml:space="preserve"> -</w:t>
      </w:r>
      <w:r w:rsidRPr="000C2D90">
        <w:rPr>
          <w:rFonts w:ascii="Verdana" w:hAnsi="Verdana" w:eastAsia="Times New Roman" w:cs="Times New Roman"/>
          <w:lang w:eastAsia="es-ES_tradnl"/>
        </w:rPr>
        <w:t xml:space="preserve">, 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Por ende, deberá asumirse que además de bienes inalienables, inembargables e imprescriptibles, se trata de bienes afectados a una destinación de interés general, que constituye su finalidad esencial y que no es otra que servir para el uso y disfrute de la colectividad. </w:t>
      </w:r>
    </w:p>
    <w:p w:rsidRPr="000C2D90" w:rsidR="00B76D42" w:rsidP="00B76D42" w:rsidRDefault="00B76D42" w14:paraId="0F6993F8" w14:textId="77777777">
      <w:pPr>
        <w:spacing w:after="120" w:line="276" w:lineRule="auto"/>
        <w:ind w:firstLine="708"/>
        <w:jc w:val="both"/>
        <w:rPr>
          <w:rFonts w:ascii="Verdana" w:hAnsi="Verdana" w:eastAsia="Century Gothic" w:cs="Century Gothic"/>
          <w:b/>
          <w:bCs/>
          <w:lang w:eastAsia="es-ES_tradnl"/>
        </w:rPr>
      </w:pPr>
      <w:r>
        <w:rPr>
          <w:rFonts w:ascii="Verdana" w:hAnsi="Verdana"/>
        </w:rPr>
        <w:t>Se concluye entonces que, l</w:t>
      </w:r>
      <w:r w:rsidRPr="000C2D90">
        <w:rPr>
          <w:rFonts w:ascii="Verdana" w:hAnsi="Verdana"/>
        </w:rPr>
        <w:t xml:space="preserve">a normativa del sistema de compra pública no define una tipología contractual referida al contrato de </w:t>
      </w:r>
      <w:r>
        <w:rPr>
          <w:rFonts w:ascii="Verdana" w:hAnsi="Verdana"/>
        </w:rPr>
        <w:t>concesión de espacios públicos</w:t>
      </w:r>
      <w:r w:rsidRPr="000C2D90">
        <w:rPr>
          <w:rFonts w:ascii="Verdana" w:hAnsi="Verdana"/>
        </w:rPr>
        <w:t xml:space="preserve">. </w:t>
      </w:r>
      <w:r>
        <w:rPr>
          <w:rFonts w:ascii="Verdana" w:hAnsi="Verdana"/>
        </w:rPr>
        <w:t>No obstante, l</w:t>
      </w:r>
      <w:r w:rsidRPr="000C2D90">
        <w:rPr>
          <w:rFonts w:ascii="Verdana" w:hAnsi="Verdana"/>
        </w:rPr>
        <w:t>as Entidades Estatales</w:t>
      </w:r>
      <w:r>
        <w:rPr>
          <w:rFonts w:ascii="Verdana" w:hAnsi="Verdana"/>
        </w:rPr>
        <w:t>,</w:t>
      </w:r>
      <w:r w:rsidRPr="000C2D90">
        <w:rPr>
          <w:rFonts w:ascii="Verdana" w:hAnsi="Verdana"/>
        </w:rPr>
        <w:t xml:space="preserve"> en virtud de la autonomía de la voluntad, pueden crear derechos y obligaciones contenidos en contratos atípicos los cuales no se encuentran prohibidos por el ordenamiento jurídico en la medida en que no contravengan el orden público y las buenas costumbres. </w:t>
      </w:r>
    </w:p>
    <w:p w:rsidR="00B76D42" w:rsidP="00B76D42" w:rsidRDefault="00B76D42" w14:paraId="605E380E" w14:textId="77777777">
      <w:pPr>
        <w:spacing w:after="120" w:line="276" w:lineRule="auto"/>
        <w:ind w:firstLine="708"/>
        <w:jc w:val="both"/>
        <w:rPr>
          <w:rFonts w:ascii="Verdana" w:hAnsi="Verdana" w:eastAsia="Calibri" w:cs="Arial"/>
          <w:lang w:val="es-ES_tradnl" w:eastAsia="es-ES_tradnl"/>
        </w:rPr>
      </w:pPr>
      <w:r>
        <w:rPr>
          <w:rFonts w:ascii="Verdana" w:hAnsi="Verdana" w:eastAsia="Calibri" w:cs="Arial"/>
          <w:lang w:val="es-ES_tradnl" w:eastAsia="es-ES_tradnl"/>
        </w:rPr>
        <w:t xml:space="preserve">Visto lo anterior, es necesario pasar al estudio de la modalidad de contratación aplicable al contrato objeto de consulta y la aplicación del principio de planeación. </w:t>
      </w:r>
    </w:p>
    <w:p w:rsidRPr="000C2D90" w:rsidR="00B76D42" w:rsidP="00B76D42" w:rsidRDefault="00B76D42" w14:paraId="19995C50" w14:textId="77777777">
      <w:pPr>
        <w:spacing w:after="120" w:line="276" w:lineRule="auto"/>
        <w:ind w:firstLine="708"/>
        <w:jc w:val="both"/>
        <w:rPr>
          <w:rFonts w:ascii="Verdana" w:hAnsi="Verdana" w:eastAsia="Calibri" w:cs="Arial"/>
          <w:bCs/>
          <w:lang w:val="es-MX" w:eastAsia="es-ES_tradnl"/>
        </w:rPr>
      </w:pPr>
      <w:r>
        <w:rPr>
          <w:rFonts w:ascii="Verdana" w:hAnsi="Verdana" w:eastAsia="Calibri" w:cs="Arial"/>
          <w:lang w:val="es-ES_tradnl" w:eastAsia="es-ES_tradnl"/>
        </w:rPr>
        <w:t>Frente a la primera cuestión, p</w:t>
      </w:r>
      <w:r w:rsidRPr="000C2D90">
        <w:rPr>
          <w:rFonts w:ascii="Verdana" w:hAnsi="Verdana" w:cs="Arial"/>
          <w:lang w:val="es-ES"/>
        </w:rPr>
        <w:t xml:space="preserve">ara las entidades sometidas al </w:t>
      </w:r>
      <w:r>
        <w:rPr>
          <w:rFonts w:ascii="Verdana" w:hAnsi="Verdana" w:cs="Arial"/>
          <w:lang w:val="es-ES"/>
        </w:rPr>
        <w:t>EGCAP</w:t>
      </w:r>
      <w:r w:rsidRPr="000C2D90">
        <w:rPr>
          <w:rFonts w:ascii="Verdana" w:hAnsi="Verdana" w:cs="Arial"/>
          <w:lang w:val="es-ES"/>
        </w:rPr>
        <w:t xml:space="preserve">, los procesos de selección se rigen por </w:t>
      </w:r>
      <w:r w:rsidRPr="000C2D90">
        <w:rPr>
          <w:rFonts w:ascii="Verdana" w:hAnsi="Verdana" w:cs="Arial"/>
          <w:bCs/>
          <w:lang w:val="es-ES_tradnl"/>
        </w:rPr>
        <w:t>el artículo 2 de la Ley 1150 de 2007</w:t>
      </w:r>
      <w:r w:rsidRPr="000C2D90">
        <w:rPr>
          <w:rFonts w:ascii="Verdana" w:hAnsi="Verdana" w:cs="Arial"/>
          <w:lang w:val="es-ES"/>
        </w:rPr>
        <w:t xml:space="preserve">. El </w:t>
      </w:r>
      <w:r w:rsidRPr="000C2D90">
        <w:rPr>
          <w:rFonts w:ascii="Verdana" w:hAnsi="Verdana" w:eastAsia="Calibri" w:cs="Arial"/>
          <w:bCs/>
          <w:lang w:val="es-MX" w:eastAsia="es-ES_tradnl"/>
        </w:rPr>
        <w:t xml:space="preserve">numeral </w:t>
      </w:r>
      <w:r w:rsidRPr="000C2D90">
        <w:rPr>
          <w:rFonts w:ascii="Verdana" w:hAnsi="Verdana" w:eastAsia="Calibri" w:cs="Arial"/>
          <w:bCs/>
          <w:lang w:val="es-MX" w:eastAsia="es-ES_tradnl"/>
        </w:rPr>
        <w:t>primero, inciso primero, de la norma citada</w:t>
      </w:r>
      <w:r w:rsidRPr="000C2D90">
        <w:rPr>
          <w:rFonts w:ascii="Verdana" w:hAnsi="Verdana" w:cs="Arial"/>
          <w:bCs/>
          <w:lang w:val="es-ES_tradnl"/>
        </w:rPr>
        <w:t xml:space="preserve"> </w:t>
      </w:r>
      <w:r w:rsidRPr="000C2D90">
        <w:rPr>
          <w:rFonts w:ascii="Verdana" w:hAnsi="Verdana" w:eastAsia="Calibri" w:cs="Arial"/>
          <w:bCs/>
          <w:lang w:val="es-MX" w:eastAsia="es-ES_tradnl"/>
        </w:rPr>
        <w:t xml:space="preserve">dispone que “La escogencia del contratista se efectuará por </w:t>
      </w:r>
      <w:r w:rsidRPr="000C2D90">
        <w:rPr>
          <w:rFonts w:ascii="Verdana" w:hAnsi="Verdana" w:eastAsia="Calibri" w:cs="Arial"/>
          <w:bCs/>
          <w:i/>
          <w:iCs/>
          <w:lang w:val="es-MX" w:eastAsia="es-ES_tradnl"/>
        </w:rPr>
        <w:t>regla general</w:t>
      </w:r>
      <w:r w:rsidRPr="000C2D90">
        <w:rPr>
          <w:rFonts w:ascii="Verdana" w:hAnsi="Verdana" w:eastAsia="Calibri" w:cs="Arial"/>
          <w:bCs/>
          <w:lang w:val="es-MX" w:eastAsia="es-ES_tradnl"/>
        </w:rPr>
        <w:t xml:space="preserve"> a través de licitación pública, con las </w:t>
      </w:r>
      <w:r w:rsidRPr="000C2D90">
        <w:rPr>
          <w:rFonts w:ascii="Verdana" w:hAnsi="Verdana" w:eastAsia="Calibri" w:cs="Arial"/>
          <w:bCs/>
          <w:i/>
          <w:iCs/>
          <w:lang w:val="es-MX" w:eastAsia="es-ES_tradnl"/>
        </w:rPr>
        <w:t>excepciones</w:t>
      </w:r>
      <w:r w:rsidRPr="000C2D90">
        <w:rPr>
          <w:rFonts w:ascii="Verdana" w:hAnsi="Verdana" w:eastAsia="Calibri" w:cs="Arial"/>
          <w:bCs/>
          <w:lang w:val="es-MX" w:eastAsia="es-ES_tradnl"/>
        </w:rPr>
        <w:t xml:space="preserve"> que se señalan en los numerales 2, 3 y 4 del presente artículo”, norma que sustituye el derogado numeral 1 del artículo 24 de la Ley 80 de 1993 sobre el principio de transparencia</w:t>
      </w:r>
      <w:r w:rsidRPr="000C2D90">
        <w:rPr>
          <w:rFonts w:ascii="Verdana" w:hAnsi="Verdana" w:eastAsia="Calibri" w:cs="Arial"/>
          <w:bCs/>
          <w:vertAlign w:val="superscript"/>
          <w:lang w:val="es-MX" w:eastAsia="es-ES_tradnl"/>
        </w:rPr>
        <w:footnoteReference w:id="18"/>
      </w:r>
      <w:r w:rsidRPr="000C2D90">
        <w:rPr>
          <w:rFonts w:ascii="Verdana" w:hAnsi="Verdana" w:eastAsia="Calibri" w:cs="Arial"/>
          <w:bCs/>
          <w:lang w:val="es-MX" w:eastAsia="es-ES_tradnl"/>
        </w:rPr>
        <w:t xml:space="preserve">. </w:t>
      </w:r>
    </w:p>
    <w:p w:rsidRPr="000C2D90" w:rsidR="00B76D42" w:rsidP="00B76D42" w:rsidRDefault="00B76D42" w14:paraId="2B7719C4" w14:textId="77777777">
      <w:pPr>
        <w:spacing w:after="120" w:line="276" w:lineRule="auto"/>
        <w:ind w:firstLine="708"/>
        <w:jc w:val="both"/>
        <w:rPr>
          <w:rFonts w:ascii="Verdana" w:hAnsi="Verdana" w:eastAsia="Calibri" w:cs="Arial"/>
          <w:bCs/>
          <w:lang w:val="es-MX" w:eastAsia="es-ES_tradnl"/>
        </w:rPr>
      </w:pPr>
      <w:r w:rsidRPr="000C2D90">
        <w:rPr>
          <w:rFonts w:ascii="Verdana" w:hAnsi="Verdana" w:eastAsia="Calibri" w:cs="Arial"/>
          <w:bCs/>
          <w:lang w:val="es-MX" w:eastAsia="es-ES_tradnl"/>
        </w:rPr>
        <w:t>En este contexto, salvo norma especial que ordene la celebración del negocio jurídico por otra modalidad de selección, debe aplicarse la regla general de licitación pública</w:t>
      </w:r>
      <w:r w:rsidRPr="000C2D90">
        <w:rPr>
          <w:rFonts w:ascii="Verdana" w:hAnsi="Verdana" w:eastAsia="Calibri" w:cs="Arial"/>
          <w:bCs/>
          <w:vertAlign w:val="superscript"/>
          <w:lang w:val="es-MX" w:eastAsia="es-ES_tradnl"/>
        </w:rPr>
        <w:footnoteReference w:id="19"/>
      </w:r>
      <w:r w:rsidRPr="000C2D90">
        <w:rPr>
          <w:rFonts w:ascii="Verdana" w:hAnsi="Verdana" w:eastAsia="Calibri" w:cs="Arial"/>
          <w:bCs/>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r>
        <w:rPr>
          <w:rFonts w:ascii="Verdana" w:hAnsi="Verdana" w:eastAsia="Calibri" w:cs="Arial"/>
          <w:bCs/>
          <w:lang w:val="es-MX" w:eastAsia="es-ES_tradnl"/>
        </w:rPr>
        <w:t xml:space="preserve"> Así las cosas, les corresponde a cada Entidad Estatal definir de acuerdo con el objeto del contrato y su cuantía la modalidad que proceda para la selección del contratista. </w:t>
      </w:r>
    </w:p>
    <w:p w:rsidRPr="00A068FC" w:rsidR="00B76D42" w:rsidP="00B76D42" w:rsidRDefault="00B76D42" w14:paraId="13245098" w14:textId="77777777">
      <w:pPr>
        <w:spacing w:after="0" w:line="276" w:lineRule="auto"/>
        <w:contextualSpacing/>
        <w:jc w:val="both"/>
        <w:rPr>
          <w:rFonts w:ascii="Verdana" w:hAnsi="Verdana" w:eastAsia="Times New Roman" w:cs="Arial"/>
          <w:lang w:val="es-ES_tradnl" w:eastAsia="es-MX"/>
        </w:rPr>
      </w:pPr>
      <w:r>
        <w:rPr>
          <w:rFonts w:ascii="Verdana" w:hAnsi="Verdana" w:eastAsia="Times New Roman" w:cs="Arial"/>
          <w:lang w:eastAsia="es-ES_tradnl"/>
        </w:rPr>
        <w:tab/>
      </w:r>
      <w:r>
        <w:rPr>
          <w:rFonts w:ascii="Verdana" w:hAnsi="Verdana" w:eastAsia="Times New Roman" w:cs="Arial"/>
          <w:lang w:eastAsia="es-ES_tradnl"/>
        </w:rPr>
        <w:t xml:space="preserve">Frente a la segunda cuestión relativa a la </w:t>
      </w:r>
      <w:bookmarkStart w:name="_Hlk54011258" w:id="11"/>
      <w:r w:rsidRPr="00A068FC">
        <w:rPr>
          <w:rFonts w:ascii="Verdana" w:hAnsi="Verdana" w:eastAsia="Calibri" w:cs="Arial"/>
          <w:bCs/>
          <w:lang w:val="es-ES_tradnl" w:eastAsia="es-MX"/>
        </w:rPr>
        <w:t>planeación contractual</w:t>
      </w:r>
      <w:r>
        <w:rPr>
          <w:rFonts w:ascii="Verdana" w:hAnsi="Verdana" w:eastAsia="Calibri" w:cs="Arial"/>
          <w:bCs/>
          <w:lang w:val="es-ES_tradnl" w:eastAsia="es-MX"/>
        </w:rPr>
        <w:t xml:space="preserve"> debe señalarse que, esta es</w:t>
      </w:r>
      <w:r w:rsidRPr="00A068FC">
        <w:rPr>
          <w:rFonts w:ascii="Verdana" w:hAnsi="Verdana" w:eastAsia="Calibri" w:cs="Arial"/>
          <w:bCs/>
          <w:lang w:val="es-ES_tradnl" w:eastAsia="es-MX"/>
        </w:rPr>
        <w:t xml:space="preserve"> una herramienta de gerencia pública, que exige estructurar el proceso contractual dedicando tiempo y esfuerzos para elaborar estudios previos, con el fin </w:t>
      </w:r>
      <w:r w:rsidRPr="00A068FC">
        <w:rPr>
          <w:rFonts w:ascii="Verdana" w:hAnsi="Verdana" w:eastAsia="Calibri" w:cs="Arial"/>
          <w:bCs/>
          <w:lang w:val="es-ES_tradnl" w:eastAsia="es-MX"/>
        </w:rPr>
        <w:t>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1"/>
      <w:r w:rsidRPr="00A068FC">
        <w:rPr>
          <w:rFonts w:ascii="Verdana" w:hAnsi="Verdana" w:eastAsia="Calibri" w:cs="Arial"/>
          <w:bCs/>
          <w:lang w:val="es-ES_tradnl" w:eastAsia="es-MX"/>
        </w:rPr>
        <w:t>.</w:t>
      </w:r>
    </w:p>
    <w:p w:rsidRPr="00A068FC" w:rsidR="00B76D42" w:rsidP="00B76D42" w:rsidRDefault="00B76D42" w14:paraId="73348945" w14:textId="77777777">
      <w:pPr>
        <w:spacing w:before="120" w:after="0" w:line="276" w:lineRule="auto"/>
        <w:ind w:firstLine="709"/>
        <w:jc w:val="both"/>
        <w:rPr>
          <w:rFonts w:ascii="Verdana" w:hAnsi="Verdana" w:eastAsia="Calibri" w:cs="Arial"/>
          <w:bCs/>
          <w:lang w:val="es-ES" w:eastAsia="es-ES_tradnl"/>
        </w:rPr>
      </w:pPr>
      <w:r w:rsidRPr="00A068FC">
        <w:rPr>
          <w:rFonts w:ascii="Verdana" w:hAnsi="Verdana" w:eastAsia="Calibri" w:cs="Arial"/>
          <w:bCs/>
          <w:lang w:val="es-MX" w:eastAsia="es-ES_tradnl"/>
        </w:rPr>
        <w:t xml:space="preserve">El EGCAP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r>
        <w:rPr>
          <w:rFonts w:ascii="Verdana" w:hAnsi="Verdana" w:eastAsia="Calibri" w:cs="Arial"/>
          <w:bCs/>
          <w:lang w:val="es-MX" w:eastAsia="es-ES_tradnl"/>
        </w:rPr>
        <w:t>En ese sentido,</w:t>
      </w:r>
      <w:r w:rsidRPr="00A068FC">
        <w:rPr>
          <w:rFonts w:ascii="Verdana" w:hAnsi="Verdana" w:eastAsia="Calibri" w:cs="Arial"/>
          <w:bCs/>
          <w:lang w:val="es-MX" w:eastAsia="es-ES_tradnl"/>
        </w:rPr>
        <w:t xml:space="preserve"> el artículo 25 de la Ley 80 de 1993</w:t>
      </w:r>
      <w:r>
        <w:rPr>
          <w:rFonts w:ascii="Verdana" w:hAnsi="Verdana" w:eastAsia="Calibri" w:cs="Arial"/>
          <w:bCs/>
          <w:lang w:val="es-MX" w:eastAsia="es-ES_tradnl"/>
        </w:rPr>
        <w:t xml:space="preserve"> señala que</w:t>
      </w:r>
      <w:r w:rsidRPr="00A068FC">
        <w:rPr>
          <w:rFonts w:ascii="Verdana" w:hAnsi="Verdana" w:eastAsia="Calibri" w:cs="Arial"/>
          <w:bCs/>
          <w:lang w:val="es-MX" w:eastAsia="es-ES_tradnl"/>
        </w:rPr>
        <w:t xml:space="preserve">: </w:t>
      </w:r>
    </w:p>
    <w:p w:rsidRPr="00A068FC" w:rsidR="00B76D42" w:rsidP="00B76D42" w:rsidRDefault="00B76D42" w14:paraId="418302CB" w14:textId="77777777">
      <w:pPr>
        <w:spacing w:after="0" w:line="276" w:lineRule="auto"/>
        <w:ind w:firstLine="709"/>
        <w:jc w:val="both"/>
        <w:rPr>
          <w:rFonts w:ascii="Verdana" w:hAnsi="Verdana" w:eastAsia="Calibri" w:cs="Arial"/>
          <w:bCs/>
          <w:lang w:val="es-ES" w:eastAsia="es-ES_tradnl"/>
        </w:rPr>
      </w:pPr>
    </w:p>
    <w:p w:rsidRPr="00883110" w:rsidR="00B76D42" w:rsidP="00B76D42" w:rsidRDefault="00B76D42" w14:paraId="5A0F00C8" w14:textId="77777777">
      <w:pPr>
        <w:spacing w:after="0" w:line="240" w:lineRule="auto"/>
        <w:ind w:left="709" w:right="709"/>
        <w:contextualSpacing/>
        <w:jc w:val="both"/>
        <w:rPr>
          <w:rFonts w:ascii="Verdana" w:hAnsi="Verdana" w:eastAsia="Calibri" w:cs="Arial"/>
          <w:sz w:val="20"/>
          <w:szCs w:val="20"/>
          <w:lang w:val="es-MX" w:eastAsia="es-ES_tradnl"/>
        </w:rPr>
      </w:pPr>
      <w:r w:rsidRPr="00883110">
        <w:rPr>
          <w:rFonts w:ascii="Verdana" w:hAnsi="Verdana" w:eastAsia="Calibri"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rsidRPr="00883110" w:rsidR="00B76D42" w:rsidP="00B76D42" w:rsidRDefault="00B76D42" w14:paraId="0C9DED19" w14:textId="77777777">
      <w:pPr>
        <w:spacing w:after="0" w:line="240" w:lineRule="auto"/>
        <w:ind w:left="709" w:right="709"/>
        <w:contextualSpacing/>
        <w:jc w:val="both"/>
        <w:rPr>
          <w:rFonts w:ascii="Verdana" w:hAnsi="Verdana" w:eastAsia="Calibri" w:cs="Arial"/>
          <w:sz w:val="20"/>
          <w:szCs w:val="20"/>
          <w:lang w:val="es-MX" w:eastAsia="es-ES_tradnl"/>
        </w:rPr>
      </w:pPr>
    </w:p>
    <w:p w:rsidRPr="00883110" w:rsidR="00B76D42" w:rsidP="00B76D42" w:rsidRDefault="00B76D42" w14:paraId="219D95E6" w14:textId="77777777">
      <w:pPr>
        <w:spacing w:after="0" w:line="240" w:lineRule="auto"/>
        <w:ind w:left="709" w:right="709"/>
        <w:contextualSpacing/>
        <w:jc w:val="both"/>
        <w:rPr>
          <w:rFonts w:ascii="Verdana" w:hAnsi="Verdana" w:eastAsia="Calibri" w:cs="Arial"/>
          <w:sz w:val="20"/>
          <w:szCs w:val="20"/>
          <w:lang w:val="es-MX" w:eastAsia="es-ES_tradnl"/>
        </w:rPr>
      </w:pPr>
      <w:r w:rsidRPr="00883110">
        <w:rPr>
          <w:rFonts w:ascii="Verdana" w:hAnsi="Verdana" w:eastAsia="Calibri"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rsidRPr="00883110" w:rsidR="00B76D42" w:rsidP="00B76D42" w:rsidRDefault="00B76D42" w14:paraId="358C6CC6" w14:textId="77777777">
      <w:pPr>
        <w:spacing w:after="0" w:line="240" w:lineRule="auto"/>
        <w:ind w:left="709" w:right="709"/>
        <w:contextualSpacing/>
        <w:jc w:val="both"/>
        <w:rPr>
          <w:rFonts w:ascii="Verdana" w:hAnsi="Verdana" w:eastAsia="Calibri" w:cs="Arial"/>
          <w:sz w:val="20"/>
          <w:szCs w:val="20"/>
          <w:lang w:val="es-MX" w:eastAsia="es-ES_tradnl"/>
        </w:rPr>
      </w:pPr>
    </w:p>
    <w:p w:rsidRPr="00883110" w:rsidR="00B76D42" w:rsidP="00B76D42" w:rsidRDefault="00B76D42" w14:paraId="6735C810" w14:textId="77777777">
      <w:pPr>
        <w:spacing w:after="0" w:line="240" w:lineRule="auto"/>
        <w:ind w:left="709" w:right="709"/>
        <w:contextualSpacing/>
        <w:jc w:val="both"/>
        <w:rPr>
          <w:rFonts w:ascii="Verdana" w:hAnsi="Verdana" w:eastAsia="Times New Roman" w:cs="Arial"/>
          <w:sz w:val="20"/>
          <w:szCs w:val="20"/>
          <w:lang w:val="es-ES_tradnl" w:eastAsia="es-MX"/>
        </w:rPr>
      </w:pPr>
      <w:r w:rsidRPr="00883110">
        <w:rPr>
          <w:rFonts w:ascii="Verdana" w:hAnsi="Verdana" w:eastAsia="Times New Roman" w:cs="Arial"/>
          <w:sz w:val="20"/>
          <w:szCs w:val="20"/>
          <w:lang w:val="es-ES_tradnl" w:eastAsia="es-MX"/>
        </w:rPr>
        <w:t>[…]”.</w:t>
      </w:r>
    </w:p>
    <w:p w:rsidRPr="00A068FC" w:rsidR="00B76D42" w:rsidP="00B76D42" w:rsidRDefault="00B76D42" w14:paraId="1548E961" w14:textId="77777777">
      <w:pPr>
        <w:spacing w:after="0" w:line="276" w:lineRule="auto"/>
        <w:jc w:val="both"/>
        <w:rPr>
          <w:rFonts w:ascii="Verdana" w:hAnsi="Verdana" w:eastAsia="Times New Roman" w:cs="Arial"/>
          <w:lang w:val="es-ES_tradnl" w:eastAsia="es-MX"/>
        </w:rPr>
      </w:pPr>
    </w:p>
    <w:p w:rsidRPr="00A068FC" w:rsidR="00B76D42" w:rsidP="00B76D42" w:rsidRDefault="00B76D42" w14:paraId="292DE05E" w14:textId="77777777">
      <w:pPr>
        <w:spacing w:after="0" w:line="276" w:lineRule="auto"/>
        <w:ind w:firstLine="709"/>
        <w:jc w:val="both"/>
        <w:rPr>
          <w:rFonts w:ascii="Verdana" w:hAnsi="Verdana" w:eastAsia="Times New Roman" w:cs="Arial"/>
          <w:lang w:val="es-ES_tradnl" w:eastAsia="es-MX"/>
        </w:rPr>
      </w:pPr>
      <w:r w:rsidRPr="00A068FC">
        <w:rPr>
          <w:rFonts w:ascii="Verdana" w:hAnsi="Verdana" w:eastAsia="Times New Roman"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A068FC">
        <w:rPr>
          <w:rFonts w:ascii="Verdana" w:hAnsi="Verdana" w:eastAsia="Times New Roman" w:cs="Arial"/>
          <w:vertAlign w:val="superscript"/>
          <w:lang w:val="es-ES_tradnl" w:eastAsia="es-MX"/>
        </w:rPr>
        <w:footnoteReference w:id="20"/>
      </w:r>
      <w:r w:rsidRPr="00A068FC">
        <w:rPr>
          <w:rFonts w:ascii="Verdana" w:hAnsi="Verdana" w:eastAsia="Times New Roman" w:cs="Arial"/>
          <w:lang w:val="es-ES_tradnl" w:eastAsia="es-MX"/>
        </w:rPr>
        <w:t xml:space="preserve">. En congruencia con el artículo 25 de la Ley 80 de 1993, el Decreto Único </w:t>
      </w:r>
      <w:r w:rsidRPr="00A068FC">
        <w:rPr>
          <w:rFonts w:ascii="Verdana" w:hAnsi="Verdana" w:eastAsia="Times New Roman" w:cs="Arial"/>
          <w:lang w:val="es-ES_tradnl" w:eastAsia="es-MX"/>
        </w:rPr>
        <w:t>Reglamentario del Sector Administrativo de Planeación Nacional –Decreto 1082 de 2015–, dispone en el artículo 2.2.1.1.2.1.1 el contenido mínimo de los estudios y documentos previos:</w:t>
      </w:r>
    </w:p>
    <w:p w:rsidRPr="00A068FC" w:rsidR="00B76D42" w:rsidP="00B76D42" w:rsidRDefault="00B76D42" w14:paraId="60053D7B" w14:textId="77777777">
      <w:pPr>
        <w:spacing w:after="0" w:line="276" w:lineRule="auto"/>
        <w:rPr>
          <w:rFonts w:ascii="Verdana" w:hAnsi="Verdana" w:eastAsia="Times New Roman" w:cs="Arial"/>
          <w:lang w:val="es-ES_tradnl" w:eastAsia="es-CO"/>
        </w:rPr>
      </w:pPr>
    </w:p>
    <w:p w:rsidRPr="00A068FC" w:rsidR="00B76D42" w:rsidP="00B76D42" w:rsidRDefault="00B76D42" w14:paraId="44146E87"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rsidRPr="00A068FC" w:rsidR="00B76D42" w:rsidP="00B76D42" w:rsidRDefault="00B76D42" w14:paraId="5EE0F886"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77AB1175"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1. La descripción de la necesidad que la Entidad Estatal pretende satisfacer con el Proceso de Contratación. </w:t>
      </w:r>
      <w:r w:rsidRPr="00A068FC">
        <w:rPr>
          <w:rFonts w:ascii="Arial" w:hAnsi="Arial" w:eastAsia="Times New Roman" w:cs="Arial"/>
          <w:sz w:val="21"/>
          <w:szCs w:val="21"/>
          <w:lang w:val="es-ES_tradnl" w:eastAsia="es-MX"/>
        </w:rPr>
        <w:t>​</w:t>
      </w:r>
    </w:p>
    <w:p w:rsidRPr="00A068FC" w:rsidR="00B76D42" w:rsidP="00B76D42" w:rsidRDefault="00B76D42" w14:paraId="78C99B1B"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69504056"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rsidRPr="00A068FC" w:rsidR="00B76D42" w:rsidP="00B76D42" w:rsidRDefault="00B76D42" w14:paraId="46C101E0"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7571D805"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3. La modalidad de selección del contratista y su justificación, incluyendo los fundamentos jurídicos. </w:t>
      </w:r>
    </w:p>
    <w:p w:rsidRPr="00A068FC" w:rsidR="00B76D42" w:rsidP="00B76D42" w:rsidRDefault="00B76D42" w14:paraId="2B793C5E"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6DB59E88" w:rsidRDefault="00B76D42" w14:paraId="650DA20F" w14:textId="77777777" w14:noSpellErr="1">
      <w:pPr>
        <w:spacing w:after="0" w:line="240" w:lineRule="auto"/>
        <w:ind w:left="709" w:right="709"/>
        <w:contextualSpacing/>
        <w:jc w:val="both"/>
        <w:rPr>
          <w:rFonts w:ascii="Verdana" w:hAnsi="Verdana" w:eastAsia="Times New Roman" w:cs="Arial"/>
          <w:sz w:val="21"/>
          <w:szCs w:val="21"/>
          <w:lang w:val="es-ES" w:eastAsia="es-MX"/>
        </w:rPr>
      </w:pPr>
      <w:r w:rsidRPr="6DB59E88" w:rsidR="00B76D42">
        <w:rPr>
          <w:rFonts w:ascii="Verdana" w:hAnsi="Verdana" w:eastAsia="Times New Roman" w:cs="Arial"/>
          <w:sz w:val="21"/>
          <w:szCs w:val="21"/>
          <w:lang w:val="es-ES" w:eastAsia="es-MX"/>
        </w:rPr>
        <w:t xml:space="preserve">4. El valor estimado del contrato y la justificación </w:t>
      </w:r>
      <w:r w:rsidRPr="6DB59E88" w:rsidR="00B76D42">
        <w:rPr>
          <w:rFonts w:ascii="Verdana" w:hAnsi="Verdana" w:eastAsia="Times New Roman" w:cs="Arial"/>
          <w:sz w:val="21"/>
          <w:szCs w:val="21"/>
          <w:lang w:val="es-ES" w:eastAsia="es-MX"/>
        </w:rPr>
        <w:t>del mismo</w:t>
      </w:r>
      <w:r w:rsidRPr="6DB59E88" w:rsidR="00B76D42">
        <w:rPr>
          <w:rFonts w:ascii="Verdana" w:hAnsi="Verdana" w:eastAsia="Times New Roman" w:cs="Arial"/>
          <w:sz w:val="21"/>
          <w:szCs w:val="21"/>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rsidRPr="00A068FC" w:rsidR="00B76D42" w:rsidP="00B76D42" w:rsidRDefault="00B76D42" w14:paraId="570F1754"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78FED159"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5. Los criterios para seleccionar la oferta más favorable. </w:t>
      </w:r>
    </w:p>
    <w:p w:rsidRPr="00A068FC" w:rsidR="00B76D42" w:rsidP="00B76D42" w:rsidRDefault="00B76D42" w14:paraId="62B22962"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67EA7DB9"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6. El análisis de Riesgo y la forma de mitigarlo. </w:t>
      </w:r>
    </w:p>
    <w:p w:rsidRPr="00A068FC" w:rsidR="00B76D42" w:rsidP="00B76D42" w:rsidRDefault="00B76D42" w14:paraId="29E61C58"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7BDA124A"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7. Las garantías que la Entidad Estatal contempla exigir en el proceso de contratación. </w:t>
      </w:r>
    </w:p>
    <w:p w:rsidRPr="00A068FC" w:rsidR="00B76D42" w:rsidP="00B76D42" w:rsidRDefault="00B76D42" w14:paraId="77FC952B"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2FF38F3A"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 xml:space="preserve">8. La indicación de si el proceso de contratación está cobijado por un acuerdo comercial. </w:t>
      </w:r>
    </w:p>
    <w:p w:rsidRPr="00A068FC" w:rsidR="00B76D42" w:rsidP="00B76D42" w:rsidRDefault="00B76D42" w14:paraId="2DCA809C" w14:textId="77777777">
      <w:pPr>
        <w:spacing w:after="0" w:line="240" w:lineRule="auto"/>
        <w:ind w:left="709" w:right="709"/>
        <w:contextualSpacing/>
        <w:jc w:val="both"/>
        <w:rPr>
          <w:rFonts w:ascii="Verdana" w:hAnsi="Verdana" w:eastAsia="Times New Roman" w:cs="Arial"/>
          <w:sz w:val="21"/>
          <w:szCs w:val="21"/>
          <w:lang w:val="es-ES_tradnl" w:eastAsia="es-MX"/>
        </w:rPr>
      </w:pPr>
    </w:p>
    <w:p w:rsidRPr="00A068FC" w:rsidR="00B76D42" w:rsidP="00B76D42" w:rsidRDefault="00B76D42" w14:paraId="4CB4A0A9" w14:textId="77777777">
      <w:pPr>
        <w:spacing w:after="0" w:line="240" w:lineRule="auto"/>
        <w:ind w:left="709" w:right="709"/>
        <w:contextualSpacing/>
        <w:jc w:val="both"/>
        <w:rPr>
          <w:rFonts w:ascii="Verdana" w:hAnsi="Verdana" w:eastAsia="Times New Roman" w:cs="Arial"/>
          <w:sz w:val="21"/>
          <w:szCs w:val="21"/>
          <w:lang w:val="es-ES_tradnl" w:eastAsia="es-MX"/>
        </w:rPr>
      </w:pPr>
      <w:r w:rsidRPr="00A068FC">
        <w:rPr>
          <w:rFonts w:ascii="Verdana" w:hAnsi="Verdana" w:eastAsia="Times New Roman" w:cs="Arial"/>
          <w:sz w:val="21"/>
          <w:szCs w:val="21"/>
          <w:lang w:val="es-ES_tradnl" w:eastAsia="es-MX"/>
        </w:rPr>
        <w:t>El presente artículo no es aplicable a la contratación por mínima cuantía”.</w:t>
      </w:r>
    </w:p>
    <w:p w:rsidRPr="00A068FC" w:rsidR="00B76D42" w:rsidP="00B76D42" w:rsidRDefault="00B76D42" w14:paraId="488451E1" w14:textId="77777777">
      <w:pPr>
        <w:widowControl w:val="0"/>
        <w:tabs>
          <w:tab w:val="left" w:pos="1305"/>
        </w:tabs>
        <w:autoSpaceDE w:val="0"/>
        <w:autoSpaceDN w:val="0"/>
        <w:spacing w:after="0" w:line="276" w:lineRule="auto"/>
        <w:ind w:left="828" w:right="822"/>
        <w:rPr>
          <w:rFonts w:ascii="Verdana" w:hAnsi="Verdana" w:eastAsia="Calibri" w:cs="Arial"/>
          <w:lang w:val="es-MX" w:eastAsia="es-ES_tradnl"/>
        </w:rPr>
      </w:pPr>
    </w:p>
    <w:p w:rsidRPr="00A068FC" w:rsidR="00B76D42" w:rsidP="6DB59E88" w:rsidRDefault="00B76D42" w14:paraId="17460074" w14:textId="77777777">
      <w:pPr>
        <w:spacing w:after="120" w:line="276" w:lineRule="auto"/>
        <w:ind w:firstLine="709"/>
        <w:jc w:val="both"/>
        <w:rPr>
          <w:rFonts w:ascii="Verdana" w:hAnsi="Verdana" w:eastAsia="Times New Roman" w:cs="Arial"/>
          <w:lang w:val="es-ES" w:eastAsia="es-MX"/>
        </w:rPr>
      </w:pPr>
      <w:bookmarkStart w:name="_Hlk54011351" w:id="12"/>
      <w:r w:rsidRPr="6DB59E88" w:rsidR="00B76D42">
        <w:rPr>
          <w:rFonts w:ascii="Verdana" w:hAnsi="Verdana" w:eastAsia="Times New Roman" w:cs="Arial"/>
          <w:lang w:val="es-ES" w:eastAsia="es-MX"/>
        </w:rPr>
        <w:t xml:space="preserve">De esta manera, antes de iniciar un procedimiento de selección, la Entidad Estatal podrá determinar con los estudios previos: i) la verdadera necesidad de la celebración del contrato; </w:t>
      </w:r>
      <w:r w:rsidRPr="6DB59E88" w:rsidR="00B76D42">
        <w:rPr>
          <w:rFonts w:ascii="Verdana" w:hAnsi="Verdana" w:eastAsia="Times New Roman" w:cs="Arial"/>
          <w:lang w:val="es-ES" w:eastAsia="es-MX"/>
        </w:rPr>
        <w:t>ii</w:t>
      </w:r>
      <w:r w:rsidRPr="6DB59E88" w:rsidR="00B76D42">
        <w:rPr>
          <w:rFonts w:ascii="Verdana" w:hAnsi="Verdana" w:eastAsia="Times New Roman" w:cs="Arial"/>
          <w:lang w:val="es-ES" w:eastAsia="es-MX"/>
        </w:rPr>
        <w:t xml:space="preserve">) las modalidades existentes para satisfacer esa necesidad y las razones que justifiquen la modalidad o tipo contractual que se escoja; </w:t>
      </w:r>
      <w:r w:rsidRPr="6DB59E88" w:rsidR="00B76D42">
        <w:rPr>
          <w:rFonts w:ascii="Verdana" w:hAnsi="Verdana" w:eastAsia="Times New Roman" w:cs="Arial"/>
          <w:lang w:val="es-ES" w:eastAsia="es-MX"/>
        </w:rPr>
        <w:t>iii</w:t>
      </w:r>
      <w:r w:rsidRPr="6DB59E88" w:rsidR="00B76D42">
        <w:rPr>
          <w:rFonts w:ascii="Verdana" w:hAnsi="Verdana" w:eastAsia="Times New Roman" w:cs="Arial"/>
          <w:lang w:val="es-ES" w:eastAsia="es-MX"/>
        </w:rPr>
        <w:t xml:space="preserve">) las </w:t>
      </w:r>
      <w:r w:rsidRPr="6DB59E88" w:rsidR="00B76D42">
        <w:rPr>
          <w:rFonts w:ascii="Verdana" w:hAnsi="Verdana" w:eastAsia="Times New Roman" w:cs="Arial"/>
          <w:lang w:val="es-ES" w:eastAsia="es-MX"/>
        </w:rPr>
        <w:t xml:space="preserve">calidades, especificaciones, cantidades y demás características que puedan o deban reunir los bienes, las obras o los servicios cuya contratación se haya determinado necesaria, </w:t>
      </w:r>
      <w:r w:rsidRPr="6DB59E88" w:rsidR="00B76D42">
        <w:rPr>
          <w:rFonts w:ascii="Verdana" w:hAnsi="Verdana" w:eastAsia="Times New Roman" w:cs="Arial"/>
          <w:lang w:val="es-ES" w:eastAsia="es-MX"/>
        </w:rPr>
        <w:t>iv</w:t>
      </w:r>
      <w:r w:rsidRPr="6DB59E88" w:rsidR="00B76D42">
        <w:rPr>
          <w:rFonts w:ascii="Verdana" w:hAnsi="Verdana" w:eastAsia="Times New Roman"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r w:rsidRPr="6DB59E88" w:rsidR="00B76D42">
        <w:rPr>
          <w:rFonts w:ascii="Verdana" w:hAnsi="Verdana" w:eastAsia="Times New Roman" w:cs="Arial"/>
          <w:lang w:val="es-ES" w:eastAsia="es-MX"/>
        </w:rPr>
        <w:t>vii</w:t>
      </w:r>
      <w:r w:rsidRPr="6DB59E88" w:rsidR="00B76D42">
        <w:rPr>
          <w:rFonts w:ascii="Verdana" w:hAnsi="Verdana" w:eastAsia="Times New Roman"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12"/>
      <w:r w:rsidRPr="6DB59E88" w:rsidR="00B76D42">
        <w:rPr>
          <w:rFonts w:ascii="Verdana" w:hAnsi="Verdana" w:eastAsia="Calibri" w:cs="Arial"/>
          <w:lang w:val="es-ES" w:eastAsia="es-MX"/>
        </w:rPr>
        <w:t xml:space="preserve">permite que los contratos resultantes de la planeación cuenten con el sustento técnico, económico y jurídico que incidirá </w:t>
      </w:r>
      <w:r w:rsidRPr="6DB59E88" w:rsidR="00B76D42">
        <w:rPr>
          <w:rFonts w:ascii="Verdana" w:hAnsi="Verdana" w:eastAsia="Times New Roman" w:cs="Arial"/>
          <w:lang w:val="es-ES" w:eastAsia="es-MX"/>
        </w:rPr>
        <w:t>en una adecuada ejecución.</w:t>
      </w:r>
    </w:p>
    <w:p w:rsidRPr="00A068FC" w:rsidR="00B76D42" w:rsidP="00B76D42" w:rsidRDefault="00B76D42" w14:paraId="738C2234" w14:textId="77777777">
      <w:pPr>
        <w:spacing w:after="120" w:line="276" w:lineRule="auto"/>
        <w:ind w:right="102" w:firstLine="709"/>
        <w:jc w:val="both"/>
        <w:rPr>
          <w:rFonts w:ascii="Verdana" w:hAnsi="Verdana" w:eastAsia="Times New Roman" w:cs="Arial"/>
          <w:lang w:val="es-ES_tradnl" w:eastAsia="es-MX"/>
        </w:rPr>
      </w:pPr>
      <w:r w:rsidRPr="00A068FC">
        <w:rPr>
          <w:rFonts w:ascii="Verdana" w:hAnsi="Verdana" w:eastAsia="Times New Roman" w:cs="Arial"/>
          <w:lang w:val="es-ES_tradnl" w:eastAsia="es-MX"/>
        </w:rPr>
        <w:t>Más allá del cumplimiento de la normativa, “los estudios y documentos previos son el soporte para elaborar el proyecto de pliegos, los pliegos de condiciones, y el contrato”</w:t>
      </w:r>
      <w:r w:rsidRPr="00A068FC">
        <w:rPr>
          <w:rFonts w:ascii="Verdana" w:hAnsi="Verdana" w:eastAsia="Times New Roman" w:cs="Arial"/>
          <w:vertAlign w:val="superscript"/>
          <w:lang w:val="es-ES_tradnl" w:eastAsia="es-MX"/>
        </w:rPr>
        <w:footnoteReference w:id="21"/>
      </w:r>
      <w:r w:rsidRPr="00A068FC">
        <w:rPr>
          <w:rFonts w:ascii="Verdana" w:hAnsi="Verdana" w:eastAsia="Times New Roman"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name="_Hlk54011438" w:id="14"/>
      <w:r w:rsidRPr="00A068FC">
        <w:rPr>
          <w:rFonts w:ascii="Verdana" w:hAnsi="Verdana" w:eastAsia="Times New Roman"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14"/>
      <w:r w:rsidRPr="00A068FC">
        <w:rPr>
          <w:rFonts w:ascii="Verdana" w:hAnsi="Verdana" w:eastAsia="Times New Roman" w:cs="Arial"/>
          <w:vertAlign w:val="superscript"/>
          <w:lang w:val="es-ES_tradnl" w:eastAsia="es-MX"/>
        </w:rPr>
        <w:footnoteReference w:id="22"/>
      </w:r>
      <w:r w:rsidRPr="00A068FC">
        <w:rPr>
          <w:rFonts w:ascii="Verdana" w:hAnsi="Verdana" w:eastAsia="Times New Roman" w:cs="Arial"/>
          <w:lang w:val="es-ES_tradnl" w:eastAsia="es-MX"/>
        </w:rPr>
        <w:t>.</w:t>
      </w:r>
    </w:p>
    <w:p w:rsidR="00B76D42" w:rsidP="00B76D42" w:rsidRDefault="00B76D42" w14:paraId="62090A57" w14:textId="77777777">
      <w:pPr>
        <w:spacing w:after="120" w:line="276" w:lineRule="auto"/>
        <w:ind w:firstLine="709"/>
        <w:jc w:val="both"/>
        <w:rPr>
          <w:rFonts w:ascii="Verdana" w:hAnsi="Verdana" w:eastAsia="Times New Roman" w:cs="Arial"/>
          <w:szCs w:val="24"/>
          <w:lang w:eastAsia="es-ES_tradnl"/>
        </w:rPr>
      </w:pPr>
      <w:r w:rsidRPr="00A068FC">
        <w:rPr>
          <w:rFonts w:ascii="Verdana" w:hAnsi="Verdana" w:eastAsia="Times New Roman" w:cs="Arial"/>
          <w:szCs w:val="24"/>
          <w:lang w:eastAsia="es-ES_tradnl"/>
        </w:rPr>
        <w:t xml:space="preserve">Ahora bien, el numeral 12 del artículo 25 de la Ley 80 de 1993, antes citado, establece el deber de las entidades de realizar estudios previos en dos (2) momentos </w:t>
      </w:r>
      <w:r w:rsidRPr="00A068FC">
        <w:rPr>
          <w:rFonts w:ascii="Verdana" w:hAnsi="Verdana" w:eastAsia="Times New Roman" w:cs="Arial"/>
          <w:szCs w:val="24"/>
          <w:lang w:eastAsia="es-ES_tradnl"/>
        </w:rPr>
        <w:t xml:space="preserve">específicos: i) previo a la apertura de un proceso de selección y </w:t>
      </w:r>
      <w:proofErr w:type="spellStart"/>
      <w:r w:rsidRPr="00A068FC">
        <w:rPr>
          <w:rFonts w:ascii="Verdana" w:hAnsi="Verdana" w:eastAsia="Times New Roman" w:cs="Arial"/>
          <w:szCs w:val="24"/>
          <w:lang w:eastAsia="es-ES_tradnl"/>
        </w:rPr>
        <w:t>ii</w:t>
      </w:r>
      <w:proofErr w:type="spellEnd"/>
      <w:r w:rsidRPr="00A068FC">
        <w:rPr>
          <w:rFonts w:ascii="Verdana" w:hAnsi="Verdana" w:eastAsia="Times New Roman" w:cs="Arial"/>
          <w:szCs w:val="24"/>
          <w:lang w:eastAsia="es-ES_tradnl"/>
        </w:rPr>
        <w:t xml:space="preserve">) previo a la firma del contrato en el caso en que la modalidad de selección sea contratación directa. </w:t>
      </w:r>
    </w:p>
    <w:p w:rsidRPr="00A068FC" w:rsidR="00B76D42" w:rsidP="00B76D42" w:rsidRDefault="00B76D42" w14:paraId="0FDEA9B7" w14:textId="77777777">
      <w:pPr>
        <w:spacing w:after="0" w:line="276" w:lineRule="auto"/>
        <w:ind w:firstLine="709"/>
        <w:jc w:val="both"/>
        <w:rPr>
          <w:rFonts w:ascii="Verdana" w:hAnsi="Verdana" w:eastAsia="Times New Roman" w:cs="Arial"/>
          <w:szCs w:val="24"/>
          <w:lang w:eastAsia="es-ES_tradnl"/>
        </w:rPr>
      </w:pPr>
      <w:r>
        <w:rPr>
          <w:rFonts w:ascii="Verdana" w:hAnsi="Verdana" w:eastAsia="Times New Roman" w:cs="Arial"/>
          <w:szCs w:val="24"/>
          <w:lang w:eastAsia="es-ES_tradnl"/>
        </w:rPr>
        <w:t xml:space="preserve">Tratándose de contratos de concesión de espacios y todos aquellos que puedan clasificarse como atípicos, de conformidad con </w:t>
      </w:r>
      <w:r w:rsidRPr="00A068FC">
        <w:rPr>
          <w:rFonts w:ascii="Verdana" w:hAnsi="Verdana" w:eastAsia="Times New Roman" w:cs="Arial"/>
          <w:szCs w:val="24"/>
          <w:lang w:eastAsia="es-ES_tradnl"/>
        </w:rPr>
        <w:t>el numeral 12 del artículo 25 de la Ley 80 de 1993</w:t>
      </w:r>
      <w:r>
        <w:rPr>
          <w:rFonts w:ascii="Verdana" w:hAnsi="Verdana" w:eastAsia="Times New Roman" w:cs="Arial"/>
          <w:szCs w:val="24"/>
          <w:lang w:eastAsia="es-ES_tradnl"/>
        </w:rPr>
        <w:t xml:space="preserve">, tanto previo a la apertura del proceso de selección deberá realizarse los respectivos estudios previos. Esta Agencia considera que todos los deberes derivados del principio de planeación son aplicables al contrato de concesión, en la medida los principios son transversales a todas las tipologías contractuales, independientemente de que estos se clasifiquen en típicos o atípicos. </w:t>
      </w:r>
    </w:p>
    <w:p w:rsidRPr="00A068FC" w:rsidR="00B76D42" w:rsidP="00B76D42" w:rsidRDefault="00B76D42" w14:paraId="6C21797D" w14:textId="77777777">
      <w:pPr>
        <w:spacing w:after="0" w:line="276" w:lineRule="auto"/>
        <w:jc w:val="both"/>
        <w:rPr>
          <w:rFonts w:ascii="Verdana" w:hAnsi="Verdana" w:eastAsia="Century Gothic" w:cs="Century Gothic"/>
          <w:b/>
          <w:bCs/>
          <w:lang w:val="es-ES" w:eastAsia="es-ES_tradnl"/>
        </w:rPr>
      </w:pPr>
    </w:p>
    <w:p w:rsidRPr="00A068FC" w:rsidR="00B76D42" w:rsidP="00B76D42" w:rsidRDefault="00B76D42" w14:paraId="5B3EB076" w14:textId="77777777">
      <w:pPr>
        <w:spacing w:after="0" w:line="276" w:lineRule="auto"/>
        <w:jc w:val="both"/>
        <w:rPr>
          <w:rFonts w:ascii="Verdana" w:hAnsi="Verdana" w:eastAsia="Century Gothic" w:cs="Century Gothic"/>
          <w:b/>
          <w:bCs/>
          <w:lang w:val="es-ES" w:eastAsia="es-ES_tradnl"/>
        </w:rPr>
      </w:pPr>
      <w:r w:rsidRPr="00A068FC">
        <w:rPr>
          <w:rFonts w:ascii="Verdana" w:hAnsi="Verdana" w:eastAsia="Century Gothic" w:cs="Century Gothic"/>
          <w:b/>
          <w:bCs/>
          <w:lang w:val="es-ES" w:eastAsia="es-ES_tradnl"/>
        </w:rPr>
        <w:t>3. Respuesta</w:t>
      </w:r>
    </w:p>
    <w:p w:rsidRPr="00A068FC" w:rsidR="00B76D42" w:rsidP="00B76D42" w:rsidRDefault="00B76D42" w14:paraId="0F04890B" w14:textId="77777777">
      <w:pPr>
        <w:spacing w:after="0" w:line="276" w:lineRule="auto"/>
        <w:jc w:val="both"/>
        <w:rPr>
          <w:rFonts w:ascii="Verdana" w:hAnsi="Verdana" w:eastAsia="Century Gothic" w:cs="Century Gothic"/>
          <w:lang w:val="es-ES" w:eastAsia="es-ES_tradnl"/>
        </w:rPr>
      </w:pPr>
    </w:p>
    <w:p w:rsidRPr="00A068FC" w:rsidR="00B76D42" w:rsidP="00B76D42" w:rsidRDefault="00B76D42" w14:paraId="3C0A2D3C" w14:textId="77777777">
      <w:pPr>
        <w:spacing w:after="0" w:line="240" w:lineRule="auto"/>
        <w:ind w:left="709" w:right="709"/>
        <w:jc w:val="both"/>
        <w:rPr>
          <w:rFonts w:ascii="Verdana" w:hAnsi="Verdana" w:eastAsia="Century Gothic" w:cs="Century Gothic"/>
          <w:sz w:val="20"/>
          <w:szCs w:val="20"/>
          <w:lang w:eastAsia="es-ES_tradnl"/>
        </w:rPr>
      </w:pPr>
      <w:r>
        <w:rPr>
          <w:rFonts w:ascii="Verdana" w:hAnsi="Verdana" w:eastAsia="Century Gothic" w:cs="Century Gothic"/>
          <w:sz w:val="20"/>
          <w:szCs w:val="20"/>
          <w:lang w:eastAsia="es-ES_tradnl"/>
        </w:rPr>
        <w:t>“</w:t>
      </w:r>
      <w:r w:rsidRPr="00A068FC">
        <w:rPr>
          <w:rFonts w:ascii="Verdana" w:hAnsi="Verdana" w:eastAsia="Century Gothic" w:cs="Century Gothic"/>
          <w:sz w:val="20"/>
          <w:szCs w:val="20"/>
          <w:lang w:eastAsia="es-ES_tradnl"/>
        </w:rPr>
        <w:t>¿Los contratos atípicos denominados CONCESIÓN MERCANTIL DE ESPACIOS FÍSICOS pueden ser suscritos por las Entidades reguladas por el Estatuto General de Contratación de la Administración Pública?</w:t>
      </w:r>
      <w:r>
        <w:rPr>
          <w:rFonts w:ascii="Verdana" w:hAnsi="Verdana" w:eastAsia="Century Gothic" w:cs="Century Gothic"/>
          <w:sz w:val="20"/>
          <w:szCs w:val="20"/>
          <w:lang w:eastAsia="es-ES_tradnl"/>
        </w:rPr>
        <w:t>”</w:t>
      </w:r>
    </w:p>
    <w:p w:rsidRPr="00A34B1A" w:rsidR="00B76D42" w:rsidP="00B76D42" w:rsidRDefault="00B76D42" w14:paraId="6D762026" w14:textId="77777777">
      <w:pPr>
        <w:spacing w:after="0" w:line="276" w:lineRule="auto"/>
        <w:ind w:left="709" w:right="709"/>
        <w:jc w:val="both"/>
        <w:rPr>
          <w:rFonts w:ascii="Verdana" w:hAnsi="Verdana" w:eastAsia="Century Gothic" w:cs="Century Gothic"/>
          <w:lang w:eastAsia="es-ES_tradnl"/>
        </w:rPr>
      </w:pPr>
    </w:p>
    <w:p w:rsidR="00B76D42" w:rsidP="00B76D42" w:rsidRDefault="00B76D42" w14:paraId="67BC4B56" w14:textId="77777777">
      <w:pPr>
        <w:spacing w:after="120" w:line="276" w:lineRule="auto"/>
        <w:jc w:val="both"/>
        <w:rPr>
          <w:rFonts w:ascii="Verdana" w:hAnsi="Verdana"/>
        </w:rPr>
      </w:pPr>
      <w:r>
        <w:rPr>
          <w:rFonts w:ascii="Verdana" w:hAnsi="Verdana"/>
        </w:rPr>
        <w:t>L</w:t>
      </w:r>
      <w:r w:rsidRPr="000C2D90">
        <w:rPr>
          <w:rFonts w:ascii="Verdana" w:hAnsi="Verdana"/>
        </w:rPr>
        <w:t xml:space="preserve">a normativa del sistema de compra pública no define una tipología contractual referida al contrato de </w:t>
      </w:r>
      <w:r>
        <w:rPr>
          <w:rFonts w:ascii="Verdana" w:hAnsi="Verdana"/>
        </w:rPr>
        <w:t>concesión de espacios públicos</w:t>
      </w:r>
      <w:r w:rsidRPr="000C2D90">
        <w:rPr>
          <w:rFonts w:ascii="Verdana" w:hAnsi="Verdana"/>
        </w:rPr>
        <w:t xml:space="preserve">. </w:t>
      </w:r>
      <w:r>
        <w:rPr>
          <w:rFonts w:ascii="Verdana" w:hAnsi="Verdana"/>
        </w:rPr>
        <w:t>No obstante, l</w:t>
      </w:r>
      <w:r w:rsidRPr="000C2D90">
        <w:rPr>
          <w:rFonts w:ascii="Verdana" w:hAnsi="Verdana"/>
        </w:rPr>
        <w:t>as Entidades Estatales</w:t>
      </w:r>
      <w:r>
        <w:rPr>
          <w:rFonts w:ascii="Verdana" w:hAnsi="Verdana"/>
        </w:rPr>
        <w:t>,</w:t>
      </w:r>
      <w:r w:rsidRPr="000C2D90">
        <w:rPr>
          <w:rFonts w:ascii="Verdana" w:hAnsi="Verdana"/>
        </w:rPr>
        <w:t xml:space="preserve"> en virtud de la autonomía de la voluntad, pueden crear derechos y obligaciones contenidos en contratos atípicos los cuales no se encuentran prohibidos por el ordenamiento jurídico en la medida en que no contravengan el orden público y las buenas costumbres. </w:t>
      </w:r>
    </w:p>
    <w:p w:rsidRPr="000C2D90" w:rsidR="00B76D42" w:rsidP="00B76D42" w:rsidRDefault="00B76D42" w14:paraId="3DA3140F" w14:textId="77777777">
      <w:pPr>
        <w:spacing w:after="120" w:line="276" w:lineRule="auto"/>
        <w:ind w:firstLine="708"/>
        <w:jc w:val="both"/>
        <w:rPr>
          <w:rFonts w:ascii="Verdana" w:hAnsi="Verdana" w:eastAsia="Century Gothic" w:cs="Century Gothic"/>
          <w:b/>
          <w:bCs/>
          <w:lang w:eastAsia="es-ES_tradnl"/>
        </w:rPr>
      </w:pPr>
      <w:r>
        <w:rPr>
          <w:rFonts w:ascii="Verdana" w:hAnsi="Verdana"/>
        </w:rPr>
        <w:t>Se concluye entonces que, l</w:t>
      </w:r>
      <w:r w:rsidRPr="000C2D90">
        <w:rPr>
          <w:rFonts w:ascii="Verdana" w:hAnsi="Verdana"/>
        </w:rPr>
        <w:t xml:space="preserve">a normativa del sistema de compra pública no define una tipología contractual referida al contrato de </w:t>
      </w:r>
      <w:r>
        <w:rPr>
          <w:rFonts w:ascii="Verdana" w:hAnsi="Verdana"/>
        </w:rPr>
        <w:t>concesión de espacios públicos</w:t>
      </w:r>
      <w:r w:rsidRPr="000C2D90">
        <w:rPr>
          <w:rFonts w:ascii="Verdana" w:hAnsi="Verdana"/>
        </w:rPr>
        <w:t xml:space="preserve">. </w:t>
      </w:r>
      <w:r>
        <w:rPr>
          <w:rFonts w:ascii="Verdana" w:hAnsi="Verdana"/>
        </w:rPr>
        <w:t>No obstante, l</w:t>
      </w:r>
      <w:r w:rsidRPr="000C2D90">
        <w:rPr>
          <w:rFonts w:ascii="Verdana" w:hAnsi="Verdana"/>
        </w:rPr>
        <w:t>as Entidades Estatales</w:t>
      </w:r>
      <w:r>
        <w:rPr>
          <w:rFonts w:ascii="Verdana" w:hAnsi="Verdana"/>
        </w:rPr>
        <w:t>,</w:t>
      </w:r>
      <w:r w:rsidRPr="000C2D90">
        <w:rPr>
          <w:rFonts w:ascii="Verdana" w:hAnsi="Verdana"/>
        </w:rPr>
        <w:t xml:space="preserve"> en virtud de la autonomía de la voluntad, pueden crear derechos y obligaciones contenidos en contratos atípicos los cuales no se encuentran prohibidos por el ordenamiento jurídico en la medida en que no contravengan el orden público y las buenas costumbres. </w:t>
      </w:r>
    </w:p>
    <w:p w:rsidRPr="00A068FC" w:rsidR="00B76D42" w:rsidP="00B76D42" w:rsidRDefault="00B76D42" w14:paraId="344559EB" w14:textId="77777777">
      <w:pPr>
        <w:spacing w:after="0" w:line="240" w:lineRule="auto"/>
        <w:ind w:left="709" w:right="709"/>
        <w:jc w:val="both"/>
        <w:rPr>
          <w:rFonts w:ascii="Verdana" w:hAnsi="Verdana" w:eastAsia="Century Gothic" w:cs="Century Gothic"/>
          <w:sz w:val="20"/>
          <w:szCs w:val="20"/>
          <w:lang w:eastAsia="es-ES_tradnl"/>
        </w:rPr>
      </w:pPr>
      <w:r>
        <w:rPr>
          <w:rFonts w:ascii="Verdana" w:hAnsi="Verdana" w:eastAsia="Century Gothic" w:cs="Century Gothic"/>
          <w:sz w:val="20"/>
          <w:szCs w:val="20"/>
          <w:lang w:eastAsia="es-ES_tradnl"/>
        </w:rPr>
        <w:t>“</w:t>
      </w:r>
      <w:r w:rsidRPr="00A068FC">
        <w:rPr>
          <w:rFonts w:ascii="Verdana" w:hAnsi="Verdana" w:eastAsia="Century Gothic" w:cs="Century Gothic"/>
          <w:sz w:val="20"/>
          <w:szCs w:val="20"/>
          <w:lang w:eastAsia="es-ES_tradnl"/>
        </w:rPr>
        <w:t>¿Cuál sería la modalidad de contratación que debería adelantarse para la suscripción de este tipo de contratos atípicos?</w:t>
      </w:r>
      <w:r>
        <w:rPr>
          <w:rFonts w:ascii="Verdana" w:hAnsi="Verdana" w:eastAsia="Century Gothic" w:cs="Century Gothic"/>
          <w:sz w:val="20"/>
          <w:szCs w:val="20"/>
          <w:lang w:eastAsia="es-ES_tradnl"/>
        </w:rPr>
        <w:t>”</w:t>
      </w:r>
    </w:p>
    <w:p w:rsidR="00B76D42" w:rsidP="00B76D42" w:rsidRDefault="00B76D42" w14:paraId="6397575F" w14:textId="77777777">
      <w:pPr>
        <w:spacing w:after="0" w:line="240" w:lineRule="auto"/>
        <w:ind w:left="709" w:right="709"/>
        <w:jc w:val="both"/>
        <w:rPr>
          <w:rFonts w:ascii="Verdana" w:hAnsi="Verdana" w:eastAsia="Century Gothic" w:cs="Century Gothic"/>
          <w:sz w:val="20"/>
          <w:szCs w:val="20"/>
          <w:lang w:eastAsia="es-ES_tradnl"/>
        </w:rPr>
      </w:pPr>
    </w:p>
    <w:p w:rsidRPr="000C2D90" w:rsidR="00B76D42" w:rsidP="00484886" w:rsidRDefault="00B76D42" w14:paraId="3FFFD0E5" w14:textId="77777777">
      <w:pPr>
        <w:spacing w:after="120" w:line="276" w:lineRule="auto"/>
        <w:ind w:firstLine="708"/>
        <w:jc w:val="both"/>
        <w:rPr>
          <w:rFonts w:ascii="Verdana" w:hAnsi="Verdana" w:eastAsia="Calibri" w:cs="Arial"/>
          <w:bCs/>
          <w:lang w:val="es-MX" w:eastAsia="es-ES_tradnl"/>
        </w:rPr>
      </w:pPr>
      <w:r>
        <w:rPr>
          <w:rFonts w:ascii="Verdana" w:hAnsi="Verdana" w:eastAsia="Calibri" w:cs="Arial"/>
          <w:lang w:val="es-ES_tradnl" w:eastAsia="es-ES_tradnl"/>
        </w:rPr>
        <w:t>P</w:t>
      </w:r>
      <w:r w:rsidRPr="000C2D90">
        <w:rPr>
          <w:rFonts w:ascii="Verdana" w:hAnsi="Verdana" w:cs="Arial"/>
          <w:lang w:val="es-ES"/>
        </w:rPr>
        <w:t xml:space="preserve">ara las entidades sometidas al </w:t>
      </w:r>
      <w:r>
        <w:rPr>
          <w:rFonts w:ascii="Verdana" w:hAnsi="Verdana" w:cs="Arial"/>
          <w:lang w:val="es-ES"/>
        </w:rPr>
        <w:t>EGCAP</w:t>
      </w:r>
      <w:r w:rsidRPr="000C2D90">
        <w:rPr>
          <w:rFonts w:ascii="Verdana" w:hAnsi="Verdana" w:cs="Arial"/>
          <w:lang w:val="es-ES"/>
        </w:rPr>
        <w:t xml:space="preserve">, los procesos de selección se rigen por </w:t>
      </w:r>
      <w:r w:rsidRPr="000C2D90">
        <w:rPr>
          <w:rFonts w:ascii="Verdana" w:hAnsi="Verdana" w:cs="Arial"/>
          <w:bCs/>
          <w:lang w:val="es-ES_tradnl"/>
        </w:rPr>
        <w:t>el artículo 2 de la Ley 1150 de 2007</w:t>
      </w:r>
      <w:r w:rsidRPr="000C2D90">
        <w:rPr>
          <w:rFonts w:ascii="Verdana" w:hAnsi="Verdana" w:cs="Arial"/>
          <w:lang w:val="es-ES"/>
        </w:rPr>
        <w:t xml:space="preserve">. El </w:t>
      </w:r>
      <w:r w:rsidRPr="000C2D90">
        <w:rPr>
          <w:rFonts w:ascii="Verdana" w:hAnsi="Verdana" w:eastAsia="Calibri" w:cs="Arial"/>
          <w:bCs/>
          <w:lang w:val="es-MX" w:eastAsia="es-ES_tradnl"/>
        </w:rPr>
        <w:t>numeral primero, inciso primero, de la norma citada</w:t>
      </w:r>
      <w:r w:rsidRPr="000C2D90">
        <w:rPr>
          <w:rFonts w:ascii="Verdana" w:hAnsi="Verdana" w:cs="Arial"/>
          <w:bCs/>
          <w:lang w:val="es-ES_tradnl"/>
        </w:rPr>
        <w:t xml:space="preserve"> </w:t>
      </w:r>
      <w:r w:rsidRPr="000C2D90">
        <w:rPr>
          <w:rFonts w:ascii="Verdana" w:hAnsi="Verdana" w:eastAsia="Calibri" w:cs="Arial"/>
          <w:bCs/>
          <w:lang w:val="es-MX" w:eastAsia="es-ES_tradnl"/>
        </w:rPr>
        <w:t xml:space="preserve">dispone que “La escogencia del contratista se efectuará por </w:t>
      </w:r>
      <w:r w:rsidRPr="000C2D90">
        <w:rPr>
          <w:rFonts w:ascii="Verdana" w:hAnsi="Verdana" w:eastAsia="Calibri" w:cs="Arial"/>
          <w:bCs/>
          <w:i/>
          <w:iCs/>
          <w:lang w:val="es-MX" w:eastAsia="es-ES_tradnl"/>
        </w:rPr>
        <w:t>regla general</w:t>
      </w:r>
      <w:r w:rsidRPr="000C2D90">
        <w:rPr>
          <w:rFonts w:ascii="Verdana" w:hAnsi="Verdana" w:eastAsia="Calibri" w:cs="Arial"/>
          <w:bCs/>
          <w:lang w:val="es-MX" w:eastAsia="es-ES_tradnl"/>
        </w:rPr>
        <w:t xml:space="preserve"> a través de licitación pública, con las </w:t>
      </w:r>
      <w:r w:rsidRPr="000C2D90">
        <w:rPr>
          <w:rFonts w:ascii="Verdana" w:hAnsi="Verdana" w:eastAsia="Calibri" w:cs="Arial"/>
          <w:bCs/>
          <w:i/>
          <w:iCs/>
          <w:lang w:val="es-MX" w:eastAsia="es-ES_tradnl"/>
        </w:rPr>
        <w:t>excepciones</w:t>
      </w:r>
      <w:r w:rsidRPr="000C2D90">
        <w:rPr>
          <w:rFonts w:ascii="Verdana" w:hAnsi="Verdana" w:eastAsia="Calibri" w:cs="Arial"/>
          <w:bCs/>
          <w:lang w:val="es-MX" w:eastAsia="es-ES_tradnl"/>
        </w:rPr>
        <w:t xml:space="preserve"> que se señalan en los numerales 2, 3 y 4 del presente artículo”, norma que sustituye el derogado numeral 1 del artículo 24 de la Ley 80 de 1993 sobre el principio de transparencia.</w:t>
      </w:r>
    </w:p>
    <w:p w:rsidRPr="000C2D90" w:rsidR="00B76D42" w:rsidP="00B76D42" w:rsidRDefault="00B76D42" w14:paraId="53FDC4EC" w14:textId="77777777">
      <w:pPr>
        <w:spacing w:after="0" w:line="276" w:lineRule="auto"/>
        <w:ind w:firstLine="709"/>
        <w:jc w:val="both"/>
        <w:rPr>
          <w:rFonts w:ascii="Verdana" w:hAnsi="Verdana" w:eastAsia="Calibri" w:cs="Arial"/>
          <w:bCs/>
          <w:lang w:val="es-MX" w:eastAsia="es-ES_tradnl"/>
        </w:rPr>
      </w:pPr>
      <w:r w:rsidRPr="000C2D90">
        <w:rPr>
          <w:rFonts w:ascii="Verdana" w:hAnsi="Verdana" w:eastAsia="Calibri" w:cs="Arial"/>
          <w:bCs/>
          <w:lang w:val="es-MX" w:eastAsia="es-ES_tradnl"/>
        </w:rPr>
        <w:t>En este contexto,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r>
        <w:rPr>
          <w:rFonts w:ascii="Verdana" w:hAnsi="Verdana" w:eastAsia="Calibri" w:cs="Arial"/>
          <w:bCs/>
          <w:lang w:val="es-MX" w:eastAsia="es-ES_tradnl"/>
        </w:rPr>
        <w:t xml:space="preserve"> Así las cosas, les corresponde a cada Entidad Estatal definir de acuerdo con el objeto del contrato y su cuantía la modalidad que proceda para la selección del contratista. </w:t>
      </w:r>
    </w:p>
    <w:p w:rsidRPr="00A34B1A" w:rsidR="00B76D42" w:rsidP="00B76D42" w:rsidRDefault="00B76D42" w14:paraId="49786282" w14:textId="77777777">
      <w:pPr>
        <w:spacing w:after="0" w:line="240" w:lineRule="auto"/>
        <w:ind w:left="709" w:right="709"/>
        <w:jc w:val="both"/>
        <w:rPr>
          <w:rFonts w:ascii="Verdana" w:hAnsi="Verdana" w:eastAsia="Century Gothic" w:cs="Century Gothic"/>
          <w:sz w:val="20"/>
          <w:szCs w:val="20"/>
          <w:lang w:val="es-MX" w:eastAsia="es-ES_tradnl"/>
        </w:rPr>
      </w:pPr>
    </w:p>
    <w:p w:rsidRPr="00A068FC" w:rsidR="00B76D42" w:rsidP="00B76D42" w:rsidRDefault="00B76D42" w14:paraId="2A67E7B9" w14:textId="77777777">
      <w:pPr>
        <w:spacing w:after="0" w:line="240" w:lineRule="auto"/>
        <w:ind w:left="709" w:right="709"/>
        <w:jc w:val="both"/>
        <w:rPr>
          <w:rFonts w:ascii="Verdana" w:hAnsi="Verdana" w:eastAsia="Century Gothic" w:cs="Century Gothic"/>
          <w:sz w:val="20"/>
          <w:szCs w:val="20"/>
          <w:lang w:eastAsia="es-ES_tradnl"/>
        </w:rPr>
      </w:pPr>
      <w:r>
        <w:rPr>
          <w:rFonts w:ascii="Verdana" w:hAnsi="Verdana" w:eastAsia="Century Gothic" w:cs="Century Gothic"/>
          <w:sz w:val="20"/>
          <w:szCs w:val="20"/>
          <w:lang w:eastAsia="es-ES_tradnl"/>
        </w:rPr>
        <w:t>“</w:t>
      </w:r>
      <w:r w:rsidRPr="00A068FC">
        <w:rPr>
          <w:rFonts w:ascii="Verdana" w:hAnsi="Verdana" w:eastAsia="Century Gothic" w:cs="Century Gothic"/>
          <w:sz w:val="20"/>
          <w:szCs w:val="20"/>
          <w:lang w:eastAsia="es-ES_tradnl"/>
        </w:rPr>
        <w:t>¿Puede aplicarse por analogía las disposiciones legales que regulan el contrato de arriendo comercial al contrato atípico de CONCESIÓN MERCANTIL DE ESPACIOS FÍSICOS?</w:t>
      </w:r>
    </w:p>
    <w:p w:rsidRPr="00A068FC" w:rsidR="00B76D42" w:rsidP="00B76D42" w:rsidRDefault="00B76D42" w14:paraId="6F317D85" w14:textId="77777777">
      <w:pPr>
        <w:spacing w:after="0" w:line="240" w:lineRule="auto"/>
        <w:ind w:left="709" w:right="709"/>
        <w:jc w:val="both"/>
        <w:rPr>
          <w:rFonts w:ascii="Verdana" w:hAnsi="Verdana" w:eastAsia="Century Gothic" w:cs="Century Gothic"/>
          <w:sz w:val="20"/>
          <w:szCs w:val="20"/>
          <w:lang w:eastAsia="es-ES_tradnl"/>
        </w:rPr>
      </w:pPr>
    </w:p>
    <w:p w:rsidRPr="00A068FC" w:rsidR="00B76D42" w:rsidP="00B76D42" w:rsidRDefault="00B76D42" w14:paraId="58A944EF" w14:textId="77777777">
      <w:pPr>
        <w:spacing w:after="0" w:line="240" w:lineRule="auto"/>
        <w:ind w:left="709" w:right="709"/>
        <w:jc w:val="both"/>
        <w:rPr>
          <w:rFonts w:ascii="Verdana" w:hAnsi="Verdana" w:eastAsia="Century Gothic" w:cs="Century Gothic"/>
          <w:sz w:val="20"/>
          <w:szCs w:val="20"/>
          <w:lang w:eastAsia="es-ES_tradnl"/>
        </w:rPr>
      </w:pPr>
      <w:r w:rsidRPr="00A068FC">
        <w:rPr>
          <w:rFonts w:ascii="Verdana" w:hAnsi="Verdana" w:eastAsia="Century Gothic" w:cs="Century Gothic"/>
          <w:sz w:val="20"/>
          <w:szCs w:val="20"/>
          <w:lang w:eastAsia="es-ES_tradnl"/>
        </w:rPr>
        <w:t>¿Cuáles son los elementos esenciales, naturales y accidentales de los CONCESIÓN MERCANTIL DE ESPACIOS FÍSICOS?</w:t>
      </w:r>
      <w:r>
        <w:rPr>
          <w:rFonts w:ascii="Verdana" w:hAnsi="Verdana" w:eastAsia="Century Gothic" w:cs="Century Gothic"/>
          <w:sz w:val="20"/>
          <w:szCs w:val="20"/>
          <w:lang w:eastAsia="es-ES_tradnl"/>
        </w:rPr>
        <w:t>”</w:t>
      </w:r>
    </w:p>
    <w:p w:rsidR="00B76D42" w:rsidP="00B76D42" w:rsidRDefault="00B76D42" w14:paraId="70C67B22" w14:textId="77777777">
      <w:pPr>
        <w:spacing w:after="0" w:line="240" w:lineRule="auto"/>
        <w:ind w:left="709" w:right="709"/>
        <w:jc w:val="both"/>
        <w:rPr>
          <w:rFonts w:ascii="Verdana" w:hAnsi="Verdana" w:eastAsia="Century Gothic" w:cs="Century Gothic"/>
          <w:sz w:val="20"/>
          <w:szCs w:val="20"/>
          <w:lang w:eastAsia="es-ES_tradnl"/>
        </w:rPr>
      </w:pPr>
    </w:p>
    <w:p w:rsidRPr="005F0A4B" w:rsidR="00B76D42" w:rsidP="00484886" w:rsidRDefault="00EB782A" w14:paraId="096EC04A" w14:textId="648D478C">
      <w:pPr>
        <w:tabs>
          <w:tab w:val="left" w:pos="142"/>
          <w:tab w:val="left" w:pos="426"/>
        </w:tabs>
        <w:spacing w:after="120" w:line="276" w:lineRule="auto"/>
        <w:jc w:val="both"/>
        <w:rPr>
          <w:rFonts w:ascii="Verdana" w:hAnsi="Verdana" w:eastAsia="Calibri" w:cs="Arial"/>
          <w:b/>
          <w:sz w:val="20"/>
          <w:szCs w:val="20"/>
          <w:lang w:val="es-ES"/>
        </w:rPr>
      </w:pPr>
      <w:r>
        <w:rPr>
          <w:rFonts w:ascii="Verdana" w:hAnsi="Verdana"/>
        </w:rPr>
        <w:tab/>
      </w:r>
      <w:r>
        <w:rPr>
          <w:rFonts w:ascii="Verdana" w:hAnsi="Verdana"/>
        </w:rPr>
        <w:tab/>
      </w:r>
      <w:r>
        <w:rPr>
          <w:rFonts w:ascii="Verdana" w:hAnsi="Verdana"/>
        </w:rPr>
        <w:t>|</w:t>
      </w:r>
      <w:r w:rsidR="00B76D42">
        <w:rPr>
          <w:rFonts w:ascii="Verdana" w:hAnsi="Verdana"/>
        </w:rPr>
        <w:t xml:space="preserve">Ahora bien, frente a su consulta acerca de los elementos que componen los contratos atípicos como el contrato de concesión de espacios, es imperioso decir que, </w:t>
      </w:r>
      <w:r w:rsidRPr="00A068FC" w:rsidR="00B76D42">
        <w:rPr>
          <w:rFonts w:ascii="Verdana" w:hAnsi="Verdana"/>
        </w:rPr>
        <w:t xml:space="preserve">las partes son las que dotan al contrato de aquellos elementos esenciales que confluyen bien sea de tomar elementos propios de otras figuras o de elementos originales para crear una relación jurídica propia que difiere de las demás. </w:t>
      </w:r>
    </w:p>
    <w:p w:rsidRPr="004B7010" w:rsidR="00B76D42" w:rsidP="00B76D42" w:rsidRDefault="00B76D42" w14:paraId="676CB1B6" w14:textId="77777777">
      <w:pPr>
        <w:tabs>
          <w:tab w:val="left" w:pos="142"/>
          <w:tab w:val="left" w:pos="426"/>
        </w:tabs>
        <w:spacing w:after="120" w:line="276" w:lineRule="auto"/>
        <w:jc w:val="both"/>
        <w:rPr>
          <w:rFonts w:ascii="Verdana" w:hAnsi="Verdana" w:eastAsia="Calibri" w:cs="Arial"/>
          <w:b/>
          <w:lang w:val="es-ES"/>
        </w:rPr>
      </w:pPr>
      <w:r w:rsidRPr="004B7010">
        <w:rPr>
          <w:rFonts w:ascii="Verdana" w:hAnsi="Verdana"/>
        </w:rPr>
        <w:tab/>
      </w:r>
      <w:r w:rsidRPr="004B7010">
        <w:rPr>
          <w:rFonts w:ascii="Verdana" w:hAnsi="Verdana"/>
        </w:rPr>
        <w:tab/>
      </w:r>
      <w:r w:rsidRPr="004B7010">
        <w:rPr>
          <w:rFonts w:ascii="Verdana" w:hAnsi="Verdana"/>
        </w:rPr>
        <w:tab/>
      </w:r>
      <w:r w:rsidRPr="004B7010">
        <w:rPr>
          <w:rFonts w:ascii="Verdana" w:hAnsi="Verdana"/>
        </w:rPr>
        <w:t xml:space="preserve">Conforme lo expuesto, 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4B7010">
        <w:rPr>
          <w:rFonts w:ascii="Verdana" w:hAnsi="Verdana"/>
        </w:rPr>
        <w:t>ii</w:t>
      </w:r>
      <w:proofErr w:type="spellEnd"/>
      <w:r w:rsidRPr="004B7010">
        <w:rPr>
          <w:rFonts w:ascii="Verdana" w:hAnsi="Verdana"/>
        </w:rPr>
        <w:t xml:space="preserve">) los límites impuestos por el orden público; </w:t>
      </w:r>
      <w:proofErr w:type="spellStart"/>
      <w:r w:rsidRPr="004B7010">
        <w:rPr>
          <w:rFonts w:ascii="Verdana" w:hAnsi="Verdana"/>
        </w:rPr>
        <w:t>iii</w:t>
      </w:r>
      <w:proofErr w:type="spellEnd"/>
      <w:r w:rsidRPr="004B7010">
        <w:rPr>
          <w:rFonts w:ascii="Verdana" w:hAnsi="Verdana"/>
        </w:rPr>
        <w:t xml:space="preserve">) en aquellos casos en los que se encuentren vacíos en el contrato o se requiera interpretar aspectos de aquel se deberá tener en cuenta que el EGCAP opera de forma supletiva frente al silencio de las partes; </w:t>
      </w:r>
      <w:proofErr w:type="spellStart"/>
      <w:r w:rsidRPr="004B7010">
        <w:rPr>
          <w:rFonts w:ascii="Verdana" w:hAnsi="Verdana"/>
        </w:rPr>
        <w:t>iv</w:t>
      </w:r>
      <w:proofErr w:type="spellEnd"/>
      <w:r w:rsidRPr="004B7010">
        <w:rPr>
          <w:rFonts w:ascii="Verdana" w:hAnsi="Verdana"/>
        </w:rPr>
        <w:t>) las normas generales sobre contratos contenidas en las normas de derecho privado de conformidad con el artículo 13 de la Ley 80 de 1993 y v) la aplicación de los principios generales de derecho y de la administración pública en especial</w:t>
      </w:r>
      <w:r>
        <w:rPr>
          <w:rFonts w:ascii="Verdana" w:hAnsi="Verdana"/>
        </w:rPr>
        <w:t>.</w:t>
      </w:r>
    </w:p>
    <w:p w:rsidR="00B76D42" w:rsidP="00B76D42" w:rsidRDefault="00B76D42" w14:paraId="4FEA81A3" w14:textId="77777777">
      <w:pPr>
        <w:spacing w:after="0" w:line="276" w:lineRule="auto"/>
        <w:ind w:firstLine="709"/>
        <w:jc w:val="both"/>
        <w:rPr>
          <w:rFonts w:ascii="Verdana" w:hAnsi="Verdana" w:eastAsia="Times New Roman" w:cs="Times New Roman"/>
          <w:lang w:eastAsia="es-ES_tradnl"/>
        </w:rPr>
      </w:pPr>
      <w:r>
        <w:rPr>
          <w:rFonts w:ascii="Verdana" w:hAnsi="Verdana" w:eastAsia="Times New Roman" w:cs="Times New Roman"/>
          <w:lang w:eastAsia="es-ES_tradnl"/>
        </w:rPr>
        <w:t>En el caso particular de los contratos de concesión de espacios a los que se refiere su consulta</w:t>
      </w:r>
      <w:r w:rsidRPr="000C2D90">
        <w:rPr>
          <w:rFonts w:ascii="Verdana" w:hAnsi="Verdana" w:eastAsia="Times New Roman" w:cs="Times New Roman"/>
          <w:lang w:eastAsia="es-ES_tradnl"/>
        </w:rPr>
        <w:t xml:space="preserve">, se pueden extraer los siguientes elementos: a) la ocupación privativa, complementaria o compatible con el uso público del bien,- b) una remuneración a favor de la Administración propietaria por el uso privativo directamente ligado al beneficio financiero extraído de esta ocupación; c) la inclusión </w:t>
      </w:r>
      <w:r w:rsidRPr="000C2D90">
        <w:rPr>
          <w:rFonts w:ascii="Verdana" w:hAnsi="Verdana" w:eastAsia="Times New Roman" w:cs="Times New Roman"/>
          <w:lang w:eastAsia="es-ES_tradnl"/>
        </w:rPr>
        <w:t xml:space="preserve">de una cláusula de protección de la afectación del bien, cláusulas excepcionales y de reversión; y d) la imposibilidad de reconocer derechos reales en ese caso. </w:t>
      </w:r>
    </w:p>
    <w:p w:rsidRPr="000C2D90" w:rsidR="00B76D42" w:rsidP="00B76D42" w:rsidRDefault="00B76D42" w14:paraId="727C20FB" w14:textId="77777777">
      <w:pPr>
        <w:spacing w:after="0" w:line="276" w:lineRule="auto"/>
        <w:ind w:firstLine="709"/>
        <w:jc w:val="both"/>
        <w:rPr>
          <w:rFonts w:ascii="Verdana" w:hAnsi="Verdana" w:eastAsia="Times New Roman" w:cs="Times New Roman"/>
          <w:lang w:eastAsia="es-ES_tradnl"/>
        </w:rPr>
      </w:pPr>
    </w:p>
    <w:p w:rsidR="00B76D42" w:rsidP="00B76D42" w:rsidRDefault="00B76D42" w14:paraId="1F0A2410" w14:textId="77777777">
      <w:pPr>
        <w:spacing w:after="0" w:line="240" w:lineRule="auto"/>
        <w:ind w:left="709" w:right="709"/>
        <w:jc w:val="both"/>
        <w:rPr>
          <w:rFonts w:ascii="Verdana" w:hAnsi="Verdana" w:eastAsia="Century Gothic" w:cs="Century Gothic"/>
          <w:sz w:val="20"/>
          <w:szCs w:val="20"/>
          <w:lang w:eastAsia="es-ES_tradnl"/>
        </w:rPr>
      </w:pPr>
      <w:r>
        <w:rPr>
          <w:rFonts w:ascii="Verdana" w:hAnsi="Verdana" w:eastAsia="Century Gothic" w:cs="Century Gothic"/>
          <w:sz w:val="20"/>
          <w:szCs w:val="20"/>
          <w:lang w:eastAsia="es-ES_tradnl"/>
        </w:rPr>
        <w:t>“</w:t>
      </w:r>
      <w:r w:rsidRPr="00A068FC">
        <w:rPr>
          <w:rFonts w:ascii="Verdana" w:hAnsi="Verdana" w:eastAsia="Century Gothic" w:cs="Century Gothic"/>
          <w:sz w:val="20"/>
          <w:szCs w:val="20"/>
          <w:lang w:eastAsia="es-ES_tradnl"/>
        </w:rPr>
        <w:t>¿Cuáles son los aspectos de planeación contractual mínimos que deben adelantarse en marco del estudio de mercado y de precios previo la suscripción del contrato atípico de CONCESIÓN MERCANTIL DE ESPACIOS FÍSICOS?</w:t>
      </w:r>
      <w:r>
        <w:rPr>
          <w:rFonts w:ascii="Verdana" w:hAnsi="Verdana" w:eastAsia="Century Gothic" w:cs="Century Gothic"/>
          <w:sz w:val="20"/>
          <w:szCs w:val="20"/>
          <w:lang w:eastAsia="es-ES_tradnl"/>
        </w:rPr>
        <w:t>”.</w:t>
      </w:r>
    </w:p>
    <w:p w:rsidR="00B76D42" w:rsidP="00D439B6" w:rsidRDefault="00B76D42" w14:paraId="63163C6C" w14:textId="77777777">
      <w:pPr>
        <w:spacing w:after="0" w:line="276" w:lineRule="auto"/>
        <w:ind w:firstLine="709"/>
        <w:jc w:val="both"/>
        <w:rPr>
          <w:rFonts w:ascii="Verdana" w:hAnsi="Verdana" w:eastAsia="Times New Roman" w:cs="Arial"/>
          <w:szCs w:val="24"/>
          <w:lang w:eastAsia="es-ES_tradnl"/>
        </w:rPr>
      </w:pPr>
    </w:p>
    <w:p w:rsidR="00B76D42" w:rsidP="00484886" w:rsidRDefault="00B76D42" w14:paraId="6718E76E" w14:textId="77777777">
      <w:pPr>
        <w:spacing w:after="120" w:line="276" w:lineRule="auto"/>
        <w:ind w:firstLine="708"/>
        <w:jc w:val="both"/>
        <w:rPr>
          <w:rFonts w:ascii="Verdana" w:hAnsi="Verdana" w:eastAsia="Times New Roman" w:cs="Arial"/>
          <w:szCs w:val="24"/>
          <w:lang w:eastAsia="es-ES_tradnl"/>
        </w:rPr>
      </w:pPr>
      <w:r>
        <w:rPr>
          <w:rFonts w:ascii="Verdana" w:hAnsi="Verdana" w:eastAsia="Times New Roman" w:cs="Arial"/>
          <w:szCs w:val="24"/>
          <w:lang w:eastAsia="es-ES_tradnl"/>
        </w:rPr>
        <w:t>E</w:t>
      </w:r>
      <w:r w:rsidRPr="00A068FC">
        <w:rPr>
          <w:rFonts w:ascii="Verdana" w:hAnsi="Verdana" w:eastAsia="Times New Roman" w:cs="Arial"/>
          <w:szCs w:val="24"/>
          <w:lang w:eastAsia="es-ES_tradnl"/>
        </w:rPr>
        <w:t xml:space="preserve">l numeral 12 del artículo 25 de la Ley 80 de 1993, antes citado, establece el deber de las entidades de realizar estudios previos en dos (2) momentos específicos: i) previo a la apertura de un proceso de selección y </w:t>
      </w:r>
      <w:proofErr w:type="spellStart"/>
      <w:r w:rsidRPr="00A068FC">
        <w:rPr>
          <w:rFonts w:ascii="Verdana" w:hAnsi="Verdana" w:eastAsia="Times New Roman" w:cs="Arial"/>
          <w:szCs w:val="24"/>
          <w:lang w:eastAsia="es-ES_tradnl"/>
        </w:rPr>
        <w:t>ii</w:t>
      </w:r>
      <w:proofErr w:type="spellEnd"/>
      <w:r w:rsidRPr="00A068FC">
        <w:rPr>
          <w:rFonts w:ascii="Verdana" w:hAnsi="Verdana" w:eastAsia="Times New Roman" w:cs="Arial"/>
          <w:szCs w:val="24"/>
          <w:lang w:eastAsia="es-ES_tradnl"/>
        </w:rPr>
        <w:t xml:space="preserve">) previo a la firma del contrato en el caso en que la modalidad de selección sea contratación directa. </w:t>
      </w:r>
    </w:p>
    <w:p w:rsidRPr="00A068FC" w:rsidR="00B76D42" w:rsidP="00B76D42" w:rsidRDefault="00B76D42" w14:paraId="41734BE4" w14:textId="77777777">
      <w:pPr>
        <w:spacing w:after="0" w:line="276" w:lineRule="auto"/>
        <w:ind w:firstLine="709"/>
        <w:jc w:val="both"/>
        <w:rPr>
          <w:rFonts w:ascii="Verdana" w:hAnsi="Verdana" w:eastAsia="Times New Roman" w:cs="Arial"/>
          <w:szCs w:val="24"/>
          <w:lang w:eastAsia="es-ES_tradnl"/>
        </w:rPr>
      </w:pPr>
      <w:r>
        <w:rPr>
          <w:rFonts w:ascii="Verdana" w:hAnsi="Verdana" w:eastAsia="Times New Roman" w:cs="Arial"/>
          <w:szCs w:val="24"/>
          <w:lang w:eastAsia="es-ES_tradnl"/>
        </w:rPr>
        <w:t xml:space="preserve">Tratándose de contratos de concesión de espacios y todos aquellos que puedan clasificarse como atípicos, de conformidad con </w:t>
      </w:r>
      <w:r w:rsidRPr="00A068FC">
        <w:rPr>
          <w:rFonts w:ascii="Verdana" w:hAnsi="Verdana" w:eastAsia="Times New Roman" w:cs="Arial"/>
          <w:szCs w:val="24"/>
          <w:lang w:eastAsia="es-ES_tradnl"/>
        </w:rPr>
        <w:t>el numeral 12 del artículo 25 de la Ley 80 de 1993</w:t>
      </w:r>
      <w:r>
        <w:rPr>
          <w:rFonts w:ascii="Verdana" w:hAnsi="Verdana" w:eastAsia="Times New Roman" w:cs="Arial"/>
          <w:szCs w:val="24"/>
          <w:lang w:eastAsia="es-ES_tradnl"/>
        </w:rPr>
        <w:t xml:space="preserve">, tanto previo a la apertura del proceso de selección deberá realizarse los respectivos estudios previos. Esta Agencia considera que todos los deberes derivados del principio de planeación son aplicables al contrato de concesión, en la medida los principios son transversales a todas las tipologías contractuales, independientemente de que estos se clasifiquen en típicos o atípicos. </w:t>
      </w:r>
    </w:p>
    <w:p w:rsidRPr="00883110" w:rsidR="00B76D42" w:rsidP="00B76D42" w:rsidRDefault="00B76D42" w14:paraId="7F333700" w14:textId="77777777">
      <w:pPr>
        <w:spacing w:after="0" w:line="276" w:lineRule="auto"/>
        <w:jc w:val="both"/>
        <w:rPr>
          <w:rFonts w:ascii="Verdana" w:hAnsi="Verdana" w:eastAsia="Century Gothic" w:cs="Century Gothic"/>
          <w:lang w:eastAsia="es-ES_tradnl"/>
        </w:rPr>
      </w:pPr>
    </w:p>
    <w:p w:rsidRPr="00A068FC" w:rsidR="00B76D42" w:rsidP="00B76D42" w:rsidRDefault="00B76D42" w14:paraId="6AD1FEA6" w14:textId="77777777">
      <w:pPr>
        <w:spacing w:after="0" w:line="276" w:lineRule="auto"/>
        <w:jc w:val="both"/>
        <w:rPr>
          <w:rFonts w:ascii="Verdana" w:hAnsi="Verdana" w:eastAsia="Century Gothic" w:cs="Century Gothic"/>
          <w:lang w:val="es-ES" w:eastAsia="es-ES_tradnl"/>
        </w:rPr>
      </w:pPr>
      <w:r w:rsidRPr="00A068FC">
        <w:rPr>
          <w:rFonts w:ascii="Verdana" w:hAnsi="Verdana" w:eastAsia="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A068FC" w:rsidR="00B76D42" w:rsidP="00B76D42" w:rsidRDefault="00B76D42" w14:paraId="152305B1" w14:textId="77777777">
      <w:pPr>
        <w:spacing w:after="0" w:line="276" w:lineRule="auto"/>
        <w:jc w:val="both"/>
        <w:rPr>
          <w:rFonts w:ascii="Verdana" w:hAnsi="Verdana" w:eastAsia="Century Gothic" w:cs="Century Gothic"/>
          <w:lang w:val="es-ES" w:eastAsia="es-CO"/>
        </w:rPr>
      </w:pPr>
    </w:p>
    <w:p w:rsidRPr="00A068FC" w:rsidR="00B76D42" w:rsidP="00B76D42" w:rsidRDefault="00B76D42" w14:paraId="7B9E139D" w14:textId="77777777">
      <w:pPr>
        <w:spacing w:after="0" w:line="276" w:lineRule="auto"/>
        <w:jc w:val="both"/>
        <w:rPr>
          <w:rFonts w:ascii="Verdana" w:hAnsi="Verdana" w:eastAsia="Century Gothic" w:cs="Century Gothic"/>
          <w:lang w:val="es-ES" w:eastAsia="es-CO"/>
        </w:rPr>
      </w:pPr>
      <w:r w:rsidRPr="00A068FC">
        <w:rPr>
          <w:rFonts w:ascii="Verdana" w:hAnsi="Verdana" w:eastAsia="Century Gothic" w:cs="Century Gothic"/>
          <w:lang w:val="es-ES" w:eastAsia="es-CO"/>
        </w:rPr>
        <w:t>Atentamente,</w:t>
      </w:r>
    </w:p>
    <w:bookmarkEnd w:id="5"/>
    <w:p w:rsidRPr="00593A5F" w:rsidR="00B76D42" w:rsidP="00B76D42" w:rsidRDefault="003D3DD7" w14:paraId="7A6376B3" w14:textId="0DFB9A4C">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85B0531" wp14:editId="6014404A">
            <wp:extent cx="3704834" cy="1148168"/>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rotWithShape="1">
                    <a:blip r:embed="rId11"/>
                    <a:srcRect t="16044" b="11766"/>
                    <a:stretch/>
                  </pic:blipFill>
                  <pic:spPr bwMode="auto">
                    <a:xfrm>
                      <a:off x="0" y="0"/>
                      <a:ext cx="3705742" cy="114844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08528F" w:rsidR="00B76D42" w:rsidTr="006748A1" w14:paraId="0641543D" w14:textId="77777777">
        <w:trPr>
          <w:trHeight w:val="315"/>
        </w:trPr>
        <w:tc>
          <w:tcPr>
            <w:tcW w:w="893" w:type="dxa"/>
            <w:vAlign w:val="center"/>
            <w:hideMark/>
          </w:tcPr>
          <w:p w:rsidRPr="0008528F" w:rsidR="00B76D42" w:rsidP="006748A1" w:rsidRDefault="00B76D42" w14:paraId="54CDBD38" w14:textId="77777777">
            <w:pPr>
              <w:contextualSpacing/>
              <w:rPr>
                <w:rFonts w:ascii="Verdana" w:hAnsi="Verdana" w:cs="Arial"/>
                <w:sz w:val="16"/>
                <w:szCs w:val="16"/>
                <w:lang w:val="es-ES" w:eastAsia="es-ES"/>
              </w:rPr>
            </w:pPr>
            <w:r w:rsidRPr="0008528F">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08528F" w:rsidR="00B76D42" w:rsidP="006748A1" w:rsidRDefault="00B76D42" w14:paraId="73E0E17C" w14:textId="77777777">
            <w:pPr>
              <w:rPr>
                <w:rFonts w:ascii="Verdana" w:hAnsi="Verdana" w:eastAsia="Arial" w:cs="Arial"/>
                <w:sz w:val="16"/>
                <w:szCs w:val="16"/>
              </w:rPr>
            </w:pPr>
            <w:r w:rsidRPr="0008528F">
              <w:rPr>
                <w:rFonts w:ascii="Verdana" w:hAnsi="Verdana" w:eastAsia="Arial" w:cs="Arial"/>
                <w:sz w:val="16"/>
                <w:szCs w:val="16"/>
              </w:rPr>
              <w:t>Diana Lucia Saavedra Castañeda </w:t>
            </w:r>
          </w:p>
          <w:p w:rsidRPr="0008528F" w:rsidR="00B76D42" w:rsidP="006748A1" w:rsidRDefault="00B76D42" w14:paraId="15375194" w14:textId="77777777">
            <w:pPr>
              <w:contextualSpacing/>
              <w:rPr>
                <w:rFonts w:ascii="Verdana" w:hAnsi="Verdana" w:eastAsia="Arial" w:cs="Arial"/>
                <w:sz w:val="16"/>
                <w:szCs w:val="16"/>
              </w:rPr>
            </w:pPr>
            <w:r w:rsidRPr="0008528F">
              <w:rPr>
                <w:rFonts w:ascii="Verdana" w:hAnsi="Verdana" w:eastAsia="Arial" w:cs="Arial"/>
                <w:sz w:val="16"/>
                <w:szCs w:val="16"/>
              </w:rPr>
              <w:t>Contratista de la Subdirección de Gestión Contractual </w:t>
            </w:r>
          </w:p>
        </w:tc>
      </w:tr>
      <w:tr w:rsidRPr="0008528F" w:rsidR="00B76D42" w:rsidTr="006748A1" w14:paraId="4B236ED6" w14:textId="77777777">
        <w:trPr>
          <w:trHeight w:val="330"/>
        </w:trPr>
        <w:tc>
          <w:tcPr>
            <w:tcW w:w="893" w:type="dxa"/>
            <w:vAlign w:val="center"/>
            <w:hideMark/>
          </w:tcPr>
          <w:p w:rsidRPr="0008528F" w:rsidR="00B76D42" w:rsidP="006748A1" w:rsidRDefault="00B76D42" w14:paraId="134967DA" w14:textId="77777777">
            <w:pPr>
              <w:contextualSpacing/>
              <w:rPr>
                <w:rFonts w:ascii="Verdana" w:hAnsi="Verdana" w:cs="Arial"/>
                <w:sz w:val="16"/>
                <w:szCs w:val="16"/>
                <w:lang w:val="es-ES" w:eastAsia="es-ES"/>
              </w:rPr>
            </w:pPr>
            <w:r w:rsidRPr="0008528F">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00B76D42" w:rsidP="006748A1" w:rsidRDefault="005A6942" w14:paraId="02A381EB" w14:textId="7777777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Alejandro Raúl Sarmiento Cantillo </w:t>
            </w:r>
          </w:p>
          <w:p w:rsidRPr="0008528F" w:rsidR="005A6942" w:rsidP="006748A1" w:rsidRDefault="005A6942" w14:paraId="67874308" w14:textId="5FDC20B4">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Gestor Grado T1-15 </w:t>
            </w:r>
            <w:r w:rsidRPr="0008528F">
              <w:rPr>
                <w:rFonts w:ascii="Verdana" w:hAnsi="Verdana" w:eastAsia="Arial" w:cs="Arial"/>
                <w:sz w:val="16"/>
                <w:szCs w:val="16"/>
              </w:rPr>
              <w:t>de la Subdirección de Gestión Contractual </w:t>
            </w:r>
          </w:p>
        </w:tc>
      </w:tr>
      <w:tr w:rsidRPr="0008528F" w:rsidR="00B76D42" w:rsidTr="006748A1" w14:paraId="3E3B477E" w14:textId="77777777">
        <w:trPr>
          <w:trHeight w:val="300"/>
        </w:trPr>
        <w:tc>
          <w:tcPr>
            <w:tcW w:w="893" w:type="dxa"/>
            <w:vAlign w:val="center"/>
          </w:tcPr>
          <w:p w:rsidRPr="0008528F" w:rsidR="00B76D42" w:rsidP="006748A1" w:rsidRDefault="00B76D42" w14:paraId="295FEBEC" w14:textId="77777777">
            <w:pPr>
              <w:contextualSpacing/>
              <w:rPr>
                <w:rFonts w:ascii="Verdana" w:hAnsi="Verdana" w:cs="Arial"/>
                <w:sz w:val="16"/>
                <w:szCs w:val="16"/>
                <w:lang w:val="es-ES" w:eastAsia="es-ES"/>
              </w:rPr>
            </w:pPr>
            <w:r w:rsidRPr="0008528F">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08528F" w:rsidR="00B76D42" w:rsidP="006748A1" w:rsidRDefault="00B76D42" w14:paraId="5FEA90F4" w14:textId="77777777">
            <w:pPr>
              <w:contextualSpacing/>
              <w:rPr>
                <w:rFonts w:ascii="Verdana" w:hAnsi="Verdana" w:eastAsia="Calibri" w:cs="Arial"/>
                <w:sz w:val="16"/>
                <w:szCs w:val="16"/>
                <w:lang w:val="pt-BR" w:eastAsia="es-ES"/>
              </w:rPr>
            </w:pPr>
            <w:r w:rsidRPr="0008528F">
              <w:rPr>
                <w:rFonts w:ascii="Verdana" w:hAnsi="Verdana" w:eastAsia="Calibri" w:cs="Arial"/>
                <w:sz w:val="16"/>
                <w:szCs w:val="16"/>
                <w:lang w:val="pt-BR" w:eastAsia="es-ES"/>
              </w:rPr>
              <w:t xml:space="preserve">Carolina Quintero </w:t>
            </w:r>
            <w:proofErr w:type="spellStart"/>
            <w:r w:rsidRPr="0008528F">
              <w:rPr>
                <w:rFonts w:ascii="Verdana" w:hAnsi="Verdana" w:eastAsia="Calibri" w:cs="Arial"/>
                <w:sz w:val="16"/>
                <w:szCs w:val="16"/>
                <w:lang w:val="pt-BR" w:eastAsia="es-ES"/>
              </w:rPr>
              <w:t>Gacharná</w:t>
            </w:r>
            <w:proofErr w:type="spellEnd"/>
          </w:p>
          <w:p w:rsidRPr="0008528F" w:rsidR="00B76D42" w:rsidP="006748A1" w:rsidRDefault="00B76D42" w14:paraId="44C7C0C6" w14:textId="77777777">
            <w:pPr>
              <w:contextualSpacing/>
              <w:rPr>
                <w:rFonts w:ascii="Verdana" w:hAnsi="Verdana" w:eastAsia="Calibri" w:cs="Arial"/>
                <w:sz w:val="16"/>
                <w:szCs w:val="16"/>
                <w:lang w:val="pt-BR" w:eastAsia="es-ES"/>
              </w:rPr>
            </w:pPr>
            <w:r w:rsidRPr="0008528F">
              <w:rPr>
                <w:rFonts w:ascii="Verdana" w:hAnsi="Verdana" w:eastAsia="Calibri" w:cs="Arial"/>
                <w:sz w:val="16"/>
                <w:szCs w:val="16"/>
                <w:lang w:eastAsia="es-ES"/>
              </w:rPr>
              <w:t>Subdirectora</w:t>
            </w:r>
            <w:r w:rsidRPr="0008528F">
              <w:rPr>
                <w:rFonts w:ascii="Verdana" w:hAnsi="Verdana" w:eastAsia="Calibri" w:cs="Arial"/>
                <w:sz w:val="16"/>
                <w:szCs w:val="16"/>
                <w:lang w:val="pt-BR" w:eastAsia="es-ES"/>
              </w:rPr>
              <w:t xml:space="preserve"> de Gestión Contractual ANCP – CCE</w:t>
            </w:r>
          </w:p>
        </w:tc>
      </w:tr>
    </w:tbl>
    <w:p w:rsidRPr="00970087" w:rsidR="00B76D42" w:rsidP="00B76D42" w:rsidRDefault="00B76D42" w14:paraId="03328545" w14:textId="77777777">
      <w:pPr>
        <w:spacing w:after="0" w:line="240" w:lineRule="auto"/>
        <w:rPr>
          <w:rFonts w:ascii="Verdana" w:hAnsi="Verdana" w:eastAsia="Times New Roman" w:cs="Arial"/>
          <w:sz w:val="24"/>
          <w:szCs w:val="24"/>
          <w:lang w:eastAsia="es-ES"/>
        </w:rPr>
      </w:pPr>
    </w:p>
    <w:p w:rsidRPr="00A068FC" w:rsidR="00B76D42" w:rsidP="00B76D42" w:rsidRDefault="00B76D42" w14:paraId="442F4909" w14:textId="77777777">
      <w:pPr>
        <w:spacing w:after="0"/>
        <w:jc w:val="both"/>
        <w:rPr>
          <w:rFonts w:ascii="Verdana" w:hAnsi="Verdana"/>
        </w:rPr>
      </w:pPr>
    </w:p>
    <w:p w:rsidRPr="00B76D42" w:rsidR="00127233" w:rsidP="00B76D42" w:rsidRDefault="00127233" w14:paraId="0F293BF4" w14:textId="3F6ADB87"/>
    <w:sectPr w:rsidRPr="00B76D42" w:rsidR="00127233" w:rsidSect="00A211EE">
      <w:headerReference w:type="default" r:id="rId12"/>
      <w:footerReference w:type="default" r:id="rId13"/>
      <w:pgSz w:w="12240" w:h="15840" w:orient="portrait"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4DCF" w:rsidP="004A1847" w:rsidRDefault="00594DCF" w14:paraId="0A2980A1" w14:textId="77777777">
      <w:pPr>
        <w:spacing w:after="0" w:line="240" w:lineRule="auto"/>
      </w:pPr>
      <w:r>
        <w:separator/>
      </w:r>
    </w:p>
  </w:endnote>
  <w:endnote w:type="continuationSeparator" w:id="0">
    <w:p w:rsidR="00594DCF" w:rsidP="004A1847" w:rsidRDefault="00594DCF" w14:paraId="0CD77DF5" w14:textId="77777777">
      <w:pPr>
        <w:spacing w:after="0" w:line="240" w:lineRule="auto"/>
      </w:pPr>
      <w:r>
        <w:continuationSeparator/>
      </w:r>
    </w:p>
  </w:endnote>
  <w:endnote w:type="continuationNotice" w:id="1">
    <w:p w:rsidR="00C9288E" w:rsidRDefault="00C9288E" w14:paraId="42E6D4B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1EE" w:rsidP="00A211EE" w:rsidRDefault="00A211EE" w14:paraId="60ADAF56" w14:textId="77777777">
    <w:pPr>
      <w:spacing w:after="0"/>
      <w:rPr>
        <w:rFonts w:ascii="Verdana" w:hAnsi="Verdana"/>
        <w:b/>
        <w:bCs/>
        <w:sz w:val="20"/>
        <w:szCs w:val="20"/>
      </w:rPr>
    </w:pPr>
  </w:p>
  <w:p w:rsidRPr="00174B77" w:rsidR="00A211EE" w:rsidP="00A211EE" w:rsidRDefault="00A211EE" w14:paraId="4DAEE7DC" w14:textId="43FD1F7C">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211EE" w:rsidP="00A211EE" w:rsidRDefault="00A211EE" w14:paraId="4A01C741"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211EE" w:rsidP="00A211EE" w:rsidRDefault="00A211EE" w14:paraId="4145D2CB" w14:textId="77777777">
    <w:pPr>
      <w:spacing w:after="0"/>
      <w:jc w:val="both"/>
      <w:rPr>
        <w:rFonts w:ascii="Verdana" w:hAnsi="Verdana"/>
        <w:sz w:val="18"/>
        <w:szCs w:val="18"/>
      </w:rPr>
    </w:pPr>
    <w:r w:rsidRPr="00E41027">
      <w:rPr>
        <w:rFonts w:ascii="Verdana" w:hAnsi="Verdana"/>
        <w:sz w:val="18"/>
        <w:szCs w:val="18"/>
      </w:rPr>
      <w:t>Mesa de servicio: (+57) 601 7456788</w:t>
    </w:r>
  </w:p>
  <w:p w:rsidRPr="00A211EE" w:rsidR="00A211EE" w:rsidP="00A211EE" w:rsidRDefault="00A211EE" w14:paraId="73EB2D37" w14:textId="3BAD4CB6">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p w:rsidR="006219F8" w:rsidP="00A211EE" w:rsidRDefault="006219F8" w14:paraId="744661F5" w14:textId="203285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4DCF" w:rsidP="004A1847" w:rsidRDefault="00594DCF" w14:paraId="5C094EC3" w14:textId="77777777">
      <w:pPr>
        <w:spacing w:after="0" w:line="240" w:lineRule="auto"/>
      </w:pPr>
      <w:r>
        <w:separator/>
      </w:r>
    </w:p>
  </w:footnote>
  <w:footnote w:type="continuationSeparator" w:id="0">
    <w:p w:rsidR="00594DCF" w:rsidP="004A1847" w:rsidRDefault="00594DCF" w14:paraId="0C392A4D" w14:textId="77777777">
      <w:pPr>
        <w:spacing w:after="0" w:line="240" w:lineRule="auto"/>
      </w:pPr>
      <w:r>
        <w:continuationSeparator/>
      </w:r>
    </w:p>
  </w:footnote>
  <w:footnote w:type="continuationNotice" w:id="1">
    <w:p w:rsidR="00C9288E" w:rsidRDefault="00C9288E" w14:paraId="2DF83ACC" w14:textId="77777777">
      <w:pPr>
        <w:spacing w:after="0" w:line="240" w:lineRule="auto"/>
      </w:pPr>
    </w:p>
  </w:footnote>
  <w:footnote w:id="2">
    <w:p w:rsidRPr="00F52C9F" w:rsidR="00B76D42" w:rsidP="00B76D42" w:rsidRDefault="00B76D42" w14:paraId="7700B387" w14:textId="77777777">
      <w:pPr>
        <w:pStyle w:val="Textonotapie"/>
        <w:ind w:firstLine="708"/>
        <w:contextualSpacing/>
        <w:jc w:val="both"/>
        <w:rPr>
          <w:rFonts w:ascii="Verdana" w:hAnsi="Verdana" w:eastAsia="Calibri" w:cs="Arial"/>
          <w:sz w:val="18"/>
          <w:szCs w:val="18"/>
          <w:lang w:val="es-ES" w:eastAsia="es-ES_tradnl"/>
        </w:rPr>
      </w:pPr>
      <w:r w:rsidRPr="00F52C9F">
        <w:rPr>
          <w:rFonts w:ascii="Verdana" w:hAnsi="Verdana" w:eastAsia="Calibri" w:cs="Arial"/>
          <w:sz w:val="18"/>
          <w:szCs w:val="18"/>
          <w:vertAlign w:val="superscript"/>
          <w:lang w:val="es-ES" w:eastAsia="es-ES_tradnl"/>
        </w:rPr>
        <w:footnoteRef/>
      </w:r>
      <w:r w:rsidRPr="00F52C9F">
        <w:rPr>
          <w:rFonts w:ascii="Verdana" w:hAnsi="Verdana" w:eastAsia="Calibri" w:cs="Arial"/>
          <w:sz w:val="18"/>
          <w:szCs w:val="18"/>
          <w:lang w:val="es-ES" w:eastAsia="es-ES_tradnl"/>
        </w:rPr>
        <w:t xml:space="preserve"> La Agencia Nacional de Contratación Pública ‒ Colombia Compra Eficiente fue creada por el Decreto Ley 4170 de 2011. Su objetivo es servir como ente rector de la pol</w:t>
      </w:r>
      <w:r w:rsidRPr="00F52C9F">
        <w:rPr>
          <w:rFonts w:ascii="Verdana" w:hAnsi="Verdana" w:eastAsia="Calibri" w:cs="Century Gothic"/>
          <w:sz w:val="18"/>
          <w:szCs w:val="18"/>
          <w:lang w:val="es-ES" w:eastAsia="es-ES_tradnl"/>
        </w:rPr>
        <w:t>í</w:t>
      </w:r>
      <w:r w:rsidRPr="00F52C9F">
        <w:rPr>
          <w:rFonts w:ascii="Verdana" w:hAnsi="Verdana" w:eastAsia="Calibri" w:cs="Arial"/>
          <w:sz w:val="18"/>
          <w:szCs w:val="18"/>
          <w:lang w:val="es-ES" w:eastAsia="es-ES_tradnl"/>
        </w:rPr>
        <w:t>tica de compras y contrataci</w:t>
      </w:r>
      <w:r w:rsidRPr="00F52C9F">
        <w:rPr>
          <w:rFonts w:ascii="Verdana" w:hAnsi="Verdana" w:eastAsia="Calibri" w:cs="Century Gothic"/>
          <w:sz w:val="18"/>
          <w:szCs w:val="18"/>
          <w:lang w:val="es-ES" w:eastAsia="es-ES_tradnl"/>
        </w:rPr>
        <w:t>ó</w:t>
      </w:r>
      <w:r w:rsidRPr="00F52C9F">
        <w:rPr>
          <w:rFonts w:ascii="Verdana" w:hAnsi="Verdana" w:eastAsia="Calibri" w:cs="Arial"/>
          <w:sz w:val="18"/>
          <w:szCs w:val="18"/>
          <w:lang w:val="es-ES" w:eastAsia="es-ES_tradnl"/>
        </w:rPr>
        <w:t xml:space="preserve">n del Estado. Para tales fines, como </w:t>
      </w:r>
      <w:r w:rsidRPr="00F52C9F">
        <w:rPr>
          <w:rFonts w:ascii="Verdana" w:hAnsi="Verdana" w:eastAsia="Calibri" w:cs="Century Gothic"/>
          <w:sz w:val="18"/>
          <w:szCs w:val="18"/>
          <w:lang w:val="es-ES" w:eastAsia="es-ES_tradnl"/>
        </w:rPr>
        <w:t>ó</w:t>
      </w:r>
      <w:r w:rsidRPr="00F52C9F">
        <w:rPr>
          <w:rFonts w:ascii="Verdana" w:hAnsi="Verdana" w:eastAsia="Calibri" w:cs="Arial"/>
          <w:sz w:val="18"/>
          <w:szCs w:val="18"/>
          <w:lang w:val="es-ES" w:eastAsia="es-ES_tradnl"/>
        </w:rPr>
        <w:t>rgano t</w:t>
      </w:r>
      <w:r w:rsidRPr="00F52C9F">
        <w:rPr>
          <w:rFonts w:ascii="Verdana" w:hAnsi="Verdana" w:eastAsia="Calibri" w:cs="Century Gothic"/>
          <w:sz w:val="18"/>
          <w:szCs w:val="18"/>
          <w:lang w:val="es-ES" w:eastAsia="es-ES_tradnl"/>
        </w:rPr>
        <w:t>é</w:t>
      </w:r>
      <w:r w:rsidRPr="00F52C9F">
        <w:rPr>
          <w:rFonts w:ascii="Verdana" w:hAnsi="Verdana" w:eastAsia="Calibri" w:cs="Arial"/>
          <w:sz w:val="18"/>
          <w:szCs w:val="18"/>
          <w:lang w:val="es-ES" w:eastAsia="es-ES_tradnl"/>
        </w:rPr>
        <w:t>cnico especializado, le corresponde formular pol</w:t>
      </w:r>
      <w:r w:rsidRPr="00F52C9F">
        <w:rPr>
          <w:rFonts w:ascii="Verdana" w:hAnsi="Verdana" w:eastAsia="Calibri" w:cs="Century Gothic"/>
          <w:sz w:val="18"/>
          <w:szCs w:val="18"/>
          <w:lang w:val="es-ES" w:eastAsia="es-ES_tradnl"/>
        </w:rPr>
        <w:t>í</w:t>
      </w:r>
      <w:r w:rsidRPr="00F52C9F">
        <w:rPr>
          <w:rFonts w:ascii="Verdana" w:hAnsi="Verdana" w:eastAsia="Calibri" w:cs="Arial"/>
          <w:sz w:val="18"/>
          <w:szCs w:val="18"/>
          <w:lang w:val="es-ES" w:eastAsia="es-ES_tradnl"/>
        </w:rPr>
        <w:t>ticas p</w:t>
      </w:r>
      <w:r w:rsidRPr="00F52C9F">
        <w:rPr>
          <w:rFonts w:ascii="Verdana" w:hAnsi="Verdana" w:eastAsia="Calibri" w:cs="Century Gothic"/>
          <w:sz w:val="18"/>
          <w:szCs w:val="18"/>
          <w:lang w:val="es-ES" w:eastAsia="es-ES_tradnl"/>
        </w:rPr>
        <w:t>ú</w:t>
      </w:r>
      <w:r w:rsidRPr="00F52C9F">
        <w:rPr>
          <w:rFonts w:ascii="Verdana" w:hAnsi="Verdana" w:eastAsia="Calibri" w:cs="Arial"/>
          <w:sz w:val="18"/>
          <w:szCs w:val="18"/>
          <w:lang w:val="es-ES" w:eastAsia="es-ES_tradnl"/>
        </w:rPr>
        <w:t>blicas y normas y unificar los procesos de contrataci</w:t>
      </w:r>
      <w:r w:rsidRPr="00F52C9F">
        <w:rPr>
          <w:rFonts w:ascii="Verdana" w:hAnsi="Verdana" w:eastAsia="Calibri" w:cs="Century Gothic"/>
          <w:sz w:val="18"/>
          <w:szCs w:val="18"/>
          <w:lang w:val="es-ES" w:eastAsia="es-ES_tradnl"/>
        </w:rPr>
        <w:t>ó</w:t>
      </w:r>
      <w:r w:rsidRPr="00F52C9F">
        <w:rPr>
          <w:rFonts w:ascii="Verdana" w:hAnsi="Verdana" w:eastAsia="Calibri" w:cs="Arial"/>
          <w:sz w:val="18"/>
          <w:szCs w:val="18"/>
          <w:lang w:val="es-ES" w:eastAsia="es-ES_tradnl"/>
        </w:rPr>
        <w:t>n estatal, con el fin de lograr una mayor eficiencia, transparencia y optimizaci</w:t>
      </w:r>
      <w:r w:rsidRPr="00F52C9F">
        <w:rPr>
          <w:rFonts w:ascii="Verdana" w:hAnsi="Verdana" w:eastAsia="Calibri" w:cs="Century Gothic"/>
          <w:sz w:val="18"/>
          <w:szCs w:val="18"/>
          <w:lang w:val="es-ES" w:eastAsia="es-ES_tradnl"/>
        </w:rPr>
        <w:t>ó</w:t>
      </w:r>
      <w:r w:rsidRPr="00F52C9F">
        <w:rPr>
          <w:rFonts w:ascii="Verdana" w:hAnsi="Verdana" w:eastAsia="Calibri" w:cs="Arial"/>
          <w:sz w:val="18"/>
          <w:szCs w:val="18"/>
          <w:lang w:val="es-ES" w:eastAsia="es-ES_tradnl"/>
        </w:rPr>
        <w:t>n de los recursos del Estado. El art</w:t>
      </w:r>
      <w:r w:rsidRPr="00F52C9F">
        <w:rPr>
          <w:rFonts w:ascii="Verdana" w:hAnsi="Verdana" w:eastAsia="Calibri" w:cs="Century Gothic"/>
          <w:sz w:val="18"/>
          <w:szCs w:val="18"/>
          <w:lang w:val="es-ES" w:eastAsia="es-ES_tradnl"/>
        </w:rPr>
        <w:t>í</w:t>
      </w:r>
      <w:r w:rsidRPr="00F52C9F">
        <w:rPr>
          <w:rFonts w:ascii="Verdana" w:hAnsi="Verdana" w:eastAsia="Calibri" w:cs="Arial"/>
          <w:sz w:val="18"/>
          <w:szCs w:val="18"/>
          <w:lang w:val="es-ES" w:eastAsia="es-ES_tradnl"/>
        </w:rPr>
        <w:t>culo 3 ibidem se</w:t>
      </w:r>
      <w:r w:rsidRPr="00F52C9F">
        <w:rPr>
          <w:rFonts w:ascii="Verdana" w:hAnsi="Verdana" w:eastAsia="Calibri" w:cs="Century Gothic"/>
          <w:sz w:val="18"/>
          <w:szCs w:val="18"/>
          <w:lang w:val="es-ES" w:eastAsia="es-ES_tradnl"/>
        </w:rPr>
        <w:t>ñ</w:t>
      </w:r>
      <w:r w:rsidRPr="00F52C9F">
        <w:rPr>
          <w:rFonts w:ascii="Verdana" w:hAnsi="Verdana" w:eastAsia="Calibri" w:cs="Arial"/>
          <w:sz w:val="18"/>
          <w:szCs w:val="18"/>
          <w:lang w:val="es-ES" w:eastAsia="es-ES_tradnl"/>
        </w:rPr>
        <w:t>ala, de manera precisa, las funciones de Colombia Compra Eficiente. Concretamente, el numeral 5º de este artículo establece que le corresponde a esta entidad: “[a]</w:t>
      </w:r>
      <w:proofErr w:type="spellStart"/>
      <w:r w:rsidRPr="00F52C9F">
        <w:rPr>
          <w:rFonts w:ascii="Verdana" w:hAnsi="Verdana" w:eastAsia="Calibri" w:cs="Arial"/>
          <w:sz w:val="18"/>
          <w:szCs w:val="18"/>
          <w:lang w:val="es-ES" w:eastAsia="es-ES_tradnl"/>
        </w:rPr>
        <w:t>bsolver</w:t>
      </w:r>
      <w:proofErr w:type="spellEnd"/>
      <w:r w:rsidRPr="00F52C9F">
        <w:rPr>
          <w:rFonts w:ascii="Verdana" w:hAnsi="Verdana" w:eastAsia="Calibri" w:cs="Arial"/>
          <w:sz w:val="18"/>
          <w:szCs w:val="18"/>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F52C9F">
        <w:rPr>
          <w:rFonts w:ascii="Verdana" w:hAnsi="Verdana" w:eastAsia="Calibri" w:cs="Arial"/>
          <w:sz w:val="18"/>
          <w:szCs w:val="18"/>
          <w:lang w:val="es-ES" w:eastAsia="es-ES_tradnl"/>
        </w:rPr>
        <w:t>bsolver</w:t>
      </w:r>
      <w:proofErr w:type="spellEnd"/>
      <w:r w:rsidRPr="00F52C9F">
        <w:rPr>
          <w:rFonts w:ascii="Verdana" w:hAnsi="Verdana" w:eastAsia="Calibri" w:cs="Arial"/>
          <w:sz w:val="18"/>
          <w:szCs w:val="18"/>
          <w:lang w:val="es-ES" w:eastAsia="es-ES_tradnl"/>
        </w:rPr>
        <w:t xml:space="preserve"> consultas sobre la aplicación de normas de carácter general”.</w:t>
      </w:r>
    </w:p>
  </w:footnote>
  <w:footnote w:id="3">
    <w:p w:rsidRPr="00F52C9F" w:rsidR="00B76D42" w:rsidP="00B76D42" w:rsidRDefault="00B76D42" w14:paraId="70F42878" w14:textId="77777777">
      <w:pPr>
        <w:pStyle w:val="Textonotapie"/>
        <w:ind w:firstLine="708"/>
        <w:contextualSpacing/>
        <w:jc w:val="both"/>
        <w:rPr>
          <w:rFonts w:ascii="Verdana" w:hAnsi="Verdana" w:cs="Arial"/>
          <w:sz w:val="18"/>
          <w:szCs w:val="18"/>
          <w:shd w:val="clear" w:color="auto" w:fill="E6E6E6"/>
        </w:rPr>
      </w:pPr>
      <w:r w:rsidRPr="00F52C9F">
        <w:rPr>
          <w:rFonts w:ascii="Verdana" w:hAnsi="Verdana" w:cs="Arial"/>
          <w:sz w:val="18"/>
          <w:szCs w:val="18"/>
          <w:vertAlign w:val="superscript"/>
        </w:rPr>
        <w:footnoteRef/>
      </w:r>
      <w:r w:rsidRPr="00F52C9F">
        <w:rPr>
          <w:rFonts w:ascii="Verdana" w:hAnsi="Verdana"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F52C9F">
          <w:rPr>
            <w:rStyle w:val="Hipervnculo"/>
            <w:rFonts w:ascii="Verdana" w:hAnsi="Verdana" w:cs="Arial"/>
            <w:color w:val="auto"/>
            <w:sz w:val="18"/>
            <w:szCs w:val="18"/>
          </w:rPr>
          <w:t>https://relatoria.colombiacompra.gov.co/busqueda/conceptos</w:t>
        </w:r>
      </w:hyperlink>
      <w:r w:rsidRPr="00F52C9F">
        <w:rPr>
          <w:rFonts w:ascii="Verdana" w:hAnsi="Verdana" w:cs="Arial"/>
          <w:sz w:val="18"/>
          <w:szCs w:val="18"/>
          <w:shd w:val="clear" w:color="auto" w:fill="E6E6E6"/>
        </w:rPr>
        <w:t xml:space="preserve"> </w:t>
      </w:r>
    </w:p>
  </w:footnote>
  <w:footnote w:id="4">
    <w:p w:rsidRPr="00F52C9F" w:rsidR="00B76D42" w:rsidP="00B76D42" w:rsidRDefault="00B76D42" w14:paraId="61C1691F" w14:textId="77777777">
      <w:pPr>
        <w:pStyle w:val="Textonotapie"/>
        <w:ind w:firstLine="708"/>
        <w:contextualSpacing/>
        <w:jc w:val="both"/>
        <w:rPr>
          <w:rFonts w:ascii="Verdana" w:hAnsi="Verdana" w:cs="Arial"/>
          <w:sz w:val="18"/>
          <w:szCs w:val="18"/>
          <w:lang w:val="es-CO"/>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CO"/>
        </w:rPr>
        <w:t xml:space="preserve">CLARO SOLAR, Luis. Explicaciones de derecho civil chileno y comparado. Tomo Décimo – Obligaciones y contratos 1. Santiago de Chile, Nascimiento, 1936. </w:t>
      </w:r>
    </w:p>
  </w:footnote>
  <w:footnote w:id="5">
    <w:p w:rsidRPr="00F52C9F" w:rsidR="00B76D42" w:rsidP="00B76D42" w:rsidRDefault="00B76D42" w14:paraId="53EAA8E5" w14:textId="77777777">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F52C9F">
        <w:rPr>
          <w:rFonts w:ascii="Verdana" w:hAnsi="Verdana" w:cs="Arial"/>
          <w:i/>
          <w:sz w:val="18"/>
          <w:szCs w:val="18"/>
        </w:rPr>
        <w:t>El Negocio Jurídico</w:t>
      </w:r>
      <w:r w:rsidRPr="00F52C9F">
        <w:rPr>
          <w:rFonts w:ascii="Verdana" w:hAnsi="Verdana" w:cs="Arial"/>
          <w:sz w:val="18"/>
          <w:szCs w:val="18"/>
        </w:rPr>
        <w:t>, Volumen I, Universidad Externado de Colombia, Bogotá, 2015, pág. 107).</w:t>
      </w:r>
    </w:p>
  </w:footnote>
  <w:footnote w:id="6">
    <w:p w:rsidRPr="00F52C9F" w:rsidR="00B76D42" w:rsidP="00B76D42" w:rsidRDefault="00B76D42" w14:paraId="6C5E42D7" w14:textId="77777777">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ES_tradnl"/>
        </w:rPr>
        <w:t xml:space="preserve">El artículo 2º define, para los efectos del ámbito de sujeción del estatuto, que se denominan entidades estatales: a) </w:t>
      </w:r>
      <w:r w:rsidRPr="00F52C9F">
        <w:rPr>
          <w:rFonts w:ascii="Verdana" w:hAnsi="Verdana"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7">
    <w:p w:rsidRPr="00F52C9F" w:rsidR="00B76D42" w:rsidP="00B76D42" w:rsidRDefault="00B76D42" w14:paraId="7737104A" w14:textId="77777777">
      <w:pPr>
        <w:pStyle w:val="Textonotapie"/>
        <w:ind w:firstLine="720"/>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del 4 de abril de 2002, M.P. Alier E. Hernández Enríquez. Rad. 1999-0290-01 (17.244).</w:t>
      </w:r>
    </w:p>
  </w:footnote>
  <w:footnote w:id="8">
    <w:p w:rsidRPr="00F52C9F" w:rsidR="00B76D42" w:rsidP="00B76D42" w:rsidRDefault="00B76D42" w14:paraId="1678CD2A" w14:textId="77777777">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Auto del 30 de enero de 2008. Rad. 32.867, M.P. Mauricio Fajardo Gómez.</w:t>
      </w:r>
    </w:p>
  </w:footnote>
  <w:footnote w:id="9">
    <w:p w:rsidRPr="00F52C9F" w:rsidR="00B76D42" w:rsidP="00B76D42" w:rsidRDefault="00B76D42" w14:paraId="3363757D" w14:textId="77777777">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 23 de septiembre de 1997, Rad. S-701.</w:t>
      </w:r>
    </w:p>
  </w:footnote>
  <w:footnote w:id="10">
    <w:p w:rsidRPr="00F52C9F" w:rsidR="00B76D42" w:rsidP="00B76D42" w:rsidRDefault="00B76D42" w14:paraId="099EFCDA" w14:textId="77777777">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Sala de Consulta y Servicio Civil. Concepto de 15 de mayo de 2018, Rad. 2335.</w:t>
      </w:r>
    </w:p>
  </w:footnote>
  <w:footnote w:id="11">
    <w:p w:rsidRPr="00F52C9F" w:rsidR="00B76D42" w:rsidP="00B76D42" w:rsidRDefault="00B76D42" w14:paraId="3356F2C4" w14:textId="77777777">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Subsección A, Sentencia de 31 de marzo de 2011, Rad. 16246, M.P.</w:t>
      </w:r>
      <w:r w:rsidRPr="00F52C9F">
        <w:rPr>
          <w:rFonts w:ascii="Verdana" w:hAnsi="Verdana" w:cs="Arial" w:eastAsiaTheme="majorEastAsia"/>
          <w:sz w:val="18"/>
          <w:szCs w:val="18"/>
        </w:rPr>
        <w:t xml:space="preserve"> </w:t>
      </w:r>
      <w:r w:rsidRPr="00F52C9F">
        <w:rPr>
          <w:rFonts w:ascii="Verdana" w:hAnsi="Verdana" w:cs="Arial"/>
          <w:sz w:val="18"/>
          <w:szCs w:val="18"/>
        </w:rPr>
        <w:t xml:space="preserve">Hernán Andrade Rincón. Al adoptar un criterio orgánico o subjetivo, en el que la sola presencia de una entidad estatal como parte </w:t>
      </w:r>
      <w:proofErr w:type="gramStart"/>
      <w:r w:rsidRPr="00F52C9F">
        <w:rPr>
          <w:rFonts w:ascii="Verdana" w:hAnsi="Verdana" w:cs="Arial"/>
          <w:sz w:val="18"/>
          <w:szCs w:val="18"/>
        </w:rPr>
        <w:t>del mismo</w:t>
      </w:r>
      <w:proofErr w:type="gramEnd"/>
      <w:r w:rsidRPr="00F52C9F">
        <w:rPr>
          <w:rFonts w:ascii="Verdana" w:hAnsi="Verdana" w:cs="Arial"/>
          <w:sz w:val="18"/>
          <w:szCs w:val="18"/>
        </w:rPr>
        <w:t xml:space="preserve">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footnote>
  <w:footnote w:id="12">
    <w:p w:rsidRPr="00F52C9F" w:rsidR="00B76D42" w:rsidP="00B76D42" w:rsidRDefault="00B76D42" w14:paraId="29AC0C31" w14:textId="77777777">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w:t>
      </w:r>
      <w:proofErr w:type="spellStart"/>
      <w:r w:rsidRPr="00F52C9F">
        <w:rPr>
          <w:rFonts w:ascii="Verdana" w:hAnsi="Verdana"/>
          <w:sz w:val="18"/>
          <w:szCs w:val="18"/>
        </w:rPr>
        <w:t>Messineo</w:t>
      </w:r>
      <w:proofErr w:type="spellEnd"/>
      <w:r w:rsidRPr="00F52C9F">
        <w:rPr>
          <w:rFonts w:ascii="Verdana" w:hAnsi="Verdana"/>
          <w:sz w:val="18"/>
          <w:szCs w:val="18"/>
        </w:rPr>
        <w:t xml:space="preserve"> Ob. Cit. Pág. 394</w:t>
      </w:r>
    </w:p>
  </w:footnote>
  <w:footnote w:id="13">
    <w:p w:rsidRPr="00F52C9F" w:rsidR="00B76D42" w:rsidP="00B76D42" w:rsidRDefault="00B76D42" w14:paraId="485C761D" w14:textId="77777777">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Consejo de Estado, Sección Tercera en Sentencia del 21 de abril de 2005 radicado No 14651 C.P. Ramiro Saavedra Becerra</w:t>
      </w:r>
    </w:p>
  </w:footnote>
  <w:footnote w:id="14">
    <w:p w:rsidRPr="00F52C9F" w:rsidR="00B76D42" w:rsidP="005A6942" w:rsidRDefault="00B76D42" w14:paraId="1E2C06DC" w14:textId="77777777">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Consejo de Estado, Sala de Consulta y Servicio Civil, sentencia de 12 de marzo de 2009, C.P. Gustavo Aponte Santos, radicado No 1942</w:t>
      </w:r>
    </w:p>
  </w:footnote>
  <w:footnote w:id="15">
    <w:p w:rsidRPr="00F52C9F" w:rsidR="00B76D42" w:rsidP="00B76D42" w:rsidRDefault="00B76D42" w14:paraId="1A0FF4F9" w14:textId="77777777">
      <w:pPr>
        <w:pStyle w:val="Textonotapie"/>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ES"/>
        </w:rPr>
        <w:t>Consejo de Estado. Sala de lo Contencioso Administrativo. Sección Primer</w:t>
      </w:r>
      <w:r w:rsidRPr="00F52C9F">
        <w:rPr>
          <w:rFonts w:ascii="Verdana" w:hAnsi="Verdana" w:cs="Arial"/>
          <w:sz w:val="18"/>
          <w:szCs w:val="18"/>
        </w:rPr>
        <w:t>. Sentencia de 11 de noviembre de 1999. Expediente 5286. C.P. Olga Inés Navarrete Barrero. Esta postura fue unificada en el Sentencia de la Sala Plena del 14 de agosto de 2018, radicado 05001-33-31-003-2009-00157-01(AP)SU, con ponencia del Magistrado Oswaldo Giraldo López.</w:t>
      </w:r>
    </w:p>
  </w:footnote>
  <w:footnote w:id="16">
    <w:p w:rsidRPr="00F52C9F" w:rsidR="00B76D42" w:rsidP="00B76D42" w:rsidRDefault="00B76D42" w14:paraId="7135C022" w14:textId="77777777">
      <w:pPr>
        <w:spacing w:after="0" w:line="240" w:lineRule="auto"/>
        <w:ind w:firstLine="708"/>
        <w:contextualSpacing/>
        <w:jc w:val="both"/>
        <w:rPr>
          <w:rFonts w:ascii="Verdana" w:hAnsi="Verdana" w:eastAsia="Times New Roman" w:cs="Times New Roman"/>
          <w:sz w:val="18"/>
          <w:szCs w:val="18"/>
          <w:lang w:eastAsia="es-ES_tradnl"/>
        </w:rPr>
      </w:pPr>
      <w:r w:rsidRPr="00F52C9F">
        <w:rPr>
          <w:rStyle w:val="Refdenotaalpie"/>
          <w:rFonts w:ascii="Verdana" w:hAnsi="Verdana"/>
          <w:sz w:val="18"/>
          <w:szCs w:val="18"/>
        </w:rPr>
        <w:footnoteRef/>
      </w:r>
      <w:r w:rsidRPr="00F52C9F">
        <w:rPr>
          <w:rFonts w:ascii="Verdana" w:hAnsi="Verdana"/>
          <w:sz w:val="18"/>
          <w:szCs w:val="18"/>
        </w:rPr>
        <w:t xml:space="preserve"> </w:t>
      </w:r>
      <w:r w:rsidRPr="00F52C9F">
        <w:rPr>
          <w:rFonts w:ascii="Verdana" w:hAnsi="Verdana" w:eastAsia="Times New Roman" w:cs="Times New Roman"/>
          <w:sz w:val="18"/>
          <w:szCs w:val="18"/>
          <w:lang w:eastAsia="es-ES_tradnl"/>
        </w:rPr>
        <w:t>Por la cual se modifica la Ley 9ª de 1989, y la Ley 3ª de 1991 y se dictan otras disposiciones.</w:t>
      </w:r>
    </w:p>
  </w:footnote>
  <w:footnote w:id="17">
    <w:p w:rsidRPr="00F52C9F" w:rsidR="00B76D42" w:rsidP="00B76D42" w:rsidRDefault="00B76D42" w14:paraId="3618C3BA" w14:textId="77777777">
      <w:pPr>
        <w:shd w:val="clear" w:color="auto" w:fill="FFFFFF"/>
        <w:spacing w:after="0" w:line="240" w:lineRule="auto"/>
        <w:ind w:firstLine="708"/>
        <w:contextualSpacing/>
        <w:jc w:val="both"/>
        <w:rPr>
          <w:rFonts w:ascii="Verdana" w:hAnsi="Verdana"/>
          <w:b/>
          <w:bCs/>
          <w:sz w:val="18"/>
          <w:szCs w:val="18"/>
        </w:rPr>
      </w:pPr>
      <w:r w:rsidRPr="00F52C9F">
        <w:rPr>
          <w:rStyle w:val="Refdenotaalpie"/>
          <w:rFonts w:ascii="Verdana" w:hAnsi="Verdana"/>
          <w:sz w:val="18"/>
          <w:szCs w:val="18"/>
        </w:rPr>
        <w:footnoteRef/>
      </w:r>
      <w:r w:rsidRPr="00F52C9F">
        <w:rPr>
          <w:rFonts w:ascii="Verdana" w:hAnsi="Verdana"/>
          <w:sz w:val="18"/>
          <w:szCs w:val="18"/>
        </w:rPr>
        <w:t xml:space="preserve"> PIMIENTO Echeverri, Julián. El aprovechamiento económico de los bienes de uso público. Reflexiones con ocasión del reciente fallo de unificación sobre la improcedencia del contrato de arrendamiento. En:</w:t>
      </w:r>
      <w:r w:rsidRPr="00F52C9F">
        <w:rPr>
          <w:rFonts w:ascii="Verdana" w:hAnsi="Verdana"/>
          <w:b/>
          <w:bCs/>
          <w:sz w:val="18"/>
          <w:szCs w:val="18"/>
        </w:rPr>
        <w:t xml:space="preserve"> </w:t>
      </w:r>
      <w:r w:rsidRPr="00F52C9F">
        <w:rPr>
          <w:rFonts w:ascii="Verdana" w:hAnsi="Verdana"/>
          <w:i/>
          <w:iCs/>
          <w:sz w:val="18"/>
          <w:szCs w:val="18"/>
        </w:rPr>
        <w:t>Revista Digital de Derecho Administrativo. Universidad Externado de Colombia. Diciembre. 2019.</w:t>
      </w:r>
    </w:p>
  </w:footnote>
  <w:footnote w:id="18">
    <w:p w:rsidRPr="00F52C9F" w:rsidR="00B76D42" w:rsidP="00B76D42" w:rsidRDefault="00B76D42" w14:paraId="6F197548" w14:textId="77777777">
      <w:pPr>
        <w:pStyle w:val="Textonotapie"/>
        <w:ind w:firstLine="709"/>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El inciso primero de norma disponía que, conforme al principio de transparencia, “</w:t>
      </w:r>
      <w:r w:rsidRPr="00F52C9F">
        <w:rPr>
          <w:rFonts w:ascii="Verdana" w:hAnsi="Verdana" w:cs="Arial"/>
          <w:i/>
          <w:iCs/>
          <w:sz w:val="18"/>
          <w:szCs w:val="18"/>
        </w:rPr>
        <w:t>La escogencia del contratista se efectuará siempre a través de licitación o concurso públicos</w:t>
      </w:r>
      <w:r w:rsidRPr="00F52C9F">
        <w:rPr>
          <w:rFonts w:ascii="Verdana" w:hAnsi="Verdana" w:cs="Arial"/>
          <w:sz w:val="18"/>
          <w:szCs w:val="18"/>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p w:rsidRPr="00F52C9F" w:rsidR="00B76D42" w:rsidP="00B76D42" w:rsidRDefault="00B76D42" w14:paraId="3EB54CA2" w14:textId="77777777">
      <w:pPr>
        <w:pStyle w:val="Textonotapie"/>
        <w:ind w:firstLine="709"/>
        <w:contextualSpacing/>
        <w:jc w:val="both"/>
        <w:rPr>
          <w:rFonts w:ascii="Verdana" w:hAnsi="Verdana" w:cs="Arial"/>
          <w:sz w:val="18"/>
          <w:szCs w:val="18"/>
        </w:rPr>
      </w:pPr>
    </w:p>
  </w:footnote>
  <w:footnote w:id="19">
    <w:p w:rsidRPr="00F52C9F" w:rsidR="00B76D42" w:rsidP="00B76D42" w:rsidRDefault="00B76D42" w14:paraId="4C49B7E5" w14:textId="77777777">
      <w:pPr>
        <w:pStyle w:val="Textonotapie"/>
        <w:ind w:firstLine="709"/>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w:t>
      </w:r>
      <w:proofErr w:type="gramStart"/>
      <w:r w:rsidRPr="00F52C9F">
        <w:rPr>
          <w:rFonts w:ascii="Verdana" w:hAnsi="Verdana" w:cs="Arial"/>
          <w:sz w:val="18"/>
          <w:szCs w:val="18"/>
        </w:rPr>
        <w:t>pública,</w:t>
      </w:r>
      <w:proofErr w:type="gramEnd"/>
      <w:r w:rsidRPr="00F52C9F">
        <w:rPr>
          <w:rFonts w:ascii="Verdana" w:hAnsi="Verdana" w:cs="Arial"/>
          <w:sz w:val="18"/>
          <w:szCs w:val="18"/>
        </w:rPr>
        <w:t xml:space="preserve">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F52C9F">
        <w:rPr>
          <w:rFonts w:ascii="Verdana" w:hAnsi="Verdana" w:cs="Arial"/>
          <w:i/>
          <w:iCs/>
          <w:sz w:val="18"/>
          <w:szCs w:val="18"/>
        </w:rPr>
        <w:t>Presentación de la oferta de manera dinámica</w:t>
      </w:r>
      <w:r w:rsidRPr="00F52C9F">
        <w:rPr>
          <w:rFonts w:ascii="Verdana" w:hAnsi="Verdana" w:cs="Arial"/>
          <w:sz w:val="18"/>
          <w:szCs w:val="18"/>
        </w:rPr>
        <w:t xml:space="preserve">). Es decir, </w:t>
      </w:r>
      <w:proofErr w:type="gramStart"/>
      <w:r w:rsidRPr="00F52C9F">
        <w:rPr>
          <w:rFonts w:ascii="Verdana" w:hAnsi="Verdana" w:cs="Arial"/>
          <w:sz w:val="18"/>
          <w:szCs w:val="18"/>
        </w:rPr>
        <w:t>que</w:t>
      </w:r>
      <w:proofErr w:type="gramEnd"/>
      <w:r w:rsidRPr="00F52C9F">
        <w:rPr>
          <w:rFonts w:ascii="Verdana" w:hAnsi="Verdana" w:cs="Arial"/>
          <w:sz w:val="18"/>
          <w:szCs w:val="18"/>
        </w:rPr>
        <w:t xml:space="preserve"> ante la ausencia de una causal concreta para un determinado evento específico, la selección debe asumir la que el ordenamiento jurídico regula como licitación pública. Por eso es </w:t>
      </w:r>
      <w:proofErr w:type="gramStart"/>
      <w:r w:rsidRPr="00F52C9F">
        <w:rPr>
          <w:rFonts w:ascii="Verdana" w:hAnsi="Verdana" w:cs="Arial"/>
          <w:sz w:val="18"/>
          <w:szCs w:val="18"/>
        </w:rPr>
        <w:t>que</w:t>
      </w:r>
      <w:proofErr w:type="gramEnd"/>
      <w:r w:rsidRPr="00F52C9F">
        <w:rPr>
          <w:rFonts w:ascii="Verdana" w:hAnsi="Verdana" w:cs="Arial"/>
          <w:sz w:val="18"/>
          <w:szCs w:val="18"/>
        </w:rPr>
        <w:t xml:space="preserv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20">
    <w:p w:rsidRPr="00F52C9F" w:rsidR="00B76D42" w:rsidP="00B76D42" w:rsidRDefault="00B76D42" w14:paraId="4320AC40" w14:textId="77777777">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position w:val="6"/>
          <w:sz w:val="18"/>
          <w:szCs w:val="18"/>
        </w:rPr>
        <w:t xml:space="preserve"> </w:t>
      </w:r>
      <w:r w:rsidRPr="00F52C9F">
        <w:rPr>
          <w:rFonts w:ascii="Verdana" w:hAnsi="Verdana" w:cs="Arial"/>
          <w:sz w:val="18"/>
          <w:szCs w:val="18"/>
        </w:rPr>
        <w:t>DEIK ACOSTAMADIEDO, Carolina, Guía de Contratación Estatal: Deber de planeación y modalidades de selección, Buenos Aires, 2015, p. 59.</w:t>
      </w:r>
    </w:p>
    <w:p w:rsidRPr="00F52C9F" w:rsidR="00B76D42" w:rsidP="00B76D42" w:rsidRDefault="00B76D42" w14:paraId="577CE7D8" w14:textId="77777777">
      <w:pPr>
        <w:pStyle w:val="Textonotapie"/>
        <w:contextualSpacing/>
        <w:jc w:val="both"/>
        <w:rPr>
          <w:rFonts w:ascii="Verdana" w:hAnsi="Verdana" w:cs="Arial"/>
          <w:sz w:val="18"/>
          <w:szCs w:val="18"/>
        </w:rPr>
      </w:pPr>
    </w:p>
  </w:footnote>
  <w:footnote w:id="21">
    <w:p w:rsidRPr="00F52C9F" w:rsidR="00B76D42" w:rsidP="00B76D42" w:rsidRDefault="00B76D42" w14:paraId="6DD72614" w14:textId="77777777">
      <w:pPr>
        <w:pStyle w:val="Textoindependiente"/>
        <w:spacing w:after="0" w:line="240" w:lineRule="auto"/>
        <w:ind w:firstLine="709"/>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“Artículo </w:t>
      </w:r>
      <w:bookmarkStart w:name="_Hlk54173885" w:id="13"/>
      <w:r w:rsidRPr="00F52C9F">
        <w:rPr>
          <w:rFonts w:ascii="Verdana" w:hAnsi="Verdana" w:cs="Arial"/>
          <w:sz w:val="18"/>
          <w:szCs w:val="18"/>
        </w:rPr>
        <w:t>2.2.1.1.2.1.1</w:t>
      </w:r>
      <w:bookmarkEnd w:id="13"/>
      <w:r w:rsidRPr="00F52C9F">
        <w:rPr>
          <w:rFonts w:ascii="Verdana" w:hAnsi="Verdana" w:cs="Arial"/>
          <w:sz w:val="18"/>
          <w:szCs w:val="18"/>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rsidRPr="00F52C9F" w:rsidR="00B76D42" w:rsidP="00B76D42" w:rsidRDefault="00B76D42" w14:paraId="71DCBA95" w14:textId="77777777">
      <w:pPr>
        <w:pStyle w:val="Textonotapie"/>
        <w:contextualSpacing/>
        <w:jc w:val="both"/>
        <w:rPr>
          <w:rFonts w:ascii="Verdana" w:hAnsi="Verdana" w:cs="Arial"/>
          <w:sz w:val="18"/>
          <w:szCs w:val="18"/>
        </w:rPr>
      </w:pPr>
    </w:p>
  </w:footnote>
  <w:footnote w:id="22">
    <w:p w:rsidRPr="00F52C9F" w:rsidR="00B76D42" w:rsidP="00B76D42" w:rsidRDefault="00B76D42" w14:paraId="3BEEE6EE" w14:textId="77777777">
      <w:pPr>
        <w:pStyle w:val="Textoindependiente"/>
        <w:spacing w:after="0" w:line="240" w:lineRule="auto"/>
        <w:ind w:firstLine="709"/>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Subsección B. Sentencia del 31 de agosto de 2011. </w:t>
      </w:r>
      <w:proofErr w:type="spellStart"/>
      <w:r w:rsidRPr="00F52C9F">
        <w:rPr>
          <w:rFonts w:ascii="Verdana" w:hAnsi="Verdana" w:cs="Arial"/>
          <w:sz w:val="18"/>
          <w:szCs w:val="18"/>
        </w:rPr>
        <w:t>Exp</w:t>
      </w:r>
      <w:proofErr w:type="spellEnd"/>
      <w:r w:rsidRPr="00F52C9F">
        <w:rPr>
          <w:rFonts w:ascii="Verdana" w:hAnsi="Verdana" w:cs="Arial"/>
          <w:sz w:val="18"/>
          <w:szCs w:val="18"/>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rsidRPr="00F52C9F" w:rsidR="00B76D42" w:rsidP="00B76D42" w:rsidRDefault="00B76D42" w14:paraId="571E1B97" w14:textId="77777777">
      <w:pPr>
        <w:pStyle w:val="Textonotapie"/>
        <w:contextualSpacing/>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A211EE" w14:paraId="6ED12154" w14:textId="26E0CE9D">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P="00A211EE" w:rsidRDefault="00756841" w14:paraId="435F4D03" w14:textId="67DABC48">
    <w:pPr>
      <w:pStyle w:val="Encabezado"/>
      <w:jc w:val="center"/>
    </w:pPr>
  </w:p>
  <w:p w:rsidR="00756841" w:rsidRDefault="00756841" w14:paraId="1BE2B9AE" w14:textId="4B94DB3B">
    <w:pPr>
      <w:pStyle w:val="Encabezado"/>
    </w:pPr>
  </w:p>
  <w:p w:rsidR="00A211EE" w:rsidP="00A211EE" w:rsidRDefault="00A211EE" w14:paraId="66537681" w14:textId="77777777">
    <w:pPr>
      <w:spacing w:after="0"/>
      <w:rPr>
        <w:rFonts w:ascii="Verdana" w:hAnsi="Verdana"/>
        <w:b/>
        <w:bCs/>
        <w:sz w:val="24"/>
        <w:szCs w:val="24"/>
      </w:rPr>
    </w:pPr>
  </w:p>
  <w:p w:rsidR="008A446D" w:rsidP="00A211EE" w:rsidRDefault="004A305D" w14:paraId="1FD1C243" w14:textId="10E3EDD9">
    <w:pPr>
      <w:spacing w:after="0"/>
      <w:rPr>
        <w:rFonts w:ascii="Verdana" w:hAnsi="Verdana"/>
        <w:b/>
        <w:bCs/>
        <w:sz w:val="24"/>
        <w:szCs w:val="24"/>
      </w:rPr>
    </w:pPr>
    <w:r w:rsidRPr="00A211EE">
      <w:rPr>
        <w:rFonts w:ascii="Verdana" w:hAnsi="Verdana"/>
        <w:b/>
        <w:bCs/>
        <w:sz w:val="24"/>
        <w:szCs w:val="24"/>
      </w:rPr>
      <w:t>FORMATO PQRSD</w:t>
    </w:r>
  </w:p>
  <w:p w:rsidRPr="00A211EE" w:rsidR="00A211EE" w:rsidP="00A211EE" w:rsidRDefault="00A211EE" w14:paraId="56E67371" w14:textId="77777777">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0388306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6CEB"/>
    <w:rsid w:val="000A683E"/>
    <w:rsid w:val="000B19B9"/>
    <w:rsid w:val="000D0334"/>
    <w:rsid w:val="000F6486"/>
    <w:rsid w:val="00127233"/>
    <w:rsid w:val="001B52B0"/>
    <w:rsid w:val="001E4177"/>
    <w:rsid w:val="0021361E"/>
    <w:rsid w:val="00242F8A"/>
    <w:rsid w:val="002951A0"/>
    <w:rsid w:val="002962BC"/>
    <w:rsid w:val="002A49AC"/>
    <w:rsid w:val="002A64FD"/>
    <w:rsid w:val="002C7430"/>
    <w:rsid w:val="002C7A84"/>
    <w:rsid w:val="002E5FB6"/>
    <w:rsid w:val="002F3FC8"/>
    <w:rsid w:val="002F4432"/>
    <w:rsid w:val="00305A0F"/>
    <w:rsid w:val="003A779E"/>
    <w:rsid w:val="003D0F4D"/>
    <w:rsid w:val="003D3DD7"/>
    <w:rsid w:val="003E0499"/>
    <w:rsid w:val="003F3941"/>
    <w:rsid w:val="00484886"/>
    <w:rsid w:val="004A1847"/>
    <w:rsid w:val="004A305D"/>
    <w:rsid w:val="004F21C4"/>
    <w:rsid w:val="004F685F"/>
    <w:rsid w:val="00516F79"/>
    <w:rsid w:val="005566E8"/>
    <w:rsid w:val="00574867"/>
    <w:rsid w:val="00577296"/>
    <w:rsid w:val="00591D0D"/>
    <w:rsid w:val="00593FAF"/>
    <w:rsid w:val="00594DCF"/>
    <w:rsid w:val="005A6942"/>
    <w:rsid w:val="005C5CDC"/>
    <w:rsid w:val="005D476C"/>
    <w:rsid w:val="005D6B42"/>
    <w:rsid w:val="005E5DA4"/>
    <w:rsid w:val="006219F8"/>
    <w:rsid w:val="00647EEF"/>
    <w:rsid w:val="00665D70"/>
    <w:rsid w:val="006F1A1E"/>
    <w:rsid w:val="006F37E2"/>
    <w:rsid w:val="00706C16"/>
    <w:rsid w:val="0071269F"/>
    <w:rsid w:val="00756841"/>
    <w:rsid w:val="007649AB"/>
    <w:rsid w:val="007833AC"/>
    <w:rsid w:val="007921E7"/>
    <w:rsid w:val="007C3DC2"/>
    <w:rsid w:val="007D375C"/>
    <w:rsid w:val="007E5497"/>
    <w:rsid w:val="007F31DD"/>
    <w:rsid w:val="00806F5F"/>
    <w:rsid w:val="00820278"/>
    <w:rsid w:val="008843B6"/>
    <w:rsid w:val="00891928"/>
    <w:rsid w:val="008A446D"/>
    <w:rsid w:val="008B5C99"/>
    <w:rsid w:val="008D5138"/>
    <w:rsid w:val="008F0EA7"/>
    <w:rsid w:val="00906B27"/>
    <w:rsid w:val="00923EEF"/>
    <w:rsid w:val="00931571"/>
    <w:rsid w:val="009419F9"/>
    <w:rsid w:val="00961B09"/>
    <w:rsid w:val="00965334"/>
    <w:rsid w:val="0097093E"/>
    <w:rsid w:val="009C71FA"/>
    <w:rsid w:val="009C72E7"/>
    <w:rsid w:val="009F5934"/>
    <w:rsid w:val="00A06E49"/>
    <w:rsid w:val="00A125DE"/>
    <w:rsid w:val="00A17F13"/>
    <w:rsid w:val="00A20739"/>
    <w:rsid w:val="00A211EE"/>
    <w:rsid w:val="00A33C78"/>
    <w:rsid w:val="00A5147E"/>
    <w:rsid w:val="00A821E9"/>
    <w:rsid w:val="00AB0ADB"/>
    <w:rsid w:val="00AE66B6"/>
    <w:rsid w:val="00B41ACE"/>
    <w:rsid w:val="00B5454F"/>
    <w:rsid w:val="00B57DA7"/>
    <w:rsid w:val="00B72CD3"/>
    <w:rsid w:val="00B72FFF"/>
    <w:rsid w:val="00B76D42"/>
    <w:rsid w:val="00BA1A1D"/>
    <w:rsid w:val="00BD7F72"/>
    <w:rsid w:val="00C330EB"/>
    <w:rsid w:val="00C754BE"/>
    <w:rsid w:val="00C82E3A"/>
    <w:rsid w:val="00C9288E"/>
    <w:rsid w:val="00CB6357"/>
    <w:rsid w:val="00CC1B26"/>
    <w:rsid w:val="00CD1996"/>
    <w:rsid w:val="00D04772"/>
    <w:rsid w:val="00D423A2"/>
    <w:rsid w:val="00D439B6"/>
    <w:rsid w:val="00D47D67"/>
    <w:rsid w:val="00D63AC2"/>
    <w:rsid w:val="00D73824"/>
    <w:rsid w:val="00D7383B"/>
    <w:rsid w:val="00DB3EF4"/>
    <w:rsid w:val="00DD28D8"/>
    <w:rsid w:val="00E10726"/>
    <w:rsid w:val="00E16408"/>
    <w:rsid w:val="00E20894"/>
    <w:rsid w:val="00E245AB"/>
    <w:rsid w:val="00E50AFE"/>
    <w:rsid w:val="00E771DC"/>
    <w:rsid w:val="00E8132B"/>
    <w:rsid w:val="00E8772A"/>
    <w:rsid w:val="00E90F6B"/>
    <w:rsid w:val="00E92504"/>
    <w:rsid w:val="00E92C27"/>
    <w:rsid w:val="00EA0E3D"/>
    <w:rsid w:val="00EB782A"/>
    <w:rsid w:val="00EE1AA8"/>
    <w:rsid w:val="00EF4AAB"/>
    <w:rsid w:val="00F03924"/>
    <w:rsid w:val="00F31EDC"/>
    <w:rsid w:val="00F50761"/>
    <w:rsid w:val="00F5664F"/>
    <w:rsid w:val="00F70015"/>
    <w:rsid w:val="00F76AFC"/>
    <w:rsid w:val="00F76FB5"/>
    <w:rsid w:val="00FB5DD1"/>
    <w:rsid w:val="00FB7D03"/>
    <w:rsid w:val="00FC2B5D"/>
    <w:rsid w:val="00FF1449"/>
    <w:rsid w:val="00FF25D8"/>
    <w:rsid w:val="6DB59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paragraph" w:styleId="Appelnotedebasde" w:customStyle="1">
    <w:name w:val="Appel note de bas de..."/>
    <w:basedOn w:val="Normal"/>
    <w:link w:val="Refdenotaalpie"/>
    <w:uiPriority w:val="99"/>
    <w:rsid w:val="00591D0D"/>
    <w:pPr>
      <w:spacing w:line="240" w:lineRule="exact"/>
    </w:pPr>
    <w:rPr>
      <w:vertAlign w:val="superscript"/>
    </w:rPr>
  </w:style>
  <w:style w:type="character" w:styleId="Hipervnculo">
    <w:name w:val="Hyperlink"/>
    <w:basedOn w:val="Fuentedeprrafopredeter"/>
    <w:uiPriority w:val="99"/>
    <w:unhideWhenUsed/>
    <w:rsid w:val="00591D0D"/>
    <w:rPr>
      <w:color w:val="0563C1" w:themeColor="hyperlink"/>
      <w:u w:val="single"/>
    </w:rPr>
  </w:style>
  <w:style w:type="paragraph" w:styleId="Cuadrculamedia1-nfasis21" w:customStyle="1">
    <w:name w:val="Cuadrícula media 1 - Énfasis 21"/>
    <w:basedOn w:val="Normal"/>
    <w:uiPriority w:val="34"/>
    <w:qFormat/>
    <w:rsid w:val="00591D0D"/>
    <w:pPr>
      <w:ind w:left="720"/>
      <w:contextualSpacing/>
    </w:pPr>
    <w:rPr>
      <w:rFonts w:ascii="Calibri" w:hAnsi="Calibri" w:eastAsia="Calibri" w:cs="Times New Roman"/>
    </w:rPr>
  </w:style>
  <w:style w:type="paragraph" w:styleId="paragraph" w:customStyle="1">
    <w:name w:val="paragraph"/>
    <w:basedOn w:val="Normal"/>
    <w:rsid w:val="00591D0D"/>
    <w:pPr>
      <w:spacing w:before="100" w:beforeAutospacing="1" w:after="100" w:afterAutospacing="1" w:line="240" w:lineRule="auto"/>
    </w:pPr>
    <w:rPr>
      <w:rFonts w:ascii="Times New Roman" w:hAnsi="Times New Roman" w:eastAsia="Times New Roman" w:cs="Times New Roman"/>
      <w:sz w:val="24"/>
      <w:szCs w:val="24"/>
      <w:lang w:eastAsia="es-ES_tradnl"/>
    </w:rPr>
  </w:style>
  <w:style w:type="paragraph" w:styleId="Textoindependiente">
    <w:name w:val="Body Text"/>
    <w:basedOn w:val="Normal"/>
    <w:link w:val="TextoindependienteCar"/>
    <w:uiPriority w:val="99"/>
    <w:semiHidden/>
    <w:unhideWhenUsed/>
    <w:rsid w:val="00B76D42"/>
    <w:pPr>
      <w:spacing w:after="120"/>
    </w:pPr>
  </w:style>
  <w:style w:type="character" w:styleId="TextoindependienteCar" w:customStyle="1">
    <w:name w:val="Texto independiente Car"/>
    <w:basedOn w:val="Fuentedeprrafopredeter"/>
    <w:link w:val="Textoindependiente"/>
    <w:uiPriority w:val="99"/>
    <w:semiHidden/>
    <w:rsid w:val="00B76D42"/>
  </w:style>
  <w:style w:type="paragraph" w:styleId="Revisin">
    <w:name w:val="Revision"/>
    <w:hidden/>
    <w:uiPriority w:val="99"/>
    <w:semiHidden/>
    <w:rsid w:val="00DB3E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Diana Lucia Saavedra</DisplayName>
        <AccountId>452</AccountId>
        <AccountType/>
      </UserInfo>
      <UserInfo>
        <DisplayName>Alejandro Sarmiento</DisplayName>
        <AccountId>119</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8ae15d26-076e-464e-81a7-6f76a0fb3917"/>
    <ds:schemaRef ds:uri="http://purl.org/dc/terms/"/>
    <ds:schemaRef ds:uri="http://www.w3.org/XML/1998/namespace"/>
    <ds:schemaRef ds:uri="http://purl.org/dc/elements/1.1/"/>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36c82cfe-0eda-494d-b392-a9281b89aaf0"/>
    <ds:schemaRef ds:uri="http://purl.org/dc/dcmityp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D0F1E8C-897D-4A68-84A5-16DA7778FC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9</revision>
  <lastPrinted>2023-01-10T21:18:00.0000000Z</lastPrinted>
  <dcterms:created xsi:type="dcterms:W3CDTF">2024-07-10T21:32:00.0000000Z</dcterms:created>
  <dcterms:modified xsi:type="dcterms:W3CDTF">2024-08-01T22:06:56.8943088Z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