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5973AD" w14:textId="77777777" w:rsidR="000B76C5" w:rsidRPr="000B76C5" w:rsidRDefault="000B76C5" w:rsidP="000B76C5">
      <w:pPr>
        <w:spacing w:after="0" w:line="240" w:lineRule="auto"/>
        <w:jc w:val="right"/>
        <w:rPr>
          <w:rFonts w:ascii="Century Gothic" w:eastAsia="Century Gothic" w:hAnsi="Century Gothic" w:cs="Century Gothic"/>
          <w:b/>
          <w:bCs/>
          <w:sz w:val="20"/>
          <w:szCs w:val="20"/>
          <w:lang w:val="es-ES" w:eastAsia="es-ES_tradnl"/>
        </w:rPr>
      </w:pPr>
      <w:bookmarkStart w:id="0" w:name="_Hlk28946138"/>
      <w:bookmarkStart w:id="1" w:name="_Hlk29548183"/>
      <w:r w:rsidRPr="000B76C5">
        <w:rPr>
          <w:rFonts w:ascii="Century Gothic" w:eastAsia="Century Gothic" w:hAnsi="Century Gothic" w:cs="Century Gothic"/>
          <w:sz w:val="16"/>
          <w:szCs w:val="16"/>
          <w:lang w:val="es-ES" w:eastAsia="es-ES"/>
        </w:rPr>
        <w:t>CCE-DES-FM-17</w:t>
      </w:r>
      <w:bookmarkEnd w:id="0"/>
      <w:bookmarkEnd w:id="1"/>
    </w:p>
    <w:p w14:paraId="25B7C30A" w14:textId="77777777" w:rsidR="000B76C5" w:rsidRPr="000B76C5" w:rsidRDefault="000B76C5" w:rsidP="000B76C5">
      <w:pPr>
        <w:spacing w:after="0" w:line="240" w:lineRule="auto"/>
        <w:jc w:val="both"/>
        <w:rPr>
          <w:rFonts w:ascii="Century Gothic" w:eastAsia="Century Gothic" w:hAnsi="Century Gothic" w:cs="Century Gothic"/>
          <w:b/>
          <w:bCs/>
          <w:lang w:eastAsia="es-ES_tradnl"/>
        </w:rPr>
      </w:pPr>
    </w:p>
    <w:p w14:paraId="15C20E9B" w14:textId="77777777" w:rsidR="000B76C5" w:rsidRPr="000B76C5" w:rsidRDefault="000B76C5" w:rsidP="000B76C5">
      <w:pPr>
        <w:spacing w:after="0" w:line="240" w:lineRule="auto"/>
        <w:jc w:val="both"/>
        <w:rPr>
          <w:rFonts w:ascii="Century Gothic" w:eastAsia="Times New Roman" w:hAnsi="Century Gothic" w:cs="Arial"/>
          <w:b/>
          <w:bCs/>
          <w:color w:val="000000" w:themeColor="text1"/>
          <w:lang w:val="es-ES_tradnl" w:eastAsia="es-ES_tradnl"/>
        </w:rPr>
      </w:pPr>
      <w:r w:rsidRPr="000B76C5">
        <w:rPr>
          <w:rFonts w:ascii="Century Gothic" w:eastAsia="Times New Roman" w:hAnsi="Century Gothic" w:cs="Arial"/>
          <w:b/>
          <w:bCs/>
          <w:color w:val="000000" w:themeColor="text1"/>
          <w:lang w:val="es-ES_tradnl" w:eastAsia="es-ES_tradnl"/>
        </w:rPr>
        <w:t xml:space="preserve">CONTRATOS CON ESAL </w:t>
      </w:r>
      <w:r w:rsidRPr="000B76C5">
        <w:rPr>
          <w:rFonts w:ascii="Century Gothic" w:eastAsia="Calibri" w:hAnsi="Century Gothic" w:cs="Arial"/>
          <w:b/>
          <w:color w:val="000000" w:themeColor="text1"/>
          <w:lang w:val="es-ES_tradnl" w:eastAsia="es-ES_tradnl"/>
        </w:rPr>
        <w:t>–</w:t>
      </w:r>
      <w:r w:rsidRPr="000B76C5">
        <w:rPr>
          <w:rFonts w:ascii="Century Gothic" w:eastAsia="Times New Roman" w:hAnsi="Century Gothic" w:cs="Arial"/>
          <w:b/>
          <w:bCs/>
          <w:color w:val="000000" w:themeColor="text1"/>
          <w:lang w:val="es-ES_tradnl" w:eastAsia="es-ES_tradnl"/>
        </w:rPr>
        <w:t xml:space="preserve"> Artículo 355 </w:t>
      </w:r>
      <w:r w:rsidRPr="000B76C5">
        <w:rPr>
          <w:rFonts w:ascii="Century Gothic" w:eastAsia="Calibri" w:hAnsi="Century Gothic" w:cs="Arial"/>
          <w:b/>
          <w:color w:val="000000" w:themeColor="text1"/>
          <w:lang w:val="es-ES_tradnl" w:eastAsia="es-ES_tradnl"/>
        </w:rPr>
        <w:t>–</w:t>
      </w:r>
      <w:r w:rsidRPr="000B76C5">
        <w:rPr>
          <w:rFonts w:ascii="Century Gothic" w:eastAsia="Times New Roman" w:hAnsi="Century Gothic" w:cs="Arial"/>
          <w:b/>
          <w:bCs/>
          <w:color w:val="000000" w:themeColor="text1"/>
          <w:lang w:val="es-ES_tradnl" w:eastAsia="es-ES_tradnl"/>
        </w:rPr>
        <w:t xml:space="preserve"> Constitución </w:t>
      </w:r>
      <w:r w:rsidRPr="000B76C5">
        <w:rPr>
          <w:rFonts w:ascii="Century Gothic" w:eastAsia="Calibri" w:hAnsi="Century Gothic" w:cs="Arial"/>
          <w:b/>
          <w:color w:val="000000" w:themeColor="text1"/>
          <w:lang w:val="es-ES_tradnl" w:eastAsia="es-ES_tradnl"/>
        </w:rPr>
        <w:t>– Fundamento</w:t>
      </w:r>
    </w:p>
    <w:p w14:paraId="50B71E15" w14:textId="77777777" w:rsidR="000B76C5" w:rsidRPr="000B76C5" w:rsidRDefault="000B76C5" w:rsidP="000B76C5">
      <w:pPr>
        <w:spacing w:after="0" w:line="240" w:lineRule="auto"/>
        <w:jc w:val="both"/>
        <w:rPr>
          <w:rFonts w:ascii="Century Gothic" w:eastAsia="Times New Roman" w:hAnsi="Century Gothic" w:cs="Arial"/>
          <w:color w:val="000000" w:themeColor="text1"/>
          <w:sz w:val="20"/>
          <w:szCs w:val="20"/>
          <w:lang w:val="es-ES_tradnl" w:eastAsia="es-ES_tradnl"/>
        </w:rPr>
      </w:pPr>
    </w:p>
    <w:p w14:paraId="1C09FA4D" w14:textId="77777777" w:rsidR="000B76C5" w:rsidRPr="000B76C5" w:rsidRDefault="000B76C5" w:rsidP="000B76C5">
      <w:pPr>
        <w:spacing w:after="0" w:line="240" w:lineRule="auto"/>
        <w:jc w:val="both"/>
        <w:rPr>
          <w:rFonts w:ascii="Century Gothic" w:eastAsia="Calibri" w:hAnsi="Century Gothic" w:cs="Arial"/>
          <w:color w:val="000000" w:themeColor="text1"/>
          <w:sz w:val="20"/>
          <w:szCs w:val="20"/>
          <w:lang w:val="es-ES"/>
        </w:rPr>
      </w:pPr>
      <w:r w:rsidRPr="000B76C5">
        <w:rPr>
          <w:rFonts w:ascii="Century Gothic" w:eastAsia="Calibri" w:hAnsi="Century Gothic" w:cs="Arial"/>
          <w:color w:val="000000" w:themeColor="text1"/>
          <w:sz w:val="20"/>
          <w:szCs w:val="20"/>
          <w:lang w:val="es-ES"/>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sin ánimo de lucro – en adelante ESAL – con el fin de impulsar programas y actividades de interés público acordes con el plan nacional y los planes seccionales de desarrollo.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45D41A50" w14:textId="77777777" w:rsidR="000B76C5" w:rsidRPr="000B76C5" w:rsidRDefault="000B76C5" w:rsidP="000B76C5">
      <w:pPr>
        <w:spacing w:after="0" w:line="240" w:lineRule="auto"/>
        <w:jc w:val="both"/>
        <w:rPr>
          <w:rFonts w:ascii="Century Gothic" w:eastAsia="Times New Roman" w:hAnsi="Century Gothic" w:cs="Arial"/>
          <w:noProof/>
          <w:color w:val="000000" w:themeColor="text1"/>
          <w:sz w:val="20"/>
          <w:szCs w:val="20"/>
          <w:lang w:val="es-ES" w:eastAsia="es-ES_tradnl"/>
        </w:rPr>
      </w:pPr>
    </w:p>
    <w:p w14:paraId="75024DB2" w14:textId="77777777" w:rsidR="000B76C5" w:rsidRPr="000B76C5" w:rsidRDefault="000B76C5" w:rsidP="000B76C5">
      <w:pPr>
        <w:spacing w:after="0" w:line="240" w:lineRule="auto"/>
        <w:jc w:val="both"/>
        <w:rPr>
          <w:rFonts w:ascii="Century Gothic" w:eastAsia="Times New Roman" w:hAnsi="Century Gothic" w:cs="Arial"/>
          <w:b/>
          <w:bCs/>
          <w:color w:val="000000" w:themeColor="text1"/>
          <w:lang w:val="es-ES_tradnl" w:eastAsia="es-ES_tradnl"/>
        </w:rPr>
      </w:pPr>
      <w:r w:rsidRPr="000B76C5">
        <w:rPr>
          <w:rFonts w:ascii="Century Gothic" w:eastAsia="Times New Roman" w:hAnsi="Century Gothic" w:cs="Arial"/>
          <w:b/>
          <w:bCs/>
          <w:color w:val="000000" w:themeColor="text1"/>
          <w:lang w:val="es-ES_tradnl" w:eastAsia="es-ES_tradnl"/>
        </w:rPr>
        <w:t xml:space="preserve">TIPOS DE CONTRATOS </w:t>
      </w:r>
      <w:r w:rsidRPr="000B76C5">
        <w:rPr>
          <w:rFonts w:ascii="Century Gothic" w:eastAsia="Calibri" w:hAnsi="Century Gothic" w:cs="Arial"/>
          <w:b/>
          <w:color w:val="000000" w:themeColor="text1"/>
          <w:lang w:val="es-ES_tradnl" w:eastAsia="es-ES_tradnl"/>
        </w:rPr>
        <w:t>–</w:t>
      </w:r>
      <w:r w:rsidRPr="000B76C5">
        <w:rPr>
          <w:rFonts w:ascii="Century Gothic" w:eastAsia="Times New Roman" w:hAnsi="Century Gothic" w:cs="Arial"/>
          <w:b/>
          <w:bCs/>
          <w:color w:val="000000" w:themeColor="text1"/>
          <w:lang w:val="es-ES_tradnl" w:eastAsia="es-ES_tradnl"/>
        </w:rPr>
        <w:t xml:space="preserve"> Artículo 355 </w:t>
      </w:r>
      <w:r w:rsidRPr="000B76C5">
        <w:rPr>
          <w:rFonts w:ascii="Century Gothic" w:eastAsia="Calibri" w:hAnsi="Century Gothic" w:cs="Arial"/>
          <w:b/>
          <w:color w:val="000000" w:themeColor="text1"/>
          <w:lang w:val="es-ES_tradnl" w:eastAsia="es-ES_tradnl"/>
        </w:rPr>
        <w:t>–</w:t>
      </w:r>
      <w:r w:rsidRPr="000B76C5">
        <w:rPr>
          <w:rFonts w:ascii="Century Gothic" w:eastAsia="Times New Roman" w:hAnsi="Century Gothic" w:cs="Arial"/>
          <w:b/>
          <w:bCs/>
          <w:color w:val="000000" w:themeColor="text1"/>
          <w:lang w:val="es-ES_tradnl" w:eastAsia="es-ES_tradnl"/>
        </w:rPr>
        <w:t xml:space="preserve"> Constitución </w:t>
      </w:r>
      <w:r w:rsidRPr="000B76C5">
        <w:rPr>
          <w:rFonts w:ascii="Century Gothic" w:eastAsia="Calibri" w:hAnsi="Century Gothic" w:cs="Arial"/>
          <w:b/>
          <w:color w:val="000000" w:themeColor="text1"/>
          <w:lang w:val="es-ES_tradnl" w:eastAsia="es-ES_tradnl"/>
        </w:rPr>
        <w:t>– ESAL</w:t>
      </w:r>
    </w:p>
    <w:p w14:paraId="746B8F4F" w14:textId="77777777" w:rsidR="000B76C5" w:rsidRPr="000B76C5" w:rsidRDefault="000B76C5" w:rsidP="000B76C5">
      <w:pPr>
        <w:spacing w:after="0" w:line="240" w:lineRule="auto"/>
        <w:jc w:val="both"/>
        <w:rPr>
          <w:rFonts w:ascii="Century Gothic" w:eastAsia="Times New Roman" w:hAnsi="Century Gothic" w:cs="Arial"/>
          <w:noProof/>
          <w:color w:val="000000" w:themeColor="text1"/>
          <w:sz w:val="20"/>
          <w:szCs w:val="20"/>
          <w:lang w:val="es-ES_tradnl" w:eastAsia="es-ES_tradnl"/>
        </w:rPr>
      </w:pPr>
    </w:p>
    <w:p w14:paraId="5D65CE65" w14:textId="77777777" w:rsidR="000B76C5" w:rsidRPr="000B76C5" w:rsidRDefault="000B76C5" w:rsidP="000B76C5">
      <w:pPr>
        <w:spacing w:after="0" w:line="240" w:lineRule="auto"/>
        <w:jc w:val="both"/>
        <w:rPr>
          <w:rFonts w:ascii="Century Gothic" w:eastAsia="Calibri" w:hAnsi="Century Gothic" w:cs="Arial"/>
          <w:color w:val="000000"/>
          <w:sz w:val="20"/>
          <w:szCs w:val="20"/>
          <w:lang w:val="es-MX" w:eastAsia="es-ES_tradnl"/>
        </w:rPr>
      </w:pPr>
      <w:r w:rsidRPr="000B76C5">
        <w:rPr>
          <w:rFonts w:ascii="Century Gothic" w:eastAsia="Calibri" w:hAnsi="Century Gothic" w:cs="Arial"/>
          <w:color w:val="000000" w:themeColor="text1"/>
          <w:sz w:val="20"/>
          <w:szCs w:val="20"/>
          <w:lang w:val="es-ES"/>
        </w:rPr>
        <w:t xml:space="preserve">El Decreto regula dos (2) eventos: i) </w:t>
      </w:r>
      <w:r w:rsidRPr="000B76C5">
        <w:rPr>
          <w:rFonts w:ascii="Century Gothic" w:eastAsia="Calibri" w:hAnsi="Century Gothic" w:cs="Arial"/>
          <w:sz w:val="20"/>
          <w:szCs w:val="20"/>
          <w:lang w:eastAsia="es-ES_tradnl"/>
        </w:rPr>
        <w:t xml:space="preserve">los </w:t>
      </w:r>
      <w:r w:rsidRPr="000B76C5">
        <w:rPr>
          <w:rFonts w:ascii="Century Gothic" w:eastAsia="Calibri" w:hAnsi="Century Gothic" w:cs="Arial"/>
          <w:i/>
          <w:iCs/>
          <w:sz w:val="20"/>
          <w:szCs w:val="20"/>
          <w:lang w:eastAsia="es-ES_tradnl"/>
        </w:rPr>
        <w:t>contratos de colaboración</w:t>
      </w:r>
      <w:r w:rsidRPr="000B76C5">
        <w:rPr>
          <w:rFonts w:ascii="Century Gothic" w:eastAsia="Calibri" w:hAnsi="Century Gothic" w:cs="Arial"/>
          <w:sz w:val="20"/>
          <w:szCs w:val="20"/>
          <w:lang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sidRPr="000B76C5">
        <w:rPr>
          <w:rFonts w:ascii="Century Gothic" w:eastAsia="Calibri" w:hAnsi="Century Gothic" w:cs="Arial"/>
          <w:color w:val="000000" w:themeColor="text1"/>
          <w:sz w:val="20"/>
          <w:szCs w:val="20"/>
          <w:lang w:val="es-ES"/>
        </w:rPr>
        <w:t xml:space="preserve"> y; </w:t>
      </w:r>
      <w:proofErr w:type="spellStart"/>
      <w:r w:rsidRPr="000B76C5">
        <w:rPr>
          <w:rFonts w:ascii="Century Gothic" w:eastAsia="Calibri" w:hAnsi="Century Gothic" w:cs="Arial"/>
          <w:color w:val="000000" w:themeColor="text1"/>
          <w:sz w:val="20"/>
          <w:szCs w:val="20"/>
          <w:lang w:val="es-ES"/>
        </w:rPr>
        <w:t>ii</w:t>
      </w:r>
      <w:proofErr w:type="spellEnd"/>
      <w:r w:rsidRPr="000B76C5">
        <w:rPr>
          <w:rFonts w:ascii="Century Gothic" w:eastAsia="Calibri" w:hAnsi="Century Gothic" w:cs="Arial"/>
          <w:color w:val="000000" w:themeColor="text1"/>
          <w:sz w:val="20"/>
          <w:szCs w:val="20"/>
          <w:lang w:val="es-ES"/>
        </w:rPr>
        <w:t xml:space="preserve">) los </w:t>
      </w:r>
      <w:r w:rsidRPr="000B76C5">
        <w:rPr>
          <w:rFonts w:ascii="Century Gothic" w:eastAsia="Calibri" w:hAnsi="Century Gothic" w:cs="Arial"/>
          <w:i/>
          <w:iCs/>
          <w:color w:val="000000" w:themeColor="text1"/>
          <w:sz w:val="20"/>
          <w:szCs w:val="20"/>
          <w:lang w:val="es-ES"/>
        </w:rPr>
        <w:t>convenios de asociación</w:t>
      </w:r>
      <w:r w:rsidRPr="000B76C5">
        <w:rPr>
          <w:rFonts w:ascii="Century Gothic" w:eastAsia="Calibri" w:hAnsi="Century Gothic" w:cs="Arial"/>
          <w:color w:val="000000" w:themeColor="text1"/>
          <w:sz w:val="20"/>
          <w:szCs w:val="20"/>
          <w:lang w:val="es-ES"/>
        </w:rPr>
        <w:t xml:space="preserve">, para el desarrollo conjunto de actividades relacionadas con las funciones de las Entidades Estatales, en desarrollo del artículo 96 de la Ley 489 de 1998. </w:t>
      </w:r>
      <w:r w:rsidRPr="000B76C5">
        <w:rPr>
          <w:rFonts w:ascii="Century Gothic" w:eastAsia="Calibri" w:hAnsi="Century Gothic" w:cs="Arial"/>
          <w:color w:val="000000"/>
          <w:sz w:val="20"/>
          <w:szCs w:val="20"/>
          <w:lang w:val="es-MX" w:eastAsia="es-ES_tradnl"/>
        </w:rPr>
        <w:t xml:space="preserve">Los primeros están regulados en el artículo 2 del Decreto 092 de 2017, mientras que los segundos en los artículos 5, 6, 7 y 8 </w:t>
      </w:r>
      <w:r w:rsidRPr="000B76C5">
        <w:rPr>
          <w:rFonts w:ascii="Century Gothic" w:eastAsia="Calibri" w:hAnsi="Century Gothic" w:cs="Arial"/>
          <w:i/>
          <w:iCs/>
          <w:color w:val="000000"/>
          <w:sz w:val="20"/>
          <w:szCs w:val="20"/>
          <w:lang w:val="es-MX" w:eastAsia="es-ES_tradnl"/>
        </w:rPr>
        <w:t>ibidem</w:t>
      </w:r>
      <w:r w:rsidRPr="000B76C5">
        <w:rPr>
          <w:rFonts w:ascii="Century Gothic" w:eastAsia="Calibri" w:hAnsi="Century Gothic" w:cs="Arial"/>
          <w:color w:val="000000"/>
          <w:sz w:val="20"/>
          <w:szCs w:val="20"/>
          <w:lang w:val="es-MX" w:eastAsia="es-ES_tradnl"/>
        </w:rPr>
        <w:t xml:space="preserve">. Es posible diferenciar, pues, los </w:t>
      </w:r>
      <w:r w:rsidRPr="000B76C5">
        <w:rPr>
          <w:rFonts w:ascii="Century Gothic" w:eastAsia="Calibri" w:hAnsi="Century Gothic" w:cs="Arial"/>
          <w:i/>
          <w:iCs/>
          <w:color w:val="000000"/>
          <w:sz w:val="20"/>
          <w:szCs w:val="20"/>
          <w:lang w:val="es-MX" w:eastAsia="es-ES_tradnl"/>
        </w:rPr>
        <w:t>convenios de asociación</w:t>
      </w:r>
      <w:r w:rsidRPr="000B76C5">
        <w:rPr>
          <w:rFonts w:ascii="Century Gothic" w:eastAsia="Calibri" w:hAnsi="Century Gothic" w:cs="Arial"/>
          <w:color w:val="000000"/>
          <w:sz w:val="20"/>
          <w:szCs w:val="20"/>
          <w:lang w:val="es-MX" w:eastAsia="es-ES_tradnl"/>
        </w:rPr>
        <w:t xml:space="preserve">, regulados en el artículo 5, de los </w:t>
      </w:r>
      <w:r w:rsidRPr="000B76C5">
        <w:rPr>
          <w:rFonts w:ascii="Century Gothic" w:eastAsia="Calibri" w:hAnsi="Century Gothic" w:cs="Arial"/>
          <w:i/>
          <w:iCs/>
          <w:color w:val="000000"/>
          <w:sz w:val="20"/>
          <w:szCs w:val="20"/>
          <w:lang w:val="es-MX" w:eastAsia="es-ES_tradnl"/>
        </w:rPr>
        <w:t>contratos de colaboración</w:t>
      </w:r>
      <w:r w:rsidRPr="000B76C5">
        <w:rPr>
          <w:rFonts w:ascii="Century Gothic" w:eastAsia="Calibri" w:hAnsi="Century Gothic" w:cs="Arial"/>
          <w:color w:val="000000"/>
          <w:sz w:val="20"/>
          <w:szCs w:val="20"/>
          <w:lang w:val="es-MX" w:eastAsia="es-ES_tradnl"/>
        </w:rPr>
        <w:t>, establecidos en el artículo 2 del Decreto 092 de 2017</w:t>
      </w:r>
      <w:r w:rsidRPr="000B76C5">
        <w:rPr>
          <w:rFonts w:ascii="Century Gothic" w:eastAsia="Calibri" w:hAnsi="Century Gothic" w:cs="Arial"/>
          <w:color w:val="000000"/>
          <w:sz w:val="20"/>
          <w:szCs w:val="20"/>
          <w:vertAlign w:val="superscript"/>
          <w:lang w:val="es-MX" w:eastAsia="es-ES_tradnl"/>
        </w:rPr>
        <w:t>.</w:t>
      </w:r>
      <w:r w:rsidRPr="000B76C5">
        <w:rPr>
          <w:rFonts w:ascii="Century Gothic" w:eastAsia="Calibri" w:hAnsi="Century Gothic" w:cs="Arial"/>
          <w:color w:val="000000"/>
          <w:sz w:val="20"/>
          <w:szCs w:val="20"/>
          <w:lang w:val="es-MX" w:eastAsia="es-ES_tradnl"/>
        </w:rPr>
        <w:t xml:space="preserve"> </w:t>
      </w:r>
    </w:p>
    <w:p w14:paraId="25ABECE8" w14:textId="77777777" w:rsidR="000B76C5" w:rsidRPr="000B76C5" w:rsidRDefault="000B76C5" w:rsidP="000B76C5">
      <w:pPr>
        <w:spacing w:after="0" w:line="240" w:lineRule="auto"/>
        <w:jc w:val="both"/>
        <w:rPr>
          <w:rFonts w:ascii="Century Gothic" w:eastAsia="Calibri" w:hAnsi="Century Gothic" w:cs="Arial"/>
          <w:color w:val="000000" w:themeColor="text1"/>
          <w:sz w:val="20"/>
          <w:szCs w:val="20"/>
          <w:lang w:val="es-ES"/>
        </w:rPr>
      </w:pPr>
    </w:p>
    <w:p w14:paraId="4FAC4F8E" w14:textId="77777777" w:rsidR="000B76C5" w:rsidRPr="000B76C5" w:rsidRDefault="000B76C5" w:rsidP="000B76C5">
      <w:pPr>
        <w:spacing w:after="0" w:line="240" w:lineRule="auto"/>
        <w:jc w:val="both"/>
        <w:rPr>
          <w:rFonts w:ascii="Century Gothic" w:eastAsia="Calibri" w:hAnsi="Century Gothic" w:cs="Arial"/>
          <w:color w:val="000000" w:themeColor="text1"/>
          <w:sz w:val="20"/>
          <w:szCs w:val="20"/>
          <w:lang w:val="es-ES"/>
        </w:rPr>
      </w:pPr>
      <w:r w:rsidRPr="000B76C5">
        <w:rPr>
          <w:rFonts w:ascii="Century Gothic" w:eastAsia="Calibri" w:hAnsi="Century Gothic" w:cs="Arial"/>
          <w:color w:val="000000" w:themeColor="text1"/>
          <w:sz w:val="20"/>
          <w:szCs w:val="20"/>
          <w:lang w:val="es-ES"/>
        </w:rPr>
        <w:t xml:space="preserve">De un lado, los </w:t>
      </w:r>
      <w:r w:rsidRPr="000B76C5">
        <w:rPr>
          <w:rFonts w:ascii="Century Gothic" w:eastAsia="Calibri" w:hAnsi="Century Gothic" w:cs="Arial"/>
          <w:i/>
          <w:iCs/>
          <w:color w:val="000000" w:themeColor="text1"/>
          <w:sz w:val="20"/>
          <w:szCs w:val="20"/>
          <w:lang w:val="es-ES"/>
        </w:rPr>
        <w:t>contratos del artículo 355 de la Constitución Política</w:t>
      </w:r>
      <w:r w:rsidRPr="000B76C5">
        <w:rPr>
          <w:rFonts w:ascii="Century Gothic" w:eastAsia="Calibri" w:hAnsi="Century Gothic" w:cs="Arial"/>
          <w:color w:val="000000" w:themeColor="text1"/>
          <w:sz w:val="20"/>
          <w:szCs w:val="20"/>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w:t>
      </w:r>
    </w:p>
    <w:p w14:paraId="2074DB2C" w14:textId="77777777" w:rsidR="000B76C5" w:rsidRPr="000B76C5" w:rsidRDefault="000B76C5" w:rsidP="000B76C5">
      <w:pPr>
        <w:spacing w:after="0" w:line="240" w:lineRule="auto"/>
        <w:jc w:val="both"/>
        <w:rPr>
          <w:rFonts w:ascii="Century Gothic" w:eastAsia="Calibri" w:hAnsi="Century Gothic" w:cs="Arial"/>
          <w:color w:val="000000" w:themeColor="text1"/>
          <w:sz w:val="20"/>
          <w:szCs w:val="20"/>
          <w:lang w:val="es-ES"/>
        </w:rPr>
      </w:pPr>
    </w:p>
    <w:p w14:paraId="3E08DFA1" w14:textId="77777777" w:rsidR="000B76C5" w:rsidRPr="000B76C5" w:rsidRDefault="000B76C5" w:rsidP="000B76C5">
      <w:pPr>
        <w:spacing w:after="0" w:line="240" w:lineRule="auto"/>
        <w:jc w:val="both"/>
        <w:rPr>
          <w:rFonts w:ascii="Century Gothic" w:eastAsia="Calibri" w:hAnsi="Century Gothic" w:cs="Arial"/>
          <w:color w:val="000000" w:themeColor="text1"/>
          <w:sz w:val="20"/>
          <w:szCs w:val="20"/>
          <w:lang w:val="es-ES"/>
        </w:rPr>
      </w:pPr>
      <w:r w:rsidRPr="000B76C5">
        <w:rPr>
          <w:rFonts w:ascii="Century Gothic" w:eastAsia="Calibri" w:hAnsi="Century Gothic" w:cs="Arial"/>
          <w:color w:val="000000" w:themeColor="text1"/>
          <w:sz w:val="20"/>
          <w:szCs w:val="20"/>
          <w:lang w:val="es-ES"/>
        </w:rPr>
        <w:t xml:space="preserve">De otro lado, los </w:t>
      </w:r>
      <w:r w:rsidRPr="000B76C5">
        <w:rPr>
          <w:rFonts w:ascii="Century Gothic" w:eastAsia="Calibri" w:hAnsi="Century Gothic" w:cs="Arial"/>
          <w:i/>
          <w:iCs/>
          <w:color w:val="000000" w:themeColor="text1"/>
          <w:sz w:val="20"/>
          <w:szCs w:val="20"/>
          <w:lang w:val="es-ES"/>
        </w:rPr>
        <w:t>convenios de asociación</w:t>
      </w:r>
      <w:r w:rsidRPr="000B76C5">
        <w:rPr>
          <w:rFonts w:ascii="Century Gothic" w:eastAsia="Calibri" w:hAnsi="Century Gothic" w:cs="Arial"/>
          <w:color w:val="000000" w:themeColor="text1"/>
          <w:sz w:val="20"/>
          <w:szCs w:val="20"/>
          <w:lang w:val="es-ES"/>
        </w:rPr>
        <w:t xml:space="preserve"> “[…] [t]</w:t>
      </w:r>
      <w:proofErr w:type="spellStart"/>
      <w:r w:rsidRPr="000B76C5">
        <w:rPr>
          <w:rFonts w:ascii="Century Gothic" w:eastAsia="Calibri" w:hAnsi="Century Gothic" w:cs="Arial"/>
          <w:color w:val="000000" w:themeColor="text1"/>
          <w:sz w:val="20"/>
          <w:szCs w:val="20"/>
          <w:lang w:val="es-ES"/>
        </w:rPr>
        <w:t>ienen</w:t>
      </w:r>
      <w:proofErr w:type="spellEnd"/>
      <w:r w:rsidRPr="000B76C5">
        <w:rPr>
          <w:rFonts w:ascii="Century Gothic" w:eastAsia="Calibri" w:hAnsi="Century Gothic" w:cs="Arial"/>
          <w:color w:val="000000" w:themeColor="text1"/>
          <w:sz w:val="20"/>
          <w:szCs w:val="20"/>
          <w:lang w:val="es-E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0B76C5">
        <w:rPr>
          <w:rFonts w:ascii="Century Gothic" w:hAnsi="Century Gothic" w:cs="Arial"/>
          <w:color w:val="000000" w:themeColor="text1"/>
          <w:sz w:val="20"/>
          <w:szCs w:val="20"/>
          <w:vertAlign w:val="superscript"/>
          <w:lang w:val="es-ES"/>
        </w:rPr>
        <w:t>.</w:t>
      </w:r>
    </w:p>
    <w:p w14:paraId="7578099D" w14:textId="77777777" w:rsidR="000B76C5" w:rsidRPr="000B76C5" w:rsidRDefault="000B76C5" w:rsidP="000B76C5">
      <w:pPr>
        <w:spacing w:after="0" w:line="240" w:lineRule="auto"/>
        <w:jc w:val="both"/>
        <w:rPr>
          <w:rFonts w:ascii="Century Gothic" w:eastAsia="Times New Roman" w:hAnsi="Century Gothic" w:cs="Arial"/>
          <w:b/>
          <w:bCs/>
          <w:color w:val="000000" w:themeColor="text1"/>
          <w:sz w:val="20"/>
          <w:szCs w:val="20"/>
          <w:lang w:val="es-ES_tradnl" w:eastAsia="es-ES_tradnl"/>
        </w:rPr>
      </w:pPr>
    </w:p>
    <w:p w14:paraId="1915BBFB" w14:textId="77777777" w:rsidR="000B76C5" w:rsidRPr="000B76C5" w:rsidRDefault="000B76C5" w:rsidP="000B76C5">
      <w:pPr>
        <w:spacing w:after="0" w:line="240" w:lineRule="auto"/>
        <w:jc w:val="both"/>
        <w:rPr>
          <w:rFonts w:ascii="Century Gothic" w:eastAsia="Calibri" w:hAnsi="Century Gothic" w:cs="Arial"/>
          <w:b/>
          <w:bCs/>
          <w:color w:val="000000" w:themeColor="text1"/>
          <w:lang w:eastAsia="es-ES_tradnl"/>
        </w:rPr>
      </w:pPr>
      <w:r w:rsidRPr="000B76C5">
        <w:rPr>
          <w:rFonts w:ascii="Century Gothic" w:eastAsia="Times New Roman" w:hAnsi="Century Gothic" w:cs="Arial"/>
          <w:b/>
          <w:bCs/>
          <w:color w:val="000000" w:themeColor="text1"/>
          <w:lang w:val="es-ES_tradnl" w:eastAsia="es-ES_tradnl"/>
        </w:rPr>
        <w:t xml:space="preserve">CONVENIOS DE ASOCIACIÓN </w:t>
      </w:r>
      <w:r w:rsidRPr="000B76C5">
        <w:rPr>
          <w:rFonts w:ascii="Century Gothic" w:eastAsia="Calibri" w:hAnsi="Century Gothic" w:cs="Arial"/>
          <w:b/>
          <w:color w:val="000000" w:themeColor="text1"/>
          <w:lang w:val="es-ES_tradnl" w:eastAsia="es-ES_tradnl"/>
        </w:rPr>
        <w:t>–</w:t>
      </w:r>
      <w:r w:rsidRPr="000B76C5">
        <w:rPr>
          <w:rFonts w:ascii="Century Gothic" w:eastAsia="Times New Roman" w:hAnsi="Century Gothic" w:cs="Arial"/>
          <w:b/>
          <w:bCs/>
          <w:color w:val="000000" w:themeColor="text1"/>
          <w:lang w:val="es-ES_tradnl" w:eastAsia="es-ES_tradnl"/>
        </w:rPr>
        <w:t xml:space="preserve"> </w:t>
      </w:r>
      <w:r w:rsidRPr="000B76C5">
        <w:rPr>
          <w:rFonts w:ascii="Century Gothic" w:eastAsia="Calibri" w:hAnsi="Century Gothic" w:cs="Arial"/>
          <w:b/>
          <w:color w:val="000000" w:themeColor="text1"/>
          <w:lang w:val="es-ES_tradnl" w:eastAsia="es-ES_tradnl"/>
        </w:rPr>
        <w:t xml:space="preserve">Ley 489 – Artículo 96 – </w:t>
      </w:r>
      <w:r w:rsidRPr="000B76C5">
        <w:rPr>
          <w:rFonts w:ascii="Century Gothic" w:eastAsia="Calibri" w:hAnsi="Century Gothic" w:cs="Arial"/>
          <w:b/>
          <w:bCs/>
          <w:color w:val="000000" w:themeColor="text1"/>
          <w:lang w:eastAsia="es-ES_tradnl"/>
        </w:rPr>
        <w:t xml:space="preserve">Entidad Estatal </w:t>
      </w:r>
    </w:p>
    <w:p w14:paraId="71D94E0B" w14:textId="77777777" w:rsidR="000B76C5" w:rsidRPr="000B76C5" w:rsidRDefault="000B76C5" w:rsidP="000B76C5">
      <w:pPr>
        <w:spacing w:after="0" w:line="240" w:lineRule="auto"/>
        <w:jc w:val="both"/>
        <w:rPr>
          <w:rFonts w:ascii="Century Gothic" w:eastAsia="Calibri" w:hAnsi="Century Gothic" w:cs="Arial"/>
          <w:sz w:val="20"/>
          <w:szCs w:val="20"/>
          <w:lang w:val="es-MX"/>
        </w:rPr>
      </w:pPr>
    </w:p>
    <w:p w14:paraId="3893EF3D" w14:textId="77777777" w:rsidR="000B76C5" w:rsidRPr="000B76C5" w:rsidRDefault="000B76C5" w:rsidP="000B76C5">
      <w:pPr>
        <w:spacing w:after="0" w:line="240" w:lineRule="auto"/>
        <w:jc w:val="both"/>
        <w:rPr>
          <w:rFonts w:ascii="Century Gothic" w:eastAsia="Calibri" w:hAnsi="Century Gothic" w:cs="Arial"/>
          <w:b/>
          <w:bCs/>
          <w:color w:val="000000" w:themeColor="text1"/>
          <w:sz w:val="20"/>
          <w:szCs w:val="20"/>
          <w:lang w:val="es-MX" w:eastAsia="es-ES_tradnl"/>
        </w:rPr>
      </w:pPr>
      <w:r w:rsidRPr="000B76C5">
        <w:rPr>
          <w:rFonts w:ascii="Century Gothic" w:eastAsia="Calibri" w:hAnsi="Century Gothic" w:cs="Arial"/>
          <w:sz w:val="20"/>
          <w:szCs w:val="20"/>
          <w:lang w:val="es-MX"/>
        </w:rPr>
        <w:t xml:space="preserve">[…] de conformidad con el artículo 96 de la Ley 489 de 1996, los </w:t>
      </w:r>
      <w:r w:rsidRPr="000B76C5">
        <w:rPr>
          <w:rFonts w:ascii="Century Gothic" w:eastAsia="Calibri" w:hAnsi="Century Gothic" w:cs="Arial"/>
          <w:i/>
          <w:sz w:val="20"/>
          <w:szCs w:val="20"/>
          <w:lang w:val="es-MX"/>
        </w:rPr>
        <w:t>convenios de asociación</w:t>
      </w:r>
      <w:r w:rsidRPr="000B76C5">
        <w:rPr>
          <w:rFonts w:ascii="Century Gothic" w:eastAsia="Calibri" w:hAnsi="Century Gothic" w:cs="Arial"/>
          <w:sz w:val="20"/>
          <w:szCs w:val="20"/>
          <w:lang w:val="es-MX"/>
        </w:rPr>
        <w:t xml:space="preserve"> pueden ser celebrados por cualquier Entidad Estatal “cualquiera sea su naturaleza y orden </w:t>
      </w:r>
      <w:r w:rsidRPr="000B76C5">
        <w:rPr>
          <w:rFonts w:ascii="Century Gothic" w:eastAsia="Calibri" w:hAnsi="Century Gothic" w:cs="Arial"/>
          <w:sz w:val="20"/>
          <w:szCs w:val="20"/>
          <w:lang w:val="es-MX"/>
        </w:rPr>
        <w:lastRenderedPageBreak/>
        <w:t xml:space="preserve">administrativo”. </w:t>
      </w:r>
      <w:r w:rsidRPr="000B76C5">
        <w:rPr>
          <w:rFonts w:ascii="Century Gothic" w:eastAsia="Calibri" w:hAnsi="Century Gothic" w:cs="Arial"/>
          <w:color w:val="000000" w:themeColor="text1"/>
          <w:sz w:val="20"/>
          <w:szCs w:val="20"/>
          <w:lang w:val="es-ES"/>
        </w:rPr>
        <w:t>En este sentido, serán competentes para celebrar este tipo de convenios todas las entidades enlistadas en el artículo 2° del EGCAP.</w:t>
      </w:r>
      <w:r w:rsidRPr="000B76C5">
        <w:rPr>
          <w:rFonts w:ascii="Century Gothic" w:eastAsia="Calibri" w:hAnsi="Century Gothic" w:cs="Arial"/>
          <w:b/>
          <w:bCs/>
          <w:color w:val="000000" w:themeColor="text1"/>
          <w:sz w:val="20"/>
          <w:szCs w:val="20"/>
          <w:lang w:val="es-MX" w:eastAsia="es-ES_tradnl"/>
        </w:rPr>
        <w:t xml:space="preserve"> </w:t>
      </w:r>
    </w:p>
    <w:p w14:paraId="1E4DB8BA" w14:textId="77777777" w:rsidR="000B76C5" w:rsidRPr="000B76C5" w:rsidRDefault="000B76C5" w:rsidP="000B76C5">
      <w:pPr>
        <w:spacing w:after="0" w:line="240" w:lineRule="auto"/>
        <w:jc w:val="both"/>
        <w:rPr>
          <w:rFonts w:ascii="Century Gothic" w:eastAsia="Times New Roman" w:hAnsi="Century Gothic" w:cs="Arial"/>
          <w:b/>
          <w:bCs/>
          <w:color w:val="000000" w:themeColor="text1"/>
          <w:sz w:val="20"/>
          <w:szCs w:val="20"/>
          <w:lang w:val="es-MX" w:eastAsia="es-ES_tradnl"/>
        </w:rPr>
      </w:pPr>
    </w:p>
    <w:p w14:paraId="26B46893" w14:textId="77777777" w:rsidR="000B76C5" w:rsidRPr="000B76C5" w:rsidRDefault="000B76C5" w:rsidP="000B76C5">
      <w:pPr>
        <w:spacing w:after="0" w:line="240" w:lineRule="auto"/>
        <w:jc w:val="both"/>
        <w:rPr>
          <w:rFonts w:ascii="Century Gothic" w:eastAsia="Calibri" w:hAnsi="Century Gothic" w:cs="Arial"/>
          <w:b/>
          <w:bCs/>
          <w:color w:val="000000" w:themeColor="text1"/>
          <w:lang w:val="es-MX" w:eastAsia="es-ES_tradnl"/>
        </w:rPr>
      </w:pPr>
      <w:r w:rsidRPr="000B76C5">
        <w:rPr>
          <w:rFonts w:ascii="Century Gothic" w:eastAsia="Times New Roman" w:hAnsi="Century Gothic" w:cs="Arial"/>
          <w:b/>
          <w:bCs/>
          <w:color w:val="000000" w:themeColor="text1"/>
          <w:lang w:val="es-ES_tradnl" w:eastAsia="es-ES_tradnl"/>
        </w:rPr>
        <w:t xml:space="preserve">CONVENIOS DE ASOCIACIÓN </w:t>
      </w:r>
      <w:r w:rsidRPr="000B76C5">
        <w:rPr>
          <w:rFonts w:ascii="Century Gothic" w:eastAsia="Calibri" w:hAnsi="Century Gothic" w:cs="Arial"/>
          <w:b/>
          <w:color w:val="000000" w:themeColor="text1"/>
          <w:lang w:val="es-ES_tradnl" w:eastAsia="es-ES_tradnl"/>
        </w:rPr>
        <w:t>–</w:t>
      </w:r>
      <w:r w:rsidRPr="000B76C5">
        <w:rPr>
          <w:rFonts w:ascii="Century Gothic" w:eastAsia="Times New Roman" w:hAnsi="Century Gothic" w:cs="Arial"/>
          <w:b/>
          <w:bCs/>
          <w:color w:val="000000" w:themeColor="text1"/>
          <w:lang w:val="es-ES_tradnl" w:eastAsia="es-ES_tradnl"/>
        </w:rPr>
        <w:t xml:space="preserve"> </w:t>
      </w:r>
      <w:r w:rsidRPr="000B76C5">
        <w:rPr>
          <w:rFonts w:ascii="Century Gothic" w:eastAsia="Calibri" w:hAnsi="Century Gothic" w:cs="Arial"/>
          <w:b/>
          <w:color w:val="000000" w:themeColor="text1"/>
          <w:lang w:val="es-ES_tradnl" w:eastAsia="es-ES_tradnl"/>
        </w:rPr>
        <w:t xml:space="preserve">Ley 489 – Artículo 96 – </w:t>
      </w:r>
      <w:r w:rsidRPr="000B76C5">
        <w:rPr>
          <w:rFonts w:ascii="Century Gothic" w:eastAsia="Calibri" w:hAnsi="Century Gothic" w:cs="Arial"/>
          <w:b/>
          <w:bCs/>
          <w:color w:val="000000" w:themeColor="text1"/>
          <w:lang w:eastAsia="es-ES_tradnl"/>
        </w:rPr>
        <w:t xml:space="preserve">Concejos Municipales </w:t>
      </w:r>
      <w:r w:rsidRPr="000B76C5">
        <w:rPr>
          <w:rFonts w:ascii="Century Gothic" w:eastAsia="Calibri" w:hAnsi="Century Gothic" w:cs="Arial"/>
          <w:b/>
          <w:bCs/>
          <w:color w:val="000000" w:themeColor="text1"/>
          <w:lang w:val="es-MX" w:eastAsia="es-ES_tradnl"/>
        </w:rPr>
        <w:t xml:space="preserve">– Capacidad contractual </w:t>
      </w:r>
    </w:p>
    <w:p w14:paraId="721CA14C" w14:textId="77777777" w:rsidR="000B76C5" w:rsidRPr="000B76C5" w:rsidRDefault="000B76C5" w:rsidP="000B76C5">
      <w:pPr>
        <w:spacing w:after="0" w:line="240" w:lineRule="auto"/>
        <w:jc w:val="both"/>
        <w:rPr>
          <w:rFonts w:ascii="Century Gothic" w:eastAsia="Calibri" w:hAnsi="Century Gothic" w:cs="Arial"/>
          <w:b/>
          <w:bCs/>
          <w:color w:val="000000" w:themeColor="text1"/>
          <w:sz w:val="20"/>
          <w:szCs w:val="20"/>
          <w:lang w:eastAsia="es-ES_tradnl"/>
        </w:rPr>
      </w:pPr>
    </w:p>
    <w:p w14:paraId="4F64CEE7" w14:textId="77777777" w:rsidR="000B76C5" w:rsidRPr="000B76C5" w:rsidRDefault="000B76C5" w:rsidP="000B76C5">
      <w:pPr>
        <w:spacing w:after="0" w:line="240" w:lineRule="auto"/>
        <w:jc w:val="both"/>
        <w:rPr>
          <w:rFonts w:ascii="Century Gothic" w:eastAsia="Calibri" w:hAnsi="Century Gothic" w:cs="Arial"/>
          <w:sz w:val="20"/>
          <w:szCs w:val="20"/>
          <w:lang w:val="es-ES" w:eastAsia="es-ES_tradnl"/>
        </w:rPr>
      </w:pPr>
      <w:r w:rsidRPr="000B76C5">
        <w:rPr>
          <w:rFonts w:ascii="Century Gothic" w:eastAsia="Calibri" w:hAnsi="Century Gothic" w:cs="Arial"/>
          <w:sz w:val="20"/>
          <w:szCs w:val="20"/>
          <w:lang w:val="es-ES" w:eastAsia="es-ES_tradnl"/>
        </w:rPr>
        <w:t xml:space="preserve">Del artículo 110 del Estatuto Orgánico del Presupuesto – en adelante EOP – se desprende que los concejos tienen facultad para suscribir contratos de manera independiente y, más relevante para efectos de resolver la consulta, son Entidades Estatales para el EGCAP, pues son organismos a los que la ley otorga capacidad para celebrar contratos conforme al artículo 2 de la Ley 80 de 1993. Por tanto, de su calidad de Entidades Estatales para los efectos del EGCAP, los concejos tienen los mismos derechos y obligaciones que el referido estatuto y sus normas reglamentarias establecen para las Entidades Estatales en general. En consecuencia, es posible concluir que tienen la capacidad de suscribir convenios de asociación. </w:t>
      </w:r>
    </w:p>
    <w:p w14:paraId="69625C24" w14:textId="77777777" w:rsidR="000B76C5" w:rsidRPr="000B76C5" w:rsidRDefault="000B76C5" w:rsidP="000B76C5">
      <w:pPr>
        <w:spacing w:after="0" w:line="240" w:lineRule="auto"/>
        <w:jc w:val="both"/>
        <w:rPr>
          <w:rFonts w:ascii="Century Gothic" w:eastAsia="Times New Roman" w:hAnsi="Century Gothic" w:cs="Arial"/>
          <w:b/>
          <w:bCs/>
          <w:color w:val="000000" w:themeColor="text1"/>
          <w:sz w:val="20"/>
          <w:szCs w:val="20"/>
          <w:lang w:val="es-ES" w:eastAsia="es-ES_tradnl"/>
        </w:rPr>
      </w:pPr>
    </w:p>
    <w:p w14:paraId="7D75C450" w14:textId="77777777" w:rsidR="000B76C5" w:rsidRPr="000B76C5" w:rsidRDefault="000B76C5" w:rsidP="000B76C5">
      <w:pPr>
        <w:spacing w:after="0" w:line="240" w:lineRule="auto"/>
        <w:jc w:val="both"/>
        <w:rPr>
          <w:rFonts w:ascii="Century Gothic" w:eastAsia="Calibri" w:hAnsi="Century Gothic" w:cs="Arial"/>
          <w:b/>
          <w:lang w:eastAsia="es-ES_tradnl"/>
        </w:rPr>
      </w:pPr>
      <w:r w:rsidRPr="000B76C5">
        <w:rPr>
          <w:rFonts w:ascii="Century Gothic" w:eastAsia="Calibri" w:hAnsi="Century Gothic" w:cs="Arial"/>
          <w:b/>
          <w:lang w:eastAsia="es-ES_tradnl"/>
        </w:rPr>
        <w:t>CONVENIOS DE ASOCIACIÓN – Aporte económico de la ESAL – Mecanismo de recaudo</w:t>
      </w:r>
    </w:p>
    <w:p w14:paraId="29F93F34" w14:textId="77777777" w:rsidR="000B76C5" w:rsidRPr="000B76C5" w:rsidRDefault="000B76C5" w:rsidP="000B76C5">
      <w:pPr>
        <w:spacing w:after="0" w:line="240" w:lineRule="auto"/>
        <w:jc w:val="both"/>
        <w:rPr>
          <w:rFonts w:ascii="Century Gothic" w:eastAsia="Calibri" w:hAnsi="Century Gothic" w:cs="Arial"/>
          <w:b/>
          <w:sz w:val="20"/>
          <w:szCs w:val="20"/>
          <w:lang w:eastAsia="es-ES_tradnl"/>
        </w:rPr>
      </w:pPr>
    </w:p>
    <w:p w14:paraId="59FA7765" w14:textId="77777777" w:rsidR="000B76C5" w:rsidRPr="000B76C5" w:rsidRDefault="000B76C5" w:rsidP="000B76C5">
      <w:pPr>
        <w:spacing w:after="0" w:line="240" w:lineRule="auto"/>
        <w:jc w:val="both"/>
        <w:textAlignment w:val="baseline"/>
        <w:rPr>
          <w:rFonts w:ascii="Century Gothic" w:eastAsia="Calibri" w:hAnsi="Century Gothic" w:cs="Arial"/>
          <w:sz w:val="20"/>
          <w:szCs w:val="20"/>
          <w:lang w:val="es-ES_tradnl" w:eastAsia="es-ES_tradnl"/>
        </w:rPr>
      </w:pPr>
      <w:r w:rsidRPr="000B76C5">
        <w:rPr>
          <w:rFonts w:ascii="Century Gothic" w:eastAsia="Calibri" w:hAnsi="Century Gothic" w:cs="Arial"/>
          <w:sz w:val="20"/>
          <w:szCs w:val="20"/>
          <w:lang w:val="es-ES_tradnl" w:eastAsia="es-ES_tradnl"/>
        </w:rPr>
        <w:t>[…] la Agencia Nacional de Contratación Pública – Colombia Compra Eficiente en la “Guía para la contratación con entidades privadas sin ánimo de lucro y de reconocida idoneidad”, señaló que: “[…] la exigencia de recursos en dinero se puede cumplir con instrumentos financieros, jurídicos y contables que sean transables y que tengan liquidez suficiente para ser equivalentes al dinero”. Sin embargo, debe insistirse en que la entidad será autónoma en definir el mecanismo que le parezca más conveniente para el recaudo de los recursos económicos. Además, dichos recursos deberán comprometerse en actividades orientadas a la ejecución de los objetivos comunes de la asociación con la respectiva Entidad Pública, de acuerdo con lo prescrito en el artículo 96 de la Ley 489 de 1998.</w:t>
      </w:r>
    </w:p>
    <w:p w14:paraId="78C33ECC" w14:textId="77777777" w:rsidR="000B76C5" w:rsidRPr="000B76C5" w:rsidRDefault="000B76C5" w:rsidP="000B76C5">
      <w:pPr>
        <w:spacing w:after="0" w:line="240" w:lineRule="auto"/>
        <w:jc w:val="both"/>
        <w:rPr>
          <w:rFonts w:ascii="Century Gothic" w:eastAsia="Times New Roman" w:hAnsi="Century Gothic" w:cs="Arial"/>
          <w:b/>
          <w:bCs/>
          <w:color w:val="000000" w:themeColor="text1"/>
          <w:sz w:val="20"/>
          <w:szCs w:val="20"/>
          <w:lang w:val="es-ES_tradnl" w:eastAsia="es-ES_tradnl"/>
        </w:rPr>
      </w:pPr>
    </w:p>
    <w:p w14:paraId="754D0188" w14:textId="77777777" w:rsidR="000B76C5" w:rsidRPr="000B76C5" w:rsidRDefault="000B76C5" w:rsidP="000B76C5">
      <w:pPr>
        <w:spacing w:after="0" w:line="240" w:lineRule="auto"/>
        <w:jc w:val="both"/>
        <w:rPr>
          <w:rFonts w:ascii="Century Gothic" w:eastAsia="Times New Roman" w:hAnsi="Century Gothic" w:cs="Arial"/>
          <w:b/>
          <w:bCs/>
          <w:color w:val="000000" w:themeColor="text1"/>
          <w:lang w:val="es-ES_tradnl" w:eastAsia="es-ES_tradnl"/>
        </w:rPr>
      </w:pPr>
      <w:r w:rsidRPr="000B76C5">
        <w:rPr>
          <w:rFonts w:ascii="Century Gothic" w:eastAsia="Times New Roman" w:hAnsi="Century Gothic" w:cs="Arial"/>
          <w:b/>
          <w:bCs/>
          <w:color w:val="000000" w:themeColor="text1"/>
          <w:lang w:val="es-ES_tradnl" w:eastAsia="es-ES_tradnl"/>
        </w:rPr>
        <w:t xml:space="preserve">CONVENIOS </w:t>
      </w:r>
      <w:r w:rsidRPr="000B76C5">
        <w:rPr>
          <w:rFonts w:ascii="Century Gothic" w:eastAsia="Calibri" w:hAnsi="Century Gothic" w:cs="Arial"/>
          <w:b/>
          <w:lang w:eastAsia="es-ES_tradnl"/>
        </w:rPr>
        <w:t xml:space="preserve">DE ASOCIACIÓN </w:t>
      </w:r>
      <w:r w:rsidRPr="000B76C5">
        <w:rPr>
          <w:rFonts w:ascii="Century Gothic" w:eastAsia="Calibri" w:hAnsi="Century Gothic" w:cs="Arial"/>
          <w:b/>
          <w:color w:val="000000" w:themeColor="text1"/>
          <w:lang w:val="es-ES_tradnl" w:eastAsia="es-ES_tradnl"/>
        </w:rPr>
        <w:t>– ESAL – Régimen – Remisión – Artículo 8 – Decreto 092 de 2027</w:t>
      </w:r>
    </w:p>
    <w:p w14:paraId="2640AE20" w14:textId="77777777" w:rsidR="000B76C5" w:rsidRPr="000B76C5" w:rsidRDefault="000B76C5" w:rsidP="000B76C5">
      <w:pPr>
        <w:spacing w:after="0" w:line="240" w:lineRule="auto"/>
        <w:jc w:val="both"/>
        <w:rPr>
          <w:rFonts w:ascii="Century Gothic" w:eastAsia="Times New Roman" w:hAnsi="Century Gothic" w:cs="Arial"/>
          <w:noProof/>
          <w:color w:val="000000" w:themeColor="text1"/>
          <w:sz w:val="20"/>
          <w:szCs w:val="20"/>
          <w:lang w:val="es-ES_tradnl" w:eastAsia="es-ES_tradnl"/>
        </w:rPr>
      </w:pPr>
    </w:p>
    <w:p w14:paraId="1A64D4DF" w14:textId="77777777" w:rsidR="000B76C5" w:rsidRPr="000B76C5" w:rsidRDefault="000B76C5" w:rsidP="000B76C5">
      <w:pPr>
        <w:spacing w:after="0" w:line="240" w:lineRule="auto"/>
        <w:jc w:val="both"/>
        <w:rPr>
          <w:rFonts w:ascii="Century Gothic" w:eastAsia="Calibri" w:hAnsi="Century Gothic" w:cs="Arial"/>
          <w:color w:val="000000" w:themeColor="text1"/>
          <w:sz w:val="20"/>
          <w:szCs w:val="20"/>
          <w:lang w:val="es-ES"/>
        </w:rPr>
      </w:pPr>
      <w:r w:rsidRPr="000B76C5">
        <w:rPr>
          <w:rFonts w:ascii="Century Gothic" w:eastAsia="Calibri" w:hAnsi="Century Gothic" w:cs="Arial"/>
          <w:color w:val="000000" w:themeColor="text1"/>
          <w:sz w:val="20"/>
          <w:szCs w:val="20"/>
          <w:lang w:val="es-ES"/>
        </w:rPr>
        <w:t xml:space="preserve">Como se indicó, los convenios que permite celebrar el artículo 355 de la Constitución Política </w:t>
      </w:r>
      <w:r w:rsidRPr="000B76C5">
        <w:rPr>
          <w:rFonts w:ascii="Century Gothic" w:eastAsia="Calibri" w:hAnsi="Century Gothic" w:cs="Arial"/>
          <w:i/>
          <w:iCs/>
          <w:color w:val="000000" w:themeColor="text1"/>
          <w:sz w:val="20"/>
          <w:szCs w:val="20"/>
          <w:lang w:val="es-ES"/>
        </w:rPr>
        <w:t>en principio</w:t>
      </w:r>
      <w:r w:rsidRPr="000B76C5">
        <w:rPr>
          <w:rFonts w:ascii="Century Gothic" w:eastAsia="Calibri" w:hAnsi="Century Gothic" w:cs="Arial"/>
          <w:color w:val="000000" w:themeColor="text1"/>
          <w:sz w:val="20"/>
          <w:szCs w:val="20"/>
          <w:lang w:val="es-ES"/>
        </w:rPr>
        <w:t xml:space="preserve"> cuentan con un régimen especial en el Decreto 092 de 2017 y en el artículo 96 de la Ley 489 de 1998. Sin embargo, el artículo 8 de dicho Decreto establece que en lo no reglamentado en él deben observarse “las normas generales aplicables a la contratación pública”. En tal sentido, frente al aspecto por el cual se formula la consulta – esto es el límite a la adición de los convenios – habría que preguntarse si cuenta con una regulación especial en el Decreto 092 de 2017. Si la respuesta fuera afirmativa, tendría que aplicarse tal regulación. Pero, de ser negativa, habría que aplicar también el EGCAP, así como sus normas complementarias y reglamentarias, pues, precisamente, dichos preceptos son las “normas generales aplicables a la contratación pública” a las que alude el artículo 8 del Decreto 092 de 2017. En otras palabras, el EGCAP y sus normas complementarias y reglamentarias llenan los vacíos que se presentan en el Decreto 092 de 2017 frente a la regulación de los asuntos asociados a la celebración, ejecución y liquidación de los convenios que encuentran fundamento en el artículo 355 de la </w:t>
      </w:r>
      <w:r w:rsidRPr="000B76C5">
        <w:rPr>
          <w:rFonts w:ascii="Century Gothic" w:eastAsia="Calibri" w:hAnsi="Century Gothic" w:cs="Arial"/>
          <w:color w:val="000000" w:themeColor="text1"/>
          <w:sz w:val="20"/>
          <w:szCs w:val="20"/>
          <w:lang w:val="es-ES"/>
        </w:rPr>
        <w:lastRenderedPageBreak/>
        <w:t>Constitución, incluidos en esta categoría los convenios de asociación previstos en el artículo 96 de la Ley 489 de 1998.</w:t>
      </w:r>
    </w:p>
    <w:p w14:paraId="29474149" w14:textId="77777777" w:rsidR="000B76C5" w:rsidRPr="000B76C5" w:rsidRDefault="000B76C5" w:rsidP="000B76C5">
      <w:pPr>
        <w:spacing w:after="0" w:line="240" w:lineRule="auto"/>
        <w:jc w:val="both"/>
        <w:rPr>
          <w:rFonts w:ascii="Century Gothic" w:eastAsia="Times New Roman" w:hAnsi="Century Gothic" w:cs="Arial"/>
          <w:b/>
          <w:bCs/>
          <w:color w:val="000000" w:themeColor="text1"/>
          <w:sz w:val="20"/>
          <w:szCs w:val="20"/>
          <w:lang w:val="es-ES_tradnl" w:eastAsia="es-ES_tradnl"/>
        </w:rPr>
      </w:pPr>
    </w:p>
    <w:p w14:paraId="2DA051EE" w14:textId="77777777" w:rsidR="000B76C5" w:rsidRPr="000B76C5" w:rsidRDefault="000B76C5" w:rsidP="000B76C5">
      <w:pPr>
        <w:spacing w:after="0" w:line="240" w:lineRule="auto"/>
        <w:jc w:val="both"/>
        <w:rPr>
          <w:rFonts w:ascii="Century Gothic" w:eastAsia="Times New Roman" w:hAnsi="Century Gothic" w:cs="Arial"/>
          <w:b/>
          <w:bCs/>
          <w:color w:val="000000" w:themeColor="text1"/>
          <w:lang w:val="es-ES_tradnl" w:eastAsia="es-ES_tradnl"/>
        </w:rPr>
      </w:pPr>
      <w:r w:rsidRPr="000B76C5">
        <w:rPr>
          <w:rFonts w:ascii="Century Gothic" w:eastAsia="Times New Roman" w:hAnsi="Century Gothic" w:cs="Arial"/>
          <w:b/>
          <w:bCs/>
          <w:color w:val="000000" w:themeColor="text1"/>
          <w:lang w:val="es-ES_tradnl" w:eastAsia="es-ES_tradnl"/>
        </w:rPr>
        <w:t xml:space="preserve">CONVENIOS </w:t>
      </w:r>
      <w:r w:rsidRPr="000B76C5">
        <w:rPr>
          <w:rFonts w:ascii="Century Gothic" w:eastAsia="Calibri" w:hAnsi="Century Gothic" w:cs="Arial"/>
          <w:b/>
          <w:lang w:eastAsia="es-ES_tradnl"/>
        </w:rPr>
        <w:t xml:space="preserve">DE ASOCIACIÓN </w:t>
      </w:r>
      <w:r w:rsidRPr="000B76C5">
        <w:rPr>
          <w:rFonts w:ascii="Century Gothic" w:eastAsia="Calibri" w:hAnsi="Century Gothic" w:cs="Arial"/>
          <w:b/>
          <w:color w:val="000000" w:themeColor="text1"/>
          <w:lang w:val="es-ES_tradnl" w:eastAsia="es-ES_tradnl"/>
        </w:rPr>
        <w:t>– ESAL – Régimen – Remisión – Artículo 8 – Decreto 092 de 2027 – Adición</w:t>
      </w:r>
    </w:p>
    <w:p w14:paraId="7A73EB14" w14:textId="77777777" w:rsidR="000B76C5" w:rsidRPr="000B76C5" w:rsidRDefault="000B76C5" w:rsidP="000B76C5">
      <w:pPr>
        <w:spacing w:after="0" w:line="240" w:lineRule="auto"/>
        <w:jc w:val="both"/>
        <w:rPr>
          <w:rFonts w:ascii="Century Gothic" w:eastAsia="Times New Roman" w:hAnsi="Century Gothic" w:cs="Arial"/>
          <w:noProof/>
          <w:color w:val="000000" w:themeColor="text1"/>
          <w:sz w:val="20"/>
          <w:szCs w:val="20"/>
          <w:lang w:val="es-ES_tradnl" w:eastAsia="es-ES_tradnl"/>
        </w:rPr>
      </w:pPr>
    </w:p>
    <w:p w14:paraId="4C0E5361" w14:textId="77777777" w:rsidR="000B76C5" w:rsidRPr="000B76C5" w:rsidRDefault="000B76C5" w:rsidP="000B76C5">
      <w:pPr>
        <w:spacing w:after="0" w:line="240" w:lineRule="auto"/>
        <w:jc w:val="both"/>
        <w:rPr>
          <w:rFonts w:ascii="Century Gothic" w:eastAsia="Calibri" w:hAnsi="Century Gothic" w:cs="Arial"/>
          <w:color w:val="000000" w:themeColor="text1"/>
          <w:sz w:val="20"/>
          <w:szCs w:val="20"/>
          <w:lang w:val="es-ES"/>
        </w:rPr>
      </w:pPr>
      <w:r w:rsidRPr="000B76C5">
        <w:rPr>
          <w:rFonts w:ascii="Century Gothic" w:eastAsia="Calibri" w:hAnsi="Century Gothic" w:cs="Arial"/>
          <w:color w:val="000000" w:themeColor="text1"/>
          <w:sz w:val="20"/>
          <w:szCs w:val="20"/>
          <w:lang w:val="es-ES"/>
        </w:rPr>
        <w:t xml:space="preserve">Pues bien, el peticionario indaga si en los convenios consagrados en el artículo 355 de la Constitución y en el artículo 96 </w:t>
      </w:r>
      <w:r w:rsidRPr="000B76C5">
        <w:rPr>
          <w:rFonts w:ascii="Century Gothic" w:eastAsia="Calibri" w:hAnsi="Century Gothic" w:cs="Arial"/>
          <w:i/>
          <w:iCs/>
          <w:color w:val="000000" w:themeColor="text1"/>
          <w:sz w:val="20"/>
          <w:szCs w:val="20"/>
          <w:lang w:val="es-ES"/>
        </w:rPr>
        <w:t>ibidem</w:t>
      </w:r>
      <w:r w:rsidRPr="000B76C5">
        <w:rPr>
          <w:rFonts w:ascii="Century Gothic" w:eastAsia="Calibri" w:hAnsi="Century Gothic" w:cs="Arial"/>
          <w:color w:val="000000" w:themeColor="text1"/>
          <w:sz w:val="20"/>
          <w:szCs w:val="20"/>
          <w:lang w:val="es-ES"/>
        </w:rPr>
        <w:t xml:space="preserve"> rige la Ley 80 de 1993 pueden adicionarse en más del cincuenta por ciento (50%) de su valor. Siguiendo la metodología explicada, hay que señalar que esta materia – la adición – </w:t>
      </w:r>
      <w:r w:rsidRPr="000B76C5">
        <w:rPr>
          <w:rFonts w:ascii="Century Gothic" w:eastAsia="Calibri" w:hAnsi="Century Gothic" w:cs="Arial"/>
          <w:i/>
          <w:iCs/>
          <w:color w:val="000000" w:themeColor="text1"/>
          <w:sz w:val="20"/>
          <w:szCs w:val="20"/>
          <w:lang w:val="es-ES"/>
        </w:rPr>
        <w:t>no está regulada expresamente en el Decreto 092 de 2017</w:t>
      </w:r>
      <w:r w:rsidRPr="000B76C5">
        <w:rPr>
          <w:rFonts w:ascii="Century Gothic" w:eastAsia="Calibri" w:hAnsi="Century Gothic" w:cs="Arial"/>
          <w:color w:val="000000" w:themeColor="text1"/>
          <w:sz w:val="20"/>
          <w:szCs w:val="20"/>
          <w:lang w:val="es-ES"/>
        </w:rPr>
        <w:t xml:space="preserve">. Este reglamento, además, como se indicó, es el que desarrolla el artículo 96 de la Ley 489 de 1998, la cual tampoco establece normas sobre dicho tema. En consecuencia, el vacío que se presenta frente a este asunto debe llenarse con la remisión que efectúa el artículo 8 del Decreto 092 de 2017. </w:t>
      </w:r>
    </w:p>
    <w:p w14:paraId="5CA1867B" w14:textId="77777777" w:rsidR="000B76C5" w:rsidRPr="000B76C5" w:rsidRDefault="000B76C5" w:rsidP="000B76C5">
      <w:pPr>
        <w:spacing w:after="0" w:line="240" w:lineRule="auto"/>
        <w:jc w:val="both"/>
        <w:rPr>
          <w:rFonts w:ascii="Century Gothic" w:eastAsia="Calibri" w:hAnsi="Century Gothic" w:cs="Arial"/>
          <w:color w:val="000000" w:themeColor="text1"/>
          <w:sz w:val="20"/>
          <w:szCs w:val="20"/>
          <w:lang w:val="es-ES"/>
        </w:rPr>
      </w:pPr>
    </w:p>
    <w:p w14:paraId="3BB0F925" w14:textId="77777777" w:rsidR="000B76C5" w:rsidRPr="000B76C5" w:rsidRDefault="000B76C5" w:rsidP="000B76C5">
      <w:pPr>
        <w:spacing w:after="0" w:line="240" w:lineRule="auto"/>
        <w:jc w:val="both"/>
        <w:rPr>
          <w:rFonts w:ascii="Century Gothic" w:eastAsia="Calibri" w:hAnsi="Century Gothic" w:cs="Arial"/>
          <w:color w:val="000000" w:themeColor="text1"/>
          <w:sz w:val="20"/>
          <w:szCs w:val="20"/>
          <w:lang w:val="es-ES" w:eastAsia="es-ES_tradnl"/>
        </w:rPr>
      </w:pPr>
      <w:r w:rsidRPr="000B76C5">
        <w:rPr>
          <w:rFonts w:ascii="Century Gothic" w:eastAsia="Calibri" w:hAnsi="Century Gothic" w:cs="Arial"/>
          <w:color w:val="000000" w:themeColor="text1"/>
          <w:sz w:val="20"/>
          <w:szCs w:val="20"/>
          <w:lang w:val="es-ES"/>
        </w:rPr>
        <w:t xml:space="preserve">Al respecto, el parágrafo del artículo 40 de la Ley 80 de 1993 establece un límite para las adiciones a los contratos estatales. En efecto, señala que “Los contratos no podrán adicionarse en más del cincuenta por ciento (50%) de su valor inicial, expresado éste en salarios mínimos legales mensuales”. El Decreto 092 de 2017 no prevé algo al respecto. Pero, como se ha explicado, su artículo 8 dispone que deben aplicarse las normas generales de la contratación pública en aquello que no esté reglamentado en dicho Decreto. Dentro de estas normas está, precisamente, el parágrafo del artículo 40 de la Ley 80 de 1993. Esta disposición no efectúa distinción alguna frente a los tipos de </w:t>
      </w:r>
      <w:r w:rsidRPr="000B76C5">
        <w:rPr>
          <w:rFonts w:ascii="Century Gothic" w:eastAsia="Calibri" w:hAnsi="Century Gothic" w:cs="Arial"/>
          <w:i/>
          <w:iCs/>
          <w:color w:val="000000" w:themeColor="text1"/>
          <w:sz w:val="20"/>
          <w:szCs w:val="20"/>
          <w:lang w:val="es-ES"/>
        </w:rPr>
        <w:t>contratos</w:t>
      </w:r>
      <w:r w:rsidRPr="000B76C5">
        <w:rPr>
          <w:rFonts w:ascii="Century Gothic" w:eastAsia="Calibri" w:hAnsi="Century Gothic" w:cs="Arial"/>
          <w:color w:val="000000" w:themeColor="text1"/>
          <w:sz w:val="20"/>
          <w:szCs w:val="20"/>
          <w:lang w:val="es-ES"/>
        </w:rPr>
        <w:t xml:space="preserve"> en los que aplica el límite de las adiciones. Simplemente, dice que “Los contratos no podrán adicionarse” superando el tope allí previsto. Los convenios regulados en el Decreto 092 de 2017 y en el artículo 96 de la Ley 489 de 1998 son </w:t>
      </w:r>
      <w:r w:rsidRPr="000B76C5">
        <w:rPr>
          <w:rFonts w:ascii="Century Gothic" w:eastAsia="Calibri" w:hAnsi="Century Gothic" w:cs="Arial"/>
          <w:i/>
          <w:iCs/>
          <w:color w:val="000000" w:themeColor="text1"/>
          <w:sz w:val="20"/>
          <w:szCs w:val="20"/>
          <w:lang w:val="es-ES"/>
        </w:rPr>
        <w:t>contratos</w:t>
      </w:r>
      <w:r w:rsidRPr="000B76C5">
        <w:rPr>
          <w:rFonts w:ascii="Century Gothic" w:eastAsia="Calibri" w:hAnsi="Century Gothic" w:cs="Arial"/>
          <w:color w:val="000000" w:themeColor="text1"/>
          <w:sz w:val="20"/>
          <w:szCs w:val="20"/>
          <w:lang w:val="es-ES"/>
        </w:rPr>
        <w:t xml:space="preserve">. </w:t>
      </w:r>
    </w:p>
    <w:p w14:paraId="0F52DFD4" w14:textId="77777777" w:rsidR="000B76C5" w:rsidRPr="000B76C5" w:rsidRDefault="000B76C5" w:rsidP="000B76C5">
      <w:pPr>
        <w:spacing w:after="0" w:line="240" w:lineRule="auto"/>
        <w:jc w:val="both"/>
        <w:rPr>
          <w:rFonts w:ascii="Times New Roman" w:eastAsia="Times New Roman" w:hAnsi="Times New Roman" w:cs="Times New Roman"/>
          <w:sz w:val="20"/>
          <w:szCs w:val="20"/>
          <w:lang w:val="es-ES" w:eastAsia="es-ES_tradnl"/>
        </w:rPr>
      </w:pPr>
    </w:p>
    <w:p w14:paraId="79618441" w14:textId="77777777" w:rsidR="000B76C5" w:rsidRPr="000B76C5" w:rsidRDefault="000B76C5" w:rsidP="000B76C5">
      <w:pPr>
        <w:spacing w:after="0" w:line="240" w:lineRule="auto"/>
        <w:jc w:val="both"/>
        <w:rPr>
          <w:rFonts w:ascii="Century Gothic" w:eastAsia="Times New Roman" w:hAnsi="Century Gothic" w:cs="Arial"/>
          <w:shd w:val="clear" w:color="auto" w:fill="FFFFFF"/>
          <w:lang w:eastAsia="es-ES_tradnl"/>
        </w:rPr>
      </w:pPr>
      <w:r w:rsidRPr="000B76C5">
        <w:rPr>
          <w:rFonts w:ascii="Century Gothic" w:eastAsia="Times New Roman" w:hAnsi="Century Gothic" w:cs="Arial"/>
          <w:b/>
          <w:bCs/>
          <w:color w:val="000000" w:themeColor="text1"/>
          <w:lang w:val="es-ES_tradnl" w:eastAsia="es-ES_tradnl"/>
        </w:rPr>
        <w:t xml:space="preserve">CONVENIOS </w:t>
      </w:r>
      <w:r w:rsidRPr="000B76C5">
        <w:rPr>
          <w:rFonts w:ascii="Century Gothic" w:eastAsia="Calibri" w:hAnsi="Century Gothic" w:cs="Arial"/>
          <w:b/>
          <w:lang w:eastAsia="es-ES_tradnl"/>
        </w:rPr>
        <w:t xml:space="preserve">DE ASOCIACIÓN </w:t>
      </w:r>
      <w:r w:rsidRPr="000B76C5">
        <w:rPr>
          <w:rFonts w:ascii="Century Gothic" w:eastAsia="Calibri" w:hAnsi="Century Gothic" w:cs="Arial"/>
          <w:b/>
          <w:color w:val="000000" w:themeColor="text1"/>
          <w:lang w:val="es-ES_tradnl" w:eastAsia="es-ES_tradnl"/>
        </w:rPr>
        <w:t>– ESAL – Adición – Aportes – Treinta por ciento</w:t>
      </w:r>
    </w:p>
    <w:p w14:paraId="2D1BB351" w14:textId="77777777" w:rsidR="000B76C5" w:rsidRPr="000B76C5" w:rsidRDefault="000B76C5" w:rsidP="000B76C5">
      <w:pPr>
        <w:spacing w:after="0" w:line="240" w:lineRule="auto"/>
        <w:jc w:val="both"/>
        <w:rPr>
          <w:rFonts w:ascii="Century Gothic" w:eastAsia="Times New Roman" w:hAnsi="Century Gothic" w:cs="Arial"/>
          <w:sz w:val="20"/>
          <w:szCs w:val="20"/>
          <w:shd w:val="clear" w:color="auto" w:fill="FFFFFF"/>
          <w:lang w:eastAsia="es-ES_tradnl"/>
        </w:rPr>
      </w:pPr>
    </w:p>
    <w:p w14:paraId="593E0693" w14:textId="1ABAEE17" w:rsidR="000B76C5" w:rsidRDefault="000B76C5" w:rsidP="000B76C5">
      <w:pPr>
        <w:jc w:val="both"/>
        <w:rPr>
          <w:rFonts w:ascii="Century Gothic" w:hAnsi="Century Gothic"/>
        </w:rPr>
      </w:pPr>
      <w:r w:rsidRPr="000B76C5">
        <w:rPr>
          <w:rFonts w:ascii="Century Gothic" w:eastAsia="Times New Roman" w:hAnsi="Century Gothic" w:cs="Arial"/>
          <w:sz w:val="20"/>
          <w:szCs w:val="20"/>
          <w:shd w:val="clear" w:color="auto" w:fill="FFFFFF"/>
          <w:lang w:eastAsia="es-ES_tradnl"/>
        </w:rPr>
        <w:t xml:space="preserve">Si bien, en el marco de los convenios de asociación las partes, en virtud del principio de autonomía, pueden acordar una adición al contrato – siempre y cuando se respete el límite establecido, lo cierto es que esa modificación debe sujetarse a las reglas establecidas en el Decreto 092 del 2017. En ese sentido, si el Decreto establece que la celebración de los convenios de asociación se podrá realizar de forma directa siempre y cuando una ESAL se comprometa a aportar no menos de treinta por ciento (30%) del valor total del convenio, este valor incluye el valor adicionado. </w:t>
      </w:r>
      <w:r w:rsidRPr="000B76C5">
        <w:rPr>
          <w:rFonts w:ascii="Century Gothic" w:eastAsia="Calibri" w:hAnsi="Century Gothic" w:cs="Arial"/>
          <w:sz w:val="20"/>
          <w:szCs w:val="20"/>
          <w:lang w:val="es-ES"/>
        </w:rPr>
        <w:t xml:space="preserve">Por ende, respondiendo la pregunta hecha por el peticionario, es válido concluir que, si un convenio de asociación se celebró de forma directa, </w:t>
      </w:r>
      <w:r w:rsidRPr="000B76C5">
        <w:rPr>
          <w:rFonts w:ascii="Century Gothic" w:eastAsia="Calibri" w:hAnsi="Century Gothic" w:cs="Arial"/>
          <w:sz w:val="20"/>
          <w:szCs w:val="20"/>
          <w:lang w:val="es-ES_tradnl"/>
        </w:rPr>
        <w:t xml:space="preserve">en caso de que se realice una adición al valor del convenio, la ESAL debe realizar el aporte de forma proporcional a esa modificación, cosa tal que su aporte sea equivalente el treinta por ciento (30%) del total del convenio – incluida la adición, pues solo de esta manera se estaría respetando las reglas establecidas en el Decreto 092 de 2017. </w:t>
      </w:r>
      <w:r>
        <w:rPr>
          <w:rFonts w:ascii="Century Gothic" w:hAnsi="Century Gothic"/>
        </w:rPr>
        <w:br w:type="page"/>
      </w:r>
    </w:p>
    <w:p w14:paraId="44A06B17" w14:textId="2C8DDC02" w:rsidR="005A6AA1" w:rsidRDefault="005A6AA1" w:rsidP="00400548">
      <w:pPr>
        <w:spacing w:after="0"/>
        <w:rPr>
          <w:rFonts w:ascii="Century Gothic" w:hAnsi="Century Gothic"/>
          <w:lang w:val="es-MX"/>
        </w:rPr>
      </w:pPr>
      <w:r w:rsidRPr="687B05C8">
        <w:rPr>
          <w:rFonts w:ascii="Century Gothic" w:hAnsi="Century Gothic"/>
        </w:rPr>
        <w:lastRenderedPageBreak/>
        <w:t xml:space="preserve">Bogotá D.C., </w:t>
      </w:r>
      <w:r w:rsidR="00552F1A">
        <w:rPr>
          <w:rFonts w:ascii="Century Gothic" w:hAnsi="Century Gothic"/>
        </w:rPr>
        <w:t>24 de abril de 2024</w:t>
      </w:r>
    </w:p>
    <w:p w14:paraId="10D83B28" w14:textId="6E0F0978" w:rsidR="004E1AEB" w:rsidRPr="004E1AEB" w:rsidRDefault="003E37D1" w:rsidP="003E37D1">
      <w:pPr>
        <w:spacing w:after="0" w:line="240" w:lineRule="auto"/>
        <w:jc w:val="right"/>
        <w:rPr>
          <w:rFonts w:ascii="Century Gothic" w:eastAsia="Century Gothic" w:hAnsi="Century Gothic" w:cs="Century Gothic"/>
          <w:noProof/>
          <w:lang w:val="es-ES" w:eastAsia="es-ES_tradnl"/>
        </w:rPr>
      </w:pPr>
      <w:r w:rsidRPr="003E37D1">
        <w:rPr>
          <w:rFonts w:ascii="Century Gothic" w:eastAsia="Century Gothic" w:hAnsi="Century Gothic" w:cs="Century Gothic"/>
          <w:noProof/>
          <w:lang w:val="es-ES" w:eastAsia="es-ES_tradnl"/>
        </w:rPr>
        <w:drawing>
          <wp:inline distT="0" distB="0" distL="0" distR="0" wp14:anchorId="51EB37E1" wp14:editId="47CB932C">
            <wp:extent cx="4206605" cy="1242168"/>
            <wp:effectExtent l="0" t="0" r="3810" b="0"/>
            <wp:docPr id="12473170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317036" name=""/>
                    <pic:cNvPicPr/>
                  </pic:nvPicPr>
                  <pic:blipFill>
                    <a:blip r:embed="rId10"/>
                    <a:stretch>
                      <a:fillRect/>
                    </a:stretch>
                  </pic:blipFill>
                  <pic:spPr>
                    <a:xfrm>
                      <a:off x="0" y="0"/>
                      <a:ext cx="4206605" cy="1242168"/>
                    </a:xfrm>
                    <a:prstGeom prst="rect">
                      <a:avLst/>
                    </a:prstGeom>
                  </pic:spPr>
                </pic:pic>
              </a:graphicData>
            </a:graphic>
          </wp:inline>
        </w:drawing>
      </w:r>
    </w:p>
    <w:p w14:paraId="52622C2C" w14:textId="77777777" w:rsidR="004E1AEB" w:rsidRPr="004E1AEB" w:rsidRDefault="004E1AEB" w:rsidP="004E1AEB">
      <w:pPr>
        <w:spacing w:after="0" w:line="240" w:lineRule="auto"/>
        <w:jc w:val="both"/>
        <w:rPr>
          <w:rFonts w:ascii="Century Gothic" w:eastAsia="Century Gothic" w:hAnsi="Century Gothic" w:cs="Century Gothic"/>
          <w:lang w:val="es-ES" w:eastAsia="es-ES_tradnl"/>
        </w:rPr>
      </w:pPr>
      <w:r w:rsidRPr="004E1AEB">
        <w:rPr>
          <w:rFonts w:ascii="Century Gothic" w:eastAsia="Century Gothic" w:hAnsi="Century Gothic" w:cs="Century Gothic"/>
          <w:lang w:val="es-ES" w:eastAsia="es-ES_tradnl"/>
        </w:rPr>
        <w:t>Señor</w:t>
      </w:r>
    </w:p>
    <w:p w14:paraId="1B456822" w14:textId="77777777" w:rsidR="004E1AEB" w:rsidRPr="004E1AEB" w:rsidRDefault="004E1AEB" w:rsidP="004E1AEB">
      <w:pPr>
        <w:spacing w:after="0" w:line="240" w:lineRule="auto"/>
        <w:rPr>
          <w:rFonts w:ascii="Century Gothic" w:eastAsia="Century Gothic" w:hAnsi="Century Gothic" w:cs="Century Gothic"/>
          <w:b/>
          <w:bCs/>
          <w:lang w:val="es-ES" w:eastAsia="es-ES_tradnl"/>
        </w:rPr>
      </w:pPr>
      <w:r w:rsidRPr="004E1AEB">
        <w:rPr>
          <w:rFonts w:ascii="Century Gothic" w:eastAsia="Century Gothic" w:hAnsi="Century Gothic" w:cs="Century Gothic"/>
          <w:b/>
          <w:bCs/>
          <w:lang w:val="es-ES" w:eastAsia="es-ES_tradnl"/>
        </w:rPr>
        <w:t>Marlon Alain Mosquera Tejada</w:t>
      </w:r>
    </w:p>
    <w:p w14:paraId="50B89327" w14:textId="77777777" w:rsidR="004E1AEB" w:rsidRPr="004E1AEB" w:rsidRDefault="004E1AEB" w:rsidP="004E1AEB">
      <w:pPr>
        <w:spacing w:after="0" w:line="240" w:lineRule="auto"/>
        <w:rPr>
          <w:rFonts w:ascii="Century Gothic" w:eastAsia="Century Gothic" w:hAnsi="Century Gothic" w:cs="Century Gothic"/>
          <w:lang w:val="es-ES" w:eastAsia="es-ES_tradnl"/>
        </w:rPr>
      </w:pPr>
      <w:r w:rsidRPr="004E1AEB">
        <w:rPr>
          <w:rFonts w:ascii="Century Gothic" w:eastAsia="Century Gothic" w:hAnsi="Century Gothic" w:cs="Century Gothic"/>
          <w:lang w:val="es-ES" w:eastAsia="es-ES_tradnl"/>
        </w:rPr>
        <w:t>Florencia, Caquetá</w:t>
      </w:r>
    </w:p>
    <w:p w14:paraId="53F21EDA" w14:textId="77777777" w:rsidR="004E1AEB" w:rsidRPr="004E1AEB" w:rsidRDefault="004E1AEB" w:rsidP="004E1AEB">
      <w:pPr>
        <w:spacing w:after="0" w:line="240" w:lineRule="auto"/>
        <w:rPr>
          <w:rFonts w:ascii="Century Gothic" w:eastAsia="Century Gothic" w:hAnsi="Century Gothic" w:cs="Century Gothic"/>
          <w:lang w:val="es-ES" w:eastAsia="es-ES_tradnl"/>
        </w:rPr>
      </w:pPr>
    </w:p>
    <w:p w14:paraId="0A966951" w14:textId="77777777" w:rsidR="004E1AEB" w:rsidRPr="004E1AEB" w:rsidRDefault="004E1AEB" w:rsidP="004E1AEB">
      <w:pPr>
        <w:spacing w:after="0" w:line="240" w:lineRule="auto"/>
        <w:rPr>
          <w:rFonts w:ascii="Century Gothic" w:eastAsia="Century Gothic" w:hAnsi="Century Gothic" w:cs="Century Gothic"/>
          <w:lang w:val="es-ES" w:eastAsia="es-ES_tradnl"/>
        </w:rPr>
      </w:pPr>
    </w:p>
    <w:p w14:paraId="4752ECEA" w14:textId="77777777" w:rsidR="004E1AEB" w:rsidRPr="004E1AEB" w:rsidRDefault="004E1AEB" w:rsidP="004E1AEB">
      <w:pPr>
        <w:spacing w:after="0" w:line="240" w:lineRule="auto"/>
        <w:ind w:left="2694"/>
        <w:rPr>
          <w:rFonts w:ascii="Century Gothic" w:eastAsia="Century Gothic" w:hAnsi="Century Gothic" w:cs="Century Gothic"/>
          <w:b/>
          <w:bCs/>
          <w:lang w:val="es-ES" w:eastAsia="es-ES_tradnl"/>
        </w:rPr>
      </w:pPr>
      <w:r w:rsidRPr="004E1AEB">
        <w:rPr>
          <w:rFonts w:ascii="Century Gothic" w:eastAsia="Century Gothic" w:hAnsi="Century Gothic" w:cs="Century Gothic"/>
          <w:b/>
          <w:bCs/>
          <w:lang w:val="es-ES" w:eastAsia="es-ES_tradnl"/>
        </w:rPr>
        <w:t>Concepto C-045 de 2024</w:t>
      </w:r>
    </w:p>
    <w:p w14:paraId="5357B874" w14:textId="77777777" w:rsidR="004E1AEB" w:rsidRPr="004E1AEB" w:rsidRDefault="004E1AEB" w:rsidP="004E1AEB">
      <w:pPr>
        <w:spacing w:after="0" w:line="240" w:lineRule="auto"/>
        <w:jc w:val="both"/>
        <w:rPr>
          <w:rFonts w:ascii="Century Gothic" w:eastAsia="Century Gothic" w:hAnsi="Century Gothic" w:cs="Century Gothic"/>
          <w:lang w:val="es-ES"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4E1AEB" w:rsidRPr="004E1AEB" w14:paraId="244A88A6" w14:textId="77777777" w:rsidTr="00E7267F">
        <w:trPr>
          <w:jc w:val="right"/>
        </w:trPr>
        <w:tc>
          <w:tcPr>
            <w:tcW w:w="1838" w:type="dxa"/>
          </w:tcPr>
          <w:p w14:paraId="674C261C" w14:textId="77777777" w:rsidR="004E1AEB" w:rsidRPr="004E1AEB" w:rsidRDefault="004E1AEB" w:rsidP="004E1AEB">
            <w:pPr>
              <w:jc w:val="center"/>
              <w:rPr>
                <w:rFonts w:ascii="Century Gothic" w:eastAsia="Century Gothic" w:hAnsi="Century Gothic" w:cs="Century Gothic"/>
                <w:lang w:val="es-ES" w:eastAsia="es-ES_tradnl"/>
              </w:rPr>
            </w:pPr>
            <w:r w:rsidRPr="004E1AEB">
              <w:rPr>
                <w:rFonts w:ascii="Century Gothic" w:eastAsia="Century Gothic" w:hAnsi="Century Gothic" w:cs="Century Gothic"/>
                <w:b/>
                <w:bCs/>
                <w:lang w:val="es-ES" w:eastAsia="es-ES_tradnl"/>
              </w:rPr>
              <w:t>Temas:</w:t>
            </w:r>
          </w:p>
        </w:tc>
        <w:tc>
          <w:tcPr>
            <w:tcW w:w="6237" w:type="dxa"/>
          </w:tcPr>
          <w:p w14:paraId="6F5EF68E" w14:textId="77777777" w:rsidR="004E1AEB" w:rsidRPr="004E1AEB" w:rsidRDefault="004E1AEB" w:rsidP="004E1AEB">
            <w:pPr>
              <w:jc w:val="both"/>
              <w:rPr>
                <w:rFonts w:ascii="Century Gothic" w:eastAsia="Times New Roman" w:hAnsi="Century Gothic"/>
                <w:shd w:val="clear" w:color="auto" w:fill="FFFFFF"/>
                <w:lang w:eastAsia="es-ES_tradnl"/>
              </w:rPr>
            </w:pPr>
            <w:r w:rsidRPr="004E1AEB">
              <w:rPr>
                <w:rFonts w:ascii="Century Gothic" w:eastAsia="Times New Roman" w:hAnsi="Century Gothic"/>
                <w:color w:val="000000" w:themeColor="text1"/>
                <w:lang w:val="es-ES_tradnl" w:eastAsia="es-ES_tradnl"/>
              </w:rPr>
              <w:t xml:space="preserve">CONTRATOS CON ESAL </w:t>
            </w:r>
            <w:r w:rsidRPr="004E1AEB">
              <w:rPr>
                <w:rFonts w:ascii="Century Gothic" w:eastAsia="Calibri" w:hAnsi="Century Gothic"/>
                <w:color w:val="000000" w:themeColor="text1"/>
                <w:lang w:val="es-ES_tradnl" w:eastAsia="es-ES_tradnl"/>
              </w:rPr>
              <w:t>–</w:t>
            </w:r>
            <w:r w:rsidRPr="004E1AEB">
              <w:rPr>
                <w:rFonts w:ascii="Century Gothic" w:eastAsia="Times New Roman" w:hAnsi="Century Gothic"/>
                <w:color w:val="000000" w:themeColor="text1"/>
                <w:lang w:val="es-ES_tradnl" w:eastAsia="es-ES_tradnl"/>
              </w:rPr>
              <w:t xml:space="preserve"> Artículo 355 </w:t>
            </w:r>
            <w:r w:rsidRPr="004E1AEB">
              <w:rPr>
                <w:rFonts w:ascii="Century Gothic" w:eastAsia="Calibri" w:hAnsi="Century Gothic"/>
                <w:color w:val="000000" w:themeColor="text1"/>
                <w:lang w:val="es-ES_tradnl" w:eastAsia="es-ES_tradnl"/>
              </w:rPr>
              <w:t>–</w:t>
            </w:r>
            <w:r w:rsidRPr="004E1AEB">
              <w:rPr>
                <w:rFonts w:ascii="Century Gothic" w:eastAsia="Times New Roman" w:hAnsi="Century Gothic"/>
                <w:color w:val="000000" w:themeColor="text1"/>
                <w:lang w:val="es-ES_tradnl" w:eastAsia="es-ES_tradnl"/>
              </w:rPr>
              <w:t xml:space="preserve"> Constitución </w:t>
            </w:r>
            <w:r w:rsidRPr="004E1AEB">
              <w:rPr>
                <w:rFonts w:ascii="Century Gothic" w:eastAsia="Calibri" w:hAnsi="Century Gothic"/>
                <w:color w:val="000000" w:themeColor="text1"/>
                <w:lang w:val="es-ES_tradnl" w:eastAsia="es-ES_tradnl"/>
              </w:rPr>
              <w:t xml:space="preserve">– Fundamento / </w:t>
            </w:r>
            <w:r w:rsidRPr="004E1AEB">
              <w:rPr>
                <w:rFonts w:ascii="Century Gothic" w:eastAsia="Times New Roman" w:hAnsi="Century Gothic"/>
                <w:color w:val="000000" w:themeColor="text1"/>
                <w:lang w:val="es-ES_tradnl" w:eastAsia="es-ES_tradnl"/>
              </w:rPr>
              <w:t xml:space="preserve">TIPOS DE CONTRATOS </w:t>
            </w:r>
            <w:r w:rsidRPr="004E1AEB">
              <w:rPr>
                <w:rFonts w:ascii="Century Gothic" w:eastAsia="Calibri" w:hAnsi="Century Gothic"/>
                <w:color w:val="000000" w:themeColor="text1"/>
                <w:lang w:val="es-ES_tradnl" w:eastAsia="es-ES_tradnl"/>
              </w:rPr>
              <w:t>–</w:t>
            </w:r>
            <w:r w:rsidRPr="004E1AEB">
              <w:rPr>
                <w:rFonts w:ascii="Century Gothic" w:eastAsia="Times New Roman" w:hAnsi="Century Gothic"/>
                <w:color w:val="000000" w:themeColor="text1"/>
                <w:lang w:val="es-ES_tradnl" w:eastAsia="es-ES_tradnl"/>
              </w:rPr>
              <w:t xml:space="preserve"> Artículo 355 </w:t>
            </w:r>
            <w:r w:rsidRPr="004E1AEB">
              <w:rPr>
                <w:rFonts w:ascii="Century Gothic" w:eastAsia="Calibri" w:hAnsi="Century Gothic"/>
                <w:color w:val="000000" w:themeColor="text1"/>
                <w:lang w:val="es-ES_tradnl" w:eastAsia="es-ES_tradnl"/>
              </w:rPr>
              <w:t>–</w:t>
            </w:r>
            <w:r w:rsidRPr="004E1AEB">
              <w:rPr>
                <w:rFonts w:ascii="Century Gothic" w:eastAsia="Times New Roman" w:hAnsi="Century Gothic"/>
                <w:color w:val="000000" w:themeColor="text1"/>
                <w:lang w:val="es-ES_tradnl" w:eastAsia="es-ES_tradnl"/>
              </w:rPr>
              <w:t xml:space="preserve"> Constitución </w:t>
            </w:r>
            <w:r w:rsidRPr="004E1AEB">
              <w:rPr>
                <w:rFonts w:ascii="Century Gothic" w:eastAsia="Calibri" w:hAnsi="Century Gothic"/>
                <w:color w:val="000000" w:themeColor="text1"/>
                <w:lang w:val="es-ES_tradnl" w:eastAsia="es-ES_tradnl"/>
              </w:rPr>
              <w:t xml:space="preserve">– ESAL / </w:t>
            </w:r>
            <w:r w:rsidRPr="004E1AEB">
              <w:rPr>
                <w:rFonts w:ascii="Century Gothic" w:eastAsia="Times New Roman" w:hAnsi="Century Gothic"/>
                <w:color w:val="000000" w:themeColor="text1"/>
                <w:lang w:val="es-ES_tradnl" w:eastAsia="es-ES_tradnl"/>
              </w:rPr>
              <w:t xml:space="preserve">CONVENIOS DE ASOCIACIÓN </w:t>
            </w:r>
            <w:r w:rsidRPr="004E1AEB">
              <w:rPr>
                <w:rFonts w:ascii="Century Gothic" w:eastAsia="Calibri" w:hAnsi="Century Gothic"/>
                <w:color w:val="000000" w:themeColor="text1"/>
                <w:lang w:val="es-ES_tradnl" w:eastAsia="es-ES_tradnl"/>
              </w:rPr>
              <w:t>–</w:t>
            </w:r>
            <w:r w:rsidRPr="004E1AEB">
              <w:rPr>
                <w:rFonts w:ascii="Century Gothic" w:eastAsia="Times New Roman" w:hAnsi="Century Gothic"/>
                <w:color w:val="000000" w:themeColor="text1"/>
                <w:lang w:val="es-ES_tradnl" w:eastAsia="es-ES_tradnl"/>
              </w:rPr>
              <w:t xml:space="preserve"> </w:t>
            </w:r>
            <w:r w:rsidRPr="004E1AEB">
              <w:rPr>
                <w:rFonts w:ascii="Century Gothic" w:eastAsia="Calibri" w:hAnsi="Century Gothic"/>
                <w:color w:val="000000" w:themeColor="text1"/>
                <w:lang w:val="es-ES_tradnl" w:eastAsia="es-ES_tradnl"/>
              </w:rPr>
              <w:t xml:space="preserve">Ley 489 – Artículo 96 – </w:t>
            </w:r>
            <w:r w:rsidRPr="004E1AEB">
              <w:rPr>
                <w:rFonts w:ascii="Century Gothic" w:eastAsia="Calibri" w:hAnsi="Century Gothic"/>
                <w:color w:val="000000" w:themeColor="text1"/>
                <w:lang w:eastAsia="es-ES_tradnl"/>
              </w:rPr>
              <w:t xml:space="preserve">Entidad Estatal / </w:t>
            </w:r>
            <w:r w:rsidRPr="004E1AEB">
              <w:rPr>
                <w:rFonts w:ascii="Century Gothic" w:eastAsia="Times New Roman" w:hAnsi="Century Gothic"/>
                <w:color w:val="000000" w:themeColor="text1"/>
                <w:lang w:val="es-ES_tradnl" w:eastAsia="es-ES_tradnl"/>
              </w:rPr>
              <w:t xml:space="preserve">CONVENIOS DE ASOCIACIÓN </w:t>
            </w:r>
            <w:r w:rsidRPr="004E1AEB">
              <w:rPr>
                <w:rFonts w:ascii="Century Gothic" w:eastAsia="Calibri" w:hAnsi="Century Gothic"/>
                <w:color w:val="000000" w:themeColor="text1"/>
                <w:lang w:val="es-ES_tradnl" w:eastAsia="es-ES_tradnl"/>
              </w:rPr>
              <w:t>–</w:t>
            </w:r>
            <w:r w:rsidRPr="004E1AEB">
              <w:rPr>
                <w:rFonts w:ascii="Century Gothic" w:eastAsia="Times New Roman" w:hAnsi="Century Gothic"/>
                <w:color w:val="000000" w:themeColor="text1"/>
                <w:lang w:val="es-ES_tradnl" w:eastAsia="es-ES_tradnl"/>
              </w:rPr>
              <w:t xml:space="preserve"> </w:t>
            </w:r>
            <w:r w:rsidRPr="004E1AEB">
              <w:rPr>
                <w:rFonts w:ascii="Century Gothic" w:eastAsia="Calibri" w:hAnsi="Century Gothic"/>
                <w:color w:val="000000" w:themeColor="text1"/>
                <w:lang w:val="es-ES_tradnl" w:eastAsia="es-ES_tradnl"/>
              </w:rPr>
              <w:t xml:space="preserve">Ley 489 – Artículo 96 – </w:t>
            </w:r>
            <w:r w:rsidRPr="004E1AEB">
              <w:rPr>
                <w:rFonts w:ascii="Century Gothic" w:eastAsia="Calibri" w:hAnsi="Century Gothic"/>
                <w:color w:val="000000" w:themeColor="text1"/>
                <w:lang w:eastAsia="es-ES_tradnl"/>
              </w:rPr>
              <w:t xml:space="preserve">Concejos Municipales </w:t>
            </w:r>
            <w:r w:rsidRPr="004E1AEB">
              <w:rPr>
                <w:rFonts w:ascii="Century Gothic" w:eastAsia="Calibri" w:hAnsi="Century Gothic"/>
                <w:color w:val="000000" w:themeColor="text1"/>
                <w:lang w:val="es-MX" w:eastAsia="es-ES_tradnl"/>
              </w:rPr>
              <w:t xml:space="preserve">– Capacidad contractual / </w:t>
            </w:r>
            <w:r w:rsidRPr="004E1AEB">
              <w:rPr>
                <w:rFonts w:ascii="Century Gothic" w:eastAsia="Calibri" w:hAnsi="Century Gothic"/>
                <w:lang w:eastAsia="es-ES_tradnl"/>
              </w:rPr>
              <w:t xml:space="preserve">CONVENIOS DE ASOCIACIÓN – Aporte económico de la ESAL – Mecanismo de recaudo / </w:t>
            </w:r>
            <w:r w:rsidRPr="004E1AEB">
              <w:rPr>
                <w:rFonts w:ascii="Century Gothic" w:eastAsia="Times New Roman" w:hAnsi="Century Gothic"/>
                <w:color w:val="000000" w:themeColor="text1"/>
                <w:lang w:val="es-ES_tradnl" w:eastAsia="es-ES_tradnl"/>
              </w:rPr>
              <w:t xml:space="preserve">CONVENIOS </w:t>
            </w:r>
            <w:r w:rsidRPr="004E1AEB">
              <w:rPr>
                <w:rFonts w:ascii="Century Gothic" w:eastAsia="Calibri" w:hAnsi="Century Gothic"/>
                <w:lang w:eastAsia="es-ES_tradnl"/>
              </w:rPr>
              <w:t xml:space="preserve">DE ASOCIACIÓN </w:t>
            </w:r>
            <w:r w:rsidRPr="004E1AEB">
              <w:rPr>
                <w:rFonts w:ascii="Century Gothic" w:eastAsia="Calibri" w:hAnsi="Century Gothic"/>
                <w:color w:val="000000" w:themeColor="text1"/>
                <w:lang w:val="es-ES_tradnl" w:eastAsia="es-ES_tradnl"/>
              </w:rPr>
              <w:t xml:space="preserve">– ESAL – Régimen – Remisión – Artículo 8 – Decreto 092 de 2017 / </w:t>
            </w:r>
            <w:r w:rsidRPr="004E1AEB">
              <w:rPr>
                <w:rFonts w:ascii="Century Gothic" w:eastAsia="Times New Roman" w:hAnsi="Century Gothic"/>
                <w:color w:val="000000" w:themeColor="text1"/>
                <w:lang w:val="es-ES_tradnl" w:eastAsia="es-ES_tradnl"/>
              </w:rPr>
              <w:t xml:space="preserve">CONVENIOS </w:t>
            </w:r>
            <w:r w:rsidRPr="004E1AEB">
              <w:rPr>
                <w:rFonts w:ascii="Century Gothic" w:eastAsia="Calibri" w:hAnsi="Century Gothic"/>
                <w:lang w:eastAsia="es-ES_tradnl"/>
              </w:rPr>
              <w:t xml:space="preserve">DE ASOCIACIÓN </w:t>
            </w:r>
            <w:r w:rsidRPr="004E1AEB">
              <w:rPr>
                <w:rFonts w:ascii="Century Gothic" w:eastAsia="Calibri" w:hAnsi="Century Gothic"/>
                <w:color w:val="000000" w:themeColor="text1"/>
                <w:lang w:val="es-ES_tradnl" w:eastAsia="es-ES_tradnl"/>
              </w:rPr>
              <w:t xml:space="preserve">– ESAL – Régimen – Remisión – Artículo 8 – Decreto 092 de 2027 – Adición / </w:t>
            </w:r>
            <w:r w:rsidRPr="004E1AEB">
              <w:rPr>
                <w:rFonts w:ascii="Century Gothic" w:eastAsia="Times New Roman" w:hAnsi="Century Gothic"/>
                <w:color w:val="000000" w:themeColor="text1"/>
                <w:lang w:val="es-ES_tradnl" w:eastAsia="es-ES_tradnl"/>
              </w:rPr>
              <w:t xml:space="preserve">CONVENIOS </w:t>
            </w:r>
            <w:r w:rsidRPr="004E1AEB">
              <w:rPr>
                <w:rFonts w:ascii="Century Gothic" w:eastAsia="Calibri" w:hAnsi="Century Gothic"/>
                <w:lang w:eastAsia="es-ES_tradnl"/>
              </w:rPr>
              <w:t xml:space="preserve">DE ASOCIACIÓN </w:t>
            </w:r>
            <w:r w:rsidRPr="004E1AEB">
              <w:rPr>
                <w:rFonts w:ascii="Century Gothic" w:eastAsia="Calibri" w:hAnsi="Century Gothic"/>
                <w:color w:val="000000" w:themeColor="text1"/>
                <w:lang w:val="es-ES_tradnl" w:eastAsia="es-ES_tradnl"/>
              </w:rPr>
              <w:t>– ESAL – Adición – Aportes – Treinta por ciento</w:t>
            </w:r>
          </w:p>
          <w:p w14:paraId="2925A57E" w14:textId="77777777" w:rsidR="004E1AEB" w:rsidRPr="004E1AEB" w:rsidRDefault="004E1AEB" w:rsidP="004E1AEB">
            <w:pPr>
              <w:jc w:val="both"/>
              <w:rPr>
                <w:rFonts w:ascii="Century Gothic" w:eastAsia="Century Gothic" w:hAnsi="Century Gothic" w:cs="Century Gothic"/>
                <w:lang w:val="es-ES" w:eastAsia="es-ES_tradnl"/>
              </w:rPr>
            </w:pPr>
          </w:p>
        </w:tc>
      </w:tr>
      <w:tr w:rsidR="004E1AEB" w:rsidRPr="004E1AEB" w14:paraId="54CDE156" w14:textId="77777777" w:rsidTr="00E7267F">
        <w:trPr>
          <w:jc w:val="right"/>
        </w:trPr>
        <w:tc>
          <w:tcPr>
            <w:tcW w:w="1838" w:type="dxa"/>
          </w:tcPr>
          <w:p w14:paraId="5A6912C8" w14:textId="77777777" w:rsidR="004E1AEB" w:rsidRPr="004E1AEB" w:rsidRDefault="004E1AEB" w:rsidP="004E1AEB">
            <w:pPr>
              <w:jc w:val="center"/>
              <w:rPr>
                <w:rFonts w:ascii="Century Gothic" w:eastAsia="Century Gothic" w:hAnsi="Century Gothic" w:cs="Century Gothic"/>
                <w:b/>
                <w:bCs/>
                <w:lang w:val="es-ES" w:eastAsia="es-ES_tradnl"/>
              </w:rPr>
            </w:pPr>
            <w:r w:rsidRPr="004E1AEB">
              <w:rPr>
                <w:rFonts w:ascii="Century Gothic" w:eastAsia="Century Gothic" w:hAnsi="Century Gothic" w:cs="Century Gothic"/>
                <w:b/>
                <w:bCs/>
                <w:lang w:val="es-ES" w:eastAsia="es-ES_tradnl"/>
              </w:rPr>
              <w:t>Radicación:</w:t>
            </w:r>
          </w:p>
        </w:tc>
        <w:tc>
          <w:tcPr>
            <w:tcW w:w="6237" w:type="dxa"/>
          </w:tcPr>
          <w:p w14:paraId="0C0271A1" w14:textId="77777777" w:rsidR="004E1AEB" w:rsidRPr="004E1AEB" w:rsidRDefault="004E1AEB" w:rsidP="004E1AEB">
            <w:pPr>
              <w:jc w:val="both"/>
              <w:rPr>
                <w:rFonts w:ascii="Century Gothic" w:eastAsia="Century Gothic" w:hAnsi="Century Gothic" w:cs="Century Gothic"/>
                <w:lang w:val="es-ES" w:eastAsia="es-ES_tradnl"/>
              </w:rPr>
            </w:pPr>
            <w:r w:rsidRPr="004E1AEB">
              <w:rPr>
                <w:rFonts w:ascii="Century Gothic" w:eastAsia="Century Gothic" w:hAnsi="Century Gothic" w:cs="Century Gothic"/>
                <w:lang w:val="es-ES" w:eastAsia="es-ES_tradnl"/>
              </w:rPr>
              <w:t>Respuesta a consulta P20240312002721</w:t>
            </w:r>
          </w:p>
        </w:tc>
      </w:tr>
    </w:tbl>
    <w:p w14:paraId="794A94C1" w14:textId="77777777" w:rsidR="004E1AEB" w:rsidRPr="004E1AEB" w:rsidRDefault="004E1AEB" w:rsidP="004E1AEB">
      <w:pPr>
        <w:spacing w:after="0" w:line="240" w:lineRule="auto"/>
        <w:jc w:val="both"/>
        <w:rPr>
          <w:rFonts w:ascii="Century Gothic" w:eastAsia="Century Gothic" w:hAnsi="Century Gothic" w:cs="Century Gothic"/>
          <w:lang w:val="es-ES" w:eastAsia="es-ES_tradnl"/>
        </w:rPr>
      </w:pPr>
    </w:p>
    <w:p w14:paraId="3D399B43" w14:textId="77777777" w:rsidR="004E1AEB" w:rsidRPr="004E1AEB" w:rsidRDefault="004E1AEB" w:rsidP="004E1AEB">
      <w:pPr>
        <w:spacing w:after="0" w:line="240" w:lineRule="auto"/>
        <w:jc w:val="both"/>
        <w:rPr>
          <w:rFonts w:ascii="Century Gothic" w:eastAsia="Century Gothic" w:hAnsi="Century Gothic" w:cs="Century Gothic"/>
          <w:lang w:val="es-ES" w:eastAsia="es-ES_tradnl"/>
        </w:rPr>
      </w:pPr>
    </w:p>
    <w:p w14:paraId="66062996" w14:textId="77777777" w:rsidR="004E1AEB" w:rsidRPr="004E1AEB" w:rsidRDefault="004E1AEB" w:rsidP="004E1AEB">
      <w:pPr>
        <w:spacing w:after="0" w:line="276" w:lineRule="auto"/>
        <w:jc w:val="both"/>
        <w:rPr>
          <w:rFonts w:ascii="Century Gothic" w:eastAsia="Century Gothic" w:hAnsi="Century Gothic" w:cs="Century Gothic"/>
          <w:lang w:val="es-ES" w:eastAsia="es-ES_tradnl"/>
        </w:rPr>
      </w:pPr>
      <w:r w:rsidRPr="004E1AEB">
        <w:rPr>
          <w:rFonts w:ascii="Century Gothic" w:eastAsia="Century Gothic" w:hAnsi="Century Gothic" w:cs="Century Gothic"/>
          <w:lang w:val="es-ES" w:eastAsia="es-ES_tradnl"/>
        </w:rPr>
        <w:t>Estimado señor Mosquera Tejada:</w:t>
      </w:r>
    </w:p>
    <w:p w14:paraId="15764DF0" w14:textId="77777777" w:rsidR="004E1AEB" w:rsidRPr="004E1AEB" w:rsidRDefault="004E1AEB" w:rsidP="004E1AEB">
      <w:pPr>
        <w:spacing w:after="0" w:line="276" w:lineRule="auto"/>
        <w:jc w:val="both"/>
        <w:rPr>
          <w:rFonts w:ascii="Century Gothic" w:eastAsia="Century Gothic" w:hAnsi="Century Gothic" w:cs="Century Gothic"/>
          <w:lang w:val="es-ES" w:eastAsia="es-ES_tradnl"/>
        </w:rPr>
      </w:pPr>
    </w:p>
    <w:p w14:paraId="7698BFFC" w14:textId="77777777" w:rsidR="004E1AEB" w:rsidRPr="004E1AEB" w:rsidRDefault="004E1AEB" w:rsidP="004E1AEB">
      <w:pPr>
        <w:spacing w:after="0" w:line="276" w:lineRule="auto"/>
        <w:jc w:val="both"/>
        <w:rPr>
          <w:rFonts w:ascii="Century Gothic" w:eastAsia="Century Gothic" w:hAnsi="Century Gothic" w:cs="Century Gothic"/>
          <w:lang w:val="es-ES" w:eastAsia="es-ES_tradnl"/>
        </w:rPr>
      </w:pPr>
      <w:r w:rsidRPr="004E1AEB">
        <w:rPr>
          <w:rFonts w:ascii="Century Gothic" w:eastAsia="Century Gothic" w:hAnsi="Century Gothic" w:cs="Century Gothic"/>
          <w:lang w:val="es-ES" w:eastAsia="es-ES_tradnl"/>
        </w:rPr>
        <w:t>En ejercicio de la competencia otorgada por el numeral 8° del artículo 11 y el numeral 5° del artículo 3 del Decreto Ley 4170 de 2011</w:t>
      </w:r>
      <w:r w:rsidRPr="004E1AEB">
        <w:rPr>
          <w:rFonts w:ascii="Century Gothic" w:eastAsia="Century Gothic" w:hAnsi="Century Gothic" w:cs="Century Gothic"/>
          <w:lang w:eastAsia="es-ES_tradnl"/>
        </w:rPr>
        <w:t>, así como lo establecido en la Resolución 1707 de 2018 expedida por esta Entidad</w:t>
      </w:r>
      <w:r w:rsidRPr="004E1AEB">
        <w:rPr>
          <w:rFonts w:ascii="Century Gothic" w:eastAsia="Century Gothic" w:hAnsi="Century Gothic" w:cs="Century Gothic"/>
          <w:lang w:val="es-ES" w:eastAsia="es-ES_tradnl"/>
        </w:rPr>
        <w:t>, la Agencia Nacional de Contratación Pública ― Colombia Compra Eficiente responde su consulta del 11 de marzo de 2024.</w:t>
      </w:r>
    </w:p>
    <w:p w14:paraId="5D0A118B" w14:textId="77777777" w:rsidR="004E1AEB" w:rsidRPr="004E1AEB" w:rsidRDefault="004E1AEB" w:rsidP="004E1AEB">
      <w:pPr>
        <w:spacing w:after="0" w:line="276" w:lineRule="auto"/>
        <w:jc w:val="both"/>
        <w:rPr>
          <w:rFonts w:ascii="Century Gothic" w:eastAsia="Century Gothic" w:hAnsi="Century Gothic" w:cs="Century Gothic"/>
          <w:b/>
          <w:bCs/>
          <w:lang w:val="es-ES" w:eastAsia="es-ES_tradnl"/>
        </w:rPr>
      </w:pPr>
    </w:p>
    <w:p w14:paraId="664FEA05" w14:textId="77777777" w:rsidR="004E1AEB" w:rsidRPr="004E1AEB" w:rsidRDefault="004E1AEB" w:rsidP="004E1AEB">
      <w:pPr>
        <w:numPr>
          <w:ilvl w:val="0"/>
          <w:numId w:val="6"/>
        </w:numPr>
        <w:tabs>
          <w:tab w:val="left" w:pos="142"/>
          <w:tab w:val="left" w:pos="284"/>
        </w:tabs>
        <w:spacing w:after="0" w:line="276" w:lineRule="auto"/>
        <w:ind w:left="0" w:firstLine="0"/>
        <w:jc w:val="both"/>
        <w:rPr>
          <w:rFonts w:ascii="Century Gothic" w:eastAsia="Century Gothic" w:hAnsi="Century Gothic" w:cs="Century Gothic"/>
          <w:b/>
          <w:bCs/>
          <w:lang w:val="es-ES"/>
        </w:rPr>
      </w:pPr>
      <w:r w:rsidRPr="004E1AEB">
        <w:rPr>
          <w:rFonts w:ascii="Century Gothic" w:eastAsia="Century Gothic" w:hAnsi="Century Gothic" w:cs="Century Gothic"/>
          <w:b/>
          <w:bCs/>
          <w:lang w:val="es-ES"/>
        </w:rPr>
        <w:t xml:space="preserve">Problema planteado </w:t>
      </w:r>
    </w:p>
    <w:p w14:paraId="22D1AA91" w14:textId="77777777" w:rsidR="004E1AEB" w:rsidRPr="004E1AEB" w:rsidRDefault="004E1AEB" w:rsidP="004E1AEB">
      <w:pPr>
        <w:spacing w:after="0" w:line="276" w:lineRule="auto"/>
        <w:jc w:val="both"/>
        <w:rPr>
          <w:rFonts w:ascii="Century Gothic" w:eastAsia="Century Gothic" w:hAnsi="Century Gothic" w:cs="Century Gothic"/>
          <w:lang w:eastAsia="es-ES_tradnl"/>
        </w:rPr>
      </w:pPr>
    </w:p>
    <w:p w14:paraId="608953F7" w14:textId="77777777" w:rsidR="004E1AEB" w:rsidRPr="004E1AEB" w:rsidRDefault="004E1AEB" w:rsidP="004E1AEB">
      <w:pPr>
        <w:spacing w:after="0" w:line="276" w:lineRule="auto"/>
        <w:jc w:val="both"/>
        <w:rPr>
          <w:rFonts w:ascii="Century Gothic" w:eastAsia="Century Gothic" w:hAnsi="Century Gothic" w:cs="Century Gothic"/>
          <w:lang w:eastAsia="es-ES_tradnl"/>
        </w:rPr>
      </w:pPr>
      <w:r w:rsidRPr="004E1AEB">
        <w:rPr>
          <w:rFonts w:ascii="Century Gothic" w:eastAsia="Century Gothic" w:hAnsi="Century Gothic" w:cs="Century Gothic"/>
          <w:lang w:eastAsia="es-ES_tradnl"/>
        </w:rPr>
        <w:lastRenderedPageBreak/>
        <w:t xml:space="preserve">Respecto del Decreto 092 de 2007, usted formula las siguientes consultas: </w:t>
      </w:r>
    </w:p>
    <w:p w14:paraId="0F671C06" w14:textId="77777777" w:rsidR="004E1AEB" w:rsidRPr="004E1AEB" w:rsidRDefault="004E1AEB" w:rsidP="004E1AEB">
      <w:pPr>
        <w:spacing w:after="0" w:line="276" w:lineRule="auto"/>
        <w:jc w:val="both"/>
        <w:rPr>
          <w:rFonts w:ascii="Century Gothic" w:eastAsia="Century Gothic" w:hAnsi="Century Gothic" w:cs="Century Gothic"/>
          <w:lang w:eastAsia="es-ES_tradnl"/>
        </w:rPr>
      </w:pPr>
    </w:p>
    <w:p w14:paraId="01AADE3C" w14:textId="77777777" w:rsidR="004E1AEB" w:rsidRPr="004E1AEB" w:rsidRDefault="004E1AEB" w:rsidP="004E1AEB">
      <w:pPr>
        <w:spacing w:after="0" w:line="240" w:lineRule="auto"/>
        <w:ind w:left="709" w:right="709"/>
        <w:jc w:val="both"/>
        <w:rPr>
          <w:rFonts w:ascii="Century Gothic" w:eastAsia="Century Gothic" w:hAnsi="Century Gothic" w:cs="Century Gothic"/>
          <w:sz w:val="20"/>
          <w:szCs w:val="20"/>
          <w:lang w:eastAsia="es-ES_tradnl"/>
        </w:rPr>
      </w:pPr>
      <w:r w:rsidRPr="004E1AEB">
        <w:rPr>
          <w:rFonts w:ascii="Century Gothic" w:eastAsia="Century Gothic" w:hAnsi="Century Gothic" w:cs="Century Gothic"/>
          <w:sz w:val="20"/>
          <w:szCs w:val="20"/>
          <w:lang w:eastAsia="es-ES_tradnl"/>
        </w:rPr>
        <w:t xml:space="preserve">“De conformidad con el </w:t>
      </w:r>
      <w:proofErr w:type="spellStart"/>
      <w:r w:rsidRPr="004E1AEB">
        <w:rPr>
          <w:rFonts w:ascii="Century Gothic" w:eastAsia="Century Gothic" w:hAnsi="Century Gothic" w:cs="Century Gothic"/>
          <w:sz w:val="20"/>
          <w:szCs w:val="20"/>
          <w:lang w:eastAsia="es-ES_tradnl"/>
        </w:rPr>
        <w:t>articulo</w:t>
      </w:r>
      <w:proofErr w:type="spellEnd"/>
      <w:r w:rsidRPr="004E1AEB">
        <w:rPr>
          <w:rFonts w:ascii="Century Gothic" w:eastAsia="Century Gothic" w:hAnsi="Century Gothic" w:cs="Century Gothic"/>
          <w:sz w:val="20"/>
          <w:szCs w:val="20"/>
          <w:lang w:eastAsia="es-ES_tradnl"/>
        </w:rPr>
        <w:t xml:space="preserve"> 5° del DECRETO 092 se tiene las siguientes preguntas:</w:t>
      </w:r>
    </w:p>
    <w:p w14:paraId="131C654A" w14:textId="77777777" w:rsidR="004E1AEB" w:rsidRPr="004E1AEB" w:rsidRDefault="004E1AEB" w:rsidP="004E1AEB">
      <w:pPr>
        <w:spacing w:after="0" w:line="240" w:lineRule="auto"/>
        <w:ind w:left="709" w:right="709"/>
        <w:jc w:val="both"/>
        <w:rPr>
          <w:rFonts w:ascii="Century Gothic" w:eastAsia="Century Gothic" w:hAnsi="Century Gothic" w:cs="Century Gothic"/>
          <w:sz w:val="20"/>
          <w:szCs w:val="20"/>
          <w:lang w:eastAsia="es-ES_tradnl"/>
        </w:rPr>
      </w:pPr>
    </w:p>
    <w:p w14:paraId="436671EC" w14:textId="77777777" w:rsidR="004E1AEB" w:rsidRPr="004E1AEB" w:rsidRDefault="004E1AEB" w:rsidP="004E1AEB">
      <w:pPr>
        <w:spacing w:after="0" w:line="240" w:lineRule="auto"/>
        <w:ind w:left="709" w:right="709"/>
        <w:jc w:val="both"/>
        <w:rPr>
          <w:rFonts w:ascii="Century Gothic" w:eastAsia="Century Gothic" w:hAnsi="Century Gothic" w:cs="Century Gothic"/>
          <w:sz w:val="20"/>
          <w:szCs w:val="20"/>
          <w:lang w:eastAsia="es-ES_tradnl"/>
        </w:rPr>
      </w:pPr>
      <w:r w:rsidRPr="004E1AEB">
        <w:rPr>
          <w:rFonts w:ascii="Century Gothic" w:eastAsia="Century Gothic" w:hAnsi="Century Gothic" w:cs="Century Gothic"/>
          <w:sz w:val="20"/>
          <w:szCs w:val="20"/>
          <w:lang w:eastAsia="es-ES_tradnl"/>
        </w:rPr>
        <w:t xml:space="preserve">1. Se puede adicionar </w:t>
      </w:r>
      <w:proofErr w:type="spellStart"/>
      <w:r w:rsidRPr="004E1AEB">
        <w:rPr>
          <w:rFonts w:ascii="Century Gothic" w:eastAsia="Century Gothic" w:hAnsi="Century Gothic" w:cs="Century Gothic"/>
          <w:sz w:val="20"/>
          <w:szCs w:val="20"/>
          <w:lang w:eastAsia="es-ES_tradnl"/>
        </w:rPr>
        <w:t>mas</w:t>
      </w:r>
      <w:proofErr w:type="spellEnd"/>
      <w:r w:rsidRPr="004E1AEB">
        <w:rPr>
          <w:rFonts w:ascii="Century Gothic" w:eastAsia="Century Gothic" w:hAnsi="Century Gothic" w:cs="Century Gothic"/>
          <w:sz w:val="20"/>
          <w:szCs w:val="20"/>
          <w:lang w:eastAsia="es-ES_tradnl"/>
        </w:rPr>
        <w:t xml:space="preserve"> del 50% el valor del convenio de </w:t>
      </w:r>
      <w:proofErr w:type="gramStart"/>
      <w:r w:rsidRPr="004E1AEB">
        <w:rPr>
          <w:rFonts w:ascii="Century Gothic" w:eastAsia="Century Gothic" w:hAnsi="Century Gothic" w:cs="Century Gothic"/>
          <w:sz w:val="20"/>
          <w:szCs w:val="20"/>
          <w:lang w:eastAsia="es-ES_tradnl"/>
        </w:rPr>
        <w:t>asociación ?</w:t>
      </w:r>
      <w:proofErr w:type="gramEnd"/>
    </w:p>
    <w:p w14:paraId="4C2D3164" w14:textId="77777777" w:rsidR="004E1AEB" w:rsidRPr="004E1AEB" w:rsidRDefault="004E1AEB" w:rsidP="004E1AEB">
      <w:pPr>
        <w:spacing w:after="0" w:line="240" w:lineRule="auto"/>
        <w:ind w:left="709" w:right="709"/>
        <w:jc w:val="both"/>
        <w:rPr>
          <w:rFonts w:ascii="Century Gothic" w:eastAsia="Century Gothic" w:hAnsi="Century Gothic" w:cs="Century Gothic"/>
          <w:sz w:val="20"/>
          <w:szCs w:val="20"/>
          <w:lang w:eastAsia="es-ES_tradnl"/>
        </w:rPr>
      </w:pPr>
    </w:p>
    <w:p w14:paraId="7CCCAE2E" w14:textId="77777777" w:rsidR="004E1AEB" w:rsidRPr="004E1AEB" w:rsidRDefault="004E1AEB" w:rsidP="004E1AEB">
      <w:pPr>
        <w:spacing w:after="0" w:line="240" w:lineRule="auto"/>
        <w:ind w:left="709" w:right="709"/>
        <w:jc w:val="both"/>
        <w:rPr>
          <w:rFonts w:ascii="Century Gothic" w:eastAsia="Century Gothic" w:hAnsi="Century Gothic" w:cs="Century Gothic"/>
          <w:sz w:val="20"/>
          <w:szCs w:val="20"/>
          <w:lang w:eastAsia="es-ES_tradnl"/>
        </w:rPr>
      </w:pPr>
      <w:r w:rsidRPr="004E1AEB">
        <w:rPr>
          <w:rFonts w:ascii="Century Gothic" w:eastAsia="Century Gothic" w:hAnsi="Century Gothic" w:cs="Century Gothic"/>
          <w:sz w:val="20"/>
          <w:szCs w:val="20"/>
          <w:lang w:eastAsia="es-ES_tradnl"/>
        </w:rPr>
        <w:t xml:space="preserve">2. Si bien es cierto, el convenio se celebra de manera directa porque el cooperante aporta el 30%; Para realizar una adición el cooperante deberá aportar del 30% del valor de la adición </w:t>
      </w:r>
      <w:proofErr w:type="gramStart"/>
      <w:r w:rsidRPr="004E1AEB">
        <w:rPr>
          <w:rFonts w:ascii="Century Gothic" w:eastAsia="Century Gothic" w:hAnsi="Century Gothic" w:cs="Century Gothic"/>
          <w:sz w:val="20"/>
          <w:szCs w:val="20"/>
          <w:lang w:eastAsia="es-ES_tradnl"/>
        </w:rPr>
        <w:t>nuevamente ?</w:t>
      </w:r>
      <w:proofErr w:type="gramEnd"/>
      <w:r w:rsidRPr="004E1AEB">
        <w:rPr>
          <w:rFonts w:ascii="Century Gothic" w:eastAsia="Century Gothic" w:hAnsi="Century Gothic" w:cs="Century Gothic"/>
          <w:sz w:val="20"/>
          <w:szCs w:val="20"/>
          <w:lang w:eastAsia="es-ES_tradnl"/>
        </w:rPr>
        <w:t xml:space="preserve"> o no será necesario y dicho requisito solo es para la suscripción del convenio ?</w:t>
      </w:r>
    </w:p>
    <w:p w14:paraId="53430748" w14:textId="77777777" w:rsidR="004E1AEB" w:rsidRPr="004E1AEB" w:rsidRDefault="004E1AEB" w:rsidP="004E1AEB">
      <w:pPr>
        <w:spacing w:after="0" w:line="240" w:lineRule="auto"/>
        <w:ind w:left="709" w:right="709"/>
        <w:jc w:val="both"/>
        <w:rPr>
          <w:rFonts w:ascii="Century Gothic" w:eastAsia="Century Gothic" w:hAnsi="Century Gothic" w:cs="Century Gothic"/>
          <w:sz w:val="20"/>
          <w:szCs w:val="20"/>
          <w:lang w:eastAsia="es-ES_tradnl"/>
        </w:rPr>
      </w:pPr>
    </w:p>
    <w:p w14:paraId="4D7B36A3" w14:textId="77777777" w:rsidR="004E1AEB" w:rsidRPr="004E1AEB" w:rsidRDefault="004E1AEB" w:rsidP="004E1AEB">
      <w:pPr>
        <w:spacing w:after="0" w:line="240" w:lineRule="auto"/>
        <w:ind w:left="709" w:right="709"/>
        <w:jc w:val="both"/>
        <w:rPr>
          <w:rFonts w:ascii="Century Gothic" w:eastAsia="Century Gothic" w:hAnsi="Century Gothic" w:cs="Century Gothic"/>
          <w:sz w:val="20"/>
          <w:szCs w:val="20"/>
          <w:lang w:eastAsia="es-ES_tradnl"/>
        </w:rPr>
      </w:pPr>
      <w:r w:rsidRPr="004E1AEB">
        <w:rPr>
          <w:rFonts w:ascii="Century Gothic" w:eastAsia="Century Gothic" w:hAnsi="Century Gothic" w:cs="Century Gothic"/>
          <w:sz w:val="20"/>
          <w:szCs w:val="20"/>
          <w:lang w:eastAsia="es-ES_tradnl"/>
        </w:rPr>
        <w:t xml:space="preserve">3. Es obligatorio que el COOPERANTE demuestre el 30% del aporte a través de certificación bancaria o podrá acreditarse a través de declaración bajo juramento o cualquier otro </w:t>
      </w:r>
      <w:proofErr w:type="gramStart"/>
      <w:r w:rsidRPr="004E1AEB">
        <w:rPr>
          <w:rFonts w:ascii="Century Gothic" w:eastAsia="Century Gothic" w:hAnsi="Century Gothic" w:cs="Century Gothic"/>
          <w:sz w:val="20"/>
          <w:szCs w:val="20"/>
          <w:lang w:eastAsia="es-ES_tradnl"/>
        </w:rPr>
        <w:t>medio ?</w:t>
      </w:r>
      <w:proofErr w:type="gramEnd"/>
    </w:p>
    <w:p w14:paraId="0AEBF11F" w14:textId="77777777" w:rsidR="004E1AEB" w:rsidRPr="004E1AEB" w:rsidRDefault="004E1AEB" w:rsidP="004E1AEB">
      <w:pPr>
        <w:spacing w:after="0" w:line="240" w:lineRule="auto"/>
        <w:ind w:left="709" w:right="709"/>
        <w:jc w:val="both"/>
        <w:rPr>
          <w:rFonts w:ascii="Century Gothic" w:eastAsia="Century Gothic" w:hAnsi="Century Gothic" w:cs="Century Gothic"/>
          <w:sz w:val="20"/>
          <w:szCs w:val="20"/>
          <w:lang w:eastAsia="es-ES_tradnl"/>
        </w:rPr>
      </w:pPr>
    </w:p>
    <w:p w14:paraId="188DE6F0" w14:textId="77777777" w:rsidR="004E1AEB" w:rsidRPr="004E1AEB" w:rsidRDefault="004E1AEB" w:rsidP="004E1AEB">
      <w:pPr>
        <w:spacing w:after="0" w:line="240" w:lineRule="auto"/>
        <w:ind w:left="709" w:right="709"/>
        <w:jc w:val="both"/>
        <w:rPr>
          <w:rFonts w:ascii="Century Gothic" w:eastAsia="Century Gothic" w:hAnsi="Century Gothic" w:cs="Century Gothic"/>
          <w:sz w:val="20"/>
          <w:szCs w:val="20"/>
          <w:lang w:eastAsia="es-ES_tradnl"/>
        </w:rPr>
      </w:pPr>
      <w:r w:rsidRPr="004E1AEB">
        <w:rPr>
          <w:rFonts w:ascii="Century Gothic" w:eastAsia="Century Gothic" w:hAnsi="Century Gothic" w:cs="Century Gothic"/>
          <w:sz w:val="20"/>
          <w:szCs w:val="20"/>
          <w:lang w:eastAsia="es-ES_tradnl"/>
        </w:rPr>
        <w:t xml:space="preserve">4. El convenio del </w:t>
      </w:r>
      <w:proofErr w:type="spellStart"/>
      <w:r w:rsidRPr="004E1AEB">
        <w:rPr>
          <w:rFonts w:ascii="Century Gothic" w:eastAsia="Century Gothic" w:hAnsi="Century Gothic" w:cs="Century Gothic"/>
          <w:sz w:val="20"/>
          <w:szCs w:val="20"/>
          <w:lang w:eastAsia="es-ES_tradnl"/>
        </w:rPr>
        <w:t>articulo</w:t>
      </w:r>
      <w:proofErr w:type="spellEnd"/>
      <w:r w:rsidRPr="004E1AEB">
        <w:rPr>
          <w:rFonts w:ascii="Century Gothic" w:eastAsia="Century Gothic" w:hAnsi="Century Gothic" w:cs="Century Gothic"/>
          <w:sz w:val="20"/>
          <w:szCs w:val="20"/>
          <w:lang w:eastAsia="es-ES_tradnl"/>
        </w:rPr>
        <w:t xml:space="preserve"> 5° del DECRETO 092 lo pueden suscribir los </w:t>
      </w:r>
      <w:proofErr w:type="gramStart"/>
      <w:r w:rsidRPr="004E1AEB">
        <w:rPr>
          <w:rFonts w:ascii="Century Gothic" w:eastAsia="Century Gothic" w:hAnsi="Century Gothic" w:cs="Century Gothic"/>
          <w:sz w:val="20"/>
          <w:szCs w:val="20"/>
          <w:lang w:eastAsia="es-ES_tradnl"/>
        </w:rPr>
        <w:t>CONCEJOS  MUNICIPALES</w:t>
      </w:r>
      <w:proofErr w:type="gramEnd"/>
      <w:r w:rsidRPr="004E1AEB">
        <w:rPr>
          <w:rFonts w:ascii="Century Gothic" w:eastAsia="Century Gothic" w:hAnsi="Century Gothic" w:cs="Century Gothic"/>
          <w:sz w:val="20"/>
          <w:szCs w:val="20"/>
          <w:lang w:eastAsia="es-ES_tradnl"/>
        </w:rPr>
        <w:t>?” (SIC).</w:t>
      </w:r>
    </w:p>
    <w:p w14:paraId="16E15344" w14:textId="77777777" w:rsidR="004E1AEB" w:rsidRPr="004E1AEB" w:rsidRDefault="004E1AEB" w:rsidP="004E1AEB">
      <w:pPr>
        <w:spacing w:after="0" w:line="276" w:lineRule="auto"/>
        <w:ind w:left="709" w:right="709"/>
        <w:jc w:val="both"/>
        <w:rPr>
          <w:rFonts w:ascii="Century Gothic" w:eastAsia="Century Gothic" w:hAnsi="Century Gothic" w:cs="Century Gothic"/>
          <w:lang w:val="es-ES" w:eastAsia="es-ES_tradnl"/>
        </w:rPr>
      </w:pPr>
    </w:p>
    <w:p w14:paraId="5D441584" w14:textId="77777777" w:rsidR="004E1AEB" w:rsidRPr="004E1AEB" w:rsidRDefault="004E1AEB" w:rsidP="004E1AEB">
      <w:pPr>
        <w:numPr>
          <w:ilvl w:val="0"/>
          <w:numId w:val="6"/>
        </w:numPr>
        <w:tabs>
          <w:tab w:val="left" w:pos="284"/>
        </w:tabs>
        <w:spacing w:after="0" w:line="276" w:lineRule="auto"/>
        <w:ind w:left="0" w:firstLine="0"/>
        <w:jc w:val="both"/>
        <w:rPr>
          <w:rFonts w:ascii="Century Gothic" w:eastAsia="Century Gothic" w:hAnsi="Century Gothic" w:cs="Century Gothic"/>
          <w:b/>
          <w:bCs/>
          <w:lang w:val="es-ES"/>
        </w:rPr>
      </w:pPr>
      <w:r w:rsidRPr="004E1AEB">
        <w:rPr>
          <w:rFonts w:ascii="Century Gothic" w:eastAsia="Century Gothic" w:hAnsi="Century Gothic" w:cs="Century Gothic"/>
          <w:b/>
          <w:bCs/>
          <w:lang w:val="es-ES"/>
        </w:rPr>
        <w:t>Consideraciones</w:t>
      </w:r>
    </w:p>
    <w:p w14:paraId="17FA638A" w14:textId="77777777" w:rsidR="004E1AEB" w:rsidRPr="004E1AEB" w:rsidRDefault="004E1AEB" w:rsidP="004E1AEB">
      <w:pPr>
        <w:tabs>
          <w:tab w:val="left" w:pos="284"/>
        </w:tabs>
        <w:spacing w:after="0" w:line="276" w:lineRule="auto"/>
        <w:jc w:val="both"/>
        <w:rPr>
          <w:rFonts w:ascii="Century Gothic" w:eastAsia="Century Gothic" w:hAnsi="Century Gothic" w:cs="Century Gothic"/>
          <w:b/>
          <w:bCs/>
          <w:lang w:val="es-ES"/>
        </w:rPr>
      </w:pPr>
    </w:p>
    <w:p w14:paraId="7BC95EE6" w14:textId="77777777" w:rsidR="004E1AEB" w:rsidRPr="004E1AEB" w:rsidRDefault="004E1AEB" w:rsidP="004E1AEB">
      <w:pPr>
        <w:spacing w:after="120" w:line="276" w:lineRule="auto"/>
        <w:jc w:val="both"/>
        <w:rPr>
          <w:rFonts w:ascii="Century Gothic" w:eastAsia="Century Gothic" w:hAnsi="Century Gothic" w:cs="Century Gothic"/>
          <w:lang w:val="es-ES" w:eastAsia="es-ES_tradnl"/>
        </w:rPr>
      </w:pPr>
      <w:r w:rsidRPr="004E1AEB">
        <w:rPr>
          <w:rFonts w:ascii="Century Gothic" w:eastAsia="Century Gothic" w:hAnsi="Century Gothic" w:cs="Century Gothic"/>
          <w:lang w:eastAsia="es-ES_tradn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2" w:name="_Hlk61701014"/>
      <w:bookmarkStart w:id="3" w:name="_Hlk62136649"/>
      <w:r w:rsidRPr="004E1AEB">
        <w:rPr>
          <w:rFonts w:ascii="Century Gothic" w:eastAsia="Century Gothic" w:hAnsi="Century Gothic" w:cs="Century Gothic"/>
          <w:lang w:eastAsia="es-ES_tradnl"/>
        </w:rPr>
        <w:t xml:space="preserve"> </w:t>
      </w:r>
      <w:r w:rsidRPr="004E1AEB">
        <w:rPr>
          <w:rFonts w:ascii="Century Gothic" w:eastAsia="Century Gothic" w:hAnsi="Century Gothic" w:cs="Century Gothic"/>
          <w:lang w:val="es-ES" w:eastAsia="es-ES_tradnl"/>
        </w:rPr>
        <w:t xml:space="preserve">Es necesario tener en cuenta que </w:t>
      </w:r>
      <w:bookmarkStart w:id="4" w:name="_Hlk61026958"/>
      <w:r w:rsidRPr="004E1AEB">
        <w:rPr>
          <w:rFonts w:ascii="Century Gothic" w:eastAsia="Century Gothic" w:hAnsi="Century Gothic" w:cs="Century Gothic"/>
          <w:lang w:val="es-ES"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4E1AEB">
        <w:rPr>
          <w:rFonts w:ascii="Century Gothic" w:eastAsia="Century Gothic" w:hAnsi="Century Gothic" w:cs="Century Gothic"/>
          <w:lang w:eastAsia="es-ES_tradnl"/>
        </w:rPr>
        <w:t xml:space="preserve"> de todos los partícipes de la contratación estatal.</w:t>
      </w:r>
    </w:p>
    <w:p w14:paraId="774A9F7A" w14:textId="77777777" w:rsidR="004E1AEB" w:rsidRPr="004E1AEB" w:rsidRDefault="004E1AEB" w:rsidP="004E1AEB">
      <w:pPr>
        <w:spacing w:after="120" w:line="276" w:lineRule="auto"/>
        <w:ind w:firstLine="708"/>
        <w:jc w:val="both"/>
        <w:rPr>
          <w:rFonts w:ascii="Century Gothic" w:eastAsia="Century Gothic" w:hAnsi="Century Gothic" w:cs="Century Gothic"/>
          <w:lang w:val="es-ES" w:eastAsia="es-ES_tradnl"/>
        </w:rPr>
      </w:pPr>
      <w:r w:rsidRPr="004E1AEB">
        <w:rPr>
          <w:rFonts w:ascii="Century Gothic" w:eastAsia="Century Gothic" w:hAnsi="Century Gothic" w:cs="Century Gothic"/>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4E1AEB">
        <w:rPr>
          <w:rFonts w:ascii="Century Gothic" w:eastAsia="Century Gothic" w:hAnsi="Century Gothic" w:cs="Century Gothic"/>
          <w:vertAlign w:val="superscript"/>
          <w:lang w:val="es-ES" w:eastAsia="es-ES_tradnl"/>
        </w:rPr>
        <w:footnoteReference w:id="2"/>
      </w:r>
      <w:r w:rsidRPr="004E1AEB">
        <w:rPr>
          <w:rFonts w:ascii="Century Gothic" w:eastAsia="Century Gothic" w:hAnsi="Century Gothic" w:cs="Century Gothic"/>
          <w:lang w:val="es-ES" w:eastAsia="es-ES_tradnl"/>
        </w:rPr>
        <w:t xml:space="preserve">. Esta competencia de interpretación de normas generales, </w:t>
      </w:r>
      <w:r w:rsidRPr="004E1AEB">
        <w:rPr>
          <w:rFonts w:ascii="Century Gothic" w:eastAsia="Century Gothic" w:hAnsi="Century Gothic" w:cs="Century Gothic"/>
          <w:lang w:val="es-ES" w:eastAsia="es-ES_tradnl"/>
        </w:rPr>
        <w:lastRenderedPageBreak/>
        <w:t>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4"/>
      <w:r w:rsidRPr="004E1AEB">
        <w:rPr>
          <w:rFonts w:ascii="Century Gothic" w:eastAsia="Century Gothic" w:hAnsi="Century Gothic" w:cs="Century Gothic"/>
          <w:lang w:val="es-ES" w:eastAsia="es-ES_tradnl"/>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2"/>
    </w:p>
    <w:bookmarkEnd w:id="3"/>
    <w:p w14:paraId="04D50A54" w14:textId="77777777" w:rsidR="004E1AEB" w:rsidRPr="004E1AEB" w:rsidRDefault="004E1AEB" w:rsidP="004E1AEB">
      <w:pPr>
        <w:tabs>
          <w:tab w:val="left" w:pos="426"/>
        </w:tabs>
        <w:spacing w:after="120" w:line="276" w:lineRule="auto"/>
        <w:jc w:val="both"/>
        <w:rPr>
          <w:rFonts w:ascii="Century Gothic" w:eastAsia="Century Gothic" w:hAnsi="Century Gothic" w:cs="Century Gothic"/>
          <w:lang w:val="es-ES" w:eastAsia="es-ES_tradnl"/>
        </w:rPr>
      </w:pPr>
      <w:r w:rsidRPr="004E1AEB">
        <w:rPr>
          <w:rFonts w:ascii="Century Gothic" w:eastAsia="Times New Roman" w:hAnsi="Century Gothic" w:cs="Arial"/>
          <w:lang w:eastAsia="es-ES_tradnl"/>
        </w:rPr>
        <w:tab/>
      </w:r>
      <w:r w:rsidRPr="004E1AEB">
        <w:rPr>
          <w:rFonts w:ascii="Century Gothic" w:eastAsia="Times New Roman" w:hAnsi="Century Gothic" w:cs="Arial"/>
          <w:lang w:eastAsia="es-ES_tradnl"/>
        </w:rPr>
        <w:tab/>
      </w:r>
      <w:r w:rsidRPr="004E1AEB">
        <w:rPr>
          <w:rFonts w:ascii="Century Gothic" w:eastAsia="Century Gothic" w:hAnsi="Century Gothic" w:cs="Century Gothic"/>
          <w:lang w:eastAsia="es-ES_tradnl"/>
        </w:rPr>
        <w:t xml:space="preserve">En atención de lo anterior, la Subdirección de Gestión Contractual, dentro de los límites de sus atribuciones, resolverá la consulta conforme a las normas generales en materia de contratación estatal. Con este objetivo se analizarán </w:t>
      </w:r>
      <w:r w:rsidRPr="004E1AEB">
        <w:rPr>
          <w:rFonts w:ascii="Century Gothic" w:eastAsia="Century Gothic" w:hAnsi="Century Gothic" w:cs="Century Gothic"/>
          <w:lang w:val="es-ES" w:eastAsia="es-ES_tradnl"/>
        </w:rPr>
        <w:t xml:space="preserve">los siguientes temas: </w:t>
      </w:r>
      <w:r w:rsidRPr="004E1AEB">
        <w:rPr>
          <w:rFonts w:ascii="Century Gothic" w:eastAsia="Calibri" w:hAnsi="Century Gothic" w:cs="Arial"/>
          <w:color w:val="000000" w:themeColor="text1"/>
          <w:lang w:val="es-ES" w:eastAsia="es-ES_tradnl"/>
        </w:rPr>
        <w:t xml:space="preserve">i) </w:t>
      </w:r>
      <w:r w:rsidRPr="004E1AEB">
        <w:rPr>
          <w:rFonts w:ascii="Century Gothic" w:eastAsia="Calibri" w:hAnsi="Century Gothic" w:cs="Arial"/>
          <w:color w:val="000000" w:themeColor="text1"/>
          <w:lang w:val="es-ES_tradnl"/>
        </w:rPr>
        <w:t>Régimen jurídico aplicable a los convenios regulados en el artículo 355 de la Constitución Política, en el artículo 96 de la Ley 489 de 1998 y en el Decreto 092 de 2017</w:t>
      </w:r>
      <w:r w:rsidRPr="004E1AEB">
        <w:rPr>
          <w:rFonts w:ascii="Century Gothic" w:eastAsia="Calibri" w:hAnsi="Century Gothic" w:cs="Arial"/>
          <w:noProof/>
          <w:lang w:val="es-ES_tradnl" w:eastAsia="es-ES_tradnl"/>
        </w:rPr>
        <w:t>; ii) la capacidad</w:t>
      </w:r>
      <w:r w:rsidRPr="004E1AEB">
        <w:rPr>
          <w:rFonts w:ascii="Century Gothic" w:eastAsia="Calibri" w:hAnsi="Century Gothic" w:cs="Arial"/>
          <w:lang w:val="es-ES_tradnl" w:eastAsia="es-ES_tradnl"/>
        </w:rPr>
        <w:t xml:space="preserve"> de los </w:t>
      </w:r>
      <w:r w:rsidRPr="004E1AEB">
        <w:rPr>
          <w:rFonts w:ascii="Century Gothic" w:eastAsia="Times New Roman" w:hAnsi="Century Gothic" w:cs="Arial"/>
          <w:lang w:eastAsia="es-ES_tradnl"/>
        </w:rPr>
        <w:t xml:space="preserve">concejos municipales de celebrar convenios de asociación; </w:t>
      </w:r>
      <w:proofErr w:type="spellStart"/>
      <w:r w:rsidRPr="004E1AEB">
        <w:rPr>
          <w:rFonts w:ascii="Century Gothic" w:eastAsia="Times New Roman" w:hAnsi="Century Gothic" w:cs="Arial"/>
          <w:lang w:eastAsia="es-ES_tradnl"/>
        </w:rPr>
        <w:t>iii</w:t>
      </w:r>
      <w:proofErr w:type="spellEnd"/>
      <w:r w:rsidRPr="004E1AEB">
        <w:rPr>
          <w:rFonts w:ascii="Century Gothic" w:eastAsia="Times New Roman" w:hAnsi="Century Gothic" w:cs="Arial"/>
          <w:lang w:eastAsia="es-ES_tradnl"/>
        </w:rPr>
        <w:t>)</w:t>
      </w:r>
      <w:r w:rsidRPr="004E1AEB">
        <w:rPr>
          <w:rFonts w:ascii="Century Gothic" w:eastAsia="Calibri" w:hAnsi="Century Gothic" w:cs="Arial"/>
          <w:noProof/>
          <w:lang w:val="es-ES_tradnl" w:eastAsia="es-ES_tradnl"/>
        </w:rPr>
        <w:t xml:space="preserve"> los aportes en los convenios de asociación y su incidencia en la forma de selección de la ESAL y; iv) el l</w:t>
      </w:r>
      <w:r w:rsidRPr="004E1AEB">
        <w:rPr>
          <w:rFonts w:ascii="Century Gothic" w:eastAsia="Calibri" w:hAnsi="Century Gothic" w:cs="Arial"/>
          <w:szCs w:val="24"/>
          <w:lang w:val="es-ES_tradnl" w:eastAsia="es-ES_tradnl"/>
        </w:rPr>
        <w:t>imite a la adición de los convenios de asociación.</w:t>
      </w:r>
    </w:p>
    <w:p w14:paraId="7BF9E77E" w14:textId="77777777" w:rsidR="004E1AEB" w:rsidRPr="004E1AEB" w:rsidRDefault="004E1AEB" w:rsidP="004E1AEB">
      <w:pPr>
        <w:spacing w:after="0" w:line="276" w:lineRule="auto"/>
        <w:ind w:firstLine="709"/>
        <w:jc w:val="both"/>
        <w:rPr>
          <w:rFonts w:ascii="Century Gothic" w:eastAsia="Century Gothic" w:hAnsi="Century Gothic" w:cs="Century Gothic"/>
          <w:lang w:val="es-ES" w:eastAsia="es-ES_tradnl"/>
        </w:rPr>
      </w:pPr>
      <w:r w:rsidRPr="004E1AEB">
        <w:rPr>
          <w:rFonts w:ascii="Century Gothic" w:eastAsia="Calibri" w:hAnsi="Century Gothic" w:cs="Arial"/>
          <w:color w:val="000000" w:themeColor="text1"/>
          <w:lang w:val="es-ES_tradnl" w:eastAsia="es-ES_tradnl"/>
        </w:rPr>
        <w:t xml:space="preserve">La Agencia Nacional de Contratación Pública – Colombia Compra Eficiente analizó </w:t>
      </w:r>
      <w:r w:rsidRPr="004E1AEB">
        <w:rPr>
          <w:rFonts w:ascii="Century Gothic" w:eastAsia="Calibri" w:hAnsi="Century Gothic" w:cs="Arial"/>
          <w:bCs/>
          <w:color w:val="000000" w:themeColor="text1"/>
          <w:lang w:val="es-ES_tradnl" w:eastAsia="es-ES_tradnl"/>
        </w:rPr>
        <w:t xml:space="preserve">el régimen de los convenios de asociación regulados en el artículo 355 de la Constitución y en el Decreto 092 de 2017, entre otros, en los conceptos con radicado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C-379 del 26 de julio de 2021, C-548 del 05 de octubre de 2021, C-092 del 09 de marzo de 2022, C-106 del 30 de marzo de 2022 y C-274 del 05 de mayo de 2022. Así mismo, explicó los convenios de asociación entre Entidades Públicas y particulares regulados en el </w:t>
      </w:r>
      <w:r w:rsidRPr="004E1AEB">
        <w:rPr>
          <w:rFonts w:ascii="Century Gothic" w:eastAsia="Calibri" w:hAnsi="Century Gothic" w:cs="Arial"/>
          <w:bCs/>
          <w:color w:val="000000" w:themeColor="text1"/>
          <w:lang w:val="es-ES_tradnl" w:eastAsia="es-ES_tradnl"/>
        </w:rPr>
        <w:lastRenderedPageBreak/>
        <w:t>artículo 96 de la Ley 489 de 1998, entre otros, en los conceptos 4201912000007899 del 27 de diciembre de 2019, 4201912000007901 del 27 de diciembre de 2019, C-055 del 28 de enero de 2020, C-086 del 16 de marzo de 2020, C-101 del 16 de marzo de 2020, C-228 del 17 de marzo de 2020, C-014 del 24 de marzo de 2020, C-416 del 30 de junio de 2020, C-483 del 06 de agosto de 2020, C-579 del 4 de septiembre de 2020, C-594 del 7 de septiembre de 2020, C-670 del 30 de noviembre de 2020, C-758 del 4 de enero de 2021, C-057 del 10 de marzo de 2021, C-379 de 26 de julio de 2021, C-524 de 13 de otubre de 2021, C-594 del 28 de otubre de 2021, C-609 del 29 de otubre de 2021, C-638 del 15 de diciembre de 2021, C-670 de 28 de diciembre de 2021, C-051 del 7 de marzo de 2022, C-145 del 28 de marzo de 2022, C-274 del 05 de mayo de 2022, C-292 del 11 de mayo de 2022, C-273 del 6 de mayo de 2022, C-771 del 29 de diciembre de 2022</w:t>
      </w:r>
      <w:r w:rsidRPr="004E1AEB">
        <w:rPr>
          <w:rFonts w:ascii="Century Gothic" w:eastAsia="Century Gothic" w:hAnsi="Century Gothic" w:cs="Century Gothic"/>
          <w:vertAlign w:val="superscript"/>
          <w:lang w:val="es-ES" w:eastAsia="es-ES_tradnl"/>
        </w:rPr>
        <w:footnoteReference w:id="3"/>
      </w:r>
      <w:r w:rsidRPr="004E1AEB">
        <w:rPr>
          <w:rFonts w:ascii="Century Gothic" w:eastAsia="Century Gothic" w:hAnsi="Century Gothic" w:cs="Century Gothic"/>
          <w:lang w:val="es-ES" w:eastAsia="es-ES_tradnl"/>
        </w:rPr>
        <w:t xml:space="preserve">. Las tesis expuestas en estos conceptos se reiteran a continuación y se complementan en lo pertinente, teniendo en cuenta los interrogantes planteados. </w:t>
      </w:r>
    </w:p>
    <w:p w14:paraId="3D32C8B5" w14:textId="77777777" w:rsidR="004E1AEB" w:rsidRPr="004E1AEB" w:rsidRDefault="004E1AEB" w:rsidP="004E1AEB">
      <w:pPr>
        <w:spacing w:after="0" w:line="276" w:lineRule="auto"/>
        <w:ind w:firstLine="709"/>
        <w:jc w:val="both"/>
        <w:rPr>
          <w:rFonts w:ascii="Century Gothic" w:eastAsia="Century Gothic" w:hAnsi="Century Gothic" w:cs="Century Gothic"/>
          <w:lang w:val="es-ES" w:eastAsia="es-ES_tradnl"/>
        </w:rPr>
      </w:pPr>
    </w:p>
    <w:p w14:paraId="604A8C03" w14:textId="77777777" w:rsidR="004E1AEB" w:rsidRPr="004E1AEB" w:rsidRDefault="004E1AEB" w:rsidP="004E1AEB">
      <w:pPr>
        <w:spacing w:after="0" w:line="276" w:lineRule="auto"/>
        <w:jc w:val="both"/>
        <w:rPr>
          <w:rFonts w:ascii="Century Gothic" w:eastAsia="Calibri" w:hAnsi="Century Gothic" w:cs="Arial"/>
          <w:b/>
          <w:bCs/>
          <w:color w:val="000000" w:themeColor="text1"/>
          <w:lang w:val="es-ES_tradnl"/>
        </w:rPr>
      </w:pPr>
      <w:bookmarkStart w:id="5" w:name="_Hlk117695077"/>
      <w:r w:rsidRPr="004E1AEB">
        <w:rPr>
          <w:rFonts w:ascii="Century Gothic" w:eastAsia="Calibri" w:hAnsi="Century Gothic" w:cs="Arial"/>
          <w:b/>
          <w:bCs/>
          <w:color w:val="000000" w:themeColor="text1"/>
          <w:lang w:val="es-ES_tradnl"/>
        </w:rPr>
        <w:t xml:space="preserve">2.1. Régimen jurídico aplicable a los convenios regulados en el artículo 355 de la Constitución Política, en el artículo 96 de la Ley 489 de 1998 y en el Decreto 092 de 2017. Reiteración de línea </w:t>
      </w:r>
    </w:p>
    <w:p w14:paraId="26EA3B23" w14:textId="77777777" w:rsidR="004E1AEB" w:rsidRPr="004E1AEB" w:rsidRDefault="004E1AEB" w:rsidP="004E1AEB">
      <w:pPr>
        <w:spacing w:after="0" w:line="276" w:lineRule="auto"/>
        <w:jc w:val="both"/>
        <w:rPr>
          <w:rFonts w:ascii="Century Gothic" w:eastAsia="Calibri" w:hAnsi="Century Gothic" w:cs="Arial"/>
          <w:color w:val="000000" w:themeColor="text1"/>
          <w:lang w:val="es-ES_tradnl"/>
        </w:rPr>
      </w:pPr>
    </w:p>
    <w:p w14:paraId="02EB84B6" w14:textId="77777777" w:rsidR="004E1AEB" w:rsidRPr="004E1AEB" w:rsidRDefault="004E1AEB" w:rsidP="004E1AEB">
      <w:pPr>
        <w:spacing w:after="120" w:line="276" w:lineRule="auto"/>
        <w:jc w:val="both"/>
        <w:rPr>
          <w:rFonts w:ascii="Century Gothic" w:eastAsia="Calibri" w:hAnsi="Century Gothic" w:cs="Arial"/>
          <w:color w:val="000000" w:themeColor="text1"/>
          <w:lang w:val="es-ES"/>
        </w:rPr>
      </w:pPr>
      <w:r w:rsidRPr="004E1AEB">
        <w:rPr>
          <w:rFonts w:ascii="Century Gothic" w:eastAsia="Calibri" w:hAnsi="Century Gothic" w:cs="Arial"/>
          <w:color w:val="000000" w:themeColor="text1"/>
          <w:lang w:val="es-ES"/>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sin ánimo de lucro – en adelante ESAL – con el fin de impulsar programas y actividades de interés público acordes con el plan nacional y los planes seccionales de desarrollo</w:t>
      </w:r>
      <w:r w:rsidRPr="004E1AEB">
        <w:rPr>
          <w:rFonts w:ascii="Century Gothic" w:hAnsi="Century Gothic" w:cs="Arial"/>
          <w:color w:val="000000" w:themeColor="text1"/>
          <w:vertAlign w:val="superscript"/>
          <w:lang w:val="es-ES"/>
        </w:rPr>
        <w:footnoteReference w:id="4"/>
      </w:r>
      <w:r w:rsidRPr="004E1AEB">
        <w:rPr>
          <w:rFonts w:ascii="Century Gothic" w:eastAsia="Calibri" w:hAnsi="Century Gothic" w:cs="Arial"/>
          <w:color w:val="000000" w:themeColor="text1"/>
          <w:lang w:val="es-ES"/>
        </w:rPr>
        <w:t xml:space="preserve">. </w:t>
      </w:r>
      <w:bookmarkStart w:id="6" w:name="_Hlk164688501"/>
      <w:r w:rsidRPr="004E1AEB">
        <w:rPr>
          <w:rFonts w:ascii="Century Gothic" w:eastAsia="Calibri" w:hAnsi="Century Gothic" w:cs="Arial"/>
          <w:color w:val="000000" w:themeColor="text1"/>
          <w:lang w:val="es-ES"/>
        </w:rPr>
        <w:t>Por otra parte, el artículo 96 de la Ley 489 de 1998</w:t>
      </w:r>
      <w:r w:rsidRPr="004E1AEB">
        <w:rPr>
          <w:rFonts w:ascii="Century Gothic" w:eastAsia="Calibri" w:hAnsi="Century Gothic" w:cs="Arial"/>
          <w:color w:val="000000" w:themeColor="text1"/>
          <w:vertAlign w:val="superscript"/>
          <w:lang w:val="es-ES"/>
        </w:rPr>
        <w:footnoteReference w:id="5"/>
      </w:r>
      <w:r w:rsidRPr="004E1AEB">
        <w:rPr>
          <w:rFonts w:ascii="Century Gothic" w:eastAsia="Calibri" w:hAnsi="Century Gothic" w:cs="Arial"/>
          <w:color w:val="000000" w:themeColor="text1"/>
          <w:lang w:val="es-ES"/>
        </w:rPr>
        <w:t xml:space="preserve"> permite a las </w:t>
      </w:r>
      <w:r w:rsidRPr="004E1AEB">
        <w:rPr>
          <w:rFonts w:ascii="Century Gothic" w:eastAsia="Calibri" w:hAnsi="Century Gothic" w:cs="Arial"/>
          <w:color w:val="000000" w:themeColor="text1"/>
          <w:lang w:val="es-ES"/>
        </w:rPr>
        <w:lastRenderedPageBreak/>
        <w:t>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bookmarkEnd w:id="6"/>
      <w:r w:rsidRPr="004E1AEB">
        <w:rPr>
          <w:rFonts w:ascii="Century Gothic" w:eastAsia="Calibri" w:hAnsi="Century Gothic" w:cs="Arial"/>
          <w:color w:val="000000" w:themeColor="text1"/>
          <w:lang w:val="es-ES"/>
        </w:rPr>
        <w:t>.</w:t>
      </w:r>
    </w:p>
    <w:p w14:paraId="204EE92D" w14:textId="77777777" w:rsidR="004E1AEB" w:rsidRPr="004E1AEB" w:rsidRDefault="004E1AEB" w:rsidP="004E1AEB">
      <w:pPr>
        <w:spacing w:after="120" w:line="276" w:lineRule="auto"/>
        <w:ind w:firstLine="708"/>
        <w:jc w:val="both"/>
        <w:rPr>
          <w:rFonts w:ascii="Century Gothic" w:eastAsia="Calibri" w:hAnsi="Century Gothic" w:cs="Arial"/>
          <w:color w:val="000000"/>
          <w:lang w:val="es-MX" w:eastAsia="es-ES_tradnl"/>
        </w:rPr>
      </w:pPr>
      <w:bookmarkStart w:id="8" w:name="_Hlk38819155"/>
      <w:r w:rsidRPr="004E1AEB">
        <w:rPr>
          <w:rFonts w:ascii="Century Gothic" w:hAnsi="Century Gothic" w:cs="Arial"/>
          <w:lang w:val="es-MX"/>
        </w:rPr>
        <w:t>El Gobierno Nacional, en desarrollo del artículo 355 de la Constitución Política, expidió el Decreto 092 de 2017, q</w:t>
      </w:r>
      <w:r w:rsidRPr="004E1AEB">
        <w:rPr>
          <w:rFonts w:ascii="Century Gothic" w:eastAsia="Calibri" w:hAnsi="Century Gothic" w:cs="Arial"/>
          <w:lang w:val="es-MX"/>
        </w:rPr>
        <w:t xml:space="preserve">ue dispone las reglas para las contrataciones que realicen las Entidades Estatales con las ESAL. </w:t>
      </w:r>
      <w:r w:rsidRPr="004E1AEB">
        <w:rPr>
          <w:rFonts w:ascii="Century Gothic" w:eastAsia="Calibri" w:hAnsi="Century Gothic" w:cs="Arial"/>
          <w:color w:val="000000" w:themeColor="text1"/>
          <w:lang w:val="es-ES"/>
        </w:rPr>
        <w:t xml:space="preserve">El Decreto regula dos (2) eventos: i) </w:t>
      </w:r>
      <w:r w:rsidRPr="004E1AEB">
        <w:rPr>
          <w:rFonts w:ascii="Century Gothic" w:eastAsia="Calibri" w:hAnsi="Century Gothic" w:cs="Arial"/>
          <w:lang w:eastAsia="es-ES_tradnl"/>
        </w:rPr>
        <w:t xml:space="preserve">los </w:t>
      </w:r>
      <w:r w:rsidRPr="004E1AEB">
        <w:rPr>
          <w:rFonts w:ascii="Century Gothic" w:eastAsia="Calibri" w:hAnsi="Century Gothic" w:cs="Arial"/>
          <w:i/>
          <w:iCs/>
          <w:lang w:eastAsia="es-ES_tradnl"/>
        </w:rPr>
        <w:t>contratos de colaboración</w:t>
      </w:r>
      <w:r w:rsidRPr="004E1AEB">
        <w:rPr>
          <w:rFonts w:ascii="Century Gothic" w:eastAsia="Calibri" w:hAnsi="Century Gothic" w:cs="Arial"/>
          <w:lang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sidRPr="004E1AEB">
        <w:rPr>
          <w:rFonts w:ascii="Century Gothic" w:eastAsia="Calibri" w:hAnsi="Century Gothic" w:cs="Arial"/>
          <w:color w:val="000000" w:themeColor="text1"/>
          <w:lang w:val="es-ES"/>
        </w:rPr>
        <w:t xml:space="preserve"> y; </w:t>
      </w:r>
      <w:proofErr w:type="spellStart"/>
      <w:r w:rsidRPr="004E1AEB">
        <w:rPr>
          <w:rFonts w:ascii="Century Gothic" w:eastAsia="Calibri" w:hAnsi="Century Gothic" w:cs="Arial"/>
          <w:color w:val="000000" w:themeColor="text1"/>
          <w:lang w:val="es-ES"/>
        </w:rPr>
        <w:t>ii</w:t>
      </w:r>
      <w:proofErr w:type="spellEnd"/>
      <w:r w:rsidRPr="004E1AEB">
        <w:rPr>
          <w:rFonts w:ascii="Century Gothic" w:eastAsia="Calibri" w:hAnsi="Century Gothic" w:cs="Arial"/>
          <w:color w:val="000000" w:themeColor="text1"/>
          <w:lang w:val="es-ES"/>
        </w:rPr>
        <w:t xml:space="preserve">) los </w:t>
      </w:r>
      <w:r w:rsidRPr="004E1AEB">
        <w:rPr>
          <w:rFonts w:ascii="Century Gothic" w:eastAsia="Calibri" w:hAnsi="Century Gothic" w:cs="Arial"/>
          <w:i/>
          <w:iCs/>
          <w:color w:val="000000" w:themeColor="text1"/>
          <w:lang w:val="es-ES"/>
        </w:rPr>
        <w:t>convenios de asociación</w:t>
      </w:r>
      <w:r w:rsidRPr="004E1AEB">
        <w:rPr>
          <w:rFonts w:ascii="Century Gothic" w:eastAsia="Calibri" w:hAnsi="Century Gothic" w:cs="Arial"/>
          <w:color w:val="000000" w:themeColor="text1"/>
          <w:lang w:val="es-ES"/>
        </w:rPr>
        <w:t xml:space="preserve">, para el desarrollo conjunto de actividades relacionadas con las funciones de las Entidades Estatales, en desarrollo del artículo 96 de la Ley 489 de 1998. </w:t>
      </w:r>
      <w:r w:rsidRPr="004E1AEB">
        <w:rPr>
          <w:rFonts w:ascii="Century Gothic" w:eastAsia="Calibri" w:hAnsi="Century Gothic" w:cs="Arial"/>
          <w:color w:val="000000"/>
          <w:lang w:val="es-MX" w:eastAsia="es-ES_tradnl"/>
        </w:rPr>
        <w:t xml:space="preserve">Los primeros están regulados en el artículo 2 del Decreto 092 de 2017, mientras que los segundos en los artículos 5, 6, 7 y 8 </w:t>
      </w:r>
      <w:r w:rsidRPr="004E1AEB">
        <w:rPr>
          <w:rFonts w:ascii="Century Gothic" w:eastAsia="Calibri" w:hAnsi="Century Gothic" w:cs="Arial"/>
          <w:i/>
          <w:iCs/>
          <w:color w:val="000000"/>
          <w:lang w:val="es-MX" w:eastAsia="es-ES_tradnl"/>
        </w:rPr>
        <w:t>ibidem</w:t>
      </w:r>
      <w:r w:rsidRPr="004E1AEB">
        <w:rPr>
          <w:rFonts w:ascii="Century Gothic" w:eastAsia="Calibri" w:hAnsi="Century Gothic" w:cs="Arial"/>
          <w:color w:val="000000"/>
          <w:lang w:val="es-MX" w:eastAsia="es-ES_tradnl"/>
        </w:rPr>
        <w:t xml:space="preserve">. Es posible diferenciar, pues, los </w:t>
      </w:r>
      <w:r w:rsidRPr="004E1AEB">
        <w:rPr>
          <w:rFonts w:ascii="Century Gothic" w:eastAsia="Calibri" w:hAnsi="Century Gothic" w:cs="Arial"/>
          <w:i/>
          <w:iCs/>
          <w:color w:val="000000"/>
          <w:lang w:val="es-MX" w:eastAsia="es-ES_tradnl"/>
        </w:rPr>
        <w:t>convenios de asociación</w:t>
      </w:r>
      <w:r w:rsidRPr="004E1AEB">
        <w:rPr>
          <w:rFonts w:ascii="Century Gothic" w:eastAsia="Calibri" w:hAnsi="Century Gothic" w:cs="Arial"/>
          <w:color w:val="000000"/>
          <w:lang w:val="es-MX" w:eastAsia="es-ES_tradnl"/>
        </w:rPr>
        <w:t xml:space="preserve">, regulados en el artículo 5, de los </w:t>
      </w:r>
      <w:r w:rsidRPr="004E1AEB">
        <w:rPr>
          <w:rFonts w:ascii="Century Gothic" w:eastAsia="Calibri" w:hAnsi="Century Gothic" w:cs="Arial"/>
          <w:i/>
          <w:iCs/>
          <w:color w:val="000000"/>
          <w:lang w:val="es-MX" w:eastAsia="es-ES_tradnl"/>
        </w:rPr>
        <w:t>contratos de colaboración</w:t>
      </w:r>
      <w:r w:rsidRPr="004E1AEB">
        <w:rPr>
          <w:rFonts w:ascii="Century Gothic" w:eastAsia="Calibri" w:hAnsi="Century Gothic" w:cs="Arial"/>
          <w:color w:val="000000"/>
          <w:lang w:val="es-MX" w:eastAsia="es-ES_tradnl"/>
        </w:rPr>
        <w:t>, establecidos en el artículo 2 del Decreto 092 de 2017</w:t>
      </w:r>
      <w:r w:rsidRPr="004E1AEB">
        <w:rPr>
          <w:rFonts w:ascii="Century Gothic" w:eastAsia="Calibri" w:hAnsi="Century Gothic" w:cs="Arial"/>
          <w:color w:val="000000"/>
          <w:vertAlign w:val="superscript"/>
          <w:lang w:val="es-MX" w:eastAsia="es-ES_tradnl"/>
        </w:rPr>
        <w:footnoteReference w:id="6"/>
      </w:r>
      <w:r w:rsidRPr="004E1AEB">
        <w:rPr>
          <w:rFonts w:ascii="Century Gothic" w:eastAsia="Calibri" w:hAnsi="Century Gothic" w:cs="Arial"/>
          <w:color w:val="000000"/>
          <w:lang w:val="es-MX" w:eastAsia="es-ES_tradnl"/>
        </w:rPr>
        <w:t xml:space="preserve">. </w:t>
      </w:r>
    </w:p>
    <w:bookmarkEnd w:id="8"/>
    <w:p w14:paraId="0E541987" w14:textId="77777777" w:rsidR="004E1AEB" w:rsidRPr="004E1AEB" w:rsidRDefault="004E1AEB" w:rsidP="004E1AEB">
      <w:pPr>
        <w:spacing w:after="120" w:line="276" w:lineRule="auto"/>
        <w:ind w:firstLine="709"/>
        <w:jc w:val="both"/>
        <w:rPr>
          <w:rFonts w:ascii="Century Gothic" w:eastAsia="Calibri" w:hAnsi="Century Gothic" w:cs="Arial"/>
          <w:color w:val="000000" w:themeColor="text1"/>
          <w:lang w:val="es-ES"/>
        </w:rPr>
      </w:pPr>
      <w:r w:rsidRPr="004E1AEB">
        <w:rPr>
          <w:rFonts w:ascii="Century Gothic" w:eastAsia="Calibri" w:hAnsi="Century Gothic" w:cs="Arial"/>
          <w:color w:val="000000" w:themeColor="text1"/>
          <w:lang w:val="es-ES"/>
        </w:rPr>
        <w:t xml:space="preserve">De un lado, los </w:t>
      </w:r>
      <w:r w:rsidRPr="004E1AEB">
        <w:rPr>
          <w:rFonts w:ascii="Century Gothic" w:eastAsia="Calibri" w:hAnsi="Century Gothic" w:cs="Arial"/>
          <w:i/>
          <w:iCs/>
          <w:color w:val="000000" w:themeColor="text1"/>
          <w:lang w:val="es-ES"/>
        </w:rPr>
        <w:t>contratos del artículo 355 de la Constitución Política</w:t>
      </w:r>
      <w:r w:rsidRPr="004E1AEB">
        <w:rPr>
          <w:rFonts w:ascii="Century Gothic" w:eastAsia="Calibri" w:hAnsi="Century Gothic" w:cs="Arial"/>
          <w:color w:val="000000" w:themeColor="text1"/>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w:t>
      </w:r>
    </w:p>
    <w:p w14:paraId="4B6400AC" w14:textId="77777777" w:rsidR="004E1AEB" w:rsidRPr="004E1AEB" w:rsidRDefault="004E1AEB" w:rsidP="004E1AEB">
      <w:pPr>
        <w:spacing w:after="120" w:line="276" w:lineRule="auto"/>
        <w:ind w:firstLine="709"/>
        <w:jc w:val="both"/>
        <w:rPr>
          <w:rFonts w:ascii="Century Gothic" w:eastAsia="Calibri" w:hAnsi="Century Gothic" w:cs="Arial"/>
          <w:color w:val="000000" w:themeColor="text1"/>
          <w:lang w:val="es-ES"/>
        </w:rPr>
      </w:pPr>
      <w:r w:rsidRPr="004E1AEB">
        <w:rPr>
          <w:rFonts w:ascii="Century Gothic" w:eastAsia="Calibri" w:hAnsi="Century Gothic" w:cs="Arial"/>
          <w:color w:val="000000" w:themeColor="text1"/>
          <w:lang w:val="es-ES"/>
        </w:rPr>
        <w:t xml:space="preserve">De otro lado, los </w:t>
      </w:r>
      <w:r w:rsidRPr="004E1AEB">
        <w:rPr>
          <w:rFonts w:ascii="Century Gothic" w:eastAsia="Calibri" w:hAnsi="Century Gothic" w:cs="Arial"/>
          <w:i/>
          <w:iCs/>
          <w:color w:val="000000" w:themeColor="text1"/>
          <w:lang w:val="es-ES"/>
        </w:rPr>
        <w:t>convenios de asociación</w:t>
      </w:r>
      <w:r w:rsidRPr="004E1AEB">
        <w:rPr>
          <w:rFonts w:ascii="Century Gothic" w:eastAsia="Calibri" w:hAnsi="Century Gothic" w:cs="Arial"/>
          <w:color w:val="000000" w:themeColor="text1"/>
          <w:lang w:val="es-ES"/>
        </w:rPr>
        <w:t xml:space="preserve"> “[…] [t]</w:t>
      </w:r>
      <w:proofErr w:type="spellStart"/>
      <w:r w:rsidRPr="004E1AEB">
        <w:rPr>
          <w:rFonts w:ascii="Century Gothic" w:eastAsia="Calibri" w:hAnsi="Century Gothic" w:cs="Arial"/>
          <w:color w:val="000000" w:themeColor="text1"/>
          <w:lang w:val="es-ES"/>
        </w:rPr>
        <w:t>ienen</w:t>
      </w:r>
      <w:proofErr w:type="spellEnd"/>
      <w:r w:rsidRPr="004E1AEB">
        <w:rPr>
          <w:rFonts w:ascii="Century Gothic" w:eastAsia="Calibri" w:hAnsi="Century Gothic" w:cs="Arial"/>
          <w:color w:val="000000" w:themeColor="text1"/>
          <w:lang w:val="es-ES"/>
        </w:rPr>
        <w:t xml:space="preserve"> como finalidad que la entidad estatal, cualquiera que sea su naturaleza y orden administrativo, se asocien con personas jurídicas particulares para el desarrollo conjunto de </w:t>
      </w:r>
      <w:r w:rsidRPr="004E1AEB">
        <w:rPr>
          <w:rFonts w:ascii="Century Gothic" w:eastAsia="Calibri" w:hAnsi="Century Gothic" w:cs="Arial"/>
          <w:color w:val="000000" w:themeColor="text1"/>
          <w:lang w:val="es-ES"/>
        </w:rPr>
        <w:lastRenderedPageBreak/>
        <w:t>actividades relacionadas con los cometidos y funciones asignadas a aquellas conforme a la Constitución y a la Ley”</w:t>
      </w:r>
      <w:r w:rsidRPr="004E1AEB">
        <w:rPr>
          <w:rFonts w:ascii="Century Gothic" w:hAnsi="Century Gothic" w:cs="Arial"/>
          <w:color w:val="000000" w:themeColor="text1"/>
          <w:vertAlign w:val="superscript"/>
          <w:lang w:val="es-ES"/>
        </w:rPr>
        <w:footnoteReference w:id="7"/>
      </w:r>
      <w:r w:rsidRPr="004E1AEB">
        <w:rPr>
          <w:rFonts w:ascii="Century Gothic" w:eastAsia="Calibri" w:hAnsi="Century Gothic" w:cs="Arial"/>
          <w:color w:val="000000" w:themeColor="text1"/>
          <w:lang w:val="es-ES"/>
        </w:rPr>
        <w:t xml:space="preserve">. </w:t>
      </w:r>
    </w:p>
    <w:p w14:paraId="567A9BE7" w14:textId="77777777" w:rsidR="004E1AEB" w:rsidRPr="004E1AEB" w:rsidRDefault="004E1AEB" w:rsidP="004E1AEB">
      <w:pPr>
        <w:spacing w:after="120" w:line="276" w:lineRule="auto"/>
        <w:ind w:firstLine="708"/>
        <w:jc w:val="both"/>
        <w:rPr>
          <w:rFonts w:ascii="Century Gothic" w:eastAsia="Calibri" w:hAnsi="Century Gothic" w:cs="Arial"/>
          <w:color w:val="000000"/>
          <w:lang w:val="es-MX" w:eastAsia="es-ES_tradnl"/>
        </w:rPr>
      </w:pPr>
      <w:r w:rsidRPr="004E1AEB">
        <w:rPr>
          <w:rFonts w:ascii="Century Gothic" w:eastAsia="Calibri" w:hAnsi="Century Gothic" w:cs="Arial"/>
          <w:color w:val="000000"/>
          <w:lang w:val="es-MX" w:eastAsia="es-ES_tradnl"/>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treinta por ciento (30%), o en especie, los cuales deben servir al desarrollo de los objetivos comunes de la asociación. </w:t>
      </w:r>
    </w:p>
    <w:p w14:paraId="38BBC975" w14:textId="77777777" w:rsidR="004E1AEB" w:rsidRPr="004E1AEB" w:rsidRDefault="004E1AEB" w:rsidP="004E1AEB">
      <w:pPr>
        <w:spacing w:after="120" w:line="276" w:lineRule="auto"/>
        <w:ind w:firstLine="709"/>
        <w:jc w:val="both"/>
        <w:rPr>
          <w:rFonts w:ascii="Century Gothic" w:eastAsia="Calibri" w:hAnsi="Century Gothic" w:cs="Arial"/>
          <w:color w:val="000000" w:themeColor="text1"/>
          <w:lang w:val="es-ES"/>
        </w:rPr>
      </w:pPr>
      <w:r w:rsidRPr="004E1AEB">
        <w:rPr>
          <w:rFonts w:ascii="Century Gothic" w:eastAsia="Calibri" w:hAnsi="Century Gothic" w:cs="Arial"/>
          <w:color w:val="000000" w:themeColor="text1"/>
          <w:lang w:val="es-ES"/>
        </w:rPr>
        <w:t>En estos convenios no existe contraprestación o pago, sino aportes, los cuales están dirigidos, exclusivamente, a lograr la ejecución del convenio no a remunerar la actividad o actuaciones del asociado. De todos modos, la entidad debe adelantar un proceso competitivo, salvo cuando la ESAL comprometa recursos en dinero para la ejecución de estas actividades, en una proporción no inferior al treinta por ciento (30%) del valor total del convenio.</w:t>
      </w:r>
    </w:p>
    <w:p w14:paraId="172C4D7F" w14:textId="77777777" w:rsidR="004E1AEB" w:rsidRPr="004E1AEB" w:rsidRDefault="004E1AEB" w:rsidP="004E1AEB">
      <w:pPr>
        <w:spacing w:after="120" w:line="276" w:lineRule="auto"/>
        <w:ind w:firstLine="709"/>
        <w:jc w:val="both"/>
        <w:rPr>
          <w:rFonts w:ascii="Century Gothic" w:eastAsia="Calibri" w:hAnsi="Century Gothic" w:cs="Arial"/>
          <w:color w:val="000000" w:themeColor="text1"/>
          <w:lang w:val="es-ES"/>
        </w:rPr>
      </w:pPr>
      <w:r w:rsidRPr="004E1AEB">
        <w:rPr>
          <w:rFonts w:ascii="Century Gothic" w:eastAsia="Calibri" w:hAnsi="Century Gothic" w:cs="Arial"/>
          <w:color w:val="000000" w:themeColor="text1"/>
          <w:lang w:val="es-ES"/>
        </w:rPr>
        <w:t>Igualmente, atendiendo a que los convenios de asociación “[…]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(30%), en dinero, del valor del convenio para celebrarlo directamente, pues de lo contrario deberá adelantarse un proceso competitivo. Además, en atención al inciso 2 del artículo 5 del Decreto 092 de 2017, deben “[…] asegurarse que no haya otras ESAL que ofrezcan su compromiso de recursos en dinero en una proporción no inferior al 30% del valor total del convenio. Cuando la entidad encuentre que más de una ESAL le ofrece al menos el 30% de recursos en dinero para el convenio de asociación, debe seleccionar objetivamente con cual asociarse”.</w:t>
      </w:r>
    </w:p>
    <w:p w14:paraId="19A5B943" w14:textId="77777777" w:rsidR="004E1AEB" w:rsidRPr="004E1AEB" w:rsidRDefault="004E1AEB" w:rsidP="004E1AEB">
      <w:pPr>
        <w:spacing w:after="120" w:line="276" w:lineRule="auto"/>
        <w:ind w:firstLine="708"/>
        <w:jc w:val="both"/>
        <w:rPr>
          <w:rFonts w:ascii="Century Gothic" w:eastAsia="Calibri" w:hAnsi="Century Gothic" w:cs="Arial"/>
          <w:color w:val="000000"/>
          <w:lang w:val="es-MX" w:eastAsia="es-ES_tradnl"/>
        </w:rPr>
      </w:pPr>
      <w:r w:rsidRPr="004E1AEB">
        <w:rPr>
          <w:rFonts w:ascii="Century Gothic" w:eastAsia="Calibri" w:hAnsi="Century Gothic" w:cs="Arial"/>
          <w:color w:val="000000"/>
          <w:lang w:val="es-MX" w:eastAsia="es-ES_tradnl"/>
        </w:rPr>
        <w:t xml:space="preserve">La noción </w:t>
      </w:r>
      <w:r w:rsidRPr="004E1AEB">
        <w:rPr>
          <w:rFonts w:ascii="Century Gothic" w:eastAsia="Calibri" w:hAnsi="Century Gothic" w:cs="Arial"/>
          <w:i/>
          <w:iCs/>
          <w:color w:val="000000"/>
          <w:lang w:val="es-MX" w:eastAsia="es-ES_tradnl"/>
        </w:rPr>
        <w:t>“seleccionar de forma objetiva”</w:t>
      </w:r>
      <w:r w:rsidRPr="004E1AEB">
        <w:rPr>
          <w:rFonts w:ascii="Century Gothic" w:eastAsia="Calibri" w:hAnsi="Century Gothic" w:cs="Arial"/>
          <w:color w:val="000000"/>
          <w:lang w:val="es-MX" w:eastAsia="es-ES_tradnl"/>
        </w:rPr>
        <w:t xml:space="preserve">, contenida en la disposición </w:t>
      </w:r>
      <w:r w:rsidRPr="004E1AEB">
        <w:rPr>
          <w:rFonts w:ascii="Century Gothic" w:eastAsia="Calibri" w:hAnsi="Century Gothic" w:cs="Arial"/>
          <w:i/>
          <w:iCs/>
          <w:color w:val="000000"/>
          <w:lang w:val="es-MX" w:eastAsia="es-ES_tradnl"/>
        </w:rPr>
        <w:t xml:space="preserve">sub examine </w:t>
      </w:r>
      <w:r w:rsidRPr="004E1AEB">
        <w:rPr>
          <w:rFonts w:ascii="Century Gothic" w:eastAsia="Calibri" w:hAnsi="Century Gothic" w:cs="Arial"/>
          <w:color w:val="000000"/>
          <w:lang w:val="es-MX" w:eastAsia="es-ES_tradnl"/>
        </w:rPr>
        <w:t xml:space="preserve">no puede ser entendida como una remisión total a las Leyes 80 de 1993 y 1150 de 2007. A lo que se refiere la norma es a que la Entidad Estatal debe diseñar herramientas que permitan una comparación objetiva de las ESAL para seleccionar objetivamente a aquella que tenga las mejores condiciones para alcanzar el resultado esperado con el proyecto de cooperación, por lo que los criterios que </w:t>
      </w:r>
      <w:r w:rsidRPr="004E1AEB">
        <w:rPr>
          <w:rFonts w:ascii="Century Gothic" w:eastAsia="Calibri" w:hAnsi="Century Gothic" w:cs="Arial"/>
          <w:color w:val="000000"/>
          <w:lang w:val="es-MX" w:eastAsia="es-ES_tradnl"/>
        </w:rPr>
        <w:lastRenderedPageBreak/>
        <w:t>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092 de 2017.</w:t>
      </w:r>
    </w:p>
    <w:p w14:paraId="05C0F4B1" w14:textId="77777777" w:rsidR="004E1AEB" w:rsidRPr="004E1AEB" w:rsidRDefault="004E1AEB" w:rsidP="004E1AEB">
      <w:pPr>
        <w:spacing w:after="120" w:line="276" w:lineRule="auto"/>
        <w:ind w:firstLine="708"/>
        <w:jc w:val="both"/>
        <w:textAlignment w:val="baseline"/>
        <w:rPr>
          <w:rFonts w:ascii="Century Gothic" w:eastAsia="Calibri" w:hAnsi="Century Gothic" w:cs="Arial"/>
          <w:color w:val="000000"/>
          <w:lang w:val="es-MX" w:eastAsia="es-ES_tradnl"/>
        </w:rPr>
      </w:pPr>
      <w:r w:rsidRPr="004E1AEB">
        <w:rPr>
          <w:rFonts w:ascii="Century Gothic" w:eastAsia="Arial" w:hAnsi="Century Gothic" w:cs="Arial"/>
          <w:color w:val="000000"/>
          <w:lang w:val="es-ES" w:eastAsia="es-ES_tradnl"/>
        </w:rPr>
        <w:t>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la pluralidad de interesados y la comparación objetiva de las ofertas. Este procedimiento puede ser análogo a otros donde existe competencia, como la licitación pública</w:t>
      </w:r>
      <w:r w:rsidRPr="004E1AEB">
        <w:rPr>
          <w:rFonts w:ascii="Century Gothic" w:eastAsia="Calibri" w:hAnsi="Century Gothic" w:cs="Arial"/>
          <w:color w:val="000000"/>
          <w:lang w:val="es-MX" w:eastAsia="es-ES_tradnl"/>
        </w:rPr>
        <w:t>.</w:t>
      </w:r>
    </w:p>
    <w:p w14:paraId="5677EA5D" w14:textId="77777777" w:rsidR="004E1AEB" w:rsidRPr="004E1AEB" w:rsidRDefault="004E1AEB" w:rsidP="004E1AEB">
      <w:pPr>
        <w:spacing w:after="120" w:line="276" w:lineRule="auto"/>
        <w:ind w:firstLine="709"/>
        <w:jc w:val="both"/>
        <w:rPr>
          <w:rFonts w:ascii="Century Gothic" w:eastAsia="Calibri" w:hAnsi="Century Gothic" w:cs="Arial"/>
          <w:color w:val="000000"/>
          <w:lang w:val="es-MX" w:eastAsia="es-ES_tradnl"/>
        </w:rPr>
      </w:pPr>
      <w:r w:rsidRPr="004E1AEB">
        <w:rPr>
          <w:rFonts w:ascii="Century Gothic" w:eastAsia="Calibri" w:hAnsi="Century Gothic" w:cs="Arial"/>
          <w:color w:val="000000"/>
          <w:lang w:val="es-MX" w:eastAsia="es-ES_tradnl"/>
        </w:rPr>
        <w:t>Ahora bien, el Consejo de Estado, en el Auto del 6 de agosto de 2019 de la Sección Tercera, Subsección A –</w:t>
      </w:r>
      <w:proofErr w:type="spellStart"/>
      <w:r w:rsidRPr="004E1AEB">
        <w:rPr>
          <w:rFonts w:ascii="Century Gothic" w:eastAsia="Calibri" w:hAnsi="Century Gothic" w:cs="Arial"/>
          <w:color w:val="000000"/>
          <w:lang w:val="es-MX" w:eastAsia="es-ES_tradnl"/>
        </w:rPr>
        <w:t>Exp</w:t>
      </w:r>
      <w:proofErr w:type="spellEnd"/>
      <w:r w:rsidRPr="004E1AEB">
        <w:rPr>
          <w:rFonts w:ascii="Century Gothic" w:eastAsia="Calibri" w:hAnsi="Century Gothic" w:cs="Arial"/>
          <w:color w:val="000000"/>
          <w:lang w:val="es-MX" w:eastAsia="es-ES_tradnl"/>
        </w:rPr>
        <w:t>. 62.003–, estudió la solicitud de suspensión provisional</w:t>
      </w:r>
      <w:r w:rsidRPr="004E1AEB">
        <w:rPr>
          <w:rFonts w:ascii="Century Gothic" w:eastAsia="Calibri" w:hAnsi="Century Gothic" w:cs="Arial"/>
          <w:color w:val="000000"/>
          <w:vertAlign w:val="superscript"/>
          <w:lang w:val="es-MX" w:eastAsia="es-ES_tradnl"/>
        </w:rPr>
        <w:footnoteReference w:id="8"/>
      </w:r>
      <w:r w:rsidRPr="004E1AEB">
        <w:rPr>
          <w:rFonts w:ascii="Century Gothic" w:eastAsia="Calibri" w:hAnsi="Century Gothic" w:cs="Arial"/>
          <w:color w:val="000000"/>
          <w:lang w:val="es-MX" w:eastAsia="es-ES_tradnl"/>
        </w:rPr>
        <w:t xml:space="preserve"> del inciso 2 del artículo 1, literales a y c del artículo 2, inciso 5 del artículo 2, inciso 2 del artículo 3, inciso final del artículo 4 y artículo 5 del Decreto 092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frente a la última disposición relacionada con los convenios de asociación, reservando el análisis sobre la legalidad de dicho artículo a la sentencia de fondo. Por tanto, si se pretende realizar un </w:t>
      </w:r>
      <w:r w:rsidRPr="004E1AEB">
        <w:rPr>
          <w:rFonts w:ascii="Century Gothic" w:eastAsia="Calibri" w:hAnsi="Century Gothic" w:cs="Arial"/>
          <w:i/>
          <w:iCs/>
          <w:color w:val="000000"/>
          <w:lang w:val="es-MX" w:eastAsia="es-ES_tradnl"/>
        </w:rPr>
        <w:t>convenio de asociación</w:t>
      </w:r>
      <w:r w:rsidRPr="004E1AEB">
        <w:rPr>
          <w:rFonts w:ascii="Century Gothic" w:eastAsia="Calibri" w:hAnsi="Century Gothic" w:cs="Arial"/>
          <w:color w:val="000000"/>
          <w:lang w:val="es-MX" w:eastAsia="es-ES_tradnl"/>
        </w:rPr>
        <w:t xml:space="preserve"> con ESAL de reconocida idoneidad para el cumplimiento de las funciones que la ley les asigna a las Entidades Públicas, debe aplicarse lo dispuesto en el artículo 5 del Decreto 092 de 2017. </w:t>
      </w:r>
      <w:r w:rsidRPr="004E1AEB">
        <w:rPr>
          <w:rFonts w:ascii="Century Gothic" w:eastAsia="Calibri" w:hAnsi="Century Gothic" w:cs="Arial"/>
          <w:color w:val="000000"/>
          <w:lang w:val="es-ES_tradnl" w:eastAsia="es-ES_tradnl"/>
        </w:rPr>
        <w:t>En todo caso, conviene precisar que mediante Auto del 15 de marzo de 2022</w:t>
      </w:r>
      <w:r w:rsidRPr="004E1AEB">
        <w:rPr>
          <w:rFonts w:ascii="Century Gothic" w:eastAsia="Calibri" w:hAnsi="Century Gothic" w:cs="Arial"/>
          <w:color w:val="000000"/>
          <w:vertAlign w:val="superscript"/>
          <w:lang w:val="es-ES_tradnl" w:eastAsia="es-ES_tradnl"/>
        </w:rPr>
        <w:footnoteReference w:id="9"/>
      </w:r>
      <w:r w:rsidRPr="004E1AEB">
        <w:rPr>
          <w:rFonts w:ascii="Century Gothic" w:eastAsia="Calibri" w:hAnsi="Century Gothic" w:cs="Arial"/>
          <w:color w:val="000000"/>
          <w:lang w:val="es-ES_tradnl" w:eastAsia="es-ES_tradnl"/>
        </w:rPr>
        <w:t xml:space="preserve">, el Consejo de Estado levantó la medida cautelar de suspensión provisional respecto del inciso 2 </w:t>
      </w:r>
      <w:r w:rsidRPr="004E1AEB">
        <w:rPr>
          <w:rFonts w:ascii="Century Gothic" w:eastAsia="Calibri" w:hAnsi="Century Gothic" w:cs="Arial"/>
          <w:color w:val="000000"/>
          <w:lang w:val="es-ES_tradnl" w:eastAsia="es-ES_tradnl"/>
        </w:rPr>
        <w:lastRenderedPageBreak/>
        <w:t>del artículo 1 y el inciso 2 del artículo 3, del Decreto 092 de 2007, por lo que surten en la actualidad efectos jurídicos</w:t>
      </w:r>
      <w:r w:rsidRPr="004E1AEB">
        <w:rPr>
          <w:rFonts w:ascii="Century Gothic" w:eastAsia="Calibri" w:hAnsi="Century Gothic" w:cs="Arial"/>
          <w:color w:val="000000"/>
          <w:vertAlign w:val="superscript"/>
          <w:lang w:val="es-ES_tradnl" w:eastAsia="es-ES_tradnl"/>
        </w:rPr>
        <w:footnoteReference w:id="10"/>
      </w:r>
      <w:r w:rsidRPr="004E1AEB">
        <w:rPr>
          <w:rFonts w:ascii="Century Gothic" w:eastAsia="Calibri" w:hAnsi="Century Gothic" w:cs="Arial"/>
          <w:color w:val="000000"/>
          <w:lang w:val="es-ES_tradnl" w:eastAsia="es-ES_tradnl"/>
        </w:rPr>
        <w:t>.</w:t>
      </w:r>
    </w:p>
    <w:p w14:paraId="5166D73D" w14:textId="77777777" w:rsidR="004E1AEB" w:rsidRPr="004E1AEB" w:rsidRDefault="004E1AEB" w:rsidP="004E1AEB">
      <w:pPr>
        <w:spacing w:after="120" w:line="276" w:lineRule="auto"/>
        <w:ind w:firstLine="708"/>
        <w:jc w:val="both"/>
        <w:textAlignment w:val="baseline"/>
        <w:rPr>
          <w:rFonts w:ascii="Century Gothic" w:eastAsia="Calibri" w:hAnsi="Century Gothic" w:cs="Arial"/>
          <w:lang w:val="es-ES_tradnl" w:eastAsia="es-ES_tradnl"/>
        </w:rPr>
      </w:pPr>
      <w:r w:rsidRPr="004E1AEB">
        <w:rPr>
          <w:rFonts w:ascii="Century Gothic" w:eastAsia="Calibri" w:hAnsi="Century Gothic" w:cs="Arial"/>
          <w:color w:val="000000"/>
          <w:lang w:val="es-MX" w:eastAsia="es-ES_tradnl"/>
        </w:rPr>
        <w:t xml:space="preserve">Como se explicó, en relación con los convenios de asociación, el artículo 5 del citado Decreto establece que el proceso para la selección de la ESAL, por regla general, debe estar sujeto a competencia; salvo en aquellos casos en que </w:t>
      </w:r>
      <w:r w:rsidRPr="004E1AEB">
        <w:rPr>
          <w:rFonts w:ascii="Century Gothic" w:eastAsia="Calibri" w:hAnsi="Century Gothic" w:cs="Arial"/>
          <w:i/>
          <w:iCs/>
          <w:color w:val="000000"/>
          <w:lang w:val="es-MX" w:eastAsia="es-ES_tradnl"/>
        </w:rPr>
        <w:t>una</w:t>
      </w:r>
      <w:r w:rsidRPr="004E1AEB">
        <w:rPr>
          <w:rFonts w:ascii="Century Gothic" w:eastAsia="Calibri" w:hAnsi="Century Gothic" w:cs="Arial"/>
          <w:color w:val="000000"/>
          <w:lang w:val="es-MX" w:eastAsia="es-ES_tradnl"/>
        </w:rPr>
        <w:t xml:space="preserve"> ESAL comprometa recursos en dinero por un valor igual o superior al treinta por ciento (30%) del valor total del convenio</w:t>
      </w:r>
      <w:r w:rsidRPr="004E1AEB">
        <w:rPr>
          <w:rFonts w:ascii="Century Gothic" w:eastAsia="Calibri" w:hAnsi="Century Gothic" w:cs="Arial"/>
          <w:color w:val="000000"/>
          <w:vertAlign w:val="superscript"/>
          <w:lang w:val="es-MX" w:eastAsia="es-ES_tradnl"/>
        </w:rPr>
        <w:footnoteReference w:id="11"/>
      </w:r>
      <w:r w:rsidRPr="004E1AEB">
        <w:rPr>
          <w:rFonts w:ascii="Century Gothic" w:eastAsia="Calibri" w:hAnsi="Century Gothic" w:cs="Arial"/>
          <w:color w:val="000000"/>
          <w:lang w:val="es-MX" w:eastAsia="es-ES_tradnl"/>
        </w:rPr>
        <w:t>, y siempre que la Entidad Estatal verifique previamente que no existe ninguna otra ESAL que ofrezca aportes en dinero iguales o superiores al treinta por ciento (30%), ya que en este último evento también deberá adelantar un proceso competitivo. De hecho, en relación con la naturaleza y cuantía de los convenios, la norma anteriormente citada no prohíbe la celebración de convenios en que la ESAL aporte menos del treinta por ciento (30%) o cuando aporten recursos en especie. En efecto, solo indica que en esos casos la Entidad Estatal debe acudir al proceso competitivo para seleccionar a la ESAL con la cual celebrará el respectivo convenio.</w:t>
      </w:r>
    </w:p>
    <w:p w14:paraId="715C16C0" w14:textId="77777777" w:rsidR="004E1AEB" w:rsidRPr="004E1AEB" w:rsidRDefault="004E1AEB" w:rsidP="004E1AEB">
      <w:pPr>
        <w:spacing w:after="0" w:line="276" w:lineRule="auto"/>
        <w:ind w:firstLine="709"/>
        <w:jc w:val="both"/>
        <w:rPr>
          <w:rFonts w:ascii="Century Gothic" w:eastAsia="Calibri" w:hAnsi="Century Gothic" w:cs="Arial"/>
          <w:lang w:val="es-ES" w:eastAsia="es-ES_tradnl"/>
        </w:rPr>
      </w:pPr>
      <w:r w:rsidRPr="004E1AEB">
        <w:rPr>
          <w:rFonts w:ascii="Century Gothic" w:eastAsia="Calibri" w:hAnsi="Century Gothic" w:cs="Arial"/>
          <w:lang w:val="es-ES" w:eastAsia="es-ES"/>
        </w:rPr>
        <w:t xml:space="preserve">Finalmente, sintetizando lo expresado en relación con los </w:t>
      </w:r>
      <w:r w:rsidRPr="004E1AEB">
        <w:rPr>
          <w:rFonts w:ascii="Century Gothic" w:eastAsia="Calibri" w:hAnsi="Century Gothic" w:cs="Arial"/>
          <w:i/>
          <w:iCs/>
          <w:lang w:val="es-ES" w:eastAsia="es-ES"/>
        </w:rPr>
        <w:t>convenios de asociación</w:t>
      </w:r>
      <w:r w:rsidRPr="004E1AEB">
        <w:rPr>
          <w:rFonts w:ascii="Century Gothic" w:eastAsia="Calibri" w:hAnsi="Century Gothic" w:cs="Arial"/>
          <w:lang w:val="es-ES" w:eastAsia="es-ES"/>
        </w:rPr>
        <w:t xml:space="preserve">, la finalidad de los aportes a que se refirió en consideraciones previas está dirigidos concretamente a lograr la ejecución del convenio. </w:t>
      </w:r>
    </w:p>
    <w:p w14:paraId="74E1AA8C" w14:textId="77777777" w:rsidR="004E1AEB" w:rsidRPr="004E1AEB" w:rsidRDefault="004E1AEB" w:rsidP="004E1AEB">
      <w:pPr>
        <w:spacing w:after="0" w:line="276" w:lineRule="auto"/>
        <w:jc w:val="both"/>
        <w:textAlignment w:val="baseline"/>
        <w:rPr>
          <w:rFonts w:ascii="Century Gothic" w:eastAsia="Calibri" w:hAnsi="Century Gothic" w:cs="Arial"/>
          <w:b/>
          <w:bCs/>
          <w:lang w:val="es-ES_tradnl" w:eastAsia="es-ES_tradnl"/>
        </w:rPr>
      </w:pPr>
    </w:p>
    <w:p w14:paraId="1058C528" w14:textId="77777777" w:rsidR="004E1AEB" w:rsidRPr="004E1AEB" w:rsidRDefault="004E1AEB" w:rsidP="004E1AEB">
      <w:pPr>
        <w:spacing w:after="0" w:line="276" w:lineRule="auto"/>
        <w:jc w:val="both"/>
        <w:textAlignment w:val="baseline"/>
        <w:rPr>
          <w:rFonts w:ascii="Century Gothic" w:eastAsia="Times New Roman" w:hAnsi="Century Gothic" w:cs="Arial"/>
          <w:b/>
          <w:bCs/>
          <w:lang w:eastAsia="es-ES_tradnl"/>
        </w:rPr>
      </w:pPr>
      <w:r w:rsidRPr="004E1AEB">
        <w:rPr>
          <w:rFonts w:ascii="Century Gothic" w:eastAsia="Calibri" w:hAnsi="Century Gothic" w:cs="Arial"/>
          <w:b/>
          <w:bCs/>
          <w:lang w:val="es-ES_tradnl" w:eastAsia="es-ES_tradnl"/>
        </w:rPr>
        <w:t xml:space="preserve">2.2. Capacidad de los </w:t>
      </w:r>
      <w:r w:rsidRPr="004E1AEB">
        <w:rPr>
          <w:rFonts w:ascii="Century Gothic" w:eastAsia="Times New Roman" w:hAnsi="Century Gothic" w:cs="Arial"/>
          <w:b/>
          <w:bCs/>
          <w:lang w:eastAsia="es-ES_tradnl"/>
        </w:rPr>
        <w:t xml:space="preserve">concejos municipales de celebrar convenios de asociación </w:t>
      </w:r>
    </w:p>
    <w:p w14:paraId="38905298" w14:textId="77777777" w:rsidR="004E1AEB" w:rsidRPr="004E1AEB" w:rsidRDefault="004E1AEB" w:rsidP="004E1AEB">
      <w:pPr>
        <w:autoSpaceDE w:val="0"/>
        <w:autoSpaceDN w:val="0"/>
        <w:adjustRightInd w:val="0"/>
        <w:spacing w:after="0" w:line="276" w:lineRule="auto"/>
        <w:jc w:val="both"/>
        <w:rPr>
          <w:rFonts w:ascii="Century Gothic" w:eastAsia="Times New Roman" w:hAnsi="Century Gothic" w:cs="Arial"/>
          <w:color w:val="000000"/>
          <w:lang w:val="es-ES_tradnl" w:eastAsia="es-ES_tradnl"/>
        </w:rPr>
      </w:pPr>
    </w:p>
    <w:p w14:paraId="13BD5A80" w14:textId="77777777" w:rsidR="004E1AEB" w:rsidRPr="004E1AEB" w:rsidRDefault="004E1AEB" w:rsidP="004E1AEB">
      <w:pPr>
        <w:spacing w:after="120" w:line="276" w:lineRule="auto"/>
        <w:jc w:val="both"/>
        <w:rPr>
          <w:rFonts w:ascii="Century Gothic" w:eastAsia="Calibri" w:hAnsi="Century Gothic" w:cs="Arial"/>
          <w:lang w:val="es-ES" w:eastAsia="es-ES_tradnl"/>
        </w:rPr>
      </w:pPr>
      <w:r w:rsidRPr="004E1AEB">
        <w:rPr>
          <w:rFonts w:ascii="Century Gothic" w:eastAsia="Calibri" w:hAnsi="Century Gothic" w:cs="Arial"/>
          <w:color w:val="000000" w:themeColor="text1"/>
          <w:lang w:val="es-ES"/>
        </w:rPr>
        <w:lastRenderedPageBreak/>
        <w:t xml:space="preserve">En atención a la pregunta número 4 de su consulta, referente a si un concejo municipal puede suscribir un convenio de asociación, es menester indicar que, </w:t>
      </w:r>
      <w:r w:rsidRPr="004E1AEB">
        <w:rPr>
          <w:rFonts w:ascii="Century Gothic" w:eastAsia="Calibri" w:hAnsi="Century Gothic" w:cs="Arial"/>
          <w:lang w:val="es-MX"/>
        </w:rPr>
        <w:t xml:space="preserve">de conformidad con el artículo 96 de la Ley 489 de 1996, los </w:t>
      </w:r>
      <w:r w:rsidRPr="004E1AEB">
        <w:rPr>
          <w:rFonts w:ascii="Century Gothic" w:eastAsia="Calibri" w:hAnsi="Century Gothic" w:cs="Arial"/>
          <w:i/>
          <w:lang w:val="es-MX"/>
        </w:rPr>
        <w:t>convenios de asociación</w:t>
      </w:r>
      <w:r w:rsidRPr="004E1AEB">
        <w:rPr>
          <w:rFonts w:ascii="Century Gothic" w:eastAsia="Calibri" w:hAnsi="Century Gothic" w:cs="Arial"/>
          <w:lang w:val="es-MX"/>
        </w:rPr>
        <w:t xml:space="preserve"> pueden ser celebrados por cualquier Entidad Estatal “cualquiera sea su naturaleza y orden administrativo”. </w:t>
      </w:r>
      <w:r w:rsidRPr="004E1AEB">
        <w:rPr>
          <w:rFonts w:ascii="Century Gothic" w:eastAsia="Calibri" w:hAnsi="Century Gothic" w:cs="Arial"/>
          <w:color w:val="000000" w:themeColor="text1"/>
          <w:lang w:val="es-ES"/>
        </w:rPr>
        <w:t>En este sentido, serán competentes para celebrar este tipo de convenios todas las entidades enlistadas en el artículo 2° del EGCAP.</w:t>
      </w:r>
      <w:r w:rsidRPr="004E1AEB">
        <w:rPr>
          <w:rFonts w:ascii="Century Gothic" w:eastAsia="Calibri" w:hAnsi="Century Gothic" w:cs="Arial"/>
          <w:lang w:val="es-ES" w:eastAsia="es-ES_tradnl"/>
        </w:rPr>
        <w:t xml:space="preserve"> En consecuencia, es necesario analizar si los consejos municipales se enmarcan o no en la definición de Entidades Estatales. </w:t>
      </w:r>
    </w:p>
    <w:p w14:paraId="6245ACB3" w14:textId="77777777" w:rsidR="004E1AEB" w:rsidRPr="004E1AEB" w:rsidRDefault="004E1AEB" w:rsidP="004E1AEB">
      <w:pPr>
        <w:spacing w:after="120" w:line="276" w:lineRule="auto"/>
        <w:ind w:firstLine="709"/>
        <w:jc w:val="both"/>
        <w:rPr>
          <w:rFonts w:ascii="Century Gothic" w:eastAsia="Calibri" w:hAnsi="Century Gothic" w:cs="Arial"/>
          <w:lang w:val="es-ES" w:eastAsia="es-ES_tradnl"/>
        </w:rPr>
      </w:pPr>
      <w:r w:rsidRPr="004E1AEB">
        <w:rPr>
          <w:rFonts w:ascii="Century Gothic" w:eastAsia="Calibri" w:hAnsi="Century Gothic" w:cs="Arial"/>
          <w:lang w:val="es-ES" w:eastAsia="es-ES_tradnl"/>
        </w:rPr>
        <w:t>Aunque el numeral 1° del artículo 2 ibidem no lista expresamente a los concejos municipales, el literal b) de dicho numeral dispone que son Entidades Estatales “los organismos o dependencias del Estado a los que la ley otorgue capacidad para celebrar contratos”. De otra parte, el numeral 2° del artículo 2 de la Ley 80 de 1993 considera como servidores públicos a “b) Los miembros de las corporaciones públicas que tengan capacidad para celebrar contratos en representación de éstas”.</w:t>
      </w:r>
    </w:p>
    <w:p w14:paraId="25FF44D1" w14:textId="77777777" w:rsidR="004E1AEB" w:rsidRPr="004E1AEB" w:rsidRDefault="004E1AEB" w:rsidP="004E1AEB">
      <w:pPr>
        <w:spacing w:after="0" w:line="276" w:lineRule="auto"/>
        <w:ind w:firstLine="709"/>
        <w:jc w:val="both"/>
        <w:rPr>
          <w:rFonts w:ascii="Century Gothic" w:eastAsia="Calibri" w:hAnsi="Century Gothic" w:cs="Arial"/>
          <w:lang w:val="es-ES" w:eastAsia="es-ES_tradnl"/>
        </w:rPr>
      </w:pPr>
      <w:r w:rsidRPr="004E1AEB">
        <w:rPr>
          <w:rFonts w:ascii="Century Gothic" w:eastAsia="Calibri" w:hAnsi="Century Gothic" w:cs="Arial"/>
          <w:lang w:val="es-ES" w:eastAsia="es-ES_tradnl"/>
        </w:rPr>
        <w:t xml:space="preserve">De los apartes transcritos se desprenden dos (2) aspectos para efectos de resolver la consulta: en </w:t>
      </w:r>
      <w:r w:rsidRPr="000B5D01">
        <w:rPr>
          <w:rFonts w:ascii="Century Gothic" w:eastAsia="Calibri" w:hAnsi="Century Gothic" w:cs="Arial"/>
          <w:i/>
          <w:lang w:val="es-ES" w:eastAsia="es-ES_tradnl"/>
        </w:rPr>
        <w:t>primer lugar</w:t>
      </w:r>
      <w:r w:rsidRPr="004E1AEB">
        <w:rPr>
          <w:rFonts w:ascii="Century Gothic" w:eastAsia="Calibri" w:hAnsi="Century Gothic" w:cs="Arial"/>
          <w:lang w:val="es-ES" w:eastAsia="es-ES_tradnl"/>
        </w:rPr>
        <w:t xml:space="preserve">, se resalta que los miembros de las corporaciones públicas que tengan capacidad para celebrar contratos en representación de estas son funcionarios públicos para efectos de la Ley 80 de 1993. Con ello, el Estatuto General de Contratación de la Administración Pública -en adelante EGCAP – acepta tácitamente la capacidad de contratación de las corporaciones públicas. En </w:t>
      </w:r>
      <w:r w:rsidRPr="000B5D01">
        <w:rPr>
          <w:rFonts w:ascii="Century Gothic" w:eastAsia="Calibri" w:hAnsi="Century Gothic" w:cs="Arial"/>
          <w:i/>
          <w:lang w:val="es-ES" w:eastAsia="es-ES_tradnl"/>
        </w:rPr>
        <w:t>segundo lugar</w:t>
      </w:r>
      <w:r w:rsidRPr="004E1AEB">
        <w:rPr>
          <w:rFonts w:ascii="Century Gothic" w:eastAsia="Calibri" w:hAnsi="Century Gothic" w:cs="Arial"/>
          <w:lang w:val="es-ES" w:eastAsia="es-ES_tradnl"/>
        </w:rPr>
        <w:t xml:space="preserve">, se observa que el numeral primero literal b) no incluyó expresamente a los concejos municipales, por lo cual la calidad de Entidad Estatal que puede predicarse de estas corporaciones depende de que la ley les otorgue capacidad para celebrar contratos. Sobre este punto, el artículo 352 de la Constitución Política de 1991 prescribe: </w:t>
      </w:r>
    </w:p>
    <w:p w14:paraId="4CFFCE15" w14:textId="77777777" w:rsidR="004E1AEB" w:rsidRPr="004E1AEB" w:rsidRDefault="004E1AEB" w:rsidP="004E1AEB">
      <w:pPr>
        <w:tabs>
          <w:tab w:val="left" w:pos="426"/>
        </w:tabs>
        <w:spacing w:after="0" w:line="276" w:lineRule="auto"/>
        <w:jc w:val="both"/>
        <w:rPr>
          <w:rFonts w:ascii="Century Gothic" w:eastAsia="Calibri" w:hAnsi="Century Gothic" w:cs="Arial"/>
          <w:bCs/>
          <w:color w:val="000000" w:themeColor="text1"/>
          <w:lang w:val="es-ES" w:eastAsia="es-ES_tradnl"/>
        </w:rPr>
      </w:pPr>
    </w:p>
    <w:p w14:paraId="0C91D266" w14:textId="77777777" w:rsidR="004E1AEB" w:rsidRPr="004E1AEB" w:rsidRDefault="004E1AEB" w:rsidP="004E1AEB">
      <w:pPr>
        <w:spacing w:after="0" w:line="240" w:lineRule="auto"/>
        <w:ind w:left="709" w:right="709"/>
        <w:jc w:val="both"/>
        <w:rPr>
          <w:rFonts w:ascii="Century Gothic" w:eastAsia="Calibri" w:hAnsi="Century Gothic" w:cs="Arial"/>
          <w:bCs/>
          <w:color w:val="000000" w:themeColor="text1"/>
          <w:sz w:val="20"/>
          <w:szCs w:val="20"/>
          <w:lang w:val="es-ES" w:eastAsia="es-ES_tradnl"/>
        </w:rPr>
      </w:pPr>
      <w:r w:rsidRPr="004E1AEB">
        <w:rPr>
          <w:rFonts w:ascii="Century Gothic" w:eastAsia="Calibri" w:hAnsi="Century Gothic" w:cs="Arial"/>
          <w:bCs/>
          <w:color w:val="000000" w:themeColor="text1"/>
          <w:sz w:val="20"/>
          <w:szCs w:val="20"/>
          <w:lang w:val="es-ES" w:eastAsia="es-ES_tradnl"/>
        </w:rPr>
        <w:t>“Además de lo señalado en esta Constitución, la Ley Orgánica del Presupuesto regulará lo correspondiente a la programación, aprobación, modificación, ejecución de los presupuestos de la Nación, de las entidades territoriales y de los entes descentralizados de cualquier nivel administrativo, y su coordinación con el Plan Nacional de Desarrollo, así como también la capacidad de los organismos y entidades estatales para contratar”.</w:t>
      </w:r>
    </w:p>
    <w:p w14:paraId="51415391" w14:textId="77777777" w:rsidR="004E1AEB" w:rsidRPr="004E1AEB" w:rsidRDefault="004E1AEB" w:rsidP="004E1AEB">
      <w:pPr>
        <w:tabs>
          <w:tab w:val="left" w:pos="426"/>
        </w:tabs>
        <w:spacing w:after="0" w:line="276" w:lineRule="auto"/>
        <w:jc w:val="both"/>
        <w:rPr>
          <w:rFonts w:ascii="Century Gothic" w:eastAsia="Calibri" w:hAnsi="Century Gothic" w:cs="Arial"/>
          <w:bCs/>
          <w:color w:val="000000" w:themeColor="text1"/>
          <w:lang w:val="es-ES" w:eastAsia="es-ES_tradnl"/>
        </w:rPr>
      </w:pPr>
    </w:p>
    <w:p w14:paraId="522FCA93" w14:textId="77777777" w:rsidR="004E1AEB" w:rsidRPr="004E1AEB" w:rsidRDefault="004E1AEB" w:rsidP="004E1AEB">
      <w:pPr>
        <w:tabs>
          <w:tab w:val="left" w:pos="709"/>
        </w:tabs>
        <w:spacing w:after="0" w:line="276" w:lineRule="auto"/>
        <w:ind w:firstLine="709"/>
        <w:jc w:val="both"/>
        <w:rPr>
          <w:rFonts w:ascii="Century Gothic" w:eastAsia="Calibri" w:hAnsi="Century Gothic" w:cs="Arial"/>
          <w:bCs/>
          <w:color w:val="000000" w:themeColor="text1"/>
          <w:lang w:val="es-ES" w:eastAsia="es-ES_tradnl"/>
        </w:rPr>
      </w:pPr>
      <w:r w:rsidRPr="004E1AEB">
        <w:rPr>
          <w:rFonts w:ascii="Century Gothic" w:eastAsia="Calibri" w:hAnsi="Century Gothic" w:cs="Arial"/>
          <w:bCs/>
          <w:color w:val="000000" w:themeColor="text1"/>
          <w:lang w:val="es-ES" w:eastAsia="es-ES_tradnl"/>
        </w:rPr>
        <w:t xml:space="preserve">Constitucionalmente corresponde a la Ley Orgánica del Presupuesto regular la capacidad de los organismos y Entidades Estatales para contratar. En esta medida, para entender el alcance del artículo 2, literal b) del numeral 1, de la Ley </w:t>
      </w:r>
      <w:r w:rsidRPr="004E1AEB">
        <w:rPr>
          <w:rFonts w:ascii="Century Gothic" w:eastAsia="Calibri" w:hAnsi="Century Gothic" w:cs="Arial"/>
          <w:bCs/>
          <w:color w:val="000000" w:themeColor="text1"/>
          <w:lang w:val="es-ES" w:eastAsia="es-ES_tradnl"/>
        </w:rPr>
        <w:lastRenderedPageBreak/>
        <w:t xml:space="preserve">80 de 1993 es necesario concordarlo con el artículo 110 del Decreto 111 de 1996. Esta norma, modificada </w:t>
      </w:r>
      <w:r w:rsidRPr="004E1AEB">
        <w:rPr>
          <w:rFonts w:ascii="Century Gothic" w:eastAsia="Calibri" w:hAnsi="Century Gothic" w:cs="Arial"/>
          <w:color w:val="000000" w:themeColor="text1"/>
          <w:lang w:val="es-ES" w:eastAsia="es-ES_tradnl"/>
        </w:rPr>
        <w:t xml:space="preserve">por el artículo 124 de la Ley 1957 de 2019, dispone: </w:t>
      </w:r>
    </w:p>
    <w:p w14:paraId="0E7B4EA2" w14:textId="77777777" w:rsidR="004E1AEB" w:rsidRPr="004E1AEB" w:rsidRDefault="004E1AEB" w:rsidP="004E1AEB">
      <w:pPr>
        <w:tabs>
          <w:tab w:val="left" w:pos="426"/>
        </w:tabs>
        <w:spacing w:after="0" w:line="276" w:lineRule="auto"/>
        <w:jc w:val="both"/>
        <w:rPr>
          <w:rFonts w:ascii="Century Gothic" w:eastAsia="Calibri" w:hAnsi="Century Gothic" w:cs="Arial"/>
          <w:color w:val="000000" w:themeColor="text1"/>
          <w:lang w:val="es-ES" w:eastAsia="es-ES_tradnl"/>
        </w:rPr>
      </w:pPr>
    </w:p>
    <w:p w14:paraId="2B845F8A" w14:textId="77777777" w:rsidR="004E1AEB" w:rsidRPr="004E1AEB" w:rsidRDefault="004E1AEB" w:rsidP="004E1AEB">
      <w:pPr>
        <w:tabs>
          <w:tab w:val="left" w:pos="709"/>
        </w:tabs>
        <w:spacing w:after="0" w:line="240" w:lineRule="auto"/>
        <w:ind w:left="709" w:right="709"/>
        <w:jc w:val="both"/>
        <w:rPr>
          <w:rFonts w:ascii="Century Gothic" w:eastAsia="Calibri" w:hAnsi="Century Gothic" w:cs="Arial"/>
          <w:color w:val="000000" w:themeColor="text1"/>
          <w:sz w:val="20"/>
          <w:szCs w:val="20"/>
          <w:lang w:eastAsia="es-ES_tradnl"/>
        </w:rPr>
      </w:pPr>
      <w:r w:rsidRPr="004E1AEB">
        <w:rPr>
          <w:rFonts w:ascii="Century Gothic" w:eastAsia="Calibri" w:hAnsi="Century Gothic" w:cs="Arial"/>
          <w:color w:val="000000" w:themeColor="text1"/>
          <w:sz w:val="20"/>
          <w:szCs w:val="20"/>
          <w:lang w:eastAsia="es-ES_tradnl"/>
        </w:rPr>
        <w:t xml:space="preserve">“Los órganos que son una sección en el Presupuesto General de la Nación, </w:t>
      </w:r>
      <w:r w:rsidRPr="004E1AEB">
        <w:rPr>
          <w:rFonts w:ascii="Century Gothic" w:eastAsia="Calibri" w:hAnsi="Century Gothic" w:cs="Arial"/>
          <w:i/>
          <w:iCs/>
          <w:color w:val="000000" w:themeColor="text1"/>
          <w:sz w:val="20"/>
          <w:szCs w:val="20"/>
          <w:lang w:eastAsia="es-ES_tradnl"/>
        </w:rPr>
        <w:t>tendrán la capacidad de contratar</w:t>
      </w:r>
      <w:r w:rsidRPr="004E1AEB">
        <w:rPr>
          <w:rFonts w:ascii="Century Gothic" w:eastAsia="Calibri" w:hAnsi="Century Gothic" w:cs="Arial"/>
          <w:b/>
          <w:bCs/>
          <w:color w:val="000000" w:themeColor="text1"/>
          <w:sz w:val="20"/>
          <w:szCs w:val="20"/>
          <w:lang w:eastAsia="es-ES_tradnl"/>
        </w:rPr>
        <w:t xml:space="preserve"> </w:t>
      </w:r>
      <w:r w:rsidRPr="004E1AEB">
        <w:rPr>
          <w:rFonts w:ascii="Century Gothic" w:eastAsia="Calibri" w:hAnsi="Century Gothic" w:cs="Arial"/>
          <w:color w:val="000000" w:themeColor="text1"/>
          <w:sz w:val="20"/>
          <w:szCs w:val="20"/>
          <w:lang w:eastAsia="es-ES_tradnl"/>
        </w:rPr>
        <w:t xml:space="preserve">y comprometer a nombre de la persona jurídica de la cual hagan parte, y ordenar el gasto en desarrollo de las apropiaciones incorporadas en la respectiva sección, lo que constituye la autonomía presupuestal a que se refieren la Constitución Política y la ley. </w:t>
      </w:r>
      <w:r w:rsidRPr="004E1AEB">
        <w:rPr>
          <w:rFonts w:ascii="Century Gothic" w:eastAsia="Calibri" w:hAnsi="Century Gothic" w:cs="Arial"/>
          <w:i/>
          <w:iCs/>
          <w:color w:val="000000" w:themeColor="text1"/>
          <w:sz w:val="20"/>
          <w:szCs w:val="20"/>
          <w:lang w:eastAsia="es-ES_tradnl"/>
        </w:rPr>
        <w:t>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r w:rsidRPr="004E1AEB">
        <w:rPr>
          <w:rFonts w:ascii="Century Gothic" w:eastAsia="Calibri" w:hAnsi="Century Gothic" w:cs="Arial"/>
          <w:color w:val="000000" w:themeColor="text1"/>
          <w:sz w:val="20"/>
          <w:szCs w:val="20"/>
          <w:lang w:eastAsia="es-ES_tradnl"/>
        </w:rPr>
        <w:t>.</w:t>
      </w:r>
    </w:p>
    <w:p w14:paraId="1051FDF0" w14:textId="77777777" w:rsidR="004E1AEB" w:rsidRPr="004E1AEB" w:rsidRDefault="004E1AEB" w:rsidP="004E1AEB">
      <w:pPr>
        <w:tabs>
          <w:tab w:val="left" w:pos="709"/>
        </w:tabs>
        <w:spacing w:after="0" w:line="240" w:lineRule="auto"/>
        <w:ind w:left="709" w:right="709"/>
        <w:jc w:val="both"/>
        <w:rPr>
          <w:rFonts w:ascii="Century Gothic" w:eastAsia="Calibri" w:hAnsi="Century Gothic" w:cs="Arial"/>
          <w:color w:val="000000" w:themeColor="text1"/>
          <w:sz w:val="20"/>
          <w:szCs w:val="20"/>
          <w:lang w:eastAsia="es-ES_tradnl"/>
        </w:rPr>
      </w:pPr>
    </w:p>
    <w:p w14:paraId="34879AA2" w14:textId="77777777" w:rsidR="004E1AEB" w:rsidRPr="004E1AEB" w:rsidRDefault="004E1AEB" w:rsidP="004E1AEB">
      <w:pPr>
        <w:tabs>
          <w:tab w:val="left" w:pos="709"/>
        </w:tabs>
        <w:spacing w:after="0" w:line="240" w:lineRule="auto"/>
        <w:ind w:left="709" w:right="709"/>
        <w:jc w:val="both"/>
        <w:rPr>
          <w:rFonts w:ascii="Century Gothic" w:eastAsia="Calibri" w:hAnsi="Century Gothic" w:cs="Arial"/>
          <w:color w:val="000000" w:themeColor="text1"/>
          <w:sz w:val="20"/>
          <w:szCs w:val="20"/>
          <w:lang w:eastAsia="es-ES_tradnl"/>
        </w:rPr>
      </w:pPr>
      <w:r w:rsidRPr="004E1AEB">
        <w:rPr>
          <w:rFonts w:ascii="Century Gothic" w:eastAsia="Calibri" w:hAnsi="Century Gothic" w:cs="Arial"/>
          <w:color w:val="000000" w:themeColor="text1"/>
          <w:sz w:val="20"/>
          <w:szCs w:val="20"/>
          <w:lang w:eastAsia="es-ES_tradnl"/>
        </w:rPr>
        <w:t>[…]</w:t>
      </w:r>
    </w:p>
    <w:p w14:paraId="51440667" w14:textId="77777777" w:rsidR="004E1AEB" w:rsidRPr="004E1AEB" w:rsidRDefault="004E1AEB" w:rsidP="004E1AEB">
      <w:pPr>
        <w:tabs>
          <w:tab w:val="left" w:pos="709"/>
        </w:tabs>
        <w:spacing w:after="0" w:line="240" w:lineRule="auto"/>
        <w:ind w:left="709" w:right="709"/>
        <w:jc w:val="both"/>
        <w:rPr>
          <w:rFonts w:ascii="Century Gothic" w:eastAsia="Calibri" w:hAnsi="Century Gothic" w:cs="Arial"/>
          <w:i/>
          <w:iCs/>
          <w:color w:val="000000" w:themeColor="text1"/>
          <w:sz w:val="20"/>
          <w:szCs w:val="20"/>
          <w:lang w:eastAsia="es-ES_tradnl"/>
        </w:rPr>
      </w:pPr>
    </w:p>
    <w:p w14:paraId="39B6772F" w14:textId="77777777" w:rsidR="004E1AEB" w:rsidRPr="004E1AEB" w:rsidRDefault="004E1AEB" w:rsidP="004E1AEB">
      <w:pPr>
        <w:tabs>
          <w:tab w:val="left" w:pos="709"/>
        </w:tabs>
        <w:spacing w:after="0" w:line="240" w:lineRule="auto"/>
        <w:ind w:left="709" w:right="709"/>
        <w:jc w:val="both"/>
        <w:rPr>
          <w:rFonts w:ascii="Century Gothic" w:eastAsia="Calibri" w:hAnsi="Century Gothic" w:cs="Arial"/>
          <w:color w:val="000000" w:themeColor="text1"/>
          <w:sz w:val="20"/>
          <w:szCs w:val="20"/>
          <w:lang w:eastAsia="es-ES_tradnl"/>
        </w:rPr>
      </w:pPr>
      <w:r w:rsidRPr="004E1AEB">
        <w:rPr>
          <w:rFonts w:ascii="Century Gothic" w:eastAsia="Calibri" w:hAnsi="Century Gothic" w:cs="Arial"/>
          <w:i/>
          <w:iCs/>
          <w:color w:val="000000" w:themeColor="text1"/>
          <w:sz w:val="20"/>
          <w:szCs w:val="20"/>
          <w:lang w:eastAsia="es-ES_tradnl"/>
        </w:rPr>
        <w:t>En los mismos términos y condiciones tendrán estas capacidades</w:t>
      </w:r>
      <w:r w:rsidRPr="004E1AEB">
        <w:rPr>
          <w:rFonts w:ascii="Century Gothic" w:eastAsia="Calibri" w:hAnsi="Century Gothic" w:cs="Arial"/>
          <w:color w:val="000000" w:themeColor="text1"/>
          <w:sz w:val="20"/>
          <w:szCs w:val="20"/>
          <w:lang w:eastAsia="es-ES_tradnl"/>
        </w:rPr>
        <w:t xml:space="preserve"> las Superintendencias, Unidades Administrativas Especiales, las Entidades Territoriales, Asambleas y </w:t>
      </w:r>
      <w:r w:rsidRPr="004E1AEB">
        <w:rPr>
          <w:rFonts w:ascii="Century Gothic" w:eastAsia="Calibri" w:hAnsi="Century Gothic" w:cs="Arial"/>
          <w:i/>
          <w:iCs/>
          <w:color w:val="000000" w:themeColor="text1"/>
          <w:sz w:val="20"/>
          <w:szCs w:val="20"/>
          <w:lang w:eastAsia="es-ES_tradnl"/>
        </w:rPr>
        <w:t>Concejos</w:t>
      </w:r>
      <w:r w:rsidRPr="004E1AEB">
        <w:rPr>
          <w:rFonts w:ascii="Century Gothic" w:eastAsia="Calibri" w:hAnsi="Century Gothic" w:cs="Arial"/>
          <w:color w:val="000000" w:themeColor="text1"/>
          <w:sz w:val="20"/>
          <w:szCs w:val="20"/>
          <w:lang w:eastAsia="es-ES_tradnl"/>
        </w:rPr>
        <w:t>, las Contralorías y Personerías Territoriales</w:t>
      </w:r>
      <w:r w:rsidRPr="004E1AEB">
        <w:rPr>
          <w:rFonts w:ascii="Century Gothic" w:eastAsia="Calibri" w:hAnsi="Century Gothic" w:cs="Arial"/>
          <w:color w:val="000000" w:themeColor="text1"/>
          <w:sz w:val="20"/>
          <w:szCs w:val="20"/>
          <w:u w:val="single"/>
          <w:lang w:eastAsia="es-ES_tradnl"/>
        </w:rPr>
        <w:t xml:space="preserve"> </w:t>
      </w:r>
      <w:r w:rsidRPr="004E1AEB">
        <w:rPr>
          <w:rFonts w:ascii="Century Gothic" w:eastAsia="Calibri" w:hAnsi="Century Gothic" w:cs="Arial"/>
          <w:color w:val="000000" w:themeColor="text1"/>
          <w:sz w:val="20"/>
          <w:szCs w:val="20"/>
          <w:lang w:eastAsia="es-ES_tradnl"/>
        </w:rPr>
        <w:t>y todos los demás órganos estatales de cualquier nivel que tengan personería jurídica.</w:t>
      </w:r>
    </w:p>
    <w:p w14:paraId="280710C8" w14:textId="77777777" w:rsidR="004E1AEB" w:rsidRPr="004E1AEB" w:rsidRDefault="004E1AEB" w:rsidP="004E1AEB">
      <w:pPr>
        <w:tabs>
          <w:tab w:val="left" w:pos="709"/>
        </w:tabs>
        <w:spacing w:after="0" w:line="240" w:lineRule="auto"/>
        <w:ind w:left="709" w:right="709"/>
        <w:jc w:val="both"/>
        <w:rPr>
          <w:rFonts w:ascii="Century Gothic" w:eastAsia="Calibri" w:hAnsi="Century Gothic" w:cs="Arial"/>
          <w:color w:val="000000" w:themeColor="text1"/>
          <w:sz w:val="20"/>
          <w:szCs w:val="20"/>
          <w:lang w:eastAsia="es-ES_tradnl"/>
        </w:rPr>
      </w:pPr>
    </w:p>
    <w:p w14:paraId="321B7FCE" w14:textId="77777777" w:rsidR="004E1AEB" w:rsidRPr="004E1AEB" w:rsidRDefault="004E1AEB" w:rsidP="004E1AEB">
      <w:pPr>
        <w:tabs>
          <w:tab w:val="left" w:pos="709"/>
        </w:tabs>
        <w:spacing w:after="0" w:line="240" w:lineRule="auto"/>
        <w:ind w:left="709" w:right="709"/>
        <w:jc w:val="both"/>
        <w:rPr>
          <w:rFonts w:ascii="Century Gothic" w:eastAsia="Calibri" w:hAnsi="Century Gothic" w:cs="Arial"/>
          <w:color w:val="000000" w:themeColor="text1"/>
          <w:sz w:val="20"/>
          <w:szCs w:val="20"/>
          <w:lang w:eastAsia="es-ES_tradnl"/>
        </w:rPr>
      </w:pPr>
      <w:r w:rsidRPr="004E1AEB">
        <w:rPr>
          <w:rFonts w:ascii="Century Gothic" w:eastAsia="Calibri" w:hAnsi="Century Gothic" w:cs="Arial"/>
          <w:color w:val="000000" w:themeColor="text1"/>
          <w:sz w:val="20"/>
          <w:szCs w:val="20"/>
          <w:lang w:eastAsia="es-ES_tradnl"/>
        </w:rPr>
        <w:t xml:space="preserve">En todo caso, el </w:t>
      </w:r>
      <w:proofErr w:type="gramStart"/>
      <w:r w:rsidRPr="004E1AEB">
        <w:rPr>
          <w:rFonts w:ascii="Century Gothic" w:eastAsia="Calibri" w:hAnsi="Century Gothic" w:cs="Arial"/>
          <w:color w:val="000000" w:themeColor="text1"/>
          <w:sz w:val="20"/>
          <w:szCs w:val="20"/>
          <w:lang w:eastAsia="es-ES_tradnl"/>
        </w:rPr>
        <w:t>Presidente</w:t>
      </w:r>
      <w:proofErr w:type="gramEnd"/>
      <w:r w:rsidRPr="004E1AEB">
        <w:rPr>
          <w:rFonts w:ascii="Century Gothic" w:eastAsia="Calibri" w:hAnsi="Century Gothic" w:cs="Arial"/>
          <w:color w:val="000000" w:themeColor="text1"/>
          <w:sz w:val="20"/>
          <w:szCs w:val="20"/>
          <w:lang w:eastAsia="es-ES_tradnl"/>
        </w:rPr>
        <w:t xml:space="preserve"> de la República podrá celebrar contratos a nombre de la Nación”. (Énfasis fuera de texto)</w:t>
      </w:r>
    </w:p>
    <w:p w14:paraId="6402CFAF" w14:textId="77777777" w:rsidR="004E1AEB" w:rsidRPr="004E1AEB" w:rsidRDefault="004E1AEB" w:rsidP="004E1AEB">
      <w:pPr>
        <w:spacing w:after="0" w:line="276" w:lineRule="auto"/>
        <w:jc w:val="both"/>
        <w:rPr>
          <w:rFonts w:ascii="Century Gothic" w:eastAsia="Calibri" w:hAnsi="Century Gothic" w:cs="Arial"/>
          <w:color w:val="000000" w:themeColor="text1"/>
          <w:lang w:eastAsia="es-ES_tradnl"/>
        </w:rPr>
      </w:pPr>
    </w:p>
    <w:p w14:paraId="5AE66236" w14:textId="1CC06612" w:rsidR="004E1AEB" w:rsidRPr="004E1AEB" w:rsidRDefault="004E1AEB" w:rsidP="004E1AEB">
      <w:pPr>
        <w:spacing w:after="0" w:line="276" w:lineRule="auto"/>
        <w:ind w:firstLine="709"/>
        <w:jc w:val="both"/>
        <w:rPr>
          <w:rFonts w:ascii="Century Gothic" w:eastAsia="Calibri" w:hAnsi="Century Gothic" w:cs="Arial"/>
          <w:lang w:val="es-ES" w:eastAsia="es-ES_tradnl"/>
        </w:rPr>
      </w:pPr>
      <w:r w:rsidRPr="004E1AEB">
        <w:rPr>
          <w:rFonts w:ascii="Century Gothic" w:eastAsia="Calibri" w:hAnsi="Century Gothic" w:cs="Arial"/>
          <w:lang w:val="es-ES" w:eastAsia="es-ES_tradnl"/>
        </w:rPr>
        <w:t xml:space="preserve">Del artículo 110 del Estatuto Orgánico del Presupuesto – en adelante EOP – se desprende que los concejos tienen facultad para suscribir contratos de manera independiente y, más relevante para efectos de resolver la consulta, son Entidades Estatales para el EGCAP, pues son organismos a los que la ley otorga capacidad para celebrar contratos conforme al artículo 2 de la Ley 80 de 1993. Por tanto, de su calidad de Entidades Estatales para los efectos del EGCAP, es posible concluir que tienen la capacidad de suscribir convenios de asociación. </w:t>
      </w:r>
    </w:p>
    <w:p w14:paraId="53529233" w14:textId="77777777" w:rsidR="004E1AEB" w:rsidRPr="004E1AEB" w:rsidRDefault="004E1AEB" w:rsidP="004E1AEB">
      <w:pPr>
        <w:spacing w:after="0" w:line="276" w:lineRule="auto"/>
        <w:jc w:val="both"/>
        <w:textAlignment w:val="baseline"/>
        <w:rPr>
          <w:rFonts w:ascii="Century Gothic" w:eastAsia="Calibri" w:hAnsi="Century Gothic" w:cs="Arial"/>
          <w:b/>
          <w:bCs/>
          <w:lang w:val="es-ES_tradnl" w:eastAsia="es-ES_tradnl"/>
        </w:rPr>
      </w:pPr>
    </w:p>
    <w:p w14:paraId="21BF8D8A" w14:textId="77777777" w:rsidR="004E1AEB" w:rsidRPr="004E1AEB" w:rsidRDefault="004E1AEB" w:rsidP="004E1AEB">
      <w:pPr>
        <w:spacing w:after="0" w:line="276" w:lineRule="auto"/>
        <w:jc w:val="both"/>
        <w:textAlignment w:val="baseline"/>
        <w:rPr>
          <w:rFonts w:ascii="Century Gothic" w:eastAsia="Calibri" w:hAnsi="Century Gothic" w:cs="Arial"/>
          <w:lang w:val="es-ES_tradnl" w:eastAsia="es-ES_tradnl"/>
        </w:rPr>
      </w:pPr>
      <w:r w:rsidRPr="004E1AEB">
        <w:rPr>
          <w:rFonts w:ascii="Century Gothic" w:eastAsia="Calibri" w:hAnsi="Century Gothic" w:cs="Arial"/>
          <w:b/>
          <w:bCs/>
          <w:lang w:val="es-ES_tradnl" w:eastAsia="es-ES_tradnl"/>
        </w:rPr>
        <w:t xml:space="preserve">2.3. Aportes en los </w:t>
      </w:r>
      <w:r w:rsidRPr="004E1AEB">
        <w:rPr>
          <w:rFonts w:ascii="Century Gothic" w:eastAsia="Calibri" w:hAnsi="Century Gothic" w:cs="Arial"/>
          <w:b/>
          <w:bCs/>
          <w:i/>
          <w:iCs/>
          <w:lang w:val="es-ES_tradnl" w:eastAsia="es-ES_tradnl"/>
        </w:rPr>
        <w:t xml:space="preserve">convenios de asociación </w:t>
      </w:r>
      <w:r w:rsidRPr="004E1AEB">
        <w:rPr>
          <w:rFonts w:ascii="Century Gothic" w:eastAsia="Calibri" w:hAnsi="Century Gothic" w:cs="Arial"/>
          <w:b/>
          <w:bCs/>
          <w:lang w:val="es-ES_tradnl" w:eastAsia="es-ES_tradnl"/>
        </w:rPr>
        <w:t>y su incidencia en la forma de selección de la ESAL</w:t>
      </w:r>
    </w:p>
    <w:p w14:paraId="4CA5A6E5" w14:textId="77777777" w:rsidR="004E1AEB" w:rsidRPr="004E1AEB" w:rsidRDefault="004E1AEB" w:rsidP="004E1AEB">
      <w:pPr>
        <w:spacing w:after="0" w:line="276" w:lineRule="auto"/>
        <w:jc w:val="both"/>
        <w:textAlignment w:val="baseline"/>
        <w:rPr>
          <w:rFonts w:ascii="Century Gothic" w:eastAsia="Calibri" w:hAnsi="Century Gothic" w:cs="Arial"/>
          <w:lang w:val="es-ES_tradnl" w:eastAsia="es-ES_tradnl"/>
        </w:rPr>
      </w:pPr>
    </w:p>
    <w:p w14:paraId="0A008F23" w14:textId="77777777" w:rsidR="004E1AEB" w:rsidRPr="004E1AEB" w:rsidRDefault="004E1AEB" w:rsidP="004E1AEB">
      <w:pPr>
        <w:spacing w:after="120" w:line="276" w:lineRule="auto"/>
        <w:jc w:val="both"/>
        <w:textAlignment w:val="baseline"/>
        <w:rPr>
          <w:rFonts w:ascii="Century Gothic" w:eastAsia="Calibri" w:hAnsi="Century Gothic" w:cs="Arial"/>
          <w:lang w:val="es-ES_tradnl" w:eastAsia="es-ES_tradnl"/>
        </w:rPr>
      </w:pPr>
      <w:r w:rsidRPr="004E1AEB">
        <w:rPr>
          <w:rFonts w:ascii="Century Gothic" w:eastAsia="Calibri" w:hAnsi="Century Gothic" w:cs="Arial"/>
          <w:lang w:val="es-ES_tradnl" w:eastAsia="es-ES_tradnl"/>
        </w:rPr>
        <w:t xml:space="preserve">Como se indicó, el artículo 5 del Decreto 092 de 2017 establece que, </w:t>
      </w:r>
      <w:bookmarkStart w:id="9" w:name="_Hlk77927493"/>
      <w:r w:rsidRPr="004E1AEB">
        <w:rPr>
          <w:rFonts w:ascii="Century Gothic" w:eastAsia="Calibri" w:hAnsi="Century Gothic" w:cs="Arial"/>
          <w:lang w:val="es-ES" w:eastAsia="es-ES_tradnl"/>
        </w:rPr>
        <w:t xml:space="preserve">el proceso para la escogencia de la ESAL, por regla general, debe estar sujeto a competencia. Esto, salvo en aquellos casos en los que una ESAL manifieste su compromiso de aportar recursos en dinero por un valor igual o superior al treinta por ciento (30%) del valor total del convenio, siempre y cuando no existan otras </w:t>
      </w:r>
      <w:r w:rsidRPr="004E1AEB">
        <w:rPr>
          <w:rFonts w:ascii="Century Gothic" w:eastAsia="Calibri" w:hAnsi="Century Gothic" w:cs="Arial"/>
          <w:lang w:val="es-ES" w:eastAsia="es-ES_tradnl"/>
        </w:rPr>
        <w:lastRenderedPageBreak/>
        <w:t>ESAL que ofrezcan aportes en monto igual o superior a dicho porcentaje</w:t>
      </w:r>
      <w:bookmarkEnd w:id="9"/>
      <w:r w:rsidRPr="004E1AEB">
        <w:rPr>
          <w:rFonts w:ascii="Century Gothic" w:eastAsia="Calibri" w:hAnsi="Century Gothic" w:cs="Arial"/>
          <w:lang w:val="es-ES" w:eastAsia="es-ES_tradnl"/>
        </w:rPr>
        <w:t xml:space="preserve">, pues en este evento también se tendría que realizar un proceso competitivo. </w:t>
      </w:r>
    </w:p>
    <w:p w14:paraId="527FF36D" w14:textId="77777777" w:rsidR="004E1AEB" w:rsidRPr="004E1AEB" w:rsidRDefault="004E1AEB" w:rsidP="004E1AEB">
      <w:pPr>
        <w:spacing w:after="0" w:line="276" w:lineRule="auto"/>
        <w:ind w:firstLine="709"/>
        <w:jc w:val="both"/>
        <w:textAlignment w:val="baseline"/>
        <w:rPr>
          <w:rFonts w:ascii="Century Gothic" w:eastAsia="Calibri" w:hAnsi="Century Gothic" w:cs="Arial"/>
          <w:lang w:val="es-ES_tradnl" w:eastAsia="es-ES_tradnl"/>
        </w:rPr>
      </w:pPr>
      <w:r w:rsidRPr="004E1AEB">
        <w:rPr>
          <w:rFonts w:ascii="Century Gothic" w:eastAsia="Calibri" w:hAnsi="Century Gothic" w:cs="Arial"/>
          <w:lang w:val="es-ES_tradnl" w:eastAsia="es-ES_tradnl"/>
        </w:rPr>
        <w:t>Es decir, según la normativa aplicable, tal como lo indicó esta Agencia en la “Guía para la contratación con entidades privadas sin ánimo de lucro y de reconocida idoneidad”, el artículo 5 del Decreto 092 de 2017 “[…] busca reconocer el esfuerzo de la ESAL para conseguir recursos propios o de cooperación para el desarrollo conjunto de actividades de las Entidades Estatales en el marco del artículo 96 de la Ley 489 de 1998 y eximirla de competencia cuando aporta 30% o más de los recursos requeridos”. En similar sentido, Mauricio Rodríguez Tamayo manifiesta:</w:t>
      </w:r>
    </w:p>
    <w:p w14:paraId="11AA81E7" w14:textId="77777777" w:rsidR="004E1AEB" w:rsidRPr="004E1AEB" w:rsidRDefault="004E1AEB" w:rsidP="004E1AEB">
      <w:pPr>
        <w:spacing w:after="0" w:line="276" w:lineRule="auto"/>
        <w:jc w:val="both"/>
        <w:textAlignment w:val="baseline"/>
        <w:rPr>
          <w:rFonts w:ascii="Century Gothic" w:eastAsia="Calibri" w:hAnsi="Century Gothic" w:cs="Arial"/>
          <w:lang w:val="es-ES_tradnl" w:eastAsia="es-ES_tradnl"/>
        </w:rPr>
      </w:pPr>
    </w:p>
    <w:p w14:paraId="55464492" w14:textId="77777777" w:rsidR="004E1AEB" w:rsidRPr="004E1AEB" w:rsidRDefault="004E1AEB" w:rsidP="004E1AEB">
      <w:pPr>
        <w:autoSpaceDE w:val="0"/>
        <w:autoSpaceDN w:val="0"/>
        <w:adjustRightInd w:val="0"/>
        <w:spacing w:after="0" w:line="240" w:lineRule="auto"/>
        <w:ind w:left="709" w:right="709"/>
        <w:jc w:val="both"/>
        <w:rPr>
          <w:rFonts w:ascii="Century Gothic" w:eastAsia="Times New Roman" w:hAnsi="Century Gothic" w:cs="Arial"/>
          <w:sz w:val="20"/>
          <w:szCs w:val="20"/>
          <w:lang w:eastAsia="es-ES_tradnl"/>
        </w:rPr>
      </w:pPr>
      <w:r w:rsidRPr="004E1AEB">
        <w:rPr>
          <w:rFonts w:ascii="Century Gothic" w:eastAsia="Times New Roman" w:hAnsi="Century Gothic" w:cs="Arial"/>
          <w:sz w:val="20"/>
          <w:szCs w:val="20"/>
          <w:lang w:val="es-ES_tradnl" w:eastAsia="es-ES_tradnl"/>
        </w:rPr>
        <w:t>“El Decreto 092 de 2017 permite la escogencia directa de una ESAL, para la suscripción de un convenio de asociación solo cuando el privado s</w:t>
      </w:r>
      <w:r w:rsidRPr="004E1AEB">
        <w:rPr>
          <w:rFonts w:ascii="Century Gothic" w:eastAsia="Times New Roman" w:hAnsi="Century Gothic" w:cs="Arial"/>
          <w:sz w:val="20"/>
          <w:szCs w:val="20"/>
          <w:lang w:eastAsia="es-ES_tradnl"/>
        </w:rPr>
        <w:t>in ánimo de lucro aporta no menos de 30% en dinero del valor total del convenio. Por supuesto, es necesario acreditar la idoneidad necesaria de la ESAL, para que participe junto con el Estado en la atención y prestación de servicios públicos de naturaleza estatal.</w:t>
      </w:r>
    </w:p>
    <w:p w14:paraId="03C18416" w14:textId="77777777" w:rsidR="004E1AEB" w:rsidRPr="004E1AEB" w:rsidRDefault="004E1AEB" w:rsidP="004E1AEB">
      <w:pPr>
        <w:autoSpaceDE w:val="0"/>
        <w:autoSpaceDN w:val="0"/>
        <w:adjustRightInd w:val="0"/>
        <w:spacing w:after="0" w:line="240" w:lineRule="auto"/>
        <w:ind w:left="709" w:right="709"/>
        <w:jc w:val="both"/>
        <w:rPr>
          <w:rFonts w:ascii="Century Gothic" w:eastAsia="Times New Roman" w:hAnsi="Century Gothic" w:cs="Arial"/>
          <w:sz w:val="20"/>
          <w:szCs w:val="20"/>
          <w:lang w:eastAsia="es-ES_tradnl"/>
        </w:rPr>
      </w:pPr>
    </w:p>
    <w:p w14:paraId="31F4FAD0" w14:textId="77777777" w:rsidR="004E1AEB" w:rsidRPr="004E1AEB" w:rsidRDefault="004E1AEB" w:rsidP="004E1AEB">
      <w:pPr>
        <w:autoSpaceDE w:val="0"/>
        <w:autoSpaceDN w:val="0"/>
        <w:adjustRightInd w:val="0"/>
        <w:spacing w:after="0" w:line="240" w:lineRule="auto"/>
        <w:ind w:left="709" w:right="709"/>
        <w:jc w:val="both"/>
        <w:rPr>
          <w:rFonts w:ascii="Century Gothic" w:eastAsia="Times New Roman" w:hAnsi="Century Gothic" w:cs="Arial"/>
          <w:sz w:val="20"/>
          <w:szCs w:val="20"/>
          <w:lang w:eastAsia="es-ES_tradnl"/>
        </w:rPr>
      </w:pPr>
      <w:r w:rsidRPr="004E1AEB">
        <w:rPr>
          <w:rFonts w:ascii="Century Gothic" w:eastAsia="Times New Roman" w:hAnsi="Century Gothic" w:cs="Arial"/>
          <w:sz w:val="20"/>
          <w:szCs w:val="20"/>
          <w:lang w:eastAsia="es-ES_tradnl"/>
        </w:rPr>
        <w:t xml:space="preserve">Se podrá contratar directamente por esta causal siempre que esté acreditada cualquiera de las siguientes circunstancias: […] </w:t>
      </w:r>
      <w:proofErr w:type="spellStart"/>
      <w:r w:rsidRPr="004E1AEB">
        <w:rPr>
          <w:rFonts w:ascii="Century Gothic" w:eastAsia="Times New Roman" w:hAnsi="Century Gothic" w:cs="Arial"/>
          <w:sz w:val="20"/>
          <w:szCs w:val="20"/>
          <w:lang w:eastAsia="es-ES_tradnl"/>
        </w:rPr>
        <w:t>ii</w:t>
      </w:r>
      <w:proofErr w:type="spellEnd"/>
      <w:r w:rsidRPr="004E1AEB">
        <w:rPr>
          <w:rFonts w:ascii="Century Gothic" w:eastAsia="Times New Roman" w:hAnsi="Century Gothic" w:cs="Arial"/>
          <w:sz w:val="20"/>
          <w:szCs w:val="20"/>
          <w:lang w:eastAsia="es-ES_tradnl"/>
        </w:rPr>
        <w:t>) se celebran convenios de asociación a los que hace referencia el artículo 96 de la Ley 489 de 1998 y la ESAL compromete recursos en dinero en una proporción no inferior a 30% del valor total del convenio”</w:t>
      </w:r>
      <w:r w:rsidRPr="004E1AEB">
        <w:rPr>
          <w:rFonts w:ascii="Century Gothic" w:eastAsia="Times New Roman" w:hAnsi="Century Gothic" w:cs="Arial"/>
          <w:sz w:val="20"/>
          <w:szCs w:val="20"/>
          <w:vertAlign w:val="superscript"/>
          <w:lang w:eastAsia="es-ES_tradnl"/>
        </w:rPr>
        <w:footnoteReference w:id="12"/>
      </w:r>
      <w:r w:rsidRPr="004E1AEB">
        <w:rPr>
          <w:rFonts w:ascii="Century Gothic" w:eastAsia="Times New Roman" w:hAnsi="Century Gothic" w:cs="Arial"/>
          <w:sz w:val="20"/>
          <w:szCs w:val="20"/>
          <w:lang w:eastAsia="es-ES_tradnl"/>
        </w:rPr>
        <w:t>.</w:t>
      </w:r>
    </w:p>
    <w:p w14:paraId="1E46C798" w14:textId="77777777" w:rsidR="004E1AEB" w:rsidRPr="004E1AEB" w:rsidRDefault="004E1AEB" w:rsidP="004E1AEB">
      <w:pPr>
        <w:spacing w:after="0" w:line="276" w:lineRule="auto"/>
        <w:jc w:val="both"/>
        <w:textAlignment w:val="baseline"/>
        <w:rPr>
          <w:rFonts w:ascii="Century Gothic" w:eastAsia="Calibri" w:hAnsi="Century Gothic" w:cs="Arial"/>
          <w:lang w:val="es-ES_tradnl" w:eastAsia="es-ES_tradnl"/>
        </w:rPr>
      </w:pPr>
    </w:p>
    <w:p w14:paraId="1C63D761" w14:textId="77777777" w:rsidR="004E1AEB" w:rsidRPr="004E1AEB" w:rsidRDefault="004E1AEB" w:rsidP="004E1AEB">
      <w:pPr>
        <w:spacing w:after="120" w:line="276" w:lineRule="auto"/>
        <w:ind w:firstLine="709"/>
        <w:jc w:val="both"/>
        <w:textAlignment w:val="baseline"/>
        <w:rPr>
          <w:rFonts w:ascii="Century Gothic" w:eastAsia="Calibri" w:hAnsi="Century Gothic" w:cs="Arial"/>
          <w:lang w:val="es-ES_tradnl" w:eastAsia="es-ES_tradnl"/>
        </w:rPr>
      </w:pPr>
      <w:r w:rsidRPr="004E1AEB">
        <w:rPr>
          <w:rFonts w:ascii="Century Gothic" w:eastAsia="Calibri" w:hAnsi="Century Gothic" w:cs="Arial"/>
          <w:lang w:val="es-ES_tradnl" w:eastAsia="es-ES_tradnl"/>
        </w:rPr>
        <w:t xml:space="preserve">Sin embargo, según el mismo artículo 5, </w:t>
      </w:r>
      <w:r w:rsidRPr="004E1AEB">
        <w:rPr>
          <w:rFonts w:ascii="Century Gothic" w:eastAsia="Calibri" w:hAnsi="Century Gothic" w:cs="Arial"/>
          <w:i/>
          <w:iCs/>
          <w:lang w:val="es-ES_tradnl" w:eastAsia="es-ES_tradnl"/>
        </w:rPr>
        <w:t>si hay más de una ESAL</w:t>
      </w:r>
      <w:r w:rsidRPr="004E1AEB">
        <w:rPr>
          <w:rFonts w:ascii="Century Gothic" w:eastAsia="Calibri" w:hAnsi="Century Gothic" w:cs="Arial"/>
          <w:lang w:val="es-ES_tradnl" w:eastAsia="es-ES_tradnl"/>
        </w:rPr>
        <w:t xml:space="preserve"> que ofrezca su compromiso de recursos en dinero para el desarrollo conjunto de actividades relacionadas con los cometidos y funciones asignadas por ley a una Entidad Estatal, en una proporción no inferior al treinta por ciento (30%) del valor total del convenio, esta última debe seleccionar de forma objetiva a tal entidad y justificar los criterios para tal selección. En este evento, la Entidad Estatal debe diseñar herramientas que permitan una comparación objetiva de las ESAL para seleccionar objetivamente a aquella que tenga las mejores condiciones para alcanzar el resultado esperado con el proyecto de cooperación. </w:t>
      </w:r>
    </w:p>
    <w:p w14:paraId="3D4A70D1" w14:textId="77777777" w:rsidR="004E1AEB" w:rsidRPr="004E1AEB" w:rsidRDefault="004E1AEB" w:rsidP="004E1AEB">
      <w:pPr>
        <w:spacing w:after="120" w:line="276" w:lineRule="auto"/>
        <w:ind w:firstLine="708"/>
        <w:jc w:val="both"/>
        <w:textAlignment w:val="baseline"/>
        <w:rPr>
          <w:rFonts w:ascii="Century Gothic" w:eastAsia="Calibri" w:hAnsi="Century Gothic" w:cs="Arial"/>
          <w:lang w:val="es-ES_tradnl" w:eastAsia="es-ES_tradnl"/>
        </w:rPr>
      </w:pPr>
      <w:r w:rsidRPr="004E1AEB">
        <w:rPr>
          <w:rFonts w:ascii="Century Gothic" w:eastAsia="Calibri" w:hAnsi="Century Gothic" w:cs="Arial"/>
          <w:lang w:val="es-ES_tradnl" w:eastAsia="es-ES_tradnl"/>
        </w:rPr>
        <w:t xml:space="preserve">Ahora bien, respecto a la pregunta número 3 de su consulta relacionada con el recaudo de los aportes, debe señalarse que la Agencia Nacional de Contratación Pública – Colombia Compra Eficiente en la “Guía para la contratación con entidades privadas sin ánimo de lucro y de reconocida </w:t>
      </w:r>
      <w:r w:rsidRPr="004E1AEB">
        <w:rPr>
          <w:rFonts w:ascii="Century Gothic" w:eastAsia="Calibri" w:hAnsi="Century Gothic" w:cs="Arial"/>
          <w:lang w:val="es-ES_tradnl" w:eastAsia="es-ES_tradnl"/>
        </w:rPr>
        <w:lastRenderedPageBreak/>
        <w:t>idoneidad”, señaló que: “[…] la exigencia de recursos en dinero se puede cumplir con instrumentos financieros, jurídicos y contables que sean transables y que tengan liquidez suficiente para ser equivalentes al dinero”. Sin embargo, debe insistirse en que la entidad será autónoma en definir el mecanismo que le parezca más conveniente para el recaudo de los recursos económicos. Además, dichos recursos deberán comprometerse en actividades orientadas a la ejecución de los objetivos comunes de la asociación con la respectiva Entidad Pública, de acuerdo con lo prescrito en el artículo 96 de la Ley 489 de 1998.</w:t>
      </w:r>
    </w:p>
    <w:p w14:paraId="6BD6CDD3" w14:textId="5871F9A3" w:rsidR="004E1AEB" w:rsidRPr="004E1AEB" w:rsidRDefault="004E1AEB" w:rsidP="004E1AEB">
      <w:pPr>
        <w:spacing w:after="120" w:line="276" w:lineRule="auto"/>
        <w:ind w:firstLine="708"/>
        <w:jc w:val="both"/>
        <w:textAlignment w:val="baseline"/>
        <w:rPr>
          <w:rFonts w:ascii="Century Gothic" w:eastAsia="Calibri" w:hAnsi="Century Gothic" w:cs="Arial"/>
          <w:lang w:val="es-ES" w:eastAsia="es-ES"/>
        </w:rPr>
      </w:pPr>
      <w:r w:rsidRPr="54420522">
        <w:rPr>
          <w:rFonts w:ascii="Century Gothic" w:eastAsia="Calibri" w:hAnsi="Century Gothic" w:cs="Arial"/>
          <w:lang w:val="es-ES" w:eastAsia="es-ES"/>
        </w:rPr>
        <w:t xml:space="preserve">En ese contexto, cuando el aporte de la ESAL al convenio de asociación, que se realizará con una </w:t>
      </w:r>
      <w:r w:rsidR="00F52379" w:rsidRPr="54420522">
        <w:rPr>
          <w:rFonts w:ascii="Century Gothic" w:eastAsia="Calibri" w:hAnsi="Century Gothic" w:cs="Arial"/>
          <w:lang w:val="es-ES" w:eastAsia="es-ES"/>
        </w:rPr>
        <w:t>Entidad Estatal</w:t>
      </w:r>
      <w:r w:rsidRPr="54420522">
        <w:rPr>
          <w:rFonts w:ascii="Century Gothic" w:eastAsia="Calibri" w:hAnsi="Century Gothic" w:cs="Arial"/>
          <w:lang w:val="es-ES" w:eastAsia="es-ES"/>
        </w:rPr>
        <w:t xml:space="preserve"> bajo los términos del artículo 5 del Decreto 092 de 2017, no sea en dinero sino en especie, esto es, con bienes tangibles e intangibles distintos al dinero o que no sean equivalentes a este, en los términos indicados en el párrafo anterior, </w:t>
      </w:r>
      <w:r w:rsidRPr="54420522">
        <w:rPr>
          <w:rFonts w:ascii="Century Gothic" w:eastAsia="Calibri" w:hAnsi="Century Gothic" w:cs="Arial"/>
          <w:i/>
          <w:lang w:val="es-ES" w:eastAsia="es-ES"/>
        </w:rPr>
        <w:t>no</w:t>
      </w:r>
      <w:r w:rsidRPr="54420522">
        <w:rPr>
          <w:rFonts w:ascii="Century Gothic" w:eastAsia="Calibri" w:hAnsi="Century Gothic" w:cs="Arial"/>
          <w:lang w:val="es-ES" w:eastAsia="es-ES"/>
        </w:rPr>
        <w:t xml:space="preserve"> se aplicará la regla que determina que si el aporte de recursos en dinero es igual o superior a un treinta por ciento (30%) del valor del convenio, este se podrá celebrar de forma directa, por lo que deberá adelantarse un proceso competitivo. No obstante, se precisa que eso no significa que no puedan hacerse aportes en especie, sino que como mínimo debe realizarse un aporte en dinero del treinta por ciento (30%) del valor del convenio de asociación para que pueda aplicar la selección directa de la ESAL, siempre que no haya otra ESAL que realice el mismo ofrecimiento. </w:t>
      </w:r>
    </w:p>
    <w:p w14:paraId="2AA317EE" w14:textId="77777777" w:rsidR="004E1AEB" w:rsidRPr="004E1AEB" w:rsidRDefault="004E1AEB" w:rsidP="004E1AEB">
      <w:pPr>
        <w:spacing w:after="0" w:line="276" w:lineRule="auto"/>
        <w:ind w:firstLine="709"/>
        <w:jc w:val="both"/>
        <w:textAlignment w:val="baseline"/>
        <w:rPr>
          <w:rFonts w:ascii="Century Gothic" w:eastAsia="Calibri" w:hAnsi="Century Gothic" w:cs="Arial"/>
          <w:lang w:val="es-ES_tradnl" w:eastAsia="es-ES_tradnl"/>
        </w:rPr>
      </w:pPr>
      <w:r w:rsidRPr="004E1AEB">
        <w:rPr>
          <w:rFonts w:ascii="Century Gothic" w:eastAsia="Calibri" w:hAnsi="Century Gothic" w:cs="Arial"/>
          <w:lang w:val="es-ES_tradnl" w:eastAsia="es-ES_tradnl"/>
        </w:rPr>
        <w:t xml:space="preserve">De este modo, en los convenios de asociación la ESAL debe aportar un treinta por ciento (30%) total del convenio en dinero para que no proceda el proceso competitivo, el cual podrá tener origen en recursos propios o en recursos de cooperación internacional cuya destinación permita la ejecución y el logro de los objetivos comunes del convenio celebrado con la Entidad Estatal asociada, sin perjuicio de que haya otros aportes en especie que se pacten para la ejecución de las actividades y finalidades de este.  </w:t>
      </w:r>
    </w:p>
    <w:p w14:paraId="4DD9DE1A" w14:textId="77777777" w:rsidR="004E1AEB" w:rsidRPr="004E1AEB" w:rsidRDefault="004E1AEB" w:rsidP="004E1AEB">
      <w:pPr>
        <w:spacing w:after="0" w:line="276" w:lineRule="auto"/>
        <w:ind w:firstLine="709"/>
        <w:jc w:val="both"/>
        <w:textAlignment w:val="baseline"/>
        <w:rPr>
          <w:rFonts w:ascii="Century Gothic" w:eastAsia="Calibri" w:hAnsi="Century Gothic" w:cs="Arial"/>
          <w:lang w:val="es-ES_tradnl" w:eastAsia="es-ES_tradnl"/>
        </w:rPr>
      </w:pPr>
    </w:p>
    <w:p w14:paraId="3A2A60B7" w14:textId="77777777" w:rsidR="004E1AEB" w:rsidRPr="004E1AEB" w:rsidRDefault="004E1AEB" w:rsidP="004E1AEB">
      <w:pPr>
        <w:spacing w:after="0" w:line="276" w:lineRule="auto"/>
        <w:jc w:val="both"/>
        <w:rPr>
          <w:rFonts w:ascii="Century Gothic" w:eastAsia="Calibri" w:hAnsi="Century Gothic" w:cs="Arial"/>
          <w:b/>
          <w:bCs/>
          <w:szCs w:val="24"/>
          <w:lang w:val="es-ES_tradnl" w:eastAsia="es-ES_tradnl"/>
        </w:rPr>
      </w:pPr>
      <w:r w:rsidRPr="004E1AEB">
        <w:rPr>
          <w:rFonts w:ascii="Century Gothic" w:eastAsia="Calibri" w:hAnsi="Century Gothic" w:cs="Arial"/>
          <w:b/>
          <w:bCs/>
          <w:szCs w:val="24"/>
          <w:lang w:val="es-ES_tradnl" w:eastAsia="es-ES_tradnl"/>
        </w:rPr>
        <w:t xml:space="preserve">2.4. Alcance de las remisiones previstas en los artículos </w:t>
      </w:r>
      <w:bookmarkStart w:id="10" w:name="_Hlk38202524"/>
      <w:r w:rsidRPr="004E1AEB">
        <w:rPr>
          <w:rFonts w:ascii="Century Gothic" w:eastAsia="Calibri" w:hAnsi="Century Gothic" w:cs="Arial"/>
          <w:b/>
          <w:bCs/>
          <w:szCs w:val="24"/>
          <w:lang w:val="es-ES_tradnl" w:eastAsia="es-ES_tradnl"/>
        </w:rPr>
        <w:t xml:space="preserve">6, 7 y 8 del </w:t>
      </w:r>
      <w:bookmarkStart w:id="11" w:name="_Hlk38282442"/>
      <w:r w:rsidRPr="004E1AEB">
        <w:rPr>
          <w:rFonts w:ascii="Century Gothic" w:eastAsia="Calibri" w:hAnsi="Century Gothic" w:cs="Arial"/>
          <w:b/>
          <w:bCs/>
          <w:szCs w:val="24"/>
          <w:lang w:val="es-ES_tradnl" w:eastAsia="es-ES_tradnl"/>
        </w:rPr>
        <w:t>Decreto 092 de 2017</w:t>
      </w:r>
      <w:bookmarkEnd w:id="10"/>
      <w:bookmarkEnd w:id="11"/>
      <w:r w:rsidRPr="004E1AEB">
        <w:rPr>
          <w:rFonts w:ascii="Century Gothic" w:eastAsia="Calibri" w:hAnsi="Century Gothic" w:cs="Arial"/>
          <w:b/>
          <w:bCs/>
          <w:szCs w:val="24"/>
          <w:lang w:val="es-ES_tradnl" w:eastAsia="es-ES_tradnl"/>
        </w:rPr>
        <w:t>: Limite a la adición de los convenios de asociación</w:t>
      </w:r>
    </w:p>
    <w:p w14:paraId="06CD1B16" w14:textId="77777777" w:rsidR="004E1AEB" w:rsidRPr="004E1AEB" w:rsidRDefault="004E1AEB" w:rsidP="004E1AEB">
      <w:pPr>
        <w:spacing w:after="0" w:line="276" w:lineRule="auto"/>
        <w:jc w:val="both"/>
        <w:rPr>
          <w:rFonts w:ascii="Century Gothic" w:eastAsia="Calibri" w:hAnsi="Century Gothic" w:cs="Arial"/>
          <w:b/>
          <w:bCs/>
          <w:szCs w:val="24"/>
          <w:lang w:val="es-ES_tradnl" w:eastAsia="es-ES_tradnl"/>
        </w:rPr>
      </w:pPr>
    </w:p>
    <w:p w14:paraId="0594BCDD" w14:textId="77777777" w:rsidR="004E1AEB" w:rsidRPr="004E1AEB" w:rsidRDefault="004E1AEB" w:rsidP="004E1AEB">
      <w:pPr>
        <w:spacing w:after="120" w:line="276" w:lineRule="auto"/>
        <w:jc w:val="both"/>
        <w:rPr>
          <w:rFonts w:ascii="Century Gothic" w:eastAsia="Calibri" w:hAnsi="Century Gothic" w:cs="Arial"/>
          <w:color w:val="000000" w:themeColor="text1"/>
          <w:lang w:val="es-ES"/>
        </w:rPr>
      </w:pPr>
      <w:r w:rsidRPr="004E1AEB">
        <w:rPr>
          <w:rFonts w:ascii="Century Gothic" w:eastAsia="Calibri" w:hAnsi="Century Gothic" w:cs="Arial"/>
          <w:lang w:val="es-ES" w:eastAsia="es-ES_tradnl"/>
        </w:rPr>
        <w:t>Para resolver la pregunta número 1 de la consulta, es importante tener en cuenta que la Constitución Política de 1991 establece tres (3) regímenes de contratación</w:t>
      </w:r>
      <w:r w:rsidRPr="004E1AEB">
        <w:rPr>
          <w:rFonts w:ascii="Century Gothic" w:eastAsia="Calibri" w:hAnsi="Century Gothic" w:cs="Arial"/>
          <w:color w:val="000000" w:themeColor="text1"/>
          <w:lang w:val="es-ES"/>
        </w:rPr>
        <w:t xml:space="preserve">. El </w:t>
      </w:r>
      <w:r w:rsidRPr="001C7560">
        <w:rPr>
          <w:rFonts w:ascii="Century Gothic" w:eastAsia="Calibri" w:hAnsi="Century Gothic" w:cs="Arial"/>
          <w:i/>
          <w:color w:val="000000" w:themeColor="text1"/>
          <w:lang w:val="es-ES"/>
        </w:rPr>
        <w:t>primero</w:t>
      </w:r>
      <w:r w:rsidRPr="004E1AEB">
        <w:rPr>
          <w:rFonts w:ascii="Century Gothic" w:eastAsia="Calibri" w:hAnsi="Century Gothic" w:cs="Arial"/>
          <w:color w:val="000000" w:themeColor="text1"/>
          <w:lang w:val="es-ES"/>
        </w:rPr>
        <w:t xml:space="preserve"> se fundamenta en la competencia prevista en el inciso final del artículo 150 superior, por el cual se faculta al Congreso de la República para expedir un Estatuto General de Contratación de la Administración Pública. El </w:t>
      </w:r>
      <w:r w:rsidRPr="001C7560">
        <w:rPr>
          <w:rFonts w:ascii="Century Gothic" w:eastAsia="Calibri" w:hAnsi="Century Gothic" w:cs="Arial"/>
          <w:i/>
          <w:color w:val="000000" w:themeColor="text1"/>
          <w:lang w:val="es-ES"/>
        </w:rPr>
        <w:t>segundo</w:t>
      </w:r>
      <w:r w:rsidRPr="004E1AEB">
        <w:rPr>
          <w:rFonts w:ascii="Century Gothic" w:eastAsia="Calibri" w:hAnsi="Century Gothic" w:cs="Arial"/>
          <w:color w:val="000000" w:themeColor="text1"/>
          <w:lang w:val="es-ES"/>
        </w:rPr>
        <w:t xml:space="preserve"> se relaciona con la posibilidad de crear regímenes especiales, caso en el cual la </w:t>
      </w:r>
      <w:r w:rsidRPr="004E1AEB">
        <w:rPr>
          <w:rFonts w:ascii="Century Gothic" w:eastAsia="Calibri" w:hAnsi="Century Gothic" w:cs="Arial"/>
          <w:color w:val="000000" w:themeColor="text1"/>
          <w:lang w:val="es-ES"/>
        </w:rPr>
        <w:lastRenderedPageBreak/>
        <w:t xml:space="preserve">Constitución los exceptúa directamente, como sucede con las universidades públicas y el Banco de la República –artículos 69 y 371–, o permite que la ley defina el régimen jurídico de determinados órganos del Estado, como en el caso de las entidades descentralizadas por servicios –artículo 210– y las empresas de servicios públicos domiciliarios –artículo 365–. </w:t>
      </w:r>
      <w:r w:rsidRPr="000B2A67">
        <w:rPr>
          <w:rFonts w:ascii="Century Gothic" w:eastAsia="Calibri" w:hAnsi="Century Gothic" w:cs="Arial"/>
          <w:i/>
          <w:color w:val="000000" w:themeColor="text1"/>
          <w:lang w:val="es-ES"/>
        </w:rPr>
        <w:t>Finalmente</w:t>
      </w:r>
      <w:r w:rsidRPr="004E1AEB">
        <w:rPr>
          <w:rFonts w:ascii="Century Gothic" w:eastAsia="Calibri" w:hAnsi="Century Gothic" w:cs="Arial"/>
          <w:color w:val="000000" w:themeColor="text1"/>
          <w:lang w:val="es-ES"/>
        </w:rPr>
        <w:t xml:space="preserve">, el citado artículo 355 establece el régimen de los contratos con las ESAL, el cual –además de extenderse a los </w:t>
      </w:r>
      <w:r w:rsidRPr="004E1AEB">
        <w:rPr>
          <w:rFonts w:ascii="Century Gothic" w:eastAsia="Calibri" w:hAnsi="Century Gothic" w:cs="Arial"/>
          <w:i/>
          <w:iCs/>
          <w:color w:val="000000" w:themeColor="text1"/>
          <w:lang w:val="es-ES"/>
        </w:rPr>
        <w:t>convenios de asociación</w:t>
      </w:r>
      <w:r w:rsidRPr="004E1AEB">
        <w:rPr>
          <w:rFonts w:ascii="Century Gothic" w:eastAsia="Calibri" w:hAnsi="Century Gothic" w:cs="Arial"/>
          <w:color w:val="000000" w:themeColor="text1"/>
          <w:lang w:val="es-ES"/>
        </w:rPr>
        <w:t xml:space="preserve"> en virtud de lo dispuesto en el artículo 96 de la Ley 489 de 1998– se desarrolló a través del Decreto 092 de 2017. </w:t>
      </w:r>
    </w:p>
    <w:p w14:paraId="361E21A8" w14:textId="77777777" w:rsidR="004E1AEB" w:rsidRPr="004E1AEB" w:rsidRDefault="004E1AEB" w:rsidP="004E1AEB">
      <w:pPr>
        <w:spacing w:after="0" w:line="276" w:lineRule="auto"/>
        <w:jc w:val="both"/>
        <w:rPr>
          <w:rFonts w:ascii="Century Gothic" w:eastAsia="Calibri" w:hAnsi="Century Gothic" w:cs="Arial"/>
          <w:color w:val="000000" w:themeColor="text1"/>
          <w:lang w:val="es-ES_tradnl"/>
        </w:rPr>
      </w:pPr>
      <w:r w:rsidRPr="004E1AEB">
        <w:rPr>
          <w:rFonts w:ascii="Century Gothic" w:eastAsia="Calibri" w:hAnsi="Century Gothic" w:cs="Arial"/>
          <w:color w:val="000000" w:themeColor="text1"/>
          <w:lang w:val="es-ES_tradnl"/>
        </w:rPr>
        <w:tab/>
        <w:t xml:space="preserve">Los primeros dos regímenes se caracterizan por la exhaustiva regulación de la actividad contractual. Los contratos sometidos al EGCAP, aunque se rigen por el derecho público, permiten la aplicación del derecho civil y comercial en los casos previstos en los artículos 13, 32 y 40 de la Ley 80 de 1993. Así mismo, pese a la aplicación de las normas comunes sobre obligaciones y contratos en las entidades del régimen exceptuado, deben respetar los principios de la función administrativa, de la gestión fiscal y el régimen de inhabilidades e incompatibilidades, entre otras materias –Ley 1150 de 2007, artículo 13–, en armonía con los respectivos manuales de contratación. Sin embargo, frente a la regulación sumaria de los </w:t>
      </w:r>
      <w:r w:rsidRPr="004E1AEB">
        <w:rPr>
          <w:rFonts w:ascii="Century Gothic" w:eastAsia="Calibri" w:hAnsi="Century Gothic" w:cs="Arial"/>
          <w:i/>
          <w:iCs/>
          <w:color w:val="000000" w:themeColor="text1"/>
          <w:lang w:val="es-ES_tradnl"/>
        </w:rPr>
        <w:t>contratos del artículo 355 de la Constitución</w:t>
      </w:r>
      <w:r w:rsidRPr="004E1AEB">
        <w:rPr>
          <w:rFonts w:ascii="Century Gothic" w:eastAsia="Calibri" w:hAnsi="Century Gothic" w:cs="Arial"/>
          <w:color w:val="000000" w:themeColor="text1"/>
          <w:lang w:val="es-ES_tradnl"/>
        </w:rPr>
        <w:t xml:space="preserve"> y los </w:t>
      </w:r>
      <w:r w:rsidRPr="004E1AEB">
        <w:rPr>
          <w:rFonts w:ascii="Century Gothic" w:eastAsia="Calibri" w:hAnsi="Century Gothic" w:cs="Arial"/>
          <w:i/>
          <w:iCs/>
          <w:color w:val="000000" w:themeColor="text1"/>
          <w:lang w:val="es-ES_tradnl"/>
        </w:rPr>
        <w:t>convenios de asociación</w:t>
      </w:r>
      <w:r w:rsidRPr="004E1AEB">
        <w:rPr>
          <w:rFonts w:ascii="Century Gothic" w:eastAsia="Calibri" w:hAnsi="Century Gothic" w:cs="Arial"/>
          <w:color w:val="000000" w:themeColor="text1"/>
          <w:lang w:val="es-ES_tradnl"/>
        </w:rPr>
        <w:t xml:space="preserve">, los artículos 6, 7 y 8 del </w:t>
      </w:r>
      <w:bookmarkStart w:id="12" w:name="_Hlk38214426"/>
      <w:r w:rsidRPr="004E1AEB">
        <w:rPr>
          <w:rFonts w:ascii="Century Gothic" w:eastAsia="Calibri" w:hAnsi="Century Gothic" w:cs="Arial"/>
          <w:color w:val="000000" w:themeColor="text1"/>
          <w:lang w:val="es-ES_tradnl"/>
        </w:rPr>
        <w:t>Decreto 092 de 2017</w:t>
      </w:r>
      <w:bookmarkEnd w:id="12"/>
      <w:r w:rsidRPr="004E1AEB">
        <w:rPr>
          <w:rFonts w:ascii="Century Gothic" w:eastAsia="Calibri" w:hAnsi="Century Gothic" w:cs="Arial"/>
          <w:color w:val="000000" w:themeColor="text1"/>
          <w:lang w:val="es-ES_tradnl"/>
        </w:rPr>
        <w:t xml:space="preserve"> disponen lo siguiente:</w:t>
      </w:r>
    </w:p>
    <w:p w14:paraId="3CFE0CCA" w14:textId="77777777" w:rsidR="004E1AEB" w:rsidRPr="004E1AEB" w:rsidRDefault="004E1AEB" w:rsidP="004E1AEB">
      <w:pPr>
        <w:spacing w:after="0" w:line="276" w:lineRule="auto"/>
        <w:ind w:left="709" w:right="709"/>
        <w:jc w:val="both"/>
        <w:rPr>
          <w:rFonts w:ascii="Century Gothic" w:eastAsia="Calibri" w:hAnsi="Century Gothic" w:cs="Arial"/>
          <w:color w:val="000000" w:themeColor="text1"/>
          <w:lang w:val="es-ES_tradnl"/>
        </w:rPr>
      </w:pPr>
    </w:p>
    <w:p w14:paraId="793D644A" w14:textId="77777777" w:rsidR="004E1AEB" w:rsidRPr="004E1AEB" w:rsidRDefault="004E1AEB" w:rsidP="004E1AEB">
      <w:pPr>
        <w:spacing w:after="0" w:line="240" w:lineRule="auto"/>
        <w:ind w:left="709" w:right="709"/>
        <w:jc w:val="both"/>
        <w:rPr>
          <w:rFonts w:ascii="Century Gothic" w:eastAsia="Calibri" w:hAnsi="Century Gothic" w:cs="Arial"/>
          <w:color w:val="000000" w:themeColor="text1"/>
          <w:sz w:val="20"/>
          <w:szCs w:val="20"/>
          <w:lang w:val="es-ES_tradnl"/>
        </w:rPr>
      </w:pPr>
      <w:r w:rsidRPr="004E1AEB">
        <w:rPr>
          <w:rFonts w:ascii="Century Gothic" w:eastAsia="Calibri" w:hAnsi="Century Gothic" w:cs="Arial"/>
          <w:color w:val="000000" w:themeColor="text1"/>
          <w:sz w:val="20"/>
          <w:szCs w:val="20"/>
          <w:lang w:val="es-ES_tradnl"/>
        </w:rPr>
        <w:t>“Artículo 6°. Prohibiciones, inhabilidades e incompatibilidades.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w:t>
      </w:r>
    </w:p>
    <w:p w14:paraId="433D72F4" w14:textId="77777777" w:rsidR="004E1AEB" w:rsidRPr="004E1AEB" w:rsidRDefault="004E1AEB" w:rsidP="004E1AEB">
      <w:pPr>
        <w:spacing w:after="0" w:line="240" w:lineRule="auto"/>
        <w:ind w:left="709" w:right="709"/>
        <w:jc w:val="both"/>
        <w:rPr>
          <w:rFonts w:ascii="Century Gothic" w:eastAsia="Calibri" w:hAnsi="Century Gothic" w:cs="Arial"/>
          <w:color w:val="000000" w:themeColor="text1"/>
          <w:sz w:val="20"/>
          <w:szCs w:val="20"/>
          <w:lang w:val="es-ES_tradnl"/>
        </w:rPr>
      </w:pPr>
    </w:p>
    <w:p w14:paraId="276FCF16" w14:textId="77777777" w:rsidR="004E1AEB" w:rsidRPr="004E1AEB" w:rsidRDefault="004E1AEB" w:rsidP="004E1AEB">
      <w:pPr>
        <w:spacing w:after="0" w:line="240" w:lineRule="auto"/>
        <w:ind w:left="709" w:right="709"/>
        <w:jc w:val="both"/>
        <w:rPr>
          <w:rFonts w:ascii="Century Gothic" w:eastAsia="Calibri" w:hAnsi="Century Gothic" w:cs="Arial"/>
          <w:color w:val="000000" w:themeColor="text1"/>
          <w:sz w:val="20"/>
          <w:szCs w:val="20"/>
          <w:lang w:val="es-ES_tradnl"/>
        </w:rPr>
      </w:pPr>
      <w:r w:rsidRPr="004E1AEB">
        <w:rPr>
          <w:rFonts w:ascii="Century Gothic" w:eastAsia="Calibri" w:hAnsi="Century Gothic" w:cs="Arial"/>
          <w:color w:val="000000" w:themeColor="text1"/>
          <w:sz w:val="20"/>
          <w:szCs w:val="20"/>
          <w:lang w:val="es-ES_tradnl"/>
        </w:rPr>
        <w:t>Artículo 7°. Aplicación de los principios de la contratación estatal. La contratación a la que hace referencia el presente decreto está sujeta a los principios de la contratación estatal y a las normas presupuestales aplicables […]</w:t>
      </w:r>
    </w:p>
    <w:p w14:paraId="07684DAC" w14:textId="77777777" w:rsidR="004E1AEB" w:rsidRPr="004E1AEB" w:rsidRDefault="004E1AEB" w:rsidP="004E1AEB">
      <w:pPr>
        <w:spacing w:after="0" w:line="240" w:lineRule="auto"/>
        <w:ind w:left="709" w:right="709"/>
        <w:jc w:val="both"/>
        <w:rPr>
          <w:rFonts w:ascii="Century Gothic" w:eastAsia="Calibri" w:hAnsi="Century Gothic" w:cs="Arial"/>
          <w:color w:val="000000" w:themeColor="text1"/>
          <w:sz w:val="20"/>
          <w:szCs w:val="20"/>
          <w:lang w:val="es-ES_tradnl"/>
        </w:rPr>
      </w:pPr>
    </w:p>
    <w:p w14:paraId="47786852" w14:textId="77777777" w:rsidR="004E1AEB" w:rsidRPr="004E1AEB" w:rsidRDefault="004E1AEB" w:rsidP="004E1AEB">
      <w:pPr>
        <w:spacing w:after="0" w:line="240" w:lineRule="auto"/>
        <w:ind w:left="709" w:right="709"/>
        <w:jc w:val="both"/>
        <w:rPr>
          <w:rFonts w:ascii="Century Gothic" w:eastAsia="Calibri" w:hAnsi="Century Gothic" w:cs="Arial"/>
          <w:color w:val="000000" w:themeColor="text1"/>
          <w:sz w:val="20"/>
          <w:szCs w:val="20"/>
          <w:lang w:val="es-ES_tradnl"/>
        </w:rPr>
      </w:pPr>
      <w:r w:rsidRPr="004E1AEB">
        <w:rPr>
          <w:rFonts w:ascii="Century Gothic" w:eastAsia="Calibri" w:hAnsi="Century Gothic" w:cs="Arial"/>
          <w:color w:val="000000" w:themeColor="text1"/>
          <w:sz w:val="20"/>
          <w:szCs w:val="20"/>
          <w:lang w:val="es-ES_tradnl"/>
        </w:rPr>
        <w:t xml:space="preserve">Artículo 8°. Aplicación de normas generales del sistema de contratación pública. La contratación a la que hace referencia el presente decreto está sujeta </w:t>
      </w:r>
      <w:bookmarkStart w:id="13" w:name="_Hlk38206940"/>
      <w:r w:rsidRPr="004E1AEB">
        <w:rPr>
          <w:rFonts w:ascii="Century Gothic" w:eastAsia="Calibri" w:hAnsi="Century Gothic" w:cs="Arial"/>
          <w:color w:val="000000" w:themeColor="text1"/>
          <w:sz w:val="20"/>
          <w:szCs w:val="20"/>
          <w:lang w:val="es-ES_tradnl"/>
        </w:rPr>
        <w:t xml:space="preserve">a las </w:t>
      </w:r>
      <w:bookmarkStart w:id="14" w:name="_Hlk38633960"/>
      <w:r w:rsidRPr="004E1AEB">
        <w:rPr>
          <w:rFonts w:ascii="Century Gothic" w:eastAsia="Calibri" w:hAnsi="Century Gothic" w:cs="Arial"/>
          <w:color w:val="000000" w:themeColor="text1"/>
          <w:sz w:val="20"/>
          <w:szCs w:val="20"/>
          <w:lang w:val="es-ES_tradnl"/>
        </w:rPr>
        <w:t xml:space="preserve">normas generales </w:t>
      </w:r>
      <w:bookmarkStart w:id="15" w:name="_Hlk38275055"/>
      <w:r w:rsidRPr="004E1AEB">
        <w:rPr>
          <w:rFonts w:ascii="Century Gothic" w:eastAsia="Calibri" w:hAnsi="Century Gothic" w:cs="Arial"/>
          <w:color w:val="000000" w:themeColor="text1"/>
          <w:sz w:val="20"/>
          <w:szCs w:val="20"/>
          <w:lang w:val="es-ES_tradnl"/>
        </w:rPr>
        <w:t>aplicables a la contratación pública</w:t>
      </w:r>
      <w:bookmarkEnd w:id="13"/>
      <w:bookmarkEnd w:id="14"/>
      <w:r w:rsidRPr="004E1AEB">
        <w:rPr>
          <w:rFonts w:ascii="Century Gothic" w:eastAsia="Calibri" w:hAnsi="Century Gothic" w:cs="Arial"/>
          <w:color w:val="000000" w:themeColor="text1"/>
          <w:sz w:val="20"/>
          <w:szCs w:val="20"/>
          <w:lang w:val="es-ES_tradnl"/>
        </w:rPr>
        <w:t xml:space="preserve"> </w:t>
      </w:r>
      <w:bookmarkEnd w:id="15"/>
      <w:r w:rsidRPr="004E1AEB">
        <w:rPr>
          <w:rFonts w:ascii="Century Gothic" w:eastAsia="Calibri" w:hAnsi="Century Gothic" w:cs="Arial"/>
          <w:color w:val="000000" w:themeColor="text1"/>
          <w:sz w:val="20"/>
          <w:szCs w:val="20"/>
          <w:lang w:val="es-ES_tradnl"/>
        </w:rPr>
        <w:t xml:space="preserve">excepto en lo reglamentado en el presente decreto”. </w:t>
      </w:r>
    </w:p>
    <w:p w14:paraId="7146EB67" w14:textId="77777777" w:rsidR="004E1AEB" w:rsidRPr="004E1AEB" w:rsidRDefault="004E1AEB" w:rsidP="004E1AEB">
      <w:pPr>
        <w:spacing w:after="0" w:line="276" w:lineRule="auto"/>
        <w:jc w:val="both"/>
        <w:rPr>
          <w:rFonts w:ascii="Century Gothic" w:eastAsia="Calibri" w:hAnsi="Century Gothic" w:cs="Arial"/>
          <w:color w:val="000000" w:themeColor="text1"/>
          <w:lang w:val="es-ES_tradnl"/>
        </w:rPr>
      </w:pPr>
      <w:r w:rsidRPr="004E1AEB">
        <w:rPr>
          <w:rFonts w:ascii="Century Gothic" w:eastAsia="Calibri" w:hAnsi="Century Gothic" w:cs="Arial"/>
          <w:color w:val="000000" w:themeColor="text1"/>
          <w:lang w:val="es-ES_tradnl"/>
        </w:rPr>
        <w:tab/>
      </w:r>
    </w:p>
    <w:p w14:paraId="48C1B18C" w14:textId="77777777" w:rsidR="004E1AEB" w:rsidRPr="004E1AEB" w:rsidRDefault="004E1AEB" w:rsidP="004E1AEB">
      <w:pPr>
        <w:spacing w:after="120" w:line="276" w:lineRule="auto"/>
        <w:ind w:firstLine="709"/>
        <w:jc w:val="both"/>
        <w:rPr>
          <w:rFonts w:ascii="Century Gothic" w:eastAsia="Calibri" w:hAnsi="Century Gothic" w:cs="Arial"/>
          <w:color w:val="000000" w:themeColor="text1"/>
          <w:lang w:val="es-ES"/>
        </w:rPr>
      </w:pPr>
      <w:r w:rsidRPr="004E1AEB">
        <w:rPr>
          <w:rFonts w:ascii="Century Gothic" w:eastAsia="Calibri" w:hAnsi="Century Gothic" w:cs="Arial"/>
          <w:color w:val="000000" w:themeColor="text1"/>
          <w:lang w:val="es-ES"/>
        </w:rPr>
        <w:t xml:space="preserve">Las normas citadas integran las lagunas o vacíos normativos del reglamento autónomo, y se aplican a todo lo que no esté expresamente regulado en él. Por ello no es posible aplicar ninguna de las disposiciones anteriormente citadas en </w:t>
      </w:r>
      <w:r w:rsidRPr="004E1AEB">
        <w:rPr>
          <w:rFonts w:ascii="Century Gothic" w:eastAsia="Calibri" w:hAnsi="Century Gothic" w:cs="Arial"/>
          <w:color w:val="000000" w:themeColor="text1"/>
          <w:lang w:val="es-ES"/>
        </w:rPr>
        <w:lastRenderedPageBreak/>
        <w:t xml:space="preserve">temas como la idoneidad de las ESAL –artículo 3–, su registro en el SECOP –artículo 9– y la inaplicación del Registro Único de Proponentes –artículo 10–. </w:t>
      </w:r>
    </w:p>
    <w:p w14:paraId="49C52DB0" w14:textId="77777777" w:rsidR="004E1AEB" w:rsidRPr="004E1AEB" w:rsidRDefault="004E1AEB" w:rsidP="004E1AEB">
      <w:pPr>
        <w:spacing w:after="120" w:line="276" w:lineRule="auto"/>
        <w:ind w:firstLine="708"/>
        <w:jc w:val="both"/>
        <w:rPr>
          <w:rFonts w:ascii="Century Gothic" w:eastAsia="Calibri" w:hAnsi="Century Gothic" w:cs="Arial"/>
          <w:color w:val="000000" w:themeColor="text1"/>
          <w:lang w:val="es-ES"/>
        </w:rPr>
      </w:pPr>
      <w:bookmarkStart w:id="16" w:name="_Hlk38282653"/>
      <w:r w:rsidRPr="004E1AEB">
        <w:rPr>
          <w:rFonts w:ascii="Century Gothic" w:eastAsia="Calibri" w:hAnsi="Century Gothic" w:cs="Arial"/>
          <w:color w:val="000000" w:themeColor="text1"/>
          <w:lang w:val="es-ES"/>
        </w:rPr>
        <w:t>Ahora bien, cuando el artículo 8 del Decreto menciona a las “[…] normas generales aplicables a la contratación pública […]”, bien podrían referirse a las disposiciones comunes del EGCAP –</w:t>
      </w:r>
      <w:r w:rsidRPr="004E1AEB">
        <w:rPr>
          <w:rFonts w:ascii="Century Gothic" w:eastAsia="Calibri" w:hAnsi="Century Gothic" w:cs="Arial"/>
          <w:i/>
          <w:iCs/>
          <w:color w:val="000000" w:themeColor="text1"/>
          <w:lang w:val="es-ES"/>
        </w:rPr>
        <w:t xml:space="preserve">remisión parcial </w:t>
      </w:r>
      <w:proofErr w:type="spellStart"/>
      <w:r w:rsidRPr="004E1AEB">
        <w:rPr>
          <w:rFonts w:ascii="Century Gothic" w:eastAsia="Calibri" w:hAnsi="Century Gothic" w:cs="Arial"/>
          <w:i/>
          <w:iCs/>
          <w:color w:val="000000" w:themeColor="text1"/>
          <w:lang w:val="es-ES"/>
        </w:rPr>
        <w:t>latu</w:t>
      </w:r>
      <w:proofErr w:type="spellEnd"/>
      <w:r w:rsidRPr="004E1AEB">
        <w:rPr>
          <w:rFonts w:ascii="Century Gothic" w:eastAsia="Calibri" w:hAnsi="Century Gothic" w:cs="Arial"/>
          <w:i/>
          <w:iCs/>
          <w:color w:val="000000" w:themeColor="text1"/>
          <w:lang w:val="es-ES"/>
        </w:rPr>
        <w:t xml:space="preserve"> sensu</w:t>
      </w:r>
      <w:r w:rsidRPr="004E1AEB">
        <w:rPr>
          <w:rFonts w:ascii="Century Gothic" w:eastAsia="Calibri" w:hAnsi="Century Gothic" w:cs="Arial"/>
          <w:color w:val="000000" w:themeColor="text1"/>
          <w:lang w:val="es-ES"/>
        </w:rPr>
        <w:t>– o a la totalidad de la Ley 80 de 1993 –</w:t>
      </w:r>
      <w:r w:rsidRPr="004E1AEB">
        <w:rPr>
          <w:rFonts w:ascii="Century Gothic" w:eastAsia="Calibri" w:hAnsi="Century Gothic" w:cs="Arial"/>
          <w:i/>
          <w:iCs/>
          <w:color w:val="000000" w:themeColor="text1"/>
          <w:lang w:val="es-ES"/>
        </w:rPr>
        <w:t>remisión integral</w:t>
      </w:r>
      <w:r w:rsidRPr="004E1AEB">
        <w:rPr>
          <w:rFonts w:ascii="Century Gothic" w:eastAsia="Calibri" w:hAnsi="Century Gothic" w:cs="Arial"/>
          <w:color w:val="000000" w:themeColor="text1"/>
          <w:lang w:val="es-ES"/>
        </w:rPr>
        <w:t xml:space="preserve">–. En esta medida, determinar el alcance de la remisión del artículo 8 del Decreto 092 requiere considerar que no hay lugar a distinguir entre normas de carácter general o especial dentro del EGCAP, ya que de la competencia dispuesta en el inciso final del artículo 150 de la Constitución Política se desprende que todas estas disposiciones regulan con el mismo grado de generalidad la actividad contractual del Estado.     </w:t>
      </w:r>
    </w:p>
    <w:p w14:paraId="2C768D02" w14:textId="77777777" w:rsidR="004E1AEB" w:rsidRPr="004E1AEB" w:rsidRDefault="004E1AEB" w:rsidP="004E1AEB">
      <w:pPr>
        <w:spacing w:after="120" w:line="276" w:lineRule="auto"/>
        <w:ind w:firstLine="708"/>
        <w:jc w:val="both"/>
        <w:rPr>
          <w:rFonts w:ascii="Century Gothic" w:eastAsia="Calibri" w:hAnsi="Century Gothic" w:cs="Arial"/>
          <w:color w:val="000000" w:themeColor="text1"/>
          <w:lang w:val="es-ES"/>
        </w:rPr>
      </w:pPr>
      <w:r w:rsidRPr="004E1AEB">
        <w:rPr>
          <w:rFonts w:ascii="Century Gothic" w:eastAsia="Calibri" w:hAnsi="Century Gothic" w:cs="Arial"/>
          <w:color w:val="000000" w:themeColor="text1"/>
          <w:lang w:val="es-ES"/>
        </w:rPr>
        <w:t xml:space="preserve">Por ello, considerando que la Ley 80 de 1993 tiene el mismo grado de generalidad, esta Subdirección concluye que el artículo 8 del Decreto 092 de 2017 </w:t>
      </w:r>
      <w:r w:rsidRPr="004E1AEB">
        <w:rPr>
          <w:rFonts w:ascii="Century Gothic" w:eastAsia="Calibri" w:hAnsi="Century Gothic" w:cs="Arial"/>
          <w:i/>
          <w:iCs/>
          <w:color w:val="000000" w:themeColor="text1"/>
          <w:lang w:val="es-ES"/>
        </w:rPr>
        <w:t>remite integralmente</w:t>
      </w:r>
      <w:r w:rsidRPr="004E1AEB">
        <w:rPr>
          <w:rFonts w:ascii="Century Gothic" w:eastAsia="Calibri" w:hAnsi="Century Gothic" w:cs="Arial"/>
          <w:color w:val="000000" w:themeColor="text1"/>
          <w:lang w:val="es-ES"/>
        </w:rPr>
        <w:t xml:space="preserve"> al EGCAP. Esta remisión alcanza tanto el régimen de inhabilidades e incompatibilidades como los principios aplicables a la contratación estatal. Por tanto, los artículos 6, 7 y 8 del reglamento autónomo deben interpretarse en bloque, es decir, aplicando la Ley 80 de 1993 a todo supuesto que no esté expresamente regulado en el Decreto 092 de 2017.  </w:t>
      </w:r>
    </w:p>
    <w:bookmarkEnd w:id="16"/>
    <w:p w14:paraId="5B0C57EC" w14:textId="77777777" w:rsidR="004E1AEB" w:rsidRPr="004E1AEB" w:rsidRDefault="004E1AEB" w:rsidP="006D1D04">
      <w:pPr>
        <w:spacing w:after="120" w:line="276" w:lineRule="auto"/>
        <w:ind w:firstLine="709"/>
        <w:jc w:val="both"/>
        <w:rPr>
          <w:rFonts w:ascii="Century Gothic" w:eastAsia="Calibri" w:hAnsi="Century Gothic" w:cs="Arial"/>
          <w:color w:val="000000" w:themeColor="text1"/>
          <w:lang w:val="es-ES"/>
        </w:rPr>
      </w:pPr>
      <w:r w:rsidRPr="004E1AEB">
        <w:rPr>
          <w:rFonts w:ascii="Century Gothic" w:eastAsia="Calibri" w:hAnsi="Century Gothic" w:cs="Arial"/>
          <w:color w:val="000000" w:themeColor="text1"/>
          <w:lang w:val="es-ES"/>
        </w:rPr>
        <w:t xml:space="preserve">Como se indicó, los convenios que permite celebrar el artículo 355 de la Constitución Política </w:t>
      </w:r>
      <w:r w:rsidRPr="004E1AEB">
        <w:rPr>
          <w:rFonts w:ascii="Century Gothic" w:eastAsia="Calibri" w:hAnsi="Century Gothic" w:cs="Arial"/>
          <w:i/>
          <w:iCs/>
          <w:color w:val="000000" w:themeColor="text1"/>
          <w:lang w:val="es-ES"/>
        </w:rPr>
        <w:t>en principio</w:t>
      </w:r>
      <w:r w:rsidRPr="004E1AEB">
        <w:rPr>
          <w:rFonts w:ascii="Century Gothic" w:eastAsia="Calibri" w:hAnsi="Century Gothic" w:cs="Arial"/>
          <w:color w:val="000000" w:themeColor="text1"/>
          <w:lang w:val="es-ES"/>
        </w:rPr>
        <w:t xml:space="preserve"> cuentan con un régimen especial en el Decreto 092 de 2017 y en el artículo 96 de la Ley 489 de 1998. Sin embargo, el artículo 8 de dicho Decreto establece que en lo no reglamentado en él deben observarse “las normas generales aplicables a la contratación pública”. En tal sentido, frente al aspecto por el cual se formula la consulta – esto es el límite a la adición de los convenios – habría que preguntarse si cuenta con una regulación especial en el Decreto 092 de 2017. Si la respuesta fuera afirmativa, tendría que aplicarse tal regulación. Pero, de ser negativa, habría que aplicar también el EGCAP, así como sus normas complementarias y reglamentarias, pues, precisamente, dichos preceptos son las “normas generales aplicables a la contratación pública” a las que alude el artículo 8 del Decreto 092 de 2017. En otras palabras, el EGCAP y sus normas complementarias y reglamentarias llenan los vacíos que se presentan en el Decreto 092 de 2017 frente a la regulación de los asuntos asociados a la celebración, ejecución y liquidación de los convenios que encuentran fundamento en el artículo 355 de la Constitución, incluidos en esta categoría los convenios de asociación previstos en el artículo 96 de la Ley 489 de 1998.</w:t>
      </w:r>
    </w:p>
    <w:p w14:paraId="0395DC8B" w14:textId="77777777" w:rsidR="004E1AEB" w:rsidRPr="004E1AEB" w:rsidRDefault="004E1AEB" w:rsidP="004E1AEB">
      <w:pPr>
        <w:spacing w:after="120" w:line="276" w:lineRule="auto"/>
        <w:ind w:firstLine="709"/>
        <w:jc w:val="both"/>
        <w:rPr>
          <w:rFonts w:ascii="Century Gothic" w:eastAsia="Calibri" w:hAnsi="Century Gothic" w:cs="Arial"/>
          <w:color w:val="000000" w:themeColor="text1"/>
          <w:lang w:val="es-ES"/>
        </w:rPr>
      </w:pPr>
      <w:r w:rsidRPr="004E1AEB">
        <w:rPr>
          <w:rFonts w:ascii="Century Gothic" w:eastAsia="Calibri" w:hAnsi="Century Gothic" w:cs="Arial"/>
          <w:color w:val="000000" w:themeColor="text1"/>
          <w:lang w:val="es-ES"/>
        </w:rPr>
        <w:lastRenderedPageBreak/>
        <w:t xml:space="preserve">Pues bien, el peticionario indaga si en los convenios consagrados en el artículo 355 de la Constitución y en el artículo 96 </w:t>
      </w:r>
      <w:r w:rsidRPr="004E1AEB">
        <w:rPr>
          <w:rFonts w:ascii="Century Gothic" w:eastAsia="Calibri" w:hAnsi="Century Gothic" w:cs="Arial"/>
          <w:i/>
          <w:iCs/>
          <w:color w:val="000000" w:themeColor="text1"/>
          <w:lang w:val="es-ES"/>
        </w:rPr>
        <w:t>ibidem</w:t>
      </w:r>
      <w:r w:rsidRPr="004E1AEB">
        <w:rPr>
          <w:rFonts w:ascii="Century Gothic" w:eastAsia="Calibri" w:hAnsi="Century Gothic" w:cs="Arial"/>
          <w:color w:val="000000" w:themeColor="text1"/>
          <w:lang w:val="es-ES"/>
        </w:rPr>
        <w:t xml:space="preserve"> rige la Ley 80 de 1993 pueden adicionarse en más del cincuenta por ciento (50%) de su valor. Siguiendo la metodología explicada, hay que señalar que esta materia – la adición – </w:t>
      </w:r>
      <w:r w:rsidRPr="004E1AEB">
        <w:rPr>
          <w:rFonts w:ascii="Century Gothic" w:eastAsia="Calibri" w:hAnsi="Century Gothic" w:cs="Arial"/>
          <w:i/>
          <w:iCs/>
          <w:color w:val="000000" w:themeColor="text1"/>
          <w:lang w:val="es-ES"/>
        </w:rPr>
        <w:t>no está regulada expresamente en el Decreto 092 de 2017</w:t>
      </w:r>
      <w:r w:rsidRPr="004E1AEB">
        <w:rPr>
          <w:rFonts w:ascii="Century Gothic" w:eastAsia="Calibri" w:hAnsi="Century Gothic" w:cs="Arial"/>
          <w:color w:val="000000" w:themeColor="text1"/>
          <w:lang w:val="es-ES"/>
        </w:rPr>
        <w:t xml:space="preserve">. Este reglamento, además, como se indicó, es el que desarrolla el artículo 96 de la Ley 489 de 1998, la cual tampoco establece normas sobre dicho tema. En consecuencia, el vacío que se presenta frente a este asunto debe llenarse con la remisión que efectúa el artículo 8 del Decreto 092 de 2017. </w:t>
      </w:r>
    </w:p>
    <w:p w14:paraId="273A71E0" w14:textId="77777777" w:rsidR="004E1AEB" w:rsidRPr="004E1AEB" w:rsidRDefault="004E1AEB" w:rsidP="004E1AEB">
      <w:pPr>
        <w:spacing w:after="120" w:line="276" w:lineRule="auto"/>
        <w:ind w:firstLine="709"/>
        <w:jc w:val="both"/>
        <w:rPr>
          <w:rFonts w:ascii="Century Gothic" w:eastAsia="Calibri" w:hAnsi="Century Gothic" w:cs="Arial"/>
          <w:color w:val="000000" w:themeColor="text1"/>
          <w:lang w:val="es-ES"/>
        </w:rPr>
      </w:pPr>
      <w:r w:rsidRPr="004E1AEB">
        <w:rPr>
          <w:rFonts w:ascii="Century Gothic" w:eastAsia="Calibri" w:hAnsi="Century Gothic" w:cs="Arial"/>
          <w:color w:val="000000" w:themeColor="text1"/>
          <w:lang w:val="es-ES"/>
        </w:rPr>
        <w:t xml:space="preserve">Al respecto, el parágrafo del artículo 40 de la Ley 80 de 1993 establece un límite para las adiciones a los contratos estatales. En efecto, señala que “Los contratos no podrán adicionarse en más del cincuenta por ciento (50%) de su valor inicial, expresado éste en salarios mínimos legales mensuales”. El Decreto 092 de 2017 no prevé algo al respecto. Pero, como se ha explicado, su artículo 8 dispone que deben aplicarse las normas generales de la contratación pública en aquello que no esté reglamentado en dicho Decreto. Dentro de estas normas está, precisamente, el parágrafo del artículo 40 de la Ley 80 de 1993. Esta disposición no efectúa distinción alguna frente a los tipos de </w:t>
      </w:r>
      <w:r w:rsidRPr="004E1AEB">
        <w:rPr>
          <w:rFonts w:ascii="Century Gothic" w:eastAsia="Calibri" w:hAnsi="Century Gothic" w:cs="Arial"/>
          <w:i/>
          <w:iCs/>
          <w:color w:val="000000" w:themeColor="text1"/>
          <w:lang w:val="es-ES"/>
        </w:rPr>
        <w:t>contratos</w:t>
      </w:r>
      <w:r w:rsidRPr="004E1AEB">
        <w:rPr>
          <w:rFonts w:ascii="Century Gothic" w:eastAsia="Calibri" w:hAnsi="Century Gothic" w:cs="Arial"/>
          <w:color w:val="000000" w:themeColor="text1"/>
          <w:lang w:val="es-ES"/>
        </w:rPr>
        <w:t xml:space="preserve"> en los que aplica el límite de las adiciones. Simplemente, dice que “Los contratos no podrán adicionarse” superando el tope allí previsto. Los convenios regulados en el Decreto 092 de 2017 y en el artículo 96 de la Ley 489 de 1998 son </w:t>
      </w:r>
      <w:r w:rsidRPr="004E1AEB">
        <w:rPr>
          <w:rFonts w:ascii="Century Gothic" w:eastAsia="Calibri" w:hAnsi="Century Gothic" w:cs="Arial"/>
          <w:i/>
          <w:iCs/>
          <w:color w:val="000000" w:themeColor="text1"/>
          <w:lang w:val="es-ES"/>
        </w:rPr>
        <w:t>contratos</w:t>
      </w:r>
      <w:r w:rsidRPr="004E1AEB">
        <w:rPr>
          <w:rFonts w:ascii="Century Gothic" w:eastAsia="Calibri" w:hAnsi="Century Gothic" w:cs="Arial"/>
          <w:color w:val="000000" w:themeColor="text1"/>
          <w:lang w:val="es-ES"/>
        </w:rPr>
        <w:t xml:space="preserve">. De hecho, el segundo inciso del artículo 355 de la Constitución los llama de esa manera. En otras palabras, el hecho de que usualmente se les conozca como </w:t>
      </w:r>
      <w:r w:rsidRPr="004E1AEB">
        <w:rPr>
          <w:rFonts w:ascii="Century Gothic" w:eastAsia="Calibri" w:hAnsi="Century Gothic" w:cs="Arial"/>
          <w:i/>
          <w:iCs/>
          <w:color w:val="000000" w:themeColor="text1"/>
          <w:lang w:val="es-ES"/>
        </w:rPr>
        <w:t>convenios</w:t>
      </w:r>
      <w:r w:rsidRPr="004E1AEB">
        <w:rPr>
          <w:rFonts w:ascii="Century Gothic" w:eastAsia="Calibri" w:hAnsi="Century Gothic" w:cs="Arial"/>
          <w:color w:val="000000" w:themeColor="text1"/>
          <w:lang w:val="es-ES"/>
        </w:rPr>
        <w:t xml:space="preserve"> no les quita su carácter contractual. Por tanto, respondiendo la pregunta hecha por el peticionario, es válido concluir que también deben cumplir el límite porcentual para las adiciones previsto en el parágrafo del artículo 40 de la Ley 80 de 1993</w:t>
      </w:r>
      <w:r w:rsidRPr="004E1AEB">
        <w:rPr>
          <w:rFonts w:ascii="Century Gothic" w:eastAsia="Calibri" w:hAnsi="Century Gothic" w:cs="Arial"/>
          <w:lang w:val="es-ES_tradnl" w:eastAsia="es-ES_tradnl"/>
        </w:rPr>
        <w:t xml:space="preserve">, cuyo tenor literal dispone: </w:t>
      </w:r>
      <w:r w:rsidRPr="004E1AEB">
        <w:rPr>
          <w:rFonts w:ascii="Century Gothic" w:eastAsia="Calibri" w:hAnsi="Century Gothic" w:cs="Arial"/>
          <w:lang w:eastAsia="es-ES_tradnl"/>
        </w:rPr>
        <w:t>“</w:t>
      </w:r>
      <w:r w:rsidRPr="004E1AEB">
        <w:rPr>
          <w:rFonts w:ascii="Century Gothic" w:eastAsia="Times New Roman" w:hAnsi="Century Gothic" w:cs="Arial"/>
          <w:lang w:eastAsia="es-ES_tradnl"/>
        </w:rPr>
        <w:t>Los contratos no podrán adicionarse en más del cincuenta por ciento (50%) de su valor inicial, expresado éste en salarios mínimos legales mensuales</w:t>
      </w:r>
      <w:r w:rsidRPr="004E1AEB">
        <w:rPr>
          <w:rFonts w:ascii="Century Gothic" w:eastAsia="Calibri" w:hAnsi="Century Gothic" w:cs="Arial"/>
          <w:lang w:eastAsia="es-ES_tradnl"/>
        </w:rPr>
        <w:t>”</w:t>
      </w:r>
      <w:r w:rsidRPr="004E1AEB">
        <w:rPr>
          <w:rFonts w:ascii="Century Gothic" w:eastAsia="Calibri" w:hAnsi="Century Gothic" w:cs="Arial"/>
          <w:vertAlign w:val="superscript"/>
          <w:lang w:eastAsia="es-ES_tradnl"/>
        </w:rPr>
        <w:footnoteReference w:id="13"/>
      </w:r>
      <w:r w:rsidRPr="004E1AEB">
        <w:rPr>
          <w:rFonts w:ascii="Century Gothic" w:eastAsia="Times New Roman" w:hAnsi="Century Gothic" w:cs="Arial"/>
          <w:lang w:eastAsia="es-ES_tradnl"/>
        </w:rPr>
        <w:t>.</w:t>
      </w:r>
    </w:p>
    <w:p w14:paraId="082F6CC1" w14:textId="77777777" w:rsidR="004E1AEB" w:rsidRPr="004E1AEB" w:rsidRDefault="004E1AEB" w:rsidP="004E1AEB">
      <w:pPr>
        <w:spacing w:after="0" w:line="276" w:lineRule="auto"/>
        <w:ind w:firstLine="709"/>
        <w:jc w:val="both"/>
        <w:rPr>
          <w:rFonts w:ascii="Century Gothic" w:eastAsia="Times New Roman" w:hAnsi="Century Gothic" w:cs="Arial"/>
          <w:lang w:eastAsia="es-ES_tradnl"/>
        </w:rPr>
      </w:pPr>
      <w:r w:rsidRPr="004E1AEB">
        <w:rPr>
          <w:rFonts w:ascii="Century Gothic" w:eastAsia="Times New Roman" w:hAnsi="Century Gothic" w:cs="Arial"/>
          <w:color w:val="4B4949"/>
          <w:lang w:eastAsia="es-ES_tradnl"/>
        </w:rPr>
        <w:t>E</w:t>
      </w:r>
      <w:r w:rsidRPr="004E1AEB">
        <w:rPr>
          <w:rFonts w:ascii="Century Gothic" w:eastAsia="Times New Roman" w:hAnsi="Century Gothic" w:cs="Arial"/>
          <w:lang w:eastAsia="es-ES_tradnl"/>
        </w:rPr>
        <w:t xml:space="preserve">l parágrafo del artículo 40 de la Ley 80 prohíbe que las adiciones superen el cincuenta por ciento (50%) del valor inicial, expresado en salarios mínimos mensuales legales vigentes. Por ejemplo, si el convenio de asociación, que se suscribió en el año 2021 tiene un valor de $500.000.000, que es equivalente a 550,34 salarios mínimos mensuales legales vigentes, en el año 2022, si se adiciona, no podrá </w:t>
      </w:r>
      <w:r w:rsidRPr="004E1AEB">
        <w:rPr>
          <w:rFonts w:ascii="Century Gothic" w:eastAsia="Times New Roman" w:hAnsi="Century Gothic" w:cs="Arial"/>
          <w:lang w:eastAsia="es-ES_tradnl"/>
        </w:rPr>
        <w:lastRenderedPageBreak/>
        <w:t xml:space="preserve">superar más de 275,17 salarios mínimos mensuales legales vigentes. Al respecto, la doctrina expresa: </w:t>
      </w:r>
    </w:p>
    <w:p w14:paraId="1E6BDB71" w14:textId="77777777" w:rsidR="004E1AEB" w:rsidRPr="004E1AEB" w:rsidRDefault="004E1AEB" w:rsidP="004E1AEB">
      <w:pPr>
        <w:spacing w:after="0" w:line="276" w:lineRule="auto"/>
        <w:ind w:firstLine="709"/>
        <w:jc w:val="both"/>
        <w:rPr>
          <w:rFonts w:ascii="Century Gothic" w:eastAsia="Times New Roman" w:hAnsi="Century Gothic" w:cs="Arial"/>
          <w:lang w:eastAsia="es-ES_tradnl"/>
        </w:rPr>
      </w:pPr>
    </w:p>
    <w:p w14:paraId="2ACE41CA" w14:textId="77777777" w:rsidR="004E1AEB" w:rsidRPr="004E1AEB" w:rsidRDefault="004E1AEB" w:rsidP="004E1AEB">
      <w:pPr>
        <w:spacing w:after="0" w:line="240" w:lineRule="auto"/>
        <w:ind w:left="709" w:right="709"/>
        <w:jc w:val="both"/>
        <w:rPr>
          <w:rFonts w:ascii="Century Gothic" w:eastAsia="Times New Roman" w:hAnsi="Century Gothic" w:cs="Arial"/>
          <w:sz w:val="20"/>
          <w:szCs w:val="20"/>
          <w:lang w:eastAsia="es-ES_tradnl"/>
        </w:rPr>
      </w:pPr>
      <w:r w:rsidRPr="004E1AEB">
        <w:rPr>
          <w:rFonts w:ascii="Century Gothic" w:eastAsia="Times New Roman" w:hAnsi="Century Gothic" w:cs="Arial"/>
          <w:sz w:val="20"/>
          <w:szCs w:val="20"/>
          <w:lang w:eastAsia="es-ES_tradnl"/>
        </w:rPr>
        <w:t>“El parágrafo del art. 40 es, a primera vista, aparentemente claro, porque contiene tanto una permisión como una prohibición a la posibilidad de que el contrato se adicione. De un lado –sentido negativo-, prohíbe que la adición exceda el 50% del valor inicial; pero, de otro lado –sentido positivo- e implícitamente, la autoriza, pero solo hasta el 50 %. Las dos formas de ver son válidas</w:t>
      </w:r>
      <w:r w:rsidRPr="004E1AEB">
        <w:rPr>
          <w:rFonts w:ascii="Century Gothic" w:eastAsia="Times New Roman" w:hAnsi="Century Gothic" w:cs="Arial"/>
          <w:sz w:val="20"/>
          <w:szCs w:val="20"/>
          <w:vertAlign w:val="superscript"/>
          <w:lang w:eastAsia="es-ES_tradnl"/>
        </w:rPr>
        <w:footnoteReference w:id="14"/>
      </w:r>
      <w:r w:rsidRPr="004E1AEB">
        <w:rPr>
          <w:rFonts w:ascii="Century Gothic" w:eastAsia="Times New Roman" w:hAnsi="Century Gothic" w:cs="Arial"/>
          <w:sz w:val="20"/>
          <w:szCs w:val="20"/>
          <w:lang w:eastAsia="es-ES_tradnl"/>
        </w:rPr>
        <w:t xml:space="preserve">. </w:t>
      </w:r>
    </w:p>
    <w:p w14:paraId="45BE9DA7" w14:textId="77777777" w:rsidR="004E1AEB" w:rsidRPr="004E1AEB" w:rsidRDefault="004E1AEB" w:rsidP="004E1AEB">
      <w:pPr>
        <w:spacing w:after="0" w:line="240" w:lineRule="auto"/>
        <w:jc w:val="both"/>
        <w:rPr>
          <w:rFonts w:ascii="Century Gothic" w:eastAsia="Times New Roman" w:hAnsi="Century Gothic" w:cs="Times New Roman"/>
          <w:sz w:val="24"/>
          <w:szCs w:val="24"/>
          <w:lang w:eastAsia="es-ES_tradnl"/>
        </w:rPr>
      </w:pPr>
    </w:p>
    <w:p w14:paraId="3CB2DD25" w14:textId="77777777" w:rsidR="004E1AEB" w:rsidRPr="004E1AEB" w:rsidRDefault="004E1AEB" w:rsidP="004E1AEB">
      <w:pPr>
        <w:spacing w:after="120" w:line="276" w:lineRule="auto"/>
        <w:jc w:val="both"/>
        <w:rPr>
          <w:rFonts w:ascii="Century Gothic" w:eastAsia="Calibri" w:hAnsi="Century Gothic" w:cs="Arial"/>
          <w:szCs w:val="24"/>
          <w:lang w:eastAsia="es-ES_tradnl"/>
        </w:rPr>
      </w:pPr>
      <w:r w:rsidRPr="004E1AEB">
        <w:rPr>
          <w:rFonts w:ascii="Century Gothic" w:eastAsia="Times New Roman" w:hAnsi="Century Gothic" w:cs="Times New Roman"/>
          <w:sz w:val="24"/>
          <w:szCs w:val="24"/>
          <w:lang w:eastAsia="es-ES_tradnl"/>
        </w:rPr>
        <w:tab/>
      </w:r>
      <w:r w:rsidRPr="004E1AEB">
        <w:rPr>
          <w:rFonts w:ascii="Century Gothic" w:eastAsia="Times New Roman" w:hAnsi="Century Gothic" w:cs="Arial"/>
          <w:szCs w:val="24"/>
          <w:lang w:eastAsia="es-ES_tradnl"/>
        </w:rPr>
        <w:t xml:space="preserve">De acuerdo con lo regulado, se establece la restricción para adicionar los convenios de asociación por encima del cincuenta por ciento (50%) del valor inicial expresado en salarios mínimos mensuales legales vigentes, sin que se haga distinción frente al origen de los recursos para calcular el valor inicial a efectos de determinar el tope analizado, por lo que se tendrá en cuenta el valor total inicial del convenio. De esta manera, tanto la Entidad Pública como el asociado al decidir adicionar el convenio de asociación se sujetan al límite del parágrafo del artículo 40 de la Ley 80 de 1993, de acuerdo con la remisión del artículo 8 del Decreto 092 de 2017 a las normas generales del EGCAP. </w:t>
      </w:r>
      <w:r w:rsidRPr="004E1AEB">
        <w:rPr>
          <w:rFonts w:ascii="Century Gothic" w:eastAsia="Calibri" w:hAnsi="Century Gothic" w:cs="Arial"/>
          <w:szCs w:val="24"/>
          <w:lang w:eastAsia="es-ES_tradnl"/>
        </w:rPr>
        <w:t xml:space="preserve">En todo caso, la procedencia de adicionar estos convenios de asociación deberá corresponder al análisis que realice cada Entidad Estatal respecto a su conveniencia, por lo que le corresponderá definir en cada caso la viabilidad técnica, jurídica y financiera de realizar determinada modificación del convenio.   </w:t>
      </w:r>
    </w:p>
    <w:p w14:paraId="34DAA73D" w14:textId="31F2C108" w:rsidR="004E1AEB" w:rsidRPr="004E1AEB" w:rsidRDefault="004E1AEB" w:rsidP="004E1AEB">
      <w:pPr>
        <w:spacing w:after="120" w:line="276" w:lineRule="auto"/>
        <w:ind w:firstLine="709"/>
        <w:jc w:val="both"/>
        <w:rPr>
          <w:rFonts w:ascii="Century Gothic" w:eastAsia="Times New Roman" w:hAnsi="Century Gothic" w:cs="Arial"/>
          <w:lang w:eastAsia="es-ES_tradnl"/>
        </w:rPr>
      </w:pPr>
      <w:r w:rsidRPr="004E1AEB">
        <w:rPr>
          <w:rFonts w:ascii="Century Gothic" w:eastAsia="Calibri" w:hAnsi="Century Gothic" w:cs="Arial"/>
          <w:lang w:val="es-ES_tradnl"/>
        </w:rPr>
        <w:t xml:space="preserve">Finalmente, con el fin de contestar la pregunta número 2 de la consulta, se procede a analizar si en el evento que un convenio de asociación es celebrado de </w:t>
      </w:r>
      <w:r w:rsidRPr="004E1AEB">
        <w:rPr>
          <w:rFonts w:ascii="Century Gothic" w:eastAsia="Calibri" w:hAnsi="Century Gothic" w:cs="Arial"/>
          <w:lang w:val="es-ES_tradnl"/>
        </w:rPr>
        <w:lastRenderedPageBreak/>
        <w:t xml:space="preserve">manera directa, en virtud de lo establecido en el artículo 5 del Decreto 092 de 2017 y, posteriormente, es adicionado, la ESAL debe aportar el treinta por ciento (30%) del valor de </w:t>
      </w:r>
      <w:r w:rsidR="0021086B">
        <w:rPr>
          <w:rFonts w:ascii="Century Gothic" w:eastAsia="Calibri" w:hAnsi="Century Gothic" w:cs="Arial"/>
          <w:lang w:val="es-ES_tradnl"/>
        </w:rPr>
        <w:t xml:space="preserve">la </w:t>
      </w:r>
      <w:r w:rsidRPr="004E1AEB">
        <w:rPr>
          <w:rFonts w:ascii="Century Gothic" w:eastAsia="Calibri" w:hAnsi="Century Gothic" w:cs="Arial"/>
          <w:lang w:val="es-ES_tradnl"/>
        </w:rPr>
        <w:t>adición. Al respecto, es necesario señalar que, conforme al artículo 5 ibidem “[…] l</w:t>
      </w:r>
      <w:r w:rsidRPr="004E1AEB">
        <w:rPr>
          <w:rFonts w:ascii="Century Gothic" w:eastAsia="Times New Roman" w:hAnsi="Century Gothic" w:cs="Arial"/>
          <w:lang w:eastAsia="es-ES_tradnl"/>
        </w:rPr>
        <w:t xml:space="preserve">os convenios de asociación que celebren entidades privadas sin ánimo de lucro de reconocida idoneidad y Entidades Estatales para el desarrollo conjunto de actividades relacionadas con los cometidos y funciones que a estas les asigna la ley a los que hace referencia el artículo 96 de la Ley 489 de 1998, no estarán sujetos a competencia cuando la entidad sin ánimo de lucro comprometa recursos en dinero para la ejecución de esas actividades en una proporción no inferior al 30% del </w:t>
      </w:r>
      <w:r w:rsidRPr="004E1AEB">
        <w:rPr>
          <w:rFonts w:ascii="Century Gothic" w:eastAsia="Times New Roman" w:hAnsi="Century Gothic" w:cs="Arial"/>
          <w:i/>
          <w:iCs/>
          <w:lang w:eastAsia="es-ES_tradnl"/>
        </w:rPr>
        <w:t>valor total del convenio”</w:t>
      </w:r>
      <w:r w:rsidRPr="004E1AEB">
        <w:rPr>
          <w:rFonts w:ascii="Century Gothic" w:eastAsia="Times New Roman" w:hAnsi="Century Gothic" w:cs="Arial"/>
          <w:lang w:eastAsia="es-ES_tradnl"/>
        </w:rPr>
        <w:t xml:space="preserve">. (Énfasis fuera del texto original). </w:t>
      </w:r>
    </w:p>
    <w:p w14:paraId="434E9DFC" w14:textId="243A214F" w:rsidR="004E1AEB" w:rsidRPr="004E1AEB" w:rsidRDefault="004E1AEB" w:rsidP="004E1AEB">
      <w:pPr>
        <w:spacing w:after="120" w:line="276" w:lineRule="auto"/>
        <w:ind w:firstLine="709"/>
        <w:jc w:val="both"/>
        <w:rPr>
          <w:rFonts w:ascii="Century Gothic" w:eastAsia="Times New Roman" w:hAnsi="Century Gothic" w:cs="Arial"/>
          <w:shd w:val="clear" w:color="auto" w:fill="FFFFFF"/>
          <w:lang w:eastAsia="es-ES_tradnl"/>
        </w:rPr>
      </w:pPr>
      <w:r w:rsidRPr="004E1AEB">
        <w:rPr>
          <w:rFonts w:ascii="Century Gothic" w:eastAsia="Times New Roman" w:hAnsi="Century Gothic" w:cs="Arial"/>
          <w:lang w:eastAsia="es-ES_tradnl"/>
        </w:rPr>
        <w:t>Así las cosas, la norma establece que la ESAL debe aporta</w:t>
      </w:r>
      <w:r w:rsidR="00B8107A">
        <w:rPr>
          <w:rFonts w:ascii="Century Gothic" w:eastAsia="Times New Roman" w:hAnsi="Century Gothic" w:cs="Arial"/>
          <w:lang w:eastAsia="es-ES_tradnl"/>
        </w:rPr>
        <w:t>r</w:t>
      </w:r>
      <w:r w:rsidRPr="004E1AEB">
        <w:rPr>
          <w:rFonts w:ascii="Century Gothic" w:eastAsia="Times New Roman" w:hAnsi="Century Gothic" w:cs="Arial"/>
          <w:lang w:eastAsia="es-ES_tradnl"/>
        </w:rPr>
        <w:t xml:space="preserve"> mínimo el treinta por ciento (30%) del valor </w:t>
      </w:r>
      <w:r w:rsidRPr="00E042F5">
        <w:rPr>
          <w:rFonts w:ascii="Century Gothic" w:eastAsia="Times New Roman" w:hAnsi="Century Gothic" w:cs="Arial"/>
          <w:i/>
          <w:lang w:eastAsia="es-ES_tradnl"/>
        </w:rPr>
        <w:t>total</w:t>
      </w:r>
      <w:r w:rsidRPr="004E1AEB">
        <w:rPr>
          <w:rFonts w:ascii="Century Gothic" w:eastAsia="Times New Roman" w:hAnsi="Century Gothic" w:cs="Arial"/>
          <w:lang w:eastAsia="es-ES_tradnl"/>
        </w:rPr>
        <w:t xml:space="preserve"> del convenio. Nótese que la norma no hace distinción alguna </w:t>
      </w:r>
      <w:r w:rsidR="00DC3EFB">
        <w:rPr>
          <w:rFonts w:ascii="Century Gothic" w:eastAsia="Times New Roman" w:hAnsi="Century Gothic" w:cs="Arial"/>
          <w:lang w:eastAsia="es-ES_tradnl"/>
        </w:rPr>
        <w:t>frente</w:t>
      </w:r>
      <w:r w:rsidRPr="004E1AEB">
        <w:rPr>
          <w:rFonts w:ascii="Century Gothic" w:eastAsia="Times New Roman" w:hAnsi="Century Gothic" w:cs="Arial"/>
          <w:lang w:eastAsia="es-ES_tradnl"/>
        </w:rPr>
        <w:t xml:space="preserve"> a que la ESAL deba aportar el </w:t>
      </w:r>
      <w:r w:rsidR="00E042F5">
        <w:rPr>
          <w:rFonts w:ascii="Century Gothic" w:eastAsia="Times New Roman" w:hAnsi="Century Gothic" w:cs="Arial"/>
          <w:lang w:eastAsia="es-ES_tradnl"/>
        </w:rPr>
        <w:t xml:space="preserve">referido porcentaje </w:t>
      </w:r>
      <w:r w:rsidR="000F1ECB">
        <w:rPr>
          <w:rFonts w:ascii="Century Gothic" w:eastAsia="Times New Roman" w:hAnsi="Century Gothic" w:cs="Arial"/>
          <w:lang w:eastAsia="es-ES_tradnl"/>
        </w:rPr>
        <w:t xml:space="preserve">respecto al </w:t>
      </w:r>
      <w:r w:rsidRPr="004E1AEB">
        <w:rPr>
          <w:rFonts w:ascii="Century Gothic" w:eastAsia="Times New Roman" w:hAnsi="Century Gothic" w:cs="Arial"/>
          <w:lang w:eastAsia="es-ES_tradnl"/>
        </w:rPr>
        <w:t>valor inicial del convenio, sino que alude al valor total del mismo. Por lo tanto, e</w:t>
      </w:r>
      <w:r w:rsidRPr="004E1AEB">
        <w:rPr>
          <w:rFonts w:ascii="Century Gothic" w:eastAsia="Times New Roman" w:hAnsi="Century Gothic" w:cs="Arial"/>
          <w:shd w:val="clear" w:color="auto" w:fill="FFFFFF"/>
          <w:lang w:eastAsia="es-ES_tradnl"/>
        </w:rPr>
        <w:t>n desarrollo del principio</w:t>
      </w:r>
      <w:r w:rsidR="00B8107A">
        <w:rPr>
          <w:rFonts w:ascii="Century Gothic" w:eastAsia="Times New Roman" w:hAnsi="Century Gothic" w:cs="Arial"/>
          <w:shd w:val="clear" w:color="auto" w:fill="FFFFFF"/>
          <w:lang w:eastAsia="es-ES_tradnl"/>
        </w:rPr>
        <w:t xml:space="preserve"> </w:t>
      </w:r>
      <w:r w:rsidRPr="004E1AEB">
        <w:rPr>
          <w:rFonts w:ascii="Century Gothic" w:eastAsia="Times New Roman" w:hAnsi="Century Gothic" w:cs="Arial"/>
          <w:shd w:val="clear" w:color="auto" w:fill="FFFFFF"/>
          <w:lang w:eastAsia="es-ES_tradnl"/>
        </w:rPr>
        <w:t>general de interpretación jurídica según el cual</w:t>
      </w:r>
      <w:r w:rsidR="00F3457F">
        <w:rPr>
          <w:rFonts w:ascii="Century Gothic" w:eastAsia="Times New Roman" w:hAnsi="Century Gothic" w:cs="Arial"/>
          <w:shd w:val="clear" w:color="auto" w:fill="FFFFFF"/>
          <w:lang w:eastAsia="es-ES_tradnl"/>
        </w:rPr>
        <w:t xml:space="preserve"> </w:t>
      </w:r>
      <w:r w:rsidRPr="004E1AEB">
        <w:rPr>
          <w:rFonts w:ascii="Century Gothic" w:eastAsia="Times New Roman" w:hAnsi="Century Gothic" w:cs="Arial"/>
          <w:i/>
          <w:iCs/>
          <w:shd w:val="clear" w:color="auto" w:fill="FFFFFF"/>
          <w:lang w:eastAsia="es-ES_tradnl"/>
        </w:rPr>
        <w:t xml:space="preserve">donde la norma no distingue, no le corresponde distinguir al intérprete, </w:t>
      </w:r>
      <w:r w:rsidRPr="004E1AEB">
        <w:rPr>
          <w:rFonts w:ascii="Century Gothic" w:eastAsia="Times New Roman" w:hAnsi="Century Gothic" w:cs="Arial"/>
          <w:shd w:val="clear" w:color="auto" w:fill="FFFFFF"/>
          <w:lang w:eastAsia="es-ES_tradnl"/>
        </w:rPr>
        <w:t>resulta viable</w:t>
      </w:r>
      <w:r w:rsidR="00F3457F">
        <w:rPr>
          <w:rFonts w:ascii="Century Gothic" w:eastAsia="Times New Roman" w:hAnsi="Century Gothic" w:cs="Arial"/>
          <w:shd w:val="clear" w:color="auto" w:fill="FFFFFF"/>
          <w:lang w:eastAsia="es-ES_tradnl"/>
        </w:rPr>
        <w:t xml:space="preserve"> </w:t>
      </w:r>
      <w:r w:rsidRPr="004E1AEB">
        <w:rPr>
          <w:rFonts w:ascii="Century Gothic" w:eastAsia="Times New Roman" w:hAnsi="Century Gothic" w:cs="Arial"/>
          <w:shd w:val="clear" w:color="auto" w:fill="FFFFFF"/>
          <w:lang w:eastAsia="es-ES_tradnl"/>
        </w:rPr>
        <w:t xml:space="preserve">concluir que, si el convenio fue objeto de adición deberá tenerse en cuenta en valor inicial más el valor de la adición para el cálculo del treinta por ciento (30%) de que trata el artículo 5 del Decreto objeto de estudio. </w:t>
      </w:r>
    </w:p>
    <w:p w14:paraId="3A0FA9AF" w14:textId="0795A0C7" w:rsidR="004E1AEB" w:rsidRPr="004E1AEB" w:rsidRDefault="004E1AEB" w:rsidP="004E1AEB">
      <w:pPr>
        <w:spacing w:after="120" w:line="276" w:lineRule="auto"/>
        <w:ind w:firstLine="709"/>
        <w:jc w:val="both"/>
        <w:rPr>
          <w:rFonts w:ascii="Century Gothic" w:eastAsia="Calibri" w:hAnsi="Century Gothic" w:cs="Arial"/>
          <w:lang w:val="es-ES_tradnl"/>
        </w:rPr>
      </w:pPr>
      <w:r w:rsidRPr="004E1AEB">
        <w:rPr>
          <w:rFonts w:ascii="Century Gothic" w:eastAsia="Times New Roman" w:hAnsi="Century Gothic" w:cs="Arial"/>
          <w:shd w:val="clear" w:color="auto" w:fill="FFFFFF"/>
          <w:lang w:eastAsia="es-ES_tradnl"/>
        </w:rPr>
        <w:t xml:space="preserve">Si bien, en el marco de los convenios de asociación las partes, en virtud del principio de autonomía, pueden acordar una adición al contrato – siempre y cuando se </w:t>
      </w:r>
      <w:r w:rsidR="00DC3EFB">
        <w:rPr>
          <w:rFonts w:ascii="Century Gothic" w:eastAsia="Times New Roman" w:hAnsi="Century Gothic" w:cs="Arial"/>
          <w:shd w:val="clear" w:color="auto" w:fill="FFFFFF"/>
          <w:lang w:eastAsia="es-ES_tradnl"/>
        </w:rPr>
        <w:t>encuentre se encuentre justificado y se</w:t>
      </w:r>
      <w:r w:rsidRPr="004E1AEB">
        <w:rPr>
          <w:rFonts w:ascii="Century Gothic" w:eastAsia="Times New Roman" w:hAnsi="Century Gothic" w:cs="Arial"/>
          <w:shd w:val="clear" w:color="auto" w:fill="FFFFFF"/>
          <w:lang w:eastAsia="es-ES_tradnl"/>
        </w:rPr>
        <w:t xml:space="preserve"> respete el límite establecido, lo cierto es que esa modificación debe sujetarse a las reglas establecidas en el Decreto 092 del 2017. En ese sentido, si el Decreto establece que la celebración de los convenios de asociación se podrá realizar de forma directa siempre y cuando una ESAL se comprometa a aportar no menos de treinta por ciento (30%) del valor total del convenio, este valor incluye el valor adicionado. </w:t>
      </w:r>
      <w:r w:rsidRPr="004E1AEB">
        <w:rPr>
          <w:rFonts w:ascii="Century Gothic" w:eastAsia="Calibri" w:hAnsi="Century Gothic" w:cs="Arial"/>
          <w:lang w:val="es-ES"/>
        </w:rPr>
        <w:t xml:space="preserve">Por ende, respondiendo la pregunta hecha por el peticionario, es válido concluir que, si un convenio de asociación se celebró de forma directa, </w:t>
      </w:r>
      <w:r w:rsidRPr="004E1AEB">
        <w:rPr>
          <w:rFonts w:ascii="Century Gothic" w:eastAsia="Calibri" w:hAnsi="Century Gothic" w:cs="Arial"/>
          <w:lang w:val="es-ES_tradnl"/>
        </w:rPr>
        <w:t xml:space="preserve">en caso de que se realice una adición al valor del convenio, la ESAL debe realizar el aporte de forma proporcional a esa modificación, cosa tal que su aporte sea equivalente el treinta por ciento (30%) del total del convenio – incluida la adición, pues solo de esta manera se estaría respetando las reglas establecidas en el Decreto 092 de 2017. </w:t>
      </w:r>
    </w:p>
    <w:p w14:paraId="05ED6FF3" w14:textId="77777777" w:rsidR="004E1AEB" w:rsidRPr="004E1AEB" w:rsidRDefault="004E1AEB" w:rsidP="004E1AEB">
      <w:pPr>
        <w:spacing w:after="0" w:line="276" w:lineRule="auto"/>
        <w:ind w:firstLine="709"/>
        <w:jc w:val="both"/>
        <w:rPr>
          <w:rFonts w:ascii="Century Gothic" w:eastAsia="Calibri" w:hAnsi="Century Gothic" w:cs="Arial"/>
          <w:lang w:val="es-ES"/>
        </w:rPr>
      </w:pPr>
      <w:r w:rsidRPr="54420522">
        <w:rPr>
          <w:rFonts w:ascii="Century Gothic" w:eastAsia="Calibri" w:hAnsi="Century Gothic" w:cs="Arial"/>
          <w:lang w:val="es-ES"/>
        </w:rPr>
        <w:t xml:space="preserve">Si bien, la autonomía permite que se modifique el convenio, en la medida que la norma establece que no estará sujeto a un proceso competitivo si la ESAL aporta el treinta por ciento (30%) del valor del contrato en dinero, lo lógico es que la ESAL contratista deba realizar el aporte conforme al valor total del convenio </w:t>
      </w:r>
      <w:r w:rsidRPr="54420522">
        <w:rPr>
          <w:rFonts w:ascii="Century Gothic" w:eastAsia="Calibri" w:hAnsi="Century Gothic" w:cs="Arial"/>
          <w:lang w:val="es-ES"/>
        </w:rPr>
        <w:lastRenderedPageBreak/>
        <w:t xml:space="preserve">resultante tras la modificación efectuada. Contrario sensu, si se aceptara una interpretación diferente, según la cual una vez celebrado el convenio con ESAL de forma directa esta solo debía cumplir con el aporte del treinta por ciento (30%) del valor inicial del contrato se estaría contrariando las reglas que rigen la selección de los contratistas. </w:t>
      </w:r>
    </w:p>
    <w:p w14:paraId="00EC7ACC" w14:textId="77777777" w:rsidR="004E1AEB" w:rsidRPr="004E1AEB" w:rsidRDefault="004E1AEB" w:rsidP="004E1AEB">
      <w:pPr>
        <w:spacing w:after="0" w:line="276" w:lineRule="auto"/>
        <w:jc w:val="both"/>
        <w:rPr>
          <w:rFonts w:ascii="Century Gothic" w:eastAsia="Century Gothic" w:hAnsi="Century Gothic" w:cs="Century Gothic"/>
          <w:b/>
          <w:bCs/>
          <w:lang w:val="es-ES_tradnl" w:eastAsia="es-ES_tradnl"/>
        </w:rPr>
      </w:pPr>
    </w:p>
    <w:p w14:paraId="0B2F9C76" w14:textId="77777777" w:rsidR="004E1AEB" w:rsidRPr="004E1AEB" w:rsidRDefault="004E1AEB" w:rsidP="004E1AEB">
      <w:pPr>
        <w:spacing w:after="0" w:line="276" w:lineRule="auto"/>
        <w:jc w:val="both"/>
        <w:rPr>
          <w:rFonts w:ascii="Century Gothic" w:eastAsia="Century Gothic" w:hAnsi="Century Gothic" w:cs="Century Gothic"/>
          <w:b/>
          <w:bCs/>
          <w:lang w:val="es-ES" w:eastAsia="es-ES_tradnl"/>
        </w:rPr>
      </w:pPr>
      <w:r w:rsidRPr="004E1AEB">
        <w:rPr>
          <w:rFonts w:ascii="Century Gothic" w:eastAsia="Century Gothic" w:hAnsi="Century Gothic" w:cs="Century Gothic"/>
          <w:b/>
          <w:bCs/>
          <w:lang w:val="es-ES" w:eastAsia="es-ES_tradnl"/>
        </w:rPr>
        <w:t>3. Respuesta</w:t>
      </w:r>
    </w:p>
    <w:p w14:paraId="3C91FEC2" w14:textId="77777777" w:rsidR="004E1AEB" w:rsidRPr="004E1AEB" w:rsidRDefault="004E1AEB" w:rsidP="004E1AEB">
      <w:pPr>
        <w:spacing w:after="0" w:line="276" w:lineRule="auto"/>
        <w:jc w:val="both"/>
        <w:rPr>
          <w:rFonts w:ascii="Century Gothic" w:eastAsia="Century Gothic" w:hAnsi="Century Gothic" w:cs="Century Gothic"/>
          <w:lang w:val="es-ES" w:eastAsia="es-ES_tradnl"/>
        </w:rPr>
      </w:pPr>
    </w:p>
    <w:p w14:paraId="47E73E0B" w14:textId="77777777" w:rsidR="004E1AEB" w:rsidRPr="004E1AEB" w:rsidRDefault="004E1AEB" w:rsidP="004E1AEB">
      <w:pPr>
        <w:spacing w:after="0" w:line="240" w:lineRule="auto"/>
        <w:ind w:left="709" w:right="709"/>
        <w:jc w:val="both"/>
        <w:rPr>
          <w:rFonts w:ascii="Century Gothic" w:eastAsia="Century Gothic" w:hAnsi="Century Gothic" w:cs="Century Gothic"/>
          <w:sz w:val="20"/>
          <w:szCs w:val="20"/>
          <w:lang w:eastAsia="es-ES_tradnl"/>
        </w:rPr>
      </w:pPr>
      <w:r w:rsidRPr="004E1AEB">
        <w:rPr>
          <w:rFonts w:ascii="Century Gothic" w:eastAsia="Century Gothic" w:hAnsi="Century Gothic" w:cs="Century Gothic"/>
          <w:sz w:val="20"/>
          <w:szCs w:val="20"/>
          <w:lang w:eastAsia="es-ES_tradnl"/>
        </w:rPr>
        <w:t xml:space="preserve">“De conformidad con el </w:t>
      </w:r>
      <w:proofErr w:type="spellStart"/>
      <w:r w:rsidRPr="004E1AEB">
        <w:rPr>
          <w:rFonts w:ascii="Century Gothic" w:eastAsia="Century Gothic" w:hAnsi="Century Gothic" w:cs="Century Gothic"/>
          <w:sz w:val="20"/>
          <w:szCs w:val="20"/>
          <w:lang w:eastAsia="es-ES_tradnl"/>
        </w:rPr>
        <w:t>articulo</w:t>
      </w:r>
      <w:proofErr w:type="spellEnd"/>
      <w:r w:rsidRPr="004E1AEB">
        <w:rPr>
          <w:rFonts w:ascii="Century Gothic" w:eastAsia="Century Gothic" w:hAnsi="Century Gothic" w:cs="Century Gothic"/>
          <w:sz w:val="20"/>
          <w:szCs w:val="20"/>
          <w:lang w:eastAsia="es-ES_tradnl"/>
        </w:rPr>
        <w:t xml:space="preserve"> 5° del DECRETO 092 se tiene las siguientes preguntas:</w:t>
      </w:r>
    </w:p>
    <w:p w14:paraId="0D43FAD3" w14:textId="77777777" w:rsidR="004E1AEB" w:rsidRPr="004E1AEB" w:rsidRDefault="004E1AEB" w:rsidP="004E1AEB">
      <w:pPr>
        <w:spacing w:after="0" w:line="240" w:lineRule="auto"/>
        <w:ind w:left="709" w:right="709"/>
        <w:jc w:val="both"/>
        <w:rPr>
          <w:rFonts w:ascii="Century Gothic" w:eastAsia="Century Gothic" w:hAnsi="Century Gothic" w:cs="Century Gothic"/>
          <w:sz w:val="20"/>
          <w:szCs w:val="20"/>
          <w:lang w:eastAsia="es-ES_tradnl"/>
        </w:rPr>
      </w:pPr>
    </w:p>
    <w:p w14:paraId="03FA276E" w14:textId="77777777" w:rsidR="004E1AEB" w:rsidRPr="004E1AEB" w:rsidRDefault="004E1AEB" w:rsidP="004E1AEB">
      <w:pPr>
        <w:spacing w:after="0" w:line="240" w:lineRule="auto"/>
        <w:ind w:left="709" w:right="709"/>
        <w:jc w:val="both"/>
        <w:rPr>
          <w:rFonts w:ascii="Century Gothic" w:eastAsia="Century Gothic" w:hAnsi="Century Gothic" w:cs="Century Gothic"/>
          <w:sz w:val="20"/>
          <w:szCs w:val="20"/>
          <w:lang w:eastAsia="es-ES_tradnl"/>
        </w:rPr>
      </w:pPr>
      <w:r w:rsidRPr="004E1AEB">
        <w:rPr>
          <w:rFonts w:ascii="Century Gothic" w:eastAsia="Century Gothic" w:hAnsi="Century Gothic" w:cs="Century Gothic"/>
          <w:sz w:val="20"/>
          <w:szCs w:val="20"/>
          <w:lang w:eastAsia="es-ES_tradnl"/>
        </w:rPr>
        <w:t xml:space="preserve">1. Se puede adicionar </w:t>
      </w:r>
      <w:proofErr w:type="spellStart"/>
      <w:r w:rsidRPr="004E1AEB">
        <w:rPr>
          <w:rFonts w:ascii="Century Gothic" w:eastAsia="Century Gothic" w:hAnsi="Century Gothic" w:cs="Century Gothic"/>
          <w:sz w:val="20"/>
          <w:szCs w:val="20"/>
          <w:lang w:eastAsia="es-ES_tradnl"/>
        </w:rPr>
        <w:t>mas</w:t>
      </w:r>
      <w:proofErr w:type="spellEnd"/>
      <w:r w:rsidRPr="004E1AEB">
        <w:rPr>
          <w:rFonts w:ascii="Century Gothic" w:eastAsia="Century Gothic" w:hAnsi="Century Gothic" w:cs="Century Gothic"/>
          <w:sz w:val="20"/>
          <w:szCs w:val="20"/>
          <w:lang w:eastAsia="es-ES_tradnl"/>
        </w:rPr>
        <w:t xml:space="preserve"> del 50% el valor del convenio de </w:t>
      </w:r>
      <w:proofErr w:type="gramStart"/>
      <w:r w:rsidRPr="004E1AEB">
        <w:rPr>
          <w:rFonts w:ascii="Century Gothic" w:eastAsia="Century Gothic" w:hAnsi="Century Gothic" w:cs="Century Gothic"/>
          <w:sz w:val="20"/>
          <w:szCs w:val="20"/>
          <w:lang w:eastAsia="es-ES_tradnl"/>
        </w:rPr>
        <w:t>asociación ?”(</w:t>
      </w:r>
      <w:proofErr w:type="gramEnd"/>
      <w:r w:rsidRPr="004E1AEB">
        <w:rPr>
          <w:rFonts w:ascii="Century Gothic" w:eastAsia="Century Gothic" w:hAnsi="Century Gothic" w:cs="Century Gothic"/>
          <w:sz w:val="20"/>
          <w:szCs w:val="20"/>
          <w:lang w:eastAsia="es-ES_tradnl"/>
        </w:rPr>
        <w:t>SIC).</w:t>
      </w:r>
    </w:p>
    <w:p w14:paraId="2EC751F9" w14:textId="77777777" w:rsidR="004E1AEB" w:rsidRPr="004E1AEB" w:rsidRDefault="004E1AEB" w:rsidP="004E1AEB">
      <w:pPr>
        <w:spacing w:after="0" w:line="276" w:lineRule="auto"/>
        <w:ind w:right="709"/>
        <w:jc w:val="both"/>
        <w:rPr>
          <w:rFonts w:ascii="Century Gothic" w:eastAsia="Century Gothic" w:hAnsi="Century Gothic" w:cs="Century Gothic"/>
          <w:lang w:eastAsia="es-ES_tradnl"/>
        </w:rPr>
      </w:pPr>
    </w:p>
    <w:p w14:paraId="2FA07AF9" w14:textId="77777777" w:rsidR="004E1AEB" w:rsidRPr="004E1AEB" w:rsidRDefault="004E1AEB" w:rsidP="004E1AEB">
      <w:pPr>
        <w:spacing w:after="120" w:line="276" w:lineRule="auto"/>
        <w:ind w:firstLine="708"/>
        <w:jc w:val="both"/>
        <w:rPr>
          <w:rFonts w:ascii="Century Gothic" w:eastAsia="Calibri" w:hAnsi="Century Gothic" w:cs="Arial"/>
          <w:color w:val="000000" w:themeColor="text1"/>
          <w:lang w:val="es-ES"/>
        </w:rPr>
      </w:pPr>
      <w:r w:rsidRPr="004E1AEB">
        <w:rPr>
          <w:rFonts w:ascii="Century Gothic" w:eastAsia="Calibri" w:hAnsi="Century Gothic" w:cs="Arial"/>
          <w:color w:val="000000" w:themeColor="text1"/>
          <w:lang w:val="es-ES"/>
        </w:rPr>
        <w:t xml:space="preserve">Conforme lo expuesto, los convenios que permite celebrar el artículo 355 de la Constitución Política </w:t>
      </w:r>
      <w:r w:rsidRPr="004E1AEB">
        <w:rPr>
          <w:rFonts w:ascii="Century Gothic" w:eastAsia="Calibri" w:hAnsi="Century Gothic" w:cs="Arial"/>
          <w:i/>
          <w:iCs/>
          <w:color w:val="000000" w:themeColor="text1"/>
          <w:lang w:val="es-ES"/>
        </w:rPr>
        <w:t>en principio</w:t>
      </w:r>
      <w:r w:rsidRPr="004E1AEB">
        <w:rPr>
          <w:rFonts w:ascii="Century Gothic" w:eastAsia="Calibri" w:hAnsi="Century Gothic" w:cs="Arial"/>
          <w:color w:val="000000" w:themeColor="text1"/>
          <w:lang w:val="es-ES"/>
        </w:rPr>
        <w:t xml:space="preserve"> cuentan con un régimen especial en el Decreto 092 de 2017 y en el artículo 96 de la Ley 489 de 1998. Sin embargo, el artículo 8 de dicho Decreto establece que en lo no reglamentado en él deben observarse “las normas generales aplicables a la contratación pública”. En tal sentido, frente al aspecto por el cual se formula la consulta – esto es el límite a la adición de los convenios – habría que preguntarse si cuenta con una regulación especial en el Decreto 092 de 2017. Si la respuesta fuera afirmativa, tendría que aplicarse tal regulación. Pero, de ser negativa, habría que aplicar también el EGCAP, así como sus normas complementarias y reglamentarias, pues, precisamente, dichos preceptos son las “normas generales aplicables a la contratación pública” a las que alude el artículo 8 del Decreto 092 de 2017. En otras palabras, el EGCAP y sus normas complementarias y reglamentarias llenan los vacíos que se presentan en el Decreto 092 de 2017 frente a la regulación de los asuntos asociados a la celebración, ejecución y liquidación de los convenios que encuentran fundamento en el artículo 355 de la Constitución, incluidos en esta categoría los convenios de asociación previstos en el artículo 96 de la Ley 489 de 1998.</w:t>
      </w:r>
    </w:p>
    <w:p w14:paraId="3A9A812B" w14:textId="77777777" w:rsidR="004E1AEB" w:rsidRPr="004E1AEB" w:rsidRDefault="004E1AEB" w:rsidP="004E1AEB">
      <w:pPr>
        <w:spacing w:after="120" w:line="276" w:lineRule="auto"/>
        <w:ind w:firstLine="709"/>
        <w:jc w:val="both"/>
        <w:rPr>
          <w:rFonts w:ascii="Century Gothic" w:eastAsia="Calibri" w:hAnsi="Century Gothic" w:cs="Arial"/>
          <w:color w:val="000000" w:themeColor="text1"/>
          <w:lang w:val="es-ES"/>
        </w:rPr>
      </w:pPr>
      <w:r w:rsidRPr="004E1AEB">
        <w:rPr>
          <w:rFonts w:ascii="Century Gothic" w:eastAsia="Calibri" w:hAnsi="Century Gothic" w:cs="Arial"/>
          <w:color w:val="000000" w:themeColor="text1"/>
          <w:lang w:val="es-ES"/>
        </w:rPr>
        <w:t xml:space="preserve">Pues bien, el peticionario indaga si en los convenios consagrados en el artículo 355 de la Constitución y en el artículo 96 </w:t>
      </w:r>
      <w:r w:rsidRPr="004E1AEB">
        <w:rPr>
          <w:rFonts w:ascii="Century Gothic" w:eastAsia="Calibri" w:hAnsi="Century Gothic" w:cs="Arial"/>
          <w:i/>
          <w:iCs/>
          <w:color w:val="000000" w:themeColor="text1"/>
          <w:lang w:val="es-ES"/>
        </w:rPr>
        <w:t>ibidem</w:t>
      </w:r>
      <w:r w:rsidRPr="004E1AEB">
        <w:rPr>
          <w:rFonts w:ascii="Century Gothic" w:eastAsia="Calibri" w:hAnsi="Century Gothic" w:cs="Arial"/>
          <w:color w:val="000000" w:themeColor="text1"/>
          <w:lang w:val="es-ES"/>
        </w:rPr>
        <w:t xml:space="preserve"> rige la Ley 80 de 1993 pueden adicionarse en más del cincuenta por ciento (50%) de su valor. Siguiendo la metodología explicada, hay que señalar que esta materia – la adición – </w:t>
      </w:r>
      <w:r w:rsidRPr="004E1AEB">
        <w:rPr>
          <w:rFonts w:ascii="Century Gothic" w:eastAsia="Calibri" w:hAnsi="Century Gothic" w:cs="Arial"/>
          <w:i/>
          <w:iCs/>
          <w:color w:val="000000" w:themeColor="text1"/>
          <w:lang w:val="es-ES"/>
        </w:rPr>
        <w:t>no está regulada expresamente en el Decreto 092 de 2017</w:t>
      </w:r>
      <w:r w:rsidRPr="004E1AEB">
        <w:rPr>
          <w:rFonts w:ascii="Century Gothic" w:eastAsia="Calibri" w:hAnsi="Century Gothic" w:cs="Arial"/>
          <w:color w:val="000000" w:themeColor="text1"/>
          <w:lang w:val="es-ES"/>
        </w:rPr>
        <w:t xml:space="preserve">. Este reglamento, además, como se indicó, es el que desarrolla el artículo 96 de la Ley 489 de 1998, la cual tampoco establece normas sobre dicho tema. En consecuencia, el vacío que se </w:t>
      </w:r>
      <w:r w:rsidRPr="004E1AEB">
        <w:rPr>
          <w:rFonts w:ascii="Century Gothic" w:eastAsia="Calibri" w:hAnsi="Century Gothic" w:cs="Arial"/>
          <w:color w:val="000000" w:themeColor="text1"/>
          <w:lang w:val="es-ES"/>
        </w:rPr>
        <w:lastRenderedPageBreak/>
        <w:t xml:space="preserve">presenta frente a este asunto debe llenarse con la remisión que efectúa el artículo 8 del Decreto 092 de 2017. </w:t>
      </w:r>
    </w:p>
    <w:p w14:paraId="23B9BD6E" w14:textId="77777777" w:rsidR="004E1AEB" w:rsidRPr="004E1AEB" w:rsidRDefault="004E1AEB" w:rsidP="00AF0D7A">
      <w:pPr>
        <w:spacing w:after="120" w:line="276" w:lineRule="auto"/>
        <w:ind w:firstLine="709"/>
        <w:jc w:val="both"/>
        <w:rPr>
          <w:rFonts w:ascii="Century Gothic" w:eastAsia="Times New Roman" w:hAnsi="Century Gothic" w:cs="Arial"/>
          <w:lang w:eastAsia="es-ES_tradnl"/>
        </w:rPr>
      </w:pPr>
      <w:r w:rsidRPr="004E1AEB">
        <w:rPr>
          <w:rFonts w:ascii="Century Gothic" w:eastAsia="Calibri" w:hAnsi="Century Gothic" w:cs="Arial"/>
          <w:color w:val="000000" w:themeColor="text1"/>
          <w:lang w:val="es-ES"/>
        </w:rPr>
        <w:t xml:space="preserve">Al respecto, el parágrafo del artículo 40 de la Ley 80 de 1993 establece un límite para las adiciones a los contratos estatales. En efecto, señala que “Los contratos no podrán adicionarse en más del cincuenta por ciento (50%) de su valor inicial, expresado éste en salarios mínimos legales mensuales”. El Decreto 092 de 2017 no prevé algo al respecto. Pero, como se ha explicado, su artículo 8 dispone que deben aplicarse las normas generales de la contratación pública en aquello que no esté reglamentado en dicho Decreto. Dentro de estas normas está, precisamente, el parágrafo del artículo 40 de la Ley 80 de 1993. Esta disposición no efectúa distinción alguna frente a los tipos de </w:t>
      </w:r>
      <w:r w:rsidRPr="004E1AEB">
        <w:rPr>
          <w:rFonts w:ascii="Century Gothic" w:eastAsia="Calibri" w:hAnsi="Century Gothic" w:cs="Arial"/>
          <w:i/>
          <w:iCs/>
          <w:color w:val="000000" w:themeColor="text1"/>
          <w:lang w:val="es-ES"/>
        </w:rPr>
        <w:t>contratos</w:t>
      </w:r>
      <w:r w:rsidRPr="004E1AEB">
        <w:rPr>
          <w:rFonts w:ascii="Century Gothic" w:eastAsia="Calibri" w:hAnsi="Century Gothic" w:cs="Arial"/>
          <w:color w:val="000000" w:themeColor="text1"/>
          <w:lang w:val="es-ES"/>
        </w:rPr>
        <w:t xml:space="preserve"> en los que aplica el límite de las adiciones. Simplemente, dice que “Los contratos no podrán adicionarse” superando el tope allí previsto. Los convenios regulados en el Decreto 092 de 2017 y en el artículo 96 de la Ley 489 de 1998 son </w:t>
      </w:r>
      <w:r w:rsidRPr="004E1AEB">
        <w:rPr>
          <w:rFonts w:ascii="Century Gothic" w:eastAsia="Calibri" w:hAnsi="Century Gothic" w:cs="Arial"/>
          <w:i/>
          <w:iCs/>
          <w:color w:val="000000" w:themeColor="text1"/>
          <w:lang w:val="es-ES"/>
        </w:rPr>
        <w:t>contratos</w:t>
      </w:r>
      <w:r w:rsidRPr="004E1AEB">
        <w:rPr>
          <w:rFonts w:ascii="Century Gothic" w:eastAsia="Calibri" w:hAnsi="Century Gothic" w:cs="Arial"/>
          <w:color w:val="000000" w:themeColor="text1"/>
          <w:lang w:val="es-ES"/>
        </w:rPr>
        <w:t xml:space="preserve">. De hecho, el segundo inciso del artículo 355 de la Constitución los llama de esa manera. En otras palabras, el hecho de que usualmente se les conozca como </w:t>
      </w:r>
      <w:r w:rsidRPr="004E1AEB">
        <w:rPr>
          <w:rFonts w:ascii="Century Gothic" w:eastAsia="Calibri" w:hAnsi="Century Gothic" w:cs="Arial"/>
          <w:i/>
          <w:iCs/>
          <w:color w:val="000000" w:themeColor="text1"/>
          <w:lang w:val="es-ES"/>
        </w:rPr>
        <w:t>convenios</w:t>
      </w:r>
      <w:r w:rsidRPr="004E1AEB">
        <w:rPr>
          <w:rFonts w:ascii="Century Gothic" w:eastAsia="Calibri" w:hAnsi="Century Gothic" w:cs="Arial"/>
          <w:color w:val="000000" w:themeColor="text1"/>
          <w:lang w:val="es-ES"/>
        </w:rPr>
        <w:t xml:space="preserve"> no les quita su carácter contractual. Por tanto, respondiendo la pregunta hecha por el peticionario, es válido concluir que también deben cumplir el límite porcentual para las adiciones previsto en el parágrafo del artículo 40 de la Ley 80 de 1993</w:t>
      </w:r>
      <w:r w:rsidRPr="004E1AEB">
        <w:rPr>
          <w:rFonts w:ascii="Century Gothic" w:eastAsia="Calibri" w:hAnsi="Century Gothic" w:cs="Arial"/>
          <w:lang w:val="es-ES_tradnl" w:eastAsia="es-ES_tradnl"/>
        </w:rPr>
        <w:t xml:space="preserve">, cuyo tenor literal dispone: </w:t>
      </w:r>
      <w:r w:rsidRPr="004E1AEB">
        <w:rPr>
          <w:rFonts w:ascii="Century Gothic" w:eastAsia="Calibri" w:hAnsi="Century Gothic" w:cs="Arial"/>
          <w:lang w:eastAsia="es-ES_tradnl"/>
        </w:rPr>
        <w:t>“</w:t>
      </w:r>
      <w:r w:rsidRPr="004E1AEB">
        <w:rPr>
          <w:rFonts w:ascii="Century Gothic" w:eastAsia="Times New Roman" w:hAnsi="Century Gothic" w:cs="Arial"/>
          <w:lang w:eastAsia="es-ES_tradnl"/>
        </w:rPr>
        <w:t>Los contratos no podrán adicionarse en más del cincuenta por ciento (50%) de su valor inicial, expresado éste en salarios mínimos legales mensuales</w:t>
      </w:r>
      <w:r w:rsidRPr="004E1AEB">
        <w:rPr>
          <w:rFonts w:ascii="Century Gothic" w:eastAsia="Calibri" w:hAnsi="Century Gothic" w:cs="Arial"/>
          <w:lang w:eastAsia="es-ES_tradnl"/>
        </w:rPr>
        <w:t>”</w:t>
      </w:r>
      <w:r w:rsidRPr="004E1AEB">
        <w:rPr>
          <w:rFonts w:ascii="Century Gothic" w:eastAsia="Times New Roman" w:hAnsi="Century Gothic" w:cs="Arial"/>
          <w:lang w:eastAsia="es-ES_tradnl"/>
        </w:rPr>
        <w:t>.</w:t>
      </w:r>
    </w:p>
    <w:p w14:paraId="7FDF80E3" w14:textId="4F9F0CC5" w:rsidR="00AF0D7A" w:rsidRPr="00AF0D7A" w:rsidRDefault="00AF0D7A" w:rsidP="00AF0D7A">
      <w:pPr>
        <w:spacing w:after="0" w:line="276" w:lineRule="auto"/>
        <w:ind w:firstLine="709"/>
        <w:jc w:val="both"/>
        <w:rPr>
          <w:rFonts w:ascii="Century Gothic" w:eastAsia="Times New Roman" w:hAnsi="Century Gothic" w:cs="Arial"/>
          <w:lang w:eastAsia="es-ES_tradnl"/>
        </w:rPr>
      </w:pPr>
      <w:r w:rsidRPr="004E1AEB">
        <w:rPr>
          <w:rFonts w:ascii="Century Gothic" w:eastAsia="Calibri" w:hAnsi="Century Gothic" w:cs="Arial"/>
          <w:szCs w:val="24"/>
          <w:lang w:eastAsia="es-ES_tradnl"/>
        </w:rPr>
        <w:t xml:space="preserve">En todo caso, la procedencia de adicionar estos convenios de asociación deberá corresponder al análisis que realice cada Entidad Estatal respecto a su conveniencia, por lo que le corresponderá definir en cada caso la viabilidad técnica, jurídica y financiera de realizar determinada modificación del convenio.   </w:t>
      </w:r>
    </w:p>
    <w:p w14:paraId="1F792371" w14:textId="77777777" w:rsidR="004E1AEB" w:rsidRPr="004E1AEB" w:rsidRDefault="004E1AEB" w:rsidP="004E1AEB">
      <w:pPr>
        <w:spacing w:after="0" w:line="276" w:lineRule="auto"/>
        <w:ind w:right="709"/>
        <w:jc w:val="both"/>
        <w:rPr>
          <w:rFonts w:ascii="Century Gothic" w:eastAsia="Century Gothic" w:hAnsi="Century Gothic" w:cs="Century Gothic"/>
          <w:lang w:eastAsia="es-ES_tradnl"/>
        </w:rPr>
      </w:pPr>
    </w:p>
    <w:p w14:paraId="05516645" w14:textId="77777777" w:rsidR="004E1AEB" w:rsidRPr="004E1AEB" w:rsidRDefault="004E1AEB" w:rsidP="004E1AEB">
      <w:pPr>
        <w:spacing w:after="0" w:line="240" w:lineRule="auto"/>
        <w:ind w:left="709" w:right="709"/>
        <w:jc w:val="both"/>
        <w:rPr>
          <w:rFonts w:ascii="Century Gothic" w:eastAsia="Century Gothic" w:hAnsi="Century Gothic" w:cs="Century Gothic"/>
          <w:sz w:val="20"/>
          <w:szCs w:val="20"/>
          <w:lang w:eastAsia="es-ES_tradnl"/>
        </w:rPr>
      </w:pPr>
      <w:r w:rsidRPr="004E1AEB">
        <w:rPr>
          <w:rFonts w:ascii="Century Gothic" w:eastAsia="Century Gothic" w:hAnsi="Century Gothic" w:cs="Century Gothic"/>
          <w:sz w:val="20"/>
          <w:szCs w:val="20"/>
          <w:lang w:eastAsia="es-ES_tradnl"/>
        </w:rPr>
        <w:t xml:space="preserve">“2. Si bien es cierto, el convenio se celebra de manera directa porque el cooperante aporta el 30%; Para realizar una adición el cooperante deberá aportar del 30% del valor de la adición </w:t>
      </w:r>
      <w:proofErr w:type="gramStart"/>
      <w:r w:rsidRPr="004E1AEB">
        <w:rPr>
          <w:rFonts w:ascii="Century Gothic" w:eastAsia="Century Gothic" w:hAnsi="Century Gothic" w:cs="Century Gothic"/>
          <w:sz w:val="20"/>
          <w:szCs w:val="20"/>
          <w:lang w:eastAsia="es-ES_tradnl"/>
        </w:rPr>
        <w:t>nuevamente ?</w:t>
      </w:r>
      <w:proofErr w:type="gramEnd"/>
      <w:r w:rsidRPr="004E1AEB">
        <w:rPr>
          <w:rFonts w:ascii="Century Gothic" w:eastAsia="Century Gothic" w:hAnsi="Century Gothic" w:cs="Century Gothic"/>
          <w:sz w:val="20"/>
          <w:szCs w:val="20"/>
          <w:lang w:eastAsia="es-ES_tradnl"/>
        </w:rPr>
        <w:t xml:space="preserve"> o no será necesario y dicho requisito solo es para la suscripción del convenio ?” (SIC).</w:t>
      </w:r>
    </w:p>
    <w:p w14:paraId="1ECD0BBB" w14:textId="77777777" w:rsidR="004E1AEB" w:rsidRPr="004E1AEB" w:rsidRDefault="004E1AEB" w:rsidP="004E1AEB">
      <w:pPr>
        <w:spacing w:after="0" w:line="276" w:lineRule="auto"/>
        <w:ind w:right="709"/>
        <w:jc w:val="both"/>
        <w:rPr>
          <w:rFonts w:ascii="Century Gothic" w:eastAsia="Century Gothic" w:hAnsi="Century Gothic" w:cs="Century Gothic"/>
          <w:lang w:eastAsia="es-ES_tradnl"/>
        </w:rPr>
      </w:pPr>
    </w:p>
    <w:p w14:paraId="3B47D449" w14:textId="77777777" w:rsidR="004E1AEB" w:rsidRPr="004E1AEB" w:rsidRDefault="004E1AEB" w:rsidP="004E1AEB">
      <w:pPr>
        <w:spacing w:after="120" w:line="276" w:lineRule="auto"/>
        <w:ind w:firstLine="709"/>
        <w:jc w:val="both"/>
        <w:rPr>
          <w:rFonts w:ascii="Century Gothic" w:eastAsia="Times New Roman" w:hAnsi="Century Gothic" w:cs="Arial"/>
          <w:lang w:eastAsia="es-ES_tradnl"/>
        </w:rPr>
      </w:pPr>
      <w:r w:rsidRPr="004E1AEB">
        <w:rPr>
          <w:rFonts w:ascii="Century Gothic" w:eastAsia="Calibri" w:hAnsi="Century Gothic" w:cs="Arial"/>
          <w:color w:val="000000" w:themeColor="text1"/>
          <w:lang w:val="es-ES_tradnl"/>
        </w:rPr>
        <w:t xml:space="preserve">Conforme lo explicado en las consideraciones de este concepto, </w:t>
      </w:r>
      <w:r w:rsidRPr="004E1AEB">
        <w:rPr>
          <w:rFonts w:ascii="Century Gothic" w:eastAsia="Calibri" w:hAnsi="Century Gothic" w:cs="Arial"/>
          <w:lang w:val="es-ES_tradnl"/>
        </w:rPr>
        <w:t>en el evento que un convenio de asociación es celebrado de manera directa, en virtud de lo establecido en el artículo 5 del Decreto 092 de 2017 y, posteriormente, es adicionado, la ESAL debe aportar el treinta por ciento (30%) del valor de adición. Al respecto, es necesario señalar que, conforme al artículo 5 ibidem “[…] l</w:t>
      </w:r>
      <w:r w:rsidRPr="004E1AEB">
        <w:rPr>
          <w:rFonts w:ascii="Century Gothic" w:eastAsia="Times New Roman" w:hAnsi="Century Gothic" w:cs="Arial"/>
          <w:lang w:eastAsia="es-ES_tradnl"/>
        </w:rPr>
        <w:t xml:space="preserve">os convenios de asociación que celebren entidades privadas sin ánimo de lucro de reconocida idoneidad y Entidades Estatales para el desarrollo conjunto de </w:t>
      </w:r>
      <w:r w:rsidRPr="004E1AEB">
        <w:rPr>
          <w:rFonts w:ascii="Century Gothic" w:eastAsia="Times New Roman" w:hAnsi="Century Gothic" w:cs="Arial"/>
          <w:lang w:eastAsia="es-ES_tradnl"/>
        </w:rPr>
        <w:lastRenderedPageBreak/>
        <w:t xml:space="preserve">actividades relacionadas con los cometidos y funciones que a estas les asigna la ley a los que hace referencia el artículo 96 de la Ley 489 de 1998, no estarán sujetos a competencia cuando la entidad sin ánimo de lucro comprometa recursos en dinero para la ejecución de esas actividades en una proporción no inferior al 30% del </w:t>
      </w:r>
      <w:r w:rsidRPr="004E1AEB">
        <w:rPr>
          <w:rFonts w:ascii="Century Gothic" w:eastAsia="Times New Roman" w:hAnsi="Century Gothic" w:cs="Arial"/>
          <w:i/>
          <w:iCs/>
          <w:lang w:eastAsia="es-ES_tradnl"/>
        </w:rPr>
        <w:t>valor total del convenio”</w:t>
      </w:r>
      <w:r w:rsidRPr="004E1AEB">
        <w:rPr>
          <w:rFonts w:ascii="Century Gothic" w:eastAsia="Times New Roman" w:hAnsi="Century Gothic" w:cs="Arial"/>
          <w:lang w:eastAsia="es-ES_tradnl"/>
        </w:rPr>
        <w:t xml:space="preserve">. (Énfasis fuera del texto original). </w:t>
      </w:r>
    </w:p>
    <w:p w14:paraId="4DA7B5B5" w14:textId="77777777" w:rsidR="004E1AEB" w:rsidRPr="004E1AEB" w:rsidRDefault="004E1AEB" w:rsidP="004E1AEB">
      <w:pPr>
        <w:spacing w:after="120" w:line="276" w:lineRule="auto"/>
        <w:ind w:firstLine="709"/>
        <w:jc w:val="both"/>
        <w:rPr>
          <w:rFonts w:ascii="Century Gothic" w:eastAsia="Times New Roman" w:hAnsi="Century Gothic" w:cs="Arial"/>
          <w:shd w:val="clear" w:color="auto" w:fill="FFFFFF"/>
          <w:lang w:eastAsia="es-ES_tradnl"/>
        </w:rPr>
      </w:pPr>
      <w:r w:rsidRPr="004E1AEB">
        <w:rPr>
          <w:rFonts w:ascii="Century Gothic" w:eastAsia="Times New Roman" w:hAnsi="Century Gothic" w:cs="Arial"/>
          <w:lang w:eastAsia="es-ES_tradnl"/>
        </w:rPr>
        <w:t>Así las cosas, la norma establece que la ESAL debe aportan mínimo el treinta por ciento (30%) del valor total del convenio. Nótese que la norma no hace distinción alguna respecto a que la ESAL deba aportar el valor inicial del convenio, sino que alude al valor total del mismo. Por lo tanto, e</w:t>
      </w:r>
      <w:r w:rsidRPr="004E1AEB">
        <w:rPr>
          <w:rFonts w:ascii="Century Gothic" w:eastAsia="Times New Roman" w:hAnsi="Century Gothic" w:cs="Arial"/>
          <w:shd w:val="clear" w:color="auto" w:fill="FFFFFF"/>
          <w:lang w:eastAsia="es-ES_tradnl"/>
        </w:rPr>
        <w:t>n desarrollo del principio general de interpretación jurídica según el cual </w:t>
      </w:r>
      <w:r w:rsidRPr="004E1AEB">
        <w:rPr>
          <w:rFonts w:ascii="Century Gothic" w:eastAsia="Times New Roman" w:hAnsi="Century Gothic" w:cs="Arial"/>
          <w:i/>
          <w:iCs/>
          <w:shd w:val="clear" w:color="auto" w:fill="FFFFFF"/>
          <w:lang w:eastAsia="es-ES_tradnl"/>
        </w:rPr>
        <w:t xml:space="preserve">donde la norma no distingue, no le corresponde distinguir al intérprete, </w:t>
      </w:r>
      <w:r w:rsidRPr="004E1AEB">
        <w:rPr>
          <w:rFonts w:ascii="Century Gothic" w:eastAsia="Times New Roman" w:hAnsi="Century Gothic" w:cs="Arial"/>
          <w:shd w:val="clear" w:color="auto" w:fill="FFFFFF"/>
          <w:lang w:eastAsia="es-ES_tradnl"/>
        </w:rPr>
        <w:t xml:space="preserve">resulta viable concluir que, si el convenio fue objeto de adición deberá tenerse en cuenta en valor inicial más el valor de la adición para el cálculo del treinta por ciento (30%) de que trata el artículo 5 del Decreto objeto de estudio. </w:t>
      </w:r>
    </w:p>
    <w:p w14:paraId="35F2BBA5" w14:textId="77777777" w:rsidR="004E1AEB" w:rsidRPr="004E1AEB" w:rsidRDefault="004E1AEB" w:rsidP="004E1AEB">
      <w:pPr>
        <w:spacing w:after="120" w:line="276" w:lineRule="auto"/>
        <w:ind w:firstLine="709"/>
        <w:jc w:val="both"/>
        <w:rPr>
          <w:rFonts w:ascii="Century Gothic" w:eastAsia="Calibri" w:hAnsi="Century Gothic" w:cs="Arial"/>
          <w:lang w:val="es-ES_tradnl"/>
        </w:rPr>
      </w:pPr>
      <w:r w:rsidRPr="004E1AEB">
        <w:rPr>
          <w:rFonts w:ascii="Century Gothic" w:eastAsia="Times New Roman" w:hAnsi="Century Gothic" w:cs="Arial"/>
          <w:shd w:val="clear" w:color="auto" w:fill="FFFFFF"/>
          <w:lang w:eastAsia="es-ES_tradnl"/>
        </w:rPr>
        <w:t xml:space="preserve">Si bien, en el marco de los convenios de asociación las partes, en virtud del principio de autonomía, pueden acordar una adición al contrato – siempre y cuando se respete el límite establecido, lo cierto es que esa modificación debe sujetarse a las reglas establecidas en el Decreto 092 del 2017. En ese sentido, si el Decreto establece que la celebración de los convenios de asociación se podrá realizar de forma directa siempre y cuando una ESAL se comprometa a aportar no menos de treinta por ciento (30%) del valor total del convenio, este valor incluye el valor adicionado. </w:t>
      </w:r>
      <w:r w:rsidRPr="004E1AEB">
        <w:rPr>
          <w:rFonts w:ascii="Century Gothic" w:eastAsia="Calibri" w:hAnsi="Century Gothic" w:cs="Arial"/>
          <w:lang w:val="es-ES"/>
        </w:rPr>
        <w:t xml:space="preserve">Por ende, respondiendo la pregunta hecha por el peticionario, es válido concluir que, si un convenio de asociación se celebró de forma directa, </w:t>
      </w:r>
      <w:r w:rsidRPr="004E1AEB">
        <w:rPr>
          <w:rFonts w:ascii="Century Gothic" w:eastAsia="Calibri" w:hAnsi="Century Gothic" w:cs="Arial"/>
          <w:lang w:val="es-ES_tradnl"/>
        </w:rPr>
        <w:t xml:space="preserve">en caso de que se realice una adición al valor del convenio, la ESAL debe realizar el aporte de forma proporcional a esa modificación, cosa tal que su aporte sea equivalente el treinta por ciento (30%) del total del convenio – incluida la adición, pues solo de esta manera se estaría respetando las reglas establecidas en el Decreto 092 de 2017. </w:t>
      </w:r>
    </w:p>
    <w:p w14:paraId="3C156915" w14:textId="77777777" w:rsidR="004E1AEB" w:rsidRPr="004E1AEB" w:rsidRDefault="004E1AEB" w:rsidP="004E1AEB">
      <w:pPr>
        <w:spacing w:after="0" w:line="276" w:lineRule="auto"/>
        <w:ind w:firstLine="709"/>
        <w:jc w:val="both"/>
        <w:rPr>
          <w:rFonts w:ascii="Century Gothic" w:eastAsia="Calibri" w:hAnsi="Century Gothic" w:cs="Arial"/>
          <w:lang w:val="es-ES"/>
        </w:rPr>
      </w:pPr>
      <w:r w:rsidRPr="54420522">
        <w:rPr>
          <w:rFonts w:ascii="Century Gothic" w:eastAsia="Calibri" w:hAnsi="Century Gothic" w:cs="Arial"/>
          <w:lang w:val="es-ES"/>
        </w:rPr>
        <w:t xml:space="preserve">Si bien, la autonomía permite que se modifique el convenio, en la medida que la norma establece que no estará sujeto a un proceso competitivo si la ESAL aporta el treinta por ciento (30%) del valor del contrato en dinero, lo lógico es que la ESAL contratista deba realizar el aporte conforme al valor total del convenio resultante tras la modificación efectuada. </w:t>
      </w:r>
      <w:r w:rsidRPr="0013353E">
        <w:rPr>
          <w:rFonts w:ascii="Century Gothic" w:eastAsia="Calibri" w:hAnsi="Century Gothic" w:cs="Arial"/>
          <w:i/>
          <w:lang w:val="es-ES"/>
        </w:rPr>
        <w:t>Contrario sensu</w:t>
      </w:r>
      <w:r w:rsidRPr="54420522">
        <w:rPr>
          <w:rFonts w:ascii="Century Gothic" w:eastAsia="Calibri" w:hAnsi="Century Gothic" w:cs="Arial"/>
          <w:lang w:val="es-ES"/>
        </w:rPr>
        <w:t xml:space="preserve">, si se aceptara una interpretación diferente, según la cual una vez celebrado el convenio con ESAL de forma directa esta solo debía cumplir con el aporte del treinta por ciento (30%) del valor inicial del contrato se estaría contrariando las reglas que rigen la selección de los contratistas. </w:t>
      </w:r>
    </w:p>
    <w:p w14:paraId="1C6D10B0" w14:textId="77777777" w:rsidR="004E1AEB" w:rsidRPr="004E1AEB" w:rsidRDefault="004E1AEB" w:rsidP="004E1AEB">
      <w:pPr>
        <w:spacing w:after="0" w:line="276" w:lineRule="auto"/>
        <w:ind w:firstLine="709"/>
        <w:jc w:val="both"/>
        <w:rPr>
          <w:rFonts w:ascii="Century Gothic" w:eastAsia="Century Gothic" w:hAnsi="Century Gothic" w:cs="Century Gothic"/>
          <w:lang w:val="es-ES_tradnl" w:eastAsia="es-ES_tradnl"/>
        </w:rPr>
      </w:pPr>
    </w:p>
    <w:p w14:paraId="1F260369" w14:textId="77777777" w:rsidR="004E1AEB" w:rsidRPr="004E1AEB" w:rsidRDefault="004E1AEB" w:rsidP="004E1AEB">
      <w:pPr>
        <w:spacing w:after="0" w:line="240" w:lineRule="auto"/>
        <w:ind w:left="709" w:right="709"/>
        <w:jc w:val="both"/>
        <w:rPr>
          <w:rFonts w:ascii="Century Gothic" w:eastAsia="Century Gothic" w:hAnsi="Century Gothic" w:cs="Century Gothic"/>
          <w:sz w:val="20"/>
          <w:szCs w:val="20"/>
          <w:lang w:eastAsia="es-ES_tradnl"/>
        </w:rPr>
      </w:pPr>
      <w:r w:rsidRPr="004E1AEB">
        <w:rPr>
          <w:rFonts w:ascii="Century Gothic" w:eastAsia="Century Gothic" w:hAnsi="Century Gothic" w:cs="Century Gothic"/>
          <w:sz w:val="20"/>
          <w:szCs w:val="20"/>
          <w:lang w:eastAsia="es-ES_tradnl"/>
        </w:rPr>
        <w:t xml:space="preserve">“3. Es obligatorio que el COOPERANTE demuestre el 30% del aporte a través de certificación bancaria o podrá acreditarse a través de declaración bajo juramento o cualquier otro </w:t>
      </w:r>
      <w:proofErr w:type="gramStart"/>
      <w:r w:rsidRPr="004E1AEB">
        <w:rPr>
          <w:rFonts w:ascii="Century Gothic" w:eastAsia="Century Gothic" w:hAnsi="Century Gothic" w:cs="Century Gothic"/>
          <w:sz w:val="20"/>
          <w:szCs w:val="20"/>
          <w:lang w:eastAsia="es-ES_tradnl"/>
        </w:rPr>
        <w:t>medio ?</w:t>
      </w:r>
      <w:proofErr w:type="gramEnd"/>
      <w:r w:rsidRPr="004E1AEB">
        <w:rPr>
          <w:rFonts w:ascii="Century Gothic" w:eastAsia="Century Gothic" w:hAnsi="Century Gothic" w:cs="Century Gothic"/>
          <w:sz w:val="20"/>
          <w:szCs w:val="20"/>
          <w:lang w:eastAsia="es-ES_tradnl"/>
        </w:rPr>
        <w:t>” (SIC).</w:t>
      </w:r>
    </w:p>
    <w:p w14:paraId="105D93F6" w14:textId="77777777" w:rsidR="004E1AEB" w:rsidRPr="004E1AEB" w:rsidRDefault="004E1AEB" w:rsidP="004E1AEB">
      <w:pPr>
        <w:spacing w:after="0" w:line="276" w:lineRule="auto"/>
        <w:ind w:left="709" w:right="709"/>
        <w:jc w:val="both"/>
        <w:rPr>
          <w:rFonts w:ascii="Century Gothic" w:eastAsia="Century Gothic" w:hAnsi="Century Gothic" w:cs="Century Gothic"/>
          <w:lang w:eastAsia="es-ES_tradnl"/>
        </w:rPr>
      </w:pPr>
    </w:p>
    <w:p w14:paraId="52277B13" w14:textId="77777777" w:rsidR="000C586C" w:rsidRPr="004E1AEB" w:rsidRDefault="004E1AEB" w:rsidP="000C586C">
      <w:pPr>
        <w:spacing w:after="0" w:line="276" w:lineRule="auto"/>
        <w:ind w:firstLine="709"/>
        <w:jc w:val="both"/>
        <w:textAlignment w:val="baseline"/>
        <w:rPr>
          <w:rFonts w:ascii="Century Gothic" w:eastAsia="Calibri" w:hAnsi="Century Gothic" w:cs="Arial"/>
          <w:lang w:val="es-ES_tradnl" w:eastAsia="es-ES_tradnl"/>
        </w:rPr>
      </w:pPr>
      <w:r w:rsidRPr="004E1AEB">
        <w:rPr>
          <w:rFonts w:ascii="Century Gothic" w:eastAsia="Calibri" w:hAnsi="Century Gothic" w:cs="Arial"/>
          <w:lang w:eastAsia="es-ES_tradnl"/>
        </w:rPr>
        <w:t xml:space="preserve">En relación con el </w:t>
      </w:r>
      <w:r w:rsidRPr="004E1AEB">
        <w:rPr>
          <w:rFonts w:ascii="Century Gothic" w:eastAsia="Calibri" w:hAnsi="Century Gothic" w:cs="Arial"/>
          <w:lang w:val="es-ES_tradnl" w:eastAsia="es-ES_tradnl"/>
        </w:rPr>
        <w:t xml:space="preserve">recaudo de los aportes, debe señalarse que </w:t>
      </w:r>
      <w:r w:rsidR="000C586C" w:rsidRPr="004E1AEB">
        <w:rPr>
          <w:rFonts w:ascii="Century Gothic" w:eastAsia="Calibri" w:hAnsi="Century Gothic" w:cs="Arial"/>
          <w:lang w:val="es-ES_tradnl" w:eastAsia="es-ES_tradnl"/>
        </w:rPr>
        <w:t>la Agencia Nacional de Contratación Pública – Colombia Compra Eficiente en la “Guía para la contratación con entidades privadas sin ánimo de lucro y de reconocida idoneidad”, señaló que: “[…] la exigencia de recursos en dinero se puede cumplir con instrumentos financieros, jurídicos y contables que sean transables y que tengan liquidez suficiente para ser equivalentes al dinero”. Sin embargo, debe insistirse en que la entidad será autónoma en definir el mecanismo que le parezca más conveniente para el recaudo de los recursos económicos. Además, dichos recursos deberán comprometerse en actividades orientadas a la ejecución de los objetivos comunes de la asociación con la respectiva Entidad Pública, de acuerdo con lo prescrito en el artículo 96 de la Ley 489 de 1998.</w:t>
      </w:r>
    </w:p>
    <w:p w14:paraId="743D4340" w14:textId="4FA968B6" w:rsidR="004E1AEB" w:rsidRPr="000C586C" w:rsidRDefault="004E1AEB" w:rsidP="000C586C">
      <w:pPr>
        <w:spacing w:after="0" w:line="276" w:lineRule="auto"/>
        <w:jc w:val="both"/>
        <w:textAlignment w:val="baseline"/>
        <w:rPr>
          <w:rFonts w:ascii="Century Gothic" w:eastAsia="Century Gothic" w:hAnsi="Century Gothic" w:cs="Century Gothic"/>
          <w:lang w:val="es-ES_tradnl" w:eastAsia="es-ES_tradnl"/>
        </w:rPr>
      </w:pPr>
    </w:p>
    <w:p w14:paraId="6D49D8DF" w14:textId="77777777" w:rsidR="004E1AEB" w:rsidRPr="004E1AEB" w:rsidRDefault="004E1AEB" w:rsidP="004E1AEB">
      <w:pPr>
        <w:spacing w:after="0" w:line="240" w:lineRule="auto"/>
        <w:ind w:left="709" w:right="709"/>
        <w:jc w:val="both"/>
        <w:rPr>
          <w:rFonts w:ascii="Century Gothic" w:eastAsia="Century Gothic" w:hAnsi="Century Gothic" w:cs="Century Gothic"/>
          <w:sz w:val="20"/>
          <w:szCs w:val="20"/>
          <w:lang w:eastAsia="es-ES_tradnl"/>
        </w:rPr>
      </w:pPr>
      <w:r w:rsidRPr="004E1AEB">
        <w:rPr>
          <w:rFonts w:ascii="Century Gothic" w:eastAsia="Century Gothic" w:hAnsi="Century Gothic" w:cs="Century Gothic"/>
          <w:sz w:val="20"/>
          <w:szCs w:val="20"/>
          <w:lang w:eastAsia="es-ES_tradnl"/>
        </w:rPr>
        <w:t xml:space="preserve">“4. El convenio del </w:t>
      </w:r>
      <w:proofErr w:type="spellStart"/>
      <w:r w:rsidRPr="004E1AEB">
        <w:rPr>
          <w:rFonts w:ascii="Century Gothic" w:eastAsia="Century Gothic" w:hAnsi="Century Gothic" w:cs="Century Gothic"/>
          <w:sz w:val="20"/>
          <w:szCs w:val="20"/>
          <w:lang w:eastAsia="es-ES_tradnl"/>
        </w:rPr>
        <w:t>articulo</w:t>
      </w:r>
      <w:proofErr w:type="spellEnd"/>
      <w:r w:rsidRPr="004E1AEB">
        <w:rPr>
          <w:rFonts w:ascii="Century Gothic" w:eastAsia="Century Gothic" w:hAnsi="Century Gothic" w:cs="Century Gothic"/>
          <w:sz w:val="20"/>
          <w:szCs w:val="20"/>
          <w:lang w:eastAsia="es-ES_tradnl"/>
        </w:rPr>
        <w:t xml:space="preserve"> 5° del DECRETO 092 lo pueden suscribir los </w:t>
      </w:r>
      <w:proofErr w:type="gramStart"/>
      <w:r w:rsidRPr="004E1AEB">
        <w:rPr>
          <w:rFonts w:ascii="Century Gothic" w:eastAsia="Century Gothic" w:hAnsi="Century Gothic" w:cs="Century Gothic"/>
          <w:sz w:val="20"/>
          <w:szCs w:val="20"/>
          <w:lang w:eastAsia="es-ES_tradnl"/>
        </w:rPr>
        <w:t>CONCEJOS  MUNICIPALES</w:t>
      </w:r>
      <w:proofErr w:type="gramEnd"/>
      <w:r w:rsidRPr="004E1AEB">
        <w:rPr>
          <w:rFonts w:ascii="Century Gothic" w:eastAsia="Century Gothic" w:hAnsi="Century Gothic" w:cs="Century Gothic"/>
          <w:sz w:val="20"/>
          <w:szCs w:val="20"/>
          <w:lang w:eastAsia="es-ES_tradnl"/>
        </w:rPr>
        <w:t>?” (SIC).</w:t>
      </w:r>
    </w:p>
    <w:p w14:paraId="4511CF22" w14:textId="77777777" w:rsidR="004E1AEB" w:rsidRPr="000C586C" w:rsidRDefault="004E1AEB" w:rsidP="000C586C">
      <w:pPr>
        <w:spacing w:after="0" w:line="276" w:lineRule="auto"/>
        <w:ind w:left="709" w:right="709"/>
        <w:jc w:val="both"/>
        <w:rPr>
          <w:rFonts w:ascii="Century Gothic" w:eastAsia="Century Gothic" w:hAnsi="Century Gothic" w:cs="Century Gothic"/>
          <w:lang w:eastAsia="es-ES_tradnl"/>
        </w:rPr>
      </w:pPr>
    </w:p>
    <w:p w14:paraId="57442963" w14:textId="77777777" w:rsidR="004E1AEB" w:rsidRPr="004E1AEB" w:rsidRDefault="004E1AEB" w:rsidP="004E1AEB">
      <w:pPr>
        <w:spacing w:after="120" w:line="276" w:lineRule="auto"/>
        <w:jc w:val="both"/>
        <w:rPr>
          <w:rFonts w:ascii="Century Gothic" w:eastAsia="Calibri" w:hAnsi="Century Gothic" w:cs="Arial"/>
          <w:lang w:val="es-ES" w:eastAsia="es-ES_tradnl"/>
        </w:rPr>
      </w:pPr>
      <w:r w:rsidRPr="004E1AEB">
        <w:rPr>
          <w:rFonts w:ascii="Century Gothic" w:eastAsia="Calibri" w:hAnsi="Century Gothic" w:cs="Arial"/>
          <w:color w:val="000000" w:themeColor="text1"/>
          <w:lang w:val="es-ES"/>
        </w:rPr>
        <w:t xml:space="preserve">En atención a la pregunta número 4 de su consulta, referente a si un concejo municipal puede suscribir un convenio de asociación, es menester indicar que, </w:t>
      </w:r>
      <w:r w:rsidRPr="004E1AEB">
        <w:rPr>
          <w:rFonts w:ascii="Century Gothic" w:eastAsia="Calibri" w:hAnsi="Century Gothic" w:cs="Arial"/>
          <w:lang w:val="es-MX"/>
        </w:rPr>
        <w:t xml:space="preserve">de conformidad con el artículo 96 de la Ley 489 de 1996, los </w:t>
      </w:r>
      <w:r w:rsidRPr="004E1AEB">
        <w:rPr>
          <w:rFonts w:ascii="Century Gothic" w:eastAsia="Calibri" w:hAnsi="Century Gothic" w:cs="Arial"/>
          <w:i/>
          <w:lang w:val="es-MX"/>
        </w:rPr>
        <w:t>convenios de asociación</w:t>
      </w:r>
      <w:r w:rsidRPr="004E1AEB">
        <w:rPr>
          <w:rFonts w:ascii="Century Gothic" w:eastAsia="Calibri" w:hAnsi="Century Gothic" w:cs="Arial"/>
          <w:lang w:val="es-MX"/>
        </w:rPr>
        <w:t xml:space="preserve"> pueden ser celebrados por cualquier Entidad Estatal “cualquiera sea su naturaleza y orden administrativo”. </w:t>
      </w:r>
      <w:r w:rsidRPr="004E1AEB">
        <w:rPr>
          <w:rFonts w:ascii="Century Gothic" w:eastAsia="Calibri" w:hAnsi="Century Gothic" w:cs="Arial"/>
          <w:color w:val="000000" w:themeColor="text1"/>
          <w:lang w:val="es-ES"/>
        </w:rPr>
        <w:t>En este sentido, serán competentes para celebrar este tipo de convenios todas las entidades enlistadas en el artículo 2° del EGCAP.</w:t>
      </w:r>
      <w:r w:rsidRPr="004E1AEB">
        <w:rPr>
          <w:rFonts w:ascii="Century Gothic" w:eastAsia="Calibri" w:hAnsi="Century Gothic" w:cs="Arial"/>
          <w:lang w:val="es-ES" w:eastAsia="es-ES_tradnl"/>
        </w:rPr>
        <w:t xml:space="preserve"> Es consecuencia, es necesario analizar si los consejos municipales se enmarcan o no en la definición de Entidades Estatales. </w:t>
      </w:r>
    </w:p>
    <w:p w14:paraId="6CF4933A" w14:textId="77777777" w:rsidR="004E1AEB" w:rsidRPr="004E1AEB" w:rsidRDefault="004E1AEB" w:rsidP="004E1AEB">
      <w:pPr>
        <w:spacing w:after="120" w:line="276" w:lineRule="auto"/>
        <w:ind w:firstLine="709"/>
        <w:jc w:val="both"/>
        <w:rPr>
          <w:rFonts w:ascii="Century Gothic" w:eastAsia="Calibri" w:hAnsi="Century Gothic" w:cs="Arial"/>
          <w:lang w:val="es-ES" w:eastAsia="es-ES_tradnl"/>
        </w:rPr>
      </w:pPr>
      <w:r w:rsidRPr="004E1AEB">
        <w:rPr>
          <w:rFonts w:ascii="Century Gothic" w:eastAsia="Calibri" w:hAnsi="Century Gothic" w:cs="Arial"/>
          <w:lang w:val="es-ES" w:eastAsia="es-ES_tradnl"/>
        </w:rPr>
        <w:t>Aunque el numeral 1° del artículo 2 ibidem no lista expresamente a los concejos municipales, el literal b) de dicho numeral dispone que son Entidades Estatales “los organismos o dependencias del Estado a los que la ley otorgue capacidad para celebrar contratos”. De otra parte, el numeral 2 del artículo 2 de la Ley 80 de 1993 considera como servidores públicos a “b) Los miembros de las corporaciones públicas que tengan capacidad para celebrar contratos en representación de éstas”.</w:t>
      </w:r>
    </w:p>
    <w:p w14:paraId="13BF5F50" w14:textId="6671D98C" w:rsidR="004E1AEB" w:rsidRPr="004E1AEB" w:rsidRDefault="004E1AEB" w:rsidP="00E64640">
      <w:pPr>
        <w:spacing w:after="120" w:line="276" w:lineRule="auto"/>
        <w:ind w:firstLine="709"/>
        <w:jc w:val="both"/>
        <w:rPr>
          <w:rFonts w:ascii="Century Gothic" w:eastAsia="Calibri" w:hAnsi="Century Gothic" w:cs="Arial"/>
          <w:bCs/>
          <w:color w:val="000000" w:themeColor="text1"/>
          <w:sz w:val="20"/>
          <w:szCs w:val="20"/>
          <w:lang w:val="es-ES" w:eastAsia="es-ES_tradnl"/>
        </w:rPr>
      </w:pPr>
      <w:r w:rsidRPr="004E1AEB">
        <w:rPr>
          <w:rFonts w:ascii="Century Gothic" w:eastAsia="Calibri" w:hAnsi="Century Gothic" w:cs="Arial"/>
          <w:lang w:val="es-ES" w:eastAsia="es-ES_tradnl"/>
        </w:rPr>
        <w:t xml:space="preserve">De los apartes transcritos se desprenden dos (2) aspectos para efectos de resolver la consulta: en primer lugar, se resalta que los miembros de las corporaciones públicas que tengan capacidad para celebrar contratos en </w:t>
      </w:r>
      <w:r w:rsidRPr="004E1AEB">
        <w:rPr>
          <w:rFonts w:ascii="Century Gothic" w:eastAsia="Calibri" w:hAnsi="Century Gothic" w:cs="Arial"/>
          <w:lang w:val="es-ES" w:eastAsia="es-ES_tradnl"/>
        </w:rPr>
        <w:lastRenderedPageBreak/>
        <w:t xml:space="preserve">representación de estas son funcionarios públicos para efectos de la Ley 80 de 1993. Con ello, el Estatuto General de Contratación de la Administración Pública -en adelante EGCAP – acepta tácitamente la capacidad de contratación de las corporaciones públicas. En segundo lugar, se observa que el numeral primero literal b) no incluyó expresamente a los concejos municipales, por lo cual la calidad de Entidad Estatal que puede predicarse de estas corporaciones depende de que la ley les otorgue capacidad para celebrar contratos. Sobre este punto, el artículo 352 de la Constitución Política de 1991 prescribe: </w:t>
      </w:r>
      <w:r w:rsidRPr="00E64640">
        <w:rPr>
          <w:rFonts w:ascii="Century Gothic" w:eastAsia="Calibri" w:hAnsi="Century Gothic" w:cs="Arial"/>
          <w:i/>
          <w:color w:val="000000" w:themeColor="text1"/>
          <w:lang w:val="es-ES" w:eastAsia="es-ES_tradnl"/>
        </w:rPr>
        <w:t>“Además de lo señalado en esta Constitución, la Ley Orgánica del Presupuesto regulará lo correspondiente a la programación, aprobación, modificación, ejecución de los presupuestos de la Nación, de las entidades territoriales y de los entes descentralizados de cualquier nivel administrativo, y su coordinación con el Plan Nacional de Desarrollo, así como también la capacidad de los organismos y entidades estatales para contratar”.</w:t>
      </w:r>
    </w:p>
    <w:p w14:paraId="4C471CA5" w14:textId="77777777" w:rsidR="004E1AEB" w:rsidRPr="004E1AEB" w:rsidRDefault="004E1AEB" w:rsidP="004E1AEB">
      <w:pPr>
        <w:tabs>
          <w:tab w:val="left" w:pos="709"/>
        </w:tabs>
        <w:spacing w:after="0" w:line="276" w:lineRule="auto"/>
        <w:ind w:firstLine="709"/>
        <w:jc w:val="both"/>
        <w:rPr>
          <w:rFonts w:ascii="Century Gothic" w:eastAsia="Calibri" w:hAnsi="Century Gothic" w:cs="Arial"/>
          <w:bCs/>
          <w:color w:val="000000" w:themeColor="text1"/>
          <w:lang w:val="es-ES" w:eastAsia="es-ES_tradnl"/>
        </w:rPr>
      </w:pPr>
      <w:r w:rsidRPr="004E1AEB">
        <w:rPr>
          <w:rFonts w:ascii="Century Gothic" w:eastAsia="Calibri" w:hAnsi="Century Gothic" w:cs="Arial"/>
          <w:bCs/>
          <w:color w:val="000000" w:themeColor="text1"/>
          <w:lang w:val="es-ES" w:eastAsia="es-ES_tradnl"/>
        </w:rPr>
        <w:t xml:space="preserve">Constitucionalmente corresponde a la Ley Orgánica del Presupuesto regular la capacidad de los organismos y Entidades Estatales para contratar. En esta medida, para entender el alcance del artículo 2, literal b) del numeral 1, de la Ley 80 de 1993 es necesario concordarlo con el artículo 110 del Decreto 111 de 1996. Esta norma, modificada </w:t>
      </w:r>
      <w:r w:rsidRPr="004E1AEB">
        <w:rPr>
          <w:rFonts w:ascii="Century Gothic" w:eastAsia="Calibri" w:hAnsi="Century Gothic" w:cs="Arial"/>
          <w:color w:val="000000" w:themeColor="text1"/>
          <w:lang w:val="es-ES" w:eastAsia="es-ES_tradnl"/>
        </w:rPr>
        <w:t xml:space="preserve">por el artículo 124 de la Ley 1957 de 2019, dispone: </w:t>
      </w:r>
    </w:p>
    <w:p w14:paraId="5F22BE94" w14:textId="77777777" w:rsidR="004E1AEB" w:rsidRPr="004E1AEB" w:rsidRDefault="004E1AEB" w:rsidP="004E1AEB">
      <w:pPr>
        <w:tabs>
          <w:tab w:val="left" w:pos="426"/>
        </w:tabs>
        <w:spacing w:after="0" w:line="276" w:lineRule="auto"/>
        <w:jc w:val="both"/>
        <w:rPr>
          <w:rFonts w:ascii="Century Gothic" w:eastAsia="Calibri" w:hAnsi="Century Gothic" w:cs="Arial"/>
          <w:color w:val="000000" w:themeColor="text1"/>
          <w:lang w:val="es-ES" w:eastAsia="es-ES_tradnl"/>
        </w:rPr>
      </w:pPr>
    </w:p>
    <w:p w14:paraId="52F62F65" w14:textId="77777777" w:rsidR="004E1AEB" w:rsidRPr="004E1AEB" w:rsidRDefault="004E1AEB" w:rsidP="004E1AEB">
      <w:pPr>
        <w:tabs>
          <w:tab w:val="left" w:pos="709"/>
        </w:tabs>
        <w:spacing w:after="0" w:line="240" w:lineRule="auto"/>
        <w:ind w:left="709" w:right="709"/>
        <w:jc w:val="both"/>
        <w:rPr>
          <w:rFonts w:ascii="Century Gothic" w:eastAsia="Calibri" w:hAnsi="Century Gothic" w:cs="Arial"/>
          <w:color w:val="000000" w:themeColor="text1"/>
          <w:sz w:val="20"/>
          <w:szCs w:val="20"/>
          <w:lang w:eastAsia="es-ES_tradnl"/>
        </w:rPr>
      </w:pPr>
      <w:r w:rsidRPr="004E1AEB">
        <w:rPr>
          <w:rFonts w:ascii="Century Gothic" w:eastAsia="Calibri" w:hAnsi="Century Gothic" w:cs="Arial"/>
          <w:color w:val="000000" w:themeColor="text1"/>
          <w:sz w:val="20"/>
          <w:szCs w:val="20"/>
          <w:lang w:eastAsia="es-ES_tradnl"/>
        </w:rPr>
        <w:t xml:space="preserve">“Los órganos que son una sección en el Presupuesto General de la Nación, </w:t>
      </w:r>
      <w:r w:rsidRPr="004E1AEB">
        <w:rPr>
          <w:rFonts w:ascii="Century Gothic" w:eastAsia="Calibri" w:hAnsi="Century Gothic" w:cs="Arial"/>
          <w:i/>
          <w:iCs/>
          <w:color w:val="000000" w:themeColor="text1"/>
          <w:sz w:val="20"/>
          <w:szCs w:val="20"/>
          <w:lang w:eastAsia="es-ES_tradnl"/>
        </w:rPr>
        <w:t>tendrán la capacidad de contratar</w:t>
      </w:r>
      <w:r w:rsidRPr="004E1AEB">
        <w:rPr>
          <w:rFonts w:ascii="Century Gothic" w:eastAsia="Calibri" w:hAnsi="Century Gothic" w:cs="Arial"/>
          <w:b/>
          <w:bCs/>
          <w:color w:val="000000" w:themeColor="text1"/>
          <w:sz w:val="20"/>
          <w:szCs w:val="20"/>
          <w:lang w:eastAsia="es-ES_tradnl"/>
        </w:rPr>
        <w:t xml:space="preserve"> </w:t>
      </w:r>
      <w:r w:rsidRPr="004E1AEB">
        <w:rPr>
          <w:rFonts w:ascii="Century Gothic" w:eastAsia="Calibri" w:hAnsi="Century Gothic" w:cs="Arial"/>
          <w:color w:val="000000" w:themeColor="text1"/>
          <w:sz w:val="20"/>
          <w:szCs w:val="20"/>
          <w:lang w:eastAsia="es-ES_tradnl"/>
        </w:rPr>
        <w:t xml:space="preserve">y comprometer a nombre de la persona jurídica de la cual hagan parte, y ordenar el gasto en desarrollo de las apropiaciones incorporadas en la respectiva sección, lo que constituye la autonomía presupuestal a que se refieren la Constitución Política y la ley. </w:t>
      </w:r>
      <w:r w:rsidRPr="004E1AEB">
        <w:rPr>
          <w:rFonts w:ascii="Century Gothic" w:eastAsia="Calibri" w:hAnsi="Century Gothic" w:cs="Arial"/>
          <w:i/>
          <w:iCs/>
          <w:color w:val="000000" w:themeColor="text1"/>
          <w:sz w:val="20"/>
          <w:szCs w:val="20"/>
          <w:lang w:eastAsia="es-ES_tradnl"/>
        </w:rPr>
        <w:t>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r w:rsidRPr="004E1AEB">
        <w:rPr>
          <w:rFonts w:ascii="Century Gothic" w:eastAsia="Calibri" w:hAnsi="Century Gothic" w:cs="Arial"/>
          <w:color w:val="000000" w:themeColor="text1"/>
          <w:sz w:val="20"/>
          <w:szCs w:val="20"/>
          <w:lang w:eastAsia="es-ES_tradnl"/>
        </w:rPr>
        <w:t>.</w:t>
      </w:r>
    </w:p>
    <w:p w14:paraId="49852AA7" w14:textId="77777777" w:rsidR="004E1AEB" w:rsidRPr="004E1AEB" w:rsidRDefault="004E1AEB" w:rsidP="004E1AEB">
      <w:pPr>
        <w:tabs>
          <w:tab w:val="left" w:pos="709"/>
        </w:tabs>
        <w:spacing w:after="0" w:line="240" w:lineRule="auto"/>
        <w:ind w:left="709" w:right="709"/>
        <w:jc w:val="both"/>
        <w:rPr>
          <w:rFonts w:ascii="Century Gothic" w:eastAsia="Calibri" w:hAnsi="Century Gothic" w:cs="Arial"/>
          <w:color w:val="000000" w:themeColor="text1"/>
          <w:sz w:val="20"/>
          <w:szCs w:val="20"/>
          <w:lang w:eastAsia="es-ES_tradnl"/>
        </w:rPr>
      </w:pPr>
    </w:p>
    <w:p w14:paraId="14C23744" w14:textId="77777777" w:rsidR="004E1AEB" w:rsidRPr="004E1AEB" w:rsidRDefault="004E1AEB" w:rsidP="004E1AEB">
      <w:pPr>
        <w:tabs>
          <w:tab w:val="left" w:pos="709"/>
        </w:tabs>
        <w:spacing w:after="0" w:line="240" w:lineRule="auto"/>
        <w:ind w:left="709" w:right="709"/>
        <w:jc w:val="both"/>
        <w:rPr>
          <w:rFonts w:ascii="Century Gothic" w:eastAsia="Calibri" w:hAnsi="Century Gothic" w:cs="Arial"/>
          <w:color w:val="000000" w:themeColor="text1"/>
          <w:sz w:val="20"/>
          <w:szCs w:val="20"/>
          <w:lang w:eastAsia="es-ES_tradnl"/>
        </w:rPr>
      </w:pPr>
      <w:r w:rsidRPr="004E1AEB">
        <w:rPr>
          <w:rFonts w:ascii="Century Gothic" w:eastAsia="Calibri" w:hAnsi="Century Gothic" w:cs="Arial"/>
          <w:color w:val="000000" w:themeColor="text1"/>
          <w:sz w:val="20"/>
          <w:szCs w:val="20"/>
          <w:lang w:eastAsia="es-ES_tradnl"/>
        </w:rPr>
        <w:t>[…]</w:t>
      </w:r>
    </w:p>
    <w:p w14:paraId="79CEE312" w14:textId="77777777" w:rsidR="004E1AEB" w:rsidRPr="004E1AEB" w:rsidRDefault="004E1AEB" w:rsidP="004E1AEB">
      <w:pPr>
        <w:tabs>
          <w:tab w:val="left" w:pos="709"/>
        </w:tabs>
        <w:spacing w:after="0" w:line="240" w:lineRule="auto"/>
        <w:ind w:left="709" w:right="709"/>
        <w:jc w:val="both"/>
        <w:rPr>
          <w:rFonts w:ascii="Century Gothic" w:eastAsia="Calibri" w:hAnsi="Century Gothic" w:cs="Arial"/>
          <w:i/>
          <w:iCs/>
          <w:color w:val="000000" w:themeColor="text1"/>
          <w:sz w:val="20"/>
          <w:szCs w:val="20"/>
          <w:lang w:eastAsia="es-ES_tradnl"/>
        </w:rPr>
      </w:pPr>
    </w:p>
    <w:p w14:paraId="10EA32A9" w14:textId="77777777" w:rsidR="004E1AEB" w:rsidRPr="004E1AEB" w:rsidRDefault="004E1AEB" w:rsidP="004E1AEB">
      <w:pPr>
        <w:tabs>
          <w:tab w:val="left" w:pos="709"/>
        </w:tabs>
        <w:spacing w:after="0" w:line="240" w:lineRule="auto"/>
        <w:ind w:left="709" w:right="709"/>
        <w:jc w:val="both"/>
        <w:rPr>
          <w:rFonts w:ascii="Century Gothic" w:eastAsia="Calibri" w:hAnsi="Century Gothic" w:cs="Arial"/>
          <w:color w:val="000000" w:themeColor="text1"/>
          <w:sz w:val="20"/>
          <w:szCs w:val="20"/>
          <w:lang w:eastAsia="es-ES_tradnl"/>
        </w:rPr>
      </w:pPr>
      <w:r w:rsidRPr="004E1AEB">
        <w:rPr>
          <w:rFonts w:ascii="Century Gothic" w:eastAsia="Calibri" w:hAnsi="Century Gothic" w:cs="Arial"/>
          <w:i/>
          <w:iCs/>
          <w:color w:val="000000" w:themeColor="text1"/>
          <w:sz w:val="20"/>
          <w:szCs w:val="20"/>
          <w:lang w:eastAsia="es-ES_tradnl"/>
        </w:rPr>
        <w:t>En los mismos términos y condiciones tendrán estas capacidades</w:t>
      </w:r>
      <w:r w:rsidRPr="004E1AEB">
        <w:rPr>
          <w:rFonts w:ascii="Century Gothic" w:eastAsia="Calibri" w:hAnsi="Century Gothic" w:cs="Arial"/>
          <w:color w:val="000000" w:themeColor="text1"/>
          <w:sz w:val="20"/>
          <w:szCs w:val="20"/>
          <w:lang w:eastAsia="es-ES_tradnl"/>
        </w:rPr>
        <w:t xml:space="preserve"> las Superintendencias, Unidades Administrativas Especiales, las Entidades Territoriales, Asambleas y </w:t>
      </w:r>
      <w:r w:rsidRPr="004E1AEB">
        <w:rPr>
          <w:rFonts w:ascii="Century Gothic" w:eastAsia="Calibri" w:hAnsi="Century Gothic" w:cs="Arial"/>
          <w:i/>
          <w:iCs/>
          <w:color w:val="000000" w:themeColor="text1"/>
          <w:sz w:val="20"/>
          <w:szCs w:val="20"/>
          <w:lang w:eastAsia="es-ES_tradnl"/>
        </w:rPr>
        <w:t>Concejos</w:t>
      </w:r>
      <w:r w:rsidRPr="004E1AEB">
        <w:rPr>
          <w:rFonts w:ascii="Century Gothic" w:eastAsia="Calibri" w:hAnsi="Century Gothic" w:cs="Arial"/>
          <w:color w:val="000000" w:themeColor="text1"/>
          <w:sz w:val="20"/>
          <w:szCs w:val="20"/>
          <w:lang w:eastAsia="es-ES_tradnl"/>
        </w:rPr>
        <w:t>, las Contralorías y Personerías Territoriales</w:t>
      </w:r>
      <w:r w:rsidRPr="004E1AEB">
        <w:rPr>
          <w:rFonts w:ascii="Century Gothic" w:eastAsia="Calibri" w:hAnsi="Century Gothic" w:cs="Arial"/>
          <w:color w:val="000000" w:themeColor="text1"/>
          <w:sz w:val="20"/>
          <w:szCs w:val="20"/>
          <w:u w:val="single"/>
          <w:lang w:eastAsia="es-ES_tradnl"/>
        </w:rPr>
        <w:t xml:space="preserve"> </w:t>
      </w:r>
      <w:r w:rsidRPr="004E1AEB">
        <w:rPr>
          <w:rFonts w:ascii="Century Gothic" w:eastAsia="Calibri" w:hAnsi="Century Gothic" w:cs="Arial"/>
          <w:color w:val="000000" w:themeColor="text1"/>
          <w:sz w:val="20"/>
          <w:szCs w:val="20"/>
          <w:lang w:eastAsia="es-ES_tradnl"/>
        </w:rPr>
        <w:t>y todos los demás órganos estatales de cualquier nivel que tengan personería jurídica.</w:t>
      </w:r>
    </w:p>
    <w:p w14:paraId="03A64076" w14:textId="77777777" w:rsidR="004E1AEB" w:rsidRPr="004E1AEB" w:rsidRDefault="004E1AEB" w:rsidP="004E1AEB">
      <w:pPr>
        <w:tabs>
          <w:tab w:val="left" w:pos="709"/>
        </w:tabs>
        <w:spacing w:after="0" w:line="240" w:lineRule="auto"/>
        <w:ind w:left="709" w:right="709"/>
        <w:jc w:val="both"/>
        <w:rPr>
          <w:rFonts w:ascii="Century Gothic" w:eastAsia="Calibri" w:hAnsi="Century Gothic" w:cs="Arial"/>
          <w:color w:val="000000" w:themeColor="text1"/>
          <w:sz w:val="20"/>
          <w:szCs w:val="20"/>
          <w:lang w:eastAsia="es-ES_tradnl"/>
        </w:rPr>
      </w:pPr>
    </w:p>
    <w:p w14:paraId="1C0391C9" w14:textId="77777777" w:rsidR="004E1AEB" w:rsidRPr="004E1AEB" w:rsidRDefault="004E1AEB" w:rsidP="004E1AEB">
      <w:pPr>
        <w:tabs>
          <w:tab w:val="left" w:pos="709"/>
        </w:tabs>
        <w:spacing w:after="0" w:line="240" w:lineRule="auto"/>
        <w:ind w:left="709" w:right="709"/>
        <w:jc w:val="both"/>
        <w:rPr>
          <w:rFonts w:ascii="Century Gothic" w:eastAsia="Calibri" w:hAnsi="Century Gothic" w:cs="Arial"/>
          <w:color w:val="000000" w:themeColor="text1"/>
          <w:sz w:val="20"/>
          <w:szCs w:val="20"/>
          <w:lang w:eastAsia="es-ES_tradnl"/>
        </w:rPr>
      </w:pPr>
      <w:r w:rsidRPr="004E1AEB">
        <w:rPr>
          <w:rFonts w:ascii="Century Gothic" w:eastAsia="Calibri" w:hAnsi="Century Gothic" w:cs="Arial"/>
          <w:color w:val="000000" w:themeColor="text1"/>
          <w:sz w:val="20"/>
          <w:szCs w:val="20"/>
          <w:lang w:eastAsia="es-ES_tradnl"/>
        </w:rPr>
        <w:t xml:space="preserve">En todo caso, el </w:t>
      </w:r>
      <w:proofErr w:type="gramStart"/>
      <w:r w:rsidRPr="004E1AEB">
        <w:rPr>
          <w:rFonts w:ascii="Century Gothic" w:eastAsia="Calibri" w:hAnsi="Century Gothic" w:cs="Arial"/>
          <w:color w:val="000000" w:themeColor="text1"/>
          <w:sz w:val="20"/>
          <w:szCs w:val="20"/>
          <w:lang w:eastAsia="es-ES_tradnl"/>
        </w:rPr>
        <w:t>Presidente</w:t>
      </w:r>
      <w:proofErr w:type="gramEnd"/>
      <w:r w:rsidRPr="004E1AEB">
        <w:rPr>
          <w:rFonts w:ascii="Century Gothic" w:eastAsia="Calibri" w:hAnsi="Century Gothic" w:cs="Arial"/>
          <w:color w:val="000000" w:themeColor="text1"/>
          <w:sz w:val="20"/>
          <w:szCs w:val="20"/>
          <w:lang w:eastAsia="es-ES_tradnl"/>
        </w:rPr>
        <w:t xml:space="preserve"> de la República podrá celebrar contratos a nombre de la Nación”. (Énfasis fuera de texto)</w:t>
      </w:r>
    </w:p>
    <w:p w14:paraId="4FFC9839" w14:textId="77777777" w:rsidR="004E1AEB" w:rsidRPr="004E1AEB" w:rsidRDefault="004E1AEB" w:rsidP="004E1AEB">
      <w:pPr>
        <w:spacing w:after="0" w:line="276" w:lineRule="auto"/>
        <w:jc w:val="both"/>
        <w:rPr>
          <w:rFonts w:ascii="Century Gothic" w:eastAsia="Calibri" w:hAnsi="Century Gothic" w:cs="Arial"/>
          <w:color w:val="000000" w:themeColor="text1"/>
          <w:lang w:eastAsia="es-ES_tradnl"/>
        </w:rPr>
      </w:pPr>
    </w:p>
    <w:p w14:paraId="28689222" w14:textId="5FD6FA3B" w:rsidR="004E1AEB" w:rsidRPr="004E1AEB" w:rsidRDefault="004E1AEB" w:rsidP="004E1AEB">
      <w:pPr>
        <w:spacing w:after="0" w:line="276" w:lineRule="auto"/>
        <w:ind w:firstLine="709"/>
        <w:jc w:val="both"/>
        <w:rPr>
          <w:rFonts w:ascii="Century Gothic" w:eastAsia="Calibri" w:hAnsi="Century Gothic" w:cs="Arial"/>
          <w:lang w:val="es-ES" w:eastAsia="es-ES_tradnl"/>
        </w:rPr>
      </w:pPr>
      <w:r w:rsidRPr="004E1AEB">
        <w:rPr>
          <w:rFonts w:ascii="Century Gothic" w:eastAsia="Calibri" w:hAnsi="Century Gothic" w:cs="Arial"/>
          <w:lang w:val="es-ES" w:eastAsia="es-ES_tradnl"/>
        </w:rPr>
        <w:lastRenderedPageBreak/>
        <w:t xml:space="preserve">Del artículo 110 del Estatuto Orgánico del Presupuesto – en adelante EOP se desprende que los concejos tienen facultad para suscribir contratos de manera independiente y, más relevante para efectos de resolver la consulta, son Entidades Estatales para el EGCAP, pues son organismos a los que la ley otorga capacidad para celebrar contratos conforme al artículo 2 de la Ley 80 de 1993. Por tanto, de su calidad de Entidades Estatales para los efectos del EGCAP, es posible concluir que tienen la capacidad de suscribir convenios de asociación. </w:t>
      </w:r>
    </w:p>
    <w:p w14:paraId="4EBAEA82" w14:textId="77777777" w:rsidR="004E1AEB" w:rsidRPr="004E1AEB" w:rsidRDefault="004E1AEB" w:rsidP="004E1AEB">
      <w:pPr>
        <w:spacing w:after="0" w:line="276" w:lineRule="auto"/>
        <w:jc w:val="both"/>
        <w:rPr>
          <w:rFonts w:ascii="Century Gothic" w:eastAsia="Century Gothic" w:hAnsi="Century Gothic" w:cs="Century Gothic"/>
          <w:lang w:val="es-ES" w:eastAsia="es-ES_tradnl"/>
        </w:rPr>
      </w:pPr>
    </w:p>
    <w:p w14:paraId="73C353FE" w14:textId="77777777" w:rsidR="004E1AEB" w:rsidRPr="004E1AEB" w:rsidRDefault="004E1AEB" w:rsidP="004E1AEB">
      <w:pPr>
        <w:spacing w:after="0" w:line="276" w:lineRule="auto"/>
        <w:jc w:val="both"/>
        <w:rPr>
          <w:rFonts w:ascii="Century Gothic" w:eastAsia="Century Gothic" w:hAnsi="Century Gothic" w:cs="Century Gothic"/>
          <w:lang w:val="es-ES" w:eastAsia="es-ES_tradnl"/>
        </w:rPr>
      </w:pPr>
      <w:r w:rsidRPr="004E1AEB">
        <w:rPr>
          <w:rFonts w:ascii="Century Gothic" w:eastAsia="Century Gothic" w:hAnsi="Century Gothic" w:cs="Century Gothic"/>
          <w:lang w:val="es-ES"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77A1E27" w14:textId="77777777" w:rsidR="004E1AEB" w:rsidRPr="004E1AEB" w:rsidRDefault="004E1AEB" w:rsidP="004E1AEB">
      <w:pPr>
        <w:spacing w:after="0" w:line="276" w:lineRule="auto"/>
        <w:jc w:val="both"/>
        <w:rPr>
          <w:rFonts w:ascii="Century Gothic" w:eastAsia="Century Gothic" w:hAnsi="Century Gothic" w:cs="Century Gothic"/>
          <w:lang w:val="es-ES" w:eastAsia="es-CO"/>
        </w:rPr>
      </w:pPr>
    </w:p>
    <w:p w14:paraId="12E380C8" w14:textId="77777777" w:rsidR="004E1AEB" w:rsidRPr="004E1AEB" w:rsidRDefault="004E1AEB" w:rsidP="004E1AEB">
      <w:pPr>
        <w:spacing w:after="0" w:line="276" w:lineRule="auto"/>
        <w:jc w:val="both"/>
        <w:rPr>
          <w:rFonts w:ascii="Century Gothic" w:eastAsia="Century Gothic" w:hAnsi="Century Gothic" w:cs="Century Gothic"/>
          <w:lang w:val="es-ES" w:eastAsia="es-CO"/>
        </w:rPr>
      </w:pPr>
      <w:r w:rsidRPr="004E1AEB">
        <w:rPr>
          <w:rFonts w:ascii="Century Gothic" w:eastAsia="Century Gothic" w:hAnsi="Century Gothic" w:cs="Century Gothic"/>
          <w:lang w:val="es-ES" w:eastAsia="es-CO"/>
        </w:rPr>
        <w:t>Atentamente,</w:t>
      </w:r>
    </w:p>
    <w:p w14:paraId="3CD03E7D" w14:textId="5CB8FF84" w:rsidR="004E1AEB" w:rsidRPr="004E1AEB" w:rsidRDefault="00C77927" w:rsidP="004E1AEB">
      <w:pPr>
        <w:spacing w:before="240" w:after="120" w:line="276" w:lineRule="auto"/>
        <w:jc w:val="center"/>
        <w:rPr>
          <w:rFonts w:ascii="Century Gothic" w:eastAsia="Century Gothic" w:hAnsi="Century Gothic" w:cs="Century Gothic"/>
          <w:sz w:val="24"/>
          <w:szCs w:val="24"/>
          <w:lang w:eastAsia="es-ES_tradnl"/>
        </w:rPr>
      </w:pPr>
      <w:r>
        <w:rPr>
          <w:noProof/>
        </w:rPr>
        <w:drawing>
          <wp:inline distT="0" distB="0" distL="0" distR="0" wp14:anchorId="402F6563" wp14:editId="75515929">
            <wp:extent cx="3155950" cy="1212850"/>
            <wp:effectExtent l="0" t="0" r="6350" b="6350"/>
            <wp:docPr id="34586833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8339" name="Imagen 1"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5950" cy="1212850"/>
                    </a:xfrm>
                    <a:prstGeom prst="rect">
                      <a:avLst/>
                    </a:prstGeom>
                    <a:noFill/>
                    <a:ln>
                      <a:noFill/>
                    </a:ln>
                  </pic:spPr>
                </pic:pic>
              </a:graphicData>
            </a:graphic>
          </wp:inline>
        </w:drawing>
      </w:r>
    </w:p>
    <w:tbl>
      <w:tblPr>
        <w:tblStyle w:val="Tablaconcuadrcula1"/>
        <w:tblpPr w:leftFromText="141" w:rightFromText="141" w:vertAnchor="text" w:horzAnchor="margin" w:tblpY="-79"/>
        <w:tblW w:w="58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4972"/>
      </w:tblGrid>
      <w:tr w:rsidR="004E1AEB" w:rsidRPr="004E1AEB" w14:paraId="253821DD" w14:textId="77777777" w:rsidTr="00E7267F">
        <w:trPr>
          <w:trHeight w:val="286"/>
        </w:trPr>
        <w:tc>
          <w:tcPr>
            <w:tcW w:w="817" w:type="dxa"/>
            <w:vAlign w:val="center"/>
          </w:tcPr>
          <w:p w14:paraId="1BFA2657" w14:textId="77777777" w:rsidR="004E1AEB" w:rsidRPr="004E1AEB" w:rsidRDefault="004E1AEB" w:rsidP="004E1AEB">
            <w:pPr>
              <w:rPr>
                <w:rFonts w:ascii="Century Gothic" w:eastAsia="Century Gothic" w:hAnsi="Century Gothic" w:cs="Century Gothic"/>
                <w:sz w:val="16"/>
                <w:szCs w:val="16"/>
                <w:lang w:eastAsia="es-ES_tradnl"/>
              </w:rPr>
            </w:pPr>
            <w:r w:rsidRPr="004E1AEB">
              <w:rPr>
                <w:rFonts w:ascii="Century Gothic" w:eastAsia="Century Gothic" w:hAnsi="Century Gothic" w:cs="Century Gothic"/>
                <w:sz w:val="16"/>
                <w:szCs w:val="16"/>
                <w:lang w:eastAsia="es-ES_tradnl"/>
              </w:rPr>
              <w:t>Elaboró:</w:t>
            </w:r>
          </w:p>
        </w:tc>
        <w:tc>
          <w:tcPr>
            <w:tcW w:w="5010" w:type="dxa"/>
            <w:tcBorders>
              <w:bottom w:val="dotted" w:sz="4" w:space="0" w:color="7F7F7F" w:themeColor="text1" w:themeTint="80"/>
            </w:tcBorders>
            <w:vAlign w:val="center"/>
          </w:tcPr>
          <w:p w14:paraId="669DA4C8" w14:textId="77777777" w:rsidR="004E1AEB" w:rsidRPr="004E1AEB" w:rsidRDefault="004E1AEB" w:rsidP="004E1AEB">
            <w:pPr>
              <w:textAlignment w:val="baseline"/>
              <w:rPr>
                <w:rFonts w:ascii="Century Gothic" w:eastAsia="Century Gothic" w:hAnsi="Century Gothic" w:cs="Century Gothic"/>
                <w:sz w:val="18"/>
                <w:szCs w:val="18"/>
                <w:lang w:eastAsia="es-CO"/>
              </w:rPr>
            </w:pPr>
            <w:r w:rsidRPr="004E1AEB">
              <w:rPr>
                <w:rFonts w:ascii="Century Gothic" w:eastAsia="Century Gothic" w:hAnsi="Century Gothic" w:cs="Century Gothic"/>
                <w:sz w:val="16"/>
                <w:szCs w:val="16"/>
                <w:lang w:eastAsia="es-CO"/>
              </w:rPr>
              <w:t>Diana Lucia Saavedra Castañeda </w:t>
            </w:r>
          </w:p>
          <w:p w14:paraId="48C769F1" w14:textId="77777777" w:rsidR="004E1AEB" w:rsidRPr="004E1AEB" w:rsidRDefault="004E1AEB" w:rsidP="004E1AEB">
            <w:pPr>
              <w:textAlignment w:val="baseline"/>
              <w:rPr>
                <w:rFonts w:ascii="Century Gothic" w:eastAsia="Century Gothic" w:hAnsi="Century Gothic" w:cs="Century Gothic"/>
                <w:sz w:val="18"/>
                <w:szCs w:val="18"/>
                <w:lang w:eastAsia="es-CO"/>
              </w:rPr>
            </w:pPr>
            <w:r w:rsidRPr="004E1AEB">
              <w:rPr>
                <w:rFonts w:ascii="Century Gothic" w:eastAsia="Century Gothic" w:hAnsi="Century Gothic" w:cs="Century Gothic"/>
                <w:sz w:val="16"/>
                <w:szCs w:val="16"/>
                <w:lang w:eastAsia="es-CO"/>
              </w:rPr>
              <w:t>Contratista de la Subdirección de Gestión Contractual </w:t>
            </w:r>
          </w:p>
        </w:tc>
      </w:tr>
      <w:tr w:rsidR="004E1AEB" w:rsidRPr="004E1AEB" w14:paraId="18F2E205" w14:textId="77777777" w:rsidTr="00E7267F">
        <w:trPr>
          <w:trHeight w:val="286"/>
        </w:trPr>
        <w:tc>
          <w:tcPr>
            <w:tcW w:w="817" w:type="dxa"/>
            <w:vAlign w:val="center"/>
          </w:tcPr>
          <w:p w14:paraId="7577D08E" w14:textId="77777777" w:rsidR="004E1AEB" w:rsidRPr="004E1AEB" w:rsidRDefault="004E1AEB" w:rsidP="004E1AEB">
            <w:pPr>
              <w:rPr>
                <w:rFonts w:ascii="Century Gothic" w:eastAsia="Century Gothic" w:hAnsi="Century Gothic" w:cs="Century Gothic"/>
                <w:sz w:val="16"/>
                <w:szCs w:val="16"/>
                <w:lang w:eastAsia="es-ES_tradnl"/>
              </w:rPr>
            </w:pPr>
            <w:r w:rsidRPr="004E1AEB">
              <w:rPr>
                <w:rFonts w:ascii="Century Gothic" w:eastAsia="Century Gothic" w:hAnsi="Century Gothic" w:cs="Century Gothic"/>
                <w:sz w:val="16"/>
                <w:szCs w:val="16"/>
                <w:lang w:eastAsia="es-ES_tradnl"/>
              </w:rPr>
              <w:t>Revisó:</w:t>
            </w:r>
          </w:p>
        </w:tc>
        <w:tc>
          <w:tcPr>
            <w:tcW w:w="5010" w:type="dxa"/>
            <w:tcBorders>
              <w:bottom w:val="dotted" w:sz="4" w:space="0" w:color="7F7F7F" w:themeColor="text1" w:themeTint="80"/>
            </w:tcBorders>
            <w:vAlign w:val="center"/>
          </w:tcPr>
          <w:p w14:paraId="1088DD69" w14:textId="3FA92096" w:rsidR="004E1AEB" w:rsidRPr="004E1AEB" w:rsidRDefault="00CC1870" w:rsidP="004E1AEB">
            <w:pPr>
              <w:textAlignment w:val="baseline"/>
              <w:rPr>
                <w:rFonts w:ascii="Century Gothic" w:eastAsia="Century Gothic" w:hAnsi="Century Gothic" w:cs="Century Gothic"/>
                <w:sz w:val="18"/>
                <w:szCs w:val="18"/>
                <w:lang w:eastAsia="es-CO"/>
              </w:rPr>
            </w:pPr>
            <w:r>
              <w:rPr>
                <w:rFonts w:ascii="Century Gothic" w:eastAsia="Century Gothic" w:hAnsi="Century Gothic" w:cs="Century Gothic"/>
                <w:sz w:val="16"/>
                <w:szCs w:val="16"/>
                <w:lang w:eastAsia="es-CO"/>
              </w:rPr>
              <w:t>Alejandro Sarmiento Cantillo</w:t>
            </w:r>
          </w:p>
          <w:p w14:paraId="6DA2C881" w14:textId="2FB39CA5" w:rsidR="004E1AEB" w:rsidRPr="004E1AEB" w:rsidRDefault="004E1AEB" w:rsidP="004E1AEB">
            <w:pPr>
              <w:rPr>
                <w:rFonts w:ascii="Century Gothic" w:eastAsia="Century Gothic" w:hAnsi="Century Gothic" w:cs="Century Gothic"/>
                <w:sz w:val="16"/>
                <w:szCs w:val="16"/>
                <w:lang w:eastAsia="es-ES_tradnl"/>
              </w:rPr>
            </w:pPr>
            <w:r w:rsidRPr="004E1AEB">
              <w:rPr>
                <w:rFonts w:ascii="Century Gothic" w:eastAsia="Century Gothic" w:hAnsi="Century Gothic" w:cs="Century Gothic"/>
                <w:sz w:val="16"/>
                <w:szCs w:val="16"/>
                <w:lang w:eastAsia="es-ES_tradnl"/>
              </w:rPr>
              <w:t>Gestor T1-1</w:t>
            </w:r>
            <w:r w:rsidR="00FE0BEB">
              <w:rPr>
                <w:rFonts w:ascii="Century Gothic" w:eastAsia="Century Gothic" w:hAnsi="Century Gothic" w:cs="Century Gothic"/>
                <w:sz w:val="16"/>
                <w:szCs w:val="16"/>
                <w:lang w:eastAsia="es-ES_tradnl"/>
              </w:rPr>
              <w:t>5</w:t>
            </w:r>
            <w:r w:rsidRPr="004E1AEB">
              <w:rPr>
                <w:rFonts w:ascii="Century Gothic" w:eastAsia="Century Gothic" w:hAnsi="Century Gothic" w:cs="Century Gothic"/>
                <w:sz w:val="16"/>
                <w:szCs w:val="16"/>
                <w:lang w:eastAsia="es-ES_tradnl"/>
              </w:rPr>
              <w:t xml:space="preserve"> de la Subdirección de Gestión Contractual </w:t>
            </w:r>
          </w:p>
        </w:tc>
      </w:tr>
      <w:tr w:rsidR="004E1AEB" w:rsidRPr="004E1AEB" w14:paraId="32EFACDA" w14:textId="77777777" w:rsidTr="00E7267F">
        <w:trPr>
          <w:trHeight w:val="299"/>
        </w:trPr>
        <w:tc>
          <w:tcPr>
            <w:tcW w:w="817" w:type="dxa"/>
            <w:vAlign w:val="center"/>
          </w:tcPr>
          <w:p w14:paraId="38D595AF" w14:textId="77777777" w:rsidR="004E1AEB" w:rsidRPr="004E1AEB" w:rsidRDefault="004E1AEB" w:rsidP="004E1AEB">
            <w:pPr>
              <w:rPr>
                <w:rFonts w:ascii="Century Gothic" w:eastAsia="Century Gothic" w:hAnsi="Century Gothic" w:cs="Century Gothic"/>
                <w:sz w:val="16"/>
                <w:szCs w:val="16"/>
                <w:lang w:eastAsia="es-ES_tradnl"/>
              </w:rPr>
            </w:pPr>
            <w:r w:rsidRPr="004E1AEB">
              <w:rPr>
                <w:rFonts w:ascii="Century Gothic" w:eastAsia="Century Gothic" w:hAnsi="Century Gothic" w:cs="Century Gothic"/>
                <w:sz w:val="16"/>
                <w:szCs w:val="16"/>
                <w:lang w:eastAsia="es-ES_tradnl"/>
              </w:rPr>
              <w:t>Aprobó:</w:t>
            </w:r>
          </w:p>
        </w:tc>
        <w:tc>
          <w:tcPr>
            <w:tcW w:w="5010" w:type="dxa"/>
            <w:tcBorders>
              <w:top w:val="dotted" w:sz="4" w:space="0" w:color="7F7F7F" w:themeColor="text1" w:themeTint="80"/>
              <w:bottom w:val="dotted" w:sz="4" w:space="0" w:color="7F7F7F" w:themeColor="text1" w:themeTint="80"/>
            </w:tcBorders>
            <w:vAlign w:val="center"/>
          </w:tcPr>
          <w:p w14:paraId="74DC396E" w14:textId="77777777" w:rsidR="004E1AEB" w:rsidRPr="004E1AEB" w:rsidRDefault="004E1AEB" w:rsidP="004E1AEB">
            <w:pPr>
              <w:rPr>
                <w:rFonts w:ascii="Century Gothic" w:eastAsia="Century Gothic" w:hAnsi="Century Gothic" w:cs="Century Gothic"/>
                <w:sz w:val="16"/>
                <w:szCs w:val="16"/>
                <w:lang w:eastAsia="es-ES_tradnl"/>
              </w:rPr>
            </w:pPr>
            <w:r w:rsidRPr="004E1AEB">
              <w:rPr>
                <w:rFonts w:ascii="Century Gothic" w:eastAsia="Century Gothic" w:hAnsi="Century Gothic" w:cs="Century Gothic"/>
                <w:sz w:val="16"/>
                <w:szCs w:val="16"/>
                <w:lang w:eastAsia="es-ES_tradnl"/>
              </w:rPr>
              <w:t>Nohelia Del Carmen Zawady Palacio</w:t>
            </w:r>
          </w:p>
          <w:p w14:paraId="3F942F84" w14:textId="77777777" w:rsidR="004E1AEB" w:rsidRPr="004E1AEB" w:rsidRDefault="004E1AEB" w:rsidP="004E1AEB">
            <w:pPr>
              <w:rPr>
                <w:rFonts w:ascii="Century Gothic" w:eastAsia="Century Gothic" w:hAnsi="Century Gothic" w:cs="Century Gothic"/>
                <w:sz w:val="16"/>
                <w:szCs w:val="16"/>
                <w:lang w:eastAsia="es-ES_tradnl"/>
              </w:rPr>
            </w:pPr>
            <w:r w:rsidRPr="004E1AEB">
              <w:rPr>
                <w:rFonts w:ascii="Century Gothic" w:eastAsia="Century Gothic" w:hAnsi="Century Gothic" w:cs="Century Gothic"/>
                <w:sz w:val="16"/>
                <w:szCs w:val="16"/>
                <w:lang w:eastAsia="es-ES_tradnl"/>
              </w:rPr>
              <w:t xml:space="preserve">Subdirectora de Gestión Contractual ANCP – CCE </w:t>
            </w:r>
          </w:p>
        </w:tc>
      </w:tr>
    </w:tbl>
    <w:p w14:paraId="2FC6EF21" w14:textId="77777777" w:rsidR="004E1AEB" w:rsidRPr="004E1AEB" w:rsidRDefault="004E1AEB" w:rsidP="004E1AEB">
      <w:pPr>
        <w:tabs>
          <w:tab w:val="left" w:pos="3795"/>
        </w:tabs>
        <w:spacing w:after="0" w:line="240" w:lineRule="auto"/>
        <w:rPr>
          <w:rFonts w:ascii="Century Gothic" w:eastAsia="Century Gothic" w:hAnsi="Century Gothic" w:cs="Century Gothic"/>
          <w:sz w:val="24"/>
          <w:szCs w:val="24"/>
          <w:lang w:val="es-ES" w:eastAsia="es-ES_tradnl"/>
        </w:rPr>
      </w:pPr>
    </w:p>
    <w:p w14:paraId="7DD086D9" w14:textId="77777777" w:rsidR="004E1AEB" w:rsidRPr="004E1AEB" w:rsidRDefault="004E1AEB" w:rsidP="004E1AEB">
      <w:pPr>
        <w:spacing w:after="0" w:line="240" w:lineRule="auto"/>
        <w:rPr>
          <w:rFonts w:ascii="Century Gothic" w:eastAsia="Century Gothic" w:hAnsi="Century Gothic" w:cs="Century Gothic"/>
          <w:sz w:val="24"/>
          <w:szCs w:val="24"/>
          <w:lang w:eastAsia="es-ES_tradnl"/>
        </w:rPr>
      </w:pPr>
    </w:p>
    <w:bookmarkEnd w:id="5"/>
    <w:p w14:paraId="43D22612" w14:textId="77777777" w:rsidR="004E1AEB" w:rsidRPr="004E1AEB" w:rsidRDefault="004E1AEB" w:rsidP="004E1AEB">
      <w:pPr>
        <w:spacing w:after="0" w:line="240" w:lineRule="auto"/>
        <w:rPr>
          <w:rFonts w:ascii="Century Gothic" w:eastAsia="Century Gothic" w:hAnsi="Century Gothic" w:cs="Century Gothic"/>
          <w:sz w:val="24"/>
          <w:szCs w:val="24"/>
          <w:lang w:eastAsia="es-ES_tradnl"/>
        </w:rPr>
      </w:pPr>
    </w:p>
    <w:p w14:paraId="6E7D2C41" w14:textId="77777777" w:rsidR="004E1AEB" w:rsidRPr="004E1AEB" w:rsidRDefault="004E1AEB" w:rsidP="00400548">
      <w:pPr>
        <w:spacing w:after="0"/>
        <w:rPr>
          <w:rFonts w:ascii="Century Gothic" w:hAnsi="Century Gothic"/>
        </w:rPr>
      </w:pPr>
    </w:p>
    <w:sectPr w:rsidR="004E1AEB" w:rsidRPr="004E1AEB" w:rsidSect="004368BC">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780900" w14:textId="77777777" w:rsidR="004368BC" w:rsidRDefault="004368BC" w:rsidP="004A1847">
      <w:pPr>
        <w:spacing w:after="0" w:line="240" w:lineRule="auto"/>
      </w:pPr>
      <w:r>
        <w:separator/>
      </w:r>
    </w:p>
  </w:endnote>
  <w:endnote w:type="continuationSeparator" w:id="0">
    <w:p w14:paraId="3402D80F" w14:textId="77777777" w:rsidR="004368BC" w:rsidRDefault="004368BC" w:rsidP="004A1847">
      <w:pPr>
        <w:spacing w:after="0" w:line="240" w:lineRule="auto"/>
      </w:pPr>
      <w:r>
        <w:continuationSeparator/>
      </w:r>
    </w:p>
  </w:endnote>
  <w:endnote w:type="continuationNotice" w:id="1">
    <w:p w14:paraId="765D91EC" w14:textId="77777777" w:rsidR="00B70660" w:rsidRDefault="00B706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EAE9C0" w14:textId="77777777" w:rsidR="004368BC" w:rsidRDefault="004368BC" w:rsidP="004A1847">
      <w:pPr>
        <w:spacing w:after="0" w:line="240" w:lineRule="auto"/>
      </w:pPr>
      <w:r>
        <w:separator/>
      </w:r>
    </w:p>
  </w:footnote>
  <w:footnote w:type="continuationSeparator" w:id="0">
    <w:p w14:paraId="1BC77EB3" w14:textId="77777777" w:rsidR="004368BC" w:rsidRDefault="004368BC" w:rsidP="004A1847">
      <w:pPr>
        <w:spacing w:after="0" w:line="240" w:lineRule="auto"/>
      </w:pPr>
      <w:r>
        <w:continuationSeparator/>
      </w:r>
    </w:p>
  </w:footnote>
  <w:footnote w:type="continuationNotice" w:id="1">
    <w:p w14:paraId="470F3DF8" w14:textId="77777777" w:rsidR="00B70660" w:rsidRDefault="00B70660">
      <w:pPr>
        <w:spacing w:after="0" w:line="240" w:lineRule="auto"/>
      </w:pPr>
    </w:p>
  </w:footnote>
  <w:footnote w:id="2">
    <w:p w14:paraId="7F8CE3A0" w14:textId="77777777" w:rsidR="004E1AEB" w:rsidRPr="00C77927" w:rsidRDefault="004E1AEB" w:rsidP="00C6125E">
      <w:pPr>
        <w:pStyle w:val="Textonotapie"/>
        <w:ind w:firstLine="708"/>
        <w:jc w:val="both"/>
        <w:rPr>
          <w:rFonts w:ascii="Century Gothic" w:eastAsia="Calibri" w:hAnsi="Century Gothic" w:cs="Arial"/>
          <w:sz w:val="16"/>
          <w:szCs w:val="16"/>
          <w:lang w:val="es-ES" w:eastAsia="es-ES_tradnl"/>
        </w:rPr>
      </w:pPr>
      <w:r w:rsidRPr="00C77927">
        <w:rPr>
          <w:rFonts w:ascii="Century Gothic" w:eastAsia="Calibri" w:hAnsi="Century Gothic" w:cs="Arial"/>
          <w:sz w:val="16"/>
          <w:szCs w:val="16"/>
          <w:vertAlign w:val="superscript"/>
          <w:lang w:val="es-ES" w:eastAsia="es-ES_tradnl"/>
        </w:rPr>
        <w:footnoteRef/>
      </w:r>
      <w:r w:rsidRPr="00C77927">
        <w:rPr>
          <w:rFonts w:ascii="Century Gothic" w:eastAsia="Calibri" w:hAnsi="Century Gothic" w:cs="Arial"/>
          <w:sz w:val="16"/>
          <w:szCs w:val="16"/>
          <w:lang w:val="es-ES" w:eastAsia="es-ES_tradnl"/>
        </w:rPr>
        <w:t xml:space="preserve"> La Agencia Nacional de Contratación Pública </w:t>
      </w:r>
      <w:r w:rsidRPr="00C77927">
        <w:rPr>
          <w:rFonts w:ascii="Arial" w:eastAsia="Calibri" w:hAnsi="Arial" w:cs="Arial"/>
          <w:sz w:val="16"/>
          <w:szCs w:val="16"/>
          <w:lang w:val="es-ES" w:eastAsia="es-ES_tradnl"/>
        </w:rPr>
        <w:t>‒</w:t>
      </w:r>
      <w:r w:rsidRPr="00C77927">
        <w:rPr>
          <w:rFonts w:ascii="Century Gothic" w:eastAsia="Calibri" w:hAnsi="Century Gothic" w:cs="Arial"/>
          <w:sz w:val="16"/>
          <w:szCs w:val="16"/>
          <w:lang w:val="es-ES" w:eastAsia="es-ES_tradnl"/>
        </w:rPr>
        <w:t xml:space="preserve"> Colombia Compra Eficiente fue creada por el Decreto Ley 4170 de 2011. Su objetivo es servir como ente rector de la pol</w:t>
      </w:r>
      <w:r w:rsidRPr="00C77927">
        <w:rPr>
          <w:rFonts w:ascii="Century Gothic" w:eastAsia="Calibri" w:hAnsi="Century Gothic" w:cs="Century Gothic"/>
          <w:sz w:val="16"/>
          <w:szCs w:val="16"/>
          <w:lang w:val="es-ES" w:eastAsia="es-ES_tradnl"/>
        </w:rPr>
        <w:t>í</w:t>
      </w:r>
      <w:r w:rsidRPr="00C77927">
        <w:rPr>
          <w:rFonts w:ascii="Century Gothic" w:eastAsia="Calibri" w:hAnsi="Century Gothic" w:cs="Arial"/>
          <w:sz w:val="16"/>
          <w:szCs w:val="16"/>
          <w:lang w:val="es-ES" w:eastAsia="es-ES_tradnl"/>
        </w:rPr>
        <w:t>tica de compras y contrataci</w:t>
      </w:r>
      <w:r w:rsidRPr="00C77927">
        <w:rPr>
          <w:rFonts w:ascii="Century Gothic" w:eastAsia="Calibri" w:hAnsi="Century Gothic" w:cs="Century Gothic"/>
          <w:sz w:val="16"/>
          <w:szCs w:val="16"/>
          <w:lang w:val="es-ES" w:eastAsia="es-ES_tradnl"/>
        </w:rPr>
        <w:t>ó</w:t>
      </w:r>
      <w:r w:rsidRPr="00C77927">
        <w:rPr>
          <w:rFonts w:ascii="Century Gothic" w:eastAsia="Calibri" w:hAnsi="Century Gothic" w:cs="Arial"/>
          <w:sz w:val="16"/>
          <w:szCs w:val="16"/>
          <w:lang w:val="es-ES" w:eastAsia="es-ES_tradnl"/>
        </w:rPr>
        <w:t xml:space="preserve">n del Estado. Para tales fines, como </w:t>
      </w:r>
      <w:r w:rsidRPr="00C77927">
        <w:rPr>
          <w:rFonts w:ascii="Century Gothic" w:eastAsia="Calibri" w:hAnsi="Century Gothic" w:cs="Century Gothic"/>
          <w:sz w:val="16"/>
          <w:szCs w:val="16"/>
          <w:lang w:val="es-ES" w:eastAsia="es-ES_tradnl"/>
        </w:rPr>
        <w:t>ó</w:t>
      </w:r>
      <w:r w:rsidRPr="00C77927">
        <w:rPr>
          <w:rFonts w:ascii="Century Gothic" w:eastAsia="Calibri" w:hAnsi="Century Gothic" w:cs="Arial"/>
          <w:sz w:val="16"/>
          <w:szCs w:val="16"/>
          <w:lang w:val="es-ES" w:eastAsia="es-ES_tradnl"/>
        </w:rPr>
        <w:t>rgano t</w:t>
      </w:r>
      <w:r w:rsidRPr="00C77927">
        <w:rPr>
          <w:rFonts w:ascii="Century Gothic" w:eastAsia="Calibri" w:hAnsi="Century Gothic" w:cs="Century Gothic"/>
          <w:sz w:val="16"/>
          <w:szCs w:val="16"/>
          <w:lang w:val="es-ES" w:eastAsia="es-ES_tradnl"/>
        </w:rPr>
        <w:t>é</w:t>
      </w:r>
      <w:r w:rsidRPr="00C77927">
        <w:rPr>
          <w:rFonts w:ascii="Century Gothic" w:eastAsia="Calibri" w:hAnsi="Century Gothic" w:cs="Arial"/>
          <w:sz w:val="16"/>
          <w:szCs w:val="16"/>
          <w:lang w:val="es-ES" w:eastAsia="es-ES_tradnl"/>
        </w:rPr>
        <w:t>cnico especializado, le corresponde formular pol</w:t>
      </w:r>
      <w:r w:rsidRPr="00C77927">
        <w:rPr>
          <w:rFonts w:ascii="Century Gothic" w:eastAsia="Calibri" w:hAnsi="Century Gothic" w:cs="Century Gothic"/>
          <w:sz w:val="16"/>
          <w:szCs w:val="16"/>
          <w:lang w:val="es-ES" w:eastAsia="es-ES_tradnl"/>
        </w:rPr>
        <w:t>í</w:t>
      </w:r>
      <w:r w:rsidRPr="00C77927">
        <w:rPr>
          <w:rFonts w:ascii="Century Gothic" w:eastAsia="Calibri" w:hAnsi="Century Gothic" w:cs="Arial"/>
          <w:sz w:val="16"/>
          <w:szCs w:val="16"/>
          <w:lang w:val="es-ES" w:eastAsia="es-ES_tradnl"/>
        </w:rPr>
        <w:t>ticas p</w:t>
      </w:r>
      <w:r w:rsidRPr="00C77927">
        <w:rPr>
          <w:rFonts w:ascii="Century Gothic" w:eastAsia="Calibri" w:hAnsi="Century Gothic" w:cs="Century Gothic"/>
          <w:sz w:val="16"/>
          <w:szCs w:val="16"/>
          <w:lang w:val="es-ES" w:eastAsia="es-ES_tradnl"/>
        </w:rPr>
        <w:t>ú</w:t>
      </w:r>
      <w:r w:rsidRPr="00C77927">
        <w:rPr>
          <w:rFonts w:ascii="Century Gothic" w:eastAsia="Calibri" w:hAnsi="Century Gothic" w:cs="Arial"/>
          <w:sz w:val="16"/>
          <w:szCs w:val="16"/>
          <w:lang w:val="es-ES" w:eastAsia="es-ES_tradnl"/>
        </w:rPr>
        <w:t>blicas y normas y unificar los procesos de contrataci</w:t>
      </w:r>
      <w:r w:rsidRPr="00C77927">
        <w:rPr>
          <w:rFonts w:ascii="Century Gothic" w:eastAsia="Calibri" w:hAnsi="Century Gothic" w:cs="Century Gothic"/>
          <w:sz w:val="16"/>
          <w:szCs w:val="16"/>
          <w:lang w:val="es-ES" w:eastAsia="es-ES_tradnl"/>
        </w:rPr>
        <w:t>ó</w:t>
      </w:r>
      <w:r w:rsidRPr="00C77927">
        <w:rPr>
          <w:rFonts w:ascii="Century Gothic" w:eastAsia="Calibri" w:hAnsi="Century Gothic" w:cs="Arial"/>
          <w:sz w:val="16"/>
          <w:szCs w:val="16"/>
          <w:lang w:val="es-ES" w:eastAsia="es-ES_tradnl"/>
        </w:rPr>
        <w:t>n estatal, con el fin de lograr una mayor eficiencia, transparencia y optimizaci</w:t>
      </w:r>
      <w:r w:rsidRPr="00C77927">
        <w:rPr>
          <w:rFonts w:ascii="Century Gothic" w:eastAsia="Calibri" w:hAnsi="Century Gothic" w:cs="Century Gothic"/>
          <w:sz w:val="16"/>
          <w:szCs w:val="16"/>
          <w:lang w:val="es-ES" w:eastAsia="es-ES_tradnl"/>
        </w:rPr>
        <w:t>ó</w:t>
      </w:r>
      <w:r w:rsidRPr="00C77927">
        <w:rPr>
          <w:rFonts w:ascii="Century Gothic" w:eastAsia="Calibri" w:hAnsi="Century Gothic" w:cs="Arial"/>
          <w:sz w:val="16"/>
          <w:szCs w:val="16"/>
          <w:lang w:val="es-ES" w:eastAsia="es-ES_tradnl"/>
        </w:rPr>
        <w:t>n de los recursos del Estado. El art</w:t>
      </w:r>
      <w:r w:rsidRPr="00C77927">
        <w:rPr>
          <w:rFonts w:ascii="Century Gothic" w:eastAsia="Calibri" w:hAnsi="Century Gothic" w:cs="Century Gothic"/>
          <w:sz w:val="16"/>
          <w:szCs w:val="16"/>
          <w:lang w:val="es-ES" w:eastAsia="es-ES_tradnl"/>
        </w:rPr>
        <w:t>í</w:t>
      </w:r>
      <w:r w:rsidRPr="00C77927">
        <w:rPr>
          <w:rFonts w:ascii="Century Gothic" w:eastAsia="Calibri" w:hAnsi="Century Gothic" w:cs="Arial"/>
          <w:sz w:val="16"/>
          <w:szCs w:val="16"/>
          <w:lang w:val="es-ES" w:eastAsia="es-ES_tradnl"/>
        </w:rPr>
        <w:t>culo 3 ibidem se</w:t>
      </w:r>
      <w:r w:rsidRPr="00C77927">
        <w:rPr>
          <w:rFonts w:ascii="Century Gothic" w:eastAsia="Calibri" w:hAnsi="Century Gothic" w:cs="Century Gothic"/>
          <w:sz w:val="16"/>
          <w:szCs w:val="16"/>
          <w:lang w:val="es-ES" w:eastAsia="es-ES_tradnl"/>
        </w:rPr>
        <w:t>ñ</w:t>
      </w:r>
      <w:r w:rsidRPr="00C77927">
        <w:rPr>
          <w:rFonts w:ascii="Century Gothic" w:eastAsia="Calibri" w:hAnsi="Century Gothic" w:cs="Arial"/>
          <w:sz w:val="16"/>
          <w:szCs w:val="16"/>
          <w:lang w:val="es-ES" w:eastAsia="es-ES_tradnl"/>
        </w:rPr>
        <w:t>ala, de manera precisa, las funciones de Colombia Compra Eficiente. Concretamente, el numeral 5º de este artículo establece que le corresponde a esta entidad: “[a]</w:t>
      </w:r>
      <w:proofErr w:type="spellStart"/>
      <w:r w:rsidRPr="00C77927">
        <w:rPr>
          <w:rFonts w:ascii="Century Gothic" w:eastAsia="Calibri" w:hAnsi="Century Gothic" w:cs="Arial"/>
          <w:sz w:val="16"/>
          <w:szCs w:val="16"/>
          <w:lang w:val="es-ES" w:eastAsia="es-ES_tradnl"/>
        </w:rPr>
        <w:t>bsolver</w:t>
      </w:r>
      <w:proofErr w:type="spellEnd"/>
      <w:r w:rsidRPr="00C77927">
        <w:rPr>
          <w:rFonts w:ascii="Century Gothic" w:eastAsia="Calibri" w:hAnsi="Century Gothic" w:cs="Arial"/>
          <w:sz w:val="16"/>
          <w:szCs w:val="16"/>
          <w:lang w:val="es-ES" w:eastAsia="es-ES_tradnl"/>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C77927">
        <w:rPr>
          <w:rFonts w:ascii="Century Gothic" w:eastAsia="Calibri" w:hAnsi="Century Gothic" w:cs="Arial"/>
          <w:sz w:val="16"/>
          <w:szCs w:val="16"/>
          <w:lang w:val="es-ES" w:eastAsia="es-ES_tradnl"/>
        </w:rPr>
        <w:t>bsolver</w:t>
      </w:r>
      <w:proofErr w:type="spellEnd"/>
      <w:r w:rsidRPr="00C77927">
        <w:rPr>
          <w:rFonts w:ascii="Century Gothic" w:eastAsia="Calibri" w:hAnsi="Century Gothic" w:cs="Arial"/>
          <w:sz w:val="16"/>
          <w:szCs w:val="16"/>
          <w:lang w:val="es-ES" w:eastAsia="es-ES_tradnl"/>
        </w:rPr>
        <w:t xml:space="preserve"> consultas sobre la aplicación de normas de carácter general”.</w:t>
      </w:r>
    </w:p>
    <w:p w14:paraId="5B056D5B" w14:textId="77777777" w:rsidR="004E1AEB" w:rsidRPr="00C77927" w:rsidRDefault="004E1AEB" w:rsidP="00C6125E">
      <w:pPr>
        <w:pStyle w:val="Textonotapie"/>
        <w:ind w:firstLine="708"/>
        <w:jc w:val="both"/>
        <w:rPr>
          <w:rFonts w:ascii="Century Gothic" w:hAnsi="Century Gothic" w:cs="Arial"/>
          <w:sz w:val="16"/>
          <w:szCs w:val="16"/>
          <w:lang w:val="es-ES"/>
        </w:rPr>
      </w:pPr>
    </w:p>
  </w:footnote>
  <w:footnote w:id="3">
    <w:p w14:paraId="7A412794" w14:textId="77777777" w:rsidR="004E1AEB" w:rsidRPr="00C77927" w:rsidRDefault="004E1AEB" w:rsidP="00C6125E">
      <w:pPr>
        <w:pStyle w:val="Textonotapie"/>
        <w:ind w:firstLine="708"/>
        <w:jc w:val="both"/>
        <w:rPr>
          <w:rFonts w:ascii="Century Gothic" w:hAnsi="Century Gothic" w:cs="Arial"/>
          <w:sz w:val="16"/>
          <w:szCs w:val="16"/>
          <w:shd w:val="clear" w:color="auto" w:fill="E6E6E6"/>
        </w:rPr>
      </w:pPr>
      <w:r w:rsidRPr="00C77927">
        <w:rPr>
          <w:rFonts w:ascii="Century Gothic" w:hAnsi="Century Gothic" w:cs="Arial"/>
          <w:sz w:val="16"/>
          <w:szCs w:val="16"/>
          <w:vertAlign w:val="superscript"/>
        </w:rPr>
        <w:footnoteRef/>
      </w:r>
      <w:r w:rsidRPr="00C77927">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C77927">
          <w:rPr>
            <w:rStyle w:val="Hipervnculo"/>
            <w:rFonts w:ascii="Century Gothic" w:hAnsi="Century Gothic" w:cs="Arial"/>
            <w:sz w:val="16"/>
            <w:szCs w:val="16"/>
          </w:rPr>
          <w:t>https://relatoria.colombiacompra.gov.co/busqueda/conceptos</w:t>
        </w:r>
      </w:hyperlink>
      <w:r w:rsidRPr="00C77927">
        <w:rPr>
          <w:rStyle w:val="Hipervnculo"/>
          <w:rFonts w:ascii="Century Gothic" w:hAnsi="Century Gothic" w:cs="Arial"/>
          <w:sz w:val="16"/>
          <w:szCs w:val="16"/>
        </w:rPr>
        <w:t xml:space="preserve"> </w:t>
      </w:r>
      <w:r w:rsidRPr="00C77927">
        <w:rPr>
          <w:rFonts w:ascii="Century Gothic" w:hAnsi="Century Gothic" w:cs="Arial"/>
          <w:sz w:val="16"/>
          <w:szCs w:val="16"/>
          <w:shd w:val="clear" w:color="auto" w:fill="E6E6E6"/>
        </w:rPr>
        <w:t xml:space="preserve"> </w:t>
      </w:r>
    </w:p>
    <w:p w14:paraId="30984BB5" w14:textId="77777777" w:rsidR="004E1AEB" w:rsidRPr="00C77927" w:rsidRDefault="004E1AEB" w:rsidP="00C6125E">
      <w:pPr>
        <w:pStyle w:val="Textonotapie"/>
        <w:ind w:firstLine="708"/>
        <w:jc w:val="both"/>
        <w:rPr>
          <w:rFonts w:ascii="Century Gothic" w:hAnsi="Century Gothic" w:cs="Arial"/>
          <w:sz w:val="16"/>
          <w:szCs w:val="16"/>
        </w:rPr>
      </w:pPr>
    </w:p>
  </w:footnote>
  <w:footnote w:id="4">
    <w:p w14:paraId="5D9D2ACE" w14:textId="77777777" w:rsidR="004E1AEB" w:rsidRPr="00C77927" w:rsidRDefault="004E1AEB" w:rsidP="00C6125E">
      <w:pPr>
        <w:pStyle w:val="Textonotapie"/>
        <w:ind w:firstLine="709"/>
        <w:jc w:val="both"/>
        <w:rPr>
          <w:rFonts w:ascii="Century Gothic" w:hAnsi="Century Gothic" w:cs="Arial"/>
          <w:color w:val="000000" w:themeColor="text1"/>
          <w:sz w:val="16"/>
          <w:szCs w:val="16"/>
        </w:rPr>
      </w:pPr>
      <w:r w:rsidRPr="00C77927">
        <w:rPr>
          <w:rStyle w:val="Refdenotaalpie"/>
          <w:rFonts w:ascii="Century Gothic" w:hAnsi="Century Gothic" w:cs="Arial"/>
          <w:color w:val="000000" w:themeColor="text1"/>
          <w:sz w:val="16"/>
          <w:szCs w:val="16"/>
        </w:rPr>
        <w:footnoteRef/>
      </w:r>
      <w:r w:rsidRPr="00C77927">
        <w:rPr>
          <w:rFonts w:ascii="Century Gothic" w:hAnsi="Century Gothic" w:cs="Arial"/>
          <w:color w:val="000000" w:themeColor="text1"/>
          <w:sz w:val="16"/>
          <w:szCs w:val="16"/>
        </w:rPr>
        <w:t xml:space="preserve"> Sobre esta norma, consultar los conceptos del 8 de octubre de 2019, con radicado No. 2201913000007532, y del 20 de diciembre de 2019, con radicado No. 4201913000008240.</w:t>
      </w:r>
    </w:p>
    <w:p w14:paraId="718008AF" w14:textId="77777777" w:rsidR="004E1AEB" w:rsidRPr="00C77927" w:rsidRDefault="004E1AEB" w:rsidP="00C6125E">
      <w:pPr>
        <w:pStyle w:val="Textonotapie"/>
        <w:ind w:firstLine="709"/>
        <w:jc w:val="both"/>
        <w:rPr>
          <w:rFonts w:ascii="Century Gothic" w:hAnsi="Century Gothic" w:cs="Arial"/>
          <w:color w:val="000000" w:themeColor="text1"/>
          <w:sz w:val="16"/>
          <w:szCs w:val="16"/>
          <w:lang w:val="es-ES"/>
        </w:rPr>
      </w:pPr>
    </w:p>
  </w:footnote>
  <w:footnote w:id="5">
    <w:p w14:paraId="57DA1856" w14:textId="38212A24" w:rsidR="004E1AEB" w:rsidRPr="00C77927" w:rsidRDefault="004E1AEB" w:rsidP="00C6125E">
      <w:pPr>
        <w:pStyle w:val="Textonotapie"/>
        <w:ind w:firstLine="709"/>
        <w:jc w:val="both"/>
        <w:rPr>
          <w:rFonts w:ascii="Century Gothic" w:hAnsi="Century Gothic" w:cs="Arial"/>
          <w:color w:val="000000" w:themeColor="text1"/>
          <w:sz w:val="16"/>
          <w:szCs w:val="16"/>
        </w:rPr>
      </w:pPr>
      <w:r w:rsidRPr="00C77927">
        <w:rPr>
          <w:rStyle w:val="Refdenotaalpie"/>
          <w:rFonts w:ascii="Century Gothic" w:hAnsi="Century Gothic" w:cs="Arial"/>
          <w:color w:val="000000" w:themeColor="text1"/>
          <w:sz w:val="16"/>
          <w:szCs w:val="16"/>
        </w:rPr>
        <w:footnoteRef/>
      </w:r>
      <w:r w:rsidRPr="00C77927">
        <w:rPr>
          <w:rFonts w:ascii="Century Gothic" w:hAnsi="Century Gothic" w:cs="Arial"/>
          <w:color w:val="000000" w:themeColor="text1"/>
          <w:sz w:val="16"/>
          <w:szCs w:val="16"/>
        </w:rPr>
        <w:t xml:space="preserve"> Al respecto, la Ley 489 de 1998 dispone que </w:t>
      </w:r>
      <w:r w:rsidR="00182D1F" w:rsidRPr="00C77927">
        <w:rPr>
          <w:rFonts w:ascii="Century Gothic" w:hAnsi="Century Gothic" w:cs="Arial"/>
          <w:color w:val="000000" w:themeColor="text1"/>
          <w:sz w:val="16"/>
          <w:szCs w:val="16"/>
        </w:rPr>
        <w:t>“</w:t>
      </w:r>
      <w:r w:rsidRPr="00C77927">
        <w:rPr>
          <w:rFonts w:ascii="Century Gothic" w:hAnsi="Century Gothic" w:cs="Arial"/>
          <w:color w:val="000000" w:themeColor="text1"/>
          <w:sz w:val="16"/>
          <w:szCs w:val="16"/>
        </w:rPr>
        <w:t>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64E47155" w14:textId="77777777" w:rsidR="004E1AEB" w:rsidRPr="00C77927" w:rsidRDefault="004E1AEB" w:rsidP="00C6125E">
      <w:pPr>
        <w:pStyle w:val="Textonotapie"/>
        <w:ind w:firstLine="709"/>
        <w:jc w:val="both"/>
        <w:rPr>
          <w:rFonts w:ascii="Century Gothic" w:hAnsi="Century Gothic" w:cs="Arial"/>
          <w:color w:val="000000" w:themeColor="text1"/>
          <w:sz w:val="16"/>
          <w:szCs w:val="16"/>
        </w:rPr>
      </w:pPr>
    </w:p>
    <w:p w14:paraId="2ADCBEC5" w14:textId="7B7F7218" w:rsidR="004E1AEB" w:rsidRPr="00C77927" w:rsidRDefault="004E1AEB" w:rsidP="00C6125E">
      <w:pPr>
        <w:pStyle w:val="Textonotapie"/>
        <w:ind w:firstLine="709"/>
        <w:jc w:val="both"/>
        <w:rPr>
          <w:rFonts w:ascii="Century Gothic" w:hAnsi="Century Gothic" w:cs="Arial"/>
          <w:color w:val="000000" w:themeColor="text1"/>
          <w:sz w:val="16"/>
          <w:szCs w:val="16"/>
        </w:rPr>
      </w:pPr>
      <w:r w:rsidRPr="00C77927">
        <w:rPr>
          <w:rFonts w:ascii="Century Gothic" w:hAnsi="Century Gothic" w:cs="Arial"/>
          <w:color w:val="000000" w:themeColor="text1"/>
          <w:sz w:val="16"/>
          <w:szCs w:val="16"/>
        </w:rPr>
        <w:t xml:space="preserve">Los convenios de asociación a que se refiere el presente artículo </w:t>
      </w:r>
      <w:bookmarkStart w:id="7" w:name="_Hlk36023315"/>
      <w:r w:rsidRPr="00C77927">
        <w:rPr>
          <w:rFonts w:ascii="Century Gothic" w:hAnsi="Century Gothic" w:cs="Arial"/>
          <w:color w:val="000000" w:themeColor="text1"/>
          <w:sz w:val="16"/>
          <w:szCs w:val="16"/>
        </w:rPr>
        <w:t>se celebrarán de conformidad con lo dispuesto en el artículo 355 de la Constitución Política</w:t>
      </w:r>
      <w:bookmarkEnd w:id="7"/>
      <w:r w:rsidRPr="00C77927">
        <w:rPr>
          <w:rFonts w:ascii="Century Gothic" w:hAnsi="Century Gothic" w:cs="Arial"/>
          <w:color w:val="000000" w:themeColor="text1"/>
          <w:sz w:val="16"/>
          <w:szCs w:val="16"/>
        </w:rPr>
        <w:t>, en ellos se determinará con precisión su objeto, término, obligaciones de las partes, aportes, coordinación y todos aquellos aspectos que se consideren pertinentes</w:t>
      </w:r>
      <w:r w:rsidR="00182D1F" w:rsidRPr="00C77927">
        <w:rPr>
          <w:rFonts w:ascii="Century Gothic" w:hAnsi="Century Gothic" w:cs="Arial"/>
          <w:color w:val="000000" w:themeColor="text1"/>
          <w:sz w:val="16"/>
          <w:szCs w:val="16"/>
        </w:rPr>
        <w:t>”</w:t>
      </w:r>
      <w:r w:rsidRPr="00C77927">
        <w:rPr>
          <w:rFonts w:ascii="Century Gothic" w:hAnsi="Century Gothic" w:cs="Arial"/>
          <w:color w:val="000000" w:themeColor="text1"/>
          <w:sz w:val="16"/>
          <w:szCs w:val="16"/>
        </w:rPr>
        <w:t>.</w:t>
      </w:r>
    </w:p>
    <w:p w14:paraId="718F4CD4" w14:textId="77777777" w:rsidR="004E1AEB" w:rsidRPr="00C77927" w:rsidRDefault="004E1AEB" w:rsidP="00C6125E">
      <w:pPr>
        <w:pStyle w:val="Textonotapie"/>
        <w:ind w:firstLine="709"/>
        <w:jc w:val="both"/>
        <w:rPr>
          <w:rFonts w:ascii="Century Gothic" w:hAnsi="Century Gothic" w:cs="Arial"/>
          <w:color w:val="000000" w:themeColor="text1"/>
          <w:sz w:val="16"/>
          <w:szCs w:val="16"/>
          <w:lang w:val="es-ES"/>
        </w:rPr>
      </w:pPr>
      <w:r w:rsidRPr="00C77927">
        <w:rPr>
          <w:rFonts w:ascii="Century Gothic" w:hAnsi="Century Gothic" w:cs="Arial"/>
          <w:color w:val="000000" w:themeColor="text1"/>
          <w:sz w:val="16"/>
          <w:szCs w:val="16"/>
        </w:rPr>
        <w:t xml:space="preserve"> </w:t>
      </w:r>
    </w:p>
  </w:footnote>
  <w:footnote w:id="6">
    <w:p w14:paraId="218342E0" w14:textId="1B255CF9" w:rsidR="004E1AEB" w:rsidRPr="00C77927" w:rsidRDefault="004E1AEB" w:rsidP="00C6125E">
      <w:pPr>
        <w:pStyle w:val="Textonotapie"/>
        <w:ind w:firstLine="708"/>
        <w:jc w:val="both"/>
        <w:rPr>
          <w:rFonts w:ascii="Century Gothic" w:hAnsi="Century Gothic" w:cs="Arial"/>
          <w:color w:val="000000"/>
          <w:sz w:val="16"/>
          <w:szCs w:val="16"/>
        </w:rPr>
      </w:pPr>
      <w:r w:rsidRPr="00C77927">
        <w:rPr>
          <w:rStyle w:val="Refdenotaalpie"/>
          <w:rFonts w:ascii="Century Gothic" w:hAnsi="Century Gothic" w:cs="Arial"/>
          <w:color w:val="000000"/>
          <w:sz w:val="16"/>
          <w:szCs w:val="16"/>
        </w:rPr>
        <w:footnoteRef/>
      </w:r>
      <w:r w:rsidRPr="00C77927">
        <w:rPr>
          <w:rFonts w:ascii="Century Gothic" w:hAnsi="Century Gothic" w:cs="Arial"/>
          <w:color w:val="000000"/>
          <w:sz w:val="16"/>
          <w:szCs w:val="16"/>
        </w:rPr>
        <w:t xml:space="preserve"> En el concepto emitido el 5 de febrero de 2019, dentro del radicado No. 2201913000000663, se dijo: </w:t>
      </w:r>
      <w:r w:rsidR="00182D1F" w:rsidRPr="00C77927">
        <w:rPr>
          <w:rFonts w:ascii="Century Gothic" w:hAnsi="Century Gothic" w:cs="Arial"/>
          <w:color w:val="000000"/>
          <w:sz w:val="16"/>
          <w:szCs w:val="16"/>
        </w:rPr>
        <w:t>“</w:t>
      </w:r>
      <w:r w:rsidRPr="00C77927">
        <w:rPr>
          <w:rFonts w:ascii="Century Gothic" w:hAnsi="Century Gothic" w:cs="Arial"/>
          <w:color w:val="000000"/>
          <w:sz w:val="16"/>
          <w:szCs w:val="16"/>
        </w:rPr>
        <w:t>[l]os convenios de asociación del artículo 5 son distintos a los contratos de colaboración del artículo 2 del Decreto 092 de 2017</w:t>
      </w:r>
      <w:r w:rsidR="00182D1F" w:rsidRPr="00C77927">
        <w:rPr>
          <w:rFonts w:ascii="Century Gothic" w:hAnsi="Century Gothic" w:cs="Arial"/>
          <w:color w:val="000000"/>
          <w:sz w:val="16"/>
          <w:szCs w:val="16"/>
        </w:rPr>
        <w:t>”</w:t>
      </w:r>
      <w:r w:rsidRPr="00C77927">
        <w:rPr>
          <w:rFonts w:ascii="Century Gothic" w:hAnsi="Century Gothic" w:cs="Arial"/>
          <w:color w:val="000000"/>
          <w:sz w:val="16"/>
          <w:szCs w:val="16"/>
        </w:rPr>
        <w:t>.</w:t>
      </w:r>
    </w:p>
    <w:p w14:paraId="004D28BA" w14:textId="77777777" w:rsidR="00182D1F" w:rsidRPr="00C77927" w:rsidRDefault="00182D1F" w:rsidP="00C6125E">
      <w:pPr>
        <w:pStyle w:val="Textonotapie"/>
        <w:ind w:firstLine="708"/>
        <w:jc w:val="both"/>
        <w:rPr>
          <w:rFonts w:ascii="Century Gothic" w:hAnsi="Century Gothic" w:cs="Arial"/>
          <w:color w:val="000000"/>
          <w:sz w:val="16"/>
          <w:szCs w:val="16"/>
        </w:rPr>
      </w:pPr>
    </w:p>
  </w:footnote>
  <w:footnote w:id="7">
    <w:p w14:paraId="43A9478B" w14:textId="77777777" w:rsidR="004E1AEB" w:rsidRPr="00C77927" w:rsidRDefault="004E1AEB" w:rsidP="00C6125E">
      <w:pPr>
        <w:pStyle w:val="Textonotapie"/>
        <w:ind w:firstLine="709"/>
        <w:jc w:val="both"/>
        <w:rPr>
          <w:rFonts w:ascii="Century Gothic" w:hAnsi="Century Gothic" w:cs="Arial"/>
          <w:color w:val="000000" w:themeColor="text1"/>
          <w:sz w:val="16"/>
          <w:szCs w:val="16"/>
        </w:rPr>
      </w:pPr>
      <w:r w:rsidRPr="00C77927">
        <w:rPr>
          <w:rStyle w:val="Refdenotaalpie"/>
          <w:rFonts w:ascii="Century Gothic" w:hAnsi="Century Gothic" w:cs="Arial"/>
          <w:color w:val="000000" w:themeColor="text1"/>
          <w:sz w:val="16"/>
          <w:szCs w:val="16"/>
        </w:rPr>
        <w:footnoteRef/>
      </w:r>
      <w:r w:rsidRPr="00C77927">
        <w:rPr>
          <w:rFonts w:ascii="Century Gothic" w:hAnsi="Century Gothic" w:cs="Arial"/>
          <w:color w:val="000000" w:themeColor="text1"/>
          <w:sz w:val="16"/>
          <w:szCs w:val="16"/>
        </w:rPr>
        <w:t xml:space="preserve"> Concepto del 3 de septiembre de 2019, con radicado No. 2201913000006512.</w:t>
      </w:r>
    </w:p>
    <w:p w14:paraId="502A73DD" w14:textId="77777777" w:rsidR="004E1AEB" w:rsidRPr="00C77927" w:rsidRDefault="004E1AEB" w:rsidP="00C6125E">
      <w:pPr>
        <w:pStyle w:val="Textonotapie"/>
        <w:ind w:firstLine="709"/>
        <w:jc w:val="both"/>
        <w:rPr>
          <w:rFonts w:ascii="Century Gothic" w:hAnsi="Century Gothic" w:cs="Arial"/>
          <w:color w:val="000000" w:themeColor="text1"/>
          <w:sz w:val="16"/>
          <w:szCs w:val="16"/>
        </w:rPr>
      </w:pPr>
    </w:p>
  </w:footnote>
  <w:footnote w:id="8">
    <w:p w14:paraId="07ABD35C" w14:textId="77777777" w:rsidR="004E1AEB" w:rsidRPr="00C77927" w:rsidRDefault="004E1AEB" w:rsidP="00C6125E">
      <w:pPr>
        <w:pStyle w:val="Textonotapie"/>
        <w:ind w:firstLine="708"/>
        <w:jc w:val="both"/>
        <w:rPr>
          <w:rFonts w:ascii="Century Gothic" w:hAnsi="Century Gothic" w:cs="Arial"/>
          <w:color w:val="000000"/>
          <w:sz w:val="16"/>
          <w:szCs w:val="16"/>
        </w:rPr>
      </w:pPr>
      <w:r w:rsidRPr="00C77927">
        <w:rPr>
          <w:rStyle w:val="Refdenotaalpie"/>
          <w:rFonts w:ascii="Century Gothic" w:hAnsi="Century Gothic" w:cs="Arial"/>
          <w:color w:val="000000"/>
          <w:sz w:val="16"/>
          <w:szCs w:val="16"/>
        </w:rPr>
        <w:footnoteRef/>
      </w:r>
      <w:r w:rsidRPr="00C77927">
        <w:rPr>
          <w:rFonts w:ascii="Century Gothic" w:hAnsi="Century Gothic" w:cs="Arial"/>
          <w:color w:val="000000"/>
          <w:sz w:val="16"/>
          <w:szCs w:val="16"/>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71BB993E" w14:textId="77777777" w:rsidR="00182D1F" w:rsidRPr="00C77927" w:rsidRDefault="00182D1F" w:rsidP="00C6125E">
      <w:pPr>
        <w:pStyle w:val="Textonotapie"/>
        <w:ind w:firstLine="708"/>
        <w:jc w:val="both"/>
        <w:rPr>
          <w:rFonts w:ascii="Century Gothic" w:hAnsi="Century Gothic" w:cs="Arial"/>
          <w:color w:val="000000"/>
          <w:sz w:val="16"/>
          <w:szCs w:val="16"/>
        </w:rPr>
      </w:pPr>
    </w:p>
  </w:footnote>
  <w:footnote w:id="9">
    <w:p w14:paraId="65D81D60" w14:textId="6823F79B" w:rsidR="004E1AEB" w:rsidRPr="00C77927" w:rsidRDefault="004E1AEB" w:rsidP="00C6125E">
      <w:pPr>
        <w:pStyle w:val="Textonotapie"/>
        <w:ind w:firstLine="708"/>
        <w:jc w:val="both"/>
        <w:rPr>
          <w:rFonts w:ascii="Century Gothic" w:hAnsi="Century Gothic" w:cs="Arial"/>
          <w:sz w:val="16"/>
          <w:szCs w:val="16"/>
          <w:lang w:val="es-ES"/>
        </w:rPr>
      </w:pPr>
      <w:r w:rsidRPr="00C77927">
        <w:rPr>
          <w:rStyle w:val="Refdenotaalpie"/>
          <w:rFonts w:ascii="Century Gothic" w:hAnsi="Century Gothic" w:cs="Arial"/>
          <w:sz w:val="16"/>
          <w:szCs w:val="16"/>
        </w:rPr>
        <w:footnoteRef/>
      </w:r>
      <w:r w:rsidRPr="00C77927">
        <w:rPr>
          <w:rFonts w:ascii="Century Gothic" w:hAnsi="Century Gothic" w:cs="Arial"/>
          <w:sz w:val="16"/>
          <w:szCs w:val="16"/>
        </w:rPr>
        <w:t xml:space="preserve"> </w:t>
      </w:r>
      <w:r w:rsidRPr="00C77927">
        <w:rPr>
          <w:rFonts w:ascii="Century Gothic" w:hAnsi="Century Gothic" w:cs="Arial"/>
          <w:sz w:val="16"/>
          <w:szCs w:val="16"/>
          <w:lang w:val="es-ES"/>
        </w:rPr>
        <w:t xml:space="preserve">Consejo de Estado. Sala Plena. Auto del 15 de marzo de 2022. Consejera Ponente: Rocío Araujo Oñate. Expediente: 62.003. En esta decisión, en efecto, se decidió: </w:t>
      </w:r>
      <w:r w:rsidR="00182D1F" w:rsidRPr="00C77927">
        <w:rPr>
          <w:rFonts w:ascii="Century Gothic" w:hAnsi="Century Gothic" w:cs="Arial"/>
          <w:sz w:val="16"/>
          <w:szCs w:val="16"/>
          <w:lang w:val="es-ES"/>
        </w:rPr>
        <w:t>“</w:t>
      </w:r>
      <w:r w:rsidRPr="00C77927">
        <w:rPr>
          <w:rFonts w:ascii="Century Gothic" w:hAnsi="Century Gothic" w:cs="Arial"/>
          <w:sz w:val="16"/>
          <w:szCs w:val="16"/>
          <w:lang w:val="es-ES"/>
        </w:rPr>
        <w:t>REVOCAR los numerales primero y tercero de la parte resolutiva del auto proferido el 6 de agosto de 2019, que suspendieron de manera provisional los efectos del inciso segundo del artículo 1 y del inciso segundo del artículo 3 del Decreto 92 de 2017, respectivamente, y en su lugar NEGAR la medida cautelar</w:t>
      </w:r>
      <w:r w:rsidR="006C5E8B" w:rsidRPr="00C77927">
        <w:rPr>
          <w:rFonts w:ascii="Century Gothic" w:hAnsi="Century Gothic" w:cs="Arial"/>
          <w:sz w:val="16"/>
          <w:szCs w:val="16"/>
          <w:lang w:val="es-ES"/>
        </w:rPr>
        <w:t>”</w:t>
      </w:r>
      <w:r w:rsidRPr="00C77927">
        <w:rPr>
          <w:rFonts w:ascii="Century Gothic" w:hAnsi="Century Gothic" w:cs="Arial"/>
          <w:sz w:val="16"/>
          <w:szCs w:val="16"/>
          <w:lang w:val="es-ES"/>
        </w:rPr>
        <w:t xml:space="preserve">, y </w:t>
      </w:r>
      <w:r w:rsidR="006C5E8B" w:rsidRPr="00C77927">
        <w:rPr>
          <w:rFonts w:ascii="Century Gothic" w:hAnsi="Century Gothic" w:cs="Arial"/>
          <w:sz w:val="16"/>
          <w:szCs w:val="16"/>
          <w:lang w:val="es-ES"/>
        </w:rPr>
        <w:t>“</w:t>
      </w:r>
      <w:r w:rsidRPr="00C77927">
        <w:rPr>
          <w:rFonts w:ascii="Century Gothic" w:hAnsi="Century Gothic" w:cs="Arial"/>
          <w:sz w:val="16"/>
          <w:szCs w:val="16"/>
          <w:lang w:val="es-ES"/>
        </w:rPr>
        <w:t>CONFIRMAR LA SUSPENSIÓN PROVISIONAL de los literales a) y c) del artículo segundo y el inciso quinto de la misma norma, así como del inciso final del artículo 4 del Decreto 92 de 2017, por las razones expuestas</w:t>
      </w:r>
      <w:r w:rsidR="00182D1F" w:rsidRPr="00C77927">
        <w:rPr>
          <w:rFonts w:ascii="Century Gothic" w:hAnsi="Century Gothic" w:cs="Arial"/>
          <w:sz w:val="16"/>
          <w:szCs w:val="16"/>
          <w:lang w:val="es-ES"/>
        </w:rPr>
        <w:t>”</w:t>
      </w:r>
      <w:r w:rsidRPr="00C77927">
        <w:rPr>
          <w:rFonts w:ascii="Century Gothic" w:hAnsi="Century Gothic" w:cs="Arial"/>
          <w:sz w:val="16"/>
          <w:szCs w:val="16"/>
          <w:lang w:val="es-ES"/>
        </w:rPr>
        <w:t>.</w:t>
      </w:r>
    </w:p>
    <w:p w14:paraId="35160D64" w14:textId="77777777" w:rsidR="00182D1F" w:rsidRPr="00C77927" w:rsidRDefault="00182D1F" w:rsidP="00C6125E">
      <w:pPr>
        <w:pStyle w:val="Textonotapie"/>
        <w:ind w:firstLine="708"/>
        <w:jc w:val="both"/>
        <w:rPr>
          <w:rFonts w:ascii="Century Gothic" w:hAnsi="Century Gothic" w:cs="Arial"/>
          <w:sz w:val="16"/>
          <w:szCs w:val="16"/>
          <w:lang w:val="es-ES"/>
        </w:rPr>
      </w:pPr>
    </w:p>
  </w:footnote>
  <w:footnote w:id="10">
    <w:p w14:paraId="2EEBEB7B" w14:textId="6743EE8D" w:rsidR="004E1AEB" w:rsidRPr="00C77927" w:rsidRDefault="004E1AEB" w:rsidP="00C6125E">
      <w:pPr>
        <w:spacing w:after="0" w:line="240" w:lineRule="auto"/>
        <w:ind w:firstLine="708"/>
        <w:jc w:val="both"/>
        <w:textAlignment w:val="baseline"/>
        <w:rPr>
          <w:rFonts w:ascii="Century Gothic" w:eastAsia="Calibri" w:hAnsi="Century Gothic" w:cs="Arial"/>
          <w:color w:val="000000"/>
          <w:sz w:val="16"/>
          <w:szCs w:val="16"/>
          <w:lang w:val="es-MX"/>
        </w:rPr>
      </w:pPr>
      <w:r w:rsidRPr="00C77927">
        <w:rPr>
          <w:rStyle w:val="Refdenotaalpie"/>
          <w:rFonts w:ascii="Century Gothic" w:hAnsi="Century Gothic" w:cs="Arial"/>
          <w:sz w:val="16"/>
          <w:szCs w:val="16"/>
        </w:rPr>
        <w:footnoteRef/>
      </w:r>
      <w:r w:rsidRPr="00C77927">
        <w:rPr>
          <w:rFonts w:ascii="Century Gothic" w:hAnsi="Century Gothic" w:cs="Arial"/>
          <w:sz w:val="16"/>
          <w:szCs w:val="16"/>
        </w:rPr>
        <w:t xml:space="preserve"> </w:t>
      </w:r>
      <w:r w:rsidRPr="00C77927">
        <w:rPr>
          <w:rFonts w:ascii="Century Gothic" w:eastAsia="Calibri" w:hAnsi="Century Gothic" w:cs="Arial"/>
          <w:color w:val="000000"/>
          <w:sz w:val="16"/>
          <w:szCs w:val="16"/>
          <w:lang w:val="es-MX"/>
        </w:rPr>
        <w:t>E</w:t>
      </w:r>
      <w:r w:rsidRPr="00C77927">
        <w:rPr>
          <w:rFonts w:ascii="Century Gothic" w:eastAsia="Calibri" w:hAnsi="Century Gothic" w:cs="Arial"/>
          <w:sz w:val="16"/>
          <w:szCs w:val="16"/>
          <w:lang w:val="es-ES_tradnl"/>
        </w:rPr>
        <w:t xml:space="preserve">n armonía con lo anterior, las siguientes son las conclusiones que dedujo esta Agencia en relación con los </w:t>
      </w:r>
      <w:r w:rsidRPr="00C77927">
        <w:rPr>
          <w:rFonts w:ascii="Century Gothic" w:eastAsia="Calibri" w:hAnsi="Century Gothic" w:cs="Arial"/>
          <w:i/>
          <w:iCs/>
          <w:sz w:val="16"/>
          <w:szCs w:val="16"/>
          <w:lang w:val="es-ES_tradnl"/>
        </w:rPr>
        <w:t>contratos de colaboración</w:t>
      </w:r>
      <w:r w:rsidRPr="00C77927">
        <w:rPr>
          <w:rFonts w:ascii="Century Gothic" w:eastAsia="Calibri" w:hAnsi="Century Gothic" w:cs="Arial"/>
          <w:sz w:val="16"/>
          <w:szCs w:val="16"/>
          <w:lang w:val="es-ES_tradnl"/>
        </w:rPr>
        <w:t xml:space="preserve">, tal como se expresa, por ejemplo, en el concepto C-529 del 11 de agosto de 2020: </w:t>
      </w:r>
      <w:r w:rsidR="006C5E8B" w:rsidRPr="00C77927">
        <w:rPr>
          <w:rFonts w:ascii="Century Gothic" w:eastAsia="Calibri" w:hAnsi="Century Gothic" w:cs="Arial"/>
          <w:sz w:val="16"/>
          <w:szCs w:val="16"/>
          <w:lang w:val="es-ES_tradnl"/>
        </w:rPr>
        <w:t>“</w:t>
      </w:r>
      <w:r w:rsidRPr="00C77927">
        <w:rPr>
          <w:rFonts w:ascii="Century Gothic" w:eastAsia="Calibri" w:hAnsi="Century Gothic" w:cs="Arial"/>
          <w:color w:val="000000"/>
          <w:sz w:val="16"/>
          <w:szCs w:val="16"/>
          <w:lang w:val="es-MX"/>
        </w:rPr>
        <w:t xml:space="preserve">En este orden de ideas,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deben contratar con ESAL de reconocida idoneidad, como ya se dijo, realizando un proceso competitivo, y teniendo en cuenta, se insiste, las siguientes características: i) no se debe condicionar el proceso de contratación a la inexistencia de oferta en el mercado de bienes y servicios; </w:t>
      </w:r>
      <w:proofErr w:type="spellStart"/>
      <w:r w:rsidRPr="00C77927">
        <w:rPr>
          <w:rFonts w:ascii="Century Gothic" w:eastAsia="Calibri" w:hAnsi="Century Gothic" w:cs="Arial"/>
          <w:color w:val="000000"/>
          <w:sz w:val="16"/>
          <w:szCs w:val="16"/>
          <w:lang w:val="es-MX"/>
        </w:rPr>
        <w:t>ii</w:t>
      </w:r>
      <w:proofErr w:type="spellEnd"/>
      <w:r w:rsidRPr="00C77927">
        <w:rPr>
          <w:rFonts w:ascii="Century Gothic" w:eastAsia="Calibri" w:hAnsi="Century Gothic" w:cs="Arial"/>
          <w:color w:val="000000"/>
          <w:sz w:val="16"/>
          <w:szCs w:val="16"/>
          <w:lang w:val="es-MX"/>
        </w:rPr>
        <w:t xml:space="preserve">) tampoco se debe condicionar a que la contratación con las ESAL garantice la optimización de los recursos públicos en términos de eficiencia, eficacia, economía y manejo del riesgo; </w:t>
      </w:r>
      <w:proofErr w:type="spellStart"/>
      <w:r w:rsidRPr="00C77927">
        <w:rPr>
          <w:rFonts w:ascii="Century Gothic" w:eastAsia="Calibri" w:hAnsi="Century Gothic" w:cs="Arial"/>
          <w:color w:val="000000"/>
          <w:sz w:val="16"/>
          <w:szCs w:val="16"/>
          <w:lang w:val="es-MX"/>
        </w:rPr>
        <w:t>iii</w:t>
      </w:r>
      <w:proofErr w:type="spellEnd"/>
      <w:r w:rsidRPr="00C77927">
        <w:rPr>
          <w:rFonts w:ascii="Century Gothic" w:eastAsia="Calibri" w:hAnsi="Century Gothic" w:cs="Arial"/>
          <w:color w:val="000000"/>
          <w:sz w:val="16"/>
          <w:szCs w:val="16"/>
          <w:lang w:val="es-MX"/>
        </w:rPr>
        <w:t xml:space="preserve">) el objeto del contrato debe estar acorde con el plan nacional o seccional de desarrollo; </w:t>
      </w:r>
      <w:proofErr w:type="spellStart"/>
      <w:r w:rsidRPr="00C77927">
        <w:rPr>
          <w:rFonts w:ascii="Century Gothic" w:eastAsia="Calibri" w:hAnsi="Century Gothic" w:cs="Arial"/>
          <w:color w:val="000000"/>
          <w:sz w:val="16"/>
          <w:szCs w:val="16"/>
          <w:lang w:val="es-MX"/>
        </w:rPr>
        <w:t>iv</w:t>
      </w:r>
      <w:proofErr w:type="spellEnd"/>
      <w:r w:rsidRPr="00C77927">
        <w:rPr>
          <w:rFonts w:ascii="Century Gothic" w:eastAsia="Calibri" w:hAnsi="Century Gothic" w:cs="Arial"/>
          <w:color w:val="000000"/>
          <w:sz w:val="16"/>
          <w:szCs w:val="16"/>
          <w:lang w:val="es-MX"/>
        </w:rPr>
        <w:t xml:space="preserve">)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C77927">
        <w:rPr>
          <w:rFonts w:ascii="Century Gothic" w:eastAsia="Calibri" w:hAnsi="Century Gothic" w:cs="Arial"/>
          <w:color w:val="000000"/>
          <w:sz w:val="16"/>
          <w:szCs w:val="16"/>
          <w:lang w:val="es-MX"/>
        </w:rPr>
        <w:t>iii</w:t>
      </w:r>
      <w:proofErr w:type="spellEnd"/>
      <w:r w:rsidRPr="00C77927">
        <w:rPr>
          <w:rFonts w:ascii="Century Gothic" w:eastAsia="Calibri" w:hAnsi="Century Gothic" w:cs="Arial"/>
          <w:color w:val="000000"/>
          <w:sz w:val="16"/>
          <w:szCs w:val="16"/>
          <w:lang w:val="es-MX"/>
        </w:rPr>
        <w:t>); y v) el contrato no establezca una relación conmutativa en el cual haya una contraprestación directa a favor de la entidad, ni instrucciones precisas dadas por esta al contratista para cumplir con el objeto del contrato</w:t>
      </w:r>
      <w:r w:rsidR="00D963B2" w:rsidRPr="00C77927">
        <w:rPr>
          <w:rFonts w:ascii="Century Gothic" w:eastAsia="Calibri" w:hAnsi="Century Gothic" w:cs="Arial"/>
          <w:color w:val="000000"/>
          <w:sz w:val="16"/>
          <w:szCs w:val="16"/>
          <w:lang w:val="es-MX"/>
        </w:rPr>
        <w:t>”</w:t>
      </w:r>
      <w:r w:rsidRPr="00C77927">
        <w:rPr>
          <w:rFonts w:ascii="Century Gothic" w:eastAsia="Calibri" w:hAnsi="Century Gothic" w:cs="Arial"/>
          <w:color w:val="000000"/>
          <w:sz w:val="16"/>
          <w:szCs w:val="16"/>
          <w:lang w:val="es-MX"/>
        </w:rPr>
        <w:t>.</w:t>
      </w:r>
    </w:p>
    <w:p w14:paraId="08C9512A" w14:textId="77777777" w:rsidR="004E1AEB" w:rsidRPr="00C77927" w:rsidRDefault="004E1AEB" w:rsidP="00C6125E">
      <w:pPr>
        <w:spacing w:after="0" w:line="240" w:lineRule="auto"/>
        <w:ind w:firstLine="708"/>
        <w:jc w:val="both"/>
        <w:textAlignment w:val="baseline"/>
        <w:rPr>
          <w:rFonts w:ascii="Century Gothic" w:hAnsi="Century Gothic" w:cs="Arial"/>
          <w:sz w:val="16"/>
          <w:szCs w:val="16"/>
        </w:rPr>
      </w:pPr>
    </w:p>
  </w:footnote>
  <w:footnote w:id="11">
    <w:p w14:paraId="2BB58DF9" w14:textId="52D9DB28" w:rsidR="004E1AEB" w:rsidRPr="00C77927" w:rsidRDefault="004E1AEB" w:rsidP="00C6125E">
      <w:pPr>
        <w:pStyle w:val="Textonotapie"/>
        <w:ind w:firstLine="708"/>
        <w:jc w:val="both"/>
        <w:rPr>
          <w:rFonts w:ascii="Century Gothic" w:hAnsi="Century Gothic" w:cs="Arial"/>
          <w:color w:val="000000"/>
          <w:sz w:val="16"/>
          <w:szCs w:val="16"/>
        </w:rPr>
      </w:pPr>
      <w:r w:rsidRPr="00C77927">
        <w:rPr>
          <w:rStyle w:val="Refdenotaalpie"/>
          <w:rFonts w:ascii="Century Gothic" w:hAnsi="Century Gothic" w:cs="Arial"/>
          <w:color w:val="000000"/>
          <w:sz w:val="16"/>
          <w:szCs w:val="16"/>
        </w:rPr>
        <w:footnoteRef/>
      </w:r>
      <w:r w:rsidRPr="00C77927">
        <w:rPr>
          <w:rFonts w:ascii="Century Gothic" w:hAnsi="Century Gothic" w:cs="Arial"/>
          <w:color w:val="000000"/>
          <w:sz w:val="16"/>
          <w:szCs w:val="16"/>
        </w:rPr>
        <w:t xml:space="preserve"> Decreto 1082, artículo 5: </w:t>
      </w:r>
      <w:r w:rsidR="00D963B2" w:rsidRPr="00C77927">
        <w:rPr>
          <w:rFonts w:ascii="Century Gothic" w:hAnsi="Century Gothic" w:cs="Arial"/>
          <w:color w:val="000000"/>
          <w:sz w:val="16"/>
          <w:szCs w:val="16"/>
        </w:rPr>
        <w:t>“</w:t>
      </w:r>
      <w:r w:rsidRPr="00C77927">
        <w:rPr>
          <w:rFonts w:ascii="Century Gothic" w:hAnsi="Century Gothic" w:cs="Arial"/>
          <w:color w:val="000000"/>
          <w:sz w:val="16"/>
          <w:szCs w:val="16"/>
        </w:rPr>
        <w:t>[…]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r w:rsidR="00D963B2" w:rsidRPr="00C77927">
        <w:rPr>
          <w:rFonts w:ascii="Century Gothic" w:hAnsi="Century Gothic" w:cs="Arial"/>
          <w:color w:val="000000"/>
          <w:sz w:val="16"/>
          <w:szCs w:val="16"/>
        </w:rPr>
        <w:t>”</w:t>
      </w:r>
      <w:r w:rsidRPr="00C77927">
        <w:rPr>
          <w:rFonts w:ascii="Century Gothic" w:hAnsi="Century Gothic" w:cs="Arial"/>
          <w:color w:val="000000"/>
          <w:sz w:val="16"/>
          <w:szCs w:val="16"/>
        </w:rPr>
        <w:t>.</w:t>
      </w:r>
    </w:p>
    <w:p w14:paraId="276DC555" w14:textId="77777777" w:rsidR="00D963B2" w:rsidRPr="00C77927" w:rsidRDefault="00D963B2" w:rsidP="00C6125E">
      <w:pPr>
        <w:pStyle w:val="Textonotapie"/>
        <w:ind w:firstLine="708"/>
        <w:jc w:val="both"/>
        <w:rPr>
          <w:rFonts w:ascii="Century Gothic" w:hAnsi="Century Gothic" w:cs="Arial"/>
          <w:color w:val="000000"/>
          <w:sz w:val="16"/>
          <w:szCs w:val="16"/>
        </w:rPr>
      </w:pPr>
    </w:p>
  </w:footnote>
  <w:footnote w:id="12">
    <w:p w14:paraId="6F145D73" w14:textId="77777777" w:rsidR="004E1AEB" w:rsidRPr="00C77927" w:rsidRDefault="004E1AEB" w:rsidP="00C6125E">
      <w:pPr>
        <w:pStyle w:val="Textonotapie"/>
        <w:ind w:firstLine="708"/>
        <w:jc w:val="both"/>
        <w:rPr>
          <w:rFonts w:ascii="Century Gothic" w:hAnsi="Century Gothic" w:cs="Arial"/>
          <w:sz w:val="16"/>
          <w:szCs w:val="16"/>
        </w:rPr>
      </w:pPr>
      <w:r w:rsidRPr="00C77927">
        <w:rPr>
          <w:rStyle w:val="Refdenotaalpie"/>
          <w:rFonts w:ascii="Century Gothic" w:hAnsi="Century Gothic" w:cs="Arial"/>
          <w:sz w:val="16"/>
          <w:szCs w:val="16"/>
        </w:rPr>
        <w:footnoteRef/>
      </w:r>
      <w:r w:rsidRPr="00C77927">
        <w:rPr>
          <w:rFonts w:ascii="Century Gothic" w:hAnsi="Century Gothic" w:cs="Arial"/>
          <w:sz w:val="16"/>
          <w:szCs w:val="16"/>
        </w:rPr>
        <w:t xml:space="preserve"> RODRÍGUEZ TAMAYO, Mauricio. Contratación pública con Entidades sin ánimo de lucro. Bogotá: Legis Editores, 2017. p. 28. </w:t>
      </w:r>
    </w:p>
    <w:p w14:paraId="38AC42C9" w14:textId="77777777" w:rsidR="00D963B2" w:rsidRPr="00C77927" w:rsidRDefault="00D963B2" w:rsidP="00C6125E">
      <w:pPr>
        <w:pStyle w:val="Textonotapie"/>
        <w:ind w:firstLine="708"/>
        <w:jc w:val="both"/>
        <w:rPr>
          <w:rFonts w:ascii="Century Gothic" w:hAnsi="Century Gothic" w:cs="Arial"/>
          <w:sz w:val="16"/>
          <w:szCs w:val="16"/>
        </w:rPr>
      </w:pPr>
    </w:p>
  </w:footnote>
  <w:footnote w:id="13">
    <w:p w14:paraId="7B51F65E" w14:textId="77777777" w:rsidR="004E1AEB" w:rsidRPr="00C77927" w:rsidRDefault="004E1AEB" w:rsidP="00C6125E">
      <w:pPr>
        <w:pStyle w:val="Textonotapie"/>
        <w:ind w:firstLine="708"/>
        <w:jc w:val="both"/>
        <w:rPr>
          <w:rFonts w:ascii="Century Gothic" w:hAnsi="Century Gothic" w:cs="Arial"/>
          <w:sz w:val="16"/>
          <w:szCs w:val="16"/>
        </w:rPr>
      </w:pPr>
      <w:r w:rsidRPr="00C77927">
        <w:rPr>
          <w:rStyle w:val="Refdenotaalpie"/>
          <w:rFonts w:ascii="Century Gothic" w:hAnsi="Century Gothic" w:cs="Arial"/>
          <w:sz w:val="16"/>
          <w:szCs w:val="16"/>
        </w:rPr>
        <w:footnoteRef/>
      </w:r>
      <w:r w:rsidRPr="00C77927">
        <w:rPr>
          <w:rFonts w:ascii="Century Gothic" w:hAnsi="Century Gothic" w:cs="Arial"/>
          <w:sz w:val="16"/>
          <w:szCs w:val="16"/>
        </w:rPr>
        <w:t xml:space="preserve"> Esta postura también es defendida por la doctrina, por ejemplo, Cfr. RODRÍGUEZ TAMAYO, Mauricio. Contratación Pública con entidades sin ánimo de lucro. Bogotá: Legis, 2017. p. 146 y ss.</w:t>
      </w:r>
    </w:p>
    <w:p w14:paraId="12655C14" w14:textId="77777777" w:rsidR="004E1AEB" w:rsidRPr="00C77927" w:rsidRDefault="004E1AEB" w:rsidP="00C6125E">
      <w:pPr>
        <w:pStyle w:val="Textonotapie"/>
        <w:ind w:firstLine="708"/>
        <w:jc w:val="both"/>
        <w:rPr>
          <w:rFonts w:ascii="Century Gothic" w:hAnsi="Century Gothic" w:cs="Arial"/>
          <w:sz w:val="16"/>
          <w:szCs w:val="16"/>
        </w:rPr>
      </w:pPr>
    </w:p>
  </w:footnote>
  <w:footnote w:id="14">
    <w:p w14:paraId="558A1C58" w14:textId="6C253443" w:rsidR="004E1AEB" w:rsidRPr="00C77927" w:rsidRDefault="004E1AEB" w:rsidP="00C6125E">
      <w:pPr>
        <w:autoSpaceDE w:val="0"/>
        <w:autoSpaceDN w:val="0"/>
        <w:adjustRightInd w:val="0"/>
        <w:spacing w:after="0" w:line="240" w:lineRule="auto"/>
        <w:ind w:firstLine="708"/>
        <w:jc w:val="both"/>
        <w:rPr>
          <w:rFonts w:ascii="Century Gothic" w:hAnsi="Century Gothic" w:cs="Arial"/>
          <w:sz w:val="16"/>
          <w:szCs w:val="16"/>
        </w:rPr>
      </w:pPr>
      <w:r w:rsidRPr="00C77927">
        <w:rPr>
          <w:rStyle w:val="Refdenotaalpie"/>
          <w:rFonts w:ascii="Century Gothic" w:hAnsi="Century Gothic" w:cs="Arial"/>
          <w:sz w:val="16"/>
          <w:szCs w:val="16"/>
        </w:rPr>
        <w:footnoteRef/>
      </w:r>
      <w:r w:rsidRPr="00C77927">
        <w:rPr>
          <w:rFonts w:ascii="Century Gothic" w:hAnsi="Century Gothic" w:cs="Arial"/>
          <w:sz w:val="16"/>
          <w:szCs w:val="16"/>
        </w:rPr>
        <w:t xml:space="preserve"> MARÍN CORTÉS, Fabián Gonzalo. </w:t>
      </w:r>
      <w:r w:rsidRPr="00C77927">
        <w:rPr>
          <w:rFonts w:ascii="Century Gothic" w:hAnsi="Century Gothic" w:cs="Arial"/>
          <w:i/>
          <w:sz w:val="16"/>
          <w:szCs w:val="16"/>
        </w:rPr>
        <w:t>El precio</w:t>
      </w:r>
      <w:r w:rsidRPr="00C77927">
        <w:rPr>
          <w:rFonts w:ascii="Century Gothic" w:hAnsi="Century Gothic" w:cs="Arial"/>
          <w:sz w:val="16"/>
          <w:szCs w:val="16"/>
        </w:rPr>
        <w:t xml:space="preserve">. Medellín: Librería Jurídica Sánchez R Ltda. y CEDA, 2012, p. 204. Así mismo, Mauricio Rodríguez Tamayo expresa: </w:t>
      </w:r>
      <w:r w:rsidR="00D92A33" w:rsidRPr="00C77927">
        <w:rPr>
          <w:rFonts w:ascii="Century Gothic" w:eastAsia="Calibri" w:hAnsi="Century Gothic" w:cs="Arial"/>
          <w:sz w:val="16"/>
          <w:szCs w:val="16"/>
        </w:rPr>
        <w:t>“</w:t>
      </w:r>
      <w:r w:rsidRPr="00C77927">
        <w:rPr>
          <w:rFonts w:ascii="Century Gothic" w:hAnsi="Century Gothic" w:cs="Arial"/>
          <w:sz w:val="16"/>
          <w:szCs w:val="16"/>
        </w:rPr>
        <w:t>Los contratos de interés público no escapan a la necesidad de introducir modificaciones o ajustes al contrato y, ante el silencio del Decreto 092 de 2017, es preciso recurrir a las disposiciones generales de la Ley 80 de 1993, a la luz de lo previsto en el artículo 8° del precitado decreto.</w:t>
      </w:r>
    </w:p>
    <w:p w14:paraId="2E6E34D6" w14:textId="6A52EF24" w:rsidR="004E1AEB" w:rsidRPr="00C77927" w:rsidRDefault="004E1AEB" w:rsidP="00C6125E">
      <w:pPr>
        <w:autoSpaceDE w:val="0"/>
        <w:autoSpaceDN w:val="0"/>
        <w:adjustRightInd w:val="0"/>
        <w:spacing w:after="0" w:line="240" w:lineRule="auto"/>
        <w:ind w:firstLine="708"/>
        <w:jc w:val="both"/>
        <w:rPr>
          <w:rFonts w:ascii="Century Gothic" w:hAnsi="Century Gothic" w:cs="Arial"/>
          <w:sz w:val="16"/>
          <w:szCs w:val="16"/>
        </w:rPr>
      </w:pPr>
      <w:r w:rsidRPr="00C77927">
        <w:rPr>
          <w:rFonts w:ascii="Century Gothic" w:hAnsi="Century Gothic" w:cs="Arial"/>
          <w:sz w:val="16"/>
          <w:szCs w:val="16"/>
        </w:rPr>
        <w:t>Muchas situaciones pueden aconsejar e imponer la modificación de tales contratos, como sería la variación de algunas obligaciones, reducción o aumento del plazo o adición del valor del aporte, entre otras.</w:t>
      </w:r>
    </w:p>
    <w:p w14:paraId="54EDB98D" w14:textId="77777777" w:rsidR="004E1AEB" w:rsidRPr="00C77927" w:rsidRDefault="004E1AEB" w:rsidP="00C6125E">
      <w:pPr>
        <w:autoSpaceDE w:val="0"/>
        <w:autoSpaceDN w:val="0"/>
        <w:adjustRightInd w:val="0"/>
        <w:spacing w:after="0" w:line="240" w:lineRule="auto"/>
        <w:ind w:firstLine="708"/>
        <w:jc w:val="both"/>
        <w:rPr>
          <w:rFonts w:ascii="Century Gothic" w:hAnsi="Century Gothic" w:cs="Arial"/>
          <w:sz w:val="16"/>
          <w:szCs w:val="16"/>
        </w:rPr>
      </w:pPr>
      <w:r w:rsidRPr="00C77927">
        <w:rPr>
          <w:rFonts w:ascii="Century Gothic" w:hAnsi="Century Gothic" w:cs="Arial"/>
          <w:sz w:val="16"/>
          <w:szCs w:val="16"/>
        </w:rPr>
        <w:t xml:space="preserve">[…] </w:t>
      </w:r>
    </w:p>
    <w:p w14:paraId="3EF43ED3" w14:textId="0AAD1B36" w:rsidR="004E1AEB" w:rsidRPr="00C77927" w:rsidRDefault="004E1AEB" w:rsidP="00C6125E">
      <w:pPr>
        <w:autoSpaceDE w:val="0"/>
        <w:autoSpaceDN w:val="0"/>
        <w:adjustRightInd w:val="0"/>
        <w:spacing w:after="0" w:line="240" w:lineRule="auto"/>
        <w:ind w:firstLine="708"/>
        <w:jc w:val="both"/>
        <w:rPr>
          <w:rFonts w:ascii="Century Gothic" w:hAnsi="Century Gothic" w:cs="Arial"/>
          <w:sz w:val="16"/>
          <w:szCs w:val="16"/>
        </w:rPr>
      </w:pPr>
      <w:r w:rsidRPr="00C77927">
        <w:rPr>
          <w:rFonts w:ascii="Century Gothic" w:hAnsi="Century Gothic" w:cs="Arial"/>
          <w:sz w:val="16"/>
          <w:szCs w:val="16"/>
        </w:rPr>
        <w:t>El límite para modificar un contrato estatal se encuentra en su objeto y su variación es procedente siempre que las necesidades así lo aconsejen. Por lo tanto, el plazo, el precio de un contrato estatal y las obligaciones acordadas pueden ser reformados por las partes, sin que con ello se entienda que se violan los principios de la contratación estatal.</w:t>
      </w:r>
    </w:p>
    <w:p w14:paraId="3B1AEE02" w14:textId="2F16118C" w:rsidR="004E1AEB" w:rsidRPr="00C77927" w:rsidRDefault="004E1AEB" w:rsidP="00C6125E">
      <w:pPr>
        <w:autoSpaceDE w:val="0"/>
        <w:autoSpaceDN w:val="0"/>
        <w:adjustRightInd w:val="0"/>
        <w:spacing w:after="0" w:line="240" w:lineRule="auto"/>
        <w:ind w:firstLine="708"/>
        <w:jc w:val="both"/>
        <w:rPr>
          <w:rFonts w:ascii="Century Gothic" w:hAnsi="Century Gothic" w:cs="Arial"/>
          <w:sz w:val="16"/>
          <w:szCs w:val="16"/>
        </w:rPr>
      </w:pPr>
      <w:r w:rsidRPr="00C77927">
        <w:rPr>
          <w:rFonts w:ascii="Century Gothic" w:hAnsi="Century Gothic" w:cs="Arial"/>
          <w:sz w:val="16"/>
          <w:szCs w:val="16"/>
        </w:rPr>
        <w:t xml:space="preserve">Lo que </w:t>
      </w:r>
      <w:proofErr w:type="spellStart"/>
      <w:r w:rsidRPr="00C77927">
        <w:rPr>
          <w:rFonts w:ascii="Century Gothic" w:hAnsi="Century Gothic" w:cs="Arial"/>
          <w:sz w:val="16"/>
          <w:szCs w:val="16"/>
        </w:rPr>
        <w:t>si</w:t>
      </w:r>
      <w:proofErr w:type="spellEnd"/>
      <w:r w:rsidRPr="00C77927">
        <w:rPr>
          <w:rFonts w:ascii="Century Gothic" w:hAnsi="Century Gothic" w:cs="Arial"/>
          <w:sz w:val="16"/>
          <w:szCs w:val="16"/>
        </w:rPr>
        <w:t xml:space="preserve"> es claro es que la Ley 80 de 1993 no definió el documento con el que se podría modificar un contrato estatal. Sigue siendo irrelevante que se llame adición, otrosí, contrato o convenio adicional. Creemos que solo cuando se aumente el valor económico deberá llamarse adición al contrato, pues ese es el término empleado por el inciso 2° del parágrafo del artículo 40 de la Ley 80 de 1993, cuando preceptúa: Los contratos no podrán adicionarse en más del cincuenta por ciento (50%) de su valor inicial, expresado este en salarios mínimos legales mensuales. La ley se refiere a la adición al contrato y no al contrato </w:t>
      </w:r>
      <w:proofErr w:type="gramStart"/>
      <w:r w:rsidRPr="00C77927">
        <w:rPr>
          <w:rFonts w:ascii="Century Gothic" w:hAnsi="Century Gothic" w:cs="Arial"/>
          <w:sz w:val="16"/>
          <w:szCs w:val="16"/>
        </w:rPr>
        <w:t>adicional“ y</w:t>
      </w:r>
      <w:proofErr w:type="gramEnd"/>
      <w:r w:rsidRPr="00C77927">
        <w:rPr>
          <w:rFonts w:ascii="Century Gothic" w:hAnsi="Century Gothic" w:cs="Arial"/>
          <w:sz w:val="16"/>
          <w:szCs w:val="16"/>
        </w:rPr>
        <w:t>, se reitera, para aumentar su valor. Aquí la acción autorizada por el citado precepto es la de adicionar</w:t>
      </w:r>
      <w:r w:rsidR="00C6125E" w:rsidRPr="00C77927">
        <w:rPr>
          <w:rFonts w:ascii="Century Gothic" w:hAnsi="Century Gothic" w:cs="Arial"/>
          <w:sz w:val="16"/>
          <w:szCs w:val="16"/>
        </w:rPr>
        <w:t>”</w:t>
      </w:r>
      <w:r w:rsidRPr="00C77927">
        <w:rPr>
          <w:rFonts w:ascii="Century Gothic" w:eastAsia="Calibri" w:hAnsi="Century Gothic" w:cs="Arial"/>
          <w:sz w:val="16"/>
          <w:szCs w:val="16"/>
        </w:rPr>
        <w:t>.</w:t>
      </w:r>
      <w:r w:rsidRPr="00C77927">
        <w:rPr>
          <w:rFonts w:ascii="Century Gothic" w:hAnsi="Century Gothic" w:cs="Arial"/>
          <w:sz w:val="16"/>
          <w:szCs w:val="16"/>
        </w:rPr>
        <w:t xml:space="preserve"> (RODRÍGUEZ TAMAYO, Mauricio. Contratación pública con entidades sin ánimo de lucro. Bogotá: Legis editores, 2017.pp. 146-148). </w:t>
      </w:r>
    </w:p>
    <w:p w14:paraId="6B7F9C14" w14:textId="77777777" w:rsidR="00C6125E" w:rsidRPr="00C77927" w:rsidRDefault="00C6125E" w:rsidP="00C6125E">
      <w:pPr>
        <w:autoSpaceDE w:val="0"/>
        <w:autoSpaceDN w:val="0"/>
        <w:adjustRightInd w:val="0"/>
        <w:spacing w:after="0" w:line="240" w:lineRule="auto"/>
        <w:ind w:firstLine="708"/>
        <w:jc w:val="both"/>
        <w:rPr>
          <w:rFonts w:ascii="Century Gothic" w:hAnsi="Century Gothic"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5D0C20C7" w:rsidR="00756841" w:rsidRDefault="00BD15D4">
    <w:pPr>
      <w:pStyle w:val="Encabezado"/>
    </w:pPr>
    <w:r>
      <w:rPr>
        <w:noProof/>
        <w:lang w:eastAsia="es-CO"/>
      </w:rPr>
      <w:drawing>
        <wp:anchor distT="0" distB="0" distL="114300" distR="114300" simplePos="0" relativeHeight="251654144" behindDoc="1" locked="0" layoutInCell="1" allowOverlap="1" wp14:anchorId="748FC4A6" wp14:editId="179B867F">
          <wp:simplePos x="0" y="0"/>
          <wp:positionH relativeFrom="margin">
            <wp:posOffset>3807460</wp:posOffset>
          </wp:positionH>
          <wp:positionV relativeFrom="margin">
            <wp:posOffset>-892175</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63360"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60288"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7216"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61816861" w14:textId="463637BD" w:rsidR="005B5D8B" w:rsidRPr="005B5D8B"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645500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1"/>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517E4"/>
    <w:rsid w:val="000724EF"/>
    <w:rsid w:val="000A0FFC"/>
    <w:rsid w:val="000A683E"/>
    <w:rsid w:val="000B19B9"/>
    <w:rsid w:val="000B2A67"/>
    <w:rsid w:val="000B5D01"/>
    <w:rsid w:val="000B76C5"/>
    <w:rsid w:val="000C586C"/>
    <w:rsid w:val="000D0334"/>
    <w:rsid w:val="000E4714"/>
    <w:rsid w:val="000F1ECB"/>
    <w:rsid w:val="000F6486"/>
    <w:rsid w:val="00125105"/>
    <w:rsid w:val="00127233"/>
    <w:rsid w:val="0013353E"/>
    <w:rsid w:val="00182D1F"/>
    <w:rsid w:val="001C7560"/>
    <w:rsid w:val="001E4177"/>
    <w:rsid w:val="0021086B"/>
    <w:rsid w:val="00261F8D"/>
    <w:rsid w:val="002951A0"/>
    <w:rsid w:val="002962BC"/>
    <w:rsid w:val="002A093D"/>
    <w:rsid w:val="002A49AC"/>
    <w:rsid w:val="002A64FD"/>
    <w:rsid w:val="002C7A84"/>
    <w:rsid w:val="0034220D"/>
    <w:rsid w:val="003448F4"/>
    <w:rsid w:val="003A779E"/>
    <w:rsid w:val="003D0F4D"/>
    <w:rsid w:val="003E0499"/>
    <w:rsid w:val="003E37D1"/>
    <w:rsid w:val="003F3941"/>
    <w:rsid w:val="00400548"/>
    <w:rsid w:val="004368BC"/>
    <w:rsid w:val="004A1847"/>
    <w:rsid w:val="004A305D"/>
    <w:rsid w:val="004B16B9"/>
    <w:rsid w:val="004E1AEB"/>
    <w:rsid w:val="004F21C4"/>
    <w:rsid w:val="004F685F"/>
    <w:rsid w:val="00533E8F"/>
    <w:rsid w:val="00552F1A"/>
    <w:rsid w:val="005566E8"/>
    <w:rsid w:val="00574867"/>
    <w:rsid w:val="005842F9"/>
    <w:rsid w:val="005A6AA1"/>
    <w:rsid w:val="005B5D8B"/>
    <w:rsid w:val="005C5CDC"/>
    <w:rsid w:val="005D476C"/>
    <w:rsid w:val="006219F8"/>
    <w:rsid w:val="00665D70"/>
    <w:rsid w:val="006C5E8B"/>
    <w:rsid w:val="006D1D04"/>
    <w:rsid w:val="00706C16"/>
    <w:rsid w:val="00727370"/>
    <w:rsid w:val="00756841"/>
    <w:rsid w:val="00763C80"/>
    <w:rsid w:val="007649AB"/>
    <w:rsid w:val="007833AC"/>
    <w:rsid w:val="007B7171"/>
    <w:rsid w:val="007C3DC2"/>
    <w:rsid w:val="007E5497"/>
    <w:rsid w:val="007E638D"/>
    <w:rsid w:val="00806F5F"/>
    <w:rsid w:val="00811DDD"/>
    <w:rsid w:val="0081318A"/>
    <w:rsid w:val="00820278"/>
    <w:rsid w:val="008843B6"/>
    <w:rsid w:val="00891928"/>
    <w:rsid w:val="008A446D"/>
    <w:rsid w:val="008B0033"/>
    <w:rsid w:val="008B09A4"/>
    <w:rsid w:val="008F0EA7"/>
    <w:rsid w:val="00923EEF"/>
    <w:rsid w:val="009419F9"/>
    <w:rsid w:val="00961B09"/>
    <w:rsid w:val="00965334"/>
    <w:rsid w:val="0097093E"/>
    <w:rsid w:val="009C71FA"/>
    <w:rsid w:val="009C72E7"/>
    <w:rsid w:val="00A17F13"/>
    <w:rsid w:val="00A20739"/>
    <w:rsid w:val="00A33C78"/>
    <w:rsid w:val="00AB0ADB"/>
    <w:rsid w:val="00AD5E99"/>
    <w:rsid w:val="00AF0D7A"/>
    <w:rsid w:val="00B70660"/>
    <w:rsid w:val="00B72CD3"/>
    <w:rsid w:val="00B72FFF"/>
    <w:rsid w:val="00B8107A"/>
    <w:rsid w:val="00BD15D4"/>
    <w:rsid w:val="00BD2E7A"/>
    <w:rsid w:val="00BD7F72"/>
    <w:rsid w:val="00C04FB3"/>
    <w:rsid w:val="00C330EB"/>
    <w:rsid w:val="00C6125E"/>
    <w:rsid w:val="00C754BE"/>
    <w:rsid w:val="00C77927"/>
    <w:rsid w:val="00CB6357"/>
    <w:rsid w:val="00CC1870"/>
    <w:rsid w:val="00CC1B26"/>
    <w:rsid w:val="00CE3FAA"/>
    <w:rsid w:val="00D423A2"/>
    <w:rsid w:val="00D531BF"/>
    <w:rsid w:val="00D63AC2"/>
    <w:rsid w:val="00D7383B"/>
    <w:rsid w:val="00D92A33"/>
    <w:rsid w:val="00D963B2"/>
    <w:rsid w:val="00DA231B"/>
    <w:rsid w:val="00DC3EFB"/>
    <w:rsid w:val="00DF4B16"/>
    <w:rsid w:val="00E042F5"/>
    <w:rsid w:val="00E16408"/>
    <w:rsid w:val="00E20894"/>
    <w:rsid w:val="00E245AB"/>
    <w:rsid w:val="00E50AFE"/>
    <w:rsid w:val="00E64640"/>
    <w:rsid w:val="00E771DC"/>
    <w:rsid w:val="00E80E78"/>
    <w:rsid w:val="00E8772A"/>
    <w:rsid w:val="00E90F6B"/>
    <w:rsid w:val="00E92C27"/>
    <w:rsid w:val="00EA0E3D"/>
    <w:rsid w:val="00EB635B"/>
    <w:rsid w:val="00EE1AA8"/>
    <w:rsid w:val="00F17039"/>
    <w:rsid w:val="00F204AB"/>
    <w:rsid w:val="00F31EDC"/>
    <w:rsid w:val="00F3457F"/>
    <w:rsid w:val="00F52379"/>
    <w:rsid w:val="00F5664F"/>
    <w:rsid w:val="00F613A2"/>
    <w:rsid w:val="00F76AFC"/>
    <w:rsid w:val="00FB5DD1"/>
    <w:rsid w:val="00FC2B5D"/>
    <w:rsid w:val="00FD0430"/>
    <w:rsid w:val="00FE0BEB"/>
    <w:rsid w:val="00FF1449"/>
    <w:rsid w:val="00FF2CD1"/>
    <w:rsid w:val="00FF3FCB"/>
    <w:rsid w:val="54420522"/>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table" w:customStyle="1" w:styleId="Tablaconcuadrcula1">
    <w:name w:val="Tabla con cuadrícula1"/>
    <w:basedOn w:val="Tablanormal"/>
    <w:next w:val="Tablaconcuadrcula"/>
    <w:uiPriority w:val="59"/>
    <w:rsid w:val="004E1AEB"/>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4E1AEB"/>
    <w:pPr>
      <w:spacing w:line="240" w:lineRule="exact"/>
    </w:pPr>
    <w:rPr>
      <w:vertAlign w:val="superscript"/>
    </w:rPr>
  </w:style>
  <w:style w:type="paragraph" w:styleId="Revisin">
    <w:name w:val="Revision"/>
    <w:hidden/>
    <w:uiPriority w:val="99"/>
    <w:semiHidden/>
    <w:rsid w:val="00B706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Diana Lucia Saavedra</DisplayName>
        <AccountId>452</AccountId>
        <AccountType/>
      </UserInfo>
      <UserInfo>
        <DisplayName>Alejandro Sarmiento</DisplayName>
        <AccountId>119</AccountId>
        <AccountType/>
      </UserInfo>
      <UserInfo>
        <DisplayName>Nohelia Del Carmen Zawady Palacio</DisplayName>
        <AccountId>289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F8CDA073-069F-4977-AB66-FEF98097CD28}"/>
</file>

<file path=customXml/itemProps3.xml><?xml version="1.0" encoding="utf-8"?>
<ds:datastoreItem xmlns:ds="http://schemas.openxmlformats.org/officeDocument/2006/customXml" ds:itemID="{163618BE-28CB-4D69-955E-CDA788483BED}">
  <ds:schemaRefs>
    <ds:schemaRef ds:uri="http://www.w3.org/XML/1998/namespace"/>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purl.org/dc/terms/"/>
    <ds:schemaRef ds:uri="36c82cfe-0eda-494d-b392-a9281b89aaf0"/>
    <ds:schemaRef ds:uri="http://schemas.openxmlformats.org/package/2006/metadata/core-properties"/>
    <ds:schemaRef ds:uri="8ae15d26-076e-464e-81a7-6f76a0fb3917"/>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9528</Words>
  <Characters>52410</Characters>
  <Application>Microsoft Office Word</Application>
  <DocSecurity>0</DocSecurity>
  <Lines>436</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61815</CharactersWithSpaces>
  <SharedDoc>false</SharedDoc>
  <HLinks>
    <vt:vector size="6" baseType="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2</cp:revision>
  <cp:lastPrinted>2023-01-10T21:18:00Z</cp:lastPrinted>
  <dcterms:created xsi:type="dcterms:W3CDTF">2024-04-25T02:23:00Z</dcterms:created>
  <dcterms:modified xsi:type="dcterms:W3CDTF">2024-04-25T02:23:00Z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