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9FDF1" w14:textId="77777777" w:rsidR="00080FD0" w:rsidRPr="00A35D0E" w:rsidRDefault="00080FD0" w:rsidP="00080FD0">
      <w:pPr>
        <w:spacing w:after="0" w:line="240" w:lineRule="auto"/>
        <w:jc w:val="both"/>
        <w:rPr>
          <w:rFonts w:ascii="Verdana" w:eastAsia="Calibri" w:hAnsi="Verdana" w:cs="Arial"/>
          <w:b/>
          <w:color w:val="000000" w:themeColor="text1"/>
          <w:sz w:val="20"/>
          <w:szCs w:val="20"/>
        </w:rPr>
      </w:pPr>
    </w:p>
    <w:p w14:paraId="636FE1BD" w14:textId="77777777" w:rsidR="00080FD0" w:rsidRPr="00A35D0E" w:rsidRDefault="00080FD0" w:rsidP="00080FD0">
      <w:pPr>
        <w:spacing w:after="0" w:line="240" w:lineRule="auto"/>
        <w:jc w:val="both"/>
        <w:rPr>
          <w:rFonts w:ascii="Verdana" w:eastAsia="Calibri" w:hAnsi="Verdana" w:cs="Arial"/>
          <w:b/>
          <w:color w:val="000000" w:themeColor="text1"/>
        </w:rPr>
      </w:pPr>
      <w:r w:rsidRPr="00A35D0E">
        <w:rPr>
          <w:rFonts w:ascii="Verdana" w:eastAsia="Calibri" w:hAnsi="Verdana" w:cs="Arial"/>
          <w:b/>
          <w:color w:val="000000" w:themeColor="text1"/>
        </w:rPr>
        <w:t xml:space="preserve">CONTRATO DE PRESTACIÓN DE SERVICIOS </w:t>
      </w:r>
      <w:bookmarkStart w:id="0" w:name="_Hlk39676694"/>
      <w:r w:rsidRPr="00A35D0E">
        <w:rPr>
          <w:rFonts w:ascii="Verdana" w:eastAsia="Calibri" w:hAnsi="Verdana" w:cs="Arial"/>
          <w:b/>
          <w:color w:val="000000" w:themeColor="text1"/>
        </w:rPr>
        <w:t>–</w:t>
      </w:r>
      <w:bookmarkEnd w:id="0"/>
      <w:r w:rsidRPr="00A35D0E">
        <w:rPr>
          <w:rFonts w:ascii="Verdana" w:eastAsia="Calibri" w:hAnsi="Verdana" w:cs="Arial"/>
          <w:b/>
          <w:color w:val="000000" w:themeColor="text1"/>
        </w:rPr>
        <w:t xml:space="preserve"> Noción – Características</w:t>
      </w:r>
    </w:p>
    <w:p w14:paraId="5633EBAC" w14:textId="77777777" w:rsidR="00080FD0" w:rsidRPr="00A35D0E" w:rsidRDefault="00080FD0" w:rsidP="00080FD0">
      <w:pPr>
        <w:spacing w:after="0" w:line="240" w:lineRule="auto"/>
        <w:jc w:val="both"/>
        <w:rPr>
          <w:rFonts w:ascii="Verdana" w:eastAsia="Calibri" w:hAnsi="Verdana" w:cs="Arial"/>
          <w:b/>
          <w:color w:val="000000" w:themeColor="text1"/>
          <w:sz w:val="20"/>
          <w:szCs w:val="20"/>
        </w:rPr>
      </w:pPr>
    </w:p>
    <w:p w14:paraId="20E5016C" w14:textId="77777777" w:rsidR="00080FD0" w:rsidRDefault="00080FD0" w:rsidP="00080FD0">
      <w:pPr>
        <w:spacing w:after="0" w:line="240" w:lineRule="auto"/>
        <w:jc w:val="both"/>
        <w:rPr>
          <w:rFonts w:ascii="Verdana" w:eastAsia="Calibri" w:hAnsi="Verdana" w:cs="Arial"/>
          <w:color w:val="000000" w:themeColor="text1"/>
          <w:sz w:val="20"/>
          <w:szCs w:val="20"/>
        </w:rPr>
      </w:pPr>
      <w:r w:rsidRPr="00A35D0E">
        <w:rPr>
          <w:rFonts w:ascii="Verdana" w:eastAsia="Calibri" w:hAnsi="Verdana" w:cs="Arial"/>
          <w:color w:val="000000" w:themeColor="text1"/>
          <w:sz w:val="20"/>
          <w:szCs w:val="20"/>
        </w:rPr>
        <w:t>[…] 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w:t>
      </w:r>
    </w:p>
    <w:p w14:paraId="60F54FCF"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p>
    <w:p w14:paraId="0C746135"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r w:rsidRPr="00A35D0E">
        <w:rPr>
          <w:rFonts w:ascii="Verdana" w:eastAsia="Calibri" w:hAnsi="Verdana" w:cs="Arial"/>
          <w:color w:val="000000" w:themeColor="text1"/>
          <w:sz w:val="20"/>
          <w:szCs w:val="20"/>
        </w:rPr>
        <w:t xml:space="preserve">Sus principales características son: i) Solo puede celebrarse para realizar «actividades relacionadas con la administración o funcionamiento de la entidad», es decir, que hagan parte de su giro ordinario o quehacer cotidiano; </w:t>
      </w:r>
      <w:proofErr w:type="spellStart"/>
      <w:r w:rsidRPr="00A35D0E">
        <w:rPr>
          <w:rFonts w:ascii="Verdana" w:eastAsia="Calibri" w:hAnsi="Verdana" w:cs="Arial"/>
          <w:color w:val="000000" w:themeColor="text1"/>
          <w:sz w:val="20"/>
          <w:szCs w:val="20"/>
        </w:rPr>
        <w:t>ii</w:t>
      </w:r>
      <w:proofErr w:type="spellEnd"/>
      <w:r w:rsidRPr="00A35D0E">
        <w:rPr>
          <w:rFonts w:ascii="Verdana" w:eastAsia="Calibri" w:hAnsi="Verdana" w:cs="Arial"/>
          <w:color w:val="000000" w:themeColor="text1"/>
          <w:sz w:val="20"/>
          <w:szCs w:val="20"/>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A35D0E">
        <w:rPr>
          <w:rFonts w:ascii="Verdana" w:eastAsia="Calibri" w:hAnsi="Verdana" w:cs="Arial"/>
          <w:color w:val="000000" w:themeColor="text1"/>
          <w:sz w:val="20"/>
          <w:szCs w:val="20"/>
        </w:rPr>
        <w:t>iii</w:t>
      </w:r>
      <w:proofErr w:type="spellEnd"/>
      <w:r w:rsidRPr="00A35D0E">
        <w:rPr>
          <w:rFonts w:ascii="Verdana" w:eastAsia="Calibri" w:hAnsi="Verdana" w:cs="Arial"/>
          <w:color w:val="000000" w:themeColor="text1"/>
          <w:sz w:val="20"/>
          <w:szCs w:val="20"/>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w:t>
      </w:r>
      <w:proofErr w:type="spellStart"/>
      <w:r w:rsidRPr="00A35D0E">
        <w:rPr>
          <w:rFonts w:ascii="Verdana" w:eastAsia="Calibri" w:hAnsi="Verdana" w:cs="Arial"/>
          <w:color w:val="000000" w:themeColor="text1"/>
          <w:sz w:val="20"/>
          <w:szCs w:val="20"/>
        </w:rPr>
        <w:t>iv</w:t>
      </w:r>
      <w:proofErr w:type="spellEnd"/>
      <w:r w:rsidRPr="00A35D0E">
        <w:rPr>
          <w:rFonts w:ascii="Verdana" w:eastAsia="Calibri" w:hAnsi="Verdana" w:cs="Arial"/>
          <w:color w:val="000000" w:themeColor="text1"/>
          <w:sz w:val="20"/>
          <w:szCs w:val="20"/>
        </w:rPr>
        <w:t xml:space="preserve">) debe ser temporal; v) hacen parte del género denominado contratos de prestación de servicios,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A35D0E">
        <w:rPr>
          <w:rFonts w:ascii="Verdana" w:eastAsia="Calibri" w:hAnsi="Verdana" w:cs="Arial"/>
          <w:color w:val="000000" w:themeColor="text1"/>
          <w:sz w:val="20"/>
          <w:szCs w:val="20"/>
        </w:rPr>
        <w:t>vii</w:t>
      </w:r>
      <w:proofErr w:type="spellEnd"/>
      <w:r w:rsidRPr="00A35D0E">
        <w:rPr>
          <w:rFonts w:ascii="Verdana" w:eastAsia="Calibri" w:hAnsi="Verdana" w:cs="Arial"/>
          <w:color w:val="000000" w:themeColor="text1"/>
          <w:sz w:val="20"/>
          <w:szCs w:val="20"/>
        </w:rPr>
        <w:t xml:space="preserve">) para su celebración no se requiere la expedición del acto administrativo de justificación de la contratación directa; </w:t>
      </w:r>
      <w:proofErr w:type="spellStart"/>
      <w:r w:rsidRPr="00A35D0E">
        <w:rPr>
          <w:rFonts w:ascii="Verdana" w:eastAsia="Calibri" w:hAnsi="Verdana" w:cs="Arial"/>
          <w:color w:val="000000" w:themeColor="text1"/>
          <w:sz w:val="20"/>
          <w:szCs w:val="20"/>
        </w:rPr>
        <w:t>viii</w:t>
      </w:r>
      <w:proofErr w:type="spellEnd"/>
      <w:r w:rsidRPr="00A35D0E">
        <w:rPr>
          <w:rFonts w:ascii="Verdana" w:eastAsia="Calibri" w:hAnsi="Verdana" w:cs="Arial"/>
          <w:color w:val="000000" w:themeColor="text1"/>
          <w:sz w:val="20"/>
          <w:szCs w:val="20"/>
        </w:rPr>
        <w:t xml:space="preserve">) admite el pacto de cláusulas excepcionales; </w:t>
      </w:r>
      <w:proofErr w:type="spellStart"/>
      <w:r w:rsidRPr="00A35D0E">
        <w:rPr>
          <w:rFonts w:ascii="Verdana" w:eastAsia="Calibri" w:hAnsi="Verdana" w:cs="Arial"/>
          <w:color w:val="000000" w:themeColor="text1"/>
          <w:sz w:val="20"/>
          <w:szCs w:val="20"/>
        </w:rPr>
        <w:t>ix</w:t>
      </w:r>
      <w:proofErr w:type="spellEnd"/>
      <w:r w:rsidRPr="00A35D0E">
        <w:rPr>
          <w:rFonts w:ascii="Verdana" w:eastAsia="Calibri" w:hAnsi="Verdana" w:cs="Arial"/>
          <w:color w:val="000000" w:themeColor="text1"/>
          <w:sz w:val="20"/>
          <w:szCs w:val="20"/>
        </w:rPr>
        <w:t>) en él no es obligatoria la liquidación; x) para su celebración no se requiere inscripción en el Registro Único de Proponentes (RUP); xi) en él no son necesarias las garantías.</w:t>
      </w:r>
    </w:p>
    <w:p w14:paraId="67C1E0FA" w14:textId="77777777" w:rsidR="00080FD0" w:rsidRPr="00A35D0E" w:rsidRDefault="00080FD0" w:rsidP="00080FD0">
      <w:pPr>
        <w:spacing w:after="0" w:line="240" w:lineRule="auto"/>
        <w:jc w:val="both"/>
        <w:rPr>
          <w:rFonts w:ascii="Verdana" w:eastAsia="Calibri" w:hAnsi="Verdana" w:cs="Arial"/>
          <w:b/>
          <w:color w:val="000000" w:themeColor="text1"/>
          <w:sz w:val="20"/>
          <w:szCs w:val="20"/>
        </w:rPr>
      </w:pPr>
    </w:p>
    <w:p w14:paraId="13E0D5E7" w14:textId="77777777" w:rsidR="00080FD0" w:rsidRPr="00A35D0E" w:rsidRDefault="00080FD0" w:rsidP="00080FD0">
      <w:pPr>
        <w:spacing w:after="0" w:line="240" w:lineRule="auto"/>
        <w:jc w:val="both"/>
        <w:rPr>
          <w:rFonts w:ascii="Verdana" w:eastAsia="Calibri" w:hAnsi="Verdana" w:cs="Arial"/>
          <w:color w:val="000000" w:themeColor="text1"/>
        </w:rPr>
      </w:pPr>
      <w:r w:rsidRPr="00A35D0E">
        <w:rPr>
          <w:rFonts w:ascii="Verdana" w:eastAsia="Calibri" w:hAnsi="Verdana" w:cs="Arial"/>
          <w:b/>
          <w:color w:val="000000" w:themeColor="text1"/>
        </w:rPr>
        <w:t>CAPACIDAD PARA CONTRATAR – Menores de edad</w:t>
      </w:r>
    </w:p>
    <w:p w14:paraId="337AB4CB"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p>
    <w:p w14:paraId="05769A3B"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r w:rsidRPr="00A35D0E">
        <w:rPr>
          <w:rFonts w:ascii="Verdana" w:eastAsia="Calibri" w:hAnsi="Verdana" w:cs="Arial"/>
          <w:color w:val="000000" w:themeColor="text1"/>
          <w:sz w:val="20"/>
          <w:szCs w:val="20"/>
        </w:rPr>
        <w:t>[…] so pena de la declaración de nulidad absoluta, los menores de doce (12) años carecen de la capacidad para adquirir derechos y contraer obligaciones por sí mismos a través de la celebración de contratos. Por otra parte, gozan de capacidad relativa los menores que tengan una edad igual o superior a la anteriormente mencionada, es decir, si bien no pueden actuar en el tráfico jurídico con las mismas aptitudes y calidades de quienes llegan a la mayoría de edad, están facultados para adelantar ciertos tipos de actuaciones. En efecto, «Los menores adultos, esto es, los mayores de 12 y menores de 18, sometidos a la potestad parental, por regla general, no pueden realizar válidamente ni actos ni negocios jurídicos que no le estén expresa o tácitamente permitidos. Para los no permitidos se requiere la representación por quienes ejercen la potestad parental […]».</w:t>
      </w:r>
    </w:p>
    <w:p w14:paraId="32076BAD"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p>
    <w:p w14:paraId="61BAA60F" w14:textId="77777777" w:rsidR="00080FD0" w:rsidRPr="00A35D0E" w:rsidRDefault="00080FD0" w:rsidP="00080FD0">
      <w:pPr>
        <w:spacing w:after="0" w:line="240" w:lineRule="auto"/>
        <w:jc w:val="both"/>
        <w:rPr>
          <w:rFonts w:ascii="Verdana" w:eastAsia="Calibri" w:hAnsi="Verdana" w:cs="Arial"/>
          <w:b/>
          <w:color w:val="000000" w:themeColor="text1"/>
        </w:rPr>
      </w:pPr>
      <w:r w:rsidRPr="00A35D0E">
        <w:rPr>
          <w:rFonts w:ascii="Verdana" w:eastAsia="Calibri" w:hAnsi="Verdana" w:cs="Arial"/>
          <w:b/>
          <w:color w:val="000000" w:themeColor="text1"/>
        </w:rPr>
        <w:t xml:space="preserve">CONTRATO DE PRESTACIÓN DE SERVICIOS – Menores de edad – Exigencias legales </w:t>
      </w:r>
    </w:p>
    <w:p w14:paraId="508181F6"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p>
    <w:p w14:paraId="1363A585"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r w:rsidRPr="00A35D0E">
        <w:rPr>
          <w:rFonts w:ascii="Verdana" w:eastAsia="Calibri" w:hAnsi="Verdana" w:cs="Arial"/>
          <w:color w:val="000000" w:themeColor="text1"/>
          <w:sz w:val="20"/>
          <w:szCs w:val="20"/>
        </w:rPr>
        <w:lastRenderedPageBreak/>
        <w:t>Los requisitos legales del contrato serán los previstos en la Ley 80 de 1993 para la modalidad de selección pertinente. En todo caso, conforme a lo anotado en el apartado anterior, se considera que no es exigible el trámite previsto en los artículos 35 y 114 de la Ley 1098 de 2006, el cual podría realizarse de manera meramente potestativa a efectos de evitar controversias posteriores tanto sobre la naturaleza independiente o no del servicio como sobre los riesgos de las tareas realizadas. Lo anterior supone respetar la autonomía del contratista en la ejecución de las actividades que hacen parte del objeto, sin que el contrato se utilice para encubrir una relación laboral subordinada, pues implica el riesgo de la declaratoria judicial de contrato realidad, con la correspondiente condena y la imposición de las sanciones a que haya lugar.</w:t>
      </w:r>
    </w:p>
    <w:p w14:paraId="70D1890C" w14:textId="77777777" w:rsidR="00080FD0" w:rsidRDefault="00080FD0" w:rsidP="00080FD0">
      <w:pPr>
        <w:spacing w:after="0" w:line="240" w:lineRule="auto"/>
        <w:jc w:val="both"/>
        <w:rPr>
          <w:rFonts w:ascii="Verdana" w:eastAsia="Calibri" w:hAnsi="Verdana" w:cs="Arial"/>
          <w:color w:val="000000" w:themeColor="text1"/>
          <w:sz w:val="20"/>
          <w:szCs w:val="20"/>
        </w:rPr>
      </w:pPr>
      <w:r w:rsidRPr="00A35D0E">
        <w:rPr>
          <w:rFonts w:ascii="Verdana" w:eastAsia="Calibri" w:hAnsi="Verdana" w:cs="Arial"/>
          <w:color w:val="000000" w:themeColor="text1"/>
          <w:sz w:val="20"/>
          <w:szCs w:val="20"/>
        </w:rPr>
        <w:t>[…]</w:t>
      </w:r>
    </w:p>
    <w:p w14:paraId="2E4AAA2A"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p>
    <w:p w14:paraId="3183983B" w14:textId="77777777" w:rsidR="00080FD0" w:rsidRPr="00A35D0E" w:rsidRDefault="00080FD0" w:rsidP="00080FD0">
      <w:pPr>
        <w:spacing w:after="0" w:line="240" w:lineRule="auto"/>
        <w:jc w:val="both"/>
        <w:rPr>
          <w:rFonts w:ascii="Verdana" w:eastAsia="Calibri" w:hAnsi="Verdana" w:cs="Arial"/>
          <w:color w:val="000000" w:themeColor="text1"/>
          <w:sz w:val="20"/>
          <w:szCs w:val="20"/>
        </w:rPr>
      </w:pPr>
      <w:r w:rsidRPr="00A35D0E">
        <w:rPr>
          <w:rFonts w:ascii="Verdana" w:eastAsia="Calibri" w:hAnsi="Verdana" w:cs="Arial"/>
          <w:color w:val="000000" w:themeColor="text1"/>
          <w:sz w:val="20"/>
          <w:szCs w:val="20"/>
        </w:rPr>
        <w:t>De todas formas, pese a que el marco normativo citado en el apartado anterior fundamenta razonablemente la respuesta de Colombia Compra Eficiente a la solicitud planteada, se considera prudente exhortar al peticionario a que formule estas inquietudes al Ministerio del Trabajo. Lo anterior, en la medida que el artículo 113 de la Ley 1098 de 2006 le atribuye competencia a la Entidad para autorizar el trabajo de los menores de edad; razón por la cual, el Ministerio define con criterio de autoridad si este requisito también es exigible o no en los contratos de prestación de servicios.</w:t>
      </w:r>
    </w:p>
    <w:p w14:paraId="724DC4CF" w14:textId="77777777" w:rsidR="00080FD0" w:rsidRPr="00080FD0" w:rsidRDefault="00080FD0" w:rsidP="009F54A9">
      <w:pPr>
        <w:spacing w:after="0"/>
        <w:rPr>
          <w:rFonts w:ascii="Verdana" w:eastAsia="Geomanist Light" w:hAnsi="Verdana" w:cs="Arial"/>
          <w:color w:val="000000" w:themeColor="text1"/>
        </w:rPr>
      </w:pPr>
    </w:p>
    <w:p w14:paraId="63F1E053" w14:textId="77777777" w:rsidR="00080FD0" w:rsidRDefault="00080FD0" w:rsidP="009F54A9">
      <w:pPr>
        <w:spacing w:after="0"/>
        <w:rPr>
          <w:rFonts w:ascii="Verdana" w:eastAsia="Geomanist Light" w:hAnsi="Verdana" w:cs="Arial"/>
          <w:color w:val="000000" w:themeColor="text1"/>
          <w:lang w:val="es-MX"/>
        </w:rPr>
      </w:pPr>
    </w:p>
    <w:p w14:paraId="60981A66" w14:textId="77777777" w:rsidR="00080FD0" w:rsidRDefault="00080FD0" w:rsidP="009F54A9">
      <w:pPr>
        <w:spacing w:after="0"/>
        <w:rPr>
          <w:rFonts w:ascii="Verdana" w:eastAsia="Geomanist Light" w:hAnsi="Verdana" w:cs="Arial"/>
          <w:color w:val="000000" w:themeColor="text1"/>
          <w:lang w:val="es-MX"/>
        </w:rPr>
      </w:pPr>
    </w:p>
    <w:p w14:paraId="2C452AFF" w14:textId="77777777" w:rsidR="000B684E" w:rsidRDefault="000B684E" w:rsidP="009F54A9">
      <w:pPr>
        <w:spacing w:after="0"/>
        <w:rPr>
          <w:rFonts w:ascii="Verdana" w:eastAsia="Geomanist Light" w:hAnsi="Verdana" w:cs="Arial"/>
          <w:color w:val="000000" w:themeColor="text1"/>
          <w:lang w:val="es-MX"/>
        </w:rPr>
      </w:pPr>
    </w:p>
    <w:p w14:paraId="38DD69AF" w14:textId="77777777" w:rsidR="000B684E" w:rsidRDefault="000B684E" w:rsidP="009F54A9">
      <w:pPr>
        <w:spacing w:after="0"/>
        <w:rPr>
          <w:rFonts w:ascii="Verdana" w:eastAsia="Geomanist Light" w:hAnsi="Verdana" w:cs="Arial"/>
          <w:color w:val="000000" w:themeColor="text1"/>
          <w:lang w:val="es-MX"/>
        </w:rPr>
      </w:pPr>
    </w:p>
    <w:p w14:paraId="36D95F10" w14:textId="77777777" w:rsidR="000B684E" w:rsidRDefault="000B684E" w:rsidP="009F54A9">
      <w:pPr>
        <w:spacing w:after="0"/>
        <w:rPr>
          <w:rFonts w:ascii="Verdana" w:eastAsia="Geomanist Light" w:hAnsi="Verdana" w:cs="Arial"/>
          <w:color w:val="000000" w:themeColor="text1"/>
          <w:lang w:val="es-MX"/>
        </w:rPr>
      </w:pPr>
    </w:p>
    <w:p w14:paraId="1DF56812" w14:textId="77777777" w:rsidR="000B684E" w:rsidRDefault="000B684E" w:rsidP="009F54A9">
      <w:pPr>
        <w:spacing w:after="0"/>
        <w:rPr>
          <w:rFonts w:ascii="Verdana" w:eastAsia="Geomanist Light" w:hAnsi="Verdana" w:cs="Arial"/>
          <w:color w:val="000000" w:themeColor="text1"/>
          <w:lang w:val="es-MX"/>
        </w:rPr>
      </w:pPr>
    </w:p>
    <w:p w14:paraId="0473DECD" w14:textId="77777777" w:rsidR="000B684E" w:rsidRDefault="000B684E" w:rsidP="009F54A9">
      <w:pPr>
        <w:spacing w:after="0"/>
        <w:rPr>
          <w:rFonts w:ascii="Verdana" w:eastAsia="Geomanist Light" w:hAnsi="Verdana" w:cs="Arial"/>
          <w:color w:val="000000" w:themeColor="text1"/>
          <w:lang w:val="es-MX"/>
        </w:rPr>
      </w:pPr>
    </w:p>
    <w:p w14:paraId="1808E555" w14:textId="77777777" w:rsidR="000B684E" w:rsidRDefault="000B684E" w:rsidP="009F54A9">
      <w:pPr>
        <w:spacing w:after="0"/>
        <w:rPr>
          <w:rFonts w:ascii="Verdana" w:eastAsia="Geomanist Light" w:hAnsi="Verdana" w:cs="Arial"/>
          <w:color w:val="000000" w:themeColor="text1"/>
          <w:lang w:val="es-MX"/>
        </w:rPr>
      </w:pPr>
    </w:p>
    <w:p w14:paraId="04E83307" w14:textId="77777777" w:rsidR="000B684E" w:rsidRDefault="000B684E" w:rsidP="009F54A9">
      <w:pPr>
        <w:spacing w:after="0"/>
        <w:rPr>
          <w:rFonts w:ascii="Verdana" w:eastAsia="Geomanist Light" w:hAnsi="Verdana" w:cs="Arial"/>
          <w:color w:val="000000" w:themeColor="text1"/>
          <w:lang w:val="es-MX"/>
        </w:rPr>
      </w:pPr>
    </w:p>
    <w:p w14:paraId="4EDF5859" w14:textId="77777777" w:rsidR="000B684E" w:rsidRDefault="000B684E" w:rsidP="009F54A9">
      <w:pPr>
        <w:spacing w:after="0"/>
        <w:rPr>
          <w:rFonts w:ascii="Verdana" w:eastAsia="Geomanist Light" w:hAnsi="Verdana" w:cs="Arial"/>
          <w:color w:val="000000" w:themeColor="text1"/>
          <w:lang w:val="es-MX"/>
        </w:rPr>
      </w:pPr>
    </w:p>
    <w:p w14:paraId="53358D2F" w14:textId="77777777" w:rsidR="000B684E" w:rsidRDefault="000B684E" w:rsidP="009F54A9">
      <w:pPr>
        <w:spacing w:after="0"/>
        <w:rPr>
          <w:rFonts w:ascii="Verdana" w:eastAsia="Geomanist Light" w:hAnsi="Verdana" w:cs="Arial"/>
          <w:color w:val="000000" w:themeColor="text1"/>
          <w:lang w:val="es-MX"/>
        </w:rPr>
      </w:pPr>
    </w:p>
    <w:p w14:paraId="7A65BDA3" w14:textId="77777777" w:rsidR="000B684E" w:rsidRDefault="000B684E" w:rsidP="009F54A9">
      <w:pPr>
        <w:spacing w:after="0"/>
        <w:rPr>
          <w:rFonts w:ascii="Verdana" w:eastAsia="Geomanist Light" w:hAnsi="Verdana" w:cs="Arial"/>
          <w:color w:val="000000" w:themeColor="text1"/>
          <w:lang w:val="es-MX"/>
        </w:rPr>
      </w:pPr>
    </w:p>
    <w:p w14:paraId="3DD8296E" w14:textId="77777777" w:rsidR="000B684E" w:rsidRDefault="000B684E" w:rsidP="009F54A9">
      <w:pPr>
        <w:spacing w:after="0"/>
        <w:rPr>
          <w:rFonts w:ascii="Verdana" w:eastAsia="Geomanist Light" w:hAnsi="Verdana" w:cs="Arial"/>
          <w:color w:val="000000" w:themeColor="text1"/>
          <w:lang w:val="es-MX"/>
        </w:rPr>
      </w:pPr>
    </w:p>
    <w:p w14:paraId="0C34F339" w14:textId="77777777" w:rsidR="000B684E" w:rsidRDefault="000B684E" w:rsidP="009F54A9">
      <w:pPr>
        <w:spacing w:after="0"/>
        <w:rPr>
          <w:rFonts w:ascii="Verdana" w:eastAsia="Geomanist Light" w:hAnsi="Verdana" w:cs="Arial"/>
          <w:color w:val="000000" w:themeColor="text1"/>
          <w:lang w:val="es-MX"/>
        </w:rPr>
      </w:pPr>
    </w:p>
    <w:p w14:paraId="16492799" w14:textId="77777777" w:rsidR="000B684E" w:rsidRDefault="000B684E" w:rsidP="009F54A9">
      <w:pPr>
        <w:spacing w:after="0"/>
        <w:rPr>
          <w:rFonts w:ascii="Verdana" w:eastAsia="Geomanist Light" w:hAnsi="Verdana" w:cs="Arial"/>
          <w:color w:val="000000" w:themeColor="text1"/>
          <w:lang w:val="es-MX"/>
        </w:rPr>
      </w:pPr>
    </w:p>
    <w:p w14:paraId="5CD8F955" w14:textId="77777777" w:rsidR="000B684E" w:rsidRDefault="000B684E" w:rsidP="009F54A9">
      <w:pPr>
        <w:spacing w:after="0"/>
        <w:rPr>
          <w:rFonts w:ascii="Verdana" w:eastAsia="Geomanist Light" w:hAnsi="Verdana" w:cs="Arial"/>
          <w:color w:val="000000" w:themeColor="text1"/>
          <w:lang w:val="es-MX"/>
        </w:rPr>
      </w:pPr>
    </w:p>
    <w:p w14:paraId="2015DEEB" w14:textId="77777777" w:rsidR="000B684E" w:rsidRDefault="000B684E" w:rsidP="009F54A9">
      <w:pPr>
        <w:spacing w:after="0"/>
        <w:rPr>
          <w:rFonts w:ascii="Verdana" w:eastAsia="Geomanist Light" w:hAnsi="Verdana" w:cs="Arial"/>
          <w:color w:val="000000" w:themeColor="text1"/>
          <w:lang w:val="es-MX"/>
        </w:rPr>
      </w:pPr>
    </w:p>
    <w:p w14:paraId="13C3DF94" w14:textId="77777777" w:rsidR="000B684E" w:rsidRDefault="000B684E" w:rsidP="009F54A9">
      <w:pPr>
        <w:spacing w:after="0"/>
        <w:rPr>
          <w:rFonts w:ascii="Verdana" w:eastAsia="Geomanist Light" w:hAnsi="Verdana" w:cs="Arial"/>
          <w:color w:val="000000" w:themeColor="text1"/>
          <w:lang w:val="es-MX"/>
        </w:rPr>
      </w:pPr>
    </w:p>
    <w:p w14:paraId="2957FBE0" w14:textId="77777777" w:rsidR="000B684E" w:rsidRDefault="000B684E" w:rsidP="009F54A9">
      <w:pPr>
        <w:spacing w:after="0"/>
        <w:rPr>
          <w:rFonts w:ascii="Verdana" w:eastAsia="Geomanist Light" w:hAnsi="Verdana" w:cs="Arial"/>
          <w:color w:val="000000" w:themeColor="text1"/>
          <w:lang w:val="es-MX"/>
        </w:rPr>
      </w:pPr>
    </w:p>
    <w:p w14:paraId="0CDE112D" w14:textId="77777777" w:rsidR="000B684E" w:rsidRDefault="000B684E" w:rsidP="009F54A9">
      <w:pPr>
        <w:spacing w:after="0"/>
        <w:rPr>
          <w:rFonts w:ascii="Verdana" w:eastAsia="Geomanist Light" w:hAnsi="Verdana" w:cs="Arial"/>
          <w:color w:val="000000" w:themeColor="text1"/>
          <w:lang w:val="es-MX"/>
        </w:rPr>
      </w:pPr>
    </w:p>
    <w:p w14:paraId="0F389E58" w14:textId="77777777" w:rsidR="000B684E" w:rsidRDefault="000B684E" w:rsidP="009F54A9">
      <w:pPr>
        <w:spacing w:after="0"/>
        <w:rPr>
          <w:rFonts w:ascii="Verdana" w:eastAsia="Geomanist Light" w:hAnsi="Verdana" w:cs="Arial"/>
          <w:color w:val="000000" w:themeColor="text1"/>
          <w:lang w:val="es-MX"/>
        </w:rPr>
      </w:pPr>
    </w:p>
    <w:p w14:paraId="710BC126" w14:textId="77777777" w:rsidR="000B684E" w:rsidRDefault="000B684E" w:rsidP="009F54A9">
      <w:pPr>
        <w:spacing w:after="0"/>
        <w:rPr>
          <w:rFonts w:ascii="Verdana" w:eastAsia="Geomanist Light" w:hAnsi="Verdana" w:cs="Arial"/>
          <w:color w:val="000000" w:themeColor="text1"/>
          <w:lang w:val="es-MX"/>
        </w:rPr>
      </w:pPr>
    </w:p>
    <w:p w14:paraId="2218BE39" w14:textId="77777777" w:rsidR="000B684E" w:rsidRDefault="000B684E" w:rsidP="009F54A9">
      <w:pPr>
        <w:spacing w:after="0"/>
        <w:rPr>
          <w:rFonts w:ascii="Verdana" w:eastAsia="Geomanist Light" w:hAnsi="Verdana" w:cs="Arial"/>
          <w:color w:val="000000" w:themeColor="text1"/>
          <w:lang w:val="es-MX"/>
        </w:rPr>
      </w:pPr>
    </w:p>
    <w:p w14:paraId="641E81C5" w14:textId="5137B142" w:rsidR="009F54A9" w:rsidRPr="00277E26" w:rsidRDefault="009F54A9" w:rsidP="009F54A9">
      <w:pPr>
        <w:spacing w:after="0"/>
        <w:rPr>
          <w:rFonts w:ascii="Verdana" w:eastAsia="Geomanist Light" w:hAnsi="Verdana" w:cs="Arial"/>
          <w:color w:val="201F1E"/>
          <w:lang w:val="es-MX"/>
        </w:rPr>
      </w:pPr>
      <w:r w:rsidRPr="00277E26">
        <w:rPr>
          <w:rFonts w:ascii="Verdana" w:eastAsia="Geomanist Light" w:hAnsi="Verdana" w:cs="Arial"/>
          <w:color w:val="000000" w:themeColor="text1"/>
          <w:lang w:val="es-MX"/>
        </w:rPr>
        <w:lastRenderedPageBreak/>
        <w:t>Bogotá D.C., </w:t>
      </w:r>
      <w:r w:rsidR="001449EA" w:rsidRPr="001449EA">
        <w:rPr>
          <w:rFonts w:ascii="Verdana" w:eastAsia="Geomanist Light" w:hAnsi="Verdana" w:cs="Arial"/>
          <w:color w:val="201F1E"/>
          <w:lang w:val="es-MX"/>
        </w:rPr>
        <w:t>21 de Febrero de 2025</w:t>
      </w:r>
    </w:p>
    <w:p w14:paraId="01653EF5" w14:textId="77777777" w:rsidR="009F54A9" w:rsidRPr="00277E26" w:rsidRDefault="009F54A9" w:rsidP="009F54A9">
      <w:pPr>
        <w:spacing w:after="0"/>
        <w:jc w:val="both"/>
        <w:rPr>
          <w:rFonts w:ascii="Verdana" w:eastAsia="Calibri" w:hAnsi="Verdana" w:cs="Arial"/>
          <w:color w:val="000000"/>
          <w:lang w:val="es-ES"/>
        </w:rPr>
      </w:pPr>
    </w:p>
    <w:p w14:paraId="242CEF0F" w14:textId="40BC52D1" w:rsidR="009F54A9" w:rsidRDefault="002C0B5A" w:rsidP="002C0B5A">
      <w:pPr>
        <w:spacing w:after="0"/>
        <w:jc w:val="right"/>
        <w:rPr>
          <w:rFonts w:ascii="Verdana" w:eastAsia="Calibri" w:hAnsi="Verdana" w:cs="Arial"/>
          <w:color w:val="000000"/>
          <w:lang w:val="es-ES"/>
        </w:rPr>
      </w:pPr>
      <w:r w:rsidRPr="002C0B5A">
        <w:rPr>
          <w:rFonts w:ascii="Verdana" w:eastAsia="Calibri" w:hAnsi="Verdana" w:cs="Arial"/>
          <w:noProof/>
          <w:color w:val="000000"/>
          <w:lang w:val="es-ES"/>
        </w:rPr>
        <w:drawing>
          <wp:inline distT="0" distB="0" distL="0" distR="0" wp14:anchorId="13C1FEC2" wp14:editId="1457225C">
            <wp:extent cx="3238500" cy="901700"/>
            <wp:effectExtent l="0" t="0" r="0" b="0"/>
            <wp:docPr id="20467537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53739" name=""/>
                    <pic:cNvPicPr/>
                  </pic:nvPicPr>
                  <pic:blipFill>
                    <a:blip r:embed="rId10"/>
                    <a:stretch>
                      <a:fillRect/>
                    </a:stretch>
                  </pic:blipFill>
                  <pic:spPr>
                    <a:xfrm>
                      <a:off x="0" y="0"/>
                      <a:ext cx="3238500" cy="901700"/>
                    </a:xfrm>
                    <a:prstGeom prst="rect">
                      <a:avLst/>
                    </a:prstGeom>
                  </pic:spPr>
                </pic:pic>
              </a:graphicData>
            </a:graphic>
          </wp:inline>
        </w:drawing>
      </w:r>
    </w:p>
    <w:p w14:paraId="7E0B9FEA" w14:textId="77777777" w:rsidR="002C0B5A" w:rsidRPr="00277E26" w:rsidRDefault="002C0B5A" w:rsidP="009F54A9">
      <w:pPr>
        <w:spacing w:after="0"/>
        <w:jc w:val="both"/>
        <w:rPr>
          <w:rFonts w:ascii="Verdana" w:eastAsia="Calibri" w:hAnsi="Verdana" w:cs="Arial"/>
          <w:color w:val="000000"/>
          <w:lang w:val="es-ES"/>
        </w:rPr>
      </w:pPr>
    </w:p>
    <w:p w14:paraId="6ADBD2D0" w14:textId="77777777" w:rsidR="009F54A9" w:rsidRPr="00277E26" w:rsidRDefault="009F54A9" w:rsidP="009F54A9">
      <w:pPr>
        <w:spacing w:after="0"/>
        <w:jc w:val="both"/>
        <w:rPr>
          <w:rFonts w:ascii="Verdana" w:eastAsia="Calibri" w:hAnsi="Verdana" w:cs="Arial"/>
          <w:lang w:val="es-ES" w:eastAsia="es-ES"/>
        </w:rPr>
      </w:pPr>
      <w:r w:rsidRPr="00277E26">
        <w:rPr>
          <w:rFonts w:ascii="Verdana" w:eastAsia="Calibri" w:hAnsi="Verdana" w:cs="Arial"/>
          <w:lang w:val="es-ES" w:eastAsia="es-ES"/>
        </w:rPr>
        <w:t>Señor</w:t>
      </w:r>
      <w:r>
        <w:rPr>
          <w:rFonts w:ascii="Verdana" w:eastAsia="Calibri" w:hAnsi="Verdana" w:cs="Arial"/>
          <w:lang w:val="es-ES" w:eastAsia="es-ES"/>
        </w:rPr>
        <w:t>a</w:t>
      </w:r>
    </w:p>
    <w:p w14:paraId="0E335C08" w14:textId="77777777" w:rsidR="009F54A9" w:rsidRPr="00277E26" w:rsidRDefault="009F54A9" w:rsidP="009F54A9">
      <w:pPr>
        <w:spacing w:after="0"/>
        <w:rPr>
          <w:rFonts w:ascii="Verdana" w:eastAsia="Calibri" w:hAnsi="Verdana" w:cs="Arial"/>
          <w:b/>
          <w:lang w:val="es-ES_tradnl" w:eastAsia="es-ES_tradnl"/>
        </w:rPr>
      </w:pPr>
      <w:r w:rsidRPr="00DE73CB">
        <w:rPr>
          <w:rFonts w:ascii="Verdana" w:eastAsia="Calibri" w:hAnsi="Verdana" w:cs="Arial"/>
          <w:b/>
          <w:lang w:val="es-ES_tradnl" w:eastAsia="es-ES_tradnl"/>
        </w:rPr>
        <w:t>Paola Andrea Sánchez Saldaña</w:t>
      </w:r>
    </w:p>
    <w:p w14:paraId="635E4E56" w14:textId="77777777" w:rsidR="009F54A9" w:rsidRPr="00DE73CB" w:rsidRDefault="009F54A9" w:rsidP="009F54A9">
      <w:pPr>
        <w:spacing w:after="0"/>
        <w:rPr>
          <w:rFonts w:ascii="Verdana" w:eastAsia="Calibri" w:hAnsi="Verdana" w:cs="Arial"/>
          <w:lang w:val="es-ES" w:eastAsia="es-ES"/>
        </w:rPr>
      </w:pPr>
      <w:hyperlink r:id="rId11" w:history="1">
        <w:r w:rsidRPr="00376FE3">
          <w:rPr>
            <w:rStyle w:val="Hipervnculo"/>
            <w:rFonts w:ascii="Verdana" w:hAnsi="Verdana"/>
          </w:rPr>
          <w:t>abogadasanchez1007@gmail.com</w:t>
        </w:r>
      </w:hyperlink>
      <w:r>
        <w:rPr>
          <w:rFonts w:ascii="Verdana" w:hAnsi="Verdana"/>
        </w:rPr>
        <w:t xml:space="preserve"> </w:t>
      </w:r>
      <w:r w:rsidRPr="00DE73CB">
        <w:rPr>
          <w:rFonts w:ascii="Verdana" w:hAnsi="Verdana"/>
        </w:rPr>
        <w:t xml:space="preserve">   </w:t>
      </w:r>
      <w:r w:rsidRPr="00DE73CB">
        <w:rPr>
          <w:rFonts w:ascii="Verdana" w:eastAsia="Calibri" w:hAnsi="Verdana" w:cs="Arial"/>
          <w:lang w:val="es-ES" w:eastAsia="es-ES"/>
        </w:rPr>
        <w:t xml:space="preserve">   </w:t>
      </w:r>
    </w:p>
    <w:p w14:paraId="33F01242" w14:textId="77777777" w:rsidR="009F54A9" w:rsidRPr="00277E26" w:rsidRDefault="009F54A9" w:rsidP="009F54A9">
      <w:pPr>
        <w:spacing w:after="0"/>
        <w:rPr>
          <w:rFonts w:ascii="Verdana" w:eastAsia="Calibri" w:hAnsi="Verdana" w:cs="Arial"/>
          <w:lang w:val="es-ES" w:eastAsia="es-ES"/>
        </w:rPr>
      </w:pPr>
      <w:r>
        <w:rPr>
          <w:rFonts w:ascii="Verdana" w:eastAsia="Calibri" w:hAnsi="Verdana" w:cs="Arial"/>
          <w:lang w:val="es-ES" w:eastAsia="es-ES"/>
        </w:rPr>
        <w:t>Purificación, Tolima</w:t>
      </w:r>
      <w:r w:rsidRPr="00277E26">
        <w:rPr>
          <w:rFonts w:ascii="Verdana" w:eastAsia="Calibri" w:hAnsi="Verdana" w:cs="Arial"/>
          <w:lang w:val="es-ES" w:eastAsia="es-ES"/>
        </w:rPr>
        <w:t xml:space="preserve"> </w:t>
      </w:r>
    </w:p>
    <w:p w14:paraId="1BF93FBA" w14:textId="77777777" w:rsidR="009F54A9" w:rsidRPr="00277E26" w:rsidRDefault="009F54A9" w:rsidP="009F54A9">
      <w:pPr>
        <w:spacing w:after="0"/>
        <w:rPr>
          <w:rFonts w:ascii="Verdana" w:eastAsia="Calibri" w:hAnsi="Verdana" w:cs="Arial"/>
          <w:b/>
          <w:bCs/>
          <w:color w:val="000000"/>
          <w:lang w:val="es-ES_tradnl" w:eastAsia="es-ES_tradnl"/>
        </w:rPr>
      </w:pPr>
    </w:p>
    <w:p w14:paraId="440E7C91" w14:textId="77777777" w:rsidR="009F54A9" w:rsidRPr="00277E26" w:rsidRDefault="009F54A9" w:rsidP="009F54A9">
      <w:pPr>
        <w:spacing w:after="0"/>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F54A9" w:rsidRPr="00277E26" w14:paraId="71822B79" w14:textId="77777777" w:rsidTr="006E3408">
        <w:trPr>
          <w:trHeight w:val="884"/>
        </w:trPr>
        <w:tc>
          <w:tcPr>
            <w:tcW w:w="2689" w:type="dxa"/>
          </w:tcPr>
          <w:p w14:paraId="7ACD90C7" w14:textId="77777777" w:rsidR="009F54A9" w:rsidRPr="00277E26" w:rsidRDefault="009F54A9" w:rsidP="009F54A9">
            <w:pPr>
              <w:jc w:val="both"/>
              <w:rPr>
                <w:rFonts w:ascii="Verdana" w:eastAsia="Calibri" w:hAnsi="Verdana" w:cs="Arial"/>
                <w:b/>
                <w:bCs/>
                <w:color w:val="7030A0"/>
                <w:lang w:val="es-ES_tradnl" w:eastAsia="es-ES_tradnl"/>
              </w:rPr>
            </w:pPr>
          </w:p>
        </w:tc>
        <w:tc>
          <w:tcPr>
            <w:tcW w:w="6100" w:type="dxa"/>
          </w:tcPr>
          <w:p w14:paraId="3B3814C9" w14:textId="77777777" w:rsidR="009F54A9" w:rsidRPr="00277E26" w:rsidRDefault="009F54A9" w:rsidP="009F54A9">
            <w:pPr>
              <w:jc w:val="both"/>
              <w:rPr>
                <w:rFonts w:ascii="Verdana" w:eastAsia="Calibri" w:hAnsi="Verdana" w:cs="Arial"/>
                <w:b/>
                <w:bCs/>
                <w:color w:val="7030A0"/>
                <w:lang w:val="es-ES" w:eastAsia="es-ES"/>
              </w:rPr>
            </w:pPr>
            <w:r w:rsidRPr="00277E26">
              <w:rPr>
                <w:rFonts w:ascii="Verdana" w:eastAsia="Calibri" w:hAnsi="Verdana" w:cs="Arial"/>
                <w:b/>
                <w:bCs/>
                <w:lang w:val="es-ES" w:eastAsia="es-ES"/>
              </w:rPr>
              <w:t xml:space="preserve">Concepto C – </w:t>
            </w:r>
            <w:r>
              <w:rPr>
                <w:rFonts w:ascii="Verdana" w:eastAsia="Calibri" w:hAnsi="Verdana" w:cs="Arial"/>
                <w:b/>
                <w:bCs/>
                <w:lang w:val="es-ES" w:eastAsia="es-ES"/>
              </w:rPr>
              <w:t>045</w:t>
            </w:r>
            <w:r w:rsidRPr="00277E26">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9F54A9" w:rsidRPr="00277E26" w14:paraId="59E154B3" w14:textId="77777777" w:rsidTr="006E3408">
        <w:trPr>
          <w:trHeight w:val="884"/>
        </w:trPr>
        <w:tc>
          <w:tcPr>
            <w:tcW w:w="2689" w:type="dxa"/>
          </w:tcPr>
          <w:p w14:paraId="29CAB399" w14:textId="77777777" w:rsidR="009F54A9" w:rsidRPr="00277E26" w:rsidRDefault="009F54A9" w:rsidP="009F54A9">
            <w:pPr>
              <w:jc w:val="both"/>
              <w:rPr>
                <w:rFonts w:ascii="Verdana" w:eastAsia="Calibri" w:hAnsi="Verdana" w:cs="Arial"/>
                <w:color w:val="000000"/>
                <w:lang w:val="es-ES_tradnl" w:eastAsia="es-ES_tradnl"/>
              </w:rPr>
            </w:pPr>
            <w:r w:rsidRPr="00277E26">
              <w:rPr>
                <w:rFonts w:ascii="Verdana" w:eastAsia="Calibri" w:hAnsi="Verdana" w:cs="Arial"/>
                <w:b/>
                <w:color w:val="000000"/>
                <w:lang w:val="es-ES_tradnl" w:eastAsia="es-ES_tradnl"/>
              </w:rPr>
              <w:t>Temas:</w:t>
            </w:r>
            <w:r w:rsidRPr="00277E26">
              <w:rPr>
                <w:rFonts w:ascii="Verdana" w:eastAsia="Calibri" w:hAnsi="Verdana" w:cs="Arial"/>
                <w:color w:val="000000"/>
                <w:lang w:val="es-ES_tradnl" w:eastAsia="es-ES_tradnl"/>
              </w:rPr>
              <w:t xml:space="preserve">                   </w:t>
            </w:r>
          </w:p>
        </w:tc>
        <w:tc>
          <w:tcPr>
            <w:tcW w:w="6100" w:type="dxa"/>
          </w:tcPr>
          <w:p w14:paraId="6058CAF9" w14:textId="77777777" w:rsidR="009F54A9" w:rsidRPr="00277E26" w:rsidRDefault="009F54A9" w:rsidP="009F54A9">
            <w:pPr>
              <w:spacing w:line="276" w:lineRule="auto"/>
              <w:jc w:val="both"/>
              <w:rPr>
                <w:rFonts w:ascii="Verdana" w:eastAsia="Calibri" w:hAnsi="Verdana" w:cs="Arial"/>
                <w:lang w:val="es-ES" w:eastAsia="es-ES"/>
              </w:rPr>
            </w:pPr>
            <w:r w:rsidRPr="00BC163F">
              <w:rPr>
                <w:rFonts w:ascii="Verdana" w:eastAsia="Calibri" w:hAnsi="Verdana" w:cs="Arial"/>
                <w:lang w:val="es-ES" w:eastAsia="es-ES"/>
              </w:rPr>
              <w:t xml:space="preserve">CONTRATO DE PRESTACIÓN DE SERVICIOS </w:t>
            </w:r>
            <w:r>
              <w:rPr>
                <w:rFonts w:ascii="Verdana" w:eastAsia="Calibri" w:hAnsi="Verdana" w:cs="Arial"/>
                <w:lang w:val="es-ES" w:eastAsia="es-ES"/>
              </w:rPr>
              <w:t>–</w:t>
            </w:r>
            <w:r w:rsidRPr="00BC163F">
              <w:rPr>
                <w:rFonts w:ascii="Verdana" w:eastAsia="Calibri" w:hAnsi="Verdana" w:cs="Arial"/>
                <w:lang w:val="es-ES" w:eastAsia="es-ES"/>
              </w:rPr>
              <w:t xml:space="preserve"> Noción </w:t>
            </w:r>
            <w:r>
              <w:rPr>
                <w:rFonts w:ascii="Verdana" w:eastAsia="Calibri" w:hAnsi="Verdana" w:cs="Arial"/>
                <w:lang w:val="es-ES" w:eastAsia="es-ES"/>
              </w:rPr>
              <w:t>–</w:t>
            </w:r>
            <w:r w:rsidRPr="00BC163F">
              <w:rPr>
                <w:rFonts w:ascii="Verdana" w:eastAsia="Calibri" w:hAnsi="Verdana" w:cs="Arial"/>
                <w:lang w:val="es-ES" w:eastAsia="es-ES"/>
              </w:rPr>
              <w:t xml:space="preserve"> Características / CAPACIDAD PARA CONTRATAR </w:t>
            </w:r>
            <w:r>
              <w:rPr>
                <w:rFonts w:ascii="Verdana" w:eastAsia="Calibri" w:hAnsi="Verdana" w:cs="Arial"/>
                <w:lang w:val="es-ES" w:eastAsia="es-ES"/>
              </w:rPr>
              <w:t>–</w:t>
            </w:r>
            <w:r w:rsidRPr="00BC163F">
              <w:rPr>
                <w:rFonts w:ascii="Verdana" w:eastAsia="Calibri" w:hAnsi="Verdana" w:cs="Arial"/>
                <w:lang w:val="es-ES" w:eastAsia="es-ES"/>
              </w:rPr>
              <w:t xml:space="preserve"> Menores de edad / CONTRATO DE PRESTACIÓN DE SERVICIOS </w:t>
            </w:r>
            <w:r>
              <w:rPr>
                <w:rFonts w:ascii="Verdana" w:eastAsia="Calibri" w:hAnsi="Verdana" w:cs="Arial"/>
                <w:lang w:val="es-ES" w:eastAsia="es-ES"/>
              </w:rPr>
              <w:t>–</w:t>
            </w:r>
            <w:r w:rsidRPr="00BC163F">
              <w:rPr>
                <w:rFonts w:ascii="Verdana" w:eastAsia="Calibri" w:hAnsi="Verdana" w:cs="Arial"/>
                <w:lang w:val="es-ES" w:eastAsia="es-ES"/>
              </w:rPr>
              <w:t xml:space="preserve"> Menores de edad </w:t>
            </w:r>
            <w:r>
              <w:rPr>
                <w:rFonts w:ascii="Verdana" w:eastAsia="Calibri" w:hAnsi="Verdana" w:cs="Arial"/>
                <w:lang w:val="es-ES" w:eastAsia="es-ES"/>
              </w:rPr>
              <w:t>–</w:t>
            </w:r>
            <w:r w:rsidRPr="00BC163F">
              <w:rPr>
                <w:rFonts w:ascii="Verdana" w:eastAsia="Calibri" w:hAnsi="Verdana" w:cs="Arial"/>
                <w:lang w:val="es-ES" w:eastAsia="es-ES"/>
              </w:rPr>
              <w:t xml:space="preserve"> Exigencias legales</w:t>
            </w:r>
          </w:p>
          <w:p w14:paraId="496F9CDB" w14:textId="77777777" w:rsidR="009F54A9" w:rsidRPr="00277E26" w:rsidRDefault="009F54A9" w:rsidP="009F54A9">
            <w:pPr>
              <w:spacing w:line="276" w:lineRule="auto"/>
              <w:jc w:val="both"/>
              <w:rPr>
                <w:rFonts w:ascii="Verdana" w:eastAsia="Calibri" w:hAnsi="Verdana" w:cs="Arial"/>
                <w:lang w:val="es-ES" w:eastAsia="es-ES"/>
              </w:rPr>
            </w:pPr>
            <w:r w:rsidRPr="00277E26">
              <w:rPr>
                <w:rFonts w:ascii="Verdana" w:eastAsia="Calibri" w:hAnsi="Verdana" w:cs="Arial"/>
                <w:lang w:val="es-ES" w:eastAsia="es-ES"/>
              </w:rPr>
              <w:t xml:space="preserve">  </w:t>
            </w:r>
          </w:p>
        </w:tc>
      </w:tr>
      <w:tr w:rsidR="009F54A9" w:rsidRPr="00277E26" w14:paraId="7E32594A" w14:textId="77777777" w:rsidTr="006E3408">
        <w:tc>
          <w:tcPr>
            <w:tcW w:w="2689" w:type="dxa"/>
          </w:tcPr>
          <w:p w14:paraId="347B3A62" w14:textId="77777777" w:rsidR="009F54A9" w:rsidRPr="00277E26" w:rsidRDefault="009F54A9" w:rsidP="009F54A9">
            <w:pPr>
              <w:jc w:val="both"/>
              <w:rPr>
                <w:rFonts w:ascii="Verdana" w:eastAsia="Calibri" w:hAnsi="Verdana" w:cs="Arial"/>
                <w:b/>
                <w:lang w:val="es-ES_tradnl" w:eastAsia="es-ES_tradnl"/>
              </w:rPr>
            </w:pPr>
            <w:r w:rsidRPr="00277E26">
              <w:rPr>
                <w:rFonts w:ascii="Verdana" w:eastAsia="Calibri" w:hAnsi="Verdana" w:cs="Arial"/>
                <w:b/>
                <w:lang w:val="es-ES_tradnl" w:eastAsia="es-ES_tradnl"/>
              </w:rPr>
              <w:t>Radicación:</w:t>
            </w:r>
            <w:r w:rsidRPr="00277E26">
              <w:rPr>
                <w:rFonts w:ascii="Verdana" w:eastAsia="Calibri" w:hAnsi="Verdana" w:cs="Arial"/>
                <w:lang w:val="es-ES_tradnl" w:eastAsia="es-ES_tradnl"/>
              </w:rPr>
              <w:t xml:space="preserve">               </w:t>
            </w:r>
          </w:p>
        </w:tc>
        <w:tc>
          <w:tcPr>
            <w:tcW w:w="6100" w:type="dxa"/>
          </w:tcPr>
          <w:p w14:paraId="767B95E5" w14:textId="77777777" w:rsidR="009F54A9" w:rsidRPr="00277E26" w:rsidRDefault="009F54A9" w:rsidP="009F54A9">
            <w:pPr>
              <w:jc w:val="both"/>
              <w:rPr>
                <w:rFonts w:ascii="Verdana" w:eastAsia="Calibri" w:hAnsi="Verdana" w:cs="Arial"/>
                <w:lang w:eastAsia="es-ES_tradnl"/>
              </w:rPr>
            </w:pPr>
            <w:r w:rsidRPr="00277E26">
              <w:rPr>
                <w:rFonts w:ascii="Verdana" w:eastAsia="Calibri" w:hAnsi="Verdana" w:cs="Arial"/>
                <w:lang w:val="es-ES_tradnl" w:eastAsia="es-ES_tradnl"/>
              </w:rPr>
              <w:t xml:space="preserve">Respuesta a la consulta con radicado No. </w:t>
            </w:r>
            <w:r w:rsidRPr="00DE73CB">
              <w:rPr>
                <w:rFonts w:ascii="Verdana" w:eastAsia="Calibri" w:hAnsi="Verdana" w:cs="Arial"/>
                <w:lang w:val="es-ES_tradnl" w:eastAsia="es-ES_tradnl"/>
              </w:rPr>
              <w:t>P20250117000405</w:t>
            </w:r>
            <w:r w:rsidRPr="00277E26">
              <w:rPr>
                <w:rFonts w:ascii="Verdana" w:eastAsia="Calibri" w:hAnsi="Verdana" w:cs="Arial"/>
                <w:lang w:val="es-ES_tradnl" w:eastAsia="es-ES_tradnl"/>
              </w:rPr>
              <w:t xml:space="preserve">                                    </w:t>
            </w:r>
          </w:p>
        </w:tc>
      </w:tr>
    </w:tbl>
    <w:p w14:paraId="6C9869AF" w14:textId="77777777" w:rsidR="009F54A9" w:rsidRPr="00277E26" w:rsidRDefault="009F54A9" w:rsidP="009F54A9">
      <w:pPr>
        <w:spacing w:after="0"/>
        <w:jc w:val="both"/>
        <w:rPr>
          <w:rFonts w:ascii="Verdana" w:eastAsia="Calibri" w:hAnsi="Verdana" w:cs="Arial"/>
          <w:color w:val="000000"/>
          <w:lang w:val="es-ES_tradnl" w:eastAsia="es-ES_tradnl"/>
        </w:rPr>
      </w:pPr>
    </w:p>
    <w:p w14:paraId="2E1B5DE1" w14:textId="77777777" w:rsidR="009F54A9" w:rsidRPr="00277E26" w:rsidRDefault="009F54A9" w:rsidP="009F54A9">
      <w:pPr>
        <w:spacing w:after="0"/>
        <w:jc w:val="both"/>
        <w:rPr>
          <w:rFonts w:ascii="Verdana" w:eastAsia="Calibri" w:hAnsi="Verdana" w:cs="Arial"/>
          <w:color w:val="000000"/>
          <w:lang w:val="es-ES_tradnl" w:eastAsia="es-ES_tradnl"/>
        </w:rPr>
      </w:pPr>
    </w:p>
    <w:p w14:paraId="6AED4B97" w14:textId="77777777" w:rsidR="009F54A9" w:rsidRPr="00277E26" w:rsidRDefault="009F54A9" w:rsidP="009F54A9">
      <w:pPr>
        <w:spacing w:after="0" w:line="276" w:lineRule="auto"/>
        <w:jc w:val="both"/>
        <w:rPr>
          <w:rFonts w:ascii="Verdana" w:eastAsia="Calibri" w:hAnsi="Verdana" w:cs="Arial"/>
          <w:lang w:val="es-ES" w:eastAsia="es-ES"/>
        </w:rPr>
      </w:pPr>
      <w:r w:rsidRPr="00277E26">
        <w:rPr>
          <w:rFonts w:ascii="Verdana" w:eastAsia="Calibri" w:hAnsi="Verdana" w:cs="Arial"/>
          <w:lang w:val="es-ES" w:eastAsia="es-ES"/>
        </w:rPr>
        <w:t>Estimad</w:t>
      </w:r>
      <w:r>
        <w:rPr>
          <w:rFonts w:ascii="Verdana" w:eastAsia="Calibri" w:hAnsi="Verdana" w:cs="Arial"/>
          <w:lang w:val="es-ES" w:eastAsia="es-ES"/>
        </w:rPr>
        <w:t>a</w:t>
      </w:r>
      <w:r w:rsidRPr="00277E26">
        <w:rPr>
          <w:rFonts w:ascii="Verdana" w:eastAsia="Calibri" w:hAnsi="Verdana" w:cs="Arial"/>
          <w:lang w:val="es-ES" w:eastAsia="es-ES"/>
        </w:rPr>
        <w:t xml:space="preserve"> señor</w:t>
      </w:r>
      <w:r>
        <w:rPr>
          <w:rFonts w:ascii="Verdana" w:eastAsia="Calibri" w:hAnsi="Verdana" w:cs="Arial"/>
          <w:lang w:val="es-ES" w:eastAsia="es-ES"/>
        </w:rPr>
        <w:t>a</w:t>
      </w:r>
      <w:r w:rsidRPr="00277E26">
        <w:rPr>
          <w:rFonts w:ascii="Verdana" w:eastAsia="Calibri" w:hAnsi="Verdana" w:cs="Arial"/>
          <w:lang w:val="es-ES" w:eastAsia="es-ES"/>
        </w:rPr>
        <w:t xml:space="preserve"> </w:t>
      </w:r>
      <w:r w:rsidRPr="00DE73CB">
        <w:rPr>
          <w:rFonts w:ascii="Verdana" w:eastAsia="Calibri" w:hAnsi="Verdana" w:cs="Arial"/>
          <w:lang w:val="es-ES" w:eastAsia="es-ES"/>
        </w:rPr>
        <w:t>Sánchez Saldaña</w:t>
      </w:r>
      <w:r w:rsidRPr="00277E26">
        <w:rPr>
          <w:rFonts w:ascii="Verdana" w:eastAsia="Calibri" w:hAnsi="Verdana" w:cs="Arial"/>
          <w:lang w:val="es-ES" w:eastAsia="es-ES"/>
        </w:rPr>
        <w:t xml:space="preserve">: </w:t>
      </w:r>
    </w:p>
    <w:p w14:paraId="2C79CB4E" w14:textId="77777777" w:rsidR="009F54A9" w:rsidRPr="00277E26" w:rsidRDefault="009F54A9" w:rsidP="009F54A9">
      <w:pPr>
        <w:tabs>
          <w:tab w:val="left" w:pos="3768"/>
        </w:tabs>
        <w:spacing w:after="0" w:line="276" w:lineRule="auto"/>
        <w:jc w:val="both"/>
        <w:rPr>
          <w:rFonts w:ascii="Verdana" w:eastAsia="Calibri" w:hAnsi="Verdana" w:cs="Arial"/>
          <w:color w:val="000000" w:themeColor="text1"/>
          <w:lang w:val="es-ES" w:eastAsia="es-ES"/>
        </w:rPr>
      </w:pPr>
      <w:r w:rsidRPr="00277E26">
        <w:rPr>
          <w:rFonts w:ascii="Verdana" w:eastAsia="Calibri" w:hAnsi="Verdana" w:cs="Arial"/>
          <w:color w:val="000000" w:themeColor="text1"/>
          <w:lang w:val="es-ES" w:eastAsia="es-ES"/>
        </w:rPr>
        <w:tab/>
      </w:r>
    </w:p>
    <w:p w14:paraId="577934F1" w14:textId="77777777" w:rsidR="009F54A9" w:rsidRPr="00277E26" w:rsidRDefault="009F54A9" w:rsidP="009F54A9">
      <w:pPr>
        <w:spacing w:after="0" w:line="276" w:lineRule="auto"/>
        <w:jc w:val="both"/>
        <w:rPr>
          <w:rFonts w:ascii="Verdana" w:eastAsia="Calibri" w:hAnsi="Verdana" w:cs="Arial"/>
          <w:color w:val="7030A0"/>
          <w:lang w:val="es-ES" w:eastAsia="es-ES"/>
        </w:rPr>
      </w:pPr>
      <w:r w:rsidRPr="00277E26">
        <w:rPr>
          <w:rFonts w:ascii="Verdana" w:eastAsia="Calibri" w:hAnsi="Verdana" w:cs="Arial"/>
          <w:color w:val="000000" w:themeColor="text1"/>
          <w:lang w:val="es-ES" w:eastAsia="es-ES"/>
        </w:rPr>
        <w:t>En ejercicio de la competencia otorgada por los artículos 3, numeral 5º, y 11, numeral 8º, del Decreto Ley 4170 de 2011,</w:t>
      </w:r>
      <w:r w:rsidRPr="00277E26">
        <w:rPr>
          <w:rFonts w:ascii="Verdana" w:eastAsia="Arial MT" w:hAnsi="Verdana" w:cs="Arial MT"/>
          <w:lang w:val="es-ES" w:eastAsia="es-ES"/>
        </w:rPr>
        <w:t xml:space="preserve"> </w:t>
      </w:r>
      <w:r w:rsidRPr="00277E26">
        <w:rPr>
          <w:rFonts w:ascii="Verdana" w:hAnsi="Verdana" w:cs="Arial"/>
        </w:rPr>
        <w:t xml:space="preserve">así como lo establecido en el artículo 4 de la Resolución 1707 de 2018 expedida por esta Entidad, </w:t>
      </w:r>
      <w:r w:rsidRPr="00277E26">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277E26">
        <w:rPr>
          <w:rFonts w:ascii="Verdana" w:eastAsia="Calibri" w:hAnsi="Verdana" w:cs="Arial"/>
          <w:lang w:val="es-ES" w:eastAsia="es-ES"/>
        </w:rPr>
        <w:t xml:space="preserve">fecha </w:t>
      </w:r>
      <w:r>
        <w:rPr>
          <w:rFonts w:ascii="Verdana" w:eastAsia="Calibri" w:hAnsi="Verdana" w:cs="Arial"/>
          <w:lang w:val="es-ES" w:eastAsia="es-ES"/>
        </w:rPr>
        <w:t>17 de enero de 2025</w:t>
      </w:r>
      <w:r w:rsidRPr="00277E26">
        <w:rPr>
          <w:rFonts w:ascii="Verdana" w:eastAsia="Calibri" w:hAnsi="Verdana" w:cs="Arial"/>
          <w:lang w:val="es-ES" w:eastAsia="es-ES"/>
        </w:rPr>
        <w:t xml:space="preserve">, en la cual </w:t>
      </w:r>
      <w:r>
        <w:rPr>
          <w:rFonts w:ascii="Verdana" w:eastAsia="Calibri" w:hAnsi="Verdana" w:cs="Arial"/>
          <w:lang w:val="es-ES" w:eastAsia="es-ES"/>
        </w:rPr>
        <w:t>pregunta lo siguiente</w:t>
      </w:r>
      <w:r w:rsidRPr="00277E26">
        <w:rPr>
          <w:rFonts w:ascii="Verdana" w:eastAsia="Calibri" w:hAnsi="Verdana" w:cs="Arial"/>
          <w:lang w:val="es-ES" w:eastAsia="es-ES"/>
        </w:rPr>
        <w:t xml:space="preserve">: </w:t>
      </w:r>
    </w:p>
    <w:p w14:paraId="5FF0F7F0" w14:textId="77777777" w:rsidR="009F54A9" w:rsidRPr="00277E26" w:rsidRDefault="009F54A9" w:rsidP="009F54A9">
      <w:pPr>
        <w:pStyle w:val="Prrafodelista"/>
        <w:tabs>
          <w:tab w:val="left" w:pos="142"/>
          <w:tab w:val="left" w:pos="284"/>
        </w:tabs>
        <w:spacing w:after="0" w:line="276" w:lineRule="auto"/>
        <w:ind w:left="0"/>
        <w:jc w:val="both"/>
        <w:rPr>
          <w:rFonts w:ascii="Verdana" w:eastAsia="Century Gothic" w:hAnsi="Verdana" w:cs="Century Gothic"/>
          <w:b/>
          <w:bCs/>
        </w:rPr>
      </w:pPr>
    </w:p>
    <w:p w14:paraId="3A648BBA" w14:textId="77777777" w:rsidR="009F54A9" w:rsidRPr="00497575" w:rsidRDefault="009F54A9" w:rsidP="009F54A9">
      <w:pPr>
        <w:spacing w:after="0"/>
        <w:ind w:left="709" w:right="709"/>
        <w:jc w:val="both"/>
        <w:rPr>
          <w:rFonts w:ascii="Verdana" w:eastAsia="Century Gothic" w:hAnsi="Verdana" w:cs="Century Gothic"/>
          <w:sz w:val="20"/>
          <w:szCs w:val="20"/>
          <w:lang w:val="es-ES"/>
        </w:rPr>
      </w:pPr>
      <w:bookmarkStart w:id="1" w:name="_Hlk95313578"/>
      <w:r w:rsidRPr="006040CE">
        <w:rPr>
          <w:rFonts w:ascii="Verdana" w:eastAsia="Century Gothic" w:hAnsi="Verdana" w:cs="Century Gothic"/>
          <w:sz w:val="21"/>
          <w:szCs w:val="21"/>
          <w:lang w:val="es-ES"/>
        </w:rPr>
        <w:t>“</w:t>
      </w:r>
      <w:bookmarkEnd w:id="1"/>
      <w:r w:rsidRPr="00DE73CB">
        <w:rPr>
          <w:rFonts w:ascii="Verdana" w:eastAsia="Century Gothic" w:hAnsi="Verdana" w:cs="Century Gothic"/>
          <w:sz w:val="21"/>
          <w:szCs w:val="21"/>
          <w:lang w:val="es-ES"/>
        </w:rPr>
        <w:t xml:space="preserve">¿Para suscribir un contrato de prestación de servicios con menor de edad (17) años, que requisitos requieren, quien suscribiría el contrato? La plataforma SECOP II permite suscribir electrónicamente la firma con un menor de edad. </w:t>
      </w:r>
      <w:proofErr w:type="gramStart"/>
      <w:r w:rsidRPr="00DE73CB">
        <w:rPr>
          <w:rFonts w:ascii="Verdana" w:eastAsia="Century Gothic" w:hAnsi="Verdana" w:cs="Century Gothic"/>
          <w:sz w:val="21"/>
          <w:szCs w:val="21"/>
          <w:lang w:val="es-ES"/>
        </w:rPr>
        <w:t xml:space="preserve">Respecto de los antecedentes judiciales, procuraduría, contraloría, medidas correctivas, delitos sexuales, que </w:t>
      </w:r>
      <w:r w:rsidRPr="00DE73CB">
        <w:rPr>
          <w:rFonts w:ascii="Verdana" w:eastAsia="Century Gothic" w:hAnsi="Verdana" w:cs="Century Gothic"/>
          <w:sz w:val="21"/>
          <w:szCs w:val="21"/>
          <w:lang w:val="es-ES"/>
        </w:rPr>
        <w:lastRenderedPageBreak/>
        <w:t>se debe hacer en caso de que la plataforma no habilite para menores de edad?</w:t>
      </w:r>
      <w:proofErr w:type="gramEnd"/>
      <w:r w:rsidRPr="00DE73CB">
        <w:rPr>
          <w:rFonts w:ascii="Verdana" w:eastAsia="Century Gothic" w:hAnsi="Verdana" w:cs="Century Gothic"/>
          <w:sz w:val="21"/>
          <w:szCs w:val="21"/>
          <w:lang w:val="es-ES"/>
        </w:rPr>
        <w:t xml:space="preserve"> Por favor compartir toda la normatividad que cuente para realizar el respectivo contrato</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3E513ABC" w14:textId="77777777" w:rsidR="009F54A9" w:rsidRPr="00277E26" w:rsidRDefault="009F54A9" w:rsidP="009F54A9">
      <w:pPr>
        <w:spacing w:after="0" w:line="276" w:lineRule="auto"/>
        <w:jc w:val="both"/>
        <w:rPr>
          <w:rFonts w:ascii="Verdana" w:eastAsia="Calibri" w:hAnsi="Verdana" w:cs="Arial"/>
          <w:color w:val="000000"/>
          <w:lang w:val="es-ES" w:eastAsia="es-ES"/>
        </w:rPr>
      </w:pPr>
    </w:p>
    <w:p w14:paraId="4D4701CF" w14:textId="77777777" w:rsidR="009F54A9" w:rsidRPr="00277E26" w:rsidRDefault="009F54A9" w:rsidP="009C4980">
      <w:pPr>
        <w:spacing w:after="12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7E26">
        <w:rPr>
          <w:rFonts w:ascii="Verdana" w:eastAsia="Calibri" w:hAnsi="Verdana" w:cs="Arial"/>
          <w:color w:val="000000"/>
          <w:lang w:val="es-ES_tradnl" w:eastAsia="es-ES_tradnl"/>
        </w:rPr>
        <w:tab/>
      </w:r>
    </w:p>
    <w:p w14:paraId="381D2EED" w14:textId="77777777" w:rsidR="009F54A9" w:rsidRPr="00277E26" w:rsidRDefault="009F54A9" w:rsidP="009F54A9">
      <w:pPr>
        <w:spacing w:after="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la hayan motivado, pero haciendo unas consideraciones sobre las normas generales relacionadas con el</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problema</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jurídico</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 xml:space="preserve">de su consulta. </w:t>
      </w:r>
    </w:p>
    <w:p w14:paraId="529E13F0" w14:textId="77777777" w:rsidR="009F54A9" w:rsidRPr="00277E26" w:rsidRDefault="009F54A9" w:rsidP="009F54A9">
      <w:pPr>
        <w:spacing w:after="0" w:line="276" w:lineRule="auto"/>
        <w:ind w:firstLine="709"/>
        <w:jc w:val="both"/>
        <w:rPr>
          <w:rFonts w:ascii="Verdana" w:eastAsia="Calibri" w:hAnsi="Verdana" w:cs="Arial"/>
          <w:color w:val="000000"/>
          <w:lang w:val="es-ES" w:eastAsia="es-ES"/>
        </w:rPr>
      </w:pPr>
    </w:p>
    <w:p w14:paraId="156FAFDD" w14:textId="77777777" w:rsidR="009F54A9" w:rsidRPr="00277E26" w:rsidRDefault="009F54A9" w:rsidP="009F54A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77E26">
        <w:rPr>
          <w:rFonts w:ascii="Verdana" w:eastAsia="Century Gothic" w:hAnsi="Verdana" w:cs="Century Gothic"/>
          <w:b/>
          <w:bCs/>
        </w:rPr>
        <w:t>Problema</w:t>
      </w:r>
      <w:r>
        <w:rPr>
          <w:rFonts w:ascii="Verdana" w:eastAsia="Century Gothic" w:hAnsi="Verdana" w:cs="Century Gothic"/>
          <w:b/>
          <w:bCs/>
        </w:rPr>
        <w:t>s</w:t>
      </w:r>
      <w:r w:rsidRPr="00277E26">
        <w:rPr>
          <w:rFonts w:ascii="Verdana" w:eastAsia="Century Gothic" w:hAnsi="Verdana" w:cs="Century Gothic"/>
          <w:b/>
          <w:bCs/>
        </w:rPr>
        <w:t xml:space="preserve"> planteado</w:t>
      </w:r>
      <w:r>
        <w:rPr>
          <w:rFonts w:ascii="Verdana" w:eastAsia="Century Gothic" w:hAnsi="Verdana" w:cs="Century Gothic"/>
          <w:b/>
          <w:bCs/>
        </w:rPr>
        <w:t>s</w:t>
      </w:r>
      <w:r w:rsidRPr="00277E26">
        <w:rPr>
          <w:rFonts w:ascii="Verdana" w:eastAsia="Century Gothic" w:hAnsi="Verdana" w:cs="Century Gothic"/>
          <w:b/>
          <w:bCs/>
        </w:rPr>
        <w:t>:</w:t>
      </w:r>
    </w:p>
    <w:p w14:paraId="78BA644F" w14:textId="77777777" w:rsidR="009F54A9" w:rsidRPr="00277E26" w:rsidRDefault="009F54A9" w:rsidP="009F54A9">
      <w:pPr>
        <w:tabs>
          <w:tab w:val="left" w:pos="426"/>
        </w:tabs>
        <w:spacing w:after="0" w:line="276" w:lineRule="auto"/>
        <w:jc w:val="both"/>
        <w:rPr>
          <w:rFonts w:ascii="Verdana" w:eastAsia="Century Gothic" w:hAnsi="Verdana" w:cs="Century Gothic"/>
          <w:lang w:val="es-ES"/>
        </w:rPr>
      </w:pPr>
    </w:p>
    <w:p w14:paraId="21A71F4A" w14:textId="77777777" w:rsidR="009F54A9" w:rsidRPr="00277E26" w:rsidRDefault="009F54A9" w:rsidP="009F54A9">
      <w:pPr>
        <w:spacing w:after="0" w:line="276" w:lineRule="auto"/>
        <w:jc w:val="both"/>
        <w:rPr>
          <w:rFonts w:ascii="Verdana" w:eastAsia="Century Gothic" w:hAnsi="Verdana" w:cs="Century Gothic"/>
        </w:rPr>
      </w:pPr>
      <w:r w:rsidRPr="00277E26">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277E26">
        <w:rPr>
          <w:rFonts w:ascii="Verdana" w:eastAsia="Century Gothic" w:hAnsi="Verdana" w:cs="Century Gothic"/>
        </w:rPr>
        <w:t xml:space="preserve"> siguiente</w:t>
      </w:r>
      <w:r>
        <w:rPr>
          <w:rFonts w:ascii="Verdana" w:eastAsia="Century Gothic" w:hAnsi="Verdana" w:cs="Century Gothic"/>
        </w:rPr>
        <w:t>s</w:t>
      </w:r>
      <w:r w:rsidRPr="00277E26">
        <w:rPr>
          <w:rFonts w:ascii="Verdana" w:eastAsia="Century Gothic" w:hAnsi="Verdana" w:cs="Century Gothic"/>
        </w:rPr>
        <w:t xml:space="preserve"> problema</w:t>
      </w:r>
      <w:r>
        <w:rPr>
          <w:rFonts w:ascii="Verdana" w:eastAsia="Century Gothic" w:hAnsi="Verdana" w:cs="Century Gothic"/>
        </w:rPr>
        <w:t>s</w:t>
      </w:r>
      <w:r w:rsidRPr="00277E26">
        <w:rPr>
          <w:rFonts w:ascii="Verdana" w:eastAsia="Century Gothic" w:hAnsi="Verdana" w:cs="Century Gothic"/>
        </w:rPr>
        <w:t xml:space="preserve"> jurídico</w:t>
      </w:r>
      <w:r>
        <w:rPr>
          <w:rFonts w:ascii="Verdana" w:eastAsia="Century Gothic" w:hAnsi="Verdana" w:cs="Century Gothic"/>
        </w:rPr>
        <w:t>s</w:t>
      </w:r>
      <w:r w:rsidRPr="00277E26">
        <w:rPr>
          <w:rFonts w:ascii="Verdana" w:eastAsia="Century Gothic" w:hAnsi="Verdana" w:cs="Century Gothic"/>
        </w:rPr>
        <w:t xml:space="preserve">: </w:t>
      </w:r>
      <w:r w:rsidRPr="00DE73CB">
        <w:rPr>
          <w:rFonts w:ascii="Verdana" w:eastAsia="Century Gothic" w:hAnsi="Verdana" w:cs="Century Gothic"/>
        </w:rPr>
        <w:t>i) ¿es posible la celebración de un contrato de prestación de servicios con un menor de edad que tiene diecisiete (17) años?</w:t>
      </w:r>
      <w:r>
        <w:rPr>
          <w:rFonts w:ascii="Verdana" w:eastAsia="Century Gothic" w:hAnsi="Verdana" w:cs="Century Gothic"/>
        </w:rPr>
        <w:t xml:space="preserve"> y</w:t>
      </w:r>
      <w:r w:rsidRPr="00DE73CB">
        <w:rPr>
          <w:rFonts w:ascii="Verdana" w:eastAsia="Century Gothic" w:hAnsi="Verdana" w:cs="Century Gothic"/>
        </w:rPr>
        <w:t xml:space="preserve"> </w:t>
      </w:r>
      <w:proofErr w:type="spellStart"/>
      <w:r w:rsidRPr="00DE73CB">
        <w:rPr>
          <w:rFonts w:ascii="Verdana" w:eastAsia="Century Gothic" w:hAnsi="Verdana" w:cs="Century Gothic"/>
        </w:rPr>
        <w:t>ii</w:t>
      </w:r>
      <w:proofErr w:type="spellEnd"/>
      <w:r w:rsidRPr="00DE73CB">
        <w:rPr>
          <w:rFonts w:ascii="Verdana" w:eastAsia="Century Gothic" w:hAnsi="Verdana" w:cs="Century Gothic"/>
        </w:rPr>
        <w:t>) ¿cuáles serían los requisitos legales?</w:t>
      </w:r>
      <w:r w:rsidRPr="00277E26">
        <w:rPr>
          <w:rFonts w:ascii="Verdana" w:eastAsia="Century Gothic" w:hAnsi="Verdana" w:cs="Century Gothic"/>
        </w:rPr>
        <w:t xml:space="preserve"> </w:t>
      </w:r>
      <w:r w:rsidRPr="00277E26">
        <w:rPr>
          <w:rFonts w:ascii="Verdana" w:eastAsia="Century Gothic" w:hAnsi="Verdana" w:cs="Century Gothic"/>
          <w:color w:val="7030A0"/>
        </w:rPr>
        <w:t xml:space="preserve"> </w:t>
      </w:r>
    </w:p>
    <w:p w14:paraId="236825A3" w14:textId="77777777" w:rsidR="009F54A9" w:rsidRPr="00277E26" w:rsidRDefault="009F54A9" w:rsidP="009F54A9">
      <w:pPr>
        <w:spacing w:after="0" w:line="276" w:lineRule="auto"/>
        <w:jc w:val="both"/>
        <w:rPr>
          <w:rFonts w:ascii="Verdana" w:eastAsia="Calibri" w:hAnsi="Verdana" w:cs="Arial"/>
          <w:color w:val="7030A0"/>
        </w:rPr>
      </w:pPr>
    </w:p>
    <w:p w14:paraId="6D78AA31" w14:textId="77777777" w:rsidR="009F54A9" w:rsidRPr="00277E26" w:rsidRDefault="009F54A9" w:rsidP="009F54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Respuesta</w:t>
      </w:r>
      <w:r>
        <w:rPr>
          <w:rFonts w:ascii="Verdana" w:eastAsia="Century Gothic" w:hAnsi="Verdana" w:cs="Century Gothic"/>
          <w:b/>
          <w:bCs/>
        </w:rPr>
        <w:t>s</w:t>
      </w:r>
      <w:r w:rsidRPr="00277E26">
        <w:rPr>
          <w:rFonts w:ascii="Verdana" w:eastAsia="Century Gothic" w:hAnsi="Verdana" w:cs="Century Gothic"/>
          <w:b/>
          <w:bCs/>
        </w:rPr>
        <w:t>:</w:t>
      </w:r>
    </w:p>
    <w:p w14:paraId="4925FAAF" w14:textId="77777777" w:rsidR="009F54A9" w:rsidRPr="00277E26" w:rsidRDefault="009F54A9" w:rsidP="009F54A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54A9" w:rsidRPr="00593A5F" w14:paraId="64B5E4AF" w14:textId="77777777" w:rsidTr="006E3408">
        <w:trPr>
          <w:jc w:val="center"/>
        </w:trPr>
        <w:tc>
          <w:tcPr>
            <w:tcW w:w="8828" w:type="dxa"/>
            <w:shd w:val="clear" w:color="auto" w:fill="auto"/>
          </w:tcPr>
          <w:p w14:paraId="510EE02B" w14:textId="77777777" w:rsidR="009F54A9" w:rsidRPr="00DC55A8" w:rsidRDefault="009F54A9" w:rsidP="009C4980">
            <w:pPr>
              <w:pStyle w:val="NormalWeb"/>
              <w:spacing w:before="0" w:beforeAutospacing="0" w:after="120" w:afterAutospacing="0" w:line="276" w:lineRule="auto"/>
              <w:jc w:val="both"/>
              <w:rPr>
                <w:rFonts w:ascii="Verdana" w:eastAsia="Calibri" w:hAnsi="Verdana" w:cs="Arial"/>
                <w:bCs/>
                <w:color w:val="000000" w:themeColor="text1"/>
                <w:sz w:val="22"/>
                <w:szCs w:val="22"/>
                <w:lang w:val="es-ES_tradnl" w:eastAsia="es-MX"/>
              </w:rPr>
            </w:pPr>
            <w:bookmarkStart w:id="2" w:name="_Hlk171694685"/>
            <w:r w:rsidRPr="00DC55A8">
              <w:rPr>
                <w:rFonts w:ascii="Verdana" w:eastAsia="Century Gothic" w:hAnsi="Verdana" w:cs="Century Gothic"/>
                <w:sz w:val="22"/>
                <w:szCs w:val="22"/>
              </w:rPr>
              <w:t xml:space="preserve">Conforme a la interpretación de las normas generales del sistema de compras públicas, </w:t>
            </w:r>
            <w:r w:rsidRPr="00DC55A8">
              <w:rPr>
                <w:rFonts w:ascii="Verdana" w:eastAsia="Calibri" w:hAnsi="Verdana" w:cs="Arial"/>
                <w:bCs/>
                <w:color w:val="000000" w:themeColor="text1"/>
                <w:sz w:val="22"/>
                <w:szCs w:val="22"/>
                <w:lang w:val="es-ES_tradnl" w:eastAsia="es-MX"/>
              </w:rPr>
              <w:t xml:space="preserve">de acuerdo con los artículos 34 y 1504 del Código Civil, dado que las personas mayores de doce (12) años –pese a tener capacidad relativa– no están facultados expresamente por la ley para celebrar contratos de prestación de servicios, pueden suscribirlos siempre que estén debidamente </w:t>
            </w:r>
            <w:r w:rsidRPr="00DC55A8">
              <w:rPr>
                <w:rFonts w:ascii="Verdana" w:eastAsia="Calibri" w:hAnsi="Verdana" w:cs="Arial"/>
                <w:bCs/>
                <w:color w:val="000000" w:themeColor="text1"/>
                <w:sz w:val="22"/>
                <w:szCs w:val="22"/>
                <w:lang w:val="es-ES_tradnl" w:eastAsia="es-MX"/>
              </w:rPr>
              <w:lastRenderedPageBreak/>
              <w:t>representados o cuenten con la autorización de quienes tengan la patria potestad o, en su defecto, por quien ejerza la curaduría del menor de edad.</w:t>
            </w:r>
          </w:p>
          <w:p w14:paraId="42BAAE3C" w14:textId="77777777" w:rsidR="009F54A9" w:rsidRPr="00DC55A8" w:rsidRDefault="009F54A9" w:rsidP="009C4980">
            <w:pPr>
              <w:spacing w:after="120" w:line="276" w:lineRule="auto"/>
              <w:ind w:firstLine="709"/>
              <w:jc w:val="both"/>
              <w:rPr>
                <w:rFonts w:ascii="Verdana" w:hAnsi="Verdana" w:cs="Arial"/>
                <w:color w:val="000000" w:themeColor="text1"/>
              </w:rPr>
            </w:pPr>
            <w:r w:rsidRPr="00DC55A8">
              <w:rPr>
                <w:rFonts w:ascii="Verdana" w:hAnsi="Verdana" w:cs="Arial"/>
                <w:color w:val="000000" w:themeColor="text1"/>
              </w:rPr>
              <w:t xml:space="preserve">Los requisitos legales del contrato serán los previstos en la Ley 80 de 1993 para la modalidad de selección pertinente. En todo caso, conforme a lo anotado en el apartado anterior, se considera que no es exigible el trámite previsto en los artículos 35 y 114 de la Ley 1098 de 2006, el cual podría realizarse de manera meramente potestativa a efectos de evitar controversias posteriores tanto sobre la naturaleza independiente o no del servicio, como sobre los riesgos de las tareas realizadas. Lo anterior, supone respetar la autonomía del contratista en la ejecución de las actividades que hacen parte del objeto, sin que el contrato se utilice para encubrir una relación laboral subordinada, pues implica el riesgo de la declaratoria judicial de contrato realidad, con la correspondiente condena y la imposición de las sanciones a que haya lugar. </w:t>
            </w:r>
          </w:p>
          <w:p w14:paraId="0EBAFAC2" w14:textId="77777777" w:rsidR="009F54A9" w:rsidRPr="003D35C5" w:rsidRDefault="009F54A9" w:rsidP="009C4980">
            <w:pPr>
              <w:spacing w:after="120" w:line="276" w:lineRule="auto"/>
              <w:ind w:firstLine="709"/>
              <w:jc w:val="both"/>
              <w:rPr>
                <w:rFonts w:ascii="Verdana" w:hAnsi="Verdana" w:cs="Arial"/>
                <w:color w:val="000000" w:themeColor="text1"/>
              </w:rPr>
            </w:pPr>
            <w:r w:rsidRPr="00DC55A8">
              <w:rPr>
                <w:rFonts w:ascii="Verdana" w:hAnsi="Verdana" w:cs="Arial"/>
                <w:color w:val="000000" w:themeColor="text1"/>
              </w:rPr>
              <w:t>As</w:t>
            </w:r>
            <w:r>
              <w:rPr>
                <w:rFonts w:ascii="Verdana" w:hAnsi="Verdana" w:cs="Arial"/>
                <w:color w:val="000000" w:themeColor="text1"/>
              </w:rPr>
              <w:t>i</w:t>
            </w:r>
            <w:r w:rsidRPr="00DC55A8">
              <w:rPr>
                <w:rFonts w:ascii="Verdana" w:hAnsi="Verdana" w:cs="Arial"/>
                <w:color w:val="000000" w:themeColor="text1"/>
              </w:rPr>
              <w:t xml:space="preserve">mismo, con prescindencia de la minoría de edad y más allá de la capacidad legal, las entidades estatales deben examinar con cuidado en cada caso si las labores que pretende encomendar al menor sí son susceptibles de ser ejecutadas por este, atendiendo a su nivel de formación académica y a su experiencia; </w:t>
            </w:r>
            <w:r w:rsidRPr="003D35C5">
              <w:rPr>
                <w:rFonts w:ascii="Verdana" w:hAnsi="Verdana" w:cs="Arial"/>
                <w:color w:val="000000" w:themeColor="text1"/>
              </w:rPr>
              <w:t>ello en la medida en que los contratos de prestación de servicios profesionales o de apoyo a la gestión en ciertas ocasiones requieren de un conjunto de conocimientos cualificados de tipo intelectual, que brinda el estudio de una disciplina o la trayectoria laboral.</w:t>
            </w:r>
          </w:p>
          <w:p w14:paraId="3632987A" w14:textId="77777777" w:rsidR="009F54A9" w:rsidRDefault="009F54A9" w:rsidP="009C4980">
            <w:pPr>
              <w:pStyle w:val="NormalWeb"/>
              <w:spacing w:before="0" w:beforeAutospacing="0" w:after="120" w:afterAutospacing="0" w:line="276" w:lineRule="auto"/>
              <w:ind w:firstLine="737"/>
              <w:jc w:val="both"/>
              <w:rPr>
                <w:rFonts w:ascii="Verdana" w:hAnsi="Verdana" w:cs="Arial"/>
                <w:color w:val="000000" w:themeColor="text1"/>
                <w:sz w:val="22"/>
              </w:rPr>
            </w:pPr>
            <w:r w:rsidRPr="003D35C5">
              <w:rPr>
                <w:rFonts w:ascii="Verdana" w:hAnsi="Verdana" w:cs="Arial"/>
                <w:color w:val="000000" w:themeColor="text1"/>
                <w:sz w:val="22"/>
              </w:rPr>
              <w:t xml:space="preserve">De todas formas, </w:t>
            </w:r>
            <w:bookmarkStart w:id="3" w:name="_Hlk34679779"/>
            <w:r w:rsidRPr="003D35C5">
              <w:rPr>
                <w:rFonts w:ascii="Verdana" w:hAnsi="Verdana" w:cs="Arial"/>
                <w:color w:val="000000" w:themeColor="text1"/>
                <w:sz w:val="22"/>
              </w:rPr>
              <w:t xml:space="preserve">pese a que el marco normativo citado fundamenta razonablemente la respuesta de Colombia Compra Eficiente a la solicitud planteada, se considera prudente exhortar al peticionario a que formule estas inquietudes al Ministerio del Trabajo. Lo anterior, en la medida que el artículo 113 de la Ley 1098 de 2006 le atribuye competencia </w:t>
            </w:r>
            <w:r>
              <w:rPr>
                <w:rFonts w:ascii="Verdana" w:hAnsi="Verdana" w:cs="Arial"/>
                <w:color w:val="000000" w:themeColor="text1"/>
                <w:sz w:val="22"/>
              </w:rPr>
              <w:t>a dicha entidad</w:t>
            </w:r>
            <w:r w:rsidRPr="003D35C5">
              <w:rPr>
                <w:rFonts w:ascii="Verdana" w:hAnsi="Verdana" w:cs="Arial"/>
                <w:color w:val="000000" w:themeColor="text1"/>
                <w:sz w:val="22"/>
              </w:rPr>
              <w:t xml:space="preserve"> para autorizar el trabajo de los menores de edad; razón por la cual, el Ministerio del Trabajo define con criterio de autoridad si este requisito también es exigible o no en los contratos de prestación de servicios</w:t>
            </w:r>
            <w:bookmarkEnd w:id="3"/>
            <w:r>
              <w:rPr>
                <w:rFonts w:ascii="Verdana" w:hAnsi="Verdana" w:cs="Arial"/>
                <w:color w:val="000000" w:themeColor="text1"/>
                <w:sz w:val="22"/>
              </w:rPr>
              <w:t>.</w:t>
            </w:r>
          </w:p>
          <w:p w14:paraId="4E105C68" w14:textId="77777777" w:rsidR="009F54A9" w:rsidRPr="00A13D6A" w:rsidRDefault="009F54A9" w:rsidP="009C4980">
            <w:pPr>
              <w:pStyle w:val="NormalWeb"/>
              <w:spacing w:before="0" w:beforeAutospacing="0" w:after="0" w:afterAutospacing="0" w:line="276" w:lineRule="auto"/>
              <w:ind w:firstLine="737"/>
              <w:jc w:val="both"/>
              <w:rPr>
                <w:rFonts w:ascii="Verdana" w:eastAsia="Century Gothic" w:hAnsi="Verdana" w:cs="Century Gothic"/>
                <w:sz w:val="22"/>
                <w:szCs w:val="22"/>
              </w:rPr>
            </w:pPr>
            <w:r w:rsidRPr="006B14D6">
              <w:rPr>
                <w:rFonts w:ascii="Verdana" w:eastAsia="Century Gothic" w:hAnsi="Verdana" w:cs="Century Gothic"/>
                <w:sz w:val="22"/>
                <w:szCs w:val="22"/>
              </w:rPr>
              <w:t>Finalmente, conforme al oficio adjunto al presente documento, se remiten lineamientos de la Subdirección de Información y Desarrollo Tecnológico de la ANCP – CCE sobre la creación del usurario en el SECOP II tratándose de menores de edad.</w:t>
            </w:r>
            <w:r>
              <w:rPr>
                <w:rFonts w:ascii="Verdana" w:eastAsia="Century Gothic" w:hAnsi="Verdana" w:cs="Century Gothic"/>
                <w:sz w:val="22"/>
                <w:szCs w:val="22"/>
              </w:rPr>
              <w:t xml:space="preserve"> </w:t>
            </w:r>
          </w:p>
        </w:tc>
      </w:tr>
    </w:tbl>
    <w:p w14:paraId="311304C9" w14:textId="77777777" w:rsidR="009F54A9" w:rsidRPr="00277E26" w:rsidRDefault="009F54A9" w:rsidP="009F54A9">
      <w:pPr>
        <w:tabs>
          <w:tab w:val="left" w:pos="142"/>
          <w:tab w:val="left" w:pos="284"/>
        </w:tabs>
        <w:spacing w:after="0" w:line="276" w:lineRule="auto"/>
        <w:jc w:val="both"/>
        <w:rPr>
          <w:rFonts w:ascii="Verdana" w:eastAsia="Century Gothic" w:hAnsi="Verdana" w:cs="Century Gothic"/>
          <w:b/>
          <w:bCs/>
          <w:lang w:val="es-ES"/>
        </w:rPr>
      </w:pPr>
    </w:p>
    <w:bookmarkEnd w:id="2"/>
    <w:p w14:paraId="41AB6C7C" w14:textId="77777777" w:rsidR="009F54A9" w:rsidRPr="00277E26" w:rsidRDefault="009F54A9" w:rsidP="009F54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Razones de la</w:t>
      </w:r>
      <w:r>
        <w:rPr>
          <w:rFonts w:ascii="Verdana" w:eastAsia="Century Gothic" w:hAnsi="Verdana" w:cs="Century Gothic"/>
          <w:b/>
          <w:bCs/>
        </w:rPr>
        <w:t>s</w:t>
      </w:r>
      <w:r w:rsidRPr="00277E26">
        <w:rPr>
          <w:rFonts w:ascii="Verdana" w:eastAsia="Century Gothic" w:hAnsi="Verdana" w:cs="Century Gothic"/>
          <w:b/>
          <w:bCs/>
        </w:rPr>
        <w:t xml:space="preserve"> respuesta</w:t>
      </w:r>
      <w:r>
        <w:rPr>
          <w:rFonts w:ascii="Verdana" w:eastAsia="Century Gothic" w:hAnsi="Verdana" w:cs="Century Gothic"/>
          <w:b/>
          <w:bCs/>
        </w:rPr>
        <w:t>s</w:t>
      </w:r>
      <w:r w:rsidRPr="00277E26">
        <w:rPr>
          <w:rFonts w:ascii="Verdana" w:eastAsia="Century Gothic" w:hAnsi="Verdana" w:cs="Century Gothic"/>
          <w:b/>
          <w:bCs/>
        </w:rPr>
        <w:t>:</w:t>
      </w:r>
    </w:p>
    <w:p w14:paraId="686DA63D" w14:textId="77777777" w:rsidR="009F54A9" w:rsidRPr="00277E26" w:rsidRDefault="009F54A9" w:rsidP="009F54A9">
      <w:pPr>
        <w:spacing w:after="0" w:line="276" w:lineRule="auto"/>
        <w:jc w:val="both"/>
        <w:rPr>
          <w:rFonts w:ascii="Verdana" w:eastAsia="Calibri" w:hAnsi="Verdana" w:cs="Arial"/>
          <w:color w:val="7030A0"/>
          <w:lang w:val="es-ES"/>
        </w:rPr>
      </w:pPr>
    </w:p>
    <w:p w14:paraId="518F6027" w14:textId="77777777" w:rsidR="009F54A9" w:rsidRPr="00277E26" w:rsidRDefault="009F54A9" w:rsidP="009F54A9">
      <w:pPr>
        <w:spacing w:after="0" w:line="276" w:lineRule="auto"/>
        <w:jc w:val="both"/>
        <w:rPr>
          <w:rFonts w:ascii="Verdana" w:eastAsia="Calibri" w:hAnsi="Verdana" w:cs="Arial"/>
          <w:lang w:val="es-ES"/>
        </w:rPr>
      </w:pPr>
      <w:r w:rsidRPr="00277E26">
        <w:rPr>
          <w:rFonts w:ascii="Verdana" w:eastAsia="Calibri" w:hAnsi="Verdana" w:cs="Arial"/>
          <w:lang w:val="es-ES"/>
        </w:rPr>
        <w:t>Lo anterior se sustenta en las siguientes consideraciones:</w:t>
      </w:r>
    </w:p>
    <w:p w14:paraId="0468AAE3" w14:textId="77777777" w:rsidR="009F54A9" w:rsidRPr="00884819" w:rsidRDefault="009F54A9" w:rsidP="009F54A9">
      <w:pPr>
        <w:spacing w:after="0" w:line="276" w:lineRule="auto"/>
        <w:jc w:val="both"/>
        <w:rPr>
          <w:rFonts w:ascii="Verdana" w:eastAsia="Calibri" w:hAnsi="Verdana" w:cs="Arial"/>
          <w:lang w:val="es-ES"/>
        </w:rPr>
      </w:pPr>
    </w:p>
    <w:p w14:paraId="3E707D76" w14:textId="77777777" w:rsidR="009F54A9" w:rsidRPr="00884819" w:rsidRDefault="009F54A9" w:rsidP="009F54A9">
      <w:pPr>
        <w:spacing w:after="0" w:line="276" w:lineRule="auto"/>
        <w:jc w:val="both"/>
        <w:rPr>
          <w:rFonts w:ascii="Verdana" w:eastAsia="Calibri" w:hAnsi="Verdana" w:cs="Arial"/>
          <w:color w:val="000000"/>
          <w:lang w:val="es-ES_tradnl"/>
        </w:rPr>
      </w:pPr>
      <w:r w:rsidRPr="00884819">
        <w:rPr>
          <w:rFonts w:ascii="Verdana" w:eastAsia="Calibri" w:hAnsi="Verdana" w:cs="Arial"/>
          <w:bCs/>
          <w:color w:val="000000" w:themeColor="text1"/>
        </w:rPr>
        <w:t xml:space="preserve">i. </w:t>
      </w:r>
      <w:r w:rsidRPr="00884819">
        <w:rPr>
          <w:rFonts w:ascii="Verdana" w:eastAsia="Calibri" w:hAnsi="Verdana" w:cs="Arial"/>
          <w:color w:val="000000"/>
          <w:lang w:val="es-ES_tradnl"/>
        </w:rPr>
        <w:t>El contrato de prestación de servicios es uno de los tipos contractuales consagrados en el Estatuto General de Contratación de la Administración Pública, que pueden celebrar las entidades estatales. Históricamente, dicha tipología se encontraba regulada en el artículo 138 del Decreto Ley 150 del 1976 y en el artículo 163 del Decreto Ley 222 de 1983. Se trata de un contrato típico, ya que se encuentra definido en la ley y, por tanto, en las condiciones descritas en los artículos 13, 32 y 40 del EGCAP, su regulación desplaza las reglas del arrendamiento de servicios inmateriales de que tratan los artículos 2063 y siguientes del Código Civil. Actualmente, el artículo 32, numeral 3º, de la Ley 80 de 1993, establece:</w:t>
      </w:r>
    </w:p>
    <w:p w14:paraId="7C89FE24" w14:textId="77777777" w:rsidR="009F54A9" w:rsidRPr="00884819" w:rsidRDefault="009F54A9" w:rsidP="009F54A9">
      <w:pPr>
        <w:spacing w:after="0" w:line="276" w:lineRule="auto"/>
        <w:jc w:val="both"/>
        <w:rPr>
          <w:rFonts w:ascii="Verdana" w:eastAsia="Calibri" w:hAnsi="Verdana" w:cs="Arial"/>
          <w:color w:val="000000"/>
          <w:lang w:val="es-ES_tradnl"/>
        </w:rPr>
      </w:pPr>
    </w:p>
    <w:p w14:paraId="54E7A8F5" w14:textId="77777777" w:rsidR="009F54A9" w:rsidRPr="00884819" w:rsidRDefault="009F54A9" w:rsidP="009C4980">
      <w:pPr>
        <w:spacing w:after="12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6499ED6" w14:textId="77777777" w:rsidR="009F54A9" w:rsidRPr="00884819" w:rsidRDefault="009F54A9" w:rsidP="009C4980">
      <w:pPr>
        <w:spacing w:after="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En ningún caso estos contratos generan relación laboral ni prestaciones sociales y se celebrarán por el término estrictamente indispensable”.</w:t>
      </w:r>
    </w:p>
    <w:p w14:paraId="615F5DCB" w14:textId="77777777" w:rsidR="009F54A9" w:rsidRPr="00884819" w:rsidRDefault="009F54A9" w:rsidP="009F54A9">
      <w:pPr>
        <w:tabs>
          <w:tab w:val="left" w:pos="284"/>
        </w:tabs>
        <w:spacing w:after="0" w:line="276" w:lineRule="auto"/>
        <w:contextualSpacing/>
        <w:jc w:val="both"/>
        <w:rPr>
          <w:rFonts w:ascii="Verdana" w:eastAsia="Calibri" w:hAnsi="Verdana" w:cs="Arial"/>
          <w:b/>
          <w:color w:val="000000"/>
          <w:lang w:val="es-ES_tradnl"/>
        </w:rPr>
      </w:pPr>
    </w:p>
    <w:p w14:paraId="229E1DB9"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A pesar de la derogatoria del literal d) del artículo 24.1 del Estatuto General, la celebración de dicho contrato se realiza a través de la modalidad de la contratación directa. Así lo prevé el artículo 2, numeral 4º, literal h), de la Ley 1150 de 2007, que dispone:</w:t>
      </w:r>
    </w:p>
    <w:p w14:paraId="26E7080B" w14:textId="77777777" w:rsidR="009F54A9" w:rsidRPr="00884819" w:rsidRDefault="009F54A9" w:rsidP="009F54A9">
      <w:pPr>
        <w:spacing w:after="0" w:line="276" w:lineRule="auto"/>
        <w:jc w:val="both"/>
        <w:rPr>
          <w:rFonts w:ascii="Verdana" w:eastAsia="Calibri" w:hAnsi="Verdana" w:cs="Arial"/>
          <w:color w:val="000000"/>
          <w:lang w:val="es-ES_tradnl"/>
        </w:rPr>
      </w:pPr>
    </w:p>
    <w:p w14:paraId="082C4C91" w14:textId="77777777" w:rsidR="009F54A9" w:rsidRPr="00884819" w:rsidRDefault="009F54A9" w:rsidP="009C4980">
      <w:pPr>
        <w:spacing w:after="12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w:t>
      </w:r>
    </w:p>
    <w:p w14:paraId="2681FD7E" w14:textId="77777777" w:rsidR="009F54A9" w:rsidRPr="00884819" w:rsidRDefault="009F54A9" w:rsidP="009C4980">
      <w:pPr>
        <w:spacing w:after="0" w:line="240" w:lineRule="auto"/>
        <w:ind w:left="709" w:right="709"/>
        <w:jc w:val="both"/>
        <w:rPr>
          <w:rFonts w:ascii="Verdana" w:eastAsia="Calibri" w:hAnsi="Verdana" w:cs="Arial"/>
          <w:color w:val="000000"/>
          <w:sz w:val="21"/>
          <w:szCs w:val="21"/>
          <w:lang w:val="es-ES"/>
        </w:rPr>
      </w:pPr>
      <w:r w:rsidRPr="00884819">
        <w:rPr>
          <w:rFonts w:ascii="Verdana" w:eastAsia="Calibri" w:hAnsi="Verdana" w:cs="Arial"/>
          <w:color w:val="000000" w:themeColor="text1"/>
          <w:sz w:val="21"/>
          <w:szCs w:val="21"/>
          <w:lang w:val="es-ES"/>
        </w:rPr>
        <w:t>Contratación directa. La modalidad de selección de contratación directa solamente procederá en los siguientes casos:</w:t>
      </w:r>
    </w:p>
    <w:p w14:paraId="63E681B2" w14:textId="77777777" w:rsidR="009F54A9" w:rsidRPr="00884819" w:rsidRDefault="009F54A9" w:rsidP="009C4980">
      <w:pPr>
        <w:spacing w:after="12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w:t>
      </w:r>
    </w:p>
    <w:p w14:paraId="1D0A68FA" w14:textId="77777777" w:rsidR="009F54A9" w:rsidRPr="00884819" w:rsidRDefault="009F54A9" w:rsidP="009C4980">
      <w:pPr>
        <w:spacing w:after="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h) Para la prestación de servicios profesionales y de apoyo a la gestión, o para la ejecución de trabajos artísticos que sólo puedan encomendarse a determinadas personas naturales”</w:t>
      </w:r>
      <w:r w:rsidR="009C4980">
        <w:rPr>
          <w:rFonts w:ascii="Verdana" w:eastAsia="Calibri" w:hAnsi="Verdana" w:cs="Arial"/>
          <w:color w:val="000000"/>
          <w:sz w:val="21"/>
          <w:szCs w:val="21"/>
          <w:lang w:val="es-ES_tradnl"/>
        </w:rPr>
        <w:t>.</w:t>
      </w:r>
    </w:p>
    <w:p w14:paraId="3369F418" w14:textId="77777777" w:rsidR="009F54A9" w:rsidRPr="00884819" w:rsidRDefault="009F54A9" w:rsidP="009F54A9">
      <w:pPr>
        <w:spacing w:after="0"/>
        <w:ind w:right="709"/>
        <w:jc w:val="both"/>
        <w:rPr>
          <w:rFonts w:ascii="Verdana" w:eastAsia="Calibri" w:hAnsi="Verdana" w:cs="Arial"/>
          <w:color w:val="000000"/>
          <w:lang w:val="es-ES_tradnl"/>
        </w:rPr>
      </w:pPr>
    </w:p>
    <w:p w14:paraId="02C61C2E"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A partir de estos enunciados normativos, entre otros, de carácter legal y reglamentario, que complementan su regulación, y de los pronunciamientos </w:t>
      </w:r>
      <w:r w:rsidRPr="00884819">
        <w:rPr>
          <w:rFonts w:ascii="Verdana" w:eastAsia="Calibri" w:hAnsi="Verdana" w:cs="Arial"/>
          <w:color w:val="000000"/>
          <w:lang w:val="es-ES_tradnl"/>
        </w:rPr>
        <w:lastRenderedPageBreak/>
        <w:t>judiciales más destacados sobre el tema, es posible señalar las siguientes características del contrato de prestación de servicios:</w:t>
      </w:r>
    </w:p>
    <w:p w14:paraId="0533D3ED" w14:textId="77777777" w:rsidR="009F54A9" w:rsidRPr="00884819" w:rsidRDefault="009F54A9" w:rsidP="009F54A9">
      <w:pPr>
        <w:spacing w:before="120" w:after="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a</w:t>
      </w:r>
      <w:r w:rsidRPr="00884819">
        <w:rPr>
          <w:rFonts w:ascii="Verdana" w:eastAsia="Calibri" w:hAnsi="Verdana" w:cs="Arial"/>
          <w:color w:val="000000"/>
          <w:lang w:val="es-ES_tradnl"/>
        </w:rPr>
        <w:t>) Solo puede celebrarse para realizar “actividades relacionadas con la administración o funcionamiento de la entidad”, es decir, que hagan parte de su giro ordinario o quehacer cotidiano.</w:t>
      </w:r>
    </w:p>
    <w:p w14:paraId="3055DBF4" w14:textId="77777777" w:rsidR="009F54A9" w:rsidRPr="00884819" w:rsidRDefault="009F54A9" w:rsidP="009F54A9">
      <w:pPr>
        <w:spacing w:before="120" w:after="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b</w:t>
      </w:r>
      <w:r w:rsidRPr="00884819">
        <w:rPr>
          <w:rFonts w:ascii="Verdana" w:eastAsia="Calibri" w:hAnsi="Verdana" w:cs="Arial"/>
          <w:color w:val="000000"/>
          <w:lang w:val="es-ES_tradnl"/>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884819">
        <w:rPr>
          <w:rStyle w:val="Refdenotaalpie"/>
          <w:rFonts w:ascii="Verdana" w:eastAsia="Calibri" w:hAnsi="Verdana" w:cs="Arial"/>
          <w:color w:val="000000"/>
          <w:lang w:val="es-ES_tradnl"/>
        </w:rPr>
        <w:footnoteReference w:id="2"/>
      </w:r>
      <w:r w:rsidRPr="00884819">
        <w:rPr>
          <w:rFonts w:ascii="Verdana" w:eastAsia="Calibri" w:hAnsi="Verdana" w:cs="Arial"/>
          <w:color w:val="000000"/>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68E3FA99" w14:textId="77777777" w:rsidR="009F54A9" w:rsidRPr="00884819" w:rsidRDefault="009F54A9" w:rsidP="009F54A9">
      <w:pPr>
        <w:spacing w:before="120" w:after="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c</w:t>
      </w:r>
      <w:r w:rsidRPr="00884819">
        <w:rPr>
          <w:rFonts w:ascii="Verdana" w:eastAsia="Calibri" w:hAnsi="Verdana" w:cs="Arial"/>
          <w:color w:val="000000"/>
          <w:lang w:val="es-ES_tradnl"/>
        </w:rPr>
        <w:t>) Si bien se celebran para obtener la prestación personal de un servicio, se diferencian del contrato de trabajo</w:t>
      </w:r>
      <w:r w:rsidRPr="00884819">
        <w:rPr>
          <w:rStyle w:val="Refdenotaalpie"/>
          <w:rFonts w:ascii="Verdana" w:hAnsi="Verdana" w:cs="Arial"/>
        </w:rPr>
        <w:footnoteReference w:id="3"/>
      </w:r>
      <w:r w:rsidRPr="00884819">
        <w:rPr>
          <w:rFonts w:ascii="Verdana" w:eastAsia="Calibri" w:hAnsi="Verdana" w:cs="Arial"/>
          <w:color w:val="000000"/>
          <w:lang w:val="es-ES_tradnl"/>
        </w:rPr>
        <w:t xml:space="preserve"> en que quien celebra el contrato de prestación de servicios debe mantener autonomía e independencia en la ejecución de la labor, lo que significa que no puede existir la </w:t>
      </w:r>
      <w:r w:rsidRPr="00884819">
        <w:rPr>
          <w:rFonts w:ascii="Verdana" w:eastAsia="Calibri" w:hAnsi="Verdana" w:cs="Arial"/>
          <w:i/>
          <w:color w:val="000000"/>
          <w:lang w:val="es-ES_tradnl"/>
        </w:rPr>
        <w:t>subordinación y dependencia</w:t>
      </w:r>
      <w:r w:rsidRPr="00884819">
        <w:rPr>
          <w:rFonts w:ascii="Verdana" w:eastAsia="Calibri" w:hAnsi="Verdana" w:cs="Arial"/>
          <w:iCs/>
          <w:color w:val="000000"/>
          <w:lang w:val="es-ES_tradnl"/>
        </w:rPr>
        <w:t>,</w:t>
      </w:r>
      <w:r w:rsidRPr="00884819">
        <w:rPr>
          <w:rFonts w:ascii="Verdana" w:eastAsia="Calibri" w:hAnsi="Verdana" w:cs="Arial"/>
          <w:color w:val="000000"/>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w:t>
      </w:r>
      <w:r w:rsidRPr="00884819">
        <w:rPr>
          <w:rFonts w:ascii="Verdana" w:eastAsia="Calibri" w:hAnsi="Verdana" w:cs="Arial"/>
          <w:color w:val="000000"/>
          <w:lang w:val="es-ES_tradnl"/>
        </w:rPr>
        <w:lastRenderedPageBreak/>
        <w:t xml:space="preserve">interpretarse en el sentido de que los contratos de prestación de servicios profesionales </w:t>
      </w:r>
      <w:r w:rsidRPr="00884819">
        <w:rPr>
          <w:rFonts w:ascii="Verdana" w:eastAsia="Calibri" w:hAnsi="Verdana" w:cs="Arial"/>
          <w:i/>
          <w:color w:val="000000"/>
          <w:lang w:val="es-ES_tradnl"/>
        </w:rPr>
        <w:t>no pueden</w:t>
      </w:r>
      <w:r w:rsidRPr="00884819">
        <w:rPr>
          <w:rFonts w:ascii="Verdana" w:eastAsia="Calibri" w:hAnsi="Verdana" w:cs="Arial"/>
          <w:color w:val="000000"/>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0D11A56A" w14:textId="77777777" w:rsidR="009F54A9" w:rsidRPr="00884819" w:rsidRDefault="009F54A9" w:rsidP="009F54A9">
      <w:pPr>
        <w:spacing w:before="120"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Pero es posible que, a pesar de este mandato deontológico, en la práctica surja la relación laboral, pues, como se sabe, el contrato de trabajo es un </w:t>
      </w:r>
      <w:r w:rsidRPr="00884819">
        <w:rPr>
          <w:rFonts w:ascii="Verdana" w:eastAsia="Calibri" w:hAnsi="Verdana" w:cs="Arial"/>
          <w:i/>
          <w:color w:val="000000"/>
          <w:lang w:val="es-ES_tradnl"/>
        </w:rPr>
        <w:t>contrato realidad</w:t>
      </w:r>
      <w:r w:rsidRPr="00884819">
        <w:rPr>
          <w:rFonts w:ascii="Verdana" w:eastAsia="Calibri" w:hAnsi="Verdana" w:cs="Arial"/>
          <w:color w:val="000000"/>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00884819">
        <w:rPr>
          <w:rStyle w:val="Refdenotaalpie"/>
          <w:rFonts w:ascii="Verdana" w:hAnsi="Verdana" w:cs="Arial"/>
        </w:rPr>
        <w:footnoteReference w:id="4"/>
      </w:r>
      <w:r w:rsidRPr="00884819">
        <w:rPr>
          <w:rFonts w:ascii="Verdana" w:eastAsia="Calibri" w:hAnsi="Verdana" w:cs="Arial"/>
          <w:color w:val="000000"/>
          <w:lang w:val="es-ES_tradnl"/>
        </w:rPr>
        <w:t xml:space="preserve">. </w:t>
      </w:r>
    </w:p>
    <w:p w14:paraId="79038136" w14:textId="77777777" w:rsidR="009F54A9" w:rsidRPr="00884819" w:rsidRDefault="009F54A9" w:rsidP="009C4980">
      <w:pPr>
        <w:spacing w:before="120"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En todo caso, conforme al artículo 54.1 de la Ley 1952 de 2019, “Por medio de la cual se expide el código general disciplinario se derogan la ley 734 de 2002 y algunas disposiciones de la ley 1474 de 2011, relacionadas con el derecho disciplinario”, constituye falta gravísima “Celebrar contrato de prestación de servicios cuyo objeto sea el cumplimiento de funciones públicas o administrativas que requieran dedicación de tiempo completo e impliquen subordinación y ausencia de autonomía respecto del contratista […]”</w:t>
      </w:r>
      <w:r w:rsidRPr="00884819">
        <w:rPr>
          <w:rStyle w:val="Refdenotaalpie"/>
          <w:rFonts w:ascii="Verdana" w:eastAsia="Calibri" w:hAnsi="Verdana" w:cs="Arial"/>
          <w:color w:val="000000"/>
          <w:lang w:val="es-ES_tradnl"/>
        </w:rPr>
        <w:footnoteReference w:id="5"/>
      </w:r>
      <w:r w:rsidRPr="00884819">
        <w:rPr>
          <w:rFonts w:ascii="Verdana" w:eastAsia="Calibri" w:hAnsi="Verdana" w:cs="Arial"/>
          <w:color w:val="000000"/>
          <w:lang w:val="es-ES_tradnl"/>
        </w:rPr>
        <w:t>.</w:t>
      </w:r>
    </w:p>
    <w:p w14:paraId="1680ED2E" w14:textId="77777777" w:rsidR="009F54A9" w:rsidRPr="00884819" w:rsidRDefault="009F54A9" w:rsidP="009C4980">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d</w:t>
      </w:r>
      <w:r w:rsidRPr="00884819">
        <w:rPr>
          <w:rFonts w:ascii="Verdana" w:eastAsia="Calibri" w:hAnsi="Verdana" w:cs="Arial"/>
          <w:color w:val="000000"/>
          <w:lang w:val="es-ES_tradnl"/>
        </w:rPr>
        <w:t xml:space="preserve">) Deben ser temporales. Así lo señaló la Corte Constitucional en la misma providencia a la que se aludió previamente,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w:t>
      </w:r>
      <w:r w:rsidRPr="00884819">
        <w:rPr>
          <w:rFonts w:ascii="Verdana" w:eastAsia="Calibri" w:hAnsi="Verdana" w:cs="Arial"/>
          <w:color w:val="000000"/>
          <w:lang w:val="es-ES_tradnl"/>
        </w:rPr>
        <w:lastRenderedPageBreak/>
        <w:t>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84819">
        <w:rPr>
          <w:rStyle w:val="Refdenotaalpie"/>
          <w:rFonts w:ascii="Verdana" w:hAnsi="Verdana" w:cs="Arial"/>
        </w:rPr>
        <w:footnoteReference w:id="6"/>
      </w:r>
      <w:r w:rsidRPr="00884819">
        <w:rPr>
          <w:rFonts w:ascii="Verdana" w:eastAsia="Calibri" w:hAnsi="Verdana" w:cs="Arial"/>
          <w:color w:val="000000"/>
          <w:lang w:val="es-ES_tradnl"/>
        </w:rPr>
        <w:t>.</w:t>
      </w:r>
    </w:p>
    <w:p w14:paraId="6B17BB3A" w14:textId="77777777" w:rsidR="009F54A9" w:rsidRPr="00884819" w:rsidRDefault="009F54A9" w:rsidP="009F54A9">
      <w:pPr>
        <w:spacing w:after="0" w:line="276" w:lineRule="auto"/>
        <w:ind w:firstLine="709"/>
        <w:jc w:val="both"/>
        <w:rPr>
          <w:rFonts w:ascii="Verdana" w:eastAsia="Calibri" w:hAnsi="Verdana" w:cs="Arial"/>
          <w:color w:val="000000"/>
          <w:lang w:val="es-ES"/>
        </w:rPr>
      </w:pPr>
      <w:r>
        <w:rPr>
          <w:rFonts w:ascii="Verdana" w:eastAsia="Calibri" w:hAnsi="Verdana" w:cs="Arial"/>
          <w:color w:val="000000"/>
          <w:lang w:val="es-ES"/>
        </w:rPr>
        <w:t>e</w:t>
      </w:r>
      <w:r w:rsidRPr="00884819">
        <w:rPr>
          <w:rFonts w:ascii="Verdana" w:eastAsia="Calibri" w:hAnsi="Verdana" w:cs="Arial"/>
          <w:color w:val="000000"/>
          <w:lang w:val="es-ES"/>
        </w:rPr>
        <w:t xml:space="preserve">) Los contratos de prestación de servicios constituyen un </w:t>
      </w:r>
      <w:r w:rsidRPr="00884819">
        <w:rPr>
          <w:rFonts w:ascii="Verdana" w:eastAsia="Calibri" w:hAnsi="Verdana" w:cs="Arial"/>
          <w:i/>
          <w:color w:val="000000"/>
          <w:lang w:val="es-ES"/>
        </w:rPr>
        <w:t>género</w:t>
      </w:r>
      <w:r w:rsidRPr="00884819">
        <w:rPr>
          <w:rFonts w:ascii="Verdana" w:eastAsia="Calibri" w:hAnsi="Verdana" w:cs="Arial"/>
          <w:color w:val="000000"/>
          <w:lang w:val="es-ES"/>
        </w:rPr>
        <w:t xml:space="preserve"> que incluye, como </w:t>
      </w:r>
      <w:r w:rsidRPr="00884819">
        <w:rPr>
          <w:rFonts w:ascii="Verdana" w:eastAsia="Calibri" w:hAnsi="Verdana" w:cs="Arial"/>
          <w:i/>
          <w:color w:val="000000"/>
          <w:lang w:val="es-ES"/>
        </w:rPr>
        <w:t>especies</w:t>
      </w:r>
      <w:r w:rsidRPr="00884819">
        <w:rPr>
          <w:rFonts w:ascii="Verdana" w:eastAsia="Calibri"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884819">
        <w:rPr>
          <w:rStyle w:val="Refdenotaalpie"/>
          <w:rFonts w:ascii="Verdana" w:hAnsi="Verdana" w:cs="Arial"/>
        </w:rPr>
        <w:footnoteReference w:id="7"/>
      </w:r>
      <w:r w:rsidRPr="00884819">
        <w:rPr>
          <w:rFonts w:ascii="Verdana" w:eastAsia="Calibri" w:hAnsi="Verdana" w:cs="Arial"/>
          <w:color w:val="000000"/>
          <w:lang w:val="es-ES"/>
        </w:rPr>
        <w:t xml:space="preserve">. La diferencia entre el contrato de prestación de servicios </w:t>
      </w:r>
      <w:r w:rsidRPr="00884819">
        <w:rPr>
          <w:rFonts w:ascii="Verdana" w:eastAsia="Calibri" w:hAnsi="Verdana" w:cs="Arial"/>
          <w:i/>
          <w:color w:val="000000"/>
          <w:lang w:val="es-ES"/>
        </w:rPr>
        <w:t>profesionales</w:t>
      </w:r>
      <w:r w:rsidRPr="00884819">
        <w:rPr>
          <w:rFonts w:ascii="Verdana" w:eastAsia="Calibri" w:hAnsi="Verdana" w:cs="Arial"/>
          <w:color w:val="000000"/>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08767EC9"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p>
    <w:p w14:paraId="44EA88E9" w14:textId="77777777" w:rsidR="009F54A9" w:rsidRPr="00884819" w:rsidRDefault="009F54A9" w:rsidP="009C4980">
      <w:pPr>
        <w:spacing w:after="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884819">
        <w:rPr>
          <w:rStyle w:val="Refdenotaalpie"/>
          <w:rFonts w:ascii="Verdana" w:hAnsi="Verdana" w:cs="Arial"/>
        </w:rPr>
        <w:footnoteReference w:id="8"/>
      </w:r>
      <w:r w:rsidRPr="00884819">
        <w:rPr>
          <w:rFonts w:ascii="Verdana" w:eastAsia="Calibri" w:hAnsi="Verdana" w:cs="Arial"/>
          <w:color w:val="000000"/>
          <w:sz w:val="21"/>
          <w:szCs w:val="21"/>
          <w:lang w:val="es-ES_tradnl"/>
        </w:rPr>
        <w:t>.</w:t>
      </w:r>
    </w:p>
    <w:p w14:paraId="74932CB5"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p>
    <w:p w14:paraId="4D270255"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lastRenderedPageBreak/>
        <w:t>Objeto que, según la sentencia que se cita, se diferencia del objeto del contrato de prestación de servicios de apoyo a la gestión, porque en este:</w:t>
      </w:r>
    </w:p>
    <w:p w14:paraId="6C9143FA"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p>
    <w:p w14:paraId="1BE9CA81" w14:textId="77777777" w:rsidR="009F54A9" w:rsidRPr="00884819" w:rsidRDefault="009F54A9" w:rsidP="009C4980">
      <w:pPr>
        <w:spacing w:after="12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30A73ED" w14:textId="77777777" w:rsidR="009F54A9" w:rsidRPr="00884819" w:rsidRDefault="009F54A9" w:rsidP="009C4980">
      <w:pPr>
        <w:spacing w:after="120" w:line="240" w:lineRule="auto"/>
        <w:ind w:left="709" w:right="709"/>
        <w:jc w:val="both"/>
        <w:rPr>
          <w:rFonts w:ascii="Verdana" w:eastAsia="Calibri" w:hAnsi="Verdana" w:cs="Arial"/>
          <w:color w:val="000000"/>
          <w:sz w:val="21"/>
          <w:szCs w:val="21"/>
          <w:lang w:val="es-ES"/>
        </w:rPr>
      </w:pPr>
      <w:r w:rsidRPr="2ADCE9CC">
        <w:rPr>
          <w:rFonts w:ascii="Verdana" w:eastAsia="Calibri" w:hAnsi="Verdana" w:cs="Arial"/>
          <w:color w:val="000000" w:themeColor="text1"/>
          <w:sz w:val="21"/>
          <w:szCs w:val="21"/>
          <w:lang w:val="es-ES"/>
        </w:rPr>
        <w:t xml:space="preserve">Aunque también se caracteriza por el desempeño de actividad intelectiva, ésta </w:t>
      </w:r>
      <w:proofErr w:type="gramStart"/>
      <w:r w:rsidRPr="2ADCE9CC">
        <w:rPr>
          <w:rFonts w:ascii="Verdana" w:eastAsia="Calibri" w:hAnsi="Verdana" w:cs="Arial"/>
          <w:color w:val="000000" w:themeColor="text1"/>
          <w:sz w:val="21"/>
          <w:szCs w:val="21"/>
          <w:lang w:val="es-ES"/>
        </w:rPr>
        <w:t>se enmarca dentro de</w:t>
      </w:r>
      <w:proofErr w:type="gramEnd"/>
      <w:r w:rsidRPr="2ADCE9CC">
        <w:rPr>
          <w:rFonts w:ascii="Verdana" w:eastAsia="Calibri" w:hAnsi="Verdana" w:cs="Arial"/>
          <w:color w:val="000000" w:themeColor="text1"/>
          <w:sz w:val="21"/>
          <w:szCs w:val="21"/>
          <w:lang w:val="es-ES"/>
        </w:rPr>
        <w:t xml:space="preserve"> un saber propiamente técnico; igualmente involucra actividades en donde prima el esfuerzo físico o mecánico, en donde no se requiere de personal profesional.</w:t>
      </w:r>
    </w:p>
    <w:p w14:paraId="730E4CB9" w14:textId="77777777" w:rsidR="009F54A9" w:rsidRPr="00884819" w:rsidRDefault="009F54A9" w:rsidP="009C4980">
      <w:pPr>
        <w:spacing w:after="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884819">
        <w:rPr>
          <w:rStyle w:val="Refdenotaalpie"/>
          <w:rFonts w:ascii="Verdana" w:hAnsi="Verdana" w:cs="Arial"/>
        </w:rPr>
        <w:footnoteReference w:id="9"/>
      </w:r>
      <w:r w:rsidRPr="00884819">
        <w:rPr>
          <w:rFonts w:ascii="Verdana" w:eastAsia="Calibri" w:hAnsi="Verdana" w:cs="Arial"/>
          <w:color w:val="000000"/>
          <w:sz w:val="21"/>
          <w:szCs w:val="21"/>
          <w:lang w:val="es-ES_tradnl"/>
        </w:rPr>
        <w:t>.</w:t>
      </w:r>
    </w:p>
    <w:p w14:paraId="06A23831"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p>
    <w:p w14:paraId="18526155"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En relación con el contrato de prestación de servicios artísticos que solo pueden encomendarse a determinadas personas naturales, señala el mencionado fallo que:</w:t>
      </w:r>
    </w:p>
    <w:p w14:paraId="2B6CAFD4" w14:textId="77777777" w:rsidR="009F54A9" w:rsidRPr="00884819" w:rsidRDefault="009F54A9" w:rsidP="009F54A9">
      <w:pPr>
        <w:spacing w:after="0"/>
        <w:ind w:left="709" w:right="709"/>
        <w:jc w:val="both"/>
        <w:rPr>
          <w:rFonts w:ascii="Verdana" w:eastAsia="Calibri" w:hAnsi="Verdana" w:cs="Arial"/>
          <w:color w:val="000000"/>
          <w:lang w:val="es-ES_tradnl"/>
        </w:rPr>
      </w:pPr>
    </w:p>
    <w:p w14:paraId="03A22977" w14:textId="77777777" w:rsidR="009F54A9" w:rsidRPr="00884819" w:rsidRDefault="009F54A9" w:rsidP="009C4980">
      <w:pPr>
        <w:spacing w:after="0" w:line="240" w:lineRule="auto"/>
        <w:ind w:left="709" w:right="709"/>
        <w:jc w:val="both"/>
        <w:rPr>
          <w:rFonts w:ascii="Verdana" w:eastAsia="Calibri" w:hAnsi="Verdana" w:cs="Arial"/>
          <w:color w:val="000000"/>
          <w:sz w:val="21"/>
          <w:szCs w:val="21"/>
          <w:lang w:val="es-ES_tradnl"/>
        </w:rPr>
      </w:pPr>
      <w:r w:rsidRPr="00884819">
        <w:rPr>
          <w:rFonts w:ascii="Verdana" w:eastAsia="Calibri" w:hAnsi="Verdana" w:cs="Arial"/>
          <w:color w:val="000000"/>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884819">
        <w:rPr>
          <w:rStyle w:val="Refdenotaalpie"/>
          <w:rFonts w:ascii="Verdana" w:hAnsi="Verdana" w:cs="Arial"/>
        </w:rPr>
        <w:footnoteReference w:id="10"/>
      </w:r>
      <w:r w:rsidRPr="00884819">
        <w:rPr>
          <w:rFonts w:ascii="Verdana" w:eastAsia="Calibri" w:hAnsi="Verdana" w:cs="Arial"/>
          <w:color w:val="000000"/>
          <w:sz w:val="21"/>
          <w:szCs w:val="21"/>
          <w:lang w:val="es-ES_tradnl"/>
        </w:rPr>
        <w:t>.</w:t>
      </w:r>
    </w:p>
    <w:p w14:paraId="7F1D7EB6" w14:textId="77777777" w:rsidR="009F54A9" w:rsidRPr="00884819" w:rsidRDefault="009F54A9" w:rsidP="009F54A9">
      <w:pPr>
        <w:spacing w:after="0"/>
        <w:ind w:left="709" w:right="709"/>
        <w:jc w:val="both"/>
        <w:rPr>
          <w:rFonts w:ascii="Verdana" w:eastAsia="Calibri" w:hAnsi="Verdana" w:cs="Arial"/>
          <w:color w:val="000000"/>
          <w:lang w:val="es-ES_tradnl"/>
        </w:rPr>
      </w:pPr>
    </w:p>
    <w:p w14:paraId="29930D12" w14:textId="77777777" w:rsidR="009F54A9" w:rsidRPr="00884819" w:rsidRDefault="009F54A9" w:rsidP="009F54A9">
      <w:pPr>
        <w:spacing w:after="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f</w:t>
      </w:r>
      <w:r w:rsidRPr="00884819">
        <w:rPr>
          <w:rFonts w:ascii="Verdana" w:eastAsia="Calibri" w:hAnsi="Verdana" w:cs="Arial"/>
          <w:color w:val="000000"/>
          <w:lang w:val="es-ES_tradnl"/>
        </w:rPr>
        <w:t>)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884819">
        <w:rPr>
          <w:rStyle w:val="Refdenotaalpie"/>
          <w:rFonts w:ascii="Verdana" w:hAnsi="Verdana" w:cs="Arial"/>
        </w:rPr>
        <w:footnoteReference w:id="11"/>
      </w:r>
      <w:r w:rsidRPr="00884819">
        <w:rPr>
          <w:rFonts w:ascii="Verdana" w:eastAsia="Calibri" w:hAnsi="Verdana" w:cs="Arial"/>
          <w:color w:val="000000"/>
          <w:lang w:val="es-ES_tradnl"/>
        </w:rPr>
        <w:t xml:space="preserve">. Pero, tampoco puede </w:t>
      </w:r>
      <w:r w:rsidRPr="00884819">
        <w:rPr>
          <w:rFonts w:ascii="Verdana" w:eastAsia="Calibri" w:hAnsi="Verdana" w:cs="Arial"/>
          <w:color w:val="000000"/>
          <w:lang w:val="es-ES_tradnl"/>
        </w:rPr>
        <w:lastRenderedPageBreak/>
        <w:t>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0969363F" w14:textId="77777777" w:rsidR="009F54A9" w:rsidRPr="00884819" w:rsidRDefault="009F54A9" w:rsidP="009F54A9">
      <w:pPr>
        <w:spacing w:before="120" w:after="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g</w:t>
      </w:r>
      <w:r w:rsidRPr="00884819">
        <w:rPr>
          <w:rFonts w:ascii="Verdana" w:eastAsia="Calibri" w:hAnsi="Verdana" w:cs="Arial"/>
          <w:color w:val="000000"/>
          <w:lang w:val="es-ES_tradnl"/>
        </w:rPr>
        <w:t>) Para su celebración no se requiere en algunos casos la expedición del acto administrativo de justificación de la contratación directa</w:t>
      </w:r>
      <w:r w:rsidRPr="00884819">
        <w:rPr>
          <w:rStyle w:val="Refdenotaalpie"/>
          <w:rFonts w:ascii="Verdana" w:hAnsi="Verdana" w:cs="Arial"/>
        </w:rPr>
        <w:footnoteReference w:id="12"/>
      </w:r>
      <w:r w:rsidRPr="00884819">
        <w:rPr>
          <w:rFonts w:ascii="Verdana" w:eastAsia="Calibri" w:hAnsi="Verdana" w:cs="Arial"/>
          <w:color w:val="000000"/>
          <w:lang w:val="es-ES_tradnl"/>
        </w:rPr>
        <w:t xml:space="preserve">. </w:t>
      </w:r>
    </w:p>
    <w:p w14:paraId="2452C609" w14:textId="77777777" w:rsidR="009F54A9" w:rsidRPr="00884819" w:rsidRDefault="009F54A9" w:rsidP="009F54A9">
      <w:pPr>
        <w:spacing w:before="120" w:after="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h</w:t>
      </w:r>
      <w:r w:rsidRPr="00884819">
        <w:rPr>
          <w:rFonts w:ascii="Verdana" w:eastAsia="Calibri" w:hAnsi="Verdana"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884819">
        <w:rPr>
          <w:rStyle w:val="Refdenotaalpie"/>
          <w:rFonts w:ascii="Verdana" w:hAnsi="Verdana" w:cs="Arial"/>
        </w:rPr>
        <w:footnoteReference w:id="13"/>
      </w:r>
      <w:r w:rsidRPr="00884819">
        <w:rPr>
          <w:rFonts w:ascii="Verdana" w:eastAsia="Calibri" w:hAnsi="Verdana" w:cs="Arial"/>
          <w:color w:val="000000"/>
          <w:lang w:val="es-ES_tradnl"/>
        </w:rPr>
        <w:t>.</w:t>
      </w:r>
    </w:p>
    <w:p w14:paraId="1684151F" w14:textId="77777777" w:rsidR="009F54A9" w:rsidRPr="00884819" w:rsidRDefault="009F54A9" w:rsidP="009F54A9">
      <w:pPr>
        <w:spacing w:before="120"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i) En algunos casos no es obligatoria la liquidación, pues así lo estableció el artículo 217 del Decreto 019 de 2012, que modificó el artículo 60 de la Ley 80 </w:t>
      </w:r>
      <w:r w:rsidRPr="00884819">
        <w:rPr>
          <w:rFonts w:ascii="Verdana" w:eastAsia="Calibri" w:hAnsi="Verdana" w:cs="Arial"/>
          <w:color w:val="000000"/>
          <w:lang w:val="es-ES_tradnl"/>
        </w:rPr>
        <w:lastRenderedPageBreak/>
        <w:t>de 1993</w:t>
      </w:r>
      <w:r w:rsidRPr="00884819">
        <w:rPr>
          <w:rStyle w:val="Refdenotaalpie"/>
          <w:rFonts w:ascii="Verdana" w:hAnsi="Verdana" w:cs="Arial"/>
        </w:rPr>
        <w:footnoteReference w:id="14"/>
      </w:r>
      <w:r w:rsidRPr="00884819">
        <w:rPr>
          <w:rFonts w:ascii="Verdana" w:eastAsia="Calibri" w:hAnsi="Verdana" w:cs="Arial"/>
          <w:color w:val="000000"/>
          <w:lang w:val="es-ES_tradnl"/>
        </w:rPr>
        <w:t>, refiriéndose a los contratos de prestación de servicios profesionales y de apoyo a la gestión.</w:t>
      </w:r>
    </w:p>
    <w:p w14:paraId="642B1589" w14:textId="77777777" w:rsidR="009F54A9" w:rsidRPr="00884819" w:rsidRDefault="009F54A9" w:rsidP="009F54A9">
      <w:pPr>
        <w:spacing w:before="120" w:after="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j</w:t>
      </w:r>
      <w:r w:rsidRPr="00884819">
        <w:rPr>
          <w:rFonts w:ascii="Verdana" w:eastAsia="Calibri" w:hAnsi="Verdana" w:cs="Arial"/>
          <w:color w:val="000000"/>
          <w:lang w:val="es-ES_tradnl"/>
        </w:rPr>
        <w:t>) Para su celebración no se requiere inscripción en el Registro Único de Proponentes (RUP), según lo prevé el artículo 6 de la Ley 1150 de 2007</w:t>
      </w:r>
      <w:r w:rsidRPr="00884819">
        <w:rPr>
          <w:rStyle w:val="Refdenotaalpie"/>
          <w:rFonts w:ascii="Verdana" w:hAnsi="Verdana" w:cs="Arial"/>
        </w:rPr>
        <w:footnoteReference w:id="15"/>
      </w:r>
      <w:r w:rsidRPr="00884819">
        <w:rPr>
          <w:rFonts w:ascii="Verdana" w:eastAsia="Calibri" w:hAnsi="Verdana" w:cs="Arial"/>
          <w:color w:val="000000"/>
          <w:lang w:val="es-ES_tradnl"/>
        </w:rPr>
        <w:t>.</w:t>
      </w:r>
    </w:p>
    <w:p w14:paraId="63E6095A" w14:textId="77777777" w:rsidR="009F54A9" w:rsidRDefault="009F54A9" w:rsidP="009F54A9">
      <w:pPr>
        <w:spacing w:before="120" w:after="0"/>
        <w:ind w:firstLine="709"/>
        <w:jc w:val="both"/>
        <w:rPr>
          <w:rFonts w:ascii="Verdana" w:eastAsia="Calibri" w:hAnsi="Verdana" w:cs="Arial"/>
          <w:color w:val="000000"/>
          <w:lang w:val="es-ES_tradnl"/>
        </w:rPr>
      </w:pPr>
      <w:r>
        <w:rPr>
          <w:rFonts w:ascii="Verdana" w:eastAsia="Calibri" w:hAnsi="Verdana" w:cs="Arial"/>
          <w:color w:val="000000"/>
          <w:lang w:val="es-ES_tradnl"/>
        </w:rPr>
        <w:t>k</w:t>
      </w:r>
      <w:r w:rsidRPr="00884819">
        <w:rPr>
          <w:rFonts w:ascii="Verdana" w:eastAsia="Calibri" w:hAnsi="Verdana" w:cs="Arial"/>
          <w:color w:val="000000"/>
          <w:lang w:val="es-ES_tradnl"/>
        </w:rPr>
        <w:t>) En ellos no son necesarias las garantías</w:t>
      </w:r>
      <w:r w:rsidRPr="00884819">
        <w:rPr>
          <w:rStyle w:val="Refdenotaalpie"/>
          <w:rFonts w:ascii="Verdana" w:hAnsi="Verdana" w:cs="Arial"/>
        </w:rPr>
        <w:footnoteReference w:id="16"/>
      </w:r>
      <w:r w:rsidRPr="00884819">
        <w:rPr>
          <w:rFonts w:ascii="Verdana" w:eastAsia="Calibri" w:hAnsi="Verdana" w:cs="Arial"/>
          <w:color w:val="000000"/>
          <w:lang w:val="es-ES_tradnl"/>
        </w:rPr>
        <w:t>.</w:t>
      </w:r>
    </w:p>
    <w:p w14:paraId="0B01A0B5" w14:textId="77777777" w:rsidR="009F54A9" w:rsidRPr="00884819" w:rsidRDefault="009F54A9" w:rsidP="00701CCE">
      <w:pPr>
        <w:spacing w:after="0"/>
        <w:ind w:firstLine="709"/>
        <w:jc w:val="both"/>
        <w:rPr>
          <w:rFonts w:ascii="Verdana" w:eastAsia="Calibri" w:hAnsi="Verdana" w:cs="Arial"/>
          <w:color w:val="000000"/>
          <w:lang w:val="es-ES_tradnl"/>
        </w:rPr>
      </w:pPr>
    </w:p>
    <w:p w14:paraId="587EFF84" w14:textId="77777777" w:rsidR="009F54A9" w:rsidRPr="002F7E6A" w:rsidRDefault="009F54A9" w:rsidP="009F54A9">
      <w:pPr>
        <w:tabs>
          <w:tab w:val="left" w:pos="8505"/>
        </w:tabs>
        <w:spacing w:after="0" w:line="276" w:lineRule="auto"/>
        <w:ind w:right="142"/>
        <w:jc w:val="both"/>
        <w:rPr>
          <w:rFonts w:ascii="Verdana" w:hAnsi="Verdana" w:cs="Arial"/>
          <w:color w:val="000000" w:themeColor="text1"/>
        </w:rPr>
      </w:pPr>
      <w:proofErr w:type="spellStart"/>
      <w:r w:rsidRPr="002F7E6A">
        <w:rPr>
          <w:rFonts w:ascii="Verdana" w:hAnsi="Verdana" w:cs="Arial"/>
          <w:iCs/>
          <w:color w:val="000000" w:themeColor="text1"/>
          <w:lang w:val="es-ES_tradnl"/>
        </w:rPr>
        <w:t>ii</w:t>
      </w:r>
      <w:proofErr w:type="spellEnd"/>
      <w:r w:rsidRPr="002F7E6A">
        <w:rPr>
          <w:rFonts w:ascii="Verdana" w:hAnsi="Verdana" w:cs="Arial"/>
          <w:iCs/>
          <w:color w:val="000000" w:themeColor="text1"/>
          <w:lang w:val="es-ES_tradnl"/>
        </w:rPr>
        <w:t xml:space="preserve">. </w:t>
      </w:r>
      <w:r w:rsidRPr="002F7E6A">
        <w:rPr>
          <w:rFonts w:ascii="Verdana" w:hAnsi="Verdana" w:cs="Arial"/>
          <w:color w:val="000000" w:themeColor="text1"/>
        </w:rPr>
        <w:t>La capacidad es un presupuesto de la validez de contrato. No en vano, en concordancia con el numeral 1 del artículo 1502 del Código Civil</w:t>
      </w:r>
      <w:r w:rsidRPr="002F7E6A">
        <w:rPr>
          <w:rStyle w:val="Refdenotaalpie"/>
          <w:rFonts w:ascii="Verdana" w:hAnsi="Verdana" w:cs="Arial"/>
          <w:color w:val="000000" w:themeColor="text1"/>
        </w:rPr>
        <w:footnoteReference w:id="17"/>
      </w:r>
      <w:r w:rsidRPr="002F7E6A">
        <w:rPr>
          <w:rFonts w:ascii="Verdana" w:hAnsi="Verdana" w:cs="Arial"/>
          <w:color w:val="000000" w:themeColor="text1"/>
        </w:rPr>
        <w:t xml:space="preserve">, el artículo 6 de la Ley 80 de 1993 dispone que </w:t>
      </w:r>
      <w:r>
        <w:rPr>
          <w:rFonts w:ascii="Verdana" w:hAnsi="Verdana" w:cs="Arial"/>
          <w:color w:val="000000" w:themeColor="text1"/>
        </w:rPr>
        <w:t>“</w:t>
      </w:r>
      <w:r w:rsidRPr="002F7E6A">
        <w:rPr>
          <w:rFonts w:ascii="Verdana" w:hAnsi="Verdana" w:cs="Arial"/>
          <w:color w:val="000000" w:themeColor="text1"/>
        </w:rPr>
        <w:t>Pueden celebrar contratos con las entidades estatales las personas consideradas legalmente capaces en las disposiciones vigentes</w:t>
      </w:r>
      <w:r>
        <w:rPr>
          <w:rFonts w:ascii="Verdana" w:hAnsi="Verdana" w:cs="Arial"/>
          <w:color w:val="000000" w:themeColor="text1"/>
        </w:rPr>
        <w:t xml:space="preserve"> […]”</w:t>
      </w:r>
      <w:r w:rsidRPr="002F7E6A">
        <w:rPr>
          <w:rFonts w:ascii="Verdana" w:hAnsi="Verdana" w:cs="Arial"/>
          <w:color w:val="000000" w:themeColor="text1"/>
        </w:rPr>
        <w:t xml:space="preserve">. Para estos efectos, es necesario tener en cuenta que si bien todos los seres humanos, por el hecho de gozar de personalidad jurídica, son sujetos de derechos y obligaciones, algunas no pueden ejercerlos por sí mismos, sino a través de interpuesta persona. Lo anterior significa que, si bien todas las personas tienen </w:t>
      </w:r>
      <w:r w:rsidRPr="002F7E6A">
        <w:rPr>
          <w:rFonts w:ascii="Verdana" w:hAnsi="Verdana" w:cs="Arial"/>
          <w:i/>
          <w:color w:val="000000" w:themeColor="text1"/>
        </w:rPr>
        <w:t>capacidad de goce</w:t>
      </w:r>
      <w:r w:rsidRPr="002F7E6A">
        <w:rPr>
          <w:rFonts w:ascii="Verdana" w:hAnsi="Verdana" w:cs="Arial"/>
          <w:color w:val="000000" w:themeColor="text1"/>
        </w:rPr>
        <w:t xml:space="preserve">, no todas tienen </w:t>
      </w:r>
      <w:r w:rsidRPr="002F7E6A">
        <w:rPr>
          <w:rFonts w:ascii="Verdana" w:hAnsi="Verdana" w:cs="Arial"/>
          <w:i/>
          <w:color w:val="000000" w:themeColor="text1"/>
        </w:rPr>
        <w:t>capacidad de ejercicio</w:t>
      </w:r>
      <w:r w:rsidRPr="002F7E6A">
        <w:rPr>
          <w:rFonts w:ascii="Verdana" w:hAnsi="Verdana" w:cs="Arial"/>
          <w:color w:val="000000" w:themeColor="text1"/>
        </w:rPr>
        <w:t xml:space="preserve">. En efecto, la primera es reconocida por el artículo 14 de la Constitución Política de 1991, en el sentido que </w:t>
      </w:r>
      <w:r>
        <w:rPr>
          <w:rFonts w:ascii="Verdana" w:hAnsi="Verdana" w:cs="Arial"/>
          <w:color w:val="000000" w:themeColor="text1"/>
        </w:rPr>
        <w:t>“</w:t>
      </w:r>
      <w:r w:rsidRPr="002F7E6A">
        <w:rPr>
          <w:rFonts w:ascii="Verdana" w:hAnsi="Verdana" w:cs="Arial"/>
          <w:color w:val="000000" w:themeColor="text1"/>
        </w:rPr>
        <w:t>Toda persona tiene derecho al reconocimiento de su personalidad jurídica</w:t>
      </w:r>
      <w:r>
        <w:rPr>
          <w:rFonts w:ascii="Verdana" w:hAnsi="Verdana" w:cs="Arial"/>
          <w:color w:val="000000" w:themeColor="text1"/>
        </w:rPr>
        <w:t>”</w:t>
      </w:r>
      <w:r w:rsidRPr="002F7E6A">
        <w:rPr>
          <w:rFonts w:ascii="Verdana" w:hAnsi="Verdana" w:cs="Arial"/>
          <w:color w:val="000000" w:themeColor="text1"/>
        </w:rPr>
        <w:t xml:space="preserve">. Adicionalmente, el artículo 74 </w:t>
      </w:r>
      <w:r w:rsidRPr="002F7E6A">
        <w:rPr>
          <w:rFonts w:ascii="Verdana" w:hAnsi="Verdana" w:cs="Arial"/>
          <w:color w:val="000000" w:themeColor="text1"/>
        </w:rPr>
        <w:lastRenderedPageBreak/>
        <w:t xml:space="preserve">del Código Civil prescribe que </w:t>
      </w:r>
      <w:r>
        <w:rPr>
          <w:rFonts w:ascii="Verdana" w:hAnsi="Verdana" w:cs="Arial"/>
          <w:color w:val="000000" w:themeColor="text1"/>
        </w:rPr>
        <w:t>“</w:t>
      </w:r>
      <w:r w:rsidRPr="002F7E6A">
        <w:rPr>
          <w:rFonts w:ascii="Verdana" w:hAnsi="Verdana" w:cs="Arial"/>
          <w:color w:val="000000" w:themeColor="text1"/>
        </w:rPr>
        <w:t>Son personas todos los individuos de la especie humana, cualquiera que sea su edad, sexo, estirpe o condición</w:t>
      </w:r>
      <w:r>
        <w:rPr>
          <w:rFonts w:ascii="Verdana" w:hAnsi="Verdana" w:cs="Arial"/>
          <w:color w:val="000000" w:themeColor="text1"/>
        </w:rPr>
        <w:t>”</w:t>
      </w:r>
      <w:r w:rsidRPr="002F7E6A">
        <w:rPr>
          <w:rFonts w:ascii="Verdana" w:hAnsi="Verdana" w:cs="Arial"/>
          <w:color w:val="000000" w:themeColor="text1"/>
        </w:rPr>
        <w:t>. Al respecto, la doctrina explica que:</w:t>
      </w:r>
    </w:p>
    <w:p w14:paraId="1B1D5AE6" w14:textId="77777777" w:rsidR="009F54A9" w:rsidRPr="002F7E6A" w:rsidRDefault="009F54A9" w:rsidP="009F54A9">
      <w:pPr>
        <w:tabs>
          <w:tab w:val="left" w:pos="8505"/>
        </w:tabs>
        <w:spacing w:after="0" w:line="276" w:lineRule="auto"/>
        <w:ind w:right="142"/>
        <w:jc w:val="both"/>
        <w:rPr>
          <w:rFonts w:ascii="Verdana" w:hAnsi="Verdana" w:cs="Arial"/>
          <w:color w:val="000000" w:themeColor="text1"/>
        </w:rPr>
      </w:pPr>
    </w:p>
    <w:p w14:paraId="5034EB44" w14:textId="77777777" w:rsidR="009F54A9" w:rsidRPr="002F7E6A" w:rsidRDefault="009F54A9" w:rsidP="009C4980">
      <w:pPr>
        <w:tabs>
          <w:tab w:val="left" w:pos="8505"/>
        </w:tabs>
        <w:spacing w:after="120" w:line="240" w:lineRule="aut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es una palabra de doble sentido, lo mismo que </w:t>
      </w:r>
      <w:r w:rsidRPr="002F7E6A">
        <w:rPr>
          <w:rFonts w:ascii="Verdana" w:hAnsi="Verdana" w:cs="Arial"/>
          <w:i/>
          <w:iCs/>
          <w:color w:val="000000" w:themeColor="text1"/>
          <w:sz w:val="21"/>
          <w:szCs w:val="21"/>
        </w:rPr>
        <w:t>incapacidad</w:t>
      </w:r>
      <w:r w:rsidRPr="002F7E6A">
        <w:rPr>
          <w:rFonts w:ascii="Verdana" w:hAnsi="Verdana" w:cs="Arial"/>
          <w:color w:val="000000" w:themeColor="text1"/>
          <w:sz w:val="21"/>
          <w:szCs w:val="21"/>
        </w:rPr>
        <w:t xml:space="preserve">, su contraria: a veces designa con ella la aptitud o falta de aptitud para </w:t>
      </w:r>
      <w:r w:rsidRPr="002F7E6A">
        <w:rPr>
          <w:rFonts w:ascii="Verdana" w:hAnsi="Verdana" w:cs="Arial"/>
          <w:i/>
          <w:iCs/>
          <w:color w:val="000000" w:themeColor="text1"/>
          <w:sz w:val="21"/>
          <w:szCs w:val="21"/>
        </w:rPr>
        <w:t>adquirir</w:t>
      </w:r>
      <w:r w:rsidRPr="002F7E6A">
        <w:rPr>
          <w:rFonts w:ascii="Verdana" w:hAnsi="Verdana" w:cs="Arial"/>
          <w:color w:val="000000" w:themeColor="text1"/>
          <w:sz w:val="21"/>
          <w:szCs w:val="21"/>
        </w:rPr>
        <w:t xml:space="preserve"> y para </w:t>
      </w:r>
      <w:r w:rsidRPr="002F7E6A">
        <w:rPr>
          <w:rFonts w:ascii="Verdana" w:hAnsi="Verdana" w:cs="Arial"/>
          <w:i/>
          <w:iCs/>
          <w:color w:val="000000" w:themeColor="text1"/>
          <w:sz w:val="21"/>
          <w:szCs w:val="21"/>
        </w:rPr>
        <w:t>poseer</w:t>
      </w:r>
      <w:r w:rsidRPr="002F7E6A">
        <w:rPr>
          <w:rFonts w:ascii="Verdana" w:hAnsi="Verdana" w:cs="Arial"/>
          <w:color w:val="000000" w:themeColor="text1"/>
          <w:sz w:val="21"/>
          <w:szCs w:val="21"/>
        </w:rPr>
        <w:t xml:space="preserve"> derechos, para ser titular de esos derechos, y entonces se trata de una </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o una </w:t>
      </w:r>
      <w:r w:rsidRPr="002F7E6A">
        <w:rPr>
          <w:rFonts w:ascii="Verdana" w:hAnsi="Verdana" w:cs="Arial"/>
          <w:i/>
          <w:iCs/>
          <w:color w:val="000000" w:themeColor="text1"/>
          <w:sz w:val="21"/>
          <w:szCs w:val="21"/>
        </w:rPr>
        <w:t>incapacidad</w:t>
      </w:r>
      <w:r w:rsidRPr="002F7E6A">
        <w:rPr>
          <w:rFonts w:ascii="Verdana" w:hAnsi="Verdana" w:cs="Arial"/>
          <w:color w:val="000000" w:themeColor="text1"/>
          <w:sz w:val="21"/>
          <w:szCs w:val="21"/>
        </w:rPr>
        <w:t xml:space="preserve"> </w:t>
      </w:r>
      <w:r w:rsidRPr="002F7E6A">
        <w:rPr>
          <w:rFonts w:ascii="Verdana" w:hAnsi="Verdana" w:cs="Arial"/>
          <w:i/>
          <w:iCs/>
          <w:color w:val="000000" w:themeColor="text1"/>
          <w:sz w:val="21"/>
          <w:szCs w:val="21"/>
        </w:rPr>
        <w:t>de goce</w:t>
      </w:r>
      <w:r w:rsidRPr="002F7E6A">
        <w:rPr>
          <w:rFonts w:ascii="Verdana" w:hAnsi="Verdana" w:cs="Arial"/>
          <w:color w:val="000000" w:themeColor="text1"/>
          <w:sz w:val="21"/>
          <w:szCs w:val="21"/>
        </w:rPr>
        <w:t xml:space="preserve"> […]; otras veces, y con mayor frecuencia, se trata sólo de la aptitud o falta de aptitud para </w:t>
      </w:r>
      <w:r w:rsidRPr="002F7E6A">
        <w:rPr>
          <w:rFonts w:ascii="Verdana" w:hAnsi="Verdana" w:cs="Arial"/>
          <w:i/>
          <w:iCs/>
          <w:color w:val="000000" w:themeColor="text1"/>
          <w:sz w:val="21"/>
          <w:szCs w:val="21"/>
        </w:rPr>
        <w:t>ejercer</w:t>
      </w:r>
      <w:r w:rsidRPr="002F7E6A">
        <w:rPr>
          <w:rFonts w:ascii="Verdana" w:hAnsi="Verdana" w:cs="Arial"/>
          <w:color w:val="000000" w:themeColor="text1"/>
          <w:sz w:val="21"/>
          <w:szCs w:val="21"/>
        </w:rPr>
        <w:t xml:space="preserve"> los derechos de que una persona está investida y, en tal caso, se trata sólo de una </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o de una </w:t>
      </w:r>
      <w:r w:rsidRPr="002F7E6A">
        <w:rPr>
          <w:rFonts w:ascii="Verdana" w:hAnsi="Verdana" w:cs="Arial"/>
          <w:i/>
          <w:iCs/>
          <w:color w:val="000000" w:themeColor="text1"/>
          <w:sz w:val="21"/>
          <w:szCs w:val="21"/>
        </w:rPr>
        <w:t>incapacidad de ejercicio</w:t>
      </w:r>
      <w:r w:rsidRPr="002F7E6A">
        <w:rPr>
          <w:rFonts w:ascii="Verdana" w:hAnsi="Verdana" w:cs="Arial"/>
          <w:color w:val="000000" w:themeColor="text1"/>
          <w:sz w:val="21"/>
          <w:szCs w:val="21"/>
        </w:rPr>
        <w:t>.</w:t>
      </w:r>
    </w:p>
    <w:p w14:paraId="19327502" w14:textId="77777777" w:rsidR="009F54A9" w:rsidRPr="002F7E6A" w:rsidRDefault="009F54A9" w:rsidP="009C4980">
      <w:pPr>
        <w:tabs>
          <w:tab w:val="left" w:pos="8505"/>
        </w:tabs>
        <w:spacing w:after="0" w:line="240" w:lineRule="auto"/>
        <w:ind w:left="709" w:right="709"/>
        <w:jc w:val="both"/>
        <w:rPr>
          <w:rFonts w:ascii="Verdana" w:hAnsi="Verdana" w:cs="Arial"/>
          <w:color w:val="000000" w:themeColor="text1"/>
          <w:sz w:val="21"/>
          <w:szCs w:val="21"/>
        </w:rPr>
      </w:pPr>
      <w:r w:rsidRPr="002F7E6A">
        <w:rPr>
          <w:rFonts w:ascii="Verdana" w:hAnsi="Verdana" w:cs="Arial"/>
          <w:color w:val="000000" w:themeColor="text1"/>
          <w:sz w:val="21"/>
          <w:szCs w:val="21"/>
        </w:rPr>
        <w:t xml:space="preserve">Ejemplos: un menor no tiene derechos políticos, está totalmente privado de ellos; la incapacidad se refiere al </w:t>
      </w:r>
      <w:r w:rsidRPr="002F7E6A">
        <w:rPr>
          <w:rFonts w:ascii="Verdana" w:hAnsi="Verdana" w:cs="Arial"/>
          <w:i/>
          <w:iCs/>
          <w:color w:val="000000" w:themeColor="text1"/>
          <w:sz w:val="21"/>
          <w:szCs w:val="21"/>
        </w:rPr>
        <w:t>goce</w:t>
      </w:r>
      <w:r w:rsidRPr="002F7E6A">
        <w:rPr>
          <w:rFonts w:ascii="Verdana" w:hAnsi="Verdana" w:cs="Arial"/>
          <w:color w:val="000000" w:themeColor="text1"/>
          <w:sz w:val="21"/>
          <w:szCs w:val="21"/>
        </w:rPr>
        <w:t xml:space="preserve">, a la </w:t>
      </w:r>
      <w:r w:rsidRPr="002F7E6A">
        <w:rPr>
          <w:rFonts w:ascii="Verdana" w:hAnsi="Verdana" w:cs="Arial"/>
          <w:i/>
          <w:iCs/>
          <w:color w:val="000000" w:themeColor="text1"/>
          <w:sz w:val="21"/>
          <w:szCs w:val="21"/>
        </w:rPr>
        <w:t>existencia</w:t>
      </w:r>
      <w:r w:rsidRPr="002F7E6A">
        <w:rPr>
          <w:rFonts w:ascii="Verdana" w:hAnsi="Verdana" w:cs="Arial"/>
          <w:color w:val="000000" w:themeColor="text1"/>
          <w:sz w:val="21"/>
          <w:szCs w:val="21"/>
        </w:rPr>
        <w:t xml:space="preserve"> misma de esos derechos. Pero ese mismo menor puede ser propietario o acreedor; puede poseer bienes, tener una fortuna considerable; desde este punto de vista, en ese terreno, le pertenece la capacidad de goce, pero, esos derechos de que está investido de propiedad o de crédito, no puede ejercerlos por sí mismo, sobre todo sí es todavía un niño; es preciso, de toda necesidad, que alguien los ejerza por él, en su nombre. Le falta capacidad de ejercicio.</w:t>
      </w:r>
    </w:p>
    <w:p w14:paraId="3FBF9762" w14:textId="77777777" w:rsidR="009F54A9" w:rsidRPr="002F7E6A" w:rsidRDefault="009F54A9" w:rsidP="009C4980">
      <w:pPr>
        <w:tabs>
          <w:tab w:val="left" w:pos="8505"/>
        </w:tabs>
        <w:spacing w:after="120" w:line="240" w:lineRule="auto"/>
        <w:ind w:left="709" w:right="709"/>
        <w:jc w:val="both"/>
        <w:rPr>
          <w:rFonts w:ascii="Verdana" w:hAnsi="Verdana" w:cs="Arial"/>
          <w:color w:val="000000" w:themeColor="text1"/>
          <w:sz w:val="21"/>
          <w:szCs w:val="21"/>
        </w:rPr>
      </w:pPr>
      <w:r w:rsidRPr="002F7E6A">
        <w:rPr>
          <w:rFonts w:ascii="Verdana" w:hAnsi="Verdana" w:cs="Arial"/>
          <w:color w:val="000000" w:themeColor="text1"/>
          <w:sz w:val="21"/>
          <w:szCs w:val="21"/>
        </w:rPr>
        <w:t>[…]</w:t>
      </w:r>
    </w:p>
    <w:p w14:paraId="341F5348" w14:textId="77777777" w:rsidR="009F54A9" w:rsidRPr="002F7E6A" w:rsidRDefault="009F54A9" w:rsidP="009C4980">
      <w:pPr>
        <w:tabs>
          <w:tab w:val="left" w:pos="8505"/>
        </w:tabs>
        <w:spacing w:after="0" w:line="240" w:lineRule="auto"/>
        <w:ind w:left="709" w:right="709"/>
        <w:jc w:val="both"/>
        <w:rPr>
          <w:rFonts w:ascii="Verdana" w:hAnsi="Verdana" w:cs="Arial"/>
          <w:color w:val="000000" w:themeColor="text1"/>
        </w:rPr>
      </w:pPr>
      <w:r w:rsidRPr="002F7E6A">
        <w:rPr>
          <w:rFonts w:ascii="Verdana" w:hAnsi="Verdana" w:cs="Arial"/>
          <w:color w:val="000000" w:themeColor="text1"/>
          <w:sz w:val="21"/>
          <w:szCs w:val="21"/>
        </w:rPr>
        <w:t>Resulta de las explicaciones precedentes que la incapacidad de goce es más grave que la de ejercicio, porque la primera lleva consigo la segunda, y no recíprocamente. Y, sobre todo, una es irremediable mientras que la otra lleva consigo paliativos, remedios: el menor es incapaz de ejercitar los derechos que le pertenecen, pero eso no importa, porque alguien los ejercerá por él, su padre o su tutor. Lo esencial es tener, poseer los derechos; la cuestión de su ejercicio es, si no secundaria, por lo menos susceptible de ser resuelta por un medio o por otro</w:t>
      </w:r>
      <w:r>
        <w:rPr>
          <w:rFonts w:ascii="Verdana" w:hAnsi="Verdana" w:cs="Arial"/>
          <w:color w:val="000000" w:themeColor="text1"/>
          <w:sz w:val="21"/>
          <w:szCs w:val="21"/>
        </w:rPr>
        <w:t>”</w:t>
      </w:r>
      <w:r w:rsidRPr="002F7E6A">
        <w:rPr>
          <w:rStyle w:val="Refdenotaalpie"/>
          <w:rFonts w:ascii="Verdana" w:hAnsi="Verdana" w:cs="Arial"/>
          <w:color w:val="000000" w:themeColor="text1"/>
          <w:sz w:val="21"/>
          <w:szCs w:val="21"/>
        </w:rPr>
        <w:footnoteReference w:id="18"/>
      </w:r>
      <w:r w:rsidRPr="002F7E6A">
        <w:rPr>
          <w:rFonts w:ascii="Verdana" w:hAnsi="Verdana" w:cs="Arial"/>
          <w:color w:val="000000" w:themeColor="text1"/>
          <w:sz w:val="21"/>
          <w:szCs w:val="21"/>
        </w:rPr>
        <w:t>. (</w:t>
      </w:r>
      <w:r>
        <w:rPr>
          <w:rFonts w:ascii="Verdana" w:hAnsi="Verdana" w:cs="Arial"/>
          <w:color w:val="000000" w:themeColor="text1"/>
          <w:sz w:val="21"/>
          <w:szCs w:val="21"/>
        </w:rPr>
        <w:t>Énfasis</w:t>
      </w:r>
      <w:r w:rsidRPr="002F7E6A">
        <w:rPr>
          <w:rFonts w:ascii="Verdana" w:hAnsi="Verdana" w:cs="Arial"/>
          <w:color w:val="000000" w:themeColor="text1"/>
          <w:sz w:val="21"/>
          <w:szCs w:val="21"/>
        </w:rPr>
        <w:t xml:space="preserve"> dentro del texto)</w:t>
      </w:r>
      <w:r w:rsidRPr="002F7E6A">
        <w:rPr>
          <w:rFonts w:ascii="Verdana" w:hAnsi="Verdana" w:cs="Arial"/>
          <w:color w:val="000000" w:themeColor="text1"/>
        </w:rPr>
        <w:t xml:space="preserve">               </w:t>
      </w:r>
    </w:p>
    <w:p w14:paraId="30CAD257" w14:textId="77777777" w:rsidR="009F54A9" w:rsidRPr="002F7E6A" w:rsidRDefault="009F54A9" w:rsidP="009F54A9">
      <w:pPr>
        <w:tabs>
          <w:tab w:val="left" w:pos="709"/>
        </w:tabs>
        <w:spacing w:after="0" w:line="276" w:lineRule="auto"/>
        <w:ind w:right="142"/>
        <w:jc w:val="both"/>
        <w:rPr>
          <w:rFonts w:ascii="Verdana" w:hAnsi="Verdana" w:cs="Arial"/>
          <w:color w:val="000000" w:themeColor="text1"/>
        </w:rPr>
      </w:pPr>
    </w:p>
    <w:p w14:paraId="6FF41DA2" w14:textId="77777777" w:rsidR="009F54A9" w:rsidRPr="002F7E6A" w:rsidRDefault="009F54A9" w:rsidP="009F54A9">
      <w:pPr>
        <w:tabs>
          <w:tab w:val="left" w:pos="709"/>
        </w:tabs>
        <w:spacing w:after="0" w:line="276" w:lineRule="auto"/>
        <w:ind w:firstLine="709"/>
        <w:jc w:val="both"/>
        <w:rPr>
          <w:rFonts w:ascii="Verdana" w:hAnsi="Verdana" w:cs="Arial"/>
          <w:color w:val="000000" w:themeColor="text1"/>
        </w:rPr>
      </w:pPr>
      <w:r w:rsidRPr="002F7E6A">
        <w:rPr>
          <w:rFonts w:ascii="Verdana" w:hAnsi="Verdana" w:cs="Arial"/>
          <w:color w:val="000000" w:themeColor="text1"/>
        </w:rPr>
        <w:t xml:space="preserve">Por ello, ante la necesidad de proteger a determinados sujetos, el ordenamiento jurídico exige que se actúe a través de terceros, bien sea para adquirir derechos o contraer obligaciones. No en vano, el Código Civil dispone que </w:t>
      </w:r>
      <w:r>
        <w:rPr>
          <w:rFonts w:ascii="Verdana" w:hAnsi="Verdana" w:cs="Arial"/>
          <w:color w:val="000000" w:themeColor="text1"/>
        </w:rPr>
        <w:t>“</w:t>
      </w:r>
      <w:r w:rsidRPr="002F7E6A">
        <w:rPr>
          <w:rFonts w:ascii="Verdana" w:hAnsi="Verdana" w:cs="Arial"/>
          <w:color w:val="000000" w:themeColor="text1"/>
        </w:rPr>
        <w:t>La capacidad legal de una persona consiste en poderse obligar por sí misma, y sin el ministerio o la autorización de otra</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inciso 2 del artículo 1502</w:t>
      </w:r>
      <w:r>
        <w:rPr>
          <w:rFonts w:ascii="Verdana" w:hAnsi="Verdana" w:cs="Arial"/>
          <w:color w:val="000000" w:themeColor="text1"/>
        </w:rPr>
        <w:t>–</w:t>
      </w:r>
      <w:r w:rsidRPr="002F7E6A">
        <w:rPr>
          <w:rFonts w:ascii="Verdana" w:hAnsi="Verdana" w:cs="Arial"/>
          <w:color w:val="000000" w:themeColor="text1"/>
        </w:rPr>
        <w:t xml:space="preserve"> y que </w:t>
      </w:r>
      <w:r>
        <w:rPr>
          <w:rFonts w:ascii="Verdana" w:hAnsi="Verdana" w:cs="Arial"/>
          <w:color w:val="000000" w:themeColor="text1"/>
        </w:rPr>
        <w:t>“</w:t>
      </w:r>
      <w:r w:rsidRPr="002F7E6A">
        <w:rPr>
          <w:rFonts w:ascii="Verdana" w:hAnsi="Verdana" w:cs="Arial"/>
          <w:color w:val="000000" w:themeColor="text1"/>
        </w:rPr>
        <w:t>Toda persona es legalmente capaz, excepto aquéllas que la ley declara incapaces</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artículo 1503</w:t>
      </w:r>
      <w:r>
        <w:rPr>
          <w:rFonts w:ascii="Verdana" w:hAnsi="Verdana" w:cs="Arial"/>
          <w:color w:val="000000" w:themeColor="text1"/>
        </w:rPr>
        <w:t>–</w:t>
      </w:r>
      <w:r w:rsidRPr="002F7E6A">
        <w:rPr>
          <w:rFonts w:ascii="Verdana" w:hAnsi="Verdana" w:cs="Arial"/>
          <w:color w:val="000000" w:themeColor="text1"/>
        </w:rPr>
        <w:t xml:space="preserve">. En esta medida, la limitación de la </w:t>
      </w:r>
      <w:r w:rsidRPr="002F7E6A">
        <w:rPr>
          <w:rFonts w:ascii="Verdana" w:hAnsi="Verdana" w:cs="Arial"/>
          <w:i/>
          <w:color w:val="000000" w:themeColor="text1"/>
        </w:rPr>
        <w:t xml:space="preserve">capacidad de </w:t>
      </w:r>
      <w:r w:rsidRPr="002F7E6A">
        <w:rPr>
          <w:rFonts w:ascii="Verdana" w:hAnsi="Verdana" w:cs="Arial"/>
          <w:i/>
          <w:color w:val="000000" w:themeColor="text1"/>
        </w:rPr>
        <w:lastRenderedPageBreak/>
        <w:t>ejercicio</w:t>
      </w:r>
      <w:r w:rsidRPr="002F7E6A">
        <w:rPr>
          <w:rFonts w:ascii="Verdana" w:hAnsi="Verdana" w:cs="Arial"/>
          <w:color w:val="000000" w:themeColor="text1"/>
        </w:rPr>
        <w:t xml:space="preserve"> de los menores de edad tiene su fundamento en el artículo 1504 del Código Civil, el cual –después de la modificación introducida por el artículo 57 de la Ley 1996 de 2019– dispone que:   </w:t>
      </w:r>
    </w:p>
    <w:p w14:paraId="0321BB61" w14:textId="77777777" w:rsidR="009F54A9" w:rsidRPr="002F7E6A" w:rsidRDefault="009F54A9" w:rsidP="009F54A9">
      <w:pPr>
        <w:tabs>
          <w:tab w:val="left" w:pos="709"/>
        </w:tabs>
        <w:spacing w:after="0" w:line="276" w:lineRule="auto"/>
        <w:ind w:right="142"/>
        <w:jc w:val="both"/>
        <w:rPr>
          <w:rFonts w:ascii="Verdana" w:hAnsi="Verdana" w:cs="Arial"/>
          <w:color w:val="000000" w:themeColor="text1"/>
        </w:rPr>
      </w:pPr>
    </w:p>
    <w:p w14:paraId="401E1E87" w14:textId="77777777" w:rsidR="009F54A9" w:rsidRPr="002F7E6A" w:rsidRDefault="009F54A9" w:rsidP="009C4980">
      <w:pPr>
        <w:tabs>
          <w:tab w:val="left" w:pos="709"/>
        </w:tabs>
        <w:spacing w:after="0" w:line="240" w:lineRule="aut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2F7E6A">
        <w:rPr>
          <w:rFonts w:ascii="Verdana" w:hAnsi="Verdana" w:cs="Arial"/>
          <w:color w:val="000000" w:themeColor="text1"/>
          <w:sz w:val="21"/>
          <w:szCs w:val="21"/>
        </w:rPr>
        <w:t xml:space="preserve">Son absolutamente incapaces los impúberes. Sus actos no producen ni aún obligaciones naturales, y no admiten caución. Son también incapaces los menores púberes. </w:t>
      </w:r>
      <w:bookmarkStart w:id="4" w:name="_Hlk35608623"/>
      <w:r w:rsidRPr="002F7E6A">
        <w:rPr>
          <w:rFonts w:ascii="Verdana" w:hAnsi="Verdana" w:cs="Arial"/>
          <w:color w:val="000000" w:themeColor="text1"/>
          <w:sz w:val="21"/>
          <w:szCs w:val="21"/>
        </w:rPr>
        <w:t>Pero la incapacidad de estas personas no es absoluta y sus actos pueden tener valor en ciertas circunstancias y bajo ciertos respectos determinados por las leyes</w:t>
      </w:r>
      <w:bookmarkEnd w:id="4"/>
      <w:r w:rsidRPr="002F7E6A">
        <w:rPr>
          <w:rFonts w:ascii="Verdana" w:hAnsi="Verdana" w:cs="Arial"/>
          <w:color w:val="000000" w:themeColor="text1"/>
          <w:sz w:val="21"/>
          <w:szCs w:val="21"/>
        </w:rPr>
        <w:t>. Además de estas incapacidades hay otras particulares que consisten en la prohibición que la ley ha impuesto a ciertas personas para ejecutar ciertos actos</w:t>
      </w:r>
      <w:r>
        <w:rPr>
          <w:rFonts w:ascii="Verdana" w:hAnsi="Verdana" w:cs="Arial"/>
          <w:color w:val="000000" w:themeColor="text1"/>
          <w:sz w:val="21"/>
          <w:szCs w:val="21"/>
        </w:rPr>
        <w:t>”</w:t>
      </w:r>
      <w:r w:rsidRPr="002F7E6A">
        <w:rPr>
          <w:rFonts w:ascii="Verdana" w:hAnsi="Verdana" w:cs="Arial"/>
          <w:color w:val="000000" w:themeColor="text1"/>
          <w:sz w:val="21"/>
          <w:szCs w:val="21"/>
        </w:rPr>
        <w:t xml:space="preserve">. </w:t>
      </w:r>
    </w:p>
    <w:p w14:paraId="5E85F3EA" w14:textId="77777777" w:rsidR="009F54A9" w:rsidRPr="002F7E6A" w:rsidRDefault="009F54A9" w:rsidP="009F54A9">
      <w:pPr>
        <w:tabs>
          <w:tab w:val="left" w:pos="709"/>
        </w:tabs>
        <w:spacing w:after="0" w:line="276" w:lineRule="auto"/>
        <w:ind w:right="142"/>
        <w:jc w:val="both"/>
        <w:rPr>
          <w:rFonts w:ascii="Verdana" w:hAnsi="Verdana" w:cs="Arial"/>
          <w:color w:val="000000" w:themeColor="text1"/>
        </w:rPr>
      </w:pPr>
    </w:p>
    <w:p w14:paraId="53EB44CE" w14:textId="77777777" w:rsidR="009F54A9" w:rsidRPr="002F7E6A" w:rsidRDefault="009F54A9" w:rsidP="009C4980">
      <w:pPr>
        <w:tabs>
          <w:tab w:val="left" w:pos="709"/>
        </w:tabs>
        <w:spacing w:after="120" w:line="276" w:lineRule="auto"/>
        <w:ind w:firstLine="709"/>
        <w:jc w:val="both"/>
        <w:rPr>
          <w:rFonts w:ascii="Verdana" w:hAnsi="Verdana" w:cs="Arial"/>
          <w:color w:val="000000" w:themeColor="text1"/>
        </w:rPr>
      </w:pPr>
      <w:r w:rsidRPr="002F7E6A">
        <w:rPr>
          <w:rFonts w:ascii="Verdana" w:hAnsi="Verdana" w:cs="Arial"/>
          <w:color w:val="000000" w:themeColor="text1"/>
        </w:rPr>
        <w:t xml:space="preserve">Para el Consejo de Estado </w:t>
      </w:r>
      <w:r>
        <w:rPr>
          <w:rFonts w:ascii="Verdana" w:hAnsi="Verdana" w:cs="Arial"/>
          <w:color w:val="000000" w:themeColor="text1"/>
        </w:rPr>
        <w:t>“</w:t>
      </w:r>
      <w:r w:rsidRPr="002F7E6A">
        <w:rPr>
          <w:rFonts w:ascii="Verdana" w:hAnsi="Verdana" w:cs="Arial"/>
          <w:color w:val="000000" w:themeColor="text1"/>
        </w:rPr>
        <w:t xml:space="preserve">[…]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w:t>
      </w:r>
      <w:proofErr w:type="spellStart"/>
      <w:r w:rsidRPr="002F7E6A">
        <w:rPr>
          <w:rFonts w:ascii="Verdana" w:hAnsi="Verdana" w:cs="Arial"/>
          <w:color w:val="000000" w:themeColor="text1"/>
        </w:rPr>
        <w:t>iter</w:t>
      </w:r>
      <w:proofErr w:type="spellEnd"/>
      <w:r w:rsidRPr="002F7E6A">
        <w:rPr>
          <w:rFonts w:ascii="Verdana" w:hAnsi="Verdana" w:cs="Arial"/>
          <w:color w:val="000000" w:themeColor="text1"/>
        </w:rPr>
        <w:t xml:space="preserve"> contractual</w:t>
      </w:r>
      <w:r>
        <w:rPr>
          <w:rFonts w:ascii="Verdana" w:hAnsi="Verdana" w:cs="Arial"/>
          <w:color w:val="000000" w:themeColor="text1"/>
        </w:rPr>
        <w:t>”</w:t>
      </w:r>
      <w:r w:rsidRPr="002F7E6A">
        <w:rPr>
          <w:rStyle w:val="Refdenotaalpie"/>
          <w:rFonts w:ascii="Verdana" w:hAnsi="Verdana" w:cs="Arial"/>
          <w:color w:val="000000" w:themeColor="text1"/>
        </w:rPr>
        <w:footnoteReference w:id="19"/>
      </w:r>
      <w:r w:rsidRPr="002F7E6A">
        <w:rPr>
          <w:rFonts w:ascii="Verdana" w:hAnsi="Verdana" w:cs="Arial"/>
          <w:color w:val="000000" w:themeColor="text1"/>
        </w:rPr>
        <w:t xml:space="preserve">. </w:t>
      </w:r>
      <w:r w:rsidRPr="008E1B7D">
        <w:rPr>
          <w:rFonts w:ascii="Verdana" w:hAnsi="Verdana" w:cs="Arial"/>
          <w:color w:val="000000" w:themeColor="text1"/>
        </w:rPr>
        <w:t>Si bien las inhabilidades y las incompatibilidades guardan relación con las incapacidades particulares que consisten en la prohibición que la ley ha impuesto a ciertas personas para ejecutar ciertos actos</w:t>
      </w:r>
      <w:r w:rsidRPr="008E1B7D">
        <w:rPr>
          <w:rStyle w:val="Refdenotaalpie"/>
          <w:rFonts w:ascii="Verdana" w:hAnsi="Verdana" w:cs="Arial"/>
          <w:color w:val="000000" w:themeColor="text1"/>
        </w:rPr>
        <w:footnoteReference w:id="20"/>
      </w:r>
      <w:r w:rsidRPr="008E1B7D">
        <w:rPr>
          <w:rFonts w:ascii="Verdana" w:hAnsi="Verdana" w:cs="Arial"/>
          <w:color w:val="000000" w:themeColor="text1"/>
        </w:rPr>
        <w:t>, para efectos de la capacidad de ejercicio, dado que la norma no</w:t>
      </w:r>
      <w:r w:rsidRPr="002F7E6A">
        <w:rPr>
          <w:rFonts w:ascii="Verdana" w:hAnsi="Verdana" w:cs="Arial"/>
          <w:color w:val="000000" w:themeColor="text1"/>
        </w:rPr>
        <w:t xml:space="preserve"> dispone quiénes son púberes o impúberes, es necesario estarse a lo dispuesto en inciso 1 del artículo 34 del Código Civil. En su redacción inicial, la </w:t>
      </w:r>
      <w:r w:rsidRPr="002F7E6A">
        <w:rPr>
          <w:rFonts w:ascii="Verdana" w:hAnsi="Verdana" w:cs="Arial"/>
          <w:color w:val="000000" w:themeColor="text1"/>
        </w:rPr>
        <w:lastRenderedPageBreak/>
        <w:t xml:space="preserve">norma disponía lo siguiente: </w:t>
      </w:r>
      <w:r>
        <w:rPr>
          <w:rFonts w:ascii="Verdana" w:hAnsi="Verdana" w:cs="Arial"/>
          <w:color w:val="000000" w:themeColor="text1"/>
        </w:rPr>
        <w:t>“</w:t>
      </w:r>
      <w:r w:rsidRPr="002F7E6A">
        <w:rPr>
          <w:rFonts w:ascii="Verdana" w:hAnsi="Verdana" w:cs="Arial"/>
          <w:color w:val="000000" w:themeColor="text1"/>
        </w:rPr>
        <w:t xml:space="preserve">Llámase </w:t>
      </w:r>
      <w:r w:rsidRPr="002F7E6A">
        <w:rPr>
          <w:rFonts w:ascii="Verdana" w:hAnsi="Verdana" w:cs="Arial"/>
          <w:i/>
          <w:iCs/>
          <w:color w:val="000000" w:themeColor="text1"/>
        </w:rPr>
        <w:t xml:space="preserve">infante o niño </w:t>
      </w:r>
      <w:r w:rsidRPr="002F7E6A">
        <w:rPr>
          <w:rFonts w:ascii="Verdana" w:hAnsi="Verdana" w:cs="Arial"/>
          <w:color w:val="000000" w:themeColor="text1"/>
        </w:rPr>
        <w:t xml:space="preserve">todo el que no ha cumplido siete años; </w:t>
      </w:r>
      <w:r w:rsidRPr="002F7E6A">
        <w:rPr>
          <w:rFonts w:ascii="Verdana" w:hAnsi="Verdana" w:cs="Arial"/>
          <w:i/>
          <w:iCs/>
          <w:color w:val="000000" w:themeColor="text1"/>
        </w:rPr>
        <w:t>impúber</w:t>
      </w:r>
      <w:r w:rsidRPr="002F7E6A">
        <w:rPr>
          <w:rFonts w:ascii="Verdana" w:hAnsi="Verdana" w:cs="Arial"/>
          <w:color w:val="000000" w:themeColor="text1"/>
        </w:rPr>
        <w:t xml:space="preserve">, el varón que no ha cumplido catorce años y la mujer que no ha cumplido doce; </w:t>
      </w:r>
      <w:r w:rsidRPr="002F7E6A">
        <w:rPr>
          <w:rFonts w:ascii="Verdana" w:hAnsi="Verdana" w:cs="Arial"/>
          <w:i/>
          <w:iCs/>
          <w:color w:val="000000" w:themeColor="text1"/>
        </w:rPr>
        <w:t>adulto</w:t>
      </w:r>
      <w:r w:rsidRPr="002F7E6A">
        <w:rPr>
          <w:rFonts w:ascii="Verdana" w:hAnsi="Verdana" w:cs="Arial"/>
          <w:color w:val="000000" w:themeColor="text1"/>
        </w:rPr>
        <w:t xml:space="preserve">, el que ha dejado de ser impúber; </w:t>
      </w:r>
      <w:r w:rsidRPr="002F7E6A">
        <w:rPr>
          <w:rFonts w:ascii="Verdana" w:hAnsi="Verdana" w:cs="Arial"/>
          <w:i/>
          <w:iCs/>
          <w:color w:val="000000" w:themeColor="text1"/>
        </w:rPr>
        <w:t>mayor de edad o simplemente mayor</w:t>
      </w:r>
      <w:r w:rsidRPr="002F7E6A">
        <w:rPr>
          <w:rFonts w:ascii="Verdana" w:hAnsi="Verdana" w:cs="Arial"/>
          <w:color w:val="000000" w:themeColor="text1"/>
        </w:rPr>
        <w:t xml:space="preserve">, el que ha cumplido veintiún años; y </w:t>
      </w:r>
      <w:r w:rsidRPr="002F7E6A">
        <w:rPr>
          <w:rFonts w:ascii="Verdana" w:hAnsi="Verdana" w:cs="Arial"/>
          <w:i/>
          <w:iCs/>
          <w:color w:val="000000" w:themeColor="text1"/>
        </w:rPr>
        <w:t>menor de edad</w:t>
      </w:r>
      <w:r w:rsidRPr="002F7E6A">
        <w:rPr>
          <w:rFonts w:ascii="Verdana" w:hAnsi="Verdana" w:cs="Arial"/>
          <w:color w:val="000000" w:themeColor="text1"/>
        </w:rPr>
        <w:t>, o simplemente menor, el que no ha llegado a cumplirlos</w:t>
      </w:r>
      <w:r>
        <w:rPr>
          <w:rFonts w:ascii="Verdana" w:hAnsi="Verdana" w:cs="Arial"/>
          <w:color w:val="000000" w:themeColor="text1"/>
        </w:rPr>
        <w:t>”</w:t>
      </w:r>
      <w:r w:rsidRPr="002F7E6A">
        <w:rPr>
          <w:rFonts w:ascii="Verdana" w:hAnsi="Verdana" w:cs="Arial"/>
          <w:color w:val="000000" w:themeColor="text1"/>
        </w:rPr>
        <w:t xml:space="preserve"> (Cursivas fuera de texto). No obstante, esta disposición tiene tres (3) modificaciones:</w:t>
      </w:r>
    </w:p>
    <w:p w14:paraId="03BB62CA" w14:textId="77777777" w:rsidR="009F54A9" w:rsidRPr="002F7E6A" w:rsidRDefault="009F54A9" w:rsidP="009F54A9">
      <w:pPr>
        <w:tabs>
          <w:tab w:val="left" w:pos="709"/>
        </w:tabs>
        <w:spacing w:after="0" w:line="276" w:lineRule="auto"/>
        <w:ind w:firstLine="709"/>
        <w:jc w:val="both"/>
        <w:rPr>
          <w:rFonts w:ascii="Verdana" w:hAnsi="Verdana" w:cs="Arial"/>
          <w:color w:val="000000" w:themeColor="text1"/>
        </w:rPr>
      </w:pPr>
      <w:r w:rsidRPr="002F7E6A">
        <w:rPr>
          <w:rFonts w:ascii="Verdana" w:hAnsi="Verdana" w:cs="Arial"/>
          <w:i/>
          <w:iCs/>
          <w:color w:val="000000" w:themeColor="text1"/>
        </w:rPr>
        <w:t>La primera modificación</w:t>
      </w:r>
      <w:r w:rsidRPr="002F7E6A">
        <w:rPr>
          <w:rFonts w:ascii="Verdana" w:hAnsi="Verdana" w:cs="Arial"/>
          <w:color w:val="000000" w:themeColor="text1"/>
        </w:rPr>
        <w:t xml:space="preserve"> deriva del artículo 1 de la Ley 27 de 1977, en el entendido de que </w:t>
      </w:r>
      <w:r>
        <w:rPr>
          <w:rFonts w:ascii="Verdana" w:hAnsi="Verdana" w:cs="Arial"/>
          <w:color w:val="000000" w:themeColor="text1"/>
        </w:rPr>
        <w:t>“</w:t>
      </w:r>
      <w:r w:rsidRPr="002F7E6A">
        <w:rPr>
          <w:rFonts w:ascii="Verdana" w:hAnsi="Verdana" w:cs="Arial"/>
          <w:color w:val="000000" w:themeColor="text1"/>
        </w:rPr>
        <w:t xml:space="preserve">Para todos los efectos legales, </w:t>
      </w:r>
      <w:r w:rsidRPr="002F7E6A">
        <w:rPr>
          <w:rFonts w:ascii="Verdana" w:hAnsi="Verdana" w:cs="Arial"/>
          <w:i/>
          <w:iCs/>
          <w:color w:val="000000" w:themeColor="text1"/>
        </w:rPr>
        <w:t>llamase mayor de edad o simplemente mayor</w:t>
      </w:r>
      <w:r w:rsidRPr="002F7E6A">
        <w:rPr>
          <w:rFonts w:ascii="Verdana" w:hAnsi="Verdana" w:cs="Arial"/>
          <w:color w:val="000000" w:themeColor="text1"/>
        </w:rPr>
        <w:t>, a quien ha cumplido diez y ocho (18) años</w:t>
      </w:r>
      <w:r>
        <w:rPr>
          <w:rFonts w:ascii="Verdana" w:hAnsi="Verdana" w:cs="Arial"/>
          <w:color w:val="000000" w:themeColor="text1"/>
        </w:rPr>
        <w:t>”</w:t>
      </w:r>
      <w:r w:rsidRPr="002F7E6A">
        <w:rPr>
          <w:rFonts w:ascii="Verdana" w:hAnsi="Verdana" w:cs="Arial"/>
          <w:color w:val="000000" w:themeColor="text1"/>
        </w:rPr>
        <w:t xml:space="preserve"> (Cursivas fuera de texto). </w:t>
      </w:r>
      <w:r w:rsidRPr="002F7E6A">
        <w:rPr>
          <w:rFonts w:ascii="Verdana" w:hAnsi="Verdana" w:cs="Arial"/>
          <w:i/>
          <w:iCs/>
          <w:color w:val="000000" w:themeColor="text1"/>
        </w:rPr>
        <w:t>La</w:t>
      </w:r>
      <w:r w:rsidRPr="002F7E6A">
        <w:rPr>
          <w:rFonts w:ascii="Verdana" w:hAnsi="Verdana" w:cs="Arial"/>
          <w:color w:val="000000" w:themeColor="text1"/>
        </w:rPr>
        <w:t xml:space="preserve"> </w:t>
      </w:r>
      <w:r w:rsidRPr="002F7E6A">
        <w:rPr>
          <w:rFonts w:ascii="Verdana" w:hAnsi="Verdana" w:cs="Arial"/>
          <w:i/>
          <w:iCs/>
          <w:color w:val="000000" w:themeColor="text1"/>
        </w:rPr>
        <w:t>segunda modificación</w:t>
      </w:r>
      <w:r w:rsidRPr="002F7E6A">
        <w:rPr>
          <w:rFonts w:ascii="Verdana" w:hAnsi="Verdana" w:cs="Arial"/>
          <w:color w:val="000000" w:themeColor="text1"/>
        </w:rPr>
        <w:t xml:space="preserve"> se fundamenta en la Sentencia C-534 de 2005, donde la Corte Constitucional declaró inexequibles la expresión </w:t>
      </w:r>
      <w:r>
        <w:rPr>
          <w:rFonts w:ascii="Verdana" w:hAnsi="Verdana" w:cs="Arial"/>
          <w:color w:val="000000" w:themeColor="text1"/>
        </w:rPr>
        <w:t>“</w:t>
      </w:r>
      <w:r w:rsidRPr="002F7E6A">
        <w:rPr>
          <w:rFonts w:ascii="Verdana" w:hAnsi="Verdana" w:cs="Arial"/>
          <w:color w:val="000000" w:themeColor="text1"/>
        </w:rPr>
        <w:t>varón</w:t>
      </w:r>
      <w:r>
        <w:rPr>
          <w:rFonts w:ascii="Verdana" w:hAnsi="Verdana" w:cs="Arial"/>
          <w:color w:val="000000" w:themeColor="text1"/>
        </w:rPr>
        <w:t>”</w:t>
      </w:r>
      <w:r w:rsidRPr="002F7E6A">
        <w:rPr>
          <w:rFonts w:ascii="Verdana" w:hAnsi="Verdana" w:cs="Arial"/>
          <w:color w:val="000000" w:themeColor="text1"/>
        </w:rPr>
        <w:t xml:space="preserve"> y la expresión </w:t>
      </w:r>
      <w:r>
        <w:rPr>
          <w:rFonts w:ascii="Verdana" w:hAnsi="Verdana" w:cs="Arial"/>
          <w:color w:val="000000" w:themeColor="text1"/>
        </w:rPr>
        <w:t>“</w:t>
      </w:r>
      <w:r w:rsidRPr="002F7E6A">
        <w:rPr>
          <w:rFonts w:ascii="Verdana" w:hAnsi="Verdana" w:cs="Arial"/>
          <w:color w:val="000000" w:themeColor="text1"/>
        </w:rPr>
        <w:t>y la mujer que no ha cumplido doce</w:t>
      </w:r>
      <w:r>
        <w:rPr>
          <w:rFonts w:ascii="Verdana" w:hAnsi="Verdana" w:cs="Arial"/>
          <w:color w:val="000000" w:themeColor="text1"/>
        </w:rPr>
        <w:t>”</w:t>
      </w:r>
      <w:r w:rsidRPr="002F7E6A">
        <w:rPr>
          <w:rFonts w:ascii="Verdana" w:hAnsi="Verdana" w:cs="Arial"/>
          <w:color w:val="000000" w:themeColor="text1"/>
        </w:rPr>
        <w:t xml:space="preserve">, contenidas en el inciso 1 del artículo 34 del Código Civil, en el entendido de que la pubertad se adquiere a los catorce (14) años con independencia del sexo. En este contexto, la norma debía entenderse de la siguiente manera: </w:t>
      </w:r>
      <w:r>
        <w:rPr>
          <w:rFonts w:ascii="Verdana" w:hAnsi="Verdana" w:cs="Arial"/>
          <w:color w:val="000000" w:themeColor="text1"/>
        </w:rPr>
        <w:t>“</w:t>
      </w:r>
      <w:r w:rsidRPr="002F7E6A">
        <w:rPr>
          <w:rFonts w:ascii="Verdana" w:hAnsi="Verdana" w:cs="Arial"/>
          <w:color w:val="000000" w:themeColor="text1"/>
        </w:rPr>
        <w:t xml:space="preserve">Llámase </w:t>
      </w:r>
      <w:r w:rsidRPr="002F7E6A">
        <w:rPr>
          <w:rFonts w:ascii="Verdana" w:hAnsi="Verdana" w:cs="Arial"/>
          <w:i/>
          <w:iCs/>
          <w:color w:val="000000" w:themeColor="text1"/>
        </w:rPr>
        <w:t xml:space="preserve">infante o niño </w:t>
      </w:r>
      <w:r w:rsidRPr="002F7E6A">
        <w:rPr>
          <w:rFonts w:ascii="Verdana" w:hAnsi="Verdana" w:cs="Arial"/>
          <w:color w:val="000000" w:themeColor="text1"/>
        </w:rPr>
        <w:t xml:space="preserve">todo el que no ha cumplido siete años; </w:t>
      </w:r>
      <w:r w:rsidRPr="002F7E6A">
        <w:rPr>
          <w:rFonts w:ascii="Verdana" w:hAnsi="Verdana" w:cs="Arial"/>
          <w:i/>
          <w:iCs/>
          <w:color w:val="000000" w:themeColor="text1"/>
        </w:rPr>
        <w:t>impúber</w:t>
      </w:r>
      <w:r w:rsidRPr="002F7E6A">
        <w:rPr>
          <w:rFonts w:ascii="Verdana" w:hAnsi="Verdana" w:cs="Arial"/>
          <w:color w:val="000000" w:themeColor="text1"/>
        </w:rPr>
        <w:t xml:space="preserve">, el que no ha cumplido catorce años; </w:t>
      </w:r>
      <w:r w:rsidRPr="002F7E6A">
        <w:rPr>
          <w:rFonts w:ascii="Verdana" w:hAnsi="Verdana" w:cs="Arial"/>
          <w:i/>
          <w:iCs/>
          <w:color w:val="000000" w:themeColor="text1"/>
        </w:rPr>
        <w:t>adulto</w:t>
      </w:r>
      <w:r w:rsidRPr="002F7E6A">
        <w:rPr>
          <w:rFonts w:ascii="Verdana" w:hAnsi="Verdana" w:cs="Arial"/>
          <w:color w:val="000000" w:themeColor="text1"/>
        </w:rPr>
        <w:t xml:space="preserve">, el que ha dejado de ser impúber; </w:t>
      </w:r>
      <w:r w:rsidRPr="002F7E6A">
        <w:rPr>
          <w:rFonts w:ascii="Verdana" w:hAnsi="Verdana" w:cs="Arial"/>
          <w:i/>
          <w:iCs/>
          <w:color w:val="000000" w:themeColor="text1"/>
        </w:rPr>
        <w:t>mayor de edad o simplemente mayor</w:t>
      </w:r>
      <w:r w:rsidRPr="002F7E6A">
        <w:rPr>
          <w:rFonts w:ascii="Verdana" w:hAnsi="Verdana" w:cs="Arial"/>
          <w:color w:val="000000" w:themeColor="text1"/>
        </w:rPr>
        <w:t xml:space="preserve">, el que ha cumplido dieciocho años; y </w:t>
      </w:r>
      <w:r w:rsidRPr="002F7E6A">
        <w:rPr>
          <w:rFonts w:ascii="Verdana" w:hAnsi="Verdana" w:cs="Arial"/>
          <w:i/>
          <w:iCs/>
          <w:color w:val="000000" w:themeColor="text1"/>
        </w:rPr>
        <w:t>menor de edad</w:t>
      </w:r>
      <w:r w:rsidRPr="002F7E6A">
        <w:rPr>
          <w:rFonts w:ascii="Verdana" w:hAnsi="Verdana" w:cs="Arial"/>
          <w:color w:val="000000" w:themeColor="text1"/>
        </w:rPr>
        <w:t>, o simplemente menor, el que no ha llegado a cumplirlos</w:t>
      </w:r>
      <w:r>
        <w:rPr>
          <w:rFonts w:ascii="Verdana" w:hAnsi="Verdana" w:cs="Arial"/>
          <w:color w:val="000000" w:themeColor="text1"/>
        </w:rPr>
        <w:t>”</w:t>
      </w:r>
      <w:r w:rsidRPr="002F7E6A">
        <w:rPr>
          <w:rFonts w:ascii="Verdana" w:hAnsi="Verdana" w:cs="Arial"/>
          <w:color w:val="000000" w:themeColor="text1"/>
        </w:rPr>
        <w:t xml:space="preserve"> (Cursivas fuera de texto).</w:t>
      </w:r>
    </w:p>
    <w:p w14:paraId="46C98B97" w14:textId="77777777" w:rsidR="009F54A9" w:rsidRPr="002F7E6A" w:rsidRDefault="009F54A9" w:rsidP="009C4980">
      <w:pPr>
        <w:tabs>
          <w:tab w:val="left" w:pos="709"/>
        </w:tabs>
        <w:spacing w:before="120" w:after="120" w:line="276" w:lineRule="auto"/>
        <w:ind w:firstLine="709"/>
        <w:jc w:val="both"/>
        <w:rPr>
          <w:rFonts w:ascii="Verdana" w:hAnsi="Verdana" w:cs="Arial"/>
          <w:color w:val="000000" w:themeColor="text1"/>
        </w:rPr>
      </w:pPr>
      <w:r w:rsidRPr="002F7E6A">
        <w:rPr>
          <w:rFonts w:ascii="Verdana" w:hAnsi="Verdana" w:cs="Arial"/>
          <w:color w:val="000000" w:themeColor="text1"/>
        </w:rPr>
        <w:t>Posteriormente, el inciso 1 del artículo 3 del Código de la Infancia y la Adolescencia</w:t>
      </w:r>
      <w:r>
        <w:rPr>
          <w:rFonts w:ascii="Verdana" w:hAnsi="Verdana" w:cs="Arial"/>
          <w:color w:val="000000" w:themeColor="text1"/>
        </w:rPr>
        <w:t>”</w:t>
      </w:r>
      <w:r w:rsidRPr="002F7E6A">
        <w:rPr>
          <w:rFonts w:ascii="Verdana" w:hAnsi="Verdana" w:cs="Arial"/>
          <w:color w:val="000000" w:themeColor="text1"/>
        </w:rPr>
        <w:t xml:space="preserve"> dispuso que </w:t>
      </w:r>
      <w:r>
        <w:rPr>
          <w:rFonts w:ascii="Verdana" w:hAnsi="Verdana" w:cs="Arial"/>
          <w:color w:val="000000" w:themeColor="text1"/>
        </w:rPr>
        <w:t>“</w:t>
      </w:r>
      <w:r w:rsidRPr="002F7E6A">
        <w:rPr>
          <w:rFonts w:ascii="Verdana" w:hAnsi="Verdana" w:cs="Arial"/>
          <w:color w:val="000000" w:themeColor="text1"/>
        </w:rPr>
        <w:t>Para todos los efectos de esta ley son sujetos titulares de derechos todas las personas menores de 18 años. Sin perjuicio de lo establecido en el artículo 34 del Código Civil se entiende por niño o niña las personas entre los 0 y los 12 años, y por adolescente las personas entre 12 y 18 años de edad</w:t>
      </w:r>
      <w:r>
        <w:rPr>
          <w:rFonts w:ascii="Verdana" w:hAnsi="Verdana" w:cs="Arial"/>
          <w:color w:val="000000" w:themeColor="text1"/>
        </w:rPr>
        <w:t>”</w:t>
      </w:r>
      <w:r w:rsidRPr="002F7E6A">
        <w:rPr>
          <w:rFonts w:ascii="Verdana" w:hAnsi="Verdana" w:cs="Arial"/>
          <w:color w:val="000000" w:themeColor="text1"/>
        </w:rPr>
        <w:t xml:space="preserve">. Esta norma no modificó el Código Civil, pero dio lugar a una situación confusa respecto a los menores púberes, siendo más prudente utilizar la edad de catorce (14) años para que coincidiera con la categoría de adolescente. </w:t>
      </w:r>
    </w:p>
    <w:p w14:paraId="3CFD0024" w14:textId="77777777" w:rsidR="009F54A9" w:rsidRPr="002F7E6A" w:rsidRDefault="009F54A9" w:rsidP="009F54A9">
      <w:pPr>
        <w:tabs>
          <w:tab w:val="left" w:pos="709"/>
        </w:tabs>
        <w:spacing w:after="0" w:line="276" w:lineRule="auto"/>
        <w:ind w:firstLine="709"/>
        <w:jc w:val="both"/>
        <w:rPr>
          <w:rFonts w:ascii="Verdana" w:hAnsi="Verdana" w:cs="Arial"/>
          <w:color w:val="000000" w:themeColor="text1"/>
        </w:rPr>
      </w:pPr>
      <w:r w:rsidRPr="002F7E6A">
        <w:rPr>
          <w:rFonts w:ascii="Verdana" w:hAnsi="Verdana" w:cs="Arial"/>
          <w:color w:val="000000" w:themeColor="text1"/>
        </w:rPr>
        <w:t xml:space="preserve">Para corregir el desfase, la </w:t>
      </w:r>
      <w:r w:rsidRPr="002F7E6A">
        <w:rPr>
          <w:rFonts w:ascii="Verdana" w:hAnsi="Verdana" w:cs="Arial"/>
          <w:i/>
          <w:iCs/>
          <w:color w:val="000000" w:themeColor="text1"/>
        </w:rPr>
        <w:t>tercera modificación</w:t>
      </w:r>
      <w:r w:rsidRPr="002F7E6A">
        <w:rPr>
          <w:rFonts w:ascii="Verdana" w:hAnsi="Verdana" w:cs="Arial"/>
          <w:color w:val="000000" w:themeColor="text1"/>
        </w:rPr>
        <w:t xml:space="preserve"> deriva del parágrafo del artículo 53 de la Ley 1306 de 2009, el cual prescribe que </w:t>
      </w:r>
      <w:r>
        <w:rPr>
          <w:rFonts w:ascii="Verdana" w:hAnsi="Verdana" w:cs="Arial"/>
          <w:color w:val="000000" w:themeColor="text1"/>
        </w:rPr>
        <w:t>“</w:t>
      </w:r>
      <w:r w:rsidRPr="002F7E6A">
        <w:rPr>
          <w:rFonts w:ascii="Verdana" w:hAnsi="Verdana" w:cs="Arial"/>
          <w:color w:val="000000" w:themeColor="text1"/>
        </w:rPr>
        <w:t>Para todos los efectos legales el impúber se equipara al niño y niña definido en el artículo 3° del Código de la Infancia y Adolescencia. De igual manera, el menor adulto se equipara al adolescente de ese estatuto</w:t>
      </w:r>
      <w:r>
        <w:rPr>
          <w:rFonts w:ascii="Verdana" w:hAnsi="Verdana" w:cs="Arial"/>
          <w:color w:val="000000" w:themeColor="text1"/>
        </w:rPr>
        <w:t>”</w:t>
      </w:r>
      <w:r w:rsidRPr="002F7E6A">
        <w:rPr>
          <w:rFonts w:ascii="Verdana" w:hAnsi="Verdana" w:cs="Arial"/>
          <w:color w:val="000000" w:themeColor="text1"/>
        </w:rPr>
        <w:t xml:space="preserve">. Lo anterior, significa que los impúberes se equiparan a niños y niñas, esto es, sujetos menores de doce (12) años, y que los púberes se equiparan a adolescentes, es decir, sujetos entre los doce (12) y los dieciocho (18) años. Por tanto, el artículo 34 del Código Civil debe entenderse </w:t>
      </w:r>
      <w:r w:rsidRPr="002F7E6A">
        <w:rPr>
          <w:rFonts w:ascii="Verdana" w:hAnsi="Verdana" w:cs="Arial"/>
          <w:color w:val="000000" w:themeColor="text1"/>
        </w:rPr>
        <w:lastRenderedPageBreak/>
        <w:t xml:space="preserve">de la siguiente manera: </w:t>
      </w:r>
      <w:r>
        <w:rPr>
          <w:rFonts w:ascii="Verdana" w:hAnsi="Verdana" w:cs="Arial"/>
          <w:color w:val="000000" w:themeColor="text1"/>
        </w:rPr>
        <w:t>“</w:t>
      </w:r>
      <w:r w:rsidRPr="002F7E6A">
        <w:rPr>
          <w:rFonts w:ascii="Verdana" w:hAnsi="Verdana" w:cs="Arial"/>
          <w:color w:val="000000" w:themeColor="text1"/>
        </w:rPr>
        <w:t xml:space="preserve">Llámase </w:t>
      </w:r>
      <w:r w:rsidRPr="002F7E6A">
        <w:rPr>
          <w:rFonts w:ascii="Verdana" w:hAnsi="Verdana" w:cs="Arial"/>
          <w:i/>
          <w:iCs/>
          <w:color w:val="000000" w:themeColor="text1"/>
        </w:rPr>
        <w:t xml:space="preserve">infante </w:t>
      </w:r>
      <w:r w:rsidRPr="002F7E6A">
        <w:rPr>
          <w:rFonts w:ascii="Verdana" w:hAnsi="Verdana" w:cs="Arial"/>
          <w:color w:val="000000" w:themeColor="text1"/>
        </w:rPr>
        <w:t xml:space="preserve">todo el que no ha cumplido siete años; </w:t>
      </w:r>
      <w:r w:rsidRPr="002F7E6A">
        <w:rPr>
          <w:rFonts w:ascii="Verdana" w:hAnsi="Verdana" w:cs="Arial"/>
          <w:i/>
          <w:iCs/>
          <w:color w:val="000000" w:themeColor="text1"/>
        </w:rPr>
        <w:t>impúber o niño o niña</w:t>
      </w:r>
      <w:r w:rsidRPr="002F7E6A">
        <w:rPr>
          <w:rFonts w:ascii="Verdana" w:hAnsi="Verdana" w:cs="Arial"/>
          <w:color w:val="000000" w:themeColor="text1"/>
        </w:rPr>
        <w:t xml:space="preserve">, el que no ha cumplido doce años; </w:t>
      </w:r>
      <w:r w:rsidRPr="002F7E6A">
        <w:rPr>
          <w:rFonts w:ascii="Verdana" w:hAnsi="Verdana" w:cs="Arial"/>
          <w:i/>
          <w:iCs/>
          <w:color w:val="000000" w:themeColor="text1"/>
        </w:rPr>
        <w:t>menor</w:t>
      </w:r>
      <w:r w:rsidRPr="002F7E6A">
        <w:rPr>
          <w:rFonts w:ascii="Verdana" w:hAnsi="Verdana" w:cs="Arial"/>
          <w:color w:val="000000" w:themeColor="text1"/>
        </w:rPr>
        <w:t xml:space="preserve"> </w:t>
      </w:r>
      <w:r w:rsidRPr="002F7E6A">
        <w:rPr>
          <w:rFonts w:ascii="Verdana" w:hAnsi="Verdana" w:cs="Arial"/>
          <w:i/>
          <w:iCs/>
          <w:color w:val="000000" w:themeColor="text1"/>
        </w:rPr>
        <w:t>adulto o adolescente</w:t>
      </w:r>
      <w:r w:rsidRPr="002F7E6A">
        <w:rPr>
          <w:rFonts w:ascii="Verdana" w:hAnsi="Verdana" w:cs="Arial"/>
          <w:color w:val="000000" w:themeColor="text1"/>
        </w:rPr>
        <w:t xml:space="preserve">, el que ha dejado de ser impúber; </w:t>
      </w:r>
      <w:r w:rsidRPr="002F7E6A">
        <w:rPr>
          <w:rFonts w:ascii="Verdana" w:hAnsi="Verdana" w:cs="Arial"/>
          <w:i/>
          <w:iCs/>
          <w:color w:val="000000" w:themeColor="text1"/>
        </w:rPr>
        <w:t>mayor de edad o simplemente mayor</w:t>
      </w:r>
      <w:r w:rsidRPr="002F7E6A">
        <w:rPr>
          <w:rFonts w:ascii="Verdana" w:hAnsi="Verdana" w:cs="Arial"/>
          <w:color w:val="000000" w:themeColor="text1"/>
        </w:rPr>
        <w:t xml:space="preserve">, el que ha cumplido dieciocho años; y </w:t>
      </w:r>
      <w:r w:rsidRPr="002F7E6A">
        <w:rPr>
          <w:rFonts w:ascii="Verdana" w:hAnsi="Verdana" w:cs="Arial"/>
          <w:i/>
          <w:iCs/>
          <w:color w:val="000000" w:themeColor="text1"/>
        </w:rPr>
        <w:t>menor de edad</w:t>
      </w:r>
      <w:r w:rsidRPr="002F7E6A">
        <w:rPr>
          <w:rFonts w:ascii="Verdana" w:hAnsi="Verdana" w:cs="Arial"/>
          <w:color w:val="000000" w:themeColor="text1"/>
        </w:rPr>
        <w:t>, o simplemente menor, el que no ha llegado a cumplirlos</w:t>
      </w:r>
      <w:r>
        <w:rPr>
          <w:rFonts w:ascii="Verdana" w:hAnsi="Verdana" w:cs="Arial"/>
          <w:color w:val="000000" w:themeColor="text1"/>
        </w:rPr>
        <w:t>”</w:t>
      </w:r>
      <w:r w:rsidRPr="002F7E6A">
        <w:rPr>
          <w:rFonts w:ascii="Verdana" w:hAnsi="Verdana" w:cs="Arial"/>
          <w:color w:val="000000" w:themeColor="text1"/>
        </w:rPr>
        <w:t xml:space="preserve"> (Cursivas fuera de texto).</w:t>
      </w:r>
    </w:p>
    <w:p w14:paraId="50FB2837" w14:textId="77777777" w:rsidR="009F54A9" w:rsidRPr="002F7E6A" w:rsidRDefault="009F54A9" w:rsidP="009C4980">
      <w:pPr>
        <w:tabs>
          <w:tab w:val="left" w:pos="709"/>
        </w:tabs>
        <w:spacing w:before="120" w:after="120" w:line="276" w:lineRule="auto"/>
        <w:ind w:firstLine="709"/>
        <w:jc w:val="both"/>
        <w:rPr>
          <w:rFonts w:ascii="Verdana" w:hAnsi="Verdana" w:cs="Arial"/>
          <w:color w:val="000000" w:themeColor="text1"/>
        </w:rPr>
      </w:pPr>
      <w:r w:rsidRPr="002F7E6A">
        <w:rPr>
          <w:rFonts w:ascii="Verdana" w:hAnsi="Verdana" w:cs="Arial"/>
          <w:color w:val="000000" w:themeColor="text1"/>
        </w:rPr>
        <w:t>En este contexto, se concluye que –</w:t>
      </w:r>
      <w:bookmarkStart w:id="6" w:name="_Hlk35617116"/>
      <w:r w:rsidRPr="002F7E6A">
        <w:rPr>
          <w:rFonts w:ascii="Verdana" w:hAnsi="Verdana" w:cs="Arial"/>
          <w:color w:val="000000" w:themeColor="text1"/>
        </w:rPr>
        <w:t xml:space="preserve">so pena de la declaración de nulidad absoluta– los menores de doce (12) años carecen de la capacidad para adquirir derechos y contraer obligaciones por sí mismos a través de la celebración de contratos. Por otra parte, gozan de capacidad relativa quienes tengan una edad igual o superior a la anteriormente mencionada, es decir, si bien no pueden actuar en el tráfico jurídico con las mismas aptitudes y calidades de quienes llegan a la mayoría de edad, están facultados para adelantar ciertos tipos de actuaciones. En efecto, </w:t>
      </w:r>
      <w:r>
        <w:rPr>
          <w:rFonts w:ascii="Verdana" w:hAnsi="Verdana" w:cs="Arial"/>
          <w:color w:val="000000" w:themeColor="text1"/>
        </w:rPr>
        <w:t>“</w:t>
      </w:r>
      <w:r w:rsidRPr="002F7E6A">
        <w:rPr>
          <w:rFonts w:ascii="Verdana" w:hAnsi="Verdana" w:cs="Arial"/>
          <w:color w:val="000000" w:themeColor="text1"/>
        </w:rPr>
        <w:t>Los menores adultos, esto es, los mayores de 12 y menores de 18, sometidos a la potestad parental, por regla general, no pueden realizar válidamente ni actos ni negocios jurídicos que no le estén expresa o tácitamente permitidos. Para los no permitidos se requiere la representación por quienes ejercen la potestad parental […]</w:t>
      </w:r>
      <w:r>
        <w:rPr>
          <w:rFonts w:ascii="Verdana" w:hAnsi="Verdana" w:cs="Arial"/>
          <w:color w:val="000000" w:themeColor="text1"/>
        </w:rPr>
        <w:t>”</w:t>
      </w:r>
      <w:r w:rsidRPr="002F7E6A">
        <w:rPr>
          <w:rStyle w:val="Refdenotaalpie"/>
          <w:rFonts w:ascii="Verdana" w:hAnsi="Verdana" w:cs="Arial"/>
          <w:color w:val="000000" w:themeColor="text1"/>
        </w:rPr>
        <w:footnoteReference w:id="21"/>
      </w:r>
      <w:r w:rsidRPr="002F7E6A">
        <w:rPr>
          <w:rFonts w:ascii="Verdana" w:hAnsi="Verdana" w:cs="Arial"/>
          <w:color w:val="000000" w:themeColor="text1"/>
        </w:rPr>
        <w:t xml:space="preserve">. </w:t>
      </w:r>
    </w:p>
    <w:bookmarkEnd w:id="6"/>
    <w:p w14:paraId="4E42963A" w14:textId="77777777" w:rsidR="009F54A9" w:rsidRDefault="009F54A9" w:rsidP="009F54A9">
      <w:pPr>
        <w:tabs>
          <w:tab w:val="left" w:pos="709"/>
        </w:tabs>
        <w:spacing w:after="0" w:line="276" w:lineRule="auto"/>
        <w:ind w:firstLine="709"/>
        <w:jc w:val="both"/>
        <w:rPr>
          <w:rFonts w:ascii="Verdana" w:hAnsi="Verdana" w:cs="Arial"/>
          <w:color w:val="000000" w:themeColor="text1"/>
        </w:rPr>
      </w:pPr>
      <w:r w:rsidRPr="002F7E6A">
        <w:rPr>
          <w:rFonts w:ascii="Verdana" w:hAnsi="Verdana" w:cs="Arial"/>
          <w:color w:val="000000" w:themeColor="text1"/>
        </w:rPr>
        <w:t xml:space="preserve">Por tanto, teniendo en cuenta que los menores adultos tienen capacidad para otorgar testamentos </w:t>
      </w:r>
      <w:r>
        <w:rPr>
          <w:rFonts w:ascii="Verdana" w:hAnsi="Verdana" w:cs="Arial"/>
          <w:color w:val="000000" w:themeColor="text1"/>
        </w:rPr>
        <w:t>–</w:t>
      </w:r>
      <w:r w:rsidRPr="002F7E6A">
        <w:rPr>
          <w:rFonts w:ascii="Verdana" w:hAnsi="Verdana" w:cs="Arial"/>
          <w:color w:val="000000" w:themeColor="text1"/>
        </w:rPr>
        <w:t>art</w:t>
      </w:r>
      <w:r>
        <w:rPr>
          <w:rFonts w:ascii="Verdana" w:hAnsi="Verdana" w:cs="Arial"/>
          <w:color w:val="000000" w:themeColor="text1"/>
        </w:rPr>
        <w:t>s</w:t>
      </w:r>
      <w:r w:rsidRPr="002F7E6A">
        <w:rPr>
          <w:rFonts w:ascii="Verdana" w:hAnsi="Verdana" w:cs="Arial"/>
          <w:color w:val="000000" w:themeColor="text1"/>
        </w:rPr>
        <w:t>. 309 y 1061 del Código Civil</w:t>
      </w:r>
      <w:r>
        <w:rPr>
          <w:rFonts w:ascii="Verdana" w:hAnsi="Verdana" w:cs="Arial"/>
          <w:color w:val="000000" w:themeColor="text1"/>
        </w:rPr>
        <w:t>–</w:t>
      </w:r>
      <w:r w:rsidRPr="002F7E6A">
        <w:rPr>
          <w:rFonts w:ascii="Verdana" w:hAnsi="Verdana" w:cs="Arial"/>
          <w:color w:val="000000" w:themeColor="text1"/>
        </w:rPr>
        <w:t xml:space="preserve">, ejercer mandatos </w:t>
      </w:r>
      <w:r>
        <w:rPr>
          <w:rFonts w:ascii="Verdana" w:hAnsi="Verdana" w:cs="Arial"/>
          <w:color w:val="000000" w:themeColor="text1"/>
        </w:rPr>
        <w:t>–</w:t>
      </w:r>
      <w:r w:rsidRPr="002F7E6A">
        <w:rPr>
          <w:rFonts w:ascii="Verdana" w:hAnsi="Verdana" w:cs="Arial"/>
          <w:color w:val="000000" w:themeColor="text1"/>
        </w:rPr>
        <w:t>art. 2154 del Código Civil</w:t>
      </w:r>
      <w:r>
        <w:rPr>
          <w:rFonts w:ascii="Verdana" w:hAnsi="Verdana" w:cs="Arial"/>
          <w:color w:val="000000" w:themeColor="text1"/>
        </w:rPr>
        <w:t>–</w:t>
      </w:r>
      <w:r w:rsidRPr="002F7E6A">
        <w:rPr>
          <w:rFonts w:ascii="Verdana" w:hAnsi="Verdana" w:cs="Arial"/>
          <w:color w:val="000000" w:themeColor="text1"/>
        </w:rPr>
        <w:t xml:space="preserve">, realizar actos relacionados con su peculio industrial o profesional </w:t>
      </w:r>
      <w:r>
        <w:rPr>
          <w:rFonts w:ascii="Verdana" w:hAnsi="Verdana" w:cs="Arial"/>
          <w:color w:val="000000" w:themeColor="text1"/>
        </w:rPr>
        <w:t>–</w:t>
      </w:r>
      <w:r w:rsidRPr="002F7E6A">
        <w:rPr>
          <w:rFonts w:ascii="Verdana" w:hAnsi="Verdana" w:cs="Arial"/>
          <w:color w:val="000000" w:themeColor="text1"/>
        </w:rPr>
        <w:t>arts. 294, 339 y 345 del Código Civil</w:t>
      </w:r>
      <w:r>
        <w:rPr>
          <w:rFonts w:ascii="Verdana" w:hAnsi="Verdana" w:cs="Arial"/>
          <w:color w:val="000000" w:themeColor="text1"/>
        </w:rPr>
        <w:t>–</w:t>
      </w:r>
      <w:r w:rsidRPr="002F7E6A">
        <w:rPr>
          <w:rFonts w:ascii="Verdana" w:hAnsi="Verdana" w:cs="Arial"/>
          <w:color w:val="000000" w:themeColor="text1"/>
        </w:rPr>
        <w:t xml:space="preserve">, otorgar consentimiento para dar en adopción un hijo </w:t>
      </w:r>
      <w:r>
        <w:rPr>
          <w:rFonts w:ascii="Verdana" w:hAnsi="Verdana" w:cs="Arial"/>
          <w:color w:val="000000" w:themeColor="text1"/>
        </w:rPr>
        <w:t>–</w:t>
      </w:r>
      <w:r w:rsidRPr="002F7E6A">
        <w:rPr>
          <w:rFonts w:ascii="Verdana" w:hAnsi="Verdana" w:cs="Arial"/>
          <w:color w:val="000000" w:themeColor="text1"/>
        </w:rPr>
        <w:t>inciso final del art. 66 de la Ley 1098 de 2006</w:t>
      </w:r>
      <w:r>
        <w:rPr>
          <w:rFonts w:ascii="Verdana" w:hAnsi="Verdana" w:cs="Arial"/>
          <w:color w:val="000000" w:themeColor="text1"/>
        </w:rPr>
        <w:t>–</w:t>
      </w:r>
      <w:r w:rsidRPr="002F7E6A">
        <w:rPr>
          <w:rFonts w:ascii="Verdana" w:hAnsi="Verdana" w:cs="Arial"/>
          <w:color w:val="000000" w:themeColor="text1"/>
        </w:rPr>
        <w:t xml:space="preserve">, reconocer hijos </w:t>
      </w:r>
      <w:r>
        <w:rPr>
          <w:rFonts w:ascii="Verdana" w:hAnsi="Verdana" w:cs="Arial"/>
          <w:color w:val="000000" w:themeColor="text1"/>
        </w:rPr>
        <w:t>–</w:t>
      </w:r>
      <w:r w:rsidRPr="002F7E6A">
        <w:rPr>
          <w:rFonts w:ascii="Verdana" w:hAnsi="Verdana" w:cs="Arial"/>
          <w:color w:val="000000" w:themeColor="text1"/>
        </w:rPr>
        <w:t>art. 2 de la Ley 45 de 1936</w:t>
      </w:r>
      <w:r>
        <w:rPr>
          <w:rFonts w:ascii="Verdana" w:hAnsi="Verdana" w:cs="Arial"/>
          <w:color w:val="000000" w:themeColor="text1"/>
        </w:rPr>
        <w:t>–</w:t>
      </w:r>
      <w:r w:rsidRPr="002F7E6A">
        <w:rPr>
          <w:rFonts w:ascii="Verdana" w:hAnsi="Verdana" w:cs="Arial"/>
          <w:color w:val="000000" w:themeColor="text1"/>
        </w:rPr>
        <w:t xml:space="preserve">, entre otras, se trata de determinar si las personas con una edad igual o mayor a los diecisiete (17) años están facultadas por la ley, por sí mismos o través de sus representantes legales, para prestar sus servicios personales a terceros, a cambio de una remuneración. </w:t>
      </w:r>
    </w:p>
    <w:p w14:paraId="6B8A1D83" w14:textId="77777777" w:rsidR="009F54A9" w:rsidRDefault="009F54A9" w:rsidP="009F54A9">
      <w:pPr>
        <w:tabs>
          <w:tab w:val="left" w:pos="709"/>
        </w:tabs>
        <w:spacing w:after="0" w:line="276" w:lineRule="auto"/>
        <w:jc w:val="both"/>
        <w:rPr>
          <w:rFonts w:ascii="Verdana" w:hAnsi="Verdana" w:cs="Arial"/>
          <w:color w:val="000000" w:themeColor="text1"/>
        </w:rPr>
      </w:pPr>
    </w:p>
    <w:p w14:paraId="2C9B20C1" w14:textId="77777777" w:rsidR="009F54A9" w:rsidRPr="0075061D" w:rsidRDefault="009F54A9" w:rsidP="009F54A9">
      <w:pPr>
        <w:tabs>
          <w:tab w:val="left" w:pos="709"/>
        </w:tabs>
        <w:spacing w:after="0" w:line="276" w:lineRule="auto"/>
        <w:jc w:val="both"/>
        <w:rPr>
          <w:rFonts w:ascii="Verdana" w:hAnsi="Verdana" w:cs="Arial"/>
          <w:color w:val="000000" w:themeColor="text1"/>
        </w:rPr>
      </w:pPr>
      <w:proofErr w:type="spellStart"/>
      <w:r w:rsidRPr="0075061D">
        <w:rPr>
          <w:rFonts w:ascii="Verdana" w:hAnsi="Verdana" w:cs="Arial"/>
          <w:color w:val="000000" w:themeColor="text1"/>
        </w:rPr>
        <w:t>iii</w:t>
      </w:r>
      <w:proofErr w:type="spellEnd"/>
      <w:r w:rsidRPr="0075061D">
        <w:rPr>
          <w:rFonts w:ascii="Verdana" w:hAnsi="Verdana" w:cs="Arial"/>
          <w:color w:val="000000" w:themeColor="text1"/>
        </w:rPr>
        <w:t xml:space="preserve">. El artículo 29 del Código Sustantivo del Trabajo dispone que </w:t>
      </w:r>
      <w:r>
        <w:rPr>
          <w:rFonts w:ascii="Verdana" w:hAnsi="Verdana" w:cs="Arial"/>
          <w:color w:val="000000" w:themeColor="text1"/>
        </w:rPr>
        <w:t>“</w:t>
      </w:r>
      <w:r w:rsidRPr="0075061D">
        <w:rPr>
          <w:rFonts w:ascii="Verdana" w:hAnsi="Verdana" w:cs="Arial"/>
          <w:color w:val="000000" w:themeColor="text1"/>
        </w:rPr>
        <w:t>Tienen capacidad para celebrar el contrato individual de trabajo, todas las personas que hayan cumplido dieciocho (18) años de edad</w:t>
      </w:r>
      <w:r>
        <w:rPr>
          <w:rFonts w:ascii="Verdana" w:hAnsi="Verdana" w:cs="Arial"/>
          <w:color w:val="000000" w:themeColor="text1"/>
        </w:rPr>
        <w:t>”</w:t>
      </w:r>
      <w:r w:rsidRPr="0075061D">
        <w:rPr>
          <w:rFonts w:ascii="Verdana" w:hAnsi="Verdana" w:cs="Arial"/>
          <w:color w:val="000000" w:themeColor="text1"/>
        </w:rPr>
        <w:t xml:space="preserve">. No obstante, teniendo en cuenta la capacidad de algunos menores de edad para ciertos actos jurídicos, es necesario analizar el régimen de protección laboral de los niños, niñas y adolescentes. El tema es pertinente, ya que el artículo 44 de la Constitución Política de 1991 proscribe toda forma explotación económica de aquellos; razón </w:t>
      </w:r>
      <w:r w:rsidRPr="0075061D">
        <w:rPr>
          <w:rFonts w:ascii="Verdana" w:hAnsi="Verdana" w:cs="Arial"/>
          <w:color w:val="000000" w:themeColor="text1"/>
        </w:rPr>
        <w:lastRenderedPageBreak/>
        <w:t>por la cual, en los contratos donde se cumplan con los elementos previstos en el artículo 22 del Código Sustantivo del Trabajo</w:t>
      </w:r>
      <w:r w:rsidRPr="0075061D">
        <w:rPr>
          <w:rStyle w:val="Refdenotaalpie"/>
          <w:rFonts w:ascii="Verdana" w:hAnsi="Verdana" w:cs="Arial"/>
          <w:color w:val="000000" w:themeColor="text1"/>
        </w:rPr>
        <w:footnoteReference w:id="22"/>
      </w:r>
      <w:r w:rsidRPr="0075061D">
        <w:rPr>
          <w:rFonts w:ascii="Verdana" w:hAnsi="Verdana" w:cs="Arial"/>
          <w:color w:val="000000" w:themeColor="text1"/>
        </w:rPr>
        <w:t xml:space="preserve">, el ordenamiento jurídico establece una serie de limitaciones, las cuales derivan del principio de interés prevalente. Para estos efectos, es importante tener en cuenta lo dispuesto en los artículos 35 y 114 de la Ley 1098 de 2006, </w:t>
      </w:r>
      <w:r>
        <w:rPr>
          <w:rFonts w:ascii="Verdana" w:hAnsi="Verdana" w:cs="Arial"/>
          <w:color w:val="000000" w:themeColor="text1"/>
        </w:rPr>
        <w:t>“</w:t>
      </w:r>
      <w:r w:rsidRPr="0075061D">
        <w:rPr>
          <w:rFonts w:ascii="Verdana" w:hAnsi="Verdana" w:cs="Arial"/>
          <w:color w:val="000000" w:themeColor="text1"/>
        </w:rPr>
        <w:t>Por la cual se expide el Código de la Infancia y la Adolescencia</w:t>
      </w:r>
      <w:r>
        <w:rPr>
          <w:rFonts w:ascii="Verdana" w:hAnsi="Verdana" w:cs="Arial"/>
          <w:color w:val="000000" w:themeColor="text1"/>
        </w:rPr>
        <w:t>”</w:t>
      </w:r>
      <w:r w:rsidRPr="0075061D">
        <w:rPr>
          <w:rFonts w:ascii="Verdana" w:hAnsi="Verdana" w:cs="Arial"/>
          <w:color w:val="000000" w:themeColor="text1"/>
        </w:rPr>
        <w:t>, donde –</w:t>
      </w:r>
      <w:r w:rsidRPr="0075061D">
        <w:rPr>
          <w:rFonts w:ascii="Verdana" w:hAnsi="Verdana" w:cs="Arial"/>
          <w:i/>
          <w:iCs/>
          <w:color w:val="000000" w:themeColor="text1"/>
        </w:rPr>
        <w:t>in extenso</w:t>
      </w:r>
      <w:r w:rsidRPr="0075061D">
        <w:rPr>
          <w:rFonts w:ascii="Verdana" w:hAnsi="Verdana" w:cs="Arial"/>
          <w:color w:val="000000" w:themeColor="text1"/>
        </w:rPr>
        <w:t xml:space="preserve">– se dispone lo siguiente: </w:t>
      </w:r>
    </w:p>
    <w:p w14:paraId="564450D2" w14:textId="77777777" w:rsidR="009F54A9" w:rsidRPr="0075061D" w:rsidRDefault="009F54A9" w:rsidP="009F54A9">
      <w:pPr>
        <w:tabs>
          <w:tab w:val="left" w:pos="709"/>
        </w:tabs>
        <w:spacing w:after="0" w:line="276" w:lineRule="auto"/>
        <w:ind w:right="142"/>
        <w:jc w:val="both"/>
        <w:rPr>
          <w:rFonts w:ascii="Verdana" w:hAnsi="Verdana" w:cs="Arial"/>
          <w:color w:val="000000" w:themeColor="text1"/>
        </w:rPr>
      </w:pPr>
    </w:p>
    <w:p w14:paraId="15DD77C9" w14:textId="77777777" w:rsidR="009F54A9" w:rsidRPr="0075061D"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75061D">
        <w:rPr>
          <w:rFonts w:ascii="Verdana" w:hAnsi="Verdana" w:cs="Arial"/>
          <w:color w:val="000000" w:themeColor="text1"/>
          <w:sz w:val="21"/>
          <w:szCs w:val="21"/>
        </w:rPr>
        <w:t>Artículo 35. Edad mínima de admisión al trabajo y derecho a la protección laboral de los adolescentes autorizados para trabajar. La edad mínima de admisión al trabajo es los quince (15) años. Para trabajar, los adolescentes entre los 15 y 17 años requieren la respectiva autorización expedida por el Inspector de Trabajo o, en su defecto, por el Ente Territorial Local y gozarán de las protecciones laborales consagrados en el régimen laboral colombiano, las normas que lo complementan, los tratados y convenios internacionales ratificados por Colombia, la Constitución Política y los derechos y garantías consagrados en este código.</w:t>
      </w:r>
    </w:p>
    <w:p w14:paraId="6C491848" w14:textId="77777777" w:rsidR="009F54A9" w:rsidRPr="0075061D"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sidRPr="0075061D">
        <w:rPr>
          <w:rFonts w:ascii="Verdana" w:hAnsi="Verdana" w:cs="Arial"/>
          <w:color w:val="000000" w:themeColor="text1"/>
          <w:sz w:val="21"/>
          <w:szCs w:val="21"/>
        </w:rPr>
        <w:t>Los adolescentes autorizados para trabajar tienen derecho a la formación y especialización que los habilite para ejercer libremente una ocupación, arte, oficio o profesión y a recibirla durante el ejercicio de su actividad laboral.</w:t>
      </w:r>
    </w:p>
    <w:p w14:paraId="4B35802F" w14:textId="77777777" w:rsidR="009F54A9" w:rsidRPr="0075061D" w:rsidRDefault="009F54A9" w:rsidP="009C4980">
      <w:pPr>
        <w:tabs>
          <w:tab w:val="left" w:pos="709"/>
        </w:tabs>
        <w:spacing w:after="0" w:line="240" w:lineRule="auto"/>
        <w:ind w:left="709" w:right="709"/>
        <w:jc w:val="both"/>
        <w:rPr>
          <w:rFonts w:ascii="Verdana" w:hAnsi="Verdana" w:cs="Arial"/>
          <w:color w:val="000000" w:themeColor="text1"/>
          <w:sz w:val="21"/>
          <w:szCs w:val="21"/>
        </w:rPr>
      </w:pPr>
      <w:r w:rsidRPr="0075061D">
        <w:rPr>
          <w:rFonts w:ascii="Verdana" w:hAnsi="Verdana" w:cs="Arial"/>
          <w:color w:val="000000" w:themeColor="text1"/>
          <w:sz w:val="21"/>
          <w:szCs w:val="21"/>
        </w:rPr>
        <w:t xml:space="preserve">Parágrafo. Excepcionalmente, los niños y niñas menores de 15 años podrán recibir autorización de la Inspección de Trabajo, o en su defecto del Ente Territorial Local, para </w:t>
      </w:r>
      <w:bookmarkStart w:id="7" w:name="_Hlk35605313"/>
      <w:r w:rsidRPr="0075061D">
        <w:rPr>
          <w:rFonts w:ascii="Verdana" w:hAnsi="Verdana" w:cs="Arial"/>
          <w:color w:val="000000" w:themeColor="text1"/>
          <w:sz w:val="21"/>
          <w:szCs w:val="21"/>
        </w:rPr>
        <w:t>desempeñar actividades remuneradas de tipo artístico, cultural, recreativo y deportivo</w:t>
      </w:r>
      <w:bookmarkEnd w:id="7"/>
      <w:r w:rsidRPr="0075061D">
        <w:rPr>
          <w:rFonts w:ascii="Verdana" w:hAnsi="Verdana" w:cs="Arial"/>
          <w:color w:val="000000" w:themeColor="text1"/>
          <w:sz w:val="21"/>
          <w:szCs w:val="21"/>
        </w:rPr>
        <w:t>. La autorización establecerá el número de horas máximas y prescribirá las condiciones en que esta actividad debe llevarse a cabo. En ningún caso el permiso excederá las catorce (14) horas semanales.</w:t>
      </w:r>
    </w:p>
    <w:p w14:paraId="5E8378D8" w14:textId="77777777" w:rsidR="009F54A9" w:rsidRPr="0075061D" w:rsidRDefault="009F54A9" w:rsidP="009C4980">
      <w:pPr>
        <w:tabs>
          <w:tab w:val="left" w:pos="709"/>
        </w:tabs>
        <w:spacing w:after="0" w:line="240" w:lineRule="auto"/>
        <w:ind w:left="709" w:right="709"/>
        <w:jc w:val="both"/>
        <w:rPr>
          <w:rFonts w:ascii="Verdana" w:hAnsi="Verdana" w:cs="Arial"/>
          <w:color w:val="000000" w:themeColor="text1"/>
          <w:sz w:val="21"/>
          <w:szCs w:val="21"/>
        </w:rPr>
      </w:pPr>
    </w:p>
    <w:p w14:paraId="74BFD447" w14:textId="77777777" w:rsidR="009F54A9" w:rsidRPr="0075061D" w:rsidRDefault="009F54A9" w:rsidP="009C4980">
      <w:pPr>
        <w:tabs>
          <w:tab w:val="left" w:pos="709"/>
        </w:tabs>
        <w:spacing w:after="0" w:line="240" w:lineRule="auto"/>
        <w:ind w:left="709" w:right="709"/>
        <w:jc w:val="both"/>
        <w:rPr>
          <w:rFonts w:ascii="Verdana" w:hAnsi="Verdana" w:cs="Arial"/>
          <w:color w:val="000000" w:themeColor="text1"/>
          <w:sz w:val="21"/>
          <w:szCs w:val="21"/>
        </w:rPr>
      </w:pPr>
      <w:r w:rsidRPr="0075061D">
        <w:rPr>
          <w:rFonts w:ascii="Verdana" w:hAnsi="Verdana" w:cs="Arial"/>
          <w:color w:val="000000" w:themeColor="text1"/>
          <w:sz w:val="21"/>
          <w:szCs w:val="21"/>
        </w:rPr>
        <w:t xml:space="preserve">[…] </w:t>
      </w:r>
    </w:p>
    <w:p w14:paraId="7E3F9183" w14:textId="77777777" w:rsidR="009F54A9" w:rsidRPr="0075061D" w:rsidRDefault="009F54A9" w:rsidP="009C4980">
      <w:pPr>
        <w:tabs>
          <w:tab w:val="left" w:pos="709"/>
        </w:tabs>
        <w:spacing w:after="0" w:line="240" w:lineRule="auto"/>
        <w:ind w:left="709" w:right="709"/>
        <w:jc w:val="both"/>
        <w:rPr>
          <w:rFonts w:ascii="Verdana" w:hAnsi="Verdana" w:cs="Arial"/>
          <w:color w:val="000000" w:themeColor="text1"/>
          <w:sz w:val="21"/>
          <w:szCs w:val="21"/>
        </w:rPr>
      </w:pPr>
    </w:p>
    <w:p w14:paraId="67BE5A2E" w14:textId="77777777" w:rsidR="009F54A9" w:rsidRPr="0075061D"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sidRPr="0075061D">
        <w:rPr>
          <w:rFonts w:ascii="Verdana" w:hAnsi="Verdana" w:cs="Arial"/>
          <w:color w:val="000000" w:themeColor="text1"/>
          <w:sz w:val="21"/>
          <w:szCs w:val="21"/>
        </w:rPr>
        <w:t>Artículo 114. Jornada de trabajo. La duración máxima de la jornada laboral de los adolescentes autorizados para trabajar, se sujetará a las siguientes reglas:</w:t>
      </w:r>
    </w:p>
    <w:p w14:paraId="0C967FD7" w14:textId="77777777" w:rsidR="009F54A9" w:rsidRPr="0075061D"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sidRPr="0075061D">
        <w:rPr>
          <w:rFonts w:ascii="Verdana" w:hAnsi="Verdana" w:cs="Arial"/>
          <w:color w:val="000000" w:themeColor="text1"/>
          <w:sz w:val="21"/>
          <w:szCs w:val="21"/>
        </w:rPr>
        <w:t>1. Los adolescentes mayores de 15 y menores de 17 años, sólo podrán trabajar en jornada diurna máxima de seis horas diarias y treinta horas a la semana y hasta las 6:00 de la tarde.</w:t>
      </w:r>
    </w:p>
    <w:p w14:paraId="04B30884" w14:textId="77777777" w:rsidR="009F54A9" w:rsidRPr="0075061D" w:rsidRDefault="009F54A9" w:rsidP="009C4980">
      <w:pPr>
        <w:tabs>
          <w:tab w:val="left" w:pos="709"/>
        </w:tabs>
        <w:spacing w:after="0" w:line="240" w:lineRule="auto"/>
        <w:ind w:left="709" w:right="709"/>
        <w:jc w:val="both"/>
        <w:rPr>
          <w:rFonts w:ascii="Verdana" w:hAnsi="Verdana" w:cs="Arial"/>
          <w:color w:val="000000" w:themeColor="text1"/>
        </w:rPr>
      </w:pPr>
      <w:r w:rsidRPr="0075061D">
        <w:rPr>
          <w:rFonts w:ascii="Verdana" w:hAnsi="Verdana" w:cs="Arial"/>
          <w:color w:val="000000" w:themeColor="text1"/>
          <w:sz w:val="21"/>
          <w:szCs w:val="21"/>
        </w:rPr>
        <w:lastRenderedPageBreak/>
        <w:t>2. Los adolescentes mayores de diecisiete (17) años, sólo podrán trabajar en una jornada máxima de ocho horas diarias y 40 horas a la semana y hasta las 8:00 de la noche</w:t>
      </w:r>
      <w:r>
        <w:rPr>
          <w:rFonts w:ascii="Verdana" w:hAnsi="Verdana" w:cs="Arial"/>
          <w:color w:val="000000" w:themeColor="text1"/>
          <w:sz w:val="21"/>
          <w:szCs w:val="21"/>
        </w:rPr>
        <w:t>”</w:t>
      </w:r>
      <w:r w:rsidRPr="0075061D">
        <w:rPr>
          <w:rFonts w:ascii="Verdana" w:hAnsi="Verdana" w:cs="Arial"/>
          <w:color w:val="000000" w:themeColor="text1"/>
          <w:sz w:val="21"/>
          <w:szCs w:val="21"/>
        </w:rPr>
        <w:t>.</w:t>
      </w:r>
    </w:p>
    <w:p w14:paraId="635A6646" w14:textId="77777777" w:rsidR="009F54A9" w:rsidRPr="0075061D" w:rsidRDefault="009F54A9" w:rsidP="009F54A9">
      <w:pPr>
        <w:tabs>
          <w:tab w:val="left" w:pos="709"/>
        </w:tabs>
        <w:spacing w:after="0" w:line="276" w:lineRule="auto"/>
        <w:ind w:right="142"/>
        <w:jc w:val="both"/>
        <w:rPr>
          <w:rFonts w:ascii="Verdana" w:hAnsi="Verdana" w:cs="Arial"/>
          <w:color w:val="000000" w:themeColor="text1"/>
        </w:rPr>
      </w:pPr>
    </w:p>
    <w:p w14:paraId="1E127FB9" w14:textId="77777777" w:rsidR="009F54A9" w:rsidRPr="0075061D" w:rsidRDefault="009F54A9" w:rsidP="009F54A9">
      <w:pPr>
        <w:tabs>
          <w:tab w:val="left" w:pos="709"/>
        </w:tabs>
        <w:spacing w:after="0" w:line="276" w:lineRule="auto"/>
        <w:ind w:firstLine="709"/>
        <w:jc w:val="both"/>
        <w:rPr>
          <w:rFonts w:ascii="Verdana" w:hAnsi="Verdana" w:cs="Arial"/>
          <w:color w:val="000000" w:themeColor="text1"/>
        </w:rPr>
      </w:pPr>
      <w:r w:rsidRPr="0075061D">
        <w:rPr>
          <w:rFonts w:ascii="Verdana" w:hAnsi="Verdana" w:cs="Arial"/>
          <w:color w:val="000000" w:themeColor="text1"/>
        </w:rPr>
        <w:t xml:space="preserve">De las reglas anteriormente citadas, se desprende lo siguiente: i) la necesidad de obtener una autorización previa por parte del Ministerio del Trabajo y </w:t>
      </w:r>
      <w:proofErr w:type="spellStart"/>
      <w:r w:rsidRPr="0075061D">
        <w:rPr>
          <w:rFonts w:ascii="Verdana" w:hAnsi="Verdana" w:cs="Arial"/>
          <w:color w:val="000000" w:themeColor="text1"/>
        </w:rPr>
        <w:t>ii</w:t>
      </w:r>
      <w:proofErr w:type="spellEnd"/>
      <w:r w:rsidRPr="0075061D">
        <w:rPr>
          <w:rFonts w:ascii="Verdana" w:hAnsi="Verdana" w:cs="Arial"/>
          <w:color w:val="000000" w:themeColor="text1"/>
        </w:rPr>
        <w:t xml:space="preserve">) una limitación tanto de las actividades como de las jornadas laborales en función de la edad. Como se observa, el Código de la Infancia y la Adolescencia dispone que los menores de edad tienen capacidad para la celebración de contratos de trabajo, los cuales se rigen fundamentalmente por la legislación laboral. Al respecto, la doctrina señala que: </w:t>
      </w:r>
      <w:r>
        <w:rPr>
          <w:rFonts w:ascii="Verdana" w:hAnsi="Verdana" w:cs="Arial"/>
          <w:color w:val="000000" w:themeColor="text1"/>
        </w:rPr>
        <w:t>“</w:t>
      </w:r>
      <w:r w:rsidRPr="0075061D">
        <w:rPr>
          <w:rFonts w:ascii="Verdana" w:hAnsi="Verdana" w:cs="Arial"/>
          <w:color w:val="000000" w:themeColor="text1"/>
        </w:rPr>
        <w:t>El artículo 35 del Código de la Infancia y la Adolescencia establece que los menores de 18 y los mayores de 17 años son plenamente capaces para trabajar y ejercer los derechos vinculados. Los menores entre 15 y 17 años, requieren de autorización del inspector del trabajo y, una vez obtenida, gozarán de todas las protecciones laborales y estarán habilitados, como señala en Código Civil, para la administración de su peculio profesional o industrial</w:t>
      </w:r>
      <w:r>
        <w:rPr>
          <w:rFonts w:ascii="Verdana" w:hAnsi="Verdana" w:cs="Arial"/>
          <w:color w:val="000000" w:themeColor="text1"/>
        </w:rPr>
        <w:t>”</w:t>
      </w:r>
      <w:r w:rsidRPr="0075061D">
        <w:rPr>
          <w:rStyle w:val="Refdenotaalpie"/>
          <w:rFonts w:ascii="Verdana" w:hAnsi="Verdana" w:cs="Arial"/>
          <w:color w:val="000000" w:themeColor="text1"/>
        </w:rPr>
        <w:footnoteReference w:id="23"/>
      </w:r>
      <w:r w:rsidRPr="0075061D">
        <w:rPr>
          <w:rFonts w:ascii="Verdana" w:hAnsi="Verdana" w:cs="Arial"/>
          <w:color w:val="000000" w:themeColor="text1"/>
        </w:rPr>
        <w:t xml:space="preserve">. </w:t>
      </w:r>
    </w:p>
    <w:p w14:paraId="46BA8C16" w14:textId="77777777" w:rsidR="009F54A9" w:rsidRPr="00A22A15" w:rsidRDefault="009F54A9" w:rsidP="009F54A9">
      <w:pPr>
        <w:tabs>
          <w:tab w:val="left" w:pos="709"/>
        </w:tabs>
        <w:spacing w:before="120" w:after="0" w:line="276" w:lineRule="auto"/>
        <w:ind w:firstLine="709"/>
        <w:jc w:val="both"/>
        <w:rPr>
          <w:rFonts w:ascii="Verdana" w:hAnsi="Verdana" w:cs="Arial"/>
          <w:color w:val="000000" w:themeColor="text1"/>
        </w:rPr>
      </w:pPr>
      <w:r w:rsidRPr="0075061D">
        <w:rPr>
          <w:rFonts w:ascii="Verdana" w:hAnsi="Verdana" w:cs="Arial"/>
          <w:color w:val="000000" w:themeColor="text1"/>
        </w:rPr>
        <w:t>Esto significa que los menores que tengan una edad igual o superior a quince (15) años pueden celebrar contratos de trabajo por sí mismos, sin la intervención de terceras personas. De hecho, el parágrafo del artículo 35 de la Ley 1098 de 2006 permite que, excepcionalmente, se conceda permiso para trabajar a quienes tengan una edad inferior para</w:t>
      </w:r>
      <w:r w:rsidRPr="0075061D">
        <w:rPr>
          <w:rFonts w:ascii="Verdana" w:hAnsi="Verdana"/>
          <w:color w:val="000000" w:themeColor="text1"/>
        </w:rPr>
        <w:t xml:space="preserve"> </w:t>
      </w:r>
      <w:r w:rsidRPr="0075061D">
        <w:rPr>
          <w:rFonts w:ascii="Verdana" w:hAnsi="Verdana" w:cs="Arial"/>
          <w:color w:val="000000" w:themeColor="text1"/>
        </w:rPr>
        <w:t xml:space="preserve">desempeñar actividades de tipo artístico, </w:t>
      </w:r>
      <w:r w:rsidRPr="00A22A15">
        <w:rPr>
          <w:rFonts w:ascii="Verdana" w:hAnsi="Verdana" w:cs="Arial"/>
          <w:color w:val="000000" w:themeColor="text1"/>
        </w:rPr>
        <w:t xml:space="preserve">cultural, recreativo y deportivo, mientras que la jornada sea igual o inferior a las catorce (14) horas semanales. </w:t>
      </w:r>
    </w:p>
    <w:p w14:paraId="7D9D0473" w14:textId="77777777" w:rsidR="009F54A9" w:rsidRPr="0075061D" w:rsidRDefault="009F54A9" w:rsidP="009F54A9">
      <w:pPr>
        <w:tabs>
          <w:tab w:val="left" w:pos="709"/>
        </w:tabs>
        <w:spacing w:before="120" w:after="0" w:line="276" w:lineRule="auto"/>
        <w:ind w:firstLine="709"/>
        <w:jc w:val="both"/>
        <w:rPr>
          <w:rFonts w:ascii="Verdana" w:hAnsi="Verdana" w:cs="Arial"/>
          <w:color w:val="000000" w:themeColor="text1"/>
        </w:rPr>
      </w:pPr>
      <w:r w:rsidRPr="0075061D">
        <w:rPr>
          <w:rFonts w:ascii="Verdana" w:hAnsi="Verdana" w:cs="Arial"/>
          <w:color w:val="000000" w:themeColor="text1"/>
        </w:rPr>
        <w:t xml:space="preserve">Sin embargo, </w:t>
      </w:r>
      <w:bookmarkStart w:id="8" w:name="_Hlk35617452"/>
      <w:r w:rsidRPr="0075061D">
        <w:rPr>
          <w:rFonts w:ascii="Verdana" w:hAnsi="Verdana" w:cs="Arial"/>
          <w:color w:val="000000" w:themeColor="text1"/>
        </w:rPr>
        <w:t xml:space="preserve">que los menores tengan capacidad para entrar en relaciones de trabajo no implica que estén habilitados para celebrar contratos de prestación de servicios personales, los cuales –además de tener una naturaleza jurídica diferente, como se anotó </w:t>
      </w:r>
      <w:r w:rsidRPr="00A22A15">
        <w:rPr>
          <w:rFonts w:ascii="Verdana" w:hAnsi="Verdana" w:cs="Arial"/>
          <w:i/>
          <w:iCs/>
          <w:color w:val="000000" w:themeColor="text1"/>
        </w:rPr>
        <w:t>ut supra</w:t>
      </w:r>
      <w:r w:rsidRPr="0075061D">
        <w:rPr>
          <w:rFonts w:ascii="Verdana" w:hAnsi="Verdana" w:cs="Arial"/>
          <w:color w:val="000000" w:themeColor="text1"/>
        </w:rPr>
        <w:t xml:space="preserve">– se rigen por la Ley 80 de 1993 y el Código Civil. En esta medida, al carecer de capacidad plena, lo menores púberes solo pueden actuar por sí mismos en los actos jurídicos que expresamente señale la ley, sin que sea posible su interpretación extensiva o aplicación analógica por tratarse de habilitaciones excepcionales, pues lo que ha querido el legislador es que solo puedan intervenir en </w:t>
      </w:r>
      <w:r w:rsidRPr="0075061D">
        <w:rPr>
          <w:rFonts w:ascii="Verdana" w:hAnsi="Verdana" w:cs="Arial"/>
          <w:i/>
          <w:iCs/>
          <w:color w:val="000000" w:themeColor="text1"/>
        </w:rPr>
        <w:t>algunas</w:t>
      </w:r>
      <w:r w:rsidRPr="0075061D">
        <w:rPr>
          <w:rFonts w:ascii="Verdana" w:hAnsi="Verdana" w:cs="Arial"/>
          <w:color w:val="000000" w:themeColor="text1"/>
        </w:rPr>
        <w:t xml:space="preserve"> actuaciones mientras alcanzan la mayoría de edad. No en vano, el antecitado artículo 1504 del Código Civil dispone que </w:t>
      </w:r>
      <w:r>
        <w:rPr>
          <w:rFonts w:ascii="Verdana" w:hAnsi="Verdana" w:cs="Arial"/>
          <w:color w:val="000000" w:themeColor="text1"/>
        </w:rPr>
        <w:t>“</w:t>
      </w:r>
      <w:r w:rsidRPr="0075061D">
        <w:rPr>
          <w:rFonts w:ascii="Verdana" w:hAnsi="Verdana" w:cs="Arial"/>
          <w:color w:val="000000" w:themeColor="text1"/>
        </w:rPr>
        <w:t xml:space="preserve">[…] la incapacidad de estas personas no es absoluta y sus actos pueden tener </w:t>
      </w:r>
      <w:r w:rsidRPr="0075061D">
        <w:rPr>
          <w:rFonts w:ascii="Verdana" w:hAnsi="Verdana" w:cs="Arial"/>
          <w:color w:val="000000" w:themeColor="text1"/>
        </w:rPr>
        <w:lastRenderedPageBreak/>
        <w:t>valor en ciertas circunstancias y bajo ciertos respectos determinados por las leyes […]</w:t>
      </w:r>
      <w:r>
        <w:rPr>
          <w:rFonts w:ascii="Verdana" w:hAnsi="Verdana" w:cs="Arial"/>
          <w:color w:val="000000" w:themeColor="text1"/>
        </w:rPr>
        <w:t>”</w:t>
      </w:r>
      <w:r w:rsidRPr="0075061D">
        <w:rPr>
          <w:rFonts w:ascii="Verdana" w:hAnsi="Verdana" w:cs="Arial"/>
          <w:color w:val="000000" w:themeColor="text1"/>
        </w:rPr>
        <w:t xml:space="preserve">, lo que implica que </w:t>
      </w:r>
      <w:r w:rsidRPr="0075061D">
        <w:rPr>
          <w:rFonts w:ascii="Verdana" w:hAnsi="Verdana" w:cs="Arial"/>
          <w:i/>
          <w:iCs/>
          <w:color w:val="000000" w:themeColor="text1"/>
        </w:rPr>
        <w:t>por regla general</w:t>
      </w:r>
      <w:r w:rsidRPr="0075061D">
        <w:rPr>
          <w:rFonts w:ascii="Verdana" w:hAnsi="Verdana" w:cs="Arial"/>
          <w:color w:val="000000" w:themeColor="text1"/>
        </w:rPr>
        <w:t xml:space="preserve"> actúan a través de un representante, salvo que </w:t>
      </w:r>
      <w:r w:rsidRPr="0075061D">
        <w:rPr>
          <w:rFonts w:ascii="Verdana" w:hAnsi="Verdana" w:cs="Arial"/>
          <w:i/>
          <w:iCs/>
          <w:color w:val="000000" w:themeColor="text1"/>
        </w:rPr>
        <w:t>excepcionalmente</w:t>
      </w:r>
      <w:r w:rsidRPr="0075061D">
        <w:rPr>
          <w:rFonts w:ascii="Verdana" w:hAnsi="Verdana" w:cs="Arial"/>
          <w:color w:val="000000" w:themeColor="text1"/>
        </w:rPr>
        <w:t xml:space="preserve"> la ley los autorice para actuar por sí mismos. </w:t>
      </w:r>
    </w:p>
    <w:p w14:paraId="0BC0B587" w14:textId="77777777" w:rsidR="009F54A9" w:rsidRPr="0075061D" w:rsidRDefault="009F54A9" w:rsidP="009F54A9">
      <w:pPr>
        <w:tabs>
          <w:tab w:val="left" w:pos="709"/>
        </w:tabs>
        <w:spacing w:before="120" w:after="0" w:line="276" w:lineRule="auto"/>
        <w:ind w:firstLine="709"/>
        <w:jc w:val="both"/>
        <w:rPr>
          <w:rFonts w:ascii="Verdana" w:hAnsi="Verdana" w:cs="Arial"/>
          <w:color w:val="000000" w:themeColor="text1"/>
        </w:rPr>
      </w:pPr>
      <w:r w:rsidRPr="0075061D">
        <w:rPr>
          <w:rFonts w:ascii="Verdana" w:hAnsi="Verdana" w:cs="Arial"/>
          <w:color w:val="000000" w:themeColor="text1"/>
        </w:rPr>
        <w:t>Naturalmente, que no exista una habilitación para que los menores de edad suscriban contratos de prestación de servicios y que esta no se derive de la interpretación extensiva de los artículos 35 y 114 del Código de la Infancia y la Adolescencia, no significa que la suscripción esté prohibida. Todo lo contrario, el contrato es válido, siempre que el menor actúe a través de sus representantes legales, esto es, el padre y la madre, cuando está sometido a la patria potestad, o a través del curador, cuando esta última cesa anticipadamente en virtud de la emancipación</w:t>
      </w:r>
      <w:bookmarkEnd w:id="8"/>
      <w:r w:rsidRPr="0075061D">
        <w:rPr>
          <w:rFonts w:ascii="Verdana" w:hAnsi="Verdana" w:cs="Arial"/>
          <w:color w:val="000000" w:themeColor="text1"/>
        </w:rPr>
        <w:t xml:space="preserve">. En el primer caso, aquellos ostentan la representación extrajudicial de los hijos menores de edad, conforme al artículo </w:t>
      </w:r>
      <w:r>
        <w:rPr>
          <w:rFonts w:ascii="Verdana" w:hAnsi="Verdana" w:cs="Arial"/>
          <w:color w:val="000000" w:themeColor="text1"/>
        </w:rPr>
        <w:t>307</w:t>
      </w:r>
      <w:r w:rsidRPr="0075061D">
        <w:rPr>
          <w:rFonts w:ascii="Verdana" w:hAnsi="Verdana" w:cs="Arial"/>
          <w:color w:val="000000" w:themeColor="text1"/>
        </w:rPr>
        <w:t xml:space="preserve"> del Código Civil</w:t>
      </w:r>
      <w:r w:rsidRPr="0075061D">
        <w:rPr>
          <w:rStyle w:val="Refdenotaalpie"/>
          <w:rFonts w:ascii="Verdana" w:hAnsi="Verdana" w:cs="Arial"/>
          <w:color w:val="000000" w:themeColor="text1"/>
        </w:rPr>
        <w:footnoteReference w:id="24"/>
      </w:r>
      <w:r w:rsidRPr="0075061D">
        <w:rPr>
          <w:rFonts w:ascii="Verdana" w:hAnsi="Verdana" w:cs="Arial"/>
          <w:color w:val="000000" w:themeColor="text1"/>
        </w:rPr>
        <w:t>; en el segundo, la facultad de este deriva del artículo 54 de la Ley 1306 de 2009</w:t>
      </w:r>
      <w:r w:rsidRPr="0075061D">
        <w:rPr>
          <w:rStyle w:val="Refdenotaalpie"/>
          <w:rFonts w:ascii="Verdana" w:hAnsi="Verdana" w:cs="Arial"/>
          <w:color w:val="000000" w:themeColor="text1"/>
        </w:rPr>
        <w:footnoteReference w:id="25"/>
      </w:r>
      <w:r w:rsidRPr="0075061D">
        <w:rPr>
          <w:rFonts w:ascii="Verdana" w:hAnsi="Verdana" w:cs="Arial"/>
          <w:color w:val="000000" w:themeColor="text1"/>
        </w:rPr>
        <w:t xml:space="preserve">. En todo caso, si bien los contratos celebrados directamente por </w:t>
      </w:r>
      <w:r w:rsidRPr="0075061D">
        <w:rPr>
          <w:rFonts w:ascii="Verdana" w:hAnsi="Verdana" w:cs="Arial"/>
          <w:color w:val="000000" w:themeColor="text1"/>
        </w:rPr>
        <w:lastRenderedPageBreak/>
        <w:t xml:space="preserve">incapaces relativos están viciados de nulidad, también es posible la aprobación posterior del contrato celebrado por parte de quienes tengan la patria potestad o la curaduría del menor, defecto que también se convalida al vencimiento del término de caducidad de la acción rescisoria. Lo anterior, en la medida en que –a diferencia de la nulidad que afecta los actos de los absolutamente incapaces– las causales de nulidad relativa son </w:t>
      </w:r>
      <w:proofErr w:type="spellStart"/>
      <w:r w:rsidRPr="0075061D">
        <w:rPr>
          <w:rFonts w:ascii="Verdana" w:hAnsi="Verdana" w:cs="Arial"/>
          <w:color w:val="000000" w:themeColor="text1"/>
        </w:rPr>
        <w:t>saneables</w:t>
      </w:r>
      <w:proofErr w:type="spellEnd"/>
      <w:r w:rsidRPr="0075061D">
        <w:rPr>
          <w:rFonts w:ascii="Verdana" w:hAnsi="Verdana" w:cs="Arial"/>
          <w:color w:val="000000" w:themeColor="text1"/>
        </w:rPr>
        <w:t xml:space="preserve">. Al respecto, el artículo 46 de la Ley 80 de 1993 dispone que </w:t>
      </w:r>
      <w:r>
        <w:rPr>
          <w:rFonts w:ascii="Verdana" w:hAnsi="Verdana" w:cs="Arial"/>
          <w:color w:val="000000" w:themeColor="text1"/>
        </w:rPr>
        <w:t>“</w:t>
      </w:r>
      <w:r w:rsidRPr="0075061D">
        <w:rPr>
          <w:rFonts w:ascii="Verdana" w:hAnsi="Verdana" w:cs="Arial"/>
          <w:color w:val="000000" w:themeColor="text1"/>
        </w:rPr>
        <w:t>Los demás vicios que se presenten en los contratos y que conforme al derecho común constituyen causales de nulidad relativa, pueden sanearse por ratificación expresa de los interesados o por el transcurso de dos (2) años contados a partir de la ocurrencia del hecho generador del vicio</w:t>
      </w:r>
      <w:r>
        <w:rPr>
          <w:rFonts w:ascii="Verdana" w:hAnsi="Verdana" w:cs="Arial"/>
          <w:color w:val="000000" w:themeColor="text1"/>
        </w:rPr>
        <w:t>”</w:t>
      </w:r>
      <w:r w:rsidRPr="0075061D">
        <w:rPr>
          <w:rFonts w:ascii="Verdana" w:hAnsi="Verdana" w:cs="Arial"/>
          <w:color w:val="000000" w:themeColor="text1"/>
        </w:rPr>
        <w:t>. Así las cosas:</w:t>
      </w:r>
    </w:p>
    <w:p w14:paraId="7B00B85B" w14:textId="77777777" w:rsidR="009F54A9" w:rsidRPr="0075061D" w:rsidRDefault="009F54A9" w:rsidP="009F54A9">
      <w:pPr>
        <w:tabs>
          <w:tab w:val="left" w:pos="709"/>
        </w:tabs>
        <w:spacing w:after="0" w:line="276" w:lineRule="auto"/>
        <w:ind w:right="142"/>
        <w:jc w:val="both"/>
        <w:rPr>
          <w:rFonts w:ascii="Verdana" w:hAnsi="Verdana" w:cs="Arial"/>
          <w:color w:val="000000" w:themeColor="text1"/>
        </w:rPr>
      </w:pPr>
    </w:p>
    <w:p w14:paraId="65AD83BA" w14:textId="77777777" w:rsidR="009F54A9" w:rsidRPr="00D45B2C" w:rsidRDefault="009F54A9" w:rsidP="009C4980">
      <w:pPr>
        <w:tabs>
          <w:tab w:val="left" w:pos="709"/>
        </w:tabs>
        <w:spacing w:before="12" w:after="0" w:line="240" w:lineRule="auto"/>
        <w:ind w:left="709" w:right="709"/>
        <w:jc w:val="both"/>
        <w:rPr>
          <w:rFonts w:ascii="Verdana" w:hAnsi="Verdana" w:cs="Arial"/>
          <w:color w:val="000000" w:themeColor="text1"/>
          <w:sz w:val="21"/>
          <w:szCs w:val="21"/>
        </w:rPr>
      </w:pPr>
      <w:r w:rsidRPr="00D45B2C">
        <w:rPr>
          <w:rFonts w:ascii="Verdana" w:hAnsi="Verdana" w:cs="Arial"/>
          <w:color w:val="000000" w:themeColor="text1"/>
          <w:sz w:val="21"/>
          <w:szCs w:val="21"/>
        </w:rPr>
        <w:t>“Los menores adultos que están de ordinario sometidos a la patria potestad de su padre o madre, o bajo curaduría general, no carecen de voluntad, como sucede con los impúberes, que son absolutamente incapaces. En consecuencia, pueden celebrar actos jurídicos, sea personalmente, autorizados por su representante legal, sea representados por éste. En el primer caso, es el incapaz quien consiente directamente en el contrato, es él quien manifiesta su propia voluntad, y el representante legal sólo interviene para habilitarlo, a fin de que ejecute un acto jurídico válido, que, de otro modo, adolecería de nulidad relativa. En el segundo, el incapaz no tiene intervención personal alguna en el acto, ya que éste es ejecutado por su representante legal”</w:t>
      </w:r>
      <w:r w:rsidRPr="00D45B2C">
        <w:rPr>
          <w:rStyle w:val="Refdenotaalpie"/>
          <w:rFonts w:ascii="Verdana" w:hAnsi="Verdana" w:cs="Arial"/>
          <w:color w:val="000000" w:themeColor="text1"/>
          <w:sz w:val="21"/>
          <w:szCs w:val="21"/>
        </w:rPr>
        <w:footnoteReference w:id="26"/>
      </w:r>
      <w:r w:rsidRPr="00D45B2C">
        <w:rPr>
          <w:rFonts w:ascii="Verdana" w:hAnsi="Verdana" w:cs="Arial"/>
          <w:color w:val="000000" w:themeColor="text1"/>
          <w:sz w:val="21"/>
          <w:szCs w:val="21"/>
        </w:rPr>
        <w:t xml:space="preserve">.  </w:t>
      </w:r>
    </w:p>
    <w:p w14:paraId="4CA35C66" w14:textId="77777777" w:rsidR="009F54A9" w:rsidRPr="0075061D" w:rsidRDefault="009F54A9" w:rsidP="009F54A9">
      <w:pPr>
        <w:tabs>
          <w:tab w:val="left" w:pos="709"/>
        </w:tabs>
        <w:spacing w:before="12" w:after="0"/>
        <w:ind w:left="709" w:right="709"/>
        <w:jc w:val="both"/>
        <w:rPr>
          <w:rFonts w:ascii="Verdana" w:hAnsi="Verdana" w:cs="Arial"/>
          <w:color w:val="000000" w:themeColor="text1"/>
        </w:rPr>
      </w:pPr>
      <w:r w:rsidRPr="0075061D">
        <w:rPr>
          <w:rFonts w:ascii="Verdana" w:hAnsi="Verdana" w:cs="Arial"/>
          <w:color w:val="000000" w:themeColor="text1"/>
        </w:rPr>
        <w:t xml:space="preserve">  </w:t>
      </w:r>
    </w:p>
    <w:p w14:paraId="321C8920" w14:textId="77777777" w:rsidR="009F54A9" w:rsidRPr="0075061D" w:rsidRDefault="009F54A9" w:rsidP="009F54A9">
      <w:pPr>
        <w:tabs>
          <w:tab w:val="left" w:pos="709"/>
        </w:tabs>
        <w:spacing w:after="0" w:line="276" w:lineRule="auto"/>
        <w:ind w:firstLine="709"/>
        <w:jc w:val="both"/>
        <w:rPr>
          <w:rFonts w:ascii="Verdana" w:hAnsi="Verdana" w:cs="Arial"/>
          <w:color w:val="000000" w:themeColor="text1"/>
        </w:rPr>
      </w:pPr>
      <w:r w:rsidRPr="0075061D">
        <w:rPr>
          <w:rFonts w:ascii="Verdana" w:hAnsi="Verdana" w:cs="Arial"/>
          <w:color w:val="000000" w:themeColor="text1"/>
        </w:rPr>
        <w:t>Por tanto, los menores púberes pueden celebrar contratos de prestación de servicios con las entidades estatales, siempre que estén debidamente representados o cuenten con la autorización de quienes tengan la patria potestad o, en su defecto, por quien ejerza la curaduría. Si suscriben el contrato directamente, este queda viciado de nulidad relativa, la cual se sanea, bien por la ratificación posterior o por la caducidad de la acción rescisoria. En el siguiente apartado se analizará si las exigencias previstas en los artículos 35 y 114 de la Ley 1098 de 2006 se extienden a los contratos previstos en el numeral 3 del artículo 32 de la Ley 80 de 1993, a efectos de determinar si también es necesaria la autorización del Ministerio de Trabajo para su suscripción.</w:t>
      </w:r>
    </w:p>
    <w:p w14:paraId="0BC562D3" w14:textId="77777777" w:rsidR="009F54A9" w:rsidRDefault="009F54A9" w:rsidP="009F54A9">
      <w:pPr>
        <w:tabs>
          <w:tab w:val="left" w:pos="709"/>
        </w:tabs>
        <w:spacing w:after="0" w:line="276" w:lineRule="auto"/>
        <w:jc w:val="both"/>
        <w:rPr>
          <w:rFonts w:ascii="Verdana" w:hAnsi="Verdana" w:cs="Arial"/>
          <w:color w:val="000000" w:themeColor="text1"/>
        </w:rPr>
      </w:pPr>
    </w:p>
    <w:p w14:paraId="2E6CF618" w14:textId="77777777" w:rsidR="009F54A9" w:rsidRPr="00BB4F22" w:rsidRDefault="009F54A9" w:rsidP="009F54A9">
      <w:pPr>
        <w:tabs>
          <w:tab w:val="left" w:pos="709"/>
        </w:tabs>
        <w:spacing w:after="0" w:line="276" w:lineRule="auto"/>
        <w:jc w:val="both"/>
        <w:rPr>
          <w:rFonts w:ascii="Verdana" w:hAnsi="Verdana" w:cs="Arial"/>
          <w:color w:val="000000" w:themeColor="text1"/>
        </w:rPr>
      </w:pPr>
      <w:proofErr w:type="spellStart"/>
      <w:r>
        <w:rPr>
          <w:rFonts w:ascii="Verdana" w:hAnsi="Verdana" w:cs="Arial"/>
          <w:color w:val="000000" w:themeColor="text1"/>
        </w:rPr>
        <w:lastRenderedPageBreak/>
        <w:t>iv</w:t>
      </w:r>
      <w:proofErr w:type="spellEnd"/>
      <w:r>
        <w:rPr>
          <w:rFonts w:ascii="Verdana" w:hAnsi="Verdana" w:cs="Arial"/>
          <w:color w:val="000000" w:themeColor="text1"/>
        </w:rPr>
        <w:t xml:space="preserve">. </w:t>
      </w:r>
      <w:r w:rsidRPr="00BB4F22">
        <w:rPr>
          <w:rFonts w:ascii="Verdana" w:hAnsi="Verdana" w:cs="Arial"/>
          <w:color w:val="000000" w:themeColor="text1"/>
        </w:rPr>
        <w:t xml:space="preserve">El análisis de los artículos 35 y 114 de la Ley 1098 de 2006 sugiere que estas normas solo son aplicables a las relaciones laborales, es decir, a la prestación personal de un servicio por parte de una persona bajo la continuada dependencia o subordinación de otra a cambio de una remuneración. Si bien los contratos laborales y de prestación de servicios tienen en común el primer y el último elemento e implican el surgimiento de una obligación correlativa de hacer y dar, se diferencian en que la subordinación únicamente es propia de aquel. En efecto, el literal b) del artículo 23 del Código Sustantivo del Trabajo dispone que </w:t>
      </w:r>
      <w:r>
        <w:rPr>
          <w:rFonts w:ascii="Verdana" w:hAnsi="Verdana" w:cs="Arial"/>
          <w:color w:val="000000" w:themeColor="text1"/>
        </w:rPr>
        <w:t>“</w:t>
      </w:r>
      <w:r w:rsidRPr="00BB4F22">
        <w:rPr>
          <w:rFonts w:ascii="Verdana" w:hAnsi="Verdana" w:cs="Arial"/>
          <w:color w:val="000000" w:themeColor="text1"/>
        </w:rPr>
        <w:t>La continuada subordinación o dependencia del trabajador respecto del empleador, […] faculta a éste para exigirle el cumplimiento de órdenes, en cualquier momento, en cuanto al modo, tiempo o cantidad de trabajo, e imponerle reglamentos, la cual debe mantenerse por todo el tiempo de duración del contrato […]</w:t>
      </w:r>
      <w:r>
        <w:rPr>
          <w:rFonts w:ascii="Verdana" w:hAnsi="Verdana" w:cs="Arial"/>
          <w:color w:val="000000" w:themeColor="text1"/>
        </w:rPr>
        <w:t>”</w:t>
      </w:r>
      <w:r w:rsidRPr="00BB4F22">
        <w:rPr>
          <w:rFonts w:ascii="Verdana" w:hAnsi="Verdana" w:cs="Arial"/>
          <w:color w:val="000000" w:themeColor="text1"/>
        </w:rPr>
        <w:t>. Al respecto:</w:t>
      </w:r>
    </w:p>
    <w:p w14:paraId="2529CE76" w14:textId="77777777" w:rsidR="009F54A9" w:rsidRPr="00BB4F22" w:rsidRDefault="009F54A9" w:rsidP="009F54A9">
      <w:pPr>
        <w:tabs>
          <w:tab w:val="left" w:pos="709"/>
        </w:tabs>
        <w:spacing w:after="0" w:line="276" w:lineRule="auto"/>
        <w:ind w:right="142"/>
        <w:jc w:val="both"/>
        <w:rPr>
          <w:rFonts w:ascii="Verdana" w:hAnsi="Verdana" w:cs="Arial"/>
          <w:color w:val="000000" w:themeColor="text1"/>
        </w:rPr>
      </w:pPr>
    </w:p>
    <w:p w14:paraId="4FE2533E" w14:textId="77777777" w:rsidR="009F54A9" w:rsidRPr="00BB4F22"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BB4F22">
        <w:rPr>
          <w:rFonts w:ascii="Verdana" w:hAnsi="Verdana" w:cs="Arial"/>
          <w:color w:val="000000" w:themeColor="text1"/>
          <w:sz w:val="21"/>
          <w:szCs w:val="21"/>
        </w:rPr>
        <w:t>La subordinación del trabajador al empleador como elemento distintivo y definidor del contrato de trabajo ha sido entendida, según la concepción más aceptable por la doctrina y la jurisprudencia, como un poder jurídico permanente de que es titular el empleador para dirigir la actividad laboral del trabajador, a través de la expedición de órdenes e instrucciones y la imposición de reglamentos, en lo relativo a la manera como éste debe realizar las funciones y cumplir con las obligaciones que le son propias, con miras al cumplimiento de los objetivos de la empresa, los cuales son generalmente económicos.</w:t>
      </w:r>
    </w:p>
    <w:p w14:paraId="38A04B37" w14:textId="77777777" w:rsidR="009F54A9" w:rsidRPr="00BB4F22"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sidRPr="00BB4F22">
        <w:rPr>
          <w:rFonts w:ascii="Verdana" w:hAnsi="Verdana" w:cs="Arial"/>
          <w:color w:val="000000" w:themeColor="text1"/>
          <w:sz w:val="21"/>
          <w:szCs w:val="21"/>
        </w:rPr>
        <w:t>Se destaca dentro del elemento subordinación, no solamente el poder de dirección, que condiciona la actividad laboral del trabajador, sino el poder disciplinario que el empleador ejerce sobre éste para asegurar un comportamiento y una disciplina acordes con los propósitos de la organización empresarial y el respeto por la dignidad y los derechos de aquél.</w:t>
      </w:r>
    </w:p>
    <w:p w14:paraId="787240B6" w14:textId="77777777" w:rsidR="009F54A9" w:rsidRPr="00BB4F22" w:rsidRDefault="009F54A9" w:rsidP="009C4980">
      <w:pPr>
        <w:tabs>
          <w:tab w:val="left" w:pos="709"/>
        </w:tabs>
        <w:spacing w:after="0" w:line="240" w:lineRule="auto"/>
        <w:ind w:left="709" w:right="709"/>
        <w:jc w:val="both"/>
        <w:rPr>
          <w:rFonts w:ascii="Verdana" w:hAnsi="Verdana" w:cs="Arial"/>
          <w:color w:val="000000" w:themeColor="text1"/>
          <w:sz w:val="21"/>
          <w:szCs w:val="21"/>
        </w:rPr>
      </w:pPr>
      <w:r w:rsidRPr="00BB4F22">
        <w:rPr>
          <w:rFonts w:ascii="Verdana" w:hAnsi="Verdana" w:cs="Arial"/>
          <w:color w:val="000000" w:themeColor="text1"/>
          <w:sz w:val="21"/>
          <w:szCs w:val="21"/>
        </w:rPr>
        <w:t>La norma en referencia, al tiempo que regula el poder de subordinación del empleador le impone a éste, como limitantes, el respeto del honor y la dignidad del trabajador, así como de sus derechos mínimos, que se vinculan a los tratados o convenios internacionales sobre derechos humanos en materia laboral</w:t>
      </w:r>
      <w:r>
        <w:rPr>
          <w:rFonts w:ascii="Verdana" w:hAnsi="Verdana" w:cs="Arial"/>
          <w:color w:val="000000" w:themeColor="text1"/>
          <w:sz w:val="21"/>
          <w:szCs w:val="21"/>
        </w:rPr>
        <w:t>”</w:t>
      </w:r>
      <w:r w:rsidRPr="00BB4F22">
        <w:rPr>
          <w:rStyle w:val="Refdenotaalpie"/>
          <w:rFonts w:ascii="Verdana" w:hAnsi="Verdana" w:cs="Arial"/>
          <w:color w:val="000000" w:themeColor="text1"/>
          <w:sz w:val="21"/>
          <w:szCs w:val="21"/>
        </w:rPr>
        <w:footnoteReference w:id="27"/>
      </w:r>
      <w:r w:rsidRPr="00BB4F22">
        <w:rPr>
          <w:rFonts w:ascii="Verdana" w:hAnsi="Verdana" w:cs="Arial"/>
          <w:color w:val="000000" w:themeColor="text1"/>
          <w:sz w:val="21"/>
          <w:szCs w:val="21"/>
        </w:rPr>
        <w:t>.</w:t>
      </w:r>
    </w:p>
    <w:p w14:paraId="52298E1C" w14:textId="77777777" w:rsidR="009F54A9" w:rsidRPr="00BB4F22" w:rsidRDefault="009F54A9" w:rsidP="009F54A9">
      <w:pPr>
        <w:tabs>
          <w:tab w:val="left" w:pos="709"/>
        </w:tabs>
        <w:spacing w:after="0" w:line="276" w:lineRule="auto"/>
        <w:ind w:right="142"/>
        <w:jc w:val="both"/>
        <w:rPr>
          <w:rFonts w:ascii="Verdana" w:hAnsi="Verdana" w:cs="Arial"/>
          <w:color w:val="000000" w:themeColor="text1"/>
        </w:rPr>
      </w:pPr>
    </w:p>
    <w:p w14:paraId="1F3DBC17" w14:textId="77777777" w:rsidR="009F54A9" w:rsidRPr="00BB4F22" w:rsidRDefault="009F54A9" w:rsidP="009F54A9">
      <w:pPr>
        <w:tabs>
          <w:tab w:val="left" w:pos="709"/>
        </w:tabs>
        <w:spacing w:after="0" w:line="276" w:lineRule="auto"/>
        <w:ind w:firstLine="709"/>
        <w:jc w:val="both"/>
        <w:rPr>
          <w:rFonts w:ascii="Verdana" w:hAnsi="Verdana" w:cs="Arial"/>
          <w:color w:val="000000" w:themeColor="text1"/>
        </w:rPr>
      </w:pPr>
      <w:r w:rsidRPr="00BB4F22">
        <w:rPr>
          <w:rFonts w:ascii="Verdana" w:hAnsi="Verdana" w:cs="Arial"/>
          <w:color w:val="000000" w:themeColor="text1"/>
        </w:rPr>
        <w:t>Por el contrario, el contrato de prestación de servicios presupone la completa autonomía de quien ejecuta las actividades previamente pactadas</w:t>
      </w:r>
      <w:r w:rsidRPr="00BB4F22">
        <w:rPr>
          <w:rStyle w:val="Refdenotaalpie"/>
          <w:rFonts w:ascii="Verdana" w:hAnsi="Verdana" w:cs="Arial"/>
          <w:color w:val="000000" w:themeColor="text1"/>
        </w:rPr>
        <w:footnoteReference w:id="28"/>
      </w:r>
      <w:r w:rsidRPr="00BB4F22">
        <w:rPr>
          <w:rFonts w:ascii="Verdana" w:hAnsi="Verdana" w:cs="Arial"/>
          <w:color w:val="000000" w:themeColor="text1"/>
        </w:rPr>
        <w:t xml:space="preserve">. Por ello, el inciso 2 del numeral 3 del artículo 32 de la Ley 80 de 1993 señala </w:t>
      </w:r>
      <w:r w:rsidRPr="00BB4F22">
        <w:rPr>
          <w:rFonts w:ascii="Verdana" w:hAnsi="Verdana" w:cs="Arial"/>
          <w:color w:val="000000" w:themeColor="text1"/>
        </w:rPr>
        <w:lastRenderedPageBreak/>
        <w:t xml:space="preserve">que estos contratos no generan relación laboral alguna, lo cual es lógico en la medida que faltaría la subordinación como uno de sus elementos esenciales. No en vano, la doctrina explica que este elemento </w:t>
      </w:r>
      <w:r>
        <w:rPr>
          <w:rFonts w:ascii="Verdana" w:hAnsi="Verdana" w:cs="Arial"/>
          <w:color w:val="000000" w:themeColor="text1"/>
        </w:rPr>
        <w:t>“</w:t>
      </w:r>
      <w:r w:rsidRPr="00BB4F22">
        <w:rPr>
          <w:rFonts w:ascii="Verdana" w:hAnsi="Verdana" w:cs="Arial"/>
          <w:color w:val="000000" w:themeColor="text1"/>
        </w:rPr>
        <w:t>Se encuentra en la facultad que tiene el empleador para imponerle órdenes al trabajador y exigirle su cumplimiento, señalarle el modo, tiempo y cantidad de trabajo, imponerle reglamentos y horarios</w:t>
      </w:r>
      <w:r>
        <w:rPr>
          <w:rFonts w:ascii="Verdana" w:hAnsi="Verdana" w:cs="Arial"/>
          <w:color w:val="000000" w:themeColor="text1"/>
        </w:rPr>
        <w:t>”</w:t>
      </w:r>
      <w:r w:rsidRPr="00BB4F22">
        <w:rPr>
          <w:rStyle w:val="Refdenotaalpie"/>
          <w:rFonts w:ascii="Verdana" w:hAnsi="Verdana" w:cs="Arial"/>
          <w:color w:val="000000" w:themeColor="text1"/>
        </w:rPr>
        <w:footnoteReference w:id="29"/>
      </w:r>
      <w:r w:rsidRPr="00BB4F22">
        <w:rPr>
          <w:rFonts w:ascii="Verdana" w:hAnsi="Verdana" w:cs="Arial"/>
          <w:color w:val="000000" w:themeColor="text1"/>
        </w:rPr>
        <w:t>. Al respecto, la jurisprudencia explica que:</w:t>
      </w:r>
    </w:p>
    <w:p w14:paraId="1E6571C2" w14:textId="77777777" w:rsidR="009F54A9" w:rsidRPr="00BB4F22" w:rsidRDefault="009F54A9" w:rsidP="009F54A9">
      <w:pPr>
        <w:tabs>
          <w:tab w:val="left" w:pos="709"/>
        </w:tabs>
        <w:spacing w:after="0" w:line="276" w:lineRule="auto"/>
        <w:ind w:right="142"/>
        <w:jc w:val="both"/>
        <w:rPr>
          <w:rFonts w:ascii="Verdana" w:hAnsi="Verdana" w:cs="Arial"/>
          <w:color w:val="000000" w:themeColor="text1"/>
        </w:rPr>
      </w:pPr>
    </w:p>
    <w:p w14:paraId="34C9EA2E" w14:textId="77777777" w:rsidR="009F54A9" w:rsidRPr="00BB4F22"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BB4F22">
        <w:rPr>
          <w:rFonts w:ascii="Verdana" w:hAnsi="Verdana" w:cs="Arial"/>
          <w:color w:val="000000" w:themeColor="text1"/>
          <w:sz w:val="21"/>
          <w:szCs w:val="21"/>
        </w:rPr>
        <w:t>29. El contrato de prestación de servicios estatuido en el referido artículo 32 de la Ley 80 de 1993, se celebra por el Estado en aquellos eventos en que la función de la administración no puede ser suministrada por personas vinculadas con la entidad oficial contratante o cuando requiere de conocimientos especializados.</w:t>
      </w:r>
    </w:p>
    <w:p w14:paraId="4129C439" w14:textId="77777777" w:rsidR="009F54A9" w:rsidRPr="00BB4F22"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sidRPr="00BB4F22">
        <w:rPr>
          <w:rFonts w:ascii="Verdana" w:hAnsi="Verdana" w:cs="Arial"/>
          <w:color w:val="000000" w:themeColor="text1"/>
          <w:sz w:val="21"/>
          <w:szCs w:val="21"/>
        </w:rPr>
        <w:t>30. La prestación de servicios en esta modalidad contractual versa sobre una obligación de hacer para la ejecución de labores en razón de la experiencia, capacitación y formación profesional de una persona en determinada materia, con la cual se acuerdan las respectivas labores u oficios a ejecutar.</w:t>
      </w:r>
    </w:p>
    <w:p w14:paraId="7A598C8E" w14:textId="77777777" w:rsidR="009F54A9" w:rsidRPr="00BB4F22" w:rsidRDefault="009F54A9" w:rsidP="009C4980">
      <w:pPr>
        <w:tabs>
          <w:tab w:val="left" w:pos="709"/>
        </w:tabs>
        <w:spacing w:after="120" w:line="240" w:lineRule="auto"/>
        <w:ind w:left="709" w:right="709"/>
        <w:jc w:val="both"/>
        <w:rPr>
          <w:rFonts w:ascii="Verdana" w:hAnsi="Verdana" w:cs="Arial"/>
          <w:color w:val="000000" w:themeColor="text1"/>
          <w:sz w:val="21"/>
          <w:szCs w:val="21"/>
        </w:rPr>
      </w:pPr>
      <w:r w:rsidRPr="00BB4F22">
        <w:rPr>
          <w:rFonts w:ascii="Verdana" w:hAnsi="Verdana" w:cs="Arial"/>
          <w:color w:val="000000" w:themeColor="text1"/>
          <w:sz w:val="21"/>
          <w:szCs w:val="21"/>
        </w:rPr>
        <w:t>31. El objeto contractual lo conforma la realización temporal de actividades inherentes al funcionamiento de la entidad respectiva, es decir, relacionadas con el objeto y finalidad para la cual fue creada y organizada. Empero, la autonomía e independencia del contratista desde el punto de vista técnico y científico, constituye el elemento esencial de este contrato. Esto significa que el contratista dispone de un amplio margen de discrecionalidad en cuanto concierne a la ejecución del objeto contractual dentro del plazo fijado y a la realización de la labor, según las estipulaciones acordadas.</w:t>
      </w:r>
    </w:p>
    <w:p w14:paraId="58721939" w14:textId="77777777" w:rsidR="009F54A9" w:rsidRPr="00BB4F22" w:rsidRDefault="009F54A9" w:rsidP="009C4980">
      <w:pPr>
        <w:tabs>
          <w:tab w:val="left" w:pos="709"/>
        </w:tabs>
        <w:spacing w:after="0" w:line="240" w:lineRule="auto"/>
        <w:ind w:left="709" w:right="709"/>
        <w:jc w:val="both"/>
        <w:rPr>
          <w:rFonts w:ascii="Verdana" w:hAnsi="Verdana" w:cs="Arial"/>
          <w:color w:val="000000" w:themeColor="text1"/>
          <w:sz w:val="21"/>
          <w:szCs w:val="21"/>
        </w:rPr>
      </w:pPr>
      <w:r w:rsidRPr="00BB4F22">
        <w:rPr>
          <w:rFonts w:ascii="Verdana" w:hAnsi="Verdana" w:cs="Arial"/>
          <w:color w:val="000000" w:themeColor="text1"/>
          <w:sz w:val="21"/>
          <w:szCs w:val="21"/>
        </w:rPr>
        <w:t>32. En ese orden se tiene que, la aludida modalidad contractual de prestación de servicio permanecerá inmutable, en la medida que el contratista goce plenamente de autonomía y liberalidad en la ejecución del objeto contractual, de tal suerte que, podrá desnaturalizarse el contrato de prestación de servicio en la medida que el contratista lleve a cabo las actividades contractuales de manera subordinada</w:t>
      </w:r>
      <w:r>
        <w:rPr>
          <w:rFonts w:ascii="Verdana" w:hAnsi="Verdana" w:cs="Arial"/>
          <w:color w:val="000000" w:themeColor="text1"/>
          <w:sz w:val="21"/>
          <w:szCs w:val="21"/>
        </w:rPr>
        <w:t>”</w:t>
      </w:r>
      <w:r w:rsidRPr="00BB4F22">
        <w:rPr>
          <w:rStyle w:val="Refdenotaalpie"/>
          <w:rFonts w:ascii="Verdana" w:hAnsi="Verdana" w:cs="Arial"/>
          <w:color w:val="000000" w:themeColor="text1"/>
          <w:sz w:val="21"/>
          <w:szCs w:val="21"/>
        </w:rPr>
        <w:footnoteReference w:id="30"/>
      </w:r>
      <w:r w:rsidRPr="00BB4F22">
        <w:rPr>
          <w:rFonts w:ascii="Verdana" w:hAnsi="Verdana" w:cs="Arial"/>
          <w:color w:val="000000" w:themeColor="text1"/>
          <w:sz w:val="21"/>
          <w:szCs w:val="21"/>
        </w:rPr>
        <w:t>.</w:t>
      </w:r>
    </w:p>
    <w:p w14:paraId="2C3E804B" w14:textId="77777777" w:rsidR="009F54A9" w:rsidRPr="00BB4F22" w:rsidRDefault="009F54A9" w:rsidP="009F54A9">
      <w:pPr>
        <w:tabs>
          <w:tab w:val="left" w:pos="709"/>
        </w:tabs>
        <w:spacing w:after="0" w:line="276" w:lineRule="auto"/>
        <w:ind w:right="142"/>
        <w:jc w:val="both"/>
        <w:rPr>
          <w:rFonts w:ascii="Verdana" w:hAnsi="Verdana" w:cs="Arial"/>
          <w:color w:val="000000" w:themeColor="text1"/>
        </w:rPr>
      </w:pPr>
    </w:p>
    <w:p w14:paraId="74CC75E4" w14:textId="77777777" w:rsidR="009F54A9" w:rsidRPr="00BB4F22" w:rsidRDefault="009F54A9" w:rsidP="009F54A9">
      <w:pPr>
        <w:tabs>
          <w:tab w:val="left" w:pos="709"/>
        </w:tabs>
        <w:spacing w:after="0" w:line="276" w:lineRule="auto"/>
        <w:ind w:firstLine="709"/>
        <w:jc w:val="both"/>
        <w:rPr>
          <w:rFonts w:ascii="Verdana" w:hAnsi="Verdana" w:cs="Arial"/>
          <w:color w:val="000000" w:themeColor="text1"/>
        </w:rPr>
      </w:pPr>
      <w:r w:rsidRPr="00BB4F22">
        <w:rPr>
          <w:rFonts w:ascii="Verdana" w:hAnsi="Verdana" w:cs="Arial"/>
          <w:color w:val="000000" w:themeColor="text1"/>
        </w:rPr>
        <w:t xml:space="preserve">Pese a que el artículo 8 de la Ley 153 de 1887 dispone que </w:t>
      </w:r>
      <w:r>
        <w:rPr>
          <w:rFonts w:ascii="Verdana" w:hAnsi="Verdana" w:cs="Arial"/>
          <w:color w:val="000000" w:themeColor="text1"/>
        </w:rPr>
        <w:t>“</w:t>
      </w:r>
      <w:r w:rsidRPr="00BB4F22">
        <w:rPr>
          <w:rFonts w:ascii="Verdana" w:hAnsi="Verdana" w:cs="Arial"/>
          <w:color w:val="000000" w:themeColor="text1"/>
        </w:rPr>
        <w:t xml:space="preserve">Cuando no hay ley exactamente aplicable al caso controvertido, se aplicarán las leyes que regulen casos </w:t>
      </w:r>
      <w:r>
        <w:rPr>
          <w:rFonts w:ascii="Verdana" w:hAnsi="Verdana" w:cs="Arial"/>
          <w:color w:val="000000" w:themeColor="text1"/>
        </w:rPr>
        <w:t>o</w:t>
      </w:r>
      <w:r w:rsidRPr="00BB4F22">
        <w:rPr>
          <w:rFonts w:ascii="Verdana" w:hAnsi="Verdana" w:cs="Arial"/>
          <w:color w:val="000000" w:themeColor="text1"/>
        </w:rPr>
        <w:t xml:space="preserve"> materias semejantes […]</w:t>
      </w:r>
      <w:r>
        <w:rPr>
          <w:rFonts w:ascii="Verdana" w:hAnsi="Verdana" w:cs="Arial"/>
          <w:color w:val="000000" w:themeColor="text1"/>
        </w:rPr>
        <w:t>”</w:t>
      </w:r>
      <w:r w:rsidRPr="00BB4F22">
        <w:rPr>
          <w:rFonts w:ascii="Verdana" w:hAnsi="Verdana" w:cs="Arial"/>
          <w:color w:val="000000" w:themeColor="text1"/>
        </w:rPr>
        <w:t xml:space="preserve">, no es posible aplicar la analogía por dos (2) razones. Por un lado, dado que los elementos esenciales de la relación </w:t>
      </w:r>
      <w:r w:rsidRPr="00BB4F22">
        <w:rPr>
          <w:rFonts w:ascii="Verdana" w:hAnsi="Verdana" w:cs="Arial"/>
          <w:color w:val="000000" w:themeColor="text1"/>
        </w:rPr>
        <w:lastRenderedPageBreak/>
        <w:t xml:space="preserve">laboral son diferentes a los del vínculo contractual del prestador de servicios, el mecanismo de integración normativa es improcedente. Y por otra, porque el artículo 84 de la Constitución Política de 1991 dispone que </w:t>
      </w:r>
      <w:r>
        <w:rPr>
          <w:rFonts w:ascii="Verdana" w:hAnsi="Verdana" w:cs="Arial"/>
          <w:color w:val="000000" w:themeColor="text1"/>
        </w:rPr>
        <w:t>“</w:t>
      </w:r>
      <w:r w:rsidRPr="00BB4F22">
        <w:rPr>
          <w:rFonts w:ascii="Verdana" w:hAnsi="Verdana" w:cs="Arial"/>
          <w:color w:val="000000" w:themeColor="text1"/>
        </w:rPr>
        <w:t>Cuando un derecho o una actividad hayan sido reglamentados de manera general, las autoridades públicas no podrán establecer ni exigir permisos, licencias o requisitos adicionales para su ejercicio</w:t>
      </w:r>
      <w:r>
        <w:rPr>
          <w:rFonts w:ascii="Verdana" w:hAnsi="Verdana" w:cs="Arial"/>
          <w:color w:val="000000" w:themeColor="text1"/>
        </w:rPr>
        <w:t>”</w:t>
      </w:r>
      <w:r w:rsidRPr="00BB4F22">
        <w:rPr>
          <w:rFonts w:ascii="Verdana" w:hAnsi="Verdana" w:cs="Arial"/>
          <w:color w:val="000000" w:themeColor="text1"/>
        </w:rPr>
        <w:t>, lo cual impide extender los requisitos de una relación a otra.</w:t>
      </w:r>
    </w:p>
    <w:p w14:paraId="62D391F4" w14:textId="77777777" w:rsidR="009F54A9" w:rsidRDefault="009F54A9" w:rsidP="009F54A9">
      <w:pPr>
        <w:tabs>
          <w:tab w:val="left" w:pos="709"/>
        </w:tabs>
        <w:spacing w:before="120" w:after="0" w:line="276" w:lineRule="auto"/>
        <w:ind w:firstLine="709"/>
        <w:jc w:val="both"/>
        <w:rPr>
          <w:rFonts w:ascii="Verdana" w:hAnsi="Verdana" w:cs="Arial"/>
          <w:color w:val="000000" w:themeColor="text1"/>
        </w:rPr>
      </w:pPr>
      <w:r w:rsidRPr="00BB4F22">
        <w:rPr>
          <w:rFonts w:ascii="Verdana" w:hAnsi="Verdana" w:cs="Arial"/>
          <w:color w:val="000000" w:themeColor="text1"/>
        </w:rPr>
        <w:t>En este contexto, se concluye que los menores de edad, siempre que cuenten con la autorización o representación debida, pueden de celebrar contratos prestación de servicios, sin la obligación de cumplir con el trámite previsto en los artículos 35 y 114 de la Ley 1098 de 2006, ya que la autonomía en la ejecución de las labores encomendadas excluye la subordinación como elemento esencial del contrato de trabajo. Así las cosas, mientras que no se utilice la figura como un medio para encubrir una relación laboral, se considera que no son exigibles la autorización previa del Ministerio de Trabajo con la especificación de horario de prestación del servicio, máxime cuando el contratista tiene independencia para manejar su tiempo en la ejecución de las tareas encomendadas.</w:t>
      </w:r>
    </w:p>
    <w:p w14:paraId="69932DA8" w14:textId="77777777" w:rsidR="009F54A9" w:rsidRPr="00116978" w:rsidRDefault="009F54A9" w:rsidP="009F54A9">
      <w:pPr>
        <w:tabs>
          <w:tab w:val="left" w:pos="709"/>
        </w:tabs>
        <w:spacing w:after="0" w:line="276" w:lineRule="auto"/>
        <w:ind w:firstLine="709"/>
        <w:jc w:val="both"/>
        <w:rPr>
          <w:rFonts w:ascii="Verdana" w:eastAsia="Calibri" w:hAnsi="Verdana" w:cs="Arial"/>
          <w:color w:val="000000" w:themeColor="text1"/>
        </w:rPr>
      </w:pPr>
    </w:p>
    <w:p w14:paraId="4E4B7513" w14:textId="77777777" w:rsidR="009F54A9" w:rsidRPr="00277E26" w:rsidRDefault="009F54A9" w:rsidP="009F54A9">
      <w:pPr>
        <w:widowControl w:val="0"/>
        <w:autoSpaceDE w:val="0"/>
        <w:autoSpaceDN w:val="0"/>
        <w:spacing w:after="0" w:line="276" w:lineRule="auto"/>
        <w:jc w:val="both"/>
        <w:rPr>
          <w:rFonts w:ascii="Verdana" w:hAnsi="Verdana" w:cs="Arial"/>
        </w:rPr>
      </w:pPr>
      <w:r>
        <w:rPr>
          <w:rFonts w:ascii="Verdana" w:hAnsi="Verdana" w:cs="Arial"/>
          <w:iCs/>
          <w:color w:val="000000" w:themeColor="text1"/>
        </w:rPr>
        <w:t xml:space="preserve">v. </w:t>
      </w:r>
      <w:r w:rsidRPr="00277E26">
        <w:rPr>
          <w:rFonts w:ascii="Verdana" w:hAnsi="Verdana" w:cs="Arial"/>
          <w:iCs/>
          <w:color w:val="000000" w:themeColor="text1"/>
        </w:rPr>
        <w:t xml:space="preserve">Al margen </w:t>
      </w:r>
      <w:r>
        <w:rPr>
          <w:rFonts w:ascii="Verdana" w:hAnsi="Verdana" w:cs="Arial"/>
          <w:iCs/>
          <w:color w:val="000000" w:themeColor="text1"/>
        </w:rPr>
        <w:t>de lo anterior</w:t>
      </w:r>
      <w:r w:rsidRPr="00277E26">
        <w:rPr>
          <w:rFonts w:ascii="Verdana" w:hAnsi="Verdana" w:cs="Arial"/>
          <w:iCs/>
          <w:color w:val="000000" w:themeColor="text1"/>
        </w:rPr>
        <w:t xml:space="preserve">, </w:t>
      </w:r>
      <w:r w:rsidRPr="00277E26">
        <w:rPr>
          <w:rFonts w:ascii="Verdana" w:hAnsi="Verdana" w:cs="Arial"/>
        </w:rPr>
        <w:t xml:space="preserve">debe advertirse que el análisis </w:t>
      </w:r>
      <w:r>
        <w:rPr>
          <w:rFonts w:ascii="Verdana" w:hAnsi="Verdana" w:cs="Arial"/>
        </w:rPr>
        <w:t>de alguna actuación concreta</w:t>
      </w:r>
      <w:r w:rsidRPr="00277E26">
        <w:rPr>
          <w:rFonts w:ascii="Verdana" w:hAnsi="Verdana" w:cs="Arial"/>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3FD73B16" w14:textId="77777777" w:rsidR="009F54A9" w:rsidRPr="00277E26" w:rsidRDefault="009F54A9" w:rsidP="009F54A9">
      <w:pPr>
        <w:widowControl w:val="0"/>
        <w:autoSpaceDE w:val="0"/>
        <w:autoSpaceDN w:val="0"/>
        <w:spacing w:after="0" w:line="276" w:lineRule="auto"/>
        <w:ind w:firstLine="708"/>
        <w:jc w:val="both"/>
        <w:rPr>
          <w:rFonts w:ascii="Verdana" w:hAnsi="Verdana" w:cs="Arial"/>
        </w:rPr>
      </w:pPr>
      <w:r w:rsidRPr="00277E26">
        <w:rPr>
          <w:rFonts w:ascii="Verdana" w:hAnsi="Verdana" w:cs="Arial"/>
        </w:rPr>
        <w:t xml:space="preserve">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w:t>
      </w:r>
      <w:r>
        <w:rPr>
          <w:rFonts w:ascii="Verdana" w:hAnsi="Verdana" w:cs="Arial"/>
        </w:rPr>
        <w:t>Así</w:t>
      </w:r>
      <w:r w:rsidRPr="00277E26">
        <w:rPr>
          <w:rFonts w:ascii="Verdana" w:hAnsi="Verdana" w:cs="Arial"/>
        </w:rPr>
        <w:t>, cada entidad definirá la forma de adelantar su gestión contractual, sin que sea atribución de Colombia Compra Eficiente validar sus actuaciones.</w:t>
      </w:r>
    </w:p>
    <w:p w14:paraId="3F028506" w14:textId="77777777" w:rsidR="009F54A9" w:rsidRPr="00277E26" w:rsidRDefault="009F54A9" w:rsidP="009F54A9">
      <w:pPr>
        <w:spacing w:after="0" w:line="276" w:lineRule="auto"/>
        <w:jc w:val="both"/>
        <w:rPr>
          <w:rFonts w:ascii="Verdana" w:hAnsi="Verdana" w:cs="Arial"/>
          <w:color w:val="000000" w:themeColor="text1"/>
          <w:lang w:val="es-ES" w:eastAsia="es-CO"/>
        </w:rPr>
      </w:pPr>
    </w:p>
    <w:p w14:paraId="5EB5FC56" w14:textId="77777777" w:rsidR="009F54A9" w:rsidRPr="00593A5F" w:rsidRDefault="009F54A9" w:rsidP="009F54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Referencias normativas:</w:t>
      </w:r>
    </w:p>
    <w:p w14:paraId="069E6230" w14:textId="77777777" w:rsidR="009F54A9" w:rsidRPr="00593A5F" w:rsidRDefault="009F54A9" w:rsidP="009F54A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54A9" w:rsidRPr="002407CE" w14:paraId="0697AC96" w14:textId="77777777" w:rsidTr="006E3408">
        <w:trPr>
          <w:trHeight w:val="870"/>
          <w:jc w:val="center"/>
        </w:trPr>
        <w:tc>
          <w:tcPr>
            <w:tcW w:w="8647" w:type="dxa"/>
          </w:tcPr>
          <w:p w14:paraId="052970FB" w14:textId="77777777" w:rsidR="009F54A9" w:rsidRDefault="009F54A9" w:rsidP="009C49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14, 44 y 84.</w:t>
            </w:r>
          </w:p>
          <w:p w14:paraId="21E000BD" w14:textId="77777777" w:rsidR="009F54A9" w:rsidRDefault="009F54A9" w:rsidP="009C49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153 de 1887, artículo 8.</w:t>
            </w:r>
          </w:p>
          <w:p w14:paraId="298904F0" w14:textId="77777777" w:rsidR="009F54A9" w:rsidRDefault="009F54A9" w:rsidP="009C49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6, 13, 32, 40, 46 y 60.</w:t>
            </w:r>
          </w:p>
          <w:p w14:paraId="088F4076" w14:textId="77777777" w:rsidR="009F54A9" w:rsidRDefault="009F54A9" w:rsidP="009C49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1098 de 2006, artículos 3, 35 y 114.</w:t>
            </w:r>
          </w:p>
          <w:p w14:paraId="7AA8971A" w14:textId="77777777" w:rsidR="009F54A9" w:rsidRDefault="009F54A9" w:rsidP="009C49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6.</w:t>
            </w:r>
          </w:p>
          <w:p w14:paraId="30B9AF0A" w14:textId="77777777" w:rsidR="009F54A9" w:rsidRDefault="009F54A9" w:rsidP="009C49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1306 de 2009, artículos 53 y 54.</w:t>
            </w:r>
          </w:p>
          <w:p w14:paraId="5E7CF05E" w14:textId="77777777" w:rsidR="009F54A9" w:rsidRDefault="009F54A9" w:rsidP="009C49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1952 de 2019, artículo 54.</w:t>
            </w:r>
          </w:p>
          <w:p w14:paraId="7A1E28E7" w14:textId="77777777" w:rsidR="009F54A9" w:rsidRDefault="009F54A9" w:rsidP="009C49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Civil, artículos 34, 74, 307, 1502, 1503 y 1504.</w:t>
            </w:r>
          </w:p>
          <w:p w14:paraId="72140F31" w14:textId="77777777" w:rsidR="009F54A9" w:rsidRPr="00B2401B" w:rsidRDefault="009F54A9" w:rsidP="009F54A9">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Sustantivo del Trabajo, artículos 22, 23 y 29.</w:t>
            </w:r>
          </w:p>
        </w:tc>
      </w:tr>
    </w:tbl>
    <w:p w14:paraId="03C4AB9F" w14:textId="77777777" w:rsidR="009F54A9" w:rsidRPr="00277E26" w:rsidRDefault="009F54A9" w:rsidP="009F54A9">
      <w:pPr>
        <w:widowControl w:val="0"/>
        <w:autoSpaceDE w:val="0"/>
        <w:autoSpaceDN w:val="0"/>
        <w:spacing w:after="0" w:line="276" w:lineRule="auto"/>
        <w:jc w:val="both"/>
        <w:rPr>
          <w:rFonts w:ascii="Verdana" w:hAnsi="Verdana" w:cs="Arial"/>
        </w:rPr>
      </w:pPr>
    </w:p>
    <w:p w14:paraId="2AF89DEC" w14:textId="77777777" w:rsidR="009F54A9" w:rsidRPr="00277E26" w:rsidRDefault="009F54A9" w:rsidP="009F54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Doctrina de la Agencia Nacional de Contratación Pública:</w:t>
      </w:r>
    </w:p>
    <w:p w14:paraId="1ECF3231" w14:textId="77777777" w:rsidR="009F54A9" w:rsidRPr="00277E26" w:rsidRDefault="009F54A9" w:rsidP="009F54A9">
      <w:pPr>
        <w:widowControl w:val="0"/>
        <w:autoSpaceDE w:val="0"/>
        <w:autoSpaceDN w:val="0"/>
        <w:spacing w:after="0" w:line="276" w:lineRule="auto"/>
        <w:jc w:val="both"/>
        <w:rPr>
          <w:rFonts w:ascii="Verdana" w:hAnsi="Verdana" w:cs="Arial"/>
        </w:rPr>
      </w:pPr>
    </w:p>
    <w:p w14:paraId="0DC531E8" w14:textId="77777777" w:rsidR="009F54A9" w:rsidRPr="00277E26" w:rsidRDefault="009F54A9" w:rsidP="009F54A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77E26">
        <w:rPr>
          <w:rStyle w:val="normaltextrun"/>
          <w:rFonts w:ascii="Verdana" w:hAnsi="Verdana" w:cs="Arial"/>
          <w:shd w:val="clear" w:color="auto" w:fill="FFFFFF"/>
          <w:lang w:val="es-ES"/>
        </w:rPr>
        <w:t>Esta Subdirección</w:t>
      </w:r>
      <w:r>
        <w:rPr>
          <w:rStyle w:val="normaltextrun"/>
          <w:rFonts w:ascii="Verdana" w:hAnsi="Verdana" w:cs="Arial"/>
          <w:shd w:val="clear" w:color="auto" w:fill="FFFFFF"/>
          <w:lang w:val="es-ES"/>
        </w:rPr>
        <w:t xml:space="preserve"> </w:t>
      </w:r>
      <w:r w:rsidRPr="009D1699">
        <w:rPr>
          <w:rStyle w:val="normaltextrun"/>
          <w:rFonts w:ascii="Verdana" w:hAnsi="Verdana" w:cs="Arial"/>
          <w:shd w:val="clear" w:color="auto" w:fill="FFFFFF"/>
          <w:lang w:val="es-ES"/>
        </w:rPr>
        <w:t xml:space="preserve">se ha pronunciado sobre </w:t>
      </w:r>
      <w:r>
        <w:rPr>
          <w:rStyle w:val="normaltextrun"/>
          <w:rFonts w:ascii="Verdana" w:hAnsi="Verdana" w:cs="Arial"/>
          <w:shd w:val="clear" w:color="auto" w:fill="FFFFFF"/>
          <w:lang w:val="es-ES"/>
        </w:rPr>
        <w:t>los contratos de prestación de servicios con menores de 18 años en el Concepto C-216 del 14 de abril de 2020</w:t>
      </w:r>
      <w:r w:rsidRPr="00277E26">
        <w:rPr>
          <w:rStyle w:val="normaltextrun"/>
          <w:rFonts w:ascii="Verdana" w:hAnsi="Verdana" w:cs="Arial"/>
          <w:shd w:val="clear" w:color="auto" w:fill="FFFFFF"/>
          <w:lang w:val="es-ES"/>
        </w:rPr>
        <w:t>. Es</w:t>
      </w:r>
      <w:r w:rsidRPr="00277E26">
        <w:rPr>
          <w:rFonts w:ascii="Verdana" w:hAnsi="Verdana"/>
        </w:rPr>
        <w:t>t</w:t>
      </w:r>
      <w:r>
        <w:rPr>
          <w:rFonts w:ascii="Verdana" w:hAnsi="Verdana"/>
        </w:rPr>
        <w:t>e</w:t>
      </w:r>
      <w:r w:rsidRPr="00277E26">
        <w:rPr>
          <w:rFonts w:ascii="Verdana" w:hAnsi="Verdana"/>
        </w:rPr>
        <w:t xml:space="preserve"> y otros se encuentran disponibles para consulta en el Sistema de relatoría de la Agencia, al cual puede accederse a través del siguiente enlace:</w:t>
      </w:r>
      <w:r w:rsidRPr="00277E26">
        <w:rPr>
          <w:rStyle w:val="normaltextrun"/>
          <w:rFonts w:ascii="Verdana" w:hAnsi="Verdana" w:cs="Arial"/>
          <w:shd w:val="clear" w:color="auto" w:fill="FFFFFF"/>
          <w:lang w:val="es-ES"/>
        </w:rPr>
        <w:t xml:space="preserve"> </w:t>
      </w:r>
      <w:hyperlink r:id="rId12" w:history="1">
        <w:r w:rsidRPr="00277E26">
          <w:rPr>
            <w:rStyle w:val="Hipervnculo"/>
            <w:rFonts w:ascii="Verdana" w:hAnsi="Verdana" w:cs="Arial"/>
            <w:shd w:val="clear" w:color="auto" w:fill="FFFFFF"/>
            <w:lang w:val="es-ES"/>
          </w:rPr>
          <w:t>https://relatoria.colombiacompra.gov.co/busqueda/conceptos</w:t>
        </w:r>
      </w:hyperlink>
      <w:r w:rsidRPr="00277E26">
        <w:rPr>
          <w:rStyle w:val="normaltextrun"/>
          <w:rFonts w:ascii="Verdana" w:hAnsi="Verdana" w:cs="Arial"/>
          <w:shd w:val="clear" w:color="auto" w:fill="FFFFFF"/>
          <w:lang w:val="es-ES"/>
        </w:rPr>
        <w:t>.</w:t>
      </w:r>
      <w:r w:rsidRPr="00277E26">
        <w:rPr>
          <w:rStyle w:val="normaltextrun"/>
          <w:rFonts w:ascii="Verdana" w:hAnsi="Verdana" w:cs="Arial"/>
          <w:color w:val="FF0000"/>
          <w:shd w:val="clear" w:color="auto" w:fill="FFFFFF"/>
          <w:lang w:val="es-ES"/>
        </w:rPr>
        <w:t xml:space="preserve"> </w:t>
      </w:r>
    </w:p>
    <w:p w14:paraId="61185C48" w14:textId="77777777" w:rsidR="009F54A9" w:rsidRPr="00277E26" w:rsidRDefault="009F54A9" w:rsidP="009F54A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E992F89" w14:textId="77777777" w:rsidR="009F54A9" w:rsidRPr="00277E26" w:rsidRDefault="009F54A9" w:rsidP="009F54A9">
      <w:pPr>
        <w:widowControl w:val="0"/>
        <w:autoSpaceDE w:val="0"/>
        <w:autoSpaceDN w:val="0"/>
        <w:spacing w:after="0" w:line="276" w:lineRule="auto"/>
        <w:jc w:val="both"/>
        <w:rPr>
          <w:rFonts w:ascii="Verdana" w:hAnsi="Verdana" w:cs="Arial"/>
          <w:color w:val="000000" w:themeColor="text1"/>
          <w:u w:val="single"/>
          <w:shd w:val="clear" w:color="auto" w:fill="FFFFFF"/>
        </w:rPr>
      </w:pPr>
      <w:r w:rsidRPr="00277E26">
        <w:rPr>
          <w:rFonts w:ascii="Verdana" w:hAnsi="Verdana" w:cs="Arial"/>
          <w:color w:val="000000" w:themeColor="text1"/>
          <w:shd w:val="clear" w:color="auto" w:fill="FFFFFF"/>
        </w:rPr>
        <w:t>Le informamos que ya se encuentra disponible la </w:t>
      </w:r>
      <w:r w:rsidRPr="00277E26">
        <w:rPr>
          <w:rFonts w:ascii="Verdana" w:hAnsi="Verdana" w:cs="Arial"/>
          <w:b/>
          <w:bCs/>
          <w:color w:val="000000" w:themeColor="text1"/>
          <w:shd w:val="clear" w:color="auto" w:fill="FFFFFF"/>
        </w:rPr>
        <w:t>Guía para el manejo de ofertas artificialmente bajas en Procesos de Contratación.</w:t>
      </w:r>
      <w:r w:rsidRPr="00277E26">
        <w:rPr>
          <w:rFonts w:ascii="Verdana" w:hAnsi="Verdana" w:cs="Arial"/>
          <w:color w:val="000000" w:themeColor="text1"/>
          <w:shd w:val="clear" w:color="auto" w:fill="FFFFFF"/>
        </w:rPr>
        <w:t> En este  documento podrás consultar una serie de pautas para el manejo ofertas artificialmente bajas, en línea con las mejores prácticas internacionales en la materia. Puede consultar la versión actualizada en el siguiente enlace: </w:t>
      </w:r>
      <w:hyperlink r:id="rId13" w:tooltip="Original URL:&#10;https://www.colombiacompra.gov.co/manuales-guias-y-pliegos-tipo/manuales-y-guias/guia-para-el-manejo-de-ofertas-artificialmente-baja-0&#10;&#10;Click to follow link." w:history="1">
        <w:r w:rsidRPr="00277E26">
          <w:rPr>
            <w:rStyle w:val="Hipervnculo"/>
            <w:rFonts w:ascii="Verdana" w:hAnsi="Verdana" w:cs="Arial"/>
            <w:shd w:val="clear" w:color="auto" w:fill="FFFFFF"/>
          </w:rPr>
          <w:t>https://www.colombiacompra.gov.co/manuales-guias-y-pliegos-tipo/manuales-y-guias/guia-para-el-manejo-de-ofertas-artificialmente-baja-0</w:t>
        </w:r>
      </w:hyperlink>
      <w:r w:rsidRPr="00277E26">
        <w:rPr>
          <w:rFonts w:ascii="Verdana" w:hAnsi="Verdana" w:cs="Arial"/>
          <w:color w:val="000000" w:themeColor="text1"/>
          <w:shd w:val="clear" w:color="auto" w:fill="FFFFFF"/>
          <w:lang w:val="es-ES"/>
        </w:rPr>
        <w:t>.</w:t>
      </w:r>
    </w:p>
    <w:p w14:paraId="55C1A4DD" w14:textId="77777777" w:rsidR="009F54A9" w:rsidRPr="00277E26" w:rsidRDefault="009F54A9" w:rsidP="009F54A9">
      <w:pPr>
        <w:widowControl w:val="0"/>
        <w:autoSpaceDE w:val="0"/>
        <w:autoSpaceDN w:val="0"/>
        <w:spacing w:after="0" w:line="276" w:lineRule="auto"/>
        <w:jc w:val="both"/>
        <w:rPr>
          <w:rFonts w:ascii="Verdana" w:hAnsi="Verdana" w:cs="Arial"/>
          <w:color w:val="000000" w:themeColor="text1"/>
          <w:shd w:val="clear" w:color="auto" w:fill="FFFFFF"/>
        </w:rPr>
      </w:pPr>
    </w:p>
    <w:p w14:paraId="00DE8323" w14:textId="77777777" w:rsidR="009F54A9" w:rsidRPr="00277E26" w:rsidRDefault="009F54A9" w:rsidP="009F54A9">
      <w:pPr>
        <w:widowControl w:val="0"/>
        <w:autoSpaceDE w:val="0"/>
        <w:autoSpaceDN w:val="0"/>
        <w:spacing w:after="0" w:line="276" w:lineRule="auto"/>
        <w:jc w:val="both"/>
        <w:rPr>
          <w:rFonts w:ascii="Verdana" w:hAnsi="Verdana" w:cs="Arial"/>
          <w:color w:val="000000" w:themeColor="text1"/>
          <w:shd w:val="clear" w:color="auto" w:fill="FFFFFF"/>
          <w:lang w:val="es-ES"/>
        </w:rPr>
      </w:pPr>
      <w:r w:rsidRPr="00277E26">
        <w:rPr>
          <w:rFonts w:ascii="Verdana" w:hAnsi="Verdana" w:cs="Arial"/>
          <w:color w:val="000000" w:themeColor="text1"/>
          <w:shd w:val="clear" w:color="auto" w:fill="FFFFFF"/>
        </w:rPr>
        <w:t>De otra parte, te contamos que ya publicamos la </w:t>
      </w:r>
      <w:r w:rsidRPr="00277E26">
        <w:rPr>
          <w:rFonts w:ascii="Verdana" w:hAnsi="Verdana" w:cs="Arial"/>
          <w:b/>
          <w:bCs/>
          <w:color w:val="000000" w:themeColor="text1"/>
          <w:shd w:val="clear" w:color="auto" w:fill="FFFFFF"/>
        </w:rPr>
        <w:t>Guía para incentivar la participación de Mujeres en el Sistema de Compras y Contratación Pública</w:t>
      </w:r>
      <w:r w:rsidRPr="00277E26">
        <w:rPr>
          <w:rFonts w:ascii="Verdana" w:hAnsi="Verdana" w:cs="Arial"/>
          <w:color w:val="000000" w:themeColor="text1"/>
          <w:shd w:val="clear" w:color="auto" w:fill="FFFFFF"/>
        </w:rPr>
        <w:t>. Esta guía tiene como finalidad ofrecer información de valor para que las Entidades Estatales fomenten de manera efectiva la participación de las mujeres en el mercado de compras públicas. Puedes consultar la guía en el siguiente enlace: </w:t>
      </w:r>
      <w:hyperlink r:id="rId14" w:tooltip="Original URL:&#10;https://www.colombiacompra.gov.co/manuales-guias-y-pliegos-tipo/manuales-y-guias/guia-para-incentivar-la-participacion-de-las-mujeres&#10;&#10;Click to follow link." w:history="1">
        <w:r w:rsidRPr="00277E26">
          <w:rPr>
            <w:rStyle w:val="Hipervnculo"/>
            <w:rFonts w:ascii="Verdana" w:hAnsi="Verdana" w:cs="Arial"/>
            <w:shd w:val="clear" w:color="auto" w:fill="FFFFFF"/>
          </w:rPr>
          <w:t>https://www.colombiacompra.gov.co/manuales-guias-y-</w:t>
        </w:r>
        <w:r w:rsidRPr="00277E26">
          <w:rPr>
            <w:rStyle w:val="Hipervnculo"/>
            <w:rFonts w:ascii="Verdana" w:hAnsi="Verdana" w:cs="Arial"/>
            <w:shd w:val="clear" w:color="auto" w:fill="FFFFFF"/>
          </w:rPr>
          <w:lastRenderedPageBreak/>
          <w:t>pliegos-tipo/manuales-y-guias/guia-para-incentivar-la-participacion-de-las-mujeres</w:t>
        </w:r>
      </w:hyperlink>
      <w:r w:rsidRPr="00277E26">
        <w:rPr>
          <w:rFonts w:ascii="Verdana" w:hAnsi="Verdana" w:cs="Arial"/>
          <w:color w:val="000000" w:themeColor="text1"/>
          <w:shd w:val="clear" w:color="auto" w:fill="FFFFFF"/>
          <w:lang w:val="es-ES"/>
        </w:rPr>
        <w:t>.</w:t>
      </w:r>
    </w:p>
    <w:p w14:paraId="735988D0" w14:textId="77777777" w:rsidR="009F54A9" w:rsidRPr="00277E26" w:rsidRDefault="009F54A9" w:rsidP="009F54A9">
      <w:pPr>
        <w:widowControl w:val="0"/>
        <w:autoSpaceDE w:val="0"/>
        <w:autoSpaceDN w:val="0"/>
        <w:spacing w:after="0" w:line="276" w:lineRule="auto"/>
        <w:jc w:val="both"/>
        <w:rPr>
          <w:rFonts w:ascii="Verdana" w:hAnsi="Verdana" w:cs="Arial"/>
          <w:color w:val="000000" w:themeColor="text1"/>
          <w:shd w:val="clear" w:color="auto" w:fill="FFFFFF"/>
        </w:rPr>
      </w:pPr>
    </w:p>
    <w:p w14:paraId="4CE28F1F" w14:textId="77777777" w:rsidR="009F54A9" w:rsidRPr="00277E26" w:rsidRDefault="009F54A9" w:rsidP="009F54A9">
      <w:pPr>
        <w:widowControl w:val="0"/>
        <w:autoSpaceDE w:val="0"/>
        <w:autoSpaceDN w:val="0"/>
        <w:spacing w:after="0" w:line="276" w:lineRule="auto"/>
        <w:jc w:val="both"/>
        <w:rPr>
          <w:rFonts w:ascii="Verdana" w:hAnsi="Verdana" w:cs="Arial"/>
          <w:color w:val="000000" w:themeColor="text1"/>
          <w:shd w:val="clear" w:color="auto" w:fill="FFFFFF"/>
        </w:rPr>
      </w:pPr>
      <w:r w:rsidRPr="00277E26">
        <w:rPr>
          <w:rFonts w:ascii="Verdana" w:hAnsi="Verdana" w:cs="Arial"/>
          <w:color w:val="000000" w:themeColor="text1"/>
          <w:shd w:val="clear" w:color="auto" w:fill="FFFFFF"/>
        </w:rPr>
        <w:t>También te invitamos a consultar la </w:t>
      </w:r>
      <w:r w:rsidRPr="00277E26">
        <w:rPr>
          <w:rFonts w:ascii="Verdana" w:hAnsi="Verdana" w:cs="Arial"/>
          <w:b/>
          <w:bCs/>
          <w:color w:val="000000" w:themeColor="text1"/>
          <w:shd w:val="clear" w:color="auto" w:fill="FFFFFF"/>
        </w:rPr>
        <w:t>versión VIII de 2024</w:t>
      </w:r>
      <w:r w:rsidRPr="00277E26">
        <w:rPr>
          <w:rFonts w:ascii="Verdana" w:hAnsi="Verdana" w:cs="Arial"/>
          <w:color w:val="000000" w:themeColor="text1"/>
          <w:shd w:val="clear" w:color="auto" w:fill="FFFFFF"/>
        </w:rPr>
        <w:t>, del </w:t>
      </w:r>
      <w:r w:rsidRPr="00277E26">
        <w:rPr>
          <w:rFonts w:ascii="Verdana" w:hAnsi="Verdana" w:cs="Arial"/>
          <w:b/>
          <w:bCs/>
          <w:color w:val="000000" w:themeColor="text1"/>
          <w:shd w:val="clear" w:color="auto" w:fill="FFFFFF"/>
        </w:rPr>
        <w:t>Boletín de Relatoría</w:t>
      </w:r>
      <w:r w:rsidRPr="00277E26">
        <w:rPr>
          <w:rFonts w:ascii="Verdana" w:hAnsi="Verdana" w:cs="Arial"/>
          <w:color w:val="000000" w:themeColor="text1"/>
          <w:shd w:val="clear" w:color="auto" w:fill="FFFFFF"/>
        </w:rPr>
        <w:t> de la Subdirección de Gestión Contractual relacionado con la participación de las MIPYMES en los procesos de compra y contratación pública, el cual se puede descargar en la página web de la Agencia: </w:t>
      </w:r>
      <w:hyperlink r:id="rId15" w:tooltip="Original URL:&#10;https://www.colombiacompra.gov.co/sites/cce_public/files/files_2020/boletin_de_realtoria_viii.pdf&#10;&#10;Click to follow link." w:history="1">
        <w:r w:rsidRPr="00277E26">
          <w:rPr>
            <w:rStyle w:val="Hipervnculo"/>
            <w:rFonts w:ascii="Verdana" w:hAnsi="Verdana" w:cs="Arial"/>
            <w:shd w:val="clear" w:color="auto" w:fill="FFFFFF"/>
          </w:rPr>
          <w:t>https://www.colombiacompra.gov.co/sites/cce_public/files/files_2020/boletin_de_realtoria_viii.pdf</w:t>
        </w:r>
      </w:hyperlink>
      <w:r w:rsidRPr="00277E26">
        <w:rPr>
          <w:rFonts w:ascii="Verdana" w:hAnsi="Verdana" w:cs="Arial"/>
          <w:color w:val="000000" w:themeColor="text1"/>
          <w:shd w:val="clear" w:color="auto" w:fill="FFFFFF"/>
          <w:lang w:val="es-ES"/>
        </w:rPr>
        <w:t>.</w:t>
      </w:r>
    </w:p>
    <w:p w14:paraId="2A996B5C" w14:textId="77777777" w:rsidR="009F54A9" w:rsidRPr="00277E26" w:rsidRDefault="009F54A9" w:rsidP="009F54A9">
      <w:pPr>
        <w:widowControl w:val="0"/>
        <w:autoSpaceDE w:val="0"/>
        <w:autoSpaceDN w:val="0"/>
        <w:spacing w:after="0" w:line="276" w:lineRule="auto"/>
        <w:jc w:val="both"/>
        <w:rPr>
          <w:rFonts w:ascii="Verdana" w:hAnsi="Verdana" w:cs="Arial"/>
          <w:color w:val="FF0000"/>
          <w:shd w:val="clear" w:color="auto" w:fill="FFFFFF"/>
          <w:lang w:val="es-MX"/>
        </w:rPr>
      </w:pPr>
      <w:r w:rsidRPr="00277E26">
        <w:rPr>
          <w:rFonts w:ascii="Verdana" w:hAnsi="Verdana" w:cs="Arial"/>
          <w:color w:val="000000" w:themeColor="text1"/>
          <w:shd w:val="clear" w:color="auto" w:fill="FFFFFF"/>
        </w:rPr>
        <w:t xml:space="preserve"> </w:t>
      </w:r>
      <w:r w:rsidRPr="00277E26">
        <w:rPr>
          <w:rStyle w:val="normaltextrun"/>
          <w:rFonts w:ascii="Verdana" w:hAnsi="Verdana" w:cs="Arial"/>
          <w:color w:val="FF0000"/>
          <w:shd w:val="clear" w:color="auto" w:fill="FFFFFF"/>
          <w:lang w:val="es-ES"/>
        </w:rPr>
        <w:t xml:space="preserve">        </w:t>
      </w:r>
    </w:p>
    <w:p w14:paraId="5AB86CC1" w14:textId="77777777" w:rsidR="009F54A9" w:rsidRPr="00277E26" w:rsidRDefault="009F54A9" w:rsidP="009F54A9">
      <w:pPr>
        <w:widowControl w:val="0"/>
        <w:autoSpaceDE w:val="0"/>
        <w:autoSpaceDN w:val="0"/>
        <w:spacing w:after="0" w:line="276" w:lineRule="auto"/>
        <w:jc w:val="both"/>
        <w:rPr>
          <w:rFonts w:ascii="Verdana" w:hAnsi="Verdana" w:cs="Arial"/>
          <w:lang w:val="es-ES_tradnl"/>
        </w:rPr>
      </w:pPr>
      <w:r w:rsidRPr="00277E26">
        <w:rPr>
          <w:rFonts w:ascii="Verdana" w:hAnsi="Verdana" w:cs="Arial"/>
        </w:rPr>
        <w:t xml:space="preserve">Este concepto tiene el alcance previsto en el artículo 28 del Código de Procedimiento Administrativo y de lo Contencioso Administrativo </w:t>
      </w:r>
      <w:r w:rsidRPr="00277E26">
        <w:rPr>
          <w:rFonts w:ascii="Verdana" w:hAnsi="Verdana" w:cs="Arial"/>
          <w:lang w:val="es-ES_tradnl"/>
        </w:rPr>
        <w:t>y las expresiones aquí utilizadas con mayúscula inicial deben ser entendidas con el significado que les otorga el artículo 2.2.1.1.1.3.1. del Decreto 1082 de 2015.</w:t>
      </w:r>
    </w:p>
    <w:p w14:paraId="70311B20" w14:textId="77777777" w:rsidR="009F54A9" w:rsidRPr="00277E26" w:rsidRDefault="009F54A9" w:rsidP="009F54A9">
      <w:pPr>
        <w:widowControl w:val="0"/>
        <w:autoSpaceDE w:val="0"/>
        <w:autoSpaceDN w:val="0"/>
        <w:spacing w:after="0" w:line="276" w:lineRule="auto"/>
        <w:jc w:val="both"/>
        <w:rPr>
          <w:rFonts w:ascii="Verdana" w:hAnsi="Verdana" w:cs="Arial"/>
        </w:rPr>
      </w:pPr>
    </w:p>
    <w:p w14:paraId="26EA93DC" w14:textId="77777777" w:rsidR="009F54A9" w:rsidRPr="00277E26" w:rsidRDefault="009F54A9" w:rsidP="009F54A9">
      <w:pPr>
        <w:spacing w:after="0"/>
        <w:rPr>
          <w:rFonts w:ascii="Verdana" w:hAnsi="Verdana" w:cs="Arial"/>
          <w:lang w:eastAsia="es-CO"/>
        </w:rPr>
      </w:pPr>
      <w:r w:rsidRPr="00277E26">
        <w:rPr>
          <w:rFonts w:ascii="Verdana" w:hAnsi="Verdana" w:cs="Arial"/>
          <w:lang w:eastAsia="es-CO"/>
        </w:rPr>
        <w:t xml:space="preserve">Atentamente, </w:t>
      </w:r>
    </w:p>
    <w:p w14:paraId="103734B8" w14:textId="4D9FD14C" w:rsidR="009F54A9" w:rsidRPr="00593A5F" w:rsidRDefault="00275E01" w:rsidP="009F54A9">
      <w:pPr>
        <w:spacing w:after="0" w:line="276" w:lineRule="auto"/>
        <w:jc w:val="center"/>
        <w:rPr>
          <w:rFonts w:ascii="Verdana" w:hAnsi="Verdana" w:cs="Arial"/>
          <w:color w:val="000000"/>
          <w:lang w:val="es-ES_tradnl" w:eastAsia="es-CO"/>
        </w:rPr>
      </w:pPr>
      <w:r>
        <w:rPr>
          <w:noProof/>
        </w:rPr>
        <w:drawing>
          <wp:inline distT="0" distB="0" distL="0" distR="0" wp14:anchorId="072D365E" wp14:editId="6C8B71E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F54A9" w:rsidRPr="00593A5F" w14:paraId="7132ACF8" w14:textId="77777777" w:rsidTr="006E3408">
        <w:trPr>
          <w:trHeight w:val="315"/>
        </w:trPr>
        <w:tc>
          <w:tcPr>
            <w:tcW w:w="893" w:type="dxa"/>
            <w:vAlign w:val="center"/>
            <w:hideMark/>
          </w:tcPr>
          <w:p w14:paraId="30EE297F" w14:textId="77777777" w:rsidR="009F54A9" w:rsidRPr="003751C7" w:rsidRDefault="009F54A9" w:rsidP="009F54A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BABEE2" w14:textId="77777777" w:rsidR="009F54A9" w:rsidRPr="00254A7A" w:rsidRDefault="009F54A9" w:rsidP="009F54A9">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639C477" w14:textId="77777777" w:rsidR="009F54A9" w:rsidRPr="00254A7A" w:rsidRDefault="009F54A9" w:rsidP="009F54A9">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9F54A9" w:rsidRPr="00593A5F" w14:paraId="6DDC85FA" w14:textId="77777777" w:rsidTr="006E3408">
        <w:trPr>
          <w:trHeight w:val="330"/>
        </w:trPr>
        <w:tc>
          <w:tcPr>
            <w:tcW w:w="893" w:type="dxa"/>
            <w:vAlign w:val="center"/>
            <w:hideMark/>
          </w:tcPr>
          <w:p w14:paraId="40229896" w14:textId="77777777" w:rsidR="009F54A9" w:rsidRPr="003751C7" w:rsidRDefault="009F54A9" w:rsidP="009F54A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A447AF4" w14:textId="77777777" w:rsidR="009F54A9" w:rsidRPr="00254A7A" w:rsidRDefault="009F54A9" w:rsidP="009F54A9">
            <w:pPr>
              <w:pStyle w:val="paragraph"/>
              <w:spacing w:after="0" w:afterAutospacing="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002D888F" w14:textId="77777777" w:rsidR="009F54A9" w:rsidRPr="00254A7A" w:rsidRDefault="009F54A9" w:rsidP="009F54A9">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9F54A9" w:rsidRPr="00593A5F" w14:paraId="2CB413B9" w14:textId="77777777" w:rsidTr="006E3408">
        <w:trPr>
          <w:trHeight w:val="300"/>
        </w:trPr>
        <w:tc>
          <w:tcPr>
            <w:tcW w:w="893" w:type="dxa"/>
            <w:vAlign w:val="center"/>
          </w:tcPr>
          <w:p w14:paraId="400CB238" w14:textId="77777777" w:rsidR="009F54A9" w:rsidRPr="003751C7" w:rsidRDefault="009F54A9" w:rsidP="009F54A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21DF3DF" w14:textId="77777777" w:rsidR="009F54A9" w:rsidRPr="003751C7" w:rsidRDefault="009F54A9" w:rsidP="009F54A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2219093" w14:textId="77777777" w:rsidR="009F54A9" w:rsidRPr="003751C7" w:rsidRDefault="009F54A9" w:rsidP="009F54A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r w:rsidR="009F54A9" w:rsidRPr="00593A5F" w14:paraId="66D131EB" w14:textId="77777777" w:rsidTr="006E3408">
        <w:trPr>
          <w:trHeight w:val="300"/>
        </w:trPr>
        <w:tc>
          <w:tcPr>
            <w:tcW w:w="893" w:type="dxa"/>
            <w:vAlign w:val="center"/>
          </w:tcPr>
          <w:p w14:paraId="13655C27" w14:textId="77777777" w:rsidR="009F54A9" w:rsidRPr="003751C7" w:rsidRDefault="009F54A9" w:rsidP="009F54A9">
            <w:pPr>
              <w:contextualSpacing/>
              <w:rPr>
                <w:rFonts w:ascii="Verdana" w:hAnsi="Verdana" w:cs="Arial"/>
                <w:sz w:val="16"/>
                <w:szCs w:val="16"/>
                <w:lang w:val="es-ES" w:eastAsia="es-ES"/>
              </w:rPr>
            </w:pPr>
            <w:r>
              <w:rPr>
                <w:rFonts w:ascii="Verdana" w:hAnsi="Verdana" w:cs="Arial"/>
                <w:sz w:val="16"/>
                <w:szCs w:val="16"/>
                <w:lang w:val="es-ES" w:eastAsia="es-ES"/>
              </w:rPr>
              <w:t>Anexo:</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8D03A2" w14:textId="77777777" w:rsidR="009F54A9" w:rsidRPr="00706902" w:rsidRDefault="009F54A9" w:rsidP="009F54A9">
            <w:pPr>
              <w:contextualSpacing/>
              <w:jc w:val="both"/>
              <w:rPr>
                <w:rFonts w:ascii="Verdana" w:eastAsia="Calibri" w:hAnsi="Verdana" w:cs="Arial"/>
                <w:sz w:val="16"/>
                <w:szCs w:val="16"/>
                <w:lang w:val="es-ES_tradnl" w:eastAsia="es-ES"/>
              </w:rPr>
            </w:pPr>
            <w:r w:rsidRPr="00706902">
              <w:rPr>
                <w:rFonts w:ascii="Verdana" w:eastAsia="Calibri" w:hAnsi="Verdana" w:cs="Arial"/>
                <w:sz w:val="16"/>
                <w:szCs w:val="16"/>
                <w:lang w:val="es-ES_tradnl" w:eastAsia="es-ES"/>
              </w:rPr>
              <w:t xml:space="preserve">Oficio </w:t>
            </w:r>
            <w:r w:rsidR="00346A69">
              <w:rPr>
                <w:rFonts w:ascii="Verdana" w:eastAsia="Calibri" w:hAnsi="Verdana" w:cs="Arial"/>
                <w:sz w:val="16"/>
                <w:szCs w:val="16"/>
                <w:lang w:val="es-ES_tradnl" w:eastAsia="es-ES"/>
              </w:rPr>
              <w:t>S</w:t>
            </w:r>
            <w:r w:rsidRPr="00706902">
              <w:rPr>
                <w:rFonts w:ascii="Verdana" w:eastAsia="Calibri" w:hAnsi="Verdana" w:cs="Arial"/>
                <w:sz w:val="16"/>
                <w:szCs w:val="16"/>
                <w:lang w:val="es-ES_tradnl" w:eastAsia="es-ES"/>
              </w:rPr>
              <w:t xml:space="preserve">IDT – Respuesta parcial </w:t>
            </w:r>
            <w:r>
              <w:rPr>
                <w:rFonts w:ascii="Verdana" w:eastAsia="Calibri" w:hAnsi="Verdana" w:cs="Arial"/>
                <w:sz w:val="16"/>
                <w:szCs w:val="16"/>
                <w:lang w:val="es-ES_tradnl" w:eastAsia="es-ES"/>
              </w:rPr>
              <w:t>rad.</w:t>
            </w:r>
            <w:r w:rsidRPr="00706902">
              <w:rPr>
                <w:rFonts w:ascii="Verdana" w:eastAsia="Calibri" w:hAnsi="Verdana" w:cs="Arial"/>
                <w:sz w:val="16"/>
                <w:szCs w:val="16"/>
                <w:lang w:val="es-ES_tradnl" w:eastAsia="es-ES"/>
              </w:rPr>
              <w:t xml:space="preserve"> P20250117000405</w:t>
            </w:r>
          </w:p>
        </w:tc>
      </w:tr>
    </w:tbl>
    <w:p w14:paraId="0274FCEF" w14:textId="77777777" w:rsidR="009F54A9" w:rsidRPr="00593A5F" w:rsidRDefault="009F54A9" w:rsidP="009F54A9">
      <w:pPr>
        <w:spacing w:after="0"/>
        <w:rPr>
          <w:rFonts w:ascii="Verdana" w:hAnsi="Verdana" w:cs="Arial"/>
          <w:lang w:eastAsia="es-ES"/>
        </w:rPr>
      </w:pPr>
    </w:p>
    <w:p w14:paraId="5D181A44" w14:textId="77777777" w:rsidR="003D5B0D" w:rsidRPr="00596000" w:rsidRDefault="003D5B0D" w:rsidP="009F54A9">
      <w:pPr>
        <w:spacing w:after="0"/>
      </w:pPr>
    </w:p>
    <w:sectPr w:rsidR="003D5B0D" w:rsidRPr="0059600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B4E5C" w14:textId="77777777" w:rsidR="006747D9" w:rsidRDefault="006747D9" w:rsidP="004A1847">
      <w:pPr>
        <w:spacing w:after="0" w:line="240" w:lineRule="auto"/>
      </w:pPr>
      <w:r>
        <w:separator/>
      </w:r>
    </w:p>
  </w:endnote>
  <w:endnote w:type="continuationSeparator" w:id="0">
    <w:p w14:paraId="0CCFB36A" w14:textId="77777777" w:rsidR="006747D9" w:rsidRDefault="006747D9" w:rsidP="004A1847">
      <w:pPr>
        <w:spacing w:after="0" w:line="240" w:lineRule="auto"/>
      </w:pPr>
      <w:r>
        <w:continuationSeparator/>
      </w:r>
    </w:p>
  </w:endnote>
  <w:endnote w:type="continuationNotice" w:id="1">
    <w:p w14:paraId="29291BF9" w14:textId="77777777" w:rsidR="006747D9" w:rsidRDefault="006747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C4DBA" w14:textId="77777777" w:rsidR="004A1847" w:rsidRDefault="004A1847">
    <w:pPr>
      <w:pStyle w:val="Piedepgina"/>
    </w:pPr>
  </w:p>
  <w:p w14:paraId="582ECA3C"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6114EB2"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104AF8C"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1BCF6022"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4B44" w14:textId="77777777" w:rsidR="006747D9" w:rsidRDefault="006747D9" w:rsidP="004A1847">
      <w:pPr>
        <w:spacing w:after="0" w:line="240" w:lineRule="auto"/>
      </w:pPr>
      <w:r>
        <w:separator/>
      </w:r>
    </w:p>
  </w:footnote>
  <w:footnote w:type="continuationSeparator" w:id="0">
    <w:p w14:paraId="4F9D6200" w14:textId="77777777" w:rsidR="006747D9" w:rsidRDefault="006747D9" w:rsidP="004A1847">
      <w:pPr>
        <w:spacing w:after="0" w:line="240" w:lineRule="auto"/>
      </w:pPr>
      <w:r>
        <w:continuationSeparator/>
      </w:r>
    </w:p>
  </w:footnote>
  <w:footnote w:type="continuationNotice" w:id="1">
    <w:p w14:paraId="2C0D6D58" w14:textId="77777777" w:rsidR="006747D9" w:rsidRDefault="006747D9">
      <w:pPr>
        <w:spacing w:after="0" w:line="240" w:lineRule="auto"/>
      </w:pPr>
    </w:p>
  </w:footnote>
  <w:footnote w:id="2">
    <w:p w14:paraId="0A44B2DC" w14:textId="77777777" w:rsidR="009F54A9" w:rsidRPr="003D35C5" w:rsidRDefault="009F54A9" w:rsidP="009F54A9">
      <w:pPr>
        <w:pStyle w:val="Textonotapie"/>
        <w:ind w:firstLine="709"/>
        <w:jc w:val="both"/>
        <w:rPr>
          <w:rFonts w:ascii="Verdana" w:hAnsi="Verdana" w:cs="Arial"/>
          <w:color w:val="000000" w:themeColor="text1"/>
          <w:sz w:val="16"/>
          <w:szCs w:val="16"/>
        </w:rPr>
      </w:pPr>
      <w:r w:rsidRPr="003D35C5">
        <w:rPr>
          <w:rStyle w:val="Refdenotaalpie"/>
          <w:rFonts w:ascii="Verdana" w:hAnsi="Verdana" w:cs="Arial"/>
          <w:sz w:val="16"/>
          <w:szCs w:val="16"/>
        </w:rPr>
        <w:footnoteRef/>
      </w:r>
      <w:r w:rsidRPr="003D35C5">
        <w:rPr>
          <w:rFonts w:ascii="Verdana" w:hAnsi="Verdana" w:cs="Arial"/>
          <w:sz w:val="16"/>
          <w:szCs w:val="16"/>
        </w:rPr>
        <w:t xml:space="preserve"> Decreto 1068 de 2015: “</w:t>
      </w:r>
      <w:r w:rsidRPr="003D35C5">
        <w:rPr>
          <w:rFonts w:ascii="Verdana" w:hAnsi="Verdana" w:cs="Arial"/>
          <w:color w:val="000000" w:themeColor="text1"/>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088E5A6C" w14:textId="77777777" w:rsidR="009F54A9" w:rsidRPr="003D35C5" w:rsidRDefault="009F54A9" w:rsidP="009F54A9">
      <w:pPr>
        <w:pStyle w:val="Textonotapie"/>
        <w:ind w:firstLine="709"/>
        <w:jc w:val="both"/>
        <w:rPr>
          <w:rFonts w:ascii="Verdana" w:hAnsi="Verdana" w:cs="Arial"/>
          <w:color w:val="000000" w:themeColor="text1"/>
          <w:sz w:val="16"/>
          <w:szCs w:val="16"/>
        </w:rPr>
      </w:pPr>
      <w:r w:rsidRPr="003D35C5">
        <w:rPr>
          <w:rFonts w:ascii="Verdana" w:hAnsi="Verdana" w:cs="Arial"/>
          <w:color w:val="000000" w:themeColor="text1"/>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82F930F" w14:textId="77777777" w:rsidR="009F54A9" w:rsidRPr="003D35C5" w:rsidRDefault="009F54A9" w:rsidP="009F54A9">
      <w:pPr>
        <w:pStyle w:val="Textonotapie"/>
        <w:ind w:firstLine="708"/>
        <w:jc w:val="both"/>
        <w:rPr>
          <w:rFonts w:ascii="Verdana" w:hAnsi="Verdana" w:cs="Arial"/>
          <w:sz w:val="16"/>
          <w:szCs w:val="16"/>
        </w:rPr>
      </w:pPr>
      <w:r w:rsidRPr="003D35C5">
        <w:rPr>
          <w:rFonts w:ascii="Verdana" w:hAnsi="Verdana" w:cs="Arial"/>
          <w:color w:val="000000" w:themeColor="text1"/>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footnote>
  <w:footnote w:id="3">
    <w:p w14:paraId="34299EA3"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3BB7942E"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4">
    <w:p w14:paraId="0CBC6EB3"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Corte Constitucional. Sentencia C-154 de 1997. Magistrado Ponente: Hernando Herrera Vergara.</w:t>
      </w:r>
    </w:p>
  </w:footnote>
  <w:footnote w:id="5">
    <w:p w14:paraId="33EF6F2B" w14:textId="77777777" w:rsidR="009F54A9" w:rsidRPr="003D35C5" w:rsidRDefault="009F54A9" w:rsidP="009F54A9">
      <w:pPr>
        <w:pStyle w:val="Textonotapie"/>
        <w:ind w:firstLine="708"/>
        <w:jc w:val="both"/>
        <w:rPr>
          <w:rFonts w:ascii="Verdana" w:hAnsi="Verdana" w:cs="Arial"/>
          <w:sz w:val="16"/>
          <w:szCs w:val="16"/>
        </w:rPr>
      </w:pPr>
      <w:r w:rsidRPr="003D35C5">
        <w:rPr>
          <w:rStyle w:val="Refdenotaalpie"/>
          <w:rFonts w:ascii="Verdana" w:hAnsi="Verdana" w:cs="Arial"/>
          <w:sz w:val="16"/>
          <w:szCs w:val="16"/>
        </w:rPr>
        <w:footnoteRef/>
      </w:r>
      <w:r w:rsidRPr="003D35C5">
        <w:rPr>
          <w:rFonts w:ascii="Verdana" w:hAnsi="Verdana" w:cs="Arial"/>
          <w:sz w:val="16"/>
          <w:szCs w:val="16"/>
        </w:rPr>
        <w:t xml:space="preserve"> Para la doctrina, “En el esquema constitucional vigente, la realización de actividades que impliquen el ejercicio permanente de función pública sólo puede estar radicada en servidores públicos y excepcionalmente, en los casos previstos por la ley, en particulares que cuenten con autorización expresa para ello. No es pues un contrato de prestación de servicios el instrumento para tolerar o encausar el desempeño de tales tareas, las cuales, en principio, sólo deben ser desplegadas por personas que estén vinculadas al Estado a través de una relación laboral administrativa […]” (Cfr. RODRÍGUEZ TAMAYO. Mauricio. Derecho disciplinario de la contratación estatal. Bogotá: Legis, 2020. p. 171).  </w:t>
      </w:r>
    </w:p>
  </w:footnote>
  <w:footnote w:id="6">
    <w:p w14:paraId="0388898F"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Corte Constitucional. Sentencia C-154 de 1997. Magistrado Ponente: Hernando Herrera Vergara</w:t>
      </w:r>
      <w:r w:rsidRPr="003D35C5">
        <w:rPr>
          <w:rFonts w:ascii="Verdana" w:hAnsi="Verdana" w:cs="Arial"/>
          <w:color w:val="000000"/>
          <w:sz w:val="16"/>
          <w:szCs w:val="16"/>
          <w:lang w:val="es-ES"/>
        </w:rPr>
        <w:t>.</w:t>
      </w:r>
    </w:p>
  </w:footnote>
  <w:footnote w:id="7">
    <w:p w14:paraId="2811EA9F"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262AE07"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EBB1B56"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8">
    <w:p w14:paraId="5B146F15"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9">
    <w:p w14:paraId="39F6655A"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Ibíd.</w:t>
      </w:r>
    </w:p>
  </w:footnote>
  <w:footnote w:id="10">
    <w:p w14:paraId="3C9AF6AD"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Ibíd.</w:t>
      </w:r>
    </w:p>
  </w:footnote>
  <w:footnote w:id="11">
    <w:p w14:paraId="1FF6218B"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0718B0B"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5EEFEBA7"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12">
    <w:p w14:paraId="35304A86"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18A7BCE4"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1. La causal que invoca para contratar directamente.</w:t>
      </w:r>
    </w:p>
    <w:p w14:paraId="760631DE"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2. El objeto del contrato.</w:t>
      </w:r>
    </w:p>
    <w:p w14:paraId="66B416F2"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3. El presupuesto para la contratación y las condiciones que exigirá al contratista.</w:t>
      </w:r>
    </w:p>
    <w:p w14:paraId="25E12126"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4. El lugar en el cual los interesados pueden consultar los estudios y documentos previos.</w:t>
      </w:r>
    </w:p>
    <w:p w14:paraId="48C18379"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3">
    <w:p w14:paraId="42DD9C89"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Esta norma expresa: “</w:t>
      </w:r>
      <w:r w:rsidRPr="003D35C5">
        <w:rPr>
          <w:rFonts w:ascii="Verdana" w:hAnsi="Verdana" w:cs="Arial"/>
          <w:color w:val="000000"/>
          <w:sz w:val="16"/>
          <w:szCs w:val="16"/>
        </w:rPr>
        <w:t>P</w:t>
      </w:r>
      <w:r w:rsidRPr="003D35C5">
        <w:rPr>
          <w:rFonts w:ascii="Verdana" w:hAnsi="Verdana" w:cs="Arial"/>
          <w:color w:val="000000"/>
          <w:sz w:val="16"/>
          <w:szCs w:val="16"/>
          <w:lang w:val="es-ES"/>
        </w:rPr>
        <w:t>ara el cumplimiento de los fines de la contratación, las entidades estatales al celebrar un contrato:</w:t>
      </w:r>
    </w:p>
    <w:p w14:paraId="4ACB1CF8"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w:t>
      </w:r>
    </w:p>
    <w:p w14:paraId="6D2330D4"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7A1533F1"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Las entidades estatales podrán pactar estas cláusulas en los contratos de suministro y de prestación de servicios.</w:t>
      </w:r>
    </w:p>
    <w:p w14:paraId="1A769937"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w:t>
      </w:r>
    </w:p>
  </w:footnote>
  <w:footnote w:id="14">
    <w:p w14:paraId="52E0A5C7"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footnote>
  <w:footnote w:id="15">
    <w:p w14:paraId="0F44921F" w14:textId="77777777" w:rsidR="009F54A9" w:rsidRPr="003D35C5" w:rsidRDefault="009F54A9" w:rsidP="009F54A9">
      <w:pPr>
        <w:pStyle w:val="Textonotapie"/>
        <w:snapToGrid w:val="0"/>
        <w:ind w:firstLine="709"/>
        <w:jc w:val="both"/>
        <w:rPr>
          <w:rFonts w:ascii="Verdana" w:hAnsi="Verdana" w:cs="Arial"/>
          <w:color w:val="000000"/>
          <w:sz w:val="16"/>
          <w:szCs w:val="16"/>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4A66609" w14:textId="77777777" w:rsidR="009F54A9" w:rsidRPr="003D35C5" w:rsidRDefault="009F54A9" w:rsidP="009F54A9">
      <w:pPr>
        <w:pStyle w:val="Textonotapie"/>
        <w:snapToGrid w:val="0"/>
        <w:ind w:firstLine="709"/>
        <w:jc w:val="both"/>
        <w:rPr>
          <w:rFonts w:ascii="Verdana" w:hAnsi="Verdana" w:cs="Arial"/>
          <w:color w:val="000000"/>
          <w:sz w:val="16"/>
          <w:szCs w:val="16"/>
        </w:rPr>
      </w:pPr>
      <w:r w:rsidRPr="003D35C5">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EA538A5"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rPr>
        <w:t>[…]”.</w:t>
      </w:r>
    </w:p>
  </w:footnote>
  <w:footnote w:id="16">
    <w:p w14:paraId="737ACF74" w14:textId="77777777" w:rsidR="009F54A9" w:rsidRPr="003D35C5" w:rsidRDefault="009F54A9" w:rsidP="009F54A9">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7">
    <w:p w14:paraId="49759A37"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s="Arial"/>
          <w:color w:val="000000" w:themeColor="text1"/>
          <w:sz w:val="16"/>
          <w:szCs w:val="16"/>
        </w:rPr>
        <w:footnoteRef/>
      </w:r>
      <w:r w:rsidRPr="003D35C5">
        <w:rPr>
          <w:rFonts w:ascii="Verdana" w:hAnsi="Verdana" w:cs="Arial"/>
          <w:color w:val="000000" w:themeColor="text1"/>
          <w:sz w:val="16"/>
          <w:szCs w:val="16"/>
        </w:rPr>
        <w:t xml:space="preserve"> Esta norma prescribe que “Para que una persona se obligue a otra por un acto o declaración de voluntad, es necesario:</w:t>
      </w:r>
    </w:p>
    <w:p w14:paraId="3FA9FA3C"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1o.) que sea legalmente capaz;</w:t>
      </w:r>
    </w:p>
    <w:p w14:paraId="76F1A9DC"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2o.) que consienta en dicho acto o declaración y su consentimiento no adolezca de vicio;</w:t>
      </w:r>
    </w:p>
    <w:p w14:paraId="300E4380"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3o.) que recaiga sobre un objeto lícito;</w:t>
      </w:r>
    </w:p>
    <w:p w14:paraId="2E40529A"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4o.) que tenga una causa lícita.</w:t>
      </w:r>
    </w:p>
    <w:p w14:paraId="74ADB443"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La capacidad legal de una persona consiste en poderse obligar por sí misma, y sin el ministerio o la autorización de otra”.</w:t>
      </w:r>
    </w:p>
  </w:footnote>
  <w:footnote w:id="18">
    <w:p w14:paraId="46E951C5"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JOSSERAND, Louis. Derecho civil: teorías generales del derecho y de los derechos. Las personas. Tomo I. Volumen I. Buenos Aires: EJEA, 1952. pp. 262-263.</w:t>
      </w:r>
    </w:p>
  </w:footnote>
  <w:footnote w:id="19">
    <w:p w14:paraId="7FF2CDE7" w14:textId="77777777" w:rsidR="009F54A9" w:rsidRPr="003D35C5" w:rsidRDefault="009F54A9" w:rsidP="009F54A9">
      <w:pPr>
        <w:pStyle w:val="Textonotapie"/>
        <w:ind w:firstLine="708"/>
        <w:jc w:val="both"/>
        <w:rPr>
          <w:rFonts w:ascii="Verdana" w:hAnsi="Verdana"/>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CONSEJO DE ESTADO. Sección Tercera. Sentencia del 26 de enero de 2011. Rad. 36.408. C.P. Jaime Orlando Santofimio Gamboa.</w:t>
      </w:r>
      <w:r w:rsidRPr="003D35C5">
        <w:rPr>
          <w:rFonts w:ascii="Verdana" w:hAnsi="Verdana"/>
          <w:color w:val="000000" w:themeColor="text1"/>
          <w:sz w:val="16"/>
          <w:szCs w:val="16"/>
        </w:rPr>
        <w:t xml:space="preserve">  </w:t>
      </w:r>
    </w:p>
  </w:footnote>
  <w:footnote w:id="20">
    <w:p w14:paraId="20D200DE"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Para estos efectos, la doctrina considera que “[…] la incapacidad especial afecta únicamente a ciertas personas, impidiéndoles que puedan ejecutar actos específicos que la ley señala en cada caso; de modo que, para que sea aplicable, se requieren dos condiciones: la persona misma y el acto.</w:t>
      </w:r>
    </w:p>
    <w:p w14:paraId="33781858"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Si esas personas, que, por otra parte, son plenamente capaces para celebrar o ejecutar válidamente cualquier acto o contrato de la vida civil, celebran uno, para el cual son capaces, el acto o contrato es válido, porque la incapacidad sólo dice relación con el acto o contrato específico que la ley señala.</w:t>
      </w:r>
    </w:p>
    <w:p w14:paraId="214ABDB0"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Igualmente, el acto o contrato para cuya ejecución o celebración la ley considera incapaz a ciertas y determinadas personas no tiene en sí nada de reprobable, y puede, por lo general, ser ejecutado por cualquier individuo, estando las más de las veces expresamente reglamentado por la legislación. Pero si es ejecutado por aquellas personas, la ley no permite su subsistencia y autoriza su anulación, porque no quiere que esas personas, que están en situaciones especiales, celebren o ejecuten tales actos o contratos.</w:t>
      </w:r>
    </w:p>
    <w:p w14:paraId="4B5BDAFC"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En consecuencia, en las incapacidades especiales existe una relación íntima entre la calidad o estado de que está revestida una persona, y el acto específico que realiza. Por tal motivo, tratándose de una persona que no reúna esa calidad o estado, el acto puede ejecutarse sin ningún inconveniente; y en igual forma, tratándose de otro acto diverso, la persona que tenga esa calidad puede ejecutarlo válidamente. La incapacidad especial se produce, pues, por la conjunción de dos circunstancias, que deben coexistir: persona que reúna ciertas condiciones o que tenga un estado especial determinado por la ley, y acto cuya celebración sea prohibida a esa persona” (</w:t>
      </w:r>
      <w:bookmarkStart w:id="5" w:name="_Hlk35615848"/>
      <w:r w:rsidRPr="003D35C5">
        <w:rPr>
          <w:rFonts w:ascii="Verdana" w:hAnsi="Verdana" w:cs="Arial"/>
          <w:color w:val="000000" w:themeColor="text1"/>
          <w:sz w:val="16"/>
          <w:szCs w:val="16"/>
        </w:rPr>
        <w:t>ALESSADRI BESA, Arturo. La nulidad y la rescisión en el derecho civil chileno. Tomo I. Santiago de Chile: Ediar Editores LTDA, 1949. p. 471</w:t>
      </w:r>
      <w:bookmarkEnd w:id="5"/>
      <w:r w:rsidRPr="003D35C5">
        <w:rPr>
          <w:rFonts w:ascii="Verdana" w:hAnsi="Verdana" w:cs="Arial"/>
          <w:color w:val="000000" w:themeColor="text1"/>
          <w:sz w:val="16"/>
          <w:szCs w:val="16"/>
        </w:rPr>
        <w:t xml:space="preserve">). </w:t>
      </w:r>
    </w:p>
  </w:footnote>
  <w:footnote w:id="21">
    <w:p w14:paraId="1DECCB6B"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MONTOYA PÉREZ, Guillermo y MONTOYA OSORIO, Martha Elena. Las personas en el derecho civil. Tercera edición. Bogotá: Leyer, 2010. p. 312.</w:t>
      </w:r>
    </w:p>
  </w:footnote>
  <w:footnote w:id="22">
    <w:p w14:paraId="2044817E"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s="Arial"/>
          <w:color w:val="000000" w:themeColor="text1"/>
          <w:sz w:val="16"/>
          <w:szCs w:val="16"/>
        </w:rPr>
        <w:footnoteRef/>
      </w:r>
      <w:r w:rsidRPr="003D35C5">
        <w:rPr>
          <w:rFonts w:ascii="Verdana" w:hAnsi="Verdana" w:cs="Arial"/>
          <w:color w:val="000000" w:themeColor="text1"/>
          <w:sz w:val="16"/>
          <w:szCs w:val="16"/>
        </w:rPr>
        <w:t xml:space="preserve"> Esta norma señala que “1o) Contrato de trabajo es aquel por el cual una persona natural se obliga a prestar un servicio personal a otra persona natural o jurídica, bajo la continuada dependencia o subordinación de la segunda y mediante remuneración. 2o) Quien presta el servicio se denomina trabajador, quien lo recibe y remunera, patrono, y la remuneración, cualquiera que sea su forma de salario”.</w:t>
      </w:r>
    </w:p>
  </w:footnote>
  <w:footnote w:id="23">
    <w:p w14:paraId="7F288C65"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MONTOYA PÉREZ, Guillermo y MONTOYA OSORIO, Martha Elena. Las personas en el derecho civil. Tercera edición. Bogotá: Leyer, 2010. p. 308.</w:t>
      </w:r>
    </w:p>
  </w:footnote>
  <w:footnote w:id="24">
    <w:p w14:paraId="519F05C9"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Modificado por el artículo 40 del Decreto-Ley 2820 de 1974, la norma dispone que “Los derechos de administración de los bienes, el usufructo legal y la representación extrajudicial del hijo de familia serán ejercidos conjuntamente por el padre y la madre. Lo anterior no obsta para que uno de los padres delegue por escrito al otro, total o parcialmente, dichas administración o representación.</w:t>
      </w:r>
    </w:p>
    <w:p w14:paraId="5CADDD0A"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Si uno de los padres falta, corresponderán los mencionados derechos al otro.</w:t>
      </w:r>
    </w:p>
    <w:p w14:paraId="1505AD7D"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En los casos en que no hubiere acuerdo de los titulares de la patria potestad sobre el ejercicio de los derechos de que trata el Inciso primero de este artículo o en el caso de que uno</w:t>
      </w:r>
      <w:r w:rsidRPr="003D35C5">
        <w:rPr>
          <w:rFonts w:ascii="Verdana" w:hAnsi="Verdana"/>
          <w:color w:val="000000" w:themeColor="text1"/>
          <w:sz w:val="16"/>
          <w:szCs w:val="16"/>
        </w:rPr>
        <w:t xml:space="preserve"> de ellos no </w:t>
      </w:r>
      <w:r w:rsidRPr="003D35C5">
        <w:rPr>
          <w:rFonts w:ascii="Verdana" w:hAnsi="Verdana" w:cs="Arial"/>
          <w:color w:val="000000" w:themeColor="text1"/>
          <w:sz w:val="16"/>
          <w:szCs w:val="16"/>
        </w:rPr>
        <w:t>estuviere de acuerdo en la forma como el otro lleve la representación judicial del hijo, se acudirá al juez o al funcionario que la ley designe para que dirima la controversia, de acuerdo con las normas procesales pertinentes”.</w:t>
      </w:r>
    </w:p>
  </w:footnote>
  <w:footnote w:id="25">
    <w:p w14:paraId="15DD5A9F"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La norma prescribe lo siguiente: “El menor adulto no sometido a patria potestad quedará bajo curaduría; el menor adulto, en todos los casos, tendrá derecho a proponer al Juez el nombre de su curador, incluso contradiciendo la voluntad del testador y el Juez deberá acogerlo a menos que existan razones para considerar inconveniente el curador propuesto, de las cuales se dejará constancia escrita. El curador del niño o niña seguirá ejerciendo su cargo al llegar estos a la adolescencia, salvo que el pupilo, en ejercicio de las facultades que se consagran en este artículo solicite su remoción y el Juez la encuentre procedente.</w:t>
      </w:r>
    </w:p>
    <w:p w14:paraId="67EA40CE"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En cuanto al cuidado personal, el curador del menor adulto tendrá las mismas facultades y obligaciones que el curador del impúber y en estas se sujetará a las disposiciones del Código de la Infancia y la Adolescencia, pero no lo representará en aquellos actos para los cuales el menor adulto tiene plena capacidad.</w:t>
      </w:r>
    </w:p>
    <w:p w14:paraId="20C4FDC6"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Respecto de los actos jurídicos de administración patrimonial, el curador obrará del mismo modo que los consejeros, pero el menor adulto podrá conferir a su guardador poderes plenos para representarlo en todos sus actos jurídicos extrajudiciales.</w:t>
      </w:r>
    </w:p>
    <w:p w14:paraId="40484DBA"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La representación judicial del menor adulto corresponde al curador.</w:t>
      </w:r>
    </w:p>
    <w:p w14:paraId="30DAA646"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Cuando el menor adulto presente discapacidad mental absoluta, el curador actuará de la misma manera que el curador de una persona en dicha condición y estará obligado a solicitar la interdicción del pupilo a partir de la pubertad y en todo caso antes de llegar el pupilo a la mayoría de edad, so pena de responder por los eventuales perjuicios que se causen al pupilo o sus herederos.</w:t>
      </w:r>
    </w:p>
    <w:p w14:paraId="4F298CC4"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Parágrafo. Los padres o el curador y el mismo menor adulto, podrán solicitar la designación de un consejero para el manejo de su peculio profesional y el Juez, de considerarlo procedente, decretará la inhabilitación sometiéndose a las reglas pertinentes.</w:t>
      </w:r>
    </w:p>
    <w:p w14:paraId="080A2408"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Fonts w:ascii="Verdana" w:hAnsi="Verdana" w:cs="Arial"/>
          <w:color w:val="000000" w:themeColor="text1"/>
          <w:sz w:val="16"/>
          <w:szCs w:val="16"/>
        </w:rPr>
        <w:t>Producida la inhabilitación, los padres o el curador hará las veces de consejero, a menos que el Juez, a solicitud del menor adulto, estime conveniente designar otro guardador que tendrá el carácter de administrador adjunto”.</w:t>
      </w:r>
    </w:p>
  </w:footnote>
  <w:footnote w:id="26">
    <w:p w14:paraId="0814FECE" w14:textId="77777777" w:rsidR="009F54A9" w:rsidRPr="003D35C5" w:rsidRDefault="009F54A9" w:rsidP="009F54A9">
      <w:pPr>
        <w:pStyle w:val="Textonotapie"/>
        <w:ind w:firstLine="708"/>
        <w:jc w:val="both"/>
        <w:rPr>
          <w:rFonts w:ascii="Verdana" w:hAnsi="Verdana"/>
          <w:color w:val="000000" w:themeColor="text1"/>
          <w:sz w:val="16"/>
          <w:szCs w:val="16"/>
          <w:lang w:val="es-ES"/>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ALESSADRI BESA, Arturo. La nulidad y la rescisión en el derecho civil chileno. Tomo II. Santiago de Chile: Ediar Editores LTDA, 1949. p. 766.</w:t>
      </w:r>
    </w:p>
  </w:footnote>
  <w:footnote w:id="27">
    <w:p w14:paraId="287FEBA5"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 xml:space="preserve">CORTE CONSTITUCIONAL. Sentencia C-386 de 2000. M.P. Antonio Barrera Carbonell.   </w:t>
      </w:r>
    </w:p>
  </w:footnote>
  <w:footnote w:id="28">
    <w:p w14:paraId="4E7FE55E"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s="Arial"/>
          <w:color w:val="000000" w:themeColor="text1"/>
          <w:sz w:val="16"/>
          <w:szCs w:val="16"/>
        </w:rPr>
        <w:footnoteRef/>
      </w:r>
      <w:r w:rsidRPr="003D35C5">
        <w:rPr>
          <w:rFonts w:ascii="Verdana" w:hAnsi="Verdana" w:cs="Arial"/>
          <w:color w:val="000000" w:themeColor="text1"/>
          <w:sz w:val="16"/>
          <w:szCs w:val="16"/>
        </w:rPr>
        <w:t xml:space="preserve"> CORTE CONSTITUCIONAL. Sentencia C-154 de 1997. M.P. Hernando Herrera Vergara.</w:t>
      </w:r>
    </w:p>
  </w:footnote>
  <w:footnote w:id="29">
    <w:p w14:paraId="1B8F2B7B" w14:textId="77777777" w:rsidR="009F54A9" w:rsidRPr="003D35C5" w:rsidRDefault="009F54A9" w:rsidP="009F54A9">
      <w:pPr>
        <w:pStyle w:val="Textonotapie"/>
        <w:ind w:firstLine="708"/>
        <w:jc w:val="both"/>
        <w:rPr>
          <w:rFonts w:ascii="Verdana" w:hAnsi="Verdana" w:cs="Arial"/>
          <w:color w:val="000000" w:themeColor="text1"/>
          <w:sz w:val="16"/>
          <w:szCs w:val="16"/>
          <w:lang w:val="es-ES"/>
        </w:rPr>
      </w:pPr>
      <w:r w:rsidRPr="003D35C5">
        <w:rPr>
          <w:rStyle w:val="Refdenotaalpie"/>
          <w:rFonts w:ascii="Verdana" w:hAnsi="Verdana" w:cs="Arial"/>
          <w:color w:val="000000" w:themeColor="text1"/>
          <w:sz w:val="16"/>
          <w:szCs w:val="16"/>
        </w:rPr>
        <w:footnoteRef/>
      </w:r>
      <w:r w:rsidRPr="003D35C5">
        <w:rPr>
          <w:rFonts w:ascii="Verdana" w:hAnsi="Verdana" w:cs="Arial"/>
          <w:color w:val="000000" w:themeColor="text1"/>
          <w:sz w:val="16"/>
          <w:szCs w:val="16"/>
        </w:rPr>
        <w:t xml:space="preserve"> CADAVID GÓMEZ, Ignacio y ARENAS GALLEGO, Eraclito. Cartilla del Trabajo. Medellín: Sello Editorial Universidad de Medellín, 2008. p. 32. </w:t>
      </w:r>
    </w:p>
  </w:footnote>
  <w:footnote w:id="30">
    <w:p w14:paraId="5E83C97A" w14:textId="77777777" w:rsidR="009F54A9" w:rsidRPr="003D35C5" w:rsidRDefault="009F54A9" w:rsidP="009F54A9">
      <w:pPr>
        <w:pStyle w:val="Textonotapie"/>
        <w:ind w:firstLine="708"/>
        <w:jc w:val="both"/>
        <w:rPr>
          <w:rFonts w:ascii="Verdana" w:hAnsi="Verdana" w:cs="Arial"/>
          <w:color w:val="000000" w:themeColor="text1"/>
          <w:sz w:val="16"/>
          <w:szCs w:val="16"/>
        </w:rPr>
      </w:pPr>
      <w:r w:rsidRPr="003D35C5">
        <w:rPr>
          <w:rStyle w:val="Refdenotaalpie"/>
          <w:rFonts w:ascii="Verdana" w:hAnsi="Verdana"/>
          <w:color w:val="000000" w:themeColor="text1"/>
          <w:sz w:val="16"/>
          <w:szCs w:val="16"/>
        </w:rPr>
        <w:footnoteRef/>
      </w:r>
      <w:r w:rsidRPr="003D35C5">
        <w:rPr>
          <w:rFonts w:ascii="Verdana" w:hAnsi="Verdana"/>
          <w:color w:val="000000" w:themeColor="text1"/>
          <w:sz w:val="16"/>
          <w:szCs w:val="16"/>
        </w:rPr>
        <w:t xml:space="preserve"> </w:t>
      </w:r>
      <w:r w:rsidRPr="003D35C5">
        <w:rPr>
          <w:rFonts w:ascii="Verdana" w:hAnsi="Verdana" w:cs="Arial"/>
          <w:color w:val="000000" w:themeColor="text1"/>
          <w:sz w:val="16"/>
          <w:szCs w:val="16"/>
        </w:rPr>
        <w:t>CONSEJO DE ESTADO. Sección Segunda. Subsección B. Sentencia del 20 de septiembre de 2018. Rad. 2046-17. C.P. Sandra Lisset Ibarra Vélez.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4336"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79AB759D" wp14:editId="41CC0491">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AD8042B" wp14:editId="5C24C92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1793414" w14:textId="77777777" w:rsidR="00756841" w:rsidRDefault="00756841">
    <w:pPr>
      <w:pStyle w:val="Encabezado"/>
    </w:pPr>
  </w:p>
  <w:p w14:paraId="21CFA55B" w14:textId="77777777" w:rsidR="00DC39FC" w:rsidRDefault="00DC39FC" w:rsidP="004A305D">
    <w:pPr>
      <w:spacing w:after="0"/>
      <w:rPr>
        <w:rFonts w:ascii="Verdana" w:hAnsi="Verdana"/>
        <w:b/>
        <w:bCs/>
      </w:rPr>
    </w:pPr>
  </w:p>
  <w:p w14:paraId="36074F7B" w14:textId="77777777" w:rsidR="004A305D" w:rsidRPr="00DC39FC" w:rsidRDefault="004A305D" w:rsidP="004A305D">
    <w:pPr>
      <w:spacing w:after="0"/>
      <w:rPr>
        <w:rFonts w:ascii="Verdana" w:hAnsi="Verdana"/>
        <w:b/>
        <w:bCs/>
      </w:rPr>
    </w:pPr>
    <w:r w:rsidRPr="00DC39FC">
      <w:rPr>
        <w:rFonts w:ascii="Verdana" w:hAnsi="Verdana"/>
        <w:b/>
        <w:bCs/>
      </w:rPr>
      <w:t>FORMATO PQRSD</w:t>
    </w:r>
  </w:p>
  <w:p w14:paraId="5180E23C" w14:textId="77777777" w:rsidR="004A305D" w:rsidRPr="004A305D" w:rsidRDefault="004A305D" w:rsidP="00B01B1A">
    <w:pPr>
      <w:spacing w:after="0" w:line="120" w:lineRule="auto"/>
      <w:rPr>
        <w:rFonts w:ascii="Century Gothic" w:eastAsia="Geo" w:hAnsi="Century Gothic" w:cs="Geo"/>
        <w:sz w:val="16"/>
        <w:szCs w:val="16"/>
        <w:lang w:eastAsia="es-CO"/>
      </w:rPr>
    </w:pPr>
  </w:p>
  <w:p w14:paraId="5873F109"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59B2C7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99075941" o:spid="_x0000_i1025" type="#_x0000_t75" style="width:11.45pt;height:11.45pt;visibility:visible;mso-wrap-style:square">
            <v:imagedata r:id="rId1" o:title=""/>
          </v:shape>
        </w:pict>
      </mc:Choice>
      <mc:Fallback>
        <w:drawing>
          <wp:inline distT="0" distB="0" distL="0" distR="0" wp14:anchorId="6E2A8C38" wp14:editId="715226C5">
            <wp:extent cx="145415" cy="145415"/>
            <wp:effectExtent l="0" t="0" r="0" b="0"/>
            <wp:docPr id="599075941" name="Imagen 59907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CD6"/>
    <w:rsid w:val="00016F78"/>
    <w:rsid w:val="00046945"/>
    <w:rsid w:val="00061B2A"/>
    <w:rsid w:val="00080FD0"/>
    <w:rsid w:val="00082362"/>
    <w:rsid w:val="00083D9B"/>
    <w:rsid w:val="000A65DA"/>
    <w:rsid w:val="000A683E"/>
    <w:rsid w:val="000B19B9"/>
    <w:rsid w:val="000B684E"/>
    <w:rsid w:val="000D0334"/>
    <w:rsid w:val="000F6486"/>
    <w:rsid w:val="000F75FB"/>
    <w:rsid w:val="00125105"/>
    <w:rsid w:val="00127233"/>
    <w:rsid w:val="001449EA"/>
    <w:rsid w:val="001511A0"/>
    <w:rsid w:val="001E4177"/>
    <w:rsid w:val="001F7DC6"/>
    <w:rsid w:val="002421BB"/>
    <w:rsid w:val="0025796E"/>
    <w:rsid w:val="002707A2"/>
    <w:rsid w:val="00275E01"/>
    <w:rsid w:val="002951A0"/>
    <w:rsid w:val="002962BC"/>
    <w:rsid w:val="002A093D"/>
    <w:rsid w:val="002A0DD0"/>
    <w:rsid w:val="002A49AC"/>
    <w:rsid w:val="002A64FD"/>
    <w:rsid w:val="002C0B5A"/>
    <w:rsid w:val="002C7A84"/>
    <w:rsid w:val="002E4FD9"/>
    <w:rsid w:val="00322A85"/>
    <w:rsid w:val="00324168"/>
    <w:rsid w:val="003448F4"/>
    <w:rsid w:val="00346A69"/>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96000"/>
    <w:rsid w:val="005B3816"/>
    <w:rsid w:val="005C3777"/>
    <w:rsid w:val="005C5CDC"/>
    <w:rsid w:val="005D476C"/>
    <w:rsid w:val="005F4138"/>
    <w:rsid w:val="006219F8"/>
    <w:rsid w:val="00665D70"/>
    <w:rsid w:val="006747D9"/>
    <w:rsid w:val="006900D9"/>
    <w:rsid w:val="006B14D6"/>
    <w:rsid w:val="006E48D0"/>
    <w:rsid w:val="00701CCE"/>
    <w:rsid w:val="00706C16"/>
    <w:rsid w:val="007324AF"/>
    <w:rsid w:val="00753C0D"/>
    <w:rsid w:val="00756841"/>
    <w:rsid w:val="007649AB"/>
    <w:rsid w:val="00771D0C"/>
    <w:rsid w:val="007833AC"/>
    <w:rsid w:val="007B268C"/>
    <w:rsid w:val="007B7171"/>
    <w:rsid w:val="007C0C0F"/>
    <w:rsid w:val="007C3DC2"/>
    <w:rsid w:val="007E5497"/>
    <w:rsid w:val="007E7A35"/>
    <w:rsid w:val="00806F5F"/>
    <w:rsid w:val="00820278"/>
    <w:rsid w:val="00842DA8"/>
    <w:rsid w:val="00867F95"/>
    <w:rsid w:val="008843B6"/>
    <w:rsid w:val="00891928"/>
    <w:rsid w:val="008A446D"/>
    <w:rsid w:val="008D180B"/>
    <w:rsid w:val="008F0EA7"/>
    <w:rsid w:val="00923EEF"/>
    <w:rsid w:val="0093378E"/>
    <w:rsid w:val="009419F9"/>
    <w:rsid w:val="0095685E"/>
    <w:rsid w:val="00961B09"/>
    <w:rsid w:val="00965334"/>
    <w:rsid w:val="0097093E"/>
    <w:rsid w:val="00986AC5"/>
    <w:rsid w:val="009A0DFA"/>
    <w:rsid w:val="009B2D26"/>
    <w:rsid w:val="009C4980"/>
    <w:rsid w:val="009C71FA"/>
    <w:rsid w:val="009C72E7"/>
    <w:rsid w:val="009D3058"/>
    <w:rsid w:val="009F3A13"/>
    <w:rsid w:val="009F54A9"/>
    <w:rsid w:val="00A122D3"/>
    <w:rsid w:val="00A17F13"/>
    <w:rsid w:val="00A20739"/>
    <w:rsid w:val="00A33C78"/>
    <w:rsid w:val="00AA2D88"/>
    <w:rsid w:val="00AB0ADB"/>
    <w:rsid w:val="00B01B1A"/>
    <w:rsid w:val="00B07C03"/>
    <w:rsid w:val="00B66319"/>
    <w:rsid w:val="00B72CD3"/>
    <w:rsid w:val="00B72FFF"/>
    <w:rsid w:val="00BC3D36"/>
    <w:rsid w:val="00BD7F72"/>
    <w:rsid w:val="00C04FB3"/>
    <w:rsid w:val="00C1585A"/>
    <w:rsid w:val="00C330EB"/>
    <w:rsid w:val="00C41061"/>
    <w:rsid w:val="00C754BE"/>
    <w:rsid w:val="00C76B1C"/>
    <w:rsid w:val="00CB6357"/>
    <w:rsid w:val="00CC1B26"/>
    <w:rsid w:val="00CE4A4D"/>
    <w:rsid w:val="00D423A2"/>
    <w:rsid w:val="00D520D8"/>
    <w:rsid w:val="00D63AC2"/>
    <w:rsid w:val="00D7383B"/>
    <w:rsid w:val="00DA231B"/>
    <w:rsid w:val="00DC39FC"/>
    <w:rsid w:val="00DF2BC0"/>
    <w:rsid w:val="00DF5254"/>
    <w:rsid w:val="00E16408"/>
    <w:rsid w:val="00E20894"/>
    <w:rsid w:val="00E245AB"/>
    <w:rsid w:val="00E2764C"/>
    <w:rsid w:val="00E27F2E"/>
    <w:rsid w:val="00E4689E"/>
    <w:rsid w:val="00E50AFE"/>
    <w:rsid w:val="00E53695"/>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81D33"/>
    <w:rsid w:val="00F9175E"/>
    <w:rsid w:val="00FA47C0"/>
    <w:rsid w:val="00FB5DD1"/>
    <w:rsid w:val="00FC2B5D"/>
    <w:rsid w:val="00FF1449"/>
    <w:rsid w:val="2ADCE9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9CFE9"/>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F54A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F54A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el-manejo-de-ofertas-artificialmente-baja-0&amp;data=05%7C02%7Cjuan.montoya%40colombiacompra.gov.co%7C925ae1c2336243aecb2908dd21173dd2%7C7b09041e245149d08cb179d5e3d8c1be%7C0%7C0%7C638703105895182015%7CUnknown%7CTWFpbGZsb3d8eyJFbXB0eU1hcGkiOnRydWUsIlYiOiIwLjAuMDAwMCIsIlAiOiJXaW4zMiIsIkFOIjoiTWFpbCIsIldUIjoyfQ%3D%3D%7C0%7C%7C%7C&amp;sdata=HlGFbtWnhxQQFe3ygDSyPlK2cdKe1Ks6vhc65aNB0FU%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asanchez1007@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viii.pdf&amp;data=05%7C02%7Cjuan.montoya%40colombiacompra.gov.co%7C925ae1c2336243aecb2908dd21173dd2%7C7b09041e245149d08cb179d5e3d8c1be%7C0%7C0%7C638703105895220768%7CUnknown%7CTWFpbGZsb3d8eyJFbXB0eU1hcGkiOnRydWUsIlYiOiIwLjAuMDAwMCIsIlAiOiJXaW4zMiIsIkFOIjoiTWFpbCIsIldUIjoyfQ%3D%3D%7C0%7C%7C%7C&amp;sdata=qNBG%2BaYTy3VBiBSkZN4PWqvfCyO9k4rvo2wl3QqpAW8%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para-incentivar-la-participacion-de-las-mujeres&amp;data=05%7C02%7Cjuan.montoya%40colombiacompra.gov.co%7C925ae1c2336243aecb2908dd21173dd2%7C7b09041e245149d08cb179d5e3d8c1be%7C0%7C0%7C638703105895204231%7CUnknown%7CTWFpbGZsb3d8eyJFbXB0eU1hcGkiOnRydWUsIlYiOiIwLjAuMDAwMCIsIlAiOiJXaW4zMiIsIkFOIjoiTWFpbCIsIldUIjoyfQ%3D%3D%7C0%7C%7C%7C&amp;sdata=FVxVRA1OLrYs0kToF8HEu4D%2BSXkwN%2BKPRARSi4Pk57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660EBD09-40A8-495F-8A9C-06B7279BE7AC}"/>
</file>

<file path=docProps/app.xml><?xml version="1.0" encoding="utf-8"?>
<Properties xmlns="http://schemas.openxmlformats.org/officeDocument/2006/extended-properties" xmlns:vt="http://schemas.openxmlformats.org/officeDocument/2006/docPropsVTypes">
  <Template>Normal.dotm</Template>
  <TotalTime>2</TotalTime>
  <Pages>25</Pages>
  <Words>8043</Words>
  <Characters>44241</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2025-02-20T20:19:00Z</dcterms:created>
  <dcterms:modified xsi:type="dcterms:W3CDTF">2025-02-22T00:07:00Z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