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5D65" w14:textId="77777777" w:rsidR="009B5304" w:rsidRDefault="009B5304" w:rsidP="009B5304">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sz w:val="22"/>
          <w:szCs w:val="22"/>
          <w:lang w:val="es-MX"/>
        </w:rPr>
        <w:t>LEY DE GARANTÍAS ELECTORALES ‒ Finalidad</w:t>
      </w:r>
      <w:r>
        <w:rPr>
          <w:rStyle w:val="eop"/>
          <w:rFonts w:ascii="Verdana" w:hAnsi="Verdana" w:cs="Segoe UI"/>
          <w:sz w:val="22"/>
          <w:szCs w:val="22"/>
        </w:rPr>
        <w:t> </w:t>
      </w:r>
    </w:p>
    <w:p w14:paraId="79B2E48C" w14:textId="77777777" w:rsidR="009B5304" w:rsidRDefault="009B5304" w:rsidP="009B5304">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2"/>
          <w:szCs w:val="22"/>
        </w:rPr>
        <w:t> </w:t>
      </w:r>
    </w:p>
    <w:p w14:paraId="5EF6CE89" w14:textId="77777777" w:rsidR="009B5304" w:rsidRDefault="009B5304" w:rsidP="009B5304">
      <w:pPr>
        <w:pStyle w:val="paragraph"/>
        <w:spacing w:before="0" w:beforeAutospacing="0" w:after="0" w:afterAutospacing="0"/>
        <w:jc w:val="both"/>
        <w:textAlignment w:val="baseline"/>
        <w:rPr>
          <w:rStyle w:val="eop"/>
          <w:rFonts w:ascii="Verdana" w:hAnsi="Verdana" w:cs="Segoe UI"/>
          <w:sz w:val="20"/>
          <w:szCs w:val="20"/>
        </w:rPr>
      </w:pPr>
      <w:r>
        <w:rPr>
          <w:rStyle w:val="normaltextrun"/>
          <w:rFonts w:ascii="Verdana" w:hAnsi="Verdana" w:cs="Segoe UI"/>
          <w:sz w:val="20"/>
          <w:szCs w:val="20"/>
        </w:rPr>
        <w:t>El ordenamiento jurídico colombiano contempla previsiones claras para evitar la obtención de beneficios personales en asuntos propios de la administración pública</w:t>
      </w:r>
      <w:r>
        <w:rPr>
          <w:rStyle w:val="normaltextrun"/>
          <w:rFonts w:ascii="Verdana" w:hAnsi="Verdana" w:cs="Segoe UI"/>
          <w:i/>
          <w:iCs/>
          <w:sz w:val="20"/>
          <w:szCs w:val="20"/>
        </w:rPr>
        <w:t>. </w:t>
      </w:r>
      <w:r>
        <w:rPr>
          <w:rStyle w:val="normaltextrun"/>
          <w:rFonts w:ascii="Verdana" w:hAnsi="Verdana" w:cs="Segoe UI"/>
          <w:sz w:val="20"/>
          <w:szCs w:val="20"/>
        </w:rPr>
        <w:t>Por ejemplo, el artículo 127 de la Constitución Política establece una prohibición contractual a los servidores públicos y, en cuanto a aspectos políticos, establece restricciones a ciertos empleados del Estado, incluso en época no electoral. </w:t>
      </w:r>
      <w:r>
        <w:rPr>
          <w:rStyle w:val="eop"/>
          <w:rFonts w:ascii="Verdana" w:hAnsi="Verdana" w:cs="Segoe UI"/>
          <w:sz w:val="20"/>
          <w:szCs w:val="20"/>
        </w:rPr>
        <w:t> </w:t>
      </w:r>
    </w:p>
    <w:p w14:paraId="3D5E4B64" w14:textId="77777777" w:rsidR="009B5304" w:rsidRDefault="009B5304" w:rsidP="009B5304">
      <w:pPr>
        <w:pStyle w:val="paragraph"/>
        <w:spacing w:before="0" w:beforeAutospacing="0" w:after="0" w:afterAutospacing="0"/>
        <w:jc w:val="both"/>
        <w:textAlignment w:val="baseline"/>
        <w:rPr>
          <w:rFonts w:ascii="Segoe UI" w:hAnsi="Segoe UI" w:cs="Segoe UI"/>
          <w:sz w:val="18"/>
          <w:szCs w:val="18"/>
        </w:rPr>
      </w:pPr>
    </w:p>
    <w:p w14:paraId="657F0B33" w14:textId="77777777" w:rsidR="009B5304" w:rsidRDefault="009B5304" w:rsidP="009B5304">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lang w:val="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Style w:val="eop"/>
          <w:rFonts w:ascii="Verdana" w:hAnsi="Verdana" w:cs="Segoe UI"/>
          <w:sz w:val="20"/>
          <w:szCs w:val="20"/>
        </w:rPr>
        <w:t> </w:t>
      </w:r>
    </w:p>
    <w:p w14:paraId="55DD957E" w14:textId="77777777" w:rsidR="009B5304" w:rsidRDefault="009B5304" w:rsidP="009B5304">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30BCE72E" w14:textId="77777777" w:rsidR="009B5304" w:rsidRPr="00252092" w:rsidRDefault="009B5304" w:rsidP="009B5304">
      <w:pPr>
        <w:pStyle w:val="paragraph"/>
        <w:spacing w:before="0" w:beforeAutospacing="0" w:after="0" w:afterAutospacing="0"/>
        <w:jc w:val="both"/>
        <w:textAlignment w:val="baseline"/>
        <w:rPr>
          <w:rStyle w:val="eop"/>
          <w:rFonts w:ascii="Verdana" w:hAnsi="Verdana" w:cs="Segoe UI"/>
          <w:b/>
          <w:bCs/>
          <w:sz w:val="20"/>
          <w:szCs w:val="20"/>
        </w:rPr>
      </w:pPr>
    </w:p>
    <w:p w14:paraId="59FD9279" w14:textId="77777777" w:rsidR="009B5304" w:rsidRDefault="009B5304" w:rsidP="009B5304">
      <w:pPr>
        <w:pStyle w:val="paragraph"/>
        <w:spacing w:before="0" w:beforeAutospacing="0" w:after="0" w:afterAutospacing="0"/>
        <w:jc w:val="both"/>
        <w:textAlignment w:val="baseline"/>
        <w:rPr>
          <w:rFonts w:ascii="Verdana" w:eastAsia="Aptos" w:hAnsi="Verdana" w:cs="Arial"/>
          <w:b/>
          <w:bCs/>
          <w:sz w:val="22"/>
          <w:szCs w:val="22"/>
          <w:lang w:val="es-MX" w:eastAsia="es-ES"/>
        </w:rPr>
      </w:pPr>
      <w:r w:rsidRPr="00252092">
        <w:rPr>
          <w:rFonts w:ascii="Verdana" w:eastAsia="Aptos" w:hAnsi="Verdana" w:cs="Arial"/>
          <w:b/>
          <w:bCs/>
          <w:sz w:val="22"/>
          <w:szCs w:val="22"/>
          <w:lang w:val="es-MX" w:eastAsia="es-ES"/>
        </w:rPr>
        <w:t>LEY DE GARANTÍAS ELECTORALES – Prohibición – Artículo 3</w:t>
      </w:r>
      <w:r>
        <w:rPr>
          <w:rFonts w:ascii="Verdana" w:eastAsia="Aptos" w:hAnsi="Verdana" w:cs="Arial"/>
          <w:b/>
          <w:bCs/>
          <w:sz w:val="22"/>
          <w:szCs w:val="22"/>
          <w:lang w:val="es-MX" w:eastAsia="es-ES"/>
        </w:rPr>
        <w:t>3</w:t>
      </w:r>
      <w:r w:rsidRPr="00252092">
        <w:rPr>
          <w:rFonts w:ascii="Verdana" w:eastAsia="Aptos" w:hAnsi="Verdana" w:cs="Arial"/>
          <w:b/>
          <w:bCs/>
          <w:sz w:val="22"/>
          <w:szCs w:val="22"/>
          <w:lang w:val="es-MX" w:eastAsia="es-ES"/>
        </w:rPr>
        <w:t xml:space="preserve"> – Contratación directa – Alcance </w:t>
      </w:r>
    </w:p>
    <w:p w14:paraId="6FE8FFB9" w14:textId="77777777" w:rsidR="009B5304" w:rsidRDefault="009B5304" w:rsidP="009B5304">
      <w:pPr>
        <w:spacing w:after="0" w:line="240" w:lineRule="auto"/>
        <w:ind w:left="708" w:hanging="708"/>
        <w:jc w:val="both"/>
        <w:rPr>
          <w:rFonts w:ascii="Verdana" w:hAnsi="Verdana" w:cs="Arial"/>
          <w:b/>
          <w:bCs/>
          <w:color w:val="00BCD8"/>
          <w:lang w:val="es-MX" w:eastAsia="es-ES"/>
        </w:rPr>
      </w:pPr>
    </w:p>
    <w:p w14:paraId="58A75F41" w14:textId="77777777" w:rsidR="009B5304" w:rsidRPr="00D047BE" w:rsidRDefault="009B5304" w:rsidP="009B5304">
      <w:pPr>
        <w:spacing w:after="120" w:line="276" w:lineRule="auto"/>
        <w:jc w:val="both"/>
        <w:rPr>
          <w:rFonts w:ascii="Verdana" w:eastAsia="Times New Roman" w:hAnsi="Verdana" w:cs="Arial"/>
          <w:bCs/>
          <w:sz w:val="20"/>
          <w:szCs w:val="20"/>
          <w:lang w:val="es-MX" w:eastAsia="x-none"/>
        </w:rPr>
      </w:pPr>
      <w:r w:rsidRPr="00D047BE">
        <w:rPr>
          <w:rFonts w:ascii="Verdana" w:eastAsia="Times New Roman" w:hAnsi="Verdana" w:cs="Arial"/>
          <w:bCs/>
          <w:sz w:val="20"/>
          <w:szCs w:val="20"/>
          <w:lang w:val="es-MX"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sz w:val="20"/>
          <w:szCs w:val="20"/>
          <w:vertAlign w:val="superscript"/>
          <w:lang w:eastAsia="x-none"/>
        </w:rPr>
        <w:t>.</w:t>
      </w:r>
      <w:r w:rsidRPr="00D047BE">
        <w:rPr>
          <w:rFonts w:ascii="Verdana" w:eastAsia="Times New Roman" w:hAnsi="Verdana" w:cs="Arial"/>
          <w:sz w:val="20"/>
          <w:szCs w:val="20"/>
          <w:vertAlign w:val="superscript"/>
          <w:lang w:eastAsia="x-none"/>
        </w:rPr>
        <w:t xml:space="preserve"> </w:t>
      </w:r>
    </w:p>
    <w:p w14:paraId="27FE34FB" w14:textId="77777777" w:rsidR="009B5304" w:rsidRPr="00D047BE" w:rsidRDefault="009B5304" w:rsidP="009B5304">
      <w:pPr>
        <w:spacing w:after="120" w:line="276" w:lineRule="auto"/>
        <w:jc w:val="both"/>
        <w:rPr>
          <w:rFonts w:ascii="Verdana" w:eastAsia="Times New Roman" w:hAnsi="Verdana" w:cs="Arial"/>
          <w:sz w:val="20"/>
          <w:szCs w:val="20"/>
          <w:lang w:eastAsia="x-none"/>
        </w:rPr>
      </w:pPr>
      <w:r w:rsidRPr="00D047BE">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D047BE">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E433808" w14:textId="77777777" w:rsidR="009B5304" w:rsidRPr="00663BBD" w:rsidRDefault="009B5304" w:rsidP="009B5304">
      <w:pPr>
        <w:pStyle w:val="paragraph"/>
        <w:jc w:val="both"/>
        <w:textAlignment w:val="baseline"/>
        <w:rPr>
          <w:rFonts w:ascii="Verdana" w:eastAsia="Aptos" w:hAnsi="Verdana" w:cs="Arial"/>
          <w:b/>
          <w:bCs/>
          <w:sz w:val="22"/>
          <w:szCs w:val="22"/>
          <w:lang w:val="es-MX" w:eastAsia="es-ES"/>
        </w:rPr>
      </w:pPr>
      <w:r w:rsidRPr="00663BBD">
        <w:rPr>
          <w:rFonts w:ascii="Verdana" w:eastAsia="Aptos" w:hAnsi="Verdana" w:cs="Arial"/>
          <w:b/>
          <w:bCs/>
          <w:sz w:val="22"/>
          <w:szCs w:val="22"/>
          <w:lang w:val="es-MX" w:eastAsia="es-ES"/>
        </w:rPr>
        <w:t xml:space="preserve">LEY DE GARANTÍAS ELECTORALES – Contratos interadministrativos – Criterio orgánico </w:t>
      </w:r>
    </w:p>
    <w:p w14:paraId="53C9633F" w14:textId="77777777" w:rsidR="009B5304" w:rsidRPr="005D646A" w:rsidRDefault="009B5304" w:rsidP="009B5304">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t xml:space="preserve">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w:t>
      </w:r>
      <w:r w:rsidRPr="005D646A">
        <w:rPr>
          <w:rFonts w:ascii="Verdana" w:eastAsia="Aptos" w:hAnsi="Verdana" w:cs="Arial"/>
          <w:sz w:val="20"/>
          <w:szCs w:val="20"/>
          <w:lang w:val="es-MX" w:eastAsia="es-ES_tradnl"/>
        </w:rPr>
        <w:lastRenderedPageBreak/>
        <w:t>pueden ser celebrados entre entidades públicas, pues a éstas corresponde la realización de los fines y tareas que el legislador les ha asignado.</w:t>
      </w:r>
    </w:p>
    <w:p w14:paraId="6FF147A4" w14:textId="77777777" w:rsidR="009B5304" w:rsidRPr="005D646A" w:rsidRDefault="009B5304" w:rsidP="009B5304">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6566407" w14:textId="77777777" w:rsidR="009B5304" w:rsidRPr="004D2656" w:rsidRDefault="009B5304" w:rsidP="009B5304">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0B48275B" w14:textId="77777777" w:rsidR="009B5304" w:rsidRPr="004D2656" w:rsidRDefault="009B5304" w:rsidP="009B5304">
      <w:pPr>
        <w:pStyle w:val="paragraph"/>
        <w:spacing w:before="0" w:beforeAutospacing="0" w:after="0" w:afterAutospacing="0"/>
        <w:jc w:val="both"/>
        <w:textAlignment w:val="baseline"/>
        <w:rPr>
          <w:rStyle w:val="eop"/>
          <w:rFonts w:ascii="Verdana" w:hAnsi="Verdana" w:cs="Segoe UI"/>
          <w:b/>
          <w:bCs/>
          <w:sz w:val="18"/>
          <w:szCs w:val="18"/>
        </w:rPr>
      </w:pPr>
      <w:r w:rsidRPr="004D2656">
        <w:rPr>
          <w:rFonts w:ascii="Verdana" w:eastAsia="Aptos" w:hAnsi="Verdana" w:cs="Arial"/>
          <w:b/>
          <w:bCs/>
          <w:sz w:val="22"/>
          <w:szCs w:val="22"/>
          <w:lang w:val="es-MX" w:eastAsia="es-ES_tradnl"/>
        </w:rPr>
        <w:t>CONTRATOS Y CONVENIOS INTERADMINISTRATIVOS – Circular Externa Única – Medida cautelar de suspensión.</w:t>
      </w:r>
    </w:p>
    <w:p w14:paraId="6A1A741F" w14:textId="77777777" w:rsidR="009B5304" w:rsidRPr="004D2656" w:rsidRDefault="009B5304" w:rsidP="009B5304">
      <w:pPr>
        <w:pStyle w:val="paragraph"/>
        <w:spacing w:after="0"/>
        <w:jc w:val="both"/>
        <w:textAlignment w:val="baseline"/>
        <w:rPr>
          <w:rStyle w:val="eop"/>
          <w:rFonts w:ascii="Verdana" w:hAnsi="Verdana" w:cs="Segoe UI"/>
          <w:sz w:val="20"/>
          <w:szCs w:val="20"/>
        </w:rPr>
      </w:pPr>
      <w:r w:rsidRPr="004D2656">
        <w:rPr>
          <w:rStyle w:val="eop"/>
          <w:rFonts w:ascii="Verdana" w:hAnsi="Verdana" w:cs="Segoe UI"/>
          <w:sz w:val="20"/>
          <w:szCs w:val="20"/>
        </w:rPr>
        <w:t xml:space="preserve">De conformidad con los argumentos de dicha providencia, se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“si el legislador no diferenció al establecer la prohibición o la restricción, mal haría el reglamento en aplicar un efecto expansivo o extensivo para incluir una categoría no cobijada con la limitación, (…)”. Por tal motivo, para efectos de decretar la medida de suspensión provisional de los apartes señalados del numeral 16.2 de la Circular Externa Única, argumentó que “con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3E5AD98" w14:textId="77777777" w:rsidR="009B5304" w:rsidRPr="004D2656" w:rsidRDefault="009B5304" w:rsidP="009B5304">
      <w:pPr>
        <w:pStyle w:val="paragraph"/>
        <w:spacing w:after="0"/>
        <w:jc w:val="both"/>
        <w:textAlignment w:val="baseline"/>
        <w:rPr>
          <w:rStyle w:val="eop"/>
          <w:rFonts w:ascii="Verdana" w:hAnsi="Verdana" w:cs="Segoe UI"/>
          <w:sz w:val="20"/>
          <w:szCs w:val="20"/>
        </w:rPr>
      </w:pPr>
      <w:r w:rsidRPr="004D2656">
        <w:rPr>
          <w:rStyle w:val="eop"/>
          <w:rFonts w:ascii="Verdana" w:hAnsi="Verdana" w:cs="Segoe UI"/>
          <w:sz w:val="20"/>
          <w:szCs w:val="20"/>
        </w:rPr>
        <w:t xml:space="preserve">De igual manera, mediante auto del 6 de noviembre de 2025, el Consejo de Estado, Subsección A de la Sección Tercera, decretó 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4D2656">
        <w:rPr>
          <w:rStyle w:val="eop"/>
          <w:rFonts w:ascii="Verdana" w:hAnsi="Verdana" w:cs="Segoe UI"/>
          <w:sz w:val="20"/>
          <w:szCs w:val="20"/>
        </w:rPr>
        <w:t>legis</w:t>
      </w:r>
      <w:proofErr w:type="spellEnd"/>
      <w:r w:rsidRPr="004D2656">
        <w:rPr>
          <w:rStyle w:val="eop"/>
          <w:rFonts w:ascii="Verdana" w:hAnsi="Verdana" w:cs="Segoe UI"/>
          <w:sz w:val="20"/>
          <w:szCs w:val="20"/>
        </w:rPr>
        <w:t xml:space="preserve"> o iuris y la </w:t>
      </w:r>
      <w:r w:rsidRPr="004D2656">
        <w:rPr>
          <w:rStyle w:val="eop"/>
          <w:rFonts w:ascii="Verdana" w:hAnsi="Verdana" w:cs="Segoe UI"/>
          <w:sz w:val="20"/>
          <w:szCs w:val="20"/>
        </w:rPr>
        <w:lastRenderedPageBreak/>
        <w:t xml:space="preserve">interpretación extensiva y reiteró los argumentos sobre la diferencia entre contratos y convenios interadministrativos. </w:t>
      </w:r>
    </w:p>
    <w:p w14:paraId="6D415C02" w14:textId="77777777" w:rsidR="009B5304" w:rsidRDefault="009B5304" w:rsidP="009B5304">
      <w:pPr>
        <w:pStyle w:val="paragraph"/>
        <w:spacing w:before="0" w:beforeAutospacing="0" w:after="0" w:afterAutospacing="0"/>
        <w:jc w:val="both"/>
        <w:textAlignment w:val="baseline"/>
        <w:rPr>
          <w:rStyle w:val="eop"/>
          <w:rFonts w:ascii="Verdana" w:hAnsi="Verdana" w:cs="Segoe UI"/>
          <w:sz w:val="20"/>
          <w:szCs w:val="20"/>
        </w:rPr>
      </w:pPr>
      <w:r w:rsidRPr="004D2656">
        <w:rPr>
          <w:rStyle w:val="eop"/>
          <w:rFonts w:ascii="Verdana" w:hAnsi="Verdana" w:cs="Segoe UI"/>
          <w:sz w:val="20"/>
          <w:szCs w:val="20"/>
        </w:rPr>
        <w:t>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w:t>
      </w:r>
    </w:p>
    <w:p w14:paraId="7F73B6FA" w14:textId="77777777" w:rsidR="009B5304" w:rsidRPr="00FE167C" w:rsidRDefault="009B5304" w:rsidP="009B5304">
      <w:pPr>
        <w:spacing w:after="0" w:line="240" w:lineRule="auto"/>
        <w:jc w:val="both"/>
        <w:rPr>
          <w:rFonts w:ascii="Verdana" w:eastAsia="Calibri" w:hAnsi="Verdana" w:cs="Arial"/>
          <w:color w:val="00BCD8"/>
          <w:lang w:eastAsia="es-ES"/>
        </w:rPr>
      </w:pPr>
    </w:p>
    <w:p w14:paraId="153F9793" w14:textId="77777777" w:rsidR="009B5304" w:rsidRPr="00FE167C" w:rsidRDefault="009B5304" w:rsidP="009B5304">
      <w:pPr>
        <w:spacing w:after="0" w:line="240" w:lineRule="auto"/>
        <w:jc w:val="both"/>
        <w:rPr>
          <w:rFonts w:ascii="Verdana" w:eastAsia="Calibri" w:hAnsi="Verdana" w:cs="Arial"/>
          <w:color w:val="00BCD8"/>
          <w:lang w:eastAsia="es-ES"/>
        </w:rPr>
      </w:pPr>
    </w:p>
    <w:p w14:paraId="43A69488" w14:textId="77777777" w:rsidR="009B5304" w:rsidRPr="00FE167C" w:rsidRDefault="009B5304" w:rsidP="009B5304">
      <w:pPr>
        <w:spacing w:after="0" w:line="240" w:lineRule="auto"/>
        <w:jc w:val="both"/>
        <w:rPr>
          <w:rFonts w:ascii="Verdana" w:eastAsia="Calibri" w:hAnsi="Verdana" w:cs="Arial"/>
          <w:color w:val="00BCD8"/>
          <w:lang w:eastAsia="es-ES"/>
        </w:rPr>
      </w:pPr>
    </w:p>
    <w:p w14:paraId="689CECBC" w14:textId="77777777" w:rsidR="009B5304" w:rsidRPr="00FE167C" w:rsidRDefault="009B5304" w:rsidP="009B5304">
      <w:pPr>
        <w:spacing w:after="0" w:line="240" w:lineRule="auto"/>
        <w:jc w:val="both"/>
        <w:rPr>
          <w:rFonts w:ascii="Verdana" w:eastAsia="Calibri" w:hAnsi="Verdana" w:cs="Arial"/>
          <w:color w:val="00BCD8"/>
          <w:lang w:eastAsia="es-ES"/>
        </w:rPr>
      </w:pPr>
    </w:p>
    <w:p w14:paraId="6732E580" w14:textId="77777777" w:rsidR="009B5304" w:rsidRPr="00FE167C" w:rsidRDefault="009B5304" w:rsidP="009B5304">
      <w:pPr>
        <w:spacing w:after="0" w:line="240" w:lineRule="auto"/>
        <w:jc w:val="both"/>
        <w:rPr>
          <w:rFonts w:ascii="Verdana" w:eastAsia="Calibri" w:hAnsi="Verdana" w:cs="Arial"/>
          <w:color w:val="00BCD8"/>
          <w:lang w:eastAsia="es-ES"/>
        </w:rPr>
      </w:pPr>
    </w:p>
    <w:p w14:paraId="269B4D59" w14:textId="77777777" w:rsidR="009B5304" w:rsidRPr="00FE167C" w:rsidRDefault="009B5304" w:rsidP="009B5304">
      <w:pPr>
        <w:spacing w:after="0" w:line="240" w:lineRule="auto"/>
        <w:jc w:val="both"/>
        <w:rPr>
          <w:rFonts w:ascii="Verdana" w:eastAsia="Calibri" w:hAnsi="Verdana" w:cs="Arial"/>
          <w:color w:val="00BCD8"/>
          <w:lang w:eastAsia="es-ES"/>
        </w:rPr>
      </w:pPr>
    </w:p>
    <w:p w14:paraId="2EF30DC0" w14:textId="77777777" w:rsidR="009B5304" w:rsidRPr="00FE167C" w:rsidRDefault="009B5304" w:rsidP="009B5304">
      <w:pPr>
        <w:spacing w:after="0" w:line="240" w:lineRule="auto"/>
        <w:jc w:val="both"/>
        <w:rPr>
          <w:rFonts w:ascii="Verdana" w:eastAsia="Calibri" w:hAnsi="Verdana" w:cs="Arial"/>
          <w:color w:val="00BCD8"/>
          <w:lang w:eastAsia="es-ES"/>
        </w:rPr>
      </w:pPr>
    </w:p>
    <w:p w14:paraId="3D633DFD" w14:textId="77777777" w:rsidR="009B5304" w:rsidRPr="00FE167C" w:rsidRDefault="009B5304" w:rsidP="009B5304">
      <w:pPr>
        <w:spacing w:after="0" w:line="240" w:lineRule="auto"/>
        <w:jc w:val="both"/>
        <w:rPr>
          <w:rFonts w:ascii="Verdana" w:eastAsia="Calibri" w:hAnsi="Verdana" w:cs="Arial"/>
          <w:color w:val="00BCD8"/>
          <w:lang w:eastAsia="es-ES"/>
        </w:rPr>
      </w:pPr>
    </w:p>
    <w:p w14:paraId="234DF871" w14:textId="77777777" w:rsidR="009B5304" w:rsidRPr="00FE167C" w:rsidRDefault="009B5304" w:rsidP="009B5304">
      <w:pPr>
        <w:spacing w:after="0" w:line="240" w:lineRule="auto"/>
        <w:jc w:val="both"/>
        <w:rPr>
          <w:rFonts w:ascii="Verdana" w:eastAsia="Calibri" w:hAnsi="Verdana" w:cs="Arial"/>
          <w:color w:val="00BCD8"/>
          <w:lang w:eastAsia="es-ES"/>
        </w:rPr>
      </w:pPr>
    </w:p>
    <w:p w14:paraId="0140BF40" w14:textId="77777777" w:rsidR="009B5304" w:rsidRPr="00FE167C" w:rsidRDefault="009B5304" w:rsidP="009B5304">
      <w:pPr>
        <w:spacing w:after="0" w:line="240" w:lineRule="auto"/>
        <w:jc w:val="both"/>
        <w:rPr>
          <w:rFonts w:ascii="Verdana" w:eastAsia="Calibri" w:hAnsi="Verdana" w:cs="Arial"/>
          <w:color w:val="00BCD8"/>
          <w:lang w:eastAsia="es-ES"/>
        </w:rPr>
      </w:pPr>
    </w:p>
    <w:p w14:paraId="2BF5B692" w14:textId="77777777" w:rsidR="009B5304" w:rsidRPr="00FE167C" w:rsidRDefault="009B5304" w:rsidP="009B5304">
      <w:pPr>
        <w:spacing w:after="0" w:line="240" w:lineRule="auto"/>
        <w:jc w:val="both"/>
        <w:rPr>
          <w:rFonts w:ascii="Verdana" w:eastAsia="Calibri" w:hAnsi="Verdana" w:cs="Arial"/>
          <w:color w:val="00BCD8"/>
          <w:lang w:eastAsia="es-ES"/>
        </w:rPr>
      </w:pPr>
    </w:p>
    <w:p w14:paraId="0C69BAFD" w14:textId="77777777" w:rsidR="009B5304" w:rsidRPr="00FE167C" w:rsidRDefault="009B5304" w:rsidP="009B5304">
      <w:pPr>
        <w:spacing w:after="0" w:line="240" w:lineRule="auto"/>
        <w:jc w:val="both"/>
        <w:rPr>
          <w:rFonts w:ascii="Verdana" w:eastAsia="Calibri" w:hAnsi="Verdana" w:cs="Arial"/>
          <w:color w:val="00BCD8"/>
          <w:lang w:eastAsia="es-ES"/>
        </w:rPr>
      </w:pPr>
    </w:p>
    <w:p w14:paraId="4F372083" w14:textId="77777777" w:rsidR="009B5304" w:rsidRPr="00FE167C" w:rsidRDefault="009B5304" w:rsidP="009B5304">
      <w:pPr>
        <w:spacing w:after="0" w:line="240" w:lineRule="auto"/>
        <w:jc w:val="both"/>
        <w:rPr>
          <w:rFonts w:ascii="Verdana" w:eastAsia="Calibri" w:hAnsi="Verdana" w:cs="Arial"/>
          <w:color w:val="00BCD8"/>
          <w:lang w:eastAsia="es-ES"/>
        </w:rPr>
      </w:pPr>
    </w:p>
    <w:p w14:paraId="10E72450" w14:textId="77777777" w:rsidR="009B5304" w:rsidRPr="00FE167C" w:rsidRDefault="009B5304" w:rsidP="009B5304">
      <w:pPr>
        <w:spacing w:after="0" w:line="240" w:lineRule="auto"/>
        <w:jc w:val="both"/>
        <w:rPr>
          <w:rFonts w:ascii="Verdana" w:eastAsia="Calibri" w:hAnsi="Verdana" w:cs="Arial"/>
          <w:color w:val="00BCD8"/>
          <w:lang w:eastAsia="es-ES"/>
        </w:rPr>
      </w:pPr>
    </w:p>
    <w:p w14:paraId="0E68BD46" w14:textId="77777777" w:rsidR="009B5304" w:rsidRPr="00FE167C" w:rsidRDefault="009B5304" w:rsidP="009B5304">
      <w:pPr>
        <w:spacing w:after="0" w:line="240" w:lineRule="auto"/>
        <w:jc w:val="both"/>
        <w:rPr>
          <w:rFonts w:ascii="Verdana" w:eastAsia="Calibri" w:hAnsi="Verdana" w:cs="Arial"/>
          <w:color w:val="00BCD8"/>
          <w:lang w:eastAsia="es-ES"/>
        </w:rPr>
      </w:pPr>
    </w:p>
    <w:p w14:paraId="6331E059" w14:textId="77777777" w:rsidR="009B5304" w:rsidRPr="00FE167C" w:rsidRDefault="009B5304" w:rsidP="009B5304">
      <w:pPr>
        <w:spacing w:after="0" w:line="240" w:lineRule="auto"/>
        <w:jc w:val="both"/>
        <w:rPr>
          <w:rFonts w:ascii="Verdana" w:eastAsia="Calibri" w:hAnsi="Verdana" w:cs="Arial"/>
          <w:color w:val="00BCD8"/>
          <w:lang w:eastAsia="es-ES"/>
        </w:rPr>
      </w:pPr>
    </w:p>
    <w:p w14:paraId="0B789FD6" w14:textId="77777777" w:rsidR="009B5304" w:rsidRPr="00FE167C" w:rsidRDefault="009B5304" w:rsidP="009B5304">
      <w:pPr>
        <w:spacing w:after="0" w:line="240" w:lineRule="auto"/>
        <w:jc w:val="both"/>
        <w:rPr>
          <w:rFonts w:ascii="Verdana" w:eastAsia="Calibri" w:hAnsi="Verdana" w:cs="Arial"/>
          <w:color w:val="00BCD8"/>
          <w:lang w:eastAsia="es-ES"/>
        </w:rPr>
      </w:pPr>
    </w:p>
    <w:p w14:paraId="2D987EA1" w14:textId="77777777" w:rsidR="009B5304" w:rsidRPr="00FE167C" w:rsidRDefault="009B5304" w:rsidP="009B5304">
      <w:pPr>
        <w:spacing w:after="0" w:line="240" w:lineRule="auto"/>
        <w:jc w:val="both"/>
        <w:rPr>
          <w:rFonts w:ascii="Verdana" w:eastAsia="Calibri" w:hAnsi="Verdana" w:cs="Arial"/>
          <w:color w:val="00BCD8"/>
          <w:lang w:eastAsia="es-ES"/>
        </w:rPr>
      </w:pPr>
    </w:p>
    <w:p w14:paraId="4E3EAE92" w14:textId="77777777" w:rsidR="009B5304" w:rsidRPr="00FE167C" w:rsidRDefault="009B5304" w:rsidP="009B5304">
      <w:pPr>
        <w:spacing w:after="0" w:line="240" w:lineRule="auto"/>
        <w:jc w:val="both"/>
        <w:rPr>
          <w:rFonts w:ascii="Verdana" w:eastAsia="Calibri" w:hAnsi="Verdana" w:cs="Arial"/>
          <w:color w:val="00BCD8"/>
          <w:lang w:eastAsia="es-ES"/>
        </w:rPr>
      </w:pPr>
    </w:p>
    <w:p w14:paraId="55BBE6D6" w14:textId="77777777" w:rsidR="009B5304" w:rsidRPr="00FE167C" w:rsidRDefault="009B5304" w:rsidP="009B5304">
      <w:pPr>
        <w:spacing w:after="0" w:line="240" w:lineRule="auto"/>
        <w:jc w:val="both"/>
        <w:rPr>
          <w:rFonts w:ascii="Verdana" w:eastAsia="Calibri" w:hAnsi="Verdana" w:cs="Arial"/>
          <w:color w:val="00BCD8"/>
          <w:lang w:eastAsia="es-ES"/>
        </w:rPr>
      </w:pPr>
    </w:p>
    <w:p w14:paraId="24938ABE" w14:textId="77777777" w:rsidR="009B5304" w:rsidRPr="00FE167C" w:rsidRDefault="009B5304" w:rsidP="009B5304">
      <w:pPr>
        <w:spacing w:after="0" w:line="240" w:lineRule="auto"/>
        <w:jc w:val="both"/>
        <w:rPr>
          <w:rFonts w:ascii="Verdana" w:eastAsia="Calibri" w:hAnsi="Verdana" w:cs="Arial"/>
          <w:color w:val="00BCD8"/>
          <w:lang w:eastAsia="es-ES"/>
        </w:rPr>
      </w:pPr>
    </w:p>
    <w:p w14:paraId="4B3E5D2F" w14:textId="77777777" w:rsidR="009B5304" w:rsidRDefault="009B5304" w:rsidP="009B5304">
      <w:pPr>
        <w:spacing w:after="0" w:line="240" w:lineRule="auto"/>
        <w:jc w:val="both"/>
        <w:rPr>
          <w:rFonts w:ascii="Verdana" w:eastAsia="Calibri" w:hAnsi="Verdana" w:cs="Arial"/>
          <w:color w:val="00BCD8"/>
          <w:lang w:eastAsia="es-ES"/>
        </w:rPr>
      </w:pPr>
    </w:p>
    <w:p w14:paraId="3289BCD3" w14:textId="77777777" w:rsidR="009B5304" w:rsidRDefault="009B5304" w:rsidP="009B5304">
      <w:pPr>
        <w:spacing w:after="0" w:line="240" w:lineRule="auto"/>
        <w:jc w:val="both"/>
        <w:rPr>
          <w:rFonts w:ascii="Verdana" w:eastAsia="Calibri" w:hAnsi="Verdana" w:cs="Arial"/>
          <w:color w:val="00BCD8"/>
          <w:lang w:eastAsia="es-ES"/>
        </w:rPr>
      </w:pPr>
    </w:p>
    <w:p w14:paraId="691DC1F1" w14:textId="77777777" w:rsidR="009B5304" w:rsidRDefault="009B5304" w:rsidP="009B5304">
      <w:pPr>
        <w:spacing w:after="0" w:line="240" w:lineRule="auto"/>
        <w:jc w:val="both"/>
        <w:rPr>
          <w:rFonts w:ascii="Verdana" w:eastAsia="Calibri" w:hAnsi="Verdana" w:cs="Arial"/>
          <w:color w:val="00BCD8"/>
          <w:lang w:eastAsia="es-ES"/>
        </w:rPr>
      </w:pPr>
    </w:p>
    <w:p w14:paraId="35A62BD8" w14:textId="77777777" w:rsidR="009B5304" w:rsidRDefault="009B5304" w:rsidP="009B5304">
      <w:pPr>
        <w:spacing w:after="0" w:line="240" w:lineRule="auto"/>
        <w:jc w:val="both"/>
        <w:rPr>
          <w:rFonts w:ascii="Verdana" w:eastAsia="Calibri" w:hAnsi="Verdana" w:cs="Arial"/>
          <w:color w:val="00BCD8"/>
          <w:lang w:eastAsia="es-ES"/>
        </w:rPr>
      </w:pPr>
    </w:p>
    <w:p w14:paraId="42ECC985" w14:textId="77777777" w:rsidR="009B5304" w:rsidRDefault="009B5304" w:rsidP="009B5304">
      <w:pPr>
        <w:spacing w:after="0" w:line="240" w:lineRule="auto"/>
        <w:jc w:val="both"/>
        <w:rPr>
          <w:rFonts w:ascii="Verdana" w:eastAsia="Calibri" w:hAnsi="Verdana" w:cs="Arial"/>
          <w:color w:val="00BCD8"/>
          <w:lang w:eastAsia="es-ES"/>
        </w:rPr>
      </w:pPr>
    </w:p>
    <w:p w14:paraId="10FBDB2C" w14:textId="77777777" w:rsidR="009B5304" w:rsidRDefault="009B5304" w:rsidP="009B5304">
      <w:pPr>
        <w:spacing w:after="0" w:line="240" w:lineRule="auto"/>
        <w:jc w:val="both"/>
        <w:rPr>
          <w:rFonts w:ascii="Verdana" w:eastAsia="Calibri" w:hAnsi="Verdana" w:cs="Arial"/>
          <w:color w:val="00BCD8"/>
          <w:lang w:eastAsia="es-ES"/>
        </w:rPr>
      </w:pPr>
    </w:p>
    <w:p w14:paraId="375157ED" w14:textId="77777777" w:rsidR="009B5304" w:rsidRDefault="009B5304" w:rsidP="009B5304">
      <w:pPr>
        <w:spacing w:after="0" w:line="240" w:lineRule="auto"/>
        <w:jc w:val="both"/>
        <w:rPr>
          <w:rFonts w:ascii="Verdana" w:eastAsia="Calibri" w:hAnsi="Verdana" w:cs="Arial"/>
          <w:color w:val="00BCD8"/>
          <w:lang w:eastAsia="es-ES"/>
        </w:rPr>
      </w:pPr>
    </w:p>
    <w:p w14:paraId="6D1C8225" w14:textId="77777777" w:rsidR="00120219" w:rsidRPr="00FE167C" w:rsidRDefault="00120219" w:rsidP="009B5304">
      <w:pPr>
        <w:spacing w:after="0" w:line="240" w:lineRule="auto"/>
        <w:jc w:val="both"/>
        <w:rPr>
          <w:rFonts w:ascii="Verdana" w:eastAsia="Calibri" w:hAnsi="Verdana" w:cs="Arial"/>
          <w:color w:val="00BCD8"/>
          <w:lang w:eastAsia="es-ES"/>
        </w:rPr>
      </w:pPr>
    </w:p>
    <w:p w14:paraId="46A6FA96" w14:textId="77777777" w:rsidR="009B5304" w:rsidRPr="00FE167C" w:rsidRDefault="009B5304" w:rsidP="009B5304">
      <w:pPr>
        <w:spacing w:after="0" w:line="240" w:lineRule="auto"/>
        <w:jc w:val="both"/>
        <w:rPr>
          <w:rFonts w:ascii="Verdana" w:eastAsia="Calibri" w:hAnsi="Verdana" w:cs="Arial"/>
          <w:color w:val="00BCD8"/>
          <w:lang w:eastAsia="es-ES"/>
        </w:rPr>
      </w:pPr>
    </w:p>
    <w:p w14:paraId="0EE81E04" w14:textId="77777777" w:rsidR="009B5304" w:rsidRDefault="009B5304" w:rsidP="009B5304">
      <w:pPr>
        <w:spacing w:after="0" w:line="240" w:lineRule="auto"/>
        <w:jc w:val="both"/>
        <w:rPr>
          <w:rFonts w:ascii="Verdana" w:eastAsia="Calibri" w:hAnsi="Verdana" w:cs="Arial"/>
          <w:color w:val="00BCD8"/>
          <w:lang w:eastAsia="es-ES"/>
        </w:rPr>
      </w:pPr>
    </w:p>
    <w:p w14:paraId="79D44AE7" w14:textId="77777777" w:rsidR="009B5304" w:rsidRDefault="009B5304" w:rsidP="009B5304">
      <w:pPr>
        <w:spacing w:after="0" w:line="240" w:lineRule="auto"/>
        <w:jc w:val="both"/>
        <w:rPr>
          <w:rFonts w:ascii="Verdana" w:eastAsia="Calibri" w:hAnsi="Verdana" w:cs="Arial"/>
          <w:color w:val="00BCD8"/>
          <w:lang w:eastAsia="es-ES"/>
        </w:rPr>
      </w:pPr>
    </w:p>
    <w:p w14:paraId="604A7CBF" w14:textId="77777777" w:rsidR="009B5304" w:rsidRPr="00FE167C" w:rsidRDefault="009B5304" w:rsidP="009B5304">
      <w:pPr>
        <w:spacing w:after="0" w:line="240" w:lineRule="auto"/>
        <w:jc w:val="both"/>
        <w:rPr>
          <w:rFonts w:ascii="Verdana" w:eastAsia="Calibri" w:hAnsi="Verdana" w:cs="Arial"/>
          <w:color w:val="00BCD8"/>
          <w:lang w:eastAsia="es-ES"/>
        </w:rPr>
      </w:pPr>
    </w:p>
    <w:p w14:paraId="24A09CE8" w14:textId="2825706B" w:rsidR="009B5304" w:rsidRPr="00FE167C" w:rsidRDefault="00077656" w:rsidP="009B5304">
      <w:pPr>
        <w:spacing w:after="0" w:line="240" w:lineRule="auto"/>
        <w:jc w:val="both"/>
        <w:rPr>
          <w:rFonts w:ascii="Verdana" w:hAnsi="Verdana"/>
          <w:color w:val="000000" w:themeColor="text1"/>
        </w:rPr>
      </w:pPr>
      <w:r w:rsidRPr="00077656">
        <w:rPr>
          <w:rFonts w:ascii="Verdana" w:hAnsi="Verdana"/>
          <w:noProof/>
          <w:color w:val="000000" w:themeColor="text1"/>
        </w:rPr>
        <w:lastRenderedPageBreak/>
        <w:drawing>
          <wp:anchor distT="0" distB="0" distL="114300" distR="114300" simplePos="0" relativeHeight="251661312" behindDoc="0" locked="0" layoutInCell="1" allowOverlap="1" wp14:anchorId="623320B1" wp14:editId="736B3858">
            <wp:simplePos x="0" y="0"/>
            <wp:positionH relativeFrom="margin">
              <wp:posOffset>2942590</wp:posOffset>
            </wp:positionH>
            <wp:positionV relativeFrom="margin">
              <wp:posOffset>-69872</wp:posOffset>
            </wp:positionV>
            <wp:extent cx="3286125" cy="1028700"/>
            <wp:effectExtent l="0" t="0" r="9525" b="0"/>
            <wp:wrapSquare wrapText="bothSides"/>
            <wp:docPr id="186546009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60095"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286125" cy="1028700"/>
                    </a:xfrm>
                    <a:prstGeom prst="rect">
                      <a:avLst/>
                    </a:prstGeom>
                  </pic:spPr>
                </pic:pic>
              </a:graphicData>
            </a:graphic>
          </wp:anchor>
        </w:drawing>
      </w:r>
      <w:r w:rsidR="003009C6" w:rsidRPr="003009C6">
        <w:rPr>
          <w:rFonts w:ascii="Verdana" w:hAnsi="Verdana"/>
          <w:color w:val="000000" w:themeColor="text1"/>
        </w:rPr>
        <w:t xml:space="preserve">Bogotá D.C, 05 </w:t>
      </w:r>
      <w:proofErr w:type="gramStart"/>
      <w:r w:rsidR="003009C6" w:rsidRPr="003009C6">
        <w:rPr>
          <w:rFonts w:ascii="Verdana" w:hAnsi="Verdana"/>
          <w:color w:val="000000" w:themeColor="text1"/>
        </w:rPr>
        <w:t>Febrero</w:t>
      </w:r>
      <w:proofErr w:type="gramEnd"/>
      <w:r w:rsidR="003009C6" w:rsidRPr="003009C6">
        <w:rPr>
          <w:rFonts w:ascii="Verdana" w:hAnsi="Verdana"/>
          <w:color w:val="000000" w:themeColor="text1"/>
        </w:rPr>
        <w:t xml:space="preserve"> 2026</w:t>
      </w:r>
      <w:r w:rsidR="009B5304" w:rsidRPr="00FE167C">
        <w:rPr>
          <w:rFonts w:ascii="Verdana" w:eastAsia="Calibri" w:hAnsi="Verdana" w:cs="Arial"/>
          <w:color w:val="000000" w:themeColor="text1"/>
          <w:lang w:eastAsia="es-ES"/>
        </w:rPr>
        <w:t>  </w:t>
      </w:r>
    </w:p>
    <w:p w14:paraId="40B02AE0" w14:textId="755CB375" w:rsidR="009B5304" w:rsidRPr="00FE167C" w:rsidRDefault="009B5304" w:rsidP="009B5304">
      <w:pPr>
        <w:spacing w:after="0" w:line="240" w:lineRule="auto"/>
        <w:jc w:val="both"/>
        <w:rPr>
          <w:rFonts w:ascii="Verdana" w:hAnsi="Verdana"/>
          <w:color w:val="000000" w:themeColor="text1"/>
        </w:rPr>
      </w:pPr>
    </w:p>
    <w:p w14:paraId="4169AEDD" w14:textId="32294331" w:rsidR="009B5304" w:rsidRPr="00FE167C" w:rsidRDefault="009B5304" w:rsidP="009B5304">
      <w:pPr>
        <w:tabs>
          <w:tab w:val="left" w:pos="6279"/>
        </w:tabs>
        <w:spacing w:after="0" w:line="240" w:lineRule="auto"/>
        <w:jc w:val="both"/>
        <w:rPr>
          <w:rFonts w:ascii="Verdana" w:eastAsia="Calibri" w:hAnsi="Verdana" w:cs="Arial"/>
          <w:color w:val="000000" w:themeColor="text1"/>
          <w:lang w:eastAsia="es-ES"/>
        </w:rPr>
      </w:pPr>
      <w:r w:rsidRPr="00FE167C">
        <w:rPr>
          <w:rFonts w:ascii="Verdana" w:eastAsia="Calibri" w:hAnsi="Verdana" w:cs="Arial"/>
          <w:color w:val="000000" w:themeColor="text1"/>
          <w:lang w:eastAsia="es-ES"/>
        </w:rPr>
        <w:t>Señora</w:t>
      </w:r>
    </w:p>
    <w:p w14:paraId="0E6625CF" w14:textId="4CFD9F80" w:rsidR="009B5304" w:rsidRPr="009B5304" w:rsidRDefault="009B5304" w:rsidP="009B5304">
      <w:pPr>
        <w:spacing w:after="0" w:line="240" w:lineRule="auto"/>
        <w:jc w:val="both"/>
        <w:rPr>
          <w:rFonts w:ascii="Verdana" w:eastAsia="Calibri" w:hAnsi="Verdana" w:cs="Arial"/>
          <w:b/>
          <w:color w:val="000000" w:themeColor="text1"/>
          <w:lang w:eastAsia="es-ES_tradnl"/>
        </w:rPr>
      </w:pPr>
      <w:r w:rsidRPr="00FE167C">
        <w:rPr>
          <w:rFonts w:ascii="Verdana" w:eastAsia="Calibri" w:hAnsi="Verdana" w:cs="Arial"/>
          <w:b/>
          <w:color w:val="000000" w:themeColor="text1"/>
          <w:lang w:eastAsia="es-ES_tradnl"/>
        </w:rPr>
        <w:t>Liliana María</w:t>
      </w:r>
      <w:r w:rsidRPr="009B5304">
        <w:rPr>
          <w:rFonts w:ascii="Verdana" w:eastAsia="Calibri" w:hAnsi="Verdana" w:cs="Arial"/>
          <w:b/>
          <w:color w:val="000000" w:themeColor="text1"/>
          <w:lang w:eastAsia="es-ES_tradnl"/>
        </w:rPr>
        <w:t xml:space="preserve"> Lenis Tangarife</w:t>
      </w:r>
    </w:p>
    <w:p w14:paraId="7FC541A6" w14:textId="77777777" w:rsidR="009B5304" w:rsidRPr="009B5304" w:rsidRDefault="009B5304" w:rsidP="009B5304">
      <w:pPr>
        <w:spacing w:after="0" w:line="240" w:lineRule="auto"/>
        <w:jc w:val="both"/>
        <w:rPr>
          <w:rStyle w:val="Hipervnculo"/>
          <w:rFonts w:ascii="Verdana" w:hAnsi="Verdana"/>
          <w:color w:val="00BCD8"/>
        </w:rPr>
      </w:pPr>
      <w:hyperlink r:id="rId12" w:history="1">
        <w:r w:rsidRPr="009B5304">
          <w:rPr>
            <w:rStyle w:val="Hipervnculo"/>
            <w:rFonts w:ascii="Verdana" w:hAnsi="Verdana"/>
          </w:rPr>
          <w:t>lilimaria.tangarife@gmail.com</w:t>
        </w:r>
      </w:hyperlink>
    </w:p>
    <w:p w14:paraId="4D747A22" w14:textId="40DA7F76" w:rsidR="009B5304" w:rsidRPr="00FE167C" w:rsidRDefault="009B5304" w:rsidP="009B5304">
      <w:pPr>
        <w:spacing w:after="0" w:line="240" w:lineRule="auto"/>
        <w:jc w:val="both"/>
        <w:rPr>
          <w:rFonts w:ascii="Verdana" w:hAnsi="Verdana"/>
          <w:color w:val="000000" w:themeColor="text1"/>
        </w:rPr>
      </w:pPr>
      <w:r w:rsidRPr="00FE167C">
        <w:rPr>
          <w:rFonts w:ascii="Verdana" w:hAnsi="Verdana"/>
          <w:color w:val="000000" w:themeColor="text1"/>
        </w:rPr>
        <w:t>Copacabana, Antioquia</w:t>
      </w:r>
    </w:p>
    <w:p w14:paraId="087E5BDF" w14:textId="77777777" w:rsidR="009B5304" w:rsidRPr="00FE167C" w:rsidRDefault="009B5304" w:rsidP="009B5304">
      <w:pPr>
        <w:spacing w:after="0" w:line="240" w:lineRule="auto"/>
        <w:jc w:val="both"/>
        <w:rPr>
          <w:rFonts w:ascii="Verdana" w:hAnsi="Verdana"/>
          <w:color w:val="000000" w:themeColor="text1"/>
        </w:rPr>
      </w:pPr>
    </w:p>
    <w:p w14:paraId="7297349A" w14:textId="59A2D307" w:rsidR="009B5304" w:rsidRPr="00FE167C" w:rsidRDefault="009B5304" w:rsidP="009B5304">
      <w:pPr>
        <w:spacing w:after="0" w:line="240" w:lineRule="auto"/>
        <w:jc w:val="both"/>
        <w:rPr>
          <w:rFonts w:ascii="Verdana" w:hAnsi="Verdana"/>
          <w:color w:val="00BCD8"/>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B5304" w:rsidRPr="00FE167C" w14:paraId="0B2412B3" w14:textId="77777777">
        <w:trPr>
          <w:trHeight w:val="162"/>
        </w:trPr>
        <w:tc>
          <w:tcPr>
            <w:tcW w:w="3119" w:type="dxa"/>
          </w:tcPr>
          <w:p w14:paraId="2DC9F9CC" w14:textId="77777777" w:rsidR="009B5304" w:rsidRPr="00FE167C" w:rsidRDefault="009B5304">
            <w:pPr>
              <w:jc w:val="both"/>
              <w:rPr>
                <w:rFonts w:ascii="Verdana" w:eastAsia="Calibri" w:hAnsi="Verdana" w:cs="Arial"/>
                <w:b/>
                <w:bCs/>
                <w:color w:val="000000" w:themeColor="text1"/>
                <w:lang w:val="it-CH" w:eastAsia="es-ES_tradnl"/>
              </w:rPr>
            </w:pPr>
          </w:p>
        </w:tc>
        <w:tc>
          <w:tcPr>
            <w:tcW w:w="5670" w:type="dxa"/>
          </w:tcPr>
          <w:p w14:paraId="3880D8B5" w14:textId="6EB0FD7E" w:rsidR="009B5304" w:rsidRPr="00FE167C" w:rsidRDefault="009B5304">
            <w:pPr>
              <w:jc w:val="both"/>
              <w:rPr>
                <w:rFonts w:ascii="Verdana" w:eastAsia="Calibri" w:hAnsi="Verdana" w:cs="Arial"/>
                <w:b/>
                <w:bCs/>
                <w:color w:val="000000" w:themeColor="text1"/>
                <w:lang w:eastAsia="es-ES"/>
              </w:rPr>
            </w:pPr>
            <w:r w:rsidRPr="00FE167C">
              <w:rPr>
                <w:rFonts w:ascii="Verdana" w:eastAsia="Calibri" w:hAnsi="Verdana" w:cs="Arial"/>
                <w:b/>
                <w:bCs/>
                <w:color w:val="000000" w:themeColor="text1"/>
                <w:lang w:eastAsia="es-ES"/>
              </w:rPr>
              <w:t>Concepto C-046 de 2026</w:t>
            </w:r>
          </w:p>
          <w:p w14:paraId="42066A2D" w14:textId="77777777" w:rsidR="009B5304" w:rsidRPr="00FE167C" w:rsidRDefault="009B5304">
            <w:pPr>
              <w:jc w:val="both"/>
              <w:rPr>
                <w:rFonts w:ascii="Verdana" w:eastAsia="Calibri" w:hAnsi="Verdana" w:cs="Arial"/>
                <w:b/>
                <w:bCs/>
                <w:color w:val="000000" w:themeColor="text1"/>
                <w:lang w:eastAsia="es-ES"/>
              </w:rPr>
            </w:pPr>
          </w:p>
        </w:tc>
      </w:tr>
      <w:tr w:rsidR="009B5304" w:rsidRPr="00FE167C" w14:paraId="0682F5FE" w14:textId="77777777">
        <w:trPr>
          <w:trHeight w:val="884"/>
        </w:trPr>
        <w:tc>
          <w:tcPr>
            <w:tcW w:w="3119" w:type="dxa"/>
          </w:tcPr>
          <w:p w14:paraId="01EE020C" w14:textId="77777777" w:rsidR="009B5304" w:rsidRPr="00D047BE" w:rsidRDefault="009B5304">
            <w:pPr>
              <w:jc w:val="both"/>
              <w:rPr>
                <w:rFonts w:ascii="Verdana" w:eastAsia="Calibri" w:hAnsi="Verdana" w:cs="Arial"/>
                <w:color w:val="000000" w:themeColor="text1"/>
                <w:lang w:eastAsia="es-ES_tradnl"/>
              </w:rPr>
            </w:pPr>
            <w:r w:rsidRPr="00D047BE">
              <w:rPr>
                <w:rFonts w:ascii="Verdana" w:eastAsia="Calibri" w:hAnsi="Verdana" w:cs="Arial"/>
                <w:b/>
                <w:color w:val="000000" w:themeColor="text1"/>
                <w:lang w:eastAsia="es-ES_tradnl"/>
              </w:rPr>
              <w:t>Temas:</w:t>
            </w:r>
            <w:r w:rsidRPr="00D047BE">
              <w:rPr>
                <w:rFonts w:ascii="Verdana" w:eastAsia="Calibri" w:hAnsi="Verdana" w:cs="Arial"/>
                <w:color w:val="000000" w:themeColor="text1"/>
                <w:lang w:eastAsia="es-ES_tradnl"/>
              </w:rPr>
              <w:t xml:space="preserve">                   </w:t>
            </w:r>
          </w:p>
        </w:tc>
        <w:tc>
          <w:tcPr>
            <w:tcW w:w="5670" w:type="dxa"/>
          </w:tcPr>
          <w:p w14:paraId="22D12F7F" w14:textId="6A3C8190" w:rsidR="009B5304" w:rsidRPr="000531AF" w:rsidRDefault="009B5304" w:rsidP="00D82229">
            <w:pPr>
              <w:pStyle w:val="paragraph"/>
              <w:spacing w:before="0" w:beforeAutospacing="0" w:after="0" w:afterAutospacing="0" w:line="276" w:lineRule="auto"/>
              <w:jc w:val="both"/>
              <w:textAlignment w:val="baseline"/>
              <w:rPr>
                <w:rFonts w:ascii="Verdana" w:eastAsia="Aptos" w:hAnsi="Verdana" w:cs="Arial"/>
                <w:color w:val="000000" w:themeColor="text1"/>
                <w:sz w:val="22"/>
                <w:szCs w:val="22"/>
                <w:lang w:val="es-MX" w:eastAsia="es-ES_tradnl"/>
              </w:rPr>
            </w:pPr>
            <w:r w:rsidRPr="00D047BE">
              <w:rPr>
                <w:rStyle w:val="normaltextrun"/>
                <w:rFonts w:ascii="Verdana" w:hAnsi="Verdana" w:cs="Segoe UI"/>
                <w:color w:val="000000" w:themeColor="text1"/>
                <w:sz w:val="22"/>
                <w:szCs w:val="22"/>
                <w:lang w:val="es-MX"/>
              </w:rPr>
              <w:t>LEY DE GARANTÍAS ELECTORALES ‒ Finalidad</w:t>
            </w:r>
            <w:r w:rsidRPr="00D047BE">
              <w:rPr>
                <w:rStyle w:val="eop"/>
                <w:rFonts w:ascii="Verdana" w:hAnsi="Verdana" w:cs="Segoe UI"/>
                <w:color w:val="000000" w:themeColor="text1"/>
                <w:sz w:val="22"/>
                <w:szCs w:val="22"/>
              </w:rPr>
              <w:t> /</w:t>
            </w:r>
            <w:r w:rsidRPr="00D047BE">
              <w:rPr>
                <w:rStyle w:val="eop"/>
                <w:color w:val="000000" w:themeColor="text1"/>
              </w:rPr>
              <w:t xml:space="preserve"> </w:t>
            </w:r>
            <w:r w:rsidRPr="00D047BE">
              <w:rPr>
                <w:rFonts w:ascii="Verdana" w:eastAsia="Aptos" w:hAnsi="Verdana" w:cs="Arial"/>
                <w:color w:val="000000" w:themeColor="text1"/>
                <w:sz w:val="22"/>
                <w:szCs w:val="22"/>
                <w:lang w:val="es-MX" w:eastAsia="es-ES"/>
              </w:rPr>
              <w:t xml:space="preserve">LEY DE GARANTÍAS ELECTORALES – Prohibición – Artículo 33 – Contratación directa – Alcance / LEY DE GARANTÍAS ELECTORALES – Contratos interadministrativos – Criterio orgánico / </w:t>
            </w:r>
            <w:r w:rsidRPr="00D047BE">
              <w:rPr>
                <w:rFonts w:ascii="Verdana" w:eastAsia="Aptos" w:hAnsi="Verdana" w:cs="Arial"/>
                <w:color w:val="000000" w:themeColor="text1"/>
                <w:sz w:val="22"/>
                <w:szCs w:val="22"/>
                <w:lang w:val="es-MX" w:eastAsia="es-ES_tradnl"/>
              </w:rPr>
              <w:t>CONTRATOS Y CONVENIOS INTERADMINISTRATIVOS – Circular Externa Única – Medida cautelar de suspensión.</w:t>
            </w:r>
          </w:p>
          <w:p w14:paraId="4E17EA43" w14:textId="77777777" w:rsidR="009B5304" w:rsidRPr="00D047BE" w:rsidRDefault="009B5304">
            <w:pPr>
              <w:spacing w:line="276" w:lineRule="auto"/>
              <w:jc w:val="both"/>
              <w:rPr>
                <w:rFonts w:ascii="Verdana" w:hAnsi="Verdana" w:cs="Arial"/>
                <w:color w:val="000000" w:themeColor="text1"/>
                <w:lang w:val="es-ES" w:eastAsia="es-ES"/>
              </w:rPr>
            </w:pPr>
          </w:p>
        </w:tc>
      </w:tr>
      <w:tr w:rsidR="009B5304" w:rsidRPr="00FE167C" w14:paraId="525FC548" w14:textId="77777777">
        <w:tc>
          <w:tcPr>
            <w:tcW w:w="3119" w:type="dxa"/>
          </w:tcPr>
          <w:p w14:paraId="6923C918" w14:textId="77777777" w:rsidR="009B5304" w:rsidRPr="00FE167C" w:rsidRDefault="009B5304">
            <w:pPr>
              <w:jc w:val="both"/>
              <w:rPr>
                <w:rFonts w:ascii="Verdana" w:eastAsia="Calibri" w:hAnsi="Verdana" w:cs="Arial"/>
                <w:b/>
                <w:color w:val="000000" w:themeColor="text1"/>
                <w:lang w:eastAsia="es-ES_tradnl"/>
              </w:rPr>
            </w:pPr>
            <w:r w:rsidRPr="00FE167C">
              <w:rPr>
                <w:rFonts w:ascii="Verdana" w:eastAsia="Calibri" w:hAnsi="Verdana" w:cs="Arial"/>
                <w:b/>
                <w:color w:val="000000" w:themeColor="text1"/>
                <w:lang w:eastAsia="es-ES_tradnl"/>
              </w:rPr>
              <w:t>Radicación:</w:t>
            </w:r>
            <w:r w:rsidRPr="00FE167C">
              <w:rPr>
                <w:rFonts w:ascii="Verdana" w:eastAsia="Calibri" w:hAnsi="Verdana" w:cs="Arial"/>
                <w:color w:val="000000" w:themeColor="text1"/>
                <w:lang w:eastAsia="es-ES_tradnl"/>
              </w:rPr>
              <w:t xml:space="preserve">               </w:t>
            </w:r>
          </w:p>
        </w:tc>
        <w:tc>
          <w:tcPr>
            <w:tcW w:w="5670" w:type="dxa"/>
          </w:tcPr>
          <w:p w14:paraId="1CE683EC" w14:textId="77777777" w:rsidR="009B5304" w:rsidRPr="00FE167C" w:rsidRDefault="009B5304">
            <w:pPr>
              <w:jc w:val="both"/>
              <w:rPr>
                <w:rFonts w:ascii="Verdana" w:eastAsia="Calibri" w:hAnsi="Verdana" w:cs="Arial"/>
                <w:color w:val="000000" w:themeColor="text1"/>
                <w:lang w:eastAsia="es-ES_tradnl"/>
              </w:rPr>
            </w:pPr>
            <w:r w:rsidRPr="00FE167C">
              <w:rPr>
                <w:rFonts w:ascii="Verdana" w:eastAsia="Calibri" w:hAnsi="Verdana" w:cs="Arial"/>
                <w:color w:val="000000" w:themeColor="text1"/>
                <w:lang w:eastAsia="es-ES_tradnl"/>
              </w:rPr>
              <w:t>Respuesta a consultas con radicado No. 1_2026_01_13_000300</w:t>
            </w:r>
          </w:p>
        </w:tc>
      </w:tr>
    </w:tbl>
    <w:p w14:paraId="3F203F1C" w14:textId="77777777" w:rsidR="009B5304" w:rsidRPr="00FE167C" w:rsidRDefault="009B5304" w:rsidP="009B5304">
      <w:pPr>
        <w:spacing w:after="0" w:line="276" w:lineRule="auto"/>
        <w:jc w:val="both"/>
        <w:rPr>
          <w:rFonts w:ascii="Verdana" w:eastAsia="Calibri" w:hAnsi="Verdana" w:cs="Arial"/>
          <w:color w:val="00BCD8"/>
          <w:lang w:eastAsia="es-ES"/>
        </w:rPr>
      </w:pPr>
    </w:p>
    <w:p w14:paraId="5321FAD9" w14:textId="77777777" w:rsidR="009B5304" w:rsidRPr="00FE167C" w:rsidRDefault="009B5304" w:rsidP="009B5304">
      <w:pPr>
        <w:spacing w:after="0" w:line="276" w:lineRule="auto"/>
        <w:jc w:val="both"/>
        <w:rPr>
          <w:rFonts w:ascii="Verdana" w:eastAsia="Calibri" w:hAnsi="Verdana" w:cs="Arial"/>
          <w:color w:val="000000" w:themeColor="text1"/>
          <w:lang w:eastAsia="es-ES"/>
        </w:rPr>
      </w:pPr>
    </w:p>
    <w:p w14:paraId="59A14354" w14:textId="77777777" w:rsidR="009B5304" w:rsidRPr="00FE167C" w:rsidRDefault="009B5304" w:rsidP="009B5304">
      <w:pPr>
        <w:spacing w:after="0" w:line="276" w:lineRule="auto"/>
        <w:jc w:val="both"/>
        <w:rPr>
          <w:rFonts w:ascii="Verdana" w:eastAsia="Calibri" w:hAnsi="Verdana" w:cs="Arial"/>
          <w:color w:val="000000" w:themeColor="text1"/>
          <w:lang w:eastAsia="es-ES"/>
        </w:rPr>
      </w:pPr>
      <w:r w:rsidRPr="00FE167C">
        <w:rPr>
          <w:rFonts w:ascii="Verdana" w:eastAsia="Calibri" w:hAnsi="Verdana" w:cs="Arial"/>
          <w:color w:val="000000" w:themeColor="text1"/>
          <w:lang w:eastAsia="es-ES"/>
        </w:rPr>
        <w:t xml:space="preserve">Estimada señora Liliana María, </w:t>
      </w:r>
      <w:r w:rsidRPr="00FE167C">
        <w:rPr>
          <w:rFonts w:ascii="Verdana" w:eastAsia="Calibri" w:hAnsi="Verdana" w:cs="Arial"/>
          <w:color w:val="000000" w:themeColor="text1"/>
          <w:lang w:eastAsia="es-ES_tradnl"/>
        </w:rPr>
        <w:t>cordial saludo</w:t>
      </w:r>
      <w:r w:rsidRPr="00FE167C">
        <w:rPr>
          <w:rFonts w:ascii="Verdana" w:eastAsia="Calibri" w:hAnsi="Verdana" w:cs="Arial"/>
          <w:color w:val="000000" w:themeColor="text1"/>
          <w:lang w:eastAsia="es-ES"/>
        </w:rPr>
        <w:t xml:space="preserve">: </w:t>
      </w:r>
    </w:p>
    <w:p w14:paraId="1AA0C7F5" w14:textId="77777777" w:rsidR="009B5304" w:rsidRPr="00FE167C" w:rsidRDefault="009B5304" w:rsidP="009B5304">
      <w:pPr>
        <w:tabs>
          <w:tab w:val="left" w:pos="3768"/>
        </w:tabs>
        <w:spacing w:after="0" w:line="240" w:lineRule="auto"/>
        <w:jc w:val="both"/>
        <w:rPr>
          <w:rFonts w:ascii="Verdana" w:eastAsia="Calibri" w:hAnsi="Verdana" w:cs="Arial"/>
          <w:color w:val="000000" w:themeColor="text1"/>
          <w:lang w:eastAsia="es-ES"/>
        </w:rPr>
      </w:pPr>
    </w:p>
    <w:p w14:paraId="2523BEB3" w14:textId="3495C3A9" w:rsidR="009B5304" w:rsidRPr="00FE167C" w:rsidRDefault="009B5304" w:rsidP="009B5304">
      <w:pPr>
        <w:tabs>
          <w:tab w:val="left" w:pos="3768"/>
        </w:tabs>
        <w:spacing w:after="0" w:line="276" w:lineRule="auto"/>
        <w:jc w:val="both"/>
        <w:rPr>
          <w:rFonts w:ascii="Verdana" w:eastAsia="Calibri" w:hAnsi="Verdana" w:cs="Arial"/>
          <w:color w:val="000000" w:themeColor="text1"/>
          <w:lang w:eastAsia="es-ES"/>
        </w:rPr>
      </w:pPr>
      <w:r w:rsidRPr="00FE167C">
        <w:rPr>
          <w:rFonts w:ascii="Verdana" w:eastAsia="Calibri" w:hAnsi="Verdana" w:cs="Arial"/>
          <w:color w:val="000000" w:themeColor="text1"/>
          <w:lang w:eastAsia="es-ES"/>
        </w:rPr>
        <w:t>En ejercicio de la competencia otorgada por los artículos 3, numeral 5º, y 11, numeral 8º, del Decreto Ley 4170 de 2011,</w:t>
      </w:r>
      <w:r w:rsidRPr="00FE167C">
        <w:rPr>
          <w:rFonts w:ascii="Verdana" w:eastAsia="Arial MT" w:hAnsi="Verdana" w:cs="Arial MT"/>
          <w:color w:val="000000" w:themeColor="text1"/>
          <w:lang w:eastAsia="es-ES"/>
        </w:rPr>
        <w:t xml:space="preserve"> </w:t>
      </w:r>
      <w:r w:rsidRPr="00FE167C">
        <w:rPr>
          <w:rFonts w:ascii="Verdana" w:hAnsi="Verdana" w:cs="Arial"/>
          <w:color w:val="000000" w:themeColor="text1"/>
        </w:rPr>
        <w:t xml:space="preserve">así como lo establecido en la Resolución 469 de 2025 expedida por esta Entidad, </w:t>
      </w:r>
      <w:r w:rsidRPr="00FE167C">
        <w:rPr>
          <w:rFonts w:ascii="Verdana" w:eastAsia="Calibri" w:hAnsi="Verdana" w:cs="Arial"/>
          <w:color w:val="000000" w:themeColor="text1"/>
          <w:lang w:eastAsia="es-ES"/>
        </w:rPr>
        <w:t xml:space="preserve">la Agencia Nacional de Contratación Pública – Colombia Compra Eficiente– responde su solicitud de consulta de fecha </w:t>
      </w:r>
      <w:r>
        <w:rPr>
          <w:rFonts w:ascii="Verdana" w:eastAsia="Calibri" w:hAnsi="Verdana" w:cs="Arial"/>
          <w:color w:val="000000" w:themeColor="text1"/>
          <w:lang w:eastAsia="es-ES"/>
        </w:rPr>
        <w:t>13</w:t>
      </w:r>
      <w:r w:rsidRPr="00FE167C">
        <w:rPr>
          <w:rFonts w:ascii="Verdana" w:eastAsia="Calibri" w:hAnsi="Verdana" w:cs="Arial"/>
          <w:color w:val="000000" w:themeColor="text1"/>
          <w:lang w:eastAsia="es-ES"/>
        </w:rPr>
        <w:t xml:space="preserve"> de </w:t>
      </w:r>
      <w:r>
        <w:rPr>
          <w:rFonts w:ascii="Verdana" w:eastAsia="Calibri" w:hAnsi="Verdana" w:cs="Arial"/>
          <w:color w:val="000000" w:themeColor="text1"/>
          <w:lang w:eastAsia="es-ES"/>
        </w:rPr>
        <w:t>enero</w:t>
      </w:r>
      <w:r w:rsidRPr="00FE167C">
        <w:rPr>
          <w:rFonts w:ascii="Verdana" w:eastAsia="Calibri" w:hAnsi="Verdana" w:cs="Arial"/>
          <w:color w:val="000000" w:themeColor="text1"/>
          <w:lang w:eastAsia="es-ES"/>
        </w:rPr>
        <w:t xml:space="preserve"> de 202</w:t>
      </w:r>
      <w:r>
        <w:rPr>
          <w:rFonts w:ascii="Verdana" w:eastAsia="Calibri" w:hAnsi="Verdana" w:cs="Arial"/>
          <w:color w:val="000000" w:themeColor="text1"/>
          <w:lang w:eastAsia="es-ES"/>
        </w:rPr>
        <w:t>6</w:t>
      </w:r>
      <w:r w:rsidRPr="00FE167C">
        <w:rPr>
          <w:rFonts w:ascii="Verdana" w:eastAsia="Calibri" w:hAnsi="Verdana" w:cs="Arial"/>
          <w:color w:val="000000" w:themeColor="text1"/>
          <w:lang w:eastAsia="es-ES"/>
        </w:rPr>
        <w:t xml:space="preserve">, en la cual manifiesta lo siguiente: </w:t>
      </w:r>
    </w:p>
    <w:p w14:paraId="67579172" w14:textId="77777777" w:rsidR="009B5304" w:rsidRPr="00FE167C" w:rsidRDefault="009B5304" w:rsidP="009B5304">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color w:val="00BCD8"/>
          <w:sz w:val="20"/>
          <w:szCs w:val="20"/>
        </w:rPr>
      </w:pPr>
    </w:p>
    <w:p w14:paraId="2573BA00" w14:textId="77777777" w:rsidR="009B5304" w:rsidRPr="00FE167C" w:rsidRDefault="009B5304" w:rsidP="009B5304">
      <w:pPr>
        <w:spacing w:after="0" w:line="240" w:lineRule="auto"/>
        <w:ind w:left="709" w:right="709"/>
        <w:jc w:val="both"/>
        <w:rPr>
          <w:rFonts w:ascii="Verdana" w:hAnsi="Verdana"/>
          <w:i/>
          <w:iCs/>
          <w:color w:val="00BCD8"/>
          <w:sz w:val="20"/>
          <w:szCs w:val="20"/>
        </w:rPr>
      </w:pPr>
      <w:bookmarkStart w:id="0" w:name="_Hlk192699624"/>
      <w:bookmarkStart w:id="1" w:name="_Hlk199394899"/>
      <w:r w:rsidRPr="00FE167C">
        <w:rPr>
          <w:rFonts w:ascii="Verdana" w:eastAsia="Century Gothic" w:hAnsi="Verdana" w:cs="Century Gothic"/>
          <w:i/>
          <w:iCs/>
          <w:color w:val="000000" w:themeColor="text1"/>
          <w:sz w:val="20"/>
          <w:szCs w:val="20"/>
        </w:rPr>
        <w:t>“</w:t>
      </w:r>
      <w:bookmarkStart w:id="2" w:name="_Hlk218669352"/>
      <w:bookmarkEnd w:id="0"/>
      <w:bookmarkEnd w:id="1"/>
      <w:r w:rsidRPr="00FE167C">
        <w:rPr>
          <w:rFonts w:ascii="Verdana" w:eastAsia="Century Gothic" w:hAnsi="Verdana" w:cs="Century Gothic"/>
          <w:i/>
          <w:iCs/>
          <w:color w:val="000000" w:themeColor="text1"/>
          <w:sz w:val="20"/>
          <w:szCs w:val="20"/>
        </w:rPr>
        <w:t xml:space="preserve">Conforme a la sentencia del CONSEJO DE ESTADO SALA DE LO CONTENCIOSO ADMINISTRATIVO SECCIÓN TERCERA SUBSECCIÓN B Bogotá DC, diecisiete (17) de octubre de dos mil veinticinco (2025), Magistrado ponente: FREDY IBARRA MARTÍNEZ Expediente: 11001-03-26-000-2023-00139-00 (70.313) y teniendo como base la Circular externa 006 de 25 de septiembre de 2025 de la Agencia Nacional de Contratación Pública Colombia Compra Eficiente, pueden los entes territorial suscribir contratos interadministrativos hasta el 31 de enero que </w:t>
      </w:r>
      <w:r w:rsidRPr="00FE167C">
        <w:rPr>
          <w:rFonts w:ascii="Verdana" w:eastAsia="Century Gothic" w:hAnsi="Verdana" w:cs="Century Gothic"/>
          <w:i/>
          <w:iCs/>
          <w:color w:val="000000" w:themeColor="text1"/>
          <w:sz w:val="20"/>
          <w:szCs w:val="20"/>
        </w:rPr>
        <w:lastRenderedPageBreak/>
        <w:t xml:space="preserve">comienza ley de </w:t>
      </w:r>
      <w:proofErr w:type="spellStart"/>
      <w:r w:rsidRPr="00FE167C">
        <w:rPr>
          <w:rFonts w:ascii="Verdana" w:eastAsia="Century Gothic" w:hAnsi="Verdana" w:cs="Century Gothic"/>
          <w:i/>
          <w:iCs/>
          <w:color w:val="000000" w:themeColor="text1"/>
          <w:sz w:val="20"/>
          <w:szCs w:val="20"/>
        </w:rPr>
        <w:t>garantias</w:t>
      </w:r>
      <w:proofErr w:type="spellEnd"/>
      <w:r w:rsidRPr="00FE167C">
        <w:rPr>
          <w:rFonts w:ascii="Verdana" w:eastAsia="Century Gothic" w:hAnsi="Verdana" w:cs="Century Gothic"/>
          <w:i/>
          <w:iCs/>
          <w:color w:val="000000" w:themeColor="text1"/>
          <w:sz w:val="20"/>
          <w:szCs w:val="20"/>
        </w:rPr>
        <w:t xml:space="preserve"> (siguiendo lo establecido en el </w:t>
      </w:r>
      <w:proofErr w:type="spellStart"/>
      <w:r w:rsidRPr="00FE167C">
        <w:rPr>
          <w:rFonts w:ascii="Verdana" w:eastAsia="Century Gothic" w:hAnsi="Verdana" w:cs="Century Gothic"/>
          <w:i/>
          <w:iCs/>
          <w:color w:val="000000" w:themeColor="text1"/>
          <w:sz w:val="20"/>
          <w:szCs w:val="20"/>
        </w:rPr>
        <w:t>articulo</w:t>
      </w:r>
      <w:proofErr w:type="spellEnd"/>
      <w:r w:rsidRPr="00FE167C">
        <w:rPr>
          <w:rFonts w:ascii="Verdana" w:eastAsia="Century Gothic" w:hAnsi="Verdana" w:cs="Century Gothic"/>
          <w:i/>
          <w:iCs/>
          <w:color w:val="000000" w:themeColor="text1"/>
          <w:sz w:val="20"/>
          <w:szCs w:val="20"/>
        </w:rPr>
        <w:t xml:space="preserve"> 33 de la ley 996 de 2005)?”</w:t>
      </w:r>
      <w:r w:rsidRPr="00FE167C">
        <w:rPr>
          <w:rFonts w:ascii="Verdana" w:hAnsi="Verdana"/>
          <w:i/>
          <w:iCs/>
          <w:color w:val="00BCD8"/>
          <w:sz w:val="20"/>
          <w:szCs w:val="20"/>
        </w:rPr>
        <w:t xml:space="preserve"> </w:t>
      </w:r>
    </w:p>
    <w:bookmarkEnd w:id="2"/>
    <w:p w14:paraId="74A76F80" w14:textId="77777777" w:rsidR="009B5304" w:rsidRPr="00FE167C" w:rsidRDefault="009B5304" w:rsidP="009B5304">
      <w:pPr>
        <w:spacing w:before="120" w:after="0" w:line="276" w:lineRule="auto"/>
        <w:ind w:firstLine="709"/>
        <w:jc w:val="both"/>
        <w:rPr>
          <w:rFonts w:ascii="Verdana" w:eastAsia="Calibri" w:hAnsi="Verdana" w:cs="Arial"/>
          <w:color w:val="000000" w:themeColor="text1"/>
          <w:szCs w:val="24"/>
          <w:lang w:eastAsia="es-ES_tradnl"/>
        </w:rPr>
      </w:pPr>
      <w:r w:rsidRPr="00FE167C">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6D715E" w14:textId="77777777" w:rsidR="009B5304" w:rsidRPr="00E309C4" w:rsidRDefault="009B5304" w:rsidP="009B5304">
      <w:pPr>
        <w:spacing w:before="120" w:after="0" w:line="276" w:lineRule="auto"/>
        <w:ind w:firstLine="709"/>
        <w:jc w:val="both"/>
        <w:rPr>
          <w:rFonts w:ascii="Verdana" w:eastAsia="Calibri" w:hAnsi="Verdana" w:cs="Arial"/>
          <w:color w:val="000000" w:themeColor="text1"/>
          <w:szCs w:val="24"/>
          <w:lang w:eastAsia="es-ES_tradnl"/>
        </w:rPr>
      </w:pPr>
      <w:r w:rsidRPr="00FE167C">
        <w:rPr>
          <w:rFonts w:ascii="Verdana" w:eastAsia="Calibri" w:hAnsi="Verdana" w:cs="Arial"/>
          <w:color w:val="000000" w:themeColor="text1"/>
          <w:lang w:eastAsia="es-ES"/>
        </w:rPr>
        <w:t>Conforme lo expuesto, en aras de garantizar el derecho fundamental de p</w:t>
      </w:r>
      <w:r w:rsidRPr="00E309C4">
        <w:rPr>
          <w:rFonts w:ascii="Verdana" w:eastAsia="Calibri" w:hAnsi="Verdana" w:cs="Arial"/>
          <w:color w:val="000000" w:themeColor="text1"/>
          <w:lang w:eastAsia="es-ES"/>
        </w:rPr>
        <w:t xml:space="preserve">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FA30455" w14:textId="77777777" w:rsidR="009B5304" w:rsidRPr="00E309C4" w:rsidRDefault="009B5304" w:rsidP="009B5304">
      <w:pPr>
        <w:spacing w:after="0"/>
        <w:ind w:firstLine="709"/>
        <w:jc w:val="both"/>
        <w:rPr>
          <w:rFonts w:ascii="Verdana" w:eastAsia="Calibri" w:hAnsi="Verdana" w:cs="Arial"/>
          <w:color w:val="000000" w:themeColor="text1"/>
          <w:lang w:eastAsia="es-ES"/>
        </w:rPr>
      </w:pPr>
    </w:p>
    <w:p w14:paraId="6BE9FAE8" w14:textId="77777777" w:rsidR="009B5304" w:rsidRPr="00E309C4" w:rsidRDefault="009B5304" w:rsidP="009B530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309C4">
        <w:rPr>
          <w:rFonts w:ascii="Verdana" w:eastAsia="Century Gothic" w:hAnsi="Verdana" w:cs="Century Gothic"/>
          <w:b/>
          <w:bCs/>
          <w:color w:val="000000" w:themeColor="text1"/>
        </w:rPr>
        <w:t>Problema planteado:</w:t>
      </w:r>
    </w:p>
    <w:p w14:paraId="0A4B81CF" w14:textId="77777777" w:rsidR="009B5304" w:rsidRPr="0011390F" w:rsidRDefault="009B5304" w:rsidP="009B5304">
      <w:pPr>
        <w:spacing w:after="0" w:line="276" w:lineRule="auto"/>
        <w:jc w:val="both"/>
        <w:rPr>
          <w:rFonts w:ascii="Verdana" w:eastAsia="Calibri" w:hAnsi="Verdana" w:cs="Arial"/>
          <w:color w:val="000000" w:themeColor="text1"/>
          <w:lang w:eastAsia="es-ES"/>
        </w:rPr>
      </w:pPr>
    </w:p>
    <w:p w14:paraId="0DBF887E" w14:textId="07DC7C66" w:rsidR="009B5304" w:rsidRDefault="009B5304" w:rsidP="009B5304">
      <w:pPr>
        <w:spacing w:after="0" w:line="276" w:lineRule="auto"/>
        <w:jc w:val="both"/>
        <w:rPr>
          <w:rFonts w:ascii="Verdana" w:hAnsi="Verdana"/>
          <w:color w:val="000000" w:themeColor="text1"/>
          <w:lang w:val="es-ES"/>
        </w:rPr>
      </w:pPr>
      <w:bookmarkStart w:id="3" w:name="OLE_LINK1"/>
      <w:r w:rsidRPr="0011390F">
        <w:rPr>
          <w:rFonts w:ascii="Verdana" w:eastAsia="Calibri" w:hAnsi="Verdana" w:cs="Arial"/>
          <w:color w:val="000000" w:themeColor="text1"/>
          <w:lang w:eastAsia="es-ES"/>
        </w:rPr>
        <w:t xml:space="preserve">De acuerdo con el contenido de su solicitud, esta Agencia resolverá el siguiente problema jurídico: Según con las consideraciones el </w:t>
      </w:r>
      <w:r w:rsidRPr="0011390F">
        <w:rPr>
          <w:rFonts w:ascii="Verdana" w:eastAsia="Arial" w:hAnsi="Verdana" w:cs="Arial"/>
          <w:color w:val="000000" w:themeColor="text1"/>
          <w:lang w:val="es-ES"/>
        </w:rPr>
        <w:t xml:space="preserve">fallo de 17 de octubre de 2025, de la Subsección B de la Sección Tercera del Consejo de Estado, </w:t>
      </w:r>
      <w:proofErr w:type="spellStart"/>
      <w:r w:rsidRPr="0011390F">
        <w:rPr>
          <w:rFonts w:ascii="Verdana" w:eastAsia="Arial" w:hAnsi="Verdana" w:cs="Arial"/>
          <w:color w:val="000000" w:themeColor="text1"/>
          <w:lang w:val="es-ES"/>
        </w:rPr>
        <w:t>Exp</w:t>
      </w:r>
      <w:proofErr w:type="spellEnd"/>
      <w:r w:rsidRPr="0011390F">
        <w:rPr>
          <w:rFonts w:ascii="Verdana" w:eastAsia="Arial" w:hAnsi="Verdana" w:cs="Arial"/>
          <w:color w:val="000000" w:themeColor="text1"/>
          <w:lang w:val="es-ES"/>
        </w:rPr>
        <w:t>. No. 70.313</w:t>
      </w:r>
      <w:r w:rsidRPr="000531AF">
        <w:rPr>
          <w:rFonts w:ascii="Verdana" w:eastAsia="Arial" w:hAnsi="Verdana" w:cs="Arial"/>
          <w:color w:val="000000" w:themeColor="text1"/>
          <w:lang w:val="es-ES"/>
        </w:rPr>
        <w:t xml:space="preserve">: </w:t>
      </w:r>
      <w:bookmarkEnd w:id="3"/>
      <w:r w:rsidRPr="000531AF">
        <w:rPr>
          <w:rFonts w:ascii="Verdana" w:hAnsi="Verdana"/>
          <w:color w:val="000000" w:themeColor="text1"/>
          <w:lang w:val="es-ES"/>
        </w:rPr>
        <w:t xml:space="preserve">¿Resulta jurídicamente </w:t>
      </w:r>
      <w:r w:rsidR="00717DE7">
        <w:rPr>
          <w:rFonts w:ascii="Verdana" w:hAnsi="Verdana"/>
          <w:color w:val="000000" w:themeColor="text1"/>
          <w:lang w:val="es-ES"/>
        </w:rPr>
        <w:t xml:space="preserve">viable </w:t>
      </w:r>
      <w:r>
        <w:rPr>
          <w:rFonts w:ascii="Verdana" w:hAnsi="Verdana"/>
          <w:color w:val="000000" w:themeColor="text1"/>
          <w:lang w:val="es-ES"/>
        </w:rPr>
        <w:t>suscri</w:t>
      </w:r>
      <w:r w:rsidR="00717DE7">
        <w:rPr>
          <w:rFonts w:ascii="Verdana" w:hAnsi="Verdana"/>
          <w:color w:val="000000" w:themeColor="text1"/>
          <w:lang w:val="es-ES"/>
        </w:rPr>
        <w:t>bir</w:t>
      </w:r>
      <w:r>
        <w:rPr>
          <w:rFonts w:ascii="Verdana" w:hAnsi="Verdana"/>
          <w:color w:val="000000" w:themeColor="text1"/>
          <w:lang w:val="es-ES"/>
        </w:rPr>
        <w:t xml:space="preserve"> </w:t>
      </w:r>
      <w:r w:rsidRPr="000531AF">
        <w:rPr>
          <w:rFonts w:ascii="Verdana" w:hAnsi="Verdana"/>
          <w:color w:val="000000" w:themeColor="text1"/>
          <w:lang w:val="es-ES"/>
        </w:rPr>
        <w:t>contratos interadministrativos antes del inicio de</w:t>
      </w:r>
      <w:r w:rsidR="002C5D63">
        <w:rPr>
          <w:rFonts w:ascii="Verdana" w:hAnsi="Verdana"/>
          <w:color w:val="000000" w:themeColor="text1"/>
          <w:lang w:val="es-ES"/>
        </w:rPr>
        <w:t xml:space="preserve"> la restricción establecida </w:t>
      </w:r>
      <w:r w:rsidRPr="000531AF">
        <w:rPr>
          <w:rFonts w:ascii="Verdana" w:hAnsi="Verdana"/>
          <w:color w:val="000000" w:themeColor="text1"/>
          <w:lang w:val="es-ES"/>
        </w:rPr>
        <w:t>en el artículo 33 de la Ley 996 de 2005?</w:t>
      </w:r>
    </w:p>
    <w:p w14:paraId="07E3F649" w14:textId="77777777" w:rsidR="009B5304" w:rsidRPr="000531AF" w:rsidRDefault="009B5304" w:rsidP="009B5304">
      <w:pPr>
        <w:spacing w:after="0" w:line="276" w:lineRule="auto"/>
        <w:jc w:val="both"/>
        <w:rPr>
          <w:rFonts w:ascii="Verdana" w:hAnsi="Verdana"/>
          <w:color w:val="000000" w:themeColor="text1"/>
          <w:lang w:val="es-ES"/>
        </w:rPr>
      </w:pPr>
    </w:p>
    <w:p w14:paraId="4F6BFDF3" w14:textId="77777777" w:rsidR="009B5304" w:rsidRPr="000531AF" w:rsidRDefault="009B5304" w:rsidP="009B5304">
      <w:pPr>
        <w:spacing w:after="0" w:line="276" w:lineRule="auto"/>
        <w:jc w:val="both"/>
        <w:rPr>
          <w:rFonts w:ascii="Verdana" w:eastAsia="Century Gothic" w:hAnsi="Verdana" w:cs="Century Gothic"/>
          <w:color w:val="000000" w:themeColor="text1"/>
        </w:rPr>
      </w:pPr>
      <w:r w:rsidRPr="000531AF">
        <w:rPr>
          <w:rFonts w:ascii="Verdana" w:eastAsia="Century Gothic" w:hAnsi="Verdana" w:cs="Century Gothic"/>
          <w:color w:val="000000" w:themeColor="text1"/>
        </w:rPr>
        <w:t>2. Respuesta:</w:t>
      </w:r>
    </w:p>
    <w:p w14:paraId="7CFA2C4A" w14:textId="77777777" w:rsidR="009B5304" w:rsidRPr="000531AF" w:rsidRDefault="009B5304" w:rsidP="009B5304">
      <w:pPr>
        <w:tabs>
          <w:tab w:val="left" w:pos="142"/>
          <w:tab w:val="left" w:pos="284"/>
        </w:tabs>
        <w:spacing w:after="0" w:line="276" w:lineRule="auto"/>
        <w:jc w:val="both"/>
        <w:rPr>
          <w:rFonts w:ascii="Verdana" w:eastAsia="Century Gothic" w:hAnsi="Verdana" w:cs="Century Gothic"/>
          <w:color w:val="00BCD8"/>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5304" w:rsidRPr="00FE167C" w14:paraId="79653202" w14:textId="77777777">
        <w:tc>
          <w:tcPr>
            <w:tcW w:w="8828" w:type="dxa"/>
          </w:tcPr>
          <w:p w14:paraId="24820AFF" w14:textId="77777777" w:rsidR="009B5304" w:rsidRPr="004F1C0A" w:rsidRDefault="009B5304">
            <w:pPr>
              <w:spacing w:after="120" w:line="276" w:lineRule="auto"/>
              <w:jc w:val="both"/>
              <w:rPr>
                <w:rFonts w:ascii="Verdana" w:eastAsia="Times New Roman" w:hAnsi="Verdana" w:cs="Arial"/>
                <w:bCs/>
                <w:lang w:val="es-MX" w:eastAsia="x-none"/>
              </w:rPr>
            </w:pPr>
            <w:r w:rsidRPr="004F1C0A">
              <w:rPr>
                <w:rFonts w:ascii="Verdana" w:eastAsia="Calibri" w:hAnsi="Verdana" w:cs="Arial"/>
                <w:lang w:val="es-MX"/>
              </w:rPr>
              <w:t xml:space="preserve">De acuerdo con el problema jurídico, objeto de consulta, </w:t>
            </w:r>
            <w:r w:rsidRPr="004F1C0A">
              <w:rPr>
                <w:rFonts w:ascii="Verdana" w:eastAsia="Times New Roman" w:hAnsi="Verdana" w:cs="Arial"/>
                <w:bCs/>
                <w:lang w:val="es-MX" w:eastAsia="x-none"/>
              </w:rPr>
              <w:t xml:space="preserve">se señala que la interpretación del artículo 33 de la Ley 996 de 2005 ha sido clara en los pronunciamientos del Consejo de Estado y la Doctrina Oficial de la Agencia: durante los cuatro meses previos a las elecciones presidenciales, las entidades estatales tienen restringida la posibilidad de celebrar contratos bajo la </w:t>
            </w:r>
            <w:r w:rsidRPr="004F1C0A">
              <w:rPr>
                <w:rFonts w:ascii="Verdana" w:eastAsia="Times New Roman" w:hAnsi="Verdana" w:cs="Arial"/>
                <w:bCs/>
                <w:lang w:val="es-MX" w:eastAsia="x-none"/>
              </w:rPr>
              <w:lastRenderedPageBreak/>
              <w:t>modalidad de contratación directa, lo que incluye los contratos interadministrativos</w:t>
            </w:r>
            <w:r>
              <w:rPr>
                <w:rFonts w:ascii="Verdana" w:eastAsia="Times New Roman" w:hAnsi="Verdana" w:cs="Arial"/>
                <w:bCs/>
                <w:lang w:val="es-MX" w:eastAsia="x-none"/>
              </w:rPr>
              <w:t xml:space="preserve"> que no se celebren de forma competitiva</w:t>
            </w:r>
            <w:r w:rsidRPr="004F1C0A">
              <w:rPr>
                <w:rFonts w:ascii="Verdana" w:eastAsia="Times New Roman" w:hAnsi="Verdana" w:cs="Arial"/>
                <w:bCs/>
                <w:lang w:val="es-MX" w:eastAsia="x-none"/>
              </w:rPr>
              <w:t>. Esta prohibición busca garantizar la transparencia y evitar que la contratación pública se convierta en un instrumento de influencia política en tiempos electorales.</w:t>
            </w:r>
          </w:p>
          <w:p w14:paraId="603BAFC4" w14:textId="2E8C375E" w:rsidR="00991721" w:rsidRDefault="009B5304">
            <w:pPr>
              <w:spacing w:after="120" w:line="276" w:lineRule="auto"/>
              <w:ind w:firstLine="709"/>
              <w:jc w:val="both"/>
              <w:rPr>
                <w:rFonts w:ascii="Verdana" w:eastAsia="Times New Roman" w:hAnsi="Verdana" w:cs="Arial"/>
                <w:bCs/>
                <w:lang w:val="es-MX" w:eastAsia="x-none"/>
              </w:rPr>
            </w:pPr>
            <w:r w:rsidRPr="00186DE9">
              <w:rPr>
                <w:rFonts w:ascii="Verdana" w:eastAsia="Times New Roman" w:hAnsi="Verdana" w:cs="Arial"/>
                <w:bCs/>
                <w:lang w:val="es-MX" w:eastAsia="x-none"/>
              </w:rPr>
              <w:t xml:space="preserve">En este contexto, </w:t>
            </w:r>
            <w:r w:rsidR="009B4E23">
              <w:rPr>
                <w:rFonts w:ascii="Verdana" w:eastAsia="Times New Roman" w:hAnsi="Verdana" w:cs="Arial"/>
                <w:bCs/>
                <w:lang w:val="es-MX" w:eastAsia="x-none"/>
              </w:rPr>
              <w:t>dad</w:t>
            </w:r>
            <w:r w:rsidR="00A541E2">
              <w:rPr>
                <w:rFonts w:ascii="Verdana" w:eastAsia="Times New Roman" w:hAnsi="Verdana" w:cs="Arial"/>
                <w:bCs/>
                <w:lang w:val="es-MX" w:eastAsia="x-none"/>
              </w:rPr>
              <w:t>a la disímil naturaleza jurídica de los</w:t>
            </w:r>
            <w:r w:rsidRPr="00186DE9">
              <w:rPr>
                <w:rFonts w:ascii="Verdana" w:eastAsia="Times New Roman" w:hAnsi="Verdana" w:cs="Arial"/>
                <w:bCs/>
                <w:lang w:val="es-MX" w:eastAsia="x-none"/>
              </w:rPr>
              <w:t xml:space="preserve"> convenios y contratos interadministrativos, </w:t>
            </w:r>
            <w:r w:rsidR="009C5190">
              <w:rPr>
                <w:rFonts w:ascii="Verdana" w:eastAsia="Times New Roman" w:hAnsi="Verdana" w:cs="Arial"/>
                <w:bCs/>
                <w:lang w:val="es-MX" w:eastAsia="x-none"/>
              </w:rPr>
              <w:t xml:space="preserve">la restricción </w:t>
            </w:r>
            <w:r w:rsidR="00320CB6">
              <w:rPr>
                <w:rFonts w:ascii="Verdana" w:eastAsia="Times New Roman" w:hAnsi="Verdana" w:cs="Arial"/>
                <w:bCs/>
                <w:lang w:val="es-MX" w:eastAsia="x-none"/>
              </w:rPr>
              <w:t>prevista en el artículo 38 de la Ley 996 de 2005</w:t>
            </w:r>
            <w:r w:rsidR="003C55D0">
              <w:rPr>
                <w:rFonts w:ascii="Verdana" w:eastAsia="Times New Roman" w:hAnsi="Verdana" w:cs="Arial"/>
                <w:bCs/>
                <w:lang w:val="es-MX" w:eastAsia="x-none"/>
              </w:rPr>
              <w:t xml:space="preserve"> para estos últimos</w:t>
            </w:r>
            <w:r w:rsidR="00320CB6">
              <w:rPr>
                <w:rFonts w:ascii="Verdana" w:eastAsia="Times New Roman" w:hAnsi="Verdana" w:cs="Arial"/>
                <w:bCs/>
                <w:lang w:val="es-MX" w:eastAsia="x-none"/>
              </w:rPr>
              <w:t>, no puede ser extendida</w:t>
            </w:r>
            <w:r w:rsidR="003C55D0">
              <w:rPr>
                <w:rFonts w:ascii="Verdana" w:eastAsia="Times New Roman" w:hAnsi="Verdana" w:cs="Arial"/>
                <w:bCs/>
                <w:lang w:val="es-MX" w:eastAsia="x-none"/>
              </w:rPr>
              <w:t xml:space="preserve"> a los aquellos</w:t>
            </w:r>
            <w:r w:rsidRPr="00186DE9">
              <w:rPr>
                <w:rFonts w:ascii="Verdana" w:eastAsia="Times New Roman" w:hAnsi="Verdana" w:cs="Arial"/>
                <w:bCs/>
                <w:lang w:val="es-MX" w:eastAsia="x-none"/>
              </w:rPr>
              <w:t xml:space="preserve">. </w:t>
            </w:r>
            <w:r w:rsidR="003C55D0">
              <w:rPr>
                <w:rFonts w:ascii="Verdana" w:eastAsia="Times New Roman" w:hAnsi="Verdana" w:cs="Arial"/>
                <w:bCs/>
                <w:lang w:val="es-MX" w:eastAsia="x-none"/>
              </w:rPr>
              <w:t>En concordancia con esto,</w:t>
            </w:r>
            <w:r w:rsidRPr="00186DE9">
              <w:rPr>
                <w:rFonts w:ascii="Verdana" w:eastAsia="Times New Roman" w:hAnsi="Verdana" w:cs="Arial"/>
                <w:bCs/>
                <w:lang w:val="es-MX" w:eastAsia="x-none"/>
              </w:rPr>
              <w:t xml:space="preserve"> la Sentencia</w:t>
            </w:r>
            <w:r w:rsidR="00A516D3" w:rsidRPr="0011390F">
              <w:rPr>
                <w:rFonts w:ascii="Verdana" w:eastAsia="Arial" w:hAnsi="Verdana" w:cs="Arial"/>
                <w:color w:val="000000" w:themeColor="text1"/>
                <w:lang w:val="es-ES"/>
              </w:rPr>
              <w:t>17 de octubre de 2025 de la Subsección B de la Sección Tercera del Consejo de Estado</w:t>
            </w:r>
            <w:r w:rsidR="00991721">
              <w:rPr>
                <w:rFonts w:ascii="Verdana" w:eastAsia="Arial" w:hAnsi="Verdana" w:cs="Arial"/>
                <w:color w:val="000000" w:themeColor="text1"/>
                <w:lang w:val="es-ES"/>
              </w:rPr>
              <w:t xml:space="preserve"> explica que</w:t>
            </w:r>
            <w:r w:rsidRPr="00186DE9">
              <w:rPr>
                <w:rFonts w:ascii="Verdana" w:eastAsia="Times New Roman" w:hAnsi="Verdana" w:cs="Arial"/>
                <w:bCs/>
                <w:lang w:val="es-MX" w:eastAsia="x-none"/>
              </w:rPr>
              <w:t xml:space="preserve"> dicha restricción aplica exclusivamente a los convenios interadministrativos en el marco de cualquier contienda electoral. </w:t>
            </w:r>
          </w:p>
          <w:p w14:paraId="2BEC92B5" w14:textId="0457349D" w:rsidR="009B5304" w:rsidRPr="004F1C0A" w:rsidRDefault="009B5304">
            <w:pPr>
              <w:spacing w:after="120" w:line="276" w:lineRule="auto"/>
              <w:ind w:firstLine="709"/>
              <w:jc w:val="both"/>
              <w:rPr>
                <w:rFonts w:ascii="Verdana" w:eastAsia="Times New Roman" w:hAnsi="Verdana" w:cs="Arial"/>
                <w:bCs/>
                <w:lang w:val="es-MX" w:eastAsia="x-none"/>
              </w:rPr>
            </w:pPr>
            <w:r w:rsidRPr="00186DE9">
              <w:rPr>
                <w:rFonts w:ascii="Verdana" w:eastAsia="Times New Roman" w:hAnsi="Verdana" w:cs="Arial"/>
                <w:bCs/>
                <w:lang w:val="es-MX" w:eastAsia="x-none"/>
              </w:rPr>
              <w:t xml:space="preserve">No obstante, </w:t>
            </w:r>
            <w:r w:rsidR="001F407A">
              <w:rPr>
                <w:rFonts w:ascii="Verdana" w:eastAsia="Times New Roman" w:hAnsi="Verdana" w:cs="Arial"/>
                <w:bCs/>
                <w:lang w:val="es-MX" w:eastAsia="x-none"/>
              </w:rPr>
              <w:t>el análisis realizado en la sentencia</w:t>
            </w:r>
            <w:r w:rsidRPr="00186DE9">
              <w:rPr>
                <w:rFonts w:ascii="Verdana" w:eastAsia="Times New Roman" w:hAnsi="Verdana" w:cs="Arial"/>
                <w:bCs/>
                <w:lang w:val="es-MX" w:eastAsia="x-none"/>
              </w:rPr>
              <w:t xml:space="preserve"> </w:t>
            </w:r>
            <w:r w:rsidR="00606F83">
              <w:rPr>
                <w:rFonts w:ascii="Verdana" w:eastAsia="Times New Roman" w:hAnsi="Verdana" w:cs="Arial"/>
                <w:bCs/>
                <w:lang w:val="es-MX" w:eastAsia="x-none"/>
              </w:rPr>
              <w:t xml:space="preserve">se refiere únicamente al artículo 38, mas no a la </w:t>
            </w:r>
            <w:r w:rsidRPr="00186DE9">
              <w:rPr>
                <w:rFonts w:ascii="Verdana" w:eastAsia="Times New Roman" w:hAnsi="Verdana" w:cs="Arial"/>
                <w:bCs/>
                <w:lang w:val="es-MX" w:eastAsia="x-none"/>
              </w:rPr>
              <w:t xml:space="preserve">limitación contenida en el artículo 33, que prohíbe adelantar cualquier </w:t>
            </w:r>
            <w:r w:rsidR="000C364A">
              <w:rPr>
                <w:rFonts w:ascii="Verdana" w:eastAsia="Times New Roman" w:hAnsi="Verdana" w:cs="Arial"/>
                <w:bCs/>
                <w:lang w:val="es-MX" w:eastAsia="x-none"/>
              </w:rPr>
              <w:t xml:space="preserve">tipo de </w:t>
            </w:r>
            <w:r w:rsidRPr="00186DE9">
              <w:rPr>
                <w:rFonts w:ascii="Verdana" w:eastAsia="Times New Roman" w:hAnsi="Verdana" w:cs="Arial"/>
                <w:bCs/>
                <w:lang w:val="es-MX" w:eastAsia="x-none"/>
              </w:rPr>
              <w:t xml:space="preserve">contratación bajo la </w:t>
            </w:r>
            <w:r w:rsidR="000C364A">
              <w:rPr>
                <w:rFonts w:ascii="Verdana" w:eastAsia="Times New Roman" w:hAnsi="Verdana" w:cs="Arial"/>
                <w:bCs/>
                <w:lang w:val="es-MX" w:eastAsia="x-none"/>
              </w:rPr>
              <w:t>modalidad de</w:t>
            </w:r>
            <w:r w:rsidRPr="00186DE9">
              <w:rPr>
                <w:rFonts w:ascii="Verdana" w:eastAsia="Times New Roman" w:hAnsi="Verdana" w:cs="Arial"/>
                <w:bCs/>
                <w:lang w:val="es-MX" w:eastAsia="x-none"/>
              </w:rPr>
              <w:t xml:space="preserve"> contratación directa.</w:t>
            </w:r>
            <w:r>
              <w:rPr>
                <w:rFonts w:ascii="Verdana" w:eastAsia="Times New Roman" w:hAnsi="Verdana" w:cs="Arial"/>
                <w:bCs/>
                <w:lang w:val="es-MX" w:eastAsia="x-none"/>
              </w:rPr>
              <w:t xml:space="preserve"> Es decir, lo resuelto en dich</w:t>
            </w:r>
            <w:r w:rsidR="00033C49">
              <w:rPr>
                <w:rFonts w:ascii="Verdana" w:eastAsia="Times New Roman" w:hAnsi="Verdana" w:cs="Arial"/>
                <w:bCs/>
                <w:lang w:val="es-MX" w:eastAsia="x-none"/>
              </w:rPr>
              <w:t xml:space="preserve">a sentencia </w:t>
            </w:r>
            <w:r>
              <w:rPr>
                <w:rFonts w:ascii="Verdana" w:eastAsia="Times New Roman" w:hAnsi="Verdana" w:cs="Arial"/>
                <w:bCs/>
                <w:lang w:val="es-MX" w:eastAsia="x-none"/>
              </w:rPr>
              <w:t xml:space="preserve">no contempló la prohibición de celebrar contratos interadministrativos de forma directa, que están sujetas a la restricción del artículo 33 de la Ley 996 de 2005. </w:t>
            </w:r>
            <w:r w:rsidRPr="004F1C0A">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4F1C0A">
              <w:rPr>
                <w:rFonts w:ascii="Verdana" w:eastAsia="Times New Roman" w:hAnsi="Verdana" w:cs="Arial"/>
                <w:bCs/>
                <w:lang w:val="es-MX" w:eastAsia="x-none" w:bidi="es-ES"/>
              </w:rPr>
              <w:t>las elecciones presidenciales, dentro de los 4 meses an</w:t>
            </w:r>
            <w:r>
              <w:rPr>
                <w:rFonts w:ascii="Verdana" w:eastAsia="Times New Roman" w:hAnsi="Verdana" w:cs="Arial"/>
                <w:bCs/>
                <w:lang w:val="es-MX" w:eastAsia="x-none" w:bidi="es-ES"/>
              </w:rPr>
              <w:t>teriores a la celebración de dichos</w:t>
            </w:r>
            <w:r w:rsidRPr="004F1C0A">
              <w:rPr>
                <w:rFonts w:ascii="Verdana" w:eastAsia="Times New Roman" w:hAnsi="Verdana" w:cs="Arial"/>
                <w:bCs/>
                <w:lang w:val="es-MX" w:eastAsia="x-none" w:bidi="es-ES"/>
              </w:rPr>
              <w:t xml:space="preserve"> comicios. </w:t>
            </w:r>
          </w:p>
          <w:p w14:paraId="2DC4FAD4" w14:textId="11CF1BFD" w:rsidR="009B5304" w:rsidRDefault="009B5304">
            <w:pPr>
              <w:spacing w:after="120" w:line="276" w:lineRule="auto"/>
              <w:ind w:firstLine="709"/>
              <w:jc w:val="both"/>
              <w:rPr>
                <w:rFonts w:ascii="Verdana" w:eastAsia="Times New Roman" w:hAnsi="Verdana" w:cs="Arial"/>
                <w:bCs/>
                <w:lang w:val="es-MX" w:eastAsia="x-none"/>
              </w:rPr>
            </w:pPr>
            <w:r w:rsidRPr="004F1C0A">
              <w:rPr>
                <w:rFonts w:ascii="Verdana" w:eastAsia="Times New Roman" w:hAnsi="Verdana" w:cs="Arial"/>
                <w:bCs/>
                <w:lang w:val="es-MX" w:eastAsia="x-none"/>
              </w:rPr>
              <w:t xml:space="preserve">Esto sin perjuicio de las excepciones a la prohibición establecidas en el inciso segundo del mismo artículo 33, como son: i) la defensa y seguridad del Estado; </w:t>
            </w:r>
            <w:proofErr w:type="spellStart"/>
            <w:r w:rsidRPr="004F1C0A">
              <w:rPr>
                <w:rFonts w:ascii="Verdana" w:eastAsia="Times New Roman" w:hAnsi="Verdana" w:cs="Arial"/>
                <w:bCs/>
                <w:lang w:val="es-MX" w:eastAsia="x-none"/>
              </w:rPr>
              <w:t>ii</w:t>
            </w:r>
            <w:proofErr w:type="spellEnd"/>
            <w:r w:rsidRPr="004F1C0A">
              <w:rPr>
                <w:rFonts w:ascii="Verdana" w:eastAsia="Times New Roman" w:hAnsi="Verdana" w:cs="Arial"/>
                <w:bCs/>
                <w:lang w:val="es-MX" w:eastAsia="x-none"/>
              </w:rPr>
              <w:t xml:space="preserve">) los contratos de crédito público; </w:t>
            </w:r>
            <w:proofErr w:type="spellStart"/>
            <w:r w:rsidRPr="004F1C0A">
              <w:rPr>
                <w:rFonts w:ascii="Verdana" w:eastAsia="Times New Roman" w:hAnsi="Verdana" w:cs="Arial"/>
                <w:bCs/>
                <w:lang w:val="es-MX" w:eastAsia="x-none"/>
              </w:rPr>
              <w:t>iii</w:t>
            </w:r>
            <w:proofErr w:type="spellEnd"/>
            <w:r w:rsidRPr="004F1C0A">
              <w:rPr>
                <w:rFonts w:ascii="Verdana" w:eastAsia="Times New Roman" w:hAnsi="Verdana" w:cs="Arial"/>
                <w:bCs/>
                <w:lang w:val="es-MX" w:eastAsia="x-none"/>
              </w:rPr>
              <w:t xml:space="preserve">) los requeridos para cubrir las emergencias educativas, sanitarias y desastres; </w:t>
            </w:r>
            <w:proofErr w:type="spellStart"/>
            <w:r w:rsidRPr="004F1C0A">
              <w:rPr>
                <w:rFonts w:ascii="Verdana" w:eastAsia="Times New Roman" w:hAnsi="Verdana" w:cs="Arial"/>
                <w:bCs/>
                <w:lang w:val="es-MX" w:eastAsia="x-none"/>
              </w:rPr>
              <w:t>iv</w:t>
            </w:r>
            <w:proofErr w:type="spellEnd"/>
            <w:r w:rsidRPr="004F1C0A">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8D75F05" w14:textId="3281DED2" w:rsidR="009B5304" w:rsidRPr="000531AF" w:rsidRDefault="009B5304">
            <w:pPr>
              <w:spacing w:after="120" w:line="276" w:lineRule="auto"/>
              <w:ind w:firstLine="709"/>
              <w:jc w:val="both"/>
              <w:rPr>
                <w:rFonts w:ascii="Verdana" w:eastAsia="Times New Roman" w:hAnsi="Verdana" w:cs="Arial"/>
                <w:bCs/>
                <w:lang w:val="es-MX" w:eastAsia="x-none"/>
              </w:rPr>
            </w:pPr>
            <w:r w:rsidRPr="000531AF">
              <w:rPr>
                <w:rFonts w:ascii="Verdana" w:eastAsia="Times New Roman" w:hAnsi="Verdana" w:cs="Arial"/>
                <w:bCs/>
                <w:lang w:eastAsia="x-none"/>
              </w:rPr>
              <w:lastRenderedPageBreak/>
              <w:t>En consecuencia, antes del inicio del período de aplicación de la Ley de Garantías Electorales, esto es, hasta el 3</w:t>
            </w:r>
            <w:r w:rsidR="000C4FB2">
              <w:rPr>
                <w:rFonts w:ascii="Verdana" w:eastAsia="Times New Roman" w:hAnsi="Verdana" w:cs="Arial"/>
                <w:bCs/>
                <w:lang w:eastAsia="x-none"/>
              </w:rPr>
              <w:t>0</w:t>
            </w:r>
            <w:r w:rsidRPr="000531AF">
              <w:rPr>
                <w:rFonts w:ascii="Verdana" w:eastAsia="Times New Roman" w:hAnsi="Verdana" w:cs="Arial"/>
                <w:bCs/>
                <w:lang w:eastAsia="x-none"/>
              </w:rPr>
              <w:t xml:space="preserve"> de enero de 2026, los entes territoriales sí estaban jurídicamente habilitados para suscribir contratos interadministrativos, incluso bajo modalidades de contratación directa, sin perjuicio de las reglas generales de la contratación estatal.</w:t>
            </w:r>
            <w:r w:rsidR="002C5D63">
              <w:rPr>
                <w:rFonts w:ascii="Verdana" w:eastAsia="Times New Roman" w:hAnsi="Verdana" w:cs="Arial"/>
                <w:bCs/>
                <w:lang w:eastAsia="x-none"/>
              </w:rPr>
              <w:t xml:space="preserve"> No obstante, tras haber entrado en vi</w:t>
            </w:r>
            <w:r w:rsidR="00653630">
              <w:rPr>
                <w:rFonts w:ascii="Verdana" w:eastAsia="Times New Roman" w:hAnsi="Verdana" w:cs="Arial"/>
                <w:bCs/>
                <w:lang w:eastAsia="x-none"/>
              </w:rPr>
              <w:t>gor la restricción el pasado 31 de enero de 2026,</w:t>
            </w:r>
            <w:r w:rsidR="00035600">
              <w:rPr>
                <w:rFonts w:ascii="Verdana" w:eastAsia="Times New Roman" w:hAnsi="Verdana" w:cs="Arial"/>
                <w:bCs/>
                <w:lang w:eastAsia="x-none"/>
              </w:rPr>
              <w:t xml:space="preserve"> hasta que no se </w:t>
            </w:r>
            <w:r w:rsidR="003E1ECE">
              <w:rPr>
                <w:rFonts w:ascii="Verdana" w:eastAsia="Times New Roman" w:hAnsi="Verdana" w:cs="Arial"/>
                <w:bCs/>
                <w:lang w:eastAsia="x-none"/>
              </w:rPr>
              <w:t xml:space="preserve">desarrollen los </w:t>
            </w:r>
            <w:r w:rsidR="00BD7B57">
              <w:rPr>
                <w:rFonts w:ascii="Verdana" w:eastAsia="Times New Roman" w:hAnsi="Verdana" w:cs="Arial"/>
                <w:bCs/>
                <w:lang w:eastAsia="x-none"/>
              </w:rPr>
              <w:t>comicios</w:t>
            </w:r>
            <w:r w:rsidR="003E1ECE">
              <w:rPr>
                <w:rFonts w:ascii="Verdana" w:eastAsia="Times New Roman" w:hAnsi="Verdana" w:cs="Arial"/>
                <w:bCs/>
                <w:lang w:eastAsia="x-none"/>
              </w:rPr>
              <w:t xml:space="preserve"> para</w:t>
            </w:r>
            <w:r w:rsidR="00874100">
              <w:rPr>
                <w:rFonts w:ascii="Verdana" w:eastAsia="Times New Roman" w:hAnsi="Verdana" w:cs="Arial"/>
                <w:bCs/>
                <w:lang w:eastAsia="x-none"/>
              </w:rPr>
              <w:t xml:space="preserve"> escoger</w:t>
            </w:r>
            <w:r w:rsidR="003E1ECE">
              <w:rPr>
                <w:rFonts w:ascii="Verdana" w:eastAsia="Times New Roman" w:hAnsi="Verdana" w:cs="Arial"/>
                <w:bCs/>
                <w:lang w:eastAsia="x-none"/>
              </w:rPr>
              <w:t xml:space="preserve"> </w:t>
            </w:r>
            <w:r w:rsidR="00D022E4">
              <w:rPr>
                <w:rFonts w:ascii="Verdana" w:eastAsia="Times New Roman" w:hAnsi="Verdana" w:cs="Arial"/>
                <w:bCs/>
                <w:lang w:eastAsia="x-none"/>
              </w:rPr>
              <w:t>presidente</w:t>
            </w:r>
            <w:r w:rsidR="003E1ECE">
              <w:rPr>
                <w:rFonts w:ascii="Verdana" w:eastAsia="Times New Roman" w:hAnsi="Verdana" w:cs="Arial"/>
                <w:bCs/>
                <w:lang w:eastAsia="x-none"/>
              </w:rPr>
              <w:t xml:space="preserve"> de la Re</w:t>
            </w:r>
            <w:r w:rsidR="00874100">
              <w:rPr>
                <w:rFonts w:ascii="Verdana" w:eastAsia="Times New Roman" w:hAnsi="Verdana" w:cs="Arial"/>
                <w:bCs/>
                <w:lang w:eastAsia="x-none"/>
              </w:rPr>
              <w:t>pública,</w:t>
            </w:r>
            <w:r w:rsidR="00653630">
              <w:rPr>
                <w:rFonts w:ascii="Verdana" w:eastAsia="Times New Roman" w:hAnsi="Verdana" w:cs="Arial"/>
                <w:bCs/>
                <w:lang w:eastAsia="x-none"/>
              </w:rPr>
              <w:t xml:space="preserve"> las entidades estatales solo tienen la posibilidad de suscribir contratos inte</w:t>
            </w:r>
            <w:r w:rsidR="006C508A">
              <w:rPr>
                <w:rFonts w:ascii="Verdana" w:eastAsia="Times New Roman" w:hAnsi="Verdana" w:cs="Arial"/>
                <w:bCs/>
                <w:lang w:eastAsia="x-none"/>
              </w:rPr>
              <w:t xml:space="preserve">radministrativos: i) previo desarrollo de proceso competitivo; o </w:t>
            </w:r>
            <w:proofErr w:type="spellStart"/>
            <w:r w:rsidR="006C508A">
              <w:rPr>
                <w:rFonts w:ascii="Verdana" w:eastAsia="Times New Roman" w:hAnsi="Verdana" w:cs="Arial"/>
                <w:bCs/>
                <w:lang w:eastAsia="x-none"/>
              </w:rPr>
              <w:t>ii</w:t>
            </w:r>
            <w:proofErr w:type="spellEnd"/>
            <w:r w:rsidR="006C508A">
              <w:rPr>
                <w:rFonts w:ascii="Verdana" w:eastAsia="Times New Roman" w:hAnsi="Verdana" w:cs="Arial"/>
                <w:bCs/>
                <w:lang w:eastAsia="x-none"/>
              </w:rPr>
              <w:t>)</w:t>
            </w:r>
            <w:r w:rsidR="007807D6">
              <w:rPr>
                <w:rFonts w:ascii="Verdana" w:eastAsia="Times New Roman" w:hAnsi="Verdana" w:cs="Arial"/>
                <w:bCs/>
                <w:lang w:eastAsia="x-none"/>
              </w:rPr>
              <w:t xml:space="preserve"> </w:t>
            </w:r>
            <w:r w:rsidR="006C508A">
              <w:rPr>
                <w:rFonts w:ascii="Verdana" w:eastAsia="Times New Roman" w:hAnsi="Verdana" w:cs="Arial"/>
                <w:bCs/>
                <w:lang w:eastAsia="x-none"/>
              </w:rPr>
              <w:t xml:space="preserve">excepcionalmente, de manera directa, cuanto se configure alguno de las </w:t>
            </w:r>
            <w:r w:rsidR="00C87E6D">
              <w:rPr>
                <w:rFonts w:ascii="Verdana" w:eastAsia="Times New Roman" w:hAnsi="Verdana" w:cs="Arial"/>
                <w:bCs/>
                <w:lang w:eastAsia="x-none"/>
              </w:rPr>
              <w:t>excepciones contempladas en el inciso segundo de</w:t>
            </w:r>
            <w:r w:rsidR="003271CE">
              <w:rPr>
                <w:rFonts w:ascii="Verdana" w:eastAsia="Times New Roman" w:hAnsi="Verdana" w:cs="Arial"/>
                <w:bCs/>
                <w:lang w:eastAsia="x-none"/>
              </w:rPr>
              <w:t>l artículo 33 de</w:t>
            </w:r>
            <w:r w:rsidR="00C87E6D">
              <w:rPr>
                <w:rFonts w:ascii="Verdana" w:eastAsia="Times New Roman" w:hAnsi="Verdana" w:cs="Arial"/>
                <w:bCs/>
                <w:lang w:eastAsia="x-none"/>
              </w:rPr>
              <w:t xml:space="preserve"> la Ley 996 de 2005. </w:t>
            </w:r>
          </w:p>
        </w:tc>
      </w:tr>
    </w:tbl>
    <w:p w14:paraId="3A3C65D9" w14:textId="77777777" w:rsidR="009B5304" w:rsidRPr="00255700" w:rsidRDefault="009B5304" w:rsidP="009B5304">
      <w:pPr>
        <w:tabs>
          <w:tab w:val="left" w:pos="142"/>
          <w:tab w:val="left" w:pos="284"/>
        </w:tabs>
        <w:spacing w:after="0" w:line="276" w:lineRule="auto"/>
        <w:jc w:val="both"/>
        <w:rPr>
          <w:rFonts w:ascii="Verdana" w:eastAsia="Century Gothic" w:hAnsi="Verdana" w:cs="Century Gothic"/>
          <w:b/>
          <w:bCs/>
          <w:color w:val="000000" w:themeColor="text1"/>
        </w:rPr>
      </w:pPr>
    </w:p>
    <w:p w14:paraId="3A1BF7B2" w14:textId="77777777" w:rsidR="009B5304" w:rsidRPr="00255700" w:rsidRDefault="009B5304" w:rsidP="009B5304">
      <w:pPr>
        <w:tabs>
          <w:tab w:val="left" w:pos="142"/>
          <w:tab w:val="left" w:pos="284"/>
        </w:tabs>
        <w:spacing w:after="0" w:line="276" w:lineRule="auto"/>
        <w:jc w:val="both"/>
        <w:rPr>
          <w:rFonts w:ascii="Verdana" w:eastAsia="Century Gothic" w:hAnsi="Verdana" w:cs="Century Gothic"/>
          <w:b/>
          <w:bCs/>
          <w:color w:val="000000" w:themeColor="text1"/>
        </w:rPr>
      </w:pPr>
      <w:r w:rsidRPr="00255700">
        <w:rPr>
          <w:rFonts w:ascii="Verdana" w:eastAsia="Century Gothic" w:hAnsi="Verdana" w:cs="Century Gothic"/>
          <w:b/>
          <w:bCs/>
          <w:color w:val="000000" w:themeColor="text1"/>
        </w:rPr>
        <w:t>3. Razones de la respuesta:</w:t>
      </w:r>
    </w:p>
    <w:p w14:paraId="5DFA348A" w14:textId="77777777" w:rsidR="009B5304" w:rsidRPr="00255700" w:rsidRDefault="009B5304" w:rsidP="009B5304">
      <w:pPr>
        <w:spacing w:after="0" w:line="276" w:lineRule="auto"/>
        <w:jc w:val="both"/>
        <w:rPr>
          <w:rFonts w:ascii="Verdana" w:eastAsia="Calibri" w:hAnsi="Verdana" w:cs="Arial"/>
          <w:color w:val="000000" w:themeColor="text1"/>
          <w:lang w:val="es-ES"/>
        </w:rPr>
      </w:pPr>
      <w:bookmarkStart w:id="4" w:name="_Hlk204854194"/>
    </w:p>
    <w:p w14:paraId="62BE79E8" w14:textId="77777777" w:rsidR="009B5304" w:rsidRPr="00255700" w:rsidRDefault="009B5304" w:rsidP="009B5304">
      <w:pPr>
        <w:spacing w:after="0" w:line="276" w:lineRule="auto"/>
        <w:jc w:val="both"/>
        <w:rPr>
          <w:rFonts w:ascii="Verdana" w:eastAsia="Calibri" w:hAnsi="Verdana" w:cs="Arial"/>
          <w:color w:val="000000" w:themeColor="text1"/>
          <w:lang w:val="es-ES"/>
        </w:rPr>
      </w:pPr>
      <w:r w:rsidRPr="00255700">
        <w:rPr>
          <w:rFonts w:ascii="Verdana" w:eastAsia="Calibri" w:hAnsi="Verdana" w:cs="Arial"/>
          <w:color w:val="000000" w:themeColor="text1"/>
          <w:lang w:val="es-ES"/>
        </w:rPr>
        <w:t xml:space="preserve">Lo anterior se sustenta en las siguientes consideraciones: </w:t>
      </w:r>
    </w:p>
    <w:p w14:paraId="4057A913" w14:textId="77777777" w:rsidR="009B5304" w:rsidRPr="00FE167C" w:rsidRDefault="009B5304" w:rsidP="009B5304">
      <w:pPr>
        <w:spacing w:after="0" w:line="276" w:lineRule="auto"/>
        <w:jc w:val="both"/>
        <w:rPr>
          <w:rFonts w:ascii="Verdana" w:eastAsia="Calibri" w:hAnsi="Verdana" w:cs="Arial"/>
          <w:color w:val="00BCD8"/>
          <w:lang w:val="es-ES"/>
        </w:rPr>
      </w:pPr>
    </w:p>
    <w:p w14:paraId="7DFE180A" w14:textId="77777777" w:rsidR="009B5304" w:rsidRPr="002D6B43" w:rsidRDefault="009B5304" w:rsidP="009B5304">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1"/>
      </w:r>
      <w:r w:rsidRPr="002D6B43">
        <w:rPr>
          <w:rFonts w:ascii="Verdana" w:eastAsia="Calibri" w:hAnsi="Verdana" w:cs="Arial"/>
        </w:rPr>
        <w:t xml:space="preserve">. </w:t>
      </w:r>
    </w:p>
    <w:p w14:paraId="17ED252E" w14:textId="77777777" w:rsidR="009B5304" w:rsidRPr="006B14B5" w:rsidRDefault="009B5304" w:rsidP="009B5304">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5" w:name="_Hlk99576829"/>
      <w:r w:rsidRPr="00E2397D">
        <w:rPr>
          <w:rFonts w:ascii="Verdana" w:eastAsia="Times New Roman" w:hAnsi="Verdana" w:cs="Arial"/>
          <w:lang w:val="es-MX" w:eastAsia="es-CO"/>
        </w:rPr>
        <w:t xml:space="preserve">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w:t>
      </w:r>
      <w:r w:rsidRPr="00E2397D">
        <w:rPr>
          <w:rFonts w:ascii="Verdana" w:eastAsia="Times New Roman" w:hAnsi="Verdana" w:cs="Arial"/>
          <w:lang w:val="es-MX" w:eastAsia="es-CO"/>
        </w:rPr>
        <w:lastRenderedPageBreak/>
        <w:t>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5"/>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FB81EC3" w14:textId="77777777" w:rsidR="009B5304" w:rsidRPr="00E2397D" w:rsidRDefault="009B5304" w:rsidP="009B5304">
      <w:pPr>
        <w:spacing w:after="0" w:line="276" w:lineRule="auto"/>
        <w:ind w:right="709"/>
        <w:contextualSpacing/>
        <w:jc w:val="both"/>
        <w:rPr>
          <w:rFonts w:ascii="Verdana" w:eastAsia="Times New Roman" w:hAnsi="Verdana" w:cs="Arial"/>
          <w:lang w:val="es-ES" w:eastAsia="es-CO"/>
        </w:rPr>
      </w:pPr>
    </w:p>
    <w:p w14:paraId="558122DD" w14:textId="77777777" w:rsidR="009B5304" w:rsidRPr="00E2397D" w:rsidRDefault="009B5304" w:rsidP="009B530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56235439" w14:textId="77777777" w:rsidR="009B5304" w:rsidRDefault="009B5304" w:rsidP="009B5304">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462E3AD" w14:textId="77777777" w:rsidR="009B5304" w:rsidRPr="000B35C5" w:rsidRDefault="009B5304" w:rsidP="009B5304">
      <w:pPr>
        <w:spacing w:after="0" w:line="240" w:lineRule="auto"/>
        <w:ind w:left="709" w:right="709"/>
        <w:contextualSpacing/>
        <w:jc w:val="both"/>
        <w:rPr>
          <w:rFonts w:ascii="Verdana" w:eastAsia="Times New Roman" w:hAnsi="Verdana" w:cs="Arial"/>
          <w:sz w:val="12"/>
          <w:szCs w:val="12"/>
          <w:lang w:val="es-MX" w:eastAsia="es-CO"/>
        </w:rPr>
      </w:pPr>
    </w:p>
    <w:p w14:paraId="00C53CF1" w14:textId="77777777" w:rsidR="009B5304" w:rsidRPr="00E2397D" w:rsidRDefault="009B5304" w:rsidP="009B530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29BF9BE7" w14:textId="77777777" w:rsidR="009B5304" w:rsidRPr="00E2397D" w:rsidRDefault="009B5304" w:rsidP="009B5304">
      <w:pPr>
        <w:spacing w:after="0" w:line="276" w:lineRule="auto"/>
        <w:ind w:firstLine="709"/>
        <w:jc w:val="both"/>
        <w:rPr>
          <w:rFonts w:ascii="Verdana" w:eastAsia="Times New Roman" w:hAnsi="Verdana" w:cs="Arial"/>
          <w:lang w:val="es-MX" w:eastAsia="es-CO"/>
        </w:rPr>
      </w:pPr>
      <w:bookmarkStart w:id="6" w:name="_Hlk78818186"/>
    </w:p>
    <w:p w14:paraId="36CCC928" w14:textId="77777777" w:rsidR="009B5304" w:rsidRPr="00E2397D" w:rsidRDefault="009B5304" w:rsidP="009B5304">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6"/>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694DD982" w14:textId="77777777" w:rsidR="009B5304" w:rsidRPr="00886C02" w:rsidRDefault="009B5304" w:rsidP="009B5304">
      <w:pPr>
        <w:spacing w:after="0" w:line="276" w:lineRule="auto"/>
        <w:ind w:firstLine="709"/>
        <w:jc w:val="both"/>
        <w:rPr>
          <w:rFonts w:ascii="Verdana" w:eastAsia="Times New Roman" w:hAnsi="Verdana" w:cs="Arial"/>
          <w:lang w:val="es-MX" w:eastAsia="es-CO"/>
        </w:rPr>
      </w:pPr>
    </w:p>
    <w:p w14:paraId="6A9E4DCE" w14:textId="77777777" w:rsidR="009B5304" w:rsidRPr="00E2397D" w:rsidRDefault="009B5304" w:rsidP="009B530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w:t>
      </w:r>
      <w:r w:rsidRPr="00E2397D">
        <w:rPr>
          <w:rFonts w:ascii="Verdana" w:eastAsia="Times New Roman" w:hAnsi="Verdana" w:cs="Arial"/>
          <w:sz w:val="20"/>
          <w:szCs w:val="20"/>
          <w:lang w:val="es-MX" w:eastAsia="es-CO"/>
        </w:rPr>
        <w:lastRenderedPageBreak/>
        <w:t>régimen jurídico imperativo y de orden público, razón por la cual no son disponibles ni pueden ser derogadas, modificadas, ampliadas o adicionadas por acuerdo o convenio o acto unilateral.</w:t>
      </w:r>
    </w:p>
    <w:p w14:paraId="561BC228" w14:textId="77777777" w:rsidR="009B5304" w:rsidRPr="000B35C5" w:rsidRDefault="009B5304" w:rsidP="009B5304">
      <w:pPr>
        <w:spacing w:after="0" w:line="240" w:lineRule="auto"/>
        <w:ind w:right="709"/>
        <w:contextualSpacing/>
        <w:jc w:val="both"/>
        <w:rPr>
          <w:rFonts w:ascii="Verdana" w:eastAsia="Times New Roman" w:hAnsi="Verdana" w:cs="Arial"/>
          <w:sz w:val="12"/>
          <w:szCs w:val="12"/>
          <w:lang w:val="es-MX" w:eastAsia="es-CO"/>
        </w:rPr>
      </w:pPr>
    </w:p>
    <w:p w14:paraId="01F46F12" w14:textId="77777777" w:rsidR="009B5304" w:rsidRPr="00E2397D" w:rsidRDefault="009B5304" w:rsidP="009B530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1955C6A8" w14:textId="77777777" w:rsidR="009B5304" w:rsidRPr="00E2397D" w:rsidRDefault="009B5304" w:rsidP="009B5304">
      <w:pPr>
        <w:spacing w:after="0" w:line="276" w:lineRule="auto"/>
        <w:jc w:val="both"/>
        <w:rPr>
          <w:rFonts w:ascii="Verdana" w:eastAsia="Calibri" w:hAnsi="Verdana" w:cs="Arial"/>
          <w:bCs/>
          <w:lang w:val="es-ES_tradnl"/>
        </w:rPr>
      </w:pPr>
    </w:p>
    <w:p w14:paraId="0AB2C898" w14:textId="77777777" w:rsidR="009B5304" w:rsidRDefault="009B5304" w:rsidP="009B5304">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7C6241F" w14:textId="77777777" w:rsidR="009B5304" w:rsidRDefault="009B5304" w:rsidP="009B5304">
      <w:pPr>
        <w:spacing w:after="0" w:line="276" w:lineRule="auto"/>
        <w:ind w:firstLine="709"/>
        <w:jc w:val="both"/>
        <w:rPr>
          <w:rFonts w:ascii="Verdana" w:eastAsia="Arial" w:hAnsi="Verdana" w:cs="Arial"/>
          <w:lang w:val="es-ES" w:eastAsia="es-ES" w:bidi="es-ES"/>
        </w:rPr>
      </w:pPr>
    </w:p>
    <w:p w14:paraId="576475E1" w14:textId="77777777" w:rsidR="009B5304" w:rsidRPr="00E2397D" w:rsidRDefault="009B5304" w:rsidP="009B5304">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440B108E" w14:textId="77777777" w:rsidR="009B5304" w:rsidRPr="00E2397D" w:rsidRDefault="009B5304" w:rsidP="009B5304">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w:t>
      </w:r>
      <w:r w:rsidRPr="00E2397D">
        <w:rPr>
          <w:rFonts w:ascii="Verdana" w:eastAsia="Calibri" w:hAnsi="Verdana" w:cs="Arial"/>
        </w:rPr>
        <w:lastRenderedPageBreak/>
        <w:t>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7"/>
      </w:r>
      <w:r w:rsidRPr="00E2397D">
        <w:rPr>
          <w:rFonts w:ascii="Verdana" w:eastAsia="Calibri" w:hAnsi="Verdana" w:cs="Arial"/>
        </w:rPr>
        <w:t>.</w:t>
      </w:r>
    </w:p>
    <w:p w14:paraId="7786ECED" w14:textId="77777777" w:rsidR="009B5304" w:rsidRDefault="009B5304" w:rsidP="009B5304">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8"/>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0E3C3C08" w14:textId="77777777" w:rsidR="009B5304" w:rsidRDefault="009B5304" w:rsidP="009B5304">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7D7C32B" w14:textId="77777777" w:rsidR="009B5304" w:rsidRDefault="009B5304" w:rsidP="009B530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w:t>
      </w:r>
      <w:r w:rsidRPr="00447D82">
        <w:rPr>
          <w:rFonts w:ascii="Verdana" w:eastAsia="Times New Roman" w:hAnsi="Verdana" w:cs="Arial"/>
          <w:bCs/>
          <w:lang w:val="es-ES" w:eastAsia="es-CO"/>
        </w:rPr>
        <w:lastRenderedPageBreak/>
        <w:t xml:space="preserve">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B670E4D" w14:textId="77777777" w:rsidR="009B5304" w:rsidRDefault="009B5304" w:rsidP="009B530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B9C9D53" w14:textId="77777777" w:rsidR="009B5304" w:rsidRPr="00894384" w:rsidRDefault="009B5304" w:rsidP="009B5304">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9"/>
      </w:r>
      <w:r w:rsidRPr="00894384">
        <w:rPr>
          <w:rFonts w:ascii="Verdana" w:eastAsia="Times New Roman" w:hAnsi="Verdana" w:cs="Arial"/>
          <w:bCs/>
          <w:lang w:val="es-MX" w:eastAsia="es-CO"/>
        </w:rPr>
        <w:t xml:space="preserve">. </w:t>
      </w:r>
    </w:p>
    <w:p w14:paraId="724C7502" w14:textId="77777777" w:rsidR="009B5304" w:rsidRPr="00E2397D" w:rsidRDefault="009B5304" w:rsidP="009B530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7A31B14E" w14:textId="77777777" w:rsidR="009B5304" w:rsidRPr="00E2397D" w:rsidRDefault="009B5304" w:rsidP="009B5304">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5F6BE69C" w14:textId="77777777" w:rsidR="009B5304" w:rsidRPr="00E2397D" w:rsidRDefault="009B5304" w:rsidP="009B530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2397D">
        <w:rPr>
          <w:rFonts w:ascii="Verdana" w:eastAsia="Arial" w:hAnsi="Verdana" w:cs="Arial"/>
          <w:sz w:val="20"/>
          <w:szCs w:val="20"/>
          <w:lang w:eastAsia="es-ES" w:bidi="es-ES"/>
        </w:rPr>
        <w:t>se integran parcialmente</w:t>
      </w:r>
      <w:bookmarkEnd w:id="9"/>
      <w:r w:rsidRPr="00E2397D">
        <w:rPr>
          <w:rFonts w:ascii="Verdana" w:eastAsia="Arial" w:hAnsi="Verdana" w:cs="Arial"/>
          <w:sz w:val="20"/>
          <w:szCs w:val="20"/>
          <w:lang w:eastAsia="es-ES" w:bidi="es-ES"/>
        </w:rPr>
        <w:t xml:space="preserve">, lo que permite concluir que </w:t>
      </w:r>
      <w:r w:rsidRPr="00E2397D">
        <w:rPr>
          <w:rFonts w:ascii="Verdana" w:eastAsia="Arial" w:hAnsi="Verdana" w:cs="Arial"/>
          <w:sz w:val="20"/>
          <w:szCs w:val="20"/>
          <w:lang w:eastAsia="es-ES" w:bidi="es-ES"/>
        </w:rPr>
        <w:lastRenderedPageBreak/>
        <w:t xml:space="preserve">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0"/>
      </w:r>
    </w:p>
    <w:p w14:paraId="497AD074" w14:textId="77777777" w:rsidR="009B5304" w:rsidRPr="00E2397D" w:rsidRDefault="009B5304" w:rsidP="009B5304">
      <w:pPr>
        <w:widowControl w:val="0"/>
        <w:autoSpaceDE w:val="0"/>
        <w:autoSpaceDN w:val="0"/>
        <w:spacing w:after="0" w:line="276" w:lineRule="auto"/>
        <w:contextualSpacing/>
        <w:rPr>
          <w:rFonts w:ascii="Verdana" w:eastAsia="Arial" w:hAnsi="Verdana" w:cs="Arial"/>
          <w:lang w:val="es-ES" w:eastAsia="es-ES" w:bidi="es-ES"/>
        </w:rPr>
      </w:pPr>
    </w:p>
    <w:p w14:paraId="079BCD8F" w14:textId="77777777" w:rsidR="009B5304" w:rsidRPr="00E2397D" w:rsidRDefault="009B5304" w:rsidP="009B530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7F298B23" w14:textId="77777777" w:rsidR="009B5304" w:rsidRPr="00E2397D" w:rsidRDefault="009B5304" w:rsidP="009B5304">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2"/>
    <w:p w14:paraId="77CBB3A6" w14:textId="77777777" w:rsidR="009B5304" w:rsidRDefault="009B5304" w:rsidP="009B5304">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w:t>
      </w:r>
      <w:r w:rsidRPr="00E2397D">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CB7E3E9" w14:textId="77777777" w:rsidR="009B5304" w:rsidRPr="00E2397D" w:rsidRDefault="009B5304" w:rsidP="009B5304">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3" w:name="_Hlk78820161"/>
    </w:p>
    <w:p w14:paraId="15AF3E2F" w14:textId="77777777" w:rsidR="009B5304" w:rsidRPr="0057193B" w:rsidRDefault="009B5304" w:rsidP="009B5304">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bookmarkEnd w:id="13"/>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7EF1510F" w14:textId="77777777" w:rsidR="009B5304" w:rsidRPr="00817856" w:rsidRDefault="009B5304" w:rsidP="009B5304">
      <w:pPr>
        <w:spacing w:after="0" w:line="240" w:lineRule="auto"/>
        <w:ind w:left="708" w:right="709"/>
        <w:jc w:val="both"/>
        <w:rPr>
          <w:rFonts w:ascii="Verdana" w:eastAsia="Calibri" w:hAnsi="Verdana" w:cs="Arial"/>
          <w:sz w:val="20"/>
          <w:szCs w:val="20"/>
          <w:lang w:val="es-MX"/>
        </w:rPr>
      </w:pPr>
    </w:p>
    <w:p w14:paraId="0ABFB14D" w14:textId="77777777" w:rsidR="009B5304" w:rsidRPr="00817856" w:rsidRDefault="009B5304" w:rsidP="009B5304">
      <w:pPr>
        <w:spacing w:after="12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1"/>
      </w:r>
      <w:r w:rsidRPr="00817856">
        <w:rPr>
          <w:rFonts w:ascii="Verdana" w:eastAsia="Calibri" w:hAnsi="Verdana" w:cs="Arial"/>
          <w:sz w:val="20"/>
          <w:szCs w:val="20"/>
          <w:lang w:val="es-MX"/>
        </w:rPr>
        <w:t>.</w:t>
      </w:r>
    </w:p>
    <w:p w14:paraId="77018C65" w14:textId="77777777" w:rsidR="009B5304" w:rsidRPr="00817856" w:rsidRDefault="009B5304" w:rsidP="009B5304">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 xml:space="preserve">Esta Sala ha entendido </w:t>
      </w:r>
      <w:proofErr w:type="gramStart"/>
      <w:r w:rsidRPr="00817856">
        <w:rPr>
          <w:rFonts w:ascii="Verdana" w:eastAsia="Calibri" w:hAnsi="Verdana" w:cs="Arial"/>
          <w:sz w:val="20"/>
          <w:szCs w:val="20"/>
          <w:lang w:val="es-MX"/>
        </w:rPr>
        <w:t>que</w:t>
      </w:r>
      <w:proofErr w:type="gramEnd"/>
      <w:r w:rsidRPr="00817856">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817856">
        <w:rPr>
          <w:rFonts w:ascii="Verdana" w:eastAsia="Times New Roman" w:hAnsi="Verdana" w:cs="Arial"/>
          <w:sz w:val="20"/>
          <w:szCs w:val="20"/>
          <w:vertAlign w:val="superscript"/>
          <w:lang w:val="es-MX"/>
        </w:rPr>
        <w:footnoteReference w:id="12"/>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3"/>
      </w:r>
      <w:r w:rsidRPr="00817856">
        <w:rPr>
          <w:rFonts w:ascii="Verdana" w:eastAsia="Calibri" w:hAnsi="Verdana" w:cs="Arial"/>
          <w:sz w:val="20"/>
          <w:szCs w:val="20"/>
          <w:lang w:val="es-MX"/>
        </w:rPr>
        <w:t xml:space="preserve"> .</w:t>
      </w:r>
    </w:p>
    <w:p w14:paraId="1173EC17" w14:textId="77777777" w:rsidR="009B5304" w:rsidRPr="0057193B" w:rsidRDefault="009B5304" w:rsidP="009B5304">
      <w:pPr>
        <w:shd w:val="clear" w:color="auto" w:fill="FFFFFF"/>
        <w:spacing w:after="0" w:line="276" w:lineRule="auto"/>
        <w:ind w:firstLine="709"/>
        <w:jc w:val="both"/>
        <w:rPr>
          <w:rFonts w:ascii="Verdana" w:eastAsia="Times New Roman" w:hAnsi="Verdana" w:cs="Arial"/>
          <w:lang w:eastAsia="x-none"/>
        </w:rPr>
      </w:pPr>
    </w:p>
    <w:p w14:paraId="2734E953" w14:textId="77777777" w:rsidR="009B5304" w:rsidRPr="0057193B" w:rsidRDefault="009B5304" w:rsidP="009B5304">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4"/>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33E7ED1F" w14:textId="77777777" w:rsidR="009B5304" w:rsidRPr="0057193B" w:rsidRDefault="009B5304" w:rsidP="009B5304">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63807B2D" w14:textId="77777777" w:rsidR="009B5304" w:rsidRPr="005154AE" w:rsidRDefault="009B5304" w:rsidP="009B5304">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w:t>
      </w:r>
      <w:r>
        <w:rPr>
          <w:rFonts w:ascii="Verdana" w:eastAsia="Times New Roman" w:hAnsi="Verdana" w:cs="Arial"/>
          <w:lang w:eastAsia="x-none"/>
        </w:rPr>
        <w:t>ue dicho sistema no constituye “contratación directa”</w:t>
      </w:r>
      <w:r w:rsidRPr="0057193B">
        <w:rPr>
          <w:rFonts w:ascii="Verdana" w:eastAsia="Times New Roman" w:hAnsi="Verdana" w:cs="Arial"/>
          <w:lang w:eastAsia="x-none"/>
        </w:rPr>
        <w:t xml:space="preserve">, es que la convocatoria para </w:t>
      </w:r>
      <w:r w:rsidRPr="0057193B">
        <w:rPr>
          <w:rFonts w:ascii="Verdana" w:eastAsia="Times New Roman" w:hAnsi="Verdana" w:cs="Arial"/>
          <w:lang w:eastAsia="x-none"/>
        </w:rPr>
        <w:lastRenderedPageBreak/>
        <w:t>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7"/>
      </w:r>
      <w:r w:rsidRPr="0057193B">
        <w:rPr>
          <w:rFonts w:ascii="Verdana" w:eastAsia="Times New Roman" w:hAnsi="Verdana" w:cs="Arial"/>
          <w:lang w:eastAsia="x-none"/>
        </w:rPr>
        <w:t xml:space="preserve">. </w:t>
      </w:r>
    </w:p>
    <w:p w14:paraId="53026109" w14:textId="77777777" w:rsidR="009B5304" w:rsidRPr="0057193B" w:rsidRDefault="009B5304" w:rsidP="009B530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D51817F" w14:textId="77777777" w:rsidR="009B5304" w:rsidRPr="0057193B" w:rsidRDefault="009B5304" w:rsidP="009B5304">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5AE195D7" w14:textId="77777777" w:rsidR="009B5304" w:rsidRPr="0057193B" w:rsidRDefault="009B5304" w:rsidP="009B5304">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1B3E357F" w14:textId="77777777" w:rsidR="009B5304" w:rsidRPr="00447D82" w:rsidRDefault="009B5304" w:rsidP="009B530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19"/>
      </w:r>
      <w:r w:rsidRPr="0057193B">
        <w:rPr>
          <w:rFonts w:ascii="Verdana" w:eastAsia="Times New Roman" w:hAnsi="Verdana" w:cs="Arial"/>
          <w:bCs/>
          <w:lang w:val="es-MX" w:eastAsia="es-CO"/>
        </w:rPr>
        <w:t xml:space="preserve">. </w:t>
      </w:r>
      <w:r w:rsidRPr="0057193B">
        <w:rPr>
          <w:rFonts w:ascii="Verdana" w:eastAsia="Times New Roman" w:hAnsi="Verdana" w:cs="Arial"/>
          <w:bCs/>
          <w:lang w:val="es-MX" w:eastAsia="es-CO"/>
        </w:rPr>
        <w:lastRenderedPageBreak/>
        <w:t>Además, también es posible que contratos celebrados previamente se continúen ejecutando con normalidad.</w:t>
      </w:r>
      <w:r>
        <w:rPr>
          <w:rFonts w:ascii="Verdana" w:eastAsia="Times New Roman" w:hAnsi="Verdana" w:cs="Arial"/>
          <w:bCs/>
          <w:lang w:val="es-MX" w:eastAsia="es-CO"/>
        </w:rPr>
        <w:t xml:space="preserve"> </w:t>
      </w:r>
    </w:p>
    <w:p w14:paraId="3C96FB30" w14:textId="77777777" w:rsidR="009B5304" w:rsidRPr="0057193B" w:rsidRDefault="009B5304" w:rsidP="009B5304">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72F472B" w14:textId="77777777" w:rsidR="009B5304" w:rsidRPr="0057193B" w:rsidRDefault="009B5304" w:rsidP="009B5304">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0"/>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BC9F139" w14:textId="77777777" w:rsidR="009B5304" w:rsidRPr="0057193B" w:rsidRDefault="009B5304" w:rsidP="009B5304">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xml:space="preserve">, en el sentido de que son “todos </w:t>
      </w:r>
      <w:r>
        <w:rPr>
          <w:rFonts w:ascii="Verdana" w:eastAsia="Times New Roman" w:hAnsi="Verdana" w:cs="Arial"/>
          <w:bCs/>
          <w:lang w:val="es-MX" w:eastAsia="x-none"/>
        </w:rPr>
        <w:lastRenderedPageBreak/>
        <w:t>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4D37DED0" w14:textId="77777777" w:rsidR="009B5304" w:rsidRPr="0057193B" w:rsidRDefault="009B5304" w:rsidP="009B5304">
      <w:pPr>
        <w:spacing w:after="0" w:line="276" w:lineRule="auto"/>
        <w:jc w:val="both"/>
        <w:rPr>
          <w:rFonts w:ascii="Verdana" w:eastAsia="Times New Roman" w:hAnsi="Verdana" w:cs="Arial"/>
          <w:bCs/>
          <w:lang w:val="es-MX" w:eastAsia="x-none"/>
        </w:rPr>
      </w:pPr>
    </w:p>
    <w:p w14:paraId="736BB9DC" w14:textId="0EA17554" w:rsidR="009B5304" w:rsidRPr="0057193B" w:rsidRDefault="00D022E4" w:rsidP="009B5304">
      <w:pPr>
        <w:spacing w:after="0" w:line="240" w:lineRule="auto"/>
        <w:ind w:left="708" w:right="709"/>
        <w:jc w:val="both"/>
        <w:rPr>
          <w:rFonts w:ascii="Verdana" w:eastAsia="Times New Roman" w:hAnsi="Verdana" w:cs="Arial"/>
          <w:bCs/>
          <w:sz w:val="21"/>
          <w:szCs w:val="21"/>
          <w:lang w:val="es-MX" w:eastAsia="es-CO"/>
        </w:rPr>
      </w:pPr>
      <w:r>
        <w:rPr>
          <w:rFonts w:ascii="Verdana" w:eastAsia="Times New Roman" w:hAnsi="Verdana" w:cs="Arial"/>
          <w:bCs/>
          <w:sz w:val="21"/>
          <w:szCs w:val="21"/>
          <w:lang w:val="es-MX" w:eastAsia="x-none"/>
        </w:rPr>
        <w:t>“</w:t>
      </w:r>
      <w:r w:rsidR="009B5304"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Verdana" w:eastAsia="Times New Roman" w:hAnsi="Verdana" w:cs="Arial"/>
          <w:bCs/>
          <w:sz w:val="21"/>
          <w:szCs w:val="21"/>
          <w:lang w:val="es-MX" w:eastAsia="x-none"/>
        </w:rPr>
        <w:t>”</w:t>
      </w:r>
      <w:r w:rsidR="009B5304" w:rsidRPr="0057193B">
        <w:rPr>
          <w:rFonts w:ascii="Verdana" w:eastAsia="Times New Roman" w:hAnsi="Verdana" w:cs="Arial"/>
          <w:bCs/>
          <w:sz w:val="21"/>
          <w:szCs w:val="21"/>
          <w:vertAlign w:val="superscript"/>
          <w:lang w:val="es-MX" w:eastAsia="x-none"/>
        </w:rPr>
        <w:footnoteReference w:id="21"/>
      </w:r>
      <w:r w:rsidR="009B5304" w:rsidRPr="0057193B">
        <w:rPr>
          <w:rFonts w:ascii="Verdana" w:eastAsia="Times New Roman" w:hAnsi="Verdana" w:cs="Arial"/>
          <w:bCs/>
          <w:sz w:val="21"/>
          <w:szCs w:val="21"/>
          <w:lang w:val="es-MX" w:eastAsia="x-none"/>
        </w:rPr>
        <w:t>.</w:t>
      </w:r>
      <w:r w:rsidR="009B5304" w:rsidRPr="0057193B">
        <w:rPr>
          <w:rFonts w:ascii="Verdana" w:eastAsia="Times New Roman" w:hAnsi="Verdana" w:cs="Arial"/>
          <w:bCs/>
          <w:sz w:val="21"/>
          <w:szCs w:val="21"/>
          <w:lang w:val="es-MX" w:eastAsia="es-CO"/>
        </w:rPr>
        <w:t xml:space="preserve"> </w:t>
      </w:r>
    </w:p>
    <w:p w14:paraId="06C62722" w14:textId="77777777" w:rsidR="009B5304" w:rsidRDefault="009B5304" w:rsidP="00B92AD0">
      <w:pPr>
        <w:spacing w:after="0" w:line="276" w:lineRule="auto"/>
        <w:jc w:val="both"/>
        <w:rPr>
          <w:rFonts w:ascii="Verdana" w:eastAsia="Times New Roman" w:hAnsi="Verdana" w:cs="Arial"/>
          <w:bCs/>
          <w:lang w:val="es-MX" w:eastAsia="es-CO"/>
        </w:rPr>
      </w:pPr>
    </w:p>
    <w:p w14:paraId="7AD800B7" w14:textId="77777777" w:rsidR="009B5304" w:rsidRDefault="009B5304" w:rsidP="009B5304">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es-CO"/>
        </w:rPr>
        <w:t xml:space="preserve">La </w:t>
      </w:r>
      <w:r w:rsidRPr="0057193B">
        <w:rPr>
          <w:rFonts w:ascii="Verdana" w:eastAsia="Calibri" w:hAnsi="Verdana" w:cs="Arial"/>
          <w:lang w:val="es-MX"/>
        </w:rPr>
        <w:t xml:space="preserve">restricción prevista en la Ley 996 de 2005 </w:t>
      </w:r>
      <w:r w:rsidRPr="0057193B">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w:t>
      </w:r>
      <w:proofErr w:type="gramStart"/>
      <w:r w:rsidRPr="0057193B">
        <w:rPr>
          <w:rFonts w:ascii="Verdana" w:eastAsia="Times New Roman" w:hAnsi="Verdana" w:cs="Arial"/>
          <w:bCs/>
          <w:lang w:val="es-MX" w:eastAsia="x-none"/>
        </w:rPr>
        <w:t xml:space="preserve">o </w:t>
      </w:r>
      <w:r>
        <w:rPr>
          <w:rFonts w:ascii="Verdana" w:eastAsia="Times New Roman" w:hAnsi="Verdana" w:cs="Arial"/>
          <w:bCs/>
          <w:lang w:val="es-MX" w:eastAsia="x-none"/>
        </w:rPr>
        <w:t xml:space="preserve"> por</w:t>
      </w:r>
      <w:proofErr w:type="gramEnd"/>
      <w:r>
        <w:rPr>
          <w:rFonts w:ascii="Verdana" w:eastAsia="Times New Roman" w:hAnsi="Verdana" w:cs="Arial"/>
          <w:bCs/>
          <w:lang w:val="es-MX" w:eastAsia="x-none"/>
        </w:rPr>
        <w:t xml:space="preserve">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4BA0639E" w14:textId="77777777" w:rsidR="009B5304" w:rsidRDefault="009B5304" w:rsidP="009B5304">
      <w:pPr>
        <w:spacing w:after="120" w:line="276" w:lineRule="auto"/>
        <w:ind w:firstLine="709"/>
        <w:jc w:val="both"/>
        <w:rPr>
          <w:rFonts w:ascii="Verdana" w:eastAsia="Times New Roman" w:hAnsi="Verdana" w:cs="Arial"/>
          <w:bCs/>
          <w:lang w:val="es-MX" w:eastAsia="x-none"/>
        </w:rPr>
      </w:pPr>
      <w:r w:rsidRPr="00186DE9">
        <w:rPr>
          <w:rFonts w:ascii="Verdana" w:eastAsia="Times New Roman" w:hAnsi="Verdana" w:cs="Arial"/>
          <w:bCs/>
          <w:lang w:val="es-MX" w:eastAsia="x-none"/>
        </w:rPr>
        <w:t xml:space="preserve">Teniendo en cuenta lo expuesto, es evidente que le aplican que la interpretación del artículo 33 de la Ley 996 de 2005 ha sido clara en ha sido </w:t>
      </w:r>
      <w:r w:rsidRPr="00186DE9">
        <w:rPr>
          <w:rFonts w:ascii="Verdana" w:eastAsia="Times New Roman" w:hAnsi="Verdana" w:cs="Arial"/>
          <w:bCs/>
          <w:lang w:val="es-MX" w:eastAsia="x-none"/>
        </w:rPr>
        <w:lastRenderedPageBreak/>
        <w:t>clara en los pronunciamientos del Consejo de Estado y la Doctrina Oficial de la Agencia: durante los cuatro meses previos a las elecciones presidenciales, las entidades estatales tienen restringida la posibilidad de celebrar contratos bajo la modalidad de contratación directa, lo que incluye los contratos interadministrativos que no se celebren de forma competitiva. Esta prohibición busca garantizar la transparencia y evitar que la contratación pública se convierta en un instrumento de influencia política en tiempos electorales.</w:t>
      </w:r>
    </w:p>
    <w:p w14:paraId="631A770B" w14:textId="77777777" w:rsidR="009B5304" w:rsidRPr="00D047BE" w:rsidRDefault="009B5304" w:rsidP="009B5304">
      <w:pPr>
        <w:spacing w:after="120" w:line="276" w:lineRule="auto"/>
        <w:ind w:firstLine="709"/>
        <w:jc w:val="both"/>
        <w:rPr>
          <w:rFonts w:ascii="Verdana" w:eastAsia="Times New Roman" w:hAnsi="Verdana" w:cs="Arial"/>
          <w:lang w:val="es-ES" w:eastAsia="es-ES"/>
        </w:rPr>
      </w:pPr>
      <w:r w:rsidRPr="00E5590F">
        <w:rPr>
          <w:rFonts w:ascii="Verdana" w:eastAsia="Arial" w:hAnsi="Verdana" w:cs="Arial"/>
          <w:color w:val="000000" w:themeColor="text1"/>
          <w:lang w:val="es-ES" w:eastAsia="es-ES" w:bidi="es-ES"/>
        </w:rPr>
        <w:t xml:space="preserve">Ahora bien, </w:t>
      </w:r>
      <w:r w:rsidRPr="00E5590F">
        <w:rPr>
          <w:rFonts w:ascii="Verdana" w:eastAsia="Calibri" w:hAnsi="Verdana" w:cs="Arial"/>
          <w:color w:val="000000" w:themeColor="text1"/>
          <w:lang w:eastAsia="es-ES" w:bidi="es-ES"/>
        </w:rPr>
        <w:t>para responder al problema jurídico planteado</w:t>
      </w:r>
      <w:r>
        <w:rPr>
          <w:rFonts w:ascii="Verdana" w:eastAsia="Times New Roman" w:hAnsi="Verdana" w:cs="Arial"/>
          <w:lang w:val="es-ES" w:eastAsia="es-ES"/>
        </w:rPr>
        <w:t xml:space="preserve">debe precisarse que </w:t>
      </w:r>
      <w:r>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Pr>
          <w:rFonts w:ascii="Verdana" w:hAnsi="Verdana" w:cs="Arial"/>
          <w:vertAlign w:val="superscript"/>
          <w:lang w:eastAsia="es-ES"/>
        </w:rPr>
        <w:footnoteReference w:id="22"/>
      </w:r>
      <w:r>
        <w:rPr>
          <w:rFonts w:ascii="Verdana" w:hAnsi="Verdana" w:cs="Arial"/>
          <w:lang w:eastAsia="es-ES"/>
        </w:rPr>
        <w:t>.</w:t>
      </w:r>
    </w:p>
    <w:p w14:paraId="0955C840" w14:textId="77777777" w:rsidR="009B5304" w:rsidRDefault="009B5304" w:rsidP="009B5304">
      <w:pPr>
        <w:spacing w:after="120" w:line="276" w:lineRule="auto"/>
        <w:ind w:firstLine="709"/>
        <w:jc w:val="both"/>
        <w:rPr>
          <w:rFonts w:ascii="Verdana" w:hAnsi="Verdana" w:cs="Arial"/>
          <w:color w:val="000000" w:themeColor="text1"/>
          <w:lang w:val="es-ES_tradnl"/>
        </w:rPr>
      </w:pPr>
      <w:r>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3AEFFE44" w14:textId="77777777" w:rsidR="009B5304" w:rsidRDefault="009B5304" w:rsidP="009B5304">
      <w:pPr>
        <w:spacing w:before="120" w:after="120" w:line="276" w:lineRule="auto"/>
        <w:ind w:firstLine="709"/>
        <w:jc w:val="both"/>
        <w:rPr>
          <w:rFonts w:ascii="Verdana" w:hAnsi="Verdana" w:cs="Arial"/>
          <w:lang w:val="es-ES_tradnl"/>
        </w:rPr>
      </w:pPr>
      <w:r>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Pr>
          <w:rFonts w:ascii="Verdana" w:hAnsi="Verdana" w:cs="Arial"/>
          <w:vertAlign w:val="superscript"/>
          <w:lang w:val="es-ES"/>
        </w:rPr>
        <w:footnoteReference w:id="23"/>
      </w:r>
      <w:r>
        <w:rPr>
          <w:rFonts w:ascii="Verdana" w:hAnsi="Verdana" w:cs="Arial"/>
          <w:lang w:val="es-ES"/>
        </w:rPr>
        <w:t>. Nótese que, en este caso, lo que cambia es la modalidad de selección y no la naturaleza de contrato interadministrativo.</w:t>
      </w:r>
    </w:p>
    <w:p w14:paraId="23FA4754" w14:textId="77777777" w:rsidR="009B5304" w:rsidRDefault="009B5304" w:rsidP="009B5304">
      <w:pPr>
        <w:spacing w:before="120" w:after="120" w:line="276" w:lineRule="auto"/>
        <w:ind w:firstLine="709"/>
        <w:jc w:val="both"/>
        <w:rPr>
          <w:rFonts w:ascii="Verdana" w:hAnsi="Verdana" w:cs="Arial"/>
          <w:lang w:val="es-ES_tradnl"/>
        </w:rPr>
      </w:pPr>
      <w:r>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Pr>
          <w:rFonts w:ascii="Verdana" w:hAnsi="Verdana" w:cs="Arial"/>
          <w:vertAlign w:val="superscript"/>
          <w:lang w:val="es-ES"/>
        </w:rPr>
        <w:footnoteReference w:id="24"/>
      </w:r>
      <w:r>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38F2613" w14:textId="77777777" w:rsidR="009B5304" w:rsidRDefault="009B5304" w:rsidP="009B5304">
      <w:pPr>
        <w:spacing w:before="120" w:after="120" w:line="276" w:lineRule="auto"/>
        <w:ind w:firstLine="709"/>
        <w:jc w:val="both"/>
        <w:rPr>
          <w:rFonts w:ascii="Verdana" w:hAnsi="Verdana"/>
          <w:sz w:val="24"/>
          <w:szCs w:val="24"/>
          <w:lang w:eastAsia="es-CO"/>
        </w:rPr>
      </w:pPr>
      <w:r>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Pr>
          <w:rFonts w:ascii="Verdana" w:hAnsi="Verdana" w:cs="Arial"/>
          <w:vertAlign w:val="superscript"/>
          <w:lang w:val="es-ES"/>
        </w:rPr>
        <w:footnoteReference w:id="25"/>
      </w:r>
      <w:r>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Pr>
          <w:rFonts w:ascii="Verdana" w:hAnsi="Verdana"/>
          <w:sz w:val="24"/>
          <w:szCs w:val="24"/>
          <w:lang w:eastAsia="es-CO"/>
        </w:rPr>
        <w:t>.</w:t>
      </w:r>
    </w:p>
    <w:p w14:paraId="35B48876" w14:textId="77777777" w:rsidR="009B5304" w:rsidRDefault="009B5304" w:rsidP="009B5304">
      <w:pPr>
        <w:spacing w:before="120" w:after="120" w:line="276" w:lineRule="auto"/>
        <w:ind w:firstLine="709"/>
        <w:jc w:val="both"/>
        <w:rPr>
          <w:rFonts w:ascii="Verdana" w:eastAsia="Times New Roman" w:hAnsi="Verdana" w:cs="Arial"/>
          <w:lang w:val="es-MX" w:eastAsia="es-CO"/>
        </w:rPr>
      </w:pPr>
      <w:bookmarkStart w:id="14" w:name="_Hlk219368755"/>
      <w:r>
        <w:rPr>
          <w:rFonts w:ascii="Verdana" w:eastAsia="Arial" w:hAnsi="Verdana" w:cs="Arial"/>
          <w:lang w:val="es-MX" w:eastAsia="es-ES" w:bidi="es-ES"/>
        </w:rPr>
        <w:t>De esta manera, se</w:t>
      </w:r>
      <w:r>
        <w:rPr>
          <w:rFonts w:ascii="Verdana" w:eastAsia="Times New Roman" w:hAnsi="Verdana" w:cs="Arial"/>
          <w:lang w:eastAsia="es-CO"/>
        </w:rPr>
        <w:t xml:space="preserve"> observa entonces que </w:t>
      </w:r>
      <w:r>
        <w:rPr>
          <w:rFonts w:ascii="Verdana" w:eastAsia="Times New Roman" w:hAnsi="Verdana" w:cs="Arial"/>
          <w:lang w:val="es-MX" w:eastAsia="es-CO"/>
        </w:rPr>
        <w:t xml:space="preserve">el parágrafo del artículo 38 de la Ley 996 de 2005 prohíbe a los </w:t>
      </w:r>
      <w:proofErr w:type="gramStart"/>
      <w:r>
        <w:rPr>
          <w:rFonts w:ascii="Verdana" w:eastAsia="Times New Roman" w:hAnsi="Verdana" w:cs="Arial"/>
          <w:lang w:val="es-MX" w:eastAsia="es-CO"/>
        </w:rPr>
        <w:t>Alcaldes</w:t>
      </w:r>
      <w:proofErr w:type="gramEnd"/>
      <w:r>
        <w:rPr>
          <w:rFonts w:ascii="Verdana" w:eastAsia="Times New Roman" w:hAnsi="Verdana" w:cs="Arial"/>
          <w:lang w:val="es-MX" w:eastAsia="es-CO"/>
        </w:rPr>
        <w:t xml:space="preserve">, Gobernadores, </w:t>
      </w:r>
      <w:proofErr w:type="gramStart"/>
      <w:r>
        <w:rPr>
          <w:rFonts w:ascii="Verdana" w:eastAsia="Times New Roman" w:hAnsi="Verdana" w:cs="Arial"/>
          <w:lang w:val="es-MX" w:eastAsia="es-CO"/>
        </w:rPr>
        <w:t>Secretarios</w:t>
      </w:r>
      <w:proofErr w:type="gramEnd"/>
      <w:r>
        <w:rPr>
          <w:rFonts w:ascii="Verdana" w:eastAsia="Times New Roman" w:hAnsi="Verdana" w:cs="Arial"/>
          <w:lang w:val="es-MX" w:eastAsia="es-CO"/>
        </w:rPr>
        <w:t xml:space="preserve">, Gerentes y </w:t>
      </w:r>
      <w:proofErr w:type="gramStart"/>
      <w:r>
        <w:rPr>
          <w:rFonts w:ascii="Verdana" w:eastAsia="Times New Roman" w:hAnsi="Verdana" w:cs="Arial"/>
          <w:lang w:val="es-MX" w:eastAsia="es-CO"/>
        </w:rPr>
        <w:t>Directores</w:t>
      </w:r>
      <w:proofErr w:type="gramEnd"/>
      <w:r>
        <w:rPr>
          <w:rFonts w:ascii="Verdana" w:eastAsia="Times New Roman" w:hAnsi="Verdana" w:cs="Arial"/>
          <w:lang w:val="es-MX" w:eastAsia="es-CO"/>
        </w:rPr>
        <w:t xml:space="preserve">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Pr>
          <w:rFonts w:ascii="Verdana" w:eastAsia="Times New Roman" w:hAnsi="Verdana" w:cs="Arial"/>
          <w:i/>
          <w:lang w:val="es-MX" w:eastAsia="es-CO"/>
        </w:rPr>
        <w:t>ibidem</w:t>
      </w:r>
      <w:r>
        <w:rPr>
          <w:rFonts w:ascii="Verdana" w:eastAsia="Times New Roman" w:hAnsi="Verdana" w:cs="Arial"/>
          <w:lang w:val="es-MX" w:eastAsia="es-CO"/>
        </w:rPr>
        <w:t xml:space="preserve">,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69E3DD5F" w14:textId="77777777" w:rsidR="009B5304" w:rsidRPr="00373B20" w:rsidRDefault="009B5304" w:rsidP="009B5304">
      <w:pPr>
        <w:spacing w:before="120" w:after="120" w:line="276" w:lineRule="auto"/>
        <w:ind w:firstLine="709"/>
        <w:jc w:val="both"/>
        <w:rPr>
          <w:rFonts w:ascii="Verdana" w:eastAsia="Times New Roman" w:hAnsi="Verdana" w:cs="Arial"/>
          <w:lang w:eastAsia="es-CO"/>
        </w:rPr>
      </w:pPr>
      <w:r w:rsidRPr="00373B20">
        <w:rPr>
          <w:rFonts w:ascii="Verdana" w:eastAsia="Times New Roman" w:hAnsi="Verdana" w:cs="Arial"/>
          <w:lang w:val="es-MX" w:eastAsia="es-CO"/>
        </w:rPr>
        <w:t xml:space="preserve">En este aspecto, se destaca que uno de los sujetos de aplicación de dicha restricción son las entidades descentralizadas por servicios, </w:t>
      </w:r>
      <w:r w:rsidRPr="00373B20">
        <w:rPr>
          <w:rFonts w:ascii="Verdana" w:eastAsia="Times New Roman" w:hAnsi="Verdana" w:cs="Arial"/>
          <w:lang w:eastAsia="es-CO"/>
        </w:rPr>
        <w:t>las cuales –sin perjuicio del control de tutela– tienen personería jurídica, autonomía administrativa y patrimonio propio.</w:t>
      </w:r>
      <w:r w:rsidRPr="00373B20">
        <w:rPr>
          <w:rFonts w:ascii="Verdana" w:eastAsia="Times New Roman" w:hAnsi="Verdana" w:cs="Arial"/>
          <w:b/>
          <w:bCs/>
          <w:lang w:eastAsia="es-CO"/>
        </w:rPr>
        <w:t xml:space="preserve"> </w:t>
      </w:r>
      <w:r w:rsidRPr="00373B20">
        <w:rPr>
          <w:rFonts w:ascii="Verdana" w:eastAsia="Times New Roman" w:hAnsi="Verdana" w:cs="Arial"/>
          <w:lang w:eastAsia="es-CO"/>
        </w:rPr>
        <w:t xml:space="preserve">Dentro de la categoría amplia de entidades </w:t>
      </w:r>
      <w:r w:rsidRPr="00373B20">
        <w:rPr>
          <w:rFonts w:ascii="Verdana" w:eastAsia="Times New Roman" w:hAnsi="Verdana" w:cs="Arial"/>
          <w:lang w:eastAsia="es-CO"/>
        </w:rPr>
        <w:lastRenderedPageBreak/>
        <w:t xml:space="preserve">descentralizadas por servicios se encuentran las Empresas Industriales y Comerciales del Estado, los establecimientos públicos, las sociedades públicas, las sociedades de economía mixta, las empresas sociales del Estado, entre otras entidades. </w:t>
      </w:r>
    </w:p>
    <w:bookmarkEnd w:id="14"/>
    <w:p w14:paraId="65B082CA" w14:textId="77777777" w:rsidR="009B5304" w:rsidRDefault="009B5304" w:rsidP="009B5304">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xml:space="preserve">) y </w:t>
      </w:r>
      <w:proofErr w:type="spellStart"/>
      <w:r>
        <w:rPr>
          <w:rFonts w:ascii="Verdana" w:eastAsia="Times New Roman" w:hAnsi="Verdana" w:cs="Arial"/>
          <w:lang w:val="es-MX" w:eastAsia="es-CO"/>
        </w:rPr>
        <w:t>iv</w:t>
      </w:r>
      <w:proofErr w:type="spellEnd"/>
      <w:r>
        <w:rPr>
          <w:rFonts w:ascii="Verdana" w:eastAsia="Times New Roman" w:hAnsi="Verdana" w:cs="Arial"/>
          <w:lang w:val="es-MX" w:eastAsia="es-CO"/>
        </w:rPr>
        <w:t>) del numeral 2</w:t>
      </w:r>
      <w:r>
        <w:rPr>
          <w:rFonts w:ascii="Verdana" w:eastAsia="Times New Roman" w:hAnsi="Verdana" w:cs="Arial"/>
          <w:lang w:eastAsia="es-CO"/>
        </w:rPr>
        <w:t>,</w:t>
      </w:r>
      <w:r>
        <w:rPr>
          <w:rFonts w:ascii="Verdana" w:eastAsia="Times New Roman" w:hAnsi="Verdana" w:cs="Arial"/>
          <w:lang w:val="es-MX" w:eastAsia="es-CO"/>
        </w:rPr>
        <w:t xml:space="preserve"> indica que el </w:t>
      </w:r>
      <w:r>
        <w:rPr>
          <w:rFonts w:ascii="Verdana" w:eastAsia="Times New Roman" w:hAnsi="Verdana" w:cs="Arial"/>
          <w:lang w:eastAsia="es-CO"/>
        </w:rPr>
        <w:t xml:space="preserve">parágrafo del artículo 38 de la Ley 996 de 2005 cobija expresamente a los </w:t>
      </w:r>
      <w:r>
        <w:rPr>
          <w:rFonts w:ascii="Verdana" w:eastAsia="Times New Roman" w:hAnsi="Verdana" w:cs="Arial"/>
          <w:i/>
          <w:iCs/>
          <w:lang w:eastAsia="es-CO"/>
        </w:rPr>
        <w:t>convenios interadministrativos</w:t>
      </w:r>
      <w:r>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Pr>
          <w:rFonts w:ascii="Verdana" w:eastAsia="Times New Roman" w:hAnsi="Verdana" w:cs="Arial"/>
          <w:i/>
          <w:iCs/>
          <w:lang w:eastAsia="es-CO"/>
        </w:rPr>
        <w:t>“aunque se configure alguno de los supuestos de excepción que señaló el inciso final del artículo 33”.</w:t>
      </w:r>
      <w:r>
        <w:rPr>
          <w:rFonts w:ascii="Verdana" w:eastAsia="Times New Roman" w:hAnsi="Verdana" w:cs="Arial"/>
          <w:lang w:eastAsia="es-CO"/>
        </w:rPr>
        <w:t xml:space="preserve"> </w:t>
      </w:r>
    </w:p>
    <w:p w14:paraId="3F967432" w14:textId="77777777" w:rsidR="009B5304" w:rsidRPr="00E72F76" w:rsidRDefault="009B5304" w:rsidP="009B5304">
      <w:pPr>
        <w:spacing w:before="120" w:after="120" w:line="276" w:lineRule="auto"/>
        <w:ind w:firstLine="709"/>
        <w:jc w:val="both"/>
        <w:rPr>
          <w:rFonts w:ascii="Verdana" w:eastAsia="Times New Roman" w:hAnsi="Verdana" w:cs="Arial"/>
          <w:lang w:eastAsia="es-CO"/>
        </w:rPr>
      </w:pPr>
      <w:r w:rsidRPr="00B40D3B">
        <w:rPr>
          <w:rFonts w:ascii="Verdana" w:eastAsia="Times New Roman" w:hAnsi="Verdana" w:cs="Arial"/>
          <w:lang w:eastAsia="es-CO"/>
        </w:rPr>
        <w:t xml:space="preserve">Sin embargo, el ámbito de aplicación de la restricción prevista en el parágrafo del artículo 38 de la Ley 996 de 2005 comprende a los </w:t>
      </w:r>
      <w:r w:rsidRPr="00B40D3B">
        <w:rPr>
          <w:rFonts w:ascii="Verdana" w:eastAsia="Times New Roman" w:hAnsi="Verdana" w:cs="Arial"/>
          <w:i/>
          <w:iCs/>
          <w:lang w:eastAsia="es-CO"/>
        </w:rPr>
        <w:t>convenios interadministrativos</w:t>
      </w:r>
      <w:r w:rsidRPr="00B40D3B">
        <w:rPr>
          <w:rFonts w:ascii="Verdana" w:eastAsia="Times New Roman" w:hAnsi="Verdana" w:cs="Arial"/>
          <w:lang w:eastAsia="es-CO"/>
        </w:rPr>
        <w:t xml:space="preserve"> en los que exista </w:t>
      </w:r>
      <w:r w:rsidRPr="00B40D3B">
        <w:rPr>
          <w:rFonts w:ascii="Verdana" w:eastAsia="Times New Roman" w:hAnsi="Verdana" w:cs="Arial"/>
          <w:i/>
          <w:iCs/>
          <w:lang w:eastAsia="es-CO"/>
        </w:rPr>
        <w:t>ejecución de recursos públicos</w:t>
      </w:r>
      <w:r w:rsidRPr="00B40D3B">
        <w:rPr>
          <w:rFonts w:ascii="Verdana" w:eastAsia="Times New Roman" w:hAnsi="Verdana" w:cs="Arial"/>
          <w:lang w:eastAsia="es-CO"/>
        </w:rPr>
        <w:t xml:space="preserve">, sin importar de que estos sean en dinero o en especie, ya que la norma no distingue. </w:t>
      </w:r>
      <w:r w:rsidRPr="00B40D3B">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sidRPr="00B40D3B">
        <w:rPr>
          <w:rFonts w:ascii="Verdana" w:eastAsia="Times New Roman" w:hAnsi="Verdana" w:cs="Arial"/>
          <w:vertAlign w:val="superscript"/>
          <w:lang w:val="es-ES" w:eastAsia="es-CO"/>
        </w:rPr>
        <w:footnoteReference w:id="26"/>
      </w:r>
      <w:r w:rsidRPr="00B40D3B">
        <w:rPr>
          <w:rFonts w:ascii="Verdana" w:eastAsia="Times New Roman" w:hAnsi="Verdana" w:cs="Arial"/>
          <w:lang w:val="es-ES" w:eastAsia="es-CO"/>
        </w:rPr>
        <w:t>.</w:t>
      </w:r>
      <w:r w:rsidRPr="00B40D3B">
        <w:rPr>
          <w:rFonts w:ascii="Verdana" w:eastAsia="Times New Roman" w:hAnsi="Verdana" w:cs="Arial"/>
          <w:lang w:eastAsia="es-CO"/>
        </w:rPr>
        <w:t xml:space="preserve"> Por ello, la Agencia Nacional de Contratación Pública, en varios conceptos ha sostenido que la ejecución de recursos no se agota en el “[…] el dinero que integra el ciclo presupuestal de la entidad […]”, pues “[…] también </w:t>
      </w:r>
      <w:r w:rsidRPr="00B40D3B">
        <w:rPr>
          <w:rFonts w:ascii="Verdana" w:eastAsia="Times New Roman" w:hAnsi="Verdana" w:cs="Arial"/>
          <w:lang w:eastAsia="es-CO"/>
        </w:rPr>
        <w:lastRenderedPageBreak/>
        <w:t>los bienes muebles, inmuebles y personal hacen parte del concepto de ‘recursos públicos”</w:t>
      </w:r>
      <w:r>
        <w:rPr>
          <w:rFonts w:ascii="Verdana" w:eastAsia="Times New Roman" w:hAnsi="Verdana" w:cs="Arial"/>
          <w:lang w:eastAsia="es-CO"/>
        </w:rPr>
        <w:t>.</w:t>
      </w:r>
    </w:p>
    <w:p w14:paraId="09F482D3" w14:textId="77777777" w:rsidR="009B5304" w:rsidRDefault="009B5304" w:rsidP="009B5304">
      <w:pPr>
        <w:spacing w:before="120" w:after="120" w:line="276" w:lineRule="auto"/>
        <w:ind w:firstLine="709"/>
        <w:jc w:val="both"/>
        <w:rPr>
          <w:rFonts w:ascii="Verdana" w:eastAsia="Times New Roman" w:hAnsi="Verdana" w:cs="Arial"/>
          <w:lang w:eastAsia="es-CO"/>
        </w:rPr>
      </w:pPr>
      <w:r w:rsidRPr="00E72F76">
        <w:rPr>
          <w:rFonts w:ascii="Verdana" w:eastAsia="Times New Roman" w:hAnsi="Verdana" w:cs="Arial"/>
          <w:lang w:eastAsia="es-CO"/>
        </w:rPr>
        <w:t xml:space="preserve">De esta manera, conforme a lo dispuesto en la Circular referida, si se suscriben </w:t>
      </w:r>
      <w:r w:rsidRPr="00E72F76">
        <w:rPr>
          <w:rFonts w:ascii="Verdana" w:eastAsia="Times New Roman" w:hAnsi="Verdana" w:cs="Arial"/>
          <w:i/>
          <w:iCs/>
          <w:lang w:eastAsia="es-CO"/>
        </w:rPr>
        <w:t>convenios interadministrativos para la ejecución de recursos públicos</w:t>
      </w:r>
      <w:r w:rsidRPr="00E72F7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E72F76">
        <w:rPr>
          <w:rFonts w:ascii="Verdana" w:eastAsia="Times New Roman" w:hAnsi="Verdana" w:cs="Arial"/>
          <w:i/>
          <w:iCs/>
          <w:lang w:eastAsia="es-CO"/>
        </w:rPr>
        <w:t>ibidem</w:t>
      </w:r>
      <w:r w:rsidRPr="00E72F76">
        <w:rPr>
          <w:rFonts w:ascii="Verdana" w:eastAsia="Times New Roman" w:hAnsi="Verdana" w:cs="Arial"/>
          <w:lang w:eastAsia="es-CO"/>
        </w:rPr>
        <w:t>, independientemente de que se configure alguno de los supuestos de excepción que señaló el inciso final del artículo 33, es decir, que se trate de:</w:t>
      </w:r>
      <w:r w:rsidRPr="00E72F76">
        <w:rPr>
          <w:rFonts w:ascii="Verdana" w:eastAsia="Times New Roman" w:hAnsi="Verdana" w:cs="Arial"/>
          <w:bCs/>
          <w:lang w:val="es-MX" w:eastAsia="es-CO"/>
        </w:rPr>
        <w:t xml:space="preserve"> i) la defensa y seguridad del Estado; </w:t>
      </w:r>
      <w:proofErr w:type="spellStart"/>
      <w:r w:rsidRPr="00E72F76">
        <w:rPr>
          <w:rFonts w:ascii="Verdana" w:eastAsia="Times New Roman" w:hAnsi="Verdana" w:cs="Arial"/>
          <w:bCs/>
          <w:lang w:val="es-MX" w:eastAsia="es-CO"/>
        </w:rPr>
        <w:t>ii</w:t>
      </w:r>
      <w:proofErr w:type="spellEnd"/>
      <w:r w:rsidRPr="00E72F76">
        <w:rPr>
          <w:rFonts w:ascii="Verdana" w:eastAsia="Times New Roman" w:hAnsi="Verdana" w:cs="Arial"/>
          <w:bCs/>
          <w:lang w:val="es-MX" w:eastAsia="es-CO"/>
        </w:rPr>
        <w:t xml:space="preserve">) los contratos de crédito público; </w:t>
      </w:r>
      <w:proofErr w:type="spellStart"/>
      <w:r w:rsidRPr="00E72F76">
        <w:rPr>
          <w:rFonts w:ascii="Verdana" w:eastAsia="Times New Roman" w:hAnsi="Verdana" w:cs="Arial"/>
          <w:bCs/>
          <w:lang w:val="es-MX" w:eastAsia="es-CO"/>
        </w:rPr>
        <w:t>iii</w:t>
      </w:r>
      <w:proofErr w:type="spellEnd"/>
      <w:r w:rsidRPr="00E72F76">
        <w:rPr>
          <w:rFonts w:ascii="Verdana" w:eastAsia="Times New Roman" w:hAnsi="Verdana" w:cs="Arial"/>
          <w:bCs/>
          <w:lang w:val="es-MX" w:eastAsia="es-CO"/>
        </w:rPr>
        <w:t xml:space="preserve">) los requeridos para cubrir las emergencias educativas, sanitarias y desastres; </w:t>
      </w:r>
      <w:proofErr w:type="spellStart"/>
      <w:r w:rsidRPr="00E72F76">
        <w:rPr>
          <w:rFonts w:ascii="Verdana" w:eastAsia="Times New Roman" w:hAnsi="Verdana" w:cs="Arial"/>
          <w:bCs/>
          <w:lang w:val="es-MX" w:eastAsia="es-CO"/>
        </w:rPr>
        <w:t>iv</w:t>
      </w:r>
      <w:proofErr w:type="spellEnd"/>
      <w:r w:rsidRPr="00E72F76">
        <w:rPr>
          <w:rFonts w:ascii="Verdana" w:eastAsia="Times New Roman" w:hAnsi="Verdana" w:cs="Arial"/>
          <w:bCs/>
          <w:lang w:val="es-MX" w:eastAsia="es-CO"/>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r w:rsidRPr="00E72F76">
        <w:rPr>
          <w:rFonts w:ascii="Verdana" w:eastAsia="Times New Roman" w:hAnsi="Verdana" w:cs="Arial"/>
          <w:lang w:eastAsia="es-CO"/>
        </w:rPr>
        <w:t xml:space="preserve">  </w:t>
      </w:r>
    </w:p>
    <w:p w14:paraId="044B9845" w14:textId="77777777" w:rsidR="009B5304" w:rsidRDefault="009B5304" w:rsidP="009B5304">
      <w:pPr>
        <w:spacing w:before="120" w:after="120" w:line="276" w:lineRule="auto"/>
        <w:ind w:firstLine="709"/>
        <w:jc w:val="both"/>
        <w:rPr>
          <w:rFonts w:ascii="Verdana" w:eastAsia="Times New Roman" w:hAnsi="Verdana" w:cs="Arial"/>
          <w:lang w:val="es-MX" w:eastAsia="es-CO"/>
        </w:rPr>
      </w:pPr>
      <w:r w:rsidRPr="001E4DA4">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1E4DA4">
        <w:rPr>
          <w:rFonts w:ascii="Verdana" w:eastAsia="Times New Roman" w:hAnsi="Verdana" w:cs="Arial"/>
          <w:i/>
          <w:iCs/>
          <w:lang w:eastAsia="es-CO"/>
        </w:rPr>
        <w:t>convenios interadministrativos</w:t>
      </w:r>
      <w:r w:rsidRPr="001E4DA4">
        <w:rPr>
          <w:rFonts w:ascii="Verdana" w:eastAsia="Times New Roman" w:hAnsi="Verdana" w:cs="Arial"/>
          <w:lang w:eastAsia="es-CO"/>
        </w:rPr>
        <w:t xml:space="preserve"> en los que se contemple la </w:t>
      </w:r>
      <w:r w:rsidRPr="001E4DA4">
        <w:rPr>
          <w:rFonts w:ascii="Verdana" w:eastAsia="Times New Roman" w:hAnsi="Verdana" w:cs="Arial"/>
          <w:i/>
          <w:iCs/>
          <w:lang w:eastAsia="es-CO"/>
        </w:rPr>
        <w:t>ejecución de recursos públicos</w:t>
      </w:r>
      <w:r w:rsidRPr="001E4DA4">
        <w:rPr>
          <w:rFonts w:ascii="Verdana" w:eastAsia="Times New Roman" w:hAnsi="Verdana" w:cs="Arial"/>
          <w:lang w:eastAsia="es-CO"/>
        </w:rPr>
        <w:t xml:space="preserve">. Esto significa que la prohibición no resulta aplicable a </w:t>
      </w:r>
      <w:r w:rsidRPr="001E4DA4">
        <w:rPr>
          <w:rFonts w:ascii="Verdana" w:eastAsia="Times New Roman" w:hAnsi="Verdana" w:cs="Arial"/>
          <w:i/>
          <w:iCs/>
          <w:lang w:eastAsia="es-CO"/>
        </w:rPr>
        <w:t>convenios interadministrativos a título gratuito,</w:t>
      </w:r>
      <w:r w:rsidRPr="001E4DA4">
        <w:rPr>
          <w:rFonts w:ascii="Verdana" w:eastAsia="Times New Roman" w:hAnsi="Verdana" w:cs="Arial"/>
          <w:lang w:eastAsia="es-CO"/>
        </w:rPr>
        <w:t xml:space="preserve"> los cuales pueden celebrarse válidamente durante la vigencia de la mencionada restricción.</w:t>
      </w:r>
      <w:r>
        <w:rPr>
          <w:rFonts w:ascii="Verdana" w:eastAsia="Times New Roman" w:hAnsi="Verdana" w:cs="Arial"/>
          <w:lang w:eastAsia="es-CO"/>
        </w:rPr>
        <w:t xml:space="preserve"> </w:t>
      </w:r>
    </w:p>
    <w:p w14:paraId="631D4AB5" w14:textId="77777777" w:rsidR="009B5304" w:rsidRPr="00174058" w:rsidRDefault="009B5304" w:rsidP="009B5304">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eastAsia="es-CO"/>
        </w:rPr>
        <w:t xml:space="preserve">En este punto, teniendo en cuenta el contenido de su petición vale la pena destacar </w:t>
      </w:r>
      <w:proofErr w:type="gramStart"/>
      <w:r>
        <w:rPr>
          <w:rFonts w:ascii="Verdana" w:eastAsia="Times New Roman" w:hAnsi="Verdana" w:cs="Arial"/>
          <w:lang w:eastAsia="es-CO"/>
        </w:rPr>
        <w:t>que</w:t>
      </w:r>
      <w:proofErr w:type="gramEnd"/>
      <w:r>
        <w:rPr>
          <w:rFonts w:ascii="Verdana" w:eastAsia="Times New Roman" w:hAnsi="Verdana" w:cs="Arial"/>
          <w:lang w:eastAsia="es-CO"/>
        </w:rPr>
        <w:t xml:space="preserve"> </w:t>
      </w:r>
      <w:r>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Pr>
          <w:rFonts w:ascii="Verdana" w:hAnsi="Verdana" w:cs="Arial"/>
        </w:rPr>
        <w:t>numeral 16.2 de la Circular Externa Única de 2022 expedida por la Agencia Nacional de Contratación Pública -Colombia Compra Eficiente-, concretamente, respecto de los siguientes apartes normativos</w:t>
      </w:r>
      <w:r>
        <w:rPr>
          <w:rFonts w:ascii="Verdana" w:hAnsi="Verdana" w:cs="Arial"/>
          <w:vertAlign w:val="superscript"/>
        </w:rPr>
        <w:footnoteReference w:id="27"/>
      </w:r>
      <w:r>
        <w:rPr>
          <w:rFonts w:ascii="Verdana" w:hAnsi="Verdana" w:cs="Arial"/>
        </w:rPr>
        <w:t xml:space="preserve">: </w:t>
      </w:r>
    </w:p>
    <w:p w14:paraId="75C7F212" w14:textId="77777777" w:rsidR="009B5304" w:rsidRPr="00343E12" w:rsidRDefault="009B5304" w:rsidP="009B5304">
      <w:pPr>
        <w:spacing w:after="0" w:line="240" w:lineRule="auto"/>
        <w:ind w:left="709" w:right="709"/>
        <w:jc w:val="both"/>
        <w:rPr>
          <w:rFonts w:ascii="Verdana" w:eastAsia="Aptos" w:hAnsi="Verdana" w:cs="Arial"/>
          <w:sz w:val="20"/>
          <w:szCs w:val="20"/>
        </w:rPr>
      </w:pPr>
      <w:r>
        <w:rPr>
          <w:rFonts w:ascii="Verdana" w:hAnsi="Verdana" w:cs="Arial"/>
          <w:sz w:val="20"/>
          <w:szCs w:val="20"/>
          <w:lang w:val="es-MX"/>
        </w:rPr>
        <w:t>“</w:t>
      </w:r>
      <w:r w:rsidRPr="00343E12">
        <w:rPr>
          <w:rFonts w:ascii="Verdana" w:eastAsia="Aptos" w:hAnsi="Verdana" w:cs="Arial"/>
          <w:sz w:val="20"/>
          <w:szCs w:val="20"/>
          <w:lang w:val="es-MX"/>
        </w:rPr>
        <w:t>i)</w:t>
      </w:r>
      <w:r w:rsidRPr="00343E12">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w:t>
      </w:r>
      <w:r w:rsidRPr="00343E12">
        <w:rPr>
          <w:rFonts w:ascii="Verdana" w:eastAsia="Aptos" w:hAnsi="Verdana" w:cs="Arial"/>
          <w:sz w:val="20"/>
          <w:szCs w:val="20"/>
        </w:rPr>
        <w:lastRenderedPageBreak/>
        <w:t xml:space="preserve">la modalidad de selección para la contratación entre entidades públicas a través de estas dos figuras jurídicas” y, </w:t>
      </w:r>
    </w:p>
    <w:p w14:paraId="129E8119" w14:textId="77777777" w:rsidR="009B5304" w:rsidRPr="00343E12" w:rsidRDefault="009B5304" w:rsidP="009B5304">
      <w:pPr>
        <w:spacing w:after="0" w:line="240" w:lineRule="auto"/>
        <w:ind w:left="709" w:right="709"/>
        <w:jc w:val="both"/>
        <w:rPr>
          <w:rFonts w:ascii="Verdana" w:eastAsia="Aptos" w:hAnsi="Verdana" w:cs="Arial"/>
          <w:sz w:val="20"/>
          <w:szCs w:val="20"/>
        </w:rPr>
      </w:pPr>
    </w:p>
    <w:p w14:paraId="65CB4690" w14:textId="77777777" w:rsidR="009B5304" w:rsidRPr="00343E12" w:rsidRDefault="009B5304" w:rsidP="009B5304">
      <w:pPr>
        <w:spacing w:after="0" w:line="240" w:lineRule="auto"/>
        <w:ind w:left="709" w:right="709"/>
        <w:jc w:val="both"/>
        <w:rPr>
          <w:rFonts w:ascii="Verdana" w:eastAsia="Aptos" w:hAnsi="Verdana" w:cs="Arial"/>
          <w:sz w:val="20"/>
          <w:szCs w:val="20"/>
        </w:rPr>
      </w:pPr>
      <w:proofErr w:type="spellStart"/>
      <w:r w:rsidRPr="00343E12">
        <w:rPr>
          <w:rFonts w:ascii="Verdana" w:eastAsia="Aptos" w:hAnsi="Verdana" w:cs="Arial"/>
          <w:sz w:val="20"/>
          <w:szCs w:val="20"/>
        </w:rPr>
        <w:t>ii</w:t>
      </w:r>
      <w:proofErr w:type="spellEnd"/>
      <w:r w:rsidRPr="00343E12">
        <w:rPr>
          <w:rFonts w:ascii="Verdana" w:eastAsia="Aptos"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25F0224" w14:textId="77777777" w:rsidR="009B5304" w:rsidRPr="00343E12" w:rsidRDefault="009B5304" w:rsidP="00B92AD0">
      <w:pPr>
        <w:spacing w:after="0" w:line="23" w:lineRule="atLeast"/>
        <w:ind w:left="709" w:right="709" w:firstLine="709"/>
        <w:jc w:val="both"/>
        <w:rPr>
          <w:rFonts w:ascii="Verdana" w:eastAsia="Aptos" w:hAnsi="Verdana" w:cs="Arial"/>
        </w:rPr>
      </w:pPr>
    </w:p>
    <w:p w14:paraId="51E1F445" w14:textId="77777777" w:rsidR="009B5304" w:rsidRDefault="009B5304" w:rsidP="009B5304">
      <w:pPr>
        <w:spacing w:after="120" w:line="276" w:lineRule="auto"/>
        <w:ind w:firstLine="709"/>
        <w:jc w:val="both"/>
        <w:rPr>
          <w:rFonts w:ascii="Verdana" w:eastAsia="Arial" w:hAnsi="Verdana" w:cs="Arial"/>
          <w:i/>
          <w:iCs/>
          <w:lang w:eastAsia="es-ES" w:bidi="es-ES"/>
        </w:rPr>
      </w:pPr>
      <w:r>
        <w:rPr>
          <w:rFonts w:ascii="Verdana" w:eastAsia="Arial" w:hAnsi="Verdana" w:cs="Arial"/>
          <w:lang w:val="es-MX" w:eastAsia="es-ES" w:bidi="es-ES"/>
        </w:rPr>
        <w:t xml:space="preserve">De conformidad con los argumentos de dicha providencia, se parte de la distinción entre los conceptos </w:t>
      </w:r>
      <w:r>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43E12">
        <w:rPr>
          <w:rFonts w:ascii="Verdana" w:eastAsia="Aptos" w:hAnsi="Verdana" w:cs="Times New Roman"/>
          <w:sz w:val="24"/>
          <w:szCs w:val="24"/>
          <w:lang w:eastAsia="es-CO"/>
        </w:rPr>
        <w:t xml:space="preserve"> </w:t>
      </w:r>
      <w:r>
        <w:rPr>
          <w:rFonts w:ascii="Verdana" w:eastAsia="Arial" w:hAnsi="Verdana" w:cs="Arial"/>
          <w:lang w:eastAsia="es-ES" w:bidi="es-ES"/>
        </w:rPr>
        <w:t xml:space="preserve">En este sentido, en relación con el parágrafo del artículo 38 de la Ley 996 de 2005 concluyó que </w:t>
      </w:r>
      <w:r>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464E90F" w14:textId="77777777" w:rsidR="009B5304" w:rsidRDefault="009B5304" w:rsidP="009B5304">
      <w:pPr>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De igual manera, mediante auto del 6 de noviembre de 2025, el Consejo de Estado, Subsección A de la Sección Tercera, decretó</w:t>
      </w:r>
      <w:r>
        <w:rPr>
          <w:rFonts w:ascii="Verdana" w:eastAsia="Arial" w:hAnsi="Verdana" w:cs="Arial"/>
          <w:b/>
          <w:bCs/>
          <w:lang w:eastAsia="es-ES" w:bidi="es-ES"/>
        </w:rPr>
        <w:t xml:space="preserve"> </w:t>
      </w:r>
      <w:r>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Pr>
          <w:rFonts w:ascii="Verdana" w:eastAsia="Arial" w:hAnsi="Verdana" w:cs="Arial"/>
          <w:vertAlign w:val="superscript"/>
          <w:lang w:eastAsia="es-ES" w:bidi="es-ES"/>
        </w:rPr>
        <w:footnoteReference w:id="28"/>
      </w:r>
      <w:r>
        <w:rPr>
          <w:rFonts w:ascii="Verdana" w:eastAsia="Arial" w:hAnsi="Verdana" w:cs="Arial"/>
          <w:lang w:eastAsia="es-ES" w:bidi="es-ES"/>
        </w:rPr>
        <w:t xml:space="preserve">. Para tales </w:t>
      </w:r>
      <w:r>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w:t>
      </w:r>
      <w:proofErr w:type="spellStart"/>
      <w:r>
        <w:rPr>
          <w:rFonts w:ascii="Verdana" w:eastAsia="Arial" w:hAnsi="Verdana" w:cs="Arial"/>
          <w:lang w:eastAsia="es-ES" w:bidi="es-ES"/>
        </w:rPr>
        <w:t>legis</w:t>
      </w:r>
      <w:proofErr w:type="spellEnd"/>
      <w:r>
        <w:rPr>
          <w:rFonts w:ascii="Verdana" w:eastAsia="Arial" w:hAnsi="Verdana" w:cs="Arial"/>
          <w:lang w:eastAsia="es-ES" w:bidi="es-ES"/>
        </w:rPr>
        <w:t xml:space="preserve"> o iuris y la interpretación extensiva y reiteró los argumentos sobre la diferencia entre contratos y convenios interadministrativos. </w:t>
      </w:r>
    </w:p>
    <w:p w14:paraId="0E4DD72B" w14:textId="77777777" w:rsidR="009B5304" w:rsidRDefault="009B5304" w:rsidP="009B5304">
      <w:pPr>
        <w:spacing w:after="120" w:line="276" w:lineRule="auto"/>
        <w:ind w:firstLine="709"/>
        <w:jc w:val="both"/>
        <w:rPr>
          <w:rFonts w:ascii="Verdana" w:eastAsia="Times New Roman" w:hAnsi="Verdana" w:cs="Times New Roman"/>
          <w:lang w:eastAsia="es-ES"/>
        </w:rPr>
      </w:pPr>
      <w:r>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B44439E" w14:textId="77777777" w:rsidR="009B5304" w:rsidRDefault="009B5304" w:rsidP="009B5304">
      <w:pPr>
        <w:spacing w:after="120" w:line="276" w:lineRule="auto"/>
        <w:ind w:firstLine="709"/>
        <w:jc w:val="both"/>
        <w:rPr>
          <w:rFonts w:ascii="Verdana" w:eastAsia="Times New Roman" w:hAnsi="Verdana" w:cs="Times New Roman"/>
          <w:lang w:eastAsia="es-ES"/>
        </w:rPr>
      </w:pPr>
      <w:r>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Pr>
          <w:rStyle w:val="Refdenotaalpie"/>
          <w:rFonts w:ascii="Verdana" w:eastAsia="Times New Roman" w:hAnsi="Verdana" w:cs="Times New Roman"/>
          <w:lang w:eastAsia="es-ES"/>
        </w:rPr>
        <w:footnoteReference w:id="29"/>
      </w:r>
      <w:r>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w:t>
      </w:r>
      <w:r>
        <w:rPr>
          <w:rFonts w:ascii="Verdana" w:eastAsia="Times New Roman" w:hAnsi="Verdana" w:cs="Times New Roman"/>
          <w:lang w:eastAsia="es-ES"/>
        </w:rPr>
        <w:lastRenderedPageBreak/>
        <w:t xml:space="preserve">en cooperación sin ánimo económico. Por ello, la restricción legal no podía aplicarse extensivamente a los contratos. </w:t>
      </w:r>
    </w:p>
    <w:p w14:paraId="64E2EAAC" w14:textId="77777777" w:rsidR="009B5304" w:rsidRPr="00534313" w:rsidRDefault="009B5304" w:rsidP="009B5304">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534313">
        <w:rPr>
          <w:rFonts w:ascii="Verdana" w:eastAsia="Times New Roman" w:hAnsi="Verdana" w:cs="Arial"/>
          <w:i/>
          <w:iCs/>
          <w:lang w:eastAsia="es-CO"/>
        </w:rPr>
        <w:t>contratos interadministrativos</w:t>
      </w:r>
      <w:r w:rsidRPr="00534313">
        <w:rPr>
          <w:rFonts w:ascii="Verdana" w:eastAsia="Times New Roman" w:hAnsi="Verdana" w:cs="Arial"/>
          <w:lang w:eastAsia="es-CO"/>
        </w:rPr>
        <w:t>, esta prohibición solo aplicaría a los convenios interadministrativos que impliquen la ejecución de recursos públicos</w:t>
      </w:r>
      <w:r w:rsidRPr="00534313">
        <w:rPr>
          <w:rFonts w:ascii="Verdana" w:eastAsia="Times New Roman" w:hAnsi="Verdana" w:cs="Arial"/>
          <w:vertAlign w:val="superscript"/>
          <w:lang w:eastAsia="es-CO"/>
        </w:rPr>
        <w:footnoteReference w:id="30"/>
      </w:r>
      <w:r w:rsidRPr="00534313">
        <w:rPr>
          <w:rFonts w:ascii="Verdana" w:eastAsia="Times New Roman" w:hAnsi="Verdana" w:cs="Arial"/>
          <w:lang w:eastAsia="es-CO"/>
        </w:rPr>
        <w:t xml:space="preserve">. Conforme a lo señalado por el Consejo de Estado, cuando dos entidades públicas celebren un </w:t>
      </w:r>
      <w:r w:rsidRPr="00534313">
        <w:rPr>
          <w:rFonts w:ascii="Verdana" w:eastAsia="Times New Roman" w:hAnsi="Verdana" w:cs="Arial"/>
          <w:i/>
          <w:iCs/>
          <w:lang w:eastAsia="es-CO"/>
        </w:rPr>
        <w:t>contrato interadministrativo,</w:t>
      </w:r>
      <w:r w:rsidRPr="00534313">
        <w:rPr>
          <w:rFonts w:ascii="Verdana" w:eastAsia="Times New Roman" w:hAnsi="Verdana" w:cs="Arial"/>
          <w:lang w:eastAsia="es-CO"/>
        </w:rPr>
        <w:t xml:space="preserve"> independientemente del objeto, dicho contrato puede suscribirse durante el periodo preelectoral.</w:t>
      </w:r>
    </w:p>
    <w:p w14:paraId="7051C65C" w14:textId="77777777" w:rsidR="009B5304" w:rsidRPr="00534313" w:rsidRDefault="009B5304" w:rsidP="009B5304">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sidRPr="00534313">
        <w:rPr>
          <w:rFonts w:ascii="Verdana" w:eastAsia="Times New Roman" w:hAnsi="Verdana" w:cs="Arial"/>
          <w:bCs/>
          <w:lang w:val="es-MX" w:eastAsia="es-CO"/>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0C33BD9F" w14:textId="77777777" w:rsidR="009B5304" w:rsidRPr="00534313" w:rsidRDefault="009B5304" w:rsidP="009B5304">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 xml:space="preserve"> No obstante, es importante mencionar que aún se encuentra por definir la demanda </w:t>
      </w:r>
      <w:r w:rsidRPr="00534313">
        <w:rPr>
          <w:rFonts w:ascii="Verdana" w:eastAsia="Times New Roman" w:hAnsi="Verdana" w:cs="Arial"/>
          <w:lang w:val="es-ES" w:eastAsia="es-CO"/>
        </w:rPr>
        <w:t xml:space="preserve">de nulidad simple, identificada con el Radicado número 11001-03-26-000-2025-00016-00, en la cual se cuestiona </w:t>
      </w:r>
      <w:r w:rsidRPr="00534313">
        <w:rPr>
          <w:rFonts w:ascii="Verdana" w:eastAsia="Times New Roman" w:hAnsi="Verdana" w:cs="Arial"/>
          <w:lang w:eastAsia="es-CO"/>
        </w:rPr>
        <w:t xml:space="preserve">parcialmente el numeral 16.2 de la Circular Externa Única CCE-EICP-MA-06, Versión 03 del 27 de diciembre </w:t>
      </w:r>
      <w:r w:rsidRPr="00534313">
        <w:rPr>
          <w:rFonts w:ascii="Verdana" w:eastAsia="Times New Roman" w:hAnsi="Verdana" w:cs="Arial"/>
          <w:lang w:eastAsia="es-CO"/>
        </w:rPr>
        <w:lastRenderedPageBreak/>
        <w:t>de 2023.</w:t>
      </w:r>
      <w:r w:rsidRPr="00534313">
        <w:rPr>
          <w:rFonts w:ascii="Verdana" w:eastAsia="Times New Roman" w:hAnsi="Verdana" w:cs="Arial"/>
          <w:lang w:val="es-ES" w:eastAsia="es-CO"/>
        </w:rPr>
        <w:t xml:space="preserve"> </w:t>
      </w:r>
      <w:r w:rsidRPr="00534313">
        <w:rPr>
          <w:rFonts w:ascii="Verdana" w:eastAsia="Times New Roman" w:hAnsi="Verdana" w:cs="Arial"/>
          <w:bCs/>
          <w:lang w:eastAsia="es-CO"/>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534313">
        <w:rPr>
          <w:rFonts w:ascii="Verdana" w:eastAsia="Times New Roman" w:hAnsi="Verdana" w:cs="Arial"/>
          <w:lang w:eastAsia="es-CO"/>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37FE3C87" w14:textId="77777777" w:rsidR="009B5304" w:rsidRPr="00C67B1F" w:rsidRDefault="009B5304" w:rsidP="009B5304">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vigor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31"/>
      </w:r>
      <w:r w:rsidRPr="0057193B">
        <w:rPr>
          <w:rFonts w:ascii="Verdana" w:eastAsia="Times New Roman" w:hAnsi="Verdana" w:cs="Arial"/>
          <w:bCs/>
          <w:lang w:val="es-MX" w:eastAsia="es-CO"/>
        </w:rPr>
        <w:t>. Además, también es posible que contratos celebrados previamente se continúen ejecutando con normalidad.</w:t>
      </w:r>
    </w:p>
    <w:p w14:paraId="2F64D0A0" w14:textId="77777777" w:rsidR="009B5304" w:rsidRPr="005154AE" w:rsidRDefault="009B5304" w:rsidP="009B5304">
      <w:pPr>
        <w:spacing w:after="120" w:line="276" w:lineRule="auto"/>
        <w:jc w:val="both"/>
        <w:rPr>
          <w:rFonts w:ascii="Verdana" w:eastAsia="Arial" w:hAnsi="Verdana" w:cs="Arial"/>
          <w:bCs/>
          <w:color w:val="000000" w:themeColor="text1"/>
        </w:rPr>
      </w:pPr>
      <w:proofErr w:type="spellStart"/>
      <w:r>
        <w:rPr>
          <w:rFonts w:ascii="Verdana" w:eastAsia="Arial" w:hAnsi="Verdana" w:cs="Arial"/>
          <w:lang w:val="es-ES" w:eastAsia="es-ES" w:bidi="es-ES"/>
        </w:rPr>
        <w:t>iv</w:t>
      </w:r>
      <w:proofErr w:type="spellEnd"/>
      <w:r>
        <w:rPr>
          <w:rFonts w:ascii="Verdana" w:eastAsia="Arial" w:hAnsi="Verdana" w:cs="Arial"/>
          <w:lang w:val="es-ES" w:eastAsia="es-ES" w:bidi="es-ES"/>
        </w:rPr>
        <w:t xml:space="preserve">.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rPr>
        <w:t xml:space="preserve">las entidades públicas debe realizarse </w:t>
      </w:r>
      <w:r w:rsidRPr="00F4158D">
        <w:rPr>
          <w:rFonts w:ascii="Verdana" w:eastAsia="Calibri" w:hAnsi="Verdana" w:cs="Arial"/>
          <w:bCs/>
          <w:color w:val="000000" w:themeColor="text1"/>
        </w:rPr>
        <w:t>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A44BD6" w14:textId="77777777" w:rsidR="009B5304" w:rsidRPr="00F4158D" w:rsidRDefault="009B5304" w:rsidP="009B5304">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F4158D">
        <w:rPr>
          <w:rFonts w:ascii="Verdana" w:eastAsia="Calibri" w:hAnsi="Verdana" w:cs="Arial"/>
          <w:bCs/>
          <w:color w:val="000000" w:themeColor="text1"/>
        </w:rPr>
        <w:lastRenderedPageBreak/>
        <w:t>el principio de juridicidad. Así, cada entidad definirá la forma de adelantar su gestión contractual, sin que sea atribución de Colombia Compra Eficiente validar sus actuaciones.</w:t>
      </w:r>
    </w:p>
    <w:p w14:paraId="3EFE360C" w14:textId="77777777" w:rsidR="009B5304" w:rsidRPr="00AE1E71" w:rsidRDefault="009B5304" w:rsidP="009B5304">
      <w:pPr>
        <w:spacing w:after="0" w:line="276" w:lineRule="auto"/>
        <w:jc w:val="both"/>
        <w:rPr>
          <w:rFonts w:ascii="Verdana" w:hAnsi="Verdana"/>
          <w:lang w:val="es-ES"/>
        </w:rPr>
      </w:pPr>
    </w:p>
    <w:p w14:paraId="396C3404" w14:textId="77777777" w:rsidR="009B5304" w:rsidRPr="00AE1E71" w:rsidRDefault="009B5304" w:rsidP="009B5304">
      <w:pPr>
        <w:tabs>
          <w:tab w:val="left" w:pos="142"/>
          <w:tab w:val="left" w:pos="284"/>
        </w:tabs>
        <w:spacing w:after="0" w:line="276" w:lineRule="auto"/>
        <w:rPr>
          <w:rFonts w:ascii="Verdana" w:eastAsia="Century Gothic" w:hAnsi="Verdana" w:cs="Century Gothic"/>
          <w:b/>
          <w:bCs/>
        </w:rPr>
      </w:pPr>
      <w:r w:rsidRPr="00AE1E71">
        <w:rPr>
          <w:rFonts w:ascii="Verdana" w:eastAsia="Century Gothic" w:hAnsi="Verdana" w:cs="Century Gothic"/>
          <w:b/>
          <w:bCs/>
        </w:rPr>
        <w:t>4. Referencias normativas:</w:t>
      </w:r>
      <w:bookmarkEnd w:id="4"/>
    </w:p>
    <w:p w14:paraId="07144623" w14:textId="77777777" w:rsidR="009B5304" w:rsidRPr="00FE167C" w:rsidRDefault="009B5304" w:rsidP="009B5304">
      <w:pPr>
        <w:widowControl w:val="0"/>
        <w:autoSpaceDE w:val="0"/>
        <w:autoSpaceDN w:val="0"/>
        <w:spacing w:after="0" w:line="276" w:lineRule="auto"/>
        <w:jc w:val="both"/>
        <w:rPr>
          <w:rFonts w:ascii="Verdana" w:hAnsi="Verdana" w:cs="Arial"/>
          <w:color w:val="00BCD8"/>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5304" w:rsidRPr="00FE167C" w14:paraId="26649FDE" w14:textId="77777777">
        <w:trPr>
          <w:trHeight w:val="1162"/>
          <w:jc w:val="center"/>
        </w:trPr>
        <w:tc>
          <w:tcPr>
            <w:tcW w:w="8647" w:type="dxa"/>
          </w:tcPr>
          <w:p w14:paraId="2FD36789"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Constitución Política de Colombia. Artículos: 127 y 197. </w:t>
            </w:r>
          </w:p>
          <w:p w14:paraId="5C37BCCC"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80 de 1993. Artículos: 39 y 41. </w:t>
            </w:r>
          </w:p>
          <w:p w14:paraId="6152C9A1"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1150 de 2007. Artículo 2.  </w:t>
            </w:r>
          </w:p>
          <w:p w14:paraId="400E186E"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996 de 2025. Artículos: 9, 33 y 38.  </w:t>
            </w:r>
          </w:p>
          <w:p w14:paraId="77CBFFDC"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lo Contencioso Administrativo. Sección Primera. Sentencia de 3 de marzo de 2005. Radicado: 25001-23-15-000-2004-00823-01(PI). C.P: Camilo Arciniegas Andrade.  </w:t>
            </w:r>
          </w:p>
          <w:p w14:paraId="68239B32"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24 de julio de 2013, radicado: 11001-03-06-000-2013-00407-00 (2166). C.P. Álvaro Namén Vargas. </w:t>
            </w:r>
          </w:p>
          <w:p w14:paraId="3905CC2B" w14:textId="77777777" w:rsidR="009B5304" w:rsidRPr="000E2A3A"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Concepto del 17 de febrero de 2015. Radicado: 11001-03-06-000-2015-00164-00 (2269). C.P. William Zambrano Cetina. </w:t>
            </w:r>
          </w:p>
          <w:p w14:paraId="2E7662E4" w14:textId="77777777" w:rsidR="009B5304"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Concepto del 2 de septiembre de 2013. Radicación: 11001-03-06-000-2013-00412-00 (2168). Consejero Ponente: Álvaro Namén Vargas. </w:t>
            </w:r>
          </w:p>
          <w:p w14:paraId="0EBC936E" w14:textId="77777777" w:rsidR="009B5304" w:rsidRPr="00A418DB"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143132">
              <w:rPr>
                <w:rFonts w:ascii="Verdana" w:eastAsia="Times New Roman" w:hAnsi="Verdana" w:cs="Times New Roman"/>
                <w:lang w:val="es-ES" w:eastAsia="es-ES"/>
              </w:rPr>
              <w:t xml:space="preserve">Consejo de Estado. Sala de lo Contencioso Administrativo. Sección Tercera. Subsección B. </w:t>
            </w:r>
            <w:r w:rsidRPr="000A4A44">
              <w:rPr>
                <w:rFonts w:ascii="Verdana" w:eastAsia="Times New Roman" w:hAnsi="Verdana" w:cs="Times New Roman"/>
                <w:lang w:eastAsia="es-ES"/>
              </w:rPr>
              <w:t>Sentencia del</w:t>
            </w:r>
            <w:r>
              <w:rPr>
                <w:rFonts w:ascii="Verdana" w:eastAsia="Times New Roman" w:hAnsi="Verdana" w:cs="Times New Roman"/>
                <w:lang w:eastAsia="es-ES"/>
              </w:rPr>
              <w:t xml:space="preserve"> </w:t>
            </w:r>
            <w:r>
              <w:rPr>
                <w:rFonts w:ascii="Verdana" w:eastAsia="Times New Roman" w:hAnsi="Verdana" w:cs="Times New Roman"/>
                <w:lang w:val="es-ES" w:eastAsia="es-ES"/>
              </w:rPr>
              <w:t>04</w:t>
            </w:r>
            <w:r w:rsidRPr="00143132">
              <w:rPr>
                <w:rFonts w:ascii="Verdana" w:eastAsia="Times New Roman" w:hAnsi="Verdana" w:cs="Times New Roman"/>
                <w:lang w:val="es-ES" w:eastAsia="es-ES"/>
              </w:rPr>
              <w:t xml:space="preserve"> de octubre de 202</w:t>
            </w:r>
            <w:r>
              <w:rPr>
                <w:rFonts w:ascii="Verdana" w:eastAsia="Times New Roman" w:hAnsi="Verdana" w:cs="Times New Roman"/>
                <w:lang w:val="es-ES" w:eastAsia="es-ES"/>
              </w:rPr>
              <w:t>4</w:t>
            </w:r>
            <w:r w:rsidRPr="00143132">
              <w:rPr>
                <w:rFonts w:ascii="Verdana" w:eastAsia="Times New Roman" w:hAnsi="Verdana" w:cs="Times New Roman"/>
                <w:lang w:val="es-ES" w:eastAsia="es-ES"/>
              </w:rPr>
              <w:t>.</w:t>
            </w:r>
            <w:r w:rsidRPr="001400DD">
              <w:t xml:space="preserve"> </w:t>
            </w:r>
            <w:r w:rsidRPr="001400DD">
              <w:rPr>
                <w:rFonts w:ascii="Verdana" w:eastAsia="Times New Roman" w:hAnsi="Verdana" w:cs="Times New Roman"/>
                <w:lang w:eastAsia="es-ES"/>
              </w:rPr>
              <w:t xml:space="preserve">Radicado: 11001-03-26-000-2023-00139-00 (70.313). C.P. </w:t>
            </w:r>
            <w:r w:rsidRPr="00A418DB">
              <w:rPr>
                <w:rFonts w:ascii="Verdana" w:eastAsia="Times New Roman" w:hAnsi="Verdana" w:cs="Times New Roman"/>
                <w:lang w:eastAsia="es-ES"/>
              </w:rPr>
              <w:t>Fredy Ibarra Martínez</w:t>
            </w:r>
            <w:r>
              <w:rPr>
                <w:rFonts w:ascii="Verdana" w:eastAsia="Times New Roman" w:hAnsi="Verdana" w:cs="Times New Roman"/>
                <w:lang w:eastAsia="es-ES"/>
              </w:rPr>
              <w:t>.</w:t>
            </w:r>
          </w:p>
          <w:p w14:paraId="7370AB30" w14:textId="77777777" w:rsidR="009B5304" w:rsidRDefault="009B5304" w:rsidP="009B5304">
            <w:pPr>
              <w:widowControl w:val="0"/>
              <w:numPr>
                <w:ilvl w:val="0"/>
                <w:numId w:val="17"/>
              </w:numPr>
              <w:autoSpaceDE w:val="0"/>
              <w:autoSpaceDN w:val="0"/>
              <w:spacing w:before="120" w:after="120"/>
              <w:jc w:val="both"/>
              <w:rPr>
                <w:rFonts w:ascii="Verdana" w:eastAsia="Arial MT" w:hAnsi="Verdana" w:cs="Arial"/>
                <w:lang w:eastAsia="es-ES" w:bidi="es-ES"/>
              </w:rPr>
            </w:pPr>
            <w:r w:rsidRPr="000F79F9">
              <w:rPr>
                <w:rFonts w:ascii="Verdana" w:eastAsia="Arial MT" w:hAnsi="Verdana" w:cs="Arial"/>
                <w:lang w:eastAsia="es-ES" w:bidi="es-ES"/>
              </w:rPr>
              <w:t>Consejo de Estado. Sala de lo Contencioso Administrativo. Sección Tercera. Subsección A. Sentencia del 13 de noviembre de 2013. Radicado: 25000-23-26-000-1999-02197-01 (25646). C.P. Mauricio Fajardo Gómez.  </w:t>
            </w:r>
          </w:p>
          <w:p w14:paraId="44645489" w14:textId="77777777" w:rsidR="009B5304" w:rsidRPr="00760CA8" w:rsidRDefault="009B5304" w:rsidP="009B5304">
            <w:pPr>
              <w:widowControl w:val="0"/>
              <w:numPr>
                <w:ilvl w:val="0"/>
                <w:numId w:val="17"/>
              </w:numPr>
              <w:autoSpaceDE w:val="0"/>
              <w:autoSpaceDN w:val="0"/>
              <w:spacing w:before="120" w:after="120" w:line="259" w:lineRule="auto"/>
              <w:jc w:val="both"/>
              <w:rPr>
                <w:rFonts w:ascii="Verdana" w:eastAsia="Arial MT" w:hAnsi="Verdana" w:cs="Arial"/>
                <w:lang w:eastAsia="es-ES" w:bidi="es-ES"/>
              </w:rPr>
            </w:pPr>
            <w:r w:rsidRPr="00760CA8">
              <w:rPr>
                <w:rFonts w:ascii="Verdana" w:eastAsia="Arial MT" w:hAnsi="Verdana" w:cs="Arial"/>
                <w:lang w:eastAsia="es-ES" w:bidi="es-ES"/>
              </w:rPr>
              <w:t>Consejo de Estado. Sala de lo Contencioso Administrativo. Sección Tercera. Subsección B. 13 de noviembre de 2024. Radicado: 11001-03-26-000-2023-00139-00 (70.313). C.P. Fredy Ibarra Martínez.</w:t>
            </w:r>
          </w:p>
          <w:p w14:paraId="580BEE99" w14:textId="77777777" w:rsidR="009B5304" w:rsidRPr="000E2A3A" w:rsidRDefault="009B5304" w:rsidP="009B5304">
            <w:pPr>
              <w:widowControl w:val="0"/>
              <w:numPr>
                <w:ilvl w:val="0"/>
                <w:numId w:val="17"/>
              </w:numPr>
              <w:autoSpaceDE w:val="0"/>
              <w:autoSpaceDN w:val="0"/>
              <w:spacing w:before="120" w:after="120" w:line="259" w:lineRule="auto"/>
              <w:jc w:val="both"/>
              <w:rPr>
                <w:rFonts w:ascii="Verdana" w:eastAsia="Arial MT" w:hAnsi="Verdana" w:cs="Arial"/>
                <w:lang w:eastAsia="es-ES" w:bidi="es-ES"/>
              </w:rPr>
            </w:pPr>
            <w:r w:rsidRPr="00760CA8">
              <w:rPr>
                <w:rFonts w:ascii="Verdana" w:eastAsia="Arial MT" w:hAnsi="Verdana" w:cs="Arial"/>
                <w:lang w:eastAsia="es-ES" w:bidi="es-ES"/>
              </w:rPr>
              <w:t>Consejo de Estado. Sala de lo Contencioso Administrativo. Sección Tercera. Subsección B. 06 de noviembre de 2025. Radicado: 11001-</w:t>
            </w:r>
            <w:r w:rsidRPr="00760CA8">
              <w:rPr>
                <w:rFonts w:ascii="Verdana" w:eastAsia="Arial MT" w:hAnsi="Verdana" w:cs="Arial"/>
                <w:lang w:eastAsia="es-ES" w:bidi="es-ES"/>
              </w:rPr>
              <w:lastRenderedPageBreak/>
              <w:t>03-26-000-2025-00016-00 (72.424). C.P. Fernando Alexei Pardo Flórez.</w:t>
            </w:r>
          </w:p>
          <w:p w14:paraId="5CCD53D3" w14:textId="77777777" w:rsidR="009B5304" w:rsidRPr="00343E12" w:rsidRDefault="009B5304" w:rsidP="009B5304">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C-1153 de 2005 de 11 de noviembre de 2005. M.P: Marco Gerardo Monroy Cabra.</w:t>
            </w:r>
          </w:p>
          <w:p w14:paraId="4C15A33D" w14:textId="77777777" w:rsidR="009B5304" w:rsidRPr="00343E12" w:rsidRDefault="009B5304" w:rsidP="009B5304">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75242FFA" w14:textId="77777777" w:rsidR="009B5304" w:rsidRPr="00343E12" w:rsidRDefault="009B5304" w:rsidP="009B5304">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C-551 de 9 de julio de 2003. M.P: Eduardo Montealegre Lynnet.</w:t>
            </w:r>
          </w:p>
          <w:p w14:paraId="08517B57" w14:textId="77777777" w:rsidR="009B5304" w:rsidRPr="00343E12" w:rsidRDefault="009B5304" w:rsidP="009B5304">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38F57346" w14:textId="77777777" w:rsidR="009B5304" w:rsidRPr="00343E12" w:rsidRDefault="009B5304" w:rsidP="009B5304">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3B5426E3" w14:textId="77777777" w:rsidR="009B5304" w:rsidRPr="00FE167C" w:rsidRDefault="009B5304" w:rsidP="009B5304">
            <w:pPr>
              <w:pStyle w:val="NormalWeb"/>
              <w:numPr>
                <w:ilvl w:val="0"/>
                <w:numId w:val="17"/>
              </w:numPr>
              <w:spacing w:beforeAutospacing="0" w:after="0" w:afterAutospacing="0" w:line="276" w:lineRule="auto"/>
              <w:jc w:val="both"/>
              <w:rPr>
                <w:rFonts w:ascii="Verdana" w:hAnsi="Verdana" w:cs="Arial"/>
                <w:color w:val="00BCD8"/>
                <w:sz w:val="22"/>
                <w:szCs w:val="22"/>
                <w:lang w:val="es-ES"/>
              </w:rPr>
            </w:pPr>
            <w:r w:rsidRPr="000E2A3A">
              <w:rPr>
                <w:rFonts w:ascii="Verdana" w:eastAsia="Arial MT" w:hAnsi="Verdana" w:cs="Arial"/>
                <w:lang w:eastAsia="es-ES" w:bidi="es-ES"/>
              </w:rPr>
              <w:t>Circular única Externa. En </w:t>
            </w:r>
            <w:hyperlink r:id="rId13" w:tgtFrame="_blank" w:history="1">
              <w:r w:rsidRPr="000E2A3A">
                <w:rPr>
                  <w:rStyle w:val="Hipervnculo"/>
                  <w:rFonts w:ascii="Verdana" w:eastAsia="Arial MT" w:hAnsi="Verdana" w:cs="Arial"/>
                  <w:lang w:eastAsia="es-ES" w:bidi="es-ES"/>
                </w:rPr>
                <w:t>circular_externa_unica_version_3_vf49.pdf</w:t>
              </w:r>
            </w:hyperlink>
          </w:p>
        </w:tc>
      </w:tr>
    </w:tbl>
    <w:p w14:paraId="7D55D379" w14:textId="77777777" w:rsidR="009B5304" w:rsidRPr="00FE167C" w:rsidRDefault="009B5304" w:rsidP="009B5304">
      <w:pPr>
        <w:widowControl w:val="0"/>
        <w:autoSpaceDE w:val="0"/>
        <w:autoSpaceDN w:val="0"/>
        <w:spacing w:after="0" w:line="276" w:lineRule="auto"/>
        <w:jc w:val="both"/>
        <w:rPr>
          <w:rFonts w:ascii="Verdana" w:hAnsi="Verdana" w:cs="Arial"/>
          <w:color w:val="00BCD8"/>
        </w:rPr>
      </w:pPr>
    </w:p>
    <w:p w14:paraId="609EC244" w14:textId="77777777" w:rsidR="009B5304" w:rsidRPr="00AE1E71" w:rsidRDefault="009B5304" w:rsidP="009B5304">
      <w:pPr>
        <w:tabs>
          <w:tab w:val="left" w:pos="142"/>
          <w:tab w:val="left" w:pos="284"/>
        </w:tabs>
        <w:spacing w:after="0" w:line="276" w:lineRule="auto"/>
        <w:jc w:val="both"/>
        <w:rPr>
          <w:rFonts w:ascii="Verdana" w:eastAsia="Century Gothic" w:hAnsi="Verdana" w:cs="Century Gothic"/>
          <w:b/>
          <w:bCs/>
        </w:rPr>
      </w:pPr>
      <w:r w:rsidRPr="00AE1E71">
        <w:rPr>
          <w:rFonts w:ascii="Verdana" w:eastAsia="Century Gothic" w:hAnsi="Verdana" w:cs="Century Gothic"/>
          <w:b/>
          <w:bCs/>
        </w:rPr>
        <w:t>5. Doctrina de la Agencia Nacional de Contratación Pública:</w:t>
      </w:r>
    </w:p>
    <w:p w14:paraId="458F878A" w14:textId="77777777" w:rsidR="009B5304" w:rsidRPr="00FE167C" w:rsidRDefault="009B5304" w:rsidP="009B5304">
      <w:pPr>
        <w:widowControl w:val="0"/>
        <w:autoSpaceDE w:val="0"/>
        <w:autoSpaceDN w:val="0"/>
        <w:spacing w:after="0" w:line="276" w:lineRule="auto"/>
        <w:jc w:val="both"/>
        <w:rPr>
          <w:rFonts w:ascii="Verdana" w:eastAsia="Aptos" w:hAnsi="Verdana" w:cs="Arial"/>
          <w:color w:val="00BCD8"/>
          <w:shd w:val="clear" w:color="auto" w:fill="FFFFFF"/>
          <w:lang w:val="es-ES"/>
        </w:rPr>
      </w:pPr>
    </w:p>
    <w:p w14:paraId="2E4F94FF" w14:textId="77777777" w:rsidR="009B5304" w:rsidRDefault="009B5304" w:rsidP="009B5304">
      <w:pPr>
        <w:spacing w:after="0" w:line="240" w:lineRule="auto"/>
        <w:jc w:val="both"/>
        <w:rPr>
          <w:rFonts w:ascii="Verdana" w:hAnsi="Verdana" w:cs="Arial"/>
          <w:color w:val="0070C0"/>
          <w:shd w:val="clear" w:color="auto" w:fill="FFFFFF"/>
        </w:rPr>
      </w:pPr>
    </w:p>
    <w:p w14:paraId="3E13C8A3" w14:textId="2C5D4FB5" w:rsidR="009B5304" w:rsidRPr="00CC1C63" w:rsidRDefault="009B5304" w:rsidP="009B5304">
      <w:pPr>
        <w:spacing w:after="120" w:line="276" w:lineRule="auto"/>
        <w:jc w:val="both"/>
        <w:rPr>
          <w:rFonts w:ascii="Verdana" w:hAnsi="Verdana"/>
        </w:rPr>
      </w:pPr>
      <w:r w:rsidRPr="00CC1C63">
        <w:rPr>
          <w:rFonts w:ascii="Verdana" w:hAnsi="Verdana"/>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w:t>
      </w:r>
      <w:r w:rsidRPr="00CC1C63">
        <w:rPr>
          <w:rFonts w:ascii="Verdana" w:hAnsi="Verdana"/>
        </w:rPr>
        <w:lastRenderedPageBreak/>
        <w:t xml:space="preserve">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C-1773 del 5 de diciembre de 2025, C – 1603 del 9 de diciembre de 2025, C-1646 del 17 de diciembre de 2025,  C-1703 del 29 de diciembre de 2025, </w:t>
      </w:r>
      <w:r>
        <w:rPr>
          <w:rFonts w:ascii="Verdana" w:hAnsi="Verdana"/>
        </w:rPr>
        <w:t xml:space="preserve">C-1812 del 21 de enero de 2026, C- 086 del 27 de enero de 2026 </w:t>
      </w:r>
      <w:r w:rsidRPr="00CC1C63">
        <w:rPr>
          <w:rFonts w:ascii="Verdana" w:hAnsi="Verdana"/>
        </w:rPr>
        <w:t>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4" w:history="1">
        <w:r w:rsidRPr="00CC1C63">
          <w:rPr>
            <w:rStyle w:val="Hipervnculo"/>
            <w:rFonts w:ascii="Verdana" w:hAnsi="Verdana"/>
          </w:rPr>
          <w:t>https://relatoria.colombiacompra.gov.co/busqueda/conceptos</w:t>
        </w:r>
      </w:hyperlink>
      <w:r w:rsidRPr="00CC1C63">
        <w:rPr>
          <w:rFonts w:ascii="Verdana" w:hAnsi="Verdana"/>
        </w:rPr>
        <w:t xml:space="preserve">. </w:t>
      </w:r>
    </w:p>
    <w:p w14:paraId="1804F26E" w14:textId="123BD118" w:rsidR="009B5304" w:rsidRPr="00FA312E" w:rsidRDefault="009B5304" w:rsidP="009B5304">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Por último, lo invitamos a seguirnos en las redes sociales en las cuales se difunde información institucional:  </w:t>
      </w:r>
    </w:p>
    <w:p w14:paraId="10D517F1" w14:textId="77777777" w:rsidR="009B5304" w:rsidRPr="00FA312E" w:rsidRDefault="009B5304" w:rsidP="009B5304">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Twitter: </w:t>
      </w:r>
      <w:r w:rsidRPr="00FA312E">
        <w:rPr>
          <w:rFonts w:ascii="Verdana" w:hAnsi="Verdana" w:cs="Arial"/>
          <w:u w:val="single"/>
          <w:shd w:val="clear" w:color="auto" w:fill="FFFFFF"/>
        </w:rPr>
        <w:t>@colombiacompra</w:t>
      </w:r>
      <w:r w:rsidRPr="00FA312E">
        <w:rPr>
          <w:rFonts w:ascii="Verdana" w:hAnsi="Verdana" w:cs="Arial"/>
          <w:shd w:val="clear" w:color="auto" w:fill="FFFFFF"/>
        </w:rPr>
        <w:t>  </w:t>
      </w:r>
    </w:p>
    <w:p w14:paraId="5A0431F2" w14:textId="77777777" w:rsidR="009B5304" w:rsidRPr="00FA312E" w:rsidRDefault="009B5304" w:rsidP="009B5304">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Facebook: </w:t>
      </w:r>
      <w:proofErr w:type="spellStart"/>
      <w:r w:rsidRPr="00FA312E">
        <w:rPr>
          <w:rFonts w:ascii="Verdana" w:hAnsi="Verdana" w:cs="Arial"/>
          <w:u w:val="single"/>
          <w:shd w:val="clear" w:color="auto" w:fill="FFFFFF"/>
        </w:rPr>
        <w:t>ColombiaCompraEficiente</w:t>
      </w:r>
      <w:proofErr w:type="spellEnd"/>
      <w:r w:rsidRPr="00FA312E">
        <w:rPr>
          <w:rFonts w:ascii="Verdana" w:hAnsi="Verdana" w:cs="Arial"/>
          <w:shd w:val="clear" w:color="auto" w:fill="FFFFFF"/>
        </w:rPr>
        <w:t> </w:t>
      </w:r>
    </w:p>
    <w:p w14:paraId="6DFCEFFF" w14:textId="1AE0DABC" w:rsidR="009B5304" w:rsidRPr="00FA312E" w:rsidRDefault="009B5304" w:rsidP="009B5304">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LinkedIn: Agencia Nacional de Contratación Pública - Colombia Compra Eficiente</w:t>
      </w:r>
    </w:p>
    <w:p w14:paraId="1B8FF6BC" w14:textId="1972CB52" w:rsidR="009B5304" w:rsidRPr="00431FE8" w:rsidRDefault="009B5304" w:rsidP="009B5304">
      <w:pPr>
        <w:widowControl w:val="0"/>
        <w:autoSpaceDE w:val="0"/>
        <w:autoSpaceDN w:val="0"/>
        <w:spacing w:after="0" w:line="276" w:lineRule="auto"/>
        <w:jc w:val="both"/>
        <w:rPr>
          <w:rFonts w:ascii="Verdana" w:hAnsi="Verdana" w:cs="Arial"/>
          <w:color w:val="002060"/>
          <w:shd w:val="clear" w:color="auto" w:fill="FFFFFF"/>
        </w:rPr>
      </w:pPr>
      <w:r w:rsidRPr="00FA312E">
        <w:rPr>
          <w:rFonts w:ascii="Verdana" w:hAnsi="Verdana" w:cs="Arial"/>
          <w:shd w:val="clear" w:color="auto" w:fill="FFFFFF"/>
        </w:rPr>
        <w:t>Instagram: </w:t>
      </w:r>
      <w:r w:rsidRPr="00431FE8">
        <w:rPr>
          <w:rFonts w:ascii="Verdana" w:hAnsi="Verdana" w:cs="Arial"/>
          <w:color w:val="002060"/>
          <w:u w:val="single"/>
          <w:shd w:val="clear" w:color="auto" w:fill="FFFFFF"/>
        </w:rPr>
        <w:t>@colombiacompraeficiente_cce</w:t>
      </w:r>
    </w:p>
    <w:p w14:paraId="5A8C529A" w14:textId="7964B41A" w:rsidR="00431FE8" w:rsidRPr="00FA312E" w:rsidRDefault="00431FE8" w:rsidP="00431FE8">
      <w:pPr>
        <w:widowControl w:val="0"/>
        <w:autoSpaceDE w:val="0"/>
        <w:autoSpaceDN w:val="0"/>
        <w:spacing w:after="0" w:line="276" w:lineRule="auto"/>
        <w:jc w:val="both"/>
        <w:rPr>
          <w:rFonts w:ascii="Verdana" w:hAnsi="Verdana" w:cs="Arial"/>
          <w:shd w:val="clear" w:color="auto" w:fill="FFFFFF"/>
        </w:rPr>
      </w:pPr>
    </w:p>
    <w:p w14:paraId="5449BFBA" w14:textId="054FB6DB" w:rsidR="00431FE8" w:rsidRPr="005D67BA" w:rsidRDefault="00431FE8" w:rsidP="00431FE8">
      <w:pPr>
        <w:spacing w:after="0" w:line="276" w:lineRule="auto"/>
        <w:jc w:val="both"/>
        <w:rPr>
          <w:rFonts w:ascii="Verdana" w:hAnsi="Verdana"/>
        </w:rPr>
      </w:pPr>
      <w:r w:rsidRPr="00FA312E">
        <w:rPr>
          <w:rFonts w:ascii="Verdana" w:hAnsi="Verdana"/>
        </w:rPr>
        <w:t xml:space="preserve">Este concepto tiene el alcance previsto en el artículo 28 del Código de Procedimiento Administrativo y de lo Contencioso </w:t>
      </w:r>
      <w:r w:rsidRPr="005D67BA">
        <w:rPr>
          <w:rFonts w:ascii="Verdana" w:hAnsi="Verdana"/>
        </w:rPr>
        <w:t>Administrativo y las expresiones utilizadas con mayúscula inicial deben ser entendidas con el significado que les otorga el artículo 2.2.1.1.1.3.1 del Decreto 1082 de 2015.</w:t>
      </w:r>
    </w:p>
    <w:p w14:paraId="2C4D1DFC" w14:textId="3DFD6060" w:rsidR="00431FE8" w:rsidRDefault="00431FE8" w:rsidP="00431FE8">
      <w:pPr>
        <w:spacing w:after="0" w:line="276" w:lineRule="auto"/>
        <w:jc w:val="both"/>
        <w:rPr>
          <w:noProof/>
        </w:rPr>
      </w:pPr>
    </w:p>
    <w:p w14:paraId="276DCDEE" w14:textId="3C671F30" w:rsidR="00B92AD0" w:rsidRDefault="004F6041" w:rsidP="00B92AD0">
      <w:pPr>
        <w:spacing w:after="0" w:line="276" w:lineRule="auto"/>
        <w:jc w:val="both"/>
        <w:rPr>
          <w:noProof/>
        </w:rPr>
      </w:pPr>
      <w:r>
        <w:rPr>
          <w:noProof/>
        </w:rPr>
        <w:drawing>
          <wp:anchor distT="0" distB="0" distL="114300" distR="114300" simplePos="0" relativeHeight="251662336" behindDoc="0" locked="0" layoutInCell="1" allowOverlap="1" wp14:anchorId="2C20BF80" wp14:editId="786B8EB7">
            <wp:simplePos x="0" y="0"/>
            <wp:positionH relativeFrom="margin">
              <wp:posOffset>1272540</wp:posOffset>
            </wp:positionH>
            <wp:positionV relativeFrom="margin">
              <wp:posOffset>5014595</wp:posOffset>
            </wp:positionV>
            <wp:extent cx="3133090" cy="1163955"/>
            <wp:effectExtent l="0" t="0" r="0" b="0"/>
            <wp:wrapSquare wrapText="bothSides"/>
            <wp:docPr id="135425304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53044" name="Imagen 1" descr="Texto&#10;&#10;El contenido generado por IA puede ser incorrecto."/>
                    <pic:cNvPicPr/>
                  </pic:nvPicPr>
                  <pic:blipFill>
                    <a:blip r:embed="rId15">
                      <a:extLst>
                        <a:ext uri="{28A0092B-C50C-407E-A947-70E740481C1C}">
                          <a14:useLocalDpi xmlns:a14="http://schemas.microsoft.com/office/drawing/2010/main" val="0"/>
                        </a:ext>
                      </a:extLst>
                    </a:blip>
                    <a:stretch>
                      <a:fillRect/>
                    </a:stretch>
                  </pic:blipFill>
                  <pic:spPr>
                    <a:xfrm>
                      <a:off x="0" y="0"/>
                      <a:ext cx="3133090" cy="1163955"/>
                    </a:xfrm>
                    <a:prstGeom prst="rect">
                      <a:avLst/>
                    </a:prstGeom>
                  </pic:spPr>
                </pic:pic>
              </a:graphicData>
            </a:graphic>
            <wp14:sizeRelH relativeFrom="margin">
              <wp14:pctWidth>0</wp14:pctWidth>
            </wp14:sizeRelH>
            <wp14:sizeRelV relativeFrom="margin">
              <wp14:pctHeight>0</wp14:pctHeight>
            </wp14:sizeRelV>
          </wp:anchor>
        </w:drawing>
      </w:r>
      <w:r w:rsidR="00431FE8" w:rsidRPr="005D67BA">
        <w:rPr>
          <w:rFonts w:ascii="Verdana" w:eastAsia="Calibri" w:hAnsi="Verdana" w:cs="Times New Roman"/>
        </w:rPr>
        <w:t>Atentamente</w:t>
      </w:r>
      <w:r w:rsidR="00B92AD0">
        <w:rPr>
          <w:rFonts w:ascii="Verdana" w:eastAsia="Calibri" w:hAnsi="Verdana" w:cs="Times New Roman"/>
        </w:rPr>
        <w:t>,</w:t>
      </w:r>
      <w:r w:rsidR="00B92AD0" w:rsidRPr="00B92AD0">
        <w:rPr>
          <w:noProof/>
        </w:rPr>
        <w:t xml:space="preserve"> </w:t>
      </w:r>
    </w:p>
    <w:p w14:paraId="2226F74A" w14:textId="2A031F0B" w:rsidR="003009C6" w:rsidRDefault="003009C6" w:rsidP="00B92AD0">
      <w:pPr>
        <w:spacing w:after="0" w:line="276" w:lineRule="auto"/>
        <w:jc w:val="both"/>
        <w:rPr>
          <w:rFonts w:ascii="Verdana" w:eastAsia="Calibri" w:hAnsi="Verdana" w:cs="Times New Roman"/>
        </w:rPr>
      </w:pPr>
    </w:p>
    <w:p w14:paraId="2DB0E1D2" w14:textId="47764C83" w:rsidR="00431FE8" w:rsidRDefault="00431FE8" w:rsidP="00431FE8">
      <w:pPr>
        <w:spacing w:after="0" w:line="276" w:lineRule="auto"/>
        <w:jc w:val="center"/>
        <w:rPr>
          <w:rFonts w:ascii="Verdana" w:eastAsia="Calibri" w:hAnsi="Verdana" w:cs="Times New Roman"/>
        </w:rPr>
      </w:pPr>
    </w:p>
    <w:p w14:paraId="23AA61C3" w14:textId="77777777" w:rsidR="003009C6" w:rsidRDefault="003009C6" w:rsidP="00431FE8">
      <w:pPr>
        <w:spacing w:after="0" w:line="276" w:lineRule="auto"/>
        <w:jc w:val="center"/>
        <w:rPr>
          <w:rFonts w:ascii="Verdana" w:eastAsia="Calibri" w:hAnsi="Verdana" w:cs="Times New Roman"/>
        </w:rPr>
      </w:pPr>
    </w:p>
    <w:p w14:paraId="3664F010" w14:textId="77777777" w:rsidR="003009C6" w:rsidRDefault="003009C6" w:rsidP="004C2DAE">
      <w:pPr>
        <w:spacing w:after="0" w:line="27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1FE8" w:rsidRPr="005D67BA" w14:paraId="18AECC4C" w14:textId="77777777" w:rsidTr="00A16151">
        <w:trPr>
          <w:trHeight w:val="315"/>
        </w:trPr>
        <w:tc>
          <w:tcPr>
            <w:tcW w:w="893" w:type="dxa"/>
            <w:vAlign w:val="center"/>
            <w:hideMark/>
          </w:tcPr>
          <w:p w14:paraId="753AA234" w14:textId="77777777" w:rsidR="00431FE8" w:rsidRPr="005D67BA" w:rsidRDefault="00431FE8" w:rsidP="00A16151">
            <w:pPr>
              <w:contextualSpacing/>
              <w:rPr>
                <w:rFonts w:ascii="Verdana" w:hAnsi="Verdana" w:cs="Arial"/>
                <w:sz w:val="16"/>
                <w:szCs w:val="16"/>
                <w:lang w:eastAsia="es-ES"/>
              </w:rPr>
            </w:pPr>
            <w:r w:rsidRPr="005D67B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56DA145" w14:textId="22E1259E" w:rsidR="00431FE8" w:rsidRPr="005D67BA" w:rsidRDefault="00431FE8" w:rsidP="00A16151">
            <w:pPr>
              <w:contextualSpacing/>
              <w:rPr>
                <w:rFonts w:ascii="Verdana" w:hAnsi="Verdana"/>
                <w:sz w:val="16"/>
                <w:szCs w:val="16"/>
              </w:rPr>
            </w:pPr>
            <w:r w:rsidRPr="005D67BA">
              <w:rPr>
                <w:rFonts w:ascii="Verdana" w:hAnsi="Verdana"/>
                <w:sz w:val="16"/>
                <w:szCs w:val="16"/>
              </w:rPr>
              <w:t>Denis Andrea Cárdenas Hernández</w:t>
            </w:r>
          </w:p>
          <w:p w14:paraId="39D0C1FD" w14:textId="77777777" w:rsidR="00431FE8" w:rsidRPr="005D67BA" w:rsidRDefault="00431FE8" w:rsidP="00A16151">
            <w:pPr>
              <w:contextualSpacing/>
              <w:rPr>
                <w:rFonts w:ascii="Verdana" w:eastAsia="Arial" w:hAnsi="Verdana" w:cs="Arial"/>
                <w:sz w:val="16"/>
                <w:szCs w:val="16"/>
              </w:rPr>
            </w:pPr>
            <w:r w:rsidRPr="005D67BA">
              <w:rPr>
                <w:rFonts w:ascii="Verdana" w:hAnsi="Verdana"/>
                <w:sz w:val="16"/>
                <w:szCs w:val="16"/>
              </w:rPr>
              <w:t xml:space="preserve">Analista </w:t>
            </w:r>
            <w:r w:rsidRPr="005D67BA">
              <w:rPr>
                <w:rFonts w:ascii="Verdana" w:hAnsi="Verdana" w:cs="Arial"/>
                <w:sz w:val="16"/>
                <w:szCs w:val="16"/>
                <w:lang w:val="es-ES_tradnl"/>
              </w:rPr>
              <w:t xml:space="preserve">T2 ‒ </w:t>
            </w:r>
            <w:r>
              <w:rPr>
                <w:rFonts w:ascii="Verdana" w:hAnsi="Verdana" w:cs="Arial"/>
                <w:sz w:val="16"/>
                <w:szCs w:val="16"/>
                <w:lang w:val="es-ES_tradnl"/>
              </w:rPr>
              <w:t>1</w:t>
            </w:r>
            <w:r w:rsidRPr="005D67BA">
              <w:rPr>
                <w:rFonts w:ascii="Verdana" w:hAnsi="Verdana" w:cs="Arial"/>
                <w:sz w:val="16"/>
                <w:szCs w:val="16"/>
                <w:lang w:val="es-ES_tradnl"/>
              </w:rPr>
              <w:t xml:space="preserve"> de la Subdirección de Gestión Contractual</w:t>
            </w:r>
          </w:p>
        </w:tc>
      </w:tr>
      <w:tr w:rsidR="00431FE8" w:rsidRPr="005D67BA" w14:paraId="0A015FB7" w14:textId="77777777" w:rsidTr="00A16151">
        <w:trPr>
          <w:trHeight w:val="330"/>
        </w:trPr>
        <w:tc>
          <w:tcPr>
            <w:tcW w:w="893" w:type="dxa"/>
            <w:vAlign w:val="center"/>
            <w:hideMark/>
          </w:tcPr>
          <w:p w14:paraId="04E03ABB" w14:textId="77777777" w:rsidR="00431FE8" w:rsidRPr="005D67BA" w:rsidRDefault="00431FE8" w:rsidP="00A16151">
            <w:pPr>
              <w:contextualSpacing/>
              <w:rPr>
                <w:rFonts w:ascii="Verdana" w:hAnsi="Verdana" w:cs="Arial"/>
                <w:sz w:val="16"/>
                <w:szCs w:val="16"/>
                <w:lang w:eastAsia="es-ES"/>
              </w:rPr>
            </w:pPr>
            <w:r w:rsidRPr="005D67B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39D779" w14:textId="0D13DA4A" w:rsidR="00431FE8" w:rsidRPr="005D67BA" w:rsidRDefault="00431FE8" w:rsidP="00A16151">
            <w:pPr>
              <w:rPr>
                <w:rFonts w:ascii="Verdana" w:eastAsia="Aptos" w:hAnsi="Verdana" w:cs="Arial"/>
                <w:sz w:val="16"/>
                <w:szCs w:val="16"/>
                <w:lang w:eastAsia="es-ES"/>
              </w:rPr>
            </w:pPr>
            <w:r w:rsidRPr="005D67BA">
              <w:rPr>
                <w:rFonts w:ascii="Verdana" w:eastAsia="Aptos" w:hAnsi="Verdana" w:cs="Arial"/>
                <w:sz w:val="16"/>
                <w:szCs w:val="16"/>
                <w:lang w:eastAsia="es-ES"/>
              </w:rPr>
              <w:t>Alejandro Sarmiento Cantillo</w:t>
            </w:r>
          </w:p>
          <w:p w14:paraId="2B0C17FF" w14:textId="77777777" w:rsidR="00431FE8" w:rsidRPr="005D67BA" w:rsidRDefault="00431FE8" w:rsidP="00A16151">
            <w:pPr>
              <w:contextualSpacing/>
              <w:textAlignment w:val="baseline"/>
              <w:rPr>
                <w:rFonts w:ascii="Verdana" w:eastAsia="Times New Roman" w:hAnsi="Verdana" w:cs="Segoe UI"/>
                <w:sz w:val="16"/>
                <w:szCs w:val="16"/>
                <w:lang w:eastAsia="es-ES_tradnl"/>
              </w:rPr>
            </w:pPr>
            <w:r w:rsidRPr="005D67BA">
              <w:rPr>
                <w:rFonts w:ascii="Verdana" w:eastAsia="Aptos" w:hAnsi="Verdana" w:cs="Arial"/>
                <w:sz w:val="16"/>
                <w:szCs w:val="16"/>
                <w:lang w:eastAsia="es-ES"/>
              </w:rPr>
              <w:t>Gestor T1 – 15 de la Subdirección de Gestión Contractual</w:t>
            </w:r>
          </w:p>
        </w:tc>
      </w:tr>
      <w:tr w:rsidR="00431FE8" w:rsidRPr="005D67BA" w14:paraId="69570E5D" w14:textId="77777777" w:rsidTr="00A16151">
        <w:trPr>
          <w:trHeight w:val="300"/>
        </w:trPr>
        <w:tc>
          <w:tcPr>
            <w:tcW w:w="893" w:type="dxa"/>
            <w:vAlign w:val="center"/>
          </w:tcPr>
          <w:p w14:paraId="71C1AD4B" w14:textId="77777777" w:rsidR="00431FE8" w:rsidRPr="005D67BA" w:rsidRDefault="00431FE8" w:rsidP="00A16151">
            <w:pPr>
              <w:contextualSpacing/>
              <w:rPr>
                <w:rFonts w:ascii="Verdana" w:hAnsi="Verdana" w:cs="Arial"/>
                <w:sz w:val="16"/>
                <w:szCs w:val="16"/>
                <w:lang w:eastAsia="es-ES"/>
              </w:rPr>
            </w:pPr>
            <w:r w:rsidRPr="005D67B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E2210D5" w14:textId="77777777" w:rsidR="00431FE8" w:rsidRPr="005D67BA" w:rsidRDefault="00431FE8" w:rsidP="00A16151">
            <w:pPr>
              <w:contextualSpacing/>
              <w:rPr>
                <w:rFonts w:ascii="Verdana" w:eastAsia="Calibri" w:hAnsi="Verdana" w:cs="Arial"/>
                <w:sz w:val="16"/>
                <w:szCs w:val="16"/>
                <w:lang w:eastAsia="es-ES"/>
              </w:rPr>
            </w:pPr>
            <w:r w:rsidRPr="005D67BA">
              <w:rPr>
                <w:rFonts w:ascii="Verdana" w:eastAsia="Calibri" w:hAnsi="Verdana" w:cs="Arial"/>
                <w:sz w:val="16"/>
                <w:szCs w:val="16"/>
                <w:lang w:eastAsia="es-ES"/>
              </w:rPr>
              <w:t>Carolina Quintero Gacharná</w:t>
            </w:r>
          </w:p>
          <w:p w14:paraId="6BEC7525" w14:textId="77777777" w:rsidR="00431FE8" w:rsidRPr="005D67BA" w:rsidRDefault="00431FE8" w:rsidP="00A16151">
            <w:pPr>
              <w:contextualSpacing/>
              <w:rPr>
                <w:rFonts w:ascii="Verdana" w:eastAsia="Calibri" w:hAnsi="Verdana" w:cs="Arial"/>
                <w:sz w:val="16"/>
                <w:szCs w:val="16"/>
                <w:lang w:eastAsia="es-ES"/>
              </w:rPr>
            </w:pPr>
            <w:r w:rsidRPr="005D67BA">
              <w:rPr>
                <w:rFonts w:ascii="Verdana" w:eastAsia="Calibri" w:hAnsi="Verdana" w:cs="Arial"/>
                <w:sz w:val="16"/>
                <w:szCs w:val="16"/>
                <w:lang w:eastAsia="es-ES"/>
              </w:rPr>
              <w:t>Subdirectora de Gestión Contractual ANCP – CCE</w:t>
            </w:r>
          </w:p>
        </w:tc>
      </w:tr>
    </w:tbl>
    <w:p w14:paraId="25E2292A" w14:textId="77777777" w:rsidR="00431FE8" w:rsidRPr="009B5304" w:rsidRDefault="00431FE8" w:rsidP="009B5304"/>
    <w:sectPr w:rsidR="00431FE8" w:rsidRPr="009B530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3B301" w14:textId="77777777" w:rsidR="00EA6C12" w:rsidRDefault="00EA6C12" w:rsidP="004A1847">
      <w:pPr>
        <w:spacing w:after="0" w:line="240" w:lineRule="auto"/>
      </w:pPr>
      <w:r>
        <w:separator/>
      </w:r>
    </w:p>
  </w:endnote>
  <w:endnote w:type="continuationSeparator" w:id="0">
    <w:p w14:paraId="032C7A56" w14:textId="77777777" w:rsidR="00EA6C12" w:rsidRDefault="00EA6C1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26E47" w14:textId="77777777" w:rsidR="00EA6C12" w:rsidRDefault="00EA6C12" w:rsidP="004A1847">
      <w:pPr>
        <w:spacing w:after="0" w:line="240" w:lineRule="auto"/>
      </w:pPr>
      <w:r>
        <w:separator/>
      </w:r>
    </w:p>
  </w:footnote>
  <w:footnote w:type="continuationSeparator" w:id="0">
    <w:p w14:paraId="13AE7099" w14:textId="77777777" w:rsidR="00EA6C12" w:rsidRDefault="00EA6C12" w:rsidP="004A1847">
      <w:pPr>
        <w:spacing w:after="0" w:line="240" w:lineRule="auto"/>
      </w:pPr>
      <w:r>
        <w:continuationSeparator/>
      </w:r>
    </w:p>
  </w:footnote>
  <w:footnote w:id="1">
    <w:p w14:paraId="5A1D2321"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AD98321" w14:textId="77777777" w:rsidR="009B5304" w:rsidRPr="004674CF" w:rsidRDefault="009B5304" w:rsidP="009B5304">
      <w:pPr>
        <w:pStyle w:val="Textonotapie"/>
        <w:ind w:firstLine="709"/>
        <w:jc w:val="both"/>
        <w:rPr>
          <w:rFonts w:ascii="Verdana" w:hAnsi="Verdana" w:cs="Arial"/>
          <w:sz w:val="16"/>
          <w:szCs w:val="16"/>
        </w:rPr>
      </w:pPr>
      <w:r w:rsidRPr="004674C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7588502B"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Gaceta del Congreso de la República No. 71 del 2005.</w:t>
      </w:r>
    </w:p>
  </w:footnote>
  <w:footnote w:id="3">
    <w:p w14:paraId="097870E5" w14:textId="77777777" w:rsidR="009B5304" w:rsidRPr="004674CF" w:rsidRDefault="009B5304" w:rsidP="009B5304">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 C- 1153 de 2005, M.P. Marco Gerardo Monroy Cabra.</w:t>
      </w:r>
    </w:p>
  </w:footnote>
  <w:footnote w:id="4">
    <w:p w14:paraId="6C8FAAA0" w14:textId="77777777" w:rsidR="009B5304" w:rsidRPr="004674CF" w:rsidRDefault="009B5304" w:rsidP="009B5304">
      <w:pPr>
        <w:pStyle w:val="Textonotapie"/>
        <w:ind w:firstLine="709"/>
        <w:jc w:val="both"/>
        <w:rPr>
          <w:rFonts w:ascii="Verdana" w:hAnsi="Verdana" w:cs="Arial"/>
          <w:sz w:val="16"/>
          <w:szCs w:val="16"/>
          <w:lang w:val="pt-BR"/>
        </w:rPr>
      </w:pPr>
      <w:r w:rsidRPr="004674CF">
        <w:rPr>
          <w:rStyle w:val="Refdenotaalpie"/>
          <w:rFonts w:ascii="Verdana" w:hAnsi="Verdana" w:cs="Arial"/>
          <w:sz w:val="16"/>
          <w:szCs w:val="16"/>
        </w:rPr>
        <w:footnoteRef/>
      </w:r>
      <w:r w:rsidRPr="004674CF">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5E91A71F" w14:textId="77777777" w:rsidR="009B5304" w:rsidRPr="004674CF" w:rsidRDefault="009B5304" w:rsidP="009B5304">
      <w:pPr>
        <w:pStyle w:val="Textonotapie"/>
        <w:ind w:firstLine="709"/>
        <w:jc w:val="both"/>
        <w:rPr>
          <w:rFonts w:ascii="Verdana" w:hAnsi="Verdana" w:cs="Arial"/>
          <w:sz w:val="16"/>
          <w:szCs w:val="16"/>
          <w:lang w:val="es-CO"/>
        </w:rPr>
      </w:pPr>
      <w:r w:rsidRPr="004674CF">
        <w:rPr>
          <w:rStyle w:val="Refdenotaalpie"/>
          <w:rFonts w:ascii="Verdana" w:hAnsi="Verdana" w:cs="Arial"/>
          <w:sz w:val="16"/>
          <w:szCs w:val="16"/>
        </w:rPr>
        <w:footnoteRef/>
      </w:r>
      <w:r w:rsidRPr="004674CF">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14C538CA"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de fecha 24 de julio de 2013, radicado 2166, C. P. Álvaro Namén Vargas.  </w:t>
      </w:r>
    </w:p>
  </w:footnote>
  <w:footnote w:id="7">
    <w:p w14:paraId="6D205FC4" w14:textId="77777777" w:rsidR="009B5304" w:rsidRPr="004674CF" w:rsidRDefault="009B5304" w:rsidP="009B5304">
      <w:pPr>
        <w:spacing w:after="0" w:line="240" w:lineRule="auto"/>
        <w:ind w:firstLine="709"/>
        <w:jc w:val="both"/>
        <w:rPr>
          <w:rFonts w:ascii="Verdana" w:eastAsia="Times New Roman"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7" w:name="33"/>
      <w:r w:rsidRPr="004674CF">
        <w:rPr>
          <w:rFonts w:ascii="Verdana" w:eastAsia="Calibri" w:hAnsi="Verdana" w:cs="Arial"/>
          <w:color w:val="000000"/>
          <w:sz w:val="16"/>
          <w:szCs w:val="16"/>
        </w:rPr>
        <w:t>“</w:t>
      </w:r>
      <w:r w:rsidRPr="004674CF">
        <w:rPr>
          <w:rFonts w:ascii="Verdana" w:eastAsia="Times New Roman" w:hAnsi="Verdana" w:cs="Arial"/>
          <w:sz w:val="16"/>
          <w:szCs w:val="16"/>
        </w:rPr>
        <w:t>Artículo 33. Restricciones a la contratación pública.</w:t>
      </w:r>
      <w:bookmarkEnd w:id="7"/>
      <w:r w:rsidRPr="004674CF">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E06DFDC" w14:textId="77777777" w:rsidR="009B5304" w:rsidRPr="004674CF" w:rsidRDefault="009B5304" w:rsidP="009B5304">
      <w:pPr>
        <w:spacing w:after="0" w:line="240" w:lineRule="auto"/>
        <w:ind w:firstLine="709"/>
        <w:jc w:val="both"/>
        <w:rPr>
          <w:rFonts w:ascii="Verdana" w:eastAsia="Times New Roman" w:hAnsi="Verdana" w:cs="Arial"/>
          <w:sz w:val="16"/>
          <w:szCs w:val="16"/>
        </w:rPr>
      </w:pPr>
      <w:r w:rsidRPr="004674C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674CF">
        <w:rPr>
          <w:rFonts w:ascii="Verdana" w:eastAsia="Calibri" w:hAnsi="Verdana" w:cs="Arial"/>
          <w:color w:val="000000"/>
          <w:sz w:val="16"/>
          <w:szCs w:val="16"/>
        </w:rPr>
        <w:t>”</w:t>
      </w:r>
      <w:r w:rsidRPr="004674CF">
        <w:rPr>
          <w:rFonts w:ascii="Verdana" w:eastAsia="Times New Roman" w:hAnsi="Verdana" w:cs="Arial"/>
          <w:sz w:val="16"/>
          <w:szCs w:val="16"/>
        </w:rPr>
        <w:t>.</w:t>
      </w:r>
    </w:p>
  </w:footnote>
  <w:footnote w:id="8">
    <w:p w14:paraId="38C6C5ED" w14:textId="77777777" w:rsidR="009B5304" w:rsidRPr="004674CF" w:rsidRDefault="009B5304" w:rsidP="009B5304">
      <w:pPr>
        <w:pStyle w:val="NormalWeb"/>
        <w:spacing w:before="0" w:beforeAutospacing="0" w:after="0" w:afterAutospacing="0"/>
        <w:ind w:firstLine="709"/>
        <w:jc w:val="both"/>
        <w:rPr>
          <w:rFonts w:ascii="Verdana" w:hAnsi="Verdana" w:cs="Arial"/>
          <w:sz w:val="16"/>
          <w:szCs w:val="16"/>
          <w:lang w:val="es-MX"/>
        </w:rPr>
      </w:pPr>
      <w:r w:rsidRPr="004674CF">
        <w:rPr>
          <w:rStyle w:val="Refdenotaalpie"/>
          <w:rFonts w:ascii="Verdana" w:hAnsi="Verdana" w:cs="Arial"/>
          <w:sz w:val="16"/>
          <w:szCs w:val="16"/>
        </w:rPr>
        <w:footnoteRef/>
      </w:r>
      <w:r w:rsidRPr="004674CF">
        <w:rPr>
          <w:rFonts w:ascii="Verdana" w:hAnsi="Verdana" w:cs="Arial"/>
          <w:sz w:val="16"/>
          <w:szCs w:val="16"/>
        </w:rPr>
        <w:t xml:space="preserve"> </w:t>
      </w:r>
      <w:bookmarkStart w:id="8" w:name="38"/>
      <w:r w:rsidRPr="004674CF">
        <w:rPr>
          <w:rFonts w:ascii="Verdana" w:eastAsia="Calibri" w:hAnsi="Verdana" w:cs="Arial"/>
          <w:color w:val="000000"/>
          <w:sz w:val="16"/>
          <w:szCs w:val="16"/>
        </w:rPr>
        <w:t>“</w:t>
      </w:r>
      <w:r w:rsidRPr="004674CF">
        <w:rPr>
          <w:rFonts w:ascii="Verdana" w:hAnsi="Verdana" w:cs="Arial"/>
          <w:sz w:val="16"/>
          <w:szCs w:val="16"/>
          <w:lang w:val="es-MX"/>
        </w:rPr>
        <w:t>Artículo 38. Prohibiciones para los servidores públicos. A los empleados del Estado les está prohibido:</w:t>
      </w:r>
      <w:bookmarkEnd w:id="8"/>
      <w:r w:rsidRPr="004674CF">
        <w:rPr>
          <w:rFonts w:ascii="Verdana" w:hAnsi="Verdana" w:cs="Arial"/>
          <w:sz w:val="16"/>
          <w:szCs w:val="16"/>
          <w:lang w:val="es-MX"/>
        </w:rPr>
        <w:t xml:space="preserve"> […]</w:t>
      </w:r>
    </w:p>
    <w:p w14:paraId="3CA3E81E" w14:textId="77777777" w:rsidR="009B5304" w:rsidRPr="004674CF" w:rsidRDefault="009B5304" w:rsidP="009B5304">
      <w:pPr>
        <w:pStyle w:val="NormalWeb"/>
        <w:spacing w:before="0" w:beforeAutospacing="0" w:after="0" w:afterAutospacing="0"/>
        <w:ind w:firstLine="709"/>
        <w:jc w:val="both"/>
        <w:rPr>
          <w:rFonts w:ascii="Verdana" w:hAnsi="Verdana" w:cs="Arial"/>
          <w:sz w:val="16"/>
          <w:szCs w:val="16"/>
          <w:lang w:val="es-MX"/>
        </w:rPr>
      </w:pPr>
      <w:r w:rsidRPr="004674CF">
        <w:rPr>
          <w:rStyle w:val="baj"/>
          <w:rFonts w:ascii="Verdana" w:hAnsi="Verdana" w:cs="Arial"/>
          <w:sz w:val="16"/>
          <w:szCs w:val="16"/>
          <w:lang w:val="es-MX"/>
        </w:rPr>
        <w:t>Parágrafo.</w:t>
      </w:r>
      <w:r w:rsidRPr="004674C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674CF">
        <w:rPr>
          <w:rFonts w:ascii="Verdana" w:eastAsia="Calibri" w:hAnsi="Verdana" w:cs="Arial"/>
          <w:color w:val="000000"/>
          <w:sz w:val="16"/>
          <w:szCs w:val="16"/>
        </w:rPr>
        <w:t>”</w:t>
      </w:r>
      <w:r w:rsidRPr="004674CF">
        <w:rPr>
          <w:rFonts w:ascii="Verdana" w:hAnsi="Verdana" w:cs="Arial"/>
          <w:sz w:val="16"/>
          <w:szCs w:val="16"/>
          <w:lang w:val="es-MX"/>
        </w:rPr>
        <w:t>.</w:t>
      </w:r>
    </w:p>
  </w:footnote>
  <w:footnote w:id="9">
    <w:p w14:paraId="770CAAA0" w14:textId="77777777" w:rsidR="009B5304" w:rsidRPr="004674CF" w:rsidRDefault="009B5304" w:rsidP="009B5304">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w:t>
      </w:r>
    </w:p>
  </w:footnote>
  <w:footnote w:id="10">
    <w:p w14:paraId="3BFAB343" w14:textId="77777777" w:rsidR="009B5304" w:rsidRPr="004674CF" w:rsidRDefault="009B5304" w:rsidP="009B5304">
      <w:pPr>
        <w:spacing w:after="0" w:line="240" w:lineRule="auto"/>
        <w:ind w:left="100" w:right="244" w:firstLine="608"/>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1BBBE3FD" w14:textId="77777777" w:rsidR="009B5304" w:rsidRPr="004674CF" w:rsidRDefault="009B5304" w:rsidP="009B5304">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[25] </w:t>
      </w:r>
      <w:r w:rsidRPr="004674CF">
        <w:rPr>
          <w:rFonts w:ascii="Verdana" w:hAnsi="Verdana" w:cs="Arial"/>
          <w:sz w:val="16"/>
          <w:szCs w:val="16"/>
        </w:rPr>
        <w:t>Cfr. Consejo de Estado. Sección Tercera. Sentencia de 3 de diciembre de 2007. Radicados: 24.715, 25.206, 25.409, 24.524, 27.834, 25.410, 26.105, 28.244, 31.447 -acumulados-“.</w:t>
      </w:r>
    </w:p>
  </w:footnote>
  <w:footnote w:id="12">
    <w:p w14:paraId="122621CD" w14:textId="77777777" w:rsidR="009B5304" w:rsidRPr="004674CF" w:rsidRDefault="009B5304" w:rsidP="009B5304">
      <w:pPr>
        <w:pStyle w:val="Textonotapie"/>
        <w:ind w:right="51"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[26] </w:t>
      </w:r>
      <w:r w:rsidRPr="004674CF">
        <w:rPr>
          <w:rFonts w:ascii="Verdana" w:hAnsi="Verdana" w:cs="Arial"/>
          <w:sz w:val="16"/>
          <w:szCs w:val="16"/>
        </w:rPr>
        <w:t>Al respecto ver el concepto 1712 de 2 de febrero de 2006. Consejo de Estado Sala de Consulta y Servicio Civil”.</w:t>
      </w:r>
    </w:p>
  </w:footnote>
  <w:footnote w:id="13">
    <w:p w14:paraId="5BEB747C"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72E0B008" w14:textId="77777777" w:rsidR="009B5304" w:rsidRPr="004674CF" w:rsidRDefault="009B5304" w:rsidP="009B5304">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sz w:val="16"/>
          <w:szCs w:val="16"/>
          <w:lang w:val="es-ES"/>
        </w:rPr>
        <w:t xml:space="preserve">Artículo 2. </w:t>
      </w:r>
    </w:p>
  </w:footnote>
  <w:footnote w:id="15">
    <w:p w14:paraId="30CE0DD5" w14:textId="77777777" w:rsidR="009B5304" w:rsidRPr="004674CF" w:rsidRDefault="009B5304" w:rsidP="009B5304">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Fonts w:ascii="Verdana" w:hAnsi="Verdana" w:cs="Arial"/>
          <w:sz w:val="16"/>
          <w:szCs w:val="16"/>
        </w:rPr>
        <w:t xml:space="preserve"> </w:t>
      </w:r>
      <w:r w:rsidRPr="004674CF">
        <w:rPr>
          <w:rFonts w:ascii="Verdana" w:hAnsi="Verdana" w:cs="Arial"/>
          <w:i/>
          <w:sz w:val="16"/>
          <w:szCs w:val="16"/>
          <w:lang w:val="es-ES"/>
        </w:rPr>
        <w:t>Ídem</w:t>
      </w:r>
      <w:r w:rsidRPr="004674CF">
        <w:rPr>
          <w:rFonts w:ascii="Verdana" w:hAnsi="Verdana" w:cs="Arial"/>
          <w:sz w:val="16"/>
          <w:szCs w:val="16"/>
          <w:lang w:val="es-ES"/>
        </w:rPr>
        <w:t>.</w:t>
      </w:r>
    </w:p>
  </w:footnote>
  <w:footnote w:id="16">
    <w:p w14:paraId="6BF55FA5" w14:textId="77777777" w:rsidR="009B5304" w:rsidRPr="004674CF" w:rsidRDefault="009B5304" w:rsidP="009B5304">
      <w:pPr>
        <w:pStyle w:val="Textonotapie"/>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3F6330C8" w14:textId="77777777" w:rsidR="009B5304" w:rsidRPr="004674CF" w:rsidRDefault="009B5304" w:rsidP="009B5304">
      <w:pPr>
        <w:shd w:val="clear" w:color="auto" w:fill="FFFFFF"/>
        <w:spacing w:after="0" w:line="240" w:lineRule="auto"/>
        <w:ind w:firstLine="709"/>
        <w:jc w:val="both"/>
        <w:rPr>
          <w:rFonts w:ascii="Verdana" w:hAnsi="Verdana" w:cs="Arial"/>
          <w:sz w:val="16"/>
          <w:szCs w:val="16"/>
          <w:lang w:val="es-ES"/>
        </w:rPr>
      </w:pPr>
      <w:r w:rsidRPr="004674CF">
        <w:rPr>
          <w:rStyle w:val="Refdenotaalpie"/>
          <w:rFonts w:ascii="Verdana" w:hAnsi="Verdana" w:cs="Arial"/>
          <w:sz w:val="16"/>
          <w:szCs w:val="16"/>
        </w:rPr>
        <w:footnoteRef/>
      </w:r>
      <w:r w:rsidRPr="004674CF">
        <w:rPr>
          <w:rStyle w:val="Refdenotaalpie"/>
          <w:rFonts w:ascii="Verdana" w:hAnsi="Verdana" w:cs="Arial"/>
          <w:sz w:val="16"/>
          <w:szCs w:val="16"/>
        </w:rPr>
        <w:t xml:space="preserve"> </w:t>
      </w:r>
      <w:r w:rsidRPr="004674CF">
        <w:rPr>
          <w:rFonts w:ascii="Verdana" w:hAnsi="Verdana" w:cs="Arial"/>
          <w:sz w:val="16"/>
          <w:szCs w:val="16"/>
          <w:lang w:val="es-ES"/>
        </w:rPr>
        <w:t>Consejo de Estado. Sala de Consulta y Servicio Civil, Concepto de 8 de mayo de 2018. C.P. Álvaro Namén Vargas. Rad. 2382.</w:t>
      </w:r>
    </w:p>
  </w:footnote>
  <w:footnote w:id="18">
    <w:p w14:paraId="5B533B9A"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del 08 de mayo de 2018.</w:t>
      </w:r>
      <w:r w:rsidRPr="004674CF">
        <w:rPr>
          <w:rFonts w:ascii="Verdana" w:hAnsi="Verdana" w:cs="Arial"/>
          <w:sz w:val="16"/>
          <w:szCs w:val="16"/>
          <w:lang w:val="es-CO"/>
        </w:rPr>
        <w:t xml:space="preserve"> C.P. Álvaro Namén Vargas.</w:t>
      </w:r>
      <w:r w:rsidRPr="004674CF">
        <w:rPr>
          <w:rFonts w:ascii="Verdana" w:hAnsi="Verdana" w:cs="Arial"/>
          <w:sz w:val="16"/>
          <w:szCs w:val="16"/>
        </w:rPr>
        <w:t xml:space="preserve"> Exp. 2.382.</w:t>
      </w:r>
    </w:p>
  </w:footnote>
  <w:footnote w:id="19">
    <w:p w14:paraId="23225FB5" w14:textId="77777777" w:rsidR="009B5304" w:rsidRPr="004674CF" w:rsidRDefault="009B5304" w:rsidP="009B5304">
      <w:pPr>
        <w:pStyle w:val="Textonotapie"/>
        <w:ind w:firstLine="708"/>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0">
    <w:p w14:paraId="78BE77A5" w14:textId="77777777" w:rsidR="009B5304" w:rsidRPr="004674CF" w:rsidRDefault="009B5304" w:rsidP="009B5304">
      <w:pPr>
        <w:pStyle w:val="Textonotapie"/>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3E00ED6D" w14:textId="77777777" w:rsidR="009B5304" w:rsidRPr="004674CF" w:rsidRDefault="009B5304" w:rsidP="009B5304">
      <w:pPr>
        <w:spacing w:after="0" w:line="240" w:lineRule="auto"/>
        <w:ind w:firstLine="709"/>
        <w:jc w:val="both"/>
        <w:rPr>
          <w:rFonts w:ascii="Verdana" w:hAnsi="Verdana"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44A14B6F" w14:textId="77777777" w:rsidR="009B5304" w:rsidRPr="00382345" w:rsidRDefault="009B5304" w:rsidP="009B5304">
      <w:pPr>
        <w:pStyle w:val="Textonotapie"/>
        <w:ind w:firstLine="709"/>
        <w:jc w:val="both"/>
        <w:rPr>
          <w:rFonts w:ascii="Verdana" w:hAnsi="Verdana" w:cs="Arial"/>
          <w:sz w:val="16"/>
          <w:szCs w:val="16"/>
        </w:rPr>
      </w:pPr>
      <w:r w:rsidRPr="00382345">
        <w:rPr>
          <w:rStyle w:val="Refdenotaalpie"/>
          <w:rFonts w:ascii="Verdana" w:hAnsi="Verdana"/>
          <w:sz w:val="16"/>
          <w:szCs w:val="16"/>
        </w:rPr>
        <w:footnoteRef/>
      </w:r>
      <w:r w:rsidRPr="00382345">
        <w:rPr>
          <w:rFonts w:ascii="Verdana" w:hAnsi="Verdana"/>
          <w:sz w:val="16"/>
          <w:szCs w:val="16"/>
        </w:rPr>
        <w:t xml:space="preserve"> </w:t>
      </w:r>
      <w:r w:rsidRPr="00382345">
        <w:rPr>
          <w:rFonts w:ascii="Verdana" w:hAnsi="Verdana" w:cs="Arial"/>
          <w:sz w:val="16"/>
          <w:szCs w:val="16"/>
        </w:rPr>
        <w:t>Consejo de Estado -Sección Tercera-. Sentencia del 21 de febrero de 2025. Radicación Número: 68.280. CP: José Roberto Sáchica Méndez.</w:t>
      </w:r>
    </w:p>
  </w:footnote>
  <w:footnote w:id="23">
    <w:p w14:paraId="4181A870" w14:textId="1D021BCB" w:rsidR="009B5304" w:rsidRPr="00382345" w:rsidRDefault="009B5304" w:rsidP="009B5304">
      <w:pPr>
        <w:pStyle w:val="Textonotapie"/>
        <w:ind w:firstLine="709"/>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sz w:val="16"/>
          <w:szCs w:val="16"/>
          <w:vertAlign w:val="superscript"/>
        </w:rPr>
        <w:t xml:space="preserve"> </w:t>
      </w:r>
      <w:r w:rsidRPr="00382345">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4">
    <w:p w14:paraId="5B4A08C4" w14:textId="441BC495" w:rsidR="009B5304" w:rsidRPr="00382345" w:rsidRDefault="009B5304" w:rsidP="00B92AD0">
      <w:pPr>
        <w:pStyle w:val="Textonotapie"/>
        <w:ind w:firstLine="708"/>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cs="Arial"/>
          <w:sz w:val="16"/>
          <w:szCs w:val="16"/>
          <w:vertAlign w:val="superscript"/>
        </w:rPr>
        <w:t xml:space="preserve"> </w:t>
      </w:r>
      <w:r w:rsidRPr="00382345">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r>
        <w:rPr>
          <w:rFonts w:ascii="Verdana" w:hAnsi="Verdana" w:cs="Arial"/>
          <w:sz w:val="16"/>
          <w:szCs w:val="16"/>
        </w:rPr>
        <w:t xml:space="preserve"> </w:t>
      </w:r>
      <w:r w:rsidRPr="00382345">
        <w:rPr>
          <w:rFonts w:ascii="Verdana" w:hAnsi="Verdana" w:cs="Arial"/>
          <w:sz w:val="16"/>
          <w:szCs w:val="16"/>
        </w:rPr>
        <w:t>[…]”.</w:t>
      </w:r>
    </w:p>
  </w:footnote>
  <w:footnote w:id="25">
    <w:p w14:paraId="423F22D7" w14:textId="77777777" w:rsidR="009B5304" w:rsidRPr="00382345" w:rsidRDefault="009B5304" w:rsidP="009B5304">
      <w:pPr>
        <w:pStyle w:val="Textonotapie"/>
        <w:ind w:firstLine="709"/>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cs="Arial"/>
          <w:sz w:val="16"/>
          <w:szCs w:val="16"/>
          <w:vertAlign w:val="superscript"/>
        </w:rPr>
        <w:t xml:space="preserve"> </w:t>
      </w:r>
      <w:r w:rsidRPr="00382345">
        <w:rPr>
          <w:rFonts w:ascii="Verdana" w:hAnsi="Verdana" w:cs="Arial"/>
          <w:sz w:val="16"/>
          <w:szCs w:val="16"/>
        </w:rPr>
        <w:t>Código Civil: “Artículo 27. Cuando el sentido de la ley sea claro, no se desatenderá su tenor a pretexto de consultar su espíritu”.</w:t>
      </w:r>
    </w:p>
  </w:footnote>
  <w:footnote w:id="26">
    <w:p w14:paraId="29998AE3" w14:textId="77777777" w:rsidR="009B5304" w:rsidRPr="00382345" w:rsidRDefault="009B5304" w:rsidP="009B5304">
      <w:pPr>
        <w:pStyle w:val="Textonotapie"/>
        <w:ind w:firstLine="708"/>
        <w:jc w:val="both"/>
        <w:rPr>
          <w:rFonts w:ascii="Verdana" w:hAnsi="Verdana"/>
          <w:sz w:val="16"/>
          <w:szCs w:val="16"/>
          <w:lang w:val="es-ES"/>
        </w:rPr>
      </w:pPr>
      <w:r w:rsidRPr="00382345">
        <w:rPr>
          <w:rFonts w:ascii="Verdana" w:hAnsi="Verdana"/>
          <w:sz w:val="16"/>
          <w:szCs w:val="16"/>
          <w:vertAlign w:val="superscript"/>
        </w:rPr>
        <w:footnoteRef/>
      </w:r>
      <w:r w:rsidRPr="00382345">
        <w:rPr>
          <w:rFonts w:ascii="Verdana" w:hAnsi="Verdana"/>
          <w:sz w:val="16"/>
          <w:szCs w:val="16"/>
        </w:rPr>
        <w:t xml:space="preserve"> </w:t>
      </w:r>
      <w:r w:rsidRPr="00382345">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382345">
        <w:rPr>
          <w:rFonts w:ascii="Verdana" w:hAnsi="Verdana"/>
          <w:i/>
          <w:iCs/>
          <w:sz w:val="16"/>
          <w:szCs w:val="16"/>
          <w:lang w:val="es-ES"/>
        </w:rPr>
        <w:t>Ubi lex non distinguit nec nos distinguere debemus</w:t>
      </w:r>
      <w:r w:rsidRPr="00382345">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0271FDAF" w14:textId="77777777" w:rsidR="009B5304" w:rsidRPr="00382345" w:rsidRDefault="009B5304" w:rsidP="009B5304">
      <w:pPr>
        <w:pStyle w:val="Textonotapie"/>
        <w:ind w:firstLine="708"/>
        <w:jc w:val="both"/>
        <w:rPr>
          <w:rFonts w:ascii="Verdana" w:hAnsi="Verdana"/>
          <w:sz w:val="16"/>
          <w:szCs w:val="16"/>
        </w:rPr>
      </w:pPr>
      <w:r w:rsidRPr="00382345">
        <w:rPr>
          <w:rFonts w:ascii="Verdana" w:hAnsi="Verdana"/>
          <w:sz w:val="16"/>
          <w:szCs w:val="16"/>
          <w:lang w:val="es-ES"/>
        </w:rPr>
        <w:t xml:space="preserve">En el derecho antiguo y en el derecho canónico se distinguían las leyes en favorables y odiosas, para ampliar o restringir su interpretación. </w:t>
      </w:r>
      <w:r w:rsidRPr="00382345">
        <w:rPr>
          <w:rFonts w:ascii="Verdana" w:hAnsi="Verdana"/>
          <w:i/>
          <w:iCs/>
          <w:sz w:val="16"/>
          <w:szCs w:val="16"/>
          <w:lang w:val="es-ES"/>
        </w:rPr>
        <w:t>Odia restringí et favores convenit ampliari</w:t>
      </w:r>
      <w:r w:rsidRPr="00382345">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382345">
        <w:rPr>
          <w:rFonts w:ascii="Verdana" w:hAnsi="Verdana"/>
          <w:sz w:val="16"/>
          <w:szCs w:val="16"/>
        </w:rPr>
        <w:t>CLARO SOLAR, Luis. Explicaciones de derecho civil chileno y comparado. Volumen I. Tomo I. Santiago: Editorial Jurídica de Chile, 2013. p. 119. Énfasis dentro del texto).</w:t>
      </w:r>
    </w:p>
    <w:p w14:paraId="6A1DE688" w14:textId="77777777" w:rsidR="009B5304" w:rsidRPr="00676B87" w:rsidRDefault="009B5304" w:rsidP="009B5304">
      <w:pPr>
        <w:pStyle w:val="Textonotapie"/>
        <w:ind w:firstLine="708"/>
        <w:jc w:val="both"/>
        <w:rPr>
          <w:sz w:val="16"/>
          <w:szCs w:val="16"/>
        </w:rPr>
      </w:pPr>
    </w:p>
  </w:footnote>
  <w:footnote w:id="27">
    <w:p w14:paraId="1821E5F3" w14:textId="77777777" w:rsidR="009B5304" w:rsidRPr="00382345" w:rsidRDefault="009B5304" w:rsidP="009B5304">
      <w:pPr>
        <w:pStyle w:val="Textonotapie"/>
        <w:ind w:firstLine="709"/>
        <w:jc w:val="both"/>
        <w:rPr>
          <w:rFonts w:ascii="Verdana" w:hAnsi="Verdana"/>
          <w:sz w:val="16"/>
          <w:szCs w:val="16"/>
          <w:lang w:val="es-CO"/>
        </w:rPr>
      </w:pPr>
      <w:r w:rsidRPr="00382345">
        <w:rPr>
          <w:rStyle w:val="Refdenotaalpie"/>
          <w:rFonts w:ascii="Verdana" w:hAnsi="Verdana"/>
          <w:sz w:val="16"/>
          <w:szCs w:val="16"/>
        </w:rPr>
        <w:footnoteRef/>
      </w:r>
      <w:r w:rsidRPr="00382345">
        <w:rPr>
          <w:rFonts w:ascii="Verdana" w:hAnsi="Verdana"/>
          <w:sz w:val="16"/>
          <w:szCs w:val="16"/>
          <w:lang w:val="es-CO"/>
        </w:rPr>
        <w:t xml:space="preserve"> Consejo de Estado, Sección Tercera. Auto del 4 de octubre de 2024. Exp. 70.313. C.P: Fredy Ibarra Martínez.</w:t>
      </w:r>
    </w:p>
  </w:footnote>
  <w:footnote w:id="28">
    <w:p w14:paraId="677F4D07" w14:textId="77777777" w:rsidR="009B5304" w:rsidRPr="00382345" w:rsidRDefault="009B5304" w:rsidP="009B5304">
      <w:pPr>
        <w:pStyle w:val="Textonotapie"/>
        <w:ind w:firstLine="709"/>
        <w:jc w:val="both"/>
        <w:rPr>
          <w:rFonts w:ascii="Verdana" w:hAnsi="Verdana"/>
          <w:sz w:val="16"/>
          <w:szCs w:val="16"/>
          <w:lang w:val="es-CO"/>
        </w:rPr>
      </w:pPr>
      <w:r w:rsidRPr="00382345">
        <w:rPr>
          <w:rStyle w:val="Refdenotaalpie"/>
          <w:rFonts w:ascii="Verdana" w:hAnsi="Verdana"/>
          <w:sz w:val="16"/>
          <w:szCs w:val="16"/>
        </w:rPr>
        <w:footnoteRef/>
      </w:r>
      <w:r w:rsidRPr="00382345">
        <w:rPr>
          <w:rFonts w:ascii="Verdana" w:hAnsi="Verdana"/>
          <w:sz w:val="16"/>
          <w:szCs w:val="16"/>
        </w:rPr>
        <w:t xml:space="preserve"> La parte resolutiva del auto dispone lo siguiente; “</w:t>
      </w:r>
      <w:r w:rsidRPr="00382345">
        <w:rPr>
          <w:rFonts w:ascii="Verdana" w:hAnsi="Verdana"/>
          <w:sz w:val="16"/>
          <w:szCs w:val="16"/>
          <w:lang w:val="es-CO"/>
        </w:rPr>
        <w:t xml:space="preserve">PRIMERO: DECRETAR la suspensión provisional de los apartes cuestionados del inciso segundo del numeral 16.2 de la Circular Externa única, versión 3 del 27 de diciembre de 2023, expedida por la Agencia Nacional de Contratación Pública – Colombia Compra Eficiente, según el cual </w:t>
      </w:r>
      <w:r w:rsidRPr="0038234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382345">
        <w:rPr>
          <w:rFonts w:ascii="Verdana" w:hAnsi="Verdana"/>
          <w:sz w:val="16"/>
          <w:szCs w:val="16"/>
          <w:lang w:val="es-CO"/>
        </w:rPr>
        <w:t xml:space="preserve">, por las razones expuestas en precedencia. </w:t>
      </w:r>
    </w:p>
    <w:p w14:paraId="19BAF6C3" w14:textId="77777777" w:rsidR="009B5304" w:rsidRPr="00382345" w:rsidRDefault="009B5304" w:rsidP="009B5304">
      <w:pPr>
        <w:pStyle w:val="Textonotapie"/>
        <w:ind w:firstLine="709"/>
        <w:jc w:val="both"/>
        <w:rPr>
          <w:rFonts w:ascii="Verdana" w:hAnsi="Verdana"/>
          <w:sz w:val="16"/>
          <w:szCs w:val="16"/>
          <w:lang w:val="es-CO"/>
        </w:rPr>
      </w:pPr>
      <w:r w:rsidRPr="00382345">
        <w:rPr>
          <w:rFonts w:ascii="Verdana" w:hAnsi="Verdana"/>
          <w:sz w:val="16"/>
          <w:szCs w:val="16"/>
          <w:lang w:val="es-CO"/>
        </w:rPr>
        <w:t>SEGUNDO: DECRETAR la suspensión provisional de la expresión “</w:t>
      </w:r>
      <w:r w:rsidRPr="00382345">
        <w:rPr>
          <w:rFonts w:ascii="Verdana" w:hAnsi="Verdana"/>
          <w:i/>
          <w:sz w:val="16"/>
          <w:szCs w:val="16"/>
          <w:lang w:val="es-CO"/>
        </w:rPr>
        <w:t>contratos</w:t>
      </w:r>
      <w:r w:rsidRPr="00382345">
        <w:rPr>
          <w:rFonts w:ascii="Verdana" w:hAnsi="Verdana"/>
          <w:sz w:val="16"/>
          <w:szCs w:val="16"/>
          <w:lang w:val="es-CO"/>
        </w:rPr>
        <w:t xml:space="preserve">” y del párrafo </w:t>
      </w:r>
      <w:r w:rsidRPr="0038234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38234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9">
    <w:p w14:paraId="34995BED" w14:textId="77777777" w:rsidR="009B5304" w:rsidRPr="00382345" w:rsidRDefault="009B5304" w:rsidP="009B5304">
      <w:pPr>
        <w:spacing w:line="240" w:lineRule="auto"/>
        <w:ind w:firstLine="709"/>
        <w:contextualSpacing/>
        <w:jc w:val="both"/>
        <w:rPr>
          <w:rFonts w:ascii="Verdana" w:eastAsia="Times New Roman" w:hAnsi="Verdana" w:cs="Times New Roman"/>
          <w:sz w:val="16"/>
          <w:szCs w:val="16"/>
          <w:lang w:eastAsia="es-ES"/>
        </w:rPr>
      </w:pPr>
      <w:r w:rsidRPr="00382345">
        <w:rPr>
          <w:rStyle w:val="Refdenotaalpie"/>
          <w:rFonts w:ascii="Verdana" w:hAnsi="Verdana"/>
          <w:sz w:val="16"/>
          <w:szCs w:val="16"/>
        </w:rPr>
        <w:footnoteRef/>
      </w:r>
      <w:r w:rsidRPr="00382345">
        <w:rPr>
          <w:rFonts w:ascii="Verdana" w:hAnsi="Verdana"/>
          <w:sz w:val="16"/>
          <w:szCs w:val="16"/>
        </w:rPr>
        <w:t xml:space="preserve"> </w:t>
      </w:r>
      <w:r w:rsidRPr="0038234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382345">
        <w:rPr>
          <w:rFonts w:ascii="Verdana" w:hAnsi="Verdana"/>
          <w:sz w:val="16"/>
          <w:szCs w:val="16"/>
        </w:rPr>
        <w:t xml:space="preserve">La parte de la providencia señala: </w:t>
      </w:r>
      <w:r w:rsidRPr="0038234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0">
    <w:p w14:paraId="7A6858B4" w14:textId="77777777" w:rsidR="009B5304" w:rsidRDefault="009B5304" w:rsidP="009B5304">
      <w:pPr>
        <w:pStyle w:val="Textonotapie"/>
        <w:ind w:firstLine="709"/>
        <w:jc w:val="both"/>
        <w:rPr>
          <w:rFonts w:ascii="Verdana" w:hAnsi="Verdana"/>
          <w:sz w:val="16"/>
          <w:szCs w:val="16"/>
        </w:rPr>
      </w:pPr>
      <w:r w:rsidRPr="00382345">
        <w:rPr>
          <w:rFonts w:ascii="Verdana" w:hAnsi="Verdana"/>
          <w:sz w:val="16"/>
          <w:szCs w:val="16"/>
          <w:vertAlign w:val="superscript"/>
        </w:rPr>
        <w:footnoteRef/>
      </w:r>
      <w:r w:rsidRPr="0038234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101FE7C8" w14:textId="77777777" w:rsidR="009B5304" w:rsidRPr="00676B87" w:rsidRDefault="009B5304" w:rsidP="009B5304">
      <w:pPr>
        <w:pStyle w:val="Textonotapie"/>
        <w:ind w:firstLine="709"/>
        <w:jc w:val="both"/>
        <w:rPr>
          <w:sz w:val="16"/>
          <w:szCs w:val="16"/>
        </w:rPr>
      </w:pPr>
    </w:p>
  </w:footnote>
  <w:footnote w:id="31">
    <w:p w14:paraId="330B96D5" w14:textId="77777777" w:rsidR="009B5304" w:rsidRPr="004674CF" w:rsidRDefault="009B5304" w:rsidP="009B5304">
      <w:pPr>
        <w:pStyle w:val="Textonotapie"/>
        <w:ind w:firstLine="708"/>
        <w:jc w:val="both"/>
        <w:rPr>
          <w:rFonts w:ascii="Arial" w:hAnsi="Arial"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C49"/>
    <w:rsid w:val="00035600"/>
    <w:rsid w:val="000415E3"/>
    <w:rsid w:val="00046945"/>
    <w:rsid w:val="00061B2A"/>
    <w:rsid w:val="00077656"/>
    <w:rsid w:val="00082362"/>
    <w:rsid w:val="000A683E"/>
    <w:rsid w:val="000B19B9"/>
    <w:rsid w:val="000C364A"/>
    <w:rsid w:val="000C4FB2"/>
    <w:rsid w:val="000D0334"/>
    <w:rsid w:val="000D5DA7"/>
    <w:rsid w:val="000F6486"/>
    <w:rsid w:val="00116940"/>
    <w:rsid w:val="00120219"/>
    <w:rsid w:val="00125105"/>
    <w:rsid w:val="00127233"/>
    <w:rsid w:val="0015699B"/>
    <w:rsid w:val="00165DBB"/>
    <w:rsid w:val="001726AA"/>
    <w:rsid w:val="00186B4C"/>
    <w:rsid w:val="001A33BF"/>
    <w:rsid w:val="001B3696"/>
    <w:rsid w:val="001E4177"/>
    <w:rsid w:val="001F0B24"/>
    <w:rsid w:val="001F407A"/>
    <w:rsid w:val="001F7DC6"/>
    <w:rsid w:val="0022400B"/>
    <w:rsid w:val="0023666A"/>
    <w:rsid w:val="002421BB"/>
    <w:rsid w:val="0025796E"/>
    <w:rsid w:val="002707A2"/>
    <w:rsid w:val="002951A0"/>
    <w:rsid w:val="002962BC"/>
    <w:rsid w:val="00296949"/>
    <w:rsid w:val="002A093D"/>
    <w:rsid w:val="002A0DD0"/>
    <w:rsid w:val="002A49AC"/>
    <w:rsid w:val="002A64FD"/>
    <w:rsid w:val="002C5D63"/>
    <w:rsid w:val="002C7A84"/>
    <w:rsid w:val="002E2BF8"/>
    <w:rsid w:val="002E4FD9"/>
    <w:rsid w:val="003009C6"/>
    <w:rsid w:val="0030657A"/>
    <w:rsid w:val="00320CB6"/>
    <w:rsid w:val="00321F48"/>
    <w:rsid w:val="00322A85"/>
    <w:rsid w:val="00324168"/>
    <w:rsid w:val="003271CE"/>
    <w:rsid w:val="00330834"/>
    <w:rsid w:val="003448F4"/>
    <w:rsid w:val="00354F90"/>
    <w:rsid w:val="00374F5E"/>
    <w:rsid w:val="00377E3E"/>
    <w:rsid w:val="003A779E"/>
    <w:rsid w:val="003B2F8E"/>
    <w:rsid w:val="003C55D0"/>
    <w:rsid w:val="003D0F4D"/>
    <w:rsid w:val="003D5B0D"/>
    <w:rsid w:val="003E0499"/>
    <w:rsid w:val="003E1ECE"/>
    <w:rsid w:val="003E4F80"/>
    <w:rsid w:val="003E6439"/>
    <w:rsid w:val="003F3941"/>
    <w:rsid w:val="00406575"/>
    <w:rsid w:val="00414876"/>
    <w:rsid w:val="00414C74"/>
    <w:rsid w:val="0042722E"/>
    <w:rsid w:val="00431FE8"/>
    <w:rsid w:val="0044528D"/>
    <w:rsid w:val="0045522E"/>
    <w:rsid w:val="00455B6C"/>
    <w:rsid w:val="00466E39"/>
    <w:rsid w:val="004A1847"/>
    <w:rsid w:val="004A305D"/>
    <w:rsid w:val="004C2DAE"/>
    <w:rsid w:val="004F21C4"/>
    <w:rsid w:val="004F6041"/>
    <w:rsid w:val="004F685F"/>
    <w:rsid w:val="00536209"/>
    <w:rsid w:val="00555C65"/>
    <w:rsid w:val="005566E8"/>
    <w:rsid w:val="00574867"/>
    <w:rsid w:val="00591460"/>
    <w:rsid w:val="00593104"/>
    <w:rsid w:val="005A65E0"/>
    <w:rsid w:val="005C3777"/>
    <w:rsid w:val="005C5CDC"/>
    <w:rsid w:val="005D476C"/>
    <w:rsid w:val="00606F83"/>
    <w:rsid w:val="006200BF"/>
    <w:rsid w:val="006219F8"/>
    <w:rsid w:val="006302F7"/>
    <w:rsid w:val="00631205"/>
    <w:rsid w:val="00644105"/>
    <w:rsid w:val="00646B9F"/>
    <w:rsid w:val="00653630"/>
    <w:rsid w:val="00665D70"/>
    <w:rsid w:val="006900D9"/>
    <w:rsid w:val="006B090A"/>
    <w:rsid w:val="006C1F77"/>
    <w:rsid w:val="006C508A"/>
    <w:rsid w:val="006F2229"/>
    <w:rsid w:val="00706C16"/>
    <w:rsid w:val="00717DE7"/>
    <w:rsid w:val="007340C3"/>
    <w:rsid w:val="007341E5"/>
    <w:rsid w:val="0075235A"/>
    <w:rsid w:val="007531E3"/>
    <w:rsid w:val="00756841"/>
    <w:rsid w:val="007649AB"/>
    <w:rsid w:val="00771D0C"/>
    <w:rsid w:val="007807D6"/>
    <w:rsid w:val="007833AC"/>
    <w:rsid w:val="007A79BB"/>
    <w:rsid w:val="007B268C"/>
    <w:rsid w:val="007B7171"/>
    <w:rsid w:val="007C0C0F"/>
    <w:rsid w:val="007C3DC2"/>
    <w:rsid w:val="007C3E12"/>
    <w:rsid w:val="007E4BE1"/>
    <w:rsid w:val="007E5497"/>
    <w:rsid w:val="00806F5F"/>
    <w:rsid w:val="00820278"/>
    <w:rsid w:val="008258C9"/>
    <w:rsid w:val="00844AE9"/>
    <w:rsid w:val="00867F95"/>
    <w:rsid w:val="00874100"/>
    <w:rsid w:val="008843B6"/>
    <w:rsid w:val="00891928"/>
    <w:rsid w:val="008A446D"/>
    <w:rsid w:val="008B25F1"/>
    <w:rsid w:val="008D180B"/>
    <w:rsid w:val="008F0EA7"/>
    <w:rsid w:val="00903CBD"/>
    <w:rsid w:val="00923B50"/>
    <w:rsid w:val="00923EEF"/>
    <w:rsid w:val="009419F9"/>
    <w:rsid w:val="00943ECC"/>
    <w:rsid w:val="00954F75"/>
    <w:rsid w:val="0095685E"/>
    <w:rsid w:val="00961B09"/>
    <w:rsid w:val="00965334"/>
    <w:rsid w:val="0097093E"/>
    <w:rsid w:val="00977969"/>
    <w:rsid w:val="00991721"/>
    <w:rsid w:val="00993725"/>
    <w:rsid w:val="00997570"/>
    <w:rsid w:val="009A0DFA"/>
    <w:rsid w:val="009A1C6F"/>
    <w:rsid w:val="009B2D26"/>
    <w:rsid w:val="009B4E23"/>
    <w:rsid w:val="009B5304"/>
    <w:rsid w:val="009C5190"/>
    <w:rsid w:val="009C71FA"/>
    <w:rsid w:val="009C72E7"/>
    <w:rsid w:val="009C7F7E"/>
    <w:rsid w:val="009D3058"/>
    <w:rsid w:val="009F3A13"/>
    <w:rsid w:val="00A071BB"/>
    <w:rsid w:val="00A122D3"/>
    <w:rsid w:val="00A14468"/>
    <w:rsid w:val="00A17F13"/>
    <w:rsid w:val="00A20739"/>
    <w:rsid w:val="00A23AF9"/>
    <w:rsid w:val="00A33C78"/>
    <w:rsid w:val="00A516D3"/>
    <w:rsid w:val="00A541E2"/>
    <w:rsid w:val="00A96EDA"/>
    <w:rsid w:val="00AB0ADB"/>
    <w:rsid w:val="00AE1E71"/>
    <w:rsid w:val="00AE7A51"/>
    <w:rsid w:val="00B00C0E"/>
    <w:rsid w:val="00B01B1A"/>
    <w:rsid w:val="00B0381D"/>
    <w:rsid w:val="00B44A47"/>
    <w:rsid w:val="00B72CD3"/>
    <w:rsid w:val="00B72FFF"/>
    <w:rsid w:val="00B92AD0"/>
    <w:rsid w:val="00B96939"/>
    <w:rsid w:val="00BC3D36"/>
    <w:rsid w:val="00BD54A6"/>
    <w:rsid w:val="00BD7B57"/>
    <w:rsid w:val="00BD7F72"/>
    <w:rsid w:val="00BF7425"/>
    <w:rsid w:val="00C04FB3"/>
    <w:rsid w:val="00C11D8B"/>
    <w:rsid w:val="00C15139"/>
    <w:rsid w:val="00C330EB"/>
    <w:rsid w:val="00C44A24"/>
    <w:rsid w:val="00C50D69"/>
    <w:rsid w:val="00C5365C"/>
    <w:rsid w:val="00C55FA4"/>
    <w:rsid w:val="00C754BE"/>
    <w:rsid w:val="00C76B1C"/>
    <w:rsid w:val="00C87E6D"/>
    <w:rsid w:val="00C925AC"/>
    <w:rsid w:val="00CB6357"/>
    <w:rsid w:val="00CC1B26"/>
    <w:rsid w:val="00CE6B85"/>
    <w:rsid w:val="00D022E4"/>
    <w:rsid w:val="00D361FD"/>
    <w:rsid w:val="00D423A2"/>
    <w:rsid w:val="00D44E26"/>
    <w:rsid w:val="00D520D8"/>
    <w:rsid w:val="00D63AC2"/>
    <w:rsid w:val="00D7383B"/>
    <w:rsid w:val="00D7788A"/>
    <w:rsid w:val="00D82229"/>
    <w:rsid w:val="00D84C55"/>
    <w:rsid w:val="00DA231B"/>
    <w:rsid w:val="00DB2460"/>
    <w:rsid w:val="00DB51AB"/>
    <w:rsid w:val="00DC2A03"/>
    <w:rsid w:val="00DC39FC"/>
    <w:rsid w:val="00DF0E64"/>
    <w:rsid w:val="00DF479E"/>
    <w:rsid w:val="00DF5254"/>
    <w:rsid w:val="00E02524"/>
    <w:rsid w:val="00E11F1D"/>
    <w:rsid w:val="00E16408"/>
    <w:rsid w:val="00E20894"/>
    <w:rsid w:val="00E245AB"/>
    <w:rsid w:val="00E2764C"/>
    <w:rsid w:val="00E27F2E"/>
    <w:rsid w:val="00E50AFE"/>
    <w:rsid w:val="00E75C92"/>
    <w:rsid w:val="00E771DC"/>
    <w:rsid w:val="00E8772A"/>
    <w:rsid w:val="00E90F6B"/>
    <w:rsid w:val="00E92C27"/>
    <w:rsid w:val="00EA0E3D"/>
    <w:rsid w:val="00EA6C12"/>
    <w:rsid w:val="00EC38A7"/>
    <w:rsid w:val="00ED466A"/>
    <w:rsid w:val="00EE1AA8"/>
    <w:rsid w:val="00EE6095"/>
    <w:rsid w:val="00EF2248"/>
    <w:rsid w:val="00F23FEA"/>
    <w:rsid w:val="00F31EDC"/>
    <w:rsid w:val="00F462B3"/>
    <w:rsid w:val="00F5664F"/>
    <w:rsid w:val="00F666C4"/>
    <w:rsid w:val="00F7062E"/>
    <w:rsid w:val="00F76AFC"/>
    <w:rsid w:val="00FA47C0"/>
    <w:rsid w:val="00FB5DD1"/>
    <w:rsid w:val="00FC2B5D"/>
    <w:rsid w:val="00FC2E55"/>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770D9BA-4014-42A1-B148-29AF1628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B530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B5304"/>
    <w:rPr>
      <w:rFonts w:ascii="Geomanist Light" w:hAnsi="Geomanist Light"/>
      <w:lang w:val="es-ES"/>
    </w:rPr>
  </w:style>
  <w:style w:type="character" w:customStyle="1" w:styleId="NormalWebCar">
    <w:name w:val="Normal (Web) Car"/>
    <w:link w:val="NormalWeb"/>
    <w:uiPriority w:val="99"/>
    <w:locked/>
    <w:rsid w:val="009B5304"/>
    <w:rPr>
      <w:rFonts w:ascii="Times New Roman" w:eastAsia="Times New Roman" w:hAnsi="Times New Roman" w:cs="Times New Roman"/>
      <w:sz w:val="24"/>
      <w:szCs w:val="24"/>
      <w:lang w:eastAsia="es-CO"/>
    </w:rPr>
  </w:style>
  <w:style w:type="character" w:customStyle="1" w:styleId="baj">
    <w:name w:val="b_aj"/>
    <w:basedOn w:val="Fuentedeprrafopredeter"/>
    <w:rsid w:val="009B5304"/>
  </w:style>
  <w:style w:type="character" w:styleId="Refdecomentario">
    <w:name w:val="annotation reference"/>
    <w:basedOn w:val="Fuentedeprrafopredeter"/>
    <w:uiPriority w:val="99"/>
    <w:semiHidden/>
    <w:unhideWhenUsed/>
    <w:rsid w:val="00165DBB"/>
    <w:rPr>
      <w:sz w:val="16"/>
      <w:szCs w:val="16"/>
    </w:rPr>
  </w:style>
  <w:style w:type="paragraph" w:styleId="Textocomentario">
    <w:name w:val="annotation text"/>
    <w:basedOn w:val="Normal"/>
    <w:link w:val="TextocomentarioCar"/>
    <w:uiPriority w:val="99"/>
    <w:unhideWhenUsed/>
    <w:rsid w:val="00165DBB"/>
    <w:pPr>
      <w:spacing w:line="240" w:lineRule="auto"/>
    </w:pPr>
    <w:rPr>
      <w:sz w:val="20"/>
      <w:szCs w:val="20"/>
    </w:rPr>
  </w:style>
  <w:style w:type="character" w:customStyle="1" w:styleId="TextocomentarioCar">
    <w:name w:val="Texto comentario Car"/>
    <w:basedOn w:val="Fuentedeprrafopredeter"/>
    <w:link w:val="Textocomentario"/>
    <w:uiPriority w:val="99"/>
    <w:rsid w:val="00165DBB"/>
    <w:rPr>
      <w:sz w:val="20"/>
      <w:szCs w:val="20"/>
    </w:rPr>
  </w:style>
  <w:style w:type="paragraph" w:styleId="Asuntodelcomentario">
    <w:name w:val="annotation subject"/>
    <w:basedOn w:val="Textocomentario"/>
    <w:next w:val="Textocomentario"/>
    <w:link w:val="AsuntodelcomentarioCar"/>
    <w:uiPriority w:val="99"/>
    <w:semiHidden/>
    <w:unhideWhenUsed/>
    <w:rsid w:val="00165DBB"/>
    <w:rPr>
      <w:b/>
      <w:bCs/>
    </w:rPr>
  </w:style>
  <w:style w:type="character" w:customStyle="1" w:styleId="AsuntodelcomentarioCar">
    <w:name w:val="Asunto del comentario Car"/>
    <w:basedOn w:val="TextocomentarioCar"/>
    <w:link w:val="Asuntodelcomentario"/>
    <w:uiPriority w:val="99"/>
    <w:semiHidden/>
    <w:rsid w:val="00165D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raciones.colombiacompra.gov.co/sites/cce_public/files/cce_circulares/circular_externa_unica_version_3_vf49.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limaria.tangarife@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8FCADA9C-6FEC-4AB9-A79F-2DA07A5E6CCA}">
  <ds:schemaRefs>
    <ds:schemaRef ds:uri="http://schemas.openxmlformats.org/officeDocument/2006/bibliography"/>
  </ds:schemaRefs>
</ds:datastoreItem>
</file>

<file path=customXml/itemProps3.xml><?xml version="1.0" encoding="utf-8"?>
<ds:datastoreItem xmlns:ds="http://schemas.openxmlformats.org/officeDocument/2006/customXml" ds:itemID="{B24781B2-5647-4B5E-84A3-38F7A40DD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28</Pages>
  <Words>8983</Words>
  <Characters>50489</Characters>
  <Application>Microsoft Office Word</Application>
  <DocSecurity>0</DocSecurity>
  <Lines>1009</Lines>
  <Paragraphs>226</Paragraphs>
  <ScaleCrop>false</ScaleCrop>
  <Company/>
  <LinksUpToDate>false</LinksUpToDate>
  <CharactersWithSpaces>59246</CharactersWithSpaces>
  <SharedDoc>false</SharedDoc>
  <HLinks>
    <vt:vector size="18" baseType="variant">
      <vt:variant>
        <vt:i4>7471218</vt:i4>
      </vt:variant>
      <vt:variant>
        <vt:i4>6</vt:i4>
      </vt:variant>
      <vt:variant>
        <vt:i4>0</vt:i4>
      </vt:variant>
      <vt:variant>
        <vt:i4>5</vt:i4>
      </vt:variant>
      <vt:variant>
        <vt:lpwstr>https://relatoria.colombiacompra.gov.co/busqueda/conceptos</vt:lpwstr>
      </vt:variant>
      <vt:variant>
        <vt:lpwstr/>
      </vt:variant>
      <vt:variant>
        <vt:i4>7471108</vt:i4>
      </vt:variant>
      <vt:variant>
        <vt:i4>3</vt:i4>
      </vt:variant>
      <vt:variant>
        <vt:i4>0</vt:i4>
      </vt:variant>
      <vt:variant>
        <vt:i4>5</vt:i4>
      </vt:variant>
      <vt:variant>
        <vt:lpwstr>https://operaciones.colombiacompra.gov.co/sites/cce_public/files/cce_circulares/circular_externa_unica_version_3_vf49.pdf</vt:lpwstr>
      </vt:variant>
      <vt:variant>
        <vt:lpwstr/>
      </vt:variant>
      <vt:variant>
        <vt:i4>983163</vt:i4>
      </vt:variant>
      <vt:variant>
        <vt:i4>0</vt:i4>
      </vt:variant>
      <vt:variant>
        <vt:i4>0</vt:i4>
      </vt:variant>
      <vt:variant>
        <vt:i4>5</vt:i4>
      </vt:variant>
      <vt:variant>
        <vt:lpwstr>mailto:lilimaria.tangarife@gmail.com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10</cp:revision>
  <cp:lastPrinted>2023-01-10T21:18:00Z</cp:lastPrinted>
  <dcterms:created xsi:type="dcterms:W3CDTF">2026-02-04T16:16:00Z</dcterms:created>
  <dcterms:modified xsi:type="dcterms:W3CDTF">2026-02-12T14:28:00Z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