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4F6FC5" w14:textId="797868CF" w:rsidR="04521373" w:rsidRPr="0079690C" w:rsidRDefault="04521373" w:rsidP="00C432D3">
      <w:pPr>
        <w:jc w:val="right"/>
        <w:rPr>
          <w:rFonts w:ascii="Arial" w:eastAsia="Arial" w:hAnsi="Arial" w:cs="Arial"/>
          <w:sz w:val="16"/>
          <w:szCs w:val="16"/>
        </w:rPr>
      </w:pPr>
      <w:bookmarkStart w:id="0" w:name="_GoBack"/>
      <w:bookmarkEnd w:id="0"/>
      <w:r w:rsidRPr="0079690C">
        <w:rPr>
          <w:rFonts w:ascii="Arial" w:eastAsia="Arial" w:hAnsi="Arial" w:cs="Arial"/>
          <w:b/>
          <w:bCs/>
          <w:sz w:val="16"/>
          <w:szCs w:val="16"/>
        </w:rPr>
        <w:t>CCE-DES-FM-17</w:t>
      </w:r>
    </w:p>
    <w:p w14:paraId="01BCC4BB" w14:textId="0B30590E" w:rsidR="2A2D633F" w:rsidRPr="008C2E05" w:rsidRDefault="2A2D633F" w:rsidP="00C432D3">
      <w:pPr>
        <w:spacing w:line="276" w:lineRule="auto"/>
        <w:jc w:val="both"/>
        <w:rPr>
          <w:rFonts w:ascii="Arial" w:eastAsia="Calibri" w:hAnsi="Arial" w:cs="Arial"/>
          <w:b/>
          <w:bCs/>
          <w:color w:val="000000" w:themeColor="text1"/>
          <w:sz w:val="16"/>
          <w:szCs w:val="16"/>
        </w:rPr>
      </w:pPr>
    </w:p>
    <w:p w14:paraId="0C7748BD" w14:textId="26B37EE9" w:rsidR="001D4790" w:rsidRPr="004975C6" w:rsidRDefault="001D4790" w:rsidP="00C432D3">
      <w:pPr>
        <w:spacing w:line="276" w:lineRule="auto"/>
        <w:jc w:val="both"/>
        <w:rPr>
          <w:rFonts w:ascii="Arial" w:eastAsia="Calibri" w:hAnsi="Arial" w:cs="Arial"/>
          <w:b/>
          <w:bCs/>
          <w:color w:val="000000" w:themeColor="text1"/>
          <w:sz w:val="22"/>
        </w:rPr>
      </w:pPr>
      <w:r w:rsidRPr="004975C6">
        <w:rPr>
          <w:rFonts w:ascii="Arial" w:eastAsia="Calibri" w:hAnsi="Arial" w:cs="Arial"/>
          <w:b/>
          <w:bCs/>
          <w:color w:val="000000" w:themeColor="text1"/>
          <w:sz w:val="22"/>
        </w:rPr>
        <w:t xml:space="preserve">CONTRATO DE PRESTACIÓN DE SERVICIOS </w:t>
      </w:r>
      <w:r w:rsidR="004975C6" w:rsidRPr="004975C6">
        <w:rPr>
          <w:rFonts w:ascii="Arial" w:eastAsia="Calibri" w:hAnsi="Arial" w:cs="Arial"/>
          <w:b/>
          <w:color w:val="000000" w:themeColor="text1"/>
          <w:sz w:val="22"/>
        </w:rPr>
        <w:t>–</w:t>
      </w:r>
      <w:r w:rsidRPr="004975C6">
        <w:rPr>
          <w:rFonts w:ascii="Arial" w:eastAsia="Calibri" w:hAnsi="Arial" w:cs="Arial"/>
          <w:b/>
          <w:bCs/>
          <w:color w:val="000000" w:themeColor="text1"/>
          <w:sz w:val="22"/>
        </w:rPr>
        <w:t xml:space="preserve"> Definición </w:t>
      </w:r>
    </w:p>
    <w:p w14:paraId="20CC907A" w14:textId="77777777" w:rsidR="001D4790" w:rsidRPr="003E17D3" w:rsidRDefault="001D4790" w:rsidP="002863AA">
      <w:pPr>
        <w:spacing w:line="276" w:lineRule="auto"/>
        <w:jc w:val="both"/>
        <w:rPr>
          <w:rFonts w:ascii="Arial" w:eastAsia="Calibri" w:hAnsi="Arial" w:cs="Arial"/>
          <w:color w:val="000000" w:themeColor="text1"/>
          <w:sz w:val="20"/>
          <w:szCs w:val="20"/>
        </w:rPr>
      </w:pPr>
    </w:p>
    <w:p w14:paraId="0E41E32F" w14:textId="4B07AD91" w:rsidR="003A0A45" w:rsidRPr="003E17D3" w:rsidRDefault="001D4790" w:rsidP="002863AA">
      <w:pPr>
        <w:jc w:val="both"/>
        <w:rPr>
          <w:rFonts w:ascii="Arial" w:eastAsia="Calibri" w:hAnsi="Arial" w:cs="Arial"/>
          <w:color w:val="000000" w:themeColor="text1"/>
          <w:sz w:val="20"/>
          <w:szCs w:val="20"/>
        </w:rPr>
      </w:pPr>
      <w:r w:rsidRPr="003E17D3">
        <w:rPr>
          <w:rFonts w:ascii="Arial" w:eastAsia="Calibri" w:hAnsi="Arial" w:cs="Arial"/>
          <w:color w:val="000000" w:themeColor="text1"/>
          <w:sz w:val="20"/>
          <w:szCs w:val="20"/>
        </w:rPr>
        <w:t xml:space="preserve">La Ley 80 de 1993, por medio de la cual se expidió el Estatuto General de Contratación de la Administración Pública, en el artículo 32, numeral 3, definió los contratos de prestación de servicios como aquellos que se celebran para desarrollar actividades relacionadas con la administración o funcionamiento de la entidad. </w:t>
      </w:r>
    </w:p>
    <w:p w14:paraId="396E9886" w14:textId="62DE2372" w:rsidR="001D4790" w:rsidRPr="003E17D3" w:rsidRDefault="001D4790" w:rsidP="002863AA">
      <w:pPr>
        <w:spacing w:line="276" w:lineRule="auto"/>
        <w:jc w:val="both"/>
        <w:rPr>
          <w:rFonts w:ascii="Arial" w:eastAsia="Calibri" w:hAnsi="Arial" w:cs="Arial"/>
          <w:color w:val="000000" w:themeColor="text1"/>
          <w:sz w:val="20"/>
          <w:szCs w:val="20"/>
        </w:rPr>
      </w:pPr>
    </w:p>
    <w:p w14:paraId="74B9D804" w14:textId="6B916BAC" w:rsidR="001D4790" w:rsidRPr="004975C6" w:rsidRDefault="001D4790" w:rsidP="002863AA">
      <w:pPr>
        <w:spacing w:line="276" w:lineRule="auto"/>
        <w:jc w:val="both"/>
        <w:rPr>
          <w:rFonts w:ascii="Arial" w:eastAsia="Calibri" w:hAnsi="Arial" w:cs="Arial"/>
          <w:b/>
          <w:bCs/>
          <w:color w:val="000000" w:themeColor="text1"/>
          <w:sz w:val="22"/>
        </w:rPr>
      </w:pPr>
      <w:r w:rsidRPr="004975C6">
        <w:rPr>
          <w:rFonts w:ascii="Arial" w:eastAsia="Calibri" w:hAnsi="Arial" w:cs="Arial"/>
          <w:b/>
          <w:bCs/>
          <w:color w:val="000000" w:themeColor="text1"/>
          <w:sz w:val="22"/>
        </w:rPr>
        <w:t xml:space="preserve">CONTRATO DE PRESTACIÓN DE SERVICIOS </w:t>
      </w:r>
      <w:r w:rsidR="004975C6" w:rsidRPr="004975C6">
        <w:rPr>
          <w:rFonts w:ascii="Arial" w:eastAsia="Calibri" w:hAnsi="Arial" w:cs="Arial"/>
          <w:b/>
          <w:color w:val="000000" w:themeColor="text1"/>
          <w:sz w:val="22"/>
        </w:rPr>
        <w:t>–</w:t>
      </w:r>
      <w:r w:rsidRPr="004975C6">
        <w:rPr>
          <w:rFonts w:ascii="Arial" w:eastAsia="Calibri" w:hAnsi="Arial" w:cs="Arial"/>
          <w:b/>
          <w:bCs/>
          <w:color w:val="000000" w:themeColor="text1"/>
          <w:sz w:val="22"/>
        </w:rPr>
        <w:t xml:space="preserve"> Modalidad de selección </w:t>
      </w:r>
      <w:r w:rsidR="004975C6" w:rsidRPr="004975C6">
        <w:rPr>
          <w:rFonts w:ascii="Arial" w:eastAsia="Calibri" w:hAnsi="Arial" w:cs="Arial"/>
          <w:b/>
          <w:color w:val="000000" w:themeColor="text1"/>
          <w:sz w:val="22"/>
        </w:rPr>
        <w:t>–</w:t>
      </w:r>
      <w:r w:rsidRPr="004975C6">
        <w:rPr>
          <w:rFonts w:ascii="Arial" w:eastAsia="Calibri" w:hAnsi="Arial" w:cs="Arial"/>
          <w:b/>
          <w:bCs/>
          <w:color w:val="000000" w:themeColor="text1"/>
          <w:sz w:val="22"/>
        </w:rPr>
        <w:t xml:space="preserve"> Contratación directa </w:t>
      </w:r>
    </w:p>
    <w:p w14:paraId="7F02B349" w14:textId="25A506C9" w:rsidR="001D4790" w:rsidRPr="004975C6" w:rsidRDefault="001D4790" w:rsidP="002863AA">
      <w:pPr>
        <w:spacing w:line="276" w:lineRule="auto"/>
        <w:jc w:val="both"/>
        <w:rPr>
          <w:rFonts w:ascii="Arial" w:eastAsia="Calibri" w:hAnsi="Arial" w:cs="Arial"/>
          <w:color w:val="000000" w:themeColor="text1"/>
          <w:sz w:val="22"/>
        </w:rPr>
      </w:pPr>
    </w:p>
    <w:p w14:paraId="362986AA" w14:textId="77777777" w:rsidR="001465F4" w:rsidRDefault="001D4790" w:rsidP="001465F4">
      <w:pPr>
        <w:spacing w:after="120"/>
        <w:jc w:val="both"/>
        <w:rPr>
          <w:rFonts w:ascii="Arial" w:eastAsia="Calibri" w:hAnsi="Arial" w:cs="Arial"/>
          <w:color w:val="000000" w:themeColor="text1"/>
          <w:sz w:val="20"/>
          <w:szCs w:val="20"/>
        </w:rPr>
      </w:pPr>
      <w:r w:rsidRPr="003E17D3">
        <w:rPr>
          <w:rFonts w:ascii="Arial" w:eastAsia="Calibri" w:hAnsi="Arial" w:cs="Arial"/>
          <w:color w:val="000000" w:themeColor="text1"/>
          <w:sz w:val="20"/>
          <w:szCs w:val="20"/>
        </w:rPr>
        <w:t xml:space="preserve">Adicionalmente, el artículo 2, numeral 4, literal h, de la Ley 1150 de 2007, respecto de la posibilidad de celebrar contratos de prestación de servicios y la modalidad de selección mediante la cual deben suscribirse, ha indicado que estos se celebran con arreglo a la modalidad de selección de contratación directa. </w:t>
      </w:r>
    </w:p>
    <w:p w14:paraId="47020BE2" w14:textId="7E1CE927" w:rsidR="001D4790" w:rsidRPr="003E17D3" w:rsidRDefault="001D4790" w:rsidP="002863AA">
      <w:pPr>
        <w:jc w:val="both"/>
        <w:rPr>
          <w:rFonts w:ascii="Arial" w:eastAsia="Calibri" w:hAnsi="Arial" w:cs="Arial"/>
          <w:color w:val="000000" w:themeColor="text1"/>
          <w:sz w:val="20"/>
          <w:szCs w:val="20"/>
        </w:rPr>
      </w:pPr>
      <w:r w:rsidRPr="003E17D3">
        <w:rPr>
          <w:rFonts w:ascii="Arial" w:eastAsia="Calibri" w:hAnsi="Arial" w:cs="Arial"/>
          <w:color w:val="000000" w:themeColor="text1"/>
          <w:sz w:val="20"/>
          <w:szCs w:val="20"/>
        </w:rPr>
        <w:t>Ahora, el Decreto 1082 de 2015, por medio del cual se expide el Reglamento del Sector Administrativo de Planeación Nacional, reguló la manera como las entidades del Estado pueden suscribir contratos de prestación de servicios profesionales y de apoyo a la gestión, indicando que se suscriben mediante la modalidad de contratación directa y se caracterizan por ser de naturaleza intelectual diferentes de los de consultoría, e incluyen actividades operativas, logísticas o asistenciales de la entidad.</w:t>
      </w:r>
    </w:p>
    <w:p w14:paraId="645492F8" w14:textId="1B9714E7" w:rsidR="001D4790" w:rsidRPr="003E17D3" w:rsidRDefault="001D4790" w:rsidP="002863AA">
      <w:pPr>
        <w:spacing w:line="276" w:lineRule="auto"/>
        <w:jc w:val="both"/>
        <w:rPr>
          <w:rFonts w:ascii="Arial" w:eastAsia="Calibri" w:hAnsi="Arial" w:cs="Arial"/>
          <w:color w:val="000000" w:themeColor="text1"/>
          <w:sz w:val="20"/>
          <w:szCs w:val="20"/>
        </w:rPr>
      </w:pPr>
    </w:p>
    <w:p w14:paraId="0E09AF79" w14:textId="722728F1" w:rsidR="001D4790" w:rsidRPr="004975C6" w:rsidRDefault="001D4790" w:rsidP="002863AA">
      <w:pPr>
        <w:spacing w:line="276" w:lineRule="auto"/>
        <w:jc w:val="both"/>
        <w:rPr>
          <w:rFonts w:ascii="Arial" w:eastAsia="Calibri" w:hAnsi="Arial" w:cs="Arial"/>
          <w:b/>
          <w:bCs/>
          <w:color w:val="000000" w:themeColor="text1"/>
          <w:sz w:val="22"/>
        </w:rPr>
      </w:pPr>
      <w:r w:rsidRPr="004975C6">
        <w:rPr>
          <w:rFonts w:ascii="Arial" w:eastAsia="Calibri" w:hAnsi="Arial" w:cs="Arial"/>
          <w:b/>
          <w:bCs/>
          <w:color w:val="000000" w:themeColor="text1"/>
          <w:sz w:val="22"/>
        </w:rPr>
        <w:t xml:space="preserve">CONTRATO DE PRESTACIÓN DE SERVICIOS </w:t>
      </w:r>
      <w:r w:rsidR="004975C6" w:rsidRPr="004975C6">
        <w:rPr>
          <w:rFonts w:ascii="Arial" w:eastAsia="Calibri" w:hAnsi="Arial" w:cs="Arial"/>
          <w:b/>
          <w:color w:val="000000" w:themeColor="text1"/>
          <w:sz w:val="22"/>
        </w:rPr>
        <w:t>–</w:t>
      </w:r>
      <w:r w:rsidRPr="004975C6">
        <w:rPr>
          <w:rFonts w:ascii="Arial" w:eastAsia="Calibri" w:hAnsi="Arial" w:cs="Arial"/>
          <w:b/>
          <w:bCs/>
          <w:color w:val="000000" w:themeColor="text1"/>
          <w:sz w:val="22"/>
        </w:rPr>
        <w:t xml:space="preserve"> Clases </w:t>
      </w:r>
    </w:p>
    <w:p w14:paraId="2BAAC0EA" w14:textId="50B7A4ED" w:rsidR="001D4790" w:rsidRPr="003E17D3" w:rsidRDefault="001D4790" w:rsidP="002863AA">
      <w:pPr>
        <w:spacing w:line="276" w:lineRule="auto"/>
        <w:jc w:val="both"/>
        <w:rPr>
          <w:rFonts w:ascii="Arial" w:eastAsia="Calibri" w:hAnsi="Arial" w:cs="Arial"/>
          <w:color w:val="000000" w:themeColor="text1"/>
          <w:sz w:val="20"/>
          <w:szCs w:val="20"/>
        </w:rPr>
      </w:pPr>
    </w:p>
    <w:p w14:paraId="303F02B9" w14:textId="5A2F0450" w:rsidR="001D4790" w:rsidRPr="003E17D3" w:rsidRDefault="001D4790" w:rsidP="002863AA">
      <w:pPr>
        <w:jc w:val="both"/>
        <w:rPr>
          <w:rFonts w:ascii="Arial" w:eastAsia="Calibri" w:hAnsi="Arial" w:cs="Arial"/>
          <w:color w:val="000000" w:themeColor="text1"/>
          <w:sz w:val="20"/>
          <w:szCs w:val="20"/>
        </w:rPr>
      </w:pPr>
      <w:r w:rsidRPr="003E17D3">
        <w:rPr>
          <w:rFonts w:ascii="Arial" w:eastAsia="Calibri" w:hAnsi="Arial" w:cs="Arial"/>
          <w:color w:val="000000" w:themeColor="text1"/>
          <w:sz w:val="20"/>
          <w:szCs w:val="20"/>
        </w:rPr>
        <w:t xml:space="preserve">Por su parte, el Consejo de Estado, en sentencia de unificación, distinguió los contratos de prestación de servicios profesionales y los contratos de prestación de servicios de simple apoyo a la gestión, al señalar que el objeto de los primeros es el desempeño de actividades que implican el ejercicio de conocimientos especializados, mientras que los segundos no exigen la profesionalización del contratista, pues el apoyo a la gestión usualmente demanda un saber técnico. </w:t>
      </w:r>
    </w:p>
    <w:p w14:paraId="5F8B59D1" w14:textId="45DD7FC0" w:rsidR="001D4790" w:rsidRPr="003E17D3" w:rsidRDefault="001D4790" w:rsidP="002863AA">
      <w:pPr>
        <w:spacing w:line="276" w:lineRule="auto"/>
        <w:jc w:val="both"/>
        <w:rPr>
          <w:rFonts w:ascii="Arial" w:eastAsia="Calibri" w:hAnsi="Arial" w:cs="Arial"/>
          <w:color w:val="000000" w:themeColor="text1"/>
          <w:sz w:val="20"/>
          <w:szCs w:val="20"/>
        </w:rPr>
      </w:pPr>
    </w:p>
    <w:p w14:paraId="5D7ABD7E" w14:textId="54C2D6F6" w:rsidR="002863AA" w:rsidRPr="004975C6" w:rsidRDefault="002863AA" w:rsidP="002863AA">
      <w:pPr>
        <w:spacing w:line="276" w:lineRule="auto"/>
        <w:jc w:val="both"/>
        <w:rPr>
          <w:rFonts w:ascii="Arial" w:eastAsia="Calibri" w:hAnsi="Arial" w:cs="Arial"/>
          <w:color w:val="000000" w:themeColor="text1"/>
          <w:sz w:val="22"/>
        </w:rPr>
      </w:pPr>
      <w:r w:rsidRPr="004975C6">
        <w:rPr>
          <w:rFonts w:ascii="Arial" w:eastAsia="Calibri" w:hAnsi="Arial" w:cs="Arial"/>
          <w:b/>
          <w:bCs/>
          <w:color w:val="000000" w:themeColor="text1"/>
          <w:sz w:val="22"/>
        </w:rPr>
        <w:t xml:space="preserve">CONTRATO DE PRESTACIÓN DE SERVICIOS </w:t>
      </w:r>
      <w:r w:rsidR="002105F8">
        <w:rPr>
          <w:rFonts w:ascii="Arial" w:eastAsia="Calibri" w:hAnsi="Arial" w:cs="Arial"/>
          <w:b/>
          <w:color w:val="000000" w:themeColor="text1"/>
          <w:sz w:val="22"/>
        </w:rPr>
        <w:t>–</w:t>
      </w:r>
      <w:r w:rsidRPr="004975C6">
        <w:rPr>
          <w:rFonts w:ascii="Arial" w:eastAsia="Calibri" w:hAnsi="Arial" w:cs="Arial"/>
          <w:b/>
          <w:bCs/>
          <w:color w:val="000000" w:themeColor="text1"/>
          <w:sz w:val="22"/>
        </w:rPr>
        <w:t xml:space="preserve"> Prohibición</w:t>
      </w:r>
    </w:p>
    <w:p w14:paraId="45DAAE7D" w14:textId="77777777" w:rsidR="002863AA" w:rsidRPr="002105F8" w:rsidRDefault="002863AA" w:rsidP="002863AA">
      <w:pPr>
        <w:pStyle w:val="Prrafodelista"/>
        <w:spacing w:line="276" w:lineRule="auto"/>
        <w:ind w:left="0"/>
        <w:contextualSpacing w:val="0"/>
        <w:jc w:val="both"/>
        <w:rPr>
          <w:rFonts w:ascii="Arial" w:eastAsia="Calibri" w:hAnsi="Arial" w:cs="Arial"/>
          <w:color w:val="000000" w:themeColor="text1"/>
          <w:sz w:val="20"/>
          <w:szCs w:val="20"/>
        </w:rPr>
      </w:pPr>
    </w:p>
    <w:p w14:paraId="5925D633" w14:textId="6D613928" w:rsidR="00FE2FAE" w:rsidRPr="003E17D3" w:rsidRDefault="00FE2FAE" w:rsidP="007702C5">
      <w:pPr>
        <w:jc w:val="both"/>
        <w:rPr>
          <w:rFonts w:ascii="Arial" w:eastAsia="Calibri" w:hAnsi="Arial" w:cs="Arial"/>
          <w:color w:val="000000" w:themeColor="text1"/>
          <w:sz w:val="20"/>
          <w:szCs w:val="20"/>
        </w:rPr>
      </w:pPr>
      <w:r w:rsidRPr="003E17D3">
        <w:rPr>
          <w:rFonts w:ascii="Arial" w:eastAsia="Calibri" w:hAnsi="Arial" w:cs="Arial"/>
          <w:color w:val="000000" w:themeColor="text1"/>
          <w:sz w:val="20"/>
          <w:szCs w:val="20"/>
        </w:rPr>
        <w:t xml:space="preserve">El último inciso de la norma citada [artículo 2.8.4.4.5 del Decreto 1068 de 2015]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«jefe del respectivo órgano, ente o entidad contratante». </w:t>
      </w:r>
    </w:p>
    <w:p w14:paraId="7FA07265" w14:textId="55EF42DD" w:rsidR="00647C08" w:rsidRDefault="00647C08" w:rsidP="00647C08">
      <w:pPr>
        <w:jc w:val="both"/>
        <w:rPr>
          <w:rFonts w:ascii="Arial" w:hAnsi="Arial" w:cs="Arial"/>
          <w:color w:val="000000" w:themeColor="text1"/>
          <w:sz w:val="20"/>
          <w:szCs w:val="20"/>
        </w:rPr>
      </w:pPr>
    </w:p>
    <w:p w14:paraId="56E50E12" w14:textId="77777777" w:rsidR="00404495" w:rsidRPr="00590104" w:rsidRDefault="00404495" w:rsidP="00647C08">
      <w:pPr>
        <w:jc w:val="both"/>
        <w:rPr>
          <w:rFonts w:ascii="Arial" w:hAnsi="Arial" w:cs="Arial"/>
          <w:color w:val="000000" w:themeColor="text1"/>
          <w:sz w:val="20"/>
          <w:szCs w:val="20"/>
        </w:rPr>
      </w:pPr>
    </w:p>
    <w:p w14:paraId="6C5BBF59" w14:textId="15067980" w:rsidR="00243A3F" w:rsidRDefault="00243A3F" w:rsidP="00243A3F">
      <w:pPr>
        <w:pStyle w:val="Default"/>
        <w:rPr>
          <w:color w:val="auto"/>
          <w:sz w:val="22"/>
          <w:szCs w:val="22"/>
        </w:rPr>
      </w:pPr>
      <w:r>
        <w:rPr>
          <w:color w:val="auto"/>
          <w:sz w:val="22"/>
          <w:szCs w:val="22"/>
        </w:rPr>
        <w:t xml:space="preserve">Bogotá D.C., </w:t>
      </w:r>
      <w:r>
        <w:rPr>
          <w:b/>
          <w:bCs/>
          <w:color w:val="auto"/>
          <w:sz w:val="22"/>
          <w:szCs w:val="22"/>
        </w:rPr>
        <w:t xml:space="preserve">18/02/2020 Hora 11:22:32s </w:t>
      </w:r>
    </w:p>
    <w:p w14:paraId="3B33CA0D" w14:textId="16C8B15F" w:rsidR="00243A3F" w:rsidRPr="00C432D3" w:rsidRDefault="00243A3F" w:rsidP="00243A3F">
      <w:pPr>
        <w:spacing w:before="120" w:after="120"/>
        <w:jc w:val="right"/>
        <w:rPr>
          <w:rFonts w:ascii="Arial" w:eastAsia="Calibri" w:hAnsi="Arial" w:cs="Arial"/>
          <w:color w:val="000000" w:themeColor="text1"/>
          <w:sz w:val="22"/>
        </w:rPr>
      </w:pPr>
      <w:r w:rsidRPr="00C432D3">
        <w:rPr>
          <w:rFonts w:ascii="Arial" w:hAnsi="Arial" w:cs="Arial"/>
          <w:b/>
          <w:bCs/>
          <w:sz w:val="22"/>
        </w:rPr>
        <w:t>N° Radicado: 2202013000001039</w:t>
      </w:r>
    </w:p>
    <w:p w14:paraId="70B44614" w14:textId="5B3C8128" w:rsidR="003A0A45" w:rsidRPr="003E17D3" w:rsidRDefault="003A0A45" w:rsidP="002863AA">
      <w:pPr>
        <w:spacing w:before="120" w:after="120"/>
        <w:jc w:val="both"/>
        <w:rPr>
          <w:rFonts w:ascii="Arial" w:eastAsia="Calibri" w:hAnsi="Arial" w:cs="Arial"/>
          <w:color w:val="000000" w:themeColor="text1"/>
          <w:sz w:val="22"/>
        </w:rPr>
      </w:pPr>
      <w:r w:rsidRPr="003E17D3">
        <w:rPr>
          <w:rFonts w:ascii="Arial" w:eastAsia="Calibri" w:hAnsi="Arial" w:cs="Arial"/>
          <w:color w:val="000000" w:themeColor="text1"/>
          <w:sz w:val="22"/>
        </w:rPr>
        <w:t>Señor</w:t>
      </w:r>
      <w:r w:rsidR="000D660E" w:rsidRPr="003E17D3">
        <w:rPr>
          <w:rFonts w:ascii="Arial" w:eastAsia="Calibri" w:hAnsi="Arial" w:cs="Arial"/>
          <w:color w:val="000000" w:themeColor="text1"/>
          <w:sz w:val="22"/>
        </w:rPr>
        <w:t>a</w:t>
      </w:r>
    </w:p>
    <w:p w14:paraId="4EF1714A" w14:textId="75F1EB21" w:rsidR="003A0A45" w:rsidRPr="003E17D3" w:rsidRDefault="000D660E" w:rsidP="002863AA">
      <w:pPr>
        <w:spacing w:before="120" w:after="120"/>
        <w:jc w:val="both"/>
        <w:rPr>
          <w:rFonts w:ascii="Arial" w:eastAsia="Calibri" w:hAnsi="Arial" w:cs="Arial"/>
          <w:b/>
          <w:color w:val="000000" w:themeColor="text1"/>
          <w:sz w:val="22"/>
        </w:rPr>
      </w:pPr>
      <w:r w:rsidRPr="003E17D3">
        <w:rPr>
          <w:rFonts w:ascii="Arial" w:eastAsia="Calibri" w:hAnsi="Arial" w:cs="Arial"/>
          <w:b/>
          <w:color w:val="000000" w:themeColor="text1"/>
          <w:sz w:val="22"/>
        </w:rPr>
        <w:t>Sonia Camargo Bernal</w:t>
      </w:r>
    </w:p>
    <w:p w14:paraId="3A1D7DE4" w14:textId="77777777" w:rsidR="003A0A45" w:rsidRPr="003E17D3" w:rsidRDefault="003A0A45" w:rsidP="002863AA">
      <w:pPr>
        <w:spacing w:before="120" w:after="120"/>
        <w:jc w:val="both"/>
        <w:rPr>
          <w:rFonts w:ascii="Arial" w:eastAsia="Calibri" w:hAnsi="Arial" w:cs="Arial"/>
          <w:color w:val="000000" w:themeColor="text1"/>
          <w:sz w:val="22"/>
        </w:rPr>
      </w:pPr>
      <w:r w:rsidRPr="003E17D3">
        <w:rPr>
          <w:rFonts w:ascii="Arial" w:eastAsia="Calibri" w:hAnsi="Arial" w:cs="Arial"/>
          <w:color w:val="000000" w:themeColor="text1"/>
          <w:sz w:val="22"/>
        </w:rPr>
        <w:t>Ciudad</w:t>
      </w:r>
    </w:p>
    <w:p w14:paraId="32CF23A3" w14:textId="276F9245" w:rsidR="003A0A45" w:rsidRDefault="003A0A45" w:rsidP="002863AA">
      <w:pPr>
        <w:spacing w:before="120" w:after="120"/>
        <w:jc w:val="center"/>
        <w:rPr>
          <w:rFonts w:ascii="Arial" w:eastAsia="Calibri" w:hAnsi="Arial" w:cs="Arial"/>
          <w:b/>
          <w:bCs/>
          <w:color w:val="000000" w:themeColor="text1"/>
          <w:sz w:val="22"/>
        </w:rPr>
      </w:pPr>
      <w:r w:rsidRPr="003E17D3">
        <w:rPr>
          <w:rFonts w:ascii="Arial" w:eastAsia="Calibri" w:hAnsi="Arial" w:cs="Arial"/>
          <w:b/>
          <w:bCs/>
          <w:color w:val="000000" w:themeColor="text1"/>
          <w:sz w:val="22"/>
        </w:rPr>
        <w:t>Concepto C ─ 0</w:t>
      </w:r>
      <w:r w:rsidR="001D4790" w:rsidRPr="003E17D3">
        <w:rPr>
          <w:rFonts w:ascii="Arial" w:eastAsia="Calibri" w:hAnsi="Arial" w:cs="Arial"/>
          <w:b/>
          <w:bCs/>
          <w:color w:val="000000" w:themeColor="text1"/>
          <w:sz w:val="22"/>
        </w:rPr>
        <w:t xml:space="preserve">47 </w:t>
      </w:r>
      <w:r w:rsidRPr="003E17D3">
        <w:rPr>
          <w:rFonts w:ascii="Arial" w:eastAsia="Calibri" w:hAnsi="Arial" w:cs="Arial"/>
          <w:b/>
          <w:bCs/>
          <w:color w:val="000000" w:themeColor="text1"/>
          <w:sz w:val="22"/>
        </w:rPr>
        <w:t>de 2020</w:t>
      </w:r>
    </w:p>
    <w:tbl>
      <w:tblPr>
        <w:tblStyle w:val="Tablaconcuadrc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667"/>
      </w:tblGrid>
      <w:tr w:rsidR="003E17D3" w:rsidRPr="003E17D3" w14:paraId="14BB4EB8" w14:textId="77777777" w:rsidTr="00FE2FAE">
        <w:tc>
          <w:tcPr>
            <w:tcW w:w="2689" w:type="dxa"/>
          </w:tcPr>
          <w:p w14:paraId="46C46D52" w14:textId="7472D160" w:rsidR="003A0A45" w:rsidRPr="003E17D3" w:rsidRDefault="003A0A45" w:rsidP="002863AA">
            <w:pPr>
              <w:spacing w:before="120" w:after="120"/>
              <w:jc w:val="both"/>
              <w:rPr>
                <w:rFonts w:ascii="Arial" w:eastAsia="Calibri" w:hAnsi="Arial" w:cs="Arial"/>
                <w:color w:val="000000" w:themeColor="text1"/>
                <w:sz w:val="22"/>
              </w:rPr>
            </w:pPr>
            <w:r w:rsidRPr="003E17D3">
              <w:rPr>
                <w:rFonts w:ascii="Arial" w:eastAsia="Calibri" w:hAnsi="Arial" w:cs="Arial"/>
                <w:b/>
                <w:bCs/>
                <w:color w:val="000000" w:themeColor="text1"/>
                <w:sz w:val="22"/>
              </w:rPr>
              <w:lastRenderedPageBreak/>
              <w:t>Temas</w:t>
            </w:r>
            <w:r w:rsidRPr="003E17D3">
              <w:rPr>
                <w:rFonts w:ascii="Arial" w:eastAsia="Calibri" w:hAnsi="Arial" w:cs="Arial"/>
                <w:color w:val="000000" w:themeColor="text1"/>
                <w:sz w:val="22"/>
              </w:rPr>
              <w:t xml:space="preserve">:                                      </w:t>
            </w:r>
          </w:p>
        </w:tc>
        <w:tc>
          <w:tcPr>
            <w:tcW w:w="6667" w:type="dxa"/>
          </w:tcPr>
          <w:p w14:paraId="502735A3" w14:textId="06E646B9" w:rsidR="00CB2196" w:rsidRPr="003E17D3" w:rsidRDefault="00CB2196" w:rsidP="002863AA">
            <w:pPr>
              <w:spacing w:before="120" w:after="120"/>
              <w:rPr>
                <w:color w:val="000000" w:themeColor="text1"/>
              </w:rPr>
            </w:pPr>
            <w:r w:rsidRPr="003E17D3">
              <w:rPr>
                <w:rFonts w:ascii="Arial" w:eastAsia="Calibri" w:hAnsi="Arial" w:cs="Arial"/>
                <w:color w:val="000000" w:themeColor="text1"/>
                <w:sz w:val="20"/>
                <w:szCs w:val="20"/>
              </w:rPr>
              <w:t>CONTRATO DE PRESTACIÓN DE SERVICIOS — Definición</w:t>
            </w:r>
            <w:r w:rsidR="00FE2FAE" w:rsidRPr="003E17D3">
              <w:rPr>
                <w:rFonts w:ascii="Arial" w:eastAsia="Calibri" w:hAnsi="Arial" w:cs="Arial"/>
                <w:color w:val="000000" w:themeColor="text1"/>
                <w:sz w:val="20"/>
                <w:szCs w:val="20"/>
              </w:rPr>
              <w:t>/</w:t>
            </w:r>
            <w:r w:rsidRPr="003E17D3">
              <w:rPr>
                <w:rFonts w:ascii="Arial" w:eastAsia="Calibri" w:hAnsi="Arial" w:cs="Arial"/>
                <w:color w:val="000000" w:themeColor="text1"/>
                <w:sz w:val="20"/>
                <w:szCs w:val="20"/>
              </w:rPr>
              <w:t xml:space="preserve">CONTRATO DE PRESTACIÓN DE SERVICIOS — Modalidad de selección —Contratación directa </w:t>
            </w:r>
            <w:r w:rsidR="00FE2FAE" w:rsidRPr="003E17D3">
              <w:rPr>
                <w:rFonts w:ascii="Arial" w:eastAsia="Calibri" w:hAnsi="Arial" w:cs="Arial"/>
                <w:color w:val="000000" w:themeColor="text1"/>
                <w:szCs w:val="20"/>
              </w:rPr>
              <w:t>/</w:t>
            </w:r>
            <w:r w:rsidRPr="003E17D3">
              <w:rPr>
                <w:rFonts w:ascii="Arial" w:eastAsia="Calibri" w:hAnsi="Arial" w:cs="Arial"/>
                <w:color w:val="000000" w:themeColor="text1"/>
                <w:sz w:val="20"/>
                <w:szCs w:val="20"/>
              </w:rPr>
              <w:t xml:space="preserve">CONTRATO DE PRESTACIÓN DE SERVICIOS — Clases </w:t>
            </w:r>
            <w:r w:rsidR="00FE2FAE" w:rsidRPr="003E17D3">
              <w:rPr>
                <w:rFonts w:ascii="Arial" w:eastAsia="Calibri" w:hAnsi="Arial" w:cs="Arial"/>
                <w:color w:val="000000" w:themeColor="text1"/>
                <w:szCs w:val="20"/>
              </w:rPr>
              <w:t>/</w:t>
            </w:r>
            <w:r w:rsidRPr="003E17D3">
              <w:rPr>
                <w:rFonts w:ascii="Arial" w:eastAsia="Calibri" w:hAnsi="Arial" w:cs="Arial"/>
                <w:color w:val="000000" w:themeColor="text1"/>
                <w:sz w:val="20"/>
                <w:szCs w:val="20"/>
              </w:rPr>
              <w:t xml:space="preserve">CONTRATO DE PRESTACIÓN DE SERVICIOS — Clases — Decreto 1068 de 2015 </w:t>
            </w:r>
          </w:p>
          <w:p w14:paraId="78A2B309" w14:textId="47430921" w:rsidR="003A0A45" w:rsidRPr="003E17D3" w:rsidRDefault="003A0A45" w:rsidP="002863AA">
            <w:pPr>
              <w:spacing w:before="120" w:after="120"/>
              <w:jc w:val="both"/>
              <w:rPr>
                <w:rFonts w:ascii="Arial" w:eastAsia="Calibri" w:hAnsi="Arial" w:cs="Arial"/>
                <w:color w:val="000000" w:themeColor="text1"/>
                <w:sz w:val="22"/>
              </w:rPr>
            </w:pPr>
          </w:p>
        </w:tc>
      </w:tr>
      <w:tr w:rsidR="003A0A45" w:rsidRPr="003E17D3" w14:paraId="1FD639D7" w14:textId="77777777" w:rsidTr="00FE2FAE">
        <w:tc>
          <w:tcPr>
            <w:tcW w:w="2689" w:type="dxa"/>
          </w:tcPr>
          <w:p w14:paraId="70C7926D" w14:textId="77777777" w:rsidR="003A0A45" w:rsidRPr="003E17D3" w:rsidRDefault="003A0A45" w:rsidP="002863AA">
            <w:pPr>
              <w:spacing w:before="120" w:after="120"/>
              <w:jc w:val="both"/>
              <w:rPr>
                <w:rFonts w:ascii="Arial" w:eastAsia="Calibri" w:hAnsi="Arial" w:cs="Arial"/>
                <w:color w:val="000000" w:themeColor="text1"/>
                <w:sz w:val="22"/>
              </w:rPr>
            </w:pPr>
            <w:r w:rsidRPr="003E17D3">
              <w:rPr>
                <w:rFonts w:ascii="Arial" w:eastAsia="Calibri" w:hAnsi="Arial" w:cs="Arial"/>
                <w:b/>
                <w:color w:val="000000" w:themeColor="text1"/>
                <w:sz w:val="22"/>
              </w:rPr>
              <w:t>Radicación:</w:t>
            </w:r>
            <w:r w:rsidRPr="003E17D3">
              <w:rPr>
                <w:rFonts w:ascii="Arial" w:eastAsia="Calibri" w:hAnsi="Arial" w:cs="Arial"/>
                <w:color w:val="000000" w:themeColor="text1"/>
                <w:sz w:val="22"/>
              </w:rPr>
              <w:t xml:space="preserve">                              </w:t>
            </w:r>
          </w:p>
        </w:tc>
        <w:tc>
          <w:tcPr>
            <w:tcW w:w="6667" w:type="dxa"/>
          </w:tcPr>
          <w:p w14:paraId="33495888" w14:textId="397B2D3D" w:rsidR="003A0A45" w:rsidRPr="003E17D3" w:rsidRDefault="003A0A45" w:rsidP="002863AA">
            <w:pPr>
              <w:spacing w:before="120" w:after="120"/>
              <w:jc w:val="both"/>
              <w:rPr>
                <w:rFonts w:ascii="Arial" w:eastAsia="Calibri" w:hAnsi="Arial" w:cs="Arial"/>
                <w:color w:val="000000" w:themeColor="text1"/>
                <w:sz w:val="22"/>
              </w:rPr>
            </w:pPr>
            <w:r w:rsidRPr="003E17D3">
              <w:rPr>
                <w:rFonts w:ascii="Arial" w:eastAsia="Calibri" w:hAnsi="Arial" w:cs="Arial"/>
                <w:color w:val="000000" w:themeColor="text1"/>
                <w:sz w:val="22"/>
              </w:rPr>
              <w:t>Respuesta a la consulta # 4202012000000</w:t>
            </w:r>
            <w:r w:rsidR="000D660E" w:rsidRPr="003E17D3">
              <w:rPr>
                <w:rFonts w:ascii="Arial" w:eastAsia="Calibri" w:hAnsi="Arial" w:cs="Arial"/>
                <w:color w:val="000000" w:themeColor="text1"/>
                <w:sz w:val="22"/>
              </w:rPr>
              <w:t>188</w:t>
            </w:r>
            <w:r w:rsidRPr="003E17D3">
              <w:rPr>
                <w:rFonts w:ascii="Arial" w:eastAsia="Calibri" w:hAnsi="Arial" w:cs="Arial"/>
                <w:color w:val="000000" w:themeColor="text1"/>
                <w:sz w:val="22"/>
              </w:rPr>
              <w:t xml:space="preserve"> </w:t>
            </w:r>
          </w:p>
        </w:tc>
      </w:tr>
    </w:tbl>
    <w:p w14:paraId="7875BE2D" w14:textId="77777777" w:rsidR="003A0A45" w:rsidRPr="003E17D3" w:rsidRDefault="003A0A45" w:rsidP="00111AAA">
      <w:pPr>
        <w:spacing w:line="276" w:lineRule="auto"/>
        <w:jc w:val="both"/>
        <w:rPr>
          <w:rFonts w:ascii="Arial" w:eastAsia="Calibri" w:hAnsi="Arial" w:cs="Arial"/>
          <w:color w:val="000000" w:themeColor="text1"/>
          <w:sz w:val="22"/>
        </w:rPr>
      </w:pPr>
    </w:p>
    <w:p w14:paraId="580DB2B7" w14:textId="1C8B5C4B" w:rsidR="003A0A45" w:rsidRPr="003E17D3" w:rsidRDefault="003A0A45" w:rsidP="00111AAA">
      <w:pPr>
        <w:tabs>
          <w:tab w:val="left" w:pos="3736"/>
        </w:tabs>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Estimad</w:t>
      </w:r>
      <w:r w:rsidR="000D660E" w:rsidRPr="003E17D3">
        <w:rPr>
          <w:rFonts w:ascii="Arial" w:eastAsia="Calibri" w:hAnsi="Arial" w:cs="Arial"/>
          <w:color w:val="000000" w:themeColor="text1"/>
          <w:sz w:val="22"/>
        </w:rPr>
        <w:t>a</w:t>
      </w:r>
      <w:r w:rsidRPr="003E17D3">
        <w:rPr>
          <w:rFonts w:ascii="Arial" w:eastAsia="Calibri" w:hAnsi="Arial" w:cs="Arial"/>
          <w:color w:val="000000" w:themeColor="text1"/>
          <w:sz w:val="22"/>
        </w:rPr>
        <w:t xml:space="preserve"> señor</w:t>
      </w:r>
      <w:r w:rsidR="000D660E" w:rsidRPr="003E17D3">
        <w:rPr>
          <w:rFonts w:ascii="Arial" w:eastAsia="Calibri" w:hAnsi="Arial" w:cs="Arial"/>
          <w:color w:val="000000" w:themeColor="text1"/>
          <w:sz w:val="22"/>
        </w:rPr>
        <w:t>a</w:t>
      </w:r>
      <w:r w:rsidRPr="003E17D3">
        <w:rPr>
          <w:rFonts w:ascii="Arial" w:eastAsia="Calibri" w:hAnsi="Arial" w:cs="Arial"/>
          <w:color w:val="000000" w:themeColor="text1"/>
          <w:sz w:val="22"/>
        </w:rPr>
        <w:t xml:space="preserve"> </w:t>
      </w:r>
      <w:r w:rsidR="000D660E" w:rsidRPr="003E17D3">
        <w:rPr>
          <w:rFonts w:ascii="Arial" w:eastAsia="Calibri" w:hAnsi="Arial" w:cs="Arial"/>
          <w:color w:val="000000" w:themeColor="text1"/>
          <w:sz w:val="22"/>
        </w:rPr>
        <w:t>Camargo</w:t>
      </w:r>
      <w:r w:rsidRPr="003E17D3">
        <w:rPr>
          <w:rFonts w:ascii="Arial" w:eastAsia="Calibri" w:hAnsi="Arial" w:cs="Arial"/>
          <w:color w:val="000000" w:themeColor="text1"/>
          <w:sz w:val="22"/>
        </w:rPr>
        <w:t>,</w:t>
      </w:r>
      <w:r w:rsidRPr="003E17D3">
        <w:rPr>
          <w:rFonts w:ascii="Arial" w:eastAsia="Calibri" w:hAnsi="Arial" w:cs="Arial"/>
          <w:color w:val="000000" w:themeColor="text1"/>
          <w:sz w:val="22"/>
        </w:rPr>
        <w:tab/>
      </w:r>
    </w:p>
    <w:p w14:paraId="208E05C0" w14:textId="77777777" w:rsidR="003A0A45" w:rsidRPr="003E17D3" w:rsidRDefault="003A0A45" w:rsidP="00111AAA">
      <w:pPr>
        <w:spacing w:line="276" w:lineRule="auto"/>
        <w:jc w:val="both"/>
        <w:rPr>
          <w:rFonts w:ascii="Arial" w:eastAsia="Calibri" w:hAnsi="Arial" w:cs="Arial"/>
          <w:color w:val="000000" w:themeColor="text1"/>
          <w:sz w:val="22"/>
        </w:rPr>
      </w:pPr>
    </w:p>
    <w:p w14:paraId="037F667A" w14:textId="5C5475E8" w:rsidR="003A0A45" w:rsidRPr="003E17D3" w:rsidRDefault="003A0A45" w:rsidP="00111AAA">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La Agencia Nacional de Contratación Pública ─</w:t>
      </w:r>
      <w:r w:rsidR="00FE2FAE" w:rsidRPr="003E17D3">
        <w:rPr>
          <w:rFonts w:ascii="Arial" w:eastAsia="Calibri" w:hAnsi="Arial" w:cs="Arial"/>
          <w:color w:val="000000" w:themeColor="text1"/>
          <w:sz w:val="22"/>
        </w:rPr>
        <w:t xml:space="preserve"> </w:t>
      </w:r>
      <w:r w:rsidRPr="003E17D3">
        <w:rPr>
          <w:rFonts w:ascii="Arial" w:eastAsia="Calibri" w:hAnsi="Arial" w:cs="Arial"/>
          <w:color w:val="000000" w:themeColor="text1"/>
          <w:sz w:val="22"/>
        </w:rPr>
        <w:t>Colombia Compra Eficiente responde su consulta del 1</w:t>
      </w:r>
      <w:r w:rsidR="000D660E" w:rsidRPr="003E17D3">
        <w:rPr>
          <w:rFonts w:ascii="Arial" w:eastAsia="Calibri" w:hAnsi="Arial" w:cs="Arial"/>
          <w:color w:val="000000" w:themeColor="text1"/>
          <w:sz w:val="22"/>
        </w:rPr>
        <w:t>3</w:t>
      </w:r>
      <w:r w:rsidRPr="003E17D3">
        <w:rPr>
          <w:rFonts w:ascii="Arial" w:eastAsia="Calibri" w:hAnsi="Arial" w:cs="Arial"/>
          <w:color w:val="000000" w:themeColor="text1"/>
          <w:sz w:val="22"/>
        </w:rPr>
        <w:t xml:space="preserve"> de enero del 2020, en ejercicio de la competencia otorgada por el numeral 8 del artículo 11 y el numeral 5 del artículo 3 del Decreto Ley 4170 de 2011. </w:t>
      </w:r>
    </w:p>
    <w:p w14:paraId="09BDBD3F" w14:textId="77777777" w:rsidR="00FE2FAE" w:rsidRPr="003E17D3" w:rsidRDefault="00FE2FAE" w:rsidP="00111AAA">
      <w:pPr>
        <w:pStyle w:val="Prrafodelista"/>
        <w:spacing w:line="276" w:lineRule="auto"/>
        <w:ind w:left="0"/>
        <w:contextualSpacing w:val="0"/>
        <w:jc w:val="both"/>
        <w:rPr>
          <w:rFonts w:ascii="Arial" w:eastAsia="Calibri" w:hAnsi="Arial" w:cs="Arial"/>
          <w:color w:val="000000" w:themeColor="text1"/>
          <w:sz w:val="22"/>
        </w:rPr>
      </w:pPr>
    </w:p>
    <w:p w14:paraId="778A9731" w14:textId="77777777" w:rsidR="003A0A45" w:rsidRPr="003E17D3" w:rsidRDefault="003A0A45" w:rsidP="00111AAA">
      <w:pPr>
        <w:pStyle w:val="Prrafodelista"/>
        <w:numPr>
          <w:ilvl w:val="0"/>
          <w:numId w:val="7"/>
        </w:numPr>
        <w:tabs>
          <w:tab w:val="left" w:pos="0"/>
        </w:tabs>
        <w:spacing w:line="276" w:lineRule="auto"/>
        <w:ind w:left="284" w:hanging="284"/>
        <w:contextualSpacing w:val="0"/>
        <w:jc w:val="both"/>
        <w:rPr>
          <w:rFonts w:ascii="Arial" w:eastAsia="Calibri" w:hAnsi="Arial" w:cs="Arial"/>
          <w:b/>
          <w:color w:val="000000" w:themeColor="text1"/>
          <w:sz w:val="22"/>
        </w:rPr>
      </w:pPr>
      <w:r w:rsidRPr="003E17D3">
        <w:rPr>
          <w:rFonts w:ascii="Arial" w:eastAsia="Calibri" w:hAnsi="Arial" w:cs="Arial"/>
          <w:b/>
          <w:color w:val="000000" w:themeColor="text1"/>
          <w:sz w:val="22"/>
        </w:rPr>
        <w:t>Problemas planteados</w:t>
      </w:r>
    </w:p>
    <w:p w14:paraId="1AD71B2E" w14:textId="77777777" w:rsidR="003A0A45" w:rsidRPr="003E17D3" w:rsidRDefault="003A0A45" w:rsidP="00111AAA">
      <w:pPr>
        <w:spacing w:line="276" w:lineRule="auto"/>
        <w:jc w:val="both"/>
        <w:rPr>
          <w:rFonts w:ascii="Arial" w:eastAsia="Calibri" w:hAnsi="Arial" w:cs="Arial"/>
          <w:color w:val="000000" w:themeColor="text1"/>
          <w:sz w:val="22"/>
        </w:rPr>
      </w:pPr>
    </w:p>
    <w:p w14:paraId="1FBCDD14" w14:textId="6F13F9AC" w:rsidR="000D660E" w:rsidRPr="003E17D3" w:rsidRDefault="000D660E" w:rsidP="00111AAA">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 xml:space="preserve">Usted plantea tres interrogantes relacionados con el artículo 2.8.4.4.5 del Decreto 1068 de 2015, que señala que no se pueden celebrar contratos de prestación de servicios cuando existan contratos vigentes con el mismo objeto del que se pretende suscribir, salvo autorización del jefe del órgano, ente o entidad: </w:t>
      </w:r>
    </w:p>
    <w:p w14:paraId="3220A750" w14:textId="77777777" w:rsidR="00FE2FAE" w:rsidRPr="003E17D3" w:rsidRDefault="00FE2FAE" w:rsidP="00111AAA">
      <w:pPr>
        <w:ind w:left="705" w:right="567"/>
        <w:jc w:val="both"/>
        <w:rPr>
          <w:rFonts w:ascii="Arial" w:eastAsia="Calibri" w:hAnsi="Arial" w:cs="Arial"/>
          <w:color w:val="000000" w:themeColor="text1"/>
          <w:sz w:val="21"/>
          <w:szCs w:val="21"/>
        </w:rPr>
      </w:pPr>
    </w:p>
    <w:p w14:paraId="747E139E" w14:textId="2F3C29E9" w:rsidR="000D660E" w:rsidRPr="003E17D3" w:rsidRDefault="003A0A45" w:rsidP="00111AAA">
      <w:pPr>
        <w:ind w:left="705" w:right="567"/>
        <w:jc w:val="both"/>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w:t>
      </w:r>
      <w:r w:rsidR="00F822FC" w:rsidRPr="003E17D3">
        <w:rPr>
          <w:rFonts w:ascii="Arial" w:eastAsia="Calibri" w:hAnsi="Arial" w:cs="Arial"/>
          <w:color w:val="000000" w:themeColor="text1"/>
          <w:sz w:val="21"/>
          <w:szCs w:val="21"/>
        </w:rPr>
        <w:t xml:space="preserve">1. ¿El jefe de la entidad es entendido como el funcionario del nivel directivo a quien se delega la ordenación del gasto?; 2. ¿Es válida la autorización expedida por un funcionario diferente al Ministro del Despacho?; 3. ¿Es necesario que dicha autorización sea expedida única y exclusivamente por el Ministro de Despacho, en caso de los ministerios?». </w:t>
      </w:r>
    </w:p>
    <w:p w14:paraId="1FE6B82E" w14:textId="0B419C70" w:rsidR="000D660E" w:rsidRPr="003E17D3" w:rsidRDefault="000D660E" w:rsidP="00111AAA">
      <w:pPr>
        <w:ind w:left="705" w:right="567"/>
        <w:jc w:val="both"/>
        <w:rPr>
          <w:rFonts w:ascii="Arial" w:eastAsia="Calibri" w:hAnsi="Arial" w:cs="Arial"/>
          <w:color w:val="000000" w:themeColor="text1"/>
          <w:sz w:val="22"/>
        </w:rPr>
      </w:pPr>
    </w:p>
    <w:p w14:paraId="5D709E18" w14:textId="77777777" w:rsidR="003A0A45" w:rsidRPr="003E17D3" w:rsidRDefault="003A0A45" w:rsidP="00111AAA">
      <w:pPr>
        <w:pStyle w:val="Prrafodelista"/>
        <w:numPr>
          <w:ilvl w:val="0"/>
          <w:numId w:val="7"/>
        </w:numPr>
        <w:spacing w:line="276" w:lineRule="auto"/>
        <w:ind w:left="284" w:hanging="284"/>
        <w:contextualSpacing w:val="0"/>
        <w:jc w:val="both"/>
        <w:rPr>
          <w:rFonts w:ascii="Arial" w:eastAsia="Calibri" w:hAnsi="Arial" w:cs="Arial"/>
          <w:color w:val="000000" w:themeColor="text1"/>
          <w:sz w:val="22"/>
        </w:rPr>
      </w:pPr>
      <w:r w:rsidRPr="003E17D3">
        <w:rPr>
          <w:rFonts w:ascii="Arial" w:eastAsia="Calibri" w:hAnsi="Arial" w:cs="Arial"/>
          <w:b/>
          <w:color w:val="000000" w:themeColor="text1"/>
          <w:sz w:val="22"/>
        </w:rPr>
        <w:t>Consideraciones</w:t>
      </w:r>
    </w:p>
    <w:p w14:paraId="446DE944" w14:textId="77777777" w:rsidR="003A0A45" w:rsidRPr="003E17D3" w:rsidRDefault="003A0A45" w:rsidP="00111AAA">
      <w:pPr>
        <w:spacing w:line="276" w:lineRule="auto"/>
        <w:jc w:val="both"/>
        <w:rPr>
          <w:rFonts w:ascii="Arial" w:eastAsia="Calibri" w:hAnsi="Arial" w:cs="Arial"/>
          <w:color w:val="000000" w:themeColor="text1"/>
          <w:sz w:val="22"/>
        </w:rPr>
      </w:pPr>
    </w:p>
    <w:p w14:paraId="50B6358D" w14:textId="26E99079" w:rsidR="00E0102B" w:rsidRPr="003E17D3" w:rsidRDefault="003A0A45" w:rsidP="00111AAA">
      <w:pPr>
        <w:spacing w:line="276" w:lineRule="auto"/>
        <w:jc w:val="both"/>
        <w:rPr>
          <w:rFonts w:ascii="Arial" w:eastAsia="Calibri" w:hAnsi="Arial" w:cs="Arial"/>
          <w:bCs/>
          <w:color w:val="000000" w:themeColor="text1"/>
          <w:sz w:val="22"/>
        </w:rPr>
      </w:pPr>
      <w:r w:rsidRPr="003E17D3">
        <w:rPr>
          <w:rFonts w:ascii="Arial" w:eastAsia="Calibri" w:hAnsi="Arial" w:cs="Arial"/>
          <w:bCs/>
          <w:color w:val="000000" w:themeColor="text1"/>
          <w:sz w:val="22"/>
        </w:rPr>
        <w:t xml:space="preserve">La Agencia Nacional de Contratación Pública estudió por primera vez </w:t>
      </w:r>
      <w:r w:rsidR="00E0102B" w:rsidRPr="003E17D3">
        <w:rPr>
          <w:rFonts w:ascii="Arial" w:eastAsia="Calibri" w:hAnsi="Arial" w:cs="Arial"/>
          <w:bCs/>
          <w:color w:val="000000" w:themeColor="text1"/>
          <w:sz w:val="22"/>
        </w:rPr>
        <w:t>los límites para la celebración de contratos de prestación de servicios en la consulta No. 4201913000005089 del 6 de agosto de 2019, especialmente en cuanto a su valor</w:t>
      </w:r>
      <w:r w:rsidR="00B56A0D" w:rsidRPr="003E17D3">
        <w:rPr>
          <w:rFonts w:ascii="Arial" w:eastAsia="Calibri" w:hAnsi="Arial" w:cs="Arial"/>
          <w:bCs/>
          <w:color w:val="000000" w:themeColor="text1"/>
          <w:sz w:val="22"/>
        </w:rPr>
        <w:t xml:space="preserve">. En este concepto se reiterarán las consideraciones allí expuestas en torno a los límites en valor de los contratos de prestación de servicios y se abordará la autorización de que trata el artículo 2.8.4.4.5 del Decreto 1068. </w:t>
      </w:r>
    </w:p>
    <w:p w14:paraId="72191520" w14:textId="77777777" w:rsidR="00E0102B" w:rsidRPr="003E17D3" w:rsidRDefault="00E0102B" w:rsidP="00111AAA">
      <w:pPr>
        <w:spacing w:line="276" w:lineRule="auto"/>
        <w:jc w:val="both"/>
        <w:rPr>
          <w:rFonts w:ascii="Arial" w:eastAsia="Calibri" w:hAnsi="Arial" w:cs="Arial"/>
          <w:bCs/>
          <w:color w:val="000000" w:themeColor="text1"/>
          <w:sz w:val="22"/>
        </w:rPr>
      </w:pPr>
    </w:p>
    <w:p w14:paraId="15FC65C6" w14:textId="0C80ACBE" w:rsidR="003A0A45" w:rsidRPr="003E17D3" w:rsidRDefault="003A0A45" w:rsidP="00111AAA">
      <w:pPr>
        <w:tabs>
          <w:tab w:val="left" w:pos="426"/>
        </w:tabs>
        <w:spacing w:line="276" w:lineRule="auto"/>
        <w:jc w:val="both"/>
        <w:rPr>
          <w:rFonts w:ascii="Arial" w:eastAsia="Calibri" w:hAnsi="Arial" w:cs="Arial"/>
          <w:b/>
          <w:color w:val="000000" w:themeColor="text1"/>
          <w:sz w:val="22"/>
        </w:rPr>
      </w:pPr>
      <w:r w:rsidRPr="003E17D3">
        <w:rPr>
          <w:rFonts w:ascii="Arial" w:eastAsia="Calibri" w:hAnsi="Arial" w:cs="Arial"/>
          <w:b/>
          <w:color w:val="000000" w:themeColor="text1"/>
          <w:sz w:val="22"/>
        </w:rPr>
        <w:t xml:space="preserve">2.1. </w:t>
      </w:r>
      <w:r w:rsidR="00B56A0D" w:rsidRPr="003E17D3">
        <w:rPr>
          <w:rFonts w:ascii="Arial" w:eastAsia="Calibri" w:hAnsi="Arial" w:cs="Arial"/>
          <w:b/>
          <w:color w:val="000000" w:themeColor="text1"/>
          <w:sz w:val="22"/>
        </w:rPr>
        <w:t xml:space="preserve">El contrato de prestación de servicios </w:t>
      </w:r>
    </w:p>
    <w:p w14:paraId="0ED90B9D" w14:textId="77777777" w:rsidR="003A0A45" w:rsidRPr="003E17D3" w:rsidRDefault="003A0A45" w:rsidP="00111AAA">
      <w:pPr>
        <w:spacing w:line="276" w:lineRule="auto"/>
        <w:jc w:val="both"/>
        <w:rPr>
          <w:rFonts w:ascii="Arial" w:eastAsia="Calibri" w:hAnsi="Arial" w:cs="Arial"/>
          <w:color w:val="000000" w:themeColor="text1"/>
          <w:sz w:val="22"/>
        </w:rPr>
      </w:pPr>
    </w:p>
    <w:p w14:paraId="5568DC22" w14:textId="4D691B96" w:rsidR="00B56A0D" w:rsidRPr="003E17D3" w:rsidRDefault="00B56A0D" w:rsidP="00111AAA">
      <w:pPr>
        <w:spacing w:line="276" w:lineRule="auto"/>
        <w:ind w:right="68"/>
        <w:jc w:val="both"/>
        <w:rPr>
          <w:rFonts w:ascii="Arial" w:eastAsia="Calibri" w:hAnsi="Arial" w:cs="Arial"/>
          <w:color w:val="000000" w:themeColor="text1"/>
          <w:sz w:val="22"/>
        </w:rPr>
      </w:pPr>
      <w:r w:rsidRPr="003E17D3">
        <w:rPr>
          <w:rFonts w:ascii="Arial" w:eastAsia="Calibri" w:hAnsi="Arial" w:cs="Arial"/>
          <w:color w:val="000000" w:themeColor="text1"/>
          <w:sz w:val="22"/>
        </w:rPr>
        <w:t xml:space="preserve">La Ley 80 de 1993, por medio de la cual se expidió el Estatuto General de Contratación de la Administración Pública, en el artículo 32, numeral 3, definió los contratos de prestación </w:t>
      </w:r>
      <w:r w:rsidRPr="003E17D3">
        <w:rPr>
          <w:rFonts w:ascii="Arial" w:eastAsia="Calibri" w:hAnsi="Arial" w:cs="Arial"/>
          <w:color w:val="000000" w:themeColor="text1"/>
          <w:sz w:val="22"/>
        </w:rPr>
        <w:lastRenderedPageBreak/>
        <w:t>de servicios como aquellos que se celebran para desarrollar actividades relacionadas con la administración o funcionamiento de la entidad</w:t>
      </w:r>
      <w:r w:rsidR="00052E19" w:rsidRPr="003E17D3">
        <w:rPr>
          <w:rFonts w:ascii="Arial" w:eastAsia="Calibri" w:hAnsi="Arial" w:cs="Arial"/>
          <w:color w:val="000000" w:themeColor="text1"/>
          <w:sz w:val="22"/>
        </w:rPr>
        <w:t xml:space="preserve">: </w:t>
      </w:r>
    </w:p>
    <w:p w14:paraId="603B07E2" w14:textId="77777777" w:rsidR="00B56A0D" w:rsidRPr="003E17D3" w:rsidRDefault="00B56A0D" w:rsidP="00111AAA">
      <w:pPr>
        <w:ind w:left="100" w:right="68"/>
        <w:jc w:val="both"/>
        <w:rPr>
          <w:rFonts w:eastAsia="Calibri"/>
          <w:i/>
          <w:color w:val="000000" w:themeColor="text1"/>
          <w:sz w:val="22"/>
        </w:rPr>
      </w:pPr>
    </w:p>
    <w:p w14:paraId="32D1F160" w14:textId="54542FC5" w:rsidR="00B56A0D" w:rsidRPr="003E17D3" w:rsidRDefault="00B56A0D" w:rsidP="00111AAA">
      <w:pPr>
        <w:pStyle w:val="Textoindependiente"/>
        <w:ind w:left="808"/>
        <w:rPr>
          <w:rFonts w:eastAsia="Calibri"/>
          <w:i w:val="0"/>
          <w:color w:val="000000" w:themeColor="text1"/>
          <w:sz w:val="21"/>
          <w:szCs w:val="21"/>
          <w:lang w:val="es-MX" w:eastAsia="en-US" w:bidi="ar-SA"/>
        </w:rPr>
      </w:pPr>
      <w:r w:rsidRPr="003E17D3">
        <w:rPr>
          <w:rFonts w:eastAsia="Calibri"/>
          <w:i w:val="0"/>
          <w:color w:val="000000" w:themeColor="text1"/>
          <w:sz w:val="21"/>
          <w:szCs w:val="21"/>
          <w:lang w:val="es-MX" w:eastAsia="en-US" w:bidi="ar-SA"/>
        </w:rPr>
        <w:t>3o. Contrato de Prestación de Servicios.</w:t>
      </w:r>
    </w:p>
    <w:p w14:paraId="3FA139AD" w14:textId="77777777" w:rsidR="00331D78" w:rsidRPr="003E17D3" w:rsidRDefault="00B56A0D" w:rsidP="00111AAA">
      <w:pPr>
        <w:pStyle w:val="Textoindependiente"/>
        <w:ind w:left="808" w:right="533"/>
        <w:jc w:val="both"/>
        <w:rPr>
          <w:rFonts w:eastAsia="Calibri"/>
          <w:i w:val="0"/>
          <w:color w:val="000000" w:themeColor="text1"/>
          <w:sz w:val="21"/>
          <w:szCs w:val="21"/>
          <w:lang w:val="es-MX" w:eastAsia="en-US" w:bidi="ar-SA"/>
        </w:rPr>
      </w:pPr>
      <w:r w:rsidRPr="003E17D3">
        <w:rPr>
          <w:rFonts w:eastAsia="Calibri"/>
          <w:i w:val="0"/>
          <w:color w:val="000000" w:themeColor="text1"/>
          <w:sz w:val="21"/>
          <w:szCs w:val="21"/>
          <w:lang w:val="es-MX" w:eastAsia="en-US" w:bidi="ar-SA"/>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00052E19" w:rsidRPr="003E17D3">
        <w:rPr>
          <w:rFonts w:eastAsia="Calibri"/>
          <w:i w:val="0"/>
          <w:color w:val="000000" w:themeColor="text1"/>
          <w:sz w:val="21"/>
          <w:szCs w:val="21"/>
          <w:lang w:val="es-MX" w:eastAsia="en-US" w:bidi="ar-SA"/>
        </w:rPr>
        <w:t xml:space="preserve"> </w:t>
      </w:r>
      <w:r w:rsidRPr="003E17D3">
        <w:rPr>
          <w:rFonts w:eastAsia="Calibri"/>
          <w:i w:val="0"/>
          <w:color w:val="000000" w:themeColor="text1"/>
          <w:sz w:val="21"/>
          <w:szCs w:val="21"/>
          <w:lang w:val="es-MX" w:eastAsia="en-US" w:bidi="ar-SA"/>
        </w:rPr>
        <w:t>En ningún caso estos contratos generan relación laboral ni prestaciones sociales y se celebrarán por el término estrictamente indispensable.</w:t>
      </w:r>
    </w:p>
    <w:p w14:paraId="5D7CFA47" w14:textId="77777777" w:rsidR="00331D78" w:rsidRPr="003E17D3" w:rsidRDefault="00331D78" w:rsidP="00111AAA">
      <w:pPr>
        <w:pStyle w:val="Textoindependiente"/>
        <w:ind w:right="533"/>
        <w:jc w:val="both"/>
        <w:rPr>
          <w:rFonts w:eastAsia="Calibri"/>
          <w:i w:val="0"/>
          <w:color w:val="000000" w:themeColor="text1"/>
          <w:sz w:val="21"/>
          <w:szCs w:val="21"/>
          <w:lang w:val="es-MX" w:eastAsia="en-US" w:bidi="ar-SA"/>
        </w:rPr>
      </w:pPr>
    </w:p>
    <w:p w14:paraId="046729D6" w14:textId="77777777" w:rsidR="00CB2196" w:rsidRPr="003E17D3" w:rsidRDefault="00331D78" w:rsidP="00111AAA">
      <w:pPr>
        <w:pStyle w:val="Textoindependiente"/>
        <w:spacing w:line="276" w:lineRule="auto"/>
        <w:ind w:right="68" w:firstLine="708"/>
        <w:jc w:val="both"/>
        <w:rPr>
          <w:rFonts w:eastAsia="Calibri"/>
          <w:color w:val="000000" w:themeColor="text1"/>
          <w:sz w:val="22"/>
          <w:szCs w:val="22"/>
        </w:rPr>
      </w:pPr>
      <w:r w:rsidRPr="003E17D3">
        <w:rPr>
          <w:rFonts w:eastAsia="Calibri"/>
          <w:i w:val="0"/>
          <w:iCs/>
          <w:color w:val="000000" w:themeColor="text1"/>
          <w:sz w:val="22"/>
          <w:szCs w:val="22"/>
        </w:rPr>
        <w:t>Adicionalmente, el artículo 2, numeral 4, literal h, de la Ley 1150 de 2007, respecto de la posibilidad de celebrar contratos de prestación de servicios y la modalidad de selección mediante la cual deben suscribirse, ha indicado que estos se celebran con arreglo a la modalidad de selección de contratación directa</w:t>
      </w:r>
      <w:r w:rsidRPr="003E17D3">
        <w:rPr>
          <w:rStyle w:val="Refdenotaalpie"/>
          <w:rFonts w:eastAsia="Calibri"/>
          <w:i w:val="0"/>
          <w:iCs/>
          <w:color w:val="000000" w:themeColor="text1"/>
          <w:sz w:val="22"/>
          <w:szCs w:val="22"/>
        </w:rPr>
        <w:footnoteReference w:id="1"/>
      </w:r>
      <w:r w:rsidRPr="003E17D3">
        <w:rPr>
          <w:rFonts w:eastAsia="Calibri"/>
          <w:i w:val="0"/>
          <w:iCs/>
          <w:color w:val="000000" w:themeColor="text1"/>
          <w:sz w:val="22"/>
          <w:szCs w:val="22"/>
        </w:rPr>
        <w:t>.</w:t>
      </w:r>
      <w:r w:rsidRPr="003E17D3">
        <w:rPr>
          <w:rFonts w:eastAsia="Calibri"/>
          <w:color w:val="000000" w:themeColor="text1"/>
          <w:sz w:val="22"/>
          <w:szCs w:val="22"/>
        </w:rPr>
        <w:t xml:space="preserve"> </w:t>
      </w:r>
    </w:p>
    <w:p w14:paraId="51F7C0F1" w14:textId="23B8D243" w:rsidR="00331D78" w:rsidRPr="003E17D3" w:rsidRDefault="00331D78" w:rsidP="00111AAA">
      <w:pPr>
        <w:pStyle w:val="Textoindependiente"/>
        <w:spacing w:line="276" w:lineRule="auto"/>
        <w:ind w:right="68" w:firstLine="708"/>
        <w:jc w:val="both"/>
        <w:rPr>
          <w:rFonts w:eastAsia="Calibri"/>
          <w:color w:val="000000" w:themeColor="text1"/>
          <w:sz w:val="22"/>
          <w:szCs w:val="22"/>
        </w:rPr>
      </w:pPr>
      <w:r w:rsidRPr="003E17D3">
        <w:rPr>
          <w:rFonts w:eastAsia="Calibri"/>
          <w:i w:val="0"/>
          <w:iCs/>
          <w:color w:val="000000" w:themeColor="text1"/>
          <w:sz w:val="22"/>
          <w:szCs w:val="22"/>
        </w:rPr>
        <w:t>Ahora, el Decreto 1082 de 2015, por medio del cual se expide el Reglamento del Sector Administrativo de Planeación Nacional, reguló la manera como las entidades del Estado pueden suscribir contratos de prestación de servicios profesionales y de apoyo a la gestión, indicando que se suscriben mediante la modalidad de contratación directa y se</w:t>
      </w:r>
      <w:r w:rsidRPr="003E17D3">
        <w:rPr>
          <w:rFonts w:eastAsia="Calibri"/>
          <w:color w:val="000000" w:themeColor="text1"/>
          <w:sz w:val="22"/>
          <w:szCs w:val="22"/>
        </w:rPr>
        <w:t xml:space="preserve"> </w:t>
      </w:r>
      <w:r w:rsidRPr="003E17D3">
        <w:rPr>
          <w:rFonts w:eastAsia="Calibri"/>
          <w:i w:val="0"/>
          <w:iCs/>
          <w:color w:val="000000" w:themeColor="text1"/>
          <w:sz w:val="22"/>
          <w:szCs w:val="22"/>
        </w:rPr>
        <w:t>caracterizan por ser de naturaleza intelectual diferentes de los de consultoría, e incluyen actividades operativas, logísticas o asistenciales de la entidad:</w:t>
      </w:r>
    </w:p>
    <w:p w14:paraId="0E04E61E" w14:textId="77777777" w:rsidR="00331D78" w:rsidRPr="003E17D3" w:rsidRDefault="00331D78" w:rsidP="00111AAA">
      <w:pPr>
        <w:pStyle w:val="Textoindependiente"/>
        <w:ind w:right="533"/>
        <w:jc w:val="both"/>
        <w:rPr>
          <w:rFonts w:eastAsia="Calibri"/>
          <w:color w:val="000000" w:themeColor="text1"/>
          <w:sz w:val="22"/>
          <w:szCs w:val="22"/>
        </w:rPr>
      </w:pPr>
    </w:p>
    <w:p w14:paraId="24AAED2B" w14:textId="77777777" w:rsidR="0093009D" w:rsidRPr="003E17D3" w:rsidRDefault="00B56A0D" w:rsidP="00111AAA">
      <w:pPr>
        <w:pStyle w:val="Textoindependiente"/>
        <w:ind w:left="808" w:right="541"/>
        <w:jc w:val="both"/>
        <w:rPr>
          <w:rFonts w:eastAsia="Calibri"/>
          <w:i w:val="0"/>
          <w:color w:val="000000" w:themeColor="text1"/>
          <w:sz w:val="21"/>
          <w:szCs w:val="21"/>
          <w:lang w:val="es-MX" w:eastAsia="en-US" w:bidi="ar-SA"/>
        </w:rPr>
      </w:pPr>
      <w:r w:rsidRPr="003E17D3">
        <w:rPr>
          <w:rFonts w:eastAsia="Calibri"/>
          <w:i w:val="0"/>
          <w:color w:val="000000" w:themeColor="text1"/>
          <w:sz w:val="21"/>
          <w:szCs w:val="21"/>
          <w:lang w:val="es-MX" w:eastAsia="en-US" w:bidi="ar-SA"/>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r w:rsidR="00331D78" w:rsidRPr="003E17D3">
        <w:rPr>
          <w:rFonts w:eastAsia="Calibri"/>
          <w:i w:val="0"/>
          <w:color w:val="000000" w:themeColor="text1"/>
          <w:sz w:val="21"/>
          <w:szCs w:val="21"/>
          <w:lang w:val="es-MX" w:eastAsia="en-US" w:bidi="ar-SA"/>
        </w:rPr>
        <w:t xml:space="preserve"> </w:t>
      </w:r>
      <w:r w:rsidRPr="003E17D3">
        <w:rPr>
          <w:rFonts w:eastAsia="Calibri"/>
          <w:i w:val="0"/>
          <w:color w:val="000000" w:themeColor="text1"/>
          <w:sz w:val="21"/>
          <w:szCs w:val="21"/>
          <w:lang w:val="es-MX" w:eastAsia="en-US" w:bidi="ar-SA"/>
        </w:rPr>
        <w:t xml:space="preserve">Los servicios profesionales y de apoyo a la gestión corresponden a aquellos de naturaleza intelectual diferentes a los de consultoría que se derivan del </w:t>
      </w:r>
      <w:r w:rsidR="00331D78" w:rsidRPr="003E17D3">
        <w:rPr>
          <w:rFonts w:eastAsia="Calibri"/>
          <w:i w:val="0"/>
          <w:color w:val="000000" w:themeColor="text1"/>
          <w:sz w:val="21"/>
          <w:szCs w:val="21"/>
          <w:lang w:val="es-MX" w:eastAsia="en-US" w:bidi="ar-SA"/>
        </w:rPr>
        <w:t xml:space="preserve">cumplimiento de las funciones de la Entidad Estatal, así como los relacionados con actividades operativas, logísticas, o asistenciales. La </w:t>
      </w:r>
      <w:r w:rsidR="00331D78" w:rsidRPr="003E17D3">
        <w:rPr>
          <w:rFonts w:eastAsia="Calibri"/>
          <w:i w:val="0"/>
          <w:color w:val="000000" w:themeColor="text1"/>
          <w:sz w:val="21"/>
          <w:szCs w:val="21"/>
          <w:lang w:val="es-MX" w:eastAsia="en-US" w:bidi="ar-SA"/>
        </w:rPr>
        <w:lastRenderedPageBreak/>
        <w:t>Entidad Estatal, para la contratación de trabajos artísticos que solamente puedan encomendarse a determinadas personas naturales, debe justificar esta situación en los estudios y documentos previos.</w:t>
      </w:r>
    </w:p>
    <w:p w14:paraId="3C60D206" w14:textId="7FBE0CCD" w:rsidR="0093009D" w:rsidRPr="003E17D3" w:rsidRDefault="002863AA" w:rsidP="00111AAA">
      <w:pPr>
        <w:pStyle w:val="Ttulo1"/>
        <w:spacing w:before="0" w:line="276" w:lineRule="auto"/>
        <w:ind w:right="68" w:firstLine="708"/>
        <w:jc w:val="both"/>
        <w:rPr>
          <w:rFonts w:ascii="Arial" w:eastAsia="Calibri" w:hAnsi="Arial" w:cs="Arial"/>
          <w:color w:val="000000" w:themeColor="text1"/>
          <w:sz w:val="22"/>
          <w:szCs w:val="22"/>
        </w:rPr>
      </w:pPr>
      <w:r w:rsidRPr="003E17D3">
        <w:rPr>
          <w:rFonts w:ascii="Arial" w:eastAsia="Calibri" w:hAnsi="Arial" w:cs="Arial"/>
          <w:color w:val="000000" w:themeColor="text1"/>
          <w:sz w:val="22"/>
          <w:szCs w:val="22"/>
        </w:rPr>
        <w:t>P</w:t>
      </w:r>
      <w:r w:rsidR="0093009D" w:rsidRPr="003E17D3">
        <w:rPr>
          <w:rFonts w:ascii="Arial" w:eastAsia="Calibri" w:hAnsi="Arial" w:cs="Arial"/>
          <w:color w:val="000000" w:themeColor="text1"/>
          <w:sz w:val="22"/>
          <w:szCs w:val="22"/>
        </w:rPr>
        <w:t xml:space="preserve">or su parte, el Consejo de Estado, en sentencia de unificación, distinguió los contratos de prestación de servicios profesionales y los contratos de prestación de servicios de simple apoyo a la gestión, al señalar que el objeto de los primeros </w:t>
      </w:r>
      <w:r w:rsidR="00FA18AC" w:rsidRPr="003E17D3">
        <w:rPr>
          <w:rFonts w:ascii="Arial" w:eastAsia="Calibri" w:hAnsi="Arial" w:cs="Arial"/>
          <w:color w:val="000000" w:themeColor="text1"/>
          <w:sz w:val="22"/>
          <w:szCs w:val="22"/>
        </w:rPr>
        <w:t xml:space="preserve">es el desempeño de actividades que implican el ejercicio de conocimientos especializados, mientras que los segundos no exigen la profesionalización del contratista, pues el apoyo a la gestión usualmente demanda un saber técnico: </w:t>
      </w:r>
    </w:p>
    <w:p w14:paraId="097BC06D" w14:textId="77777777" w:rsidR="0093009D" w:rsidRPr="003E17D3" w:rsidRDefault="0093009D" w:rsidP="00111AAA">
      <w:pPr>
        <w:pStyle w:val="Ttulo1"/>
        <w:spacing w:before="0" w:line="237" w:lineRule="auto"/>
        <w:ind w:right="534" w:firstLine="708"/>
        <w:jc w:val="both"/>
        <w:rPr>
          <w:rFonts w:ascii="Arial" w:eastAsia="Calibri" w:hAnsi="Arial" w:cs="Arial"/>
          <w:color w:val="000000" w:themeColor="text1"/>
          <w:sz w:val="22"/>
          <w:szCs w:val="22"/>
        </w:rPr>
      </w:pPr>
    </w:p>
    <w:p w14:paraId="04016284" w14:textId="329E98EC" w:rsidR="00FA18AC" w:rsidRPr="003E17D3" w:rsidRDefault="00FA18AC" w:rsidP="00111AAA">
      <w:pPr>
        <w:pStyle w:val="Textoindependiente"/>
        <w:ind w:left="808" w:right="635"/>
        <w:jc w:val="both"/>
        <w:rPr>
          <w:rFonts w:eastAsia="Calibri"/>
          <w:i w:val="0"/>
          <w:color w:val="000000" w:themeColor="text1"/>
          <w:sz w:val="21"/>
          <w:szCs w:val="21"/>
          <w:lang w:val="es-MX" w:eastAsia="en-US" w:bidi="ar-SA"/>
        </w:rPr>
      </w:pPr>
      <w:r w:rsidRPr="003E17D3">
        <w:rPr>
          <w:rFonts w:eastAsia="Calibri"/>
          <w:i w:val="0"/>
          <w:color w:val="000000" w:themeColor="text1"/>
          <w:sz w:val="21"/>
          <w:szCs w:val="21"/>
          <w:lang w:val="es-MX" w:eastAsia="en-US" w:bidi="ar-SA"/>
        </w:rPr>
        <w:t>Contrato de prestación de servicios profesionales. 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 Dentro de su objeto contractual pueden tener lugar actividades operativas, logísticas o asistenciales, siempre que satisfaga los requisitos antes mencionados y sea acorde con las necesidades de la Administración y el principio de planeación.</w:t>
      </w:r>
    </w:p>
    <w:p w14:paraId="442D1188" w14:textId="77777777" w:rsidR="00FA18AC" w:rsidRPr="003E17D3" w:rsidRDefault="00FA18AC" w:rsidP="00111AAA">
      <w:pPr>
        <w:pStyle w:val="Textoindependiente"/>
        <w:ind w:right="635"/>
        <w:rPr>
          <w:rFonts w:eastAsia="Calibri"/>
          <w:i w:val="0"/>
          <w:color w:val="000000" w:themeColor="text1"/>
          <w:sz w:val="21"/>
          <w:szCs w:val="21"/>
          <w:lang w:val="es-MX" w:eastAsia="en-US" w:bidi="ar-SA"/>
        </w:rPr>
      </w:pPr>
    </w:p>
    <w:p w14:paraId="60D3FCB4" w14:textId="5D0B9BC5" w:rsidR="00FA18AC" w:rsidRPr="003E17D3" w:rsidRDefault="00FA18AC" w:rsidP="00111AAA">
      <w:pPr>
        <w:pStyle w:val="Textoindependiente"/>
        <w:ind w:left="808" w:right="635"/>
        <w:jc w:val="both"/>
        <w:rPr>
          <w:rFonts w:eastAsia="Calibri"/>
          <w:i w:val="0"/>
          <w:color w:val="000000" w:themeColor="text1"/>
          <w:sz w:val="21"/>
          <w:szCs w:val="21"/>
          <w:lang w:val="es-MX" w:eastAsia="en-US" w:bidi="ar-SA"/>
        </w:rPr>
      </w:pPr>
      <w:r w:rsidRPr="003E17D3">
        <w:rPr>
          <w:rFonts w:eastAsia="Calibri"/>
          <w:i w:val="0"/>
          <w:color w:val="000000" w:themeColor="text1"/>
          <w:sz w:val="21"/>
          <w:szCs w:val="21"/>
          <w:lang w:val="es-MX" w:eastAsia="en-US" w:bidi="ar-SA"/>
        </w:rPr>
        <w:t>Contrato de prestación de servicios de simple apoyo a la gestión. Su objeto contractual participa de las características encaminadas a desarrollar actividades identificables e intangibles. Hay lugar a su celebración en aquellos casos en donde las necesidades de la Administración no demanden la presencia de personal profesional. Aunque también se caracteriza por el desempeño de actividad intelectiva, ésta se enmarca dentro de un saber propiamente técnico; igualmente involucra actividades en donde prima el esfuerzo físico o mecánico, en donde no se requiere de personal profesional […]</w:t>
      </w:r>
      <w:r w:rsidRPr="003E17D3">
        <w:rPr>
          <w:rStyle w:val="Refdenotaalpie"/>
          <w:rFonts w:eastAsia="Calibri"/>
          <w:i w:val="0"/>
          <w:color w:val="000000" w:themeColor="text1"/>
          <w:sz w:val="21"/>
          <w:szCs w:val="21"/>
          <w:lang w:val="es-MX" w:eastAsia="en-US" w:bidi="ar-SA"/>
        </w:rPr>
        <w:footnoteReference w:id="2"/>
      </w:r>
      <w:r w:rsidRPr="003E17D3">
        <w:rPr>
          <w:rFonts w:eastAsia="Calibri"/>
          <w:i w:val="0"/>
          <w:color w:val="000000" w:themeColor="text1"/>
          <w:sz w:val="21"/>
          <w:szCs w:val="21"/>
          <w:lang w:val="es-MX" w:eastAsia="en-US" w:bidi="ar-SA"/>
        </w:rPr>
        <w:t>.</w:t>
      </w:r>
    </w:p>
    <w:p w14:paraId="2ED3E19C" w14:textId="1182FCC2" w:rsidR="001D4790" w:rsidRPr="003E17D3" w:rsidRDefault="001D4790" w:rsidP="00111AAA">
      <w:pPr>
        <w:pStyle w:val="Textoindependiente"/>
        <w:ind w:right="635"/>
        <w:jc w:val="both"/>
        <w:rPr>
          <w:rFonts w:eastAsia="Calibri"/>
          <w:i w:val="0"/>
          <w:color w:val="000000" w:themeColor="text1"/>
          <w:sz w:val="21"/>
          <w:szCs w:val="21"/>
          <w:lang w:val="es-MX" w:eastAsia="en-US" w:bidi="ar-SA"/>
        </w:rPr>
      </w:pPr>
    </w:p>
    <w:p w14:paraId="74589A85" w14:textId="354BEC79" w:rsidR="001D4790" w:rsidRPr="003E17D3" w:rsidRDefault="001D4790" w:rsidP="00111AAA">
      <w:pPr>
        <w:pStyle w:val="Ttulo1"/>
        <w:spacing w:before="0" w:line="276" w:lineRule="auto"/>
        <w:ind w:right="105" w:firstLine="708"/>
        <w:jc w:val="both"/>
        <w:rPr>
          <w:rFonts w:ascii="Arial" w:eastAsia="Calibri" w:hAnsi="Arial" w:cs="Arial"/>
          <w:color w:val="000000" w:themeColor="text1"/>
          <w:sz w:val="22"/>
          <w:szCs w:val="22"/>
        </w:rPr>
      </w:pPr>
      <w:r w:rsidRPr="003E17D3">
        <w:rPr>
          <w:rFonts w:ascii="Arial" w:eastAsia="Calibri" w:hAnsi="Arial" w:cs="Arial"/>
          <w:color w:val="000000" w:themeColor="text1"/>
          <w:sz w:val="22"/>
          <w:szCs w:val="22"/>
        </w:rPr>
        <w:t xml:space="preserve">Adicional a lo anterior, la Ley 80 de 1993 </w:t>
      </w:r>
      <w:r w:rsidR="00AC4764" w:rsidRPr="003E17D3">
        <w:rPr>
          <w:rFonts w:ascii="Arial" w:eastAsia="Calibri" w:hAnsi="Arial" w:cs="Arial"/>
          <w:color w:val="000000" w:themeColor="text1"/>
          <w:sz w:val="22"/>
          <w:szCs w:val="22"/>
        </w:rPr>
        <w:t>determinó</w:t>
      </w:r>
      <w:r w:rsidRPr="003E17D3">
        <w:rPr>
          <w:rFonts w:ascii="Arial" w:eastAsia="Calibri" w:hAnsi="Arial" w:cs="Arial"/>
          <w:color w:val="000000" w:themeColor="text1"/>
          <w:sz w:val="22"/>
          <w:szCs w:val="22"/>
        </w:rPr>
        <w:t xml:space="preserve"> que los contratos de prestación de servicios profesionales y de apoyo a la gestión se perfeccionan cuando se logre acuerdo sobre el objeto y la contraprestación y se eleve a escrito</w:t>
      </w:r>
      <w:r w:rsidRPr="003E17D3">
        <w:rPr>
          <w:rFonts w:ascii="Arial" w:eastAsia="Calibri" w:hAnsi="Arial" w:cs="Arial"/>
          <w:color w:val="000000" w:themeColor="text1"/>
          <w:sz w:val="22"/>
          <w:szCs w:val="22"/>
          <w:vertAlign w:val="superscript"/>
        </w:rPr>
        <w:footnoteReference w:id="3"/>
      </w:r>
      <w:r w:rsidRPr="003E17D3">
        <w:rPr>
          <w:rFonts w:ascii="Arial" w:eastAsia="Calibri" w:hAnsi="Arial" w:cs="Arial"/>
          <w:color w:val="000000" w:themeColor="text1"/>
          <w:sz w:val="22"/>
          <w:szCs w:val="22"/>
        </w:rPr>
        <w:t>, es decir, que la norma no estableció un límite para la fijación del valor del contrato.</w:t>
      </w:r>
    </w:p>
    <w:p w14:paraId="0F2FEF3B" w14:textId="3CF9712B" w:rsidR="004D5CB8" w:rsidRPr="003E17D3" w:rsidRDefault="004D5CB8" w:rsidP="00111AAA">
      <w:pPr>
        <w:ind w:right="105" w:firstLine="708"/>
        <w:jc w:val="both"/>
        <w:rPr>
          <w:rFonts w:ascii="Arial" w:eastAsia="Calibri" w:hAnsi="Arial" w:cs="Arial"/>
          <w:color w:val="000000" w:themeColor="text1"/>
          <w:sz w:val="22"/>
        </w:rPr>
      </w:pPr>
    </w:p>
    <w:p w14:paraId="48774414" w14:textId="0C8636FB" w:rsidR="004D5CB8" w:rsidRPr="003E17D3" w:rsidRDefault="004D5CB8" w:rsidP="00111AAA">
      <w:pPr>
        <w:ind w:right="105"/>
        <w:jc w:val="both"/>
        <w:rPr>
          <w:rFonts w:ascii="Arial" w:eastAsia="Calibri" w:hAnsi="Arial" w:cs="Arial"/>
          <w:b/>
          <w:bCs/>
          <w:color w:val="000000" w:themeColor="text1"/>
          <w:sz w:val="22"/>
        </w:rPr>
      </w:pPr>
      <w:r w:rsidRPr="003E17D3">
        <w:rPr>
          <w:rFonts w:ascii="Arial" w:eastAsia="Calibri" w:hAnsi="Arial" w:cs="Arial"/>
          <w:b/>
          <w:bCs/>
          <w:color w:val="000000" w:themeColor="text1"/>
          <w:sz w:val="22"/>
        </w:rPr>
        <w:t>2.</w:t>
      </w:r>
      <w:r w:rsidR="00FE2FAE" w:rsidRPr="003E17D3">
        <w:rPr>
          <w:rFonts w:ascii="Arial" w:eastAsia="Calibri" w:hAnsi="Arial" w:cs="Arial"/>
          <w:b/>
          <w:bCs/>
          <w:color w:val="000000" w:themeColor="text1"/>
          <w:sz w:val="22"/>
        </w:rPr>
        <w:t>2</w:t>
      </w:r>
      <w:r w:rsidRPr="003E17D3">
        <w:rPr>
          <w:rFonts w:ascii="Arial" w:eastAsia="Calibri" w:hAnsi="Arial" w:cs="Arial"/>
          <w:b/>
          <w:bCs/>
          <w:color w:val="000000" w:themeColor="text1"/>
          <w:sz w:val="22"/>
        </w:rPr>
        <w:t xml:space="preserve">. </w:t>
      </w:r>
      <w:r w:rsidR="0000785A" w:rsidRPr="003E17D3">
        <w:rPr>
          <w:rFonts w:ascii="Arial" w:eastAsia="Calibri" w:hAnsi="Arial" w:cs="Arial"/>
          <w:b/>
          <w:bCs/>
          <w:color w:val="000000" w:themeColor="text1"/>
          <w:sz w:val="22"/>
        </w:rPr>
        <w:t xml:space="preserve">Autorización para la suscripción concurrente de contratos de prestación de servicios </w:t>
      </w:r>
    </w:p>
    <w:p w14:paraId="61B75F1A" w14:textId="77777777" w:rsidR="004D5CB8" w:rsidRPr="003E17D3" w:rsidRDefault="004D5CB8" w:rsidP="00111AAA">
      <w:pPr>
        <w:rPr>
          <w:color w:val="000000" w:themeColor="text1"/>
        </w:rPr>
      </w:pPr>
    </w:p>
    <w:p w14:paraId="783B82AC" w14:textId="6B0F6121" w:rsidR="003A0A45" w:rsidRPr="003E17D3" w:rsidRDefault="0000785A" w:rsidP="00111AAA">
      <w:pPr>
        <w:pStyle w:val="Prrafodelista"/>
        <w:spacing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lastRenderedPageBreak/>
        <w:t xml:space="preserve">El artículo 2.8.4.4.5 del Decreto 1068 de 2015 </w:t>
      </w:r>
      <w:r w:rsidR="00511439" w:rsidRPr="003E17D3">
        <w:rPr>
          <w:rFonts w:ascii="Arial" w:eastAsia="Calibri" w:hAnsi="Arial" w:cs="Arial"/>
          <w:color w:val="000000" w:themeColor="text1"/>
          <w:sz w:val="22"/>
        </w:rPr>
        <w:t>define las condiciones para contratar la prestación de servicios</w:t>
      </w:r>
      <w:r w:rsidR="008826C5" w:rsidRPr="003E17D3">
        <w:rPr>
          <w:rFonts w:ascii="Arial" w:eastAsia="Calibri" w:hAnsi="Arial" w:cs="Arial"/>
          <w:color w:val="000000" w:themeColor="text1"/>
          <w:sz w:val="22"/>
        </w:rPr>
        <w:t>, al señalar que solo se pueden celebrar cuando no exista personal de planta con capacidad para realizar esas actividades</w:t>
      </w:r>
      <w:r w:rsidR="00006D73" w:rsidRPr="003E17D3">
        <w:rPr>
          <w:rFonts w:ascii="Arial" w:eastAsia="Calibri" w:hAnsi="Arial" w:cs="Arial"/>
          <w:color w:val="000000" w:themeColor="text1"/>
          <w:sz w:val="22"/>
        </w:rPr>
        <w:t xml:space="preserve"> y las excepciones a esta regla general: </w:t>
      </w:r>
    </w:p>
    <w:p w14:paraId="480E1378" w14:textId="5F0DAC66" w:rsidR="00006D73" w:rsidRPr="003E17D3" w:rsidRDefault="00006D73" w:rsidP="00111AAA">
      <w:pPr>
        <w:pStyle w:val="Prrafodelista"/>
        <w:spacing w:line="276" w:lineRule="auto"/>
        <w:ind w:left="0"/>
        <w:contextualSpacing w:val="0"/>
        <w:jc w:val="both"/>
        <w:rPr>
          <w:rFonts w:ascii="Arial" w:eastAsia="Calibri" w:hAnsi="Arial" w:cs="Arial"/>
          <w:color w:val="000000" w:themeColor="text1"/>
          <w:sz w:val="22"/>
        </w:rPr>
      </w:pPr>
    </w:p>
    <w:p w14:paraId="6E099389" w14:textId="77777777" w:rsidR="00006D73" w:rsidRPr="003E17D3" w:rsidRDefault="00006D73" w:rsidP="00111AAA">
      <w:pPr>
        <w:ind w:left="708" w:right="616"/>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Artículo 2.8.4.4.5. Condiciones para contratar la prestación de servicios. Los contratos de prestación de servicios con personas naturales o jurídicas, sólo se podrán celebrar cuando no exista personal de planta con capacidad para realizar las actividades que se contratarán.</w:t>
      </w:r>
    </w:p>
    <w:p w14:paraId="006DF3C5" w14:textId="77777777" w:rsidR="00006D73" w:rsidRPr="003E17D3" w:rsidRDefault="00006D73" w:rsidP="00111AAA">
      <w:pPr>
        <w:ind w:right="758"/>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 </w:t>
      </w:r>
    </w:p>
    <w:p w14:paraId="152D8FEE" w14:textId="77777777" w:rsidR="00006D73" w:rsidRPr="003E17D3" w:rsidRDefault="00006D73" w:rsidP="00111AAA">
      <w:pPr>
        <w:ind w:left="708" w:right="758"/>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w:t>
      </w:r>
    </w:p>
    <w:p w14:paraId="0FF75C41" w14:textId="77777777" w:rsidR="00006D73" w:rsidRPr="003E17D3" w:rsidRDefault="00006D73" w:rsidP="00111AAA">
      <w:pPr>
        <w:ind w:right="758"/>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 </w:t>
      </w:r>
    </w:p>
    <w:p w14:paraId="1F9AF0D6" w14:textId="65A4BD2B" w:rsidR="00006D73" w:rsidRPr="003E17D3" w:rsidRDefault="00006D73" w:rsidP="00111AAA">
      <w:pPr>
        <w:ind w:left="708" w:right="758"/>
        <w:jc w:val="both"/>
        <w:textAlignment w:val="baseline"/>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 xml:space="preserve">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w:t>
      </w:r>
    </w:p>
    <w:p w14:paraId="2A9B9BAC" w14:textId="20CAADB4" w:rsidR="00006D73" w:rsidRPr="003E17D3" w:rsidRDefault="00006D73" w:rsidP="00111AAA">
      <w:pPr>
        <w:pStyle w:val="Prrafodelista"/>
        <w:spacing w:line="276" w:lineRule="auto"/>
        <w:ind w:left="0"/>
        <w:contextualSpacing w:val="0"/>
        <w:jc w:val="both"/>
        <w:rPr>
          <w:rFonts w:ascii="Arial" w:eastAsia="Calibri" w:hAnsi="Arial" w:cs="Arial"/>
          <w:color w:val="000000" w:themeColor="text1"/>
          <w:sz w:val="22"/>
        </w:rPr>
      </w:pPr>
    </w:p>
    <w:p w14:paraId="1A768558" w14:textId="50D086CF" w:rsidR="00006D73" w:rsidRPr="003E17D3" w:rsidRDefault="00BD7CDB" w:rsidP="00111AAA">
      <w:pPr>
        <w:pStyle w:val="Prrafodelista"/>
        <w:spacing w:line="276" w:lineRule="auto"/>
        <w:ind w:left="0" w:firstLine="708"/>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El último inciso de la norma citada establece una prohibición general, de conformidad con la cual no es posible que se celebren contratos de prestación de servici</w:t>
      </w:r>
      <w:r w:rsidR="00ED2239" w:rsidRPr="003E17D3">
        <w:rPr>
          <w:rFonts w:ascii="Arial" w:eastAsia="Calibri" w:hAnsi="Arial" w:cs="Arial"/>
          <w:color w:val="000000" w:themeColor="text1"/>
          <w:sz w:val="22"/>
        </w:rPr>
        <w:t xml:space="preserve">os con objeto similar a otros que se encuentren vigentes. La excepción a esta prohibición general está condicionada a la existencia de una autorización expresa por parte del «jefe del respectivo órgano, ente o entidad contratante». </w:t>
      </w:r>
    </w:p>
    <w:p w14:paraId="6AD08AA3" w14:textId="2A9B3D5D" w:rsidR="00B163F7" w:rsidRPr="003E17D3" w:rsidRDefault="00B163F7" w:rsidP="00111AAA">
      <w:pPr>
        <w:pStyle w:val="Prrafodelista"/>
        <w:spacing w:line="276" w:lineRule="auto"/>
        <w:ind w:left="0" w:firstLine="708"/>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El artículo 2 de la Ley 80 de 1993</w:t>
      </w:r>
      <w:r w:rsidRPr="003E17D3">
        <w:rPr>
          <w:rStyle w:val="Refdenotaalpie"/>
          <w:rFonts w:ascii="Arial" w:eastAsia="Calibri" w:hAnsi="Arial" w:cs="Arial"/>
          <w:color w:val="000000" w:themeColor="text1"/>
          <w:sz w:val="22"/>
        </w:rPr>
        <w:footnoteReference w:id="4"/>
      </w:r>
      <w:r w:rsidRPr="003E17D3">
        <w:rPr>
          <w:rFonts w:ascii="Arial" w:eastAsia="Calibri" w:hAnsi="Arial" w:cs="Arial"/>
          <w:color w:val="000000" w:themeColor="text1"/>
          <w:sz w:val="22"/>
        </w:rPr>
        <w:t xml:space="preserve"> consagra una lista de las entidades estatales para los efectos del Estatuto General de Contratación Pública, dentro de las que se </w:t>
      </w:r>
      <w:r w:rsidRPr="003E17D3">
        <w:rPr>
          <w:rFonts w:ascii="Arial" w:eastAsia="Calibri" w:hAnsi="Arial" w:cs="Arial"/>
          <w:color w:val="000000" w:themeColor="text1"/>
          <w:sz w:val="22"/>
        </w:rPr>
        <w:lastRenderedPageBreak/>
        <w:t>encuentran los ministerios.</w:t>
      </w:r>
      <w:r w:rsidR="008817C0" w:rsidRPr="003E17D3">
        <w:rPr>
          <w:rFonts w:ascii="Arial" w:eastAsia="Calibri" w:hAnsi="Arial" w:cs="Arial"/>
          <w:color w:val="000000" w:themeColor="text1"/>
          <w:sz w:val="22"/>
        </w:rPr>
        <w:t xml:space="preserve"> A su vez, el numeral 1 del artículo 11 de la misma ley señala que la competencia para ordenar y dirigir la celebración de licitaciones o concursos y para escoger contratistas será del jefe o representante de la entidad según el caso.</w:t>
      </w:r>
    </w:p>
    <w:p w14:paraId="4F4D2140" w14:textId="11D1502D" w:rsidR="00B163F7" w:rsidRPr="003E17D3" w:rsidRDefault="00ED2239" w:rsidP="00111AAA">
      <w:pPr>
        <w:pStyle w:val="Prrafodelista"/>
        <w:spacing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t xml:space="preserve">Ahora bien, </w:t>
      </w:r>
      <w:r w:rsidR="00584877" w:rsidRPr="003E17D3">
        <w:rPr>
          <w:rFonts w:ascii="Arial" w:eastAsia="Calibri" w:hAnsi="Arial" w:cs="Arial"/>
          <w:color w:val="000000" w:themeColor="text1"/>
          <w:sz w:val="22"/>
        </w:rPr>
        <w:t>cuando la norma hace referencia al jefe del respectivo órgano, ente o entidad, alude al representante legal de la misma, esto es, a quien detenta el más alto cargo de dirección en la respectiva entidad, por ejemplo, el gobernador, el alcalde, el director de departamento administrativo, el superintendente y, por supuesto, el ministro, en el caso puntual de los ministerios</w:t>
      </w:r>
      <w:r w:rsidR="008817C0" w:rsidRPr="003E17D3">
        <w:rPr>
          <w:rFonts w:ascii="Arial" w:eastAsia="Calibri" w:hAnsi="Arial" w:cs="Arial"/>
          <w:color w:val="000000" w:themeColor="text1"/>
          <w:sz w:val="22"/>
        </w:rPr>
        <w:t>, de conformidad con los literales a), b) y c) del numeral 3 del artículo 11 de la Ley 80 de 1993</w:t>
      </w:r>
      <w:r w:rsidR="008817C0" w:rsidRPr="003E17D3">
        <w:rPr>
          <w:rStyle w:val="Refdenotaalpie"/>
          <w:rFonts w:ascii="Arial" w:eastAsia="Calibri" w:hAnsi="Arial" w:cs="Arial"/>
          <w:color w:val="000000" w:themeColor="text1"/>
          <w:sz w:val="22"/>
        </w:rPr>
        <w:footnoteReference w:id="5"/>
      </w:r>
      <w:r w:rsidR="008817C0" w:rsidRPr="003E17D3">
        <w:rPr>
          <w:rFonts w:ascii="Arial" w:eastAsia="Calibri" w:hAnsi="Arial" w:cs="Arial"/>
          <w:color w:val="000000" w:themeColor="text1"/>
          <w:sz w:val="22"/>
        </w:rPr>
        <w:t xml:space="preserve">. </w:t>
      </w:r>
    </w:p>
    <w:p w14:paraId="71D4642A" w14:textId="07C47D8B" w:rsidR="00ED2239" w:rsidRPr="003E17D3" w:rsidRDefault="00B163F7" w:rsidP="00111AAA">
      <w:pPr>
        <w:pStyle w:val="Prrafodelista"/>
        <w:spacing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r>
      <w:r w:rsidR="00584877" w:rsidRPr="003E17D3">
        <w:rPr>
          <w:rFonts w:ascii="Arial" w:eastAsia="Calibri" w:hAnsi="Arial" w:cs="Arial"/>
          <w:color w:val="000000" w:themeColor="text1"/>
          <w:sz w:val="22"/>
        </w:rPr>
        <w:t xml:space="preserve">De manera que cuando </w:t>
      </w:r>
      <w:r w:rsidR="008817C0" w:rsidRPr="003E17D3">
        <w:rPr>
          <w:rFonts w:ascii="Arial" w:eastAsia="Calibri" w:hAnsi="Arial" w:cs="Arial"/>
          <w:color w:val="000000" w:themeColor="text1"/>
          <w:sz w:val="22"/>
        </w:rPr>
        <w:t>el artículo 2.8.4.4.5 del Decreto 1068 de 2015</w:t>
      </w:r>
      <w:r w:rsidR="00584877" w:rsidRPr="003E17D3">
        <w:rPr>
          <w:rFonts w:ascii="Arial" w:eastAsia="Calibri" w:hAnsi="Arial" w:cs="Arial"/>
          <w:color w:val="000000" w:themeColor="text1"/>
          <w:sz w:val="22"/>
        </w:rPr>
        <w:t xml:space="preserve"> establece que no se podrán</w:t>
      </w:r>
      <w:r w:rsidR="005C1089" w:rsidRPr="003E17D3">
        <w:rPr>
          <w:rFonts w:ascii="Arial" w:eastAsia="Calibri" w:hAnsi="Arial" w:cs="Arial"/>
          <w:color w:val="000000" w:themeColor="text1"/>
          <w:sz w:val="22"/>
        </w:rPr>
        <w:t xml:space="preserve"> suscribir contratos de prestación de servicios con el mismo objeto de otros que se encuentren vigentes en la misma entidad, salvo autorización expresa del jefe de la entidad, se refiere al representante legal de la misma. </w:t>
      </w:r>
    </w:p>
    <w:p w14:paraId="23053C56" w14:textId="136B3891" w:rsidR="005C1089" w:rsidRPr="003E17D3" w:rsidRDefault="005C1089" w:rsidP="00111AAA">
      <w:pPr>
        <w:pStyle w:val="Prrafodelista"/>
        <w:spacing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t xml:space="preserve">No obstante, esta función puede ser delegada de conformidad con el artículo </w:t>
      </w:r>
      <w:r w:rsidR="00C110C1" w:rsidRPr="003E17D3">
        <w:rPr>
          <w:rFonts w:ascii="Arial" w:eastAsia="Calibri" w:hAnsi="Arial" w:cs="Arial"/>
          <w:color w:val="000000" w:themeColor="text1"/>
          <w:sz w:val="22"/>
        </w:rPr>
        <w:t xml:space="preserve">12 de la Ley 80 de 1993, norma especial de delegación en materia de contratación estatal, que señala que los jefes y los representantes legales de las entidades estatales podrán delegar total o parcialmente la competencia para celebrar contratos y desconcentrar la realización de licitaciones o concursos en servidores del nivel directivo o ejecutivo o sus equivalentes. </w:t>
      </w:r>
    </w:p>
    <w:p w14:paraId="1365C9D3" w14:textId="43A8E01C" w:rsidR="00B11991" w:rsidRPr="003E17D3" w:rsidRDefault="00B11991" w:rsidP="00111AAA">
      <w:pPr>
        <w:pStyle w:val="Prrafodelista"/>
        <w:spacing w:line="276" w:lineRule="auto"/>
        <w:ind w:left="0"/>
        <w:contextualSpacing w:val="0"/>
        <w:jc w:val="both"/>
        <w:rPr>
          <w:rFonts w:ascii="Arial" w:eastAsia="Calibri" w:hAnsi="Arial" w:cs="Arial"/>
          <w:color w:val="000000" w:themeColor="text1"/>
          <w:sz w:val="22"/>
        </w:rPr>
      </w:pPr>
      <w:r w:rsidRPr="003E17D3">
        <w:rPr>
          <w:rFonts w:ascii="Arial" w:eastAsia="Calibri" w:hAnsi="Arial" w:cs="Arial"/>
          <w:color w:val="000000" w:themeColor="text1"/>
          <w:sz w:val="22"/>
        </w:rPr>
        <w:tab/>
        <w:t>Así las cosas, de la misma manera como se delega la capacidad para contratar, puede ser delegada la facultad para conceder la autorización a la que se refiere el artículo 2.8.4.4.5 del Decreto 1068 de 2015, previo el cumplimiento de los requisitos que para el efecto señala el artículo 12 de la Ley 80 de 1993 y en lo no regulado por esta, lo dispuesto por los artículos 9, 10, 11 y 12 de la Ley 489 de 1998</w:t>
      </w:r>
      <w:r w:rsidR="00A973C9" w:rsidRPr="003E17D3">
        <w:rPr>
          <w:rFonts w:ascii="Arial" w:eastAsia="Calibri" w:hAnsi="Arial" w:cs="Arial"/>
          <w:color w:val="000000" w:themeColor="text1"/>
          <w:sz w:val="22"/>
        </w:rPr>
        <w:t xml:space="preserve">, sobre la delegación de funciones. </w:t>
      </w:r>
    </w:p>
    <w:p w14:paraId="58B53592" w14:textId="3AD50612" w:rsidR="0000785A" w:rsidRPr="003E17D3" w:rsidRDefault="0000785A" w:rsidP="00111AAA">
      <w:pPr>
        <w:pStyle w:val="Prrafodelista"/>
        <w:spacing w:line="276" w:lineRule="auto"/>
        <w:ind w:left="0"/>
        <w:contextualSpacing w:val="0"/>
        <w:jc w:val="both"/>
        <w:rPr>
          <w:rFonts w:ascii="Arial" w:eastAsia="Calibri" w:hAnsi="Arial" w:cs="Arial"/>
          <w:color w:val="000000" w:themeColor="text1"/>
          <w:sz w:val="22"/>
        </w:rPr>
      </w:pPr>
    </w:p>
    <w:p w14:paraId="215286AC" w14:textId="77777777" w:rsidR="003A0A45" w:rsidRPr="003E17D3" w:rsidRDefault="003A0A45" w:rsidP="00111AAA">
      <w:pPr>
        <w:pStyle w:val="Prrafodelista"/>
        <w:numPr>
          <w:ilvl w:val="0"/>
          <w:numId w:val="7"/>
        </w:numPr>
        <w:contextualSpacing w:val="0"/>
        <w:jc w:val="both"/>
        <w:rPr>
          <w:rFonts w:ascii="Arial" w:eastAsia="Calibri" w:hAnsi="Arial" w:cs="Arial"/>
          <w:color w:val="000000" w:themeColor="text1"/>
          <w:sz w:val="20"/>
          <w:szCs w:val="20"/>
        </w:rPr>
      </w:pPr>
      <w:r w:rsidRPr="003E17D3">
        <w:rPr>
          <w:rFonts w:ascii="Arial" w:eastAsia="Calibri" w:hAnsi="Arial" w:cs="Arial"/>
          <w:b/>
          <w:color w:val="000000" w:themeColor="text1"/>
          <w:sz w:val="22"/>
          <w:szCs w:val="20"/>
        </w:rPr>
        <w:t>Respuesta</w:t>
      </w:r>
    </w:p>
    <w:p w14:paraId="18EECFF5" w14:textId="77777777" w:rsidR="00A973C9" w:rsidRPr="003E17D3" w:rsidRDefault="00A973C9" w:rsidP="00111AAA">
      <w:pPr>
        <w:spacing w:line="276" w:lineRule="auto"/>
        <w:jc w:val="both"/>
        <w:rPr>
          <w:rFonts w:ascii="Arial" w:eastAsia="Calibri" w:hAnsi="Arial" w:cs="Arial"/>
          <w:color w:val="000000" w:themeColor="text1"/>
          <w:sz w:val="22"/>
        </w:rPr>
      </w:pPr>
    </w:p>
    <w:p w14:paraId="5B6971A9" w14:textId="75C45041" w:rsidR="00A973C9" w:rsidRPr="003E17D3" w:rsidRDefault="00A973C9" w:rsidP="00111AAA">
      <w:pPr>
        <w:ind w:left="705" w:right="567"/>
        <w:jc w:val="both"/>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lastRenderedPageBreak/>
        <w:t xml:space="preserve">«1. ¿El jefe de la entidad es entendido como el funcionario del nivel directivo a quien se delega la ordenación del gasto?». </w:t>
      </w:r>
    </w:p>
    <w:p w14:paraId="65D6A45C" w14:textId="75CF4245" w:rsidR="00A973C9" w:rsidRPr="003E17D3" w:rsidRDefault="00A973C9" w:rsidP="00111AAA">
      <w:pPr>
        <w:ind w:right="567"/>
        <w:jc w:val="both"/>
        <w:rPr>
          <w:rFonts w:ascii="Arial" w:eastAsia="Calibri" w:hAnsi="Arial" w:cs="Arial"/>
          <w:color w:val="000000" w:themeColor="text1"/>
          <w:sz w:val="21"/>
          <w:szCs w:val="21"/>
        </w:rPr>
      </w:pPr>
    </w:p>
    <w:p w14:paraId="2B2E4A9A" w14:textId="06F884A7" w:rsidR="00A973C9" w:rsidRPr="003E17D3" w:rsidRDefault="00A973C9" w:rsidP="00111AAA">
      <w:pPr>
        <w:spacing w:line="276" w:lineRule="auto"/>
        <w:ind w:right="-93" w:firstLine="705"/>
        <w:jc w:val="both"/>
        <w:rPr>
          <w:rFonts w:ascii="Arial" w:eastAsia="Calibri" w:hAnsi="Arial" w:cs="Arial"/>
          <w:color w:val="000000" w:themeColor="text1"/>
          <w:sz w:val="22"/>
        </w:rPr>
      </w:pPr>
      <w:r w:rsidRPr="003E17D3">
        <w:rPr>
          <w:rFonts w:ascii="Arial" w:eastAsia="Calibri" w:hAnsi="Arial" w:cs="Arial"/>
          <w:color w:val="000000" w:themeColor="text1"/>
          <w:sz w:val="22"/>
        </w:rPr>
        <w:t xml:space="preserve">La expresión «salvo autorización expresa del jefe del respectivo órgano, ente o entidad» contenida en inciso final del artículo 2.8.4.4.5 del Decreto 1068 de 2015 se refiere a la autorización que debe dar el represente legal de la entidad, según el caso. Cuando la norma habla del jefe del órgano o entidad debe entenderse en esta descripción el listado que hace el numeral 3 del artículo 11 de la Ley 80 de 1993. Por lo tanto, el jefe de la entidad, para efectos del artículo 2.8.4.4.5 del Decreto 1068 de 2015, no es el funcionario a quien se le ha delegado la ordenación del gasto. Ahora bien, la facultad de conceder la autorización a la que se refiere la norma puede ser delegada de conformidad con las normas que regulan la delegación de funciones. </w:t>
      </w:r>
    </w:p>
    <w:p w14:paraId="0F20E9C0" w14:textId="77777777" w:rsidR="00A973C9" w:rsidRPr="003E17D3" w:rsidRDefault="00A973C9" w:rsidP="00111AAA">
      <w:pPr>
        <w:ind w:left="705" w:right="567"/>
        <w:jc w:val="both"/>
        <w:rPr>
          <w:rFonts w:ascii="Arial" w:eastAsia="Calibri" w:hAnsi="Arial" w:cs="Arial"/>
          <w:color w:val="000000" w:themeColor="text1"/>
          <w:sz w:val="21"/>
          <w:szCs w:val="21"/>
        </w:rPr>
      </w:pPr>
    </w:p>
    <w:p w14:paraId="55F94B1A" w14:textId="124B8CF7" w:rsidR="00A973C9" w:rsidRPr="003E17D3" w:rsidRDefault="001D4790" w:rsidP="00111AAA">
      <w:pPr>
        <w:ind w:left="705" w:right="567"/>
        <w:jc w:val="both"/>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w:t>
      </w:r>
      <w:r w:rsidR="00A973C9" w:rsidRPr="003E17D3">
        <w:rPr>
          <w:rFonts w:ascii="Arial" w:eastAsia="Calibri" w:hAnsi="Arial" w:cs="Arial"/>
          <w:color w:val="000000" w:themeColor="text1"/>
          <w:sz w:val="21"/>
          <w:szCs w:val="21"/>
        </w:rPr>
        <w:t>2. ¿Es válida la autorización expedida por un funcionario diferente al Ministro del Despacho?</w:t>
      </w:r>
      <w:r w:rsidRPr="003E17D3">
        <w:rPr>
          <w:rFonts w:ascii="Arial" w:eastAsia="Calibri" w:hAnsi="Arial" w:cs="Arial"/>
          <w:color w:val="000000" w:themeColor="text1"/>
          <w:sz w:val="21"/>
          <w:szCs w:val="21"/>
        </w:rPr>
        <w:t>».</w:t>
      </w:r>
    </w:p>
    <w:p w14:paraId="1841D363" w14:textId="30573D68" w:rsidR="00A973C9" w:rsidRPr="003E17D3" w:rsidRDefault="00A973C9" w:rsidP="00111AAA">
      <w:pPr>
        <w:ind w:right="567"/>
        <w:jc w:val="both"/>
        <w:rPr>
          <w:rFonts w:ascii="Arial" w:eastAsia="Calibri" w:hAnsi="Arial" w:cs="Arial"/>
          <w:color w:val="000000" w:themeColor="text1"/>
          <w:sz w:val="21"/>
          <w:szCs w:val="21"/>
        </w:rPr>
      </w:pPr>
    </w:p>
    <w:p w14:paraId="1DDB7A5A" w14:textId="0B0B5258" w:rsidR="00A973C9" w:rsidRPr="003E17D3" w:rsidRDefault="00A973C9" w:rsidP="00111AAA">
      <w:pPr>
        <w:spacing w:line="276" w:lineRule="auto"/>
        <w:ind w:right="-93"/>
        <w:jc w:val="both"/>
        <w:rPr>
          <w:rFonts w:ascii="Arial" w:eastAsia="Calibri" w:hAnsi="Arial" w:cs="Arial"/>
          <w:color w:val="000000" w:themeColor="text1"/>
          <w:sz w:val="22"/>
        </w:rPr>
      </w:pPr>
      <w:r w:rsidRPr="003E17D3">
        <w:rPr>
          <w:rFonts w:ascii="Arial" w:eastAsia="Calibri" w:hAnsi="Arial" w:cs="Arial"/>
          <w:color w:val="000000" w:themeColor="text1"/>
          <w:sz w:val="21"/>
          <w:szCs w:val="21"/>
        </w:rPr>
        <w:tab/>
      </w:r>
      <w:r w:rsidRPr="003E17D3">
        <w:rPr>
          <w:rFonts w:ascii="Arial" w:eastAsia="Calibri" w:hAnsi="Arial" w:cs="Arial"/>
          <w:color w:val="000000" w:themeColor="text1"/>
          <w:sz w:val="22"/>
        </w:rPr>
        <w:t xml:space="preserve">El único funcionario con competencia para expedir la autorización </w:t>
      </w:r>
      <w:r w:rsidR="001D4790" w:rsidRPr="003E17D3">
        <w:rPr>
          <w:rFonts w:ascii="Arial" w:eastAsia="Calibri" w:hAnsi="Arial" w:cs="Arial"/>
          <w:color w:val="000000" w:themeColor="text1"/>
          <w:sz w:val="22"/>
        </w:rPr>
        <w:t>de que trata el artículo 2.8.4.4.5 del Decreto 1068 de 2015 es el Ministro del Despacho, por ser el jefe y representante legal de la entidad. No obstante, el Ministro puede delegar esa función en un servidor del nivel directivo o ejecutivo.</w:t>
      </w:r>
    </w:p>
    <w:p w14:paraId="706B13A0" w14:textId="77777777" w:rsidR="00A973C9" w:rsidRPr="003E17D3" w:rsidRDefault="00A973C9" w:rsidP="00111AAA">
      <w:pPr>
        <w:ind w:left="705" w:right="567"/>
        <w:jc w:val="both"/>
        <w:rPr>
          <w:rFonts w:ascii="Arial" w:eastAsia="Calibri" w:hAnsi="Arial" w:cs="Arial"/>
          <w:color w:val="000000" w:themeColor="text1"/>
          <w:sz w:val="21"/>
          <w:szCs w:val="21"/>
        </w:rPr>
      </w:pPr>
    </w:p>
    <w:p w14:paraId="6BA64AEF" w14:textId="25F6E065" w:rsidR="00A973C9" w:rsidRPr="003E17D3" w:rsidRDefault="001D4790" w:rsidP="00111AAA">
      <w:pPr>
        <w:ind w:left="705" w:right="567"/>
        <w:jc w:val="both"/>
        <w:rPr>
          <w:rFonts w:ascii="Arial" w:eastAsia="Calibri" w:hAnsi="Arial" w:cs="Arial"/>
          <w:color w:val="000000" w:themeColor="text1"/>
          <w:sz w:val="21"/>
          <w:szCs w:val="21"/>
        </w:rPr>
      </w:pPr>
      <w:r w:rsidRPr="003E17D3">
        <w:rPr>
          <w:rFonts w:ascii="Arial" w:eastAsia="Calibri" w:hAnsi="Arial" w:cs="Arial"/>
          <w:color w:val="000000" w:themeColor="text1"/>
          <w:sz w:val="21"/>
          <w:szCs w:val="21"/>
        </w:rPr>
        <w:t xml:space="preserve">«3. </w:t>
      </w:r>
      <w:r w:rsidR="00A973C9" w:rsidRPr="003E17D3">
        <w:rPr>
          <w:rFonts w:ascii="Arial" w:eastAsia="Calibri" w:hAnsi="Arial" w:cs="Arial"/>
          <w:color w:val="000000" w:themeColor="text1"/>
          <w:sz w:val="21"/>
          <w:szCs w:val="21"/>
        </w:rPr>
        <w:t xml:space="preserve">¿Es necesario que dicha autorización sea expedida única y exclusivamente por el Ministro de Despacho, en caso de los ministerios?». </w:t>
      </w:r>
    </w:p>
    <w:p w14:paraId="28752314" w14:textId="77777777" w:rsidR="00A973C9" w:rsidRPr="003E17D3" w:rsidRDefault="00A973C9" w:rsidP="00111AAA">
      <w:pPr>
        <w:spacing w:line="276" w:lineRule="auto"/>
        <w:jc w:val="both"/>
        <w:rPr>
          <w:rFonts w:ascii="Arial" w:eastAsia="Calibri" w:hAnsi="Arial" w:cs="Arial"/>
          <w:color w:val="000000" w:themeColor="text1"/>
          <w:sz w:val="22"/>
        </w:rPr>
      </w:pPr>
    </w:p>
    <w:p w14:paraId="01205A87" w14:textId="77777777" w:rsidR="001D4790" w:rsidRPr="003E17D3" w:rsidRDefault="001D4790" w:rsidP="00111AAA">
      <w:pPr>
        <w:spacing w:line="276" w:lineRule="auto"/>
        <w:ind w:right="-93" w:firstLine="705"/>
        <w:jc w:val="both"/>
        <w:rPr>
          <w:rFonts w:ascii="Arial" w:eastAsia="Calibri" w:hAnsi="Arial" w:cs="Arial"/>
          <w:color w:val="000000" w:themeColor="text1"/>
          <w:sz w:val="22"/>
        </w:rPr>
      </w:pPr>
      <w:r w:rsidRPr="003E17D3">
        <w:rPr>
          <w:rFonts w:ascii="Arial" w:eastAsia="Calibri" w:hAnsi="Arial" w:cs="Arial"/>
          <w:color w:val="000000" w:themeColor="text1"/>
          <w:sz w:val="22"/>
        </w:rPr>
        <w:t>El único funcionario con competencia para expedir la autorización de que trata el artículo 2.8.4.4.5 del Decreto 1068 de 2015 es el Ministro del Despacho, por ser el jefe y representante legal de la entidad. No obstante, el Ministro puede delegar esa función en un servidor del nivel directivo o ejecutivo.</w:t>
      </w:r>
    </w:p>
    <w:p w14:paraId="21322306" w14:textId="77777777" w:rsidR="00A973C9" w:rsidRPr="00111AAA" w:rsidRDefault="00A973C9" w:rsidP="00111AAA">
      <w:pPr>
        <w:spacing w:line="276" w:lineRule="auto"/>
        <w:jc w:val="both"/>
        <w:rPr>
          <w:rFonts w:ascii="Arial" w:eastAsia="Calibri" w:hAnsi="Arial" w:cs="Arial"/>
          <w:color w:val="000000" w:themeColor="text1"/>
          <w:sz w:val="16"/>
          <w:szCs w:val="16"/>
        </w:rPr>
      </w:pPr>
    </w:p>
    <w:p w14:paraId="0DBA7373" w14:textId="77777777" w:rsidR="003A0A45" w:rsidRPr="003E17D3" w:rsidRDefault="003A0A45" w:rsidP="00111AAA">
      <w:pPr>
        <w:spacing w:line="276" w:lineRule="auto"/>
        <w:ind w:firstLine="708"/>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6B589E47" w14:textId="04E165CC" w:rsidR="003A0A45" w:rsidRPr="003E17D3" w:rsidRDefault="003A0A45" w:rsidP="002863AA">
      <w:pPr>
        <w:spacing w:before="120" w:after="120"/>
        <w:jc w:val="both"/>
        <w:rPr>
          <w:rFonts w:ascii="Arial" w:eastAsia="Times New Roman" w:hAnsi="Arial" w:cs="Arial"/>
          <w:color w:val="000000" w:themeColor="text1"/>
          <w:sz w:val="22"/>
          <w:lang w:eastAsia="es-CO"/>
        </w:rPr>
      </w:pPr>
      <w:r w:rsidRPr="003E17D3">
        <w:rPr>
          <w:rFonts w:ascii="Arial" w:eastAsia="Calibri" w:hAnsi="Arial" w:cs="Arial"/>
          <w:noProof/>
          <w:color w:val="000000" w:themeColor="text1"/>
          <w:sz w:val="22"/>
          <w:lang w:val="en-US"/>
        </w:rPr>
        <mc:AlternateContent>
          <mc:Choice Requires="wps">
            <w:drawing>
              <wp:anchor distT="0" distB="0" distL="114300" distR="114300" simplePos="0" relativeHeight="251658752" behindDoc="0" locked="0" layoutInCell="1" allowOverlap="1" wp14:anchorId="0A60C264" wp14:editId="3D0E3CE9">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EF74C4A">
              <v:line id="Conector recto 5"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6037DE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r w:rsidRPr="003E17D3">
        <w:rPr>
          <w:rFonts w:ascii="Arial" w:eastAsia="Times New Roman" w:hAnsi="Arial" w:cs="Arial"/>
          <w:color w:val="000000" w:themeColor="text1"/>
          <w:sz w:val="22"/>
          <w:lang w:eastAsia="es-CO"/>
        </w:rPr>
        <w:t>Atentamente,</w:t>
      </w:r>
    </w:p>
    <w:p w14:paraId="41BCFDC8" w14:textId="708896A4" w:rsidR="003A0A45" w:rsidRPr="003E17D3" w:rsidRDefault="00111AAA" w:rsidP="002863AA">
      <w:pPr>
        <w:spacing w:before="120" w:after="120"/>
        <w:jc w:val="center"/>
        <w:rPr>
          <w:rFonts w:ascii="Arial" w:eastAsia="Times New Roman" w:hAnsi="Arial" w:cs="Arial"/>
          <w:color w:val="000000" w:themeColor="text1"/>
          <w:sz w:val="22"/>
          <w:lang w:eastAsia="es-CO"/>
        </w:rPr>
      </w:pPr>
      <w:r>
        <w:rPr>
          <w:noProof/>
          <w:lang w:val="en-US"/>
        </w:rPr>
        <w:drawing>
          <wp:inline distT="0" distB="0" distL="0" distR="0" wp14:anchorId="43080677" wp14:editId="25ECEADC">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17D3" w:rsidRPr="003E17D3" w14:paraId="29396663" w14:textId="77777777" w:rsidTr="00FE42ED">
        <w:trPr>
          <w:trHeight w:val="315"/>
        </w:trPr>
        <w:tc>
          <w:tcPr>
            <w:tcW w:w="812" w:type="dxa"/>
            <w:vAlign w:val="center"/>
          </w:tcPr>
          <w:p w14:paraId="6F0CAE6B" w14:textId="77777777"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079976C0" w:rsidR="00FE42ED" w:rsidRPr="003E17D3" w:rsidRDefault="003A0A45"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Leider Gómez Caballero</w:t>
            </w:r>
          </w:p>
          <w:p w14:paraId="2103C8C1" w14:textId="7B9985BB" w:rsidR="00FE42ED" w:rsidRPr="003E17D3" w:rsidRDefault="003A0A45"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Contratista</w:t>
            </w:r>
          </w:p>
        </w:tc>
      </w:tr>
      <w:tr w:rsidR="003E17D3" w:rsidRPr="003E17D3" w14:paraId="5E7F46A1" w14:textId="77777777" w:rsidTr="00FE42ED">
        <w:trPr>
          <w:trHeight w:val="330"/>
        </w:trPr>
        <w:tc>
          <w:tcPr>
            <w:tcW w:w="812" w:type="dxa"/>
            <w:vAlign w:val="center"/>
          </w:tcPr>
          <w:p w14:paraId="1A19A861" w14:textId="77777777"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77777777"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Fabián Gonzalo Marín Cortés</w:t>
            </w:r>
          </w:p>
          <w:p w14:paraId="45335CE3" w14:textId="6FBD5087"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Subdirector de Gestión Contractual</w:t>
            </w:r>
          </w:p>
        </w:tc>
      </w:tr>
      <w:tr w:rsidR="008217B7" w:rsidRPr="003E17D3" w14:paraId="791C214B" w14:textId="77777777" w:rsidTr="00FE42ED">
        <w:trPr>
          <w:trHeight w:val="300"/>
        </w:trPr>
        <w:tc>
          <w:tcPr>
            <w:tcW w:w="812" w:type="dxa"/>
            <w:vAlign w:val="center"/>
          </w:tcPr>
          <w:p w14:paraId="53C58A58" w14:textId="77777777"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Fabián Gonzalo Marín Cortés</w:t>
            </w:r>
          </w:p>
          <w:p w14:paraId="65654530" w14:textId="12CFE913" w:rsidR="00FE42ED" w:rsidRPr="003E17D3" w:rsidRDefault="00FE42ED" w:rsidP="00111AAA">
            <w:pPr>
              <w:jc w:val="both"/>
              <w:rPr>
                <w:rFonts w:ascii="Arial" w:eastAsia="Times New Roman" w:hAnsi="Arial" w:cs="Arial"/>
                <w:color w:val="000000" w:themeColor="text1"/>
                <w:sz w:val="16"/>
                <w:szCs w:val="16"/>
                <w:lang w:eastAsia="es-ES"/>
              </w:rPr>
            </w:pPr>
            <w:r w:rsidRPr="003E17D3">
              <w:rPr>
                <w:rFonts w:ascii="Arial" w:eastAsia="Times New Roman" w:hAnsi="Arial" w:cs="Arial"/>
                <w:color w:val="000000" w:themeColor="text1"/>
                <w:sz w:val="16"/>
                <w:szCs w:val="16"/>
                <w:lang w:eastAsia="es-ES"/>
              </w:rPr>
              <w:t>Subdirector de Gestión Contractual</w:t>
            </w:r>
          </w:p>
        </w:tc>
      </w:tr>
    </w:tbl>
    <w:p w14:paraId="7EBF297E" w14:textId="5790A9B7" w:rsidR="007B0854" w:rsidRPr="003E17D3" w:rsidRDefault="007B0854" w:rsidP="002863AA">
      <w:pPr>
        <w:spacing w:before="120" w:after="120" w:line="276" w:lineRule="auto"/>
        <w:jc w:val="both"/>
        <w:rPr>
          <w:rFonts w:ascii="Arial" w:eastAsia="Times New Roman" w:hAnsi="Arial" w:cs="Arial"/>
          <w:color w:val="000000" w:themeColor="text1"/>
          <w:sz w:val="18"/>
          <w:szCs w:val="18"/>
          <w:lang w:val="es-ES_tradnl" w:eastAsia="es-CO"/>
        </w:rPr>
      </w:pPr>
    </w:p>
    <w:sectPr w:rsidR="007B0854" w:rsidRPr="003E17D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916FC" w14:textId="77777777" w:rsidR="00A2566B" w:rsidRDefault="00A2566B">
      <w:r>
        <w:separator/>
      </w:r>
    </w:p>
  </w:endnote>
  <w:endnote w:type="continuationSeparator" w:id="0">
    <w:p w14:paraId="3817F9BE" w14:textId="77777777" w:rsidR="00A2566B" w:rsidRDefault="00A2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8315" w14:textId="77777777" w:rsidR="00EB260A" w:rsidRDefault="00EB260A" w:rsidP="00FE42ED">
    <w:pPr>
      <w:pStyle w:val="Piedepgina"/>
      <w:jc w:val="right"/>
      <w:rPr>
        <w:rFonts w:ascii="Arial" w:hAnsi="Arial" w:cs="Arial"/>
        <w:bCs/>
        <w:color w:val="7F7F7F" w:themeColor="text1" w:themeTint="80"/>
        <w:sz w:val="16"/>
        <w:szCs w:val="16"/>
      </w:rPr>
    </w:pPr>
  </w:p>
  <w:p w14:paraId="7A3785F3" w14:textId="290467A6" w:rsidR="00880E13" w:rsidRPr="008217B7" w:rsidRDefault="00880E1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B4F2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B4F2C">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48FC6A04" w14:textId="46B1675E" w:rsidR="00880E13" w:rsidRDefault="2A2D633F" w:rsidP="00322937">
    <w:pPr>
      <w:pStyle w:val="Piedepgina"/>
      <w:jc w:val="center"/>
      <w:rPr>
        <w:lang w:val="es-ES"/>
      </w:rPr>
    </w:pPr>
    <w:r>
      <w:rPr>
        <w:noProof/>
        <w:lang w:val="en-US"/>
      </w:rPr>
      <w:drawing>
        <wp:inline distT="0" distB="0" distL="0" distR="0" wp14:anchorId="608B196D" wp14:editId="343D861C">
          <wp:extent cx="3700130" cy="519139"/>
          <wp:effectExtent l="0" t="0" r="0" b="0"/>
          <wp:docPr id="12959715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D7491F" w14:textId="77777777" w:rsidR="006119A7" w:rsidRDefault="006119A7" w:rsidP="0032293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57859" w14:textId="77777777" w:rsidR="00A2566B" w:rsidRDefault="00A2566B">
      <w:r>
        <w:separator/>
      </w:r>
    </w:p>
  </w:footnote>
  <w:footnote w:type="continuationSeparator" w:id="0">
    <w:p w14:paraId="3ABCED47" w14:textId="77777777" w:rsidR="00A2566B" w:rsidRDefault="00A2566B">
      <w:r>
        <w:continuationSeparator/>
      </w:r>
    </w:p>
  </w:footnote>
  <w:footnote w:id="1">
    <w:p w14:paraId="51BE9CBD" w14:textId="11071FB2" w:rsidR="00880E13" w:rsidRPr="003E17D3" w:rsidRDefault="00880E13" w:rsidP="00331D78">
      <w:pPr>
        <w:pStyle w:val="Textoindependiente"/>
        <w:ind w:right="534" w:firstLine="808"/>
        <w:jc w:val="both"/>
        <w:rPr>
          <w:i w:val="0"/>
          <w:iCs/>
          <w:color w:val="000000" w:themeColor="text1"/>
          <w:sz w:val="19"/>
          <w:szCs w:val="19"/>
        </w:rPr>
      </w:pPr>
      <w:r w:rsidRPr="003E17D3">
        <w:rPr>
          <w:rStyle w:val="Refdenotaalpie"/>
          <w:i w:val="0"/>
          <w:iCs/>
          <w:color w:val="000000" w:themeColor="text1"/>
          <w:sz w:val="19"/>
          <w:szCs w:val="19"/>
        </w:rPr>
        <w:footnoteRef/>
      </w:r>
      <w:r w:rsidRPr="003E17D3">
        <w:rPr>
          <w:i w:val="0"/>
          <w:iCs/>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14:paraId="188FD14F" w14:textId="5B3785A5" w:rsidR="00880E13" w:rsidRPr="003E17D3" w:rsidRDefault="00880E13" w:rsidP="00331D78">
      <w:pPr>
        <w:pStyle w:val="Textoindependiente"/>
        <w:spacing w:before="1"/>
        <w:ind w:left="808"/>
        <w:jc w:val="both"/>
        <w:rPr>
          <w:i w:val="0"/>
          <w:iCs/>
          <w:color w:val="000000" w:themeColor="text1"/>
          <w:sz w:val="19"/>
          <w:szCs w:val="19"/>
        </w:rPr>
      </w:pPr>
      <w:r w:rsidRPr="003E17D3">
        <w:rPr>
          <w:i w:val="0"/>
          <w:iCs/>
          <w:color w:val="000000" w:themeColor="text1"/>
          <w:sz w:val="19"/>
          <w:szCs w:val="19"/>
        </w:rPr>
        <w:t>[…]</w:t>
      </w:r>
    </w:p>
    <w:p w14:paraId="605D8496" w14:textId="721B0487" w:rsidR="00880E13" w:rsidRPr="003E17D3" w:rsidRDefault="00880E13" w:rsidP="00331D78">
      <w:pPr>
        <w:pStyle w:val="Textoindependiente"/>
        <w:ind w:firstLine="808"/>
        <w:jc w:val="both"/>
        <w:rPr>
          <w:i w:val="0"/>
          <w:iCs/>
          <w:color w:val="000000" w:themeColor="text1"/>
          <w:sz w:val="19"/>
          <w:szCs w:val="19"/>
        </w:rPr>
      </w:pPr>
      <w:r w:rsidRPr="003E17D3">
        <w:rPr>
          <w:i w:val="0"/>
          <w:iCs/>
          <w:color w:val="000000" w:themeColor="text1"/>
          <w:sz w:val="19"/>
          <w:szCs w:val="19"/>
        </w:rPr>
        <w:t>»4. Contratación directa. La modalidad de selección de contratación directa solamente procederá en los siguientes casos:</w:t>
      </w:r>
    </w:p>
    <w:p w14:paraId="7EB453DE" w14:textId="00B71E27" w:rsidR="00880E13" w:rsidRPr="003E17D3" w:rsidRDefault="00880E13" w:rsidP="00331D78">
      <w:pPr>
        <w:pStyle w:val="Textoindependiente"/>
        <w:ind w:left="808"/>
        <w:jc w:val="both"/>
        <w:rPr>
          <w:i w:val="0"/>
          <w:iCs/>
          <w:color w:val="000000" w:themeColor="text1"/>
          <w:sz w:val="19"/>
          <w:szCs w:val="19"/>
        </w:rPr>
      </w:pPr>
      <w:r w:rsidRPr="003E17D3">
        <w:rPr>
          <w:i w:val="0"/>
          <w:iCs/>
          <w:color w:val="000000" w:themeColor="text1"/>
          <w:sz w:val="19"/>
          <w:szCs w:val="19"/>
        </w:rPr>
        <w:t>[…]</w:t>
      </w:r>
    </w:p>
    <w:p w14:paraId="670262A2" w14:textId="10E51292" w:rsidR="00880E13" w:rsidRPr="003E17D3" w:rsidRDefault="00880E13" w:rsidP="00331D78">
      <w:pPr>
        <w:pStyle w:val="Textoindependiente"/>
        <w:ind w:right="537" w:firstLine="808"/>
        <w:jc w:val="both"/>
        <w:rPr>
          <w:i w:val="0"/>
          <w:iCs/>
          <w:color w:val="000000" w:themeColor="text1"/>
          <w:sz w:val="19"/>
          <w:szCs w:val="19"/>
        </w:rPr>
      </w:pPr>
      <w:r w:rsidRPr="003E17D3">
        <w:rPr>
          <w:i w:val="0"/>
          <w:iCs/>
          <w:color w:val="000000" w:themeColor="text1"/>
          <w:sz w:val="19"/>
          <w:szCs w:val="19"/>
        </w:rPr>
        <w:t>»h) Para la prestación de servicios profesionales y de apoyo a la gestión, o para la ejecución de trabajos artísticos que sólo puedan encomendarse a determinadas personas naturales; […]».</w:t>
      </w:r>
    </w:p>
    <w:p w14:paraId="3A52C78F" w14:textId="6ABF4755" w:rsidR="00880E13" w:rsidRPr="003E17D3" w:rsidRDefault="00880E13" w:rsidP="00331D78">
      <w:pPr>
        <w:pStyle w:val="Textonotapie"/>
        <w:ind w:firstLine="708"/>
        <w:jc w:val="both"/>
        <w:rPr>
          <w:iCs/>
          <w:color w:val="000000" w:themeColor="text1"/>
          <w:sz w:val="19"/>
          <w:szCs w:val="19"/>
          <w:lang w:val="es-ES"/>
        </w:rPr>
      </w:pPr>
    </w:p>
  </w:footnote>
  <w:footnote w:id="2">
    <w:p w14:paraId="5EA2A230" w14:textId="1AFAC63E" w:rsidR="00880E13" w:rsidRPr="003E17D3" w:rsidRDefault="00880E13" w:rsidP="006679C0">
      <w:pPr>
        <w:pStyle w:val="Textonotapie"/>
        <w:ind w:firstLine="708"/>
        <w:jc w:val="both"/>
        <w:rPr>
          <w:color w:val="000000" w:themeColor="text1"/>
        </w:rPr>
      </w:pPr>
      <w:r w:rsidRPr="003E17D3">
        <w:rPr>
          <w:rStyle w:val="Refdenotaalpie"/>
          <w:color w:val="000000" w:themeColor="text1"/>
        </w:rPr>
        <w:footnoteRef/>
      </w:r>
      <w:r w:rsidRPr="003E17D3">
        <w:rPr>
          <w:color w:val="000000" w:themeColor="text1"/>
        </w:rPr>
        <w:t xml:space="preserve"> </w:t>
      </w:r>
      <w:r w:rsidRPr="003E17D3">
        <w:rPr>
          <w:rFonts w:ascii="Arial" w:eastAsia="Arial" w:hAnsi="Arial" w:cs="Arial"/>
          <w:iCs/>
          <w:color w:val="000000" w:themeColor="text1"/>
          <w:sz w:val="19"/>
          <w:szCs w:val="19"/>
          <w:lang w:val="es-ES" w:eastAsia="es-ES" w:bidi="es-ES"/>
        </w:rPr>
        <w:t>Consejo de Estado. Sala de lo Contencioso Administrativo, Sección Tercera, sentencia del 2 de diciembre de 2013, Rad. 41.719. C.P. Jaime Orlando Santofimio.</w:t>
      </w:r>
      <w:r w:rsidRPr="003E17D3">
        <w:rPr>
          <w:color w:val="000000" w:themeColor="text1"/>
        </w:rPr>
        <w:t xml:space="preserve"> </w:t>
      </w:r>
    </w:p>
    <w:p w14:paraId="2193F1B2" w14:textId="77777777" w:rsidR="00880E13" w:rsidRPr="003E17D3" w:rsidRDefault="00880E13" w:rsidP="006679C0">
      <w:pPr>
        <w:pStyle w:val="Textonotapie"/>
        <w:ind w:firstLine="708"/>
        <w:jc w:val="both"/>
        <w:rPr>
          <w:color w:val="000000" w:themeColor="text1"/>
          <w:lang w:val="es-ES"/>
        </w:rPr>
      </w:pPr>
    </w:p>
  </w:footnote>
  <w:footnote w:id="3">
    <w:p w14:paraId="062CC553" w14:textId="77777777" w:rsidR="001D4790" w:rsidRPr="003E17D3" w:rsidRDefault="001D4790" w:rsidP="001D4790">
      <w:pPr>
        <w:pStyle w:val="Prrafodelista"/>
        <w:widowControl w:val="0"/>
        <w:tabs>
          <w:tab w:val="left" w:pos="426"/>
        </w:tabs>
        <w:autoSpaceDE w:val="0"/>
        <w:autoSpaceDN w:val="0"/>
        <w:spacing w:before="1"/>
        <w:ind w:left="0" w:right="104" w:firstLine="385"/>
        <w:contextualSpacing w:val="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ab/>
      </w:r>
      <w:r w:rsidRPr="003E17D3">
        <w:rPr>
          <w:rFonts w:ascii="Arial" w:eastAsia="Arial" w:hAnsi="Arial" w:cs="Arial"/>
          <w:iCs/>
          <w:color w:val="000000" w:themeColor="text1"/>
          <w:sz w:val="19"/>
          <w:szCs w:val="19"/>
          <w:lang w:val="es-ES" w:eastAsia="es-ES" w:bidi="es-ES"/>
        </w:rPr>
        <w:tab/>
      </w:r>
      <w:r w:rsidRPr="003E17D3">
        <w:rPr>
          <w:rStyle w:val="Refdenotaalpie"/>
          <w:color w:val="000000" w:themeColor="text1"/>
        </w:rPr>
        <w:footnoteRef/>
      </w:r>
      <w:r w:rsidRPr="003E17D3">
        <w:rPr>
          <w:rFonts w:ascii="Arial" w:eastAsia="Arial" w:hAnsi="Arial" w:cs="Arial"/>
          <w:iCs/>
          <w:color w:val="000000" w:themeColor="text1"/>
          <w:sz w:val="19"/>
          <w:szCs w:val="19"/>
          <w:lang w:val="es-ES" w:eastAsia="es-ES" w:bidi="es-ES"/>
        </w:rPr>
        <w:t xml:space="preserve">«Articulo 41. Del perfeccionamiento del Contrato. Los contratos del Estado se perfeccionan cuando se logre acuerdo sobre el objeto y la contraprestación y éste se eleve a escrito». </w:t>
      </w:r>
    </w:p>
    <w:p w14:paraId="7E9AAEEE" w14:textId="77777777" w:rsidR="001D4790" w:rsidRPr="003E17D3" w:rsidRDefault="001D4790" w:rsidP="001D4790">
      <w:pPr>
        <w:pStyle w:val="Textonotapie"/>
        <w:ind w:firstLine="708"/>
        <w:rPr>
          <w:color w:val="000000" w:themeColor="text1"/>
          <w:lang w:val="es-ES"/>
        </w:rPr>
      </w:pPr>
    </w:p>
  </w:footnote>
  <w:footnote w:id="4">
    <w:p w14:paraId="4F5C6F60" w14:textId="77777777" w:rsidR="00B163F7" w:rsidRPr="003E17D3" w:rsidRDefault="00B163F7" w:rsidP="00B163F7">
      <w:pPr>
        <w:pStyle w:val="NormalWeb"/>
        <w:spacing w:before="0" w:beforeAutospacing="0" w:after="0" w:afterAutospacing="0"/>
        <w:ind w:firstLine="708"/>
        <w:jc w:val="both"/>
        <w:rPr>
          <w:rFonts w:ascii="Arial" w:eastAsia="Arial" w:hAnsi="Arial" w:cs="Arial"/>
          <w:iCs/>
          <w:color w:val="000000" w:themeColor="text1"/>
          <w:sz w:val="19"/>
          <w:szCs w:val="19"/>
          <w:lang w:val="es-ES" w:eastAsia="es-ES" w:bidi="es-ES"/>
        </w:rPr>
      </w:pPr>
      <w:r w:rsidRPr="003E17D3">
        <w:rPr>
          <w:rStyle w:val="Refdenotaalpie"/>
          <w:color w:val="000000" w:themeColor="text1"/>
          <w:sz w:val="20"/>
          <w:szCs w:val="20"/>
        </w:rPr>
        <w:footnoteRef/>
      </w:r>
      <w:r w:rsidRPr="003E17D3">
        <w:rPr>
          <w:color w:val="000000" w:themeColor="text1"/>
        </w:rPr>
        <w:t xml:space="preserve"> </w:t>
      </w:r>
      <w:r w:rsidRPr="003E17D3">
        <w:rPr>
          <w:rFonts w:ascii="Arial" w:eastAsia="Arial" w:hAnsi="Arial" w:cs="Arial"/>
          <w:iCs/>
          <w:color w:val="000000" w:themeColor="text1"/>
          <w:sz w:val="19"/>
          <w:szCs w:val="19"/>
          <w:lang w:val="es-ES" w:eastAsia="es-ES" w:bidi="es-ES"/>
        </w:rPr>
        <w:t>Ley 80 de 1993. «ARTICULO 2o. DE LA DEFINICION DE ENTIDADES, SERVIDORES Y SERVICIOS PUBLICOS. Para los solos efectos de esta ley: </w:t>
      </w:r>
    </w:p>
    <w:p w14:paraId="2829860D" w14:textId="77777777" w:rsidR="00B163F7" w:rsidRPr="003E17D3" w:rsidRDefault="00B163F7" w:rsidP="00B163F7">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»1o. Se denominan entidades estatales: </w:t>
      </w:r>
    </w:p>
    <w:p w14:paraId="5C0861D5" w14:textId="77777777" w:rsidR="00B163F7" w:rsidRPr="003E17D3" w:rsidRDefault="00B163F7" w:rsidP="00B163F7">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489E22A9" w14:textId="77777777" w:rsidR="00B163F7" w:rsidRPr="003E17D3" w:rsidRDefault="00B163F7" w:rsidP="00B163F7">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 </w:t>
      </w:r>
    </w:p>
    <w:p w14:paraId="75A49804" w14:textId="77777777" w:rsidR="00B163F7" w:rsidRPr="003E17D3" w:rsidRDefault="00B163F7" w:rsidP="00B163F7">
      <w:pPr>
        <w:pStyle w:val="Textonotapie"/>
        <w:ind w:firstLine="708"/>
        <w:rPr>
          <w:color w:val="000000" w:themeColor="text1"/>
          <w:lang w:val="es-ES"/>
        </w:rPr>
      </w:pPr>
    </w:p>
  </w:footnote>
  <w:footnote w:id="5">
    <w:p w14:paraId="3149756A" w14:textId="55C39246" w:rsidR="008817C0" w:rsidRPr="003E17D3" w:rsidRDefault="008817C0" w:rsidP="008817C0">
      <w:pPr>
        <w:pStyle w:val="NormalWeb"/>
        <w:spacing w:before="0" w:beforeAutospacing="0" w:after="0" w:afterAutospacing="0"/>
        <w:ind w:firstLine="708"/>
        <w:jc w:val="both"/>
        <w:rPr>
          <w:rFonts w:ascii="Arial" w:eastAsia="Arial" w:hAnsi="Arial" w:cs="Arial"/>
          <w:iCs/>
          <w:color w:val="000000" w:themeColor="text1"/>
          <w:sz w:val="19"/>
          <w:szCs w:val="19"/>
          <w:lang w:val="es-ES" w:eastAsia="es-ES" w:bidi="es-ES"/>
        </w:rPr>
      </w:pPr>
      <w:r w:rsidRPr="003E17D3">
        <w:rPr>
          <w:rStyle w:val="Refdenotaalpie"/>
          <w:color w:val="000000" w:themeColor="text1"/>
        </w:rPr>
        <w:footnoteRef/>
      </w:r>
      <w:r w:rsidRPr="003E17D3">
        <w:rPr>
          <w:color w:val="000000" w:themeColor="text1"/>
        </w:rPr>
        <w:t xml:space="preserve"> </w:t>
      </w:r>
      <w:r w:rsidRPr="003E17D3">
        <w:rPr>
          <w:rFonts w:ascii="Arial" w:eastAsia="Arial" w:hAnsi="Arial" w:cs="Arial"/>
          <w:iCs/>
          <w:color w:val="000000" w:themeColor="text1"/>
          <w:sz w:val="19"/>
          <w:szCs w:val="19"/>
          <w:lang w:val="es-ES" w:eastAsia="es-ES" w:bidi="es-ES"/>
        </w:rPr>
        <w:t>Ley 80 de 1993. «Art. 11. […] 3o. Tienen competencia para celebrar contratos a nombre de la entidad respectiva: </w:t>
      </w:r>
    </w:p>
    <w:p w14:paraId="6E21F7CD" w14:textId="0F72ABB5" w:rsidR="008817C0" w:rsidRPr="003E17D3" w:rsidRDefault="008817C0" w:rsidP="008817C0">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47DAF995" w14:textId="3D31EA83" w:rsidR="008817C0" w:rsidRPr="003E17D3" w:rsidRDefault="008817C0" w:rsidP="008817C0">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0D721E5C" w14:textId="70BA26DB" w:rsidR="008817C0" w:rsidRPr="003E17D3" w:rsidRDefault="008817C0" w:rsidP="008817C0">
      <w:pPr>
        <w:pStyle w:val="NormalWeb"/>
        <w:spacing w:before="0" w:beforeAutospacing="0" w:after="0" w:afterAutospacing="0"/>
        <w:jc w:val="both"/>
        <w:rPr>
          <w:rFonts w:ascii="Arial" w:eastAsia="Arial" w:hAnsi="Arial" w:cs="Arial"/>
          <w:iCs/>
          <w:color w:val="000000" w:themeColor="text1"/>
          <w:sz w:val="19"/>
          <w:szCs w:val="19"/>
          <w:lang w:val="es-ES" w:eastAsia="es-ES" w:bidi="es-ES"/>
        </w:rPr>
      </w:pPr>
      <w:r w:rsidRPr="003E17D3">
        <w:rPr>
          <w:rFonts w:ascii="Arial" w:eastAsia="Arial" w:hAnsi="Arial" w:cs="Arial"/>
          <w:iCs/>
          <w:color w:val="000000" w:themeColor="text1"/>
          <w:sz w:val="19"/>
          <w:szCs w:val="19"/>
          <w:lang w:val="es-ES" w:eastAsia="es-ES" w:bidi="es-ES"/>
        </w:rPr>
        <w:t>  </w:t>
      </w:r>
      <w:r w:rsidRPr="003E17D3">
        <w:rPr>
          <w:rFonts w:ascii="Arial" w:eastAsia="Arial" w:hAnsi="Arial" w:cs="Arial"/>
          <w:iCs/>
          <w:color w:val="000000" w:themeColor="text1"/>
          <w:sz w:val="19"/>
          <w:szCs w:val="19"/>
          <w:lang w:val="es-ES" w:eastAsia="es-ES" w:bidi="es-ES"/>
        </w:rPr>
        <w:tab/>
        <w:t>»c) Los representantes legales de las entidades descentralizadas en todos los órdenes y niveles». </w:t>
      </w:r>
    </w:p>
    <w:p w14:paraId="34FB1833" w14:textId="4B62D551" w:rsidR="008817C0" w:rsidRPr="008817C0" w:rsidRDefault="008817C0" w:rsidP="008817C0">
      <w:pPr>
        <w:pStyle w:val="Textonotapie"/>
        <w:ind w:firstLine="708"/>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880E13" w:rsidRDefault="00880E13">
    <w:pPr>
      <w:pStyle w:val="Encabezado"/>
    </w:pPr>
    <w:r>
      <w:rPr>
        <w:noProof/>
        <w:lang w:val="en-US"/>
      </w:rPr>
      <w:drawing>
        <wp:anchor distT="0" distB="0" distL="114300" distR="114300" simplePos="0" relativeHeight="251661312" behindDoc="1" locked="0" layoutInCell="1" allowOverlap="1" wp14:anchorId="1A706351" wp14:editId="1314B5C4">
          <wp:simplePos x="0" y="0"/>
          <wp:positionH relativeFrom="margin">
            <wp:align>right</wp:align>
          </wp:positionH>
          <wp:positionV relativeFrom="paragraph">
            <wp:posOffset>466697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435E"/>
    <w:multiLevelType w:val="hybridMultilevel"/>
    <w:tmpl w:val="7994BA54"/>
    <w:lvl w:ilvl="0" w:tplc="A2E836F6">
      <w:start w:val="2"/>
      <w:numFmt w:val="decimalZero"/>
      <w:lvlText w:val="%1"/>
      <w:lvlJc w:val="left"/>
      <w:pPr>
        <w:ind w:left="1085" w:hanging="278"/>
      </w:pPr>
      <w:rPr>
        <w:rFonts w:ascii="Arial" w:eastAsia="Arial" w:hAnsi="Arial" w:cs="Arial" w:hint="default"/>
        <w:i/>
        <w:spacing w:val="-2"/>
        <w:w w:val="100"/>
        <w:sz w:val="20"/>
        <w:szCs w:val="20"/>
        <w:lang w:val="es-ES" w:eastAsia="es-ES" w:bidi="es-ES"/>
      </w:rPr>
    </w:lvl>
    <w:lvl w:ilvl="1" w:tplc="057CDE6C">
      <w:numFmt w:val="bullet"/>
      <w:lvlText w:val="•"/>
      <w:lvlJc w:val="left"/>
      <w:pPr>
        <w:ind w:left="1886" w:hanging="278"/>
      </w:pPr>
      <w:rPr>
        <w:rFonts w:hint="default"/>
        <w:lang w:val="es-ES" w:eastAsia="es-ES" w:bidi="es-ES"/>
      </w:rPr>
    </w:lvl>
    <w:lvl w:ilvl="2" w:tplc="630C2178">
      <w:numFmt w:val="bullet"/>
      <w:lvlText w:val="•"/>
      <w:lvlJc w:val="left"/>
      <w:pPr>
        <w:ind w:left="2692" w:hanging="278"/>
      </w:pPr>
      <w:rPr>
        <w:rFonts w:hint="default"/>
        <w:lang w:val="es-ES" w:eastAsia="es-ES" w:bidi="es-ES"/>
      </w:rPr>
    </w:lvl>
    <w:lvl w:ilvl="3" w:tplc="3C645CFE">
      <w:numFmt w:val="bullet"/>
      <w:lvlText w:val="•"/>
      <w:lvlJc w:val="left"/>
      <w:pPr>
        <w:ind w:left="3498" w:hanging="278"/>
      </w:pPr>
      <w:rPr>
        <w:rFonts w:hint="default"/>
        <w:lang w:val="es-ES" w:eastAsia="es-ES" w:bidi="es-ES"/>
      </w:rPr>
    </w:lvl>
    <w:lvl w:ilvl="4" w:tplc="0DBAFD80">
      <w:numFmt w:val="bullet"/>
      <w:lvlText w:val="•"/>
      <w:lvlJc w:val="left"/>
      <w:pPr>
        <w:ind w:left="4304" w:hanging="278"/>
      </w:pPr>
      <w:rPr>
        <w:rFonts w:hint="default"/>
        <w:lang w:val="es-ES" w:eastAsia="es-ES" w:bidi="es-ES"/>
      </w:rPr>
    </w:lvl>
    <w:lvl w:ilvl="5" w:tplc="C9F687A8">
      <w:numFmt w:val="bullet"/>
      <w:lvlText w:val="•"/>
      <w:lvlJc w:val="left"/>
      <w:pPr>
        <w:ind w:left="5110" w:hanging="278"/>
      </w:pPr>
      <w:rPr>
        <w:rFonts w:hint="default"/>
        <w:lang w:val="es-ES" w:eastAsia="es-ES" w:bidi="es-ES"/>
      </w:rPr>
    </w:lvl>
    <w:lvl w:ilvl="6" w:tplc="9BA229D8">
      <w:numFmt w:val="bullet"/>
      <w:lvlText w:val="•"/>
      <w:lvlJc w:val="left"/>
      <w:pPr>
        <w:ind w:left="5916" w:hanging="278"/>
      </w:pPr>
      <w:rPr>
        <w:rFonts w:hint="default"/>
        <w:lang w:val="es-ES" w:eastAsia="es-ES" w:bidi="es-ES"/>
      </w:rPr>
    </w:lvl>
    <w:lvl w:ilvl="7" w:tplc="C0D44138">
      <w:numFmt w:val="bullet"/>
      <w:lvlText w:val="•"/>
      <w:lvlJc w:val="left"/>
      <w:pPr>
        <w:ind w:left="6722" w:hanging="278"/>
      </w:pPr>
      <w:rPr>
        <w:rFonts w:hint="default"/>
        <w:lang w:val="es-ES" w:eastAsia="es-ES" w:bidi="es-ES"/>
      </w:rPr>
    </w:lvl>
    <w:lvl w:ilvl="8" w:tplc="9108807A">
      <w:numFmt w:val="bullet"/>
      <w:lvlText w:val="•"/>
      <w:lvlJc w:val="left"/>
      <w:pPr>
        <w:ind w:left="7528" w:hanging="278"/>
      </w:pPr>
      <w:rPr>
        <w:rFonts w:hint="default"/>
        <w:lang w:val="es-ES" w:eastAsia="es-ES" w:bidi="es-ES"/>
      </w:rPr>
    </w:lvl>
  </w:abstractNum>
  <w:abstractNum w:abstractNumId="1"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2A06AC"/>
    <w:multiLevelType w:val="hybridMultilevel"/>
    <w:tmpl w:val="4DCAA834"/>
    <w:lvl w:ilvl="0" w:tplc="85720D9C">
      <w:start w:val="1"/>
      <w:numFmt w:val="decimalZero"/>
      <w:lvlText w:val="%1"/>
      <w:lvlJc w:val="left"/>
      <w:pPr>
        <w:ind w:left="1085" w:hanging="278"/>
      </w:pPr>
      <w:rPr>
        <w:rFonts w:ascii="Arial" w:eastAsia="Arial" w:hAnsi="Arial" w:cs="Arial" w:hint="default"/>
        <w:i/>
        <w:spacing w:val="-2"/>
        <w:w w:val="100"/>
        <w:sz w:val="20"/>
        <w:szCs w:val="20"/>
        <w:lang w:val="es-ES" w:eastAsia="es-ES" w:bidi="es-ES"/>
      </w:rPr>
    </w:lvl>
    <w:lvl w:ilvl="1" w:tplc="69BA88FA">
      <w:numFmt w:val="bullet"/>
      <w:lvlText w:val="•"/>
      <w:lvlJc w:val="left"/>
      <w:pPr>
        <w:ind w:left="1886" w:hanging="278"/>
      </w:pPr>
      <w:rPr>
        <w:rFonts w:hint="default"/>
        <w:lang w:val="es-ES" w:eastAsia="es-ES" w:bidi="es-ES"/>
      </w:rPr>
    </w:lvl>
    <w:lvl w:ilvl="2" w:tplc="72802380">
      <w:numFmt w:val="bullet"/>
      <w:lvlText w:val="•"/>
      <w:lvlJc w:val="left"/>
      <w:pPr>
        <w:ind w:left="2692" w:hanging="278"/>
      </w:pPr>
      <w:rPr>
        <w:rFonts w:hint="default"/>
        <w:lang w:val="es-ES" w:eastAsia="es-ES" w:bidi="es-ES"/>
      </w:rPr>
    </w:lvl>
    <w:lvl w:ilvl="3" w:tplc="4A180B06">
      <w:numFmt w:val="bullet"/>
      <w:lvlText w:val="•"/>
      <w:lvlJc w:val="left"/>
      <w:pPr>
        <w:ind w:left="3498" w:hanging="278"/>
      </w:pPr>
      <w:rPr>
        <w:rFonts w:hint="default"/>
        <w:lang w:val="es-ES" w:eastAsia="es-ES" w:bidi="es-ES"/>
      </w:rPr>
    </w:lvl>
    <w:lvl w:ilvl="4" w:tplc="597669B2">
      <w:numFmt w:val="bullet"/>
      <w:lvlText w:val="•"/>
      <w:lvlJc w:val="left"/>
      <w:pPr>
        <w:ind w:left="4304" w:hanging="278"/>
      </w:pPr>
      <w:rPr>
        <w:rFonts w:hint="default"/>
        <w:lang w:val="es-ES" w:eastAsia="es-ES" w:bidi="es-ES"/>
      </w:rPr>
    </w:lvl>
    <w:lvl w:ilvl="5" w:tplc="3ECED5F2">
      <w:numFmt w:val="bullet"/>
      <w:lvlText w:val="•"/>
      <w:lvlJc w:val="left"/>
      <w:pPr>
        <w:ind w:left="5110" w:hanging="278"/>
      </w:pPr>
      <w:rPr>
        <w:rFonts w:hint="default"/>
        <w:lang w:val="es-ES" w:eastAsia="es-ES" w:bidi="es-ES"/>
      </w:rPr>
    </w:lvl>
    <w:lvl w:ilvl="6" w:tplc="630EAE82">
      <w:numFmt w:val="bullet"/>
      <w:lvlText w:val="•"/>
      <w:lvlJc w:val="left"/>
      <w:pPr>
        <w:ind w:left="5916" w:hanging="278"/>
      </w:pPr>
      <w:rPr>
        <w:rFonts w:hint="default"/>
        <w:lang w:val="es-ES" w:eastAsia="es-ES" w:bidi="es-ES"/>
      </w:rPr>
    </w:lvl>
    <w:lvl w:ilvl="7" w:tplc="518CEB46">
      <w:numFmt w:val="bullet"/>
      <w:lvlText w:val="•"/>
      <w:lvlJc w:val="left"/>
      <w:pPr>
        <w:ind w:left="6722" w:hanging="278"/>
      </w:pPr>
      <w:rPr>
        <w:rFonts w:hint="default"/>
        <w:lang w:val="es-ES" w:eastAsia="es-ES" w:bidi="es-ES"/>
      </w:rPr>
    </w:lvl>
    <w:lvl w:ilvl="8" w:tplc="A1B4E19C">
      <w:numFmt w:val="bullet"/>
      <w:lvlText w:val="•"/>
      <w:lvlJc w:val="left"/>
      <w:pPr>
        <w:ind w:left="7528" w:hanging="278"/>
      </w:pPr>
      <w:rPr>
        <w:rFonts w:hint="default"/>
        <w:lang w:val="es-ES" w:eastAsia="es-ES" w:bidi="es-E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8057909"/>
    <w:multiLevelType w:val="multilevel"/>
    <w:tmpl w:val="DDCECAD0"/>
    <w:lvl w:ilvl="0">
      <w:start w:val="1"/>
      <w:numFmt w:val="decimal"/>
      <w:lvlText w:val="%1."/>
      <w:lvlJc w:val="left"/>
      <w:pPr>
        <w:ind w:left="320" w:hanging="220"/>
      </w:pPr>
      <w:rPr>
        <w:rFonts w:ascii="Arial" w:eastAsia="Arial" w:hAnsi="Arial" w:cs="Arial" w:hint="default"/>
        <w:b/>
        <w:bCs/>
        <w:color w:val="4E4D4D"/>
        <w:spacing w:val="-2"/>
        <w:w w:val="100"/>
        <w:sz w:val="20"/>
        <w:szCs w:val="20"/>
        <w:lang w:val="es-ES" w:eastAsia="es-ES" w:bidi="es-ES"/>
      </w:rPr>
    </w:lvl>
    <w:lvl w:ilvl="1">
      <w:start w:val="1"/>
      <w:numFmt w:val="decimal"/>
      <w:lvlText w:val="%2"/>
      <w:lvlJc w:val="left"/>
      <w:pPr>
        <w:ind w:left="100" w:hanging="180"/>
      </w:pPr>
      <w:rPr>
        <w:rFonts w:hint="default"/>
        <w:spacing w:val="-4"/>
        <w:w w:val="100"/>
        <w:lang w:val="es-ES" w:eastAsia="es-ES" w:bidi="es-ES"/>
      </w:rPr>
    </w:lvl>
    <w:lvl w:ilvl="2">
      <w:start w:val="1"/>
      <w:numFmt w:val="decimal"/>
      <w:lvlText w:val="%3."/>
      <w:lvlJc w:val="left"/>
      <w:pPr>
        <w:ind w:left="1028" w:hanging="221"/>
      </w:pPr>
      <w:rPr>
        <w:rFonts w:ascii="Arial" w:eastAsia="Arial" w:hAnsi="Arial" w:cs="Arial" w:hint="default"/>
        <w:i/>
        <w:color w:val="4E4D4D"/>
        <w:spacing w:val="-2"/>
        <w:w w:val="100"/>
        <w:sz w:val="20"/>
        <w:szCs w:val="20"/>
        <w:lang w:val="es-ES" w:eastAsia="es-ES" w:bidi="es-ES"/>
      </w:rPr>
    </w:lvl>
    <w:lvl w:ilvl="3">
      <w:start w:val="1"/>
      <w:numFmt w:val="decimal"/>
      <w:lvlText w:val="%3.%4."/>
      <w:lvlJc w:val="left"/>
      <w:pPr>
        <w:ind w:left="1195" w:hanging="388"/>
      </w:pPr>
      <w:rPr>
        <w:rFonts w:ascii="Arial" w:eastAsia="Arial" w:hAnsi="Arial" w:cs="Arial" w:hint="default"/>
        <w:i/>
        <w:color w:val="4E4D4D"/>
        <w:spacing w:val="-2"/>
        <w:w w:val="100"/>
        <w:sz w:val="20"/>
        <w:szCs w:val="20"/>
        <w:lang w:val="es-ES" w:eastAsia="es-ES" w:bidi="es-ES"/>
      </w:rPr>
    </w:lvl>
    <w:lvl w:ilvl="4">
      <w:start w:val="1"/>
      <w:numFmt w:val="decimal"/>
      <w:lvlText w:val="%3.%4.%5."/>
      <w:lvlJc w:val="left"/>
      <w:pPr>
        <w:ind w:left="1362" w:hanging="555"/>
      </w:pPr>
      <w:rPr>
        <w:rFonts w:ascii="Arial" w:eastAsia="Arial" w:hAnsi="Arial" w:cs="Arial" w:hint="default"/>
        <w:i/>
        <w:color w:val="4E4D4D"/>
        <w:spacing w:val="-2"/>
        <w:w w:val="100"/>
        <w:sz w:val="20"/>
        <w:szCs w:val="20"/>
        <w:lang w:val="es-ES" w:eastAsia="es-ES" w:bidi="es-ES"/>
      </w:rPr>
    </w:lvl>
    <w:lvl w:ilvl="5">
      <w:numFmt w:val="bullet"/>
      <w:lvlText w:val="•"/>
      <w:lvlJc w:val="left"/>
      <w:pPr>
        <w:ind w:left="2656" w:hanging="555"/>
      </w:pPr>
      <w:rPr>
        <w:rFonts w:hint="default"/>
        <w:lang w:val="es-ES" w:eastAsia="es-ES" w:bidi="es-ES"/>
      </w:rPr>
    </w:lvl>
    <w:lvl w:ilvl="6">
      <w:numFmt w:val="bullet"/>
      <w:lvlText w:val="•"/>
      <w:lvlJc w:val="left"/>
      <w:pPr>
        <w:ind w:left="3953" w:hanging="555"/>
      </w:pPr>
      <w:rPr>
        <w:rFonts w:hint="default"/>
        <w:lang w:val="es-ES" w:eastAsia="es-ES" w:bidi="es-ES"/>
      </w:rPr>
    </w:lvl>
    <w:lvl w:ilvl="7">
      <w:numFmt w:val="bullet"/>
      <w:lvlText w:val="•"/>
      <w:lvlJc w:val="left"/>
      <w:pPr>
        <w:ind w:left="5250" w:hanging="555"/>
      </w:pPr>
      <w:rPr>
        <w:rFonts w:hint="default"/>
        <w:lang w:val="es-ES" w:eastAsia="es-ES" w:bidi="es-ES"/>
      </w:rPr>
    </w:lvl>
    <w:lvl w:ilvl="8">
      <w:numFmt w:val="bullet"/>
      <w:lvlText w:val="•"/>
      <w:lvlJc w:val="left"/>
      <w:pPr>
        <w:ind w:left="6546" w:hanging="555"/>
      </w:pPr>
      <w:rPr>
        <w:rFonts w:hint="default"/>
        <w:lang w:val="es-ES" w:eastAsia="es-ES" w:bidi="es-ES"/>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7"/>
  </w:num>
  <w:num w:numId="5">
    <w:abstractNumId w:val="9"/>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0"/>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D73"/>
    <w:rsid w:val="0000785A"/>
    <w:rsid w:val="00052E19"/>
    <w:rsid w:val="00084B97"/>
    <w:rsid w:val="000942EB"/>
    <w:rsid w:val="000B103F"/>
    <w:rsid w:val="000D660E"/>
    <w:rsid w:val="000F14E8"/>
    <w:rsid w:val="00103915"/>
    <w:rsid w:val="00111AAA"/>
    <w:rsid w:val="00122B23"/>
    <w:rsid w:val="00137FFA"/>
    <w:rsid w:val="001465F4"/>
    <w:rsid w:val="001A313A"/>
    <w:rsid w:val="001B0444"/>
    <w:rsid w:val="001D0DD7"/>
    <w:rsid w:val="001D4790"/>
    <w:rsid w:val="0020632A"/>
    <w:rsid w:val="002105F8"/>
    <w:rsid w:val="002110EB"/>
    <w:rsid w:val="00211338"/>
    <w:rsid w:val="00234B84"/>
    <w:rsid w:val="00243A3F"/>
    <w:rsid w:val="002863AA"/>
    <w:rsid w:val="002C4C0C"/>
    <w:rsid w:val="003033BA"/>
    <w:rsid w:val="00322937"/>
    <w:rsid w:val="00327D0F"/>
    <w:rsid w:val="00331D78"/>
    <w:rsid w:val="0034177C"/>
    <w:rsid w:val="0034680A"/>
    <w:rsid w:val="00353DD5"/>
    <w:rsid w:val="0038265D"/>
    <w:rsid w:val="00386456"/>
    <w:rsid w:val="003A0878"/>
    <w:rsid w:val="003A0A45"/>
    <w:rsid w:val="003A581E"/>
    <w:rsid w:val="003E17D3"/>
    <w:rsid w:val="00404495"/>
    <w:rsid w:val="00423F9F"/>
    <w:rsid w:val="004422D6"/>
    <w:rsid w:val="0049241A"/>
    <w:rsid w:val="004975C6"/>
    <w:rsid w:val="004A34D2"/>
    <w:rsid w:val="004D5CB8"/>
    <w:rsid w:val="0051074C"/>
    <w:rsid w:val="00511439"/>
    <w:rsid w:val="00511ED6"/>
    <w:rsid w:val="00513AF2"/>
    <w:rsid w:val="0054413A"/>
    <w:rsid w:val="0054444D"/>
    <w:rsid w:val="005564CA"/>
    <w:rsid w:val="0056182B"/>
    <w:rsid w:val="005756AA"/>
    <w:rsid w:val="00584877"/>
    <w:rsid w:val="00590104"/>
    <w:rsid w:val="005C1089"/>
    <w:rsid w:val="005D51FA"/>
    <w:rsid w:val="005D791B"/>
    <w:rsid w:val="006119A7"/>
    <w:rsid w:val="00614817"/>
    <w:rsid w:val="00633DBF"/>
    <w:rsid w:val="00647C08"/>
    <w:rsid w:val="00655371"/>
    <w:rsid w:val="006679C0"/>
    <w:rsid w:val="00682FC8"/>
    <w:rsid w:val="00697665"/>
    <w:rsid w:val="006A7CB5"/>
    <w:rsid w:val="006A7FD0"/>
    <w:rsid w:val="006D7687"/>
    <w:rsid w:val="006E0572"/>
    <w:rsid w:val="006F717C"/>
    <w:rsid w:val="00705631"/>
    <w:rsid w:val="00715EAA"/>
    <w:rsid w:val="00742DD2"/>
    <w:rsid w:val="00747C96"/>
    <w:rsid w:val="0075094E"/>
    <w:rsid w:val="00750A01"/>
    <w:rsid w:val="007522E8"/>
    <w:rsid w:val="0075647A"/>
    <w:rsid w:val="00756EF6"/>
    <w:rsid w:val="007634AD"/>
    <w:rsid w:val="00766ACA"/>
    <w:rsid w:val="007702C5"/>
    <w:rsid w:val="0078122E"/>
    <w:rsid w:val="00795647"/>
    <w:rsid w:val="0079690C"/>
    <w:rsid w:val="007B0854"/>
    <w:rsid w:val="007C16DF"/>
    <w:rsid w:val="007F6B46"/>
    <w:rsid w:val="007F72CB"/>
    <w:rsid w:val="008217B7"/>
    <w:rsid w:val="0083119B"/>
    <w:rsid w:val="00836EAB"/>
    <w:rsid w:val="0085092D"/>
    <w:rsid w:val="00850F79"/>
    <w:rsid w:val="008577D8"/>
    <w:rsid w:val="00875ED9"/>
    <w:rsid w:val="00880E13"/>
    <w:rsid w:val="008817C0"/>
    <w:rsid w:val="008826C5"/>
    <w:rsid w:val="0089774F"/>
    <w:rsid w:val="008C2E05"/>
    <w:rsid w:val="008E1C15"/>
    <w:rsid w:val="008F538E"/>
    <w:rsid w:val="009047C5"/>
    <w:rsid w:val="0093009D"/>
    <w:rsid w:val="0095385A"/>
    <w:rsid w:val="009B4F2C"/>
    <w:rsid w:val="009F59C2"/>
    <w:rsid w:val="00A24560"/>
    <w:rsid w:val="00A2566B"/>
    <w:rsid w:val="00A34538"/>
    <w:rsid w:val="00A37FB6"/>
    <w:rsid w:val="00A973C9"/>
    <w:rsid w:val="00AA08E7"/>
    <w:rsid w:val="00AA442B"/>
    <w:rsid w:val="00AA669D"/>
    <w:rsid w:val="00AC4764"/>
    <w:rsid w:val="00AF5733"/>
    <w:rsid w:val="00B11991"/>
    <w:rsid w:val="00B13EC0"/>
    <w:rsid w:val="00B163F7"/>
    <w:rsid w:val="00B22E22"/>
    <w:rsid w:val="00B525CB"/>
    <w:rsid w:val="00B56A0D"/>
    <w:rsid w:val="00B63872"/>
    <w:rsid w:val="00B63CB2"/>
    <w:rsid w:val="00B64EDB"/>
    <w:rsid w:val="00B91B8E"/>
    <w:rsid w:val="00BC3537"/>
    <w:rsid w:val="00BD78FE"/>
    <w:rsid w:val="00BD7CDB"/>
    <w:rsid w:val="00C110C1"/>
    <w:rsid w:val="00C432D3"/>
    <w:rsid w:val="00C968CC"/>
    <w:rsid w:val="00CB2196"/>
    <w:rsid w:val="00CC00CD"/>
    <w:rsid w:val="00D01760"/>
    <w:rsid w:val="00D16E39"/>
    <w:rsid w:val="00D223B6"/>
    <w:rsid w:val="00D60327"/>
    <w:rsid w:val="00D72E9D"/>
    <w:rsid w:val="00D82CE5"/>
    <w:rsid w:val="00DA5AB1"/>
    <w:rsid w:val="00DC62E5"/>
    <w:rsid w:val="00DD6518"/>
    <w:rsid w:val="00DD735D"/>
    <w:rsid w:val="00DE3119"/>
    <w:rsid w:val="00DF236B"/>
    <w:rsid w:val="00E0102B"/>
    <w:rsid w:val="00E0745F"/>
    <w:rsid w:val="00E13AB8"/>
    <w:rsid w:val="00E25CB3"/>
    <w:rsid w:val="00E33B62"/>
    <w:rsid w:val="00E4143A"/>
    <w:rsid w:val="00EB260A"/>
    <w:rsid w:val="00ED2239"/>
    <w:rsid w:val="00EE59B5"/>
    <w:rsid w:val="00F822FC"/>
    <w:rsid w:val="00F84899"/>
    <w:rsid w:val="00F85898"/>
    <w:rsid w:val="00F859F0"/>
    <w:rsid w:val="00F97910"/>
    <w:rsid w:val="00FA18AC"/>
    <w:rsid w:val="00FE141E"/>
    <w:rsid w:val="00FE2FAE"/>
    <w:rsid w:val="00FE42ED"/>
    <w:rsid w:val="04521373"/>
    <w:rsid w:val="2A2D633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B56A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3A0A45"/>
    <w:pPr>
      <w:keepNext/>
      <w:keepLines/>
      <w:spacing w:before="40"/>
      <w:jc w:val="both"/>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3A0A45"/>
    <w:rPr>
      <w:rFonts w:asciiTheme="majorHAnsi" w:eastAsiaTheme="majorEastAsia" w:hAnsiTheme="majorHAnsi" w:cstheme="majorBidi"/>
      <w:color w:val="365F91" w:themeColor="accent1" w:themeShade="BF"/>
      <w:sz w:val="26"/>
      <w:szCs w:val="26"/>
      <w:lang w:val="es-MX"/>
    </w:rPr>
  </w:style>
  <w:style w:type="character" w:customStyle="1" w:styleId="NormalWebCar">
    <w:name w:val="Normal (Web) Car"/>
    <w:link w:val="NormalWeb"/>
    <w:uiPriority w:val="99"/>
    <w:rsid w:val="003A0A45"/>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B56A0D"/>
    <w:rPr>
      <w:rFonts w:asciiTheme="majorHAnsi" w:eastAsiaTheme="majorEastAsia" w:hAnsiTheme="majorHAnsi" w:cstheme="majorBidi"/>
      <w:color w:val="365F91" w:themeColor="accent1" w:themeShade="BF"/>
      <w:sz w:val="32"/>
      <w:szCs w:val="32"/>
      <w:lang w:val="es-MX"/>
    </w:rPr>
  </w:style>
  <w:style w:type="paragraph" w:styleId="Textoindependiente">
    <w:name w:val="Body Text"/>
    <w:basedOn w:val="Normal"/>
    <w:link w:val="TextoindependienteCar"/>
    <w:uiPriority w:val="1"/>
    <w:qFormat/>
    <w:rsid w:val="00B56A0D"/>
    <w:pPr>
      <w:widowControl w:val="0"/>
      <w:autoSpaceDE w:val="0"/>
      <w:autoSpaceDN w:val="0"/>
    </w:pPr>
    <w:rPr>
      <w:rFonts w:ascii="Arial" w:eastAsia="Arial" w:hAnsi="Arial" w:cs="Arial"/>
      <w:i/>
      <w:sz w:val="20"/>
      <w:szCs w:val="20"/>
      <w:lang w:val="es-ES" w:eastAsia="es-ES" w:bidi="es-ES"/>
    </w:rPr>
  </w:style>
  <w:style w:type="character" w:customStyle="1" w:styleId="TextoindependienteCar">
    <w:name w:val="Texto independiente Car"/>
    <w:basedOn w:val="Fuentedeprrafopredeter"/>
    <w:link w:val="Textoindependiente"/>
    <w:uiPriority w:val="1"/>
    <w:rsid w:val="00B56A0D"/>
    <w:rPr>
      <w:rFonts w:ascii="Arial" w:eastAsia="Arial" w:hAnsi="Arial" w:cs="Arial"/>
      <w:i/>
      <w:sz w:val="20"/>
      <w:szCs w:val="20"/>
      <w:lang w:val="es-ES" w:eastAsia="es-ES" w:bidi="es-ES"/>
    </w:rPr>
  </w:style>
  <w:style w:type="character" w:styleId="Textoennegrita">
    <w:name w:val="Strong"/>
    <w:basedOn w:val="Fuentedeprrafopredeter"/>
    <w:uiPriority w:val="22"/>
    <w:qFormat/>
    <w:rsid w:val="00B163F7"/>
    <w:rPr>
      <w:b/>
      <w:bCs/>
    </w:rPr>
  </w:style>
  <w:style w:type="paragraph" w:customStyle="1" w:styleId="Default">
    <w:name w:val="Default"/>
    <w:rsid w:val="00243A3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8606365">
      <w:bodyDiv w:val="1"/>
      <w:marLeft w:val="0"/>
      <w:marRight w:val="0"/>
      <w:marTop w:val="0"/>
      <w:marBottom w:val="0"/>
      <w:divBdr>
        <w:top w:val="none" w:sz="0" w:space="0" w:color="auto"/>
        <w:left w:val="none" w:sz="0" w:space="0" w:color="auto"/>
        <w:bottom w:val="none" w:sz="0" w:space="0" w:color="auto"/>
        <w:right w:val="none" w:sz="0" w:space="0" w:color="auto"/>
      </w:divBdr>
    </w:div>
    <w:div w:id="1492871598">
      <w:bodyDiv w:val="1"/>
      <w:marLeft w:val="0"/>
      <w:marRight w:val="0"/>
      <w:marTop w:val="0"/>
      <w:marBottom w:val="0"/>
      <w:divBdr>
        <w:top w:val="none" w:sz="0" w:space="0" w:color="auto"/>
        <w:left w:val="none" w:sz="0" w:space="0" w:color="auto"/>
        <w:bottom w:val="none" w:sz="0" w:space="0" w:color="auto"/>
        <w:right w:val="none" w:sz="0" w:space="0" w:color="auto"/>
      </w:divBdr>
    </w:div>
    <w:div w:id="201484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C0035-3CFC-4043-AB86-A01C0DFCC9F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6E33E8A-21DA-42EE-A91D-47957979F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6C2AE73-B62C-47F8-8A23-341064E7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2353</Words>
  <Characters>13415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2020-02-11T16:46:00Z</cp:lastPrinted>
  <dcterms:created xsi:type="dcterms:W3CDTF">2020-08-06T17:20:00Z</dcterms:created>
  <dcterms:modified xsi:type="dcterms:W3CDTF">2020-08-06T17:20:00Z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