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2188E" w14:textId="77777777" w:rsidR="00281054" w:rsidRPr="00035110" w:rsidRDefault="00281054" w:rsidP="00281054">
      <w:pPr>
        <w:spacing w:after="0"/>
        <w:jc w:val="both"/>
        <w:rPr>
          <w:rFonts w:ascii="Century Gothic" w:eastAsia="Calibri" w:hAnsi="Century Gothic" w:cs="Arial"/>
          <w:b/>
          <w:color w:val="000000" w:themeColor="text1"/>
          <w:sz w:val="20"/>
          <w:szCs w:val="20"/>
        </w:rPr>
      </w:pPr>
      <w:bookmarkStart w:id="0" w:name="_Hlk94281581"/>
      <w:bookmarkStart w:id="1" w:name="_Hlk102489058"/>
      <w:bookmarkStart w:id="2" w:name="_Hlk34951122"/>
    </w:p>
    <w:p w14:paraId="17C50543" w14:textId="77777777" w:rsidR="00281054" w:rsidRPr="00035110" w:rsidRDefault="00281054" w:rsidP="00281054">
      <w:pPr>
        <w:spacing w:after="0"/>
        <w:jc w:val="both"/>
        <w:rPr>
          <w:rFonts w:ascii="Century Gothic" w:eastAsia="Calibri" w:hAnsi="Century Gothic" w:cs="Arial"/>
          <w:b/>
          <w:color w:val="000000" w:themeColor="text1"/>
        </w:rPr>
      </w:pPr>
      <w:r w:rsidRPr="009B51DF">
        <w:rPr>
          <w:rFonts w:ascii="Century Gothic" w:eastAsia="Calibri" w:hAnsi="Century Gothic" w:cs="Arial"/>
          <w:b/>
          <w:color w:val="000000" w:themeColor="text1"/>
        </w:rPr>
        <w:t xml:space="preserve">PROPONENTE PLURAL </w:t>
      </w:r>
      <w:r w:rsidRPr="009B51DF">
        <w:rPr>
          <w:rFonts w:ascii="Arial" w:eastAsia="Calibri" w:hAnsi="Arial" w:cs="Arial"/>
          <w:b/>
          <w:color w:val="000000" w:themeColor="text1"/>
        </w:rPr>
        <w:t>‒</w:t>
      </w:r>
      <w:r w:rsidRPr="009B51DF">
        <w:rPr>
          <w:rFonts w:ascii="Century Gothic" w:eastAsia="Calibri" w:hAnsi="Century Gothic" w:cs="Arial"/>
          <w:b/>
          <w:color w:val="000000" w:themeColor="text1"/>
        </w:rPr>
        <w:t xml:space="preserve"> Consorcio </w:t>
      </w:r>
      <w:r w:rsidRPr="009B51DF">
        <w:rPr>
          <w:rFonts w:ascii="Arial" w:eastAsia="Calibri" w:hAnsi="Arial" w:cs="Arial"/>
          <w:b/>
          <w:color w:val="000000" w:themeColor="text1"/>
        </w:rPr>
        <w:t>‒</w:t>
      </w:r>
      <w:r w:rsidRPr="009B51DF">
        <w:rPr>
          <w:rFonts w:ascii="Century Gothic" w:eastAsia="Calibri" w:hAnsi="Century Gothic" w:cs="Arial"/>
          <w:b/>
          <w:color w:val="000000" w:themeColor="text1"/>
        </w:rPr>
        <w:t xml:space="preserve"> Uni</w:t>
      </w:r>
      <w:r w:rsidRPr="009B51DF">
        <w:rPr>
          <w:rFonts w:ascii="Century Gothic" w:eastAsia="Calibri" w:hAnsi="Century Gothic" w:cs="Century Gothic"/>
          <w:b/>
          <w:color w:val="000000" w:themeColor="text1"/>
        </w:rPr>
        <w:t>ó</w:t>
      </w:r>
      <w:r w:rsidRPr="009B51DF">
        <w:rPr>
          <w:rFonts w:ascii="Century Gothic" w:eastAsia="Calibri" w:hAnsi="Century Gothic" w:cs="Arial"/>
          <w:b/>
          <w:color w:val="000000" w:themeColor="text1"/>
        </w:rPr>
        <w:t xml:space="preserve">n temporal </w:t>
      </w:r>
      <w:r w:rsidRPr="009B51DF">
        <w:rPr>
          <w:rFonts w:ascii="Arial" w:eastAsia="Calibri" w:hAnsi="Arial" w:cs="Arial"/>
          <w:b/>
          <w:color w:val="000000" w:themeColor="text1"/>
        </w:rPr>
        <w:t>‒</w:t>
      </w:r>
      <w:r w:rsidRPr="009B51DF">
        <w:rPr>
          <w:rFonts w:ascii="Century Gothic" w:eastAsia="Calibri" w:hAnsi="Century Gothic" w:cs="Arial"/>
          <w:b/>
          <w:color w:val="000000" w:themeColor="text1"/>
        </w:rPr>
        <w:t xml:space="preserve"> Concepto </w:t>
      </w:r>
      <w:r w:rsidRPr="009B51DF">
        <w:rPr>
          <w:rFonts w:ascii="Century Gothic" w:eastAsia="Calibri" w:hAnsi="Century Gothic" w:cs="Century Gothic"/>
          <w:b/>
          <w:color w:val="000000" w:themeColor="text1"/>
        </w:rPr>
        <w:t>–</w:t>
      </w:r>
      <w:r w:rsidRPr="009B51DF">
        <w:rPr>
          <w:rFonts w:ascii="Century Gothic" w:eastAsia="Calibri" w:hAnsi="Century Gothic" w:cs="Arial"/>
          <w:b/>
          <w:color w:val="000000" w:themeColor="text1"/>
        </w:rPr>
        <w:t xml:space="preserve"> Diferencias</w:t>
      </w:r>
      <w:r w:rsidRPr="00035110">
        <w:rPr>
          <w:rFonts w:ascii="Century Gothic" w:eastAsia="Calibri" w:hAnsi="Century Gothic" w:cs="Arial"/>
          <w:b/>
          <w:color w:val="000000" w:themeColor="text1"/>
        </w:rPr>
        <w:t xml:space="preserve">  </w:t>
      </w:r>
    </w:p>
    <w:p w14:paraId="7C67909C" w14:textId="77777777" w:rsidR="00281054" w:rsidRPr="00035110" w:rsidRDefault="00281054" w:rsidP="00281054">
      <w:pPr>
        <w:spacing w:after="0"/>
        <w:jc w:val="both"/>
        <w:rPr>
          <w:rFonts w:ascii="Century Gothic" w:eastAsia="Calibri" w:hAnsi="Century Gothic" w:cs="Arial"/>
          <w:color w:val="000000" w:themeColor="text1"/>
          <w:sz w:val="20"/>
          <w:szCs w:val="20"/>
        </w:rPr>
      </w:pPr>
    </w:p>
    <w:p w14:paraId="2C23B67F" w14:textId="77777777" w:rsidR="00281054" w:rsidRPr="00035110" w:rsidRDefault="00281054" w:rsidP="00281054">
      <w:pPr>
        <w:spacing w:after="0"/>
        <w:jc w:val="both"/>
        <w:rPr>
          <w:rFonts w:ascii="Century Gothic" w:eastAsia="Calibri" w:hAnsi="Century Gothic" w:cs="Arial"/>
          <w:bCs/>
          <w:color w:val="000000" w:themeColor="text1"/>
          <w:sz w:val="20"/>
          <w:szCs w:val="20"/>
        </w:rPr>
      </w:pPr>
      <w:r w:rsidRPr="009B51DF">
        <w:rPr>
          <w:rFonts w:ascii="Century Gothic" w:eastAsia="Calibri" w:hAnsi="Century Gothic" w:cs="Arial"/>
          <w:bCs/>
          <w:color w:val="000000" w:themeColor="text1"/>
          <w:sz w:val="20"/>
          <w:szCs w:val="20"/>
        </w:rPr>
        <w:t xml:space="preserve">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r w:rsidRPr="00035110">
        <w:rPr>
          <w:rFonts w:ascii="Century Gothic" w:eastAsia="Calibri" w:hAnsi="Century Gothic" w:cs="Arial"/>
          <w:bCs/>
          <w:color w:val="000000" w:themeColor="text1"/>
          <w:sz w:val="20"/>
          <w:szCs w:val="20"/>
        </w:rPr>
        <w:t xml:space="preserve"> </w:t>
      </w:r>
    </w:p>
    <w:p w14:paraId="711CE97F" w14:textId="77777777" w:rsidR="00281054" w:rsidRPr="006603AC" w:rsidRDefault="00281054" w:rsidP="00281054">
      <w:pPr>
        <w:tabs>
          <w:tab w:val="left" w:pos="6551"/>
        </w:tabs>
        <w:spacing w:after="0" w:line="240" w:lineRule="auto"/>
        <w:jc w:val="both"/>
        <w:rPr>
          <w:rFonts w:ascii="Century Gothic" w:eastAsia="Calibri" w:hAnsi="Century Gothic" w:cs="Arial"/>
          <w:b/>
          <w:color w:val="000000" w:themeColor="text1"/>
          <w:sz w:val="20"/>
          <w:szCs w:val="20"/>
          <w:lang w:val="es-ES_tradnl"/>
        </w:rPr>
      </w:pPr>
    </w:p>
    <w:p w14:paraId="7D369249" w14:textId="77777777" w:rsidR="00281054" w:rsidRPr="00035110" w:rsidRDefault="00281054" w:rsidP="00281054">
      <w:pPr>
        <w:tabs>
          <w:tab w:val="left" w:pos="6551"/>
        </w:tabs>
        <w:spacing w:after="0" w:line="240" w:lineRule="auto"/>
        <w:jc w:val="both"/>
        <w:rPr>
          <w:rFonts w:ascii="Century Gothic" w:eastAsia="Calibri" w:hAnsi="Century Gothic" w:cs="Arial"/>
          <w:b/>
          <w:color w:val="000000" w:themeColor="text1"/>
          <w:lang w:val="es-ES_tradnl"/>
        </w:rPr>
      </w:pPr>
      <w:r w:rsidRPr="00035110">
        <w:rPr>
          <w:rFonts w:ascii="Century Gothic" w:eastAsia="Calibri" w:hAnsi="Century Gothic" w:cs="Arial"/>
          <w:b/>
          <w:color w:val="000000" w:themeColor="text1"/>
          <w:lang w:val="es-ES_tradnl"/>
        </w:rPr>
        <w:t xml:space="preserve">CONVOCATORIAS LIMITADAS A MIPYMES – </w:t>
      </w:r>
      <w:r>
        <w:rPr>
          <w:rFonts w:ascii="Century Gothic" w:eastAsia="Calibri" w:hAnsi="Century Gothic" w:cs="Arial"/>
          <w:b/>
          <w:color w:val="000000" w:themeColor="text1"/>
          <w:lang w:val="es-ES_tradnl"/>
        </w:rPr>
        <w:t>Legitimación</w:t>
      </w:r>
      <w:r w:rsidRPr="00035110">
        <w:rPr>
          <w:rFonts w:ascii="Century Gothic" w:eastAsia="Calibri" w:hAnsi="Century Gothic" w:cs="Arial"/>
          <w:b/>
          <w:color w:val="000000" w:themeColor="text1"/>
          <w:lang w:val="es-ES_tradnl"/>
        </w:rPr>
        <w:t xml:space="preserve"> – </w:t>
      </w:r>
      <w:r>
        <w:rPr>
          <w:rFonts w:ascii="Century Gothic" w:eastAsia="Calibri" w:hAnsi="Century Gothic" w:cs="Arial"/>
          <w:b/>
          <w:color w:val="000000" w:themeColor="text1"/>
          <w:lang w:val="es-ES_tradnl"/>
        </w:rPr>
        <w:t>Integrantes del consorcio o unión temporal – Documentación</w:t>
      </w:r>
      <w:r w:rsidRPr="00035110">
        <w:rPr>
          <w:rFonts w:ascii="Century Gothic" w:eastAsia="Calibri" w:hAnsi="Century Gothic" w:cs="Arial"/>
          <w:b/>
          <w:color w:val="000000" w:themeColor="text1"/>
          <w:lang w:val="es-ES_tradnl"/>
        </w:rPr>
        <w:t xml:space="preserve">  </w:t>
      </w:r>
    </w:p>
    <w:p w14:paraId="3197031D" w14:textId="77777777" w:rsidR="00281054" w:rsidRPr="00035110" w:rsidRDefault="00281054" w:rsidP="00281054">
      <w:pPr>
        <w:tabs>
          <w:tab w:val="left" w:pos="6551"/>
        </w:tabs>
        <w:spacing w:after="0" w:line="240" w:lineRule="auto"/>
        <w:jc w:val="both"/>
        <w:rPr>
          <w:rFonts w:ascii="Century Gothic" w:eastAsia="Calibri" w:hAnsi="Century Gothic" w:cs="Arial"/>
          <w:b/>
          <w:color w:val="000000" w:themeColor="text1"/>
          <w:lang w:val="es-ES_tradnl"/>
        </w:rPr>
      </w:pPr>
    </w:p>
    <w:p w14:paraId="095F4E79" w14:textId="77777777" w:rsidR="00281054" w:rsidRDefault="00281054" w:rsidP="00281054">
      <w:pPr>
        <w:widowControl w:val="0"/>
        <w:autoSpaceDE w:val="0"/>
        <w:autoSpaceDN w:val="0"/>
        <w:spacing w:line="240" w:lineRule="auto"/>
        <w:contextualSpacing/>
        <w:jc w:val="both"/>
        <w:rPr>
          <w:rFonts w:ascii="Century Gothic" w:eastAsia="Calibri" w:hAnsi="Century Gothic" w:cs="Arial"/>
          <w:bCs/>
          <w:sz w:val="20"/>
          <w:szCs w:val="20"/>
        </w:rPr>
      </w:pPr>
      <w:r>
        <w:rPr>
          <w:rFonts w:ascii="Century Gothic" w:eastAsia="Calibri" w:hAnsi="Century Gothic" w:cs="Arial"/>
          <w:bCs/>
          <w:sz w:val="20"/>
          <w:szCs w:val="20"/>
        </w:rPr>
        <w:t xml:space="preserve">[…] </w:t>
      </w:r>
      <w:r w:rsidRPr="00397BF2">
        <w:rPr>
          <w:rFonts w:ascii="Century Gothic" w:eastAsia="Calibri" w:hAnsi="Century Gothic" w:cs="Arial"/>
          <w:bCs/>
          <w:sz w:val="20"/>
          <w:szCs w:val="20"/>
        </w:rPr>
        <w:t xml:space="preserve">no es el consorcio o la unión temporal quien, a través de su representante, solicita limitar la convocatoria. Los proponentes plurales carecen de personería jurídica y, por tanto, los que pueden clasificarse como </w:t>
      </w:r>
      <w:proofErr w:type="spellStart"/>
      <w:r w:rsidRPr="00397BF2">
        <w:rPr>
          <w:rFonts w:ascii="Century Gothic" w:eastAsia="Calibri" w:hAnsi="Century Gothic" w:cs="Arial"/>
          <w:bCs/>
          <w:sz w:val="20"/>
          <w:szCs w:val="20"/>
        </w:rPr>
        <w:t>Mipyme</w:t>
      </w:r>
      <w:proofErr w:type="spellEnd"/>
      <w:r w:rsidRPr="00397BF2">
        <w:rPr>
          <w:rFonts w:ascii="Century Gothic" w:eastAsia="Calibri" w:hAnsi="Century Gothic" w:cs="Arial"/>
          <w:bCs/>
          <w:sz w:val="20"/>
          <w:szCs w:val="20"/>
        </w:rPr>
        <w:t xml:space="preserve"> son los integrantes del proponente plural. Uno o varios de ellos pueden pedir la limitación siempre que aporten alguno de los documentos mencionados en el artículo 2.2.1.2.4.2.4 del Decreto 1082 de 2015. Conforme al parágrafo 1, “[…] las </w:t>
      </w:r>
      <w:proofErr w:type="spellStart"/>
      <w:r w:rsidRPr="00397BF2">
        <w:rPr>
          <w:rFonts w:ascii="Century Gothic" w:eastAsia="Calibri" w:hAnsi="Century Gothic" w:cs="Arial"/>
          <w:bCs/>
          <w:sz w:val="20"/>
          <w:szCs w:val="20"/>
        </w:rPr>
        <w:t>Mipyme</w:t>
      </w:r>
      <w:proofErr w:type="spellEnd"/>
      <w:r w:rsidRPr="00397BF2">
        <w:rPr>
          <w:rFonts w:ascii="Century Gothic" w:eastAsia="Calibri" w:hAnsi="Century Gothic" w:cs="Arial"/>
          <w:bCs/>
          <w:sz w:val="20"/>
          <w:szCs w:val="20"/>
        </w:rPr>
        <w:t xml:space="preserve"> […] podrán acreditar esta condición con la copia del certificado del Registro Único de Proponentes, el cual deberá encontrarse vigente y en firme al momento de su presentación”. </w:t>
      </w:r>
    </w:p>
    <w:p w14:paraId="285230C1" w14:textId="77777777" w:rsidR="00281054" w:rsidRPr="00397BF2" w:rsidRDefault="00281054" w:rsidP="00281054">
      <w:pPr>
        <w:widowControl w:val="0"/>
        <w:autoSpaceDE w:val="0"/>
        <w:autoSpaceDN w:val="0"/>
        <w:spacing w:line="240" w:lineRule="auto"/>
        <w:contextualSpacing/>
        <w:jc w:val="both"/>
        <w:rPr>
          <w:rFonts w:ascii="Century Gothic" w:eastAsia="Calibri" w:hAnsi="Century Gothic" w:cs="Arial"/>
          <w:bCs/>
          <w:sz w:val="20"/>
          <w:szCs w:val="20"/>
        </w:rPr>
      </w:pPr>
    </w:p>
    <w:p w14:paraId="742529D0" w14:textId="77777777" w:rsidR="00281054" w:rsidRDefault="00281054" w:rsidP="00281054">
      <w:pPr>
        <w:widowControl w:val="0"/>
        <w:autoSpaceDE w:val="0"/>
        <w:autoSpaceDN w:val="0"/>
        <w:spacing w:line="240" w:lineRule="auto"/>
        <w:contextualSpacing/>
        <w:jc w:val="both"/>
        <w:rPr>
          <w:rFonts w:ascii="Century Gothic" w:eastAsia="Calibri" w:hAnsi="Century Gothic" w:cs="Arial"/>
          <w:bCs/>
          <w:sz w:val="20"/>
          <w:szCs w:val="20"/>
        </w:rPr>
      </w:pPr>
      <w:r w:rsidRPr="00397BF2">
        <w:rPr>
          <w:rFonts w:ascii="Century Gothic" w:eastAsia="Calibri" w:hAnsi="Century Gothic" w:cs="Arial"/>
          <w:bCs/>
          <w:sz w:val="20"/>
          <w:szCs w:val="20"/>
        </w:rPr>
        <w:t>Si alguno(s) de los integrantes carece(n) de registro, el numeral 2 del artículo 2.2.1.2.4.2.4 del Decreto 1082 de 2015 permite acreditar que tiene(n) el tamaño empresarial “[…]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Ambos deben suscribirla, por lo que no basta la firma del representante: la certificación también debe ir acompañada por la del contador o el revisor fiscal. Tratándose de estos últimos, la norma no exige adjuntar la tarjeta profesional ni los antecedentes disciplinarios de la profesión.</w:t>
      </w:r>
    </w:p>
    <w:p w14:paraId="50C1F843" w14:textId="77777777" w:rsidR="00281054" w:rsidRPr="00397BF2" w:rsidRDefault="00281054" w:rsidP="00281054">
      <w:pPr>
        <w:widowControl w:val="0"/>
        <w:autoSpaceDE w:val="0"/>
        <w:autoSpaceDN w:val="0"/>
        <w:spacing w:line="240" w:lineRule="auto"/>
        <w:contextualSpacing/>
        <w:jc w:val="both"/>
        <w:rPr>
          <w:rFonts w:ascii="Century Gothic" w:eastAsia="Calibri" w:hAnsi="Century Gothic" w:cs="Arial"/>
          <w:bCs/>
          <w:sz w:val="20"/>
          <w:szCs w:val="20"/>
        </w:rPr>
      </w:pPr>
    </w:p>
    <w:p w14:paraId="3C5E0B2A" w14:textId="77777777" w:rsidR="00281054" w:rsidRPr="00035110" w:rsidRDefault="00281054" w:rsidP="00281054">
      <w:pPr>
        <w:widowControl w:val="0"/>
        <w:autoSpaceDE w:val="0"/>
        <w:autoSpaceDN w:val="0"/>
        <w:spacing w:line="240" w:lineRule="auto"/>
        <w:contextualSpacing/>
        <w:jc w:val="both"/>
        <w:rPr>
          <w:rFonts w:ascii="Century Gothic" w:eastAsia="Calibri" w:hAnsi="Century Gothic" w:cs="Arial"/>
          <w:bCs/>
          <w:sz w:val="20"/>
          <w:szCs w:val="20"/>
        </w:rPr>
      </w:pPr>
      <w:r w:rsidRPr="00397BF2">
        <w:rPr>
          <w:rFonts w:ascii="Century Gothic" w:eastAsia="Calibri" w:hAnsi="Century Gothic" w:cs="Arial"/>
          <w:bCs/>
          <w:sz w:val="20"/>
          <w:szCs w:val="20"/>
        </w:rPr>
        <w:t xml:space="preserve">El RUP o el certificado de existencia y representación deben tener una fecha actualizada. Así lo dispone el parágrafo 2 del artículo citado en el párrafo anterior en los siguientes términos: “Para efectos de la limitación a </w:t>
      </w:r>
      <w:proofErr w:type="spellStart"/>
      <w:r w:rsidRPr="00397BF2">
        <w:rPr>
          <w:rFonts w:ascii="Century Gothic" w:eastAsia="Calibri" w:hAnsi="Century Gothic" w:cs="Arial"/>
          <w:bCs/>
          <w:sz w:val="20"/>
          <w:szCs w:val="20"/>
        </w:rPr>
        <w:t>Mipyme</w:t>
      </w:r>
      <w:proofErr w:type="spellEnd"/>
      <w:r w:rsidRPr="00397BF2">
        <w:rPr>
          <w:rFonts w:ascii="Century Gothic" w:eastAsia="Calibri" w:hAnsi="Century Gothic" w:cs="Arial"/>
          <w:bCs/>
          <w:sz w:val="20"/>
          <w:szCs w:val="20"/>
        </w:rPr>
        <w:t>,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w:t>
      </w:r>
    </w:p>
    <w:p w14:paraId="35897D8D" w14:textId="77777777" w:rsidR="00281054" w:rsidRDefault="00281054" w:rsidP="0064450E">
      <w:pPr>
        <w:spacing w:after="0"/>
        <w:rPr>
          <w:rFonts w:ascii="Century Gothic" w:eastAsia="Geomanist Light" w:hAnsi="Century Gothic" w:cs="Arial"/>
          <w:color w:val="201F1E"/>
          <w:lang w:val="es-MX"/>
        </w:rPr>
      </w:pPr>
    </w:p>
    <w:p w14:paraId="4F3327FE" w14:textId="77777777" w:rsidR="00281054" w:rsidRDefault="00281054" w:rsidP="0064450E">
      <w:pPr>
        <w:spacing w:after="0"/>
        <w:rPr>
          <w:rFonts w:ascii="Century Gothic" w:eastAsia="Geomanist Light" w:hAnsi="Century Gothic" w:cs="Arial"/>
          <w:color w:val="201F1E"/>
          <w:lang w:val="es-MX"/>
        </w:rPr>
      </w:pPr>
    </w:p>
    <w:p w14:paraId="27C9C75A" w14:textId="77777777" w:rsidR="00281054" w:rsidRDefault="00281054" w:rsidP="0064450E">
      <w:pPr>
        <w:spacing w:after="0"/>
        <w:rPr>
          <w:rFonts w:ascii="Century Gothic" w:eastAsia="Geomanist Light" w:hAnsi="Century Gothic" w:cs="Arial"/>
          <w:color w:val="201F1E"/>
          <w:lang w:val="es-MX"/>
        </w:rPr>
      </w:pPr>
    </w:p>
    <w:p w14:paraId="59900C3B" w14:textId="266C6775" w:rsidR="0064450E" w:rsidRPr="00035110" w:rsidRDefault="0064450E" w:rsidP="0064450E">
      <w:pPr>
        <w:spacing w:after="0"/>
        <w:rPr>
          <w:rFonts w:ascii="Century Gothic" w:eastAsia="Geomanist Light" w:hAnsi="Century Gothic" w:cs="Arial"/>
          <w:color w:val="201F1E"/>
          <w:lang w:val="es-MX"/>
        </w:rPr>
      </w:pPr>
      <w:r w:rsidRPr="00035110">
        <w:rPr>
          <w:rFonts w:ascii="Century Gothic" w:eastAsia="Geomanist Light" w:hAnsi="Century Gothic" w:cs="Arial"/>
          <w:color w:val="201F1E"/>
          <w:lang w:val="es-MX"/>
        </w:rPr>
        <w:lastRenderedPageBreak/>
        <w:t xml:space="preserve">Bogotá D.C., </w:t>
      </w:r>
      <w:r w:rsidR="00C747AD" w:rsidRPr="00C747AD">
        <w:rPr>
          <w:rFonts w:ascii="Century Gothic" w:eastAsia="Geomanist Light" w:hAnsi="Century Gothic" w:cs="Arial"/>
          <w:color w:val="201F1E"/>
          <w:lang w:val="es-MX"/>
        </w:rPr>
        <w:t xml:space="preserve">23 de </w:t>
      </w:r>
      <w:proofErr w:type="gramStart"/>
      <w:r w:rsidR="00C747AD" w:rsidRPr="00C747AD">
        <w:rPr>
          <w:rFonts w:ascii="Century Gothic" w:eastAsia="Geomanist Light" w:hAnsi="Century Gothic" w:cs="Arial"/>
          <w:color w:val="201F1E"/>
          <w:lang w:val="es-MX"/>
        </w:rPr>
        <w:t>Abril</w:t>
      </w:r>
      <w:proofErr w:type="gramEnd"/>
      <w:r w:rsidR="00C747AD" w:rsidRPr="00C747AD">
        <w:rPr>
          <w:rFonts w:ascii="Century Gothic" w:eastAsia="Geomanist Light" w:hAnsi="Century Gothic" w:cs="Arial"/>
          <w:color w:val="201F1E"/>
          <w:lang w:val="es-MX"/>
        </w:rPr>
        <w:t xml:space="preserve"> de 2024</w:t>
      </w:r>
    </w:p>
    <w:p w14:paraId="063207CF" w14:textId="77777777" w:rsidR="0064450E" w:rsidRDefault="0064450E" w:rsidP="0064450E">
      <w:pPr>
        <w:spacing w:after="0"/>
        <w:rPr>
          <w:rFonts w:ascii="Century Gothic" w:eastAsia="Times New Roman" w:hAnsi="Century Gothic" w:cs="Arial"/>
          <w:lang w:val="es-MX" w:eastAsia="es-ES"/>
        </w:rPr>
      </w:pPr>
    </w:p>
    <w:p w14:paraId="67B9B2CD" w14:textId="3B4EFCBD" w:rsidR="00C747AD" w:rsidRPr="00035110" w:rsidRDefault="00C747AD" w:rsidP="00C747AD">
      <w:pPr>
        <w:spacing w:after="0"/>
        <w:jc w:val="right"/>
        <w:rPr>
          <w:rFonts w:ascii="Century Gothic" w:eastAsia="Times New Roman" w:hAnsi="Century Gothic" w:cs="Arial"/>
          <w:lang w:val="es-MX" w:eastAsia="es-ES"/>
        </w:rPr>
      </w:pPr>
      <w:r>
        <w:rPr>
          <w:noProof/>
        </w:rPr>
        <w:drawing>
          <wp:inline distT="0" distB="0" distL="0" distR="0" wp14:anchorId="6042AD8F" wp14:editId="79092B0D">
            <wp:extent cx="3253476" cy="904813"/>
            <wp:effectExtent l="0" t="0" r="4445" b="0"/>
            <wp:docPr id="16791867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86788" name=""/>
                    <pic:cNvPicPr/>
                  </pic:nvPicPr>
                  <pic:blipFill>
                    <a:blip r:embed="rId10"/>
                    <a:stretch>
                      <a:fillRect/>
                    </a:stretch>
                  </pic:blipFill>
                  <pic:spPr>
                    <a:xfrm>
                      <a:off x="0" y="0"/>
                      <a:ext cx="3253476" cy="904813"/>
                    </a:xfrm>
                    <a:prstGeom prst="rect">
                      <a:avLst/>
                    </a:prstGeom>
                  </pic:spPr>
                </pic:pic>
              </a:graphicData>
            </a:graphic>
          </wp:inline>
        </w:drawing>
      </w:r>
    </w:p>
    <w:p w14:paraId="4862318B" w14:textId="77777777" w:rsidR="0064450E" w:rsidRPr="00035110" w:rsidRDefault="0064450E" w:rsidP="0064450E">
      <w:pPr>
        <w:spacing w:after="0"/>
        <w:contextualSpacing/>
        <w:jc w:val="both"/>
        <w:rPr>
          <w:rFonts w:ascii="Century Gothic" w:eastAsia="Calibri" w:hAnsi="Century Gothic" w:cs="Arial"/>
          <w:lang w:val="es-ES_tradnl" w:eastAsia="es-ES_tradnl"/>
        </w:rPr>
      </w:pPr>
    </w:p>
    <w:p w14:paraId="7A1374D0" w14:textId="77777777" w:rsidR="0064450E" w:rsidRPr="00035110" w:rsidRDefault="0064450E" w:rsidP="0064450E">
      <w:pPr>
        <w:contextualSpacing/>
        <w:jc w:val="both"/>
        <w:rPr>
          <w:rFonts w:ascii="Century Gothic" w:eastAsia="Calibri" w:hAnsi="Century Gothic" w:cs="Arial"/>
          <w:lang w:eastAsia="es-ES_tradnl"/>
        </w:rPr>
      </w:pPr>
      <w:r w:rsidRPr="00035110">
        <w:rPr>
          <w:rFonts w:ascii="Century Gothic" w:eastAsia="Calibri" w:hAnsi="Century Gothic" w:cs="Arial"/>
          <w:lang w:eastAsia="es-ES_tradnl"/>
        </w:rPr>
        <w:t>Señor</w:t>
      </w:r>
      <w:r>
        <w:rPr>
          <w:rFonts w:ascii="Century Gothic" w:eastAsia="Calibri" w:hAnsi="Century Gothic" w:cs="Arial"/>
          <w:lang w:eastAsia="es-ES_tradnl"/>
        </w:rPr>
        <w:t>a</w:t>
      </w:r>
    </w:p>
    <w:p w14:paraId="57754F2A" w14:textId="77777777" w:rsidR="0064450E" w:rsidRDefault="0064450E" w:rsidP="0064450E">
      <w:pPr>
        <w:contextualSpacing/>
        <w:jc w:val="both"/>
        <w:rPr>
          <w:rFonts w:ascii="Century Gothic" w:eastAsia="Calibri" w:hAnsi="Century Gothic" w:cs="Arial"/>
          <w:b/>
          <w:lang w:eastAsia="es-ES_tradnl"/>
        </w:rPr>
      </w:pPr>
      <w:r w:rsidRPr="006603AC">
        <w:rPr>
          <w:rFonts w:ascii="Century Gothic" w:eastAsia="Calibri" w:hAnsi="Century Gothic" w:cs="Arial"/>
          <w:b/>
          <w:lang w:eastAsia="es-ES_tradnl"/>
        </w:rPr>
        <w:t>Valery Natalia Arboleda Gómez</w:t>
      </w:r>
    </w:p>
    <w:p w14:paraId="4A6AE4FC" w14:textId="77777777" w:rsidR="0064450E" w:rsidRPr="00035110" w:rsidRDefault="0064450E" w:rsidP="0064450E">
      <w:pPr>
        <w:contextualSpacing/>
        <w:jc w:val="both"/>
        <w:rPr>
          <w:rFonts w:ascii="Century Gothic" w:eastAsia="Calibri" w:hAnsi="Century Gothic" w:cs="Arial"/>
          <w:lang w:eastAsia="es-ES_tradnl"/>
        </w:rPr>
      </w:pPr>
      <w:r>
        <w:rPr>
          <w:rFonts w:ascii="Century Gothic" w:eastAsia="Calibri" w:hAnsi="Century Gothic" w:cs="Arial"/>
          <w:lang w:eastAsia="es-ES_tradnl"/>
        </w:rPr>
        <w:t>Medellín, Antioquia</w:t>
      </w:r>
      <w:r w:rsidRPr="00035110">
        <w:rPr>
          <w:rFonts w:ascii="Century Gothic" w:eastAsia="Calibri" w:hAnsi="Century Gothic" w:cs="Arial"/>
          <w:lang w:eastAsia="es-ES_tradnl"/>
        </w:rPr>
        <w:t xml:space="preserve">  </w:t>
      </w:r>
    </w:p>
    <w:p w14:paraId="01DF7284" w14:textId="77777777" w:rsidR="0064450E" w:rsidRPr="00035110" w:rsidRDefault="0064450E" w:rsidP="0064450E">
      <w:pPr>
        <w:contextualSpacing/>
        <w:jc w:val="both"/>
        <w:rPr>
          <w:rFonts w:ascii="Century Gothic" w:eastAsia="Calibri" w:hAnsi="Century Gothic" w:cs="Arial"/>
          <w:lang w:val="es-ES_tradnl" w:eastAsia="es-ES_tradnl"/>
        </w:rPr>
      </w:pPr>
    </w:p>
    <w:p w14:paraId="7438D2B2" w14:textId="77777777" w:rsidR="0064450E" w:rsidRPr="00035110" w:rsidRDefault="0064450E" w:rsidP="0064450E">
      <w:pPr>
        <w:contextualSpacing/>
        <w:rPr>
          <w:rFonts w:ascii="Century Gothic" w:eastAsia="Calibri" w:hAnsi="Century Gothic" w:cs="Arial"/>
          <w:b/>
          <w:lang w:val="es-ES_tradnl" w:eastAsia="es-ES_tradnl"/>
        </w:rPr>
      </w:pPr>
    </w:p>
    <w:p w14:paraId="42F7DEF7" w14:textId="77777777" w:rsidR="0064450E" w:rsidRPr="00035110" w:rsidRDefault="0064450E" w:rsidP="0064450E">
      <w:pPr>
        <w:ind w:left="2124" w:firstLine="570"/>
        <w:contextualSpacing/>
        <w:rPr>
          <w:rFonts w:ascii="Century Gothic" w:eastAsia="Calibri" w:hAnsi="Century Gothic" w:cs="Arial"/>
          <w:b/>
          <w:lang w:val="es-ES_tradnl" w:eastAsia="es-ES_tradnl"/>
        </w:rPr>
      </w:pPr>
      <w:r w:rsidRPr="00035110">
        <w:rPr>
          <w:rFonts w:ascii="Century Gothic" w:eastAsia="Calibri" w:hAnsi="Century Gothic" w:cs="Arial"/>
          <w:b/>
          <w:lang w:val="es-ES_tradnl" w:eastAsia="es-ES_tradnl"/>
        </w:rPr>
        <w:t xml:space="preserve">Concepto C – </w:t>
      </w:r>
      <w:r>
        <w:rPr>
          <w:rFonts w:ascii="Century Gothic" w:eastAsia="Calibri" w:hAnsi="Century Gothic" w:cs="Arial"/>
          <w:b/>
          <w:lang w:val="es-ES_tradnl" w:eastAsia="es-ES_tradnl"/>
        </w:rPr>
        <w:t>048</w:t>
      </w:r>
      <w:r w:rsidRPr="00035110">
        <w:rPr>
          <w:rFonts w:ascii="Century Gothic" w:eastAsia="Calibri" w:hAnsi="Century Gothic" w:cs="Arial"/>
          <w:b/>
          <w:lang w:val="es-ES_tradnl" w:eastAsia="es-ES_tradnl"/>
        </w:rPr>
        <w:t xml:space="preserve"> de 2024</w:t>
      </w:r>
    </w:p>
    <w:p w14:paraId="3A3194A7" w14:textId="77777777" w:rsidR="0064450E" w:rsidRPr="00035110" w:rsidRDefault="0064450E" w:rsidP="0064450E">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4450E" w:rsidRPr="00035110" w14:paraId="61304706" w14:textId="77777777" w:rsidTr="0087636B">
        <w:tc>
          <w:tcPr>
            <w:tcW w:w="2689" w:type="dxa"/>
          </w:tcPr>
          <w:p w14:paraId="1B20AC3A" w14:textId="77777777" w:rsidR="0064450E" w:rsidRPr="00035110" w:rsidRDefault="0064450E" w:rsidP="0087636B">
            <w:pPr>
              <w:contextualSpacing/>
              <w:jc w:val="both"/>
              <w:rPr>
                <w:rFonts w:ascii="Century Gothic" w:eastAsia="Calibri" w:hAnsi="Century Gothic" w:cs="Arial"/>
                <w:lang w:val="es-ES_tradnl" w:eastAsia="es-ES_tradnl"/>
              </w:rPr>
            </w:pPr>
            <w:r w:rsidRPr="00035110">
              <w:rPr>
                <w:rFonts w:ascii="Century Gothic" w:eastAsia="Calibri" w:hAnsi="Century Gothic" w:cs="Arial"/>
                <w:b/>
                <w:lang w:val="es-ES_tradnl" w:eastAsia="es-ES_tradnl"/>
              </w:rPr>
              <w:t>Temas:</w:t>
            </w:r>
            <w:r w:rsidRPr="00035110">
              <w:rPr>
                <w:rFonts w:ascii="Century Gothic" w:eastAsia="Calibri" w:hAnsi="Century Gothic" w:cs="Arial"/>
                <w:lang w:val="es-ES_tradnl" w:eastAsia="es-ES_tradnl"/>
              </w:rPr>
              <w:t xml:space="preserve">                                      </w:t>
            </w:r>
          </w:p>
        </w:tc>
        <w:tc>
          <w:tcPr>
            <w:tcW w:w="6237" w:type="dxa"/>
          </w:tcPr>
          <w:p w14:paraId="4F7BF394" w14:textId="77777777" w:rsidR="0064450E" w:rsidRPr="00035110" w:rsidRDefault="0064450E" w:rsidP="0087636B">
            <w:pPr>
              <w:spacing w:after="120"/>
              <w:contextualSpacing/>
              <w:jc w:val="both"/>
              <w:rPr>
                <w:rFonts w:ascii="Century Gothic" w:eastAsia="Calibri" w:hAnsi="Century Gothic" w:cs="Arial"/>
                <w:lang w:val="es-MX" w:eastAsia="es-ES_tradnl"/>
              </w:rPr>
            </w:pPr>
            <w:r w:rsidRPr="006634C4">
              <w:rPr>
                <w:rFonts w:ascii="Century Gothic" w:eastAsia="Calibri" w:hAnsi="Century Gothic" w:cs="Arial"/>
                <w:lang w:val="es-MX" w:eastAsia="es-ES_tradnl"/>
              </w:rPr>
              <w:t xml:space="preserve">PROPONENTE PLURAL </w:t>
            </w:r>
            <w:r w:rsidRPr="006634C4">
              <w:rPr>
                <w:rFonts w:ascii="Arial" w:eastAsia="Calibri" w:hAnsi="Arial" w:cs="Arial"/>
                <w:lang w:val="es-MX" w:eastAsia="es-ES_tradnl"/>
              </w:rPr>
              <w:t>‒</w:t>
            </w:r>
            <w:r w:rsidRPr="006634C4">
              <w:rPr>
                <w:rFonts w:ascii="Century Gothic" w:eastAsia="Calibri" w:hAnsi="Century Gothic" w:cs="Arial"/>
                <w:lang w:val="es-MX" w:eastAsia="es-ES_tradnl"/>
              </w:rPr>
              <w:t xml:space="preserve"> Consorcio </w:t>
            </w:r>
            <w:r w:rsidRPr="006634C4">
              <w:rPr>
                <w:rFonts w:ascii="Arial" w:eastAsia="Calibri" w:hAnsi="Arial" w:cs="Arial"/>
                <w:lang w:val="es-MX" w:eastAsia="es-ES_tradnl"/>
              </w:rPr>
              <w:t>‒</w:t>
            </w:r>
            <w:r w:rsidRPr="006634C4">
              <w:rPr>
                <w:rFonts w:ascii="Century Gothic" w:eastAsia="Calibri" w:hAnsi="Century Gothic" w:cs="Arial"/>
                <w:lang w:val="es-MX" w:eastAsia="es-ES_tradnl"/>
              </w:rPr>
              <w:t xml:space="preserve"> Uni</w:t>
            </w:r>
            <w:r w:rsidRPr="006634C4">
              <w:rPr>
                <w:rFonts w:ascii="Century Gothic" w:eastAsia="Calibri" w:hAnsi="Century Gothic" w:cs="Century Gothic"/>
                <w:lang w:val="es-MX" w:eastAsia="es-ES_tradnl"/>
              </w:rPr>
              <w:t>ó</w:t>
            </w:r>
            <w:r w:rsidRPr="006634C4">
              <w:rPr>
                <w:rFonts w:ascii="Century Gothic" w:eastAsia="Calibri" w:hAnsi="Century Gothic" w:cs="Arial"/>
                <w:lang w:val="es-MX" w:eastAsia="es-ES_tradnl"/>
              </w:rPr>
              <w:t xml:space="preserve">n temporal </w:t>
            </w:r>
            <w:r w:rsidRPr="006634C4">
              <w:rPr>
                <w:rFonts w:ascii="Arial" w:eastAsia="Calibri" w:hAnsi="Arial" w:cs="Arial"/>
                <w:lang w:val="es-MX" w:eastAsia="es-ES_tradnl"/>
              </w:rPr>
              <w:t>‒</w:t>
            </w:r>
            <w:r w:rsidRPr="006634C4">
              <w:rPr>
                <w:rFonts w:ascii="Century Gothic" w:eastAsia="Calibri" w:hAnsi="Century Gothic" w:cs="Arial"/>
                <w:lang w:val="es-MX" w:eastAsia="es-ES_tradnl"/>
              </w:rPr>
              <w:t xml:space="preserve"> Concepto </w:t>
            </w:r>
            <w:r w:rsidRPr="006634C4">
              <w:rPr>
                <w:rFonts w:ascii="Century Gothic" w:eastAsia="Calibri" w:hAnsi="Century Gothic" w:cs="Century Gothic"/>
                <w:lang w:val="es-MX" w:eastAsia="es-ES_tradnl"/>
              </w:rPr>
              <w:t>–</w:t>
            </w:r>
            <w:r w:rsidRPr="006634C4">
              <w:rPr>
                <w:rFonts w:ascii="Century Gothic" w:eastAsia="Calibri" w:hAnsi="Century Gothic" w:cs="Arial"/>
                <w:lang w:val="es-MX" w:eastAsia="es-ES_tradnl"/>
              </w:rPr>
              <w:t xml:space="preserve"> Diferencias</w:t>
            </w:r>
            <w:r>
              <w:rPr>
                <w:rFonts w:ascii="Century Gothic" w:eastAsia="Calibri" w:hAnsi="Century Gothic" w:cs="Arial"/>
                <w:lang w:val="es-MX" w:eastAsia="es-ES_tradnl"/>
              </w:rPr>
              <w:t xml:space="preserve"> </w:t>
            </w:r>
            <w:r w:rsidRPr="00035110">
              <w:rPr>
                <w:rFonts w:ascii="Century Gothic" w:eastAsia="Calibri" w:hAnsi="Century Gothic" w:cs="Arial"/>
                <w:lang w:val="es-MX" w:eastAsia="es-ES_tradnl"/>
              </w:rPr>
              <w:t xml:space="preserve">/ </w:t>
            </w:r>
            <w:r w:rsidRPr="00397BF2">
              <w:rPr>
                <w:rFonts w:ascii="Century Gothic" w:eastAsia="Calibri" w:hAnsi="Century Gothic" w:cs="Arial"/>
                <w:lang w:val="es-MX" w:eastAsia="es-ES_tradnl"/>
              </w:rPr>
              <w:t xml:space="preserve">CONVOCATORIAS LIMITADAS A MIPYMES – Legitimación – Integrantes del consorcio o unión temporal – Documentación </w:t>
            </w:r>
          </w:p>
          <w:p w14:paraId="613C4BAE" w14:textId="77777777" w:rsidR="0064450E" w:rsidRPr="00035110" w:rsidRDefault="0064450E" w:rsidP="0087636B">
            <w:pPr>
              <w:spacing w:after="120"/>
              <w:contextualSpacing/>
              <w:jc w:val="both"/>
              <w:rPr>
                <w:rFonts w:ascii="Century Gothic" w:eastAsia="Calibri" w:hAnsi="Century Gothic" w:cs="Arial"/>
                <w:sz w:val="12"/>
                <w:szCs w:val="12"/>
                <w:lang w:val="es-ES_tradnl" w:eastAsia="es-ES_tradnl"/>
              </w:rPr>
            </w:pPr>
          </w:p>
        </w:tc>
      </w:tr>
      <w:tr w:rsidR="0064450E" w:rsidRPr="00035110" w14:paraId="6C9008D9" w14:textId="77777777" w:rsidTr="0087636B">
        <w:trPr>
          <w:trHeight w:val="227"/>
        </w:trPr>
        <w:tc>
          <w:tcPr>
            <w:tcW w:w="2689" w:type="dxa"/>
          </w:tcPr>
          <w:p w14:paraId="142191D7" w14:textId="77777777" w:rsidR="0064450E" w:rsidRPr="00035110" w:rsidRDefault="0064450E" w:rsidP="0087636B">
            <w:pPr>
              <w:contextualSpacing/>
              <w:jc w:val="both"/>
              <w:rPr>
                <w:rFonts w:ascii="Century Gothic" w:eastAsia="Calibri" w:hAnsi="Century Gothic" w:cs="Arial"/>
                <w:b/>
                <w:lang w:val="es-ES_tradnl" w:eastAsia="es-ES_tradnl"/>
              </w:rPr>
            </w:pPr>
            <w:r w:rsidRPr="00035110">
              <w:rPr>
                <w:rFonts w:ascii="Century Gothic" w:eastAsia="Calibri" w:hAnsi="Century Gothic" w:cs="Arial"/>
                <w:b/>
                <w:lang w:val="es-ES_tradnl" w:eastAsia="es-ES_tradnl"/>
              </w:rPr>
              <w:t>Radicación:</w:t>
            </w:r>
            <w:r w:rsidRPr="00035110">
              <w:rPr>
                <w:rFonts w:ascii="Century Gothic" w:eastAsia="Calibri" w:hAnsi="Century Gothic" w:cs="Arial"/>
                <w:lang w:val="es-ES_tradnl" w:eastAsia="es-ES_tradnl"/>
              </w:rPr>
              <w:t xml:space="preserve">                             </w:t>
            </w:r>
          </w:p>
        </w:tc>
        <w:tc>
          <w:tcPr>
            <w:tcW w:w="6237" w:type="dxa"/>
          </w:tcPr>
          <w:p w14:paraId="66E4A4B8" w14:textId="77777777" w:rsidR="0064450E" w:rsidRPr="00035110" w:rsidRDefault="0064450E" w:rsidP="0087636B">
            <w:pPr>
              <w:contextualSpacing/>
              <w:jc w:val="both"/>
              <w:rPr>
                <w:rFonts w:ascii="Century Gothic" w:eastAsia="Calibri" w:hAnsi="Century Gothic" w:cs="Arial"/>
                <w:lang w:val="es-ES_tradnl" w:eastAsia="es-ES_tradnl"/>
              </w:rPr>
            </w:pPr>
            <w:r w:rsidRPr="00035110">
              <w:rPr>
                <w:rFonts w:ascii="Century Gothic" w:eastAsia="Calibri" w:hAnsi="Century Gothic" w:cs="Arial"/>
                <w:lang w:val="es-ES_tradnl" w:eastAsia="es-ES_tradnl"/>
              </w:rPr>
              <w:t xml:space="preserve">Respuesta a la consulta </w:t>
            </w:r>
            <w:r w:rsidRPr="006603AC">
              <w:rPr>
                <w:rFonts w:ascii="Century Gothic" w:eastAsia="Calibri" w:hAnsi="Century Gothic" w:cs="Arial"/>
                <w:lang w:val="es-ES_tradnl" w:eastAsia="es-ES_tradnl"/>
              </w:rPr>
              <w:t>P20240313002800</w:t>
            </w:r>
          </w:p>
        </w:tc>
      </w:tr>
    </w:tbl>
    <w:p w14:paraId="6CB05D26" w14:textId="77777777" w:rsidR="0064450E" w:rsidRPr="00035110" w:rsidRDefault="0064450E" w:rsidP="0064450E">
      <w:pPr>
        <w:contextualSpacing/>
        <w:jc w:val="both"/>
        <w:rPr>
          <w:rFonts w:ascii="Century Gothic" w:eastAsia="Calibri" w:hAnsi="Century Gothic" w:cs="Arial"/>
          <w:lang w:val="es-ES_tradnl" w:eastAsia="es-ES_tradnl"/>
        </w:rPr>
      </w:pPr>
    </w:p>
    <w:p w14:paraId="44F25F6F" w14:textId="77777777" w:rsidR="0064450E" w:rsidRPr="00035110" w:rsidRDefault="0064450E" w:rsidP="0064450E">
      <w:pPr>
        <w:contextualSpacing/>
        <w:jc w:val="both"/>
        <w:rPr>
          <w:rFonts w:ascii="Century Gothic" w:eastAsia="Calibri" w:hAnsi="Century Gothic" w:cs="Arial"/>
          <w:lang w:val="es-ES_tradnl" w:eastAsia="es-ES_tradnl"/>
        </w:rPr>
      </w:pPr>
    </w:p>
    <w:p w14:paraId="2143FD11" w14:textId="77777777" w:rsidR="0064450E" w:rsidRPr="00035110" w:rsidRDefault="0064450E" w:rsidP="0064450E">
      <w:pPr>
        <w:contextualSpacing/>
        <w:jc w:val="both"/>
        <w:rPr>
          <w:rFonts w:ascii="Century Gothic" w:eastAsia="Calibri" w:hAnsi="Century Gothic" w:cs="Arial"/>
          <w:lang w:val="es-ES" w:eastAsia="es-ES"/>
        </w:rPr>
      </w:pPr>
      <w:r w:rsidRPr="00035110">
        <w:rPr>
          <w:rFonts w:ascii="Century Gothic" w:eastAsia="Calibri" w:hAnsi="Century Gothic" w:cs="Arial"/>
          <w:lang w:val="es-ES" w:eastAsia="es-ES"/>
        </w:rPr>
        <w:t>Respetad</w:t>
      </w:r>
      <w:r>
        <w:rPr>
          <w:rFonts w:ascii="Century Gothic" w:eastAsia="Calibri" w:hAnsi="Century Gothic" w:cs="Arial"/>
          <w:lang w:val="es-ES" w:eastAsia="es-ES"/>
        </w:rPr>
        <w:t>a</w:t>
      </w:r>
      <w:r w:rsidRPr="00035110">
        <w:rPr>
          <w:rFonts w:ascii="Century Gothic" w:eastAsia="Calibri" w:hAnsi="Century Gothic" w:cs="Arial"/>
          <w:lang w:val="es-ES" w:eastAsia="es-ES"/>
        </w:rPr>
        <w:t xml:space="preserve"> señor</w:t>
      </w:r>
      <w:r>
        <w:rPr>
          <w:rFonts w:ascii="Century Gothic" w:eastAsia="Calibri" w:hAnsi="Century Gothic" w:cs="Arial"/>
          <w:lang w:val="es-ES" w:eastAsia="es-ES"/>
        </w:rPr>
        <w:t>a</w:t>
      </w:r>
      <w:r w:rsidRPr="00035110">
        <w:rPr>
          <w:rFonts w:ascii="Century Gothic" w:eastAsia="Calibri" w:hAnsi="Century Gothic" w:cs="Arial"/>
          <w:lang w:val="es-ES" w:eastAsia="es-ES"/>
        </w:rPr>
        <w:t xml:space="preserve"> </w:t>
      </w:r>
      <w:r w:rsidRPr="006603AC">
        <w:rPr>
          <w:rFonts w:ascii="Century Gothic" w:eastAsia="Times New Roman" w:hAnsi="Century Gothic" w:cs="Arial"/>
          <w:lang w:eastAsia="es-ES"/>
        </w:rPr>
        <w:t>Arboleda Gómez</w:t>
      </w:r>
      <w:r w:rsidRPr="00035110">
        <w:rPr>
          <w:rFonts w:ascii="Century Gothic" w:eastAsia="Calibri" w:hAnsi="Century Gothic" w:cs="Arial"/>
          <w:lang w:val="es-ES" w:eastAsia="es-ES"/>
        </w:rPr>
        <w:t xml:space="preserve">: </w:t>
      </w:r>
    </w:p>
    <w:p w14:paraId="4850438D" w14:textId="77777777" w:rsidR="0064450E" w:rsidRPr="00035110" w:rsidRDefault="0064450E" w:rsidP="0064450E">
      <w:pPr>
        <w:spacing w:line="276" w:lineRule="auto"/>
        <w:contextualSpacing/>
        <w:jc w:val="both"/>
        <w:rPr>
          <w:rFonts w:ascii="Century Gothic" w:eastAsia="Calibri" w:hAnsi="Century Gothic" w:cs="Arial"/>
          <w:szCs w:val="24"/>
          <w:lang w:val="es-ES_tradnl" w:eastAsia="es-ES_tradnl"/>
        </w:rPr>
      </w:pPr>
    </w:p>
    <w:bookmarkEnd w:id="0"/>
    <w:bookmarkEnd w:id="1"/>
    <w:p w14:paraId="4A3C51E9" w14:textId="77777777" w:rsidR="0064450E" w:rsidRPr="00035110" w:rsidRDefault="0064450E" w:rsidP="0064450E">
      <w:pPr>
        <w:spacing w:after="0" w:line="276" w:lineRule="auto"/>
        <w:jc w:val="both"/>
        <w:rPr>
          <w:rFonts w:ascii="Century Gothic" w:eastAsia="Calibri" w:hAnsi="Century Gothic" w:cs="Arial"/>
          <w:color w:val="000000" w:themeColor="text1"/>
          <w:lang w:val="es-ES_tradnl"/>
        </w:rPr>
      </w:pPr>
      <w:r w:rsidRPr="00035110">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035110">
        <w:rPr>
          <w:rFonts w:ascii="Century Gothic" w:eastAsia="Arial MT" w:hAnsi="Century Gothic" w:cs="Arial"/>
          <w:lang w:val="es-ES"/>
        </w:rPr>
        <w:t xml:space="preserve">, </w:t>
      </w:r>
      <w:bookmarkEnd w:id="3"/>
      <w:r w:rsidRPr="00035110">
        <w:rPr>
          <w:rFonts w:ascii="Century Gothic" w:eastAsia="Calibri" w:hAnsi="Century Gothic" w:cs="Arial"/>
          <w:color w:val="000000" w:themeColor="text1"/>
          <w:lang w:val="es-ES_tradnl"/>
        </w:rPr>
        <w:t xml:space="preserve">la Agencia Nacional de Contratación Pública – Colombia Compra Eficiente responde la petición radicada el </w:t>
      </w:r>
      <w:r>
        <w:rPr>
          <w:rFonts w:ascii="Century Gothic" w:eastAsia="Calibri" w:hAnsi="Century Gothic" w:cs="Arial"/>
          <w:color w:val="000000" w:themeColor="text1"/>
          <w:lang w:val="es-ES_tradnl"/>
        </w:rPr>
        <w:t>13</w:t>
      </w:r>
      <w:r w:rsidRPr="00035110">
        <w:rPr>
          <w:rFonts w:ascii="Century Gothic" w:eastAsia="Calibri" w:hAnsi="Century Gothic" w:cs="Arial"/>
          <w:color w:val="000000" w:themeColor="text1"/>
          <w:lang w:val="es-ES_tradnl"/>
        </w:rPr>
        <w:t xml:space="preserve"> de marzo de 2024.</w:t>
      </w:r>
    </w:p>
    <w:p w14:paraId="071F41BF" w14:textId="77777777" w:rsidR="0064450E" w:rsidRPr="00035110" w:rsidRDefault="0064450E" w:rsidP="0064450E">
      <w:pPr>
        <w:spacing w:after="0" w:line="276" w:lineRule="auto"/>
        <w:jc w:val="both"/>
        <w:rPr>
          <w:rFonts w:ascii="Century Gothic" w:eastAsia="Calibri" w:hAnsi="Century Gothic" w:cs="Arial"/>
          <w:b/>
          <w:color w:val="000000" w:themeColor="text1"/>
          <w:lang w:val="es-ES_tradnl"/>
        </w:rPr>
      </w:pPr>
    </w:p>
    <w:p w14:paraId="5529F7A7" w14:textId="77777777" w:rsidR="0064450E" w:rsidRPr="00035110" w:rsidRDefault="0064450E" w:rsidP="0064450E">
      <w:pPr>
        <w:pStyle w:val="Prrafodelista"/>
        <w:numPr>
          <w:ilvl w:val="0"/>
          <w:numId w:val="6"/>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035110">
        <w:rPr>
          <w:rFonts w:ascii="Century Gothic" w:eastAsia="Calibri" w:hAnsi="Century Gothic" w:cs="Arial"/>
          <w:b/>
          <w:color w:val="000000" w:themeColor="text1"/>
          <w:lang w:val="es-ES_tradnl"/>
        </w:rPr>
        <w:t>Problema</w:t>
      </w:r>
      <w:r>
        <w:rPr>
          <w:rFonts w:ascii="Century Gothic" w:eastAsia="Calibri" w:hAnsi="Century Gothic" w:cs="Arial"/>
          <w:b/>
          <w:color w:val="000000" w:themeColor="text1"/>
          <w:lang w:val="es-ES_tradnl"/>
        </w:rPr>
        <w:t>s</w:t>
      </w:r>
      <w:r w:rsidRPr="00035110">
        <w:rPr>
          <w:rFonts w:ascii="Century Gothic" w:eastAsia="Calibri" w:hAnsi="Century Gothic" w:cs="Arial"/>
          <w:b/>
          <w:color w:val="000000" w:themeColor="text1"/>
          <w:lang w:val="es-ES_tradnl"/>
        </w:rPr>
        <w:t xml:space="preserve"> planteado</w:t>
      </w:r>
      <w:r>
        <w:rPr>
          <w:rFonts w:ascii="Century Gothic" w:eastAsia="Calibri" w:hAnsi="Century Gothic" w:cs="Arial"/>
          <w:b/>
          <w:color w:val="000000" w:themeColor="text1"/>
          <w:lang w:val="es-ES_tradnl"/>
        </w:rPr>
        <w:t>s</w:t>
      </w:r>
      <w:r w:rsidRPr="00035110">
        <w:rPr>
          <w:rFonts w:ascii="Century Gothic" w:eastAsia="Calibri" w:hAnsi="Century Gothic" w:cs="Arial"/>
          <w:b/>
          <w:color w:val="000000" w:themeColor="text1"/>
          <w:lang w:val="es-ES_tradnl"/>
        </w:rPr>
        <w:t xml:space="preserve"> </w:t>
      </w:r>
    </w:p>
    <w:p w14:paraId="460EB582" w14:textId="77777777" w:rsidR="0064450E" w:rsidRPr="00035110" w:rsidRDefault="0064450E" w:rsidP="0064450E">
      <w:pPr>
        <w:tabs>
          <w:tab w:val="left" w:pos="426"/>
        </w:tabs>
        <w:spacing w:after="0" w:line="276" w:lineRule="auto"/>
        <w:jc w:val="both"/>
        <w:rPr>
          <w:rFonts w:ascii="Century Gothic" w:eastAsia="Calibri" w:hAnsi="Century Gothic" w:cs="Arial"/>
          <w:b/>
          <w:color w:val="000000" w:themeColor="text1"/>
          <w:lang w:val="es-ES_tradnl"/>
        </w:rPr>
      </w:pPr>
    </w:p>
    <w:p w14:paraId="3D560F06" w14:textId="77777777" w:rsidR="0064450E" w:rsidRPr="00035110" w:rsidRDefault="0064450E" w:rsidP="49097B2D">
      <w:pPr>
        <w:spacing w:after="0" w:line="276" w:lineRule="auto"/>
        <w:jc w:val="both"/>
        <w:rPr>
          <w:rFonts w:ascii="Century Gothic" w:hAnsi="Century Gothic" w:cs="Arial"/>
          <w:color w:val="000000" w:themeColor="text1"/>
          <w:lang w:val="es-ES"/>
        </w:rPr>
      </w:pPr>
      <w:bookmarkStart w:id="4" w:name="_Hlk132728388"/>
      <w:bookmarkStart w:id="5" w:name="_Hlk142917142"/>
      <w:r w:rsidRPr="49097B2D">
        <w:rPr>
          <w:rFonts w:ascii="Century Gothic" w:hAnsi="Century Gothic" w:cs="Arial"/>
          <w:color w:val="000000" w:themeColor="text1"/>
          <w:lang w:val="es-ES"/>
        </w:rPr>
        <w:t xml:space="preserve">Usted realiza las siguientes preguntas: i) “Cuando una unión temporal solicita limitar a MIPYMES un proceso contractual ¿qué documentos debe aportar para la acreditación de su estado como MIPYME y a través de quién debe hacerlo? Es decir, ¿la solicitud de limitación debe ir acompañada con los documentos de existencia de cada una de las empresas que componen la Unión temporal o basta con el documento de la conformación de la sociedad?” y </w:t>
      </w:r>
      <w:proofErr w:type="spellStart"/>
      <w:r w:rsidRPr="49097B2D">
        <w:rPr>
          <w:rFonts w:ascii="Century Gothic" w:hAnsi="Century Gothic" w:cs="Arial"/>
          <w:color w:val="000000" w:themeColor="text1"/>
          <w:lang w:val="es-ES"/>
        </w:rPr>
        <w:t>ii</w:t>
      </w:r>
      <w:proofErr w:type="spellEnd"/>
      <w:r w:rsidRPr="49097B2D">
        <w:rPr>
          <w:rFonts w:ascii="Century Gothic" w:hAnsi="Century Gothic" w:cs="Arial"/>
          <w:color w:val="000000" w:themeColor="text1"/>
          <w:lang w:val="es-ES"/>
        </w:rPr>
        <w:t xml:space="preserve">) “Adicionalmente, ¿es el revisor Fiscal o el representante legal de la sociedad quien debe acreditar el </w:t>
      </w:r>
      <w:r w:rsidRPr="49097B2D">
        <w:rPr>
          <w:rFonts w:ascii="Century Gothic" w:hAnsi="Century Gothic" w:cs="Arial"/>
          <w:color w:val="000000" w:themeColor="text1"/>
          <w:lang w:val="es-ES"/>
        </w:rPr>
        <w:lastRenderedPageBreak/>
        <w:t xml:space="preserve">estado de </w:t>
      </w:r>
      <w:proofErr w:type="spellStart"/>
      <w:r w:rsidRPr="49097B2D">
        <w:rPr>
          <w:rFonts w:ascii="Century Gothic" w:hAnsi="Century Gothic" w:cs="Arial"/>
          <w:color w:val="000000" w:themeColor="text1"/>
          <w:lang w:val="es-ES"/>
        </w:rPr>
        <w:t>Mipyme</w:t>
      </w:r>
      <w:proofErr w:type="spellEnd"/>
      <w:r w:rsidRPr="49097B2D">
        <w:rPr>
          <w:rFonts w:ascii="Century Gothic" w:hAnsi="Century Gothic" w:cs="Arial"/>
          <w:color w:val="000000" w:themeColor="text1"/>
          <w:lang w:val="es-ES"/>
        </w:rPr>
        <w:t>? y si es el revisor fiscal, ¿debe aportar los documentos como tarjeta profesional y antecedentes disciplinarios de la profesión?”.</w:t>
      </w:r>
    </w:p>
    <w:p w14:paraId="298B2802" w14:textId="77777777" w:rsidR="0064450E" w:rsidRPr="00035110" w:rsidRDefault="0064450E" w:rsidP="0064450E">
      <w:pPr>
        <w:spacing w:after="0" w:line="276" w:lineRule="auto"/>
        <w:jc w:val="both"/>
        <w:rPr>
          <w:rFonts w:ascii="Century Gothic" w:hAnsi="Century Gothic" w:cs="Arial"/>
          <w:color w:val="000000" w:themeColor="text1"/>
          <w:lang w:val="es-ES_tradnl"/>
        </w:rPr>
      </w:pPr>
    </w:p>
    <w:bookmarkEnd w:id="4"/>
    <w:bookmarkEnd w:id="5"/>
    <w:p w14:paraId="5A8A8B7F" w14:textId="77777777" w:rsidR="0064450E" w:rsidRPr="00035110" w:rsidRDefault="0064450E" w:rsidP="0064450E">
      <w:pPr>
        <w:pStyle w:val="Prrafodelista"/>
        <w:numPr>
          <w:ilvl w:val="0"/>
          <w:numId w:val="6"/>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035110">
        <w:rPr>
          <w:rFonts w:ascii="Century Gothic" w:eastAsia="Calibri" w:hAnsi="Century Gothic" w:cs="Arial"/>
          <w:b/>
          <w:color w:val="000000" w:themeColor="text1"/>
          <w:lang w:val="es-ES_tradnl"/>
        </w:rPr>
        <w:t>Consideraciones</w:t>
      </w:r>
    </w:p>
    <w:p w14:paraId="10167EE0" w14:textId="77777777" w:rsidR="0064450E" w:rsidRPr="00035110" w:rsidRDefault="0064450E" w:rsidP="0064450E">
      <w:pPr>
        <w:spacing w:after="0" w:line="276" w:lineRule="auto"/>
        <w:jc w:val="both"/>
        <w:rPr>
          <w:rFonts w:ascii="Century Gothic" w:eastAsia="Calibri" w:hAnsi="Century Gothic" w:cs="Arial"/>
          <w:color w:val="000000" w:themeColor="text1"/>
          <w:lang w:val="es-ES"/>
        </w:rPr>
      </w:pPr>
    </w:p>
    <w:p w14:paraId="4A0E14E4" w14:textId="77777777" w:rsidR="0064450E" w:rsidRDefault="0064450E" w:rsidP="0064450E">
      <w:pPr>
        <w:spacing w:after="120" w:line="276" w:lineRule="auto"/>
        <w:jc w:val="both"/>
        <w:rPr>
          <w:rFonts w:ascii="Century Gothic" w:hAnsi="Century Gothic" w:cs="Arial"/>
          <w:lang w:val="es-ES"/>
        </w:rPr>
      </w:pPr>
      <w:r>
        <w:rPr>
          <w:rFonts w:ascii="Century Gothic" w:hAnsi="Century Gothic" w:cs="Arial"/>
        </w:rPr>
        <w:t>Conforme a los</w:t>
      </w:r>
      <w:r w:rsidRPr="000B379D">
        <w:rPr>
          <w:rFonts w:ascii="Century Gothic" w:hAnsi="Century Gothic" w:cs="Arial"/>
        </w:rPr>
        <w:t xml:space="preserve"> artículos 3, numeral 5 y 1, numeral 8 del Decreto Ley 4170 de 2011, la Agencia Nacional de Contratación Pública resuelve las consultas sobre temáticas de la contratación estatal y compras públicas relacionadas en los artículos </w:t>
      </w:r>
      <w:r w:rsidRPr="000B379D">
        <w:rPr>
          <w:rFonts w:ascii="Century Gothic" w:hAnsi="Century Gothic" w:cs="Arial"/>
          <w:lang w:val="es-ES"/>
        </w:rPr>
        <w:t>citados</w:t>
      </w:r>
      <w:r w:rsidRPr="000B379D">
        <w:rPr>
          <w:rFonts w:ascii="Century Gothic" w:hAnsi="Century Gothic" w:cs="Arial"/>
          <w:vertAlign w:val="superscript"/>
          <w:lang w:val="es-ES"/>
        </w:rPr>
        <w:footnoteReference w:id="1"/>
      </w:r>
      <w:r w:rsidRPr="000B379D">
        <w:rPr>
          <w:rFonts w:ascii="Century Gothic" w:hAnsi="Century Gothic" w:cs="Arial"/>
          <w:lang w:val="es-ES"/>
        </w:rPr>
        <w:t xml:space="preserve">. </w:t>
      </w:r>
      <w:r>
        <w:rPr>
          <w:rFonts w:ascii="Century Gothic" w:hAnsi="Century Gothic" w:cs="Arial"/>
          <w:lang w:val="es-ES"/>
        </w:rPr>
        <w:t>E</w:t>
      </w:r>
      <w:r w:rsidRPr="000B379D">
        <w:rPr>
          <w:rFonts w:ascii="Century Gothic" w:hAnsi="Century Gothic" w:cs="Arial"/>
          <w:lang w:val="es-ES"/>
        </w:rPr>
        <w:t>sta entidad solo tiene competencia para responder solicitudes sobre la interpretación de normas de carácter general en materia de compras y contratación pública</w:t>
      </w:r>
      <w:r>
        <w:rPr>
          <w:rFonts w:ascii="Century Gothic" w:hAnsi="Century Gothic" w:cs="Arial"/>
          <w:lang w:val="es-ES"/>
        </w:rPr>
        <w:t>, esto</w:t>
      </w:r>
      <w:r w:rsidRPr="000B379D">
        <w:rPr>
          <w:rFonts w:ascii="Century Gothic" w:hAnsi="Century Gothic" w:cs="Arial"/>
          <w:lang w:val="es-ES"/>
        </w:rPr>
        <w:t xml:space="preserve"> con el objeto de evitar que la Agencia actúe como una instancia de validación de las actuaciones de las entidades </w:t>
      </w:r>
      <w:r>
        <w:rPr>
          <w:rFonts w:ascii="Century Gothic" w:hAnsi="Century Gothic" w:cs="Arial"/>
          <w:lang w:val="es-ES"/>
        </w:rPr>
        <w:t>estatales. De esta manera</w:t>
      </w:r>
      <w:r w:rsidRPr="000B379D">
        <w:rPr>
          <w:rFonts w:ascii="Century Gothic" w:hAnsi="Century Gothic" w:cs="Arial"/>
          <w:lang w:val="es-ES"/>
        </w:rPr>
        <w:t xml:space="preserve">, </w:t>
      </w:r>
      <w:r>
        <w:rPr>
          <w:rFonts w:ascii="Century Gothic" w:hAnsi="Century Gothic" w:cs="Arial"/>
          <w:lang w:val="es-ES"/>
        </w:rPr>
        <w:t xml:space="preserve">la función consultiva </w:t>
      </w:r>
      <w:r w:rsidRPr="000B379D">
        <w:rPr>
          <w:rFonts w:ascii="Century Gothic" w:hAnsi="Century Gothic" w:cs="Arial"/>
          <w:lang w:val="es-ES"/>
        </w:rPr>
        <w:t>no pu</w:t>
      </w:r>
      <w:r>
        <w:rPr>
          <w:rFonts w:ascii="Century Gothic" w:hAnsi="Century Gothic" w:cs="Arial"/>
          <w:lang w:val="es-ES"/>
        </w:rPr>
        <w:t>ede</w:t>
      </w:r>
      <w:r w:rsidRPr="000B379D">
        <w:rPr>
          <w:rFonts w:ascii="Century Gothic" w:hAnsi="Century Gothic" w:cs="Arial"/>
          <w:lang w:val="es-ES"/>
        </w:rPr>
        <w:t xml:space="preserve"> extenderse a la resolución de controversias</w:t>
      </w:r>
      <w:r>
        <w:rPr>
          <w:rFonts w:ascii="Century Gothic" w:hAnsi="Century Gothic" w:cs="Arial"/>
          <w:lang w:val="es-ES"/>
        </w:rPr>
        <w:t xml:space="preserve"> ni </w:t>
      </w:r>
      <w:r w:rsidRPr="000B379D">
        <w:rPr>
          <w:rFonts w:ascii="Century Gothic" w:hAnsi="Century Gothic" w:cs="Arial"/>
          <w:lang w:val="es-ES"/>
        </w:rPr>
        <w:t>brindar asesorías sobre casos puntuales</w:t>
      </w:r>
      <w:r>
        <w:rPr>
          <w:rFonts w:ascii="Century Gothic" w:hAnsi="Century Gothic" w:cs="Arial"/>
          <w:lang w:val="es-ES"/>
        </w:rPr>
        <w:t xml:space="preserve">. </w:t>
      </w:r>
    </w:p>
    <w:p w14:paraId="19444D8A" w14:textId="77777777" w:rsidR="0064450E" w:rsidRPr="009E212A" w:rsidRDefault="0064450E" w:rsidP="0064450E">
      <w:pPr>
        <w:spacing w:after="120" w:line="276" w:lineRule="auto"/>
        <w:ind w:firstLine="708"/>
        <w:jc w:val="both"/>
        <w:rPr>
          <w:rFonts w:ascii="Century Gothic" w:hAnsi="Century Gothic" w:cs="Arial"/>
          <w:lang w:val="es-ES"/>
        </w:rPr>
      </w:pPr>
      <w:r>
        <w:rPr>
          <w:rFonts w:ascii="Century Gothic" w:hAnsi="Century Gothic" w:cs="Arial"/>
          <w:lang w:val="es-ES"/>
        </w:rPr>
        <w:t xml:space="preserve">Por ello, </w:t>
      </w:r>
      <w:r w:rsidRPr="000B379D">
        <w:rPr>
          <w:rFonts w:ascii="Century Gothic" w:hAnsi="Century Gothic" w:cs="Arial"/>
        </w:rPr>
        <w:t>Colombia Compra Eficiente</w:t>
      </w:r>
      <w:r w:rsidRPr="00FA6BF6">
        <w:rPr>
          <w:rFonts w:ascii="Century Gothic" w:hAnsi="Century Gothic" w:cs="Arial"/>
          <w:lang w:val="es-ES"/>
        </w:rPr>
        <w:t xml:space="preserve"> –dentro de los límites de sus atribuciones, esto es, haciendo abstracción </w:t>
      </w:r>
      <w:r>
        <w:rPr>
          <w:rFonts w:ascii="Century Gothic" w:hAnsi="Century Gothic" w:cs="Arial"/>
          <w:lang w:val="es-ES"/>
        </w:rPr>
        <w:t>de cualquier situación concreta que afronten las entidades públicas en sus procesos</w:t>
      </w:r>
      <w:r w:rsidRPr="00FA6BF6">
        <w:rPr>
          <w:rFonts w:ascii="Century Gothic" w:hAnsi="Century Gothic" w:cs="Arial"/>
          <w:lang w:val="es-ES"/>
        </w:rPr>
        <w:t>– resolverá la consulta conforme a las normas generales en materia de contratación estatal</w:t>
      </w:r>
      <w:r>
        <w:rPr>
          <w:rFonts w:ascii="Century Gothic" w:hAnsi="Century Gothic" w:cs="Arial"/>
          <w:lang w:val="es-ES"/>
        </w:rPr>
        <w:t xml:space="preserve">. </w:t>
      </w:r>
      <w:r w:rsidRPr="00035110">
        <w:rPr>
          <w:rFonts w:ascii="Century Gothic" w:eastAsia="Calibri" w:hAnsi="Century Gothic" w:cs="Arial"/>
        </w:rPr>
        <w:t xml:space="preserve">Con este objetivo se abordarán </w:t>
      </w:r>
      <w:r w:rsidRPr="00035110">
        <w:rPr>
          <w:rFonts w:ascii="Century Gothic" w:eastAsia="Calibri" w:hAnsi="Century Gothic" w:cs="Arial"/>
          <w:lang w:val="es-ES"/>
        </w:rPr>
        <w:t>los siguientes temas:</w:t>
      </w:r>
      <w:r w:rsidRPr="00035110">
        <w:rPr>
          <w:rFonts w:ascii="Century Gothic" w:hAnsi="Century Gothic" w:cs="Arial"/>
          <w:color w:val="000000" w:themeColor="text1"/>
          <w:lang w:val="es-ES"/>
        </w:rPr>
        <w:t xml:space="preserve"> </w:t>
      </w:r>
      <w:r w:rsidRPr="00035110">
        <w:rPr>
          <w:rFonts w:ascii="Century Gothic" w:hAnsi="Century Gothic" w:cs="Arial"/>
          <w:color w:val="000000" w:themeColor="text1"/>
          <w:lang w:val="es-ES_tradnl"/>
        </w:rPr>
        <w:t>i) naturaleza jurídica de los consorcios y las uniones temporales</w:t>
      </w:r>
      <w:r>
        <w:rPr>
          <w:rFonts w:ascii="Century Gothic" w:hAnsi="Century Gothic" w:cs="Arial"/>
          <w:color w:val="000000" w:themeColor="text1"/>
          <w:lang w:val="es-ES_tradnl"/>
        </w:rPr>
        <w:t xml:space="preserve"> y </w:t>
      </w:r>
      <w:proofErr w:type="spellStart"/>
      <w:r w:rsidRPr="00035110">
        <w:rPr>
          <w:rFonts w:ascii="Century Gothic" w:hAnsi="Century Gothic" w:cs="Arial"/>
          <w:color w:val="000000" w:themeColor="text1"/>
          <w:lang w:val="es-ES_tradnl"/>
        </w:rPr>
        <w:t>i</w:t>
      </w:r>
      <w:r>
        <w:rPr>
          <w:rFonts w:ascii="Century Gothic" w:hAnsi="Century Gothic" w:cs="Arial"/>
          <w:color w:val="000000" w:themeColor="text1"/>
          <w:lang w:val="es-ES_tradnl"/>
        </w:rPr>
        <w:t>i</w:t>
      </w:r>
      <w:proofErr w:type="spellEnd"/>
      <w:r w:rsidRPr="00035110">
        <w:rPr>
          <w:rFonts w:ascii="Century Gothic" w:hAnsi="Century Gothic" w:cs="Arial"/>
          <w:color w:val="000000" w:themeColor="text1"/>
          <w:lang w:val="es-ES_tradnl"/>
        </w:rPr>
        <w:t xml:space="preserve">) convocatorias limitadas a </w:t>
      </w:r>
      <w:proofErr w:type="spellStart"/>
      <w:r w:rsidRPr="00035110">
        <w:rPr>
          <w:rFonts w:ascii="Century Gothic" w:hAnsi="Century Gothic" w:cs="Arial"/>
          <w:color w:val="000000" w:themeColor="text1"/>
          <w:lang w:val="es-ES_tradnl"/>
        </w:rPr>
        <w:t>Mipymes</w:t>
      </w:r>
      <w:proofErr w:type="spellEnd"/>
      <w:r w:rsidRPr="00035110">
        <w:rPr>
          <w:rFonts w:ascii="Century Gothic" w:hAnsi="Century Gothic" w:cs="Arial"/>
          <w:color w:val="000000" w:themeColor="text1"/>
          <w:lang w:val="es-ES_tradnl"/>
        </w:rPr>
        <w:t xml:space="preserve"> </w:t>
      </w:r>
      <w:r>
        <w:rPr>
          <w:rFonts w:ascii="Century Gothic" w:hAnsi="Century Gothic" w:cs="Arial"/>
          <w:color w:val="000000" w:themeColor="text1"/>
          <w:lang w:val="es-ES_tradnl"/>
        </w:rPr>
        <w:t>en sistema de compras públicas</w:t>
      </w:r>
      <w:r w:rsidRPr="00035110">
        <w:rPr>
          <w:rFonts w:ascii="Century Gothic" w:hAnsi="Century Gothic" w:cs="Arial"/>
          <w:color w:val="000000" w:themeColor="text1"/>
          <w:lang w:val="es-ES_tradnl"/>
        </w:rPr>
        <w:t>.</w:t>
      </w:r>
    </w:p>
    <w:p w14:paraId="6C5F7162" w14:textId="77777777" w:rsidR="0064450E" w:rsidRDefault="0064450E" w:rsidP="0064450E">
      <w:pPr>
        <w:spacing w:after="120" w:line="276" w:lineRule="auto"/>
        <w:ind w:firstLine="709"/>
        <w:jc w:val="both"/>
        <w:rPr>
          <w:rFonts w:ascii="Century Gothic" w:eastAsia="Calibri" w:hAnsi="Century Gothic" w:cs="Arial"/>
          <w:color w:val="000000" w:themeColor="text1"/>
          <w:lang w:val="es-ES"/>
        </w:rPr>
      </w:pPr>
      <w:r w:rsidRPr="00035110">
        <w:rPr>
          <w:rFonts w:ascii="Century Gothic" w:eastAsia="Calibri" w:hAnsi="Century Gothic" w:cs="Arial"/>
          <w:color w:val="000000" w:themeColor="text1"/>
          <w:lang w:val="es-ES"/>
        </w:rPr>
        <w:t>La Agencia Nacional de Contratación Pública – Colombia Compra Eficiente</w:t>
      </w:r>
      <w:r>
        <w:rPr>
          <w:rFonts w:ascii="Century Gothic" w:eastAsia="Calibri" w:hAnsi="Century Gothic" w:cs="Arial"/>
          <w:color w:val="000000" w:themeColor="text1"/>
          <w:lang w:val="es-ES"/>
        </w:rPr>
        <w:t xml:space="preserve"> </w:t>
      </w:r>
      <w:r w:rsidRPr="00035110">
        <w:rPr>
          <w:rFonts w:ascii="Century Gothic" w:eastAsia="Calibri" w:hAnsi="Century Gothic" w:cs="Arial"/>
          <w:color w:val="000000" w:themeColor="text1"/>
          <w:lang w:val="es-ES"/>
        </w:rPr>
        <w:t>explicó la naturaleza jurídica de los consorcios y las uniones temporales</w:t>
      </w:r>
      <w:r>
        <w:rPr>
          <w:rFonts w:ascii="Century Gothic" w:eastAsia="Calibri" w:hAnsi="Century Gothic" w:cs="Arial"/>
          <w:color w:val="000000" w:themeColor="text1"/>
          <w:lang w:val="es-ES"/>
        </w:rPr>
        <w:t xml:space="preserve"> en los Conceptos </w:t>
      </w:r>
      <w:r w:rsidRPr="00035110">
        <w:rPr>
          <w:rFonts w:ascii="Century Gothic" w:eastAsia="Calibri" w:hAnsi="Century Gothic" w:cs="Arial"/>
          <w:color w:val="000000" w:themeColor="text1"/>
          <w:lang w:val="es-ES"/>
        </w:rPr>
        <w:t>4201913000007643 del 26 de diciembre de 2019,</w:t>
      </w:r>
      <w:r>
        <w:rPr>
          <w:rFonts w:ascii="Century Gothic" w:eastAsia="Calibri" w:hAnsi="Century Gothic" w:cs="Arial"/>
          <w:color w:val="000000" w:themeColor="text1"/>
          <w:lang w:val="es-ES"/>
        </w:rPr>
        <w:t xml:space="preserve"> </w:t>
      </w:r>
      <w:r w:rsidRPr="00035110">
        <w:rPr>
          <w:rFonts w:ascii="Century Gothic" w:eastAsia="Calibri" w:hAnsi="Century Gothic" w:cs="Arial"/>
          <w:color w:val="000000" w:themeColor="text1"/>
          <w:lang w:val="es-ES"/>
        </w:rPr>
        <w:t>C-343 del 17 de junio de 2020</w:t>
      </w:r>
      <w:r>
        <w:rPr>
          <w:rFonts w:ascii="Century Gothic" w:eastAsia="Calibri" w:hAnsi="Century Gothic" w:cs="Arial"/>
          <w:color w:val="000000" w:themeColor="text1"/>
          <w:lang w:val="es-ES"/>
        </w:rPr>
        <w:t xml:space="preserve">, C-518 del 9 de septiembre de 2020, C-614 del 5 de octubre de 2022, C-882 del 21 de diciembre de 2022 y C-172 del 6 de junio de 2023. </w:t>
      </w:r>
      <w:r w:rsidRPr="00035110">
        <w:rPr>
          <w:rFonts w:ascii="Century Gothic" w:eastAsia="Calibri" w:hAnsi="Century Gothic" w:cs="Arial"/>
          <w:color w:val="000000" w:themeColor="text1"/>
          <w:lang w:val="es-ES"/>
        </w:rPr>
        <w:t xml:space="preserve">También se ha referido a la prohibición de trato discriminatorio en </w:t>
      </w:r>
      <w:r>
        <w:rPr>
          <w:rFonts w:ascii="Century Gothic" w:eastAsia="Calibri" w:hAnsi="Century Gothic" w:cs="Arial"/>
          <w:color w:val="000000" w:themeColor="text1"/>
          <w:lang w:val="es-ES"/>
        </w:rPr>
        <w:t xml:space="preserve">los </w:t>
      </w:r>
      <w:r w:rsidRPr="00035110">
        <w:rPr>
          <w:rFonts w:ascii="Century Gothic" w:eastAsia="Calibri" w:hAnsi="Century Gothic" w:cs="Arial"/>
          <w:color w:val="000000" w:themeColor="text1"/>
          <w:lang w:val="es-ES"/>
        </w:rPr>
        <w:t>Concepto</w:t>
      </w:r>
      <w:r>
        <w:rPr>
          <w:rFonts w:ascii="Century Gothic" w:eastAsia="Calibri" w:hAnsi="Century Gothic" w:cs="Arial"/>
          <w:color w:val="000000" w:themeColor="text1"/>
          <w:lang w:val="es-ES"/>
        </w:rPr>
        <w:t>s</w:t>
      </w:r>
      <w:r w:rsidRPr="00035110">
        <w:rPr>
          <w:rFonts w:ascii="Century Gothic" w:eastAsia="Calibri" w:hAnsi="Century Gothic" w:cs="Arial"/>
          <w:color w:val="000000" w:themeColor="text1"/>
          <w:lang w:val="es-ES"/>
        </w:rPr>
        <w:t xml:space="preserve"> 2201913000006511 del 3 de septiembre de 2019</w:t>
      </w:r>
      <w:r>
        <w:rPr>
          <w:rFonts w:ascii="Century Gothic" w:eastAsia="Calibri" w:hAnsi="Century Gothic" w:cs="Arial"/>
          <w:color w:val="000000" w:themeColor="text1"/>
          <w:lang w:val="es-ES"/>
        </w:rPr>
        <w:t xml:space="preserve"> y C-335 del 26 de septiembre de 2023, además de analizar especialmente </w:t>
      </w:r>
      <w:r w:rsidRPr="005E62FA">
        <w:rPr>
          <w:rFonts w:ascii="Century Gothic" w:eastAsia="Calibri" w:hAnsi="Century Gothic" w:cs="Arial"/>
          <w:color w:val="000000" w:themeColor="text1"/>
          <w:lang w:val="es-ES"/>
        </w:rPr>
        <w:t>la actividad de las sociedades extranjeras en Colombia</w:t>
      </w:r>
      <w:r>
        <w:rPr>
          <w:rFonts w:ascii="Century Gothic" w:eastAsia="Calibri" w:hAnsi="Century Gothic" w:cs="Arial"/>
          <w:color w:val="000000" w:themeColor="text1"/>
          <w:lang w:val="es-ES"/>
        </w:rPr>
        <w:t xml:space="preserve"> en el Concepto </w:t>
      </w:r>
      <w:r w:rsidRPr="005E62FA">
        <w:rPr>
          <w:rFonts w:ascii="Century Gothic" w:eastAsia="Calibri" w:hAnsi="Century Gothic" w:cs="Arial"/>
          <w:color w:val="000000" w:themeColor="text1"/>
          <w:lang w:val="es-ES"/>
        </w:rPr>
        <w:t>C-685 del 19 de octubre de 2022</w:t>
      </w:r>
      <w:r w:rsidRPr="00035110">
        <w:rPr>
          <w:rFonts w:ascii="Century Gothic" w:eastAsia="Calibri" w:hAnsi="Century Gothic" w:cs="Arial"/>
          <w:color w:val="000000" w:themeColor="text1"/>
          <w:lang w:val="es-ES"/>
        </w:rPr>
        <w:t xml:space="preserve">. </w:t>
      </w:r>
    </w:p>
    <w:p w14:paraId="248DBD08" w14:textId="77777777" w:rsidR="0064450E" w:rsidRPr="00035110" w:rsidRDefault="0064450E" w:rsidP="0064450E">
      <w:pPr>
        <w:spacing w:after="0" w:line="276" w:lineRule="auto"/>
        <w:ind w:firstLine="709"/>
        <w:jc w:val="both"/>
        <w:rPr>
          <w:rFonts w:ascii="Century Gothic" w:eastAsia="Calibri" w:hAnsi="Century Gothic" w:cs="Arial"/>
          <w:color w:val="000000" w:themeColor="text1"/>
          <w:lang w:val="es-ES"/>
        </w:rPr>
      </w:pPr>
      <w:r>
        <w:rPr>
          <w:rFonts w:ascii="Century Gothic" w:eastAsia="Calibri" w:hAnsi="Century Gothic" w:cs="Arial"/>
          <w:color w:val="000000" w:themeColor="text1"/>
          <w:lang w:val="es-ES"/>
        </w:rPr>
        <w:lastRenderedPageBreak/>
        <w:t>Por lo demás</w:t>
      </w:r>
      <w:r w:rsidRPr="00035110">
        <w:rPr>
          <w:rFonts w:ascii="Century Gothic" w:eastAsia="Calibri" w:hAnsi="Century Gothic" w:cs="Arial"/>
          <w:color w:val="000000" w:themeColor="text1"/>
          <w:lang w:val="es-ES"/>
        </w:rPr>
        <w:t xml:space="preserve">, </w:t>
      </w:r>
      <w:r w:rsidRPr="00035110">
        <w:rPr>
          <w:rFonts w:ascii="Century Gothic" w:eastAsia="Calibri" w:hAnsi="Century Gothic" w:cs="Arial"/>
          <w:lang w:val="es-ES_tradnl" w:eastAsia="es-ES_tradnl"/>
        </w:rPr>
        <w:t xml:space="preserve">en los Conceptos </w:t>
      </w:r>
      <w:r w:rsidRPr="00035110">
        <w:rPr>
          <w:rFonts w:ascii="Century Gothic" w:eastAsia="Calibri" w:hAnsi="Century Gothic" w:cs="Arial"/>
          <w:color w:val="000000" w:themeColor="text1"/>
        </w:rPr>
        <w:t xml:space="preserve">216130003241 el 30 de junio de 2016, </w:t>
      </w:r>
      <w:r w:rsidRPr="00035110">
        <w:rPr>
          <w:rFonts w:ascii="Century Gothic" w:hAnsi="Century Gothic" w:cs="Arial"/>
          <w:lang w:val="es-ES_tradnl"/>
        </w:rPr>
        <w:t xml:space="preserve">4201714000006924 del 29 de enero de 2018, </w:t>
      </w:r>
      <w:r w:rsidRPr="00035110">
        <w:rPr>
          <w:rFonts w:ascii="Century Gothic" w:eastAsia="Calibri" w:hAnsi="Century Gothic" w:cs="Arial"/>
          <w:color w:val="000000" w:themeColor="text1"/>
        </w:rPr>
        <w:t>2201813000008184 del 7 de septiembre de 2019,</w:t>
      </w:r>
      <w:r w:rsidRPr="00035110">
        <w:rPr>
          <w:rFonts w:ascii="Century Gothic" w:eastAsia="Calibri" w:hAnsi="Century Gothic" w:cs="Arial"/>
          <w:lang w:val="es-ES_tradnl" w:eastAsia="es-ES_tradnl"/>
        </w:rPr>
        <w:t xml:space="preserve"> </w:t>
      </w:r>
      <w:r w:rsidRPr="00035110">
        <w:rPr>
          <w:rFonts w:ascii="Century Gothic" w:eastAsia="Calibri" w:hAnsi="Century Gothic" w:cs="Arial"/>
          <w:lang w:val="es-ES_tradnl"/>
        </w:rPr>
        <w:t>C-045 del 17 de marzo de 2020, C-162 del 16 de abril de 2020, C-214 del 21 de abril de 2020, C-258 del 17 de abril de 2020, C-364 del 4 de junio de 2020, C-413 del 30 de junio de 2020</w:t>
      </w:r>
      <w:r w:rsidRPr="00035110">
        <w:rPr>
          <w:rFonts w:ascii="Century Gothic" w:hAnsi="Century Gothic" w:cs="Arial"/>
          <w:lang w:val="es-ES_tradnl"/>
        </w:rPr>
        <w:t xml:space="preserve">, </w:t>
      </w:r>
      <w:r w:rsidRPr="00035110">
        <w:rPr>
          <w:rFonts w:ascii="Century Gothic" w:eastAsia="Calibri" w:hAnsi="Century Gothic" w:cs="Arial"/>
          <w:lang w:val="es-ES_tradnl"/>
        </w:rPr>
        <w:t xml:space="preserve">C-492 del 24 de julio de 2020, C-523 del 11 de agosto de 2020, C-610 del 14 de septiembre de 2020, C-700 de 1 de diciembre de 2020, C-705 del 7 de diciembre de 2020, </w:t>
      </w:r>
      <w:r w:rsidRPr="00035110">
        <w:rPr>
          <w:rFonts w:ascii="Century Gothic" w:eastAsia="Calibri" w:hAnsi="Century Gothic" w:cs="Arial"/>
          <w:lang w:val="es-ES_tradnl" w:eastAsia="es-ES_tradnl"/>
        </w:rPr>
        <w:t>C-005 del 16 de febrero de 2021, C-037 del 26 de febrero de 2021, C-035 del 02 de marzo de 2021, C-126 del 06 de abril de 2021, C-127 del 06 de abril de 2021, C-144 del 07 de abril de 2021, C-141 del 08 de abril de 2021, C-163 y C-164 del 19 de abril de 2021, C-242 del 25 de mayo de 2021, C-438 del 27 de septiembre de 2021, C-496 del 14 de septiembre de 2021, C-573 de 13 de octubre de 2021, C-001 del 17 de febrero de 2022, C-041 del 2 de marzo de 2022, C-293 del 12 de mayo de 2022, C-340 del 26 de mayo de 2022, C-395 del 17 de junio de 2022, C-539 del 29 de agosto de 2022, C-089 del 28 de abril de 2023, C-159 del 22 de junio de 2023, C-206 del 20 de junio de 2023 y C-207 del 20 de junio de 2023, se pronunció sobre las convocatorias limitadas</w:t>
      </w:r>
      <w:r w:rsidRPr="00035110">
        <w:rPr>
          <w:rStyle w:val="Refdenotaalpie"/>
          <w:rFonts w:ascii="Century Gothic" w:eastAsia="Calibri" w:hAnsi="Century Gothic" w:cs="Arial"/>
        </w:rPr>
        <w:footnoteReference w:id="2"/>
      </w:r>
      <w:r w:rsidRPr="00035110">
        <w:rPr>
          <w:rStyle w:val="normaltextrun"/>
          <w:rFonts w:ascii="Century Gothic" w:hAnsi="Century Gothic" w:cs="Arial"/>
          <w:color w:val="000000"/>
          <w:shd w:val="clear" w:color="auto" w:fill="FFFFFF"/>
        </w:rPr>
        <w:t xml:space="preserve">. </w:t>
      </w:r>
      <w:r w:rsidRPr="00035110">
        <w:rPr>
          <w:rFonts w:ascii="Century Gothic" w:eastAsia="Calibri" w:hAnsi="Century Gothic" w:cs="Arial"/>
          <w:color w:val="000000" w:themeColor="text1"/>
          <w:lang w:val="es-ES_tradnl"/>
        </w:rPr>
        <w:t xml:space="preserve">La tesis propuesta en estos conceptos se reitera a continuación y se complementa en lo pertinente. </w:t>
      </w:r>
    </w:p>
    <w:p w14:paraId="6C999C44" w14:textId="77777777" w:rsidR="0064450E" w:rsidRPr="00035110" w:rsidRDefault="0064450E" w:rsidP="0064450E">
      <w:pPr>
        <w:spacing w:after="0" w:line="276" w:lineRule="auto"/>
        <w:contextualSpacing/>
        <w:jc w:val="both"/>
        <w:rPr>
          <w:rFonts w:ascii="Century Gothic" w:eastAsia="Times New Roman" w:hAnsi="Century Gothic" w:cs="Arial"/>
          <w:b/>
          <w:szCs w:val="24"/>
          <w:lang w:eastAsia="es-ES_tradnl"/>
        </w:rPr>
      </w:pPr>
    </w:p>
    <w:p w14:paraId="5C0CDE07" w14:textId="77777777" w:rsidR="0064450E" w:rsidRPr="00035110" w:rsidRDefault="0064450E" w:rsidP="0064450E">
      <w:pPr>
        <w:spacing w:after="0" w:line="276" w:lineRule="auto"/>
        <w:jc w:val="both"/>
        <w:rPr>
          <w:rFonts w:ascii="Century Gothic" w:eastAsia="Calibri" w:hAnsi="Century Gothic" w:cs="Arial"/>
          <w:b/>
          <w:bCs/>
          <w:color w:val="000000" w:themeColor="text1"/>
        </w:rPr>
      </w:pPr>
      <w:bookmarkStart w:id="6" w:name="_Hlk75784645"/>
      <w:r w:rsidRPr="00035110">
        <w:rPr>
          <w:rFonts w:ascii="Century Gothic" w:eastAsia="Calibri" w:hAnsi="Century Gothic" w:cs="Arial"/>
          <w:b/>
          <w:bCs/>
          <w:lang w:val="es-ES_tradnl"/>
        </w:rPr>
        <w:t xml:space="preserve">2.1. </w:t>
      </w:r>
      <w:r w:rsidRPr="002E71C7">
        <w:rPr>
          <w:rFonts w:ascii="Century Gothic" w:eastAsia="Calibri" w:hAnsi="Century Gothic" w:cs="Arial"/>
          <w:b/>
          <w:bCs/>
          <w:color w:val="000000" w:themeColor="text1"/>
        </w:rPr>
        <w:t>Naturaleza de los consorcios y uniones temporales</w:t>
      </w:r>
    </w:p>
    <w:p w14:paraId="74AEA029" w14:textId="77777777" w:rsidR="0064450E" w:rsidRPr="00035110" w:rsidRDefault="0064450E" w:rsidP="0064450E">
      <w:pPr>
        <w:spacing w:after="0" w:line="276" w:lineRule="auto"/>
        <w:jc w:val="both"/>
        <w:rPr>
          <w:rFonts w:ascii="Century Gothic" w:eastAsia="Calibri" w:hAnsi="Century Gothic" w:cs="Arial"/>
          <w:b/>
          <w:bCs/>
          <w:color w:val="000000" w:themeColor="text1"/>
        </w:rPr>
      </w:pPr>
    </w:p>
    <w:p w14:paraId="6A433B21" w14:textId="77777777" w:rsidR="0064450E" w:rsidRPr="00F44270" w:rsidRDefault="0064450E" w:rsidP="0064450E">
      <w:pPr>
        <w:spacing w:after="120" w:line="276" w:lineRule="auto"/>
        <w:jc w:val="both"/>
        <w:rPr>
          <w:rFonts w:ascii="Century Gothic" w:eastAsia="Calibri" w:hAnsi="Century Gothic" w:cs="Arial"/>
        </w:rPr>
      </w:pPr>
      <w:bookmarkStart w:id="7" w:name="_Hlk41238857"/>
      <w:r w:rsidRPr="00F44270">
        <w:rPr>
          <w:rFonts w:ascii="Century Gothic" w:hAnsi="Century Gothic" w:cs="Arial"/>
        </w:rPr>
        <w:t xml:space="preserve">La capacidad jurídica es uno de los presupuestos del contrato estatal, pues se entiende como la aptitud de un sujeto para ser titular de derechos y obligaciones, de ejercer o exigir los primeros y contraer las segundas en forma personal, sumada la posibilidad de comparecer en juicio. La capacidad jurídica permite crear, modificar o extinguir relaciones jurídicas de forma voluntaria </w:t>
      </w:r>
      <w:r w:rsidRPr="00F44270">
        <w:rPr>
          <w:rFonts w:ascii="Century Gothic" w:eastAsia="Calibri" w:hAnsi="Century Gothic" w:cs="Arial"/>
        </w:rPr>
        <w:t>y autónoma.</w:t>
      </w:r>
    </w:p>
    <w:p w14:paraId="3040531B" w14:textId="77777777" w:rsidR="0064450E" w:rsidRPr="00F44270" w:rsidRDefault="0064450E" w:rsidP="0064450E">
      <w:pPr>
        <w:spacing w:after="120" w:line="276" w:lineRule="auto"/>
        <w:ind w:firstLine="709"/>
        <w:jc w:val="both"/>
        <w:rPr>
          <w:rFonts w:ascii="Century Gothic" w:hAnsi="Century Gothic"/>
        </w:rPr>
      </w:pPr>
      <w:r w:rsidRPr="00F44270">
        <w:rPr>
          <w:rFonts w:ascii="Century Gothic" w:eastAsia="Calibri" w:hAnsi="Century Gothic" w:cs="Arial"/>
        </w:rPr>
        <w:t>D</w:t>
      </w:r>
      <w:r w:rsidRPr="00F44270">
        <w:rPr>
          <w:rFonts w:ascii="Century Gothic" w:hAnsi="Century Gothic" w:cs="Arial"/>
        </w:rPr>
        <w:t xml:space="preserve">e acuerdo con el Código Civil, la capacidad se refiere a la facultad que la ley le confiere a la persona para ejercer derechos y contraer obligaciones, partiendo del supuesto de que todas las personas naturales mayores de edad son capaces, con excepción de aquellas que la ley expresamente excluye de esta presunción –artículos 1502, 1503 y 1504 </w:t>
      </w:r>
      <w:r w:rsidRPr="00F44270">
        <w:rPr>
          <w:rFonts w:ascii="Century Gothic" w:hAnsi="Century Gothic" w:cs="Arial"/>
          <w:i/>
          <w:iCs/>
        </w:rPr>
        <w:t>ibidem</w:t>
      </w:r>
      <w:r w:rsidRPr="00F44270">
        <w:rPr>
          <w:rFonts w:ascii="Century Gothic" w:hAnsi="Century Gothic" w:cs="Arial"/>
        </w:rPr>
        <w:t>–, y de que la capacidad de las personas jurídicas se circunscribe a su objeto social –artículo 99 del Código de Comercio–.</w:t>
      </w:r>
      <w:r w:rsidRPr="00F44270">
        <w:rPr>
          <w:rFonts w:ascii="Century Gothic" w:hAnsi="Century Gothic"/>
        </w:rPr>
        <w:t xml:space="preserve"> </w:t>
      </w:r>
      <w:r w:rsidRPr="00F44270">
        <w:rPr>
          <w:rFonts w:ascii="Century Gothic" w:hAnsi="Century Gothic" w:cs="Arial"/>
        </w:rPr>
        <w:t>Al respecto, el artículo 6 de la Ley 80 de 1993 –modificado por</w:t>
      </w:r>
      <w:r w:rsidRPr="00F44270">
        <w:rPr>
          <w:rFonts w:ascii="Century Gothic" w:hAnsi="Century Gothic"/>
        </w:rPr>
        <w:t xml:space="preserve"> </w:t>
      </w:r>
      <w:r w:rsidRPr="00F44270">
        <w:rPr>
          <w:rFonts w:ascii="Century Gothic" w:hAnsi="Century Gothic" w:cs="Arial"/>
        </w:rPr>
        <w:t xml:space="preserve">el art. 1 de la Ley 2160 de 2021– dispone que: “Pueden celebrar contratos con las entidades estatales las personas consideradas legalmente capaces en las disposiciones </w:t>
      </w:r>
      <w:r w:rsidRPr="00F44270">
        <w:rPr>
          <w:rFonts w:ascii="Century Gothic" w:hAnsi="Century Gothic" w:cs="Arial"/>
        </w:rPr>
        <w:lastRenderedPageBreak/>
        <w:t>vigentes. También podrán celebrar contratos con las entidades estatales […] los consorcios y uniones temporales”.</w:t>
      </w:r>
    </w:p>
    <w:p w14:paraId="2EC0FECA" w14:textId="77777777" w:rsidR="0064450E" w:rsidRPr="00F44270" w:rsidRDefault="0064450E" w:rsidP="0064450E">
      <w:pPr>
        <w:spacing w:after="0" w:line="276" w:lineRule="auto"/>
        <w:ind w:firstLine="709"/>
        <w:jc w:val="both"/>
        <w:rPr>
          <w:rFonts w:ascii="Century Gothic" w:hAnsi="Century Gothic" w:cs="Arial"/>
        </w:rPr>
      </w:pPr>
      <w:r w:rsidRPr="00F44270">
        <w:rPr>
          <w:rFonts w:ascii="Century Gothic" w:hAnsi="Century Gothic" w:cs="Arial"/>
        </w:rPr>
        <w:t>En consecuencia, pueden celebrar contratos estatales las personas naturales mayores de edad, las personas jurídicas que tengan dentro de su objeto</w:t>
      </w:r>
      <w:r w:rsidRPr="00F44270">
        <w:rPr>
          <w:rFonts w:ascii="Century Gothic" w:hAnsi="Century Gothic" w:cs="Arial"/>
          <w:spacing w:val="43"/>
        </w:rPr>
        <w:t xml:space="preserve"> </w:t>
      </w:r>
      <w:r w:rsidRPr="00F44270">
        <w:rPr>
          <w:rFonts w:ascii="Century Gothic" w:hAnsi="Century Gothic" w:cs="Arial"/>
        </w:rPr>
        <w:t>social</w:t>
      </w:r>
      <w:r w:rsidRPr="00F44270">
        <w:rPr>
          <w:rFonts w:ascii="Century Gothic" w:hAnsi="Century Gothic" w:cs="Arial"/>
          <w:spacing w:val="44"/>
        </w:rPr>
        <w:t xml:space="preserve"> </w:t>
      </w:r>
      <w:r w:rsidRPr="00F44270">
        <w:rPr>
          <w:rFonts w:ascii="Century Gothic" w:hAnsi="Century Gothic" w:cs="Arial"/>
        </w:rPr>
        <w:t>actividades</w:t>
      </w:r>
      <w:r w:rsidRPr="00F44270">
        <w:rPr>
          <w:rFonts w:ascii="Century Gothic" w:hAnsi="Century Gothic" w:cs="Arial"/>
          <w:spacing w:val="44"/>
        </w:rPr>
        <w:t xml:space="preserve"> </w:t>
      </w:r>
      <w:r w:rsidRPr="00F44270">
        <w:rPr>
          <w:rFonts w:ascii="Century Gothic" w:hAnsi="Century Gothic" w:cs="Arial"/>
        </w:rPr>
        <w:t>relacionadas</w:t>
      </w:r>
      <w:r w:rsidRPr="00F44270">
        <w:rPr>
          <w:rFonts w:ascii="Century Gothic" w:hAnsi="Century Gothic" w:cs="Arial"/>
          <w:spacing w:val="44"/>
        </w:rPr>
        <w:t xml:space="preserve"> </w:t>
      </w:r>
      <w:r w:rsidRPr="00F44270">
        <w:rPr>
          <w:rFonts w:ascii="Century Gothic" w:hAnsi="Century Gothic" w:cs="Arial"/>
        </w:rPr>
        <w:t>con</w:t>
      </w:r>
      <w:r w:rsidRPr="00F44270">
        <w:rPr>
          <w:rFonts w:ascii="Century Gothic" w:hAnsi="Century Gothic" w:cs="Arial"/>
          <w:spacing w:val="43"/>
        </w:rPr>
        <w:t xml:space="preserve"> </w:t>
      </w:r>
      <w:r w:rsidRPr="00F44270">
        <w:rPr>
          <w:rFonts w:ascii="Century Gothic" w:hAnsi="Century Gothic" w:cs="Arial"/>
        </w:rPr>
        <w:t>el</w:t>
      </w:r>
      <w:r w:rsidRPr="00F44270">
        <w:rPr>
          <w:rFonts w:ascii="Century Gothic" w:hAnsi="Century Gothic" w:cs="Arial"/>
          <w:spacing w:val="45"/>
        </w:rPr>
        <w:t xml:space="preserve"> </w:t>
      </w:r>
      <w:r w:rsidRPr="00F44270">
        <w:rPr>
          <w:rFonts w:ascii="Century Gothic" w:hAnsi="Century Gothic" w:cs="Arial"/>
        </w:rPr>
        <w:t>objeto</w:t>
      </w:r>
      <w:r w:rsidRPr="00F44270">
        <w:rPr>
          <w:rFonts w:ascii="Century Gothic" w:hAnsi="Century Gothic" w:cs="Arial"/>
          <w:spacing w:val="43"/>
        </w:rPr>
        <w:t xml:space="preserve"> </w:t>
      </w:r>
      <w:r w:rsidRPr="00F44270">
        <w:rPr>
          <w:rFonts w:ascii="Century Gothic" w:hAnsi="Century Gothic" w:cs="Arial"/>
        </w:rPr>
        <w:t>a</w:t>
      </w:r>
      <w:r w:rsidRPr="00F44270">
        <w:rPr>
          <w:rFonts w:ascii="Century Gothic" w:hAnsi="Century Gothic" w:cs="Arial"/>
          <w:spacing w:val="44"/>
        </w:rPr>
        <w:t xml:space="preserve"> </w:t>
      </w:r>
      <w:r w:rsidRPr="00F44270">
        <w:rPr>
          <w:rFonts w:ascii="Century Gothic" w:hAnsi="Century Gothic" w:cs="Arial"/>
        </w:rPr>
        <w:t>contratar</w:t>
      </w:r>
      <w:r w:rsidRPr="00F44270">
        <w:rPr>
          <w:rFonts w:ascii="Century Gothic" w:hAnsi="Century Gothic" w:cs="Arial"/>
          <w:spacing w:val="47"/>
        </w:rPr>
        <w:t xml:space="preserve"> </w:t>
      </w:r>
      <w:r w:rsidRPr="00F44270">
        <w:rPr>
          <w:rFonts w:ascii="Century Gothic" w:hAnsi="Century Gothic" w:cs="Arial"/>
        </w:rPr>
        <w:t>y,</w:t>
      </w:r>
      <w:r w:rsidRPr="00F44270">
        <w:rPr>
          <w:rFonts w:ascii="Century Gothic" w:hAnsi="Century Gothic" w:cs="Arial"/>
          <w:spacing w:val="44"/>
        </w:rPr>
        <w:t xml:space="preserve"> </w:t>
      </w:r>
      <w:r w:rsidRPr="00F44270">
        <w:rPr>
          <w:rFonts w:ascii="Century Gothic" w:hAnsi="Century Gothic" w:cs="Arial"/>
        </w:rPr>
        <w:t>en</w:t>
      </w:r>
      <w:r w:rsidRPr="00F44270">
        <w:rPr>
          <w:rFonts w:ascii="Century Gothic" w:hAnsi="Century Gothic" w:cs="Arial"/>
          <w:spacing w:val="46"/>
        </w:rPr>
        <w:t xml:space="preserve"> </w:t>
      </w:r>
      <w:r w:rsidRPr="00F44270">
        <w:rPr>
          <w:rFonts w:ascii="Century Gothic" w:hAnsi="Century Gothic" w:cs="Arial"/>
        </w:rPr>
        <w:t>virtud</w:t>
      </w:r>
      <w:r w:rsidRPr="00F44270">
        <w:rPr>
          <w:rFonts w:ascii="Century Gothic" w:hAnsi="Century Gothic" w:cs="Arial"/>
          <w:spacing w:val="43"/>
        </w:rPr>
        <w:t xml:space="preserve"> </w:t>
      </w:r>
      <w:r w:rsidRPr="00F44270">
        <w:rPr>
          <w:rFonts w:ascii="Century Gothic" w:hAnsi="Century Gothic" w:cs="Arial"/>
        </w:rPr>
        <w:t>de</w:t>
      </w:r>
      <w:r w:rsidRPr="00F44270">
        <w:rPr>
          <w:rFonts w:ascii="Century Gothic" w:hAnsi="Century Gothic" w:cs="Arial"/>
          <w:spacing w:val="44"/>
        </w:rPr>
        <w:t xml:space="preserve"> </w:t>
      </w:r>
      <w:r w:rsidRPr="00F44270">
        <w:rPr>
          <w:rFonts w:ascii="Century Gothic" w:hAnsi="Century Gothic" w:cs="Arial"/>
        </w:rPr>
        <w:t>la</w:t>
      </w:r>
      <w:r w:rsidRPr="00F44270">
        <w:rPr>
          <w:rFonts w:ascii="Century Gothic" w:hAnsi="Century Gothic" w:cs="Arial"/>
          <w:spacing w:val="43"/>
        </w:rPr>
        <w:t xml:space="preserve"> </w:t>
      </w:r>
      <w:r w:rsidRPr="00F44270">
        <w:rPr>
          <w:rFonts w:ascii="Century Gothic" w:hAnsi="Century Gothic" w:cs="Arial"/>
        </w:rPr>
        <w:t>ley, también pueden hacerlo los consorcios y las uniones temporales. Si bien no son personas jurídicas, el artículo 7 de la Ley 80 de 1993 define estos sujetos para la presentación de ofertas por un número plural de interesados. En lo pertinente, con las modificaciones del art. 3 de la Ley 2160 de 2021, la norma dispone lo siguiente:</w:t>
      </w:r>
    </w:p>
    <w:p w14:paraId="3CFB45E7" w14:textId="77777777" w:rsidR="0064450E" w:rsidRPr="00F44270" w:rsidRDefault="0064450E" w:rsidP="0064450E">
      <w:pPr>
        <w:pStyle w:val="Textoindependiente"/>
        <w:rPr>
          <w:rFonts w:ascii="Century Gothic" w:hAnsi="Century Gothic"/>
          <w:lang w:val="es-CO"/>
        </w:rPr>
      </w:pPr>
    </w:p>
    <w:p w14:paraId="0EB58371" w14:textId="77777777" w:rsidR="0064450E" w:rsidRPr="00F44270" w:rsidRDefault="0064450E" w:rsidP="0064450E">
      <w:pPr>
        <w:pStyle w:val="Textoindependiente"/>
        <w:ind w:left="709" w:right="709"/>
        <w:jc w:val="both"/>
        <w:rPr>
          <w:rFonts w:ascii="Century Gothic" w:hAnsi="Century Gothic"/>
          <w:sz w:val="21"/>
          <w:szCs w:val="21"/>
          <w:lang w:val="es-CO"/>
        </w:rPr>
      </w:pPr>
      <w:r w:rsidRPr="00F44270">
        <w:rPr>
          <w:rFonts w:ascii="Century Gothic" w:hAnsi="Century Gothic"/>
          <w:sz w:val="21"/>
          <w:szCs w:val="21"/>
          <w:lang w:val="es-CO"/>
        </w:rPr>
        <w:t>“Para los efectos de esta ley se entiende por:</w:t>
      </w:r>
    </w:p>
    <w:p w14:paraId="64803554" w14:textId="77777777" w:rsidR="0064450E" w:rsidRPr="00F44270" w:rsidRDefault="0064450E" w:rsidP="0064450E">
      <w:pPr>
        <w:pStyle w:val="Textoindependiente"/>
        <w:spacing w:after="120"/>
        <w:ind w:left="709" w:right="709"/>
        <w:jc w:val="both"/>
        <w:rPr>
          <w:rFonts w:ascii="Century Gothic" w:hAnsi="Century Gothic"/>
          <w:sz w:val="21"/>
          <w:szCs w:val="21"/>
          <w:lang w:val="es-CO"/>
        </w:rPr>
      </w:pPr>
      <w:r w:rsidRPr="00F44270">
        <w:rPr>
          <w:rFonts w:ascii="Century Gothic" w:hAnsi="Century Gothic"/>
          <w:sz w:val="21"/>
          <w:szCs w:val="21"/>
          <w:lang w:val="es-CO"/>
        </w:rPr>
        <w:t>[…]</w:t>
      </w:r>
    </w:p>
    <w:p w14:paraId="258AC8F6" w14:textId="77777777" w:rsidR="0064450E" w:rsidRPr="00F44270" w:rsidRDefault="0064450E" w:rsidP="0064450E">
      <w:pPr>
        <w:pStyle w:val="Textoindependiente"/>
        <w:spacing w:after="120"/>
        <w:ind w:left="709" w:right="709"/>
        <w:jc w:val="both"/>
        <w:rPr>
          <w:rFonts w:ascii="Century Gothic" w:hAnsi="Century Gothic"/>
          <w:sz w:val="21"/>
          <w:szCs w:val="21"/>
          <w:lang w:val="es-CO"/>
        </w:rPr>
      </w:pPr>
      <w:r w:rsidRPr="00F44270">
        <w:rPr>
          <w:rFonts w:ascii="Century Gothic" w:hAnsi="Century Gothic"/>
          <w:sz w:val="21"/>
          <w:szCs w:val="21"/>
          <w:lang w:val="es-CO"/>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584C38FE" w14:textId="77777777" w:rsidR="0064450E" w:rsidRPr="00F44270" w:rsidRDefault="0064450E" w:rsidP="0064450E">
      <w:pPr>
        <w:pStyle w:val="Textoindependiente"/>
        <w:spacing w:after="120"/>
        <w:ind w:left="709" w:right="709"/>
        <w:jc w:val="both"/>
        <w:rPr>
          <w:rFonts w:ascii="Century Gothic" w:hAnsi="Century Gothic"/>
          <w:sz w:val="21"/>
          <w:szCs w:val="21"/>
          <w:lang w:val="es-CO"/>
        </w:rPr>
      </w:pPr>
      <w:r w:rsidRPr="00F44270">
        <w:rPr>
          <w:rFonts w:ascii="Century Gothic" w:hAnsi="Century Gothic"/>
          <w:sz w:val="21"/>
          <w:szCs w:val="21"/>
          <w:lang w:val="es-CO"/>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7F3347E1" w14:textId="77777777" w:rsidR="0064450E" w:rsidRPr="00F44270" w:rsidRDefault="0064450E" w:rsidP="0064450E">
      <w:pPr>
        <w:pStyle w:val="Textoindependiente"/>
        <w:ind w:left="709" w:right="709"/>
        <w:jc w:val="both"/>
        <w:rPr>
          <w:rFonts w:ascii="Century Gothic" w:hAnsi="Century Gothic"/>
          <w:sz w:val="21"/>
          <w:szCs w:val="21"/>
          <w:lang w:val="es-CO"/>
        </w:rPr>
      </w:pPr>
      <w:r w:rsidRPr="00F44270">
        <w:rPr>
          <w:rFonts w:ascii="Century Gothic" w:hAnsi="Century Gothic"/>
          <w:sz w:val="21"/>
          <w:szCs w:val="21"/>
          <w:lang w:val="es-CO"/>
        </w:rPr>
        <w:t>[…]”.</w:t>
      </w:r>
    </w:p>
    <w:p w14:paraId="6D597A3F" w14:textId="77777777" w:rsidR="0064450E" w:rsidRPr="00F44270" w:rsidRDefault="0064450E" w:rsidP="0064450E">
      <w:pPr>
        <w:pStyle w:val="Textoindependiente"/>
        <w:spacing w:line="276" w:lineRule="auto"/>
        <w:ind w:left="709" w:right="736"/>
        <w:jc w:val="both"/>
        <w:rPr>
          <w:rFonts w:ascii="Century Gothic" w:hAnsi="Century Gothic"/>
          <w:lang w:val="es-CO"/>
        </w:rPr>
      </w:pPr>
    </w:p>
    <w:p w14:paraId="1CB3B84D" w14:textId="77777777" w:rsidR="0064450E" w:rsidRPr="00F44270" w:rsidRDefault="0064450E" w:rsidP="0064450E">
      <w:pPr>
        <w:pStyle w:val="Textoindependiente"/>
        <w:spacing w:after="120" w:line="276" w:lineRule="auto"/>
        <w:ind w:right="306" w:firstLine="709"/>
        <w:jc w:val="both"/>
        <w:rPr>
          <w:rFonts w:ascii="Century Gothic" w:hAnsi="Century Gothic"/>
          <w:sz w:val="21"/>
          <w:szCs w:val="21"/>
          <w:lang w:val="es-CO"/>
        </w:rPr>
      </w:pPr>
      <w:r w:rsidRPr="00F44270">
        <w:rPr>
          <w:rFonts w:ascii="Century Gothic" w:hAnsi="Century Gothic"/>
          <w:lang w:val="es-CO"/>
        </w:rPr>
        <w:t>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w:t>
      </w:r>
      <w:r w:rsidRPr="00F44270">
        <w:rPr>
          <w:rStyle w:val="Refdenotaalpie"/>
          <w:rFonts w:ascii="Century Gothic" w:hAnsi="Century Gothic"/>
          <w:lang w:val="es-CO"/>
        </w:rPr>
        <w:footnoteReference w:id="3"/>
      </w:r>
      <w:r w:rsidRPr="00F44270">
        <w:rPr>
          <w:rFonts w:ascii="Century Gothic" w:hAnsi="Century Gothic"/>
          <w:lang w:val="es-CO"/>
        </w:rPr>
        <w:t xml:space="preserve">. La diferencia radica en la responsabilidad frente a las </w:t>
      </w:r>
      <w:r w:rsidRPr="00F44270">
        <w:rPr>
          <w:rFonts w:ascii="Century Gothic" w:hAnsi="Century Gothic"/>
          <w:lang w:val="es-CO"/>
        </w:rPr>
        <w:lastRenderedPageBreak/>
        <w:t>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r w:rsidRPr="00F44270">
        <w:rPr>
          <w:rStyle w:val="Refdenotaalpie"/>
          <w:rFonts w:ascii="Century Gothic" w:hAnsi="Century Gothic"/>
          <w:lang w:val="es-CO"/>
        </w:rPr>
        <w:footnoteReference w:id="4"/>
      </w:r>
      <w:r w:rsidRPr="00F44270">
        <w:rPr>
          <w:rFonts w:ascii="Century Gothic" w:hAnsi="Century Gothic"/>
          <w:lang w:val="es-CO"/>
        </w:rPr>
        <w:t xml:space="preserve">. </w:t>
      </w:r>
    </w:p>
    <w:p w14:paraId="35B22DBA" w14:textId="77777777" w:rsidR="0064450E" w:rsidRPr="00F44270" w:rsidRDefault="0064450E" w:rsidP="0064450E">
      <w:pPr>
        <w:spacing w:after="120" w:line="276" w:lineRule="auto"/>
        <w:ind w:firstLine="709"/>
        <w:jc w:val="both"/>
        <w:rPr>
          <w:rFonts w:ascii="Century Gothic" w:hAnsi="Century Gothic" w:cs="Arial"/>
        </w:rPr>
      </w:pPr>
      <w:r w:rsidRPr="00F44270">
        <w:rPr>
          <w:rFonts w:ascii="Century Gothic" w:hAnsi="Century Gothic" w:cs="Arial"/>
        </w:rPr>
        <w:t xml:space="preserve">En la medida en que los consorcios y las uniones temporales no son personas jurídicas, su creación depende de un acuerdo privado en el que concurre la voluntad de sus integrantes para regular su objeto, la participación de los miembros, las obligaciones frente al proyecto, la responsabilidad de los miembros, la forma en que regirán sus relaciones internas y el relacionamiento con la entidad contratante, mediante la designación de un representante, conforme el parágrafo 1 del artículo 7 de la Ley 80 de 1993. Por lo anterior, la constitución del consorcio o unión temporal supone la asignación de facultades al </w:t>
      </w:r>
      <w:r w:rsidRPr="00F44270">
        <w:rPr>
          <w:rFonts w:ascii="Century Gothic" w:hAnsi="Century Gothic" w:cs="Arial"/>
          <w:shd w:val="clear" w:color="auto" w:fill="FFFFFF"/>
        </w:rPr>
        <w:t>“</w:t>
      </w:r>
      <w:r w:rsidRPr="00F44270">
        <w:rPr>
          <w:rFonts w:ascii="Century Gothic" w:hAnsi="Century Gothic" w:cs="Arial"/>
        </w:rPr>
        <w:t>representante</w:t>
      </w:r>
      <w:r w:rsidRPr="00F44270">
        <w:rPr>
          <w:rFonts w:ascii="Century Gothic" w:hAnsi="Century Gothic" w:cs="Arial"/>
          <w:shd w:val="clear" w:color="auto" w:fill="FFFFFF"/>
        </w:rPr>
        <w:t>”</w:t>
      </w:r>
      <w:r w:rsidRPr="00F44270">
        <w:rPr>
          <w:rFonts w:ascii="Century Gothic" w:hAnsi="Century Gothic" w:cs="Arial"/>
        </w:rPr>
        <w:t xml:space="preserve"> del proponente plural, pues –para efectos del artículo 1505 del Código Civil– </w:t>
      </w:r>
      <w:r w:rsidRPr="00F44270">
        <w:rPr>
          <w:rFonts w:ascii="Century Gothic" w:hAnsi="Century Gothic" w:cs="Arial"/>
          <w:shd w:val="clear" w:color="auto" w:fill="FFFFFF"/>
        </w:rPr>
        <w:t>“</w:t>
      </w:r>
      <w:r w:rsidRPr="00F44270">
        <w:rPr>
          <w:rFonts w:ascii="Century Gothic" w:hAnsi="Century Gothic" w:cs="Arial"/>
        </w:rPr>
        <w:t>Lo que una persona ejecuta a nombre de otra, estando facultada por ella o por la ley para representarla, produce respecto del representado iguales efectos que si hubiese contratado él</w:t>
      </w:r>
      <w:r w:rsidRPr="00F44270">
        <w:rPr>
          <w:rFonts w:ascii="Century Gothic" w:hAnsi="Century Gothic" w:cs="Arial"/>
          <w:spacing w:val="-3"/>
        </w:rPr>
        <w:t xml:space="preserve"> </w:t>
      </w:r>
      <w:r w:rsidRPr="00F44270">
        <w:rPr>
          <w:rFonts w:ascii="Century Gothic" w:hAnsi="Century Gothic" w:cs="Arial"/>
        </w:rPr>
        <w:t>mismo”.</w:t>
      </w:r>
    </w:p>
    <w:p w14:paraId="0F91048D" w14:textId="77777777" w:rsidR="0064450E" w:rsidRPr="00F44270" w:rsidRDefault="0064450E" w:rsidP="0064450E">
      <w:pPr>
        <w:spacing w:after="0" w:line="276" w:lineRule="auto"/>
        <w:ind w:firstLine="709"/>
        <w:jc w:val="both"/>
        <w:rPr>
          <w:rFonts w:ascii="Century Gothic" w:eastAsia="Calibri" w:hAnsi="Century Gothic" w:cs="Arial"/>
          <w:b/>
          <w:bCs/>
          <w:color w:val="000000" w:themeColor="text1"/>
        </w:rPr>
      </w:pPr>
      <w:r w:rsidRPr="00F44270">
        <w:rPr>
          <w:rFonts w:ascii="Century Gothic" w:hAnsi="Century Gothic" w:cs="Arial"/>
        </w:rPr>
        <w:t>En el derecho privado, el acuerdo de voluntades que constituye el consorcio o unión temporal es un contrato principal, oneroso, conmutativo, bilateral o plurilateral</w:t>
      </w:r>
      <w:r w:rsidRPr="00F44270">
        <w:rPr>
          <w:rStyle w:val="Refdenotaalpie"/>
          <w:rFonts w:ascii="Century Gothic" w:hAnsi="Century Gothic" w:cs="Arial"/>
        </w:rPr>
        <w:footnoteReference w:id="5"/>
      </w:r>
      <w:r w:rsidRPr="00F44270">
        <w:rPr>
          <w:rFonts w:ascii="Century Gothic" w:hAnsi="Century Gothic" w:cs="Arial"/>
        </w:rPr>
        <w:t xml:space="preserve">. En el derecho público, el ente debidamente constituido será un sujeto con capacidad para contratar, para ejecutar las obligaciones y ejercer los derechos que derivan del contrato, así como para interrelacionarse con la entidad </w:t>
      </w:r>
      <w:r w:rsidRPr="00F44270">
        <w:rPr>
          <w:rFonts w:ascii="Century Gothic" w:hAnsi="Century Gothic" w:cs="Arial"/>
        </w:rPr>
        <w:lastRenderedPageBreak/>
        <w:t>estatal contratante en todo lo referente a la ejecución del objeto contractual. Inclusive, los consorcios y uniones temporales, a través de su representante, tienen capacidad y están legitimados para comparecer al proceso, en orden de proteger sus derechos o responder por el incumplimiento de sus</w:t>
      </w:r>
      <w:r w:rsidRPr="00F44270">
        <w:rPr>
          <w:rFonts w:ascii="Century Gothic" w:hAnsi="Century Gothic" w:cs="Arial"/>
          <w:spacing w:val="-5"/>
        </w:rPr>
        <w:t xml:space="preserve"> </w:t>
      </w:r>
      <w:r w:rsidRPr="00F44270">
        <w:rPr>
          <w:rFonts w:ascii="Century Gothic" w:hAnsi="Century Gothic" w:cs="Arial"/>
        </w:rPr>
        <w:t>obligaciones</w:t>
      </w:r>
      <w:r w:rsidRPr="00F44270">
        <w:rPr>
          <w:rStyle w:val="Refdenotaalpie"/>
          <w:rFonts w:ascii="Century Gothic" w:hAnsi="Century Gothic" w:cs="Arial"/>
        </w:rPr>
        <w:footnoteReference w:id="6"/>
      </w:r>
      <w:r w:rsidRPr="00F44270">
        <w:rPr>
          <w:rFonts w:ascii="Century Gothic" w:hAnsi="Century Gothic" w:cs="Arial"/>
        </w:rPr>
        <w:t xml:space="preserve">. </w:t>
      </w:r>
      <w:r w:rsidRPr="00F44270">
        <w:rPr>
          <w:rFonts w:ascii="Century Gothic" w:hAnsi="Century Gothic"/>
        </w:rPr>
        <w:t>En conclusión, los consorcios y uniones temporales no son personas jurídicas, pero son entes creados por el acuerdo de voluntades de sus miembros que están facultados, en virtud de la ley, para celebrar y ejecutar contratos con entidades estatales y para ser parte en procesos administrativos y judiciales derivados de su celebración y ejecución</w:t>
      </w:r>
      <w:r w:rsidRPr="00F44270">
        <w:rPr>
          <w:rFonts w:ascii="Century Gothic" w:eastAsia="Calibri" w:hAnsi="Century Gothic" w:cs="Arial"/>
          <w:color w:val="000000" w:themeColor="text1"/>
        </w:rPr>
        <w:t xml:space="preserve">. </w:t>
      </w:r>
    </w:p>
    <w:p w14:paraId="49684FBE" w14:textId="77777777" w:rsidR="0064450E" w:rsidRPr="00F44270" w:rsidRDefault="0064450E" w:rsidP="0064450E">
      <w:pPr>
        <w:spacing w:after="0" w:line="276" w:lineRule="auto"/>
        <w:ind w:firstLine="708"/>
        <w:jc w:val="both"/>
        <w:rPr>
          <w:rFonts w:ascii="Century Gothic" w:eastAsia="Calibri" w:hAnsi="Century Gothic" w:cs="Arial"/>
          <w:color w:val="000000" w:themeColor="text1"/>
        </w:rPr>
      </w:pPr>
      <w:r w:rsidRPr="00F44270">
        <w:rPr>
          <w:rFonts w:ascii="Century Gothic" w:eastAsia="Calibri" w:hAnsi="Century Gothic" w:cs="Arial"/>
          <w:color w:val="000000" w:themeColor="text1"/>
        </w:rPr>
        <w:t xml:space="preserve"> </w:t>
      </w:r>
      <w:bookmarkEnd w:id="7"/>
    </w:p>
    <w:p w14:paraId="41C8008B" w14:textId="77777777" w:rsidR="0064450E" w:rsidRPr="00035110" w:rsidRDefault="0064450E" w:rsidP="0064450E">
      <w:pPr>
        <w:spacing w:after="0" w:line="276" w:lineRule="auto"/>
        <w:jc w:val="both"/>
        <w:rPr>
          <w:rFonts w:ascii="Century Gothic" w:eastAsia="Calibri" w:hAnsi="Century Gothic" w:cs="Arial"/>
          <w:b/>
          <w:bCs/>
          <w:lang w:val="es-MX"/>
        </w:rPr>
      </w:pPr>
      <w:r w:rsidRPr="00035110">
        <w:rPr>
          <w:rFonts w:ascii="Century Gothic" w:eastAsia="Calibri" w:hAnsi="Century Gothic" w:cs="Arial"/>
          <w:b/>
          <w:bCs/>
          <w:color w:val="000000" w:themeColor="text1"/>
        </w:rPr>
        <w:t xml:space="preserve">2.2. </w:t>
      </w:r>
      <w:r w:rsidRPr="00035110">
        <w:rPr>
          <w:rFonts w:ascii="Century Gothic" w:eastAsia="Calibri" w:hAnsi="Century Gothic" w:cs="Arial"/>
          <w:b/>
          <w:bCs/>
          <w:lang w:val="es-MX"/>
        </w:rPr>
        <w:t xml:space="preserve">Convocatorias limitadas a </w:t>
      </w:r>
      <w:proofErr w:type="spellStart"/>
      <w:r w:rsidRPr="00035110">
        <w:rPr>
          <w:rFonts w:ascii="Century Gothic" w:eastAsia="Calibri" w:hAnsi="Century Gothic" w:cs="Arial"/>
          <w:b/>
          <w:bCs/>
          <w:lang w:val="es-MX"/>
        </w:rPr>
        <w:t>Mipymes</w:t>
      </w:r>
      <w:proofErr w:type="spellEnd"/>
      <w:r w:rsidRPr="00035110">
        <w:rPr>
          <w:rFonts w:ascii="Century Gothic" w:eastAsia="Calibri" w:hAnsi="Century Gothic" w:cs="Arial"/>
          <w:b/>
          <w:bCs/>
          <w:lang w:val="es-MX"/>
        </w:rPr>
        <w:t xml:space="preserve"> en el sistema de compras públicas</w:t>
      </w:r>
    </w:p>
    <w:p w14:paraId="30C9AA24" w14:textId="77777777" w:rsidR="0064450E" w:rsidRPr="00035110" w:rsidRDefault="0064450E" w:rsidP="0064450E">
      <w:pPr>
        <w:tabs>
          <w:tab w:val="left" w:pos="426"/>
        </w:tabs>
        <w:spacing w:after="0" w:line="276" w:lineRule="auto"/>
        <w:contextualSpacing/>
        <w:jc w:val="both"/>
        <w:rPr>
          <w:rFonts w:ascii="Century Gothic" w:eastAsia="Calibri" w:hAnsi="Century Gothic" w:cs="Arial"/>
          <w:b/>
          <w:lang w:val="es-MX"/>
        </w:rPr>
      </w:pPr>
    </w:p>
    <w:p w14:paraId="4390F228" w14:textId="77777777" w:rsidR="0064450E" w:rsidRPr="00035110" w:rsidRDefault="0064450E" w:rsidP="0064450E">
      <w:pPr>
        <w:spacing w:after="0" w:line="276" w:lineRule="auto"/>
        <w:jc w:val="both"/>
        <w:rPr>
          <w:rFonts w:ascii="Century Gothic" w:eastAsia="Arial" w:hAnsi="Century Gothic" w:cs="Arial"/>
          <w:color w:val="000000"/>
        </w:rPr>
      </w:pPr>
      <w:r w:rsidRPr="00035110">
        <w:rPr>
          <w:rFonts w:ascii="Century Gothic" w:eastAsia="Arial" w:hAnsi="Century Gothic" w:cs="Arial"/>
          <w:color w:val="000000"/>
        </w:rPr>
        <w:t xml:space="preserve">En desarrollo del artículo 12 de la Ley 1150 de 2007, el artículo 2.2.1.2.4.2.2 del Decreto 1082 de 2015 –modificado por el Decreto 1860 de 2021– establece los requisitos que se deben acreditar en las “convocatorias limitadas a </w:t>
      </w:r>
      <w:proofErr w:type="spellStart"/>
      <w:r w:rsidRPr="00035110">
        <w:rPr>
          <w:rFonts w:ascii="Century Gothic" w:eastAsia="Arial" w:hAnsi="Century Gothic" w:cs="Arial"/>
          <w:color w:val="000000"/>
        </w:rPr>
        <w:t>Mipymes</w:t>
      </w:r>
      <w:proofErr w:type="spellEnd"/>
      <w:r w:rsidRPr="00035110">
        <w:rPr>
          <w:rFonts w:ascii="Century Gothic" w:eastAsia="Arial" w:hAnsi="Century Gothic" w:cs="Arial"/>
          <w:color w:val="000000"/>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035110">
        <w:rPr>
          <w:rFonts w:ascii="Century Gothic" w:eastAsia="Arial" w:hAnsi="Century Gothic" w:cs="Arial"/>
          <w:color w:val="000000"/>
        </w:rPr>
        <w:t>Mipyme</w:t>
      </w:r>
      <w:proofErr w:type="spellEnd"/>
      <w:r w:rsidRPr="00035110">
        <w:rPr>
          <w:rFonts w:ascii="Century Gothic" w:eastAsia="Arial" w:hAnsi="Century Gothic" w:cs="Arial"/>
          <w:color w:val="000000"/>
        </w:rPr>
        <w:t xml:space="preserve"> colombianas con mínimo un (1) año de existencia, siempre que se cumplan los requisitos señalados allí. Al respecto indica lo siguiente: </w:t>
      </w:r>
    </w:p>
    <w:p w14:paraId="2AA6C286" w14:textId="77777777" w:rsidR="0064450E" w:rsidRPr="00035110" w:rsidRDefault="0064450E" w:rsidP="0064450E">
      <w:pPr>
        <w:spacing w:after="0" w:line="276" w:lineRule="auto"/>
        <w:ind w:firstLine="709"/>
        <w:jc w:val="both"/>
        <w:rPr>
          <w:rFonts w:ascii="Century Gothic" w:eastAsia="Arial" w:hAnsi="Century Gothic" w:cs="Arial"/>
          <w:color w:val="000000"/>
        </w:rPr>
      </w:pPr>
    </w:p>
    <w:p w14:paraId="5A8147EC" w14:textId="77777777" w:rsidR="0064450E" w:rsidRPr="00035110" w:rsidRDefault="0064450E" w:rsidP="49097B2D">
      <w:pPr>
        <w:spacing w:after="120" w:line="240" w:lineRule="auto"/>
        <w:ind w:left="709" w:right="709"/>
        <w:jc w:val="both"/>
        <w:rPr>
          <w:rFonts w:ascii="Century Gothic" w:eastAsia="Calibri" w:hAnsi="Century Gothic" w:cs="Arial"/>
          <w:sz w:val="21"/>
          <w:szCs w:val="21"/>
          <w:lang w:val="es-ES"/>
        </w:rPr>
      </w:pPr>
      <w:r w:rsidRPr="49097B2D">
        <w:rPr>
          <w:rFonts w:ascii="Century Gothic" w:eastAsia="Calibri" w:hAnsi="Century Gothic" w:cs="Arial"/>
          <w:sz w:val="21"/>
          <w:szCs w:val="21"/>
          <w:lang w:val="es-ES"/>
        </w:rPr>
        <w:t xml:space="preserve">“Artículo 2.2.1.2.4.2.2. Convocatorias Imitadas a </w:t>
      </w:r>
      <w:proofErr w:type="spellStart"/>
      <w:r w:rsidRPr="49097B2D">
        <w:rPr>
          <w:rFonts w:ascii="Century Gothic" w:eastAsia="Calibri" w:hAnsi="Century Gothic" w:cs="Arial"/>
          <w:sz w:val="21"/>
          <w:szCs w:val="21"/>
          <w:lang w:val="es-ES"/>
        </w:rPr>
        <w:t>Mipyme</w:t>
      </w:r>
      <w:proofErr w:type="spellEnd"/>
      <w:r w:rsidRPr="49097B2D">
        <w:rPr>
          <w:rFonts w:ascii="Century Gothic" w:eastAsia="Calibri" w:hAnsi="Century Gothic" w:cs="Arial"/>
          <w:sz w:val="21"/>
          <w:szCs w:val="21"/>
          <w:lang w:val="es-ES"/>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49097B2D">
        <w:rPr>
          <w:rFonts w:ascii="Century Gothic" w:eastAsia="Calibri" w:hAnsi="Century Gothic" w:cs="Arial"/>
          <w:sz w:val="21"/>
          <w:szCs w:val="21"/>
          <w:lang w:val="es-ES"/>
        </w:rPr>
        <w:t>Mipyme</w:t>
      </w:r>
      <w:proofErr w:type="spellEnd"/>
      <w:r w:rsidRPr="49097B2D">
        <w:rPr>
          <w:rFonts w:ascii="Century Gothic" w:eastAsia="Calibri" w:hAnsi="Century Gothic" w:cs="Arial"/>
          <w:sz w:val="21"/>
          <w:szCs w:val="21"/>
          <w:lang w:val="es-ES"/>
        </w:rPr>
        <w:t xml:space="preserve"> colombianas con mínimo un (1) año de existencia, cuando concurran los siguientes requisitos: </w:t>
      </w:r>
    </w:p>
    <w:p w14:paraId="2CB1203F" w14:textId="77777777" w:rsidR="0064450E" w:rsidRPr="00035110" w:rsidRDefault="0064450E" w:rsidP="0064450E">
      <w:pPr>
        <w:spacing w:after="120" w:line="240" w:lineRule="auto"/>
        <w:ind w:left="709" w:right="709"/>
        <w:jc w:val="both"/>
        <w:rPr>
          <w:rFonts w:ascii="Century Gothic" w:eastAsia="Calibri" w:hAnsi="Century Gothic" w:cs="Arial"/>
          <w:sz w:val="21"/>
          <w:szCs w:val="21"/>
          <w:lang w:val="es-ES_tradnl"/>
        </w:rPr>
      </w:pPr>
      <w:r w:rsidRPr="00035110">
        <w:rPr>
          <w:rFonts w:ascii="Century Gothic" w:eastAsia="Calibri" w:hAnsi="Century Gothic" w:cs="Arial"/>
          <w:sz w:val="21"/>
          <w:szCs w:val="21"/>
          <w:lang w:val="es-ES_tradnl"/>
        </w:rPr>
        <w:lastRenderedPageBreak/>
        <w:t>1. El valor del Proceso de Contratación sea menor a ciento veinticinco mil dólares de los Estados Unidos de América (US$125.000), liquidados con la tasa de cambio que para el efecto determina cada dos años el Ministerio de Comercio, Industria y Turismo.</w:t>
      </w:r>
    </w:p>
    <w:p w14:paraId="222EDFDD" w14:textId="77777777" w:rsidR="0064450E" w:rsidRPr="00035110" w:rsidRDefault="0064450E" w:rsidP="49097B2D">
      <w:pPr>
        <w:spacing w:after="120" w:line="240" w:lineRule="auto"/>
        <w:ind w:left="709" w:right="709"/>
        <w:jc w:val="both"/>
        <w:rPr>
          <w:rFonts w:ascii="Century Gothic" w:eastAsia="Calibri" w:hAnsi="Century Gothic" w:cs="Arial"/>
          <w:sz w:val="21"/>
          <w:szCs w:val="21"/>
          <w:lang w:val="es-ES"/>
        </w:rPr>
      </w:pPr>
      <w:r w:rsidRPr="49097B2D">
        <w:rPr>
          <w:rFonts w:ascii="Century Gothic" w:eastAsia="Calibri" w:hAnsi="Century Gothic" w:cs="Arial"/>
          <w:sz w:val="21"/>
          <w:szCs w:val="21"/>
          <w:lang w:val="es-ES"/>
        </w:rPr>
        <w:t xml:space="preserve">2. Se hayan recibido solicitudes de por lo menos dos (2) </w:t>
      </w:r>
      <w:proofErr w:type="spellStart"/>
      <w:r w:rsidRPr="49097B2D">
        <w:rPr>
          <w:rFonts w:ascii="Century Gothic" w:eastAsia="Calibri" w:hAnsi="Century Gothic" w:cs="Arial"/>
          <w:sz w:val="21"/>
          <w:szCs w:val="21"/>
          <w:lang w:val="es-ES"/>
        </w:rPr>
        <w:t>Mipyme</w:t>
      </w:r>
      <w:proofErr w:type="spellEnd"/>
      <w:r w:rsidRPr="49097B2D">
        <w:rPr>
          <w:rFonts w:ascii="Century Gothic" w:eastAsia="Calibri" w:hAnsi="Century Gothic" w:cs="Arial"/>
          <w:sz w:val="21"/>
          <w:szCs w:val="21"/>
          <w:lang w:val="es-ES"/>
        </w:rPr>
        <w:t xml:space="preserve"> colombianas para limitar la convocatoria a </w:t>
      </w:r>
      <w:proofErr w:type="spellStart"/>
      <w:r w:rsidRPr="49097B2D">
        <w:rPr>
          <w:rFonts w:ascii="Century Gothic" w:eastAsia="Calibri" w:hAnsi="Century Gothic" w:cs="Arial"/>
          <w:sz w:val="21"/>
          <w:szCs w:val="21"/>
          <w:lang w:val="es-ES"/>
        </w:rPr>
        <w:t>Mipyme</w:t>
      </w:r>
      <w:proofErr w:type="spellEnd"/>
      <w:r w:rsidRPr="49097B2D">
        <w:rPr>
          <w:rFonts w:ascii="Century Gothic" w:eastAsia="Calibri" w:hAnsi="Century Gothic" w:cs="Arial"/>
          <w:sz w:val="21"/>
          <w:szCs w:val="21"/>
          <w:lang w:val="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49097B2D">
        <w:rPr>
          <w:rFonts w:ascii="Century Gothic" w:eastAsia="Calibri" w:hAnsi="Century Gothic" w:cs="Arial"/>
          <w:sz w:val="21"/>
          <w:szCs w:val="21"/>
          <w:lang w:val="es-ES"/>
        </w:rPr>
        <w:t>Mipyme</w:t>
      </w:r>
      <w:proofErr w:type="spellEnd"/>
      <w:r w:rsidRPr="49097B2D">
        <w:rPr>
          <w:rFonts w:ascii="Century Gothic" w:eastAsia="Calibri" w:hAnsi="Century Gothic" w:cs="Arial"/>
          <w:sz w:val="21"/>
          <w:szCs w:val="21"/>
          <w:lang w:val="es-ES"/>
        </w:rPr>
        <w:t>, cuyo objeto social les permita ejecutar el contrato relacionado con el proceso contractual.</w:t>
      </w:r>
    </w:p>
    <w:p w14:paraId="7B4EE5FE" w14:textId="77777777" w:rsidR="0064450E" w:rsidRPr="00035110" w:rsidRDefault="0064450E" w:rsidP="49097B2D">
      <w:pPr>
        <w:spacing w:after="0" w:line="240" w:lineRule="auto"/>
        <w:ind w:left="709" w:right="709"/>
        <w:jc w:val="both"/>
        <w:rPr>
          <w:rFonts w:ascii="Century Gothic" w:eastAsia="Calibri" w:hAnsi="Century Gothic" w:cs="Arial"/>
          <w:sz w:val="21"/>
          <w:szCs w:val="21"/>
          <w:lang w:val="es-ES"/>
        </w:rPr>
      </w:pPr>
      <w:r w:rsidRPr="49097B2D">
        <w:rPr>
          <w:rFonts w:ascii="Century Gothic" w:eastAsia="Calibri" w:hAnsi="Century Gothic" w:cs="Arial"/>
          <w:sz w:val="21"/>
          <w:szCs w:val="21"/>
          <w:lang w:val="es-ES"/>
        </w:rPr>
        <w:t xml:space="preserve">Parágrafo. Las cooperativas y demás entidades de economía solidaria, siempre que tengan la calidad de </w:t>
      </w:r>
      <w:proofErr w:type="spellStart"/>
      <w:r w:rsidRPr="49097B2D">
        <w:rPr>
          <w:rFonts w:ascii="Century Gothic" w:eastAsia="Calibri" w:hAnsi="Century Gothic" w:cs="Arial"/>
          <w:sz w:val="21"/>
          <w:szCs w:val="21"/>
          <w:lang w:val="es-ES"/>
        </w:rPr>
        <w:t>Mipyme</w:t>
      </w:r>
      <w:proofErr w:type="spellEnd"/>
      <w:r w:rsidRPr="49097B2D">
        <w:rPr>
          <w:rFonts w:ascii="Century Gothic" w:eastAsia="Calibri" w:hAnsi="Century Gothic" w:cs="Arial"/>
          <w:sz w:val="21"/>
          <w:szCs w:val="21"/>
          <w:lang w:val="es-ES"/>
        </w:rPr>
        <w:t>, podrán solicitar y participar en las convocatorias limitadas en las mismas condiciones dispuestas en el presente artículo”.</w:t>
      </w:r>
    </w:p>
    <w:p w14:paraId="1CDA30C5" w14:textId="77777777" w:rsidR="0064450E" w:rsidRPr="00035110" w:rsidRDefault="0064450E" w:rsidP="0064450E">
      <w:pPr>
        <w:spacing w:after="0" w:line="276" w:lineRule="auto"/>
        <w:ind w:firstLine="709"/>
        <w:jc w:val="both"/>
        <w:rPr>
          <w:rFonts w:ascii="Century Gothic" w:eastAsia="Arial" w:hAnsi="Century Gothic" w:cs="Arial"/>
          <w:color w:val="000000"/>
        </w:rPr>
      </w:pPr>
    </w:p>
    <w:p w14:paraId="798DB3D4" w14:textId="77777777" w:rsidR="0064450E" w:rsidRDefault="0064450E" w:rsidP="0064450E">
      <w:pPr>
        <w:spacing w:after="120" w:line="276" w:lineRule="auto"/>
        <w:ind w:firstLine="709"/>
        <w:jc w:val="both"/>
        <w:rPr>
          <w:rFonts w:ascii="Century Gothic" w:eastAsia="Arial" w:hAnsi="Century Gothic" w:cs="Arial"/>
          <w:color w:val="000000"/>
          <w:lang w:val="es-ES_tradnl"/>
        </w:rPr>
      </w:pPr>
      <w:r w:rsidRPr="00035110">
        <w:rPr>
          <w:rFonts w:ascii="Century Gothic" w:eastAsia="Arial" w:hAnsi="Century Gothic" w:cs="Arial"/>
          <w:color w:val="000000"/>
        </w:rPr>
        <w:t xml:space="preserve">Según se evidencia, el numeral primero limita cuantitativamente los procesos contractuales para las convocatorias limitadas a </w:t>
      </w:r>
      <w:proofErr w:type="spellStart"/>
      <w:r w:rsidRPr="00035110">
        <w:rPr>
          <w:rFonts w:ascii="Century Gothic" w:eastAsia="Arial" w:hAnsi="Century Gothic" w:cs="Arial"/>
          <w:color w:val="000000"/>
        </w:rPr>
        <w:t>Mipyme</w:t>
      </w:r>
      <w:proofErr w:type="spellEnd"/>
      <w:r w:rsidRPr="00035110">
        <w:rPr>
          <w:rFonts w:ascii="Century Gothic" w:eastAsia="Arial" w:hAnsi="Century Gothic" w:cs="Arial"/>
          <w:color w:val="000000"/>
        </w:rPr>
        <w:t xml:space="preserve">, puesto que el valor del proceso de contratación debe ser “menor a ciento veinticinco mil dólares de los Estados Unidos de América”. Esto de acuerdo con la tasa que determine cada dos años el Ministerio de Comercio, Industria y Turismo. Por su parte, el numeral segundo establece que al menos dos (2) </w:t>
      </w:r>
      <w:proofErr w:type="spellStart"/>
      <w:r w:rsidRPr="00035110">
        <w:rPr>
          <w:rFonts w:ascii="Century Gothic" w:eastAsia="Arial" w:hAnsi="Century Gothic" w:cs="Arial"/>
          <w:color w:val="000000"/>
        </w:rPr>
        <w:t>Mipymes</w:t>
      </w:r>
      <w:proofErr w:type="spellEnd"/>
      <w:r w:rsidRPr="00035110">
        <w:rPr>
          <w:rFonts w:ascii="Century Gothic" w:eastAsia="Arial" w:hAnsi="Century Gothic" w:cs="Arial"/>
          <w:color w:val="000000"/>
        </w:rPr>
        <w:t xml:space="preserve"> colombianas presenten a la entidad la solicitud de limitar el proceso contractual y, por el otro, que hagan la solicitud por lo menos un día (1) hábil antes de la expedición del acto administrativo de apertura </w:t>
      </w:r>
      <w:r w:rsidRPr="00035110">
        <w:rPr>
          <w:rFonts w:ascii="Century Gothic" w:eastAsia="Arial" w:hAnsi="Century Gothic" w:cs="Arial"/>
          <w:color w:val="000000"/>
          <w:lang w:val="es-ES_tradnl"/>
        </w:rPr>
        <w:t>o el que haga sus veces de acuerdo con la normativa aplicable a cada Proceso de Contratación</w:t>
      </w:r>
      <w:r w:rsidRPr="00035110">
        <w:rPr>
          <w:rFonts w:ascii="Century Gothic" w:eastAsia="Arial" w:hAnsi="Century Gothic" w:cs="Arial"/>
          <w:color w:val="000000"/>
        </w:rPr>
        <w:t xml:space="preserve">. Asimismo, la norma señala que, </w:t>
      </w:r>
      <w:r w:rsidRPr="00035110">
        <w:rPr>
          <w:rFonts w:ascii="Century Gothic" w:eastAsia="Arial" w:hAnsi="Century Gothic" w:cs="Arial"/>
          <w:color w:val="000000"/>
          <w:lang w:val="es-ES_tradnl"/>
        </w:rPr>
        <w:t xml:space="preserve">tratándose de personas jurídicas, las solicitudes solo las podrán realizar la </w:t>
      </w:r>
      <w:proofErr w:type="spellStart"/>
      <w:r w:rsidRPr="00035110">
        <w:rPr>
          <w:rFonts w:ascii="Century Gothic" w:eastAsia="Arial" w:hAnsi="Century Gothic" w:cs="Arial"/>
          <w:color w:val="000000"/>
          <w:lang w:val="es-ES_tradnl"/>
        </w:rPr>
        <w:t>Mipyme</w:t>
      </w:r>
      <w:proofErr w:type="spellEnd"/>
      <w:r w:rsidRPr="00035110">
        <w:rPr>
          <w:rFonts w:ascii="Century Gothic" w:eastAsia="Arial" w:hAnsi="Century Gothic" w:cs="Arial"/>
          <w:color w:val="000000"/>
          <w:lang w:val="es-ES_tradnl"/>
        </w:rPr>
        <w:t xml:space="preserv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w:t>
      </w:r>
      <w:proofErr w:type="spellStart"/>
      <w:r w:rsidRPr="00035110">
        <w:rPr>
          <w:rFonts w:ascii="Century Gothic" w:eastAsia="Arial" w:hAnsi="Century Gothic" w:cs="Arial"/>
          <w:color w:val="000000"/>
          <w:lang w:val="es-ES_tradnl"/>
        </w:rPr>
        <w:t>Mipyme</w:t>
      </w:r>
      <w:proofErr w:type="spellEnd"/>
      <w:r w:rsidRPr="00035110">
        <w:rPr>
          <w:rFonts w:ascii="Century Gothic" w:eastAsia="Arial" w:hAnsi="Century Gothic" w:cs="Arial"/>
          <w:color w:val="000000"/>
          <w:lang w:val="es-ES_tradnl"/>
        </w:rPr>
        <w:t xml:space="preserve">, siempre que estas cumplan con las condiciones señaladas en el artículo. </w:t>
      </w:r>
    </w:p>
    <w:p w14:paraId="4C38CA0B" w14:textId="77777777" w:rsidR="0064450E" w:rsidRDefault="0064450E" w:rsidP="0064450E">
      <w:pPr>
        <w:spacing w:after="120" w:line="276" w:lineRule="auto"/>
        <w:ind w:firstLine="709"/>
        <w:jc w:val="both"/>
        <w:rPr>
          <w:rFonts w:ascii="Century Gothic" w:eastAsia="Arial" w:hAnsi="Century Gothic" w:cs="Arial"/>
          <w:color w:val="000000"/>
          <w:lang w:val="es-ES_tradnl"/>
        </w:rPr>
      </w:pPr>
      <w:r>
        <w:rPr>
          <w:rFonts w:ascii="Century Gothic" w:eastAsia="Arial" w:hAnsi="Century Gothic" w:cs="Arial"/>
          <w:color w:val="000000"/>
          <w:lang w:val="es-ES_tradnl"/>
        </w:rPr>
        <w:t xml:space="preserve">Como se desprende del tenor literal de la disposición transcrita, cuando se cumplen las condiciones de los numerales 1 y 2, </w:t>
      </w:r>
      <w:r w:rsidRPr="00146B61">
        <w:rPr>
          <w:rFonts w:ascii="Century Gothic" w:eastAsia="Arial" w:hAnsi="Century Gothic" w:cs="Arial"/>
          <w:color w:val="000000"/>
          <w:lang w:val="es-ES_tradnl"/>
        </w:rPr>
        <w:t xml:space="preserve">la convocatoria de los Procesos de Contratación con pluralidad de oferentes </w:t>
      </w:r>
      <w:r>
        <w:rPr>
          <w:rFonts w:ascii="Century Gothic" w:eastAsia="Arial" w:hAnsi="Century Gothic" w:cs="Arial"/>
          <w:color w:val="000000"/>
          <w:lang w:val="es-ES_tradnl"/>
        </w:rPr>
        <w:t xml:space="preserve">se limita </w:t>
      </w:r>
      <w:r w:rsidRPr="00146B61">
        <w:rPr>
          <w:rFonts w:ascii="Century Gothic" w:eastAsia="Arial" w:hAnsi="Century Gothic" w:cs="Arial"/>
          <w:color w:val="000000"/>
          <w:lang w:val="es-ES_tradnl"/>
        </w:rPr>
        <w:t xml:space="preserve">a las </w:t>
      </w:r>
      <w:proofErr w:type="spellStart"/>
      <w:r w:rsidRPr="00146B61">
        <w:rPr>
          <w:rFonts w:ascii="Century Gothic" w:eastAsia="Arial" w:hAnsi="Century Gothic" w:cs="Arial"/>
          <w:color w:val="000000"/>
          <w:lang w:val="es-ES_tradnl"/>
        </w:rPr>
        <w:t>Mipyme</w:t>
      </w:r>
      <w:proofErr w:type="spellEnd"/>
      <w:r w:rsidRPr="00146B61">
        <w:rPr>
          <w:rFonts w:ascii="Century Gothic" w:eastAsia="Arial" w:hAnsi="Century Gothic" w:cs="Arial"/>
          <w:color w:val="000000"/>
          <w:lang w:val="es-ES_tradnl"/>
        </w:rPr>
        <w:t xml:space="preserve"> colombianas con mínimo un (1) año de existencia</w:t>
      </w:r>
      <w:r>
        <w:rPr>
          <w:rFonts w:ascii="Century Gothic" w:eastAsia="Arial" w:hAnsi="Century Gothic" w:cs="Arial"/>
          <w:color w:val="000000"/>
          <w:lang w:val="es-ES_tradnl"/>
        </w:rPr>
        <w:t xml:space="preserve">. El artículo </w:t>
      </w:r>
      <w:r w:rsidRPr="00F1717B">
        <w:rPr>
          <w:rFonts w:ascii="Century Gothic" w:eastAsia="Arial" w:hAnsi="Century Gothic" w:cs="Arial"/>
          <w:color w:val="000000"/>
          <w:lang w:val="es-ES_tradnl"/>
        </w:rPr>
        <w:t>2.2.1.2.4.2.4</w:t>
      </w:r>
      <w:r>
        <w:rPr>
          <w:rFonts w:ascii="Century Gothic" w:eastAsia="Arial" w:hAnsi="Century Gothic" w:cs="Arial"/>
          <w:color w:val="000000"/>
          <w:lang w:val="es-ES_tradnl"/>
        </w:rPr>
        <w:t xml:space="preserve">, parágrafo 3, del Decreto </w:t>
      </w:r>
      <w:r>
        <w:rPr>
          <w:rFonts w:ascii="Century Gothic" w:eastAsia="Arial" w:hAnsi="Century Gothic" w:cs="Arial"/>
          <w:color w:val="000000"/>
          <w:lang w:val="es-ES_tradnl"/>
        </w:rPr>
        <w:lastRenderedPageBreak/>
        <w:t>1082 de 2015 dispone que “E</w:t>
      </w:r>
      <w:r w:rsidRPr="00F1717B">
        <w:rPr>
          <w:rFonts w:ascii="Century Gothic" w:eastAsia="Arial" w:hAnsi="Century Gothic" w:cs="Arial"/>
          <w:color w:val="000000"/>
          <w:lang w:val="es-ES_tradnl"/>
        </w:rPr>
        <w:t xml:space="preserve">n las convocatorias limitadas, las Entidades Estatales independientemente de su régimen de contratación, los patrimonios autónomos constituidos por Entidades Estatales y los particulares que ejecuten recursos públicos, solo deberán aceptar las ofertas de </w:t>
      </w:r>
      <w:proofErr w:type="spellStart"/>
      <w:r w:rsidRPr="00F1717B">
        <w:rPr>
          <w:rFonts w:ascii="Century Gothic" w:eastAsia="Arial" w:hAnsi="Century Gothic" w:cs="Arial"/>
          <w:color w:val="000000"/>
          <w:lang w:val="es-ES_tradnl"/>
        </w:rPr>
        <w:t>Mipyme</w:t>
      </w:r>
      <w:proofErr w:type="spellEnd"/>
      <w:r w:rsidRPr="00F1717B">
        <w:rPr>
          <w:rFonts w:ascii="Century Gothic" w:eastAsia="Arial" w:hAnsi="Century Gothic" w:cs="Arial"/>
          <w:color w:val="000000"/>
          <w:lang w:val="es-ES_tradnl"/>
        </w:rPr>
        <w:t xml:space="preserve"> o de proponentes plurales integrados únicamente por </w:t>
      </w:r>
      <w:proofErr w:type="spellStart"/>
      <w:r w:rsidRPr="00F1717B">
        <w:rPr>
          <w:rFonts w:ascii="Century Gothic" w:eastAsia="Arial" w:hAnsi="Century Gothic" w:cs="Arial"/>
          <w:color w:val="000000"/>
          <w:lang w:val="es-ES_tradnl"/>
        </w:rPr>
        <w:t>Mipyme</w:t>
      </w:r>
      <w:proofErr w:type="spellEnd"/>
      <w:r>
        <w:rPr>
          <w:rFonts w:ascii="Century Gothic" w:eastAsia="Arial" w:hAnsi="Century Gothic" w:cs="Arial"/>
          <w:color w:val="000000"/>
          <w:lang w:val="es-ES_tradnl"/>
        </w:rPr>
        <w:t>”</w:t>
      </w:r>
      <w:r w:rsidRPr="00F1717B">
        <w:rPr>
          <w:rFonts w:ascii="Century Gothic" w:eastAsia="Arial" w:hAnsi="Century Gothic" w:cs="Arial"/>
          <w:color w:val="000000"/>
          <w:lang w:val="es-ES_tradnl"/>
        </w:rPr>
        <w:t>.</w:t>
      </w:r>
      <w:r>
        <w:rPr>
          <w:rFonts w:ascii="Century Gothic" w:eastAsia="Arial" w:hAnsi="Century Gothic" w:cs="Arial"/>
          <w:color w:val="000000"/>
          <w:lang w:val="es-ES_tradnl"/>
        </w:rPr>
        <w:t xml:space="preserve"> En los términos del artículo 30 del Código Civil, esta norma debe interpretarse sistemáticamente con el inciso primero del precitado </w:t>
      </w:r>
      <w:r w:rsidRPr="0049280E">
        <w:rPr>
          <w:rFonts w:ascii="Century Gothic" w:eastAsia="Arial" w:hAnsi="Century Gothic" w:cs="Arial"/>
          <w:color w:val="000000"/>
        </w:rPr>
        <w:t>artículo 2.2.1.2.4.2.2</w:t>
      </w:r>
      <w:r>
        <w:rPr>
          <w:rFonts w:ascii="Century Gothic" w:eastAsia="Arial" w:hAnsi="Century Gothic" w:cs="Arial"/>
          <w:color w:val="000000"/>
        </w:rPr>
        <w:t xml:space="preserve"> </w:t>
      </w:r>
      <w:r w:rsidRPr="009078A5">
        <w:rPr>
          <w:rFonts w:ascii="Century Gothic" w:eastAsia="Arial" w:hAnsi="Century Gothic" w:cs="Arial"/>
          <w:i/>
          <w:iCs/>
          <w:color w:val="000000"/>
        </w:rPr>
        <w:t>ibidem</w:t>
      </w:r>
      <w:r>
        <w:rPr>
          <w:rStyle w:val="Refdenotaalpie"/>
          <w:rFonts w:ascii="Century Gothic" w:eastAsia="Arial" w:hAnsi="Century Gothic" w:cs="Arial"/>
          <w:i/>
          <w:iCs/>
          <w:color w:val="000000"/>
        </w:rPr>
        <w:footnoteReference w:id="7"/>
      </w:r>
      <w:r>
        <w:rPr>
          <w:rFonts w:ascii="Century Gothic" w:eastAsia="Arial" w:hAnsi="Century Gothic" w:cs="Arial"/>
          <w:color w:val="000000"/>
        </w:rPr>
        <w:t>.</w:t>
      </w:r>
      <w:r>
        <w:rPr>
          <w:rFonts w:ascii="Century Gothic" w:eastAsia="Arial" w:hAnsi="Century Gothic" w:cs="Arial"/>
          <w:color w:val="000000"/>
          <w:lang w:val="es-ES_tradnl"/>
        </w:rPr>
        <w:t xml:space="preserve"> Por tanto, si la convocatoria limitada aplica en favor de </w:t>
      </w:r>
      <w:proofErr w:type="spellStart"/>
      <w:r w:rsidRPr="00146B61">
        <w:rPr>
          <w:rFonts w:ascii="Century Gothic" w:eastAsia="Arial" w:hAnsi="Century Gothic" w:cs="Arial"/>
          <w:color w:val="000000"/>
          <w:lang w:val="es-ES_tradnl"/>
        </w:rPr>
        <w:t>Mipyme</w:t>
      </w:r>
      <w:proofErr w:type="spellEnd"/>
      <w:r w:rsidRPr="00146B61">
        <w:rPr>
          <w:rFonts w:ascii="Century Gothic" w:eastAsia="Arial" w:hAnsi="Century Gothic" w:cs="Arial"/>
          <w:color w:val="000000"/>
          <w:lang w:val="es-ES_tradnl"/>
        </w:rPr>
        <w:t xml:space="preserve"> colombianas con mínimo un (1) año de existencia</w:t>
      </w:r>
      <w:r>
        <w:rPr>
          <w:rFonts w:ascii="Century Gothic" w:eastAsia="Arial" w:hAnsi="Century Gothic" w:cs="Arial"/>
          <w:color w:val="000000"/>
          <w:lang w:val="es-ES_tradnl"/>
        </w:rPr>
        <w:t xml:space="preserve">, no es posible la existencia de un proponente plural en que alguno de sus integrantes no cumpla con este criterio. En otras palabras, las </w:t>
      </w:r>
      <w:proofErr w:type="spellStart"/>
      <w:r w:rsidRPr="00146B61">
        <w:rPr>
          <w:rFonts w:ascii="Century Gothic" w:eastAsia="Arial" w:hAnsi="Century Gothic" w:cs="Arial"/>
          <w:color w:val="000000"/>
          <w:lang w:val="es-ES_tradnl"/>
        </w:rPr>
        <w:t>Mipyme</w:t>
      </w:r>
      <w:proofErr w:type="spellEnd"/>
      <w:r w:rsidRPr="00146B61">
        <w:rPr>
          <w:rFonts w:ascii="Century Gothic" w:eastAsia="Arial" w:hAnsi="Century Gothic" w:cs="Arial"/>
          <w:color w:val="000000"/>
          <w:lang w:val="es-ES_tradnl"/>
        </w:rPr>
        <w:t xml:space="preserve"> colombianas con</w:t>
      </w:r>
      <w:r>
        <w:rPr>
          <w:rFonts w:ascii="Century Gothic" w:eastAsia="Arial" w:hAnsi="Century Gothic" w:cs="Arial"/>
          <w:color w:val="000000"/>
          <w:lang w:val="es-ES_tradnl"/>
        </w:rPr>
        <w:t xml:space="preserve"> menos de</w:t>
      </w:r>
      <w:r w:rsidRPr="00146B61">
        <w:rPr>
          <w:rFonts w:ascii="Century Gothic" w:eastAsia="Arial" w:hAnsi="Century Gothic" w:cs="Arial"/>
          <w:color w:val="000000"/>
          <w:lang w:val="es-ES_tradnl"/>
        </w:rPr>
        <w:t xml:space="preserve"> un (1) año de existencia</w:t>
      </w:r>
      <w:r>
        <w:rPr>
          <w:rFonts w:ascii="Century Gothic" w:eastAsia="Arial" w:hAnsi="Century Gothic" w:cs="Arial"/>
          <w:color w:val="000000"/>
          <w:lang w:val="es-ES_tradnl"/>
        </w:rPr>
        <w:t xml:space="preserve"> no pueden participar en las convocatorias limitadas individualmente ni en consorcio ni unión temporal.</w:t>
      </w:r>
    </w:p>
    <w:p w14:paraId="39ABF5EB" w14:textId="77777777" w:rsidR="0064450E" w:rsidRDefault="0064450E" w:rsidP="0064450E">
      <w:pPr>
        <w:spacing w:after="120" w:line="276" w:lineRule="auto"/>
        <w:ind w:firstLine="709"/>
        <w:jc w:val="both"/>
        <w:rPr>
          <w:rFonts w:ascii="Century Gothic" w:eastAsia="Arial" w:hAnsi="Century Gothic" w:cs="Arial"/>
          <w:color w:val="000000"/>
          <w:lang w:val="es-ES_tradnl"/>
        </w:rPr>
      </w:pPr>
      <w:r>
        <w:rPr>
          <w:rFonts w:ascii="Century Gothic" w:eastAsia="Arial" w:hAnsi="Century Gothic" w:cs="Arial"/>
          <w:color w:val="000000"/>
          <w:lang w:val="es-ES_tradnl"/>
        </w:rPr>
        <w:t>Por lo demás, en lo que respecta a la presentación de las solicitudes, el numeral 2 de</w:t>
      </w:r>
      <w:r w:rsidRPr="0049280E">
        <w:rPr>
          <w:rFonts w:ascii="Century Gothic" w:eastAsia="Arial" w:hAnsi="Century Gothic" w:cs="Arial"/>
          <w:color w:val="000000"/>
        </w:rPr>
        <w:t>l artículo 2.2.1.2.4.2.2 del Decreto 1082 de 2015</w:t>
      </w:r>
      <w:r>
        <w:rPr>
          <w:rFonts w:ascii="Century Gothic" w:eastAsia="Arial" w:hAnsi="Century Gothic" w:cs="Arial"/>
          <w:color w:val="000000"/>
          <w:lang w:val="es-ES_tradnl"/>
        </w:rPr>
        <w:t xml:space="preserve"> no impide que, posteriormente, las dos (2) empresas formen un proponente plural. De hecho, si ambas solicitaron la limitación, pueden presentarse en forma individual o conjunta. Incluso, las dos (2) pueden competir entre sí formando un consorcio o una unión temporal con otras </w:t>
      </w:r>
      <w:proofErr w:type="spellStart"/>
      <w:r w:rsidRPr="00146B61">
        <w:rPr>
          <w:rFonts w:ascii="Century Gothic" w:eastAsia="Arial" w:hAnsi="Century Gothic" w:cs="Arial"/>
          <w:color w:val="000000"/>
          <w:lang w:val="es-ES_tradnl"/>
        </w:rPr>
        <w:t>Mipyme</w:t>
      </w:r>
      <w:proofErr w:type="spellEnd"/>
      <w:r w:rsidRPr="00146B61">
        <w:rPr>
          <w:rFonts w:ascii="Century Gothic" w:eastAsia="Arial" w:hAnsi="Century Gothic" w:cs="Arial"/>
          <w:color w:val="000000"/>
          <w:lang w:val="es-ES_tradnl"/>
        </w:rPr>
        <w:t xml:space="preserve"> colombianas con mínimo un (1) año de existencia</w:t>
      </w:r>
      <w:r>
        <w:rPr>
          <w:rFonts w:ascii="Century Gothic" w:eastAsia="Arial" w:hAnsi="Century Gothic" w:cs="Arial"/>
          <w:color w:val="000000"/>
          <w:lang w:val="es-ES_tradnl"/>
        </w:rPr>
        <w:t xml:space="preserve">, aunque estas últimas no hayan solicitado la limitación. En otras palabras, después de que la convocatoria haya quedado limitada, las </w:t>
      </w:r>
      <w:proofErr w:type="spellStart"/>
      <w:r>
        <w:rPr>
          <w:rFonts w:ascii="Century Gothic" w:eastAsia="Arial" w:hAnsi="Century Gothic" w:cs="Arial"/>
          <w:color w:val="000000"/>
          <w:lang w:val="es-ES_tradnl"/>
        </w:rPr>
        <w:t>Mipyme</w:t>
      </w:r>
      <w:proofErr w:type="spellEnd"/>
      <w:r>
        <w:rPr>
          <w:rFonts w:ascii="Century Gothic" w:eastAsia="Arial" w:hAnsi="Century Gothic" w:cs="Arial"/>
          <w:color w:val="000000"/>
          <w:lang w:val="es-ES_tradnl"/>
        </w:rPr>
        <w:t xml:space="preserve"> son libres para escoger alguna de estas opciones para presentarse al proceso de selección, pues la norma no exige alguna en específico. En esta medida, las </w:t>
      </w:r>
      <w:proofErr w:type="spellStart"/>
      <w:r w:rsidRPr="00146B61">
        <w:rPr>
          <w:rFonts w:ascii="Century Gothic" w:eastAsia="Arial" w:hAnsi="Century Gothic" w:cs="Arial"/>
          <w:color w:val="000000"/>
          <w:lang w:val="es-ES_tradnl"/>
        </w:rPr>
        <w:t>Mipyme</w:t>
      </w:r>
      <w:proofErr w:type="spellEnd"/>
      <w:r w:rsidRPr="00146B61">
        <w:rPr>
          <w:rFonts w:ascii="Century Gothic" w:eastAsia="Arial" w:hAnsi="Century Gothic" w:cs="Arial"/>
          <w:color w:val="000000"/>
          <w:lang w:val="es-ES_tradnl"/>
        </w:rPr>
        <w:t xml:space="preserve"> colombianas con mínimo un (1) año de existencia</w:t>
      </w:r>
      <w:r>
        <w:rPr>
          <w:rFonts w:ascii="Century Gothic" w:eastAsia="Arial" w:hAnsi="Century Gothic" w:cs="Arial"/>
          <w:color w:val="000000"/>
          <w:lang w:val="es-ES_tradnl"/>
        </w:rPr>
        <w:t xml:space="preserve"> pueden participar en las convocatorias, independientemente de hayan solicitado o no la limitación.</w:t>
      </w:r>
    </w:p>
    <w:p w14:paraId="1505FDC2" w14:textId="77777777" w:rsidR="0064450E" w:rsidRDefault="0064450E" w:rsidP="49097B2D">
      <w:pPr>
        <w:spacing w:after="120" w:line="276" w:lineRule="auto"/>
        <w:ind w:firstLine="709"/>
        <w:jc w:val="both"/>
        <w:rPr>
          <w:rFonts w:ascii="Century Gothic" w:eastAsia="Arial" w:hAnsi="Century Gothic" w:cs="Arial"/>
          <w:color w:val="000000"/>
          <w:lang w:val="es-ES"/>
        </w:rPr>
      </w:pPr>
      <w:r w:rsidRPr="49097B2D">
        <w:rPr>
          <w:rFonts w:ascii="Century Gothic" w:eastAsia="Arial" w:hAnsi="Century Gothic" w:cs="Arial"/>
          <w:color w:val="000000" w:themeColor="text1"/>
          <w:lang w:val="es-ES"/>
        </w:rPr>
        <w:t xml:space="preserve">Esto significa que no es el consorcio o la unión temporal quien, a través de su representante, solicita limitar la convocatoria. Conforme a los analizado en el acápite anterior, los proponentes plurales carecen de personería jurídica y, por tanto, los que pueden clasificarse como </w:t>
      </w:r>
      <w:proofErr w:type="spellStart"/>
      <w:r w:rsidRPr="49097B2D">
        <w:rPr>
          <w:rFonts w:ascii="Century Gothic" w:eastAsia="Arial" w:hAnsi="Century Gothic" w:cs="Arial"/>
          <w:color w:val="000000" w:themeColor="text1"/>
          <w:lang w:val="es-ES"/>
        </w:rPr>
        <w:t>Mipyme</w:t>
      </w:r>
      <w:proofErr w:type="spellEnd"/>
      <w:r w:rsidRPr="49097B2D">
        <w:rPr>
          <w:rFonts w:ascii="Century Gothic" w:eastAsia="Arial" w:hAnsi="Century Gothic" w:cs="Arial"/>
          <w:color w:val="000000" w:themeColor="text1"/>
          <w:lang w:val="es-ES"/>
        </w:rPr>
        <w:t xml:space="preserve"> son los integrantes del proponente plural. Uno o varios de ellos pueden pedir la limitación siempre que aporten alguno de los documentos mencionados en el artículo 2.2.1.2.4.2.4 del Decreto 1082 de 2015. Conforme al parágrafo 1, “[…] las </w:t>
      </w:r>
      <w:proofErr w:type="spellStart"/>
      <w:r w:rsidRPr="49097B2D">
        <w:rPr>
          <w:rFonts w:ascii="Century Gothic" w:eastAsia="Arial" w:hAnsi="Century Gothic" w:cs="Arial"/>
          <w:color w:val="000000" w:themeColor="text1"/>
          <w:lang w:val="es-ES"/>
        </w:rPr>
        <w:t>Mipyme</w:t>
      </w:r>
      <w:proofErr w:type="spellEnd"/>
      <w:r w:rsidRPr="49097B2D">
        <w:rPr>
          <w:rFonts w:ascii="Century Gothic" w:eastAsia="Arial" w:hAnsi="Century Gothic" w:cs="Arial"/>
          <w:color w:val="000000" w:themeColor="text1"/>
          <w:lang w:val="es-ES"/>
        </w:rPr>
        <w:t xml:space="preserve"> […] podrán acreditar esta </w:t>
      </w:r>
      <w:r w:rsidRPr="49097B2D">
        <w:rPr>
          <w:rFonts w:ascii="Century Gothic" w:eastAsia="Arial" w:hAnsi="Century Gothic" w:cs="Arial"/>
          <w:color w:val="000000" w:themeColor="text1"/>
          <w:lang w:val="es-ES"/>
        </w:rPr>
        <w:lastRenderedPageBreak/>
        <w:t xml:space="preserve">condición con la copia del certificado del Registro Único de Proponentes, el cual deberá encontrarse vigente y en firme al momento de su presentación”. </w:t>
      </w:r>
    </w:p>
    <w:p w14:paraId="21E4B699" w14:textId="77777777" w:rsidR="0064450E" w:rsidRDefault="0064450E" w:rsidP="0064450E">
      <w:pPr>
        <w:spacing w:after="120" w:line="276" w:lineRule="auto"/>
        <w:ind w:firstLine="709"/>
        <w:jc w:val="both"/>
        <w:rPr>
          <w:rFonts w:ascii="Century Gothic" w:eastAsia="Arial" w:hAnsi="Century Gothic" w:cs="Arial"/>
          <w:color w:val="000000"/>
          <w:lang w:val="es-ES_tradnl"/>
        </w:rPr>
      </w:pPr>
      <w:r>
        <w:rPr>
          <w:rFonts w:ascii="Century Gothic" w:eastAsia="Arial" w:hAnsi="Century Gothic" w:cs="Arial"/>
          <w:color w:val="000000"/>
          <w:lang w:val="es-ES_tradnl"/>
        </w:rPr>
        <w:t xml:space="preserve">Si alguno(s) de los integrantes carece(n) de registro, </w:t>
      </w:r>
      <w:r w:rsidRPr="00C25193">
        <w:rPr>
          <w:rFonts w:ascii="Century Gothic" w:eastAsia="Arial" w:hAnsi="Century Gothic" w:cs="Arial"/>
          <w:color w:val="000000"/>
          <w:lang w:val="es-ES_tradnl"/>
        </w:rPr>
        <w:t xml:space="preserve">el </w:t>
      </w:r>
      <w:r>
        <w:rPr>
          <w:rFonts w:ascii="Century Gothic" w:eastAsia="Arial" w:hAnsi="Century Gothic" w:cs="Arial"/>
          <w:color w:val="000000"/>
          <w:lang w:val="es-ES_tradnl"/>
        </w:rPr>
        <w:t xml:space="preserve">numeral 2 del </w:t>
      </w:r>
      <w:r w:rsidRPr="00C25193">
        <w:rPr>
          <w:rFonts w:ascii="Century Gothic" w:eastAsia="Arial" w:hAnsi="Century Gothic" w:cs="Arial"/>
          <w:color w:val="000000"/>
          <w:lang w:val="es-ES_tradnl"/>
        </w:rPr>
        <w:t>artículo 2.2.1.2.4.2.4 del Decreto 1082 de 2015</w:t>
      </w:r>
      <w:r>
        <w:rPr>
          <w:rFonts w:ascii="Century Gothic" w:eastAsia="Arial" w:hAnsi="Century Gothic" w:cs="Arial"/>
          <w:color w:val="000000"/>
          <w:lang w:val="es-ES_tradnl"/>
        </w:rPr>
        <w:t xml:space="preserve"> permite acreditar</w:t>
      </w:r>
      <w:r w:rsidRPr="00C25193">
        <w:rPr>
          <w:rFonts w:ascii="Century Gothic" w:eastAsia="Arial" w:hAnsi="Century Gothic" w:cs="Arial"/>
          <w:color w:val="000000"/>
          <w:lang w:val="es-ES_tradnl"/>
        </w:rPr>
        <w:t xml:space="preserve"> que tiene</w:t>
      </w:r>
      <w:r>
        <w:rPr>
          <w:rFonts w:ascii="Century Gothic" w:eastAsia="Arial" w:hAnsi="Century Gothic" w:cs="Arial"/>
          <w:color w:val="000000"/>
          <w:lang w:val="es-ES_tradnl"/>
        </w:rPr>
        <w:t>(n)</w:t>
      </w:r>
      <w:r w:rsidRPr="00C25193">
        <w:rPr>
          <w:rFonts w:ascii="Century Gothic" w:eastAsia="Arial" w:hAnsi="Century Gothic" w:cs="Arial"/>
          <w:color w:val="000000"/>
          <w:lang w:val="es-ES_tradnl"/>
        </w:rPr>
        <w:t xml:space="preserve"> el tamaño empresarial </w:t>
      </w:r>
      <w:r>
        <w:rPr>
          <w:rFonts w:ascii="Century Gothic" w:eastAsia="Arial" w:hAnsi="Century Gothic" w:cs="Arial"/>
          <w:color w:val="000000"/>
          <w:lang w:val="es-ES_tradnl"/>
        </w:rPr>
        <w:t xml:space="preserve">“[…] </w:t>
      </w:r>
      <w:r w:rsidRPr="00C25193">
        <w:rPr>
          <w:rFonts w:ascii="Century Gothic" w:eastAsia="Arial" w:hAnsi="Century Gothic" w:cs="Arial"/>
          <w:color w:val="000000"/>
          <w:lang w:val="es-ES_tradnl"/>
        </w:rPr>
        <w:t>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w:t>
      </w:r>
      <w:r>
        <w:rPr>
          <w:rFonts w:ascii="Century Gothic" w:eastAsia="Arial" w:hAnsi="Century Gothic" w:cs="Arial"/>
          <w:color w:val="000000"/>
          <w:lang w:val="es-ES_tradnl"/>
        </w:rPr>
        <w:t>”. Ambos deben suscribirla, por lo que no basta la firma del representante: la certificación también debe ir acompañada por la del contador o el revisor fiscal. Tratándose de estos últimos, la norma no exige adjuntar la tarjeta profesional ni los antecedentes disciplinarios de la profesión.</w:t>
      </w:r>
    </w:p>
    <w:p w14:paraId="5E3DCB1F" w14:textId="77777777" w:rsidR="0064450E" w:rsidRDefault="0064450E" w:rsidP="49097B2D">
      <w:pPr>
        <w:spacing w:after="0" w:line="276" w:lineRule="auto"/>
        <w:ind w:firstLine="709"/>
        <w:jc w:val="both"/>
        <w:rPr>
          <w:rFonts w:ascii="Century Gothic" w:eastAsia="Arial" w:hAnsi="Century Gothic" w:cs="Arial"/>
          <w:color w:val="000000"/>
          <w:lang w:val="es-ES"/>
        </w:rPr>
      </w:pPr>
      <w:r w:rsidRPr="49097B2D">
        <w:rPr>
          <w:rFonts w:ascii="Century Gothic" w:eastAsia="Arial" w:hAnsi="Century Gothic" w:cs="Arial"/>
          <w:color w:val="000000" w:themeColor="text1"/>
          <w:lang w:val="es-ES"/>
        </w:rPr>
        <w:t xml:space="preserve">El RUP o el certificado de existencia y representación deben tener una fecha actualizada. Así lo dispone el parágrafo 2 del artículo citado en el párrafo anterior en los siguientes términos: “Para efectos de la limitación a </w:t>
      </w:r>
      <w:proofErr w:type="spellStart"/>
      <w:r w:rsidRPr="49097B2D">
        <w:rPr>
          <w:rFonts w:ascii="Century Gothic" w:eastAsia="Arial" w:hAnsi="Century Gothic" w:cs="Arial"/>
          <w:color w:val="000000" w:themeColor="text1"/>
          <w:lang w:val="es-ES"/>
        </w:rPr>
        <w:t>Mipyme</w:t>
      </w:r>
      <w:proofErr w:type="spellEnd"/>
      <w:r w:rsidRPr="49097B2D">
        <w:rPr>
          <w:rFonts w:ascii="Century Gothic" w:eastAsia="Arial" w:hAnsi="Century Gothic" w:cs="Arial"/>
          <w:color w:val="000000" w:themeColor="text1"/>
          <w:lang w:val="es-ES"/>
        </w:rPr>
        <w:t>,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w:t>
      </w:r>
    </w:p>
    <w:p w14:paraId="03A63F4E" w14:textId="77777777" w:rsidR="0064450E" w:rsidRPr="00397BF2" w:rsidRDefault="0064450E" w:rsidP="0064450E">
      <w:pPr>
        <w:spacing w:after="0" w:line="276" w:lineRule="auto"/>
        <w:ind w:firstLine="709"/>
        <w:jc w:val="both"/>
        <w:rPr>
          <w:rFonts w:ascii="Century Gothic" w:eastAsia="Arial" w:hAnsi="Century Gothic" w:cs="Arial"/>
          <w:color w:val="000000"/>
        </w:rPr>
      </w:pPr>
      <w:r w:rsidRPr="00035110">
        <w:rPr>
          <w:rFonts w:ascii="Century Gothic" w:eastAsia="Arial" w:hAnsi="Century Gothic" w:cs="Arial"/>
          <w:color w:val="000000"/>
        </w:rPr>
        <w:t xml:space="preserve">   </w:t>
      </w:r>
      <w:bookmarkEnd w:id="6"/>
    </w:p>
    <w:p w14:paraId="1BD73B0D" w14:textId="77777777" w:rsidR="0064450E" w:rsidRPr="00035110" w:rsidRDefault="0064450E" w:rsidP="0064450E">
      <w:pPr>
        <w:tabs>
          <w:tab w:val="left" w:pos="0"/>
        </w:tabs>
        <w:spacing w:after="0"/>
        <w:jc w:val="both"/>
        <w:rPr>
          <w:rFonts w:ascii="Century Gothic" w:eastAsia="Calibri" w:hAnsi="Century Gothic" w:cs="Arial"/>
          <w:b/>
          <w:color w:val="000000" w:themeColor="text1"/>
          <w:lang w:val="es-ES_tradnl"/>
        </w:rPr>
      </w:pPr>
      <w:r w:rsidRPr="00035110">
        <w:rPr>
          <w:rFonts w:ascii="Century Gothic" w:eastAsia="Calibri" w:hAnsi="Century Gothic" w:cs="Arial"/>
          <w:b/>
          <w:color w:val="000000" w:themeColor="text1"/>
          <w:lang w:val="es-ES_tradnl"/>
        </w:rPr>
        <w:t>3. Respuesta</w:t>
      </w:r>
    </w:p>
    <w:p w14:paraId="2B011F8A" w14:textId="77777777" w:rsidR="0064450E" w:rsidRPr="00035110" w:rsidRDefault="0064450E" w:rsidP="0064450E">
      <w:pPr>
        <w:spacing w:after="0" w:line="276" w:lineRule="auto"/>
        <w:ind w:firstLine="709"/>
        <w:jc w:val="both"/>
        <w:rPr>
          <w:rFonts w:ascii="Century Gothic" w:eastAsia="Times New Roman" w:hAnsi="Century Gothic" w:cs="Arial"/>
          <w:lang w:eastAsia="es-CO"/>
        </w:rPr>
      </w:pPr>
      <w:bookmarkStart w:id="8" w:name="_Hlk131064197"/>
    </w:p>
    <w:p w14:paraId="6523C55A" w14:textId="77777777" w:rsidR="0064450E" w:rsidRDefault="0064450E" w:rsidP="0064450E">
      <w:pPr>
        <w:spacing w:after="120" w:line="240" w:lineRule="auto"/>
        <w:ind w:left="709" w:right="709"/>
        <w:jc w:val="both"/>
        <w:rPr>
          <w:rFonts w:ascii="Century Gothic" w:hAnsi="Century Gothic" w:cs="Arial"/>
          <w:color w:val="000000" w:themeColor="text1"/>
          <w:sz w:val="21"/>
          <w:szCs w:val="21"/>
          <w:lang w:val="es-ES_tradnl"/>
        </w:rPr>
      </w:pPr>
      <w:r w:rsidRPr="00CF2584">
        <w:rPr>
          <w:rFonts w:ascii="Century Gothic" w:hAnsi="Century Gothic" w:cs="Arial"/>
          <w:color w:val="000000" w:themeColor="text1"/>
          <w:sz w:val="21"/>
          <w:szCs w:val="21"/>
          <w:lang w:val="es-ES_tradnl"/>
        </w:rPr>
        <w:t>i) “Cuando una unión temporal solicita limitar a MIPYMES un proceso contractual ¿qué documentos debe aportar para la acreditación de su estado como MIPYME y a través de quién debe hacerlo? Es decir, ¿la solicitud de limitación debe ir acompañada con los documentos de existencia de cada una de las empresas que componen la Unión temporal o basta con el documento de la conformación de la sociedad?”</w:t>
      </w:r>
      <w:r>
        <w:rPr>
          <w:rFonts w:ascii="Century Gothic" w:hAnsi="Century Gothic" w:cs="Arial"/>
          <w:color w:val="000000" w:themeColor="text1"/>
          <w:sz w:val="21"/>
          <w:szCs w:val="21"/>
          <w:lang w:val="es-ES_tradnl"/>
        </w:rPr>
        <w:t>.</w:t>
      </w:r>
    </w:p>
    <w:p w14:paraId="2856EDD5" w14:textId="77777777" w:rsidR="0064450E" w:rsidRPr="00035110" w:rsidRDefault="0064450E" w:rsidP="49097B2D">
      <w:pPr>
        <w:spacing w:after="0" w:line="240" w:lineRule="auto"/>
        <w:ind w:left="709" w:right="709"/>
        <w:jc w:val="both"/>
        <w:rPr>
          <w:rFonts w:ascii="Century Gothic" w:hAnsi="Century Gothic" w:cs="Arial"/>
          <w:color w:val="000000" w:themeColor="text1"/>
          <w:sz w:val="21"/>
          <w:szCs w:val="21"/>
          <w:lang w:val="es-ES"/>
        </w:rPr>
      </w:pPr>
      <w:proofErr w:type="spellStart"/>
      <w:r w:rsidRPr="49097B2D">
        <w:rPr>
          <w:rFonts w:ascii="Century Gothic" w:hAnsi="Century Gothic" w:cs="Arial"/>
          <w:color w:val="000000" w:themeColor="text1"/>
          <w:sz w:val="21"/>
          <w:szCs w:val="21"/>
          <w:lang w:val="es-ES"/>
        </w:rPr>
        <w:t>ii</w:t>
      </w:r>
      <w:proofErr w:type="spellEnd"/>
      <w:r w:rsidRPr="49097B2D">
        <w:rPr>
          <w:rFonts w:ascii="Century Gothic" w:hAnsi="Century Gothic" w:cs="Arial"/>
          <w:color w:val="000000" w:themeColor="text1"/>
          <w:sz w:val="21"/>
          <w:szCs w:val="21"/>
          <w:lang w:val="es-ES"/>
        </w:rPr>
        <w:t xml:space="preserve">) “Adicionalmente, ¿es el revisor Fiscal o el representante legal de la sociedad quien debe acreditar el estado de </w:t>
      </w:r>
      <w:proofErr w:type="spellStart"/>
      <w:r w:rsidRPr="49097B2D">
        <w:rPr>
          <w:rFonts w:ascii="Century Gothic" w:hAnsi="Century Gothic" w:cs="Arial"/>
          <w:color w:val="000000" w:themeColor="text1"/>
          <w:sz w:val="21"/>
          <w:szCs w:val="21"/>
          <w:lang w:val="es-ES"/>
        </w:rPr>
        <w:t>Mipyme</w:t>
      </w:r>
      <w:proofErr w:type="spellEnd"/>
      <w:r w:rsidRPr="49097B2D">
        <w:rPr>
          <w:rFonts w:ascii="Century Gothic" w:hAnsi="Century Gothic" w:cs="Arial"/>
          <w:color w:val="000000" w:themeColor="text1"/>
          <w:sz w:val="21"/>
          <w:szCs w:val="21"/>
          <w:lang w:val="es-ES"/>
        </w:rPr>
        <w:t>? y si es el revisor fiscal, ¿debe aportar los documentos como tarjeta profesional y antecedentes disciplinarios de la profesión?”.</w:t>
      </w:r>
    </w:p>
    <w:p w14:paraId="29EEB994" w14:textId="77777777" w:rsidR="0064450E" w:rsidRPr="00035110" w:rsidRDefault="0064450E" w:rsidP="0064450E">
      <w:pPr>
        <w:spacing w:after="0" w:line="276" w:lineRule="auto"/>
        <w:jc w:val="both"/>
        <w:rPr>
          <w:rFonts w:ascii="Century Gothic" w:hAnsi="Century Gothic" w:cs="Arial"/>
          <w:color w:val="000000" w:themeColor="text1"/>
          <w:lang w:val="es-ES_tradnl"/>
        </w:rPr>
      </w:pPr>
    </w:p>
    <w:bookmarkEnd w:id="8"/>
    <w:p w14:paraId="46523B42" w14:textId="77777777" w:rsidR="0064450E" w:rsidRDefault="0064450E" w:rsidP="0064450E">
      <w:pPr>
        <w:spacing w:after="120" w:line="276" w:lineRule="auto"/>
        <w:jc w:val="both"/>
        <w:rPr>
          <w:rFonts w:ascii="Century Gothic" w:eastAsia="Arial" w:hAnsi="Century Gothic" w:cs="Arial"/>
          <w:color w:val="000000"/>
          <w:lang w:val="es-ES_tradnl"/>
        </w:rPr>
      </w:pPr>
      <w:r>
        <w:rPr>
          <w:rFonts w:ascii="Century Gothic" w:eastAsia="Calibri" w:hAnsi="Century Gothic" w:cs="Arial"/>
          <w:color w:val="000000" w:themeColor="text1"/>
        </w:rPr>
        <w:t xml:space="preserve">Conforme a la interpretación general de las normas del sistema de compras públicas, </w:t>
      </w:r>
      <w:r>
        <w:rPr>
          <w:rFonts w:ascii="Century Gothic" w:eastAsia="Arial" w:hAnsi="Century Gothic" w:cs="Arial"/>
          <w:color w:val="000000"/>
          <w:lang w:val="es-ES_tradnl"/>
        </w:rPr>
        <w:t xml:space="preserve">no es el consorcio o la unión temporal quien, a través de su representante, solicita limitar la convocatoria. Los proponentes plurales carecen de personería </w:t>
      </w:r>
      <w:r>
        <w:rPr>
          <w:rFonts w:ascii="Century Gothic" w:eastAsia="Arial" w:hAnsi="Century Gothic" w:cs="Arial"/>
          <w:color w:val="000000"/>
          <w:lang w:val="es-ES_tradnl"/>
        </w:rPr>
        <w:lastRenderedPageBreak/>
        <w:t xml:space="preserve">jurídica y, por tanto, los que pueden clasificarse como </w:t>
      </w:r>
      <w:proofErr w:type="spellStart"/>
      <w:r>
        <w:rPr>
          <w:rFonts w:ascii="Century Gothic" w:eastAsia="Arial" w:hAnsi="Century Gothic" w:cs="Arial"/>
          <w:color w:val="000000"/>
          <w:lang w:val="es-ES_tradnl"/>
        </w:rPr>
        <w:t>Mipyme</w:t>
      </w:r>
      <w:proofErr w:type="spellEnd"/>
      <w:r>
        <w:rPr>
          <w:rFonts w:ascii="Century Gothic" w:eastAsia="Arial" w:hAnsi="Century Gothic" w:cs="Arial"/>
          <w:color w:val="000000"/>
          <w:lang w:val="es-ES_tradnl"/>
        </w:rPr>
        <w:t xml:space="preserve"> son los integrantes del proponente plural. Uno o varios de ellos pueden pedir la limitación siempre que aporten alguno de los documentos mencionados en el artículo </w:t>
      </w:r>
      <w:r w:rsidRPr="00D37DE2">
        <w:rPr>
          <w:rFonts w:ascii="Century Gothic" w:eastAsia="Arial" w:hAnsi="Century Gothic" w:cs="Arial"/>
          <w:color w:val="000000"/>
          <w:lang w:val="es-ES_tradnl"/>
        </w:rPr>
        <w:t>2.2.1.2.4.2.4</w:t>
      </w:r>
      <w:r>
        <w:rPr>
          <w:rFonts w:ascii="Century Gothic" w:eastAsia="Arial" w:hAnsi="Century Gothic" w:cs="Arial"/>
          <w:color w:val="000000"/>
          <w:lang w:val="es-ES_tradnl"/>
        </w:rPr>
        <w:t xml:space="preserve"> del Decreto 1082 de 2015. Conforme al parágrafo 1, “[…] </w:t>
      </w:r>
      <w:r w:rsidRPr="00C25193">
        <w:rPr>
          <w:rFonts w:ascii="Century Gothic" w:eastAsia="Arial" w:hAnsi="Century Gothic" w:cs="Arial"/>
          <w:color w:val="000000"/>
          <w:lang w:val="es-ES_tradnl"/>
        </w:rPr>
        <w:t xml:space="preserve">las </w:t>
      </w:r>
      <w:proofErr w:type="spellStart"/>
      <w:r w:rsidRPr="00C25193">
        <w:rPr>
          <w:rFonts w:ascii="Century Gothic" w:eastAsia="Arial" w:hAnsi="Century Gothic" w:cs="Arial"/>
          <w:color w:val="000000"/>
          <w:lang w:val="es-ES_tradnl"/>
        </w:rPr>
        <w:t>Mipyme</w:t>
      </w:r>
      <w:proofErr w:type="spellEnd"/>
      <w:r w:rsidRPr="00C25193">
        <w:rPr>
          <w:rFonts w:ascii="Century Gothic" w:eastAsia="Arial" w:hAnsi="Century Gothic" w:cs="Arial"/>
          <w:color w:val="000000"/>
          <w:lang w:val="es-ES_tradnl"/>
        </w:rPr>
        <w:t xml:space="preserve"> </w:t>
      </w:r>
      <w:r>
        <w:rPr>
          <w:rFonts w:ascii="Century Gothic" w:eastAsia="Arial" w:hAnsi="Century Gothic" w:cs="Arial"/>
          <w:color w:val="000000"/>
          <w:lang w:val="es-ES_tradnl"/>
        </w:rPr>
        <w:t>[…]</w:t>
      </w:r>
      <w:r w:rsidRPr="00C25193">
        <w:rPr>
          <w:rFonts w:ascii="Century Gothic" w:eastAsia="Arial" w:hAnsi="Century Gothic" w:cs="Arial"/>
          <w:color w:val="000000"/>
          <w:lang w:val="es-ES_tradnl"/>
        </w:rPr>
        <w:t xml:space="preserve"> podrán acreditar esta condición con la copia del certificado del Registro Único de Proponentes, el cual deberá encontrarse vigente y en firme al momento de su presentación</w:t>
      </w:r>
      <w:r>
        <w:rPr>
          <w:rFonts w:ascii="Century Gothic" w:eastAsia="Arial" w:hAnsi="Century Gothic" w:cs="Arial"/>
          <w:color w:val="000000"/>
          <w:lang w:val="es-ES_tradnl"/>
        </w:rPr>
        <w:t xml:space="preserve">”. </w:t>
      </w:r>
    </w:p>
    <w:p w14:paraId="5BB81A4F" w14:textId="77777777" w:rsidR="0064450E" w:rsidRDefault="0064450E" w:rsidP="0064450E">
      <w:pPr>
        <w:spacing w:after="120" w:line="276" w:lineRule="auto"/>
        <w:ind w:firstLine="709"/>
        <w:jc w:val="both"/>
        <w:rPr>
          <w:rFonts w:ascii="Century Gothic" w:eastAsia="Arial" w:hAnsi="Century Gothic" w:cs="Arial"/>
          <w:color w:val="000000"/>
          <w:lang w:val="es-ES_tradnl"/>
        </w:rPr>
      </w:pPr>
      <w:r>
        <w:rPr>
          <w:rFonts w:ascii="Century Gothic" w:eastAsia="Arial" w:hAnsi="Century Gothic" w:cs="Arial"/>
          <w:color w:val="000000"/>
          <w:lang w:val="es-ES_tradnl"/>
        </w:rPr>
        <w:t xml:space="preserve">Si alguno(s) de los integrantes carece(n) de registro, </w:t>
      </w:r>
      <w:r w:rsidRPr="00C25193">
        <w:rPr>
          <w:rFonts w:ascii="Century Gothic" w:eastAsia="Arial" w:hAnsi="Century Gothic" w:cs="Arial"/>
          <w:color w:val="000000"/>
          <w:lang w:val="es-ES_tradnl"/>
        </w:rPr>
        <w:t xml:space="preserve">el </w:t>
      </w:r>
      <w:r>
        <w:rPr>
          <w:rFonts w:ascii="Century Gothic" w:eastAsia="Arial" w:hAnsi="Century Gothic" w:cs="Arial"/>
          <w:color w:val="000000"/>
          <w:lang w:val="es-ES_tradnl"/>
        </w:rPr>
        <w:t xml:space="preserve">numeral 2 del </w:t>
      </w:r>
      <w:r w:rsidRPr="00C25193">
        <w:rPr>
          <w:rFonts w:ascii="Century Gothic" w:eastAsia="Arial" w:hAnsi="Century Gothic" w:cs="Arial"/>
          <w:color w:val="000000"/>
          <w:lang w:val="es-ES_tradnl"/>
        </w:rPr>
        <w:t>artículo 2.2.1.2.4.2.4 del Decreto 1082 de 2015</w:t>
      </w:r>
      <w:r>
        <w:rPr>
          <w:rFonts w:ascii="Century Gothic" w:eastAsia="Arial" w:hAnsi="Century Gothic" w:cs="Arial"/>
          <w:color w:val="000000"/>
          <w:lang w:val="es-ES_tradnl"/>
        </w:rPr>
        <w:t xml:space="preserve"> permite acreditar</w:t>
      </w:r>
      <w:r w:rsidRPr="00C25193">
        <w:rPr>
          <w:rFonts w:ascii="Century Gothic" w:eastAsia="Arial" w:hAnsi="Century Gothic" w:cs="Arial"/>
          <w:color w:val="000000"/>
          <w:lang w:val="es-ES_tradnl"/>
        </w:rPr>
        <w:t xml:space="preserve"> que tiene</w:t>
      </w:r>
      <w:r>
        <w:rPr>
          <w:rFonts w:ascii="Century Gothic" w:eastAsia="Arial" w:hAnsi="Century Gothic" w:cs="Arial"/>
          <w:color w:val="000000"/>
          <w:lang w:val="es-ES_tradnl"/>
        </w:rPr>
        <w:t>(n)</w:t>
      </w:r>
      <w:r w:rsidRPr="00C25193">
        <w:rPr>
          <w:rFonts w:ascii="Century Gothic" w:eastAsia="Arial" w:hAnsi="Century Gothic" w:cs="Arial"/>
          <w:color w:val="000000"/>
          <w:lang w:val="es-ES_tradnl"/>
        </w:rPr>
        <w:t xml:space="preserve"> el tamaño empresarial </w:t>
      </w:r>
      <w:r>
        <w:rPr>
          <w:rFonts w:ascii="Century Gothic" w:eastAsia="Arial" w:hAnsi="Century Gothic" w:cs="Arial"/>
          <w:color w:val="000000"/>
          <w:lang w:val="es-ES_tradnl"/>
        </w:rPr>
        <w:t xml:space="preserve">“[…] </w:t>
      </w:r>
      <w:r w:rsidRPr="00C25193">
        <w:rPr>
          <w:rFonts w:ascii="Century Gothic" w:eastAsia="Arial" w:hAnsi="Century Gothic" w:cs="Arial"/>
          <w:color w:val="000000"/>
          <w:lang w:val="es-ES_tradnl"/>
        </w:rPr>
        <w:t>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w:t>
      </w:r>
      <w:r>
        <w:rPr>
          <w:rFonts w:ascii="Century Gothic" w:eastAsia="Arial" w:hAnsi="Century Gothic" w:cs="Arial"/>
          <w:color w:val="000000"/>
          <w:lang w:val="es-ES_tradnl"/>
        </w:rPr>
        <w:t>”. Ambos deben suscribirla, por lo que no basta la firma del representante: la certificación también debe ir acompañada por la del contador o el revisor fiscal. Tratándose de estos últimos, la norma no exige adjuntar la tarjeta profesional ni los antecedentes disciplinarios de la profesión.</w:t>
      </w:r>
    </w:p>
    <w:p w14:paraId="40D61F8B" w14:textId="77777777" w:rsidR="0064450E" w:rsidRDefault="0064450E" w:rsidP="49097B2D">
      <w:pPr>
        <w:spacing w:after="120" w:line="276" w:lineRule="auto"/>
        <w:ind w:firstLine="709"/>
        <w:jc w:val="both"/>
        <w:rPr>
          <w:rFonts w:ascii="Century Gothic" w:eastAsia="Arial" w:hAnsi="Century Gothic" w:cs="Arial"/>
          <w:color w:val="000000"/>
          <w:lang w:val="es-ES"/>
        </w:rPr>
      </w:pPr>
      <w:r w:rsidRPr="49097B2D">
        <w:rPr>
          <w:rFonts w:ascii="Century Gothic" w:eastAsia="Arial" w:hAnsi="Century Gothic" w:cs="Arial"/>
          <w:color w:val="000000" w:themeColor="text1"/>
          <w:lang w:val="es-ES"/>
        </w:rPr>
        <w:t xml:space="preserve">El RUP o el certificado de existencia y representación deben tener una fecha actualizada. Así lo dispone el parágrafo 2 del artículo citado en el párrafo anterior en los siguientes términos: “Para efectos de la limitación a </w:t>
      </w:r>
      <w:proofErr w:type="spellStart"/>
      <w:r w:rsidRPr="49097B2D">
        <w:rPr>
          <w:rFonts w:ascii="Century Gothic" w:eastAsia="Arial" w:hAnsi="Century Gothic" w:cs="Arial"/>
          <w:color w:val="000000" w:themeColor="text1"/>
          <w:lang w:val="es-ES"/>
        </w:rPr>
        <w:t>Mipyme</w:t>
      </w:r>
      <w:proofErr w:type="spellEnd"/>
      <w:r w:rsidRPr="49097B2D">
        <w:rPr>
          <w:rFonts w:ascii="Century Gothic" w:eastAsia="Arial" w:hAnsi="Century Gothic" w:cs="Arial"/>
          <w:color w:val="000000" w:themeColor="text1"/>
          <w:lang w:val="es-ES"/>
        </w:rPr>
        <w:t>,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w:t>
      </w:r>
    </w:p>
    <w:p w14:paraId="7184DEFA" w14:textId="77777777" w:rsidR="0064450E" w:rsidRPr="00035110" w:rsidRDefault="0064450E" w:rsidP="0064450E">
      <w:pPr>
        <w:pBdr>
          <w:top w:val="nil"/>
          <w:left w:val="nil"/>
          <w:bottom w:val="nil"/>
          <w:right w:val="nil"/>
          <w:between w:val="nil"/>
        </w:pBdr>
        <w:spacing w:after="0" w:line="276" w:lineRule="auto"/>
        <w:jc w:val="both"/>
        <w:rPr>
          <w:rFonts w:ascii="Century Gothic" w:eastAsia="Arial" w:hAnsi="Century Gothic" w:cs="Arial"/>
          <w:color w:val="000000"/>
        </w:rPr>
      </w:pPr>
    </w:p>
    <w:p w14:paraId="116B019A" w14:textId="77777777" w:rsidR="0064450E" w:rsidRPr="00035110" w:rsidRDefault="0064450E" w:rsidP="0064450E">
      <w:pPr>
        <w:widowControl w:val="0"/>
        <w:autoSpaceDE w:val="0"/>
        <w:autoSpaceDN w:val="0"/>
        <w:spacing w:after="0" w:line="276" w:lineRule="auto"/>
        <w:jc w:val="both"/>
        <w:rPr>
          <w:rFonts w:ascii="Century Gothic" w:hAnsi="Century Gothic" w:cs="Arial"/>
          <w:color w:val="000000" w:themeColor="text1"/>
          <w:lang w:val="es-ES_tradnl" w:bidi="es-ES"/>
        </w:rPr>
      </w:pPr>
      <w:r w:rsidRPr="00035110">
        <w:rPr>
          <w:rFonts w:ascii="Century Gothic" w:hAnsi="Century Gothic" w:cs="Arial"/>
          <w:color w:val="000000" w:themeColor="text1"/>
          <w:lang w:val="es-ES_tradnl"/>
        </w:rPr>
        <w:t>Este concepto tiene el alcance previsto en el artículo 28 del Código de Procedimiento Administrativo y de lo Contencioso Administrativo.</w:t>
      </w:r>
    </w:p>
    <w:p w14:paraId="51293042" w14:textId="77777777" w:rsidR="0064450E" w:rsidRPr="00035110" w:rsidRDefault="0064450E" w:rsidP="0064450E">
      <w:pPr>
        <w:widowControl w:val="0"/>
        <w:autoSpaceDE w:val="0"/>
        <w:autoSpaceDN w:val="0"/>
        <w:spacing w:after="0" w:line="276" w:lineRule="auto"/>
        <w:jc w:val="both"/>
        <w:rPr>
          <w:rFonts w:ascii="Century Gothic" w:hAnsi="Century Gothic" w:cs="Arial"/>
          <w:color w:val="000000" w:themeColor="text1"/>
          <w:lang w:val="es-ES_tradnl" w:bidi="es-ES"/>
        </w:rPr>
      </w:pPr>
    </w:p>
    <w:p w14:paraId="342D4079" w14:textId="77777777" w:rsidR="0064450E" w:rsidRPr="00035110" w:rsidRDefault="0064450E" w:rsidP="0064450E">
      <w:pPr>
        <w:tabs>
          <w:tab w:val="left" w:pos="426"/>
        </w:tabs>
        <w:spacing w:line="276" w:lineRule="auto"/>
        <w:jc w:val="both"/>
        <w:rPr>
          <w:rFonts w:ascii="Century Gothic" w:eastAsia="Times New Roman" w:hAnsi="Century Gothic" w:cs="Arial"/>
          <w:color w:val="000000" w:themeColor="text1"/>
        </w:rPr>
      </w:pPr>
      <w:r w:rsidRPr="00035110">
        <w:rPr>
          <w:rFonts w:ascii="Century Gothic" w:eastAsia="Times New Roman" w:hAnsi="Century Gothic" w:cs="Arial"/>
          <w:color w:val="000000" w:themeColor="text1"/>
        </w:rPr>
        <w:t>Atentamente,</w:t>
      </w:r>
    </w:p>
    <w:p w14:paraId="470F3C65" w14:textId="30EC9494" w:rsidR="0064450E" w:rsidRPr="00035110" w:rsidRDefault="00626582" w:rsidP="0064450E">
      <w:pPr>
        <w:jc w:val="center"/>
        <w:rPr>
          <w:rFonts w:ascii="Century Gothic" w:eastAsia="Times New Roman" w:hAnsi="Century Gothic" w:cs="Arial"/>
          <w:lang w:eastAsia="es-CO"/>
        </w:rPr>
      </w:pPr>
      <w:r>
        <w:rPr>
          <w:noProof/>
        </w:rPr>
        <w:lastRenderedPageBreak/>
        <w:drawing>
          <wp:inline distT="0" distB="0" distL="0" distR="0" wp14:anchorId="7F0CD09F" wp14:editId="29AC6251">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4450E" w:rsidRPr="00035110" w14:paraId="7959EF32" w14:textId="77777777" w:rsidTr="0087636B">
        <w:trPr>
          <w:trHeight w:val="409"/>
        </w:trPr>
        <w:tc>
          <w:tcPr>
            <w:tcW w:w="817" w:type="dxa"/>
            <w:tcBorders>
              <w:top w:val="nil"/>
              <w:left w:val="nil"/>
              <w:bottom w:val="nil"/>
              <w:right w:val="nil"/>
            </w:tcBorders>
            <w:vAlign w:val="center"/>
            <w:hideMark/>
          </w:tcPr>
          <w:p w14:paraId="2E8CD1BF" w14:textId="77777777" w:rsidR="0064450E" w:rsidRPr="00035110" w:rsidRDefault="0064450E" w:rsidP="0087636B">
            <w:pPr>
              <w:spacing w:after="0" w:line="240" w:lineRule="auto"/>
              <w:jc w:val="both"/>
              <w:rPr>
                <w:rFonts w:ascii="Century Gothic" w:hAnsi="Century Gothic" w:cs="Arial"/>
                <w:sz w:val="16"/>
                <w:szCs w:val="16"/>
              </w:rPr>
            </w:pPr>
            <w:r w:rsidRPr="00035110">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6B576B2B" w14:textId="77777777" w:rsidR="0064450E" w:rsidRPr="00035110" w:rsidRDefault="0064450E" w:rsidP="0087636B">
            <w:pPr>
              <w:spacing w:after="0" w:line="240" w:lineRule="auto"/>
              <w:jc w:val="both"/>
              <w:rPr>
                <w:rFonts w:ascii="Century Gothic" w:hAnsi="Century Gothic" w:cs="Arial"/>
                <w:sz w:val="16"/>
                <w:szCs w:val="16"/>
              </w:rPr>
            </w:pPr>
            <w:r w:rsidRPr="00035110">
              <w:rPr>
                <w:rFonts w:ascii="Century Gothic" w:hAnsi="Century Gothic" w:cs="Arial"/>
                <w:sz w:val="16"/>
                <w:szCs w:val="16"/>
              </w:rPr>
              <w:t>Juan David Montoya Penagos</w:t>
            </w:r>
          </w:p>
          <w:p w14:paraId="13B74836" w14:textId="77777777" w:rsidR="0064450E" w:rsidRPr="00035110" w:rsidRDefault="0064450E" w:rsidP="0087636B">
            <w:pPr>
              <w:spacing w:after="0" w:line="240" w:lineRule="auto"/>
              <w:jc w:val="both"/>
              <w:rPr>
                <w:rFonts w:ascii="Century Gothic" w:hAnsi="Century Gothic" w:cs="Arial"/>
                <w:sz w:val="16"/>
                <w:szCs w:val="16"/>
              </w:rPr>
            </w:pPr>
            <w:r w:rsidRPr="00035110">
              <w:rPr>
                <w:rFonts w:ascii="Century Gothic" w:hAnsi="Century Gothic" w:cs="Arial"/>
                <w:sz w:val="16"/>
                <w:szCs w:val="16"/>
              </w:rPr>
              <w:t>Contratista de la Subdirección de Gestión Contractual</w:t>
            </w:r>
          </w:p>
        </w:tc>
      </w:tr>
      <w:tr w:rsidR="0064450E" w:rsidRPr="00035110" w14:paraId="1673820A" w14:textId="77777777" w:rsidTr="0087636B">
        <w:trPr>
          <w:trHeight w:val="409"/>
        </w:trPr>
        <w:tc>
          <w:tcPr>
            <w:tcW w:w="817" w:type="dxa"/>
            <w:tcBorders>
              <w:top w:val="nil"/>
              <w:left w:val="nil"/>
              <w:right w:val="nil"/>
            </w:tcBorders>
            <w:vAlign w:val="center"/>
          </w:tcPr>
          <w:p w14:paraId="0A3A381F" w14:textId="77777777" w:rsidR="0064450E" w:rsidRPr="00035110" w:rsidRDefault="0064450E" w:rsidP="0087636B">
            <w:pPr>
              <w:jc w:val="both"/>
              <w:rPr>
                <w:rFonts w:ascii="Century Gothic" w:hAnsi="Century Gothic" w:cs="Arial"/>
                <w:sz w:val="16"/>
                <w:szCs w:val="16"/>
              </w:rPr>
            </w:pPr>
            <w:r w:rsidRPr="00035110">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7687A08D" w14:textId="77777777" w:rsidR="0064450E" w:rsidRPr="00035110" w:rsidRDefault="0064450E" w:rsidP="0087636B">
            <w:pPr>
              <w:spacing w:after="0" w:line="240" w:lineRule="auto"/>
              <w:jc w:val="both"/>
              <w:rPr>
                <w:rFonts w:ascii="Century Gothic" w:hAnsi="Century Gothic" w:cs="Arial"/>
                <w:sz w:val="16"/>
                <w:szCs w:val="16"/>
              </w:rPr>
            </w:pPr>
            <w:r w:rsidRPr="00035110">
              <w:rPr>
                <w:rFonts w:ascii="Century Gothic" w:hAnsi="Century Gothic" w:cs="Arial"/>
                <w:sz w:val="16"/>
                <w:szCs w:val="16"/>
              </w:rPr>
              <w:t xml:space="preserve">Juan David Cárdenas Cabeza </w:t>
            </w:r>
          </w:p>
          <w:p w14:paraId="4C273044" w14:textId="77777777" w:rsidR="0064450E" w:rsidRPr="00035110" w:rsidRDefault="0064450E" w:rsidP="0087636B">
            <w:pPr>
              <w:spacing w:after="0" w:line="240" w:lineRule="auto"/>
              <w:jc w:val="both"/>
              <w:rPr>
                <w:rFonts w:ascii="Century Gothic" w:hAnsi="Century Gothic" w:cs="Arial"/>
                <w:sz w:val="16"/>
                <w:szCs w:val="16"/>
              </w:rPr>
            </w:pPr>
            <w:r w:rsidRPr="00035110">
              <w:rPr>
                <w:rFonts w:ascii="Century Gothic" w:hAnsi="Century Gothic" w:cs="Arial"/>
                <w:sz w:val="16"/>
                <w:szCs w:val="16"/>
              </w:rPr>
              <w:t>Contratista de la Subdirección de Gestión Contractual</w:t>
            </w:r>
          </w:p>
        </w:tc>
      </w:tr>
      <w:tr w:rsidR="0064450E" w:rsidRPr="00035110" w14:paraId="209D6815" w14:textId="77777777" w:rsidTr="0087636B">
        <w:trPr>
          <w:trHeight w:val="389"/>
        </w:trPr>
        <w:tc>
          <w:tcPr>
            <w:tcW w:w="817" w:type="dxa"/>
            <w:tcBorders>
              <w:top w:val="nil"/>
              <w:left w:val="nil"/>
              <w:bottom w:val="nil"/>
              <w:right w:val="nil"/>
            </w:tcBorders>
            <w:vAlign w:val="center"/>
            <w:hideMark/>
          </w:tcPr>
          <w:p w14:paraId="68506B3C" w14:textId="77777777" w:rsidR="0064450E" w:rsidRPr="00035110" w:rsidRDefault="0064450E" w:rsidP="0087636B">
            <w:pPr>
              <w:spacing w:after="0" w:line="240" w:lineRule="auto"/>
              <w:jc w:val="both"/>
              <w:rPr>
                <w:rFonts w:ascii="Century Gothic" w:hAnsi="Century Gothic" w:cs="Arial"/>
                <w:sz w:val="16"/>
                <w:szCs w:val="16"/>
              </w:rPr>
            </w:pPr>
            <w:r w:rsidRPr="00035110">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02EC013" w14:textId="77777777" w:rsidR="0064450E" w:rsidRPr="00035110" w:rsidRDefault="0064450E" w:rsidP="0087636B">
            <w:pPr>
              <w:spacing w:after="0" w:line="240" w:lineRule="auto"/>
              <w:jc w:val="both"/>
              <w:rPr>
                <w:rFonts w:ascii="Century Gothic" w:hAnsi="Century Gothic" w:cs="Arial"/>
                <w:sz w:val="16"/>
                <w:szCs w:val="16"/>
              </w:rPr>
            </w:pPr>
            <w:r w:rsidRPr="00035110">
              <w:rPr>
                <w:rFonts w:ascii="Century Gothic" w:hAnsi="Century Gothic" w:cs="Arial"/>
                <w:sz w:val="16"/>
                <w:szCs w:val="16"/>
              </w:rPr>
              <w:t xml:space="preserve">Nohelia del Carmen </w:t>
            </w:r>
            <w:proofErr w:type="spellStart"/>
            <w:r w:rsidRPr="00035110">
              <w:rPr>
                <w:rFonts w:ascii="Century Gothic" w:hAnsi="Century Gothic" w:cs="Arial"/>
                <w:sz w:val="16"/>
                <w:szCs w:val="16"/>
              </w:rPr>
              <w:t>Zawady</w:t>
            </w:r>
            <w:proofErr w:type="spellEnd"/>
            <w:r w:rsidRPr="00035110">
              <w:rPr>
                <w:rFonts w:ascii="Century Gothic" w:hAnsi="Century Gothic" w:cs="Arial"/>
                <w:sz w:val="16"/>
                <w:szCs w:val="16"/>
              </w:rPr>
              <w:t xml:space="preserve"> Palacio</w:t>
            </w:r>
          </w:p>
          <w:p w14:paraId="4C8B8C97" w14:textId="77777777" w:rsidR="0064450E" w:rsidRPr="00035110" w:rsidRDefault="0064450E" w:rsidP="0087636B">
            <w:pPr>
              <w:spacing w:after="0" w:line="240" w:lineRule="auto"/>
              <w:jc w:val="both"/>
              <w:rPr>
                <w:rFonts w:ascii="Century Gothic" w:hAnsi="Century Gothic" w:cs="Arial"/>
                <w:sz w:val="16"/>
                <w:szCs w:val="16"/>
              </w:rPr>
            </w:pPr>
            <w:r w:rsidRPr="00035110">
              <w:rPr>
                <w:rFonts w:ascii="Century Gothic" w:hAnsi="Century Gothic" w:cs="Arial"/>
                <w:sz w:val="16"/>
                <w:szCs w:val="16"/>
              </w:rPr>
              <w:t>Subdirectora de Gestión Contractual ANCP – CCE</w:t>
            </w:r>
          </w:p>
        </w:tc>
      </w:tr>
      <w:bookmarkEnd w:id="2"/>
    </w:tbl>
    <w:p w14:paraId="51AE9E55" w14:textId="77777777" w:rsidR="0064450E" w:rsidRPr="00035110" w:rsidRDefault="0064450E" w:rsidP="0064450E">
      <w:pPr>
        <w:tabs>
          <w:tab w:val="left" w:pos="0"/>
        </w:tabs>
        <w:spacing w:line="276" w:lineRule="auto"/>
        <w:contextualSpacing/>
        <w:jc w:val="both"/>
        <w:rPr>
          <w:rFonts w:ascii="Century Gothic" w:hAnsi="Century Gothic" w:cs="Arial"/>
          <w:lang w:val="es-MX"/>
        </w:rPr>
      </w:pPr>
    </w:p>
    <w:p w14:paraId="32FCFF44" w14:textId="77777777" w:rsidR="0064450E" w:rsidRPr="00035110" w:rsidRDefault="0064450E" w:rsidP="0064450E">
      <w:pPr>
        <w:rPr>
          <w:rFonts w:ascii="Century Gothic" w:hAnsi="Century Gothic"/>
        </w:rPr>
      </w:pPr>
      <w:r w:rsidRPr="00035110">
        <w:rPr>
          <w:rFonts w:ascii="Century Gothic" w:hAnsi="Century Gothic"/>
        </w:rPr>
        <w:t xml:space="preserve"> </w:t>
      </w:r>
    </w:p>
    <w:p w14:paraId="0F293BF4" w14:textId="4E630EB9" w:rsidR="00127233" w:rsidRPr="000B2905" w:rsidRDefault="00E245AB" w:rsidP="000B2905">
      <w:r w:rsidRPr="000B2905">
        <w:t xml:space="preserve"> </w:t>
      </w:r>
    </w:p>
    <w:sectPr w:rsidR="00127233" w:rsidRPr="000B2905" w:rsidSect="008956E9">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E6F5C" w14:textId="77777777" w:rsidR="008956E9" w:rsidRDefault="008956E9" w:rsidP="004A1847">
      <w:pPr>
        <w:spacing w:after="0" w:line="240" w:lineRule="auto"/>
      </w:pPr>
      <w:r>
        <w:separator/>
      </w:r>
    </w:p>
  </w:endnote>
  <w:endnote w:type="continuationSeparator" w:id="0">
    <w:p w14:paraId="3400FAAD" w14:textId="77777777" w:rsidR="008956E9" w:rsidRDefault="008956E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4715E" w14:textId="77777777" w:rsidR="008956E9" w:rsidRDefault="008956E9" w:rsidP="004A1847">
      <w:pPr>
        <w:spacing w:after="0" w:line="240" w:lineRule="auto"/>
      </w:pPr>
      <w:r>
        <w:separator/>
      </w:r>
    </w:p>
  </w:footnote>
  <w:footnote w:type="continuationSeparator" w:id="0">
    <w:p w14:paraId="3F2A3C09" w14:textId="77777777" w:rsidR="008956E9" w:rsidRDefault="008956E9" w:rsidP="004A1847">
      <w:pPr>
        <w:spacing w:after="0" w:line="240" w:lineRule="auto"/>
      </w:pPr>
      <w:r>
        <w:continuationSeparator/>
      </w:r>
    </w:p>
  </w:footnote>
  <w:footnote w:id="1">
    <w:p w14:paraId="56589216" w14:textId="77777777" w:rsidR="0064450E" w:rsidRPr="00F44270" w:rsidRDefault="0064450E" w:rsidP="0064450E">
      <w:pPr>
        <w:pStyle w:val="Textonotapie"/>
        <w:ind w:firstLine="708"/>
        <w:jc w:val="both"/>
        <w:rPr>
          <w:rFonts w:ascii="Century Gothic" w:hAnsi="Century Gothic" w:cs="Arial"/>
          <w:sz w:val="16"/>
          <w:szCs w:val="16"/>
          <w:lang w:val="es-ES"/>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La Agencia Nacional de Contratación Pública </w:t>
      </w:r>
      <w:r w:rsidRPr="00F44270">
        <w:rPr>
          <w:rFonts w:ascii="Arial" w:hAnsi="Arial" w:cs="Arial"/>
          <w:sz w:val="16"/>
          <w:szCs w:val="16"/>
        </w:rPr>
        <w:t>‒</w:t>
      </w:r>
      <w:r w:rsidRPr="00F44270">
        <w:rPr>
          <w:rFonts w:ascii="Century Gothic" w:hAnsi="Century Gothic" w:cs="Arial"/>
          <w:sz w:val="16"/>
          <w:szCs w:val="16"/>
        </w:rPr>
        <w:t xml:space="preserve">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F44270">
        <w:rPr>
          <w:rFonts w:ascii="Century Gothic" w:hAnsi="Century Gothic" w:cs="Arial"/>
          <w:i/>
          <w:iCs/>
          <w:sz w:val="16"/>
          <w:szCs w:val="16"/>
        </w:rPr>
        <w:t xml:space="preserve">ibidem </w:t>
      </w:r>
      <w:r w:rsidRPr="00F44270">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1EE9439D" w14:textId="77777777" w:rsidR="0064450E" w:rsidRPr="00F44270" w:rsidRDefault="0064450E" w:rsidP="0064450E">
      <w:pPr>
        <w:pStyle w:val="Textonotapie"/>
        <w:ind w:firstLine="708"/>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F44270">
          <w:rPr>
            <w:rStyle w:val="Hipervnculo"/>
            <w:rFonts w:ascii="Century Gothic" w:hAnsi="Century Gothic" w:cs="Arial"/>
            <w:sz w:val="16"/>
            <w:szCs w:val="16"/>
          </w:rPr>
          <w:t>https://relatoria.colombiacompra.gov.co/busqueda/conceptos</w:t>
        </w:r>
      </w:hyperlink>
      <w:r w:rsidRPr="00F44270">
        <w:rPr>
          <w:rStyle w:val="Hipervnculo"/>
          <w:rFonts w:ascii="Century Gothic" w:hAnsi="Century Gothic" w:cs="Arial"/>
          <w:sz w:val="16"/>
          <w:szCs w:val="16"/>
        </w:rPr>
        <w:t xml:space="preserve">. </w:t>
      </w:r>
      <w:r w:rsidRPr="00F44270">
        <w:rPr>
          <w:rFonts w:ascii="Century Gothic" w:hAnsi="Century Gothic" w:cs="Arial"/>
          <w:sz w:val="16"/>
          <w:szCs w:val="16"/>
          <w:shd w:val="clear" w:color="auto" w:fill="E6E6E6"/>
        </w:rPr>
        <w:t xml:space="preserve"> </w:t>
      </w:r>
    </w:p>
  </w:footnote>
  <w:footnote w:id="3">
    <w:p w14:paraId="75D3ADE8" w14:textId="77777777" w:rsidR="0064450E" w:rsidRPr="00F44270" w:rsidRDefault="0064450E" w:rsidP="0064450E">
      <w:pPr>
        <w:pStyle w:val="Textonotapie"/>
        <w:ind w:firstLine="709"/>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w:t>
      </w:r>
      <w:r w:rsidRPr="00F44270">
        <w:rPr>
          <w:rFonts w:ascii="Century Gothic" w:hAnsi="Century Gothic" w:cs="Arial"/>
          <w:sz w:val="16"/>
          <w:szCs w:val="16"/>
          <w:shd w:val="clear" w:color="auto" w:fill="FFFFFF"/>
        </w:rPr>
        <w:t>Para la jurisprudencia, “</w:t>
      </w:r>
      <w:r w:rsidRPr="00F44270">
        <w:rPr>
          <w:rFonts w:ascii="Century Gothic" w:hAnsi="Century Gothic" w:cs="Arial"/>
          <w:sz w:val="16"/>
          <w:szCs w:val="16"/>
        </w:rPr>
        <w:t>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r w:rsidRPr="00F44270">
        <w:rPr>
          <w:rFonts w:ascii="Century Gothic" w:hAnsi="Century Gothic" w:cs="Arial"/>
          <w:color w:val="000000" w:themeColor="text1"/>
          <w:sz w:val="16"/>
          <w:szCs w:val="16"/>
          <w:shd w:val="clear" w:color="auto" w:fill="FFFFFF"/>
        </w:rPr>
        <w:t>”</w:t>
      </w:r>
      <w:r w:rsidRPr="00F44270">
        <w:rPr>
          <w:rFonts w:ascii="Century Gothic" w:hAnsi="Century Gothic" w:cs="Arial"/>
          <w:sz w:val="16"/>
          <w:szCs w:val="16"/>
        </w:rPr>
        <w:t xml:space="preserve"> (CORTE CONSTITUCIONAL. Sentencia C-414 de 1994. M.P. Antonio Barrera</w:t>
      </w:r>
      <w:r w:rsidRPr="00F44270">
        <w:rPr>
          <w:rFonts w:ascii="Century Gothic" w:hAnsi="Century Gothic" w:cs="Arial"/>
          <w:spacing w:val="-2"/>
          <w:sz w:val="16"/>
          <w:szCs w:val="16"/>
        </w:rPr>
        <w:t xml:space="preserve"> </w:t>
      </w:r>
      <w:r w:rsidRPr="00F44270">
        <w:rPr>
          <w:rFonts w:ascii="Century Gothic" w:hAnsi="Century Gothic" w:cs="Arial"/>
          <w:sz w:val="16"/>
          <w:szCs w:val="16"/>
        </w:rPr>
        <w:t>Carbonell).</w:t>
      </w:r>
    </w:p>
  </w:footnote>
  <w:footnote w:id="4">
    <w:p w14:paraId="54C38F3F" w14:textId="77777777" w:rsidR="0064450E" w:rsidRPr="00F44270" w:rsidRDefault="0064450E" w:rsidP="0064450E">
      <w:pPr>
        <w:pStyle w:val="Textoindependiente"/>
        <w:ind w:firstLine="709"/>
        <w:jc w:val="both"/>
        <w:rPr>
          <w:rFonts w:ascii="Century Gothic" w:hAnsi="Century Gothic"/>
          <w:sz w:val="16"/>
          <w:szCs w:val="16"/>
          <w:lang w:val="es-CO"/>
        </w:rPr>
      </w:pPr>
      <w:r w:rsidRPr="00F44270">
        <w:rPr>
          <w:rStyle w:val="Refdenotaalpie"/>
          <w:rFonts w:ascii="Century Gothic" w:hAnsi="Century Gothic"/>
          <w:sz w:val="16"/>
          <w:szCs w:val="16"/>
        </w:rPr>
        <w:footnoteRef/>
      </w:r>
      <w:r w:rsidRPr="00F44270">
        <w:rPr>
          <w:rFonts w:ascii="Century Gothic" w:hAnsi="Century Gothic"/>
          <w:sz w:val="16"/>
          <w:szCs w:val="16"/>
        </w:rPr>
        <w:t xml:space="preserve"> </w:t>
      </w:r>
      <w:r w:rsidRPr="00F44270">
        <w:rPr>
          <w:rFonts w:ascii="Century Gothic" w:hAnsi="Century Gothic"/>
          <w:sz w:val="16"/>
          <w:szCs w:val="16"/>
          <w:shd w:val="clear" w:color="auto" w:fill="FFFFFF"/>
          <w:lang w:val="es-CO"/>
        </w:rPr>
        <w:t>Para estos efectos, “</w:t>
      </w:r>
      <w:r w:rsidRPr="00F44270">
        <w:rPr>
          <w:rFonts w:ascii="Century Gothic" w:hAnsi="Century Gothic"/>
          <w:sz w:val="16"/>
          <w:szCs w:val="16"/>
          <w:lang w:val="es-CO"/>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F44270">
        <w:rPr>
          <w:rFonts w:ascii="Century Gothic" w:hAnsi="Century Gothic"/>
          <w:spacing w:val="-2"/>
          <w:sz w:val="16"/>
          <w:szCs w:val="16"/>
          <w:lang w:val="es-CO"/>
        </w:rPr>
        <w:t xml:space="preserve"> </w:t>
      </w:r>
      <w:r w:rsidRPr="00F44270">
        <w:rPr>
          <w:rFonts w:ascii="Century Gothic" w:hAnsi="Century Gothic"/>
          <w:sz w:val="16"/>
          <w:szCs w:val="16"/>
          <w:lang w:val="es-CO"/>
        </w:rPr>
        <w:t>contractuales.</w:t>
      </w:r>
    </w:p>
    <w:p w14:paraId="6D5B485D" w14:textId="77777777" w:rsidR="0064450E" w:rsidRPr="00F44270" w:rsidRDefault="0064450E" w:rsidP="0064450E">
      <w:pPr>
        <w:pStyle w:val="Textoindependiente"/>
        <w:spacing w:before="3"/>
        <w:ind w:left="709" w:right="709"/>
        <w:rPr>
          <w:rFonts w:ascii="Century Gothic" w:hAnsi="Century Gothic"/>
          <w:sz w:val="16"/>
          <w:szCs w:val="16"/>
          <w:lang w:val="es-CO"/>
        </w:rPr>
      </w:pPr>
      <w:r w:rsidRPr="00F44270">
        <w:rPr>
          <w:rFonts w:ascii="Century Gothic" w:hAnsi="Century Gothic"/>
          <w:sz w:val="16"/>
          <w:szCs w:val="16"/>
          <w:lang w:val="es-CO"/>
        </w:rPr>
        <w:t>[…]</w:t>
      </w:r>
    </w:p>
    <w:p w14:paraId="61F407E0" w14:textId="77777777" w:rsidR="0064450E" w:rsidRPr="00F44270" w:rsidRDefault="0064450E" w:rsidP="0064450E">
      <w:pPr>
        <w:pStyle w:val="Textoindependiente"/>
        <w:ind w:firstLine="709"/>
        <w:jc w:val="both"/>
        <w:rPr>
          <w:rFonts w:ascii="Century Gothic" w:hAnsi="Century Gothic"/>
          <w:sz w:val="16"/>
          <w:szCs w:val="16"/>
          <w:lang w:val="es-CO"/>
        </w:rPr>
      </w:pPr>
      <w:r w:rsidRPr="00F44270">
        <w:rPr>
          <w:rFonts w:ascii="Century Gothic" w:hAnsi="Century Gothic"/>
          <w:sz w:val="16"/>
          <w:szCs w:val="16"/>
          <w:lang w:val="es-CO"/>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69DF1263" w14:textId="77777777" w:rsidR="0064450E" w:rsidRPr="00F44270" w:rsidRDefault="0064450E" w:rsidP="0064450E">
      <w:pPr>
        <w:pStyle w:val="Textoindependiente"/>
        <w:spacing w:before="2"/>
        <w:ind w:left="709" w:right="709"/>
        <w:rPr>
          <w:rFonts w:ascii="Century Gothic" w:hAnsi="Century Gothic"/>
          <w:sz w:val="16"/>
          <w:szCs w:val="16"/>
          <w:lang w:val="es-CO"/>
        </w:rPr>
      </w:pPr>
      <w:r w:rsidRPr="00F44270">
        <w:rPr>
          <w:rFonts w:ascii="Century Gothic" w:hAnsi="Century Gothic"/>
          <w:sz w:val="16"/>
          <w:szCs w:val="16"/>
          <w:lang w:val="es-CO"/>
        </w:rPr>
        <w:t>[…]</w:t>
      </w:r>
    </w:p>
    <w:p w14:paraId="2DD13D07" w14:textId="77777777" w:rsidR="0064450E" w:rsidRPr="00F44270" w:rsidRDefault="0064450E" w:rsidP="0064450E">
      <w:pPr>
        <w:pStyle w:val="Textonotapie"/>
        <w:ind w:firstLine="709"/>
        <w:jc w:val="both"/>
        <w:rPr>
          <w:rFonts w:ascii="Century Gothic" w:hAnsi="Century Gothic" w:cs="Arial"/>
          <w:sz w:val="16"/>
          <w:szCs w:val="16"/>
        </w:rPr>
      </w:pPr>
      <w:r w:rsidRPr="00F44270">
        <w:rPr>
          <w:rFonts w:ascii="Century Gothic" w:hAnsi="Century Gothic" w:cs="Arial"/>
          <w:sz w:val="16"/>
          <w:szCs w:val="16"/>
          <w:lang w:val="es-CO"/>
        </w:rPr>
        <w:t xml:space="preserve">La Ley 80 de 1993, al crear las figuras de los consorcios y uniones temporales y constituirlas como sujetos de la contratación administrativa, reconoce una realidad del mundo negocial que son los denominados </w:t>
      </w:r>
      <w:r w:rsidRPr="00F44270">
        <w:rPr>
          <w:rFonts w:ascii="Century Gothic" w:hAnsi="Century Gothic" w:cs="Arial"/>
          <w:sz w:val="16"/>
          <w:szCs w:val="16"/>
          <w:shd w:val="clear" w:color="auto" w:fill="FFFFFF"/>
          <w:lang w:val="es-CO"/>
        </w:rPr>
        <w:t>«</w:t>
      </w:r>
      <w:r w:rsidRPr="00F44270">
        <w:rPr>
          <w:rFonts w:ascii="Century Gothic" w:hAnsi="Century Gothic" w:cs="Arial"/>
          <w:sz w:val="16"/>
          <w:szCs w:val="16"/>
          <w:lang w:val="es-CO"/>
        </w:rPr>
        <w:t>contratos de colaboración económica</w:t>
      </w:r>
      <w:r w:rsidRPr="00F44270">
        <w:rPr>
          <w:rFonts w:ascii="Century Gothic" w:hAnsi="Century Gothic" w:cs="Arial"/>
          <w:sz w:val="16"/>
          <w:szCs w:val="16"/>
          <w:shd w:val="clear" w:color="auto" w:fill="FFFFFF"/>
          <w:lang w:val="es-CO"/>
        </w:rPr>
        <w:t>»</w:t>
      </w:r>
      <w:r w:rsidRPr="00F44270">
        <w:rPr>
          <w:rFonts w:ascii="Century Gothic" w:hAnsi="Century Gothic" w:cs="Arial"/>
          <w:sz w:val="16"/>
          <w:szCs w:val="16"/>
          <w:lang w:val="es-CO"/>
        </w:rPr>
        <w:t>,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 y 2</w:t>
      </w:r>
      <w:r w:rsidRPr="00F44270">
        <w:rPr>
          <w:rFonts w:ascii="Century Gothic" w:hAnsi="Century Gothic" w:cs="Arial"/>
          <w:spacing w:val="-7"/>
          <w:sz w:val="16"/>
          <w:szCs w:val="16"/>
          <w:lang w:val="es-CO"/>
        </w:rPr>
        <w:t xml:space="preserve"> </w:t>
      </w:r>
      <w:r w:rsidRPr="00F44270">
        <w:rPr>
          <w:rFonts w:ascii="Century Gothic" w:hAnsi="Century Gothic" w:cs="Arial"/>
          <w:sz w:val="16"/>
          <w:szCs w:val="16"/>
          <w:lang w:val="es-CO"/>
        </w:rPr>
        <w:t>Superiores]</w:t>
      </w:r>
      <w:r w:rsidRPr="00F44270">
        <w:rPr>
          <w:rFonts w:ascii="Century Gothic" w:hAnsi="Century Gothic" w:cs="Arial"/>
          <w:sz w:val="16"/>
          <w:szCs w:val="16"/>
          <w:shd w:val="clear" w:color="auto" w:fill="FFFFFF"/>
          <w:lang w:val="es-CO"/>
        </w:rPr>
        <w:t xml:space="preserve">” </w:t>
      </w:r>
      <w:r w:rsidRPr="00F44270">
        <w:rPr>
          <w:rFonts w:ascii="Century Gothic" w:hAnsi="Century Gothic" w:cs="Arial"/>
          <w:sz w:val="16"/>
          <w:szCs w:val="16"/>
        </w:rPr>
        <w:t>(CORTE CONSTITUCIONAL. Sentencia C-949 de 2001. M.P. Clara Inés Vargas Hernández).</w:t>
      </w:r>
    </w:p>
  </w:footnote>
  <w:footnote w:id="5">
    <w:p w14:paraId="4F1EFFF2" w14:textId="77777777" w:rsidR="0064450E" w:rsidRPr="00F44270" w:rsidRDefault="0064450E" w:rsidP="0064450E">
      <w:pPr>
        <w:spacing w:after="0"/>
        <w:ind w:firstLine="709"/>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LAFONT PIANETTA, Pedro. Manual de contratos. Tomo I. Bogotá: Ediciones Librería del Profesional, 2001. p. 508.</w:t>
      </w:r>
    </w:p>
  </w:footnote>
  <w:footnote w:id="6">
    <w:p w14:paraId="734DCEE9" w14:textId="77777777" w:rsidR="0064450E" w:rsidRPr="00F44270" w:rsidRDefault="0064450E" w:rsidP="0064450E">
      <w:pPr>
        <w:spacing w:after="0"/>
        <w:ind w:firstLine="709"/>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Al respecto, la jurisprudencia explica lo siguiente: </w:t>
      </w:r>
      <w:r w:rsidRPr="00F44270">
        <w:rPr>
          <w:rFonts w:ascii="Century Gothic" w:hAnsi="Century Gothic" w:cs="Arial"/>
          <w:sz w:val="16"/>
          <w:szCs w:val="16"/>
          <w:shd w:val="clear" w:color="auto" w:fill="FFFFFF"/>
        </w:rPr>
        <w:t>“</w:t>
      </w:r>
      <w:r w:rsidRPr="00F44270">
        <w:rPr>
          <w:rFonts w:ascii="Century Gothic" w:hAnsi="Century Gothic" w:cs="Arial"/>
          <w:sz w:val="16"/>
          <w:szCs w:val="16"/>
        </w:rPr>
        <w:t>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w:t>
      </w:r>
      <w:r w:rsidRPr="00F44270">
        <w:rPr>
          <w:rFonts w:ascii="Century Gothic" w:hAnsi="Century Gothic" w:cs="Arial"/>
          <w:b/>
          <w:bCs/>
          <w:sz w:val="16"/>
          <w:szCs w:val="16"/>
        </w:rPr>
        <w:t>–</w:t>
      </w:r>
      <w:r w:rsidRPr="00F44270">
        <w:rPr>
          <w:rFonts w:ascii="Century Gothic" w:hAnsi="Century Gothic" w:cs="Arial"/>
          <w:sz w:val="16"/>
          <w:szCs w:val="16"/>
        </w:rPr>
        <w:t>, también se encuentran facultados para concurrir a los procesos judiciales que pudieren tener origen en controversias surgidas del mencionado procedimiento administrativo de selección de contratistas o de la celebración y ejecución del contrato estatal respectivo –</w:t>
      </w:r>
      <w:r w:rsidRPr="00F44270">
        <w:rPr>
          <w:rFonts w:ascii="Century Gothic" w:hAnsi="Century Gothic" w:cs="Arial"/>
          <w:i/>
          <w:sz w:val="16"/>
          <w:szCs w:val="16"/>
        </w:rPr>
        <w:t>legitimatio ad processum</w:t>
      </w:r>
      <w:r w:rsidRPr="00F44270">
        <w:rPr>
          <w:rFonts w:ascii="Century Gothic" w:hAnsi="Century Gothic" w:cs="Arial"/>
          <w:sz w:val="16"/>
          <w:szCs w:val="16"/>
        </w:rPr>
        <w:t>-, por intermedio de su</w:t>
      </w:r>
      <w:r w:rsidRPr="00F44270">
        <w:rPr>
          <w:rFonts w:ascii="Century Gothic" w:hAnsi="Century Gothic" w:cs="Arial"/>
          <w:spacing w:val="-8"/>
          <w:sz w:val="16"/>
          <w:szCs w:val="16"/>
        </w:rPr>
        <w:t xml:space="preserve"> </w:t>
      </w:r>
      <w:r w:rsidRPr="00F44270">
        <w:rPr>
          <w:rFonts w:ascii="Century Gothic" w:hAnsi="Century Gothic" w:cs="Arial"/>
          <w:sz w:val="16"/>
          <w:szCs w:val="16"/>
        </w:rPr>
        <w:t xml:space="preserve">representante” (CONSEJO DE ESTADO. Sección Tercera. Sala Plena. Sentencia de Unificación del 25 de septiembre de 2013. Rad. 19.933. C.P. Mauricio Fajardo Gómez). </w:t>
      </w:r>
    </w:p>
  </w:footnote>
  <w:footnote w:id="7">
    <w:p w14:paraId="0B07C559" w14:textId="77777777" w:rsidR="0064450E" w:rsidRPr="009078A5" w:rsidRDefault="0064450E" w:rsidP="0064450E">
      <w:pPr>
        <w:pStyle w:val="Textonotapie"/>
        <w:ind w:firstLine="708"/>
        <w:jc w:val="both"/>
        <w:rPr>
          <w:rFonts w:ascii="Century Gothic" w:hAnsi="Century Gothic"/>
          <w:sz w:val="18"/>
          <w:szCs w:val="18"/>
        </w:rPr>
      </w:pPr>
      <w:r w:rsidRPr="009078A5">
        <w:rPr>
          <w:rStyle w:val="Refdenotaalpie"/>
          <w:rFonts w:ascii="Century Gothic" w:hAnsi="Century Gothic"/>
          <w:sz w:val="18"/>
          <w:szCs w:val="18"/>
        </w:rPr>
        <w:footnoteRef/>
      </w:r>
      <w:r w:rsidRPr="009078A5">
        <w:rPr>
          <w:rFonts w:ascii="Century Gothic" w:hAnsi="Century Gothic"/>
          <w:sz w:val="18"/>
          <w:szCs w:val="18"/>
        </w:rPr>
        <w:t xml:space="preserve"> </w:t>
      </w:r>
      <w:r>
        <w:rPr>
          <w:rFonts w:ascii="Century Gothic" w:hAnsi="Century Gothic"/>
          <w:sz w:val="18"/>
          <w:szCs w:val="18"/>
        </w:rPr>
        <w:t>El artículo 30 del Código Civil dispone que “</w:t>
      </w:r>
      <w:r w:rsidRPr="009078A5">
        <w:rPr>
          <w:rFonts w:ascii="Century Gothic" w:hAnsi="Century Gothic"/>
          <w:sz w:val="18"/>
          <w:szCs w:val="18"/>
        </w:rPr>
        <w:t>El contexto de la ley servirá para ilustrar el sentido de cada una de sus partes, de manera que haya entre todas ellas la debida correspondencia y armonía.</w:t>
      </w:r>
    </w:p>
    <w:p w14:paraId="442A8ED2" w14:textId="77777777" w:rsidR="0064450E" w:rsidRPr="009078A5" w:rsidRDefault="0064450E" w:rsidP="0064450E">
      <w:pPr>
        <w:pStyle w:val="Textonotapie"/>
        <w:ind w:firstLine="708"/>
        <w:jc w:val="both"/>
        <w:rPr>
          <w:rFonts w:ascii="Century Gothic" w:hAnsi="Century Gothic"/>
          <w:sz w:val="18"/>
          <w:szCs w:val="18"/>
        </w:rPr>
      </w:pPr>
      <w:r w:rsidRPr="009078A5">
        <w:rPr>
          <w:rFonts w:ascii="Century Gothic" w:hAnsi="Century Gothic"/>
          <w:sz w:val="18"/>
          <w:szCs w:val="18"/>
        </w:rPr>
        <w:t>Los pasajes oscuros de una ley pueden ser ilustrados por medio de otras leyes, particularmente si versan sobre el mismo asunto</w:t>
      </w:r>
      <w:r>
        <w:rPr>
          <w:rFonts w:ascii="Century Gothic" w:hAnsi="Century Gothic"/>
          <w:sz w:val="18"/>
          <w:szCs w:val="18"/>
        </w:rPr>
        <w:t>”</w:t>
      </w:r>
      <w:r w:rsidRPr="009078A5">
        <w:rPr>
          <w:rFonts w:ascii="Century Gothic" w:hAnsi="Century Gothic"/>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5D0C20C7" w:rsidR="00756841" w:rsidRDefault="00BD15D4">
    <w:pPr>
      <w:pStyle w:val="Encabezado"/>
    </w:pPr>
    <w:r>
      <w:rPr>
        <w:noProof/>
        <w:lang w:eastAsia="es-CO"/>
      </w:rPr>
      <w:drawing>
        <wp:anchor distT="0" distB="0" distL="114300" distR="114300" simplePos="0" relativeHeight="251659264"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67456"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3DBCDD3E" w14:textId="218CB595" w:rsidR="005B5D8B" w:rsidRPr="000B2905" w:rsidRDefault="004A305D" w:rsidP="000B2905">
    <w:pPr>
      <w:spacing w:after="12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76391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A683E"/>
    <w:rsid w:val="000B19B9"/>
    <w:rsid w:val="000B2905"/>
    <w:rsid w:val="000D0334"/>
    <w:rsid w:val="000E4714"/>
    <w:rsid w:val="000F6486"/>
    <w:rsid w:val="00125105"/>
    <w:rsid w:val="00127233"/>
    <w:rsid w:val="001E4177"/>
    <w:rsid w:val="00281054"/>
    <w:rsid w:val="002951A0"/>
    <w:rsid w:val="002962BC"/>
    <w:rsid w:val="002A093D"/>
    <w:rsid w:val="002A49AC"/>
    <w:rsid w:val="002A64FD"/>
    <w:rsid w:val="002C7A84"/>
    <w:rsid w:val="003448F4"/>
    <w:rsid w:val="003A779E"/>
    <w:rsid w:val="003D0F4D"/>
    <w:rsid w:val="003D1CFB"/>
    <w:rsid w:val="003E0499"/>
    <w:rsid w:val="003F3941"/>
    <w:rsid w:val="00400548"/>
    <w:rsid w:val="004368BC"/>
    <w:rsid w:val="004A1847"/>
    <w:rsid w:val="004A305D"/>
    <w:rsid w:val="004F21C4"/>
    <w:rsid w:val="004F685F"/>
    <w:rsid w:val="00533E8F"/>
    <w:rsid w:val="005566E8"/>
    <w:rsid w:val="00574867"/>
    <w:rsid w:val="005A6AA1"/>
    <w:rsid w:val="005B5D8B"/>
    <w:rsid w:val="005C5CDC"/>
    <w:rsid w:val="005D476C"/>
    <w:rsid w:val="006219F8"/>
    <w:rsid w:val="00626582"/>
    <w:rsid w:val="0064450E"/>
    <w:rsid w:val="00665D70"/>
    <w:rsid w:val="00706C16"/>
    <w:rsid w:val="00727370"/>
    <w:rsid w:val="00756841"/>
    <w:rsid w:val="00763C80"/>
    <w:rsid w:val="007649AB"/>
    <w:rsid w:val="007833AC"/>
    <w:rsid w:val="007B7171"/>
    <w:rsid w:val="007C3DC2"/>
    <w:rsid w:val="007E5497"/>
    <w:rsid w:val="00806F5F"/>
    <w:rsid w:val="00820278"/>
    <w:rsid w:val="008843B6"/>
    <w:rsid w:val="00891928"/>
    <w:rsid w:val="008956E9"/>
    <w:rsid w:val="008A446D"/>
    <w:rsid w:val="008F0EA7"/>
    <w:rsid w:val="00923EEF"/>
    <w:rsid w:val="009419F9"/>
    <w:rsid w:val="00961B09"/>
    <w:rsid w:val="00965334"/>
    <w:rsid w:val="0097093E"/>
    <w:rsid w:val="009C71FA"/>
    <w:rsid w:val="009C72E7"/>
    <w:rsid w:val="00A051CD"/>
    <w:rsid w:val="00A17F13"/>
    <w:rsid w:val="00A20739"/>
    <w:rsid w:val="00A33C78"/>
    <w:rsid w:val="00AB0ADB"/>
    <w:rsid w:val="00AD5E99"/>
    <w:rsid w:val="00B72CD3"/>
    <w:rsid w:val="00B72FFF"/>
    <w:rsid w:val="00BD15D4"/>
    <w:rsid w:val="00BD2E7A"/>
    <w:rsid w:val="00BD7F72"/>
    <w:rsid w:val="00BF59CB"/>
    <w:rsid w:val="00C04FB3"/>
    <w:rsid w:val="00C330EB"/>
    <w:rsid w:val="00C747AD"/>
    <w:rsid w:val="00C754BE"/>
    <w:rsid w:val="00CB6357"/>
    <w:rsid w:val="00CC1B26"/>
    <w:rsid w:val="00D423A2"/>
    <w:rsid w:val="00D63AC2"/>
    <w:rsid w:val="00D7383B"/>
    <w:rsid w:val="00DA231B"/>
    <w:rsid w:val="00E16408"/>
    <w:rsid w:val="00E20894"/>
    <w:rsid w:val="00E245AB"/>
    <w:rsid w:val="00E50AFE"/>
    <w:rsid w:val="00E771DC"/>
    <w:rsid w:val="00E8772A"/>
    <w:rsid w:val="00E90F6B"/>
    <w:rsid w:val="00E92C27"/>
    <w:rsid w:val="00EA0E3D"/>
    <w:rsid w:val="00EE1AA8"/>
    <w:rsid w:val="00F17039"/>
    <w:rsid w:val="00F204AB"/>
    <w:rsid w:val="00F31EDC"/>
    <w:rsid w:val="00F5664F"/>
    <w:rsid w:val="00F613A2"/>
    <w:rsid w:val="00F76AFC"/>
    <w:rsid w:val="00FB5DD1"/>
    <w:rsid w:val="00FC2B5D"/>
    <w:rsid w:val="00FF1449"/>
    <w:rsid w:val="49097B2D"/>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64450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4450E"/>
    <w:rPr>
      <w:rFonts w:ascii="Geomanist Light" w:hAnsi="Geomanist Light"/>
      <w:lang w:val="es-ES"/>
    </w:rPr>
  </w:style>
  <w:style w:type="paragraph" w:styleId="Textoindependiente">
    <w:name w:val="Body Text"/>
    <w:basedOn w:val="Normal"/>
    <w:link w:val="TextoindependienteCar"/>
    <w:uiPriority w:val="1"/>
    <w:qFormat/>
    <w:rsid w:val="0064450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64450E"/>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Juan David Montoya Penagos</DisplayName>
        <AccountId>697</AccountId>
        <AccountType/>
      </UserInfo>
      <UserInfo>
        <DisplayName>Juan David Cárdenas Cabeza</DisplayName>
        <AccountId>659</AccountId>
        <AccountType/>
      </UserInfo>
      <UserInfo>
        <DisplayName>Nohelia Del Carmen Zawady Palacio</DisplayName>
        <AccountId>289</AccountId>
        <AccountType/>
      </UserInfo>
    </SharedWithUsers>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51ffb7fd-4899-4472-8c42-8dade94ea362"/>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A6B2503-69E9-4A37-881E-F2A1D727E5F8}"/>
</file>

<file path=docProps/app.xml><?xml version="1.0" encoding="utf-8"?>
<Properties xmlns="http://schemas.openxmlformats.org/officeDocument/2006/extended-properties" xmlns:vt="http://schemas.openxmlformats.org/officeDocument/2006/docPropsVTypes">
  <Template>Normal</Template>
  <TotalTime>5</TotalTime>
  <Pages>12</Pages>
  <Words>3737</Words>
  <Characters>20556</Characters>
  <Application>Microsoft Office Word</Application>
  <DocSecurity>0</DocSecurity>
  <Lines>171</Lines>
  <Paragraphs>48</Paragraphs>
  <ScaleCrop>false</ScaleCrop>
  <Company/>
  <LinksUpToDate>false</LinksUpToDate>
  <CharactersWithSpaces>24245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5</cp:revision>
  <cp:lastPrinted>2023-01-10T21:18:00Z</cp:lastPrinted>
  <dcterms:created xsi:type="dcterms:W3CDTF">2024-04-24T01:15:00Z</dcterms:created>
  <dcterms:modified xsi:type="dcterms:W3CDTF">2024-04-28T21:37:00Z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