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61430" w:rsidR="00B523D5" w:rsidP="00B523D5" w:rsidRDefault="00B523D5" w14:paraId="742DD476" w14:textId="77777777">
      <w:pPr>
        <w:rPr>
          <w:rFonts w:ascii="Geomanist Light" w:hAnsi="Geomanist Light" w:eastAsia="Geomanist Light" w:cs="Geomanist Light"/>
          <w:color w:val="201F1E"/>
          <w:lang w:val="es-MX"/>
        </w:rPr>
      </w:pPr>
      <w:r w:rsidRPr="00002BAF">
        <w:rPr>
          <w:rFonts w:ascii="Arial" w:hAnsi="Arial" w:eastAsia="Calibri" w:cs="Arial"/>
          <w:b/>
          <w:szCs w:val="24"/>
          <w:lang w:val="es-ES_tradnl" w:eastAsia="es-ES_tradnl"/>
        </w:rPr>
        <w:t>CONCURSO DE MÉRITOS – Concepto – Modalidades</w:t>
      </w:r>
    </w:p>
    <w:p w:rsidRPr="00002BAF" w:rsidR="00B523D5" w:rsidP="00B523D5" w:rsidRDefault="00B523D5" w14:paraId="1D3C9F11" w14:textId="77777777">
      <w:pPr>
        <w:spacing w:after="0" w:line="240" w:lineRule="auto"/>
        <w:jc w:val="both"/>
        <w:rPr>
          <w:rFonts w:ascii="Arial" w:hAnsi="Arial" w:eastAsia="Calibri" w:cs="Arial"/>
          <w:b/>
          <w:szCs w:val="24"/>
          <w:lang w:val="es-ES_tradnl" w:eastAsia="es-ES_tradnl"/>
        </w:rPr>
      </w:pPr>
    </w:p>
    <w:p w:rsidR="00B523D5" w:rsidP="00B523D5" w:rsidRDefault="00B523D5" w14:paraId="39AF0DBE" w14:textId="77777777">
      <w:pPr>
        <w:spacing w:after="0" w:line="240" w:lineRule="auto"/>
        <w:jc w:val="both"/>
        <w:rPr>
          <w:rFonts w:ascii="Arial" w:hAnsi="Arial" w:eastAsia="Times New Roman" w:cs="Arial"/>
          <w:color w:val="000000"/>
          <w:sz w:val="20"/>
          <w:szCs w:val="20"/>
          <w:lang w:val="es-ES_tradnl" w:eastAsia="es-ES_tradnl"/>
        </w:rPr>
      </w:pPr>
      <w:r w:rsidRPr="006E3847">
        <w:rPr>
          <w:rFonts w:ascii="Arial" w:hAnsi="Arial" w:eastAsia="Times New Roman" w:cs="Arial"/>
          <w:color w:val="000000"/>
          <w:sz w:val="20"/>
          <w:szCs w:val="20"/>
          <w:lang w:val="es-ES_tradnl" w:eastAsia="es-ES_tradnl"/>
        </w:rPr>
        <w:t>El concurso de méritos 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rsidRPr="006E3847" w:rsidR="00B523D5" w:rsidP="00B523D5" w:rsidRDefault="00B523D5" w14:paraId="0BAEFF34" w14:textId="77777777">
      <w:pPr>
        <w:spacing w:after="0" w:line="240" w:lineRule="auto"/>
        <w:jc w:val="both"/>
        <w:rPr>
          <w:rFonts w:ascii="Arial" w:hAnsi="Arial" w:eastAsia="Times New Roman" w:cs="Arial"/>
          <w:color w:val="000000"/>
          <w:sz w:val="20"/>
          <w:szCs w:val="20"/>
          <w:lang w:val="es-ES_tradnl" w:eastAsia="es-ES_tradnl"/>
        </w:rPr>
      </w:pPr>
    </w:p>
    <w:p w:rsidRPr="00002BAF" w:rsidR="00B523D5" w:rsidP="00B523D5" w:rsidRDefault="00B523D5" w14:paraId="538124D0" w14:textId="77777777">
      <w:pPr>
        <w:spacing w:after="0" w:line="240" w:lineRule="auto"/>
        <w:jc w:val="both"/>
        <w:rPr>
          <w:rFonts w:ascii="Arial" w:hAnsi="Arial" w:eastAsia="Times New Roman" w:cs="Arial"/>
          <w:color w:val="000000"/>
          <w:sz w:val="20"/>
          <w:szCs w:val="20"/>
          <w:lang w:val="es-ES_tradnl" w:eastAsia="es-ES_tradnl"/>
        </w:rPr>
      </w:pPr>
      <w:r w:rsidRPr="006E3847">
        <w:rPr>
          <w:rFonts w:ascii="Arial" w:hAnsi="Arial" w:eastAsia="Times New Roman" w:cs="Arial"/>
          <w:color w:val="000000"/>
          <w:sz w:val="20"/>
          <w:szCs w:val="20"/>
          <w:lang w:val="es-ES_tradnl" w:eastAsia="es-ES_tradnl"/>
        </w:rPr>
        <w:t>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ibídem. El segundo, además de los dos artículos anteriores, lo regulan los artículos 2.2.1.2.1.3.3. a 2.2.1.2.1.3.7. ejusdem. El tercero lo regulan los artículos 2.2.1.2.1.3.8. a 2.2.1.2.1.3.25. del mencionado Decreto.</w:t>
      </w:r>
    </w:p>
    <w:p w:rsidRPr="00002BAF" w:rsidR="00B523D5" w:rsidP="00B523D5" w:rsidRDefault="00B523D5" w14:paraId="1C6E1EE0" w14:textId="77777777">
      <w:pPr>
        <w:spacing w:after="0" w:line="240" w:lineRule="auto"/>
        <w:jc w:val="both"/>
        <w:rPr>
          <w:rFonts w:ascii="Arial" w:hAnsi="Arial" w:eastAsia="Calibri" w:cs="Arial"/>
          <w:color w:val="000000"/>
          <w:sz w:val="20"/>
          <w:szCs w:val="20"/>
          <w:lang w:val="es-ES_tradnl" w:eastAsia="es-ES_tradnl"/>
        </w:rPr>
      </w:pPr>
    </w:p>
    <w:p w:rsidRPr="00002BAF" w:rsidR="00B523D5" w:rsidP="00B523D5" w:rsidRDefault="00B523D5" w14:paraId="47A32CA6" w14:textId="77777777">
      <w:pPr>
        <w:spacing w:after="0" w:line="240" w:lineRule="auto"/>
        <w:jc w:val="both"/>
        <w:rPr>
          <w:rFonts w:ascii="Arial" w:hAnsi="Arial" w:eastAsia="Calibri" w:cs="Arial"/>
          <w:b/>
          <w:szCs w:val="24"/>
          <w:lang w:val="es-ES_tradnl" w:eastAsia="es-ES_tradnl"/>
        </w:rPr>
      </w:pPr>
      <w:r w:rsidRPr="00002BAF">
        <w:rPr>
          <w:rFonts w:ascii="Arial" w:hAnsi="Arial" w:eastAsia="Calibri" w:cs="Arial"/>
          <w:b/>
          <w:szCs w:val="24"/>
          <w:lang w:val="es-ES_tradnl" w:eastAsia="es-ES_tradnl"/>
        </w:rPr>
        <w:t>CONCURSO DE MÉRITOS – Decreto 1082 de 2015 – Artículo 2.2.1.2.1.3.2 –</w:t>
      </w:r>
      <w:r w:rsidRPr="00002BAF">
        <w:rPr>
          <w:rFonts w:ascii="Arial" w:hAnsi="Arial" w:eastAsia="Times New Roman" w:cs="Arial"/>
          <w:b/>
          <w:color w:val="000000"/>
          <w:sz w:val="20"/>
          <w:szCs w:val="20"/>
          <w:lang w:val="es-ES_tradnl" w:eastAsia="es-ES_tradnl"/>
        </w:rPr>
        <w:t xml:space="preserve"> </w:t>
      </w:r>
      <w:r w:rsidRPr="00002BAF">
        <w:rPr>
          <w:rFonts w:ascii="Arial" w:hAnsi="Arial" w:eastAsia="Calibri" w:cs="Arial"/>
          <w:b/>
          <w:szCs w:val="24"/>
          <w:lang w:val="es-ES_tradnl" w:eastAsia="es-ES_tradnl"/>
        </w:rPr>
        <w:t>Decreto 399 de 2021 – Artículo 2</w:t>
      </w:r>
    </w:p>
    <w:p w:rsidRPr="00002BAF" w:rsidR="00B523D5" w:rsidP="00B523D5" w:rsidRDefault="00B523D5" w14:paraId="59F4BBC3" w14:textId="77777777">
      <w:pPr>
        <w:spacing w:after="0" w:line="240" w:lineRule="auto"/>
        <w:jc w:val="both"/>
        <w:rPr>
          <w:rFonts w:ascii="Arial" w:hAnsi="Arial" w:eastAsia="Times New Roman" w:cs="Arial"/>
          <w:color w:val="000000"/>
          <w:sz w:val="20"/>
          <w:szCs w:val="20"/>
          <w:lang w:val="es-ES_tradnl" w:eastAsia="es-ES_tradnl"/>
        </w:rPr>
      </w:pPr>
    </w:p>
    <w:p w:rsidR="00B523D5" w:rsidP="00B523D5" w:rsidRDefault="00B523D5" w14:paraId="1CD4116B" w14:textId="77777777">
      <w:pPr>
        <w:spacing w:after="0" w:line="240" w:lineRule="auto"/>
        <w:jc w:val="both"/>
        <w:rPr>
          <w:rFonts w:ascii="Arial" w:hAnsi="Arial" w:eastAsia="Calibri" w:cs="Arial"/>
          <w:color w:val="000000"/>
          <w:sz w:val="20"/>
          <w:szCs w:val="20"/>
          <w:lang w:val="es-ES_tradnl" w:eastAsia="es-ES_tradnl"/>
        </w:rPr>
      </w:pPr>
      <w:r w:rsidRPr="00002BAF">
        <w:rPr>
          <w:rFonts w:ascii="Arial" w:hAnsi="Arial" w:eastAsia="Calibri" w:cs="Arial"/>
          <w:color w:val="000000"/>
          <w:sz w:val="20"/>
          <w:szCs w:val="20"/>
          <w:lang w:val="es-ES_tradnl" w:eastAsia="es-ES_tradnl"/>
        </w:rPr>
        <w:t xml:space="preserve">[…] </w:t>
      </w:r>
      <w:r w:rsidRPr="006E3847">
        <w:rPr>
          <w:rFonts w:ascii="Arial" w:hAnsi="Arial" w:eastAsia="Calibri" w:cs="Arial"/>
          <w:color w:val="000000"/>
          <w:sz w:val="20"/>
          <w:szCs w:val="20"/>
          <w:lang w:val="es-ES_tradnl" w:eastAsia="es-ES_tradnl"/>
        </w:rPr>
        <w:t>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rsidRPr="006E3847" w:rsidR="00B523D5" w:rsidP="00B523D5" w:rsidRDefault="00B523D5" w14:paraId="0EACE6BA" w14:textId="77777777">
      <w:pPr>
        <w:spacing w:after="0" w:line="240" w:lineRule="auto"/>
        <w:jc w:val="both"/>
        <w:rPr>
          <w:rFonts w:ascii="Arial" w:hAnsi="Arial" w:eastAsia="Calibri" w:cs="Arial"/>
          <w:color w:val="000000"/>
          <w:sz w:val="20"/>
          <w:szCs w:val="20"/>
          <w:lang w:val="es-ES_tradnl" w:eastAsia="es-ES_tradnl"/>
        </w:rPr>
      </w:pPr>
    </w:p>
    <w:p w:rsidR="00B523D5" w:rsidP="00B523D5" w:rsidRDefault="00B523D5" w14:paraId="1A1C3188" w14:textId="77777777">
      <w:pPr>
        <w:spacing w:after="0" w:line="240" w:lineRule="auto"/>
        <w:jc w:val="both"/>
        <w:rPr>
          <w:rFonts w:ascii="Arial" w:hAnsi="Arial" w:eastAsia="Calibri" w:cs="Arial"/>
          <w:color w:val="000000"/>
          <w:sz w:val="20"/>
          <w:szCs w:val="20"/>
          <w:lang w:val="es-ES_tradnl" w:eastAsia="es-ES_tradnl"/>
        </w:rPr>
      </w:pPr>
      <w:r w:rsidRPr="006E3847">
        <w:rPr>
          <w:rFonts w:ascii="Arial" w:hAnsi="Arial" w:eastAsia="Calibri" w:cs="Arial"/>
          <w:color w:val="000000"/>
          <w:sz w:val="20"/>
          <w:szCs w:val="20"/>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rsidRPr="006E3847" w:rsidR="00B523D5" w:rsidP="00B523D5" w:rsidRDefault="00B523D5" w14:paraId="46A4FE94" w14:textId="77777777">
      <w:pPr>
        <w:spacing w:after="0" w:line="240" w:lineRule="auto"/>
        <w:jc w:val="both"/>
        <w:rPr>
          <w:rFonts w:ascii="Arial" w:hAnsi="Arial" w:eastAsia="Calibri" w:cs="Arial"/>
          <w:color w:val="000000"/>
          <w:sz w:val="20"/>
          <w:szCs w:val="20"/>
          <w:lang w:val="es-ES_tradnl" w:eastAsia="es-ES_tradnl"/>
        </w:rPr>
      </w:pPr>
    </w:p>
    <w:p w:rsidR="00B523D5" w:rsidP="00B523D5" w:rsidRDefault="00B523D5" w14:paraId="42C75B3E" w14:textId="77777777">
      <w:pPr>
        <w:spacing w:after="0" w:line="240" w:lineRule="auto"/>
        <w:jc w:val="both"/>
        <w:rPr>
          <w:rFonts w:ascii="Arial" w:hAnsi="Arial" w:eastAsia="Calibri" w:cs="Arial"/>
          <w:color w:val="000000"/>
          <w:sz w:val="20"/>
          <w:szCs w:val="20"/>
          <w:lang w:val="es-ES_tradnl" w:eastAsia="es-ES_tradnl"/>
        </w:rPr>
      </w:pPr>
      <w:r w:rsidRPr="006E3847">
        <w:rPr>
          <w:rFonts w:ascii="Arial" w:hAnsi="Arial" w:eastAsia="Calibri" w:cs="Arial"/>
          <w:color w:val="000000"/>
          <w:sz w:val="20"/>
          <w:szCs w:val="20"/>
          <w:lang w:val="es-ES_tradnl" w:eastAsia="es-ES_tradnl"/>
        </w:rPr>
        <w:t>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rsidRPr="006E3847" w:rsidR="00B523D5" w:rsidP="00B523D5" w:rsidRDefault="00B523D5" w14:paraId="75042D71" w14:textId="77777777">
      <w:pPr>
        <w:spacing w:after="0" w:line="240" w:lineRule="auto"/>
        <w:jc w:val="both"/>
        <w:rPr>
          <w:rFonts w:ascii="Arial" w:hAnsi="Arial" w:eastAsia="Calibri" w:cs="Arial"/>
          <w:color w:val="000000"/>
          <w:sz w:val="20"/>
          <w:szCs w:val="20"/>
          <w:lang w:val="es-ES_tradnl" w:eastAsia="es-ES_tradnl"/>
        </w:rPr>
      </w:pPr>
    </w:p>
    <w:p w:rsidRPr="00002BAF" w:rsidR="00B523D5" w:rsidP="00B523D5" w:rsidRDefault="00B523D5" w14:paraId="3C5032AD" w14:textId="77777777">
      <w:pPr>
        <w:spacing w:after="0" w:line="240" w:lineRule="auto"/>
        <w:jc w:val="both"/>
        <w:rPr>
          <w:rFonts w:ascii="Arial" w:hAnsi="Arial" w:eastAsia="Calibri" w:cs="Arial"/>
          <w:color w:val="000000"/>
          <w:sz w:val="20"/>
          <w:szCs w:val="20"/>
          <w:lang w:val="es-ES_tradnl" w:eastAsia="es-ES_tradnl"/>
        </w:rPr>
      </w:pPr>
      <w:r w:rsidRPr="006E3847">
        <w:rPr>
          <w:rFonts w:ascii="Arial" w:hAnsi="Arial" w:eastAsia="Calibri" w:cs="Arial"/>
          <w:color w:val="000000"/>
          <w:sz w:val="20"/>
          <w:szCs w:val="20"/>
          <w:lang w:val="es-ES_tradnl" w:eastAsia="es-ES_tradnl"/>
        </w:rPr>
        <w:lastRenderedPageBreak/>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rsidRPr="00002BAF" w:rsidR="00B523D5" w:rsidP="00B523D5" w:rsidRDefault="00B523D5" w14:paraId="6BB4DC9B" w14:textId="77777777">
      <w:pPr>
        <w:spacing w:after="0" w:line="240" w:lineRule="auto"/>
        <w:jc w:val="both"/>
        <w:rPr>
          <w:rFonts w:ascii="Arial" w:hAnsi="Arial" w:eastAsia="Calibri" w:cs="Arial"/>
          <w:color w:val="000000"/>
          <w:sz w:val="20"/>
          <w:szCs w:val="20"/>
          <w:lang w:val="es-ES_tradnl" w:eastAsia="es-ES_tradnl"/>
        </w:rPr>
      </w:pPr>
    </w:p>
    <w:p w:rsidRPr="00002BAF" w:rsidR="00B523D5" w:rsidP="00B523D5" w:rsidRDefault="00B523D5" w14:paraId="14800446" w14:textId="77777777">
      <w:pPr>
        <w:spacing w:after="0" w:line="276" w:lineRule="auto"/>
        <w:jc w:val="both"/>
        <w:rPr>
          <w:rFonts w:ascii="Arial" w:hAnsi="Arial" w:eastAsia="Calibri" w:cs="Arial"/>
          <w:b/>
          <w:bCs/>
          <w:szCs w:val="24"/>
          <w:lang w:val="es-ES_tradnl" w:eastAsia="es-ES_tradnl"/>
        </w:rPr>
      </w:pPr>
      <w:r w:rsidRPr="00002BAF">
        <w:rPr>
          <w:rFonts w:ascii="Arial" w:hAnsi="Arial" w:eastAsia="Calibri" w:cs="Arial"/>
          <w:b/>
          <w:lang w:val="es-ES_tradnl" w:eastAsia="es-ES_tradnl"/>
        </w:rPr>
        <w:t xml:space="preserve">CONCURSO DE MÉRITOS </w:t>
      </w:r>
      <w:r w:rsidRPr="00002BAF">
        <w:rPr>
          <w:rFonts w:ascii="Arial" w:hAnsi="Arial" w:eastAsia="Calibri" w:cs="Arial"/>
          <w:b/>
          <w:bCs/>
          <w:szCs w:val="24"/>
          <w:lang w:val="es-ES_tradnl" w:eastAsia="es-ES_tradnl"/>
        </w:rPr>
        <w:t>– Calificación de la experiencia – Certificación de la experiencia</w:t>
      </w:r>
    </w:p>
    <w:p w:rsidRPr="00002BAF" w:rsidR="00B523D5" w:rsidP="00B523D5" w:rsidRDefault="00B523D5" w14:paraId="0E309C84" w14:textId="77777777">
      <w:pPr>
        <w:spacing w:after="0" w:line="276" w:lineRule="auto"/>
        <w:jc w:val="both"/>
        <w:rPr>
          <w:rFonts w:ascii="Arial" w:hAnsi="Arial" w:eastAsia="Calibri" w:cs="Arial"/>
          <w:b/>
        </w:rPr>
      </w:pPr>
    </w:p>
    <w:p w:rsidRPr="00060FC3" w:rsidR="00B523D5" w:rsidP="00B523D5" w:rsidRDefault="00B523D5" w14:paraId="79F1386F" w14:textId="77777777">
      <w:pPr>
        <w:spacing w:after="0" w:line="240" w:lineRule="auto"/>
        <w:jc w:val="both"/>
        <w:rPr>
          <w:rFonts w:ascii="Arial" w:hAnsi="Arial" w:eastAsia="Times New Roman" w:cs="Arial"/>
          <w:sz w:val="20"/>
          <w:szCs w:val="20"/>
          <w:shd w:val="clear" w:color="auto" w:fill="FFFFFF"/>
          <w:lang w:eastAsia="es-ES_tradnl"/>
        </w:rPr>
      </w:pPr>
      <w:r w:rsidRPr="00060FC3">
        <w:rPr>
          <w:rFonts w:ascii="Arial" w:hAnsi="Arial" w:eastAsia="Times New Roman" w:cs="Arial"/>
          <w:sz w:val="20"/>
          <w:szCs w:val="20"/>
          <w:shd w:val="clear" w:color="auto" w:fill="FFFFFF"/>
          <w:lang w:eastAsia="es-ES_tradnl"/>
        </w:rPr>
        <w:t xml:space="preserve">Ahora bien, se resalta que la oferta económica en esta modalidad de selección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 </w:t>
      </w:r>
    </w:p>
    <w:p w:rsidR="00B523D5" w:rsidP="00B523D5" w:rsidRDefault="00B523D5" w14:paraId="360EFB47" w14:textId="77777777">
      <w:pPr>
        <w:spacing w:after="0" w:line="240" w:lineRule="auto"/>
        <w:jc w:val="both"/>
        <w:rPr>
          <w:rFonts w:ascii="Arial" w:hAnsi="Arial" w:eastAsia="Times New Roman" w:cs="Arial"/>
          <w:sz w:val="20"/>
          <w:szCs w:val="20"/>
          <w:shd w:val="clear" w:color="auto" w:fill="FFFFFF"/>
          <w:lang w:eastAsia="es-ES_tradnl"/>
        </w:rPr>
      </w:pPr>
    </w:p>
    <w:p w:rsidRPr="00060FC3" w:rsidR="00B523D5" w:rsidP="00B523D5" w:rsidRDefault="00B523D5" w14:paraId="77CA9D7E" w14:textId="77777777">
      <w:pPr>
        <w:spacing w:after="0" w:line="240" w:lineRule="auto"/>
        <w:jc w:val="both"/>
        <w:rPr>
          <w:rFonts w:ascii="Arial" w:hAnsi="Arial" w:eastAsia="Times New Roman" w:cs="Arial"/>
          <w:sz w:val="20"/>
          <w:szCs w:val="20"/>
          <w:shd w:val="clear" w:color="auto" w:fill="FFFFFF"/>
          <w:lang w:eastAsia="es-ES_tradnl"/>
        </w:rPr>
      </w:pPr>
      <w:r w:rsidRPr="00060FC3">
        <w:rPr>
          <w:rFonts w:ascii="Arial" w:hAnsi="Arial" w:eastAsia="Times New Roman" w:cs="Arial"/>
          <w:sz w:val="20"/>
          <w:szCs w:val="20"/>
          <w:shd w:val="clear" w:color="auto" w:fill="FFFFFF"/>
          <w:lang w:eastAsia="es-ES_tradnl"/>
        </w:rPr>
        <w:t xml:space="preserve">Al respecto, es importante señalar que el artículo 12 del Decreto Ley 785 de 2005 dispone lo siguiente: </w:t>
      </w:r>
      <w:r>
        <w:rPr>
          <w:rFonts w:ascii="Arial" w:hAnsi="Arial" w:eastAsia="Times New Roman" w:cs="Arial"/>
          <w:sz w:val="20"/>
          <w:szCs w:val="20"/>
          <w:shd w:val="clear" w:color="auto" w:fill="FFFFFF"/>
          <w:lang w:eastAsia="es-ES_tradnl"/>
        </w:rPr>
        <w:t>[…]</w:t>
      </w:r>
    </w:p>
    <w:p w:rsidRPr="00060FC3" w:rsidR="00B523D5" w:rsidP="00B523D5" w:rsidRDefault="00B523D5" w14:paraId="3308EEA6" w14:textId="77777777">
      <w:pPr>
        <w:spacing w:after="0" w:line="240" w:lineRule="auto"/>
        <w:jc w:val="both"/>
        <w:rPr>
          <w:rFonts w:ascii="Arial" w:hAnsi="Arial" w:eastAsia="Times New Roman" w:cs="Arial"/>
          <w:sz w:val="20"/>
          <w:szCs w:val="20"/>
          <w:shd w:val="clear" w:color="auto" w:fill="FFFFFF"/>
          <w:lang w:eastAsia="es-ES_tradnl"/>
        </w:rPr>
      </w:pPr>
    </w:p>
    <w:p w:rsidR="00B523D5" w:rsidP="00B523D5" w:rsidRDefault="00B523D5" w14:paraId="78B82427" w14:textId="77777777">
      <w:pPr>
        <w:spacing w:after="0" w:line="240" w:lineRule="auto"/>
        <w:jc w:val="both"/>
        <w:rPr>
          <w:rFonts w:ascii="Arial" w:hAnsi="Arial" w:eastAsia="Times New Roman" w:cs="Arial"/>
          <w:sz w:val="20"/>
          <w:szCs w:val="20"/>
          <w:shd w:val="clear" w:color="auto" w:fill="FFFFFF"/>
          <w:lang w:eastAsia="es-ES_tradnl"/>
        </w:rPr>
      </w:pPr>
      <w:r w:rsidRPr="00060FC3">
        <w:rPr>
          <w:rFonts w:ascii="Arial" w:hAnsi="Arial" w:eastAsia="Times New Roman" w:cs="Arial"/>
          <w:sz w:val="20"/>
          <w:szCs w:val="20"/>
          <w:shd w:val="clear" w:color="auto" w:fill="FFFFFF"/>
          <w:lang w:eastAsia="es-ES_tradnl"/>
        </w:rPr>
        <w:t xml:space="preserve">Adicionalmente, el Decreto 1083 de 2015 contempla en su artículo 2.2.2.3.8 una regla de acreditación de experiencia similar a la citada con anterioridad, en el sentido de que ello debe realizarse a través de la presentación de constancias expedidas por la autoridad competente de las respectivas instituciones oficiales o privadas. </w:t>
      </w:r>
    </w:p>
    <w:p w:rsidRPr="00060FC3" w:rsidR="00B523D5" w:rsidP="00B523D5" w:rsidRDefault="00B523D5" w14:paraId="4B4FE1CE" w14:textId="77777777">
      <w:pPr>
        <w:spacing w:after="0" w:line="240" w:lineRule="auto"/>
        <w:jc w:val="both"/>
        <w:rPr>
          <w:rFonts w:ascii="Arial" w:hAnsi="Arial" w:eastAsia="Times New Roman" w:cs="Arial"/>
          <w:sz w:val="20"/>
          <w:szCs w:val="20"/>
          <w:shd w:val="clear" w:color="auto" w:fill="FFFFFF"/>
          <w:lang w:eastAsia="es-ES_tradnl"/>
        </w:rPr>
      </w:pPr>
    </w:p>
    <w:p w:rsidRPr="00002BAF" w:rsidR="00B523D5" w:rsidP="00B523D5" w:rsidRDefault="00B523D5" w14:paraId="52967C91" w14:textId="77777777">
      <w:pPr>
        <w:spacing w:after="0" w:line="240" w:lineRule="auto"/>
        <w:jc w:val="both"/>
        <w:rPr>
          <w:rFonts w:ascii="Arial" w:hAnsi="Arial" w:eastAsia="Times New Roman" w:cs="Arial"/>
          <w:sz w:val="20"/>
          <w:szCs w:val="20"/>
          <w:shd w:val="clear" w:color="auto" w:fill="FFFFFF"/>
          <w:lang w:eastAsia="es-ES_tradnl"/>
        </w:rPr>
      </w:pPr>
      <w:r w:rsidRPr="00060FC3">
        <w:rPr>
          <w:rFonts w:ascii="Arial" w:hAnsi="Arial" w:eastAsia="Times New Roman" w:cs="Arial"/>
          <w:sz w:val="20"/>
          <w:szCs w:val="20"/>
          <w:shd w:val="clear" w:color="auto" w:fill="FFFFFF"/>
          <w:lang w:eastAsia="es-ES_tradnl"/>
        </w:rPr>
        <w:t>Por lo tanto, para la calificación de la experiencia de un proponente y su equipo de trabajo en desarrollo de un concurso de méritos, es suficiente con la presentación de las respectivas constancias expedidas por las instituciones oficiales o privadas en las cuales hayan prestado sus servicios o desempeñado algún cargo o empleo. Así, es posible prescindir de la historia laboral para la acreditación de la experiencia.</w:t>
      </w:r>
    </w:p>
    <w:p w:rsidRPr="00002BAF" w:rsidR="00B523D5" w:rsidP="00B523D5" w:rsidRDefault="00B523D5" w14:paraId="7235B39E" w14:textId="77777777">
      <w:pPr>
        <w:spacing w:after="0" w:line="240" w:lineRule="auto"/>
        <w:jc w:val="both"/>
        <w:rPr>
          <w:rFonts w:ascii="Arial" w:hAnsi="Arial" w:eastAsia="Times New Roman" w:cs="Arial"/>
          <w:shd w:val="clear" w:color="auto" w:fill="FFFFFF"/>
          <w:lang w:eastAsia="es-ES_tradnl"/>
        </w:rPr>
      </w:pPr>
    </w:p>
    <w:p w:rsidRPr="00002BAF" w:rsidR="00B523D5" w:rsidP="00B523D5" w:rsidRDefault="00B523D5" w14:paraId="1138B8A6" w14:textId="77777777">
      <w:pPr>
        <w:tabs>
          <w:tab w:val="left" w:pos="3374"/>
        </w:tabs>
        <w:spacing w:after="0" w:line="240" w:lineRule="auto"/>
        <w:jc w:val="right"/>
        <w:rPr>
          <w:rFonts w:ascii="Arial" w:hAnsi="Arial" w:eastAsia="Calibri" w:cs="Arial"/>
        </w:rPr>
      </w:pPr>
    </w:p>
    <w:p w:rsidRPr="00002BAF" w:rsidR="00B523D5" w:rsidP="00B523D5" w:rsidRDefault="00B523D5" w14:paraId="481082B5"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3C7341C1"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2CAE6773"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39C3748E"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1A5B33E5"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37E29688"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0AB5BE0B"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79486F47"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6AE1FB57"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7A741EE1"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53D19BB1"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2B4EBC2E"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0695F340"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41A19D1D"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70154A95"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7BDB294A"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21CC0321"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2AA0DD95"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786179BD"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4E8834FB" w14:textId="77777777">
      <w:pPr>
        <w:widowControl w:val="0"/>
        <w:autoSpaceDE w:val="0"/>
        <w:autoSpaceDN w:val="0"/>
        <w:spacing w:after="0" w:line="240" w:lineRule="auto"/>
        <w:ind w:left="4825"/>
        <w:rPr>
          <w:rFonts w:ascii="Times New Roman" w:hAnsi="Arial MT" w:eastAsia="Arial MT" w:cs="Arial MT"/>
          <w:noProof/>
          <w:sz w:val="20"/>
          <w:lang w:val="es-ES"/>
        </w:rPr>
      </w:pPr>
    </w:p>
    <w:p w:rsidRPr="00002BAF" w:rsidR="00B523D5" w:rsidP="00B523D5" w:rsidRDefault="00B523D5" w14:paraId="5A655B9F" w14:textId="77777777">
      <w:pPr>
        <w:widowControl w:val="0"/>
        <w:tabs>
          <w:tab w:val="left" w:pos="8410"/>
        </w:tabs>
        <w:autoSpaceDE w:val="0"/>
        <w:autoSpaceDN w:val="0"/>
        <w:spacing w:after="0" w:line="240" w:lineRule="auto"/>
        <w:rPr>
          <w:rFonts w:ascii="Arial" w:hAnsi="Arial" w:eastAsia="Arial MT" w:cs="Arial"/>
          <w:lang w:val="es-ES"/>
        </w:rPr>
      </w:pPr>
      <w:r>
        <w:rPr>
          <w:rFonts w:ascii="Arial" w:hAnsi="Arial" w:eastAsia="Arial MT" w:cs="Arial"/>
          <w:lang w:val="es-ES"/>
        </w:rPr>
        <w:tab/>
      </w:r>
    </w:p>
    <w:p w:rsidR="00B523D5" w:rsidP="28D158D5" w:rsidRDefault="3443C00C" w14:paraId="709089E7" w14:textId="5751312A">
      <w:pPr>
        <w:widowControl w:val="0"/>
        <w:autoSpaceDE w:val="0"/>
        <w:autoSpaceDN w:val="0"/>
        <w:spacing w:after="0" w:line="276" w:lineRule="auto"/>
        <w:jc w:val="both"/>
      </w:pPr>
      <w:r w:rsidRPr="28D158D5">
        <w:rPr>
          <w:rFonts w:ascii="Arial" w:hAnsi="Arial" w:eastAsia="Arial" w:cs="Arial"/>
          <w:lang w:val="es-MX"/>
        </w:rPr>
        <w:t>Bogotá D.C., 22 de marzo de 2023</w:t>
      </w:r>
    </w:p>
    <w:p w:rsidR="00B523D5" w:rsidP="28D158D5" w:rsidRDefault="00B523D5" w14:paraId="7D78C5D0" w14:textId="5EAD4094">
      <w:pPr>
        <w:widowControl w:val="0"/>
        <w:autoSpaceDE w:val="0"/>
        <w:autoSpaceDN w:val="0"/>
        <w:spacing w:after="0" w:line="240" w:lineRule="auto"/>
        <w:rPr>
          <w:rFonts w:ascii="Arial" w:hAnsi="Arial" w:eastAsia="Arial MT" w:cs="Arial"/>
          <w:lang w:val="es-ES"/>
        </w:rPr>
      </w:pPr>
    </w:p>
    <w:p w:rsidR="00B523D5" w:rsidP="00B523D5" w:rsidRDefault="00B523D5" w14:paraId="3199346A" w14:textId="77777777">
      <w:pPr>
        <w:widowControl w:val="0"/>
        <w:autoSpaceDE w:val="0"/>
        <w:autoSpaceDN w:val="0"/>
        <w:spacing w:after="0" w:line="240" w:lineRule="auto"/>
        <w:rPr>
          <w:rFonts w:ascii="Arial" w:hAnsi="Arial" w:eastAsia="Calibri" w:cs="Arial"/>
          <w:bCs/>
          <w:szCs w:val="24"/>
          <w:lang w:val="es-ES_tradnl" w:eastAsia="es-ES_tradnl"/>
        </w:rPr>
      </w:pPr>
    </w:p>
    <w:p w:rsidR="007F5E7A" w:rsidP="00B523D5" w:rsidRDefault="007F5E7A" w14:paraId="0BF1B74B" w14:textId="77777777">
      <w:pPr>
        <w:widowControl w:val="0"/>
        <w:autoSpaceDE w:val="0"/>
        <w:autoSpaceDN w:val="0"/>
        <w:spacing w:after="0" w:line="240" w:lineRule="auto"/>
        <w:rPr>
          <w:rFonts w:ascii="Arial" w:hAnsi="Arial" w:eastAsia="Calibri" w:cs="Arial"/>
          <w:bCs/>
          <w:szCs w:val="24"/>
          <w:lang w:val="es-ES_tradnl" w:eastAsia="es-ES_tradnl"/>
        </w:rPr>
      </w:pPr>
    </w:p>
    <w:p w:rsidR="489DF866" w:rsidP="489DF866" w:rsidRDefault="489DF866" w14:paraId="329297F6" w14:textId="5EDB2FE4">
      <w:pPr>
        <w:widowControl w:val="0"/>
        <w:spacing w:after="0" w:line="240" w:lineRule="auto"/>
        <w:jc w:val="right"/>
      </w:pPr>
    </w:p>
    <w:p w:rsidR="007F5E7A" w:rsidP="28D158D5" w:rsidRDefault="007F5E7A" w14:paraId="5EC5E539" w14:textId="2996FC71">
      <w:pPr>
        <w:widowControl w:val="0"/>
        <w:autoSpaceDE w:val="0"/>
        <w:autoSpaceDN w:val="0"/>
        <w:spacing w:after="0" w:line="240" w:lineRule="auto"/>
        <w:jc w:val="right"/>
        <w:rPr>
          <w:rFonts w:ascii="Arial" w:hAnsi="Arial" w:eastAsia="Calibri" w:cs="Arial"/>
          <w:lang w:val="es-ES" w:eastAsia="es-ES"/>
        </w:rPr>
      </w:pPr>
      <w:r>
        <w:rPr>
          <w:noProof/>
        </w:rPr>
        <w:drawing>
          <wp:inline distT="0" distB="0" distL="0" distR="0" wp14:anchorId="205F3246" wp14:editId="33ACA68B">
            <wp:extent cx="2562664" cy="790875"/>
            <wp:effectExtent l="0" t="0" r="0" b="952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62664" cy="790875"/>
                    </a:xfrm>
                    <a:prstGeom prst="rect">
                      <a:avLst/>
                    </a:prstGeom>
                  </pic:spPr>
                </pic:pic>
              </a:graphicData>
            </a:graphic>
          </wp:inline>
        </w:drawing>
      </w:r>
    </w:p>
    <w:p w:rsidRPr="008A639F" w:rsidR="00B523D5" w:rsidP="00B523D5" w:rsidRDefault="00B523D5" w14:paraId="5D7CA36B" w14:textId="77777777">
      <w:pPr>
        <w:widowControl w:val="0"/>
        <w:autoSpaceDE w:val="0"/>
        <w:autoSpaceDN w:val="0"/>
        <w:spacing w:after="0" w:line="240" w:lineRule="auto"/>
        <w:rPr>
          <w:rFonts w:ascii="Arial" w:hAnsi="Arial" w:eastAsia="Calibri" w:cs="Arial"/>
          <w:bCs/>
          <w:szCs w:val="24"/>
          <w:lang w:val="es-ES_tradnl" w:eastAsia="es-ES_tradnl"/>
        </w:rPr>
      </w:pPr>
      <w:r w:rsidRPr="008A639F">
        <w:rPr>
          <w:rFonts w:ascii="Arial" w:hAnsi="Arial" w:eastAsia="Calibri" w:cs="Arial"/>
          <w:bCs/>
          <w:szCs w:val="24"/>
          <w:lang w:val="es-ES_tradnl" w:eastAsia="es-ES_tradnl"/>
        </w:rPr>
        <w:t>Señor</w:t>
      </w:r>
      <w:r>
        <w:rPr>
          <w:rFonts w:ascii="Arial" w:hAnsi="Arial" w:eastAsia="Calibri" w:cs="Arial"/>
          <w:bCs/>
          <w:szCs w:val="24"/>
          <w:lang w:val="es-ES_tradnl" w:eastAsia="es-ES_tradnl"/>
        </w:rPr>
        <w:t>a</w:t>
      </w:r>
    </w:p>
    <w:p w:rsidRPr="008A639F" w:rsidR="00B523D5" w:rsidP="00B523D5" w:rsidRDefault="00B523D5" w14:paraId="119622B4" w14:textId="77777777">
      <w:pPr>
        <w:autoSpaceDE w:val="0"/>
        <w:autoSpaceDN w:val="0"/>
        <w:adjustRightInd w:val="0"/>
        <w:spacing w:after="0" w:line="240" w:lineRule="auto"/>
        <w:rPr>
          <w:rFonts w:ascii="Arial" w:hAnsi="Arial" w:eastAsia="Calibri" w:cs="Arial"/>
          <w:b/>
          <w:szCs w:val="24"/>
          <w:lang w:val="es-ES_tradnl" w:eastAsia="es-ES_tradnl"/>
        </w:rPr>
      </w:pPr>
      <w:r w:rsidRPr="008A639F">
        <w:rPr>
          <w:rFonts w:ascii="Arial" w:hAnsi="Arial" w:eastAsia="Calibri" w:cs="Arial"/>
          <w:b/>
          <w:szCs w:val="24"/>
          <w:lang w:val="es-ES_tradnl" w:eastAsia="es-ES_tradnl"/>
        </w:rPr>
        <w:t>Mireya Uribe Motta</w:t>
      </w:r>
    </w:p>
    <w:p w:rsidRPr="008A639F" w:rsidR="00B523D5" w:rsidP="00B523D5" w:rsidRDefault="00401766" w14:paraId="47BE1D45" w14:textId="77777777">
      <w:pPr>
        <w:widowControl w:val="0"/>
        <w:autoSpaceDE w:val="0"/>
        <w:autoSpaceDN w:val="0"/>
        <w:spacing w:after="0" w:line="240" w:lineRule="auto"/>
        <w:rPr>
          <w:rFonts w:ascii="Arial" w:hAnsi="Arial" w:eastAsia="Calibri" w:cs="Arial"/>
          <w:bCs/>
          <w:szCs w:val="24"/>
          <w:lang w:val="es-ES_tradnl" w:eastAsia="es-ES_tradnl"/>
        </w:rPr>
      </w:pPr>
      <w:hyperlink w:history="1" r:id="rId12">
        <w:r w:rsidRPr="008A639F" w:rsidR="00B523D5">
          <w:rPr>
            <w:rFonts w:ascii="Arial" w:hAnsi="Arial" w:eastAsia="Calibri" w:cs="Arial"/>
            <w:bCs/>
            <w:lang w:val="es-ES_tradnl" w:eastAsia="es-ES_tradnl"/>
          </w:rPr>
          <w:t>muribem@bucaramanga.gov.co</w:t>
        </w:r>
      </w:hyperlink>
    </w:p>
    <w:p w:rsidRPr="00002BAF" w:rsidR="00B523D5" w:rsidP="00B523D5" w:rsidRDefault="00B523D5" w14:paraId="6375BDA6" w14:textId="7F34919C">
      <w:pPr>
        <w:widowControl w:val="0"/>
        <w:autoSpaceDE w:val="0"/>
        <w:autoSpaceDN w:val="0"/>
        <w:spacing w:before="11" w:after="0" w:line="240" w:lineRule="auto"/>
        <w:rPr>
          <w:rFonts w:ascii="Arial" w:hAnsi="Arial" w:eastAsia="Arial MT" w:cs="Arial"/>
          <w:lang w:val="es-ES"/>
        </w:rPr>
      </w:pPr>
      <w:r>
        <w:rPr>
          <w:rFonts w:ascii="Arial" w:hAnsi="Arial" w:eastAsia="Calibri" w:cs="Arial"/>
          <w:bCs/>
          <w:szCs w:val="24"/>
          <w:lang w:val="es-ES_tradnl" w:eastAsia="es-ES_tradnl"/>
        </w:rPr>
        <w:t>Lebrija</w:t>
      </w:r>
      <w:r w:rsidR="00401766">
        <w:rPr>
          <w:rFonts w:ascii="Arial" w:hAnsi="Arial" w:eastAsia="Calibri" w:cs="Arial"/>
          <w:bCs/>
          <w:szCs w:val="24"/>
          <w:lang w:val="es-ES_tradnl" w:eastAsia="es-ES_tradnl"/>
        </w:rPr>
        <w:t xml:space="preserve">, </w:t>
      </w:r>
      <w:r>
        <w:rPr>
          <w:rFonts w:ascii="Arial" w:hAnsi="Arial" w:eastAsia="Calibri" w:cs="Arial"/>
          <w:bCs/>
          <w:szCs w:val="24"/>
          <w:lang w:val="es-ES_tradnl" w:eastAsia="es-ES_tradnl"/>
        </w:rPr>
        <w:t xml:space="preserve">Santander </w:t>
      </w:r>
    </w:p>
    <w:p w:rsidRPr="00002BAF" w:rsidR="00B523D5" w:rsidP="00B523D5" w:rsidRDefault="00B523D5" w14:paraId="36F9847D" w14:textId="77777777">
      <w:pPr>
        <w:widowControl w:val="0"/>
        <w:autoSpaceDE w:val="0"/>
        <w:autoSpaceDN w:val="0"/>
        <w:spacing w:after="0" w:line="240" w:lineRule="auto"/>
        <w:outlineLvl w:val="0"/>
        <w:rPr>
          <w:rFonts w:ascii="Arial" w:hAnsi="Arial" w:eastAsia="Arial" w:cs="Arial"/>
          <w:b/>
          <w:bCs/>
          <w:lang w:val="es-ES"/>
        </w:rPr>
      </w:pPr>
      <w:r w:rsidRPr="00002BAF">
        <w:rPr>
          <w:rFonts w:ascii="Arial" w:hAnsi="Arial" w:eastAsia="Arial" w:cs="Arial"/>
          <w:b/>
          <w:bCs/>
          <w:lang w:val="es-ES"/>
        </w:rPr>
        <w:t xml:space="preserve">                                            Concepto</w:t>
      </w:r>
      <w:r w:rsidRPr="00002BAF">
        <w:rPr>
          <w:rFonts w:ascii="Arial" w:hAnsi="Arial" w:eastAsia="Arial" w:cs="Arial"/>
          <w:b/>
          <w:bCs/>
          <w:spacing w:val="-4"/>
          <w:lang w:val="es-ES"/>
        </w:rPr>
        <w:t xml:space="preserve"> </w:t>
      </w:r>
      <w:r w:rsidRPr="00002BAF">
        <w:rPr>
          <w:rFonts w:ascii="Arial" w:hAnsi="Arial" w:eastAsia="Arial" w:cs="Arial"/>
          <w:b/>
          <w:bCs/>
          <w:lang w:val="es-ES"/>
        </w:rPr>
        <w:t>C–</w:t>
      </w:r>
      <w:r w:rsidRPr="00002BAF">
        <w:rPr>
          <w:rFonts w:ascii="Arial" w:hAnsi="Arial" w:eastAsia="Arial" w:cs="Arial"/>
          <w:b/>
          <w:bCs/>
          <w:spacing w:val="-4"/>
          <w:lang w:val="es-ES"/>
        </w:rPr>
        <w:t>0</w:t>
      </w:r>
      <w:r>
        <w:rPr>
          <w:rFonts w:ascii="Arial" w:hAnsi="Arial" w:eastAsia="Arial" w:cs="Arial"/>
          <w:b/>
          <w:bCs/>
          <w:spacing w:val="-4"/>
          <w:lang w:val="es-ES"/>
        </w:rPr>
        <w:t>50</w:t>
      </w:r>
      <w:r w:rsidRPr="00002BAF">
        <w:rPr>
          <w:rFonts w:ascii="Arial" w:hAnsi="Arial" w:eastAsia="Arial" w:cs="Arial"/>
          <w:b/>
          <w:bCs/>
          <w:spacing w:val="-4"/>
          <w:lang w:val="es-ES"/>
        </w:rPr>
        <w:t xml:space="preserve"> </w:t>
      </w:r>
      <w:r w:rsidRPr="00002BAF">
        <w:rPr>
          <w:rFonts w:ascii="Arial" w:hAnsi="Arial" w:eastAsia="Arial" w:cs="Arial"/>
          <w:b/>
          <w:bCs/>
          <w:lang w:val="es-ES"/>
        </w:rPr>
        <w:t>de</w:t>
      </w:r>
      <w:r w:rsidRPr="00002BAF">
        <w:rPr>
          <w:rFonts w:ascii="Arial" w:hAnsi="Arial" w:eastAsia="Arial" w:cs="Arial"/>
          <w:b/>
          <w:bCs/>
          <w:spacing w:val="-3"/>
          <w:lang w:val="es-ES"/>
        </w:rPr>
        <w:t xml:space="preserve"> </w:t>
      </w:r>
      <w:r w:rsidRPr="00002BAF">
        <w:rPr>
          <w:rFonts w:ascii="Arial" w:hAnsi="Arial" w:eastAsia="Arial" w:cs="Arial"/>
          <w:b/>
          <w:bCs/>
          <w:lang w:val="es-ES"/>
        </w:rPr>
        <w:t>2023</w:t>
      </w:r>
    </w:p>
    <w:p w:rsidRPr="00002BAF" w:rsidR="00B523D5" w:rsidP="00B523D5" w:rsidRDefault="00B523D5" w14:paraId="1D5C7A91" w14:textId="77777777">
      <w:pPr>
        <w:widowControl w:val="0"/>
        <w:tabs>
          <w:tab w:val="left" w:pos="2794"/>
        </w:tabs>
        <w:autoSpaceDE w:val="0"/>
        <w:autoSpaceDN w:val="0"/>
        <w:spacing w:before="92" w:after="0" w:line="240" w:lineRule="auto"/>
        <w:ind w:right="111"/>
        <w:jc w:val="both"/>
        <w:rPr>
          <w:rFonts w:ascii="Arial" w:hAnsi="Arial" w:eastAsia="Arial MT" w:cs="Arial"/>
          <w:b/>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552"/>
        <w:gridCol w:w="6374"/>
      </w:tblGrid>
      <w:tr w:rsidRPr="00002BAF" w:rsidR="00B523D5" w:rsidTr="000166B1" w14:paraId="08F71793" w14:textId="77777777">
        <w:tc>
          <w:tcPr>
            <w:tcW w:w="2552" w:type="dxa"/>
          </w:tcPr>
          <w:p w:rsidRPr="00002BAF" w:rsidR="00B523D5" w:rsidP="000166B1" w:rsidRDefault="00B523D5" w14:paraId="7FD6C744" w14:textId="77777777">
            <w:pPr>
              <w:jc w:val="both"/>
              <w:rPr>
                <w:rFonts w:ascii="Arial" w:hAnsi="Arial" w:eastAsia="Calibri" w:cs="Arial"/>
                <w:color w:val="000000"/>
                <w:szCs w:val="24"/>
                <w:lang w:val="es-ES_tradnl" w:eastAsia="es-ES_tradnl"/>
              </w:rPr>
            </w:pPr>
            <w:r w:rsidRPr="00002BAF">
              <w:rPr>
                <w:rFonts w:ascii="Arial" w:hAnsi="Arial" w:eastAsia="Calibri" w:cs="Arial"/>
                <w:b/>
                <w:color w:val="000000"/>
                <w:szCs w:val="24"/>
                <w:lang w:val="es-ES_tradnl" w:eastAsia="es-ES_tradnl"/>
              </w:rPr>
              <w:t>Temas:</w:t>
            </w:r>
            <w:r w:rsidRPr="00002BAF">
              <w:rPr>
                <w:rFonts w:ascii="Arial" w:hAnsi="Arial" w:eastAsia="Calibri" w:cs="Arial"/>
                <w:color w:val="000000"/>
                <w:szCs w:val="24"/>
                <w:lang w:val="es-ES_tradnl" w:eastAsia="es-ES_tradnl"/>
              </w:rPr>
              <w:t xml:space="preserve">                                      </w:t>
            </w:r>
          </w:p>
        </w:tc>
        <w:tc>
          <w:tcPr>
            <w:tcW w:w="6374" w:type="dxa"/>
          </w:tcPr>
          <w:p w:rsidR="00B523D5" w:rsidP="000166B1" w:rsidRDefault="00B523D5" w14:paraId="6DA77D8D" w14:textId="77777777">
            <w:pPr>
              <w:jc w:val="both"/>
              <w:rPr>
                <w:rFonts w:ascii="Arial" w:hAnsi="Arial" w:eastAsia="Calibri" w:cs="Arial"/>
                <w:bCs/>
                <w:szCs w:val="24"/>
                <w:lang w:val="es-ES_tradnl" w:eastAsia="es-ES_tradnl"/>
              </w:rPr>
            </w:pPr>
            <w:r w:rsidRPr="00002BAF">
              <w:rPr>
                <w:rFonts w:ascii="Arial" w:hAnsi="Arial" w:eastAsia="Calibri" w:cs="Arial"/>
                <w:bCs/>
                <w:szCs w:val="24"/>
                <w:lang w:val="es-ES_tradnl" w:eastAsia="es-ES_tradnl"/>
              </w:rPr>
              <w:t xml:space="preserve">CONCURSO DE MÉRITOS – Concepto – Modalidades / CONCURSO DE MÉRITOS – Decreto 1082 de 2015 – Artículo 2.2.1.2.1.3.2 – Decreto 399 de 2021 – Artículo 2 / CONCURSO DE MÉRITOS – Calificación de la experiencia </w:t>
            </w:r>
          </w:p>
          <w:p w:rsidRPr="00002BAF" w:rsidR="00B523D5" w:rsidP="000166B1" w:rsidRDefault="00B523D5" w14:paraId="4D88822F" w14:textId="77777777">
            <w:pPr>
              <w:jc w:val="both"/>
              <w:rPr>
                <w:rFonts w:ascii="Arial" w:hAnsi="Arial" w:eastAsia="Times New Roman" w:cs="Arial"/>
                <w:lang w:eastAsia="es-ES_tradnl"/>
              </w:rPr>
            </w:pPr>
          </w:p>
        </w:tc>
      </w:tr>
    </w:tbl>
    <w:p w:rsidRPr="00002BAF" w:rsidR="00B523D5" w:rsidP="00B523D5" w:rsidRDefault="00B523D5" w14:paraId="0A50155B" w14:textId="77777777">
      <w:pPr>
        <w:widowControl w:val="0"/>
        <w:tabs>
          <w:tab w:val="left" w:pos="2694"/>
        </w:tabs>
        <w:autoSpaceDE w:val="0"/>
        <w:autoSpaceDN w:val="0"/>
        <w:spacing w:after="0" w:line="240" w:lineRule="auto"/>
        <w:jc w:val="both"/>
        <w:rPr>
          <w:rFonts w:ascii="Arial" w:hAnsi="Arial" w:eastAsia="Arial MT" w:cs="Arial"/>
          <w:lang w:eastAsia="es-ES_tradnl"/>
        </w:rPr>
      </w:pPr>
      <w:r w:rsidRPr="00002BAF">
        <w:rPr>
          <w:rFonts w:ascii="Arial" w:hAnsi="Arial" w:eastAsia="Arial MT" w:cs="Arial"/>
          <w:b/>
          <w:lang w:val="es-ES"/>
        </w:rPr>
        <w:t xml:space="preserve">Radicación:                  </w:t>
      </w:r>
      <w:r w:rsidRPr="00002BAF">
        <w:rPr>
          <w:rFonts w:ascii="Arial" w:hAnsi="Arial" w:eastAsia="Arial MT" w:cs="Arial"/>
          <w:b/>
          <w:lang w:val="es-ES"/>
        </w:rPr>
        <w:tab/>
      </w:r>
      <w:r w:rsidRPr="00002BAF">
        <w:rPr>
          <w:rFonts w:ascii="Arial" w:hAnsi="Arial" w:eastAsia="Arial MT" w:cs="Arial"/>
          <w:lang w:eastAsia="es-ES_tradnl"/>
        </w:rPr>
        <w:t xml:space="preserve">Respuesta a consulta </w:t>
      </w:r>
      <w:r w:rsidRPr="009A75AD">
        <w:rPr>
          <w:rFonts w:ascii="Arial" w:hAnsi="Arial" w:eastAsia="Arial MT" w:cs="Arial"/>
          <w:lang w:eastAsia="es-ES_tradnl"/>
        </w:rPr>
        <w:t>P20230301001867</w:t>
      </w:r>
    </w:p>
    <w:p w:rsidRPr="00002BAF" w:rsidR="00B523D5" w:rsidP="00B523D5" w:rsidRDefault="00B523D5" w14:paraId="3D500B51" w14:textId="77777777">
      <w:pPr>
        <w:widowControl w:val="0"/>
        <w:autoSpaceDE w:val="0"/>
        <w:autoSpaceDN w:val="0"/>
        <w:spacing w:after="0" w:line="240" w:lineRule="auto"/>
        <w:rPr>
          <w:rFonts w:ascii="Arial" w:hAnsi="Arial" w:eastAsia="Arial MT" w:cs="Arial"/>
          <w:lang w:val="es-ES"/>
        </w:rPr>
      </w:pPr>
    </w:p>
    <w:p w:rsidRPr="00002BAF" w:rsidR="00B523D5" w:rsidP="00B523D5" w:rsidRDefault="00B523D5" w14:paraId="42CEF24D" w14:textId="77777777">
      <w:pPr>
        <w:widowControl w:val="0"/>
        <w:autoSpaceDE w:val="0"/>
        <w:autoSpaceDN w:val="0"/>
        <w:spacing w:before="10" w:after="0" w:line="240" w:lineRule="auto"/>
        <w:rPr>
          <w:rFonts w:ascii="Arial" w:hAnsi="Arial" w:eastAsia="Arial MT" w:cs="Arial"/>
          <w:lang w:val="es-ES"/>
        </w:rPr>
      </w:pPr>
    </w:p>
    <w:p w:rsidRPr="00002BAF" w:rsidR="00B523D5" w:rsidP="00B523D5" w:rsidRDefault="00B523D5" w14:paraId="18323F94" w14:textId="77777777">
      <w:pPr>
        <w:widowControl w:val="0"/>
        <w:autoSpaceDE w:val="0"/>
        <w:autoSpaceDN w:val="0"/>
        <w:spacing w:after="0" w:line="240" w:lineRule="auto"/>
        <w:rPr>
          <w:rFonts w:ascii="Arial MT" w:hAnsi="Arial MT" w:eastAsia="Arial MT" w:cs="Arial MT"/>
          <w:lang w:val="es-ES"/>
        </w:rPr>
      </w:pPr>
      <w:r w:rsidRPr="00002BAF">
        <w:rPr>
          <w:rFonts w:ascii="Arial MT" w:hAnsi="Arial MT" w:eastAsia="Arial MT" w:cs="Arial MT"/>
          <w:lang w:val="es-ES"/>
        </w:rPr>
        <w:t>Estimad</w:t>
      </w:r>
      <w:r>
        <w:rPr>
          <w:rFonts w:ascii="Arial MT" w:hAnsi="Arial MT" w:eastAsia="Arial MT" w:cs="Arial MT"/>
          <w:spacing w:val="-7"/>
          <w:lang w:val="es-ES"/>
        </w:rPr>
        <w:t>a</w:t>
      </w:r>
      <w:r w:rsidRPr="00002BAF">
        <w:rPr>
          <w:rFonts w:ascii="Arial MT" w:hAnsi="Arial MT" w:eastAsia="Arial MT" w:cs="Arial MT"/>
          <w:spacing w:val="-7"/>
          <w:lang w:val="es-ES"/>
        </w:rPr>
        <w:t xml:space="preserve"> señor</w:t>
      </w:r>
      <w:r>
        <w:rPr>
          <w:rFonts w:ascii="Arial MT" w:hAnsi="Arial MT" w:eastAsia="Arial MT" w:cs="Arial MT"/>
          <w:spacing w:val="-7"/>
          <w:lang w:val="es-ES"/>
        </w:rPr>
        <w:t>a Uribe</w:t>
      </w:r>
      <w:r w:rsidRPr="00002BAF">
        <w:rPr>
          <w:rFonts w:ascii="Arial" w:hAnsi="Arial" w:eastAsia="Arial MT" w:cs="Arial"/>
          <w:bCs/>
          <w:lang w:val="es-ES"/>
        </w:rPr>
        <w:t>:</w:t>
      </w:r>
    </w:p>
    <w:p w:rsidRPr="00002BAF" w:rsidR="00B523D5" w:rsidP="00B523D5" w:rsidRDefault="00B523D5" w14:paraId="5ABDCECE" w14:textId="77777777">
      <w:pPr>
        <w:widowControl w:val="0"/>
        <w:autoSpaceDE w:val="0"/>
        <w:autoSpaceDN w:val="0"/>
        <w:spacing w:before="7" w:after="0" w:line="240" w:lineRule="auto"/>
        <w:rPr>
          <w:rFonts w:ascii="Arial" w:hAnsi="Arial" w:eastAsia="Arial MT" w:cs="Arial"/>
          <w:lang w:val="es-ES"/>
        </w:rPr>
      </w:pPr>
    </w:p>
    <w:p w:rsidRPr="00002BAF" w:rsidR="00B523D5" w:rsidP="00B523D5" w:rsidRDefault="00B523D5" w14:paraId="3EB39DF6" w14:textId="77777777">
      <w:pPr>
        <w:widowControl w:val="0"/>
        <w:autoSpaceDE w:val="0"/>
        <w:autoSpaceDN w:val="0"/>
        <w:spacing w:after="0" w:line="276" w:lineRule="auto"/>
        <w:jc w:val="both"/>
        <w:rPr>
          <w:rFonts w:ascii="Arial MT" w:hAnsi="Arial MT" w:eastAsia="Arial MT" w:cs="Arial MT"/>
          <w:lang w:val="es-ES"/>
        </w:rPr>
      </w:pPr>
      <w:r w:rsidRPr="00002BAF">
        <w:rPr>
          <w:rFonts w:ascii="Arial MT" w:hAnsi="Arial MT" w:eastAsia="Arial MT" w:cs="Arial MT"/>
          <w:lang w:val="es-ES"/>
        </w:rPr>
        <w:t>En ejercicio de la competencia otorgada por el numeral 8 del artículo 11 y el numeral 5 del artículo</w:t>
      </w:r>
      <w:r w:rsidRPr="00002BAF">
        <w:rPr>
          <w:rFonts w:ascii="Arial MT" w:hAnsi="Arial MT" w:eastAsia="Arial MT" w:cs="Arial MT"/>
          <w:spacing w:val="-7"/>
          <w:lang w:val="es-ES"/>
        </w:rPr>
        <w:t xml:space="preserve"> </w:t>
      </w:r>
      <w:r w:rsidRPr="00002BAF">
        <w:rPr>
          <w:rFonts w:ascii="Arial MT" w:hAnsi="Arial MT" w:eastAsia="Arial MT" w:cs="Arial MT"/>
          <w:lang w:val="es-ES"/>
        </w:rPr>
        <w:t>3</w:t>
      </w:r>
      <w:r w:rsidRPr="00002BAF">
        <w:rPr>
          <w:rFonts w:ascii="Arial MT" w:hAnsi="Arial MT" w:eastAsia="Arial MT" w:cs="Arial MT"/>
          <w:spacing w:val="-7"/>
          <w:lang w:val="es-ES"/>
        </w:rPr>
        <w:t xml:space="preserve"> </w:t>
      </w:r>
      <w:r w:rsidRPr="00002BAF">
        <w:rPr>
          <w:rFonts w:ascii="Arial MT" w:hAnsi="Arial MT" w:eastAsia="Arial MT" w:cs="Arial MT"/>
          <w:lang w:val="es-ES"/>
        </w:rPr>
        <w:t>del</w:t>
      </w:r>
      <w:r w:rsidRPr="00002BAF">
        <w:rPr>
          <w:rFonts w:ascii="Arial MT" w:hAnsi="Arial MT" w:eastAsia="Arial MT" w:cs="Arial MT"/>
          <w:spacing w:val="-8"/>
          <w:lang w:val="es-ES"/>
        </w:rPr>
        <w:t xml:space="preserve"> </w:t>
      </w:r>
      <w:r w:rsidRPr="00002BAF">
        <w:rPr>
          <w:rFonts w:ascii="Arial MT" w:hAnsi="Arial MT" w:eastAsia="Arial MT" w:cs="Arial MT"/>
          <w:lang w:val="es-ES"/>
        </w:rPr>
        <w:t>Decreto</w:t>
      </w:r>
      <w:r w:rsidRPr="00002BAF">
        <w:rPr>
          <w:rFonts w:ascii="Arial MT" w:hAnsi="Arial MT" w:eastAsia="Arial MT" w:cs="Arial MT"/>
          <w:spacing w:val="-7"/>
          <w:lang w:val="es-ES"/>
        </w:rPr>
        <w:t xml:space="preserve"> </w:t>
      </w:r>
      <w:r w:rsidRPr="00002BAF">
        <w:rPr>
          <w:rFonts w:ascii="Arial MT" w:hAnsi="Arial MT" w:eastAsia="Arial MT" w:cs="Arial MT"/>
          <w:lang w:val="es-ES"/>
        </w:rPr>
        <w:t>Ley</w:t>
      </w:r>
      <w:r w:rsidRPr="00002BAF">
        <w:rPr>
          <w:rFonts w:ascii="Arial MT" w:hAnsi="Arial MT" w:eastAsia="Arial MT" w:cs="Arial MT"/>
          <w:spacing w:val="-7"/>
          <w:lang w:val="es-ES"/>
        </w:rPr>
        <w:t xml:space="preserve"> </w:t>
      </w:r>
      <w:r w:rsidRPr="00002BAF">
        <w:rPr>
          <w:rFonts w:ascii="Arial MT" w:hAnsi="Arial MT" w:eastAsia="Arial MT" w:cs="Arial MT"/>
          <w:lang w:val="es-ES"/>
        </w:rPr>
        <w:t>4170</w:t>
      </w:r>
      <w:r w:rsidRPr="00002BAF">
        <w:rPr>
          <w:rFonts w:ascii="Arial MT" w:hAnsi="Arial MT" w:eastAsia="Arial MT" w:cs="Arial MT"/>
          <w:spacing w:val="-7"/>
          <w:lang w:val="es-ES"/>
        </w:rPr>
        <w:t xml:space="preserve"> </w:t>
      </w:r>
      <w:r w:rsidRPr="00002BAF">
        <w:rPr>
          <w:rFonts w:ascii="Arial MT" w:hAnsi="Arial MT" w:eastAsia="Arial MT" w:cs="Arial MT"/>
          <w:lang w:val="es-ES"/>
        </w:rPr>
        <w:t>de</w:t>
      </w:r>
      <w:r w:rsidRPr="00002BAF">
        <w:rPr>
          <w:rFonts w:ascii="Arial MT" w:hAnsi="Arial MT" w:eastAsia="Arial MT" w:cs="Arial MT"/>
          <w:spacing w:val="-8"/>
          <w:lang w:val="es-ES"/>
        </w:rPr>
        <w:t xml:space="preserve"> </w:t>
      </w:r>
      <w:r w:rsidRPr="00002BAF">
        <w:rPr>
          <w:rFonts w:ascii="Arial MT" w:hAnsi="Arial MT" w:eastAsia="Arial MT" w:cs="Arial MT"/>
          <w:lang w:val="es-ES"/>
        </w:rPr>
        <w:t>2011,</w:t>
      </w:r>
      <w:r w:rsidRPr="00002BAF" w:rsidDel="004F57D5">
        <w:rPr>
          <w:rFonts w:ascii="Arial MT" w:hAnsi="Arial MT" w:eastAsia="Arial MT" w:cs="Arial MT"/>
          <w:spacing w:val="-6"/>
          <w:lang w:val="es-ES"/>
        </w:rPr>
        <w:t xml:space="preserve"> </w:t>
      </w:r>
      <w:r w:rsidRPr="00002BAF">
        <w:rPr>
          <w:rFonts w:ascii="Arial MT" w:hAnsi="Arial MT" w:eastAsia="Arial MT" w:cs="Arial MT"/>
          <w:lang w:val="es-ES"/>
        </w:rPr>
        <w:t>la Agencia Nacional de Contratación Pública – Colombia Compra Eficiente responde</w:t>
      </w:r>
      <w:r w:rsidRPr="00002BAF">
        <w:rPr>
          <w:rFonts w:ascii="Arial MT" w:hAnsi="Arial MT" w:eastAsia="Arial MT" w:cs="Arial MT"/>
          <w:spacing w:val="-1"/>
          <w:lang w:val="es-ES"/>
        </w:rPr>
        <w:t xml:space="preserve"> </w:t>
      </w:r>
      <w:r w:rsidRPr="00002BAF">
        <w:rPr>
          <w:rFonts w:ascii="Arial MT" w:hAnsi="Arial MT" w:eastAsia="Arial MT" w:cs="Arial MT"/>
          <w:lang w:val="es-ES"/>
        </w:rPr>
        <w:t>su</w:t>
      </w:r>
      <w:r w:rsidRPr="00002BAF">
        <w:rPr>
          <w:rFonts w:ascii="Arial MT" w:hAnsi="Arial MT" w:eastAsia="Arial MT" w:cs="Arial MT"/>
          <w:spacing w:val="-2"/>
          <w:lang w:val="es-ES"/>
        </w:rPr>
        <w:t xml:space="preserve"> </w:t>
      </w:r>
      <w:r w:rsidRPr="00002BAF">
        <w:rPr>
          <w:rFonts w:ascii="Arial MT" w:hAnsi="Arial MT" w:eastAsia="Arial MT" w:cs="Arial MT"/>
          <w:lang w:val="es-ES"/>
        </w:rPr>
        <w:t>consulta</w:t>
      </w:r>
      <w:r w:rsidRPr="00002BAF">
        <w:rPr>
          <w:rFonts w:ascii="Arial MT" w:hAnsi="Arial MT" w:eastAsia="Arial MT" w:cs="Arial MT"/>
          <w:spacing w:val="-2"/>
          <w:lang w:val="es-ES"/>
        </w:rPr>
        <w:t xml:space="preserve"> </w:t>
      </w:r>
      <w:r w:rsidRPr="00002BAF">
        <w:rPr>
          <w:rFonts w:ascii="Arial MT" w:hAnsi="Arial MT" w:eastAsia="Arial MT" w:cs="Arial MT"/>
          <w:lang w:val="es-ES"/>
        </w:rPr>
        <w:t xml:space="preserve">del 1 de </w:t>
      </w:r>
      <w:r>
        <w:rPr>
          <w:rFonts w:ascii="Arial MT" w:hAnsi="Arial MT" w:eastAsia="Arial MT" w:cs="Arial MT"/>
          <w:lang w:val="es-ES"/>
        </w:rPr>
        <w:t xml:space="preserve">marzo </w:t>
      </w:r>
      <w:r w:rsidRPr="00002BAF">
        <w:rPr>
          <w:rFonts w:ascii="Arial MT" w:hAnsi="Arial MT" w:eastAsia="Arial MT" w:cs="Arial MT"/>
          <w:lang w:val="es-ES"/>
        </w:rPr>
        <w:t xml:space="preserve">de 2023. </w:t>
      </w:r>
    </w:p>
    <w:p w:rsidRPr="00002BAF" w:rsidR="00B523D5" w:rsidP="00B523D5" w:rsidRDefault="00B523D5" w14:paraId="0BBFBA24" w14:textId="77777777">
      <w:pPr>
        <w:spacing w:after="0" w:line="276" w:lineRule="auto"/>
        <w:jc w:val="both"/>
        <w:rPr>
          <w:rFonts w:ascii="Arial" w:hAnsi="Arial" w:eastAsia="Calibri" w:cs="Arial"/>
          <w:b/>
          <w:color w:val="000000"/>
          <w:lang w:val="es-ES" w:eastAsia="es-ES_tradnl"/>
        </w:rPr>
      </w:pPr>
    </w:p>
    <w:p w:rsidRPr="00002BAF" w:rsidR="00B523D5" w:rsidP="00B523D5" w:rsidRDefault="00B523D5" w14:paraId="5554AD66" w14:textId="77777777">
      <w:pPr>
        <w:numPr>
          <w:ilvl w:val="0"/>
          <w:numId w:val="4"/>
        </w:numPr>
        <w:tabs>
          <w:tab w:val="left" w:pos="0"/>
          <w:tab w:val="left" w:pos="142"/>
          <w:tab w:val="left" w:pos="284"/>
        </w:tabs>
        <w:spacing w:after="0" w:line="276" w:lineRule="auto"/>
        <w:ind w:left="357" w:hanging="357"/>
        <w:contextualSpacing/>
        <w:jc w:val="both"/>
        <w:rPr>
          <w:rFonts w:ascii="Arial" w:hAnsi="Arial" w:eastAsia="Calibri" w:cs="Arial"/>
          <w:b/>
          <w:color w:val="000000"/>
          <w:lang w:val="es-ES_tradnl"/>
        </w:rPr>
      </w:pPr>
      <w:r w:rsidRPr="00002BAF">
        <w:rPr>
          <w:rFonts w:ascii="Arial" w:hAnsi="Arial" w:eastAsia="Calibri" w:cs="Arial"/>
          <w:b/>
          <w:color w:val="000000"/>
          <w:lang w:val="es-ES_tradnl"/>
        </w:rPr>
        <w:t xml:space="preserve">Problema planteado </w:t>
      </w:r>
    </w:p>
    <w:p w:rsidR="00B523D5" w:rsidP="00B523D5" w:rsidRDefault="00B523D5" w14:paraId="2C8D1658" w14:textId="77777777">
      <w:pPr>
        <w:tabs>
          <w:tab w:val="left" w:pos="284"/>
        </w:tabs>
        <w:spacing w:after="0"/>
        <w:rPr>
          <w:rFonts w:ascii="Arial" w:hAnsi="Arial" w:cs="Arial"/>
        </w:rPr>
      </w:pPr>
    </w:p>
    <w:p w:rsidR="00B523D5" w:rsidP="00B523D5" w:rsidRDefault="00B523D5" w14:paraId="3B9F0436" w14:textId="77777777">
      <w:pPr>
        <w:tabs>
          <w:tab w:val="left" w:pos="284"/>
        </w:tabs>
        <w:spacing w:after="0"/>
        <w:rPr>
          <w:rFonts w:ascii="Arial" w:hAnsi="Arial" w:cs="Arial"/>
          <w:shd w:val="clear" w:color="auto" w:fill="FFFFFF"/>
        </w:rPr>
      </w:pPr>
      <w:r w:rsidRPr="00673015">
        <w:rPr>
          <w:rFonts w:ascii="Arial" w:hAnsi="Arial" w:cs="Arial"/>
        </w:rPr>
        <w:t xml:space="preserve">Usted </w:t>
      </w:r>
      <w:r w:rsidRPr="00673015">
        <w:rPr>
          <w:rFonts w:ascii="Arial" w:hAnsi="Arial" w:cs="Arial"/>
          <w:shd w:val="clear" w:color="auto" w:fill="FFFFFF"/>
        </w:rPr>
        <w:t>realiza la</w:t>
      </w:r>
      <w:r>
        <w:rPr>
          <w:rFonts w:ascii="Arial" w:hAnsi="Arial" w:cs="Arial"/>
          <w:shd w:val="clear" w:color="auto" w:fill="FFFFFF"/>
        </w:rPr>
        <w:t>s</w:t>
      </w:r>
      <w:r w:rsidRPr="00673015">
        <w:rPr>
          <w:rFonts w:ascii="Arial" w:hAnsi="Arial" w:cs="Arial"/>
          <w:shd w:val="clear" w:color="auto" w:fill="FFFFFF"/>
        </w:rPr>
        <w:t xml:space="preserve"> siguiente</w:t>
      </w:r>
      <w:r>
        <w:rPr>
          <w:rFonts w:ascii="Arial" w:hAnsi="Arial" w:cs="Arial"/>
          <w:shd w:val="clear" w:color="auto" w:fill="FFFFFF"/>
        </w:rPr>
        <w:t>s</w:t>
      </w:r>
      <w:r w:rsidRPr="00673015">
        <w:rPr>
          <w:rFonts w:ascii="Arial" w:hAnsi="Arial" w:cs="Arial"/>
          <w:shd w:val="clear" w:color="auto" w:fill="FFFFFF"/>
        </w:rPr>
        <w:t xml:space="preserve"> pregunta</w:t>
      </w:r>
      <w:r>
        <w:rPr>
          <w:rFonts w:ascii="Arial" w:hAnsi="Arial" w:cs="Arial"/>
          <w:shd w:val="clear" w:color="auto" w:fill="FFFFFF"/>
        </w:rPr>
        <w:t>s</w:t>
      </w:r>
      <w:r w:rsidRPr="00673015">
        <w:rPr>
          <w:rFonts w:ascii="Arial" w:hAnsi="Arial" w:cs="Arial"/>
          <w:shd w:val="clear" w:color="auto" w:fill="FFFFFF"/>
        </w:rPr>
        <w:t>:</w:t>
      </w:r>
    </w:p>
    <w:p w:rsidRPr="00673015" w:rsidR="00B523D5" w:rsidP="00B523D5" w:rsidRDefault="00B523D5" w14:paraId="5E716814" w14:textId="77777777">
      <w:pPr>
        <w:tabs>
          <w:tab w:val="left" w:pos="284"/>
        </w:tabs>
        <w:spacing w:after="0"/>
        <w:rPr>
          <w:rFonts w:ascii="Arial" w:hAnsi="Arial" w:eastAsia="Calibri" w:cs="Arial"/>
          <w:b/>
        </w:rPr>
      </w:pPr>
    </w:p>
    <w:p w:rsidRPr="002862E6" w:rsidR="00B523D5" w:rsidP="00B523D5" w:rsidRDefault="00B523D5" w14:paraId="3FB2A6A6" w14:textId="77777777">
      <w:pPr>
        <w:autoSpaceDE w:val="0"/>
        <w:autoSpaceDN w:val="0"/>
        <w:adjustRightInd w:val="0"/>
        <w:spacing w:after="0" w:line="240" w:lineRule="auto"/>
        <w:ind w:left="709" w:right="709"/>
        <w:jc w:val="both"/>
        <w:rPr>
          <w:rFonts w:ascii="ArialMT" w:hAnsi="ArialMT" w:cs="ArialMT"/>
          <w:sz w:val="21"/>
          <w:szCs w:val="21"/>
        </w:rPr>
      </w:pPr>
      <w:r w:rsidRPr="00002BAF">
        <w:rPr>
          <w:rFonts w:ascii="Arial" w:hAnsi="Arial" w:eastAsia="Calibri" w:cs="Arial"/>
          <w:bCs/>
          <w:color w:val="000000"/>
          <w:sz w:val="21"/>
          <w:szCs w:val="21"/>
          <w:lang w:val="es-ES_tradnl"/>
        </w:rPr>
        <w:t>«</w:t>
      </w:r>
      <w:r w:rsidRPr="002862E6">
        <w:rPr>
          <w:rFonts w:ascii="ArialMT" w:hAnsi="ArialMT" w:cs="ArialMT"/>
          <w:sz w:val="21"/>
          <w:szCs w:val="21"/>
        </w:rPr>
        <w:t>1. De conformidad con el numeral 4 del artículo 1 del Decreto 399 de 2021, ¿Si la consultoría o interventoría es a precio global fijo, la entidad estatal no está obligada a publicar las variables tenidas en cuenta para establecer el valor del presupuesto oficial? Es decir, solo cuando se estructura por precios unitarios (incluido la metodología de dedicación y factor multiplicador) se debe publicar las variables del presupuesto oficial?</w:t>
      </w:r>
    </w:p>
    <w:p w:rsidRPr="002862E6" w:rsidR="00B523D5" w:rsidP="00B523D5" w:rsidRDefault="00B523D5" w14:paraId="43B010E9" w14:textId="77777777">
      <w:pPr>
        <w:autoSpaceDE w:val="0"/>
        <w:autoSpaceDN w:val="0"/>
        <w:adjustRightInd w:val="0"/>
        <w:spacing w:after="0" w:line="240" w:lineRule="auto"/>
        <w:ind w:left="709" w:right="709"/>
        <w:jc w:val="both"/>
        <w:rPr>
          <w:rFonts w:ascii="ArialMT" w:hAnsi="ArialMT" w:cs="ArialMT"/>
          <w:sz w:val="21"/>
          <w:szCs w:val="21"/>
        </w:rPr>
      </w:pPr>
    </w:p>
    <w:p w:rsidRPr="002862E6" w:rsidR="00B523D5" w:rsidP="00B523D5" w:rsidRDefault="00B523D5" w14:paraId="548595FB" w14:textId="77777777">
      <w:pPr>
        <w:autoSpaceDE w:val="0"/>
        <w:autoSpaceDN w:val="0"/>
        <w:adjustRightInd w:val="0"/>
        <w:spacing w:after="0" w:line="240" w:lineRule="auto"/>
        <w:ind w:left="709" w:right="709"/>
        <w:jc w:val="both"/>
        <w:rPr>
          <w:rFonts w:ascii="ArialMT" w:hAnsi="ArialMT" w:cs="ArialMT"/>
          <w:sz w:val="21"/>
          <w:szCs w:val="21"/>
        </w:rPr>
      </w:pPr>
      <w:r w:rsidRPr="002862E6">
        <w:rPr>
          <w:rFonts w:ascii="ArialMT" w:hAnsi="ArialMT" w:cs="ArialMT"/>
          <w:sz w:val="21"/>
          <w:szCs w:val="21"/>
        </w:rPr>
        <w:lastRenderedPageBreak/>
        <w:t>2. De conformidad con el numeral 1 del artículo 2 del Decreto 399 de 2021, ¿En concurso de mérito la entidad debe de manera obligatoria asignar puntaje a los dos criterios de: a) la experiencia del interesado y del equipo de trabajo y b) la formación académica del equipo de trabajo? ¿O puede asignar puntaje solo a la experiencia del proponente, o solo a la formación académica del equipo?</w:t>
      </w:r>
      <w:r w:rsidRPr="002862E6">
        <w:rPr>
          <w:rFonts w:ascii="Arial" w:hAnsi="Arial" w:eastAsia="Calibri" w:cs="Arial"/>
          <w:bCs/>
          <w:color w:val="000000"/>
          <w:sz w:val="21"/>
          <w:szCs w:val="21"/>
          <w:lang w:val="es-ES_tradnl"/>
        </w:rPr>
        <w:t>»</w:t>
      </w:r>
    </w:p>
    <w:p w:rsidRPr="00002BAF" w:rsidR="00B523D5" w:rsidP="00B523D5" w:rsidRDefault="00B523D5" w14:paraId="23D7A822" w14:textId="77777777">
      <w:pPr>
        <w:spacing w:after="0" w:line="240" w:lineRule="auto"/>
        <w:ind w:right="709"/>
        <w:jc w:val="both"/>
        <w:rPr>
          <w:rFonts w:ascii="Arial" w:hAnsi="Arial" w:eastAsia="Times New Roman" w:cs="Arial"/>
          <w:color w:val="000000"/>
          <w:sz w:val="21"/>
          <w:szCs w:val="21"/>
          <w:lang w:val="es-ES_tradnl" w:eastAsia="es-ES_tradnl"/>
        </w:rPr>
      </w:pPr>
    </w:p>
    <w:p w:rsidRPr="00002BAF" w:rsidR="00B523D5" w:rsidP="00B523D5" w:rsidRDefault="00B523D5" w14:paraId="2359F40C" w14:textId="77777777">
      <w:pPr>
        <w:numPr>
          <w:ilvl w:val="0"/>
          <w:numId w:val="4"/>
        </w:numPr>
        <w:tabs>
          <w:tab w:val="left" w:pos="0"/>
          <w:tab w:val="left" w:pos="284"/>
        </w:tabs>
        <w:spacing w:after="0" w:line="240" w:lineRule="auto"/>
        <w:ind w:left="357" w:hanging="357"/>
        <w:contextualSpacing/>
        <w:jc w:val="both"/>
        <w:rPr>
          <w:rFonts w:ascii="Arial" w:hAnsi="Arial" w:eastAsia="Calibri" w:cs="Arial"/>
          <w:b/>
          <w:color w:val="000000"/>
          <w:lang w:val="es-ES_tradnl"/>
        </w:rPr>
      </w:pPr>
      <w:r w:rsidRPr="00002BAF">
        <w:rPr>
          <w:rFonts w:ascii="Arial" w:hAnsi="Arial" w:eastAsia="Calibri" w:cs="Arial"/>
          <w:b/>
          <w:color w:val="000000"/>
          <w:lang w:val="es-ES_tradnl"/>
        </w:rPr>
        <w:t>Consideraciones</w:t>
      </w:r>
    </w:p>
    <w:p w:rsidRPr="00002BAF" w:rsidR="00B523D5" w:rsidP="00B523D5" w:rsidRDefault="00B523D5" w14:paraId="4CF44614" w14:textId="77777777">
      <w:pPr>
        <w:spacing w:after="0" w:line="276" w:lineRule="auto"/>
        <w:jc w:val="both"/>
        <w:rPr>
          <w:rFonts w:ascii="Arial" w:hAnsi="Arial" w:eastAsia="Calibri" w:cs="Arial"/>
          <w:color w:val="000000"/>
          <w:lang w:val="es-ES_tradnl" w:eastAsia="es-ES_tradnl"/>
        </w:rPr>
      </w:pPr>
    </w:p>
    <w:p w:rsidRPr="00002BAF" w:rsidR="00B523D5" w:rsidP="00B523D5" w:rsidRDefault="00B523D5" w14:paraId="52313F50" w14:textId="77777777">
      <w:pPr>
        <w:spacing w:after="0" w:line="276" w:lineRule="auto"/>
        <w:jc w:val="both"/>
        <w:rPr>
          <w:rFonts w:ascii="Arial" w:hAnsi="Arial" w:eastAsia="Calibri" w:cs="Arial"/>
          <w:color w:val="000000"/>
          <w:lang w:val="es-ES_tradnl" w:eastAsia="es-ES_tradnl"/>
        </w:rPr>
      </w:pPr>
      <w:r w:rsidRPr="00002BAF">
        <w:rPr>
          <w:rFonts w:ascii="Arial" w:hAnsi="Arial" w:eastAsia="Calibri" w:cs="Arial"/>
          <w:color w:val="000000"/>
          <w:lang w:val="es-ES_tradnl" w:eastAsia="es-ES_tradnl"/>
        </w:rPr>
        <w:t>La Subdirección de Gestión Contractual responderá la consulta, luego de analizar los siguientes temas: i) el procedimiento del concurso de méritos después de los autos de suspensión provisional del Consejo de Estado; ii) la reglamentación de esta modalidad de selección en el Decreto 399 de 2021</w:t>
      </w:r>
      <w:r>
        <w:rPr>
          <w:rFonts w:ascii="Arial" w:hAnsi="Arial" w:eastAsia="Calibri" w:cs="Arial"/>
          <w:color w:val="000000"/>
          <w:lang w:val="es-ES_tradnl" w:eastAsia="es-ES_tradnl"/>
        </w:rPr>
        <w:t>.</w:t>
      </w:r>
    </w:p>
    <w:p w:rsidRPr="00002BAF" w:rsidR="00B523D5" w:rsidP="00B523D5" w:rsidRDefault="00B523D5" w14:paraId="4656B5EE" w14:textId="77777777">
      <w:pPr>
        <w:spacing w:before="120" w:after="0" w:line="276" w:lineRule="auto"/>
        <w:ind w:firstLine="709"/>
        <w:jc w:val="both"/>
        <w:rPr>
          <w:rFonts w:ascii="Arial" w:hAnsi="Arial" w:eastAsia="Calibri" w:cs="Arial"/>
          <w:color w:val="000000"/>
          <w:lang w:val="es-ES_tradnl" w:eastAsia="es-ES_tradnl"/>
        </w:rPr>
      </w:pPr>
      <w:r w:rsidRPr="00002BAF">
        <w:rPr>
          <w:rFonts w:ascii="Arial" w:hAnsi="Arial" w:eastAsia="Calibri" w:cs="Arial"/>
          <w:color w:val="000000"/>
          <w:lang w:val="es-ES_tradnl" w:eastAsia="es-ES_tradnl"/>
        </w:rPr>
        <w:t xml:space="preserve">Es importante destacar que la Agencia Nacional de Contratación Pública – Colombia Compra Eficiente </w:t>
      </w:r>
      <w:r w:rsidRPr="00002BAF">
        <w:rPr>
          <w:rFonts w:ascii="Arial" w:hAnsi="Arial" w:eastAsia="Calibri" w:cs="Arial"/>
          <w:color w:val="000000"/>
          <w:szCs w:val="24"/>
          <w:lang w:val="es-ES_tradnl" w:eastAsia="es-ES_tradnl"/>
        </w:rPr>
        <w:t xml:space="preserve">expidió los conceptos C-124 del 25 de marzo de 2020, C-406 y C-477 del 13 de julio de 2020, C-612 del 2 de octubre de 2020, C-761 del 5 de enero de 2021, C- 297 del 17 de junio de 2021, C-339 del 14 de junio de 2021, C-367 del 26 de julio de 2021, C-408 del 13 de agosto de 2021 y C-739 del 2 de febrero de 2022, en los cuales analizó el concurso de méritos. </w:t>
      </w:r>
      <w:r w:rsidRPr="00002BAF">
        <w:rPr>
          <w:rFonts w:ascii="Arial" w:hAnsi="Arial" w:eastAsia="Calibri" w:cs="Arial"/>
          <w:color w:val="000000"/>
          <w:lang w:val="es-ES_tradnl" w:eastAsia="es-ES_tradnl"/>
        </w:rPr>
        <w:t>Algunas de las consideraciones de estos conceptos se reiteran a continuación.</w:t>
      </w:r>
    </w:p>
    <w:p w:rsidRPr="00002BAF" w:rsidR="00B523D5" w:rsidP="00B523D5" w:rsidRDefault="00B523D5" w14:paraId="078E4B73" w14:textId="77777777">
      <w:pPr>
        <w:spacing w:after="0" w:line="276" w:lineRule="auto"/>
        <w:jc w:val="both"/>
        <w:rPr>
          <w:rFonts w:ascii="Arial" w:hAnsi="Arial" w:eastAsia="Calibri" w:cs="Arial"/>
          <w:color w:val="000000"/>
          <w:lang w:val="es-ES_tradnl" w:eastAsia="es-ES_tradnl"/>
        </w:rPr>
      </w:pPr>
    </w:p>
    <w:p w:rsidRPr="00002BAF" w:rsidR="00B523D5" w:rsidP="00B523D5" w:rsidRDefault="00B523D5" w14:paraId="78F12209" w14:textId="77777777">
      <w:pPr>
        <w:spacing w:after="0" w:line="276" w:lineRule="auto"/>
        <w:jc w:val="both"/>
        <w:rPr>
          <w:rFonts w:ascii="Arial" w:hAnsi="Arial" w:eastAsia="Calibri" w:cs="Arial"/>
          <w:b/>
          <w:bCs/>
          <w:color w:val="000000"/>
          <w:szCs w:val="24"/>
          <w:lang w:val="es-ES_tradnl" w:eastAsia="es-ES_tradnl"/>
        </w:rPr>
      </w:pPr>
      <w:r w:rsidRPr="00002BAF">
        <w:rPr>
          <w:rFonts w:ascii="Arial" w:hAnsi="Arial" w:eastAsia="Calibri" w:cs="Arial"/>
          <w:b/>
          <w:bCs/>
          <w:color w:val="000000"/>
          <w:szCs w:val="24"/>
          <w:lang w:val="es-ES_tradnl" w:eastAsia="es-ES_tradnl"/>
        </w:rPr>
        <w:t>2.1. Procedimiento del concurso de méritos después de los autos de suspensión provisional del Consejo de Estado</w:t>
      </w:r>
    </w:p>
    <w:p w:rsidRPr="00002BAF" w:rsidR="00B523D5" w:rsidP="00B523D5" w:rsidRDefault="00B523D5" w14:paraId="55B3BA5D" w14:textId="77777777">
      <w:pPr>
        <w:spacing w:after="0" w:line="276" w:lineRule="auto"/>
        <w:jc w:val="both"/>
        <w:rPr>
          <w:rFonts w:ascii="Arial" w:hAnsi="Arial" w:eastAsia="Calibri" w:cs="Arial"/>
          <w:b/>
          <w:bCs/>
          <w:color w:val="000000"/>
          <w:szCs w:val="24"/>
          <w:lang w:val="es-ES_tradnl" w:eastAsia="es-ES_tradnl"/>
        </w:rPr>
      </w:pPr>
    </w:p>
    <w:p w:rsidRPr="00002BAF" w:rsidR="00B523D5" w:rsidP="00B523D5" w:rsidRDefault="00B523D5" w14:paraId="6B016ECE" w14:textId="77777777">
      <w:pPr>
        <w:spacing w:after="0" w:line="276" w:lineRule="auto"/>
        <w:jc w:val="both"/>
        <w:rPr>
          <w:rFonts w:ascii="Arial" w:hAnsi="Arial" w:eastAsia="Times New Roman" w:cs="Arial"/>
          <w:color w:val="000000"/>
          <w:szCs w:val="24"/>
          <w:lang w:val="es-ES_tradnl" w:eastAsia="es-ES_tradnl"/>
        </w:rPr>
      </w:pPr>
      <w:r w:rsidRPr="00002BAF">
        <w:rPr>
          <w:rFonts w:ascii="Arial" w:hAnsi="Arial" w:eastAsia="Times New Roman" w:cs="Arial"/>
          <w:color w:val="000000"/>
          <w:szCs w:val="24"/>
          <w:lang w:val="es-ES_tradnl" w:eastAsia="es-ES_tradnl"/>
        </w:rPr>
        <w:t xml:space="preserve">El </w:t>
      </w:r>
      <w:r w:rsidRPr="00181E57">
        <w:rPr>
          <w:rFonts w:ascii="Arial" w:hAnsi="Arial" w:eastAsia="Times New Roman" w:cs="Arial"/>
          <w:color w:val="000000"/>
          <w:szCs w:val="24"/>
          <w:lang w:val="es-ES_tradnl" w:eastAsia="es-ES_tradnl"/>
        </w:rPr>
        <w:t>concurso de méritos</w:t>
      </w:r>
      <w:r w:rsidRPr="00002BAF">
        <w:rPr>
          <w:rFonts w:ascii="Arial" w:hAnsi="Arial" w:eastAsia="Times New Roman" w:cs="Arial"/>
          <w:i/>
          <w:iCs/>
          <w:color w:val="000000"/>
          <w:szCs w:val="24"/>
          <w:lang w:val="es-ES_tradnl" w:eastAsia="es-ES_tradnl"/>
        </w:rPr>
        <w:t xml:space="preserve"> </w:t>
      </w:r>
      <w:r w:rsidRPr="00002BAF">
        <w:rPr>
          <w:rFonts w:ascii="Arial" w:hAnsi="Arial" w:eastAsia="Times New Roman" w:cs="Arial"/>
          <w:color w:val="000000"/>
          <w:szCs w:val="24"/>
          <w:lang w:val="es-ES_tradnl" w:eastAsia="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rsidRPr="00002BAF" w:rsidR="00B523D5" w:rsidP="00B523D5" w:rsidRDefault="00B523D5" w14:paraId="3104B9B1" w14:textId="77777777">
      <w:pPr>
        <w:spacing w:before="120" w:after="0" w:line="276" w:lineRule="auto"/>
        <w:ind w:firstLine="708"/>
        <w:jc w:val="both"/>
        <w:rPr>
          <w:rFonts w:ascii="Arial" w:hAnsi="Arial" w:eastAsia="Times New Roman" w:cs="Arial"/>
          <w:color w:val="000000"/>
          <w:szCs w:val="24"/>
          <w:lang w:val="es-ES_tradnl" w:eastAsia="es-ES_tradnl"/>
        </w:rPr>
      </w:pPr>
      <w:r w:rsidRPr="00002BAF">
        <w:rPr>
          <w:rFonts w:ascii="Arial" w:hAnsi="Arial" w:eastAsia="Times New Roman" w:cs="Arial"/>
          <w:color w:val="000000"/>
          <w:szCs w:val="24"/>
          <w:lang w:val="es-ES_tradnl" w:eastAsia="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002BAF">
        <w:rPr>
          <w:rFonts w:ascii="Arial" w:hAnsi="Arial" w:eastAsia="Times New Roman" w:cs="Arial"/>
          <w:i/>
          <w:iCs/>
          <w:color w:val="000000"/>
          <w:szCs w:val="24"/>
          <w:lang w:val="es-ES_tradnl" w:eastAsia="es-ES_tradnl"/>
        </w:rPr>
        <w:t>ibídem</w:t>
      </w:r>
      <w:r w:rsidRPr="00002BAF">
        <w:rPr>
          <w:rFonts w:ascii="Arial" w:hAnsi="Arial" w:eastAsia="Times New Roman" w:cs="Arial"/>
          <w:color w:val="000000"/>
          <w:szCs w:val="24"/>
          <w:lang w:val="es-ES_tradnl" w:eastAsia="es-ES_tradnl"/>
        </w:rPr>
        <w:t xml:space="preserve">. El segundo, además de los dos artículos anteriores, lo regulan los artículos 2.2.1.2.1.3.3. a 2.2.1.2.1.3.7. </w:t>
      </w:r>
      <w:r w:rsidRPr="00002BAF">
        <w:rPr>
          <w:rFonts w:ascii="Arial" w:hAnsi="Arial" w:eastAsia="Times New Roman" w:cs="Arial"/>
          <w:i/>
          <w:iCs/>
          <w:color w:val="000000"/>
          <w:szCs w:val="24"/>
          <w:lang w:val="es-ES_tradnl" w:eastAsia="es-ES_tradnl"/>
        </w:rPr>
        <w:t>ejusdem</w:t>
      </w:r>
      <w:r w:rsidRPr="00002BAF">
        <w:rPr>
          <w:rFonts w:ascii="Arial" w:hAnsi="Arial" w:eastAsia="Times New Roman" w:cs="Arial"/>
          <w:color w:val="000000"/>
          <w:szCs w:val="24"/>
          <w:lang w:val="es-ES_tradnl" w:eastAsia="es-ES_tradnl"/>
        </w:rPr>
        <w:t>. El tercero lo regulan los artículos 2.2.1.2.1.3.8. a 2.2.1.2.1.3.25. del mencionado Decreto.</w:t>
      </w:r>
    </w:p>
    <w:p w:rsidRPr="00002BAF" w:rsidR="00B523D5" w:rsidP="00B523D5" w:rsidRDefault="00B523D5" w14:paraId="1D5481A9" w14:textId="77777777">
      <w:pPr>
        <w:spacing w:before="120" w:after="0" w:line="276" w:lineRule="auto"/>
        <w:ind w:firstLine="708"/>
        <w:jc w:val="both"/>
        <w:rPr>
          <w:rFonts w:ascii="Arial" w:hAnsi="Arial" w:eastAsia="Times New Roman" w:cs="Arial"/>
          <w:color w:val="000000"/>
          <w:szCs w:val="24"/>
          <w:lang w:val="es-ES_tradnl" w:eastAsia="es-ES_tradnl"/>
        </w:rPr>
      </w:pPr>
      <w:r w:rsidRPr="00002BAF">
        <w:rPr>
          <w:rFonts w:ascii="Arial" w:hAnsi="Arial" w:eastAsia="Times New Roman" w:cs="Arial"/>
          <w:color w:val="000000"/>
          <w:szCs w:val="24"/>
          <w:lang w:val="es-ES_tradnl" w:eastAsia="es-ES_tradnl"/>
        </w:rPr>
        <w:lastRenderedPageBreak/>
        <w:t xml:space="preserve">Ahora bien, </w:t>
      </w:r>
      <w:bookmarkStart w:name="_Hlk43918348" w:id="0"/>
      <w:r w:rsidRPr="00002BAF">
        <w:rPr>
          <w:rFonts w:ascii="Arial" w:hAnsi="Arial" w:eastAsia="Times New Roman" w:cs="Arial"/>
          <w:color w:val="000000"/>
          <w:szCs w:val="24"/>
          <w:lang w:val="es-ES_tradnl" w:eastAsia="es-ES_tradnl"/>
        </w:rPr>
        <w:t>la Sección Tercera del Consejo de Estado, en autos del 25 de julio de 2018</w:t>
      </w:r>
      <w:r w:rsidRPr="00002BAF">
        <w:rPr>
          <w:rFonts w:ascii="Arial" w:hAnsi="Arial" w:eastAsia="Times New Roman" w:cs="Arial"/>
          <w:color w:val="000000"/>
          <w:szCs w:val="24"/>
          <w:vertAlign w:val="superscript"/>
          <w:lang w:val="es-ES_tradnl" w:eastAsia="es-ES_tradnl"/>
        </w:rPr>
        <w:footnoteReference w:id="2"/>
      </w:r>
      <w:r w:rsidRPr="00002BAF">
        <w:rPr>
          <w:rFonts w:ascii="Arial" w:hAnsi="Arial" w:eastAsia="Times New Roman" w:cs="Arial"/>
          <w:color w:val="000000"/>
          <w:szCs w:val="24"/>
          <w:lang w:val="es-ES_tradnl" w:eastAsia="es-ES_tradnl"/>
        </w:rPr>
        <w:t xml:space="preserve"> y del 20 de febrero de 2019</w:t>
      </w:r>
      <w:r w:rsidRPr="00002BAF">
        <w:rPr>
          <w:rFonts w:ascii="Arial" w:hAnsi="Arial" w:eastAsia="Times New Roman" w:cs="Arial"/>
          <w:color w:val="000000"/>
          <w:szCs w:val="24"/>
          <w:vertAlign w:val="superscript"/>
          <w:lang w:val="es-ES_tradnl" w:eastAsia="es-ES_tradnl"/>
        </w:rPr>
        <w:footnoteReference w:id="3"/>
      </w:r>
      <w:r w:rsidRPr="00002BAF">
        <w:rPr>
          <w:rFonts w:ascii="Arial" w:hAnsi="Arial" w:eastAsia="Times New Roman" w:cs="Arial"/>
          <w:color w:val="000000"/>
          <w:szCs w:val="24"/>
          <w:lang w:val="es-ES_tradnl" w:eastAsia="es-ES_tradnl"/>
        </w:rPr>
        <w:t>,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w:t>
      </w:r>
      <w:bookmarkEnd w:id="0"/>
      <w:r w:rsidRPr="00002BAF">
        <w:rPr>
          <w:rFonts w:ascii="Arial" w:hAnsi="Arial" w:eastAsia="Times New Roman" w:cs="Arial"/>
          <w:color w:val="000000"/>
          <w:szCs w:val="24"/>
          <w:lang w:val="es-ES_tradnl" w:eastAsia="es-ES_tradnl"/>
        </w:rPr>
        <w:t xml:space="preserve">. El texto de estos numerales disponía lo siguiente: </w:t>
      </w:r>
    </w:p>
    <w:p w:rsidRPr="00002BAF" w:rsidR="00B523D5" w:rsidP="00B523D5" w:rsidRDefault="00B523D5" w14:paraId="4DFEF960" w14:textId="77777777">
      <w:pPr>
        <w:spacing w:after="0" w:line="276" w:lineRule="auto"/>
        <w:jc w:val="both"/>
        <w:rPr>
          <w:rFonts w:ascii="Arial" w:hAnsi="Arial" w:eastAsia="Calibri" w:cs="Arial"/>
          <w:color w:val="000000"/>
          <w:sz w:val="24"/>
          <w:lang w:val="es-ES_tradnl"/>
        </w:rPr>
      </w:pPr>
    </w:p>
    <w:p w:rsidRPr="00002BAF" w:rsidR="00B523D5" w:rsidP="00B523D5" w:rsidRDefault="00B523D5" w14:paraId="49B1AE91" w14:textId="77777777">
      <w:pPr>
        <w:spacing w:after="120" w:line="240" w:lineRule="auto"/>
        <w:ind w:left="709" w:right="709"/>
        <w:jc w:val="both"/>
        <w:rPr>
          <w:rFonts w:ascii="Arial" w:hAnsi="Arial" w:eastAsia="Calibri" w:cs="Arial"/>
          <w:color w:val="000000"/>
          <w:sz w:val="21"/>
          <w:szCs w:val="21"/>
          <w:lang w:val="es-ES_tradnl"/>
        </w:rPr>
      </w:pPr>
      <w:r>
        <w:rPr>
          <w:rFonts w:ascii="Arial" w:hAnsi="Arial" w:eastAsia="Calibri" w:cs="Arial"/>
          <w:color w:val="000000"/>
          <w:sz w:val="21"/>
          <w:szCs w:val="21"/>
          <w:lang w:val="es-ES_tradnl"/>
        </w:rPr>
        <w:t>«</w:t>
      </w:r>
      <w:r w:rsidRPr="00002BAF">
        <w:rPr>
          <w:rFonts w:ascii="Arial" w:hAnsi="Arial" w:eastAsia="Calibri" w:cs="Arial"/>
          <w:color w:val="000000"/>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rsidRPr="00002BAF" w:rsidR="00B523D5" w:rsidP="00B523D5" w:rsidRDefault="00B523D5" w14:paraId="4082D096" w14:textId="77777777">
      <w:pPr>
        <w:spacing w:after="120" w:line="240" w:lineRule="auto"/>
        <w:ind w:left="709" w:right="709"/>
        <w:jc w:val="both"/>
        <w:rPr>
          <w:rFonts w:ascii="Arial" w:hAnsi="Arial" w:eastAsia="Calibri" w:cs="Arial"/>
          <w:color w:val="000000"/>
          <w:sz w:val="21"/>
          <w:szCs w:val="21"/>
          <w:lang w:val="es-ES_tradnl"/>
        </w:rPr>
      </w:pPr>
      <w:r w:rsidRPr="00002BAF">
        <w:rPr>
          <w:rFonts w:ascii="Arial" w:hAnsi="Arial" w:eastAsia="Calibri" w:cs="Arial"/>
          <w:color w:val="000000"/>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rsidRPr="00002BAF" w:rsidR="00B523D5" w:rsidP="00B523D5" w:rsidRDefault="00B523D5" w14:paraId="7588D126" w14:textId="77777777">
      <w:pPr>
        <w:spacing w:after="120" w:line="240" w:lineRule="auto"/>
        <w:ind w:left="709" w:right="709"/>
        <w:jc w:val="both"/>
        <w:rPr>
          <w:rFonts w:ascii="Arial" w:hAnsi="Arial" w:eastAsia="Calibri" w:cs="Arial"/>
          <w:color w:val="000000"/>
          <w:sz w:val="21"/>
          <w:szCs w:val="21"/>
          <w:lang w:val="es-ES_tradnl"/>
        </w:rPr>
      </w:pPr>
      <w:r w:rsidRPr="00002BAF">
        <w:rPr>
          <w:rFonts w:ascii="Arial" w:hAnsi="Arial" w:eastAsia="Calibri" w:cs="Arial"/>
          <w:color w:val="000000"/>
          <w:sz w:val="21"/>
          <w:szCs w:val="21"/>
          <w:lang w:val="es-ES_tradnl"/>
        </w:rPr>
        <w:t>2. La Entidad Estatal debe publicar durante tres (3) días hábiles el informe de evaluación, el cual debe contener la calificación técnica y el orden de elegibilidad.</w:t>
      </w:r>
    </w:p>
    <w:p w:rsidRPr="00002BAF" w:rsidR="00B523D5" w:rsidP="00B523D5" w:rsidRDefault="00B523D5" w14:paraId="1CCC83A9" w14:textId="77777777">
      <w:pPr>
        <w:spacing w:after="120" w:line="240" w:lineRule="auto"/>
        <w:ind w:left="709" w:right="709"/>
        <w:jc w:val="both"/>
        <w:rPr>
          <w:rFonts w:ascii="Arial" w:hAnsi="Arial" w:eastAsia="Calibri" w:cs="Arial"/>
          <w:i/>
          <w:color w:val="000000"/>
          <w:sz w:val="21"/>
          <w:szCs w:val="21"/>
          <w:lang w:val="es-ES_tradnl"/>
        </w:rPr>
      </w:pPr>
      <w:r w:rsidRPr="00002BAF">
        <w:rPr>
          <w:rFonts w:ascii="Arial" w:hAnsi="Arial" w:eastAsia="Calibri" w:cs="Arial"/>
          <w:i/>
          <w:color w:val="000000"/>
          <w:sz w:val="21"/>
          <w:szCs w:val="21"/>
          <w:lang w:val="es-ES_tradnl"/>
        </w:rPr>
        <w:t>3. La Entidad Estatal debe revisar la oferta económica y verificar que está en el rango del valor estimado consignado en los documentos y estudios previos y del presupuesto asignado para el contrato.</w:t>
      </w:r>
    </w:p>
    <w:p w:rsidRPr="00002BAF" w:rsidR="00B523D5" w:rsidP="00B523D5" w:rsidRDefault="00B523D5" w14:paraId="6CE3B0C0" w14:textId="77777777">
      <w:pPr>
        <w:spacing w:after="120" w:line="240" w:lineRule="auto"/>
        <w:ind w:left="709" w:right="709"/>
        <w:jc w:val="both"/>
        <w:rPr>
          <w:rFonts w:ascii="Arial" w:hAnsi="Arial" w:eastAsia="Calibri" w:cs="Arial"/>
          <w:i/>
          <w:color w:val="000000"/>
          <w:sz w:val="21"/>
          <w:szCs w:val="21"/>
          <w:lang w:val="es-ES_tradnl"/>
        </w:rPr>
      </w:pPr>
      <w:r w:rsidRPr="00002BAF">
        <w:rPr>
          <w:rFonts w:ascii="Arial" w:hAnsi="Arial" w:eastAsia="Calibri" w:cs="Arial"/>
          <w:i/>
          <w:color w:val="000000"/>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rsidRPr="00002BAF" w:rsidR="00B523D5" w:rsidP="00B523D5" w:rsidRDefault="00B523D5" w14:paraId="7600A517" w14:textId="77777777">
      <w:pPr>
        <w:spacing w:after="120" w:line="240" w:lineRule="auto"/>
        <w:ind w:left="709" w:right="709"/>
        <w:jc w:val="both"/>
        <w:rPr>
          <w:rFonts w:ascii="Arial" w:hAnsi="Arial" w:eastAsia="Calibri" w:cs="Arial"/>
          <w:i/>
          <w:color w:val="000000"/>
          <w:sz w:val="21"/>
          <w:szCs w:val="21"/>
          <w:lang w:val="es-ES_tradnl"/>
        </w:rPr>
      </w:pPr>
      <w:r w:rsidRPr="00002BAF">
        <w:rPr>
          <w:rFonts w:ascii="Arial" w:hAnsi="Arial" w:eastAsia="Calibri" w:cs="Arial"/>
          <w:i/>
          <w:color w:val="000000"/>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rsidRPr="00002BAF" w:rsidR="00B523D5" w:rsidP="00B523D5" w:rsidRDefault="00B523D5" w14:paraId="11CA6090" w14:textId="77777777">
      <w:pPr>
        <w:spacing w:after="0" w:line="240" w:lineRule="auto"/>
        <w:ind w:left="709" w:right="709"/>
        <w:jc w:val="both"/>
        <w:rPr>
          <w:rFonts w:ascii="Arial" w:hAnsi="Arial" w:eastAsia="Calibri" w:cs="Arial"/>
          <w:color w:val="000000"/>
          <w:sz w:val="21"/>
          <w:szCs w:val="21"/>
          <w:lang w:val="es-ES_tradnl"/>
        </w:rPr>
      </w:pPr>
      <w:r w:rsidRPr="00002BAF">
        <w:rPr>
          <w:rFonts w:ascii="Arial" w:hAnsi="Arial" w:eastAsia="Calibri" w:cs="Arial"/>
          <w:i/>
          <w:color w:val="000000"/>
          <w:sz w:val="21"/>
          <w:szCs w:val="21"/>
          <w:lang w:val="es-ES_tradnl"/>
        </w:rPr>
        <w:t>6. Si la Entidad Estatal y el oferente calificado en el segundo lugar de elegibilidad no llegan a un acuerdo, la Entidad Estatal debe declarar desierto el Proceso de Contratación</w:t>
      </w:r>
      <w:r>
        <w:rPr>
          <w:rFonts w:ascii="Arial" w:hAnsi="Arial" w:eastAsia="Calibri" w:cs="Arial"/>
          <w:i/>
          <w:color w:val="000000"/>
          <w:sz w:val="21"/>
          <w:szCs w:val="21"/>
          <w:lang w:val="es-ES_tradnl"/>
        </w:rPr>
        <w:t>»</w:t>
      </w:r>
      <w:r w:rsidRPr="00002BAF">
        <w:rPr>
          <w:rFonts w:ascii="Arial" w:hAnsi="Arial" w:eastAsia="Calibri" w:cs="Arial"/>
          <w:color w:val="000000"/>
          <w:sz w:val="21"/>
          <w:szCs w:val="21"/>
          <w:lang w:val="es-ES_tradnl"/>
        </w:rPr>
        <w:t>. (Énfasis fuera de texto)</w:t>
      </w:r>
    </w:p>
    <w:p w:rsidRPr="00002BAF" w:rsidR="00B523D5" w:rsidP="00B523D5" w:rsidRDefault="00B523D5" w14:paraId="1BE73BDF" w14:textId="77777777">
      <w:pPr>
        <w:spacing w:after="0" w:line="240" w:lineRule="auto"/>
        <w:jc w:val="both"/>
        <w:rPr>
          <w:rFonts w:ascii="Arial" w:hAnsi="Arial" w:eastAsia="Times New Roman" w:cs="Arial"/>
          <w:color w:val="000000"/>
          <w:szCs w:val="24"/>
          <w:lang w:val="es-ES_tradnl" w:eastAsia="es-ES_tradnl"/>
        </w:rPr>
      </w:pPr>
    </w:p>
    <w:p w:rsidRPr="00002BAF" w:rsidR="00B523D5" w:rsidP="00B523D5" w:rsidRDefault="00B523D5" w14:paraId="10F09F66" w14:textId="77777777">
      <w:pPr>
        <w:spacing w:after="120" w:line="276" w:lineRule="auto"/>
        <w:ind w:firstLine="709"/>
        <w:jc w:val="both"/>
        <w:rPr>
          <w:rFonts w:ascii="Arial" w:hAnsi="Arial" w:eastAsia="Times New Roman" w:cs="Arial"/>
          <w:color w:val="000000"/>
          <w:szCs w:val="24"/>
          <w:lang w:val="es-ES_tradnl" w:eastAsia="es-ES_tradnl"/>
        </w:rPr>
      </w:pPr>
      <w:r w:rsidRPr="00002BAF">
        <w:rPr>
          <w:rFonts w:ascii="Arial" w:hAnsi="Arial" w:eastAsia="Times New Roman" w:cs="Arial"/>
          <w:color w:val="000000"/>
          <w:szCs w:val="24"/>
          <w:lang w:val="es-ES_tradnl" w:eastAsia="es-ES_tradnl"/>
        </w:rPr>
        <w:t xml:space="preserve">Los citados numerales 3, 4 y 5 disponían la verificación del precio. Por un lado, los numerales 3 y 4 exigían que estuviera dentro del presupuesto disponible y que este aspecto fuera </w:t>
      </w:r>
      <w:r w:rsidRPr="00002BAF">
        <w:rPr>
          <w:rFonts w:ascii="Arial" w:hAnsi="Arial" w:eastAsia="Times New Roman" w:cs="Arial"/>
          <w:color w:val="000000"/>
          <w:szCs w:val="24"/>
          <w:lang w:val="es-ES_tradnl" w:eastAsia="es-ES_tradnl"/>
        </w:rPr>
        <w:lastRenderedPageBreak/>
        <w:t xml:space="preserve">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que si no era posible llegar a un acuerdo con este, procedía la declaración de desierto. </w:t>
      </w:r>
    </w:p>
    <w:p w:rsidRPr="00002BAF" w:rsidR="00B523D5" w:rsidP="00B523D5" w:rsidRDefault="00B523D5" w14:paraId="7A1FC72B" w14:textId="77777777">
      <w:pPr>
        <w:spacing w:after="120" w:line="276" w:lineRule="auto"/>
        <w:ind w:firstLine="709"/>
        <w:jc w:val="both"/>
        <w:rPr>
          <w:rFonts w:ascii="Arial" w:hAnsi="Arial" w:eastAsia="Times New Roman" w:cs="Arial"/>
          <w:color w:val="000000"/>
          <w:szCs w:val="24"/>
          <w:lang w:val="es-ES_tradnl" w:eastAsia="es-ES_tradnl"/>
        </w:rPr>
      </w:pPr>
      <w:bookmarkStart w:name="_Hlk43918393" w:id="2"/>
      <w:r w:rsidRPr="00002BAF">
        <w:rPr>
          <w:rFonts w:ascii="Arial" w:hAnsi="Arial" w:eastAsia="Times New Roman" w:cs="Arial"/>
          <w:color w:val="000000"/>
          <w:szCs w:val="24"/>
          <w:lang w:val="es-ES_tradnl" w:eastAsia="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002BAF">
        <w:rPr>
          <w:rFonts w:ascii="Arial" w:hAnsi="Arial" w:eastAsia="Times New Roman" w:cs="Arial"/>
          <w:color w:val="000000"/>
          <w:szCs w:val="24"/>
          <w:vertAlign w:val="superscript"/>
          <w:lang w:val="es-ES_tradnl" w:eastAsia="es-ES_tradnl"/>
        </w:rPr>
        <w:footnoteReference w:id="4"/>
      </w:r>
      <w:r w:rsidRPr="00002BAF">
        <w:rPr>
          <w:rFonts w:ascii="Arial" w:hAnsi="Arial" w:eastAsia="Times New Roman" w:cs="Arial"/>
          <w:color w:val="000000"/>
          <w:szCs w:val="24"/>
          <w:lang w:val="es-ES_tradnl" w:eastAsia="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2"/>
      <w:r w:rsidRPr="00002BAF">
        <w:rPr>
          <w:rFonts w:ascii="Arial" w:hAnsi="Arial" w:eastAsia="Times New Roman" w:cs="Arial"/>
          <w:color w:val="000000"/>
          <w:szCs w:val="24"/>
          <w:vertAlign w:val="superscript"/>
          <w:lang w:val="es-ES_tradnl" w:eastAsia="es-ES_tradnl"/>
        </w:rPr>
        <w:footnoteReference w:id="5"/>
      </w:r>
      <w:r w:rsidRPr="00002BAF">
        <w:rPr>
          <w:rFonts w:ascii="Arial" w:hAnsi="Arial" w:eastAsia="Times New Roman" w:cs="Arial"/>
          <w:color w:val="000000"/>
          <w:szCs w:val="24"/>
          <w:lang w:val="es-ES_tradnl" w:eastAsia="es-ES_tradnl"/>
        </w:rPr>
        <w:t>.</w:t>
      </w:r>
    </w:p>
    <w:p w:rsidRPr="00002BAF" w:rsidR="00B523D5" w:rsidP="00B523D5" w:rsidRDefault="00B523D5" w14:paraId="3028C8E3" w14:textId="77777777">
      <w:pPr>
        <w:spacing w:after="0" w:line="276" w:lineRule="auto"/>
        <w:ind w:firstLine="709"/>
        <w:jc w:val="both"/>
        <w:rPr>
          <w:rFonts w:ascii="Arial" w:hAnsi="Arial" w:eastAsia="Calibri" w:cs="Arial"/>
          <w:color w:val="000000"/>
          <w:lang w:val="es-ES" w:eastAsia="es-ES"/>
        </w:rPr>
      </w:pPr>
      <w:bookmarkStart w:name="_Hlk43916091" w:id="3"/>
      <w:r w:rsidRPr="0609C3EE">
        <w:rPr>
          <w:rFonts w:ascii="Arial" w:hAnsi="Arial" w:eastAsia="Times New Roman" w:cs="Arial"/>
          <w:color w:val="000000" w:themeColor="text1"/>
          <w:lang w:val="es-ES" w:eastAsia="es-ES"/>
        </w:rPr>
        <w:lastRenderedPageBreak/>
        <w:t xml:space="preserve">En consecuencia, </w:t>
      </w:r>
      <w:r w:rsidRPr="0609C3EE">
        <w:rPr>
          <w:rFonts w:ascii="Arial" w:hAnsi="Arial" w:eastAsia="Calibri" w:cs="Arial"/>
          <w:color w:val="000000" w:themeColor="text1"/>
          <w:lang w:val="es-ES" w:eastAsia="es-ES"/>
        </w:rPr>
        <w:t>con los autos de suspensión provisional, el concurso de méritos abierto debía desarrollarse aplicando únicamente los numerales 1 y 2 del</w:t>
      </w:r>
      <w:r w:rsidRPr="0609C3EE">
        <w:rPr>
          <w:rFonts w:ascii="Arial" w:hAnsi="Arial" w:eastAsia="Times New Roman" w:cs="Arial"/>
          <w:color w:val="000000" w:themeColor="text1"/>
          <w:lang w:val="es-ES" w:eastAsia="es-ES"/>
        </w:rPr>
        <w:t xml:space="preserve"> artículo 2.2.1.2.1.3.2 original del Decreto 1082 de 2015, esto es, antes de la modificación realizada por el Decreto 399 de 2021, al que se hará referencia en el numeral siguiente.</w:t>
      </w:r>
      <w:bookmarkStart w:name="_Hlk43916290" w:id="4"/>
      <w:bookmarkEnd w:id="3"/>
      <w:r w:rsidRPr="0609C3EE">
        <w:rPr>
          <w:rFonts w:ascii="Arial" w:hAnsi="Arial" w:eastAsia="Times New Roman" w:cs="Arial"/>
          <w:color w:val="000000" w:themeColor="text1"/>
          <w:lang w:val="es-ES" w:eastAsia="es-ES"/>
        </w:rPr>
        <w:t xml:space="preserve"> Por lo tanto, </w:t>
      </w:r>
      <w:r w:rsidRPr="0609C3EE">
        <w:rPr>
          <w:rFonts w:ascii="Arial" w:hAnsi="Arial" w:eastAsia="Times New Roman" w:cs="Arial"/>
          <w:i/>
          <w:iCs/>
          <w:color w:val="000000" w:themeColor="text1"/>
          <w:lang w:val="es-ES" w:eastAsia="es-ES"/>
        </w:rPr>
        <w:t>siempre que estuviera dentro del presupuesto oficial</w:t>
      </w:r>
      <w:r w:rsidRPr="0609C3EE">
        <w:rPr>
          <w:rFonts w:ascii="Arial" w:hAnsi="Arial" w:eastAsia="Times New Roman" w:cs="Arial"/>
          <w:color w:val="000000" w:themeColor="text1"/>
          <w:lang w:val="es-ES" w:eastAsia="es-ES"/>
        </w:rPr>
        <w:t>, la Entidad Estatal debía adjudicar el contrato al proponente que ocupara el primer puesto en el orden de elegibilidad, independientemente del valor ofrecido</w:t>
      </w:r>
      <w:r w:rsidRPr="0609C3EE">
        <w:rPr>
          <w:rFonts w:ascii="Arial" w:hAnsi="Arial" w:eastAsia="Calibri" w:cs="Arial"/>
          <w:color w:val="000000" w:themeColor="text1"/>
          <w:lang w:val="es-ES" w:eastAsia="es-ES"/>
        </w:rPr>
        <w:t>.</w:t>
      </w:r>
    </w:p>
    <w:p w:rsidRPr="00002BAF" w:rsidR="00B523D5" w:rsidP="00B523D5" w:rsidRDefault="00B523D5" w14:paraId="27AF8781" w14:textId="77777777">
      <w:pPr>
        <w:spacing w:after="0" w:line="276" w:lineRule="auto"/>
        <w:jc w:val="both"/>
        <w:rPr>
          <w:rFonts w:ascii="Arial" w:hAnsi="Arial" w:eastAsia="Calibri" w:cs="Arial"/>
          <w:b/>
          <w:bCs/>
          <w:color w:val="000000"/>
          <w:szCs w:val="24"/>
          <w:lang w:val="es-ES_tradnl" w:eastAsia="es-ES_tradnl"/>
        </w:rPr>
      </w:pPr>
    </w:p>
    <w:p w:rsidRPr="00002BAF" w:rsidR="00B523D5" w:rsidP="00B523D5" w:rsidRDefault="00B523D5" w14:paraId="13EE2DF1" w14:textId="77777777">
      <w:pPr>
        <w:spacing w:after="0" w:line="276" w:lineRule="auto"/>
        <w:jc w:val="both"/>
        <w:rPr>
          <w:rFonts w:ascii="Arial" w:hAnsi="Arial" w:eastAsia="Calibri" w:cs="Arial"/>
          <w:color w:val="000000"/>
          <w:szCs w:val="24"/>
          <w:lang w:val="es-ES_tradnl" w:eastAsia="es-ES_tradnl"/>
        </w:rPr>
      </w:pPr>
      <w:r w:rsidRPr="00002BAF">
        <w:rPr>
          <w:rFonts w:ascii="Arial" w:hAnsi="Arial" w:eastAsia="Calibri" w:cs="Arial"/>
          <w:b/>
          <w:bCs/>
          <w:color w:val="000000"/>
          <w:szCs w:val="24"/>
          <w:lang w:val="es-ES_tradnl" w:eastAsia="es-ES_tradnl"/>
        </w:rPr>
        <w:t>2.2. Reglamentación del concurso de méritos abierto o con precalificación en el Decreto 399 de 2021</w:t>
      </w:r>
    </w:p>
    <w:p w:rsidRPr="00002BAF" w:rsidR="00B523D5" w:rsidP="00B523D5" w:rsidRDefault="00B523D5" w14:paraId="3365345E" w14:textId="77777777">
      <w:pPr>
        <w:spacing w:after="0" w:line="276" w:lineRule="auto"/>
        <w:jc w:val="both"/>
        <w:rPr>
          <w:rFonts w:ascii="Arial" w:hAnsi="Arial" w:eastAsia="Calibri" w:cs="Arial"/>
          <w:color w:val="000000"/>
          <w:szCs w:val="24"/>
          <w:lang w:val="es-ES_tradnl" w:eastAsia="es-ES_tradnl"/>
        </w:rPr>
      </w:pPr>
    </w:p>
    <w:p w:rsidRPr="00002BAF" w:rsidR="00B523D5" w:rsidP="00B523D5" w:rsidRDefault="00B523D5" w14:paraId="4C96CE5E" w14:textId="77777777">
      <w:pPr>
        <w:spacing w:after="0" w:line="276" w:lineRule="auto"/>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El artículo 2 del Decreto 399 de 2021 modificó el artículo 2.2.1.2.1.3.2. del Decreto 1082 de 2015, en los siguientes términos:</w:t>
      </w:r>
    </w:p>
    <w:p w:rsidRPr="00002BAF" w:rsidR="00B523D5" w:rsidP="00B523D5" w:rsidRDefault="00B523D5" w14:paraId="5077CC48"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p>
    <w:p w:rsidRPr="00002BAF" w:rsidR="00B523D5" w:rsidP="00B523D5" w:rsidRDefault="00B523D5" w14:paraId="1EE4C1B9"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Pr>
          <w:rFonts w:ascii="Arial" w:hAnsi="Arial" w:eastAsia="Times New Roman" w:cs="Arial"/>
          <w:color w:val="000000"/>
          <w:sz w:val="21"/>
          <w:szCs w:val="21"/>
          <w:lang w:val="es-ES_tradnl" w:eastAsia="es-ES_tradnl"/>
        </w:rPr>
        <w:t>«</w:t>
      </w:r>
      <w:r w:rsidRPr="00002BAF">
        <w:rPr>
          <w:rFonts w:ascii="Arial" w:hAnsi="Arial" w:eastAsia="Times New Roman" w:cs="Arial"/>
          <w:color w:val="000000"/>
          <w:sz w:val="21"/>
          <w:szCs w:val="21"/>
          <w:lang w:val="es-ES_tradnl" w:eastAsia="es-ES_tradnl"/>
        </w:rPr>
        <w:t>Artículo</w:t>
      </w:r>
      <w:bookmarkStart w:name="2" w:id="5"/>
      <w:r w:rsidRPr="00002BAF">
        <w:rPr>
          <w:rFonts w:ascii="Arial" w:hAnsi="Arial" w:eastAsia="Times New Roman" w:cs="Arial"/>
          <w:color w:val="000000"/>
          <w:sz w:val="21"/>
          <w:szCs w:val="21"/>
          <w:lang w:val="es-ES_tradnl" w:eastAsia="es-ES_tradnl"/>
        </w:rPr>
        <w:t> </w:t>
      </w:r>
      <w:bookmarkEnd w:id="5"/>
      <w:r w:rsidRPr="00002BAF">
        <w:rPr>
          <w:rFonts w:ascii="Arial" w:hAnsi="Arial" w:eastAsia="Times New Roman" w:cs="Arial"/>
          <w:color w:val="000000"/>
          <w:sz w:val="21"/>
          <w:szCs w:val="21"/>
          <w:lang w:val="es-ES_tradnl" w:eastAsia="es-ES_tradnl"/>
        </w:rPr>
        <w:t>2. Modificación del artículo </w:t>
      </w:r>
      <w:hyperlink w:history="1" w:anchor="2.2.1.2.1.3.2" r:id="rId13">
        <w:r w:rsidRPr="00002BAF">
          <w:rPr>
            <w:rFonts w:ascii="Arial" w:hAnsi="Arial" w:eastAsia="Times New Roman" w:cs="Arial"/>
            <w:color w:val="000000"/>
            <w:sz w:val="21"/>
            <w:szCs w:val="21"/>
            <w:lang w:val="es-ES_tradnl" w:eastAsia="es-ES_tradnl"/>
          </w:rPr>
          <w:t>2.2.1.2.1.3.2</w:t>
        </w:r>
      </w:hyperlink>
      <w:r w:rsidRPr="00002BAF">
        <w:rPr>
          <w:rFonts w:ascii="Arial" w:hAnsi="Arial" w:eastAsia="Times New Roman" w:cs="Arial"/>
          <w:color w:val="000000"/>
          <w:sz w:val="21"/>
          <w:szCs w:val="21"/>
          <w:lang w:val="es-ES_tradnl" w:eastAsia="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rsidRPr="00002BAF" w:rsidR="00B523D5" w:rsidP="00B523D5" w:rsidRDefault="00B523D5" w14:paraId="48E88855"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 </w:t>
      </w:r>
    </w:p>
    <w:p w:rsidRPr="00002BAF" w:rsidR="00B523D5" w:rsidP="00B523D5" w:rsidRDefault="00B523D5" w14:paraId="1BC31294"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"Artículo 2.2.1.2.1.3.2. Procedimiento del concurso de méritos. Además de las reglas generales previstas en la ley y en el presente título, las siguientes reglas son aplicables al concurso de méritos abierto o con precalificación:</w:t>
      </w:r>
    </w:p>
    <w:p w:rsidRPr="00002BAF" w:rsidR="00B523D5" w:rsidP="00B523D5" w:rsidRDefault="00B523D5" w14:paraId="25AC683F"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 </w:t>
      </w:r>
    </w:p>
    <w:p w:rsidRPr="00002BAF" w:rsidR="00B523D5" w:rsidP="00B523D5" w:rsidRDefault="00B523D5" w14:paraId="6228005E"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1. La Entidad Estatal en los pliegos de condiciones debe indicar la forma como calificará, entre otros, los siguientes criterios: a) la experiencia del interesado y del equipo de trabajo y b) la formación académica del equipo de trabajo.</w:t>
      </w:r>
    </w:p>
    <w:p w:rsidRPr="00002BAF" w:rsidR="00B523D5" w:rsidP="00B523D5" w:rsidRDefault="00B523D5" w14:paraId="33A2FAEE"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 </w:t>
      </w:r>
    </w:p>
    <w:p w:rsidRPr="00002BAF" w:rsidR="00B523D5" w:rsidP="00B523D5" w:rsidRDefault="00B523D5" w14:paraId="0E813BB4"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rsidRPr="00002BAF" w:rsidR="00B523D5" w:rsidP="00B523D5" w:rsidRDefault="00B523D5" w14:paraId="0EDC278F"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 </w:t>
      </w:r>
    </w:p>
    <w:p w:rsidRPr="00002BAF" w:rsidR="00B523D5" w:rsidP="00B523D5" w:rsidRDefault="00B523D5" w14:paraId="2EE65126"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3. Una vez resueltas las observaciones al informe de evaluación, la entidad adjudicará el contrato mediante acto administrativo al oferente que haya cumplido todos los requisitos exigidos en el pliego de condiciones y haya obtenido el mayor puntaje</w:t>
      </w:r>
      <w:r>
        <w:rPr>
          <w:rFonts w:ascii="Arial" w:hAnsi="Arial" w:eastAsia="Times New Roman" w:cs="Arial"/>
          <w:color w:val="000000"/>
          <w:sz w:val="21"/>
          <w:szCs w:val="21"/>
          <w:lang w:val="es-ES_tradnl" w:eastAsia="es-ES_tradnl"/>
        </w:rPr>
        <w:t>»</w:t>
      </w:r>
      <w:r w:rsidRPr="00002BAF">
        <w:rPr>
          <w:rFonts w:ascii="Arial" w:hAnsi="Arial" w:eastAsia="Times New Roman" w:cs="Arial"/>
          <w:color w:val="000000"/>
          <w:sz w:val="21"/>
          <w:szCs w:val="21"/>
          <w:lang w:val="es-ES_tradnl" w:eastAsia="es-ES_tradnl"/>
        </w:rPr>
        <w:t>.</w:t>
      </w:r>
    </w:p>
    <w:p w:rsidRPr="00002BAF" w:rsidR="00B523D5" w:rsidP="00B523D5" w:rsidRDefault="00B523D5" w14:paraId="54C3DB1F" w14:textId="77777777">
      <w:pPr>
        <w:spacing w:after="0" w:line="240" w:lineRule="auto"/>
        <w:rPr>
          <w:rFonts w:ascii="Times New Roman" w:hAnsi="Times New Roman" w:eastAsia="Times New Roman" w:cs="Times New Roman"/>
          <w:color w:val="000000"/>
          <w:sz w:val="24"/>
          <w:szCs w:val="24"/>
          <w:lang w:val="es-ES_tradnl" w:eastAsia="es-ES_tradnl"/>
        </w:rPr>
      </w:pPr>
    </w:p>
    <w:p w:rsidRPr="00002BAF" w:rsidR="00B523D5" w:rsidP="00B523D5" w:rsidRDefault="00B523D5" w14:paraId="78BA1691" w14:textId="77777777">
      <w:pPr>
        <w:spacing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 xml:space="preserve">Como se observa, el artículo 2 del Decreto 399 de 2021 reformó la reglamentación del concurso de méritos, para adecuarla a los pronunciamientos del Consejo de Estado que habían suspendido provisionalmente algunos numerales del artículo 2.2.1.2.1.3.2. del Decreto 1082 de </w:t>
      </w:r>
      <w:r w:rsidRPr="00002BAF">
        <w:rPr>
          <w:rFonts w:ascii="Arial" w:hAnsi="Arial" w:eastAsia="Calibri" w:cs="Arial"/>
          <w:color w:val="000000"/>
          <w:szCs w:val="24"/>
          <w:lang w:val="es-ES_tradnl" w:eastAsia="es-ES_tradnl"/>
        </w:rPr>
        <w:lastRenderedPageBreak/>
        <w:t>2015</w:t>
      </w:r>
      <w:r w:rsidRPr="00002BAF">
        <w:rPr>
          <w:rFonts w:ascii="Arial" w:hAnsi="Arial" w:eastAsia="Calibri" w:cs="Arial"/>
          <w:color w:val="000000"/>
          <w:szCs w:val="24"/>
          <w:vertAlign w:val="superscript"/>
          <w:lang w:val="es-ES_tradnl" w:eastAsia="es-ES_tradnl"/>
        </w:rPr>
        <w:footnoteReference w:id="6"/>
      </w:r>
      <w:r w:rsidRPr="00002BAF">
        <w:rPr>
          <w:rFonts w:ascii="Arial" w:hAnsi="Arial" w:eastAsia="Calibri" w:cs="Arial"/>
          <w:color w:val="000000"/>
          <w:szCs w:val="24"/>
          <w:lang w:val="es-ES_tradnl" w:eastAsia="es-ES_tradnl"/>
        </w:rPr>
        <w:t>. A diferencia de lo que establecía este artículo en su redacción inicial, con la entrada en vigencia del artículo 2 del Decreto 399 de 2021 se observan los siguientes cambios:</w:t>
      </w:r>
    </w:p>
    <w:p w:rsidRPr="00002BAF" w:rsidR="00B523D5" w:rsidP="00B523D5" w:rsidRDefault="00B523D5" w14:paraId="16009E82" w14:textId="77777777">
      <w:pPr>
        <w:spacing w:before="120"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rsidRPr="00002BAF" w:rsidR="00B523D5" w:rsidP="00B523D5" w:rsidRDefault="00B523D5" w14:paraId="30CD8F02" w14:textId="77777777">
      <w:pPr>
        <w:spacing w:before="120"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ii)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rsidRPr="00002BAF" w:rsidR="00B523D5" w:rsidP="00B523D5" w:rsidRDefault="00B523D5" w14:paraId="58F418E4" w14:textId="77777777">
      <w:pPr>
        <w:spacing w:before="120"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 xml:space="preserve">iii) Como el nuevo artículo 2.2.1.2.1.3.2. del Decreto 1082 de 2015, modificado por el artículo 2 del Decreto 399 de 2021, ya no establece una fase de negociación entre la entidad </w:t>
      </w:r>
      <w:r w:rsidRPr="00002BAF">
        <w:rPr>
          <w:rFonts w:ascii="Arial" w:hAnsi="Arial" w:eastAsia="Calibri" w:cs="Arial"/>
          <w:color w:val="000000"/>
          <w:szCs w:val="24"/>
          <w:lang w:val="es-ES_tradnl" w:eastAsia="es-ES_tradnl"/>
        </w:rPr>
        <w:lastRenderedPageBreak/>
        <w:t>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rsidRPr="00002BAF" w:rsidR="00B523D5" w:rsidP="00B523D5" w:rsidRDefault="00B523D5" w14:paraId="276BC283" w14:textId="77777777">
      <w:pPr>
        <w:spacing w:before="120"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rsidRPr="00002BAF" w:rsidR="00B523D5" w:rsidP="00B523D5" w:rsidRDefault="00B523D5" w14:paraId="6C11F3B4"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p>
    <w:p w:rsidRPr="00002BAF" w:rsidR="00B523D5" w:rsidP="00B523D5" w:rsidRDefault="00B523D5" w14:paraId="07BF319C"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Pr>
          <w:rFonts w:ascii="Arial" w:hAnsi="Arial" w:eastAsia="Times New Roman" w:cs="Arial"/>
          <w:color w:val="000000"/>
          <w:sz w:val="21"/>
          <w:szCs w:val="21"/>
          <w:lang w:val="es-ES_tradnl" w:eastAsia="es-ES_tradnl"/>
        </w:rPr>
        <w:t>«</w:t>
      </w:r>
      <w:r w:rsidRPr="00002BAF">
        <w:rPr>
          <w:rFonts w:ascii="Arial" w:hAnsi="Arial" w:eastAsia="Times New Roman" w:cs="Arial"/>
          <w:color w:val="000000"/>
          <w:sz w:val="21"/>
          <w:szCs w:val="21"/>
          <w:lang w:val="es-ES_tradnl" w:eastAsia="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rsidRPr="00002BAF" w:rsidR="00B523D5" w:rsidP="00B523D5" w:rsidRDefault="00B523D5" w14:paraId="4CDEF2D5"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 </w:t>
      </w:r>
    </w:p>
    <w:p w:rsidRPr="00002BAF" w:rsidR="00B523D5" w:rsidP="00B523D5" w:rsidRDefault="00B523D5" w14:paraId="2016A1F5" w14:textId="77777777">
      <w:pPr>
        <w:shd w:val="clear" w:color="auto" w:fill="FFFFFF"/>
        <w:spacing w:after="0" w:line="240" w:lineRule="auto"/>
        <w:ind w:left="709" w:right="709"/>
        <w:jc w:val="both"/>
        <w:rPr>
          <w:rFonts w:ascii="Arial" w:hAnsi="Arial" w:eastAsia="Times New Roman" w:cs="Arial"/>
          <w:color w:val="000000"/>
          <w:sz w:val="21"/>
          <w:szCs w:val="21"/>
          <w:lang w:val="es-ES_tradnl" w:eastAsia="es-ES_tradnl"/>
        </w:rPr>
      </w:pPr>
      <w:r w:rsidRPr="00002BAF">
        <w:rPr>
          <w:rFonts w:ascii="Arial" w:hAnsi="Arial" w:eastAsia="Times New Roman" w:cs="Arial"/>
          <w:color w:val="000000"/>
          <w:sz w:val="21"/>
          <w:szCs w:val="21"/>
          <w:lang w:val="es-ES_tradnl" w:eastAsia="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Pr>
          <w:rFonts w:ascii="Arial" w:hAnsi="Arial" w:eastAsia="Times New Roman" w:cs="Arial"/>
          <w:color w:val="000000"/>
          <w:sz w:val="21"/>
          <w:szCs w:val="21"/>
          <w:lang w:val="es-ES_tradnl" w:eastAsia="es-ES_tradnl"/>
        </w:rPr>
        <w:t>»</w:t>
      </w:r>
      <w:r w:rsidRPr="00002BAF">
        <w:rPr>
          <w:rFonts w:ascii="Arial" w:hAnsi="Arial" w:eastAsia="Times New Roman" w:cs="Arial"/>
          <w:color w:val="000000"/>
          <w:sz w:val="21"/>
          <w:szCs w:val="21"/>
          <w:lang w:val="es-ES_tradnl" w:eastAsia="es-ES_tradnl"/>
        </w:rPr>
        <w:t>.</w:t>
      </w:r>
      <w:r w:rsidRPr="00002BAF">
        <w:rPr>
          <w:rFonts w:ascii="Arial" w:hAnsi="Arial" w:eastAsia="Calibri" w:cs="Arial"/>
          <w:color w:val="000000"/>
          <w:szCs w:val="24"/>
          <w:lang w:val="es-ES_tradnl" w:eastAsia="es-ES_tradnl"/>
        </w:rPr>
        <w:t xml:space="preserve">  </w:t>
      </w:r>
    </w:p>
    <w:p w:rsidRPr="00002BAF" w:rsidR="00B523D5" w:rsidP="00B523D5" w:rsidRDefault="00B523D5" w14:paraId="1F4FFFE9" w14:textId="77777777">
      <w:pPr>
        <w:spacing w:after="0" w:line="276" w:lineRule="auto"/>
        <w:ind w:firstLine="709"/>
        <w:jc w:val="both"/>
        <w:rPr>
          <w:rFonts w:ascii="Arial" w:hAnsi="Arial" w:eastAsia="Calibri" w:cs="Arial"/>
          <w:color w:val="000000"/>
          <w:szCs w:val="24"/>
          <w:lang w:val="es-ES_tradnl" w:eastAsia="es-ES_tradnl"/>
        </w:rPr>
      </w:pPr>
    </w:p>
    <w:p w:rsidRPr="00002BAF" w:rsidR="00B523D5" w:rsidP="00B523D5" w:rsidRDefault="00B523D5" w14:paraId="5B194132" w14:textId="77777777">
      <w:pPr>
        <w:spacing w:after="0" w:line="276" w:lineRule="auto"/>
        <w:ind w:firstLine="709"/>
        <w:jc w:val="both"/>
        <w:rPr>
          <w:rFonts w:ascii="Arial" w:hAnsi="Arial" w:eastAsia="Calibri" w:cs="Arial"/>
          <w:color w:val="000000"/>
          <w:lang w:val="es-ES" w:eastAsia="es-ES"/>
        </w:rPr>
      </w:pPr>
      <w:r w:rsidRPr="0609C3EE">
        <w:rPr>
          <w:rFonts w:ascii="Arial" w:hAnsi="Arial" w:eastAsia="Calibri" w:cs="Arial"/>
          <w:color w:val="000000" w:themeColor="text1"/>
          <w:lang w:val="es-ES" w:eastAsia="es-ES"/>
        </w:rPr>
        <w:t xml:space="preserve">Por lo tanto, 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w:t>
      </w:r>
      <w:r w:rsidRPr="0609C3EE">
        <w:rPr>
          <w:rFonts w:ascii="Arial" w:hAnsi="Arial" w:eastAsia="Calibri" w:cs="Arial"/>
          <w:color w:val="000000" w:themeColor="text1"/>
          <w:lang w:val="es-ES" w:eastAsia="es-ES"/>
        </w:rPr>
        <w:lastRenderedPageBreak/>
        <w:t xml:space="preserve">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rsidRPr="00002BAF" w:rsidR="00B523D5" w:rsidP="00B523D5" w:rsidRDefault="00B523D5" w14:paraId="72E6F3CD" w14:textId="77777777">
      <w:pPr>
        <w:spacing w:before="120" w:after="0" w:line="276" w:lineRule="auto"/>
        <w:ind w:firstLine="709"/>
        <w:jc w:val="both"/>
        <w:rPr>
          <w:rFonts w:ascii="Arial" w:hAnsi="Arial" w:eastAsia="Calibri" w:cs="Arial"/>
          <w:color w:val="000000"/>
          <w:szCs w:val="24"/>
          <w:lang w:val="es-ES_tradnl" w:eastAsia="es-ES_tradnl"/>
        </w:rPr>
      </w:pPr>
      <w:r w:rsidRPr="00002BAF">
        <w:rPr>
          <w:rFonts w:ascii="Arial" w:hAnsi="Arial" w:eastAsia="Calibri" w:cs="Arial"/>
          <w:color w:val="000000"/>
          <w:szCs w:val="24"/>
          <w:lang w:val="es-ES_tradnl" w:eastAsia="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evaluación es la adjudicación del contrato o la declaratoria de desierta, si ninguno de los oferentes cumple los requisitos habilitantes.</w:t>
      </w:r>
    </w:p>
    <w:bookmarkEnd w:id="4"/>
    <w:p w:rsidRPr="00002BAF" w:rsidR="00B523D5" w:rsidP="00B523D5" w:rsidRDefault="00B523D5" w14:paraId="2123FB1B" w14:textId="77777777">
      <w:pPr>
        <w:spacing w:before="120" w:after="0" w:line="276" w:lineRule="auto"/>
        <w:ind w:firstLine="709"/>
        <w:jc w:val="both"/>
        <w:rPr>
          <w:rFonts w:ascii="Arial" w:hAnsi="Arial" w:eastAsia="Times New Roman" w:cs="Arial"/>
          <w:shd w:val="clear" w:color="auto" w:fill="FFFFFF"/>
          <w:lang w:eastAsia="es-ES_tradnl"/>
        </w:rPr>
      </w:pPr>
      <w:r w:rsidRPr="00002BAF">
        <w:rPr>
          <w:rFonts w:ascii="Arial" w:hAnsi="Arial" w:eastAsia="Calibri" w:cs="Arial"/>
          <w:szCs w:val="24"/>
          <w:lang w:val="es-ES_tradnl" w:eastAsia="es-ES_tradnl"/>
        </w:rPr>
        <w:t>De lo explicado previamente, surge el siguiente interrogante: ¿el artículo 2 del Decreto 399 de 2021, normativa que modifica el artículo 2.2.1.2.1.3.2 del Decreto 1082, varía el momento en el cual las entidades estatales evalúan las ofertas económicas? En la regulación inicialmente prevista por</w:t>
      </w:r>
      <w:r w:rsidRPr="00002BAF">
        <w:rPr>
          <w:rFonts w:ascii="Arial" w:hAnsi="Arial" w:eastAsia="Times New Roman" w:cs="Arial"/>
          <w:shd w:val="clear" w:color="auto" w:fill="FFFFFF"/>
          <w:lang w:eastAsia="es-ES_tradnl"/>
        </w:rPr>
        <w:t xml:space="preserve"> el Decreto 1082 de 201</w:t>
      </w:r>
      <w:r w:rsidRPr="00002BAF">
        <w:rPr>
          <w:rFonts w:ascii="Arial" w:hAnsi="Arial" w:eastAsia="Times New Roman" w:cs="Arial"/>
          <w:bCs/>
          <w:shd w:val="clear" w:color="auto" w:fill="FFFFFF"/>
          <w:lang w:eastAsia="es-ES_tradnl"/>
        </w:rPr>
        <w:t>5,</w:t>
      </w:r>
      <w:r w:rsidRPr="00002BAF">
        <w:rPr>
          <w:rFonts w:ascii="Arial" w:hAnsi="Arial" w:eastAsia="Times New Roman" w:cs="Arial"/>
          <w:shd w:val="clear" w:color="auto" w:fill="FFFFFF"/>
          <w:lang w:eastAsia="es-ES_tradnl"/>
        </w:rPr>
        <w:t xml:space="preserve"> la revisión de las ofertas económicas se realizaba luego de publicar el informe de evaluación que contenía la calificación técnica y el orden de elegibilidad</w:t>
      </w:r>
      <w:r w:rsidRPr="00002BAF">
        <w:rPr>
          <w:rFonts w:ascii="Arial" w:hAnsi="Arial" w:eastAsia="Times New Roman" w:cs="Arial"/>
          <w:shd w:val="clear" w:color="auto" w:fill="FFFFFF"/>
          <w:vertAlign w:val="superscript"/>
          <w:lang w:eastAsia="es-ES_tradnl"/>
        </w:rPr>
        <w:footnoteReference w:id="7"/>
      </w:r>
      <w:r w:rsidRPr="00002BAF">
        <w:rPr>
          <w:rFonts w:ascii="Arial" w:hAnsi="Arial" w:eastAsia="Times New Roman" w:cs="Arial"/>
          <w:shd w:val="clear" w:color="auto" w:fill="FFFFFF"/>
          <w:lang w:eastAsia="es-ES_tradnl"/>
        </w:rPr>
        <w:t xml:space="preserve">. En este sentido, vencido el plazo de la fecha del cierre del proceso se evaluaban los documentos referidos a la calificación técnica, cuyo análisis y revisión quedaba contenido en el informe de evaluación. Publicado este informe en la plataforma del Sistema Electrónico de Contratación Pública –SECOP–, se procedía a revisar la oferta económica para determinar que el valor de esta estuviera acorde con el valor del presupuesto estimado por la Entidad. </w:t>
      </w:r>
    </w:p>
    <w:p w:rsidRPr="00002BAF" w:rsidR="00B523D5" w:rsidP="00B523D5" w:rsidRDefault="00B523D5" w14:paraId="7C65098E" w14:textId="77777777">
      <w:pPr>
        <w:spacing w:before="120" w:after="0" w:line="276" w:lineRule="auto"/>
        <w:ind w:firstLine="709"/>
        <w:jc w:val="both"/>
        <w:rPr>
          <w:rFonts w:ascii="Arial" w:hAnsi="Arial" w:eastAsia="Times New Roman" w:cs="Arial"/>
          <w:shd w:val="clear" w:color="auto" w:fill="FFFFFF"/>
          <w:lang w:eastAsia="es-ES_tradnl"/>
        </w:rPr>
      </w:pPr>
      <w:r w:rsidRPr="00002BAF">
        <w:rPr>
          <w:rFonts w:ascii="Arial" w:hAnsi="Arial" w:eastAsia="Times New Roman" w:cs="Arial"/>
          <w:shd w:val="clear" w:color="auto" w:fill="FFFFFF"/>
          <w:lang w:eastAsia="es-ES_tradnl"/>
        </w:rPr>
        <w:lastRenderedPageBreak/>
        <w:t>Por su parte, con fundamento en el 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las ofertas económicas.</w:t>
      </w:r>
    </w:p>
    <w:p w:rsidRPr="00002BAF" w:rsidR="00B523D5" w:rsidP="00B523D5" w:rsidRDefault="00B523D5" w14:paraId="4B2C891E" w14:textId="77777777">
      <w:pPr>
        <w:spacing w:before="120" w:after="0" w:line="276" w:lineRule="auto"/>
        <w:ind w:firstLine="709"/>
        <w:jc w:val="both"/>
        <w:rPr>
          <w:rFonts w:ascii="Arial" w:hAnsi="Arial" w:eastAsia="Calibri" w:cs="Arial"/>
          <w:lang w:val="es-ES_tradnl"/>
        </w:rPr>
      </w:pPr>
      <w:bookmarkStart w:name="_Hlk94629410" w:id="6"/>
      <w:r w:rsidRPr="00002BAF">
        <w:rPr>
          <w:rFonts w:ascii="Arial" w:hAnsi="Arial" w:eastAsia="Times New Roman" w:cs="Arial"/>
          <w:shd w:val="clear" w:color="auto" w:fill="FFFFFF"/>
          <w:lang w:eastAsia="es-ES_tradnl"/>
        </w:rPr>
        <w:t>Ahora bien</w:t>
      </w:r>
      <w:r w:rsidRPr="00002BAF">
        <w:rPr>
          <w:rFonts w:ascii="Arial" w:hAnsi="Arial" w:eastAsia="Calibri" w:cs="Arial"/>
          <w:lang w:val="es-ES_tradnl"/>
        </w:rPr>
        <w:t xml:space="preserve">, se resalta que la oferta económica en esta modalidad de selección no es un criterio de asignación de puntaje, teniendo en cuenta lo prescrito en el artículo 5, numeral 4, de la Ley 1150 de 2007. De igual forma, de acuerdo con el numeral 1 del artículo 2.2.1.2.1.3.2 del Decreto 1082 de 2015, la experiencia y la formación académica del equipo de trabajo son criterios de asignación de puntaje. </w:t>
      </w:r>
    </w:p>
    <w:p w:rsidRPr="00002BAF" w:rsidR="00B523D5" w:rsidP="00B523D5" w:rsidRDefault="00B523D5" w14:paraId="0695198C" w14:textId="77777777">
      <w:pPr>
        <w:spacing w:before="120" w:after="0" w:line="276" w:lineRule="auto"/>
        <w:ind w:firstLine="709"/>
        <w:jc w:val="both"/>
        <w:rPr>
          <w:rFonts w:ascii="Arial" w:hAnsi="Arial" w:eastAsia="Calibri" w:cs="Arial"/>
          <w:lang w:val="es-ES_tradnl"/>
        </w:rPr>
      </w:pPr>
      <w:r w:rsidRPr="00002BAF">
        <w:rPr>
          <w:rFonts w:ascii="Arial" w:hAnsi="Arial" w:eastAsia="Calibri" w:cs="Arial"/>
          <w:lang w:val="es-ES_tradnl"/>
        </w:rPr>
        <w:t xml:space="preserve">Al respecto, es importante señalar que el artículo 12 del Decreto Ley 785 de 2005 dispone lo siguiente: </w:t>
      </w:r>
    </w:p>
    <w:p w:rsidRPr="00002BAF" w:rsidR="00B523D5" w:rsidP="00B523D5" w:rsidRDefault="00B523D5" w14:paraId="2101B494" w14:textId="77777777">
      <w:pPr>
        <w:spacing w:after="0" w:line="240" w:lineRule="auto"/>
        <w:ind w:right="709"/>
        <w:jc w:val="both"/>
        <w:rPr>
          <w:rFonts w:ascii="Arial" w:hAnsi="Arial" w:eastAsia="Calibri" w:cs="Arial"/>
          <w:lang w:val="es-ES_tradnl"/>
        </w:rPr>
      </w:pPr>
    </w:p>
    <w:p w:rsidRPr="00002BAF" w:rsidR="00B523D5" w:rsidP="00B523D5" w:rsidRDefault="00B523D5" w14:paraId="59794564" w14:textId="77777777">
      <w:pPr>
        <w:spacing w:after="0" w:line="240" w:lineRule="auto"/>
        <w:ind w:left="709" w:right="709"/>
        <w:jc w:val="both"/>
        <w:rPr>
          <w:rFonts w:ascii="Arial" w:hAnsi="Arial" w:eastAsia="Calibri" w:cs="Arial"/>
          <w:sz w:val="21"/>
          <w:szCs w:val="21"/>
          <w:lang w:val="es-ES_tradnl"/>
        </w:rPr>
      </w:pPr>
      <w:r>
        <w:rPr>
          <w:rFonts w:ascii="Arial" w:hAnsi="Arial" w:eastAsia="Calibri" w:cs="Arial"/>
          <w:sz w:val="21"/>
          <w:szCs w:val="21"/>
          <w:lang w:val="es-ES_tradnl"/>
        </w:rPr>
        <w:t>«</w:t>
      </w:r>
      <w:r w:rsidRPr="00002BAF">
        <w:rPr>
          <w:rFonts w:ascii="Arial" w:hAnsi="Arial" w:eastAsia="Calibri" w:cs="Arial"/>
          <w:sz w:val="21"/>
          <w:szCs w:val="21"/>
          <w:lang w:val="es-ES_tradnl"/>
        </w:rPr>
        <w:t>Artículo 12. Certificación de la experiencia. La experiencia se acreditará mediante la presentación de constancias escritas, expedidas por la autoridad competente de las respectivas instituciones oficiales o privadas. Cuando el interesado haya ejercido su profesión o actividad en forma independiente, la experiencia se acreditará mediante declaración del mismo. […]</w:t>
      </w:r>
      <w:r>
        <w:rPr>
          <w:rFonts w:ascii="Arial" w:hAnsi="Arial" w:eastAsia="Calibri" w:cs="Arial"/>
          <w:sz w:val="21"/>
          <w:szCs w:val="21"/>
          <w:lang w:val="es-ES_tradnl"/>
        </w:rPr>
        <w:t>»</w:t>
      </w:r>
    </w:p>
    <w:p w:rsidRPr="00002BAF" w:rsidR="00B523D5" w:rsidP="00B523D5" w:rsidRDefault="00B523D5" w14:paraId="1C67ECF0" w14:textId="77777777">
      <w:pPr>
        <w:spacing w:after="0" w:line="240" w:lineRule="auto"/>
        <w:ind w:left="709" w:right="709"/>
        <w:jc w:val="both"/>
        <w:rPr>
          <w:rFonts w:ascii="Arial" w:hAnsi="Arial" w:eastAsia="Calibri" w:cs="Arial"/>
          <w:lang w:val="es-ES_tradnl"/>
        </w:rPr>
      </w:pPr>
    </w:p>
    <w:p w:rsidRPr="00002BAF" w:rsidR="00B523D5" w:rsidP="00B523D5" w:rsidRDefault="00B523D5" w14:paraId="59F98455" w14:textId="77777777">
      <w:pPr>
        <w:spacing w:after="120" w:line="276" w:lineRule="auto"/>
        <w:ind w:firstLine="709"/>
        <w:jc w:val="both"/>
        <w:rPr>
          <w:rFonts w:ascii="Arial" w:hAnsi="Arial" w:eastAsia="Calibri" w:cs="Arial"/>
          <w:lang w:val="es-ES_tradnl"/>
        </w:rPr>
      </w:pPr>
      <w:r w:rsidRPr="00002BAF">
        <w:rPr>
          <w:rFonts w:ascii="Arial" w:hAnsi="Arial" w:eastAsia="Calibri" w:cs="Arial"/>
          <w:lang w:val="es-ES_tradnl"/>
        </w:rPr>
        <w:t xml:space="preserve">Adicionalmente, el Decreto 1083 de 2015 contempla en su artículo 2.2.2.3.8 una regla de acreditación de experiencia similar a la citada con anterioridad, en el sentido de que ello debe realizarse a través de la presentación de constancias expedidas por la autoridad competente de las respectivas instituciones oficiales o privadas. </w:t>
      </w:r>
    </w:p>
    <w:p w:rsidRPr="00002BAF" w:rsidR="00B523D5" w:rsidP="00B523D5" w:rsidRDefault="00B523D5" w14:paraId="5456A637" w14:textId="77777777">
      <w:pPr>
        <w:spacing w:after="0" w:line="276" w:lineRule="auto"/>
        <w:ind w:firstLine="709"/>
        <w:jc w:val="both"/>
        <w:rPr>
          <w:rFonts w:ascii="Arial" w:hAnsi="Arial" w:eastAsia="Calibri" w:cs="Arial"/>
          <w:lang w:val="es-ES_tradnl"/>
        </w:rPr>
      </w:pPr>
      <w:r w:rsidRPr="00002BAF">
        <w:rPr>
          <w:rFonts w:ascii="Arial" w:hAnsi="Arial" w:eastAsia="Calibri" w:cs="Arial"/>
          <w:lang w:val="es-ES_tradnl"/>
        </w:rPr>
        <w:t>Por lo tanto, para la calificación de la experiencia de un proponente y su equipo de trabajo en desarrollo de un concurso de méritos, es suficiente con la presentación de las respectivas constancias expedidas por las instituciones oficiales o privadas en las cuales hayan prestado sus servicios o desempeñado algún cargo o empleo. Así, es posible prescindir de la historia laboral para la acreditación de la experiencia.</w:t>
      </w:r>
    </w:p>
    <w:bookmarkEnd w:id="6"/>
    <w:p w:rsidR="00B523D5" w:rsidP="00B523D5" w:rsidRDefault="00B523D5" w14:paraId="1B33770E" w14:textId="77777777">
      <w:pPr>
        <w:spacing w:after="0" w:line="276" w:lineRule="auto"/>
        <w:jc w:val="both"/>
        <w:rPr>
          <w:rFonts w:ascii="Arial" w:hAnsi="Arial" w:eastAsia="Calibri" w:cs="Arial"/>
          <w:b/>
          <w:bCs/>
          <w:color w:val="000000"/>
          <w:szCs w:val="24"/>
          <w:lang w:val="es-ES_tradnl" w:eastAsia="en-GB"/>
        </w:rPr>
      </w:pPr>
    </w:p>
    <w:p w:rsidRPr="00E9485C" w:rsidR="00B523D5" w:rsidP="00B523D5" w:rsidRDefault="00B523D5" w14:paraId="206B1D38" w14:textId="77777777">
      <w:pPr>
        <w:spacing w:after="0" w:line="276" w:lineRule="auto"/>
        <w:jc w:val="both"/>
        <w:rPr>
          <w:rFonts w:ascii="Arial" w:hAnsi="Arial" w:eastAsia="Calibri" w:cs="Arial"/>
          <w:color w:val="000000"/>
          <w:szCs w:val="24"/>
          <w:lang w:eastAsia="es-ES_tradnl"/>
        </w:rPr>
      </w:pPr>
      <w:r w:rsidRPr="00002BAF">
        <w:rPr>
          <w:rFonts w:ascii="Arial" w:hAnsi="Arial" w:eastAsia="Times New Roman" w:cs="Arial"/>
          <w:b/>
          <w:lang w:eastAsia="es-ES_tradnl"/>
        </w:rPr>
        <w:t>3. Respuesta</w:t>
      </w:r>
    </w:p>
    <w:p w:rsidRPr="00673015" w:rsidR="00B523D5" w:rsidP="00B523D5" w:rsidRDefault="00B523D5" w14:paraId="484CAB9C" w14:textId="77777777">
      <w:pPr>
        <w:tabs>
          <w:tab w:val="left" w:pos="284"/>
        </w:tabs>
        <w:spacing w:after="0"/>
        <w:rPr>
          <w:rFonts w:ascii="Arial" w:hAnsi="Arial" w:eastAsia="Calibri" w:cs="Arial"/>
          <w:b/>
        </w:rPr>
      </w:pPr>
    </w:p>
    <w:p w:rsidR="00B523D5" w:rsidP="00B523D5" w:rsidRDefault="00B523D5" w14:paraId="40605757" w14:textId="77777777">
      <w:pPr>
        <w:autoSpaceDE w:val="0"/>
        <w:autoSpaceDN w:val="0"/>
        <w:adjustRightInd w:val="0"/>
        <w:spacing w:after="0" w:line="240" w:lineRule="auto"/>
        <w:ind w:left="709" w:right="709"/>
        <w:jc w:val="both"/>
        <w:rPr>
          <w:rFonts w:ascii="ArialMT" w:hAnsi="ArialMT" w:cs="ArialMT"/>
          <w:sz w:val="21"/>
          <w:szCs w:val="21"/>
        </w:rPr>
      </w:pPr>
      <w:r w:rsidRPr="00002BAF">
        <w:rPr>
          <w:rFonts w:ascii="Arial" w:hAnsi="Arial" w:eastAsia="Calibri" w:cs="Arial"/>
          <w:bCs/>
          <w:color w:val="000000"/>
          <w:sz w:val="21"/>
          <w:szCs w:val="21"/>
          <w:lang w:val="es-ES_tradnl"/>
        </w:rPr>
        <w:t>«</w:t>
      </w:r>
      <w:r w:rsidRPr="002862E6">
        <w:rPr>
          <w:rFonts w:ascii="ArialMT" w:hAnsi="ArialMT" w:cs="ArialMT"/>
          <w:sz w:val="21"/>
          <w:szCs w:val="21"/>
        </w:rPr>
        <w:t xml:space="preserve">1. De conformidad con el numeral 4 del artículo 1 del Decreto 399 de 2021, ¿Si la consultoría o interventoría es a precio global fijo, la entidad estatal no está obligada a publicar las variables tenidas en cuenta para establecer el valor del presupuesto oficial? Es decir, solo cuando se estructura por precios unitarios </w:t>
      </w:r>
      <w:r w:rsidRPr="002862E6">
        <w:rPr>
          <w:rFonts w:ascii="ArialMT" w:hAnsi="ArialMT" w:cs="ArialMT"/>
          <w:sz w:val="21"/>
          <w:szCs w:val="21"/>
        </w:rPr>
        <w:lastRenderedPageBreak/>
        <w:t>(incluido la metodología de dedicación y factor multiplicador) se debe publicar las variables del presupuesto oficial?</w:t>
      </w:r>
    </w:p>
    <w:p w:rsidR="00B523D5" w:rsidP="00B523D5" w:rsidRDefault="00B523D5" w14:paraId="4B036C03" w14:textId="77777777">
      <w:pPr>
        <w:autoSpaceDE w:val="0"/>
        <w:autoSpaceDN w:val="0"/>
        <w:adjustRightInd w:val="0"/>
        <w:spacing w:after="0" w:line="240" w:lineRule="auto"/>
        <w:ind w:left="709" w:right="709"/>
        <w:jc w:val="both"/>
        <w:rPr>
          <w:rFonts w:ascii="ArialMT" w:hAnsi="ArialMT" w:cs="ArialMT"/>
          <w:sz w:val="21"/>
          <w:szCs w:val="21"/>
        </w:rPr>
      </w:pPr>
    </w:p>
    <w:p w:rsidR="00B523D5" w:rsidP="00B523D5" w:rsidRDefault="00B523D5" w14:paraId="5D538CE6" w14:textId="39EEFD94">
      <w:pPr>
        <w:autoSpaceDE w:val="0"/>
        <w:autoSpaceDN w:val="0"/>
        <w:adjustRightInd w:val="0"/>
        <w:spacing w:after="0" w:line="276" w:lineRule="auto"/>
        <w:ind w:right="709" w:firstLine="708"/>
        <w:jc w:val="both"/>
        <w:rPr>
          <w:rFonts w:ascii="Arial" w:hAnsi="Arial" w:eastAsia="Calibri" w:cs="Arial"/>
          <w:color w:val="000000"/>
          <w:lang w:val="es-ES" w:eastAsia="es-ES"/>
        </w:rPr>
      </w:pPr>
      <w:r w:rsidRPr="0AF464BB">
        <w:rPr>
          <w:rFonts w:ascii="Arial" w:hAnsi="Arial" w:eastAsia="Calibri" w:cs="Arial"/>
          <w:color w:val="000000" w:themeColor="text1"/>
          <w:lang w:val="es-ES" w:eastAsia="es-ES"/>
        </w:rPr>
        <w:t xml:space="preserve">Al respecto debemos mencionar que el numeral 4 del artículo 2.2.1.1.2.1.1. del Decreto 1082 de 2015 establecía que la Entidad Estatal no debía «[…] publicar las variables utilizadas para calcular el valor estimado del contrato cuando la modalidad de selección del contratista sea en concurso de méritos». Sin </w:t>
      </w:r>
      <w:r w:rsidRPr="0AF464BB" w:rsidR="00695728">
        <w:rPr>
          <w:rFonts w:ascii="Arial" w:hAnsi="Arial" w:eastAsia="Calibri" w:cs="Arial"/>
          <w:color w:val="000000" w:themeColor="text1"/>
          <w:lang w:val="es-ES" w:eastAsia="es-ES"/>
        </w:rPr>
        <w:t>embargo</w:t>
      </w:r>
      <w:r w:rsidRPr="0AF464BB">
        <w:rPr>
          <w:rFonts w:ascii="Arial" w:hAnsi="Arial" w:eastAsia="Calibri" w:cs="Arial"/>
          <w:color w:val="000000" w:themeColor="text1"/>
          <w:lang w:val="es-ES" w:eastAsia="es-ES"/>
        </w:rPr>
        <w:t xml:space="preserve">, el artículo 1 del Decreto 399 de 2021 elimina esta prohibición, para garantizar que los interesados conozcan el total de la información precontractual especialmente la relacionada con el análisis realizado para determinar el presupuesto oficial del proceso de selección bajo la modalidad </w:t>
      </w:r>
      <w:r w:rsidRPr="0AF464BB" w:rsidR="00695728">
        <w:rPr>
          <w:rFonts w:ascii="Arial" w:hAnsi="Arial" w:eastAsia="Calibri" w:cs="Arial"/>
          <w:color w:val="000000" w:themeColor="text1"/>
          <w:lang w:val="es-ES" w:eastAsia="es-ES"/>
        </w:rPr>
        <w:t>de</w:t>
      </w:r>
      <w:r w:rsidRPr="0AF464BB">
        <w:rPr>
          <w:rFonts w:ascii="Arial" w:hAnsi="Arial" w:eastAsia="Calibri" w:cs="Arial"/>
          <w:color w:val="000000" w:themeColor="text1"/>
          <w:lang w:val="es-ES" w:eastAsia="es-ES"/>
        </w:rPr>
        <w:t xml:space="preserve"> concursos de méritos y potenciar la garantía de los principios de publicidad y transparencia.</w:t>
      </w:r>
    </w:p>
    <w:p w:rsidR="00B523D5" w:rsidP="00B523D5" w:rsidRDefault="00B523D5" w14:paraId="69513D47" w14:textId="77777777">
      <w:pPr>
        <w:autoSpaceDE w:val="0"/>
        <w:autoSpaceDN w:val="0"/>
        <w:adjustRightInd w:val="0"/>
        <w:spacing w:after="0" w:line="240" w:lineRule="auto"/>
        <w:ind w:right="709" w:firstLine="708"/>
        <w:jc w:val="both"/>
        <w:rPr>
          <w:rFonts w:ascii="Arial" w:hAnsi="Arial" w:eastAsia="Calibri" w:cs="Arial"/>
          <w:color w:val="000000"/>
          <w:szCs w:val="24"/>
          <w:lang w:val="es-ES_tradnl" w:eastAsia="es-ES_tradnl"/>
        </w:rPr>
      </w:pPr>
    </w:p>
    <w:p w:rsidRPr="009B5D80" w:rsidR="00B523D5" w:rsidP="00B523D5" w:rsidRDefault="00B523D5" w14:paraId="6CA8B1F2" w14:textId="77777777">
      <w:pPr>
        <w:autoSpaceDE w:val="0"/>
        <w:autoSpaceDN w:val="0"/>
        <w:adjustRightInd w:val="0"/>
        <w:spacing w:after="0" w:line="276" w:lineRule="auto"/>
        <w:ind w:right="709" w:firstLine="708"/>
        <w:jc w:val="both"/>
        <w:rPr>
          <w:rFonts w:ascii="Arial" w:hAnsi="Arial" w:eastAsia="Calibri" w:cs="Arial"/>
          <w:color w:val="000000"/>
          <w:lang w:val="es-ES" w:eastAsia="es-ES"/>
        </w:rPr>
      </w:pPr>
      <w:r w:rsidRPr="0AF464BB">
        <w:rPr>
          <w:rFonts w:ascii="Arial" w:hAnsi="Arial" w:eastAsia="Calibri" w:cs="Arial"/>
          <w:color w:val="000000" w:themeColor="text1"/>
          <w:lang w:val="es-ES" w:eastAsia="es-ES"/>
        </w:rPr>
        <w:t>De esta manera, la norma de manera expresa señala que cuando el valor del contrato esté determinado por precios unitarios, la Entidad Estatal debe incluir la forma como los calculó y soportar sus cálculos presupuestales en la estimación de aquellos.</w:t>
      </w:r>
    </w:p>
    <w:p w:rsidRPr="002862E6" w:rsidR="00B523D5" w:rsidP="00B523D5" w:rsidRDefault="00B523D5" w14:paraId="1EBF72FF" w14:textId="77777777">
      <w:pPr>
        <w:autoSpaceDE w:val="0"/>
        <w:autoSpaceDN w:val="0"/>
        <w:adjustRightInd w:val="0"/>
        <w:spacing w:after="0" w:line="240" w:lineRule="auto"/>
        <w:ind w:left="709" w:right="709"/>
        <w:jc w:val="both"/>
        <w:rPr>
          <w:rFonts w:ascii="ArialMT" w:hAnsi="ArialMT" w:cs="ArialMT"/>
          <w:sz w:val="21"/>
          <w:szCs w:val="21"/>
        </w:rPr>
      </w:pPr>
    </w:p>
    <w:p w:rsidRPr="00401766" w:rsidR="00B523D5" w:rsidP="00B523D5" w:rsidRDefault="00B523D5" w14:paraId="31AB71A3" w14:textId="1EC2FC1E">
      <w:pPr>
        <w:autoSpaceDE w:val="0"/>
        <w:autoSpaceDN w:val="0"/>
        <w:adjustRightInd w:val="0"/>
        <w:spacing w:after="0" w:line="240" w:lineRule="auto"/>
        <w:ind w:left="709" w:right="709"/>
        <w:jc w:val="both"/>
        <w:rPr>
          <w:rFonts w:ascii="Arial" w:hAnsi="Arial" w:cs="Arial"/>
          <w:sz w:val="21"/>
          <w:szCs w:val="21"/>
        </w:rPr>
      </w:pPr>
      <w:r w:rsidRPr="00401766">
        <w:rPr>
          <w:rFonts w:ascii="Arial" w:hAnsi="Arial" w:cs="Arial"/>
          <w:sz w:val="21"/>
          <w:szCs w:val="21"/>
        </w:rPr>
        <w:t>2. De conformidad con el numeral 1 del artículo 2 del Decreto 399 de 2021, ¿En concurso de mérito la entidad debe de manera obligatoria asignar puntaje a los dos criterios de: a) la experiencia del interesado y del equipo de trabajo y b) la formación académica del equipo de trabajo? ¿O puede asignar puntaje solo a la experiencia del proponente, o solo a la formación académica del equipo?</w:t>
      </w:r>
    </w:p>
    <w:p w:rsidRPr="00002BAF" w:rsidR="00B523D5" w:rsidP="00B523D5" w:rsidRDefault="00B523D5" w14:paraId="19333B41" w14:textId="77777777">
      <w:pPr>
        <w:autoSpaceDE w:val="0"/>
        <w:autoSpaceDN w:val="0"/>
        <w:adjustRightInd w:val="0"/>
        <w:spacing w:after="0" w:line="240" w:lineRule="auto"/>
        <w:ind w:right="709"/>
        <w:jc w:val="both"/>
        <w:rPr>
          <w:rFonts w:ascii="Arial" w:hAnsi="Arial" w:eastAsia="Calibri" w:cs="Arial"/>
          <w:bCs/>
          <w:color w:val="000000"/>
          <w:lang w:val="es-ES_tradnl"/>
        </w:rPr>
      </w:pPr>
    </w:p>
    <w:p w:rsidR="00B523D5" w:rsidP="00B523D5" w:rsidRDefault="00B523D5" w14:paraId="5D74F990" w14:textId="77777777">
      <w:pPr>
        <w:spacing w:after="0" w:line="276" w:lineRule="auto"/>
        <w:jc w:val="both"/>
        <w:rPr>
          <w:rFonts w:ascii="Arial" w:hAnsi="Arial" w:eastAsia="Arial" w:cs="Arial"/>
          <w:lang w:val="es-MX"/>
        </w:rPr>
      </w:pPr>
      <w:r w:rsidRPr="0AF464BB">
        <w:rPr>
          <w:rFonts w:ascii="Arial" w:hAnsi="Arial" w:eastAsia="Arial" w:cs="Arial"/>
        </w:rPr>
        <w:t>E</w:t>
      </w:r>
      <w:r w:rsidRPr="0AF464BB">
        <w:rPr>
          <w:rFonts w:ascii="Arial" w:hAnsi="Arial" w:eastAsia="Arial" w:cs="Arial"/>
          <w:lang w:val="es-MX"/>
        </w:rPr>
        <w:t xml:space="preserv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rsidRPr="00077258" w:rsidR="00B523D5" w:rsidP="00B523D5" w:rsidRDefault="00B523D5" w14:paraId="18975619" w14:textId="77777777">
      <w:pPr>
        <w:spacing w:after="0" w:line="276" w:lineRule="auto"/>
        <w:jc w:val="both"/>
        <w:rPr>
          <w:rFonts w:ascii="Arial" w:hAnsi="Arial" w:eastAsia="Arial" w:cs="Arial"/>
          <w:lang w:val="es-MX"/>
        </w:rPr>
      </w:pPr>
    </w:p>
    <w:p w:rsidRPr="00077258" w:rsidR="00B523D5" w:rsidP="00B523D5" w:rsidRDefault="00B523D5" w14:paraId="6B96F80E" w14:textId="77777777">
      <w:pPr>
        <w:spacing w:after="0" w:line="276" w:lineRule="auto"/>
        <w:ind w:firstLine="709"/>
        <w:jc w:val="both"/>
        <w:rPr>
          <w:rFonts w:ascii="Arial" w:hAnsi="Arial" w:eastAsia="Arial" w:cs="Arial"/>
          <w:lang w:val="es-MX"/>
        </w:rPr>
      </w:pPr>
      <w:r w:rsidRPr="0AF464BB">
        <w:rPr>
          <w:rFonts w:ascii="Arial" w:hAnsi="Arial" w:eastAsia="Arial" w:cs="Arial"/>
          <w:lang w:val="es-MX"/>
        </w:rPr>
        <w:t xml:space="preserve">El procedimiento de selección de concurso de méritos está reglamentado por el artículo 2.2.1.2.1.3.2. del Decreto 1082 de 2015, modificado por el Decreto 399 de 2021.  El numeral 1 dispone que «La Entidad Estatal en los pliegos de condiciones debe indicar la forma como calificará, entre otros, los siguientes criterios: </w:t>
      </w:r>
      <w:r w:rsidRPr="0AF464BB">
        <w:rPr>
          <w:rFonts w:ascii="Arial" w:hAnsi="Arial" w:eastAsia="Arial" w:cs="Arial"/>
          <w:i/>
          <w:iCs/>
          <w:lang w:val="es-MX"/>
        </w:rPr>
        <w:t>a) la experiencia del interesado y del equipo de trabajo y b) la formación académica del equipo de trabajo»</w:t>
      </w:r>
      <w:r w:rsidRPr="0AF464BB">
        <w:rPr>
          <w:rFonts w:ascii="Arial" w:hAnsi="Arial" w:eastAsia="Arial" w:cs="Arial"/>
          <w:lang w:val="es-MX"/>
        </w:rPr>
        <w:t xml:space="preserve">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rsidRPr="00002BAF" w:rsidR="00B523D5" w:rsidP="00B523D5" w:rsidRDefault="00B523D5" w14:paraId="76E96BCD" w14:textId="77777777">
      <w:pPr>
        <w:spacing w:after="0" w:line="276" w:lineRule="auto"/>
        <w:jc w:val="both"/>
        <w:rPr>
          <w:rFonts w:ascii="Arial" w:hAnsi="Arial" w:eastAsia="Times New Roman" w:cs="Arial"/>
          <w:bCs/>
          <w:color w:val="FF0000"/>
          <w:shd w:val="clear" w:color="auto" w:fill="FFFFFF"/>
          <w:lang w:val="es-ES_tradnl" w:eastAsia="es-ES_tradnl"/>
        </w:rPr>
      </w:pPr>
    </w:p>
    <w:p w:rsidRPr="00002BAF" w:rsidR="00B523D5" w:rsidP="00B523D5" w:rsidRDefault="00B523D5" w14:paraId="73D99460" w14:textId="77777777">
      <w:pPr>
        <w:spacing w:after="0" w:line="276" w:lineRule="auto"/>
        <w:jc w:val="both"/>
        <w:rPr>
          <w:rFonts w:ascii="Arial" w:hAnsi="Arial" w:eastAsia="Calibri" w:cs="Arial"/>
        </w:rPr>
      </w:pPr>
      <w:r w:rsidRPr="0AF464BB">
        <w:rPr>
          <w:rFonts w:ascii="Arial" w:hAnsi="Arial" w:eastAsia="Calibri" w:cs="Arial"/>
        </w:rPr>
        <w:t xml:space="preserve">Este concepto tiene el alcance previsto en el artículo 28 del Código de Procedimiento Administrativo y de lo Contencioso Administrativo </w:t>
      </w:r>
      <w:r w:rsidRPr="0AF464BB">
        <w:rPr>
          <w:rFonts w:ascii="Times New Roman" w:hAnsi="Times New Roman" w:eastAsia="Times New Roman" w:cs="Times New Roman"/>
          <w:color w:val="000000" w:themeColor="text1"/>
        </w:rPr>
        <w:t>y</w:t>
      </w:r>
      <w:r w:rsidRPr="000166B1">
        <w:rPr>
          <w:rFonts w:ascii="Arial" w:hAnsi="Arial" w:eastAsia="Calibri" w:cs="Arial"/>
        </w:rPr>
        <w:t xml:space="preserve"> de lo Contencioso Administrativo y las expresiones aquí utilizadas con mayúscula inicial deben ser entendidas con el significado que les otorga el artículo 2.2.1.1.1.3.1. del Decreto 1082 de 2015.</w:t>
      </w:r>
    </w:p>
    <w:p w:rsidRPr="00002BAF" w:rsidR="00B523D5" w:rsidP="00B523D5" w:rsidRDefault="00B523D5" w14:paraId="7D1E1F48" w14:textId="77777777">
      <w:pPr>
        <w:spacing w:after="0" w:line="276" w:lineRule="auto"/>
        <w:jc w:val="both"/>
        <w:rPr>
          <w:rFonts w:ascii="Arial" w:hAnsi="Arial" w:eastAsia="Calibri" w:cs="Arial"/>
        </w:rPr>
      </w:pPr>
    </w:p>
    <w:p w:rsidRPr="001D05BF" w:rsidR="00B523D5" w:rsidP="001D05BF" w:rsidRDefault="00B523D5" w14:paraId="50CAF475" w14:textId="6DE435EB">
      <w:pPr>
        <w:spacing w:after="0" w:line="240" w:lineRule="auto"/>
        <w:rPr>
          <w:rFonts w:ascii="Arial" w:hAnsi="Arial" w:eastAsia="Times New Roman" w:cs="Arial"/>
          <w:lang w:eastAsia="es-CO"/>
        </w:rPr>
      </w:pPr>
      <w:r w:rsidRPr="00002BAF">
        <w:rPr>
          <w:rFonts w:ascii="Arial" w:hAnsi="Arial" w:eastAsia="Times New Roman" w:cs="Arial"/>
          <w:lang w:eastAsia="es-CO"/>
        </w:rPr>
        <w:t>Atentamente,</w:t>
      </w:r>
    </w:p>
    <w:p w:rsidR="00B523D5" w:rsidP="00B523D5" w:rsidRDefault="001D05BF" w14:paraId="4B332694" w14:textId="153BF6F0">
      <w:pPr>
        <w:spacing w:before="120" w:line="276" w:lineRule="auto"/>
        <w:jc w:val="center"/>
      </w:pPr>
      <w:r>
        <w:rPr>
          <w:noProof/>
        </w:rPr>
        <w:drawing>
          <wp:inline distT="0" distB="0" distL="0" distR="0" wp14:anchorId="387D20B7" wp14:editId="335CE9EB">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rsidRPr="00002BAF" w:rsidR="001D05BF" w:rsidP="00B523D5" w:rsidRDefault="001D05BF" w14:paraId="6F36F291" w14:textId="77777777">
      <w:pPr>
        <w:spacing w:before="120" w:line="276" w:lineRule="auto"/>
        <w:jc w:val="center"/>
      </w:pP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002BAF" w:rsidR="00B523D5" w:rsidTr="000166B1" w14:paraId="6F822368" w14:textId="77777777">
        <w:trPr>
          <w:trHeight w:val="286"/>
        </w:trPr>
        <w:tc>
          <w:tcPr>
            <w:tcW w:w="817" w:type="dxa"/>
            <w:vAlign w:val="center"/>
          </w:tcPr>
          <w:p w:rsidRPr="00002BAF" w:rsidR="00B523D5" w:rsidP="000166B1" w:rsidRDefault="00B523D5" w14:paraId="131053AB" w14:textId="77777777">
            <w:pPr>
              <w:rPr>
                <w:rFonts w:ascii="Arial" w:hAnsi="Arial" w:eastAsia="Calibri" w:cs="Arial"/>
                <w:sz w:val="16"/>
                <w:szCs w:val="16"/>
              </w:rPr>
            </w:pPr>
            <w:r w:rsidRPr="00002BAF">
              <w:rPr>
                <w:rFonts w:ascii="Arial" w:hAnsi="Arial" w:eastAsia="Calibri" w:cs="Arial"/>
                <w:sz w:val="16"/>
                <w:szCs w:val="16"/>
              </w:rPr>
              <w:t>Elaboró:</w:t>
            </w:r>
          </w:p>
        </w:tc>
        <w:tc>
          <w:tcPr>
            <w:tcW w:w="4445" w:type="dxa"/>
            <w:tcBorders>
              <w:bottom w:val="dotted" w:color="7F7F7F" w:sz="4" w:space="0"/>
            </w:tcBorders>
            <w:vAlign w:val="center"/>
          </w:tcPr>
          <w:p w:rsidR="00B523D5" w:rsidP="000166B1" w:rsidRDefault="00B523D5" w14:paraId="74667DBE" w14:textId="77777777">
            <w:pPr>
              <w:rPr>
                <w:rFonts w:ascii="Arial" w:hAnsi="Arial" w:eastAsia="Calibri" w:cs="Arial"/>
                <w:sz w:val="16"/>
                <w:szCs w:val="16"/>
              </w:rPr>
            </w:pPr>
            <w:r>
              <w:rPr>
                <w:rFonts w:ascii="Arial" w:hAnsi="Arial" w:eastAsia="Calibri" w:cs="Arial"/>
                <w:sz w:val="16"/>
                <w:szCs w:val="16"/>
              </w:rPr>
              <w:t xml:space="preserve">María Valeska Medellín Mora </w:t>
            </w:r>
          </w:p>
          <w:p w:rsidRPr="00002BAF" w:rsidR="00B523D5" w:rsidP="000166B1" w:rsidRDefault="00B523D5" w14:paraId="1AF2CBD3" w14:textId="77777777">
            <w:pPr>
              <w:rPr>
                <w:rFonts w:ascii="Arial" w:hAnsi="Arial" w:eastAsia="Calibri" w:cs="Arial"/>
                <w:sz w:val="16"/>
                <w:szCs w:val="16"/>
              </w:rPr>
            </w:pPr>
            <w:r>
              <w:rPr>
                <w:rFonts w:ascii="Arial" w:hAnsi="Arial" w:eastAsia="Calibri" w:cs="Arial"/>
                <w:sz w:val="16"/>
                <w:szCs w:val="16"/>
              </w:rPr>
              <w:t xml:space="preserve">Gestor T1-15 </w:t>
            </w:r>
            <w:r w:rsidRPr="00002BAF">
              <w:rPr>
                <w:rFonts w:ascii="Arial" w:hAnsi="Arial" w:eastAsia="Calibri" w:cs="Arial"/>
                <w:sz w:val="16"/>
                <w:szCs w:val="16"/>
              </w:rPr>
              <w:t>de la Subdirección de Gestión Contractual</w:t>
            </w:r>
          </w:p>
        </w:tc>
      </w:tr>
      <w:tr w:rsidRPr="00002BAF" w:rsidR="00B523D5" w:rsidTr="000166B1" w14:paraId="78E58B66" w14:textId="77777777">
        <w:trPr>
          <w:trHeight w:val="299"/>
        </w:trPr>
        <w:tc>
          <w:tcPr>
            <w:tcW w:w="817" w:type="dxa"/>
            <w:vAlign w:val="center"/>
          </w:tcPr>
          <w:p w:rsidRPr="00002BAF" w:rsidR="00B523D5" w:rsidP="000166B1" w:rsidRDefault="00B523D5" w14:paraId="6E95511A" w14:textId="77777777">
            <w:pPr>
              <w:rPr>
                <w:rFonts w:ascii="Arial" w:hAnsi="Arial" w:eastAsia="Calibri" w:cs="Arial"/>
                <w:sz w:val="16"/>
                <w:szCs w:val="16"/>
              </w:rPr>
            </w:pPr>
            <w:r w:rsidRPr="00002BAF">
              <w:rPr>
                <w:rFonts w:ascii="Arial" w:hAnsi="Arial" w:eastAsia="Calibri" w:cs="Arial"/>
                <w:sz w:val="16"/>
                <w:szCs w:val="16"/>
              </w:rPr>
              <w:t>Revisó:</w:t>
            </w:r>
          </w:p>
        </w:tc>
        <w:tc>
          <w:tcPr>
            <w:tcW w:w="4445" w:type="dxa"/>
            <w:tcBorders>
              <w:top w:val="dotted" w:color="7F7F7F" w:sz="4" w:space="0"/>
              <w:bottom w:val="dotted" w:color="7F7F7F" w:sz="4" w:space="0"/>
            </w:tcBorders>
            <w:vAlign w:val="center"/>
          </w:tcPr>
          <w:p w:rsidR="00B523D5" w:rsidP="000166B1" w:rsidRDefault="00B523D5" w14:paraId="71554A41" w14:textId="77777777">
            <w:pPr>
              <w:rPr>
                <w:rFonts w:ascii="Arial" w:hAnsi="Arial" w:eastAsia="Calibri" w:cs="Arial"/>
                <w:sz w:val="16"/>
                <w:szCs w:val="16"/>
              </w:rPr>
            </w:pPr>
            <w:r>
              <w:rPr>
                <w:rFonts w:ascii="Arial" w:hAnsi="Arial" w:eastAsia="Calibri" w:cs="Arial"/>
                <w:sz w:val="16"/>
                <w:szCs w:val="16"/>
              </w:rPr>
              <w:t xml:space="preserve">Martha Alicia Romero Vargas </w:t>
            </w:r>
          </w:p>
          <w:p w:rsidRPr="00002BAF" w:rsidR="00B523D5" w:rsidP="000166B1" w:rsidRDefault="00B523D5" w14:paraId="700E8A89" w14:textId="77777777">
            <w:pPr>
              <w:rPr>
                <w:rFonts w:ascii="Arial" w:hAnsi="Arial" w:eastAsia="Calibri" w:cs="Arial"/>
                <w:sz w:val="16"/>
                <w:szCs w:val="16"/>
              </w:rPr>
            </w:pPr>
            <w:r w:rsidRPr="00002BAF">
              <w:rPr>
                <w:rFonts w:ascii="Arial" w:hAnsi="Arial" w:eastAsia="Calibri" w:cs="Arial"/>
                <w:sz w:val="16"/>
                <w:szCs w:val="16"/>
              </w:rPr>
              <w:t>Gestor T1-15 de la Subdirección de Gestión Contractual</w:t>
            </w:r>
          </w:p>
        </w:tc>
      </w:tr>
      <w:tr w:rsidRPr="00002BAF" w:rsidR="00B523D5" w:rsidTr="000166B1" w14:paraId="3012BD87" w14:textId="77777777">
        <w:trPr>
          <w:trHeight w:val="272"/>
        </w:trPr>
        <w:tc>
          <w:tcPr>
            <w:tcW w:w="817" w:type="dxa"/>
            <w:vAlign w:val="center"/>
          </w:tcPr>
          <w:p w:rsidRPr="00002BAF" w:rsidR="00B523D5" w:rsidP="000166B1" w:rsidRDefault="00B523D5" w14:paraId="1921BBF9" w14:textId="77777777">
            <w:pPr>
              <w:rPr>
                <w:rFonts w:ascii="Arial" w:hAnsi="Arial" w:eastAsia="Calibri" w:cs="Arial"/>
                <w:sz w:val="16"/>
                <w:szCs w:val="16"/>
              </w:rPr>
            </w:pPr>
            <w:r w:rsidRPr="00002BAF">
              <w:rPr>
                <w:rFonts w:ascii="Arial" w:hAnsi="Arial" w:eastAsia="Calibri" w:cs="Arial"/>
                <w:sz w:val="16"/>
                <w:szCs w:val="16"/>
              </w:rPr>
              <w:t>Aprobó:</w:t>
            </w:r>
          </w:p>
        </w:tc>
        <w:tc>
          <w:tcPr>
            <w:tcW w:w="4445" w:type="dxa"/>
            <w:tcBorders>
              <w:top w:val="dotted" w:color="7F7F7F" w:sz="4" w:space="0"/>
              <w:bottom w:val="dotted" w:color="7F7F7F" w:sz="4" w:space="0"/>
            </w:tcBorders>
            <w:vAlign w:val="center"/>
          </w:tcPr>
          <w:p w:rsidRPr="00002BAF" w:rsidR="00B523D5" w:rsidP="000166B1" w:rsidRDefault="00B523D5" w14:paraId="3E34F2EF" w14:textId="77777777">
            <w:pPr>
              <w:rPr>
                <w:rFonts w:ascii="Arial" w:hAnsi="Arial" w:eastAsia="Calibri" w:cs="Arial"/>
                <w:sz w:val="16"/>
                <w:szCs w:val="16"/>
              </w:rPr>
            </w:pPr>
            <w:r w:rsidRPr="00002BAF">
              <w:rPr>
                <w:rFonts w:ascii="Arial" w:hAnsi="Arial" w:eastAsia="Calibri" w:cs="Arial"/>
                <w:sz w:val="16"/>
                <w:szCs w:val="16"/>
              </w:rPr>
              <w:t>Nohelia del Carmen Zawady Palacio</w:t>
            </w:r>
          </w:p>
          <w:p w:rsidRPr="00002BAF" w:rsidR="00B523D5" w:rsidP="000166B1" w:rsidRDefault="00B523D5" w14:paraId="10588C80" w14:textId="77777777">
            <w:pPr>
              <w:rPr>
                <w:rFonts w:ascii="Arial" w:hAnsi="Arial" w:eastAsia="Calibri" w:cs="Arial"/>
                <w:sz w:val="16"/>
                <w:szCs w:val="16"/>
              </w:rPr>
            </w:pPr>
            <w:r w:rsidRPr="00002BAF">
              <w:rPr>
                <w:rFonts w:ascii="Arial" w:hAnsi="Arial" w:eastAsia="Calibri" w:cs="Arial"/>
                <w:sz w:val="16"/>
                <w:szCs w:val="16"/>
              </w:rPr>
              <w:t>Subdirectora de Gestión Contractual ANCP – CCE</w:t>
            </w:r>
          </w:p>
        </w:tc>
      </w:tr>
    </w:tbl>
    <w:p w:rsidRPr="00002BAF" w:rsidR="00B523D5" w:rsidP="00B523D5" w:rsidRDefault="00B523D5" w14:paraId="59FDB244" w14:textId="77777777">
      <w:pPr>
        <w:rPr>
          <w:rFonts w:ascii="Calibri" w:hAnsi="Calibri" w:eastAsia="Calibri" w:cs="Times New Roman"/>
        </w:rPr>
      </w:pPr>
    </w:p>
    <w:p w:rsidRPr="00002BAF" w:rsidR="00B523D5" w:rsidP="00B523D5" w:rsidRDefault="00B523D5" w14:paraId="74ACCCD1" w14:textId="77777777">
      <w:pPr>
        <w:rPr>
          <w:rFonts w:ascii="Calibri" w:hAnsi="Calibri" w:eastAsia="Calibri" w:cs="Times New Roman"/>
        </w:rPr>
      </w:pPr>
    </w:p>
    <w:p w:rsidRPr="00002BAF" w:rsidR="00B523D5" w:rsidP="00B523D5" w:rsidRDefault="00B523D5" w14:paraId="243A6045" w14:textId="77777777"/>
    <w:p w:rsidRPr="007566FE" w:rsidR="00B523D5" w:rsidP="00B523D5" w:rsidRDefault="00B523D5" w14:paraId="6E8BF1BC" w14:textId="77777777">
      <w:pPr>
        <w:rPr>
          <w:rFonts w:ascii="Arial Nova" w:hAnsi="Arial Nova"/>
          <w:color w:val="000000" w:themeColor="text1"/>
        </w:rPr>
      </w:pPr>
    </w:p>
    <w:p w:rsidRPr="00B523D5" w:rsidR="00127233" w:rsidP="00B523D5" w:rsidRDefault="00127233" w14:paraId="0F293BF4" w14:textId="0F6FB6C1"/>
    <w:sectPr w:rsidRPr="00B523D5" w:rsidR="00127233" w:rsidSect="0039439C">
      <w:headerReference w:type="default" r:id="rId15"/>
      <w:footerReference w:type="default" r:id="rId16"/>
      <w:pgSz w:w="12240" w:h="15840" w:orient="portrait" w:code="1"/>
      <w:pgMar w:top="1418" w:right="1418" w:bottom="1418" w:left="1418" w:header="850" w:footer="397" w:gutter="0"/>
      <w:pgBorders w:offsetFrom="page">
        <w:top w:val="dotted" w:color="auto" w:sz="4" w:space="24"/>
        <w:left w:val="dotted" w:color="auto" w:sz="4" w:space="24"/>
        <w:bottom w:val="dotted" w:color="auto" w:sz="4" w:space="24"/>
        <w:right w:val="dotted"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23F97" w:rsidP="004A1847" w:rsidRDefault="00523F97" w14:paraId="3C5C388C" w14:textId="77777777">
      <w:pPr>
        <w:spacing w:after="0" w:line="240" w:lineRule="auto"/>
      </w:pPr>
      <w:r>
        <w:separator/>
      </w:r>
    </w:p>
  </w:endnote>
  <w:endnote w:type="continuationSeparator" w:id="0">
    <w:p w:rsidR="00523F97" w:rsidP="004A1847" w:rsidRDefault="00523F97" w14:paraId="3E955618" w14:textId="77777777">
      <w:pPr>
        <w:spacing w:after="0" w:line="240" w:lineRule="auto"/>
      </w:pPr>
      <w:r>
        <w:continuationSeparator/>
      </w:r>
    </w:p>
  </w:endnote>
  <w:endnote w:type="continuationNotice" w:id="1">
    <w:p w:rsidR="00523F97" w:rsidRDefault="00523F97" w14:paraId="6FCEA3B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MT">
    <w:altName w:val="Klee One"/>
    <w:panose1 w:val="00000000000000000000"/>
    <w:charset w:val="00"/>
    <w:family w:val="auto"/>
    <w:notTrueType/>
    <w:pitch w:val="default"/>
    <w:sig w:usb0="00000003" w:usb1="00000000" w:usb2="00000000" w:usb3="00000000" w:csb0="00000001"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P="008614E5" w:rsidRDefault="004A1847" w14:paraId="18911A32" w14:textId="460CCDF7">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8614E5" w:rsidTr="00A07532" w14:paraId="0534DA7F" w14:textId="77777777">
      <w:trPr>
        <w:trHeight w:val="198"/>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4B28DD0E" w14:textId="403BB573">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79B52F09" w14:textId="22188FC9">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36DA5B04" w14:textId="372D5633">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6219F8" w:rsidP="00A07532" w:rsidRDefault="00906B3C" w14:paraId="71E26DE9" w14:textId="227155A8">
          <w:pPr>
            <w:pBdr>
              <w:top w:val="nil"/>
              <w:left w:val="nil"/>
              <w:bottom w:val="nil"/>
              <w:right w:val="nil"/>
              <w:between w:val="nil"/>
            </w:pBdr>
            <w:tabs>
              <w:tab w:val="center" w:pos="4419"/>
              <w:tab w:val="right" w:pos="8838"/>
              <w:tab w:val="center" w:pos="5400"/>
            </w:tabs>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w:t>
          </w:r>
          <w:r w:rsidR="004B6B0E">
            <w:rPr>
              <w:rFonts w:ascii="Geomanist Light" w:hAnsi="Geomanist Light" w:eastAsia="Geo" w:cs="Geo"/>
              <w:b/>
              <w:color w:val="000000"/>
              <w:sz w:val="18"/>
              <w:szCs w:val="18"/>
              <w:lang w:eastAsia="es-CO"/>
            </w:rPr>
            <w:t>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6219F8" w:rsidP="00A07532" w:rsidRDefault="006219F8" w14:paraId="169F6C19" w14:textId="7777777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A07532" w:rsidP="00A07532" w:rsidRDefault="00906B3C" w14:paraId="7D02B6A6" w14:textId="04459FA8">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Pr="00080DA3" w:rsidR="006219F8">
            <w:rPr>
              <w:rFonts w:ascii="Geomanist Light" w:hAnsi="Geomanist Light"/>
              <w:sz w:val="18"/>
              <w:szCs w:val="18"/>
            </w:rPr>
            <w:t xml:space="preserve"> de </w:t>
          </w:r>
          <w:r w:rsidR="00C9405D">
            <w:rPr>
              <w:rFonts w:ascii="Geomanist Light" w:hAnsi="Geomanist Light"/>
              <w:sz w:val="18"/>
              <w:szCs w:val="18"/>
            </w:rPr>
            <w:t>septiembre</w:t>
          </w:r>
          <w:r w:rsidRPr="00080DA3" w:rsidR="006219F8">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6219F8" w:rsidP="00A07532" w:rsidRDefault="006219F8" w14:paraId="6C25E7A7" w14:textId="74CFB824">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rsidR="006219F8" w:rsidP="00A07532" w:rsidRDefault="006219F8" w14:paraId="744661F5" w14:textId="77777777">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23F97" w:rsidP="004A1847" w:rsidRDefault="00523F97" w14:paraId="47EC702C" w14:textId="77777777">
      <w:pPr>
        <w:spacing w:after="0" w:line="240" w:lineRule="auto"/>
      </w:pPr>
      <w:r>
        <w:separator/>
      </w:r>
    </w:p>
  </w:footnote>
  <w:footnote w:type="continuationSeparator" w:id="0">
    <w:p w:rsidR="00523F97" w:rsidP="004A1847" w:rsidRDefault="00523F97" w14:paraId="6C3F42D9" w14:textId="77777777">
      <w:pPr>
        <w:spacing w:after="0" w:line="240" w:lineRule="auto"/>
      </w:pPr>
      <w:r>
        <w:continuationSeparator/>
      </w:r>
    </w:p>
  </w:footnote>
  <w:footnote w:type="continuationNotice" w:id="1">
    <w:p w:rsidR="00523F97" w:rsidRDefault="00523F97" w14:paraId="27A11D4C" w14:textId="77777777">
      <w:pPr>
        <w:spacing w:after="0" w:line="240" w:lineRule="auto"/>
      </w:pPr>
    </w:p>
  </w:footnote>
  <w:footnote w:id="2">
    <w:p w:rsidRPr="00EB50C0" w:rsidR="00B523D5" w:rsidP="00B523D5" w:rsidRDefault="00B523D5" w14:paraId="5F5A3B85" w14:textId="77777777">
      <w:pPr>
        <w:pStyle w:val="Car1"/>
        <w:jc w:val="both"/>
        <w:rPr>
          <w:rFonts w:ascii="Arial" w:hAnsi="Arial" w:cs="Arial"/>
          <w:color w:val="000000"/>
          <w:sz w:val="19"/>
          <w:szCs w:val="19"/>
        </w:rPr>
      </w:pPr>
    </w:p>
    <w:p w:rsidRPr="00EB50C0" w:rsidR="00B523D5" w:rsidP="00B523D5" w:rsidRDefault="00B523D5" w14:paraId="23AA4E89" w14:textId="77777777">
      <w:pPr>
        <w:pStyle w:val="Car1"/>
        <w:ind w:firstLine="709"/>
        <w:jc w:val="both"/>
        <w:rPr>
          <w:rFonts w:ascii="Arial" w:hAnsi="Arial" w:cs="Arial"/>
          <w:color w:val="000000"/>
          <w:sz w:val="19"/>
          <w:szCs w:val="19"/>
        </w:rPr>
      </w:pPr>
      <w:r w:rsidRPr="00EB50C0">
        <w:rPr>
          <w:rStyle w:val="Refdenotaalpie"/>
          <w:rFonts w:ascii="Arial" w:hAnsi="Arial" w:cs="Arial"/>
          <w:color w:val="000000"/>
          <w:sz w:val="19"/>
          <w:szCs w:val="19"/>
        </w:rPr>
        <w:footnoteRef/>
      </w:r>
      <w:r w:rsidRPr="00EB50C0">
        <w:rPr>
          <w:rFonts w:ascii="Arial" w:hAnsi="Arial" w:cs="Arial"/>
          <w:color w:val="000000"/>
          <w:sz w:val="19"/>
          <w:szCs w:val="19"/>
        </w:rPr>
        <w:t xml:space="preserve"> CONSEJO DE ESTADO. Sección Tercera. Subsección A. Auto del 25 de julio de 2018. Rad. 56.165A. C.P. Marta Nubia Velásquez Rico. </w:t>
      </w:r>
    </w:p>
    <w:p w:rsidRPr="00EB50C0" w:rsidR="00B523D5" w:rsidP="00B523D5" w:rsidRDefault="00B523D5" w14:paraId="5793A2DA" w14:textId="77777777">
      <w:pPr>
        <w:pStyle w:val="Car1"/>
        <w:ind w:firstLine="709"/>
        <w:jc w:val="both"/>
        <w:rPr>
          <w:rFonts w:ascii="Arial" w:hAnsi="Arial" w:cs="Arial"/>
          <w:color w:val="000000"/>
          <w:sz w:val="19"/>
          <w:szCs w:val="19"/>
          <w:lang w:val="es-ES"/>
        </w:rPr>
      </w:pPr>
    </w:p>
  </w:footnote>
  <w:footnote w:id="3">
    <w:p w:rsidRPr="00EB50C0" w:rsidR="00B523D5" w:rsidP="00B523D5" w:rsidRDefault="00B523D5" w14:paraId="55DB712A" w14:textId="77777777">
      <w:pPr>
        <w:pStyle w:val="Car1"/>
        <w:ind w:firstLine="709"/>
        <w:jc w:val="both"/>
        <w:rPr>
          <w:rFonts w:ascii="Arial" w:hAnsi="Arial" w:cs="Arial"/>
          <w:color w:val="000000"/>
          <w:sz w:val="19"/>
          <w:szCs w:val="19"/>
          <w:lang w:val="es-ES"/>
        </w:rPr>
      </w:pPr>
      <w:r w:rsidRPr="00EB50C0">
        <w:rPr>
          <w:rStyle w:val="Refdenotaalpie"/>
          <w:rFonts w:ascii="Arial" w:hAnsi="Arial" w:cs="Arial"/>
          <w:color w:val="000000"/>
          <w:sz w:val="19"/>
          <w:szCs w:val="19"/>
        </w:rPr>
        <w:footnoteRef/>
      </w:r>
      <w:r w:rsidRPr="00EB50C0">
        <w:rPr>
          <w:rFonts w:ascii="Arial" w:hAnsi="Arial" w:cs="Arial"/>
          <w:color w:val="000000"/>
          <w:sz w:val="19"/>
          <w:szCs w:val="19"/>
        </w:rPr>
        <w:t xml:space="preserve"> </w:t>
      </w:r>
      <w:bookmarkStart w:name="_Hlk43903111" w:id="1"/>
      <w:r w:rsidRPr="00EB50C0">
        <w:rPr>
          <w:rFonts w:ascii="Arial" w:hAnsi="Arial" w:cs="Arial"/>
          <w:color w:val="000000"/>
          <w:sz w:val="19"/>
          <w:szCs w:val="19"/>
        </w:rPr>
        <w:t>CONSEJO DE ESTADO. Sección Tercera. Subsección A. Auto del 20 de febrero de 2019. Rad. 61.463. C.P. Carlos Alberto Zambrano Barrera.</w:t>
      </w:r>
      <w:bookmarkEnd w:id="1"/>
    </w:p>
  </w:footnote>
  <w:footnote w:id="4">
    <w:p w:rsidR="00B523D5" w:rsidP="00B523D5" w:rsidRDefault="00B523D5" w14:paraId="5E914EA5" w14:textId="77777777">
      <w:pPr>
        <w:pStyle w:val="Car1"/>
        <w:ind w:firstLine="709"/>
        <w:jc w:val="both"/>
        <w:rPr>
          <w:rFonts w:ascii="Arial" w:hAnsi="Arial" w:cs="Arial"/>
          <w:sz w:val="19"/>
          <w:szCs w:val="19"/>
        </w:rPr>
      </w:pPr>
    </w:p>
    <w:p w:rsidRPr="00B62F02" w:rsidR="00B523D5" w:rsidP="00B523D5" w:rsidRDefault="00B523D5" w14:paraId="0782E97C" w14:textId="77777777">
      <w:pPr>
        <w:pStyle w:val="Car1"/>
        <w:ind w:firstLine="709"/>
        <w:jc w:val="both"/>
        <w:rPr>
          <w:rFonts w:ascii="Arial" w:hAnsi="Arial" w:cs="Arial"/>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rsidRPr="00B62F02" w:rsidR="00B523D5" w:rsidP="00B523D5" w:rsidRDefault="00B523D5" w14:paraId="4443EFD8" w14:textId="77777777">
      <w:pPr>
        <w:pStyle w:val="Car1"/>
        <w:ind w:firstLine="709"/>
        <w:jc w:val="both"/>
        <w:rPr>
          <w:rFonts w:ascii="Arial" w:hAnsi="Arial" w:cs="Arial"/>
          <w:sz w:val="19"/>
          <w:szCs w:val="19"/>
        </w:rPr>
      </w:pPr>
      <w:r w:rsidRPr="00B62F02">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rsidRPr="00B62F02" w:rsidR="00B523D5" w:rsidP="00B523D5" w:rsidRDefault="00B523D5" w14:paraId="7D551B57" w14:textId="77777777">
      <w:pPr>
        <w:pStyle w:val="Car1"/>
        <w:ind w:firstLine="709"/>
        <w:jc w:val="both"/>
        <w:rPr>
          <w:rFonts w:ascii="Arial" w:hAnsi="Arial" w:cs="Arial"/>
          <w:sz w:val="19"/>
          <w:szCs w:val="19"/>
          <w:lang w:val="es-ES"/>
        </w:rPr>
      </w:pPr>
    </w:p>
  </w:footnote>
  <w:footnote w:id="5">
    <w:p w:rsidRPr="00EB50C0" w:rsidR="00B523D5" w:rsidP="00B523D5" w:rsidRDefault="00B523D5" w14:paraId="4506CBB2" w14:textId="77777777">
      <w:pPr>
        <w:pStyle w:val="Car1"/>
        <w:ind w:firstLine="709"/>
        <w:jc w:val="both"/>
        <w:rPr>
          <w:rFonts w:ascii="Arial" w:hAnsi="Arial" w:cs="Arial"/>
          <w:color w:val="000000"/>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EB50C0">
        <w:rPr>
          <w:rFonts w:ascii="Arial" w:hAnsi="Arial" w:cs="Arial"/>
          <w:color w:val="000000"/>
          <w:sz w:val="19"/>
          <w:szCs w:val="19"/>
        </w:rPr>
        <w:t>CONSEJO DE ESTADO. Sección Tercera. Subsección A. Auto del 25 de julio de 2018. Rad. 56.165A. C.P. Marta Nubia Velásquez Rico)</w:t>
      </w:r>
      <w:r w:rsidRPr="00B62F02">
        <w:rPr>
          <w:rFonts w:ascii="Arial" w:hAnsi="Arial" w:cs="Arial"/>
          <w:sz w:val="19"/>
          <w:szCs w:val="19"/>
        </w:rPr>
        <w:t>.</w:t>
      </w:r>
    </w:p>
  </w:footnote>
  <w:footnote w:id="6">
    <w:p w:rsidR="00B523D5" w:rsidP="00B523D5" w:rsidRDefault="00B523D5" w14:paraId="30C14581" w14:textId="77777777">
      <w:pPr>
        <w:ind w:firstLine="709"/>
        <w:jc w:val="both"/>
        <w:rPr>
          <w:rFonts w:ascii="Arial" w:hAnsi="Arial" w:cs="Arial"/>
          <w:sz w:val="19"/>
          <w:szCs w:val="19"/>
        </w:rPr>
      </w:pPr>
    </w:p>
    <w:p w:rsidRPr="00B62F02" w:rsidR="00B523D5" w:rsidP="00B523D5" w:rsidRDefault="00B523D5" w14:paraId="0194378A" w14:textId="77777777">
      <w:pPr>
        <w:ind w:firstLine="709"/>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En efecto, dentro de las consideraciones que motivan el Decreto 399 de 2021 se lee la siguiente: «Que teniendo en cuenta que el Auto del 20 de febrero de 2019 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rsidRPr="00B62F02" w:rsidR="00B523D5" w:rsidP="00B523D5" w:rsidRDefault="00B523D5" w14:paraId="2E235C29" w14:textId="77777777">
      <w:pPr>
        <w:pStyle w:val="Car1"/>
        <w:ind w:firstLine="709"/>
        <w:jc w:val="both"/>
        <w:rPr>
          <w:rFonts w:ascii="Arial" w:hAnsi="Arial" w:cs="Arial"/>
          <w:sz w:val="19"/>
          <w:szCs w:val="19"/>
          <w:lang w:val="es-CO"/>
        </w:rPr>
      </w:pPr>
    </w:p>
  </w:footnote>
  <w:footnote w:id="7">
    <w:p w:rsidR="00B523D5" w:rsidP="00B523D5" w:rsidRDefault="00B523D5" w14:paraId="1D935F20" w14:textId="77777777">
      <w:pPr>
        <w:pStyle w:val="Car1"/>
        <w:ind w:firstLine="708"/>
        <w:jc w:val="both"/>
        <w:rPr>
          <w:rFonts w:ascii="Arial" w:hAnsi="Arial" w:cs="Arial"/>
          <w:sz w:val="19"/>
          <w:szCs w:val="19"/>
        </w:rPr>
      </w:pPr>
    </w:p>
    <w:p w:rsidRPr="00B62F02" w:rsidR="00B523D5" w:rsidP="00B523D5" w:rsidRDefault="00B523D5" w14:paraId="39B4FF84" w14:textId="77777777">
      <w:pPr>
        <w:pStyle w:val="Car1"/>
        <w:ind w:firstLine="708"/>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Decreto 1082 de 2015. Artículo 2.2.1.2.1.3.2. Procedimiento de Concurso de méritos. […]</w:t>
      </w:r>
    </w:p>
    <w:p w:rsidRPr="00B62F02" w:rsidR="00B523D5" w:rsidP="00B523D5" w:rsidRDefault="00B523D5" w14:paraId="6FBB4594" w14:textId="77777777">
      <w:pPr>
        <w:pStyle w:val="Car1"/>
        <w:ind w:firstLine="708"/>
        <w:jc w:val="both"/>
        <w:rPr>
          <w:rFonts w:ascii="Arial" w:hAnsi="Arial" w:cs="Arial"/>
          <w:sz w:val="19"/>
          <w:szCs w:val="19"/>
          <w:lang w:val="es-ES"/>
        </w:rPr>
      </w:pPr>
      <w:r w:rsidRPr="00B62F02">
        <w:rPr>
          <w:rFonts w:ascii="Arial" w:hAnsi="Arial" w:cs="Arial"/>
          <w:sz w:val="19"/>
          <w:szCs w:val="19"/>
          <w:lang w:val="es-ES"/>
        </w:rPr>
        <w:t xml:space="preserve">«1. </w:t>
      </w:r>
      <w:r w:rsidRPr="00B62F02">
        <w:rPr>
          <w:rFonts w:ascii="Arial" w:hAnsi="Arial" w:cs="Arial"/>
          <w:sz w:val="19"/>
          <w:szCs w:val="19"/>
          <w:lang w:val="es-CO"/>
        </w:rPr>
        <w:t xml:space="preserve">La </w:t>
      </w:r>
      <w:r w:rsidRPr="00B62F02">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rsidRPr="00B62F02" w:rsidR="00B523D5" w:rsidP="00B523D5" w:rsidRDefault="00B523D5" w14:paraId="7E692005" w14:textId="77777777">
      <w:pPr>
        <w:pStyle w:val="Car1"/>
        <w:ind w:firstLine="708"/>
        <w:jc w:val="both"/>
        <w:rPr>
          <w:rFonts w:ascii="Arial" w:hAnsi="Arial" w:cs="Arial"/>
          <w:sz w:val="19"/>
          <w:szCs w:val="19"/>
          <w:lang w:val="es-ES"/>
        </w:rPr>
      </w:pPr>
      <w:r w:rsidRPr="00B62F02">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rsidRPr="00B62F02" w:rsidR="00B523D5" w:rsidP="00B523D5" w:rsidRDefault="00B523D5" w14:paraId="21FE5754" w14:textId="77777777">
      <w:pPr>
        <w:pStyle w:val="Car1"/>
        <w:ind w:firstLine="708"/>
        <w:jc w:val="both"/>
        <w:rPr>
          <w:rFonts w:ascii="Arial" w:hAnsi="Arial" w:cs="Arial"/>
          <w:sz w:val="19"/>
          <w:szCs w:val="19"/>
          <w:lang w:val="es-ES"/>
        </w:rPr>
      </w:pPr>
      <w:r w:rsidRPr="00B62F02">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rsidRPr="00B62F02" w:rsidR="00B523D5" w:rsidP="00B523D5" w:rsidRDefault="00B523D5" w14:paraId="35690091" w14:textId="77777777">
      <w:pPr>
        <w:pStyle w:val="Car1"/>
        <w:ind w:firstLine="708"/>
        <w:jc w:val="both"/>
        <w:rPr>
          <w:rFonts w:ascii="Arial" w:hAnsi="Arial" w:cs="Arial"/>
          <w:sz w:val="19"/>
          <w:szCs w:val="19"/>
          <w:lang w:val="es-ES"/>
        </w:rPr>
      </w:pPr>
      <w:r w:rsidRPr="00B62F02">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(ii) la consultoría y el precio ofrecidos; y (iii) el precio ofrecido y la disponibilidad presupuestal del respectivo Proceso de Contratación. Si la Entidad Estatal y el oferente llegan a un acuerdo sobre el alcance y el valor del contrato, dejarán constancia de este y firmarán el contrato.</w:t>
      </w:r>
    </w:p>
    <w:p w:rsidRPr="00B62F02" w:rsidR="00B523D5" w:rsidP="00B523D5" w:rsidRDefault="00B523D5" w14:paraId="1847865B" w14:textId="77777777">
      <w:pPr>
        <w:pStyle w:val="Car1"/>
        <w:ind w:firstLine="708"/>
        <w:jc w:val="both"/>
        <w:rPr>
          <w:rFonts w:ascii="Arial" w:hAnsi="Arial" w:cs="Arial"/>
          <w:sz w:val="19"/>
          <w:szCs w:val="19"/>
          <w:lang w:val="es-ES"/>
        </w:rPr>
      </w:pPr>
      <w:r>
        <w:rPr>
          <w:rFonts w:ascii="Arial" w:hAnsi="Arial" w:cs="Arial"/>
          <w:sz w:val="19"/>
          <w:szCs w:val="19"/>
          <w:lang w:val="es-ES"/>
        </w:rPr>
        <w:t>»</w:t>
      </w:r>
      <w:r w:rsidRPr="00B62F02">
        <w:rPr>
          <w:rFonts w:ascii="Arial" w:hAnsi="Arial" w:cs="Arial"/>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7566FE" w:rsidR="00906B3C" w:rsidP="008614E5" w:rsidRDefault="00906B3C" w14:paraId="2E51F6A5" w14:textId="0DD925F5">
    <w:pPr>
      <w:spacing w:after="0"/>
      <w:rPr>
        <w:rFonts w:ascii="Geomanist Light" w:hAnsi="Geomanist Light"/>
        <w:color w:val="002060"/>
        <w:sz w:val="16"/>
        <w:szCs w:val="16"/>
      </w:rPr>
    </w:pPr>
    <w:r w:rsidRPr="007566FE">
      <w:rPr>
        <w:rFonts w:ascii="Geomanist Light" w:hAnsi="Geomanist Light" w:eastAsia="Arial Nova"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sidR="00B01ED6">
      <w:rPr>
        <w:rFonts w:ascii="Geomanist Light" w:hAnsi="Geomanist Light"/>
        <w:color w:val="002060"/>
        <w:sz w:val="16"/>
        <w:szCs w:val="16"/>
      </w:rPr>
      <w:t>FORMATO PQRSD</w:t>
    </w:r>
  </w:p>
  <w:p w:rsidRPr="007566FE" w:rsidR="007566FE" w:rsidP="00793403" w:rsidRDefault="007566FE" w14:paraId="077278A1" w14:textId="2CAB5B77">
    <w:pPr>
      <w:pBdr>
        <w:top w:val="nil"/>
        <w:left w:val="nil"/>
        <w:bottom w:val="nil"/>
        <w:right w:val="nil"/>
        <w:between w:val="nil"/>
      </w:pBdr>
      <w:tabs>
        <w:tab w:val="center" w:pos="4419"/>
        <w:tab w:val="right" w:pos="8838"/>
        <w:tab w:val="center" w:pos="5400"/>
      </w:tabs>
      <w:spacing w:after="0"/>
      <w:rPr>
        <w:rFonts w:ascii="Geomanist Light" w:hAnsi="Geomanist Light" w:eastAsia="Geo" w:cs="Geo"/>
        <w:b/>
        <w:color w:val="002060"/>
        <w:sz w:val="16"/>
        <w:szCs w:val="16"/>
        <w:lang w:eastAsia="es-CO"/>
      </w:rPr>
    </w:pPr>
    <w:r w:rsidRPr="007566FE">
      <w:rPr>
        <w:rFonts w:ascii="Geomanist Light" w:hAnsi="Geomanist Light" w:eastAsia="Geo" w:cs="Geo"/>
        <w:b/>
        <w:color w:val="000000"/>
        <w:sz w:val="16"/>
        <w:szCs w:val="16"/>
        <w:lang w:eastAsia="es-CO"/>
      </w:rPr>
      <w:t xml:space="preserve">Código: </w:t>
    </w:r>
    <w:r w:rsidRPr="007566FE">
      <w:rPr>
        <w:rFonts w:ascii="Geomanist Light" w:hAnsi="Geomanist Light" w:eastAsia="Geo" w:cs="Geo"/>
        <w:bCs/>
        <w:color w:val="000000"/>
        <w:sz w:val="16"/>
        <w:szCs w:val="16"/>
        <w:lang w:eastAsia="es-CO"/>
      </w:rPr>
      <w:t>CCE-PQRSD-FM-08</w:t>
    </w:r>
  </w:p>
  <w:p w:rsidR="00793403" w:rsidP="008614E5" w:rsidRDefault="00793403" w14:paraId="74FC5262" w14:textId="51A6AFCE">
    <w:pPr>
      <w:spacing w:after="0"/>
      <w:rPr>
        <w:rFonts w:ascii="Geomanist Light" w:hAnsi="Geomanist Light" w:eastAsia="Geo"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sidR="007566FE">
      <w:rPr>
        <w:rFonts w:ascii="Geomanist Light" w:hAnsi="Geomanist Light" w:eastAsia="Geo" w:cs="Geo"/>
        <w:b/>
        <w:color w:val="000000"/>
        <w:sz w:val="16"/>
        <w:szCs w:val="16"/>
        <w:lang w:eastAsia="es-CO"/>
      </w:rPr>
      <w:t>Versión</w:t>
    </w:r>
    <w:r w:rsidRPr="007566FE" w:rsidR="007566FE">
      <w:rPr>
        <w:rFonts w:ascii="Geomanist Light" w:hAnsi="Geomanist Light" w:eastAsia="Arial Nova" w:cs="Arial Nova"/>
        <w:b/>
        <w:color w:val="000000"/>
        <w:sz w:val="16"/>
        <w:szCs w:val="16"/>
        <w:lang w:eastAsia="es-CO"/>
      </w:rPr>
      <w:t xml:space="preserve">: </w:t>
    </w:r>
    <w:r w:rsidRPr="007566FE" w:rsidR="007566FE">
      <w:rPr>
        <w:rFonts w:ascii="Geomanist Light" w:hAnsi="Geomanist Light" w:eastAsia="Geo" w:cs="Geo"/>
        <w:sz w:val="16"/>
        <w:szCs w:val="16"/>
        <w:lang w:eastAsia="es-CO"/>
      </w:rPr>
      <w:t>0</w:t>
    </w:r>
    <w:r w:rsidR="00C9405D">
      <w:rPr>
        <w:rFonts w:ascii="Geomanist Light" w:hAnsi="Geomanist Light" w:eastAsia="Geo" w:cs="Geo"/>
        <w:sz w:val="16"/>
        <w:szCs w:val="16"/>
        <w:lang w:eastAsia="es-CO"/>
      </w:rPr>
      <w:t>2</w:t>
    </w:r>
    <w:r w:rsidRPr="007566FE" w:rsidR="007566FE">
      <w:rPr>
        <w:rFonts w:ascii="Geomanist Light" w:hAnsi="Geomanist Light" w:eastAsia="Geo" w:cs="Geo"/>
        <w:sz w:val="16"/>
        <w:szCs w:val="16"/>
        <w:lang w:eastAsia="es-CO"/>
      </w:rPr>
      <w:t xml:space="preserve"> DEL </w:t>
    </w:r>
    <w:r w:rsidR="00C9405D">
      <w:rPr>
        <w:rFonts w:ascii="Geomanist Light" w:hAnsi="Geomanist Light" w:eastAsia="Geo" w:cs="Geo"/>
        <w:sz w:val="16"/>
        <w:szCs w:val="16"/>
        <w:lang w:eastAsia="es-CO"/>
      </w:rPr>
      <w:t>28</w:t>
    </w:r>
    <w:r w:rsidRPr="007566FE" w:rsidR="007566FE">
      <w:rPr>
        <w:rFonts w:ascii="Geomanist Light" w:hAnsi="Geomanist Light" w:eastAsia="Geo" w:cs="Geo"/>
        <w:sz w:val="16"/>
        <w:szCs w:val="16"/>
        <w:lang w:eastAsia="es-CO"/>
      </w:rPr>
      <w:t xml:space="preserve"> DE </w:t>
    </w:r>
    <w:r w:rsidR="00C9405D">
      <w:rPr>
        <w:rFonts w:ascii="Geomanist Light" w:hAnsi="Geomanist Light" w:eastAsia="Geo" w:cs="Geo"/>
        <w:sz w:val="16"/>
        <w:szCs w:val="16"/>
        <w:lang w:eastAsia="es-CO"/>
      </w:rPr>
      <w:t>SEPTIEMBRE</w:t>
    </w:r>
    <w:r w:rsidRPr="007566FE" w:rsidR="007566FE">
      <w:rPr>
        <w:rFonts w:ascii="Geomanist Light" w:hAnsi="Geomanist Light" w:eastAsia="Geo" w:cs="Geo"/>
        <w:sz w:val="16"/>
        <w:szCs w:val="16"/>
        <w:lang w:eastAsia="es-CO"/>
      </w:rPr>
      <w:t xml:space="preserve"> DE 2022</w:t>
    </w:r>
  </w:p>
  <w:p w:rsidRPr="007566FE" w:rsidR="00793403" w:rsidP="008614E5" w:rsidRDefault="00793403" w14:paraId="60144E94" w14:textId="49B57718">
    <w:pPr>
      <w:spacing w:after="0"/>
      <w:rPr>
        <w:rFonts w:ascii="Geomanist Light" w:hAnsi="Geomanist Light"/>
        <w:color w:val="002060"/>
        <w:sz w:val="16"/>
        <w:szCs w:val="16"/>
      </w:rPr>
    </w:pPr>
  </w:p>
  <w:p w:rsidRPr="00906B3C" w:rsidR="004A1847" w:rsidP="00906B3C" w:rsidRDefault="004A1847" w14:paraId="1D9AD711" w14:textId="5827BD16">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56708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2BAF"/>
    <w:rsid w:val="00017D7A"/>
    <w:rsid w:val="00060FC3"/>
    <w:rsid w:val="00063AC1"/>
    <w:rsid w:val="00075B96"/>
    <w:rsid w:val="00077258"/>
    <w:rsid w:val="00083334"/>
    <w:rsid w:val="000861A4"/>
    <w:rsid w:val="000956CF"/>
    <w:rsid w:val="000A683E"/>
    <w:rsid w:val="000A6849"/>
    <w:rsid w:val="000D0CA4"/>
    <w:rsid w:val="0011595A"/>
    <w:rsid w:val="001220C5"/>
    <w:rsid w:val="001267F7"/>
    <w:rsid w:val="00127233"/>
    <w:rsid w:val="00130999"/>
    <w:rsid w:val="00157F56"/>
    <w:rsid w:val="00164D81"/>
    <w:rsid w:val="00181E57"/>
    <w:rsid w:val="001A1011"/>
    <w:rsid w:val="001A48D0"/>
    <w:rsid w:val="001D05BF"/>
    <w:rsid w:val="001F40BD"/>
    <w:rsid w:val="002022E8"/>
    <w:rsid w:val="0020671D"/>
    <w:rsid w:val="00212E06"/>
    <w:rsid w:val="00227785"/>
    <w:rsid w:val="002653C1"/>
    <w:rsid w:val="0026611D"/>
    <w:rsid w:val="0027764C"/>
    <w:rsid w:val="002862E6"/>
    <w:rsid w:val="002951A0"/>
    <w:rsid w:val="002A33CC"/>
    <w:rsid w:val="002A64FD"/>
    <w:rsid w:val="002B4614"/>
    <w:rsid w:val="002D7970"/>
    <w:rsid w:val="002F0839"/>
    <w:rsid w:val="00301469"/>
    <w:rsid w:val="00306EE1"/>
    <w:rsid w:val="00310B9B"/>
    <w:rsid w:val="00333E5D"/>
    <w:rsid w:val="0036461C"/>
    <w:rsid w:val="00367884"/>
    <w:rsid w:val="0039439C"/>
    <w:rsid w:val="003B69E7"/>
    <w:rsid w:val="003C013B"/>
    <w:rsid w:val="003D0F4D"/>
    <w:rsid w:val="003F2CD1"/>
    <w:rsid w:val="003F58A1"/>
    <w:rsid w:val="00401766"/>
    <w:rsid w:val="00410DD6"/>
    <w:rsid w:val="004134C9"/>
    <w:rsid w:val="004231AB"/>
    <w:rsid w:val="0043138C"/>
    <w:rsid w:val="004527E6"/>
    <w:rsid w:val="00462A59"/>
    <w:rsid w:val="00463003"/>
    <w:rsid w:val="004A1847"/>
    <w:rsid w:val="004B6B0E"/>
    <w:rsid w:val="004D25B3"/>
    <w:rsid w:val="004F5577"/>
    <w:rsid w:val="00511405"/>
    <w:rsid w:val="00523F97"/>
    <w:rsid w:val="00526E9D"/>
    <w:rsid w:val="005304E3"/>
    <w:rsid w:val="00547856"/>
    <w:rsid w:val="00547A74"/>
    <w:rsid w:val="005566E8"/>
    <w:rsid w:val="005746AB"/>
    <w:rsid w:val="0059357F"/>
    <w:rsid w:val="005A1130"/>
    <w:rsid w:val="005D65C8"/>
    <w:rsid w:val="005E0E92"/>
    <w:rsid w:val="006219F8"/>
    <w:rsid w:val="006251F2"/>
    <w:rsid w:val="00673015"/>
    <w:rsid w:val="00681FDB"/>
    <w:rsid w:val="006949D3"/>
    <w:rsid w:val="00695728"/>
    <w:rsid w:val="006957F7"/>
    <w:rsid w:val="006A7DAD"/>
    <w:rsid w:val="006D70BA"/>
    <w:rsid w:val="006E3847"/>
    <w:rsid w:val="007566FE"/>
    <w:rsid w:val="0076726F"/>
    <w:rsid w:val="0077144B"/>
    <w:rsid w:val="00793403"/>
    <w:rsid w:val="007A2024"/>
    <w:rsid w:val="007C0CDF"/>
    <w:rsid w:val="007E2A2F"/>
    <w:rsid w:val="007F2B7C"/>
    <w:rsid w:val="007F5E7A"/>
    <w:rsid w:val="00811651"/>
    <w:rsid w:val="00820F5B"/>
    <w:rsid w:val="00833452"/>
    <w:rsid w:val="00845E1B"/>
    <w:rsid w:val="008614E5"/>
    <w:rsid w:val="008678EB"/>
    <w:rsid w:val="00875894"/>
    <w:rsid w:val="00881C10"/>
    <w:rsid w:val="00890411"/>
    <w:rsid w:val="008A639F"/>
    <w:rsid w:val="008A7E8F"/>
    <w:rsid w:val="008B612B"/>
    <w:rsid w:val="008D5C70"/>
    <w:rsid w:val="009025AF"/>
    <w:rsid w:val="00904F23"/>
    <w:rsid w:val="00906B3C"/>
    <w:rsid w:val="0095342C"/>
    <w:rsid w:val="00991B5A"/>
    <w:rsid w:val="00994B13"/>
    <w:rsid w:val="009A75AD"/>
    <w:rsid w:val="009B5D80"/>
    <w:rsid w:val="009F33F2"/>
    <w:rsid w:val="009F6C77"/>
    <w:rsid w:val="00A07532"/>
    <w:rsid w:val="00A1085C"/>
    <w:rsid w:val="00A208E1"/>
    <w:rsid w:val="00A309E2"/>
    <w:rsid w:val="00A40E8D"/>
    <w:rsid w:val="00A554D9"/>
    <w:rsid w:val="00A8066E"/>
    <w:rsid w:val="00AA4B8A"/>
    <w:rsid w:val="00AA6BF7"/>
    <w:rsid w:val="00AD624C"/>
    <w:rsid w:val="00AE2164"/>
    <w:rsid w:val="00B01ED6"/>
    <w:rsid w:val="00B06D09"/>
    <w:rsid w:val="00B523D5"/>
    <w:rsid w:val="00B771A9"/>
    <w:rsid w:val="00B809BB"/>
    <w:rsid w:val="00B8248A"/>
    <w:rsid w:val="00BB7726"/>
    <w:rsid w:val="00BC3457"/>
    <w:rsid w:val="00BF217E"/>
    <w:rsid w:val="00C2329E"/>
    <w:rsid w:val="00C30461"/>
    <w:rsid w:val="00C754BE"/>
    <w:rsid w:val="00C843EA"/>
    <w:rsid w:val="00C87572"/>
    <w:rsid w:val="00C9405D"/>
    <w:rsid w:val="00CC1B26"/>
    <w:rsid w:val="00CD284F"/>
    <w:rsid w:val="00CF23AA"/>
    <w:rsid w:val="00D01921"/>
    <w:rsid w:val="00D752B7"/>
    <w:rsid w:val="00DA155A"/>
    <w:rsid w:val="00DA1854"/>
    <w:rsid w:val="00DB0887"/>
    <w:rsid w:val="00DF1E43"/>
    <w:rsid w:val="00E20894"/>
    <w:rsid w:val="00E26B7C"/>
    <w:rsid w:val="00E9485C"/>
    <w:rsid w:val="00EA3003"/>
    <w:rsid w:val="00EB3C91"/>
    <w:rsid w:val="00EB66DA"/>
    <w:rsid w:val="00F25C4F"/>
    <w:rsid w:val="00F41BF8"/>
    <w:rsid w:val="00F605F2"/>
    <w:rsid w:val="00F76AFC"/>
    <w:rsid w:val="00F8319B"/>
    <w:rsid w:val="00FA5516"/>
    <w:rsid w:val="00FD6F73"/>
    <w:rsid w:val="15F7E69A"/>
    <w:rsid w:val="1CC63BF5"/>
    <w:rsid w:val="28D158D5"/>
    <w:rsid w:val="2F9951DC"/>
    <w:rsid w:val="3443C00C"/>
    <w:rsid w:val="3EA2D60F"/>
    <w:rsid w:val="489DF866"/>
    <w:rsid w:val="621341D9"/>
    <w:rsid w:val="6B8910AB"/>
    <w:rsid w:val="6B8BD3AC"/>
    <w:rsid w:val="777950C3"/>
    <w:rsid w:val="7B2AF644"/>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hAnsi="Arial" w:eastAsia="Arial" w:cs="Arial"/>
      <w:b/>
      <w:bCs/>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Ttulo1Car" w:customStyle="1">
    <w:name w:val="Título 1 Car"/>
    <w:basedOn w:val="Fuentedeprrafopredeter"/>
    <w:link w:val="Ttulo1"/>
    <w:uiPriority w:val="9"/>
    <w:rsid w:val="00904F23"/>
    <w:rPr>
      <w:rFonts w:ascii="Arial" w:hAnsi="Arial" w:eastAsia="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styleId="TextocomentarioCar" w:customStyle="1">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styleId="AsuntodelcomentarioCar" w:customStyle="1">
    <w:name w:val="Asunto del comentario Car"/>
    <w:basedOn w:val="TextocomentarioCar"/>
    <w:link w:val="Asuntodelcomentario"/>
    <w:uiPriority w:val="99"/>
    <w:semiHidden/>
    <w:rsid w:val="00511405"/>
    <w:rPr>
      <w:b/>
      <w:bCs/>
      <w:sz w:val="20"/>
      <w:szCs w:val="20"/>
    </w:rPr>
  </w:style>
  <w:style w:type="paragraph" w:styleId="Car1" w:customStyle="1">
    <w:name w:val="Car1"/>
    <w:basedOn w:val="Normal"/>
    <w:next w:val="Textonotapie"/>
    <w:uiPriority w:val="99"/>
    <w:unhideWhenUsed/>
    <w:qFormat/>
    <w:rsid w:val="00002BAF"/>
    <w:pPr>
      <w:spacing w:after="0" w:line="240" w:lineRule="auto"/>
    </w:pPr>
    <w:rPr>
      <w:sz w:val="20"/>
      <w:szCs w:val="20"/>
      <w:lang w:val="es-MX"/>
    </w:rPr>
  </w:style>
  <w:style w:type="paragraph" w:styleId="Appelnotedebasde" w:customStyle="1">
    <w:name w:val="Appel note de bas de..."/>
    <w:basedOn w:val="Normal"/>
    <w:link w:val="Refdenotaalpie"/>
    <w:uiPriority w:val="99"/>
    <w:rsid w:val="00002BAF"/>
    <w:pPr>
      <w:spacing w:line="240" w:lineRule="exact"/>
    </w:pPr>
    <w:rPr>
      <w:vertAlign w:val="superscript"/>
    </w:rPr>
  </w:style>
  <w:style w:type="table" w:styleId="Tablaconcuadrcula1" w:customStyle="1">
    <w:name w:val="Tabla con cuadrícula1"/>
    <w:basedOn w:val="Tablanormal"/>
    <w:next w:val="Tablaconcuadrcula"/>
    <w:uiPriority w:val="59"/>
    <w:rsid w:val="00002B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8A639F"/>
    <w:rPr>
      <w:color w:val="0563C1" w:themeColor="hyperlink"/>
      <w:u w:val="single"/>
    </w:rPr>
  </w:style>
  <w:style w:type="character" w:styleId="Mencinsinresolver">
    <w:name w:val="Unresolved Mention"/>
    <w:basedOn w:val="Fuentedeprrafopredeter"/>
    <w:uiPriority w:val="99"/>
    <w:semiHidden/>
    <w:unhideWhenUsed/>
    <w:rsid w:val="008A639F"/>
    <w:rPr>
      <w:color w:val="605E5C"/>
      <w:shd w:val="clear" w:color="auto" w:fill="E1DFDD"/>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7301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uncionpublica.gov.co/eva/gestornormativo/norma.php?i=77653"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muribem@bucaramanga.gov.co"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png" Id="rId14" /></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48EF2-1498-4209-8A71-A9CE5536102A}"/>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48</cp:revision>
  <dcterms:created xsi:type="dcterms:W3CDTF">2023-02-21T23:14:00Z</dcterms:created>
  <dcterms:modified xsi:type="dcterms:W3CDTF">2023-04-20T13:38:19Z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