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BE18D7" w:rsidRDefault="009F59C2" w:rsidP="00635FB7">
      <w:pPr>
        <w:spacing w:line="276" w:lineRule="auto"/>
        <w:jc w:val="right"/>
        <w:rPr>
          <w:rFonts w:ascii="Arial" w:hAnsi="Arial" w:cs="Arial"/>
          <w:b/>
          <w:color w:val="000000" w:themeColor="text1"/>
          <w:sz w:val="16"/>
          <w:szCs w:val="16"/>
          <w:lang w:eastAsia="es-ES"/>
        </w:rPr>
      </w:pPr>
      <w:bookmarkStart w:id="0" w:name="_Hlk28946138"/>
      <w:bookmarkStart w:id="1" w:name="_Hlk29548183"/>
      <w:r w:rsidRPr="00BE18D7">
        <w:rPr>
          <w:rFonts w:ascii="Arial" w:hAnsi="Arial" w:cs="Arial"/>
          <w:b/>
          <w:color w:val="000000" w:themeColor="text1"/>
          <w:sz w:val="16"/>
          <w:szCs w:val="16"/>
          <w:lang w:eastAsia="es-ES"/>
        </w:rPr>
        <w:tab/>
      </w:r>
      <w:r w:rsidR="0034177C" w:rsidRPr="00BE18D7">
        <w:rPr>
          <w:rFonts w:ascii="Arial" w:hAnsi="Arial" w:cs="Arial"/>
          <w:b/>
          <w:color w:val="000000" w:themeColor="text1"/>
          <w:sz w:val="16"/>
          <w:szCs w:val="16"/>
          <w:lang w:eastAsia="es-ES"/>
        </w:rPr>
        <w:t>CCE-DES-FM-17</w:t>
      </w:r>
    </w:p>
    <w:p w14:paraId="0D20415E" w14:textId="77777777" w:rsidR="00965ED6" w:rsidRPr="00D82DEB" w:rsidRDefault="00965ED6" w:rsidP="00635FB7">
      <w:pPr>
        <w:jc w:val="right"/>
        <w:rPr>
          <w:rFonts w:ascii="Arial" w:hAnsi="Arial" w:cs="Arial"/>
          <w:b/>
          <w:color w:val="000000" w:themeColor="text1"/>
          <w:sz w:val="16"/>
          <w:szCs w:val="16"/>
          <w:lang w:eastAsia="es-ES"/>
        </w:rPr>
      </w:pPr>
    </w:p>
    <w:p w14:paraId="609062FC" w14:textId="3ACF23B7" w:rsidR="00842A04" w:rsidRPr="00BE18D7" w:rsidRDefault="009F1F65" w:rsidP="00635FB7">
      <w:pPr>
        <w:jc w:val="both"/>
        <w:rPr>
          <w:rFonts w:ascii="Arial" w:hAnsi="Arial" w:cs="Arial"/>
          <w:color w:val="000000" w:themeColor="text1"/>
          <w:sz w:val="21"/>
          <w:szCs w:val="21"/>
        </w:rPr>
      </w:pPr>
      <w:r w:rsidRPr="24F35AF8">
        <w:rPr>
          <w:rFonts w:ascii="Arial" w:hAnsi="Arial" w:cs="Arial"/>
          <w:b/>
          <w:bCs/>
          <w:color w:val="000000" w:themeColor="text1"/>
          <w:sz w:val="22"/>
        </w:rPr>
        <w:t>EXPERIENCIA</w:t>
      </w:r>
      <w:r w:rsidR="003C66C5" w:rsidRPr="24F35AF8">
        <w:rPr>
          <w:rFonts w:ascii="Arial" w:hAnsi="Arial" w:cs="Arial"/>
          <w:b/>
          <w:bCs/>
          <w:color w:val="000000" w:themeColor="text1"/>
          <w:sz w:val="22"/>
        </w:rPr>
        <w:t xml:space="preserve"> </w:t>
      </w:r>
      <w:r w:rsidR="009164FA" w:rsidRPr="24F35AF8">
        <w:rPr>
          <w:rFonts w:ascii="Arial" w:eastAsia="Calibri" w:hAnsi="Arial" w:cs="Arial"/>
          <w:b/>
          <w:bCs/>
          <w:color w:val="000000" w:themeColor="text1"/>
          <w:sz w:val="22"/>
        </w:rPr>
        <w:t>–</w:t>
      </w:r>
      <w:r w:rsidRPr="24F35AF8">
        <w:rPr>
          <w:rFonts w:ascii="Arial" w:hAnsi="Arial" w:cs="Arial"/>
          <w:b/>
          <w:bCs/>
          <w:color w:val="000000" w:themeColor="text1"/>
          <w:sz w:val="22"/>
        </w:rPr>
        <w:t xml:space="preserve"> </w:t>
      </w:r>
      <w:r w:rsidR="00C542CB" w:rsidRPr="24F35AF8">
        <w:rPr>
          <w:rFonts w:ascii="Arial" w:hAnsi="Arial" w:cs="Arial"/>
          <w:b/>
          <w:bCs/>
          <w:color w:val="000000" w:themeColor="text1"/>
          <w:sz w:val="22"/>
        </w:rPr>
        <w:t xml:space="preserve">Conservación </w:t>
      </w:r>
      <w:r w:rsidR="00C542CB" w:rsidRPr="24F35AF8">
        <w:rPr>
          <w:rFonts w:ascii="Arial" w:eastAsia="Calibri" w:hAnsi="Arial" w:cs="Arial"/>
          <w:b/>
          <w:bCs/>
          <w:color w:val="000000" w:themeColor="text1"/>
          <w:sz w:val="22"/>
        </w:rPr>
        <w:t xml:space="preserve">– </w:t>
      </w:r>
      <w:r w:rsidR="00842A04" w:rsidRPr="24F35AF8">
        <w:rPr>
          <w:rFonts w:ascii="Arial" w:hAnsi="Arial" w:cs="Arial"/>
          <w:b/>
          <w:bCs/>
          <w:color w:val="000000" w:themeColor="text1"/>
          <w:sz w:val="22"/>
        </w:rPr>
        <w:t xml:space="preserve">Sociedades </w:t>
      </w:r>
      <w:r w:rsidR="00C542CB" w:rsidRPr="24F35AF8">
        <w:rPr>
          <w:rFonts w:ascii="Arial" w:eastAsia="Calibri" w:hAnsi="Arial" w:cs="Arial"/>
          <w:b/>
          <w:bCs/>
          <w:color w:val="000000" w:themeColor="text1"/>
          <w:sz w:val="22"/>
        </w:rPr>
        <w:t xml:space="preserve">– </w:t>
      </w:r>
      <w:r w:rsidR="48E4CD61" w:rsidRPr="24F35AF8">
        <w:rPr>
          <w:rFonts w:ascii="Arial" w:eastAsia="Calibri" w:hAnsi="Arial" w:cs="Arial"/>
          <w:b/>
          <w:bCs/>
          <w:color w:val="000000" w:themeColor="text1"/>
          <w:sz w:val="22"/>
        </w:rPr>
        <w:t>Sociedad c</w:t>
      </w:r>
      <w:r w:rsidR="501EDE4B" w:rsidRPr="24F35AF8">
        <w:rPr>
          <w:rFonts w:ascii="Arial" w:eastAsia="Calibri" w:hAnsi="Arial" w:cs="Arial"/>
          <w:b/>
          <w:bCs/>
          <w:color w:val="000000" w:themeColor="text1"/>
          <w:sz w:val="22"/>
        </w:rPr>
        <w:t xml:space="preserve">on </w:t>
      </w:r>
      <w:r w:rsidR="6E71F7CC" w:rsidRPr="24F35AF8">
        <w:rPr>
          <w:rFonts w:ascii="Arial" w:eastAsia="Calibri" w:hAnsi="Arial" w:cs="Arial"/>
          <w:b/>
          <w:bCs/>
          <w:color w:val="000000" w:themeColor="text1"/>
          <w:sz w:val="22"/>
        </w:rPr>
        <w:t>me</w:t>
      </w:r>
      <w:r w:rsidR="00842A04" w:rsidRPr="24F35AF8">
        <w:rPr>
          <w:rFonts w:ascii="Arial" w:hAnsi="Arial" w:cs="Arial"/>
          <w:b/>
          <w:bCs/>
          <w:color w:val="000000" w:themeColor="text1"/>
          <w:sz w:val="22"/>
        </w:rPr>
        <w:t>no</w:t>
      </w:r>
      <w:r w:rsidR="5ABD7C36" w:rsidRPr="24F35AF8">
        <w:rPr>
          <w:rFonts w:ascii="Arial" w:hAnsi="Arial" w:cs="Arial"/>
          <w:b/>
          <w:bCs/>
          <w:color w:val="000000" w:themeColor="text1"/>
          <w:sz w:val="22"/>
        </w:rPr>
        <w:t xml:space="preserve">s de </w:t>
      </w:r>
      <w:r w:rsidR="00842A04" w:rsidRPr="24F35AF8">
        <w:rPr>
          <w:rFonts w:ascii="Arial" w:hAnsi="Arial" w:cs="Arial"/>
          <w:b/>
          <w:bCs/>
          <w:color w:val="000000" w:themeColor="text1"/>
          <w:sz w:val="22"/>
        </w:rPr>
        <w:t>3 años de constitu</w:t>
      </w:r>
      <w:r w:rsidR="62A07129" w:rsidRPr="24F35AF8">
        <w:rPr>
          <w:rFonts w:ascii="Arial" w:hAnsi="Arial" w:cs="Arial"/>
          <w:b/>
          <w:bCs/>
          <w:color w:val="000000" w:themeColor="text1"/>
          <w:sz w:val="22"/>
        </w:rPr>
        <w:t>ida</w:t>
      </w:r>
    </w:p>
    <w:p w14:paraId="093B6EDA" w14:textId="77777777" w:rsidR="00842A04" w:rsidRPr="00BE18D7" w:rsidRDefault="00842A04" w:rsidP="009164FA">
      <w:pPr>
        <w:jc w:val="both"/>
        <w:rPr>
          <w:rFonts w:ascii="Arial" w:hAnsi="Arial" w:cs="Arial"/>
          <w:color w:val="000000" w:themeColor="text1"/>
          <w:sz w:val="20"/>
          <w:szCs w:val="20"/>
        </w:rPr>
      </w:pPr>
    </w:p>
    <w:p w14:paraId="1754C2C8" w14:textId="77777777" w:rsidR="00842A04" w:rsidRPr="00BE18D7" w:rsidRDefault="00842A04" w:rsidP="009164FA">
      <w:pPr>
        <w:jc w:val="both"/>
        <w:rPr>
          <w:rFonts w:ascii="Arial" w:hAnsi="Arial" w:cs="Arial"/>
          <w:color w:val="000000" w:themeColor="text1"/>
          <w:sz w:val="20"/>
          <w:szCs w:val="20"/>
        </w:rPr>
      </w:pPr>
      <w:r w:rsidRPr="00BE18D7">
        <w:rPr>
          <w:rFonts w:ascii="Arial" w:hAnsi="Arial" w:cs="Arial"/>
          <w:color w:val="000000" w:themeColor="text1"/>
          <w:sz w:val="20"/>
          <w:szCs w:val="20"/>
        </w:rPr>
        <w:t xml:space="preserve">En otras palabras, si la persona jurídica con menos de 3 años de constituida registra la experiencia de sus socios en el RUP, y este es renovado, puede continuar utilizando la experiencia inscrita mientras no cesen los efectos del RUP. Por el contrario, si no se renueva y la persona jurídica supera los 3 años de constituida, la experiencia que registró de sus socios no puede ser inscrita nuevamente, puesto que los efectos del RUP cesaron y la Cámara de Comercio tiene que hacer nuevamente la verificación documental de la información presentada al momento de inscribirse en el registro.  </w:t>
      </w:r>
    </w:p>
    <w:p w14:paraId="72822C2F" w14:textId="77777777" w:rsidR="00994A03" w:rsidRPr="00BE18D7" w:rsidRDefault="00994A03" w:rsidP="009164FA">
      <w:pPr>
        <w:jc w:val="both"/>
        <w:rPr>
          <w:rFonts w:ascii="Arial" w:hAnsi="Arial" w:cs="Arial"/>
          <w:color w:val="000000" w:themeColor="text1"/>
          <w:sz w:val="22"/>
        </w:rPr>
      </w:pPr>
    </w:p>
    <w:p w14:paraId="1F4472DA" w14:textId="355C7103" w:rsidR="0034177C" w:rsidRPr="00BE18D7" w:rsidRDefault="00842A04" w:rsidP="24F35AF8">
      <w:pPr>
        <w:jc w:val="both"/>
        <w:rPr>
          <w:rFonts w:ascii="Arial" w:eastAsia="Calibri" w:hAnsi="Arial" w:cs="Arial"/>
          <w:b/>
          <w:bCs/>
          <w:color w:val="000000" w:themeColor="text1"/>
          <w:sz w:val="22"/>
        </w:rPr>
      </w:pPr>
      <w:r w:rsidRPr="24F35AF8">
        <w:rPr>
          <w:rFonts w:ascii="Arial" w:eastAsia="Calibri" w:hAnsi="Arial" w:cs="Arial"/>
          <w:b/>
          <w:bCs/>
          <w:color w:val="000000" w:themeColor="text1"/>
          <w:sz w:val="22"/>
        </w:rPr>
        <w:t xml:space="preserve">EXPERIENCIA </w:t>
      </w:r>
      <w:r w:rsidR="00C542CB" w:rsidRPr="24F35AF8">
        <w:rPr>
          <w:rFonts w:ascii="Arial" w:eastAsia="Calibri" w:hAnsi="Arial" w:cs="Arial"/>
          <w:b/>
          <w:bCs/>
          <w:color w:val="000000" w:themeColor="text1"/>
          <w:sz w:val="22"/>
        </w:rPr>
        <w:t xml:space="preserve">– </w:t>
      </w:r>
      <w:r w:rsidRPr="24F35AF8">
        <w:rPr>
          <w:rFonts w:ascii="Arial" w:eastAsia="Calibri" w:hAnsi="Arial" w:cs="Arial"/>
          <w:b/>
          <w:bCs/>
          <w:color w:val="000000" w:themeColor="text1"/>
          <w:sz w:val="22"/>
        </w:rPr>
        <w:t>S</w:t>
      </w:r>
      <w:r w:rsidR="00C542CB" w:rsidRPr="24F35AF8">
        <w:rPr>
          <w:rFonts w:ascii="Arial" w:eastAsia="Calibri" w:hAnsi="Arial" w:cs="Arial"/>
          <w:b/>
          <w:bCs/>
          <w:color w:val="000000" w:themeColor="text1"/>
          <w:sz w:val="22"/>
        </w:rPr>
        <w:t xml:space="preserve">ociedades – </w:t>
      </w:r>
      <w:r w:rsidR="0F7D0FB7" w:rsidRPr="24F35AF8">
        <w:rPr>
          <w:rFonts w:ascii="Arial" w:eastAsia="Calibri" w:hAnsi="Arial" w:cs="Arial"/>
          <w:b/>
          <w:bCs/>
          <w:color w:val="000000" w:themeColor="text1"/>
          <w:sz w:val="22"/>
        </w:rPr>
        <w:t xml:space="preserve">Sociedad con menos de 3 años de constituida – </w:t>
      </w:r>
    </w:p>
    <w:p w14:paraId="33FF83A2" w14:textId="5ADC727E" w:rsidR="0034177C" w:rsidRPr="00BE18D7" w:rsidRDefault="00842A04" w:rsidP="24F35AF8">
      <w:pPr>
        <w:jc w:val="both"/>
        <w:rPr>
          <w:rFonts w:ascii="Arial" w:eastAsia="Calibri" w:hAnsi="Arial" w:cs="Arial"/>
          <w:b/>
          <w:bCs/>
          <w:color w:val="000000" w:themeColor="text1"/>
          <w:sz w:val="22"/>
        </w:rPr>
      </w:pPr>
      <w:r w:rsidRPr="24F35AF8">
        <w:rPr>
          <w:rFonts w:ascii="Arial" w:eastAsia="Calibri" w:hAnsi="Arial" w:cs="Arial"/>
          <w:color w:val="000000" w:themeColor="text1"/>
          <w:sz w:val="22"/>
        </w:rPr>
        <w:t xml:space="preserve"> </w:t>
      </w:r>
      <w:r w:rsidRPr="24F35AF8">
        <w:rPr>
          <w:rFonts w:ascii="Arial" w:eastAsia="Calibri" w:hAnsi="Arial" w:cs="Arial"/>
          <w:b/>
          <w:bCs/>
          <w:color w:val="000000" w:themeColor="text1"/>
          <w:sz w:val="22"/>
        </w:rPr>
        <w:t>Procesos exceptuados del RUP</w:t>
      </w:r>
    </w:p>
    <w:p w14:paraId="2ED1344D" w14:textId="77777777" w:rsidR="0063643E" w:rsidRPr="00BE18D7" w:rsidRDefault="0063643E" w:rsidP="009164FA">
      <w:pPr>
        <w:jc w:val="both"/>
        <w:rPr>
          <w:rFonts w:ascii="Arial" w:eastAsia="Calibri" w:hAnsi="Arial" w:cs="Arial"/>
          <w:color w:val="000000" w:themeColor="text1"/>
          <w:sz w:val="20"/>
          <w:szCs w:val="20"/>
        </w:rPr>
      </w:pPr>
    </w:p>
    <w:p w14:paraId="139EBC5B" w14:textId="6A8B486D" w:rsidR="00DA04AA" w:rsidRPr="00BE18D7" w:rsidRDefault="58AF924B" w:rsidP="00DA04AA">
      <w:pPr>
        <w:spacing w:after="120"/>
        <w:jc w:val="both"/>
        <w:rPr>
          <w:rFonts w:ascii="Arial" w:hAnsi="Arial" w:cs="Arial"/>
          <w:color w:val="000000" w:themeColor="text1"/>
          <w:sz w:val="20"/>
          <w:szCs w:val="20"/>
        </w:rPr>
      </w:pPr>
      <w:r w:rsidRPr="24F35AF8">
        <w:rPr>
          <w:rFonts w:ascii="Arial" w:hAnsi="Arial" w:cs="Arial"/>
          <w:color w:val="000000" w:themeColor="text1"/>
          <w:sz w:val="20"/>
          <w:szCs w:val="20"/>
        </w:rPr>
        <w:t xml:space="preserve">[…] </w:t>
      </w:r>
      <w:r w:rsidR="4A055DDC" w:rsidRPr="24F35AF8">
        <w:rPr>
          <w:rFonts w:ascii="Arial" w:hAnsi="Arial" w:cs="Arial"/>
          <w:color w:val="000000" w:themeColor="text1"/>
          <w:sz w:val="20"/>
          <w:szCs w:val="20"/>
        </w:rPr>
        <w:t>F</w:t>
      </w:r>
      <w:r w:rsidR="00842A04" w:rsidRPr="24F35AF8">
        <w:rPr>
          <w:rFonts w:ascii="Arial" w:hAnsi="Arial" w:cs="Arial"/>
          <w:color w:val="000000" w:themeColor="text1"/>
          <w:sz w:val="20"/>
          <w:szCs w:val="20"/>
        </w:rPr>
        <w:t xml:space="preserve">rente a la acreditación de la experiencia de los socios, accionistas o constituyentes de una persona jurídica con menos de 3 años de constitución, para participar en los eventos exceptuados al deber de inscripción en el RUP, como en los procesos de selección de mínima cuantía, la entidad contratante, en virtud de su autonomía, cuenta con la discreción de adoptar dos alternativas: i) aplicar el numeral 2.5 del artículo 2.2.1.1.1.5.2 del Decreto 1082 de 2015 de manera restrictiva, es decir, solo para los eventos de personas jurídicas con menos de 3 años de constitución que se inscriban en el RUP o ii) hacer una aplicación extensiva o analógica de esta norma, y determinar en los pliegos de condiciones que estas personas jurídica, que por virtud de los eventos exceptuados por el segundo inciso del artículo 6 de la Ley 1150 de 2007, no están obligadas a inscribirse en el RUP y no lo han hecho, pueden acreditar la experiencia de sus socios, accionistas y constituyentes si tiene menos de 3 años de constitución. </w:t>
      </w:r>
    </w:p>
    <w:p w14:paraId="16209C1F" w14:textId="2193645C" w:rsidR="00842A04" w:rsidRDefault="00842A04" w:rsidP="009164FA">
      <w:pPr>
        <w:jc w:val="both"/>
        <w:rPr>
          <w:rFonts w:ascii="Arial" w:hAnsi="Arial" w:cs="Arial"/>
          <w:color w:val="000000" w:themeColor="text1"/>
          <w:sz w:val="20"/>
          <w:szCs w:val="20"/>
        </w:rPr>
      </w:pPr>
      <w:r w:rsidRPr="00BE18D7">
        <w:rPr>
          <w:rFonts w:ascii="Arial" w:hAnsi="Arial" w:cs="Arial"/>
          <w:color w:val="000000" w:themeColor="text1"/>
          <w:sz w:val="20"/>
          <w:szCs w:val="20"/>
        </w:rPr>
        <w:t>La Subdirección de Gestión Contractual considera que la segunda alternativa es la más adecuada, toda vez que realiza el principio de igualdad de trato que rige la contratación de las entidades estatales y materializa el fin de protección de la norma, que es promover el desarrollo de la pequeña empresa y la pluralidad de oferentes.</w:t>
      </w:r>
    </w:p>
    <w:p w14:paraId="2E7DE415" w14:textId="77777777" w:rsidR="00E97D48" w:rsidRDefault="00E97D48" w:rsidP="009164FA">
      <w:pPr>
        <w:jc w:val="both"/>
        <w:rPr>
          <w:rFonts w:ascii="Arial" w:hAnsi="Arial" w:cs="Arial"/>
          <w:color w:val="000000" w:themeColor="text1"/>
          <w:sz w:val="20"/>
          <w:szCs w:val="20"/>
        </w:rPr>
      </w:pPr>
    </w:p>
    <w:p w14:paraId="0E3CBEBA" w14:textId="7D5D7780" w:rsidR="00E97D48" w:rsidRPr="00E97D48" w:rsidRDefault="00E97D48" w:rsidP="24F35AF8">
      <w:pPr>
        <w:jc w:val="both"/>
        <w:rPr>
          <w:rFonts w:ascii="Arial" w:hAnsi="Arial" w:cs="Arial"/>
          <w:b/>
          <w:bCs/>
          <w:color w:val="000000" w:themeColor="text1"/>
          <w:sz w:val="22"/>
        </w:rPr>
      </w:pPr>
      <w:r w:rsidRPr="24F35AF8">
        <w:rPr>
          <w:rFonts w:ascii="Arial" w:hAnsi="Arial" w:cs="Arial"/>
          <w:b/>
          <w:bCs/>
          <w:color w:val="000000" w:themeColor="text1"/>
          <w:sz w:val="22"/>
        </w:rPr>
        <w:t xml:space="preserve">EXPERIENCIA – Improcedencia – Transferencia de experiencia – Compraventa </w:t>
      </w:r>
      <w:r w:rsidR="40B5BD15" w:rsidRPr="24F35AF8">
        <w:rPr>
          <w:rFonts w:ascii="Arial" w:hAnsi="Arial" w:cs="Arial"/>
          <w:b/>
          <w:bCs/>
          <w:color w:val="000000" w:themeColor="text1"/>
          <w:sz w:val="22"/>
        </w:rPr>
        <w:t>–</w:t>
      </w:r>
      <w:r w:rsidRPr="24F35AF8">
        <w:rPr>
          <w:rFonts w:ascii="Arial" w:hAnsi="Arial" w:cs="Arial"/>
          <w:b/>
          <w:bCs/>
          <w:color w:val="000000" w:themeColor="text1"/>
          <w:sz w:val="22"/>
        </w:rPr>
        <w:t xml:space="preserve"> </w:t>
      </w:r>
      <w:r w:rsidR="26FEF66C" w:rsidRPr="24F35AF8">
        <w:rPr>
          <w:rFonts w:ascii="Arial" w:hAnsi="Arial" w:cs="Arial"/>
          <w:b/>
          <w:bCs/>
          <w:color w:val="000000" w:themeColor="text1"/>
          <w:sz w:val="22"/>
        </w:rPr>
        <w:t>E</w:t>
      </w:r>
      <w:r w:rsidRPr="24F35AF8">
        <w:rPr>
          <w:rFonts w:ascii="Arial" w:hAnsi="Arial" w:cs="Arial"/>
          <w:b/>
          <w:bCs/>
          <w:color w:val="000000" w:themeColor="text1"/>
          <w:sz w:val="22"/>
        </w:rPr>
        <w:t>stablecimiento p</w:t>
      </w:r>
      <w:r w:rsidR="754EA47B" w:rsidRPr="24F35AF8">
        <w:rPr>
          <w:rFonts w:ascii="Arial" w:hAnsi="Arial" w:cs="Arial"/>
          <w:b/>
          <w:bCs/>
          <w:color w:val="000000" w:themeColor="text1"/>
          <w:sz w:val="22"/>
        </w:rPr>
        <w:t>ú</w:t>
      </w:r>
      <w:r w:rsidRPr="24F35AF8">
        <w:rPr>
          <w:rFonts w:ascii="Arial" w:hAnsi="Arial" w:cs="Arial"/>
          <w:b/>
          <w:bCs/>
          <w:color w:val="000000" w:themeColor="text1"/>
          <w:sz w:val="22"/>
        </w:rPr>
        <w:t xml:space="preserve">blico </w:t>
      </w:r>
    </w:p>
    <w:p w14:paraId="59DB4378" w14:textId="77777777" w:rsidR="00E97D48" w:rsidRPr="00E97D48" w:rsidRDefault="00E97D48" w:rsidP="00E97D48">
      <w:pPr>
        <w:jc w:val="both"/>
        <w:rPr>
          <w:rFonts w:ascii="Arial" w:hAnsi="Arial" w:cs="Arial"/>
          <w:color w:val="000000" w:themeColor="text1"/>
          <w:sz w:val="20"/>
          <w:szCs w:val="20"/>
        </w:rPr>
      </w:pPr>
    </w:p>
    <w:p w14:paraId="545CFF17" w14:textId="2465D1D2" w:rsidR="00E97D48" w:rsidRPr="00E97D48" w:rsidRDefault="00E97D48" w:rsidP="008A25B7">
      <w:pPr>
        <w:spacing w:after="120"/>
        <w:jc w:val="both"/>
        <w:rPr>
          <w:rFonts w:ascii="Arial" w:hAnsi="Arial" w:cs="Arial"/>
          <w:color w:val="000000" w:themeColor="text1"/>
          <w:sz w:val="20"/>
          <w:szCs w:val="20"/>
        </w:rPr>
      </w:pPr>
      <w:r w:rsidRPr="00E97D48">
        <w:rPr>
          <w:rFonts w:ascii="Arial" w:hAnsi="Arial" w:cs="Arial"/>
          <w:color w:val="000000" w:themeColor="text1"/>
          <w:sz w:val="20"/>
          <w:szCs w:val="20"/>
        </w:rPr>
        <w:t>[…]  se tiene que la experiencia es personal, es decir, se predica de las personas que directamente participaron en una actividad y puede compartirse o transferirse, ya que sigue la suerte de quien la adquirió.</w:t>
      </w:r>
    </w:p>
    <w:p w14:paraId="466CF4D7" w14:textId="1663A98F" w:rsidR="00E97D48" w:rsidRDefault="00E97D48" w:rsidP="008A25B7">
      <w:pPr>
        <w:spacing w:after="120"/>
        <w:jc w:val="both"/>
        <w:rPr>
          <w:rFonts w:ascii="Arial" w:hAnsi="Arial" w:cs="Arial"/>
          <w:color w:val="000000" w:themeColor="text1"/>
          <w:sz w:val="20"/>
          <w:szCs w:val="20"/>
        </w:rPr>
      </w:pPr>
      <w:r w:rsidRPr="00E97D48">
        <w:rPr>
          <w:rFonts w:ascii="Arial" w:hAnsi="Arial" w:cs="Arial"/>
          <w:color w:val="000000" w:themeColor="text1"/>
          <w:sz w:val="20"/>
          <w:szCs w:val="20"/>
        </w:rPr>
        <w:t>Del texto de la norma se permiten extraer 3 conclusiones, la primera, que los establecimientos de comercio son un conjunto de bienes. La segunda, constituyen una universalidad de hecho para cumplir los fines del empresario. La tercera, que la titularidad del derecho de propiedad de los establecimientos de comercio radica en personas naturales o jurídicas, lo que lógicamente permite concluir que los establecimientos comerciales no son personas. En consonancia con lo anterior, la doctrina ha señalado que los establecimientos de comercio no son personas jurídicas, por lo cual no tienen capacidad contractual ni procesal</w:t>
      </w:r>
      <w:r w:rsidR="008A25B7">
        <w:rPr>
          <w:rFonts w:ascii="Arial" w:hAnsi="Arial" w:cs="Arial"/>
          <w:color w:val="000000" w:themeColor="text1"/>
          <w:sz w:val="20"/>
          <w:szCs w:val="20"/>
        </w:rPr>
        <w:t xml:space="preserve"> […].</w:t>
      </w:r>
    </w:p>
    <w:p w14:paraId="1B2CF068" w14:textId="08A84FEA" w:rsidR="008A25B7" w:rsidRDefault="008A25B7" w:rsidP="008A25B7">
      <w:pPr>
        <w:spacing w:after="120"/>
        <w:jc w:val="both"/>
        <w:rPr>
          <w:rFonts w:ascii="Arial" w:hAnsi="Arial" w:cs="Arial"/>
          <w:color w:val="000000" w:themeColor="text1"/>
          <w:sz w:val="20"/>
          <w:szCs w:val="20"/>
        </w:rPr>
      </w:pPr>
      <w:r>
        <w:rPr>
          <w:rFonts w:ascii="Arial" w:hAnsi="Arial" w:cs="Arial"/>
          <w:color w:val="000000" w:themeColor="text1"/>
          <w:sz w:val="20"/>
          <w:szCs w:val="20"/>
        </w:rPr>
        <w:t>[…]</w:t>
      </w:r>
    </w:p>
    <w:p w14:paraId="64053028" w14:textId="77777777" w:rsidR="00D82DEB" w:rsidRDefault="00D82DEB" w:rsidP="00E97D48">
      <w:pPr>
        <w:jc w:val="both"/>
        <w:rPr>
          <w:rFonts w:ascii="Arial" w:hAnsi="Arial" w:cs="Arial"/>
          <w:color w:val="000000" w:themeColor="text1"/>
          <w:sz w:val="20"/>
          <w:szCs w:val="20"/>
        </w:rPr>
      </w:pPr>
    </w:p>
    <w:p w14:paraId="38164E54" w14:textId="77777777" w:rsidR="00E97D48" w:rsidRPr="00E97D48" w:rsidRDefault="00E97D48" w:rsidP="00E97D48">
      <w:pPr>
        <w:jc w:val="both"/>
        <w:rPr>
          <w:rFonts w:ascii="Arial" w:hAnsi="Arial" w:cs="Arial"/>
          <w:color w:val="000000" w:themeColor="text1"/>
          <w:sz w:val="20"/>
          <w:szCs w:val="20"/>
        </w:rPr>
      </w:pPr>
    </w:p>
    <w:p w14:paraId="32D08EB6" w14:textId="48CDEC23" w:rsidR="00E97D48" w:rsidRPr="00BE18D7" w:rsidRDefault="00D32CAE" w:rsidP="00E97D48">
      <w:pPr>
        <w:jc w:val="both"/>
        <w:rPr>
          <w:rFonts w:ascii="Arial" w:hAnsi="Arial" w:cs="Arial"/>
          <w:color w:val="000000" w:themeColor="text1"/>
          <w:sz w:val="20"/>
          <w:szCs w:val="20"/>
        </w:rPr>
      </w:pPr>
      <w:r>
        <w:rPr>
          <w:rFonts w:ascii="Arial" w:hAnsi="Arial" w:cs="Arial"/>
          <w:color w:val="000000" w:themeColor="text1"/>
          <w:sz w:val="20"/>
          <w:szCs w:val="20"/>
        </w:rPr>
        <w:lastRenderedPageBreak/>
        <w:t>L</w:t>
      </w:r>
      <w:r w:rsidR="00E97D48" w:rsidRPr="00E97D48">
        <w:rPr>
          <w:rFonts w:ascii="Arial" w:hAnsi="Arial" w:cs="Arial"/>
          <w:color w:val="000000" w:themeColor="text1"/>
          <w:sz w:val="20"/>
          <w:szCs w:val="20"/>
        </w:rPr>
        <w:t>a Subdirección de Gestión Contractual concluye que no es posible que, a través de la venta de un establecimiento de comercio, se transfiera la experiencia del antiguo propietario, pues su enajenación no puede incluir una condición que no integra el conjunto de bienes que constituyen al establecimiento. Además, como se dijo, la experiencia es una condición de la persona natural o jurídica y no de los bienes a través de los cuales adquirió la misma y no se entiende que con este negocio jurídico la persona natural pase a conformar la sociedad que adquiere el establecimiento de comercio</w:t>
      </w:r>
    </w:p>
    <w:p w14:paraId="29786F51" w14:textId="77777777" w:rsidR="00965ED6" w:rsidRPr="00BE18D7" w:rsidRDefault="00965ED6" w:rsidP="009164FA">
      <w:pPr>
        <w:jc w:val="both"/>
        <w:rPr>
          <w:rFonts w:ascii="Arial" w:hAnsi="Arial" w:cs="Arial"/>
          <w:color w:val="000000" w:themeColor="text1"/>
          <w:sz w:val="20"/>
          <w:szCs w:val="20"/>
        </w:rPr>
      </w:pPr>
    </w:p>
    <w:p w14:paraId="17E51480" w14:textId="42DDFEC8" w:rsidR="00765B1B" w:rsidRPr="00BE18D7" w:rsidRDefault="00765B1B" w:rsidP="009164FA">
      <w:pPr>
        <w:jc w:val="both"/>
        <w:rPr>
          <w:rFonts w:ascii="Arial" w:hAnsi="Arial" w:cs="Arial"/>
          <w:color w:val="000000" w:themeColor="text1"/>
          <w:sz w:val="22"/>
        </w:rPr>
      </w:pPr>
      <w:r w:rsidRPr="00BE18D7">
        <w:rPr>
          <w:rFonts w:ascii="Arial" w:hAnsi="Arial" w:cs="Arial"/>
          <w:b/>
          <w:color w:val="000000" w:themeColor="text1"/>
          <w:sz w:val="22"/>
        </w:rPr>
        <w:t>EXPERIENCIA</w:t>
      </w:r>
      <w:r w:rsidR="009164FA" w:rsidRPr="00BE18D7">
        <w:rPr>
          <w:rFonts w:ascii="Arial" w:hAnsi="Arial" w:cs="Arial"/>
          <w:b/>
          <w:color w:val="000000" w:themeColor="text1"/>
          <w:sz w:val="22"/>
        </w:rPr>
        <w:t xml:space="preserve"> </w:t>
      </w:r>
      <w:r w:rsidR="009164FA" w:rsidRPr="00BE18D7">
        <w:rPr>
          <w:rFonts w:ascii="Arial" w:eastAsia="Calibri" w:hAnsi="Arial" w:cs="Arial"/>
          <w:b/>
          <w:color w:val="000000" w:themeColor="text1"/>
          <w:sz w:val="22"/>
        </w:rPr>
        <w:t>–</w:t>
      </w:r>
      <w:r w:rsidRPr="00BE18D7">
        <w:rPr>
          <w:rFonts w:ascii="Arial" w:hAnsi="Arial" w:cs="Arial"/>
          <w:b/>
          <w:color w:val="000000" w:themeColor="text1"/>
          <w:sz w:val="22"/>
        </w:rPr>
        <w:t xml:space="preserve"> Noción </w:t>
      </w:r>
    </w:p>
    <w:p w14:paraId="7B786196" w14:textId="77777777" w:rsidR="0063643E" w:rsidRPr="00BE18D7" w:rsidRDefault="0063643E" w:rsidP="009164FA">
      <w:pPr>
        <w:jc w:val="both"/>
        <w:rPr>
          <w:rFonts w:ascii="Arial" w:hAnsi="Arial" w:cs="Arial"/>
          <w:color w:val="000000" w:themeColor="text1"/>
          <w:sz w:val="20"/>
          <w:szCs w:val="20"/>
        </w:rPr>
      </w:pPr>
    </w:p>
    <w:p w14:paraId="2045E5DF" w14:textId="77777777" w:rsidR="003865DA" w:rsidRPr="00BE18D7" w:rsidRDefault="00842A04" w:rsidP="003865DA">
      <w:pPr>
        <w:spacing w:after="120"/>
        <w:jc w:val="both"/>
        <w:rPr>
          <w:rFonts w:ascii="Arial" w:eastAsia="Calibri" w:hAnsi="Arial" w:cs="Arial"/>
          <w:color w:val="000000" w:themeColor="text1"/>
          <w:sz w:val="20"/>
          <w:szCs w:val="20"/>
        </w:rPr>
      </w:pPr>
      <w:r w:rsidRPr="00BE18D7">
        <w:rPr>
          <w:rFonts w:ascii="Arial" w:eastAsia="Calibri" w:hAnsi="Arial" w:cs="Arial"/>
          <w:color w:val="000000" w:themeColor="text1"/>
          <w:sz w:val="20"/>
          <w:szCs w:val="20"/>
        </w:rPr>
        <w:t>i) La experiencia es personal, esto es, se adquiere participando, directa o indirectamente, sin que sea posible no participar y tener una experiencia que no es propia.</w:t>
      </w:r>
      <w:r w:rsidR="002D3025" w:rsidRPr="00BE18D7">
        <w:rPr>
          <w:rFonts w:ascii="Arial" w:eastAsia="Calibri" w:hAnsi="Arial" w:cs="Arial"/>
          <w:color w:val="000000" w:themeColor="text1"/>
          <w:sz w:val="20"/>
          <w:szCs w:val="20"/>
        </w:rPr>
        <w:t xml:space="preserve"> </w:t>
      </w:r>
    </w:p>
    <w:p w14:paraId="7FF3A85D" w14:textId="77777777" w:rsidR="003865DA" w:rsidRPr="00BE18D7" w:rsidRDefault="00842A04" w:rsidP="003865DA">
      <w:pPr>
        <w:spacing w:after="120"/>
        <w:jc w:val="both"/>
        <w:rPr>
          <w:rFonts w:ascii="Arial" w:eastAsia="Calibri" w:hAnsi="Arial" w:cs="Arial"/>
          <w:color w:val="000000" w:themeColor="text1"/>
          <w:sz w:val="20"/>
          <w:szCs w:val="20"/>
        </w:rPr>
      </w:pPr>
      <w:r w:rsidRPr="00BE18D7">
        <w:rPr>
          <w:rFonts w:ascii="Arial" w:eastAsia="Calibri" w:hAnsi="Arial" w:cs="Arial"/>
          <w:color w:val="000000" w:themeColor="text1"/>
          <w:sz w:val="20"/>
          <w:szCs w:val="20"/>
        </w:rPr>
        <w:t>ii) La experiencia se puede compartir,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asociativas  ̶ consorcios y uniones temporales ̶  que se verificará en el documento privado de constitución.</w:t>
      </w:r>
      <w:r w:rsidR="002D3025" w:rsidRPr="00BE18D7">
        <w:rPr>
          <w:rFonts w:ascii="Arial" w:eastAsia="Calibri" w:hAnsi="Arial" w:cs="Arial"/>
          <w:color w:val="000000" w:themeColor="text1"/>
          <w:sz w:val="20"/>
          <w:szCs w:val="20"/>
        </w:rPr>
        <w:t xml:space="preserve"> </w:t>
      </w:r>
    </w:p>
    <w:p w14:paraId="10B4283F" w14:textId="77777777" w:rsidR="003865DA" w:rsidRPr="00BE18D7" w:rsidRDefault="00842A04" w:rsidP="003865DA">
      <w:pPr>
        <w:spacing w:after="120"/>
        <w:jc w:val="both"/>
        <w:rPr>
          <w:rFonts w:ascii="Arial" w:eastAsia="Calibri" w:hAnsi="Arial" w:cs="Arial"/>
          <w:color w:val="000000" w:themeColor="text1"/>
          <w:sz w:val="20"/>
          <w:szCs w:val="20"/>
        </w:rPr>
      </w:pPr>
      <w:r w:rsidRPr="00BE18D7">
        <w:rPr>
          <w:rFonts w:ascii="Arial" w:eastAsia="Calibri" w:hAnsi="Arial" w:cs="Arial"/>
          <w:color w:val="000000" w:themeColor="text1"/>
          <w:sz w:val="20"/>
          <w:szCs w:val="20"/>
        </w:rPr>
        <w:t>iii) La experiencia se puede transferir, y es diferente a compartir, puesto que implica que la experiencia de una persona se traslada a otra, y esta última acredita esa experiencia como propia, lo cual es el caso de algunas figuras y reformas estatutarias, como se verá y explicará en detalle en el numeral 2.3 de este documento.</w:t>
      </w:r>
    </w:p>
    <w:p w14:paraId="3420A88E" w14:textId="56AEF32F" w:rsidR="00765B1B" w:rsidRPr="00BE18D7" w:rsidRDefault="00842A04" w:rsidP="00D32CAE">
      <w:pPr>
        <w:jc w:val="both"/>
        <w:rPr>
          <w:rFonts w:ascii="Arial" w:eastAsia="Calibri" w:hAnsi="Arial" w:cs="Arial"/>
          <w:color w:val="000000" w:themeColor="text1"/>
          <w:sz w:val="20"/>
          <w:szCs w:val="20"/>
        </w:rPr>
      </w:pPr>
      <w:r w:rsidRPr="00BE18D7">
        <w:rPr>
          <w:rFonts w:ascii="Arial" w:eastAsia="Calibri" w:hAnsi="Arial" w:cs="Arial"/>
          <w:color w:val="000000" w:themeColor="text1"/>
          <w:sz w:val="20"/>
          <w:szCs w:val="20"/>
        </w:rPr>
        <w:t>iv) Cuando la persona que adquirió la experiencia desaparece o se liquida, no es posible que comparta o transfiera su experiencia, porque al ser personal sigue la suerte de quien la adquirió</w:t>
      </w:r>
      <w:r w:rsidR="00765B1B" w:rsidRPr="00BE18D7">
        <w:rPr>
          <w:rFonts w:ascii="Arial" w:eastAsia="Calibri" w:hAnsi="Arial" w:cs="Arial"/>
          <w:color w:val="000000" w:themeColor="text1"/>
          <w:sz w:val="20"/>
          <w:szCs w:val="20"/>
        </w:rPr>
        <w:t>.</w:t>
      </w:r>
    </w:p>
    <w:p w14:paraId="0C534ACC" w14:textId="77777777" w:rsidR="00965ED6" w:rsidRPr="00BE18D7" w:rsidRDefault="00965ED6" w:rsidP="00D32CAE">
      <w:pPr>
        <w:tabs>
          <w:tab w:val="left" w:pos="5295"/>
        </w:tabs>
        <w:spacing w:line="276" w:lineRule="auto"/>
        <w:jc w:val="both"/>
        <w:rPr>
          <w:rFonts w:ascii="Arial" w:hAnsi="Arial" w:cs="Arial"/>
          <w:color w:val="000000" w:themeColor="text1"/>
          <w:sz w:val="20"/>
          <w:szCs w:val="20"/>
        </w:rPr>
      </w:pPr>
    </w:p>
    <w:p w14:paraId="5C7AD3BA" w14:textId="77777777" w:rsidR="0022710A" w:rsidRPr="00BE18D7" w:rsidRDefault="0022710A" w:rsidP="00D32CAE">
      <w:pPr>
        <w:pStyle w:val="Default"/>
        <w:rPr>
          <w:color w:val="000000" w:themeColor="text1"/>
          <w:sz w:val="20"/>
          <w:szCs w:val="20"/>
        </w:rPr>
      </w:pPr>
    </w:p>
    <w:p w14:paraId="6DF5BA9E" w14:textId="630F4945" w:rsidR="0092630C" w:rsidRPr="006F1A04" w:rsidRDefault="0092630C" w:rsidP="00D32CAE">
      <w:pPr>
        <w:pStyle w:val="Default"/>
        <w:rPr>
          <w:color w:val="000000" w:themeColor="text1"/>
          <w:sz w:val="22"/>
          <w:szCs w:val="22"/>
        </w:rPr>
      </w:pPr>
      <w:r w:rsidRPr="006F1A04">
        <w:rPr>
          <w:color w:val="000000" w:themeColor="text1"/>
          <w:sz w:val="22"/>
          <w:szCs w:val="22"/>
        </w:rPr>
        <w:t xml:space="preserve">Bogotá D.C., </w:t>
      </w:r>
      <w:r w:rsidRPr="006F1A04">
        <w:rPr>
          <w:b/>
          <w:bCs/>
          <w:color w:val="000000" w:themeColor="text1"/>
          <w:sz w:val="22"/>
          <w:szCs w:val="22"/>
        </w:rPr>
        <w:t xml:space="preserve">02/03/2020 Hora 18:46:53s </w:t>
      </w:r>
    </w:p>
    <w:p w14:paraId="4EA98AED" w14:textId="77777777" w:rsidR="008C0586" w:rsidRPr="006F1A04" w:rsidRDefault="0092630C" w:rsidP="0092630C">
      <w:pPr>
        <w:tabs>
          <w:tab w:val="left" w:pos="3374"/>
        </w:tabs>
        <w:spacing w:before="120" w:after="120" w:line="276" w:lineRule="auto"/>
        <w:jc w:val="right"/>
        <w:rPr>
          <w:rFonts w:ascii="Arial" w:hAnsi="Arial" w:cs="Arial"/>
          <w:b/>
          <w:bCs/>
          <w:color w:val="000000" w:themeColor="text1"/>
          <w:sz w:val="22"/>
        </w:rPr>
      </w:pPr>
      <w:r w:rsidRPr="006F1A04">
        <w:rPr>
          <w:rFonts w:ascii="Arial" w:hAnsi="Arial" w:cs="Arial"/>
          <w:b/>
          <w:bCs/>
          <w:color w:val="000000" w:themeColor="text1"/>
          <w:sz w:val="22"/>
        </w:rPr>
        <w:t>N° Radicado: 2202013000001524</w:t>
      </w:r>
    </w:p>
    <w:p w14:paraId="7559B50C" w14:textId="77777777" w:rsidR="00AD1B0F" w:rsidRPr="00BE18D7" w:rsidRDefault="00E6565C" w:rsidP="008A2025">
      <w:pPr>
        <w:spacing w:before="120" w:after="120" w:line="276" w:lineRule="auto"/>
        <w:rPr>
          <w:rFonts w:ascii="Arial" w:eastAsia="Calibri" w:hAnsi="Arial" w:cs="Arial"/>
          <w:color w:val="000000" w:themeColor="text1"/>
          <w:sz w:val="22"/>
        </w:rPr>
      </w:pPr>
      <w:r w:rsidRPr="00BE18D7">
        <w:rPr>
          <w:rFonts w:ascii="Arial" w:eastAsia="Calibri" w:hAnsi="Arial" w:cs="Arial"/>
          <w:color w:val="000000" w:themeColor="text1"/>
          <w:sz w:val="22"/>
        </w:rPr>
        <w:t>Señor</w:t>
      </w:r>
    </w:p>
    <w:p w14:paraId="16863497" w14:textId="416C7743" w:rsidR="00A37FB6" w:rsidRPr="00BE18D7" w:rsidRDefault="003C66C5" w:rsidP="008A2025">
      <w:pPr>
        <w:spacing w:before="120" w:after="120" w:line="276" w:lineRule="auto"/>
        <w:rPr>
          <w:rFonts w:ascii="Arial" w:eastAsia="Calibri" w:hAnsi="Arial" w:cs="Arial"/>
          <w:color w:val="000000" w:themeColor="text1"/>
          <w:sz w:val="22"/>
        </w:rPr>
      </w:pPr>
      <w:r w:rsidRPr="00BE18D7">
        <w:rPr>
          <w:rFonts w:ascii="Arial" w:eastAsia="Calibri" w:hAnsi="Arial" w:cs="Arial"/>
          <w:b/>
          <w:color w:val="000000" w:themeColor="text1"/>
          <w:sz w:val="22"/>
        </w:rPr>
        <w:t>AMADO DE JESÚS</w:t>
      </w:r>
      <w:r w:rsidR="00AD1B0F" w:rsidRPr="00BE18D7">
        <w:rPr>
          <w:rFonts w:ascii="Arial" w:eastAsia="Calibri" w:hAnsi="Arial" w:cs="Arial"/>
          <w:b/>
          <w:color w:val="000000" w:themeColor="text1"/>
          <w:sz w:val="22"/>
        </w:rPr>
        <w:tab/>
      </w:r>
      <w:r w:rsidR="00E6565C" w:rsidRPr="00BE18D7">
        <w:rPr>
          <w:rFonts w:ascii="Arial" w:eastAsia="Calibri" w:hAnsi="Arial" w:cs="Arial"/>
          <w:b/>
          <w:color w:val="000000" w:themeColor="text1"/>
          <w:sz w:val="22"/>
        </w:rPr>
        <w:t xml:space="preserve"> </w:t>
      </w:r>
    </w:p>
    <w:p w14:paraId="359C48BE" w14:textId="77777777" w:rsidR="00A37FB6" w:rsidRPr="00BE18D7" w:rsidRDefault="00A37FB6" w:rsidP="008A2025">
      <w:pPr>
        <w:spacing w:before="120" w:after="120" w:line="276" w:lineRule="auto"/>
        <w:rPr>
          <w:rFonts w:ascii="Arial" w:eastAsia="Calibri" w:hAnsi="Arial" w:cs="Arial"/>
          <w:color w:val="000000" w:themeColor="text1"/>
          <w:sz w:val="22"/>
        </w:rPr>
      </w:pPr>
      <w:r w:rsidRPr="00BE18D7">
        <w:rPr>
          <w:rFonts w:ascii="Arial" w:eastAsia="Calibri" w:hAnsi="Arial" w:cs="Arial"/>
          <w:color w:val="000000" w:themeColor="text1"/>
          <w:sz w:val="22"/>
        </w:rPr>
        <w:t>Ciudad</w:t>
      </w:r>
    </w:p>
    <w:p w14:paraId="479F6A3A" w14:textId="32B003C9" w:rsidR="00A37FB6" w:rsidRPr="00BE18D7" w:rsidRDefault="00AD1B0F" w:rsidP="008A2025">
      <w:pPr>
        <w:spacing w:before="120" w:after="120" w:line="276" w:lineRule="auto"/>
        <w:jc w:val="center"/>
        <w:rPr>
          <w:rFonts w:ascii="Arial" w:eastAsia="Calibri" w:hAnsi="Arial" w:cs="Arial"/>
          <w:b/>
          <w:color w:val="000000" w:themeColor="text1"/>
          <w:sz w:val="22"/>
        </w:rPr>
      </w:pPr>
      <w:r w:rsidRPr="00BE18D7">
        <w:rPr>
          <w:rFonts w:ascii="Arial" w:eastAsia="Calibri" w:hAnsi="Arial" w:cs="Arial"/>
          <w:b/>
          <w:color w:val="000000" w:themeColor="text1"/>
          <w:sz w:val="22"/>
        </w:rPr>
        <w:t>Concepto C</w:t>
      </w:r>
      <w:r w:rsidRPr="00BE18D7">
        <w:rPr>
          <w:rFonts w:ascii="Arial" w:eastAsia="Calibri" w:hAnsi="Arial" w:cs="Arial"/>
          <w:color w:val="000000" w:themeColor="text1"/>
          <w:sz w:val="22"/>
        </w:rPr>
        <w:t xml:space="preserve"> ─</w:t>
      </w:r>
      <w:r w:rsidRPr="00BE18D7">
        <w:rPr>
          <w:rFonts w:ascii="Arial" w:eastAsia="Calibri" w:hAnsi="Arial" w:cs="Arial"/>
          <w:b/>
          <w:color w:val="000000" w:themeColor="text1"/>
          <w:sz w:val="22"/>
        </w:rPr>
        <w:t xml:space="preserve"> 051</w:t>
      </w:r>
      <w:r w:rsidR="00A37FB6" w:rsidRPr="00BE18D7">
        <w:rPr>
          <w:rFonts w:ascii="Arial" w:eastAsia="Calibri" w:hAnsi="Arial" w:cs="Arial"/>
          <w:b/>
          <w:color w:val="000000" w:themeColor="text1"/>
          <w:sz w:val="22"/>
        </w:rPr>
        <w:t xml:space="preserve"> de 2020</w:t>
      </w: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383"/>
      </w:tblGrid>
      <w:tr w:rsidR="00BE18D7" w:rsidRPr="00BE18D7" w14:paraId="20C2FA60" w14:textId="77777777" w:rsidTr="004141CB">
        <w:tc>
          <w:tcPr>
            <w:tcW w:w="2689" w:type="dxa"/>
            <w:hideMark/>
          </w:tcPr>
          <w:p w14:paraId="2A9459AB" w14:textId="77777777" w:rsidR="00A37FB6" w:rsidRPr="00BE18D7" w:rsidRDefault="00A37FB6" w:rsidP="008A2025">
            <w:pPr>
              <w:spacing w:before="120" w:after="120" w:line="276" w:lineRule="auto"/>
              <w:rPr>
                <w:rFonts w:ascii="Arial" w:eastAsia="Calibri" w:hAnsi="Arial" w:cs="Arial"/>
                <w:color w:val="000000" w:themeColor="text1"/>
                <w:sz w:val="22"/>
              </w:rPr>
            </w:pPr>
            <w:r w:rsidRPr="00BE18D7">
              <w:rPr>
                <w:rFonts w:ascii="Arial" w:eastAsia="Calibri" w:hAnsi="Arial" w:cs="Arial"/>
                <w:b/>
                <w:color w:val="000000" w:themeColor="text1"/>
                <w:sz w:val="22"/>
              </w:rPr>
              <w:t>Temas:</w:t>
            </w:r>
            <w:r w:rsidRPr="00BE18D7">
              <w:rPr>
                <w:rFonts w:ascii="Arial" w:eastAsia="Calibri" w:hAnsi="Arial" w:cs="Arial"/>
                <w:color w:val="000000" w:themeColor="text1"/>
                <w:sz w:val="22"/>
              </w:rPr>
              <w:t xml:space="preserve">           </w:t>
            </w:r>
          </w:p>
          <w:p w14:paraId="1840BCE8" w14:textId="77777777" w:rsidR="00A37FB6" w:rsidRPr="00BE18D7" w:rsidRDefault="00A37FB6" w:rsidP="008A2025">
            <w:pPr>
              <w:spacing w:before="120" w:after="120" w:line="276" w:lineRule="auto"/>
              <w:rPr>
                <w:rFonts w:ascii="Arial" w:eastAsia="Calibri" w:hAnsi="Arial" w:cs="Arial"/>
                <w:color w:val="000000" w:themeColor="text1"/>
                <w:sz w:val="22"/>
              </w:rPr>
            </w:pPr>
            <w:r w:rsidRPr="00BE18D7">
              <w:rPr>
                <w:rFonts w:ascii="Arial" w:eastAsia="Calibri" w:hAnsi="Arial" w:cs="Arial"/>
                <w:color w:val="000000" w:themeColor="text1"/>
                <w:sz w:val="22"/>
              </w:rPr>
              <w:t xml:space="preserve">                           </w:t>
            </w:r>
          </w:p>
        </w:tc>
        <w:tc>
          <w:tcPr>
            <w:tcW w:w="6383" w:type="dxa"/>
            <w:hideMark/>
          </w:tcPr>
          <w:p w14:paraId="069BC436" w14:textId="0CF0AD09" w:rsidR="00A37FB6" w:rsidRPr="00BE18D7" w:rsidRDefault="00842A04" w:rsidP="00E97D48">
            <w:pPr>
              <w:jc w:val="both"/>
              <w:rPr>
                <w:rFonts w:ascii="Arial" w:hAnsi="Arial" w:cs="Arial"/>
                <w:color w:val="000000" w:themeColor="text1"/>
                <w:sz w:val="22"/>
              </w:rPr>
            </w:pPr>
            <w:r w:rsidRPr="00BE18D7">
              <w:rPr>
                <w:rFonts w:ascii="Arial" w:hAnsi="Arial" w:cs="Arial"/>
                <w:color w:val="000000" w:themeColor="text1"/>
                <w:sz w:val="22"/>
              </w:rPr>
              <w:t xml:space="preserve">EXPERIENCIA </w:t>
            </w:r>
            <w:r w:rsidRPr="00BE18D7">
              <w:rPr>
                <w:rFonts w:ascii="Arial" w:eastAsia="Calibri" w:hAnsi="Arial" w:cs="Arial"/>
                <w:color w:val="000000" w:themeColor="text1"/>
                <w:sz w:val="22"/>
              </w:rPr>
              <w:t>─</w:t>
            </w:r>
            <w:r w:rsidRPr="00BE18D7">
              <w:rPr>
                <w:rFonts w:ascii="Arial" w:hAnsi="Arial" w:cs="Arial"/>
                <w:color w:val="000000" w:themeColor="text1"/>
                <w:sz w:val="22"/>
              </w:rPr>
              <w:t xml:space="preserve"> </w:t>
            </w:r>
            <w:r w:rsidR="00C542CB">
              <w:rPr>
                <w:rFonts w:ascii="Arial" w:hAnsi="Arial" w:cs="Arial"/>
                <w:color w:val="000000" w:themeColor="text1"/>
                <w:sz w:val="22"/>
              </w:rPr>
              <w:t xml:space="preserve">Conservación </w:t>
            </w:r>
            <w:r w:rsidR="00C542CB" w:rsidRPr="00BE18D7">
              <w:rPr>
                <w:rFonts w:ascii="Arial" w:eastAsia="Calibri" w:hAnsi="Arial" w:cs="Arial"/>
                <w:color w:val="000000" w:themeColor="text1"/>
                <w:sz w:val="22"/>
              </w:rPr>
              <w:t>─</w:t>
            </w:r>
            <w:r w:rsidR="00C542CB">
              <w:rPr>
                <w:rFonts w:ascii="Arial" w:eastAsia="Calibri" w:hAnsi="Arial" w:cs="Arial"/>
                <w:color w:val="000000" w:themeColor="text1"/>
                <w:sz w:val="22"/>
              </w:rPr>
              <w:t xml:space="preserve"> </w:t>
            </w:r>
            <w:r w:rsidR="00C542CB" w:rsidRPr="00C542CB">
              <w:rPr>
                <w:rFonts w:ascii="Arial" w:eastAsia="Calibri" w:hAnsi="Arial" w:cs="Arial"/>
                <w:color w:val="000000" w:themeColor="text1"/>
                <w:sz w:val="22"/>
              </w:rPr>
              <w:t>Sociedades – Menor a 3 años de constitución</w:t>
            </w:r>
            <w:r w:rsidR="00C542CB" w:rsidRPr="00BE18D7">
              <w:rPr>
                <w:rFonts w:ascii="Arial" w:eastAsia="Calibri" w:hAnsi="Arial" w:cs="Arial"/>
                <w:color w:val="000000" w:themeColor="text1"/>
                <w:sz w:val="22"/>
              </w:rPr>
              <w:t xml:space="preserve"> </w:t>
            </w:r>
            <w:r w:rsidR="003C66C5" w:rsidRPr="00BE18D7">
              <w:rPr>
                <w:rFonts w:ascii="Arial" w:eastAsia="Calibri" w:hAnsi="Arial" w:cs="Arial"/>
                <w:color w:val="000000" w:themeColor="text1"/>
                <w:sz w:val="22"/>
              </w:rPr>
              <w:t xml:space="preserve">/ </w:t>
            </w:r>
            <w:r w:rsidR="00C542CB" w:rsidRPr="00C542CB">
              <w:rPr>
                <w:rFonts w:ascii="Arial" w:eastAsia="Calibri" w:hAnsi="Arial" w:cs="Arial"/>
                <w:color w:val="000000" w:themeColor="text1"/>
                <w:sz w:val="22"/>
              </w:rPr>
              <w:t>EXPERIENCIA – Sociedades – Menor a 3 años de constitución – Procesos exceptuados del RUP</w:t>
            </w:r>
            <w:r w:rsidR="003C66C5" w:rsidRPr="00BE18D7">
              <w:rPr>
                <w:rFonts w:ascii="Arial" w:eastAsia="Calibri" w:hAnsi="Arial" w:cs="Arial"/>
                <w:color w:val="000000" w:themeColor="text1"/>
                <w:sz w:val="22"/>
              </w:rPr>
              <w:t>/</w:t>
            </w:r>
            <w:r w:rsidR="00315B3D" w:rsidRPr="00BE18D7">
              <w:rPr>
                <w:rFonts w:ascii="Arial" w:eastAsia="Calibri" w:hAnsi="Arial" w:cs="Arial"/>
                <w:color w:val="000000" w:themeColor="text1"/>
                <w:sz w:val="22"/>
              </w:rPr>
              <w:t xml:space="preserve"> </w:t>
            </w:r>
            <w:r w:rsidR="00E97D48" w:rsidRPr="00E97D48">
              <w:rPr>
                <w:rFonts w:ascii="Arial" w:eastAsia="Calibri" w:hAnsi="Arial" w:cs="Arial"/>
                <w:color w:val="000000" w:themeColor="text1"/>
                <w:sz w:val="22"/>
              </w:rPr>
              <w:t xml:space="preserve">EXPERIENCIA – Improcedencia – Transferencia de experiencia – Compraventa de establecimiento publico / </w:t>
            </w:r>
            <w:r w:rsidR="00765B1B" w:rsidRPr="00BE18D7">
              <w:rPr>
                <w:rFonts w:ascii="Arial" w:eastAsia="Calibri" w:hAnsi="Arial" w:cs="Arial"/>
                <w:color w:val="000000" w:themeColor="text1"/>
                <w:sz w:val="22"/>
              </w:rPr>
              <w:t xml:space="preserve">EXPERIENCIA </w:t>
            </w:r>
            <w:r w:rsidR="00765B1B" w:rsidRPr="00BE18D7">
              <w:rPr>
                <w:rFonts w:ascii="Arial" w:eastAsia="Calibri" w:hAnsi="Arial" w:cs="Arial"/>
                <w:b/>
                <w:color w:val="000000" w:themeColor="text1"/>
                <w:sz w:val="22"/>
              </w:rPr>
              <w:t xml:space="preserve">─ </w:t>
            </w:r>
            <w:r w:rsidR="002D3025" w:rsidRPr="00BE18D7">
              <w:rPr>
                <w:rFonts w:ascii="Arial" w:eastAsia="Calibri" w:hAnsi="Arial" w:cs="Arial"/>
                <w:color w:val="000000" w:themeColor="text1"/>
                <w:sz w:val="22"/>
              </w:rPr>
              <w:t>Noción</w:t>
            </w:r>
          </w:p>
        </w:tc>
      </w:tr>
      <w:tr w:rsidR="00A37FB6" w:rsidRPr="00BE18D7" w14:paraId="62473A71" w14:textId="77777777" w:rsidTr="004141CB">
        <w:tc>
          <w:tcPr>
            <w:tcW w:w="2689" w:type="dxa"/>
          </w:tcPr>
          <w:p w14:paraId="730BF589" w14:textId="77777777" w:rsidR="00A37FB6" w:rsidRPr="00BE18D7" w:rsidRDefault="00A37FB6" w:rsidP="008A2025">
            <w:pPr>
              <w:spacing w:before="120" w:after="120" w:line="276" w:lineRule="auto"/>
              <w:rPr>
                <w:rFonts w:ascii="Arial" w:eastAsia="Calibri" w:hAnsi="Arial" w:cs="Arial"/>
                <w:b/>
                <w:color w:val="000000" w:themeColor="text1"/>
                <w:sz w:val="22"/>
              </w:rPr>
            </w:pPr>
            <w:r w:rsidRPr="00BE18D7">
              <w:rPr>
                <w:rFonts w:ascii="Arial" w:eastAsia="Calibri" w:hAnsi="Arial" w:cs="Arial"/>
                <w:b/>
                <w:color w:val="000000" w:themeColor="text1"/>
                <w:sz w:val="22"/>
              </w:rPr>
              <w:t>Radicación:</w:t>
            </w:r>
            <w:r w:rsidRPr="00BE18D7">
              <w:rPr>
                <w:rFonts w:ascii="Arial" w:eastAsia="Calibri" w:hAnsi="Arial" w:cs="Arial"/>
                <w:color w:val="000000" w:themeColor="text1"/>
                <w:sz w:val="22"/>
              </w:rPr>
              <w:t xml:space="preserve">                              </w:t>
            </w:r>
          </w:p>
        </w:tc>
        <w:tc>
          <w:tcPr>
            <w:tcW w:w="6383" w:type="dxa"/>
          </w:tcPr>
          <w:p w14:paraId="2CD77F9B" w14:textId="4AF9E4D8" w:rsidR="00A37FB6" w:rsidRPr="00BE18D7" w:rsidRDefault="00AD1B0F" w:rsidP="008A2025">
            <w:pPr>
              <w:spacing w:before="120" w:after="120" w:line="276" w:lineRule="auto"/>
              <w:jc w:val="both"/>
              <w:rPr>
                <w:rFonts w:ascii="Arial" w:eastAsia="Calibri" w:hAnsi="Arial" w:cs="Arial"/>
                <w:color w:val="000000" w:themeColor="text1"/>
                <w:sz w:val="22"/>
              </w:rPr>
            </w:pPr>
            <w:r w:rsidRPr="00BE18D7">
              <w:rPr>
                <w:rFonts w:ascii="Arial" w:eastAsia="Calibri" w:hAnsi="Arial" w:cs="Arial"/>
                <w:color w:val="000000" w:themeColor="text1"/>
                <w:sz w:val="22"/>
              </w:rPr>
              <w:t>Respuesta a consulta #4202012000000343</w:t>
            </w:r>
          </w:p>
        </w:tc>
      </w:tr>
    </w:tbl>
    <w:p w14:paraId="0ABFD54C" w14:textId="77777777" w:rsidR="00DB22BC" w:rsidRPr="00BE18D7" w:rsidRDefault="00DB22BC" w:rsidP="00DB22BC">
      <w:pPr>
        <w:spacing w:line="276" w:lineRule="auto"/>
        <w:rPr>
          <w:rFonts w:ascii="Arial" w:eastAsia="Calibri" w:hAnsi="Arial" w:cs="Arial"/>
          <w:color w:val="000000" w:themeColor="text1"/>
          <w:sz w:val="22"/>
        </w:rPr>
      </w:pPr>
    </w:p>
    <w:p w14:paraId="72693BD0" w14:textId="77777777" w:rsidR="00965ED6" w:rsidRPr="00BE18D7" w:rsidRDefault="00965ED6" w:rsidP="00DB22BC">
      <w:pPr>
        <w:spacing w:line="276" w:lineRule="auto"/>
        <w:rPr>
          <w:rFonts w:ascii="Arial" w:eastAsia="Calibri" w:hAnsi="Arial" w:cs="Arial"/>
          <w:color w:val="000000" w:themeColor="text1"/>
          <w:sz w:val="22"/>
        </w:rPr>
      </w:pPr>
    </w:p>
    <w:p w14:paraId="11CC0E21" w14:textId="77777777" w:rsidR="00965ED6" w:rsidRPr="00BE18D7" w:rsidRDefault="00965ED6" w:rsidP="00DB22BC">
      <w:pPr>
        <w:spacing w:line="276" w:lineRule="auto"/>
        <w:rPr>
          <w:rFonts w:ascii="Arial" w:eastAsia="Calibri" w:hAnsi="Arial" w:cs="Arial"/>
          <w:color w:val="000000" w:themeColor="text1"/>
          <w:sz w:val="22"/>
        </w:rPr>
      </w:pPr>
    </w:p>
    <w:p w14:paraId="2F0DA2F5" w14:textId="00D20469" w:rsidR="00A37FB6" w:rsidRPr="00BE18D7" w:rsidRDefault="00E6565C" w:rsidP="00DB22BC">
      <w:pPr>
        <w:spacing w:line="276" w:lineRule="auto"/>
        <w:rPr>
          <w:rFonts w:ascii="Arial" w:eastAsia="Calibri" w:hAnsi="Arial" w:cs="Arial"/>
          <w:color w:val="000000" w:themeColor="text1"/>
          <w:sz w:val="22"/>
        </w:rPr>
      </w:pPr>
      <w:r w:rsidRPr="00BE18D7">
        <w:rPr>
          <w:rFonts w:ascii="Arial" w:eastAsia="Calibri" w:hAnsi="Arial" w:cs="Arial"/>
          <w:color w:val="000000" w:themeColor="text1"/>
          <w:sz w:val="22"/>
        </w:rPr>
        <w:lastRenderedPageBreak/>
        <w:t>Estimado</w:t>
      </w:r>
      <w:r w:rsidR="00834F2E" w:rsidRPr="00BE18D7">
        <w:rPr>
          <w:rFonts w:ascii="Arial" w:eastAsia="Calibri" w:hAnsi="Arial" w:cs="Arial"/>
          <w:color w:val="000000" w:themeColor="text1"/>
          <w:sz w:val="22"/>
        </w:rPr>
        <w:t xml:space="preserve"> señor</w:t>
      </w:r>
      <w:r w:rsidR="00A37FB6" w:rsidRPr="00BE18D7">
        <w:rPr>
          <w:rFonts w:ascii="Arial" w:eastAsia="Calibri" w:hAnsi="Arial" w:cs="Arial"/>
          <w:color w:val="000000" w:themeColor="text1"/>
          <w:sz w:val="22"/>
        </w:rPr>
        <w:t>,</w:t>
      </w:r>
    </w:p>
    <w:p w14:paraId="5C46C846" w14:textId="77777777" w:rsidR="00965ED6" w:rsidRPr="00BE18D7" w:rsidRDefault="00965ED6" w:rsidP="00DB22BC">
      <w:pPr>
        <w:spacing w:line="276" w:lineRule="auto"/>
        <w:rPr>
          <w:rFonts w:ascii="Arial" w:eastAsia="Calibri" w:hAnsi="Arial" w:cs="Arial"/>
          <w:color w:val="000000" w:themeColor="text1"/>
          <w:sz w:val="22"/>
        </w:rPr>
      </w:pPr>
    </w:p>
    <w:p w14:paraId="7C0ECF63" w14:textId="227E1FCA" w:rsidR="00DB22BC" w:rsidRPr="00BE18D7" w:rsidRDefault="00A37FB6" w:rsidP="00965ED6">
      <w:pPr>
        <w:spacing w:line="276" w:lineRule="auto"/>
        <w:ind w:right="49"/>
        <w:jc w:val="both"/>
        <w:rPr>
          <w:rFonts w:ascii="Arial" w:eastAsia="Calibri" w:hAnsi="Arial" w:cs="Arial"/>
          <w:color w:val="000000" w:themeColor="text1"/>
          <w:sz w:val="22"/>
        </w:rPr>
      </w:pPr>
      <w:r w:rsidRPr="00BE18D7">
        <w:rPr>
          <w:rFonts w:ascii="Arial" w:eastAsia="Calibri" w:hAnsi="Arial" w:cs="Arial"/>
          <w:color w:val="000000" w:themeColor="text1"/>
          <w:sz w:val="22"/>
        </w:rPr>
        <w:t xml:space="preserve">La Agencia Nacional de Contratación Pública ―Colombia Compra Eficiente― responde su consulta </w:t>
      </w:r>
      <w:r w:rsidR="004141CB" w:rsidRPr="00BE18D7">
        <w:rPr>
          <w:rFonts w:ascii="Arial" w:eastAsia="Calibri" w:hAnsi="Arial" w:cs="Arial"/>
          <w:color w:val="000000" w:themeColor="text1"/>
          <w:sz w:val="22"/>
        </w:rPr>
        <w:t xml:space="preserve">del </w:t>
      </w:r>
      <w:r w:rsidR="00AD1B0F" w:rsidRPr="00BE18D7">
        <w:rPr>
          <w:rFonts w:ascii="Arial" w:eastAsia="Calibri" w:hAnsi="Arial" w:cs="Arial"/>
          <w:color w:val="000000" w:themeColor="text1"/>
          <w:sz w:val="22"/>
        </w:rPr>
        <w:t>20 de enero</w:t>
      </w:r>
      <w:r w:rsidR="004141CB" w:rsidRPr="00BE18D7">
        <w:rPr>
          <w:rFonts w:ascii="Arial" w:eastAsia="Calibri" w:hAnsi="Arial" w:cs="Arial"/>
          <w:color w:val="000000" w:themeColor="text1"/>
          <w:sz w:val="22"/>
        </w:rPr>
        <w:t xml:space="preserve"> de 2020</w:t>
      </w:r>
      <w:r w:rsidRPr="00BE18D7">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1E52EFBE" w14:textId="77777777" w:rsidR="00DB22BC" w:rsidRPr="00BE18D7" w:rsidRDefault="00DB22BC" w:rsidP="00DB22BC">
      <w:pPr>
        <w:pStyle w:val="Prrafodelista"/>
        <w:tabs>
          <w:tab w:val="left" w:pos="284"/>
        </w:tabs>
        <w:spacing w:line="276" w:lineRule="auto"/>
        <w:ind w:left="0"/>
        <w:contextualSpacing w:val="0"/>
        <w:jc w:val="both"/>
        <w:rPr>
          <w:rFonts w:ascii="Arial" w:eastAsia="Calibri" w:hAnsi="Arial" w:cs="Arial"/>
          <w:b/>
          <w:color w:val="000000" w:themeColor="text1"/>
          <w:sz w:val="22"/>
        </w:rPr>
      </w:pPr>
    </w:p>
    <w:p w14:paraId="737E2623" w14:textId="77777777" w:rsidR="00A37FB6" w:rsidRPr="00BE18D7" w:rsidRDefault="00A37FB6" w:rsidP="00DB22BC">
      <w:pPr>
        <w:pStyle w:val="Prrafodelista"/>
        <w:numPr>
          <w:ilvl w:val="0"/>
          <w:numId w:val="6"/>
        </w:numPr>
        <w:tabs>
          <w:tab w:val="left" w:pos="284"/>
        </w:tabs>
        <w:spacing w:line="276" w:lineRule="auto"/>
        <w:ind w:left="0" w:firstLine="0"/>
        <w:contextualSpacing w:val="0"/>
        <w:jc w:val="both"/>
        <w:rPr>
          <w:rFonts w:ascii="Arial" w:eastAsia="Calibri" w:hAnsi="Arial" w:cs="Arial"/>
          <w:b/>
          <w:color w:val="000000" w:themeColor="text1"/>
          <w:sz w:val="22"/>
        </w:rPr>
      </w:pPr>
      <w:r w:rsidRPr="00BE18D7">
        <w:rPr>
          <w:rFonts w:ascii="Arial" w:eastAsia="Calibri" w:hAnsi="Arial" w:cs="Arial"/>
          <w:b/>
          <w:color w:val="000000" w:themeColor="text1"/>
          <w:sz w:val="22"/>
        </w:rPr>
        <w:t xml:space="preserve">Problemas planteados </w:t>
      </w:r>
    </w:p>
    <w:p w14:paraId="498A026D" w14:textId="77777777" w:rsidR="00A37FB6" w:rsidRPr="00BE18D7" w:rsidRDefault="00A37FB6" w:rsidP="00DB22BC">
      <w:pPr>
        <w:tabs>
          <w:tab w:val="left" w:pos="426"/>
        </w:tabs>
        <w:spacing w:line="276" w:lineRule="auto"/>
        <w:jc w:val="both"/>
        <w:rPr>
          <w:rFonts w:ascii="Arial" w:eastAsia="Calibri" w:hAnsi="Arial" w:cs="Arial"/>
          <w:b/>
          <w:color w:val="000000" w:themeColor="text1"/>
          <w:sz w:val="22"/>
        </w:rPr>
      </w:pPr>
    </w:p>
    <w:p w14:paraId="4E8BF739" w14:textId="59B612EF" w:rsidR="00A37FB6" w:rsidRPr="00BE18D7" w:rsidRDefault="00A37FB6" w:rsidP="00DB22BC">
      <w:pPr>
        <w:tabs>
          <w:tab w:val="left" w:pos="426"/>
        </w:tabs>
        <w:spacing w:line="276" w:lineRule="auto"/>
        <w:jc w:val="both"/>
        <w:rPr>
          <w:rFonts w:ascii="Arial" w:eastAsia="Calibri" w:hAnsi="Arial" w:cs="Arial"/>
          <w:color w:val="000000" w:themeColor="text1"/>
          <w:sz w:val="22"/>
        </w:rPr>
      </w:pPr>
      <w:r w:rsidRPr="00BE18D7">
        <w:rPr>
          <w:rFonts w:ascii="Arial" w:eastAsia="Calibri" w:hAnsi="Arial" w:cs="Arial"/>
          <w:color w:val="000000" w:themeColor="text1"/>
          <w:sz w:val="22"/>
        </w:rPr>
        <w:t xml:space="preserve">Usted realiza las siguientes preguntas: i) </w:t>
      </w:r>
      <w:r w:rsidR="009F1F65" w:rsidRPr="00BE18D7">
        <w:rPr>
          <w:rFonts w:ascii="Arial" w:eastAsia="Calibri" w:hAnsi="Arial" w:cs="Arial"/>
          <w:color w:val="000000" w:themeColor="text1"/>
          <w:sz w:val="22"/>
        </w:rPr>
        <w:t>El beneficio establecido en el numeral 2.5. del artículo 2.2.1.1.1.5.2. del Decreto 1082 de 2015 es aplicable a procesos de mínima cuantía</w:t>
      </w:r>
      <w:r w:rsidR="00E6565C" w:rsidRPr="00BE18D7">
        <w:rPr>
          <w:rFonts w:ascii="Arial" w:eastAsia="Calibri" w:hAnsi="Arial" w:cs="Arial"/>
          <w:color w:val="000000" w:themeColor="text1"/>
          <w:sz w:val="22"/>
        </w:rPr>
        <w:t>?</w:t>
      </w:r>
      <w:r w:rsidR="006F1068" w:rsidRPr="00BE18D7">
        <w:rPr>
          <w:rFonts w:ascii="Arial" w:eastAsia="Calibri" w:hAnsi="Arial" w:cs="Arial"/>
          <w:color w:val="000000" w:themeColor="text1"/>
          <w:sz w:val="22"/>
        </w:rPr>
        <w:t>; y</w:t>
      </w:r>
      <w:r w:rsidR="00F3643D" w:rsidRPr="00BE18D7">
        <w:rPr>
          <w:rFonts w:ascii="Arial" w:eastAsia="Calibri" w:hAnsi="Arial" w:cs="Arial"/>
          <w:color w:val="000000" w:themeColor="text1"/>
          <w:sz w:val="22"/>
        </w:rPr>
        <w:t xml:space="preserve"> ii)</w:t>
      </w:r>
      <w:r w:rsidR="001F3B67" w:rsidRPr="00BE18D7">
        <w:rPr>
          <w:rFonts w:ascii="Arial" w:eastAsia="Calibri" w:hAnsi="Arial" w:cs="Arial"/>
          <w:color w:val="000000" w:themeColor="text1"/>
          <w:sz w:val="22"/>
        </w:rPr>
        <w:t xml:space="preserve"> «</w:t>
      </w:r>
      <w:r w:rsidR="00F3643D" w:rsidRPr="00BE18D7">
        <w:rPr>
          <w:rFonts w:ascii="Arial" w:eastAsia="Calibri" w:hAnsi="Arial" w:cs="Arial"/>
          <w:color w:val="000000" w:themeColor="text1"/>
          <w:sz w:val="22"/>
        </w:rPr>
        <w:t>¿</w:t>
      </w:r>
      <w:r w:rsidR="001F3B67" w:rsidRPr="00BE18D7">
        <w:rPr>
          <w:rFonts w:ascii="Arial" w:eastAsia="Calibri" w:hAnsi="Arial" w:cs="Arial"/>
          <w:color w:val="000000" w:themeColor="text1"/>
          <w:sz w:val="22"/>
        </w:rPr>
        <w:t xml:space="preserve">si </w:t>
      </w:r>
      <w:r w:rsidR="009F1F65" w:rsidRPr="00BE18D7">
        <w:rPr>
          <w:rFonts w:ascii="Arial" w:eastAsia="Calibri" w:hAnsi="Arial" w:cs="Arial"/>
          <w:color w:val="000000" w:themeColor="text1"/>
          <w:sz w:val="22"/>
        </w:rPr>
        <w:t xml:space="preserve">una </w:t>
      </w:r>
      <w:r w:rsidR="001F3B67" w:rsidRPr="00BE18D7">
        <w:rPr>
          <w:rFonts w:ascii="Arial" w:eastAsia="Calibri" w:hAnsi="Arial" w:cs="Arial"/>
          <w:color w:val="000000" w:themeColor="text1"/>
          <w:sz w:val="22"/>
        </w:rPr>
        <w:t>persona jurídica SAS compra a una persona natural con establecimiento de comercio dicho establecimiento, la experiencia de esta última es acreditable por parte de la SAS dentro de un proceso contractual como propia</w:t>
      </w:r>
      <w:r w:rsidR="009F1F65" w:rsidRPr="00BE18D7">
        <w:rPr>
          <w:rFonts w:ascii="Arial" w:eastAsia="Calibri" w:hAnsi="Arial" w:cs="Arial"/>
          <w:color w:val="000000" w:themeColor="text1"/>
          <w:sz w:val="22"/>
        </w:rPr>
        <w:t>?</w:t>
      </w:r>
      <w:r w:rsidR="001F3B67" w:rsidRPr="00BE18D7">
        <w:rPr>
          <w:rFonts w:ascii="Arial" w:eastAsia="Calibri" w:hAnsi="Arial" w:cs="Arial"/>
          <w:color w:val="000000" w:themeColor="text1"/>
          <w:sz w:val="22"/>
        </w:rPr>
        <w:t>»</w:t>
      </w:r>
      <w:r w:rsidR="009F1F65" w:rsidRPr="00BE18D7">
        <w:rPr>
          <w:rFonts w:ascii="Arial" w:eastAsia="Calibri" w:hAnsi="Arial" w:cs="Arial"/>
          <w:color w:val="000000" w:themeColor="text1"/>
          <w:sz w:val="22"/>
        </w:rPr>
        <w:t xml:space="preserve">. </w:t>
      </w:r>
    </w:p>
    <w:p w14:paraId="6A982790" w14:textId="77777777" w:rsidR="00A37FB6" w:rsidRPr="00BE18D7" w:rsidRDefault="00A37FB6" w:rsidP="00DB22BC">
      <w:pPr>
        <w:tabs>
          <w:tab w:val="left" w:pos="426"/>
        </w:tabs>
        <w:spacing w:line="276" w:lineRule="auto"/>
        <w:jc w:val="both"/>
        <w:rPr>
          <w:rFonts w:ascii="Arial" w:eastAsia="Calibri" w:hAnsi="Arial" w:cs="Arial"/>
          <w:color w:val="000000" w:themeColor="text1"/>
          <w:sz w:val="22"/>
        </w:rPr>
      </w:pPr>
    </w:p>
    <w:p w14:paraId="6A32A1B1" w14:textId="77777777" w:rsidR="00A37FB6" w:rsidRPr="00BE18D7" w:rsidRDefault="00A37FB6" w:rsidP="00DB22BC">
      <w:pPr>
        <w:pStyle w:val="Prrafodelista"/>
        <w:numPr>
          <w:ilvl w:val="0"/>
          <w:numId w:val="6"/>
        </w:numPr>
        <w:tabs>
          <w:tab w:val="left" w:pos="426"/>
        </w:tabs>
        <w:spacing w:line="276" w:lineRule="auto"/>
        <w:ind w:left="284" w:hanging="284"/>
        <w:contextualSpacing w:val="0"/>
        <w:jc w:val="both"/>
        <w:rPr>
          <w:rFonts w:ascii="Arial" w:eastAsia="Calibri" w:hAnsi="Arial" w:cs="Arial"/>
          <w:b/>
          <w:color w:val="000000" w:themeColor="text1"/>
          <w:sz w:val="22"/>
        </w:rPr>
      </w:pPr>
      <w:r w:rsidRPr="00BE18D7">
        <w:rPr>
          <w:rFonts w:ascii="Arial" w:eastAsia="Calibri" w:hAnsi="Arial" w:cs="Arial"/>
          <w:b/>
          <w:color w:val="000000" w:themeColor="text1"/>
          <w:sz w:val="22"/>
        </w:rPr>
        <w:t>Consideraciones</w:t>
      </w:r>
    </w:p>
    <w:p w14:paraId="28692669" w14:textId="77777777" w:rsidR="00495590" w:rsidRPr="00BE18D7" w:rsidRDefault="00495590" w:rsidP="00DB22BC">
      <w:pPr>
        <w:tabs>
          <w:tab w:val="left" w:pos="426"/>
        </w:tabs>
        <w:spacing w:line="276" w:lineRule="auto"/>
        <w:jc w:val="both"/>
        <w:rPr>
          <w:rFonts w:ascii="Arial" w:eastAsia="Calibri" w:hAnsi="Arial" w:cs="Arial"/>
          <w:b/>
          <w:color w:val="000000" w:themeColor="text1"/>
          <w:sz w:val="22"/>
        </w:rPr>
      </w:pPr>
    </w:p>
    <w:p w14:paraId="0DF5844E" w14:textId="6121FEE7" w:rsidR="00DB201F" w:rsidRPr="00BE18D7" w:rsidRDefault="00DB201F" w:rsidP="00DB22BC">
      <w:pPr>
        <w:spacing w:line="276" w:lineRule="auto"/>
        <w:jc w:val="both"/>
        <w:rPr>
          <w:rFonts w:ascii="Arial" w:hAnsi="Arial" w:cs="Arial"/>
          <w:color w:val="000000" w:themeColor="text1"/>
          <w:sz w:val="22"/>
        </w:rPr>
      </w:pPr>
      <w:r w:rsidRPr="00BE18D7">
        <w:rPr>
          <w:rFonts w:ascii="Arial" w:hAnsi="Arial" w:cs="Arial"/>
          <w:color w:val="000000" w:themeColor="text1"/>
          <w:sz w:val="22"/>
        </w:rPr>
        <w:t xml:space="preserve">La Agencia Nacional de Contratación Pública – Colombia Compra Eficiente, se pronunció en el concepto identificado con radicado No. 4201912000007744 del 20 de febrero de 2020, sobre la transferencia de experiencia entre socios. La tesis desarrollada se expone a continuación. </w:t>
      </w:r>
    </w:p>
    <w:p w14:paraId="202FE2EE" w14:textId="0CC71ABC" w:rsidR="00DB201F" w:rsidRPr="00BE18D7" w:rsidRDefault="00DB201F" w:rsidP="00DB22BC">
      <w:pPr>
        <w:spacing w:line="276" w:lineRule="auto"/>
        <w:jc w:val="both"/>
        <w:rPr>
          <w:rFonts w:ascii="Arial" w:hAnsi="Arial" w:cs="Arial"/>
          <w:color w:val="000000" w:themeColor="text1"/>
          <w:sz w:val="22"/>
        </w:rPr>
      </w:pPr>
    </w:p>
    <w:p w14:paraId="2917D25A" w14:textId="77777777" w:rsidR="00495590" w:rsidRPr="00BE18D7" w:rsidRDefault="00495590" w:rsidP="00DB22BC">
      <w:pPr>
        <w:spacing w:line="276" w:lineRule="auto"/>
        <w:jc w:val="both"/>
        <w:rPr>
          <w:rFonts w:ascii="Arial" w:eastAsia="Calibri" w:hAnsi="Arial" w:cs="Arial"/>
          <w:b/>
          <w:color w:val="000000" w:themeColor="text1"/>
          <w:sz w:val="22"/>
        </w:rPr>
      </w:pPr>
      <w:r w:rsidRPr="00BE18D7">
        <w:rPr>
          <w:rFonts w:ascii="Arial" w:eastAsia="Calibri" w:hAnsi="Arial" w:cs="Arial"/>
          <w:b/>
          <w:color w:val="000000" w:themeColor="text1"/>
          <w:sz w:val="22"/>
        </w:rPr>
        <w:t>2.1 Introducción</w:t>
      </w:r>
    </w:p>
    <w:p w14:paraId="77644019" w14:textId="77777777" w:rsidR="00DB201F" w:rsidRPr="00BE18D7" w:rsidRDefault="00DB201F" w:rsidP="00DB22BC">
      <w:pPr>
        <w:spacing w:line="276" w:lineRule="auto"/>
        <w:jc w:val="both"/>
        <w:rPr>
          <w:rFonts w:ascii="Arial" w:eastAsia="Calibri" w:hAnsi="Arial" w:cs="Arial"/>
          <w:b/>
          <w:color w:val="000000" w:themeColor="text1"/>
          <w:sz w:val="22"/>
        </w:rPr>
      </w:pPr>
    </w:p>
    <w:p w14:paraId="5FCACC44" w14:textId="77777777" w:rsidR="00495590" w:rsidRPr="00BE18D7" w:rsidRDefault="00495590" w:rsidP="00DB22BC">
      <w:pPr>
        <w:spacing w:line="276" w:lineRule="auto"/>
        <w:jc w:val="both"/>
        <w:rPr>
          <w:rFonts w:ascii="Arial" w:eastAsia="Calibri" w:hAnsi="Arial" w:cs="Arial"/>
          <w:color w:val="000000" w:themeColor="text1"/>
          <w:sz w:val="22"/>
        </w:rPr>
      </w:pPr>
      <w:r w:rsidRPr="00BE18D7">
        <w:rPr>
          <w:rFonts w:ascii="Arial" w:eastAsia="Calibri" w:hAnsi="Arial" w:cs="Arial"/>
          <w:color w:val="000000" w:themeColor="text1"/>
          <w:sz w:val="22"/>
        </w:rPr>
        <w:t>La contratación pública involucra, entre otras relaciones, la interacción entre la Administración Pública y quienes buscan ofrecerle al Estado los bienes, obras o servicios que requiere para satisfacer sus necesidades, y en esa medida cumplir con el fin principal que es satisfacer el interés general. Por tanto, esa relación entre el Estado y los proveedores se enmarca en las reglas establecidas en la normativa del Sistema de Compra Pública, con el fin de procurar un equilibrio y el cumplimiento de los principios de la contratación pública, entre otros objetivos.</w:t>
      </w:r>
    </w:p>
    <w:p w14:paraId="020B2E6A" w14:textId="77777777" w:rsidR="00495590" w:rsidRPr="00BE18D7" w:rsidRDefault="00495590" w:rsidP="008A2025">
      <w:pPr>
        <w:spacing w:before="120" w:after="120" w:line="276" w:lineRule="auto"/>
        <w:ind w:firstLine="708"/>
        <w:jc w:val="both"/>
        <w:rPr>
          <w:rFonts w:ascii="Arial" w:eastAsia="Calibri" w:hAnsi="Arial" w:cs="Arial"/>
          <w:color w:val="000000" w:themeColor="text1"/>
          <w:sz w:val="22"/>
        </w:rPr>
      </w:pPr>
      <w:r w:rsidRPr="00BE18D7">
        <w:rPr>
          <w:rFonts w:ascii="Arial" w:eastAsia="Calibri" w:hAnsi="Arial" w:cs="Arial"/>
          <w:color w:val="000000" w:themeColor="text1"/>
          <w:sz w:val="22"/>
        </w:rPr>
        <w:t xml:space="preserve">Por consiguiente, la normativa del Sistema de Compra Pública 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proceso, de acuerdo con </w:t>
      </w:r>
      <w:r w:rsidRPr="00BE18D7">
        <w:rPr>
          <w:rFonts w:ascii="Arial" w:eastAsia="Calibri" w:hAnsi="Arial" w:cs="Arial"/>
          <w:color w:val="000000" w:themeColor="text1"/>
          <w:sz w:val="22"/>
        </w:rPr>
        <w:lastRenderedPageBreak/>
        <w:t>las normas relacionadas con la adquisición de que se trate, y que quedan definidos en el pliego de condiciones como documento del proceso</w:t>
      </w:r>
      <w:r w:rsidRPr="00BE18D7">
        <w:rPr>
          <w:rFonts w:ascii="Arial" w:eastAsia="Calibri" w:hAnsi="Arial" w:cs="Arial"/>
          <w:color w:val="000000" w:themeColor="text1"/>
          <w:sz w:val="22"/>
          <w:vertAlign w:val="superscript"/>
        </w:rPr>
        <w:footnoteReference w:id="2"/>
      </w:r>
      <w:r w:rsidRPr="00BE18D7">
        <w:rPr>
          <w:rFonts w:ascii="Arial" w:eastAsia="Calibri" w:hAnsi="Arial" w:cs="Arial"/>
          <w:color w:val="000000" w:themeColor="text1"/>
          <w:sz w:val="22"/>
        </w:rPr>
        <w:t xml:space="preserve">. </w:t>
      </w:r>
    </w:p>
    <w:p w14:paraId="02004698" w14:textId="598F1D20" w:rsidR="00495590" w:rsidRPr="00BE18D7" w:rsidRDefault="00495590" w:rsidP="008A2025">
      <w:pPr>
        <w:spacing w:before="120" w:after="120" w:line="276" w:lineRule="auto"/>
        <w:ind w:firstLine="708"/>
        <w:jc w:val="both"/>
        <w:rPr>
          <w:rFonts w:ascii="Arial" w:eastAsia="Calibri" w:hAnsi="Arial" w:cs="Arial"/>
          <w:color w:val="000000" w:themeColor="text1"/>
          <w:sz w:val="22"/>
        </w:rPr>
      </w:pPr>
      <w:r w:rsidRPr="00BE18D7">
        <w:rPr>
          <w:rFonts w:ascii="Arial" w:eastAsia="Calibri" w:hAnsi="Arial" w:cs="Arial"/>
          <w:color w:val="000000" w:themeColor="text1"/>
          <w:sz w:val="22"/>
        </w:rPr>
        <w:t>En ese sentido, se debe tener en cuenta que de acuerdo con la Ley 80 de 1993, quienes pueden ser proveedores del Estado son las personas consideradas legalmente capaces, como las personas jurídicas</w:t>
      </w:r>
      <w:r w:rsidRPr="00BE18D7">
        <w:rPr>
          <w:rFonts w:ascii="Arial" w:eastAsia="Calibri" w:hAnsi="Arial" w:cs="Arial"/>
          <w:color w:val="000000" w:themeColor="text1"/>
          <w:sz w:val="22"/>
          <w:vertAlign w:val="superscript"/>
        </w:rPr>
        <w:footnoteReference w:id="3"/>
      </w:r>
      <w:r w:rsidRPr="00BE18D7">
        <w:rPr>
          <w:rFonts w:ascii="Arial" w:eastAsia="Calibri" w:hAnsi="Arial" w:cs="Arial"/>
          <w:color w:val="000000" w:themeColor="text1"/>
          <w:sz w:val="22"/>
        </w:rPr>
        <w:t>, que de acuerdo con el Código Civil tienen capacidad para ejercer derechos y contraer obligaciones, por ende tienen capacidad jurídica. Un tipo de persona jurídica son las sociedades comerciales</w:t>
      </w:r>
      <w:r w:rsidRPr="00BE18D7">
        <w:rPr>
          <w:rFonts w:ascii="Arial" w:eastAsia="Calibri" w:hAnsi="Arial" w:cs="Arial"/>
          <w:color w:val="000000" w:themeColor="text1"/>
          <w:sz w:val="22"/>
          <w:vertAlign w:val="superscript"/>
        </w:rPr>
        <w:footnoteReference w:id="4"/>
      </w:r>
      <w:r w:rsidRPr="00BE18D7">
        <w:rPr>
          <w:rFonts w:ascii="Arial" w:eastAsia="Calibri" w:hAnsi="Arial" w:cs="Arial"/>
          <w:color w:val="000000" w:themeColor="text1"/>
          <w:sz w:val="22"/>
        </w:rPr>
        <w:t xml:space="preserve"> reguladas, principalmente, en el Código de Comercio</w:t>
      </w:r>
      <w:r w:rsidRPr="00BE18D7">
        <w:rPr>
          <w:rFonts w:ascii="Arial" w:eastAsia="Calibri" w:hAnsi="Arial" w:cs="Arial"/>
          <w:color w:val="000000" w:themeColor="text1"/>
          <w:sz w:val="22"/>
          <w:vertAlign w:val="superscript"/>
        </w:rPr>
        <w:footnoteReference w:id="5"/>
      </w:r>
      <w:r w:rsidRPr="00BE18D7">
        <w:rPr>
          <w:rFonts w:ascii="Arial" w:eastAsia="Calibri" w:hAnsi="Arial" w:cs="Arial"/>
          <w:color w:val="000000" w:themeColor="text1"/>
          <w:sz w:val="22"/>
        </w:rPr>
        <w:t>, donde se establecen las figuras y reformas estatutarias aplicables a estas como: la transformac</w:t>
      </w:r>
      <w:r w:rsidR="00DB201F" w:rsidRPr="00BE18D7">
        <w:rPr>
          <w:rFonts w:ascii="Arial" w:eastAsia="Calibri" w:hAnsi="Arial" w:cs="Arial"/>
          <w:color w:val="000000" w:themeColor="text1"/>
          <w:sz w:val="22"/>
        </w:rPr>
        <w:t>ión, la escisión y la fusión.</w:t>
      </w:r>
    </w:p>
    <w:p w14:paraId="1E1CD2E5" w14:textId="7DBD28CC" w:rsidR="004C029B" w:rsidRPr="00BE18D7" w:rsidRDefault="00495590" w:rsidP="00DB22BC">
      <w:pPr>
        <w:spacing w:line="276" w:lineRule="auto"/>
        <w:ind w:firstLine="708"/>
        <w:jc w:val="both"/>
        <w:rPr>
          <w:rFonts w:ascii="Arial" w:eastAsia="Calibri" w:hAnsi="Arial" w:cs="Arial"/>
          <w:color w:val="000000" w:themeColor="text1"/>
          <w:sz w:val="22"/>
        </w:rPr>
      </w:pPr>
      <w:r w:rsidRPr="00BE18D7">
        <w:rPr>
          <w:rFonts w:ascii="Arial" w:eastAsia="Calibri" w:hAnsi="Arial" w:cs="Arial"/>
          <w:color w:val="000000" w:themeColor="text1"/>
          <w:sz w:val="22"/>
        </w:rPr>
        <w:t>Por tanto, para resolver su consulta relacionada con la</w:t>
      </w:r>
      <w:r w:rsidR="00F94C9C" w:rsidRPr="00BE18D7">
        <w:rPr>
          <w:rFonts w:ascii="Arial" w:eastAsia="Calibri" w:hAnsi="Arial" w:cs="Arial"/>
          <w:color w:val="000000" w:themeColor="text1"/>
          <w:sz w:val="22"/>
        </w:rPr>
        <w:t xml:space="preserve"> transferencia de experiencia a</w:t>
      </w:r>
      <w:r w:rsidRPr="00BE18D7">
        <w:rPr>
          <w:rFonts w:ascii="Arial" w:eastAsia="Calibri" w:hAnsi="Arial" w:cs="Arial"/>
          <w:color w:val="000000" w:themeColor="text1"/>
          <w:sz w:val="22"/>
        </w:rPr>
        <w:t xml:space="preserve"> las personas jurídicas: i) en primer lugar</w:t>
      </w:r>
      <w:r w:rsidR="00F94C9C" w:rsidRPr="00BE18D7">
        <w:rPr>
          <w:rFonts w:ascii="Arial" w:eastAsia="Calibri" w:hAnsi="Arial" w:cs="Arial"/>
          <w:color w:val="000000" w:themeColor="text1"/>
          <w:sz w:val="22"/>
        </w:rPr>
        <w:t>,</w:t>
      </w:r>
      <w:r w:rsidRPr="00BE18D7">
        <w:rPr>
          <w:rFonts w:ascii="Arial" w:eastAsia="Calibri" w:hAnsi="Arial" w:cs="Arial"/>
          <w:color w:val="000000" w:themeColor="text1"/>
          <w:sz w:val="22"/>
        </w:rPr>
        <w:t xml:space="preserve"> se citará la regulación sobre experiencia; ii) después se explicará este concepto respecto de las figuras y reformas estatutarias mencionadas, que son aplicables a las sociedades comerciales; y finalmente iii) se determinará si es posible transfe</w:t>
      </w:r>
      <w:r w:rsidR="00DB201F" w:rsidRPr="00BE18D7">
        <w:rPr>
          <w:rFonts w:ascii="Arial" w:eastAsia="Calibri" w:hAnsi="Arial" w:cs="Arial"/>
          <w:color w:val="000000" w:themeColor="text1"/>
          <w:sz w:val="22"/>
        </w:rPr>
        <w:t>rir la</w:t>
      </w:r>
      <w:r w:rsidR="00C1780C" w:rsidRPr="00BE18D7">
        <w:rPr>
          <w:rFonts w:ascii="Arial" w:eastAsia="Calibri" w:hAnsi="Arial" w:cs="Arial"/>
          <w:color w:val="000000" w:themeColor="text1"/>
          <w:sz w:val="22"/>
        </w:rPr>
        <w:t xml:space="preserve"> experiencia </w:t>
      </w:r>
      <w:r w:rsidR="00F94C9C" w:rsidRPr="00BE18D7">
        <w:rPr>
          <w:rFonts w:ascii="Arial" w:eastAsia="Calibri" w:hAnsi="Arial" w:cs="Arial"/>
          <w:color w:val="000000" w:themeColor="text1"/>
          <w:sz w:val="22"/>
        </w:rPr>
        <w:t xml:space="preserve">de la persona natural, </w:t>
      </w:r>
      <w:r w:rsidR="00C1780C" w:rsidRPr="00BE18D7">
        <w:rPr>
          <w:rFonts w:ascii="Arial" w:eastAsia="Calibri" w:hAnsi="Arial" w:cs="Arial"/>
          <w:color w:val="000000" w:themeColor="text1"/>
          <w:sz w:val="22"/>
        </w:rPr>
        <w:t xml:space="preserve">por la compraventa </w:t>
      </w:r>
      <w:r w:rsidR="00DB201F" w:rsidRPr="00BE18D7">
        <w:rPr>
          <w:rFonts w:ascii="Arial" w:eastAsia="Calibri" w:hAnsi="Arial" w:cs="Arial"/>
          <w:color w:val="000000" w:themeColor="text1"/>
          <w:sz w:val="22"/>
        </w:rPr>
        <w:t>de un establecimient</w:t>
      </w:r>
      <w:r w:rsidR="00C1780C" w:rsidRPr="00BE18D7">
        <w:rPr>
          <w:rFonts w:ascii="Arial" w:eastAsia="Calibri" w:hAnsi="Arial" w:cs="Arial"/>
          <w:color w:val="000000" w:themeColor="text1"/>
          <w:sz w:val="22"/>
        </w:rPr>
        <w:t xml:space="preserve">o </w:t>
      </w:r>
      <w:r w:rsidR="009B0496" w:rsidRPr="00BE18D7">
        <w:rPr>
          <w:rFonts w:ascii="Arial" w:eastAsia="Calibri" w:hAnsi="Arial" w:cs="Arial"/>
          <w:color w:val="000000" w:themeColor="text1"/>
          <w:sz w:val="22"/>
        </w:rPr>
        <w:t>de la</w:t>
      </w:r>
      <w:r w:rsidR="00F94C9C" w:rsidRPr="00BE18D7">
        <w:rPr>
          <w:rFonts w:ascii="Arial" w:eastAsia="Calibri" w:hAnsi="Arial" w:cs="Arial"/>
          <w:color w:val="000000" w:themeColor="text1"/>
          <w:sz w:val="22"/>
        </w:rPr>
        <w:t xml:space="preserve"> cual es dueña, en favor de una persona jurídica.</w:t>
      </w:r>
    </w:p>
    <w:p w14:paraId="15DF398C" w14:textId="77777777" w:rsidR="000A055B" w:rsidRPr="00BE18D7" w:rsidRDefault="000A055B" w:rsidP="00DB22BC">
      <w:pPr>
        <w:spacing w:line="276" w:lineRule="auto"/>
        <w:ind w:firstLine="708"/>
        <w:jc w:val="both"/>
        <w:rPr>
          <w:rFonts w:ascii="Arial" w:eastAsia="Calibri" w:hAnsi="Arial" w:cs="Arial"/>
          <w:color w:val="000000" w:themeColor="text1"/>
          <w:sz w:val="22"/>
        </w:rPr>
      </w:pPr>
    </w:p>
    <w:p w14:paraId="223B5337" w14:textId="77777777" w:rsidR="00495590" w:rsidRPr="00BE18D7" w:rsidRDefault="00495590" w:rsidP="00DB22BC">
      <w:pPr>
        <w:spacing w:line="276" w:lineRule="auto"/>
        <w:jc w:val="both"/>
        <w:rPr>
          <w:rFonts w:ascii="Arial" w:eastAsia="Calibri" w:hAnsi="Arial" w:cs="Arial"/>
          <w:b/>
          <w:color w:val="000000" w:themeColor="text1"/>
          <w:sz w:val="22"/>
        </w:rPr>
      </w:pPr>
      <w:r w:rsidRPr="00BE18D7">
        <w:rPr>
          <w:rFonts w:ascii="Arial" w:eastAsia="Calibri" w:hAnsi="Arial" w:cs="Arial"/>
          <w:b/>
          <w:color w:val="000000" w:themeColor="text1"/>
          <w:sz w:val="22"/>
        </w:rPr>
        <w:t>2.2 Experiencia en la contratación pública: aproximación general al concepto y consideraciones del ente rector de la contratación pública</w:t>
      </w:r>
    </w:p>
    <w:p w14:paraId="58F434B4" w14:textId="77777777" w:rsidR="00495590" w:rsidRPr="00BE18D7" w:rsidRDefault="00495590" w:rsidP="00DB22BC">
      <w:pPr>
        <w:spacing w:line="276" w:lineRule="auto"/>
        <w:jc w:val="both"/>
        <w:rPr>
          <w:rFonts w:ascii="Arial" w:eastAsia="Calibri" w:hAnsi="Arial" w:cs="Arial"/>
          <w:b/>
          <w:color w:val="000000" w:themeColor="text1"/>
          <w:sz w:val="22"/>
        </w:rPr>
      </w:pPr>
    </w:p>
    <w:p w14:paraId="2B96C16C" w14:textId="77777777" w:rsidR="00495590" w:rsidRPr="00BE18D7" w:rsidRDefault="00495590" w:rsidP="00DB22BC">
      <w:pPr>
        <w:spacing w:line="276" w:lineRule="auto"/>
        <w:jc w:val="both"/>
        <w:rPr>
          <w:rFonts w:ascii="Arial" w:eastAsia="Calibri" w:hAnsi="Arial" w:cs="Arial"/>
          <w:b/>
          <w:color w:val="000000" w:themeColor="text1"/>
          <w:sz w:val="22"/>
        </w:rPr>
      </w:pPr>
      <w:r w:rsidRPr="00BE18D7">
        <w:rPr>
          <w:rFonts w:ascii="Arial" w:eastAsia="Calibri" w:hAnsi="Arial" w:cs="Arial"/>
          <w:b/>
          <w:color w:val="000000" w:themeColor="text1"/>
          <w:sz w:val="22"/>
        </w:rPr>
        <w:t>a) Norma general</w:t>
      </w:r>
    </w:p>
    <w:p w14:paraId="51871284" w14:textId="77777777" w:rsidR="00495590" w:rsidRPr="00BE18D7" w:rsidRDefault="00495590" w:rsidP="00DB22BC">
      <w:pPr>
        <w:spacing w:line="276" w:lineRule="auto"/>
        <w:jc w:val="both"/>
        <w:rPr>
          <w:rFonts w:ascii="Arial" w:eastAsia="Calibri" w:hAnsi="Arial" w:cs="Arial"/>
          <w:b/>
          <w:color w:val="000000" w:themeColor="text1"/>
          <w:sz w:val="22"/>
        </w:rPr>
      </w:pPr>
    </w:p>
    <w:p w14:paraId="45DE3A54" w14:textId="77777777" w:rsidR="00495590" w:rsidRPr="00BE18D7" w:rsidRDefault="00495590" w:rsidP="00DB22BC">
      <w:pPr>
        <w:spacing w:line="276" w:lineRule="auto"/>
        <w:jc w:val="both"/>
        <w:rPr>
          <w:rFonts w:ascii="Arial" w:eastAsia="Calibri" w:hAnsi="Arial" w:cs="Arial"/>
          <w:color w:val="000000" w:themeColor="text1"/>
          <w:sz w:val="22"/>
          <w:highlight w:val="yellow"/>
        </w:rPr>
      </w:pPr>
      <w:r w:rsidRPr="00BE18D7">
        <w:rPr>
          <w:rFonts w:ascii="Arial" w:eastAsia="Calibri" w:hAnsi="Arial" w:cs="Arial"/>
          <w:color w:val="000000" w:themeColor="text1"/>
          <w:sz w:val="22"/>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BE18D7">
        <w:rPr>
          <w:rFonts w:ascii="Arial" w:eastAsia="Calibri" w:hAnsi="Arial" w:cs="Arial"/>
          <w:color w:val="000000" w:themeColor="text1"/>
          <w:sz w:val="22"/>
          <w:vertAlign w:val="superscript"/>
        </w:rPr>
        <w:footnoteReference w:id="6"/>
      </w:r>
      <w:r w:rsidRPr="00BE18D7">
        <w:rPr>
          <w:rFonts w:ascii="Arial" w:eastAsia="Calibri" w:hAnsi="Arial" w:cs="Arial"/>
          <w:color w:val="000000" w:themeColor="text1"/>
          <w:sz w:val="22"/>
        </w:rPr>
        <w:t>. En ese 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el mercado y precio del bien, obra o servicio a contratar</w:t>
      </w:r>
      <w:r w:rsidRPr="00BE18D7">
        <w:rPr>
          <w:rFonts w:ascii="Arial" w:eastAsia="Calibri" w:hAnsi="Arial" w:cs="Arial"/>
          <w:color w:val="000000" w:themeColor="text1"/>
          <w:sz w:val="22"/>
          <w:vertAlign w:val="superscript"/>
        </w:rPr>
        <w:footnoteReference w:id="7"/>
      </w:r>
      <w:r w:rsidRPr="00BE18D7">
        <w:rPr>
          <w:rFonts w:ascii="Arial" w:eastAsia="Calibri" w:hAnsi="Arial" w:cs="Arial"/>
          <w:color w:val="000000" w:themeColor="text1"/>
          <w:sz w:val="22"/>
        </w:rPr>
        <w:t>.</w:t>
      </w:r>
    </w:p>
    <w:p w14:paraId="79708353" w14:textId="77777777" w:rsidR="00495590" w:rsidRPr="00BE18D7" w:rsidRDefault="00495590" w:rsidP="008A2025">
      <w:pPr>
        <w:spacing w:before="120" w:after="120" w:line="276" w:lineRule="auto"/>
        <w:ind w:firstLine="708"/>
        <w:jc w:val="both"/>
        <w:rPr>
          <w:rFonts w:ascii="Arial" w:eastAsia="Calibri" w:hAnsi="Arial" w:cs="Arial"/>
          <w:color w:val="000000" w:themeColor="text1"/>
          <w:sz w:val="22"/>
        </w:rPr>
      </w:pPr>
      <w:r w:rsidRPr="00BE18D7">
        <w:rPr>
          <w:rFonts w:ascii="Arial" w:eastAsia="Calibri" w:hAnsi="Arial" w:cs="Arial"/>
          <w:color w:val="000000" w:themeColor="text1"/>
          <w:sz w:val="22"/>
        </w:rPr>
        <w:t xml:space="preserve">La experiencia que se deriva de los contratos que el proponente ha celebrado y ejecutado con diferentes contratantes, sin importar la naturaleza de estos, se verifica con el </w:t>
      </w:r>
      <w:r w:rsidRPr="00BE18D7">
        <w:rPr>
          <w:rFonts w:ascii="Arial" w:eastAsia="Calibri" w:hAnsi="Arial" w:cs="Arial"/>
          <w:color w:val="000000" w:themeColor="text1"/>
          <w:sz w:val="22"/>
        </w:rPr>
        <w:lastRenderedPageBreak/>
        <w:t>Registro Único de Proponentes (RUP)</w:t>
      </w:r>
      <w:r w:rsidRPr="00BE18D7">
        <w:rPr>
          <w:rFonts w:ascii="Arial" w:eastAsia="Calibri" w:hAnsi="Arial" w:cs="Arial"/>
          <w:color w:val="000000" w:themeColor="text1"/>
          <w:sz w:val="22"/>
          <w:vertAlign w:val="superscript"/>
        </w:rPr>
        <w:footnoteReference w:id="8"/>
      </w:r>
      <w:r w:rsidRPr="00BE18D7">
        <w:rPr>
          <w:rFonts w:ascii="Arial" w:eastAsia="Calibri" w:hAnsi="Arial" w:cs="Arial"/>
          <w:color w:val="000000" w:themeColor="text1"/>
          <w:sz w:val="22"/>
        </w:rPr>
        <w:t>, cuando este certificado sea exigible de acuerdo con la ley, en el cual constan los requisitos habilitantes que se evalúan exclusivamente con este documento, que es su plena prueba, sin que le sea posible a la entidad o al proponente solicitar o aportar otra documentación</w:t>
      </w:r>
      <w:r w:rsidRPr="00BE18D7">
        <w:rPr>
          <w:rFonts w:ascii="Arial" w:eastAsia="Calibri" w:hAnsi="Arial" w:cs="Arial"/>
          <w:color w:val="000000" w:themeColor="text1"/>
          <w:sz w:val="22"/>
          <w:vertAlign w:val="superscript"/>
        </w:rPr>
        <w:footnoteReference w:id="9"/>
      </w:r>
      <w:r w:rsidRPr="00BE18D7">
        <w:rPr>
          <w:rFonts w:ascii="Arial" w:eastAsia="Calibri" w:hAnsi="Arial" w:cs="Arial"/>
          <w:color w:val="000000" w:themeColor="text1"/>
          <w:sz w:val="22"/>
        </w:rPr>
        <w:t>.</w:t>
      </w:r>
    </w:p>
    <w:p w14:paraId="6C6B0D0C" w14:textId="6B73DB70" w:rsidR="00495590" w:rsidRPr="00BE18D7" w:rsidRDefault="00495590" w:rsidP="009B0496">
      <w:pPr>
        <w:spacing w:line="276" w:lineRule="auto"/>
        <w:ind w:firstLine="708"/>
        <w:jc w:val="both"/>
        <w:rPr>
          <w:rFonts w:ascii="Arial" w:eastAsia="Calibri" w:hAnsi="Arial" w:cs="Arial"/>
          <w:color w:val="000000" w:themeColor="text1"/>
          <w:sz w:val="22"/>
        </w:rPr>
      </w:pPr>
      <w:r w:rsidRPr="00BE18D7">
        <w:rPr>
          <w:rFonts w:ascii="Arial" w:eastAsia="Calibri" w:hAnsi="Arial" w:cs="Arial"/>
          <w:color w:val="000000" w:themeColor="text1"/>
          <w:sz w:val="22"/>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y esos documentos deben codificarse con el clasificador de bienes y servicios en el tercer nivel</w:t>
      </w:r>
      <w:r w:rsidRPr="00BE18D7">
        <w:rPr>
          <w:rFonts w:ascii="Arial" w:eastAsia="Calibri" w:hAnsi="Arial" w:cs="Arial"/>
          <w:color w:val="000000" w:themeColor="text1"/>
          <w:sz w:val="22"/>
          <w:vertAlign w:val="superscript"/>
        </w:rPr>
        <w:footnoteReference w:id="10"/>
      </w:r>
      <w:r w:rsidRPr="00BE18D7">
        <w:rPr>
          <w:rFonts w:ascii="Arial" w:eastAsia="Calibri" w:hAnsi="Arial" w:cs="Arial"/>
          <w:color w:val="000000" w:themeColor="text1"/>
          <w:sz w:val="22"/>
        </w:rPr>
        <w:t xml:space="preserve">. De esta manera, lo que se verifica con el RUP es que el proponente tenga experiencia en la ejecución del objeto que pretende contratar la entidad, esto es, que haya </w:t>
      </w:r>
      <w:r w:rsidRPr="00BE18D7">
        <w:rPr>
          <w:rFonts w:ascii="Arial" w:eastAsia="Calibri" w:hAnsi="Arial" w:cs="Arial"/>
          <w:color w:val="000000" w:themeColor="text1"/>
          <w:sz w:val="22"/>
        </w:rPr>
        <w:lastRenderedPageBreak/>
        <w:t xml:space="preserve">celebrado y ejecutado contratos que se asimilen a la necesidad que la entidad requiere satisfacer con el procedimiento contractual, sin que sea necesario que su objeto sea idéntico. </w:t>
      </w:r>
    </w:p>
    <w:p w14:paraId="61E075FA" w14:textId="77777777" w:rsidR="00495590" w:rsidRPr="00BE18D7" w:rsidRDefault="00495590" w:rsidP="009B0496">
      <w:pPr>
        <w:spacing w:line="276" w:lineRule="auto"/>
        <w:jc w:val="both"/>
        <w:rPr>
          <w:rFonts w:ascii="Arial" w:eastAsia="Calibri" w:hAnsi="Arial" w:cs="Arial"/>
          <w:color w:val="000000" w:themeColor="text1"/>
          <w:sz w:val="22"/>
        </w:rPr>
      </w:pPr>
    </w:p>
    <w:p w14:paraId="7B1AD1F5" w14:textId="77777777" w:rsidR="00495590" w:rsidRPr="00BE18D7" w:rsidRDefault="00495590" w:rsidP="009B0496">
      <w:pPr>
        <w:spacing w:line="276" w:lineRule="auto"/>
        <w:jc w:val="both"/>
        <w:rPr>
          <w:rFonts w:ascii="Arial" w:eastAsia="Calibri" w:hAnsi="Arial" w:cs="Arial"/>
          <w:b/>
          <w:bCs/>
          <w:color w:val="000000" w:themeColor="text1"/>
          <w:sz w:val="22"/>
        </w:rPr>
      </w:pPr>
      <w:r w:rsidRPr="00BE18D7">
        <w:rPr>
          <w:rFonts w:ascii="Arial" w:eastAsia="Calibri" w:hAnsi="Arial" w:cs="Arial"/>
          <w:b/>
          <w:bCs/>
          <w:color w:val="000000" w:themeColor="text1"/>
          <w:sz w:val="22"/>
        </w:rPr>
        <w:t>b) Consideraciones de Colombia Compra Eficiente respecto de la experiencia</w:t>
      </w:r>
    </w:p>
    <w:p w14:paraId="4EF5918C" w14:textId="77777777" w:rsidR="00495590" w:rsidRPr="00BE18D7" w:rsidRDefault="00495590" w:rsidP="009B0496">
      <w:pPr>
        <w:spacing w:line="276" w:lineRule="auto"/>
        <w:jc w:val="both"/>
        <w:rPr>
          <w:rFonts w:ascii="Arial" w:eastAsia="Calibri" w:hAnsi="Arial" w:cs="Arial"/>
          <w:b/>
          <w:bCs/>
          <w:color w:val="000000" w:themeColor="text1"/>
          <w:sz w:val="22"/>
        </w:rPr>
      </w:pPr>
    </w:p>
    <w:p w14:paraId="3DDD9747" w14:textId="3B2EE8E0" w:rsidR="00495590" w:rsidRPr="00BE18D7" w:rsidRDefault="00495590" w:rsidP="009B0496">
      <w:pPr>
        <w:spacing w:line="276" w:lineRule="auto"/>
        <w:jc w:val="both"/>
        <w:rPr>
          <w:rFonts w:ascii="Arial" w:eastAsia="Calibri" w:hAnsi="Arial" w:cs="Arial"/>
          <w:color w:val="000000" w:themeColor="text1"/>
          <w:sz w:val="22"/>
        </w:rPr>
      </w:pPr>
      <w:r w:rsidRPr="00BE18D7">
        <w:rPr>
          <w:rFonts w:ascii="Arial" w:eastAsia="Calibri" w:hAnsi="Arial" w:cs="Arial"/>
          <w:color w:val="000000" w:themeColor="text1"/>
          <w:sz w:val="22"/>
        </w:rPr>
        <w:t>La Agencia Nacional de Co</w:t>
      </w:r>
      <w:r w:rsidR="003E19BD" w:rsidRPr="00BE18D7">
        <w:rPr>
          <w:rFonts w:ascii="Arial" w:eastAsia="Calibri" w:hAnsi="Arial" w:cs="Arial"/>
          <w:color w:val="000000" w:themeColor="text1"/>
          <w:sz w:val="22"/>
        </w:rPr>
        <w:t xml:space="preserve">ntratación Pública </w:t>
      </w:r>
      <w:r w:rsidR="003E19BD" w:rsidRPr="00BE18D7">
        <w:rPr>
          <w:rFonts w:ascii="Arial" w:eastAsia="Calibri" w:hAnsi="Arial" w:cs="Arial"/>
          <w:b/>
          <w:color w:val="000000" w:themeColor="text1"/>
          <w:sz w:val="22"/>
        </w:rPr>
        <w:t>─</w:t>
      </w:r>
      <w:r w:rsidRPr="00BE18D7">
        <w:rPr>
          <w:rFonts w:ascii="Arial" w:eastAsia="Calibri" w:hAnsi="Arial" w:cs="Arial"/>
          <w:color w:val="000000" w:themeColor="text1"/>
          <w:sz w:val="22"/>
        </w:rPr>
        <w:t>Colombia Compra Eficiente</w:t>
      </w:r>
      <w:r w:rsidR="003E19BD" w:rsidRPr="00BE18D7">
        <w:rPr>
          <w:rFonts w:ascii="Arial" w:eastAsia="Calibri" w:hAnsi="Arial" w:cs="Arial"/>
          <w:b/>
          <w:color w:val="000000" w:themeColor="text1"/>
          <w:sz w:val="22"/>
        </w:rPr>
        <w:t xml:space="preserve">─ </w:t>
      </w:r>
      <w:r w:rsidRPr="00BE18D7">
        <w:rPr>
          <w:rFonts w:ascii="Arial" w:eastAsia="Calibri" w:hAnsi="Arial" w:cs="Arial"/>
          <w:color w:val="000000" w:themeColor="text1"/>
          <w:sz w:val="22"/>
        </w:rPr>
        <w:t xml:space="preserve"> puso a disposición de los interesados del Sistema de Compra Pública el </w:t>
      </w:r>
      <w:r w:rsidR="00765B1B" w:rsidRPr="00BE18D7">
        <w:rPr>
          <w:rFonts w:ascii="Arial" w:eastAsia="Calibri" w:hAnsi="Arial" w:cs="Arial"/>
          <w:color w:val="000000" w:themeColor="text1"/>
          <w:sz w:val="22"/>
        </w:rPr>
        <w:t>«</w:t>
      </w:r>
      <w:r w:rsidRPr="00BE18D7">
        <w:rPr>
          <w:rFonts w:ascii="Arial" w:eastAsia="Calibri" w:hAnsi="Arial" w:cs="Arial"/>
          <w:color w:val="000000" w:themeColor="text1"/>
          <w:sz w:val="22"/>
        </w:rPr>
        <w:t>Manual para determinar y verificar requisitos habilitantes en los procesos de contratación</w:t>
      </w:r>
      <w:r w:rsidR="00765B1B" w:rsidRPr="00BE18D7">
        <w:rPr>
          <w:rFonts w:ascii="Arial" w:eastAsia="Calibri" w:hAnsi="Arial" w:cs="Arial"/>
          <w:color w:val="000000" w:themeColor="text1"/>
          <w:sz w:val="22"/>
        </w:rPr>
        <w:t>»</w:t>
      </w:r>
      <w:r w:rsidRPr="00BE18D7">
        <w:rPr>
          <w:rFonts w:ascii="Arial" w:eastAsia="Calibri" w:hAnsi="Arial" w:cs="Arial"/>
          <w:color w:val="000000" w:themeColor="text1"/>
          <w:sz w:val="22"/>
        </w:rPr>
        <w:t>, donde se establecen las definiciones de cada requisito habilitante y se dan lineamientos orientadores sobre lo que las entidades pueden hacer para establecerlos, en este caso, frente a la experiencia. Sobre el particular, para la experiencia, como requisito habilitante señalado en su consulta, el Manual se centra en una de sus cualidades y es que es personal, lo cual significa que quien tiene la experiencia es en razón a su participación, con anterioridad, en actividades que le permitieron conocer cómo ejecutar el objeto contractual, que la entidad pretende satisfacer ahora</w:t>
      </w:r>
      <w:r w:rsidRPr="00BE18D7">
        <w:rPr>
          <w:rFonts w:ascii="Arial" w:eastAsia="Calibri" w:hAnsi="Arial" w:cs="Arial"/>
          <w:color w:val="000000" w:themeColor="text1"/>
          <w:sz w:val="22"/>
          <w:vertAlign w:val="superscript"/>
        </w:rPr>
        <w:footnoteReference w:id="11"/>
      </w:r>
      <w:r w:rsidRPr="00BE18D7">
        <w:rPr>
          <w:rFonts w:ascii="Arial" w:eastAsia="Calibri" w:hAnsi="Arial" w:cs="Arial"/>
          <w:color w:val="000000" w:themeColor="text1"/>
          <w:sz w:val="22"/>
        </w:rPr>
        <w:t>.</w:t>
      </w:r>
    </w:p>
    <w:p w14:paraId="79015C73" w14:textId="2C1A3A5E" w:rsidR="00495590" w:rsidRPr="00BE18D7" w:rsidRDefault="00495590" w:rsidP="008A2025">
      <w:pPr>
        <w:spacing w:before="120" w:after="120" w:line="276" w:lineRule="auto"/>
        <w:ind w:firstLine="708"/>
        <w:jc w:val="both"/>
        <w:rPr>
          <w:rFonts w:ascii="Arial" w:eastAsia="Calibri" w:hAnsi="Arial" w:cs="Arial"/>
          <w:color w:val="000000" w:themeColor="text1"/>
          <w:sz w:val="22"/>
        </w:rPr>
      </w:pPr>
      <w:r w:rsidRPr="00BE18D7">
        <w:rPr>
          <w:rFonts w:ascii="Arial" w:eastAsia="Calibri" w:hAnsi="Arial" w:cs="Arial"/>
          <w:color w:val="000000" w:themeColor="text1"/>
          <w:sz w:val="22"/>
        </w:rPr>
        <w:t>Lo anterior es destacable porque no es posible tener experiencia si en la práctica no se ha ejercido o ejecutado lo que se ofrece a otros contratantes; y precis</w:t>
      </w:r>
      <w:r w:rsidR="008F4BBA" w:rsidRPr="00BE18D7">
        <w:rPr>
          <w:rFonts w:ascii="Arial" w:eastAsia="Calibri" w:hAnsi="Arial" w:cs="Arial"/>
          <w:color w:val="000000" w:themeColor="text1"/>
          <w:sz w:val="22"/>
        </w:rPr>
        <w:t xml:space="preserve">amente de la experiencia </w:t>
      </w:r>
      <w:r w:rsidRPr="00BE18D7">
        <w:rPr>
          <w:rFonts w:ascii="Arial" w:eastAsia="Calibri" w:hAnsi="Arial" w:cs="Arial"/>
          <w:color w:val="000000" w:themeColor="text1"/>
          <w:sz w:val="22"/>
        </w:rPr>
        <w:t xml:space="preserve">se deriva el conocimiento que tiene el proponente, y que para la contratación pública es importante, ya que garantiza que no existirá improvisación o mayores costos por errores o dificultades originadas en realizar una actividad por primera vez. Adicionalmente, el Manual menciona que la experiencia puede ser obtenida directamente o por participar asociado con otra persona, como es el caso de los proponentes plurales, en este caso la </w:t>
      </w:r>
      <w:r w:rsidRPr="00BE18D7">
        <w:rPr>
          <w:rFonts w:ascii="Arial" w:eastAsia="Calibri" w:hAnsi="Arial" w:cs="Arial"/>
          <w:color w:val="000000" w:themeColor="text1"/>
          <w:sz w:val="22"/>
        </w:rPr>
        <w:lastRenderedPageBreak/>
        <w:t xml:space="preserve">experiencia no deja de ser personal sino que es proporcional a la participación como miembro de un consorcio o unión temporal, donde por ser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que puede funcionar para las exigencias de la entidad ayudando a que exista pluralidad de oferentes. Finalmente, se pueden extraer cuatro conclusiones relevantes para evaluar las figuras y reformas estatutarias de las sociedades comerciales, respecto de la experiencia: </w:t>
      </w:r>
    </w:p>
    <w:p w14:paraId="4444A9EE" w14:textId="77777777" w:rsidR="00495590" w:rsidRPr="00BE18D7" w:rsidRDefault="00495590" w:rsidP="008A2025">
      <w:pPr>
        <w:spacing w:before="120" w:after="120" w:line="276" w:lineRule="auto"/>
        <w:ind w:firstLine="708"/>
        <w:jc w:val="both"/>
        <w:rPr>
          <w:rFonts w:ascii="Arial" w:eastAsia="Calibri" w:hAnsi="Arial" w:cs="Arial"/>
          <w:color w:val="000000" w:themeColor="text1"/>
          <w:sz w:val="22"/>
        </w:rPr>
      </w:pPr>
      <w:r w:rsidRPr="00BE18D7">
        <w:rPr>
          <w:rFonts w:ascii="Arial" w:eastAsia="Calibri" w:hAnsi="Arial" w:cs="Arial"/>
          <w:color w:val="000000" w:themeColor="text1"/>
          <w:sz w:val="22"/>
        </w:rPr>
        <w:t>i) La experiencia es personal, esto es, se adquiere participando, directa o indirectamente, sin que sea posible no participar y tener una experiencia que no es propia.</w:t>
      </w:r>
    </w:p>
    <w:p w14:paraId="1937D692" w14:textId="77777777" w:rsidR="00495590" w:rsidRPr="00BE18D7" w:rsidRDefault="00495590" w:rsidP="008A2025">
      <w:pPr>
        <w:spacing w:before="120" w:after="120" w:line="276" w:lineRule="auto"/>
        <w:ind w:firstLine="708"/>
        <w:jc w:val="both"/>
        <w:rPr>
          <w:rFonts w:ascii="Arial" w:eastAsia="Calibri" w:hAnsi="Arial" w:cs="Arial"/>
          <w:color w:val="000000" w:themeColor="text1"/>
          <w:sz w:val="22"/>
        </w:rPr>
      </w:pPr>
      <w:r w:rsidRPr="00BE18D7">
        <w:rPr>
          <w:rFonts w:ascii="Arial" w:eastAsia="Calibri" w:hAnsi="Arial" w:cs="Arial"/>
          <w:color w:val="000000" w:themeColor="text1"/>
          <w:sz w:val="22"/>
        </w:rPr>
        <w:t>ii) La experiencia se puede compartir,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asociativas  ̶ consorcios y uniones temporales ̶  que se verificará en el documento privado de constitución.</w:t>
      </w:r>
    </w:p>
    <w:p w14:paraId="0E2F60FB" w14:textId="77777777" w:rsidR="00495590" w:rsidRPr="00BE18D7" w:rsidRDefault="00495590" w:rsidP="008A2025">
      <w:pPr>
        <w:spacing w:before="120" w:after="120" w:line="276" w:lineRule="auto"/>
        <w:ind w:firstLine="708"/>
        <w:jc w:val="both"/>
        <w:rPr>
          <w:rFonts w:ascii="Arial" w:eastAsia="Calibri" w:hAnsi="Arial" w:cs="Arial"/>
          <w:color w:val="000000" w:themeColor="text1"/>
          <w:sz w:val="22"/>
        </w:rPr>
      </w:pPr>
      <w:r w:rsidRPr="00BE18D7">
        <w:rPr>
          <w:rFonts w:ascii="Arial" w:eastAsia="Calibri" w:hAnsi="Arial" w:cs="Arial"/>
          <w:color w:val="000000" w:themeColor="text1"/>
          <w:sz w:val="22"/>
        </w:rPr>
        <w:t>iii) La experiencia se puede transferir, y es diferente a compartir, puesto que implica que la experiencia de una persona se traslada a otra, y esta última acredita esa experiencia como propia, lo cual es el caso de algunas figuras y reformas estatutarias, como se verá y explicará en detalle en el numeral 2.3 de este documento.</w:t>
      </w:r>
    </w:p>
    <w:p w14:paraId="4AA82AAA" w14:textId="77777777" w:rsidR="00495590" w:rsidRPr="00BE18D7" w:rsidRDefault="00495590" w:rsidP="00780223">
      <w:pPr>
        <w:spacing w:line="276" w:lineRule="auto"/>
        <w:ind w:firstLine="708"/>
        <w:jc w:val="both"/>
        <w:rPr>
          <w:rFonts w:ascii="Arial" w:eastAsia="Calibri" w:hAnsi="Arial" w:cs="Arial"/>
          <w:color w:val="000000" w:themeColor="text1"/>
          <w:sz w:val="22"/>
        </w:rPr>
      </w:pPr>
      <w:r w:rsidRPr="00BE18D7">
        <w:rPr>
          <w:rFonts w:ascii="Arial" w:eastAsia="Calibri" w:hAnsi="Arial" w:cs="Arial"/>
          <w:color w:val="000000" w:themeColor="text1"/>
          <w:sz w:val="22"/>
        </w:rPr>
        <w:t>iv) Cuando la persona que adquirió la experiencia desaparece o se liquida, no es posible que comparta o transfiera su experiencia, porque al ser personal sigue la suerte de quien la adquirió.</w:t>
      </w:r>
    </w:p>
    <w:p w14:paraId="30799F6A" w14:textId="77777777" w:rsidR="00495590" w:rsidRPr="00BE18D7" w:rsidRDefault="00495590" w:rsidP="00780223">
      <w:pPr>
        <w:spacing w:line="276" w:lineRule="auto"/>
        <w:jc w:val="both"/>
        <w:rPr>
          <w:rFonts w:ascii="Arial" w:eastAsia="Calibri" w:hAnsi="Arial" w:cs="Arial"/>
          <w:color w:val="000000" w:themeColor="text1"/>
          <w:sz w:val="22"/>
        </w:rPr>
      </w:pPr>
    </w:p>
    <w:p w14:paraId="44E56F50" w14:textId="77777777" w:rsidR="00495590" w:rsidRPr="00BE18D7" w:rsidRDefault="00495590" w:rsidP="00780223">
      <w:pPr>
        <w:spacing w:line="276" w:lineRule="auto"/>
        <w:jc w:val="both"/>
        <w:rPr>
          <w:rFonts w:ascii="Arial" w:eastAsia="Calibri" w:hAnsi="Arial" w:cs="Arial"/>
          <w:b/>
          <w:color w:val="000000" w:themeColor="text1"/>
          <w:sz w:val="22"/>
        </w:rPr>
      </w:pPr>
      <w:r w:rsidRPr="00BE18D7">
        <w:rPr>
          <w:rFonts w:ascii="Arial" w:eastAsia="Calibri" w:hAnsi="Arial" w:cs="Arial"/>
          <w:b/>
          <w:color w:val="000000" w:themeColor="text1"/>
          <w:sz w:val="22"/>
        </w:rPr>
        <w:t>2.3 Figuras y reformas estatutarias, y efectos sobre la experiencia de las sociedades comerciales</w:t>
      </w:r>
    </w:p>
    <w:p w14:paraId="30EC26AE" w14:textId="0404DA0C" w:rsidR="00495590" w:rsidRPr="00BE18D7" w:rsidRDefault="00C56F7B" w:rsidP="00780223">
      <w:pPr>
        <w:tabs>
          <w:tab w:val="left" w:pos="2370"/>
        </w:tabs>
        <w:spacing w:line="276" w:lineRule="auto"/>
        <w:jc w:val="both"/>
        <w:rPr>
          <w:rFonts w:ascii="Arial" w:eastAsia="Calibri" w:hAnsi="Arial" w:cs="Arial"/>
          <w:b/>
          <w:color w:val="000000" w:themeColor="text1"/>
          <w:sz w:val="22"/>
        </w:rPr>
      </w:pPr>
      <w:r w:rsidRPr="00BE18D7">
        <w:rPr>
          <w:rFonts w:ascii="Arial" w:eastAsia="Calibri" w:hAnsi="Arial" w:cs="Arial"/>
          <w:b/>
          <w:color w:val="000000" w:themeColor="text1"/>
          <w:sz w:val="22"/>
        </w:rPr>
        <w:tab/>
      </w:r>
    </w:p>
    <w:p w14:paraId="7651710A" w14:textId="31126F99" w:rsidR="009B0496" w:rsidRPr="00BE18D7" w:rsidRDefault="00495590" w:rsidP="00780223">
      <w:pPr>
        <w:spacing w:line="276" w:lineRule="auto"/>
        <w:jc w:val="both"/>
        <w:rPr>
          <w:rFonts w:ascii="Arial" w:eastAsia="Calibri" w:hAnsi="Arial" w:cs="Arial"/>
          <w:bCs/>
          <w:color w:val="000000" w:themeColor="text1"/>
          <w:sz w:val="22"/>
        </w:rPr>
      </w:pPr>
      <w:r w:rsidRPr="00BE18D7">
        <w:rPr>
          <w:rFonts w:ascii="Arial" w:eastAsia="Calibri" w:hAnsi="Arial" w:cs="Arial"/>
          <w:bCs/>
          <w:color w:val="000000" w:themeColor="text1"/>
          <w:sz w:val="22"/>
        </w:rPr>
        <w:t xml:space="preserve">Antes de estudiar las figuras y reformas estatutarias, es necesario aclarar dos conceptos respecto de </w:t>
      </w:r>
      <w:r w:rsidR="00BF000A" w:rsidRPr="00BE18D7">
        <w:rPr>
          <w:rFonts w:ascii="Arial" w:eastAsia="Calibri" w:hAnsi="Arial" w:cs="Arial"/>
          <w:bCs/>
          <w:color w:val="000000" w:themeColor="text1"/>
          <w:sz w:val="22"/>
        </w:rPr>
        <w:t xml:space="preserve">las sociedades comerciales: i) </w:t>
      </w:r>
      <w:r w:rsidR="00BF000A" w:rsidRPr="00BE18D7">
        <w:rPr>
          <w:rFonts w:ascii="Arial" w:eastAsia="Calibri" w:hAnsi="Arial" w:cs="Arial"/>
          <w:color w:val="000000" w:themeColor="text1"/>
          <w:sz w:val="22"/>
        </w:rPr>
        <w:t>«</w:t>
      </w:r>
      <w:r w:rsidR="00BF000A" w:rsidRPr="00BE18D7">
        <w:rPr>
          <w:rFonts w:ascii="Arial" w:eastAsia="Calibri" w:hAnsi="Arial" w:cs="Arial"/>
          <w:bCs/>
          <w:color w:val="000000" w:themeColor="text1"/>
          <w:sz w:val="22"/>
        </w:rPr>
        <w:t>disolución</w:t>
      </w:r>
      <w:r w:rsidR="00BF000A" w:rsidRPr="00BE18D7">
        <w:rPr>
          <w:rFonts w:ascii="Arial" w:eastAsia="Calibri" w:hAnsi="Arial" w:cs="Arial"/>
          <w:color w:val="000000" w:themeColor="text1"/>
          <w:sz w:val="22"/>
        </w:rPr>
        <w:t>»</w:t>
      </w:r>
      <w:r w:rsidR="00BF000A" w:rsidRPr="00BE18D7">
        <w:rPr>
          <w:rFonts w:ascii="Arial" w:eastAsia="Calibri" w:hAnsi="Arial" w:cs="Arial"/>
          <w:bCs/>
          <w:color w:val="000000" w:themeColor="text1"/>
          <w:sz w:val="22"/>
        </w:rPr>
        <w:t xml:space="preserve"> y ii) </w:t>
      </w:r>
      <w:r w:rsidR="00BF000A" w:rsidRPr="00BE18D7">
        <w:rPr>
          <w:rFonts w:ascii="Arial" w:eastAsia="Calibri" w:hAnsi="Arial" w:cs="Arial"/>
          <w:color w:val="000000" w:themeColor="text1"/>
          <w:sz w:val="22"/>
        </w:rPr>
        <w:t>«l</w:t>
      </w:r>
      <w:r w:rsidR="00BF000A" w:rsidRPr="00BE18D7">
        <w:rPr>
          <w:rFonts w:ascii="Arial" w:eastAsia="Calibri" w:hAnsi="Arial" w:cs="Arial"/>
          <w:bCs/>
          <w:color w:val="000000" w:themeColor="text1"/>
          <w:sz w:val="22"/>
        </w:rPr>
        <w:t>iquidación»</w:t>
      </w:r>
      <w:r w:rsidRPr="00BE18D7">
        <w:rPr>
          <w:rFonts w:ascii="Arial" w:eastAsia="Calibri" w:hAnsi="Arial" w:cs="Arial"/>
          <w:bCs/>
          <w:color w:val="000000" w:themeColor="text1"/>
          <w:sz w:val="22"/>
        </w:rPr>
        <w:t>, ya que se aplican a las figuras y reformas estatutarias, y tienen incidencia en la posibilidad de transferir o no la experiencia de una sociedad. En primer lugar, el Código de Com</w:t>
      </w:r>
      <w:r w:rsidR="00BF000A" w:rsidRPr="00BE18D7">
        <w:rPr>
          <w:rFonts w:ascii="Arial" w:eastAsia="Calibri" w:hAnsi="Arial" w:cs="Arial"/>
          <w:bCs/>
          <w:color w:val="000000" w:themeColor="text1"/>
          <w:sz w:val="22"/>
        </w:rPr>
        <w:t>ercio señala como efecto de la «</w:t>
      </w:r>
      <w:r w:rsidR="00BF000A" w:rsidRPr="00BE18D7">
        <w:rPr>
          <w:rFonts w:ascii="Arial" w:eastAsia="Calibri" w:hAnsi="Arial" w:cs="Arial"/>
          <w:bCs/>
          <w:i/>
          <w:color w:val="000000" w:themeColor="text1"/>
          <w:sz w:val="22"/>
        </w:rPr>
        <w:t>disolución</w:t>
      </w:r>
      <w:r w:rsidR="00BF000A" w:rsidRPr="00BE18D7">
        <w:rPr>
          <w:rFonts w:ascii="Arial" w:eastAsia="Calibri" w:hAnsi="Arial" w:cs="Arial"/>
          <w:bCs/>
          <w:color w:val="000000" w:themeColor="text1"/>
          <w:sz w:val="22"/>
        </w:rPr>
        <w:t>»</w:t>
      </w:r>
      <w:r w:rsidRPr="00BE18D7">
        <w:rPr>
          <w:rFonts w:ascii="Arial" w:eastAsia="Calibri" w:hAnsi="Arial" w:cs="Arial"/>
          <w:bCs/>
          <w:color w:val="000000" w:themeColor="text1"/>
          <w:sz w:val="22"/>
        </w:rPr>
        <w:t xml:space="preserve">, que la persona jurídica no desaparece sino que conserva su capacidad </w:t>
      </w:r>
      <w:r w:rsidR="00BF000A" w:rsidRPr="00BE18D7">
        <w:rPr>
          <w:rFonts w:ascii="Arial" w:eastAsia="Calibri" w:hAnsi="Arial" w:cs="Arial"/>
          <w:bCs/>
          <w:color w:val="000000" w:themeColor="text1"/>
          <w:sz w:val="22"/>
        </w:rPr>
        <w:t xml:space="preserve">jurídica, únicamente para </w:t>
      </w:r>
      <w:r w:rsidR="003E19BD" w:rsidRPr="00BE18D7">
        <w:rPr>
          <w:rFonts w:ascii="Arial" w:eastAsia="Calibri" w:hAnsi="Arial" w:cs="Arial"/>
          <w:bCs/>
          <w:color w:val="000000" w:themeColor="text1"/>
          <w:sz w:val="22"/>
        </w:rPr>
        <w:t>«liquidarse»</w:t>
      </w:r>
      <w:r w:rsidRPr="00BE18D7">
        <w:rPr>
          <w:rFonts w:ascii="Arial" w:eastAsia="Calibri" w:hAnsi="Arial" w:cs="Arial"/>
          <w:bCs/>
          <w:color w:val="000000" w:themeColor="text1"/>
          <w:sz w:val="22"/>
        </w:rPr>
        <w:t xml:space="preserve"> y para las operaciones o actos autorizados por la </w:t>
      </w:r>
      <w:r w:rsidRPr="00BE18D7">
        <w:rPr>
          <w:rFonts w:ascii="Arial" w:eastAsia="Calibri" w:hAnsi="Arial" w:cs="Arial"/>
          <w:bCs/>
          <w:color w:val="000000" w:themeColor="text1"/>
          <w:sz w:val="22"/>
        </w:rPr>
        <w:lastRenderedPageBreak/>
        <w:t>ley</w:t>
      </w:r>
      <w:r w:rsidRPr="00BE18D7">
        <w:rPr>
          <w:rFonts w:ascii="Arial" w:eastAsia="Calibri" w:hAnsi="Arial" w:cs="Arial"/>
          <w:bCs/>
          <w:color w:val="000000" w:themeColor="text1"/>
          <w:sz w:val="22"/>
          <w:vertAlign w:val="superscript"/>
        </w:rPr>
        <w:footnoteReference w:id="12"/>
      </w:r>
      <w:r w:rsidRPr="00BE18D7">
        <w:rPr>
          <w:rFonts w:ascii="Arial" w:eastAsia="Calibri" w:hAnsi="Arial" w:cs="Arial"/>
          <w:bCs/>
          <w:color w:val="000000" w:themeColor="text1"/>
          <w:sz w:val="22"/>
        </w:rPr>
        <w:t>, como las figuras y reformas estatutarias que se verán a continuación. Con esto se anticipa que si la persona jurídica no desaparece, su experiencia se conserva y puede transferirse o compartirse. Por</w:t>
      </w:r>
      <w:r w:rsidR="00C56F7B" w:rsidRPr="00BE18D7">
        <w:rPr>
          <w:rFonts w:ascii="Arial" w:eastAsia="Calibri" w:hAnsi="Arial" w:cs="Arial"/>
          <w:bCs/>
          <w:color w:val="000000" w:themeColor="text1"/>
          <w:sz w:val="22"/>
        </w:rPr>
        <w:t xml:space="preserve"> el contrario, respecto de la </w:t>
      </w:r>
      <w:r w:rsidR="00C56F7B" w:rsidRPr="00BE18D7">
        <w:rPr>
          <w:rFonts w:ascii="Arial" w:eastAsia="Calibri" w:hAnsi="Arial" w:cs="Arial"/>
          <w:bCs/>
          <w:i/>
          <w:color w:val="000000" w:themeColor="text1"/>
          <w:sz w:val="22"/>
        </w:rPr>
        <w:t>«liquidación</w:t>
      </w:r>
      <w:r w:rsidR="00C56F7B" w:rsidRPr="00BE18D7">
        <w:rPr>
          <w:rFonts w:ascii="Arial" w:eastAsia="Calibri" w:hAnsi="Arial" w:cs="Arial"/>
          <w:bCs/>
          <w:color w:val="000000" w:themeColor="text1"/>
          <w:sz w:val="22"/>
        </w:rPr>
        <w:t>»</w:t>
      </w:r>
      <w:r w:rsidRPr="00BE18D7">
        <w:rPr>
          <w:rFonts w:ascii="Arial" w:eastAsia="Calibri" w:hAnsi="Arial" w:cs="Arial"/>
          <w:bCs/>
          <w:color w:val="000000" w:themeColor="text1"/>
          <w:sz w:val="22"/>
        </w:rPr>
        <w:t xml:space="preserve"> de las sociedades comerciales, el Código de Comercio señala el procedimiento para realizar el inventario y distribución del patrimonio social, de lo cual se infiere que termina la persona jurídica</w:t>
      </w:r>
      <w:r w:rsidRPr="00BE18D7">
        <w:rPr>
          <w:rFonts w:ascii="Arial" w:eastAsia="Calibri" w:hAnsi="Arial" w:cs="Arial"/>
          <w:bCs/>
          <w:color w:val="000000" w:themeColor="text1"/>
          <w:sz w:val="22"/>
          <w:vertAlign w:val="superscript"/>
        </w:rPr>
        <w:footnoteReference w:id="13"/>
      </w:r>
      <w:r w:rsidRPr="00BE18D7">
        <w:rPr>
          <w:rFonts w:ascii="Arial" w:eastAsia="Calibri" w:hAnsi="Arial" w:cs="Arial"/>
          <w:bCs/>
          <w:color w:val="000000" w:themeColor="text1"/>
          <w:sz w:val="22"/>
        </w:rPr>
        <w:t>, y la experiencia desaparece junto con la sociedad que la adquirió.</w:t>
      </w:r>
    </w:p>
    <w:p w14:paraId="2B5017F3" w14:textId="77777777" w:rsidR="00965ED6" w:rsidRPr="00BE18D7" w:rsidRDefault="00965ED6" w:rsidP="00780223">
      <w:pPr>
        <w:spacing w:line="276" w:lineRule="auto"/>
        <w:jc w:val="both"/>
        <w:rPr>
          <w:rFonts w:ascii="Arial" w:eastAsia="Calibri" w:hAnsi="Arial" w:cs="Arial"/>
          <w:bCs/>
          <w:color w:val="000000" w:themeColor="text1"/>
          <w:sz w:val="22"/>
        </w:rPr>
      </w:pPr>
    </w:p>
    <w:p w14:paraId="1B1A0C8C" w14:textId="77777777" w:rsidR="00495590" w:rsidRPr="00BE18D7" w:rsidRDefault="00495590" w:rsidP="009B0496">
      <w:pPr>
        <w:spacing w:line="276" w:lineRule="auto"/>
        <w:jc w:val="both"/>
        <w:rPr>
          <w:rFonts w:ascii="Arial" w:eastAsia="Calibri" w:hAnsi="Arial" w:cs="Arial"/>
          <w:b/>
          <w:bCs/>
          <w:color w:val="000000" w:themeColor="text1"/>
          <w:sz w:val="22"/>
        </w:rPr>
      </w:pPr>
      <w:r w:rsidRPr="00BE18D7">
        <w:rPr>
          <w:rFonts w:ascii="Arial" w:eastAsia="Calibri" w:hAnsi="Arial" w:cs="Arial"/>
          <w:b/>
          <w:bCs/>
          <w:color w:val="000000" w:themeColor="text1"/>
          <w:sz w:val="22"/>
        </w:rPr>
        <w:t>a) Transformación</w:t>
      </w:r>
    </w:p>
    <w:p w14:paraId="51600829" w14:textId="77777777" w:rsidR="00495590" w:rsidRPr="00BE18D7" w:rsidRDefault="00495590" w:rsidP="009B0496">
      <w:pPr>
        <w:spacing w:line="276" w:lineRule="auto"/>
        <w:jc w:val="both"/>
        <w:rPr>
          <w:rFonts w:ascii="Arial" w:eastAsia="Calibri" w:hAnsi="Arial" w:cs="Arial"/>
          <w:b/>
          <w:bCs/>
          <w:color w:val="000000" w:themeColor="text1"/>
          <w:sz w:val="22"/>
        </w:rPr>
      </w:pPr>
    </w:p>
    <w:p w14:paraId="6C25FAA9" w14:textId="22F90483" w:rsidR="00495590" w:rsidRPr="00BE18D7" w:rsidRDefault="00495590" w:rsidP="009B0496">
      <w:pPr>
        <w:spacing w:before="120" w:after="120" w:line="276" w:lineRule="auto"/>
        <w:jc w:val="both"/>
        <w:rPr>
          <w:rFonts w:ascii="Arial" w:eastAsia="Calibri" w:hAnsi="Arial" w:cs="Arial"/>
          <w:color w:val="000000" w:themeColor="text1"/>
          <w:sz w:val="22"/>
        </w:rPr>
      </w:pPr>
      <w:r w:rsidRPr="00BE18D7">
        <w:rPr>
          <w:rFonts w:ascii="Arial" w:eastAsia="Calibri" w:hAnsi="Arial" w:cs="Arial"/>
          <w:color w:val="000000" w:themeColor="text1"/>
          <w:sz w:val="22"/>
        </w:rPr>
        <w:t>Es una reforma a los estatutos de una sociedad comercial, en los cuales se detalla la naturaleza jurídica, composición, estructura, capital, entre otros; con el fin de transformar o cambiar la forma o tipo societario que adoptó, como sociedad anónima, limitada, en comandita, entre otras. Es decir, si una sociedad se crea</w:t>
      </w:r>
      <w:r w:rsidR="003E19BD" w:rsidRPr="00BE18D7">
        <w:rPr>
          <w:rFonts w:ascii="Arial" w:eastAsia="Calibri" w:hAnsi="Arial" w:cs="Arial"/>
          <w:color w:val="000000" w:themeColor="text1"/>
          <w:sz w:val="22"/>
        </w:rPr>
        <w:t xml:space="preserve"> como sociedad limitada, y sin «disolverse»</w:t>
      </w:r>
      <w:r w:rsidRPr="00BE18D7">
        <w:rPr>
          <w:rFonts w:ascii="Arial" w:eastAsia="Calibri" w:hAnsi="Arial" w:cs="Arial"/>
          <w:color w:val="000000" w:themeColor="text1"/>
          <w:sz w:val="22"/>
        </w:rPr>
        <w:t xml:space="preserve"> decide adoptar la figura de sociedad anónima, lo podrá hacer mediante una reforma estatutaria, sin que se interrumpa la continuidad de la sociedad comercial o persona jurídica</w:t>
      </w:r>
      <w:r w:rsidRPr="00BE18D7">
        <w:rPr>
          <w:rFonts w:ascii="Arial" w:eastAsia="Calibri" w:hAnsi="Arial" w:cs="Arial"/>
          <w:color w:val="000000" w:themeColor="text1"/>
          <w:sz w:val="22"/>
          <w:vertAlign w:val="superscript"/>
        </w:rPr>
        <w:footnoteReference w:id="14"/>
      </w:r>
      <w:r w:rsidRPr="00BE18D7">
        <w:rPr>
          <w:rFonts w:ascii="Arial" w:eastAsia="Calibri" w:hAnsi="Arial" w:cs="Arial"/>
          <w:color w:val="000000" w:themeColor="text1"/>
          <w:sz w:val="22"/>
        </w:rPr>
        <w:t>. Es importante destacar que en esta reforma estatutaria solo participa la sociedad involucrada, y no existen otras sociedades que se relacionen o intervengan, lo cual diferencia la transformación de otras reformas o figuras.</w:t>
      </w:r>
    </w:p>
    <w:p w14:paraId="080E2992" w14:textId="3AB44A84" w:rsidR="00495590" w:rsidRPr="00BE18D7" w:rsidRDefault="00495590" w:rsidP="009B0496">
      <w:pPr>
        <w:spacing w:before="120" w:after="120" w:line="276" w:lineRule="auto"/>
        <w:ind w:firstLine="708"/>
        <w:jc w:val="both"/>
        <w:rPr>
          <w:rFonts w:ascii="Arial" w:eastAsia="Calibri" w:hAnsi="Arial" w:cs="Arial"/>
          <w:color w:val="000000" w:themeColor="text1"/>
          <w:sz w:val="22"/>
        </w:rPr>
      </w:pPr>
      <w:r w:rsidRPr="00BE18D7">
        <w:rPr>
          <w:rFonts w:ascii="Arial" w:eastAsia="Calibri" w:hAnsi="Arial" w:cs="Arial"/>
          <w:color w:val="000000" w:themeColor="text1"/>
          <w:sz w:val="22"/>
        </w:rPr>
        <w:t>Respecto de la experiencia, teniendo en cuenta que la sociedad solo cambia su forma, lo cual, de acuerdo con el Código de Comercio, no afecta sus actividades, la sociedad continuará con la experiencia adquirida, ya que la misma es personal y mientras la persona jurídica exista la experiencia sigue vigente y puede incrementarse, siempre que la empresa continúe ejecutando contratos que le permitan aumentar el conocimiento en su objeto social. Esto se reafirma teniendo en cuenta que en la transformación la norma señala expr</w:t>
      </w:r>
      <w:r w:rsidR="00C56F7B" w:rsidRPr="00BE18D7">
        <w:rPr>
          <w:rFonts w:ascii="Arial" w:eastAsia="Calibri" w:hAnsi="Arial" w:cs="Arial"/>
          <w:color w:val="000000" w:themeColor="text1"/>
          <w:sz w:val="22"/>
        </w:rPr>
        <w:t>esamente que la sociedad no se «disuelve»</w:t>
      </w:r>
      <w:r w:rsidRPr="00BE18D7">
        <w:rPr>
          <w:rFonts w:ascii="Arial" w:eastAsia="Calibri" w:hAnsi="Arial" w:cs="Arial"/>
          <w:color w:val="000000" w:themeColor="text1"/>
          <w:sz w:val="22"/>
        </w:rPr>
        <w:t>,</w:t>
      </w:r>
      <w:r w:rsidR="00C56F7B" w:rsidRPr="00BE18D7">
        <w:rPr>
          <w:rFonts w:ascii="Arial" w:eastAsia="Calibri" w:hAnsi="Arial" w:cs="Arial"/>
          <w:color w:val="000000" w:themeColor="text1"/>
          <w:sz w:val="22"/>
        </w:rPr>
        <w:t xml:space="preserve"> y por ende tampoco se «liquida»</w:t>
      </w:r>
      <w:r w:rsidRPr="00BE18D7">
        <w:rPr>
          <w:rFonts w:ascii="Arial" w:eastAsia="Calibri" w:hAnsi="Arial" w:cs="Arial"/>
          <w:color w:val="000000" w:themeColor="text1"/>
          <w:sz w:val="22"/>
        </w:rPr>
        <w:t xml:space="preserve">, porque </w:t>
      </w:r>
      <w:r w:rsidRPr="00BE18D7">
        <w:rPr>
          <w:rFonts w:ascii="Arial" w:eastAsia="Calibri" w:hAnsi="Arial" w:cs="Arial"/>
          <w:color w:val="000000" w:themeColor="text1"/>
          <w:sz w:val="22"/>
        </w:rPr>
        <w:lastRenderedPageBreak/>
        <w:t>de acuerdo con el artículo 2</w:t>
      </w:r>
      <w:r w:rsidR="00C56F7B" w:rsidRPr="00BE18D7">
        <w:rPr>
          <w:rFonts w:ascii="Arial" w:eastAsia="Calibri" w:hAnsi="Arial" w:cs="Arial"/>
          <w:color w:val="000000" w:themeColor="text1"/>
          <w:sz w:val="22"/>
        </w:rPr>
        <w:t>22 del Código de Comercio para «liquidarse» necesita estar «disuelta»</w:t>
      </w:r>
      <w:r w:rsidRPr="00BE18D7">
        <w:rPr>
          <w:rFonts w:ascii="Arial" w:eastAsia="Calibri" w:hAnsi="Arial" w:cs="Arial"/>
          <w:color w:val="000000" w:themeColor="text1"/>
          <w:sz w:val="22"/>
        </w:rPr>
        <w:t>; solo cambia el tipo societario que había adoptado en su constitución, es decir, no sufre modificaciones o alteraciones y por eso puede continuar adquiriendo experiencia y compartirla, pero no puede trasladarl</w:t>
      </w:r>
      <w:r w:rsidR="00C56F7B" w:rsidRPr="00BE18D7">
        <w:rPr>
          <w:rFonts w:ascii="Arial" w:eastAsia="Calibri" w:hAnsi="Arial" w:cs="Arial"/>
          <w:color w:val="000000" w:themeColor="text1"/>
          <w:sz w:val="22"/>
        </w:rPr>
        <w:t>a porque para ello tendría que «disolverse»</w:t>
      </w:r>
      <w:r w:rsidRPr="00BE18D7">
        <w:rPr>
          <w:rFonts w:ascii="Arial" w:eastAsia="Calibri" w:hAnsi="Arial" w:cs="Arial"/>
          <w:color w:val="000000" w:themeColor="text1"/>
          <w:sz w:val="22"/>
        </w:rPr>
        <w:t xml:space="preserve"> o conformar un consorcio, como se verá en la fusión y en una de las modalidades de escisión.  </w:t>
      </w:r>
    </w:p>
    <w:p w14:paraId="225D8967" w14:textId="77777777" w:rsidR="00495590" w:rsidRPr="00BE18D7" w:rsidRDefault="00495590" w:rsidP="00780223">
      <w:pPr>
        <w:spacing w:line="276" w:lineRule="auto"/>
        <w:jc w:val="both"/>
        <w:rPr>
          <w:rFonts w:ascii="Arial" w:eastAsia="Calibri" w:hAnsi="Arial" w:cs="Arial"/>
          <w:b/>
          <w:bCs/>
          <w:color w:val="000000" w:themeColor="text1"/>
          <w:sz w:val="22"/>
        </w:rPr>
      </w:pPr>
    </w:p>
    <w:p w14:paraId="796CF334" w14:textId="77777777" w:rsidR="00495590" w:rsidRPr="00BE18D7" w:rsidRDefault="00495590" w:rsidP="00780223">
      <w:pPr>
        <w:spacing w:line="276" w:lineRule="auto"/>
        <w:jc w:val="both"/>
        <w:rPr>
          <w:rFonts w:ascii="Arial" w:eastAsia="Calibri" w:hAnsi="Arial" w:cs="Arial"/>
          <w:b/>
          <w:bCs/>
          <w:color w:val="000000" w:themeColor="text1"/>
          <w:sz w:val="22"/>
        </w:rPr>
      </w:pPr>
      <w:r w:rsidRPr="00BE18D7">
        <w:rPr>
          <w:rFonts w:ascii="Arial" w:eastAsia="Calibri" w:hAnsi="Arial" w:cs="Arial"/>
          <w:b/>
          <w:bCs/>
          <w:color w:val="000000" w:themeColor="text1"/>
          <w:sz w:val="22"/>
        </w:rPr>
        <w:t>b) Escisión</w:t>
      </w:r>
    </w:p>
    <w:p w14:paraId="63BB1A55" w14:textId="77777777" w:rsidR="00495590" w:rsidRPr="00BE18D7" w:rsidRDefault="00495590" w:rsidP="00780223">
      <w:pPr>
        <w:spacing w:line="276" w:lineRule="auto"/>
        <w:jc w:val="both"/>
        <w:rPr>
          <w:rFonts w:ascii="Arial" w:eastAsia="Calibri" w:hAnsi="Arial" w:cs="Arial"/>
          <w:b/>
          <w:bCs/>
          <w:color w:val="000000" w:themeColor="text1"/>
          <w:sz w:val="22"/>
        </w:rPr>
      </w:pPr>
    </w:p>
    <w:p w14:paraId="1BEE263E" w14:textId="50E91DC6" w:rsidR="00495590" w:rsidRPr="00BE18D7" w:rsidRDefault="00495590" w:rsidP="00780223">
      <w:pPr>
        <w:spacing w:line="276" w:lineRule="auto"/>
        <w:jc w:val="both"/>
        <w:rPr>
          <w:rFonts w:ascii="Arial" w:eastAsia="Calibri" w:hAnsi="Arial" w:cs="Arial"/>
          <w:color w:val="000000" w:themeColor="text1"/>
          <w:sz w:val="22"/>
        </w:rPr>
      </w:pPr>
      <w:r w:rsidRPr="00BE18D7">
        <w:rPr>
          <w:rFonts w:ascii="Arial" w:eastAsia="Calibri" w:hAnsi="Arial" w:cs="Arial"/>
          <w:color w:val="000000" w:themeColor="text1"/>
          <w:sz w:val="22"/>
        </w:rPr>
        <w:t>Es una figura con dos modalidades reguladas por la Ley 222 de 1995. La primera se re</w:t>
      </w:r>
      <w:r w:rsidR="000A055B" w:rsidRPr="00BE18D7">
        <w:rPr>
          <w:rFonts w:ascii="Arial" w:eastAsia="Calibri" w:hAnsi="Arial" w:cs="Arial"/>
          <w:color w:val="000000" w:themeColor="text1"/>
          <w:sz w:val="22"/>
        </w:rPr>
        <w:t>fiere a una sociedad que no se «disuelve» ni se «liquida»</w:t>
      </w:r>
      <w:r w:rsidRPr="00BE18D7">
        <w:rPr>
          <w:rFonts w:ascii="Arial" w:eastAsia="Calibri" w:hAnsi="Arial" w:cs="Arial"/>
          <w:color w:val="000000" w:themeColor="text1"/>
          <w:sz w:val="22"/>
        </w:rPr>
        <w:t>, es decir, permanece sin modificaciones ni reformas, pero fracciona su patrimonio para transferir una o varias partes, a una o varias sociedades existentes o por crearse. La segunda modalidad s</w:t>
      </w:r>
      <w:r w:rsidR="00C56F7B" w:rsidRPr="00BE18D7">
        <w:rPr>
          <w:rFonts w:ascii="Arial" w:eastAsia="Calibri" w:hAnsi="Arial" w:cs="Arial"/>
          <w:color w:val="000000" w:themeColor="text1"/>
          <w:sz w:val="22"/>
        </w:rPr>
        <w:t>e trata de una sociedad que se «</w:t>
      </w:r>
      <w:r w:rsidRPr="00BE18D7">
        <w:rPr>
          <w:rFonts w:ascii="Arial" w:eastAsia="Calibri" w:hAnsi="Arial" w:cs="Arial"/>
          <w:color w:val="000000" w:themeColor="text1"/>
          <w:sz w:val="22"/>
        </w:rPr>
        <w:t>disuelve</w:t>
      </w:r>
      <w:r w:rsidR="00C56F7B" w:rsidRPr="00BE18D7">
        <w:rPr>
          <w:rFonts w:ascii="Arial" w:eastAsia="Calibri" w:hAnsi="Arial" w:cs="Arial"/>
          <w:color w:val="000000" w:themeColor="text1"/>
          <w:sz w:val="22"/>
        </w:rPr>
        <w:t>» sin «liquidarse»</w:t>
      </w:r>
      <w:r w:rsidRPr="00BE18D7">
        <w:rPr>
          <w:rFonts w:ascii="Arial" w:eastAsia="Calibri" w:hAnsi="Arial" w:cs="Arial"/>
          <w:color w:val="000000" w:themeColor="text1"/>
          <w:sz w:val="22"/>
        </w:rPr>
        <w:t>, esto es, que implica una reforma social, lo cual no ocurre con la primera modalidad, y también existe fraccionamiento del patrimonio con el mismo fin</w:t>
      </w:r>
      <w:r w:rsidRPr="00BE18D7">
        <w:rPr>
          <w:rFonts w:ascii="Arial" w:eastAsia="Calibri" w:hAnsi="Arial" w:cs="Arial"/>
          <w:color w:val="000000" w:themeColor="text1"/>
          <w:sz w:val="22"/>
          <w:vertAlign w:val="superscript"/>
        </w:rPr>
        <w:footnoteReference w:id="15"/>
      </w:r>
      <w:r w:rsidRPr="00BE18D7">
        <w:rPr>
          <w:rFonts w:ascii="Arial" w:eastAsia="Calibri" w:hAnsi="Arial" w:cs="Arial"/>
          <w:color w:val="000000" w:themeColor="text1"/>
          <w:sz w:val="22"/>
        </w:rPr>
        <w:t xml:space="preserve">. Como se observa, participa una sociedad y otra, u otras, que reciban la transferencia del patrimonio en bloque. </w:t>
      </w:r>
    </w:p>
    <w:p w14:paraId="1A3DD990" w14:textId="08BB9159" w:rsidR="00495590" w:rsidRPr="00BE18D7" w:rsidRDefault="00495590" w:rsidP="008A2025">
      <w:pPr>
        <w:spacing w:before="120" w:after="120" w:line="276" w:lineRule="auto"/>
        <w:ind w:firstLine="708"/>
        <w:jc w:val="both"/>
        <w:rPr>
          <w:rFonts w:ascii="Arial" w:eastAsia="Calibri" w:hAnsi="Arial" w:cs="Arial"/>
          <w:color w:val="000000" w:themeColor="text1"/>
          <w:sz w:val="22"/>
        </w:rPr>
      </w:pPr>
      <w:r w:rsidRPr="00BE18D7">
        <w:rPr>
          <w:rFonts w:ascii="Arial" w:eastAsia="Calibri" w:hAnsi="Arial" w:cs="Arial"/>
          <w:color w:val="000000" w:themeColor="text1"/>
          <w:sz w:val="22"/>
        </w:rPr>
        <w:t>Para la primera modalidad de escisión, teniendo en cuenta que la sociedad continúa sin alteraciones, puede compartir la experiencia a través de esquemas asociativos, pero no la transfier</w:t>
      </w:r>
      <w:r w:rsidR="00E95AD1" w:rsidRPr="00BE18D7">
        <w:rPr>
          <w:rFonts w:ascii="Arial" w:eastAsia="Calibri" w:hAnsi="Arial" w:cs="Arial"/>
          <w:color w:val="000000" w:themeColor="text1"/>
          <w:sz w:val="22"/>
        </w:rPr>
        <w:t>e porque para ello tendría que «disolverse» pero no «liquidarse», puesto que la «liquidación»</w:t>
      </w:r>
      <w:r w:rsidRPr="00BE18D7">
        <w:rPr>
          <w:rFonts w:ascii="Arial" w:eastAsia="Calibri" w:hAnsi="Arial" w:cs="Arial"/>
          <w:color w:val="000000" w:themeColor="text1"/>
          <w:sz w:val="22"/>
        </w:rPr>
        <w:t xml:space="preserve"> implicaría que desaparece la persona y así su experiencia. Para explicarlo hay que</w:t>
      </w:r>
      <w:r w:rsidR="00E95AD1" w:rsidRPr="00BE18D7">
        <w:rPr>
          <w:rFonts w:ascii="Arial" w:eastAsia="Calibri" w:hAnsi="Arial" w:cs="Arial"/>
          <w:color w:val="000000" w:themeColor="text1"/>
          <w:sz w:val="22"/>
        </w:rPr>
        <w:t xml:space="preserve"> volver a la definición de «disolución»</w:t>
      </w:r>
      <w:r w:rsidRPr="00BE18D7">
        <w:rPr>
          <w:rFonts w:ascii="Arial" w:eastAsia="Calibri" w:hAnsi="Arial" w:cs="Arial"/>
          <w:color w:val="000000" w:themeColor="text1"/>
          <w:sz w:val="22"/>
        </w:rPr>
        <w:t xml:space="preserve">, donde la persona jurídica no desaparece y </w:t>
      </w:r>
      <w:r w:rsidR="00E95AD1" w:rsidRPr="00BE18D7">
        <w:rPr>
          <w:rFonts w:ascii="Arial" w:eastAsia="Calibri" w:hAnsi="Arial" w:cs="Arial"/>
          <w:color w:val="000000" w:themeColor="text1"/>
          <w:sz w:val="22"/>
        </w:rPr>
        <w:t>solo puede hacer trámites para «liquidarse»</w:t>
      </w:r>
      <w:r w:rsidRPr="00BE18D7">
        <w:rPr>
          <w:rFonts w:ascii="Arial" w:eastAsia="Calibri" w:hAnsi="Arial" w:cs="Arial"/>
          <w:color w:val="000000" w:themeColor="text1"/>
          <w:sz w:val="22"/>
        </w:rPr>
        <w:t xml:space="preserve">, sin embargo hay una excepción a esa regla y es, precisamente, las figuras y reformas estatutarias que aquí se explican, particularmente la fusión, ya que por esa excepción la persona tiene continuidad en otra persona, y sigue siendo quien era, lo cual no es el caso de la escisión, ya que en </w:t>
      </w:r>
      <w:r w:rsidR="00E95AD1" w:rsidRPr="00BE18D7">
        <w:rPr>
          <w:rFonts w:ascii="Arial" w:eastAsia="Calibri" w:hAnsi="Arial" w:cs="Arial"/>
          <w:color w:val="000000" w:themeColor="text1"/>
          <w:sz w:val="22"/>
        </w:rPr>
        <w:t>la primera modalidad no existe «disolución»</w:t>
      </w:r>
      <w:r w:rsidRPr="00BE18D7">
        <w:rPr>
          <w:rFonts w:ascii="Arial" w:eastAsia="Calibri" w:hAnsi="Arial" w:cs="Arial"/>
          <w:color w:val="000000" w:themeColor="text1"/>
          <w:sz w:val="22"/>
        </w:rPr>
        <w:t>, lo que significa que la persona continúa por sí misma y puede adquirir experiencia; y a pesar de que en la segunda modal</w:t>
      </w:r>
      <w:r w:rsidR="00E95AD1" w:rsidRPr="00BE18D7">
        <w:rPr>
          <w:rFonts w:ascii="Arial" w:eastAsia="Calibri" w:hAnsi="Arial" w:cs="Arial"/>
          <w:color w:val="000000" w:themeColor="text1"/>
          <w:sz w:val="22"/>
        </w:rPr>
        <w:t>idad existe «disolución»</w:t>
      </w:r>
      <w:r w:rsidRPr="00BE18D7">
        <w:rPr>
          <w:rFonts w:ascii="Arial" w:eastAsia="Calibri" w:hAnsi="Arial" w:cs="Arial"/>
          <w:color w:val="000000" w:themeColor="text1"/>
          <w:sz w:val="22"/>
        </w:rPr>
        <w:t xml:space="preserve">, no hay transferencia de la experiencia porque la persona jurídica fraccionada deja de ser quién es y tiende a desaparecer, es decir no puede continuar en otra persona, lo cual no corresponde </w:t>
      </w:r>
      <w:r w:rsidRPr="00BE18D7">
        <w:rPr>
          <w:rFonts w:ascii="Arial" w:eastAsia="Calibri" w:hAnsi="Arial" w:cs="Arial"/>
          <w:color w:val="000000" w:themeColor="text1"/>
          <w:sz w:val="22"/>
        </w:rPr>
        <w:lastRenderedPageBreak/>
        <w:t xml:space="preserve">con la definición de experiencia personal ni de transferencia de experiencia, donde la persona jurídica sigue siendo quien es a través de otra, sin cambios como fraccionamientos que implican que la persona ya no sea quien era. </w:t>
      </w:r>
    </w:p>
    <w:p w14:paraId="51D03643" w14:textId="383B322F" w:rsidR="00495590" w:rsidRPr="00BE18D7" w:rsidRDefault="00495590" w:rsidP="008A2025">
      <w:pPr>
        <w:spacing w:before="120" w:after="120" w:line="276" w:lineRule="auto"/>
        <w:ind w:firstLine="708"/>
        <w:jc w:val="both"/>
        <w:rPr>
          <w:rFonts w:ascii="Arial" w:eastAsia="Calibri" w:hAnsi="Arial" w:cs="Arial"/>
          <w:color w:val="000000" w:themeColor="text1"/>
          <w:sz w:val="22"/>
        </w:rPr>
      </w:pPr>
      <w:r w:rsidRPr="00BE18D7">
        <w:rPr>
          <w:rFonts w:ascii="Arial" w:eastAsia="Calibri" w:hAnsi="Arial" w:cs="Arial"/>
          <w:color w:val="000000" w:themeColor="text1"/>
          <w:sz w:val="22"/>
        </w:rPr>
        <w:t>Pero en la fusión, como se verá, a</w:t>
      </w:r>
      <w:r w:rsidR="00E95AD1" w:rsidRPr="00BE18D7">
        <w:rPr>
          <w:rFonts w:ascii="Arial" w:eastAsia="Calibri" w:hAnsi="Arial" w:cs="Arial"/>
          <w:color w:val="000000" w:themeColor="text1"/>
          <w:sz w:val="22"/>
        </w:rPr>
        <w:t xml:space="preserve"> pesar de que la sociedad esta «</w:t>
      </w:r>
      <w:r w:rsidRPr="00BE18D7">
        <w:rPr>
          <w:rFonts w:ascii="Arial" w:eastAsia="Calibri" w:hAnsi="Arial" w:cs="Arial"/>
          <w:color w:val="000000" w:themeColor="text1"/>
          <w:sz w:val="22"/>
        </w:rPr>
        <w:t>d</w:t>
      </w:r>
      <w:r w:rsidR="00E95AD1" w:rsidRPr="00BE18D7">
        <w:rPr>
          <w:rFonts w:ascii="Arial" w:eastAsia="Calibri" w:hAnsi="Arial" w:cs="Arial"/>
          <w:color w:val="000000" w:themeColor="text1"/>
          <w:sz w:val="22"/>
        </w:rPr>
        <w:t>isuelta» y debería «liquidarse»</w:t>
      </w:r>
      <w:r w:rsidRPr="00BE18D7">
        <w:rPr>
          <w:rFonts w:ascii="Arial" w:eastAsia="Calibri" w:hAnsi="Arial" w:cs="Arial"/>
          <w:color w:val="000000" w:themeColor="text1"/>
          <w:sz w:val="22"/>
        </w:rPr>
        <w:t xml:space="preserve"> para desaparecer, la ley permite que no desaparezca y tenga continuidad convertida en otra sociedad, por lo que, por expresa disposici</w:t>
      </w:r>
      <w:r w:rsidR="00E95AD1" w:rsidRPr="00BE18D7">
        <w:rPr>
          <w:rFonts w:ascii="Arial" w:eastAsia="Calibri" w:hAnsi="Arial" w:cs="Arial"/>
          <w:color w:val="000000" w:themeColor="text1"/>
          <w:sz w:val="22"/>
        </w:rPr>
        <w:t>ón legal, la sociedad puede no «liquidarse»</w:t>
      </w:r>
      <w:r w:rsidR="008F4BBA" w:rsidRPr="00BE18D7">
        <w:rPr>
          <w:rFonts w:ascii="Arial" w:eastAsia="Calibri" w:hAnsi="Arial" w:cs="Arial"/>
          <w:color w:val="000000" w:themeColor="text1"/>
          <w:sz w:val="22"/>
        </w:rPr>
        <w:t>,</w:t>
      </w:r>
      <w:r w:rsidRPr="00BE18D7">
        <w:rPr>
          <w:rFonts w:ascii="Arial" w:eastAsia="Calibri" w:hAnsi="Arial" w:cs="Arial"/>
          <w:color w:val="000000" w:themeColor="text1"/>
          <w:sz w:val="22"/>
        </w:rPr>
        <w:t xml:space="preserve"> sino continuar a través de otra sociedad, porque así lo quiso el legislador, y esto implica que se traslada la experiencia y no se comparte, porque compartir implica que siga existiendo como una persona individualmente considerada, pero como continúa a través de otra lo que sucede es la transferencia de la experiencia.</w:t>
      </w:r>
    </w:p>
    <w:p w14:paraId="6CDB7409" w14:textId="0D49FCD2" w:rsidR="002D6F6E" w:rsidRPr="00BE18D7" w:rsidRDefault="00495590" w:rsidP="009B0496">
      <w:pPr>
        <w:spacing w:line="276" w:lineRule="auto"/>
        <w:ind w:firstLine="708"/>
        <w:jc w:val="both"/>
        <w:rPr>
          <w:rFonts w:ascii="Arial" w:eastAsia="Calibri" w:hAnsi="Arial" w:cs="Arial"/>
          <w:color w:val="000000" w:themeColor="text1"/>
          <w:sz w:val="22"/>
        </w:rPr>
      </w:pPr>
      <w:r w:rsidRPr="00BE18D7">
        <w:rPr>
          <w:rFonts w:ascii="Arial" w:eastAsia="Calibri" w:hAnsi="Arial" w:cs="Arial"/>
          <w:color w:val="000000" w:themeColor="text1"/>
          <w:sz w:val="22"/>
        </w:rPr>
        <w:t>El efecto de la transferencia de experiencia es que, teniendo en cuenta</w:t>
      </w:r>
      <w:r w:rsidR="00E95AD1" w:rsidRPr="00BE18D7">
        <w:rPr>
          <w:rFonts w:ascii="Arial" w:eastAsia="Calibri" w:hAnsi="Arial" w:cs="Arial"/>
          <w:color w:val="000000" w:themeColor="text1"/>
          <w:sz w:val="22"/>
        </w:rPr>
        <w:t xml:space="preserve"> que quien la adquirió, por la «</w:t>
      </w:r>
      <w:r w:rsidRPr="00BE18D7">
        <w:rPr>
          <w:rFonts w:ascii="Arial" w:eastAsia="Calibri" w:hAnsi="Arial" w:cs="Arial"/>
          <w:color w:val="000000" w:themeColor="text1"/>
          <w:sz w:val="22"/>
        </w:rPr>
        <w:t>disolución</w:t>
      </w:r>
      <w:r w:rsidR="00E95AD1" w:rsidRPr="00BE18D7">
        <w:rPr>
          <w:rFonts w:ascii="Arial" w:eastAsia="Calibri" w:hAnsi="Arial" w:cs="Arial"/>
          <w:color w:val="000000" w:themeColor="text1"/>
          <w:sz w:val="22"/>
        </w:rPr>
        <w:t>»</w:t>
      </w:r>
      <w:r w:rsidRPr="00BE18D7">
        <w:rPr>
          <w:rFonts w:ascii="Arial" w:eastAsia="Calibri" w:hAnsi="Arial" w:cs="Arial"/>
          <w:color w:val="000000" w:themeColor="text1"/>
          <w:sz w:val="22"/>
        </w:rPr>
        <w:t xml:space="preserve"> y de acuerdo con lo dispuesto por el legislador, continúa a través de otra persona y no desparece, esa experiencia es propia de la sociedad que la tiene ahora, y no deja de ser personal puesto que la socieda</w:t>
      </w:r>
      <w:r w:rsidR="008F4BBA" w:rsidRPr="00BE18D7">
        <w:rPr>
          <w:rFonts w:ascii="Arial" w:eastAsia="Calibri" w:hAnsi="Arial" w:cs="Arial"/>
          <w:color w:val="000000" w:themeColor="text1"/>
          <w:sz w:val="22"/>
        </w:rPr>
        <w:t>d se convirtió en otra sin dejar de existir</w:t>
      </w:r>
      <w:r w:rsidRPr="00BE18D7">
        <w:rPr>
          <w:rFonts w:ascii="Arial" w:eastAsia="Calibri" w:hAnsi="Arial" w:cs="Arial"/>
          <w:color w:val="000000" w:themeColor="text1"/>
          <w:sz w:val="22"/>
        </w:rPr>
        <w:t>, y esa nueva sociedad o sociedad existente que son las beneficiarias</w:t>
      </w:r>
      <w:r w:rsidR="00E95AD1" w:rsidRPr="00BE18D7">
        <w:rPr>
          <w:rFonts w:ascii="Arial" w:eastAsia="Calibri" w:hAnsi="Arial" w:cs="Arial"/>
          <w:color w:val="000000" w:themeColor="text1"/>
          <w:sz w:val="22"/>
        </w:rPr>
        <w:t>, son la misma sociedad que se «disolvió»</w:t>
      </w:r>
      <w:r w:rsidRPr="00BE18D7">
        <w:rPr>
          <w:rFonts w:ascii="Arial" w:eastAsia="Calibri" w:hAnsi="Arial" w:cs="Arial"/>
          <w:color w:val="000000" w:themeColor="text1"/>
          <w:sz w:val="22"/>
        </w:rPr>
        <w:t xml:space="preserve"> para convertirse en ellas, sin afecta</w:t>
      </w:r>
      <w:r w:rsidR="00E95AD1" w:rsidRPr="00BE18D7">
        <w:rPr>
          <w:rFonts w:ascii="Arial" w:eastAsia="Calibri" w:hAnsi="Arial" w:cs="Arial"/>
          <w:color w:val="000000" w:themeColor="text1"/>
          <w:sz w:val="22"/>
        </w:rPr>
        <w:t>r lo adquirido por la sociedad «disuelta»</w:t>
      </w:r>
      <w:r w:rsidRPr="00BE18D7">
        <w:rPr>
          <w:rFonts w:ascii="Arial" w:eastAsia="Calibri" w:hAnsi="Arial" w:cs="Arial"/>
          <w:color w:val="000000" w:themeColor="text1"/>
          <w:sz w:val="22"/>
        </w:rPr>
        <w:t>.</w:t>
      </w:r>
    </w:p>
    <w:p w14:paraId="3394F749" w14:textId="77777777" w:rsidR="00780223" w:rsidRPr="00BE18D7" w:rsidRDefault="00780223" w:rsidP="009B0496">
      <w:pPr>
        <w:spacing w:line="276" w:lineRule="auto"/>
        <w:ind w:firstLine="708"/>
        <w:jc w:val="both"/>
        <w:rPr>
          <w:rFonts w:ascii="Arial" w:eastAsia="Calibri" w:hAnsi="Arial" w:cs="Arial"/>
          <w:color w:val="000000" w:themeColor="text1"/>
          <w:sz w:val="22"/>
        </w:rPr>
      </w:pPr>
    </w:p>
    <w:p w14:paraId="1994207D" w14:textId="77777777" w:rsidR="00495590" w:rsidRPr="00BE18D7" w:rsidRDefault="00495590" w:rsidP="009B0496">
      <w:pPr>
        <w:spacing w:line="276" w:lineRule="auto"/>
        <w:jc w:val="both"/>
        <w:rPr>
          <w:rFonts w:ascii="Arial" w:eastAsia="Calibri" w:hAnsi="Arial" w:cs="Arial"/>
          <w:b/>
          <w:bCs/>
          <w:color w:val="000000" w:themeColor="text1"/>
          <w:sz w:val="22"/>
        </w:rPr>
      </w:pPr>
      <w:r w:rsidRPr="00BE18D7">
        <w:rPr>
          <w:rFonts w:ascii="Arial" w:eastAsia="Calibri" w:hAnsi="Arial" w:cs="Arial"/>
          <w:b/>
          <w:bCs/>
          <w:color w:val="000000" w:themeColor="text1"/>
          <w:sz w:val="22"/>
        </w:rPr>
        <w:t>c) Fusión</w:t>
      </w:r>
    </w:p>
    <w:p w14:paraId="62AF1F12" w14:textId="77777777" w:rsidR="00495590" w:rsidRPr="00BE18D7" w:rsidRDefault="00495590" w:rsidP="009B0496">
      <w:pPr>
        <w:spacing w:line="276" w:lineRule="auto"/>
        <w:jc w:val="both"/>
        <w:rPr>
          <w:rFonts w:ascii="Arial" w:eastAsia="Calibri" w:hAnsi="Arial" w:cs="Arial"/>
          <w:b/>
          <w:bCs/>
          <w:color w:val="000000" w:themeColor="text1"/>
          <w:sz w:val="22"/>
        </w:rPr>
      </w:pPr>
    </w:p>
    <w:p w14:paraId="7347D033" w14:textId="508F57E7" w:rsidR="00495590" w:rsidRPr="00BE18D7" w:rsidRDefault="00495590" w:rsidP="009B0496">
      <w:pPr>
        <w:spacing w:before="120" w:after="120" w:line="276" w:lineRule="auto"/>
        <w:jc w:val="both"/>
        <w:rPr>
          <w:rFonts w:ascii="Arial" w:eastAsia="Calibri" w:hAnsi="Arial" w:cs="Arial"/>
          <w:color w:val="000000" w:themeColor="text1"/>
          <w:sz w:val="22"/>
        </w:rPr>
      </w:pPr>
      <w:r w:rsidRPr="00BE18D7">
        <w:rPr>
          <w:rFonts w:ascii="Arial" w:eastAsia="Calibri" w:hAnsi="Arial" w:cs="Arial"/>
          <w:color w:val="000000" w:themeColor="text1"/>
          <w:sz w:val="22"/>
        </w:rPr>
        <w:t>Es una figura con 4 tipologías: i) por abso</w:t>
      </w:r>
      <w:r w:rsidR="00E95AD1" w:rsidRPr="00BE18D7">
        <w:rPr>
          <w:rFonts w:ascii="Arial" w:eastAsia="Calibri" w:hAnsi="Arial" w:cs="Arial"/>
          <w:color w:val="000000" w:themeColor="text1"/>
          <w:sz w:val="22"/>
        </w:rPr>
        <w:t>rción: una o más sociedades se «disuelven» sin «liquidarse»</w:t>
      </w:r>
      <w:r w:rsidRPr="00BE18D7">
        <w:rPr>
          <w:rFonts w:ascii="Arial" w:eastAsia="Calibri" w:hAnsi="Arial" w:cs="Arial"/>
          <w:color w:val="000000" w:themeColor="text1"/>
          <w:sz w:val="22"/>
        </w:rPr>
        <w:t xml:space="preserve"> para ser absorbidas por otra existente; ii) por cre</w:t>
      </w:r>
      <w:r w:rsidR="00E95AD1" w:rsidRPr="00BE18D7">
        <w:rPr>
          <w:rFonts w:ascii="Arial" w:eastAsia="Calibri" w:hAnsi="Arial" w:cs="Arial"/>
          <w:color w:val="000000" w:themeColor="text1"/>
          <w:sz w:val="22"/>
        </w:rPr>
        <w:t>ación: una o más sociedades se «</w:t>
      </w:r>
      <w:r w:rsidRPr="00BE18D7">
        <w:rPr>
          <w:rFonts w:ascii="Arial" w:eastAsia="Calibri" w:hAnsi="Arial" w:cs="Arial"/>
          <w:color w:val="000000" w:themeColor="text1"/>
          <w:sz w:val="22"/>
        </w:rPr>
        <w:t>disue</w:t>
      </w:r>
      <w:r w:rsidR="00E95AD1" w:rsidRPr="00BE18D7">
        <w:rPr>
          <w:rFonts w:ascii="Arial" w:eastAsia="Calibri" w:hAnsi="Arial" w:cs="Arial"/>
          <w:color w:val="000000" w:themeColor="text1"/>
          <w:sz w:val="22"/>
        </w:rPr>
        <w:t>lven» sin «liquidarse»</w:t>
      </w:r>
      <w:r w:rsidRPr="00BE18D7">
        <w:rPr>
          <w:rFonts w:ascii="Arial" w:eastAsia="Calibri" w:hAnsi="Arial" w:cs="Arial"/>
          <w:color w:val="000000" w:themeColor="text1"/>
          <w:sz w:val="22"/>
        </w:rPr>
        <w:t xml:space="preserve"> para ser absorbidas por otra nueva</w:t>
      </w:r>
      <w:r w:rsidRPr="00BE18D7">
        <w:rPr>
          <w:rFonts w:ascii="Arial" w:eastAsia="Calibri" w:hAnsi="Arial" w:cs="Arial"/>
          <w:color w:val="000000" w:themeColor="text1"/>
          <w:sz w:val="22"/>
          <w:vertAlign w:val="superscript"/>
        </w:rPr>
        <w:footnoteReference w:id="16"/>
      </w:r>
      <w:r w:rsidRPr="00BE18D7">
        <w:rPr>
          <w:rFonts w:ascii="Arial" w:eastAsia="Calibri" w:hAnsi="Arial" w:cs="Arial"/>
          <w:color w:val="000000" w:themeColor="text1"/>
          <w:sz w:val="22"/>
        </w:rPr>
        <w:t>; iii) i</w:t>
      </w:r>
      <w:r w:rsidR="001C4DFD" w:rsidRPr="00BE18D7">
        <w:rPr>
          <w:rFonts w:ascii="Arial" w:eastAsia="Calibri" w:hAnsi="Arial" w:cs="Arial"/>
          <w:color w:val="000000" w:themeColor="text1"/>
          <w:sz w:val="22"/>
        </w:rPr>
        <w:t>mpropia: una sociedad se «disuelve»</w:t>
      </w:r>
      <w:r w:rsidRPr="00BE18D7">
        <w:rPr>
          <w:rFonts w:ascii="Arial" w:eastAsia="Calibri" w:hAnsi="Arial" w:cs="Arial"/>
          <w:color w:val="000000" w:themeColor="text1"/>
          <w:sz w:val="22"/>
        </w:rPr>
        <w:t xml:space="preserve"> sin el propósito </w:t>
      </w:r>
      <w:r w:rsidR="001C4DFD" w:rsidRPr="00BE18D7">
        <w:rPr>
          <w:rFonts w:ascii="Arial" w:eastAsia="Calibri" w:hAnsi="Arial" w:cs="Arial"/>
          <w:color w:val="000000" w:themeColor="text1"/>
          <w:sz w:val="22"/>
        </w:rPr>
        <w:t>de realizar una fusión sino de «liquidarse»</w:t>
      </w:r>
      <w:r w:rsidRPr="00BE18D7">
        <w:rPr>
          <w:rFonts w:ascii="Arial" w:eastAsia="Calibri" w:hAnsi="Arial" w:cs="Arial"/>
          <w:color w:val="000000" w:themeColor="text1"/>
          <w:sz w:val="22"/>
        </w:rPr>
        <w:t>, y antes de la liquidación se toma la decisión de crear una sociedad</w:t>
      </w:r>
      <w:r w:rsidRPr="00BE18D7">
        <w:rPr>
          <w:rFonts w:ascii="Arial" w:eastAsia="Calibri" w:hAnsi="Arial" w:cs="Arial"/>
          <w:color w:val="000000" w:themeColor="text1"/>
          <w:sz w:val="22"/>
          <w:vertAlign w:val="superscript"/>
        </w:rPr>
        <w:footnoteReference w:id="17"/>
      </w:r>
      <w:r w:rsidR="008F4BBA" w:rsidRPr="00BE18D7">
        <w:rPr>
          <w:rFonts w:ascii="Arial" w:eastAsia="Calibri" w:hAnsi="Arial" w:cs="Arial"/>
          <w:color w:val="000000" w:themeColor="text1"/>
          <w:sz w:val="22"/>
        </w:rPr>
        <w:t>; iv) abreviada: s</w:t>
      </w:r>
      <w:r w:rsidRPr="00BE18D7">
        <w:rPr>
          <w:rFonts w:ascii="Arial" w:eastAsia="Calibri" w:hAnsi="Arial" w:cs="Arial"/>
          <w:color w:val="000000" w:themeColor="text1"/>
          <w:sz w:val="22"/>
        </w:rPr>
        <w:t>olo aplica cuando una Sociedad por Acciones Simplificada (S.A.S</w:t>
      </w:r>
      <w:r w:rsidR="009B0496" w:rsidRPr="00BE18D7">
        <w:rPr>
          <w:rFonts w:ascii="Arial" w:eastAsia="Calibri" w:hAnsi="Arial" w:cs="Arial"/>
          <w:color w:val="000000" w:themeColor="text1"/>
          <w:sz w:val="22"/>
        </w:rPr>
        <w:t>.</w:t>
      </w:r>
      <w:r w:rsidRPr="00BE18D7">
        <w:rPr>
          <w:rFonts w:ascii="Arial" w:eastAsia="Calibri" w:hAnsi="Arial" w:cs="Arial"/>
          <w:color w:val="000000" w:themeColor="text1"/>
          <w:sz w:val="22"/>
        </w:rPr>
        <w:t>) pertenece a otra sociedad en más del 90% de sus acciones, y es posible que esa sociedad controlante absorba a la S.A.S</w:t>
      </w:r>
      <w:r w:rsidR="008F4BBA" w:rsidRPr="00BE18D7">
        <w:rPr>
          <w:rFonts w:ascii="Arial" w:eastAsia="Calibri" w:hAnsi="Arial" w:cs="Arial"/>
          <w:color w:val="000000" w:themeColor="text1"/>
          <w:sz w:val="22"/>
        </w:rPr>
        <w:t>.</w:t>
      </w:r>
      <w:r w:rsidRPr="00BE18D7">
        <w:rPr>
          <w:rFonts w:ascii="Arial" w:eastAsia="Calibri" w:hAnsi="Arial" w:cs="Arial"/>
          <w:color w:val="000000" w:themeColor="text1"/>
          <w:sz w:val="22"/>
        </w:rPr>
        <w:t xml:space="preserve">, </w:t>
      </w:r>
      <w:r w:rsidRPr="00BE18D7">
        <w:rPr>
          <w:rFonts w:ascii="Arial" w:eastAsia="Calibri" w:hAnsi="Arial" w:cs="Arial"/>
          <w:color w:val="000000" w:themeColor="text1"/>
          <w:sz w:val="22"/>
        </w:rPr>
        <w:lastRenderedPageBreak/>
        <w:t>es decir, que ocurra una fusión por absorción</w:t>
      </w:r>
      <w:r w:rsidRPr="00BE18D7">
        <w:rPr>
          <w:rFonts w:ascii="Arial" w:eastAsia="Calibri" w:hAnsi="Arial" w:cs="Arial"/>
          <w:color w:val="000000" w:themeColor="text1"/>
          <w:sz w:val="22"/>
          <w:vertAlign w:val="superscript"/>
        </w:rPr>
        <w:footnoteReference w:id="18"/>
      </w:r>
      <w:r w:rsidR="00560147" w:rsidRPr="00BE18D7">
        <w:rPr>
          <w:rFonts w:ascii="Arial" w:eastAsia="Calibri" w:hAnsi="Arial" w:cs="Arial"/>
          <w:color w:val="000000" w:themeColor="text1"/>
          <w:sz w:val="22"/>
        </w:rPr>
        <w:t>. La norma no habla de «</w:t>
      </w:r>
      <w:r w:rsidRPr="00BE18D7">
        <w:rPr>
          <w:rFonts w:ascii="Arial" w:eastAsia="Calibri" w:hAnsi="Arial" w:cs="Arial"/>
          <w:color w:val="000000" w:themeColor="text1"/>
          <w:sz w:val="22"/>
        </w:rPr>
        <w:t>disoluc</w:t>
      </w:r>
      <w:r w:rsidR="00560147" w:rsidRPr="00BE18D7">
        <w:rPr>
          <w:rFonts w:ascii="Arial" w:eastAsia="Calibri" w:hAnsi="Arial" w:cs="Arial"/>
          <w:color w:val="000000" w:themeColor="text1"/>
          <w:sz w:val="22"/>
        </w:rPr>
        <w:t>ión de la S.A.S</w:t>
      </w:r>
      <w:r w:rsidR="009B0496" w:rsidRPr="00BE18D7">
        <w:rPr>
          <w:rFonts w:ascii="Arial" w:eastAsia="Calibri" w:hAnsi="Arial" w:cs="Arial"/>
          <w:color w:val="000000" w:themeColor="text1"/>
          <w:sz w:val="22"/>
        </w:rPr>
        <w:t>.</w:t>
      </w:r>
      <w:r w:rsidR="00560147" w:rsidRPr="00BE18D7">
        <w:rPr>
          <w:rFonts w:ascii="Arial" w:eastAsia="Calibri" w:hAnsi="Arial" w:cs="Arial"/>
          <w:color w:val="000000" w:themeColor="text1"/>
          <w:sz w:val="22"/>
        </w:rPr>
        <w:t>»</w:t>
      </w:r>
      <w:r w:rsidRPr="00BE18D7">
        <w:rPr>
          <w:rFonts w:ascii="Arial" w:eastAsia="Calibri" w:hAnsi="Arial" w:cs="Arial"/>
          <w:color w:val="000000" w:themeColor="text1"/>
          <w:sz w:val="22"/>
        </w:rPr>
        <w:t>, lo cual no implica que no exista fusión, sino que es abreviada porque no se re</w:t>
      </w:r>
      <w:r w:rsidR="00560147" w:rsidRPr="00BE18D7">
        <w:rPr>
          <w:rFonts w:ascii="Arial" w:eastAsia="Calibri" w:hAnsi="Arial" w:cs="Arial"/>
          <w:color w:val="000000" w:themeColor="text1"/>
          <w:sz w:val="22"/>
        </w:rPr>
        <w:t>quiere configurar el estado de «disolución»</w:t>
      </w:r>
      <w:r w:rsidRPr="00BE18D7">
        <w:rPr>
          <w:rFonts w:ascii="Arial" w:eastAsia="Calibri" w:hAnsi="Arial" w:cs="Arial"/>
          <w:color w:val="000000" w:themeColor="text1"/>
          <w:sz w:val="22"/>
        </w:rPr>
        <w:t xml:space="preserve"> de la sociedad.</w:t>
      </w:r>
    </w:p>
    <w:p w14:paraId="3455B190" w14:textId="77777777" w:rsidR="009B0496" w:rsidRPr="00BE18D7" w:rsidRDefault="00495590" w:rsidP="009B0496">
      <w:pPr>
        <w:spacing w:line="276" w:lineRule="auto"/>
        <w:ind w:firstLine="708"/>
        <w:jc w:val="both"/>
        <w:rPr>
          <w:rFonts w:ascii="Arial" w:eastAsia="Calibri" w:hAnsi="Arial" w:cs="Arial"/>
          <w:bCs/>
          <w:color w:val="000000" w:themeColor="text1"/>
          <w:sz w:val="22"/>
        </w:rPr>
      </w:pPr>
      <w:r w:rsidRPr="00BE18D7">
        <w:rPr>
          <w:rFonts w:ascii="Arial" w:eastAsia="Calibri" w:hAnsi="Arial" w:cs="Arial"/>
          <w:bCs/>
          <w:color w:val="000000" w:themeColor="text1"/>
          <w:sz w:val="22"/>
        </w:rPr>
        <w:t>Para analizar la fusión y sus efectos respecto de la exp</w:t>
      </w:r>
      <w:r w:rsidR="00560147" w:rsidRPr="00BE18D7">
        <w:rPr>
          <w:rFonts w:ascii="Arial" w:eastAsia="Calibri" w:hAnsi="Arial" w:cs="Arial"/>
          <w:bCs/>
          <w:color w:val="000000" w:themeColor="text1"/>
          <w:sz w:val="22"/>
        </w:rPr>
        <w:t>eriencia de la sociedad que se «disuelve»</w:t>
      </w:r>
      <w:r w:rsidRPr="00BE18D7">
        <w:rPr>
          <w:rFonts w:ascii="Arial" w:eastAsia="Calibri" w:hAnsi="Arial" w:cs="Arial"/>
          <w:bCs/>
          <w:color w:val="000000" w:themeColor="text1"/>
          <w:sz w:val="22"/>
        </w:rPr>
        <w:t xml:space="preserve"> pe</w:t>
      </w:r>
      <w:r w:rsidR="00560147" w:rsidRPr="00BE18D7">
        <w:rPr>
          <w:rFonts w:ascii="Arial" w:eastAsia="Calibri" w:hAnsi="Arial" w:cs="Arial"/>
          <w:bCs/>
          <w:color w:val="000000" w:themeColor="text1"/>
          <w:sz w:val="22"/>
        </w:rPr>
        <w:t>ro no se «liquida»</w:t>
      </w:r>
      <w:r w:rsidRPr="00BE18D7">
        <w:rPr>
          <w:rFonts w:ascii="Arial" w:eastAsia="Calibri" w:hAnsi="Arial" w:cs="Arial"/>
          <w:bCs/>
          <w:color w:val="000000" w:themeColor="text1"/>
          <w:sz w:val="22"/>
        </w:rPr>
        <w:t xml:space="preserve">, es necesario reiterar la explicación dada respecto de la segunda modalidad de escisión, y es que siempre que la sociedad no se liquide, es decir, que no desaparezca o muera, la experiencia puede ser trasladada y no compartida, ya que la trasferencia ocurre porque la persona jurídica continúa a través de otra, esto es, deja de </w:t>
      </w:r>
    </w:p>
    <w:p w14:paraId="777DD3B6" w14:textId="5689C1BF" w:rsidR="00C1780C" w:rsidRPr="00BE18D7" w:rsidRDefault="00495590" w:rsidP="00965ED6">
      <w:pPr>
        <w:spacing w:line="276" w:lineRule="auto"/>
        <w:jc w:val="both"/>
        <w:rPr>
          <w:rFonts w:ascii="Arial" w:eastAsia="Calibri" w:hAnsi="Arial" w:cs="Arial"/>
          <w:bCs/>
          <w:color w:val="000000" w:themeColor="text1"/>
          <w:sz w:val="22"/>
        </w:rPr>
      </w:pPr>
      <w:r w:rsidRPr="00BE18D7">
        <w:rPr>
          <w:rFonts w:ascii="Arial" w:eastAsia="Calibri" w:hAnsi="Arial" w:cs="Arial"/>
          <w:bCs/>
          <w:color w:val="000000" w:themeColor="text1"/>
          <w:sz w:val="22"/>
        </w:rPr>
        <w:t xml:space="preserve">ser quien es pero no desaparece porque otra sociedad se convierte en ella, ya sea una sociedad nueva cuando es fusión por creación, o una sociedad existente en la fusión por absorción, y estas sociedades serán la sociedad absorbida, y continuarán su vida jurídica. La experiencia no se comparte porque para esto la sociedad debería continuar individualmente considerada, pero en este caso continúa a través de otra, a quien le transfiere su experiencia y todos sus derechos y obligaciones, de conformidad con el artículo 172 y siguientes del Código de Comercio. </w:t>
      </w:r>
    </w:p>
    <w:p w14:paraId="1A5EF102" w14:textId="77777777" w:rsidR="008F4BBA" w:rsidRPr="00BE18D7" w:rsidRDefault="008F4BBA" w:rsidP="009B0496">
      <w:pPr>
        <w:spacing w:line="276" w:lineRule="auto"/>
        <w:ind w:firstLine="708"/>
        <w:jc w:val="both"/>
        <w:rPr>
          <w:rFonts w:ascii="Arial" w:eastAsia="Calibri" w:hAnsi="Arial" w:cs="Arial"/>
          <w:bCs/>
          <w:color w:val="000000" w:themeColor="text1"/>
          <w:sz w:val="22"/>
        </w:rPr>
      </w:pPr>
    </w:p>
    <w:p w14:paraId="764A0854" w14:textId="0C0663DF" w:rsidR="008F4BBA" w:rsidRPr="00BE18D7" w:rsidRDefault="002D3025" w:rsidP="009B0496">
      <w:pPr>
        <w:spacing w:line="276" w:lineRule="auto"/>
        <w:jc w:val="both"/>
        <w:rPr>
          <w:rFonts w:ascii="Arial" w:eastAsia="Calibri" w:hAnsi="Arial" w:cs="Arial"/>
          <w:b/>
          <w:bCs/>
          <w:color w:val="000000" w:themeColor="text1"/>
          <w:sz w:val="22"/>
        </w:rPr>
      </w:pPr>
      <w:r w:rsidRPr="00BE18D7">
        <w:rPr>
          <w:rFonts w:ascii="Arial" w:eastAsia="Calibri" w:hAnsi="Arial" w:cs="Arial"/>
          <w:b/>
          <w:bCs/>
          <w:color w:val="000000" w:themeColor="text1"/>
          <w:sz w:val="22"/>
        </w:rPr>
        <w:t>2.4. Improcedencia de transferir la</w:t>
      </w:r>
      <w:r w:rsidR="008F4BBA" w:rsidRPr="00BE18D7">
        <w:rPr>
          <w:rFonts w:ascii="Arial" w:eastAsia="Calibri" w:hAnsi="Arial" w:cs="Arial"/>
          <w:b/>
          <w:bCs/>
          <w:color w:val="000000" w:themeColor="text1"/>
          <w:sz w:val="22"/>
        </w:rPr>
        <w:t xml:space="preserve"> experiencia por compraventa de establecimiento de comercio</w:t>
      </w:r>
    </w:p>
    <w:p w14:paraId="5DE1F812" w14:textId="77777777" w:rsidR="001B0FFB" w:rsidRPr="00BE18D7" w:rsidRDefault="008F4BBA" w:rsidP="009B0496">
      <w:pPr>
        <w:spacing w:line="276" w:lineRule="auto"/>
        <w:jc w:val="both"/>
        <w:rPr>
          <w:rFonts w:ascii="Arial" w:eastAsia="Calibri" w:hAnsi="Arial" w:cs="Arial"/>
          <w:b/>
          <w:bCs/>
          <w:color w:val="000000" w:themeColor="text1"/>
          <w:sz w:val="22"/>
        </w:rPr>
      </w:pPr>
      <w:r w:rsidRPr="00BE18D7">
        <w:rPr>
          <w:rFonts w:ascii="Arial" w:eastAsia="Calibri" w:hAnsi="Arial" w:cs="Arial"/>
          <w:b/>
          <w:bCs/>
          <w:color w:val="000000" w:themeColor="text1"/>
          <w:sz w:val="22"/>
        </w:rPr>
        <w:t xml:space="preserve"> </w:t>
      </w:r>
    </w:p>
    <w:p w14:paraId="10708C6B" w14:textId="40F6AB59" w:rsidR="00C1780C" w:rsidRPr="00BE18D7" w:rsidRDefault="008F4BBA" w:rsidP="009B0496">
      <w:pPr>
        <w:spacing w:line="276" w:lineRule="auto"/>
        <w:jc w:val="both"/>
        <w:rPr>
          <w:rFonts w:ascii="Arial" w:eastAsia="Calibri" w:hAnsi="Arial" w:cs="Arial"/>
          <w:b/>
          <w:bCs/>
          <w:color w:val="000000" w:themeColor="text1"/>
          <w:sz w:val="22"/>
        </w:rPr>
      </w:pPr>
      <w:r w:rsidRPr="00BE18D7">
        <w:rPr>
          <w:rFonts w:ascii="Arial" w:eastAsia="Calibri" w:hAnsi="Arial" w:cs="Arial"/>
          <w:bCs/>
          <w:color w:val="000000" w:themeColor="text1"/>
          <w:sz w:val="22"/>
        </w:rPr>
        <w:t xml:space="preserve">Como se advierte de </w:t>
      </w:r>
      <w:r w:rsidR="00780223" w:rsidRPr="00BE18D7">
        <w:rPr>
          <w:rFonts w:ascii="Arial" w:eastAsia="Calibri" w:hAnsi="Arial" w:cs="Arial"/>
          <w:bCs/>
          <w:color w:val="000000" w:themeColor="text1"/>
          <w:sz w:val="22"/>
        </w:rPr>
        <w:t xml:space="preserve">lo anterior, se tiene </w:t>
      </w:r>
      <w:r w:rsidR="008A2025" w:rsidRPr="00BE18D7">
        <w:rPr>
          <w:rFonts w:ascii="Arial" w:eastAsia="Calibri" w:hAnsi="Arial" w:cs="Arial"/>
          <w:bCs/>
          <w:color w:val="000000" w:themeColor="text1"/>
          <w:sz w:val="22"/>
        </w:rPr>
        <w:t xml:space="preserve">que </w:t>
      </w:r>
      <w:r w:rsidR="00C1780C" w:rsidRPr="00BE18D7">
        <w:rPr>
          <w:rFonts w:ascii="Arial" w:eastAsia="Calibri" w:hAnsi="Arial" w:cs="Arial"/>
          <w:bCs/>
          <w:color w:val="000000" w:themeColor="text1"/>
          <w:sz w:val="22"/>
        </w:rPr>
        <w:t xml:space="preserve">la experiencia es personal, es decir, se predica de las personas que directamente </w:t>
      </w:r>
      <w:r w:rsidRPr="00BE18D7">
        <w:rPr>
          <w:rFonts w:ascii="Arial" w:eastAsia="Calibri" w:hAnsi="Arial" w:cs="Arial"/>
          <w:bCs/>
          <w:color w:val="000000" w:themeColor="text1"/>
          <w:sz w:val="22"/>
        </w:rPr>
        <w:t xml:space="preserve">participaron </w:t>
      </w:r>
      <w:r w:rsidR="00C1780C" w:rsidRPr="00BE18D7">
        <w:rPr>
          <w:rFonts w:ascii="Arial" w:eastAsia="Calibri" w:hAnsi="Arial" w:cs="Arial"/>
          <w:bCs/>
          <w:color w:val="000000" w:themeColor="text1"/>
          <w:sz w:val="22"/>
        </w:rPr>
        <w:t>en una actividad y  puede compartirse o transferirse</w:t>
      </w:r>
      <w:r w:rsidRPr="00BE18D7">
        <w:rPr>
          <w:rFonts w:ascii="Arial" w:eastAsia="Calibri" w:hAnsi="Arial" w:cs="Arial"/>
          <w:bCs/>
          <w:color w:val="000000" w:themeColor="text1"/>
          <w:sz w:val="22"/>
        </w:rPr>
        <w:t>,</w:t>
      </w:r>
      <w:r w:rsidR="00C1780C" w:rsidRPr="00BE18D7">
        <w:rPr>
          <w:rFonts w:ascii="Arial" w:eastAsia="Calibri" w:hAnsi="Arial" w:cs="Arial"/>
          <w:bCs/>
          <w:color w:val="000000" w:themeColor="text1"/>
          <w:sz w:val="22"/>
        </w:rPr>
        <w:t xml:space="preserve"> ya que sigue la suerte de quien la adquirió.</w:t>
      </w:r>
    </w:p>
    <w:p w14:paraId="5E3350B5" w14:textId="60A14577" w:rsidR="0019378B" w:rsidRPr="00BE18D7" w:rsidRDefault="001B0FFB" w:rsidP="001B0FFB">
      <w:pPr>
        <w:tabs>
          <w:tab w:val="left" w:pos="426"/>
        </w:tabs>
        <w:spacing w:before="120" w:after="120" w:line="276" w:lineRule="auto"/>
        <w:jc w:val="both"/>
        <w:rPr>
          <w:rFonts w:ascii="Arial" w:eastAsia="Calibri" w:hAnsi="Arial" w:cs="Arial"/>
          <w:bCs/>
          <w:color w:val="000000" w:themeColor="text1"/>
          <w:sz w:val="22"/>
        </w:rPr>
      </w:pPr>
      <w:r w:rsidRPr="00BE18D7">
        <w:rPr>
          <w:rFonts w:ascii="Arial" w:eastAsia="Calibri" w:hAnsi="Arial" w:cs="Arial"/>
          <w:bCs/>
          <w:color w:val="000000" w:themeColor="text1"/>
          <w:sz w:val="22"/>
        </w:rPr>
        <w:tab/>
      </w:r>
      <w:r w:rsidRPr="00BE18D7">
        <w:rPr>
          <w:rFonts w:ascii="Arial" w:eastAsia="Calibri" w:hAnsi="Arial" w:cs="Arial"/>
          <w:bCs/>
          <w:color w:val="000000" w:themeColor="text1"/>
          <w:sz w:val="22"/>
        </w:rPr>
        <w:tab/>
        <w:t>C</w:t>
      </w:r>
      <w:r w:rsidR="00C1780C" w:rsidRPr="00BE18D7">
        <w:rPr>
          <w:rFonts w:ascii="Arial" w:eastAsia="Calibri" w:hAnsi="Arial" w:cs="Arial"/>
          <w:bCs/>
          <w:color w:val="000000" w:themeColor="text1"/>
          <w:sz w:val="22"/>
        </w:rPr>
        <w:t>omo la pregunta gira en torno a determinar</w:t>
      </w:r>
      <w:r w:rsidRPr="00BE18D7">
        <w:rPr>
          <w:rFonts w:ascii="Arial" w:eastAsia="Calibri" w:hAnsi="Arial" w:cs="Arial"/>
          <w:bCs/>
          <w:color w:val="000000" w:themeColor="text1"/>
          <w:sz w:val="22"/>
        </w:rPr>
        <w:t xml:space="preserve"> si la experiencia de la persona</w:t>
      </w:r>
      <w:r w:rsidR="00C1780C" w:rsidRPr="00BE18D7">
        <w:rPr>
          <w:rFonts w:ascii="Arial" w:eastAsia="Calibri" w:hAnsi="Arial" w:cs="Arial"/>
          <w:bCs/>
          <w:color w:val="000000" w:themeColor="text1"/>
          <w:sz w:val="22"/>
        </w:rPr>
        <w:t xml:space="preserve"> natural propietaria del establecimiento </w:t>
      </w:r>
      <w:r w:rsidR="00780223" w:rsidRPr="00BE18D7">
        <w:rPr>
          <w:rFonts w:ascii="Arial" w:eastAsia="Calibri" w:hAnsi="Arial" w:cs="Arial"/>
          <w:bCs/>
          <w:color w:val="000000" w:themeColor="text1"/>
          <w:sz w:val="22"/>
        </w:rPr>
        <w:t xml:space="preserve">de comercio comprado por </w:t>
      </w:r>
      <w:r w:rsidRPr="00BE18D7">
        <w:rPr>
          <w:rFonts w:ascii="Arial" w:eastAsia="Calibri" w:hAnsi="Arial" w:cs="Arial"/>
          <w:bCs/>
          <w:color w:val="000000" w:themeColor="text1"/>
          <w:sz w:val="22"/>
        </w:rPr>
        <w:t>una sociedad</w:t>
      </w:r>
      <w:r w:rsidR="00780223" w:rsidRPr="00BE18D7">
        <w:rPr>
          <w:rFonts w:ascii="Arial" w:eastAsia="Calibri" w:hAnsi="Arial" w:cs="Arial"/>
          <w:bCs/>
          <w:color w:val="000000" w:themeColor="text1"/>
          <w:sz w:val="22"/>
        </w:rPr>
        <w:t xml:space="preserve">, </w:t>
      </w:r>
      <w:r w:rsidR="00C1780C" w:rsidRPr="00BE18D7">
        <w:rPr>
          <w:rFonts w:ascii="Arial" w:eastAsia="Calibri" w:hAnsi="Arial" w:cs="Arial"/>
          <w:bCs/>
          <w:color w:val="000000" w:themeColor="text1"/>
          <w:sz w:val="22"/>
        </w:rPr>
        <w:t xml:space="preserve">puede ser acreditada </w:t>
      </w:r>
      <w:r w:rsidR="00780223" w:rsidRPr="00BE18D7">
        <w:rPr>
          <w:rFonts w:ascii="Arial" w:eastAsia="Calibri" w:hAnsi="Arial" w:cs="Arial"/>
          <w:bCs/>
          <w:color w:val="000000" w:themeColor="text1"/>
          <w:sz w:val="22"/>
        </w:rPr>
        <w:t>por la compradora</w:t>
      </w:r>
      <w:r w:rsidR="00C1780C" w:rsidRPr="00BE18D7">
        <w:rPr>
          <w:rFonts w:ascii="Arial" w:eastAsia="Calibri" w:hAnsi="Arial" w:cs="Arial"/>
          <w:bCs/>
          <w:color w:val="000000" w:themeColor="text1"/>
          <w:sz w:val="22"/>
        </w:rPr>
        <w:t xml:space="preserve"> en un proceso de contratación, </w:t>
      </w:r>
      <w:r w:rsidR="0019378B" w:rsidRPr="00BE18D7">
        <w:rPr>
          <w:rFonts w:ascii="Arial" w:eastAsia="Calibri" w:hAnsi="Arial" w:cs="Arial"/>
          <w:bCs/>
          <w:color w:val="000000" w:themeColor="text1"/>
          <w:sz w:val="22"/>
        </w:rPr>
        <w:t>es pertinente señalar que el</w:t>
      </w:r>
      <w:r w:rsidR="0019378B" w:rsidRPr="00BE18D7">
        <w:rPr>
          <w:rFonts w:ascii="Arial" w:hAnsi="Arial" w:cs="Arial"/>
          <w:color w:val="000000" w:themeColor="text1"/>
          <w:sz w:val="22"/>
        </w:rPr>
        <w:t xml:space="preserve"> numeral 2.5 artículo 2.2.1.1.1.5.2. del Decreto</w:t>
      </w:r>
      <w:r w:rsidRPr="00BE18D7">
        <w:rPr>
          <w:rFonts w:ascii="Arial" w:hAnsi="Arial" w:cs="Arial"/>
          <w:color w:val="000000" w:themeColor="text1"/>
          <w:sz w:val="22"/>
        </w:rPr>
        <w:t xml:space="preserve"> 1082 de 2015  aplica a</w:t>
      </w:r>
      <w:r w:rsidR="0019378B" w:rsidRPr="00BE18D7">
        <w:rPr>
          <w:rFonts w:ascii="Arial" w:hAnsi="Arial" w:cs="Arial"/>
          <w:color w:val="000000" w:themeColor="text1"/>
          <w:sz w:val="22"/>
        </w:rPr>
        <w:t xml:space="preserve"> las personas jurídicas  y a las naturales que adquieran la calidad de accionistas, socios o constituyentes. En </w:t>
      </w:r>
      <w:r w:rsidR="0019378B" w:rsidRPr="00BE18D7">
        <w:rPr>
          <w:rFonts w:ascii="Arial" w:hAnsi="Arial" w:cs="Arial"/>
          <w:color w:val="000000" w:themeColor="text1"/>
          <w:sz w:val="22"/>
        </w:rPr>
        <w:lastRenderedPageBreak/>
        <w:t xml:space="preserve">consecuencia,  la norma no aplica a personas naturales que no funjan en las calidades aludidas. </w:t>
      </w:r>
    </w:p>
    <w:p w14:paraId="617DD034" w14:textId="4B8F970F" w:rsidR="00A82FDF" w:rsidRPr="00BE18D7" w:rsidRDefault="001B0FFB" w:rsidP="009B0496">
      <w:pPr>
        <w:tabs>
          <w:tab w:val="left" w:pos="426"/>
        </w:tabs>
        <w:spacing w:line="276" w:lineRule="auto"/>
        <w:jc w:val="both"/>
        <w:rPr>
          <w:rFonts w:ascii="Arial" w:eastAsia="Calibri" w:hAnsi="Arial" w:cs="Arial"/>
          <w:bCs/>
          <w:color w:val="000000" w:themeColor="text1"/>
          <w:sz w:val="22"/>
        </w:rPr>
      </w:pPr>
      <w:r w:rsidRPr="00BE18D7">
        <w:rPr>
          <w:rFonts w:ascii="Arial" w:hAnsi="Arial" w:cs="Arial"/>
          <w:color w:val="000000" w:themeColor="text1"/>
          <w:sz w:val="22"/>
        </w:rPr>
        <w:tab/>
      </w:r>
      <w:r w:rsidR="0019378B" w:rsidRPr="00BE18D7">
        <w:rPr>
          <w:rFonts w:ascii="Arial" w:hAnsi="Arial" w:cs="Arial"/>
          <w:color w:val="000000" w:themeColor="text1"/>
          <w:sz w:val="22"/>
        </w:rPr>
        <w:tab/>
        <w:t xml:space="preserve">Sin embargo, como se </w:t>
      </w:r>
      <w:r w:rsidRPr="00BE18D7">
        <w:rPr>
          <w:rFonts w:ascii="Arial" w:hAnsi="Arial" w:cs="Arial"/>
          <w:color w:val="000000" w:themeColor="text1"/>
          <w:sz w:val="22"/>
        </w:rPr>
        <w:t>indicó</w:t>
      </w:r>
      <w:r w:rsidR="002D3025" w:rsidRPr="00BE18D7">
        <w:rPr>
          <w:rFonts w:ascii="Arial" w:hAnsi="Arial" w:cs="Arial"/>
          <w:color w:val="000000" w:themeColor="text1"/>
          <w:sz w:val="22"/>
        </w:rPr>
        <w:t>, las sociedades</w:t>
      </w:r>
      <w:r w:rsidR="0019378B" w:rsidRPr="00BE18D7">
        <w:rPr>
          <w:rFonts w:ascii="Arial" w:hAnsi="Arial" w:cs="Arial"/>
          <w:color w:val="000000" w:themeColor="text1"/>
          <w:sz w:val="22"/>
        </w:rPr>
        <w:t xml:space="preserve"> en </w:t>
      </w:r>
      <w:r w:rsidRPr="00BE18D7">
        <w:rPr>
          <w:rFonts w:ascii="Arial" w:hAnsi="Arial" w:cs="Arial"/>
          <w:color w:val="000000" w:themeColor="text1"/>
          <w:sz w:val="22"/>
        </w:rPr>
        <w:t>ciertos casos</w:t>
      </w:r>
      <w:r w:rsidR="0019378B" w:rsidRPr="00BE18D7">
        <w:rPr>
          <w:rFonts w:ascii="Arial" w:hAnsi="Arial" w:cs="Arial"/>
          <w:color w:val="000000" w:themeColor="text1"/>
          <w:sz w:val="22"/>
        </w:rPr>
        <w:t xml:space="preserve"> pueden acreditar la experiencia de otra sociedad, por lo cual, </w:t>
      </w:r>
      <w:r w:rsidR="00780223" w:rsidRPr="00BE18D7">
        <w:rPr>
          <w:rFonts w:ascii="Arial" w:eastAsia="Calibri" w:hAnsi="Arial" w:cs="Arial"/>
          <w:bCs/>
          <w:color w:val="000000" w:themeColor="text1"/>
          <w:sz w:val="22"/>
        </w:rPr>
        <w:t>conviene precisar</w:t>
      </w:r>
      <w:r w:rsidR="00C1780C" w:rsidRPr="00BE18D7">
        <w:rPr>
          <w:rFonts w:ascii="Arial" w:eastAsia="Calibri" w:hAnsi="Arial" w:cs="Arial"/>
          <w:bCs/>
          <w:color w:val="000000" w:themeColor="text1"/>
          <w:sz w:val="22"/>
        </w:rPr>
        <w:t xml:space="preserve"> la naturaleza de los est</w:t>
      </w:r>
      <w:r w:rsidR="0019378B" w:rsidRPr="00BE18D7">
        <w:rPr>
          <w:rFonts w:ascii="Arial" w:eastAsia="Calibri" w:hAnsi="Arial" w:cs="Arial"/>
          <w:bCs/>
          <w:color w:val="000000" w:themeColor="text1"/>
          <w:sz w:val="22"/>
        </w:rPr>
        <w:t>ablecimientos de comercio, para resolver el</w:t>
      </w:r>
      <w:r w:rsidRPr="00BE18D7">
        <w:rPr>
          <w:rFonts w:ascii="Arial" w:eastAsia="Calibri" w:hAnsi="Arial" w:cs="Arial"/>
          <w:bCs/>
          <w:color w:val="000000" w:themeColor="text1"/>
          <w:sz w:val="22"/>
        </w:rPr>
        <w:t xml:space="preserve"> interrogante de la peticionaria</w:t>
      </w:r>
      <w:r w:rsidR="0019378B" w:rsidRPr="00BE18D7">
        <w:rPr>
          <w:rFonts w:ascii="Arial" w:eastAsia="Calibri" w:hAnsi="Arial" w:cs="Arial"/>
          <w:bCs/>
          <w:color w:val="000000" w:themeColor="text1"/>
          <w:sz w:val="22"/>
        </w:rPr>
        <w:t xml:space="preserve">. </w:t>
      </w:r>
      <w:r w:rsidRPr="00BE18D7">
        <w:rPr>
          <w:rFonts w:ascii="Arial" w:eastAsia="Calibri" w:hAnsi="Arial" w:cs="Arial"/>
          <w:bCs/>
          <w:color w:val="000000" w:themeColor="text1"/>
          <w:sz w:val="22"/>
        </w:rPr>
        <w:t>Al</w:t>
      </w:r>
      <w:r w:rsidR="00780223" w:rsidRPr="00BE18D7">
        <w:rPr>
          <w:rFonts w:ascii="Arial" w:eastAsia="Calibri" w:hAnsi="Arial" w:cs="Arial"/>
          <w:bCs/>
          <w:color w:val="000000" w:themeColor="text1"/>
          <w:sz w:val="22"/>
        </w:rPr>
        <w:t xml:space="preserve"> respecto, se tiene que el</w:t>
      </w:r>
      <w:r w:rsidR="00C1780C" w:rsidRPr="00BE18D7">
        <w:rPr>
          <w:rFonts w:ascii="Arial" w:eastAsia="Calibri" w:hAnsi="Arial" w:cs="Arial"/>
          <w:bCs/>
          <w:color w:val="000000" w:themeColor="text1"/>
          <w:sz w:val="22"/>
        </w:rPr>
        <w:t xml:space="preserve"> artículo 515 del Código de Comercio</w:t>
      </w:r>
      <w:r w:rsidR="00A82FDF" w:rsidRPr="00BE18D7">
        <w:rPr>
          <w:rFonts w:ascii="Arial" w:eastAsia="Calibri" w:hAnsi="Arial" w:cs="Arial"/>
          <w:bCs/>
          <w:color w:val="000000" w:themeColor="text1"/>
          <w:sz w:val="22"/>
        </w:rPr>
        <w:t xml:space="preserve"> </w:t>
      </w:r>
      <w:r w:rsidR="00C1780C" w:rsidRPr="00BE18D7">
        <w:rPr>
          <w:rFonts w:ascii="Arial" w:eastAsia="Calibri" w:hAnsi="Arial" w:cs="Arial"/>
          <w:bCs/>
          <w:color w:val="000000" w:themeColor="text1"/>
          <w:sz w:val="22"/>
        </w:rPr>
        <w:t>de</w:t>
      </w:r>
      <w:r w:rsidRPr="00BE18D7">
        <w:rPr>
          <w:rFonts w:ascii="Arial" w:eastAsia="Calibri" w:hAnsi="Arial" w:cs="Arial"/>
          <w:bCs/>
          <w:color w:val="000000" w:themeColor="text1"/>
          <w:sz w:val="22"/>
        </w:rPr>
        <w:t>fine el «establecimiento de comercio</w:t>
      </w:r>
      <w:r w:rsidR="00C1780C" w:rsidRPr="00BE18D7">
        <w:rPr>
          <w:rFonts w:ascii="Arial" w:eastAsia="Calibri" w:hAnsi="Arial" w:cs="Arial"/>
          <w:bCs/>
          <w:color w:val="000000" w:themeColor="text1"/>
          <w:sz w:val="22"/>
        </w:rPr>
        <w:t>» como</w:t>
      </w:r>
      <w:r w:rsidR="00A82FDF" w:rsidRPr="00BE18D7">
        <w:rPr>
          <w:rFonts w:ascii="Arial" w:eastAsia="Calibri" w:hAnsi="Arial" w:cs="Arial"/>
          <w:bCs/>
          <w:color w:val="000000" w:themeColor="text1"/>
          <w:sz w:val="22"/>
        </w:rPr>
        <w:t xml:space="preserve"> un conjunto de bienes que están organizados para cumplir con los fines de la empresa:</w:t>
      </w:r>
    </w:p>
    <w:p w14:paraId="56DC2A0B" w14:textId="77777777" w:rsidR="009B0496" w:rsidRPr="00BE18D7" w:rsidRDefault="009B0496" w:rsidP="009B0496">
      <w:pPr>
        <w:tabs>
          <w:tab w:val="left" w:pos="426"/>
        </w:tabs>
        <w:spacing w:line="276" w:lineRule="auto"/>
        <w:jc w:val="both"/>
        <w:rPr>
          <w:rFonts w:ascii="Arial" w:hAnsi="Arial" w:cs="Arial"/>
          <w:color w:val="000000" w:themeColor="text1"/>
          <w:sz w:val="22"/>
        </w:rPr>
      </w:pPr>
    </w:p>
    <w:p w14:paraId="2664DBB1" w14:textId="0CFB72A7" w:rsidR="00C1780C" w:rsidRPr="00BE18D7" w:rsidRDefault="00A82FDF" w:rsidP="009B0496">
      <w:pPr>
        <w:tabs>
          <w:tab w:val="left" w:pos="426"/>
        </w:tabs>
        <w:spacing w:line="276" w:lineRule="auto"/>
        <w:ind w:left="709" w:right="709"/>
        <w:jc w:val="both"/>
        <w:rPr>
          <w:rFonts w:ascii="Arial" w:eastAsia="Calibri" w:hAnsi="Arial" w:cs="Arial"/>
          <w:bCs/>
          <w:color w:val="000000" w:themeColor="text1"/>
          <w:sz w:val="21"/>
          <w:szCs w:val="21"/>
        </w:rPr>
      </w:pPr>
      <w:r w:rsidRPr="00BE18D7">
        <w:rPr>
          <w:rFonts w:ascii="Arial" w:hAnsi="Arial" w:cs="Arial"/>
          <w:color w:val="000000" w:themeColor="text1"/>
          <w:sz w:val="21"/>
          <w:szCs w:val="21"/>
        </w:rPr>
        <w:t>Artículo</w:t>
      </w:r>
      <w:r w:rsidRPr="00BE18D7">
        <w:rPr>
          <w:rFonts w:ascii="Arial" w:eastAsia="Times New Roman" w:hAnsi="Arial" w:cs="Arial"/>
          <w:bCs/>
          <w:color w:val="000000" w:themeColor="text1"/>
          <w:sz w:val="21"/>
          <w:szCs w:val="21"/>
          <w:lang w:eastAsia="es-CO"/>
        </w:rPr>
        <w:t xml:space="preserve"> 515.-</w:t>
      </w:r>
      <w:r w:rsidRPr="00BE18D7">
        <w:rPr>
          <w:rFonts w:ascii="Arial" w:eastAsia="Times New Roman" w:hAnsi="Arial" w:cs="Arial"/>
          <w:color w:val="000000" w:themeColor="text1"/>
          <w:sz w:val="21"/>
          <w:szCs w:val="21"/>
          <w:lang w:eastAsia="es-CO"/>
        </w:rPr>
        <w:t>Se entiende por establecimiento de comercio un conjunto de bienes organizados por el empresario para realizar los fines de la empresa. Una misma persona podrá tener varios establecimientos de comercio, y, a su vez, un solo establecimiento de comercio podrá pertenecer a varias personas, y destinarse al desarrollo de diversas actividades comerciales.</w:t>
      </w:r>
      <w:r w:rsidR="00C1780C" w:rsidRPr="00BE18D7">
        <w:rPr>
          <w:rFonts w:ascii="Arial" w:eastAsia="Calibri" w:hAnsi="Arial" w:cs="Arial"/>
          <w:bCs/>
          <w:color w:val="000000" w:themeColor="text1"/>
          <w:sz w:val="21"/>
          <w:szCs w:val="21"/>
        </w:rPr>
        <w:t xml:space="preserve"> </w:t>
      </w:r>
    </w:p>
    <w:p w14:paraId="5745CAAD" w14:textId="77777777" w:rsidR="009B0496" w:rsidRPr="00BE18D7" w:rsidRDefault="009B0496" w:rsidP="009B0496">
      <w:pPr>
        <w:tabs>
          <w:tab w:val="left" w:pos="426"/>
        </w:tabs>
        <w:spacing w:line="276" w:lineRule="auto"/>
        <w:ind w:left="709" w:right="709"/>
        <w:jc w:val="both"/>
        <w:rPr>
          <w:rFonts w:ascii="Arial" w:eastAsia="Calibri" w:hAnsi="Arial" w:cs="Arial"/>
          <w:bCs/>
          <w:color w:val="000000" w:themeColor="text1"/>
          <w:sz w:val="21"/>
          <w:szCs w:val="21"/>
        </w:rPr>
      </w:pPr>
    </w:p>
    <w:p w14:paraId="399529A9" w14:textId="1109F7EE" w:rsidR="00780223" w:rsidRPr="00BE18D7" w:rsidRDefault="00A82FDF" w:rsidP="00965ED6">
      <w:pPr>
        <w:tabs>
          <w:tab w:val="left" w:pos="426"/>
        </w:tabs>
        <w:spacing w:line="276" w:lineRule="auto"/>
        <w:jc w:val="both"/>
        <w:rPr>
          <w:rFonts w:ascii="Arial" w:eastAsia="Calibri" w:hAnsi="Arial" w:cs="Arial"/>
          <w:color w:val="000000" w:themeColor="text1"/>
          <w:sz w:val="22"/>
        </w:rPr>
      </w:pPr>
      <w:r w:rsidRPr="00BE18D7">
        <w:rPr>
          <w:rFonts w:ascii="Arial" w:eastAsia="Calibri" w:hAnsi="Arial" w:cs="Arial"/>
          <w:color w:val="000000" w:themeColor="text1"/>
          <w:sz w:val="22"/>
        </w:rPr>
        <w:tab/>
      </w:r>
      <w:r w:rsidR="001B0FFB" w:rsidRPr="00BE18D7">
        <w:rPr>
          <w:rFonts w:ascii="Arial" w:eastAsia="Calibri" w:hAnsi="Arial" w:cs="Arial"/>
          <w:color w:val="000000" w:themeColor="text1"/>
          <w:sz w:val="22"/>
        </w:rPr>
        <w:tab/>
      </w:r>
      <w:r w:rsidRPr="00BE18D7">
        <w:rPr>
          <w:rFonts w:ascii="Arial" w:eastAsia="Calibri" w:hAnsi="Arial" w:cs="Arial"/>
          <w:color w:val="000000" w:themeColor="text1"/>
          <w:sz w:val="22"/>
        </w:rPr>
        <w:t>Del texto de</w:t>
      </w:r>
      <w:r w:rsidR="001B0FFB" w:rsidRPr="00BE18D7">
        <w:rPr>
          <w:rFonts w:ascii="Arial" w:eastAsia="Calibri" w:hAnsi="Arial" w:cs="Arial"/>
          <w:color w:val="000000" w:themeColor="text1"/>
          <w:sz w:val="22"/>
        </w:rPr>
        <w:t xml:space="preserve"> la norma se permiten extraer 3 conclusiones</w:t>
      </w:r>
      <w:r w:rsidRPr="00BE18D7">
        <w:rPr>
          <w:rFonts w:ascii="Arial" w:eastAsia="Calibri" w:hAnsi="Arial" w:cs="Arial"/>
          <w:color w:val="000000" w:themeColor="text1"/>
          <w:sz w:val="22"/>
        </w:rPr>
        <w:t>, la primera, que los establecimientos de comercio son u</w:t>
      </w:r>
      <w:r w:rsidR="00780223" w:rsidRPr="00BE18D7">
        <w:rPr>
          <w:rFonts w:ascii="Arial" w:eastAsia="Calibri" w:hAnsi="Arial" w:cs="Arial"/>
          <w:color w:val="000000" w:themeColor="text1"/>
          <w:sz w:val="22"/>
        </w:rPr>
        <w:t>n conjunto de bienes</w:t>
      </w:r>
      <w:r w:rsidRPr="00BE18D7">
        <w:rPr>
          <w:rFonts w:ascii="Arial" w:eastAsia="Calibri" w:hAnsi="Arial" w:cs="Arial"/>
          <w:color w:val="000000" w:themeColor="text1"/>
          <w:sz w:val="22"/>
        </w:rPr>
        <w:t>.</w:t>
      </w:r>
      <w:r w:rsidR="00F61F29" w:rsidRPr="00BE18D7">
        <w:rPr>
          <w:rFonts w:ascii="Arial" w:eastAsia="Calibri" w:hAnsi="Arial" w:cs="Arial"/>
          <w:color w:val="000000" w:themeColor="text1"/>
          <w:sz w:val="22"/>
        </w:rPr>
        <w:t xml:space="preserve"> La segunda, constituyen una universalidad </w:t>
      </w:r>
      <w:r w:rsidR="00780223" w:rsidRPr="00BE18D7">
        <w:rPr>
          <w:rFonts w:ascii="Arial" w:eastAsia="Calibri" w:hAnsi="Arial" w:cs="Arial"/>
          <w:color w:val="000000" w:themeColor="text1"/>
          <w:sz w:val="22"/>
        </w:rPr>
        <w:t>de hecho</w:t>
      </w:r>
      <w:r w:rsidR="00F61F29" w:rsidRPr="00BE18D7">
        <w:rPr>
          <w:rFonts w:ascii="Arial" w:eastAsia="Calibri" w:hAnsi="Arial" w:cs="Arial"/>
          <w:color w:val="000000" w:themeColor="text1"/>
          <w:sz w:val="22"/>
        </w:rPr>
        <w:t xml:space="preserve"> para cumplir los fines del empresario</w:t>
      </w:r>
      <w:r w:rsidR="001B0FFB" w:rsidRPr="00BE18D7">
        <w:rPr>
          <w:rFonts w:ascii="Arial" w:eastAsia="Calibri" w:hAnsi="Arial" w:cs="Arial"/>
          <w:color w:val="000000" w:themeColor="text1"/>
          <w:sz w:val="22"/>
        </w:rPr>
        <w:t>.</w:t>
      </w:r>
      <w:r w:rsidRPr="00BE18D7">
        <w:rPr>
          <w:rFonts w:ascii="Arial" w:eastAsia="Calibri" w:hAnsi="Arial" w:cs="Arial"/>
          <w:color w:val="000000" w:themeColor="text1"/>
          <w:sz w:val="22"/>
        </w:rPr>
        <w:t xml:space="preserve"> La </w:t>
      </w:r>
      <w:r w:rsidR="00F61F29" w:rsidRPr="00BE18D7">
        <w:rPr>
          <w:rFonts w:ascii="Arial" w:eastAsia="Calibri" w:hAnsi="Arial" w:cs="Arial"/>
          <w:color w:val="000000" w:themeColor="text1"/>
          <w:sz w:val="22"/>
        </w:rPr>
        <w:t>tercera</w:t>
      </w:r>
      <w:r w:rsidR="00A64726" w:rsidRPr="00BE18D7">
        <w:rPr>
          <w:rFonts w:ascii="Arial" w:eastAsia="Calibri" w:hAnsi="Arial" w:cs="Arial"/>
          <w:color w:val="000000" w:themeColor="text1"/>
          <w:sz w:val="22"/>
        </w:rPr>
        <w:t>, que</w:t>
      </w:r>
      <w:r w:rsidRPr="00BE18D7">
        <w:rPr>
          <w:rFonts w:ascii="Arial" w:eastAsia="Calibri" w:hAnsi="Arial" w:cs="Arial"/>
          <w:color w:val="000000" w:themeColor="text1"/>
          <w:sz w:val="22"/>
        </w:rPr>
        <w:t xml:space="preserve"> la titularidad del derecho de propiedad </w:t>
      </w:r>
      <w:r w:rsidR="00A64726" w:rsidRPr="00BE18D7">
        <w:rPr>
          <w:rFonts w:ascii="Arial" w:eastAsia="Calibri" w:hAnsi="Arial" w:cs="Arial"/>
          <w:color w:val="000000" w:themeColor="text1"/>
          <w:sz w:val="22"/>
        </w:rPr>
        <w:t xml:space="preserve">de los establecimientos de comercio </w:t>
      </w:r>
      <w:r w:rsidRPr="00BE18D7">
        <w:rPr>
          <w:rFonts w:ascii="Arial" w:eastAsia="Calibri" w:hAnsi="Arial" w:cs="Arial"/>
          <w:color w:val="000000" w:themeColor="text1"/>
          <w:sz w:val="22"/>
        </w:rPr>
        <w:t xml:space="preserve">radica en personas naturales o jurídicas, lo que </w:t>
      </w:r>
      <w:r w:rsidR="00A64726" w:rsidRPr="00BE18D7">
        <w:rPr>
          <w:rFonts w:ascii="Arial" w:eastAsia="Calibri" w:hAnsi="Arial" w:cs="Arial"/>
          <w:color w:val="000000" w:themeColor="text1"/>
          <w:sz w:val="22"/>
        </w:rPr>
        <w:t xml:space="preserve">lógicamente </w:t>
      </w:r>
      <w:r w:rsidRPr="00BE18D7">
        <w:rPr>
          <w:rFonts w:ascii="Arial" w:eastAsia="Calibri" w:hAnsi="Arial" w:cs="Arial"/>
          <w:color w:val="000000" w:themeColor="text1"/>
          <w:sz w:val="22"/>
        </w:rPr>
        <w:t xml:space="preserve">permite concluir que los establecimientos comerciales no son personas. </w:t>
      </w:r>
      <w:r w:rsidR="00780223" w:rsidRPr="00BE18D7">
        <w:rPr>
          <w:rFonts w:ascii="Arial" w:eastAsia="Calibri" w:hAnsi="Arial" w:cs="Arial"/>
          <w:color w:val="000000" w:themeColor="text1"/>
          <w:sz w:val="22"/>
        </w:rPr>
        <w:t>En consonancia con lo anterior</w:t>
      </w:r>
      <w:r w:rsidR="00A64726" w:rsidRPr="00BE18D7">
        <w:rPr>
          <w:rFonts w:ascii="Arial" w:eastAsia="Calibri" w:hAnsi="Arial" w:cs="Arial"/>
          <w:color w:val="000000" w:themeColor="text1"/>
          <w:sz w:val="22"/>
        </w:rPr>
        <w:t xml:space="preserve">, </w:t>
      </w:r>
      <w:r w:rsidR="00780223" w:rsidRPr="00BE18D7">
        <w:rPr>
          <w:rFonts w:ascii="Arial" w:eastAsia="Calibri" w:hAnsi="Arial" w:cs="Arial"/>
          <w:color w:val="000000" w:themeColor="text1"/>
          <w:sz w:val="22"/>
        </w:rPr>
        <w:t>la doctrina ha señalado</w:t>
      </w:r>
      <w:r w:rsidR="001B0FFB" w:rsidRPr="00BE18D7">
        <w:rPr>
          <w:rFonts w:ascii="Arial" w:eastAsia="Calibri" w:hAnsi="Arial" w:cs="Arial"/>
          <w:color w:val="000000" w:themeColor="text1"/>
          <w:sz w:val="22"/>
        </w:rPr>
        <w:t xml:space="preserve"> que</w:t>
      </w:r>
      <w:r w:rsidR="00780223" w:rsidRPr="00BE18D7">
        <w:rPr>
          <w:rFonts w:ascii="Arial" w:eastAsia="Calibri" w:hAnsi="Arial" w:cs="Arial"/>
          <w:color w:val="000000" w:themeColor="text1"/>
          <w:sz w:val="22"/>
        </w:rPr>
        <w:t xml:space="preserve"> los establecimientos de com</w:t>
      </w:r>
      <w:r w:rsidR="001B0FFB" w:rsidRPr="00BE18D7">
        <w:rPr>
          <w:rFonts w:ascii="Arial" w:eastAsia="Calibri" w:hAnsi="Arial" w:cs="Arial"/>
          <w:color w:val="000000" w:themeColor="text1"/>
          <w:sz w:val="22"/>
        </w:rPr>
        <w:t>ercio no son personas jurídicas, por lo cual</w:t>
      </w:r>
      <w:r w:rsidR="00780223" w:rsidRPr="00BE18D7">
        <w:rPr>
          <w:rFonts w:ascii="Arial" w:eastAsia="Calibri" w:hAnsi="Arial" w:cs="Arial"/>
          <w:color w:val="000000" w:themeColor="text1"/>
          <w:sz w:val="22"/>
        </w:rPr>
        <w:t xml:space="preserve"> no tienen capacidad</w:t>
      </w:r>
      <w:r w:rsidR="001B0FFB" w:rsidRPr="00BE18D7">
        <w:rPr>
          <w:rFonts w:ascii="Arial" w:eastAsia="Calibri" w:hAnsi="Arial" w:cs="Arial"/>
          <w:color w:val="000000" w:themeColor="text1"/>
          <w:sz w:val="22"/>
        </w:rPr>
        <w:t xml:space="preserve"> contractual ni procesal</w:t>
      </w:r>
      <w:r w:rsidR="008A2025" w:rsidRPr="00BE18D7">
        <w:rPr>
          <w:rFonts w:ascii="Arial" w:eastAsia="Calibri" w:hAnsi="Arial" w:cs="Arial"/>
          <w:color w:val="000000" w:themeColor="text1"/>
          <w:sz w:val="22"/>
        </w:rPr>
        <w:t>, al respecto se señaló:</w:t>
      </w:r>
    </w:p>
    <w:p w14:paraId="346D9903" w14:textId="77777777" w:rsidR="00780223" w:rsidRPr="00BE18D7" w:rsidRDefault="00780223" w:rsidP="00965ED6">
      <w:pPr>
        <w:tabs>
          <w:tab w:val="left" w:pos="426"/>
        </w:tabs>
        <w:spacing w:line="276" w:lineRule="auto"/>
        <w:jc w:val="both"/>
        <w:rPr>
          <w:rFonts w:ascii="Arial" w:eastAsia="Calibri" w:hAnsi="Arial" w:cs="Arial"/>
          <w:color w:val="000000" w:themeColor="text1"/>
          <w:sz w:val="22"/>
        </w:rPr>
      </w:pPr>
    </w:p>
    <w:p w14:paraId="2F00B52E" w14:textId="3102FB45" w:rsidR="008A2025" w:rsidRPr="00BE18D7" w:rsidRDefault="008A2025" w:rsidP="00965ED6">
      <w:pPr>
        <w:tabs>
          <w:tab w:val="left" w:pos="426"/>
        </w:tabs>
        <w:ind w:left="709" w:right="709"/>
        <w:jc w:val="both"/>
        <w:rPr>
          <w:rFonts w:ascii="Arial" w:eastAsia="Calibri" w:hAnsi="Arial" w:cs="Arial"/>
          <w:color w:val="000000" w:themeColor="text1"/>
          <w:sz w:val="22"/>
        </w:rPr>
      </w:pPr>
      <w:r w:rsidRPr="00BE18D7">
        <w:rPr>
          <w:rFonts w:ascii="Arial" w:eastAsia="Calibri" w:hAnsi="Arial" w:cs="Arial"/>
          <w:color w:val="000000" w:themeColor="text1"/>
          <w:sz w:val="22"/>
        </w:rPr>
        <w:t>Tampoco, el establecimiento de comercio puede reconocerse como un sujeto de derecho o, incluso. La prolongación de una persona natural, de una sociedad o de un conglomerado. Por ello, el establecimiento de comercio no puede ser parte ni de una relación contractual, ni jurídico-procesal</w:t>
      </w:r>
      <w:r w:rsidR="00780223" w:rsidRPr="00BE18D7">
        <w:rPr>
          <w:rStyle w:val="Refdenotaalpie"/>
          <w:rFonts w:ascii="Arial" w:eastAsia="Calibri" w:hAnsi="Arial" w:cs="Arial"/>
          <w:color w:val="000000" w:themeColor="text1"/>
          <w:sz w:val="22"/>
        </w:rPr>
        <w:footnoteReference w:id="19"/>
      </w:r>
      <w:r w:rsidRPr="00BE18D7">
        <w:rPr>
          <w:rFonts w:ascii="Arial" w:eastAsia="Calibri" w:hAnsi="Arial" w:cs="Arial"/>
          <w:color w:val="000000" w:themeColor="text1"/>
          <w:sz w:val="22"/>
        </w:rPr>
        <w:t>.</w:t>
      </w:r>
    </w:p>
    <w:p w14:paraId="7C24100E" w14:textId="77777777" w:rsidR="00780223" w:rsidRPr="00BE18D7" w:rsidRDefault="00780223" w:rsidP="00965ED6">
      <w:pPr>
        <w:tabs>
          <w:tab w:val="left" w:pos="426"/>
        </w:tabs>
        <w:ind w:left="709" w:right="709"/>
        <w:jc w:val="both"/>
        <w:rPr>
          <w:rFonts w:ascii="Arial" w:eastAsia="Calibri" w:hAnsi="Arial" w:cs="Arial"/>
          <w:color w:val="000000" w:themeColor="text1"/>
          <w:sz w:val="22"/>
        </w:rPr>
      </w:pPr>
    </w:p>
    <w:p w14:paraId="6DCC03F1" w14:textId="2AA210E5" w:rsidR="00F61F29" w:rsidRPr="00BE18D7" w:rsidRDefault="00F61F29" w:rsidP="0019378B">
      <w:pPr>
        <w:spacing w:line="276" w:lineRule="auto"/>
        <w:jc w:val="both"/>
        <w:rPr>
          <w:rFonts w:ascii="Arial" w:hAnsi="Arial" w:cs="Arial"/>
          <w:color w:val="000000" w:themeColor="text1"/>
          <w:sz w:val="22"/>
        </w:rPr>
      </w:pPr>
      <w:r w:rsidRPr="00BE18D7">
        <w:rPr>
          <w:rFonts w:ascii="Arial" w:eastAsia="Calibri" w:hAnsi="Arial" w:cs="Arial"/>
          <w:color w:val="000000" w:themeColor="text1"/>
          <w:sz w:val="22"/>
        </w:rPr>
        <w:tab/>
        <w:t xml:space="preserve">De otro lado, en relación con los bienes materiales e inmateriales que conforman </w:t>
      </w:r>
      <w:r w:rsidR="00780223" w:rsidRPr="00BE18D7">
        <w:rPr>
          <w:rFonts w:ascii="Arial" w:eastAsia="Calibri" w:hAnsi="Arial" w:cs="Arial"/>
          <w:color w:val="000000" w:themeColor="text1"/>
          <w:sz w:val="22"/>
        </w:rPr>
        <w:t>el establecimiento de comercio,</w:t>
      </w:r>
      <w:r w:rsidRPr="00BE18D7">
        <w:rPr>
          <w:rFonts w:ascii="Arial" w:eastAsia="Calibri" w:hAnsi="Arial" w:cs="Arial"/>
          <w:color w:val="000000" w:themeColor="text1"/>
          <w:sz w:val="22"/>
        </w:rPr>
        <w:t xml:space="preserve"> el artículo 516 enuncia los siguientes: a)</w:t>
      </w:r>
      <w:r w:rsidR="001B0FFB" w:rsidRPr="00BE18D7">
        <w:rPr>
          <w:rFonts w:ascii="Arial" w:hAnsi="Arial" w:cs="Arial"/>
          <w:color w:val="000000" w:themeColor="text1"/>
          <w:sz w:val="22"/>
        </w:rPr>
        <w:t> l</w:t>
      </w:r>
      <w:r w:rsidRPr="00BE18D7">
        <w:rPr>
          <w:rFonts w:ascii="Arial" w:hAnsi="Arial" w:cs="Arial"/>
          <w:color w:val="000000" w:themeColor="text1"/>
          <w:sz w:val="22"/>
        </w:rPr>
        <w:t>a enseña o nombre comercial y las marcas d</w:t>
      </w:r>
      <w:r w:rsidR="001B0FFB" w:rsidRPr="00BE18D7">
        <w:rPr>
          <w:rFonts w:ascii="Arial" w:hAnsi="Arial" w:cs="Arial"/>
          <w:color w:val="000000" w:themeColor="text1"/>
          <w:sz w:val="22"/>
        </w:rPr>
        <w:t>e productos y de servicios; b) l</w:t>
      </w:r>
      <w:r w:rsidRPr="00BE18D7">
        <w:rPr>
          <w:rFonts w:ascii="Arial" w:hAnsi="Arial" w:cs="Arial"/>
          <w:color w:val="000000" w:themeColor="text1"/>
          <w:sz w:val="22"/>
        </w:rPr>
        <w:t>os derechos del empresario sobre las invenciones o creaciones industriales o artísticas que se utilicen en las actividades del establecimiento;</w:t>
      </w:r>
      <w:r w:rsidRPr="00BE18D7">
        <w:rPr>
          <w:rFonts w:ascii="Arial" w:hAnsi="Arial" w:cs="Arial"/>
          <w:color w:val="000000" w:themeColor="text1"/>
          <w:sz w:val="22"/>
          <w:lang w:val="es-CO"/>
        </w:rPr>
        <w:t xml:space="preserve"> c) </w:t>
      </w:r>
      <w:r w:rsidR="001B0FFB" w:rsidRPr="00BE18D7">
        <w:rPr>
          <w:rFonts w:ascii="Arial" w:hAnsi="Arial" w:cs="Arial"/>
          <w:color w:val="000000" w:themeColor="text1"/>
          <w:sz w:val="22"/>
        </w:rPr>
        <w:t>l</w:t>
      </w:r>
      <w:r w:rsidRPr="00BE18D7">
        <w:rPr>
          <w:rFonts w:ascii="Arial" w:hAnsi="Arial" w:cs="Arial"/>
          <w:color w:val="000000" w:themeColor="text1"/>
          <w:sz w:val="22"/>
        </w:rPr>
        <w:t>as mercancías en almacén o en proceso de elaboración, los créditos y los demás valores similares;</w:t>
      </w:r>
      <w:r w:rsidRPr="00BE18D7">
        <w:rPr>
          <w:rFonts w:ascii="Arial" w:hAnsi="Arial" w:cs="Arial"/>
          <w:color w:val="000000" w:themeColor="text1"/>
          <w:sz w:val="22"/>
          <w:lang w:val="es-CO"/>
        </w:rPr>
        <w:t xml:space="preserve"> d) </w:t>
      </w:r>
      <w:r w:rsidR="001B0FFB" w:rsidRPr="00BE18D7">
        <w:rPr>
          <w:rFonts w:ascii="Arial" w:hAnsi="Arial" w:cs="Arial"/>
          <w:color w:val="000000" w:themeColor="text1"/>
          <w:sz w:val="22"/>
        </w:rPr>
        <w:t>e</w:t>
      </w:r>
      <w:r w:rsidRPr="00BE18D7">
        <w:rPr>
          <w:rFonts w:ascii="Arial" w:hAnsi="Arial" w:cs="Arial"/>
          <w:color w:val="000000" w:themeColor="text1"/>
          <w:sz w:val="22"/>
        </w:rPr>
        <w:t>l mobiliario y las instalaciones;</w:t>
      </w:r>
      <w:r w:rsidRPr="00BE18D7">
        <w:rPr>
          <w:rFonts w:ascii="Arial" w:hAnsi="Arial" w:cs="Arial"/>
          <w:color w:val="000000" w:themeColor="text1"/>
          <w:sz w:val="22"/>
          <w:lang w:val="es-CO"/>
        </w:rPr>
        <w:t xml:space="preserve"> e) </w:t>
      </w:r>
      <w:r w:rsidR="001B0FFB" w:rsidRPr="00BE18D7">
        <w:rPr>
          <w:rFonts w:ascii="Arial" w:hAnsi="Arial" w:cs="Arial"/>
          <w:color w:val="000000" w:themeColor="text1"/>
          <w:sz w:val="22"/>
        </w:rPr>
        <w:t>l</w:t>
      </w:r>
      <w:r w:rsidRPr="00BE18D7">
        <w:rPr>
          <w:rFonts w:ascii="Arial" w:hAnsi="Arial" w:cs="Arial"/>
          <w:color w:val="000000" w:themeColor="text1"/>
          <w:sz w:val="22"/>
        </w:rPr>
        <w:t xml:space="preserve">os contratos de arrendamiento y, en caso de enajenación, el derecho al arrendamiento de los locales en que funciona si son de propiedad del empresario, y las indemnizaciones que, conforme a la </w:t>
      </w:r>
      <w:r w:rsidRPr="00BE18D7">
        <w:rPr>
          <w:rFonts w:ascii="Arial" w:hAnsi="Arial" w:cs="Arial"/>
          <w:color w:val="000000" w:themeColor="text1"/>
          <w:sz w:val="22"/>
        </w:rPr>
        <w:lastRenderedPageBreak/>
        <w:t>ley, tenga el arrendatario;</w:t>
      </w:r>
      <w:r w:rsidRPr="00BE18D7">
        <w:rPr>
          <w:rFonts w:ascii="Arial" w:hAnsi="Arial" w:cs="Arial"/>
          <w:color w:val="000000" w:themeColor="text1"/>
          <w:sz w:val="22"/>
          <w:lang w:val="es-CO"/>
        </w:rPr>
        <w:t xml:space="preserve"> f) </w:t>
      </w:r>
      <w:r w:rsidR="001B0FFB" w:rsidRPr="00BE18D7">
        <w:rPr>
          <w:rFonts w:ascii="Arial" w:hAnsi="Arial" w:cs="Arial"/>
          <w:color w:val="000000" w:themeColor="text1"/>
          <w:sz w:val="22"/>
        </w:rPr>
        <w:t>e</w:t>
      </w:r>
      <w:r w:rsidRPr="00BE18D7">
        <w:rPr>
          <w:rFonts w:ascii="Arial" w:hAnsi="Arial" w:cs="Arial"/>
          <w:color w:val="000000" w:themeColor="text1"/>
          <w:sz w:val="22"/>
        </w:rPr>
        <w:t>l derecho </w:t>
      </w:r>
      <w:r w:rsidRPr="00BE18D7">
        <w:rPr>
          <w:rFonts w:ascii="Arial" w:hAnsi="Arial" w:cs="Arial"/>
          <w:bCs/>
          <w:color w:val="000000" w:themeColor="text1"/>
          <w:sz w:val="22"/>
        </w:rPr>
        <w:t>a impedir la desviación de la clientela y</w:t>
      </w:r>
      <w:r w:rsidRPr="00BE18D7">
        <w:rPr>
          <w:rFonts w:ascii="Arial" w:hAnsi="Arial" w:cs="Arial"/>
          <w:color w:val="000000" w:themeColor="text1"/>
          <w:sz w:val="22"/>
        </w:rPr>
        <w:t xml:space="preserve"> a la </w:t>
      </w:r>
      <w:r w:rsidR="004202F3" w:rsidRPr="00BE18D7">
        <w:rPr>
          <w:rFonts w:ascii="Arial" w:hAnsi="Arial" w:cs="Arial"/>
          <w:color w:val="000000" w:themeColor="text1"/>
          <w:sz w:val="22"/>
        </w:rPr>
        <w:t>protección de la fama comercial;</w:t>
      </w:r>
      <w:r w:rsidRPr="00BE18D7">
        <w:rPr>
          <w:rFonts w:ascii="Arial" w:hAnsi="Arial" w:cs="Arial"/>
          <w:color w:val="000000" w:themeColor="text1"/>
          <w:sz w:val="22"/>
        </w:rPr>
        <w:t xml:space="preserve"> y </w:t>
      </w:r>
      <w:r w:rsidRPr="00BE18D7">
        <w:rPr>
          <w:rFonts w:ascii="Arial" w:hAnsi="Arial" w:cs="Arial"/>
          <w:color w:val="000000" w:themeColor="text1"/>
          <w:sz w:val="22"/>
          <w:lang w:val="es-CO"/>
        </w:rPr>
        <w:t xml:space="preserve"> g) </w:t>
      </w:r>
      <w:r w:rsidR="004202F3" w:rsidRPr="00BE18D7">
        <w:rPr>
          <w:rFonts w:ascii="Arial" w:hAnsi="Arial" w:cs="Arial"/>
          <w:color w:val="000000" w:themeColor="text1"/>
          <w:sz w:val="22"/>
        </w:rPr>
        <w:t>l</w:t>
      </w:r>
      <w:r w:rsidRPr="00BE18D7">
        <w:rPr>
          <w:rFonts w:ascii="Arial" w:hAnsi="Arial" w:cs="Arial"/>
          <w:color w:val="000000" w:themeColor="text1"/>
          <w:sz w:val="22"/>
        </w:rPr>
        <w:t>os derechos y obligaciones mercantiles derivados de las actividades propias del establecimiento, siempre que no provengan de contratos celebrados exclusivamente en consideración al titular de dicho establecimiento.</w:t>
      </w:r>
    </w:p>
    <w:p w14:paraId="2C17D51B" w14:textId="7752FFB8" w:rsidR="004202F3" w:rsidRPr="00BE18D7" w:rsidRDefault="00C37664" w:rsidP="00965ED6">
      <w:pPr>
        <w:spacing w:before="120" w:after="120" w:line="276" w:lineRule="auto"/>
        <w:jc w:val="both"/>
        <w:rPr>
          <w:rFonts w:ascii="Arial" w:hAnsi="Arial" w:cs="Arial"/>
          <w:color w:val="000000" w:themeColor="text1"/>
          <w:sz w:val="22"/>
        </w:rPr>
      </w:pPr>
      <w:r w:rsidRPr="00BE18D7">
        <w:rPr>
          <w:rFonts w:ascii="Arial" w:hAnsi="Arial" w:cs="Arial"/>
          <w:color w:val="000000" w:themeColor="text1"/>
          <w:sz w:val="22"/>
        </w:rPr>
        <w:tab/>
        <w:t>Bajo este entendimiento, la Subdirección de Gestión Contractual con</w:t>
      </w:r>
      <w:r w:rsidR="006F4C35" w:rsidRPr="00BE18D7">
        <w:rPr>
          <w:rFonts w:ascii="Arial" w:hAnsi="Arial" w:cs="Arial"/>
          <w:color w:val="000000" w:themeColor="text1"/>
          <w:sz w:val="22"/>
        </w:rPr>
        <w:t>cluye</w:t>
      </w:r>
      <w:r w:rsidRPr="00BE18D7">
        <w:rPr>
          <w:rFonts w:ascii="Arial" w:hAnsi="Arial" w:cs="Arial"/>
          <w:color w:val="000000" w:themeColor="text1"/>
          <w:sz w:val="22"/>
        </w:rPr>
        <w:t xml:space="preserve"> que no es posible que, a través de la venta de un establecimiento de comercio, </w:t>
      </w:r>
      <w:r w:rsidR="00F4797F" w:rsidRPr="00BE18D7">
        <w:rPr>
          <w:rFonts w:ascii="Arial" w:hAnsi="Arial" w:cs="Arial"/>
          <w:color w:val="000000" w:themeColor="text1"/>
          <w:sz w:val="22"/>
        </w:rPr>
        <w:t xml:space="preserve">se transfiera </w:t>
      </w:r>
      <w:r w:rsidR="004202F3" w:rsidRPr="00BE18D7">
        <w:rPr>
          <w:rFonts w:ascii="Arial" w:hAnsi="Arial" w:cs="Arial"/>
          <w:color w:val="000000" w:themeColor="text1"/>
          <w:sz w:val="22"/>
        </w:rPr>
        <w:t xml:space="preserve">la </w:t>
      </w:r>
      <w:r w:rsidR="00F4797F" w:rsidRPr="00BE18D7">
        <w:rPr>
          <w:rFonts w:ascii="Arial" w:hAnsi="Arial" w:cs="Arial"/>
          <w:color w:val="000000" w:themeColor="text1"/>
          <w:sz w:val="22"/>
        </w:rPr>
        <w:t xml:space="preserve">experiencia del antiguo propietario,  </w:t>
      </w:r>
      <w:r w:rsidR="0019378B" w:rsidRPr="00BE18D7">
        <w:rPr>
          <w:rFonts w:ascii="Arial" w:hAnsi="Arial" w:cs="Arial"/>
          <w:color w:val="000000" w:themeColor="text1"/>
          <w:sz w:val="22"/>
        </w:rPr>
        <w:t>pues</w:t>
      </w:r>
      <w:r w:rsidR="0064300C" w:rsidRPr="00BE18D7">
        <w:rPr>
          <w:rFonts w:ascii="Arial" w:hAnsi="Arial" w:cs="Arial"/>
          <w:color w:val="000000" w:themeColor="text1"/>
          <w:sz w:val="22"/>
        </w:rPr>
        <w:t xml:space="preserve"> su enajenación no puede incluir una condición que no integra el conjunto de bienes que constituyen al establecimiento.</w:t>
      </w:r>
      <w:r w:rsidR="004202F3" w:rsidRPr="00BE18D7">
        <w:rPr>
          <w:rFonts w:ascii="Arial" w:hAnsi="Arial" w:cs="Arial"/>
          <w:color w:val="000000" w:themeColor="text1"/>
          <w:sz w:val="22"/>
        </w:rPr>
        <w:t xml:space="preserve"> </w:t>
      </w:r>
      <w:r w:rsidR="008A2025" w:rsidRPr="00BE18D7">
        <w:rPr>
          <w:rFonts w:ascii="Arial" w:hAnsi="Arial" w:cs="Arial"/>
          <w:color w:val="000000" w:themeColor="text1"/>
          <w:sz w:val="22"/>
        </w:rPr>
        <w:t>Además</w:t>
      </w:r>
      <w:r w:rsidR="0064300C" w:rsidRPr="00BE18D7">
        <w:rPr>
          <w:rFonts w:ascii="Arial" w:hAnsi="Arial" w:cs="Arial"/>
          <w:color w:val="000000" w:themeColor="text1"/>
          <w:sz w:val="22"/>
        </w:rPr>
        <w:t xml:space="preserve">, </w:t>
      </w:r>
      <w:r w:rsidRPr="00BE18D7">
        <w:rPr>
          <w:rFonts w:ascii="Arial" w:hAnsi="Arial" w:cs="Arial"/>
          <w:color w:val="000000" w:themeColor="text1"/>
          <w:sz w:val="22"/>
        </w:rPr>
        <w:t xml:space="preserve">como se dijo, la experiencia es una condición de la persona </w:t>
      </w:r>
      <w:r w:rsidR="006F4C35" w:rsidRPr="00BE18D7">
        <w:rPr>
          <w:rFonts w:ascii="Arial" w:hAnsi="Arial" w:cs="Arial"/>
          <w:color w:val="000000" w:themeColor="text1"/>
          <w:sz w:val="22"/>
        </w:rPr>
        <w:t>natural o jurídica y no de los bienes a través de los cuales adquirió la misma y no se entiende que con este negocio jurídico la persona natur</w:t>
      </w:r>
      <w:r w:rsidR="004202F3" w:rsidRPr="00BE18D7">
        <w:rPr>
          <w:rFonts w:ascii="Arial" w:hAnsi="Arial" w:cs="Arial"/>
          <w:color w:val="000000" w:themeColor="text1"/>
          <w:sz w:val="22"/>
        </w:rPr>
        <w:t xml:space="preserve">al pase a conformar la sociedad que adquiere el establecimiento de comercio. </w:t>
      </w:r>
    </w:p>
    <w:p w14:paraId="4C16AD74" w14:textId="77777777" w:rsidR="00965ED6" w:rsidRPr="00BE18D7" w:rsidRDefault="00965ED6" w:rsidP="00965ED6">
      <w:pPr>
        <w:spacing w:line="276" w:lineRule="auto"/>
        <w:jc w:val="both"/>
        <w:rPr>
          <w:rFonts w:ascii="Arial" w:hAnsi="Arial" w:cs="Arial"/>
          <w:color w:val="000000" w:themeColor="text1"/>
          <w:sz w:val="22"/>
        </w:rPr>
      </w:pPr>
    </w:p>
    <w:bookmarkEnd w:id="0"/>
    <w:bookmarkEnd w:id="1"/>
    <w:p w14:paraId="17B7DF92" w14:textId="0E802A96" w:rsidR="00AD1B0F" w:rsidRPr="00BE18D7" w:rsidRDefault="00D75C60" w:rsidP="00965ED6">
      <w:pPr>
        <w:spacing w:line="276" w:lineRule="auto"/>
        <w:jc w:val="both"/>
        <w:rPr>
          <w:rFonts w:ascii="Arial" w:hAnsi="Arial" w:cs="Arial"/>
          <w:b/>
          <w:color w:val="000000" w:themeColor="text1"/>
          <w:sz w:val="22"/>
        </w:rPr>
      </w:pPr>
      <w:r w:rsidRPr="00BE18D7">
        <w:rPr>
          <w:rFonts w:ascii="Arial" w:hAnsi="Arial" w:cs="Arial"/>
          <w:b/>
          <w:color w:val="000000" w:themeColor="text1"/>
          <w:sz w:val="22"/>
        </w:rPr>
        <w:t>2.5</w:t>
      </w:r>
      <w:r w:rsidR="00AD1B0F" w:rsidRPr="00BE18D7">
        <w:rPr>
          <w:rFonts w:ascii="Arial" w:hAnsi="Arial" w:cs="Arial"/>
          <w:b/>
          <w:color w:val="000000" w:themeColor="text1"/>
          <w:sz w:val="22"/>
        </w:rPr>
        <w:t>.</w:t>
      </w:r>
      <w:r w:rsidR="00AD1B0F" w:rsidRPr="00BE18D7">
        <w:rPr>
          <w:rFonts w:ascii="Arial" w:hAnsi="Arial" w:cs="Arial"/>
          <w:b/>
          <w:color w:val="000000" w:themeColor="text1"/>
          <w:sz w:val="22"/>
        </w:rPr>
        <w:tab/>
        <w:t>Acreditación de ex</w:t>
      </w:r>
      <w:r w:rsidR="009F1F65" w:rsidRPr="00BE18D7">
        <w:rPr>
          <w:rFonts w:ascii="Arial" w:hAnsi="Arial" w:cs="Arial"/>
          <w:b/>
          <w:color w:val="000000" w:themeColor="text1"/>
          <w:sz w:val="22"/>
        </w:rPr>
        <w:t xml:space="preserve">periencia de sociedades nuevas </w:t>
      </w:r>
    </w:p>
    <w:p w14:paraId="38EE8ABE" w14:textId="77777777" w:rsidR="003C66C5" w:rsidRPr="00BE18D7" w:rsidRDefault="003C66C5" w:rsidP="00965ED6">
      <w:pPr>
        <w:spacing w:line="276" w:lineRule="auto"/>
        <w:jc w:val="both"/>
        <w:rPr>
          <w:rFonts w:ascii="Arial" w:hAnsi="Arial" w:cs="Arial"/>
          <w:b/>
          <w:color w:val="000000" w:themeColor="text1"/>
          <w:sz w:val="22"/>
        </w:rPr>
      </w:pPr>
    </w:p>
    <w:p w14:paraId="5A869F28" w14:textId="72FDE8E4" w:rsidR="00AD1B0F" w:rsidRPr="00BE18D7" w:rsidRDefault="00AD1B0F" w:rsidP="00F4797F">
      <w:pPr>
        <w:spacing w:line="276" w:lineRule="auto"/>
        <w:jc w:val="both"/>
        <w:rPr>
          <w:rFonts w:ascii="Arial" w:hAnsi="Arial" w:cs="Arial"/>
          <w:color w:val="000000" w:themeColor="text1"/>
          <w:sz w:val="22"/>
        </w:rPr>
      </w:pPr>
      <w:r w:rsidRPr="00BE18D7">
        <w:rPr>
          <w:rFonts w:ascii="Arial" w:hAnsi="Arial" w:cs="Arial"/>
          <w:color w:val="000000" w:themeColor="text1"/>
          <w:sz w:val="22"/>
        </w:rPr>
        <w:t xml:space="preserve">La Agencia Nacional de Contratación Pública – Colombia Compra Eficiente, se pronunció en el concepto identificado con radicado No. 4201912000003636 del 20 de agosto de 2019, reiterado en el concepto con radicado No. 4201912000004743 del 28 de agosto de 2019 y en el concepto con radicado No. 4201913000006797 del 19 de noviembre de 2019, sobre la acreditación de la experiencia de las sociedades cuya constitución es inferior a tres (3) años. La tesis </w:t>
      </w:r>
      <w:r w:rsidR="00F3643D" w:rsidRPr="00BE18D7">
        <w:rPr>
          <w:rFonts w:ascii="Arial" w:hAnsi="Arial" w:cs="Arial"/>
          <w:color w:val="000000" w:themeColor="text1"/>
          <w:sz w:val="22"/>
        </w:rPr>
        <w:t xml:space="preserve">desarrollada se expone a continuación. </w:t>
      </w:r>
      <w:r w:rsidR="009F1F65" w:rsidRPr="00BE18D7">
        <w:rPr>
          <w:rFonts w:ascii="Arial" w:hAnsi="Arial" w:cs="Arial"/>
          <w:color w:val="000000" w:themeColor="text1"/>
          <w:sz w:val="22"/>
        </w:rPr>
        <w:t xml:space="preserve"> </w:t>
      </w:r>
    </w:p>
    <w:p w14:paraId="55FF52D6" w14:textId="5FB2078D" w:rsidR="00AD1B0F" w:rsidRPr="00BE18D7" w:rsidRDefault="00AD1B0F" w:rsidP="008A2025">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La Ley 1150 de 2007, en el artículo 5, establece que la capacidad jurídica y las condiciones de experiencia, capacidad financiera y de organización de los proponentes serán objeto de verificación por parte de las entidades como requisitos habilitantes para la participación en el proceso de selección y no otorgarán puntaje; con excepción del proceso de selección de consultores, donde es posible otorgar punt</w:t>
      </w:r>
      <w:r w:rsidR="00F3643D" w:rsidRPr="00BE18D7">
        <w:rPr>
          <w:rFonts w:ascii="Arial" w:hAnsi="Arial" w:cs="Arial"/>
          <w:color w:val="000000" w:themeColor="text1"/>
          <w:sz w:val="22"/>
        </w:rPr>
        <w:t>aje al criterio de experiencia.</w:t>
      </w:r>
      <w:r w:rsidRPr="00BE18D7">
        <w:rPr>
          <w:rFonts w:ascii="Arial" w:hAnsi="Arial" w:cs="Arial"/>
          <w:color w:val="000000" w:themeColor="text1"/>
          <w:sz w:val="22"/>
        </w:rPr>
        <w:t xml:space="preserve"> </w:t>
      </w:r>
    </w:p>
    <w:p w14:paraId="5AA24C6B" w14:textId="65B54C70" w:rsidR="00AD1B0F" w:rsidRPr="00BE18D7" w:rsidRDefault="00AD1B0F" w:rsidP="008A2025">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w:t>
      </w:r>
      <w:r w:rsidR="00F3643D" w:rsidRPr="00BE18D7">
        <w:rPr>
          <w:rFonts w:ascii="Arial" w:hAnsi="Arial" w:cs="Arial"/>
          <w:color w:val="000000" w:themeColor="text1"/>
          <w:sz w:val="22"/>
        </w:rPr>
        <w:t>l proponente y su clasificación</w:t>
      </w:r>
      <w:r w:rsidRPr="00BE18D7">
        <w:rPr>
          <w:rFonts w:ascii="Arial" w:hAnsi="Arial" w:cs="Arial"/>
          <w:color w:val="000000" w:themeColor="text1"/>
          <w:sz w:val="22"/>
        </w:rPr>
        <w:t>. Frente al requisito hab</w:t>
      </w:r>
      <w:r w:rsidR="00F3643D" w:rsidRPr="00BE18D7">
        <w:rPr>
          <w:rFonts w:ascii="Arial" w:hAnsi="Arial" w:cs="Arial"/>
          <w:color w:val="000000" w:themeColor="text1"/>
          <w:sz w:val="22"/>
        </w:rPr>
        <w:t>ilitante de experiencia, en el «</w:t>
      </w:r>
      <w:r w:rsidRPr="00BE18D7">
        <w:rPr>
          <w:rFonts w:ascii="Arial" w:hAnsi="Arial" w:cs="Arial"/>
          <w:color w:val="000000" w:themeColor="text1"/>
          <w:sz w:val="22"/>
        </w:rPr>
        <w:t>Manual para determinar y verificar requisitos habilitantes en los procesos de cont</w:t>
      </w:r>
      <w:r w:rsidR="00F3643D" w:rsidRPr="00BE18D7">
        <w:rPr>
          <w:rFonts w:ascii="Arial" w:hAnsi="Arial" w:cs="Arial"/>
          <w:color w:val="000000" w:themeColor="text1"/>
          <w:sz w:val="22"/>
        </w:rPr>
        <w:t>ratación» se define la experiencia como «</w:t>
      </w:r>
      <w:r w:rsidRPr="00BE18D7">
        <w:rPr>
          <w:rFonts w:ascii="Arial" w:hAnsi="Arial" w:cs="Arial"/>
          <w:color w:val="000000" w:themeColor="text1"/>
          <w:sz w:val="22"/>
        </w:rPr>
        <w:t>el conocimiento del proponente derivado de su participación previa en actividades iguales o similares a las previs</w:t>
      </w:r>
      <w:r w:rsidR="00F3643D" w:rsidRPr="00BE18D7">
        <w:rPr>
          <w:rFonts w:ascii="Arial" w:hAnsi="Arial" w:cs="Arial"/>
          <w:color w:val="000000" w:themeColor="text1"/>
          <w:sz w:val="22"/>
        </w:rPr>
        <w:t>tas en el objeto del contrato»</w:t>
      </w:r>
      <w:r w:rsidR="009F1F65" w:rsidRPr="00BE18D7">
        <w:rPr>
          <w:rFonts w:ascii="Arial" w:hAnsi="Arial" w:cs="Arial"/>
          <w:color w:val="000000" w:themeColor="text1"/>
          <w:sz w:val="22"/>
        </w:rPr>
        <w:t>.</w:t>
      </w:r>
    </w:p>
    <w:p w14:paraId="6E2918DF" w14:textId="30EC4C09" w:rsidR="00AD1B0F" w:rsidRPr="00BE18D7" w:rsidRDefault="00AD1B0F" w:rsidP="008A2025">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El Decreto 1082 de 2015, en el artículo 2.2.1.1.1.5.2, numeral 2.1, establece que si una perso</w:t>
      </w:r>
      <w:r w:rsidR="004202F3" w:rsidRPr="00BE18D7">
        <w:rPr>
          <w:rFonts w:ascii="Arial" w:hAnsi="Arial" w:cs="Arial"/>
          <w:color w:val="000000" w:themeColor="text1"/>
          <w:sz w:val="22"/>
        </w:rPr>
        <w:t xml:space="preserve">na natural </w:t>
      </w:r>
      <w:r w:rsidRPr="00BE18D7">
        <w:rPr>
          <w:rFonts w:ascii="Arial" w:hAnsi="Arial" w:cs="Arial"/>
          <w:color w:val="000000" w:themeColor="text1"/>
          <w:sz w:val="22"/>
        </w:rPr>
        <w:t xml:space="preserve">se inscribe al RUP, aportará los certificados de experiencia en provisión de bienes, obras y servicios, los cuales deben ser expedidos por terceros que hayan </w:t>
      </w:r>
      <w:r w:rsidRPr="00BE18D7">
        <w:rPr>
          <w:rFonts w:ascii="Arial" w:hAnsi="Arial" w:cs="Arial"/>
          <w:color w:val="000000" w:themeColor="text1"/>
          <w:sz w:val="22"/>
        </w:rPr>
        <w:lastRenderedPageBreak/>
        <w:t>recibido tales bienes, obras y servicios, y deben corresponder a contratos ejecutados o copias de los contratos cuando el interesado no pu</w:t>
      </w:r>
      <w:r w:rsidR="009F1F65" w:rsidRPr="00BE18D7">
        <w:rPr>
          <w:rFonts w:ascii="Arial" w:hAnsi="Arial" w:cs="Arial"/>
          <w:color w:val="000000" w:themeColor="text1"/>
          <w:sz w:val="22"/>
        </w:rPr>
        <w:t xml:space="preserve">ede obtener tal certificado.  </w:t>
      </w:r>
    </w:p>
    <w:p w14:paraId="1B45CCF0" w14:textId="7A6E2122" w:rsidR="00AD1B0F" w:rsidRPr="00BE18D7" w:rsidRDefault="00AD1B0F" w:rsidP="008A2025">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El numeral 2.5 del mismo artículo señala que la persona jurídica se registrará aportando los certificados de la experiencia en la provisión de los bienes, obras y s</w:t>
      </w:r>
      <w:r w:rsidR="004202F3" w:rsidRPr="00BE18D7">
        <w:rPr>
          <w:rFonts w:ascii="Arial" w:hAnsi="Arial" w:cs="Arial"/>
          <w:color w:val="000000" w:themeColor="text1"/>
          <w:sz w:val="22"/>
        </w:rPr>
        <w:t>ervicios que ofrecerá a las entidades e</w:t>
      </w:r>
      <w:r w:rsidRPr="00BE18D7">
        <w:rPr>
          <w:rFonts w:ascii="Arial" w:hAnsi="Arial" w:cs="Arial"/>
          <w:color w:val="000000" w:themeColor="text1"/>
          <w:sz w:val="22"/>
        </w:rPr>
        <w:t>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w:t>
      </w:r>
      <w:r w:rsidR="00864800" w:rsidRPr="00BE18D7">
        <w:rPr>
          <w:rFonts w:ascii="Arial" w:hAnsi="Arial" w:cs="Arial"/>
          <w:color w:val="000000" w:themeColor="text1"/>
          <w:sz w:val="22"/>
        </w:rPr>
        <w:t>, identificándolos con el Clasi</w:t>
      </w:r>
      <w:r w:rsidRPr="00BE18D7">
        <w:rPr>
          <w:rFonts w:ascii="Arial" w:hAnsi="Arial" w:cs="Arial"/>
          <w:color w:val="000000" w:themeColor="text1"/>
          <w:sz w:val="22"/>
        </w:rPr>
        <w:t xml:space="preserve">ficador de Bienes y Servicios, en el tercer nivel. Si la constitución </w:t>
      </w:r>
      <w:r w:rsidR="00864800" w:rsidRPr="00BE18D7">
        <w:rPr>
          <w:rFonts w:ascii="Arial" w:hAnsi="Arial" w:cs="Arial"/>
          <w:color w:val="000000" w:themeColor="text1"/>
          <w:sz w:val="22"/>
        </w:rPr>
        <w:t>del interesado es menor a 3</w:t>
      </w:r>
      <w:r w:rsidRPr="00BE18D7">
        <w:rPr>
          <w:rFonts w:ascii="Arial" w:hAnsi="Arial" w:cs="Arial"/>
          <w:color w:val="000000" w:themeColor="text1"/>
          <w:sz w:val="22"/>
        </w:rPr>
        <w:t xml:space="preserve"> años, puede acreditar la experiencia de sus accion</w:t>
      </w:r>
      <w:r w:rsidR="009F1F65" w:rsidRPr="00BE18D7">
        <w:rPr>
          <w:rFonts w:ascii="Arial" w:hAnsi="Arial" w:cs="Arial"/>
          <w:color w:val="000000" w:themeColor="text1"/>
          <w:sz w:val="22"/>
        </w:rPr>
        <w:t>istas, socios o constituyentes.</w:t>
      </w:r>
    </w:p>
    <w:p w14:paraId="5C5943D5" w14:textId="49868D59" w:rsidR="00AD1B0F" w:rsidRPr="00BE18D7" w:rsidRDefault="00AD1B0F" w:rsidP="008A2025">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La parte final del numeral 2.5 del artículo citado incluye una medida diferenciada para las personas jurídicas cuya constitución sea menor a 3 años al momento del registro. Esta medida, que puede ser entendida como de fomento a la participación de pequeños oferentes en la contratación estatal, permite que las sociedades relativamente nu</w:t>
      </w:r>
      <w:r w:rsidR="00864800" w:rsidRPr="00BE18D7">
        <w:rPr>
          <w:rFonts w:ascii="Arial" w:hAnsi="Arial" w:cs="Arial"/>
          <w:color w:val="000000" w:themeColor="text1"/>
          <w:sz w:val="22"/>
        </w:rPr>
        <w:t xml:space="preserve">evas </w:t>
      </w:r>
      <w:r w:rsidR="00864800" w:rsidRPr="00BE18D7">
        <w:rPr>
          <w:rFonts w:ascii="Arial" w:eastAsia="Calibri" w:hAnsi="Arial" w:cs="Arial"/>
          <w:color w:val="000000" w:themeColor="text1"/>
          <w:sz w:val="22"/>
        </w:rPr>
        <w:t>―</w:t>
      </w:r>
      <w:r w:rsidRPr="00BE18D7">
        <w:rPr>
          <w:rFonts w:ascii="Arial" w:hAnsi="Arial" w:cs="Arial"/>
          <w:color w:val="000000" w:themeColor="text1"/>
          <w:sz w:val="22"/>
        </w:rPr>
        <w:t>con m</w:t>
      </w:r>
      <w:r w:rsidR="00864800" w:rsidRPr="00BE18D7">
        <w:rPr>
          <w:rFonts w:ascii="Arial" w:hAnsi="Arial" w:cs="Arial"/>
          <w:color w:val="000000" w:themeColor="text1"/>
          <w:sz w:val="22"/>
        </w:rPr>
        <w:t>enos de 3 años de constitución</w:t>
      </w:r>
      <w:r w:rsidR="00864800" w:rsidRPr="00BE18D7">
        <w:rPr>
          <w:rFonts w:ascii="Arial" w:eastAsia="Calibri" w:hAnsi="Arial" w:cs="Arial"/>
          <w:color w:val="000000" w:themeColor="text1"/>
          <w:sz w:val="22"/>
        </w:rPr>
        <w:t xml:space="preserve">― </w:t>
      </w:r>
      <w:r w:rsidRPr="00BE18D7">
        <w:rPr>
          <w:rFonts w:ascii="Arial" w:hAnsi="Arial" w:cs="Arial"/>
          <w:color w:val="000000" w:themeColor="text1"/>
          <w:sz w:val="22"/>
        </w:rPr>
        <w:t>puedan acreditar como experiencia en el RUP la de sus accioni</w:t>
      </w:r>
      <w:r w:rsidR="009F1F65" w:rsidRPr="00BE18D7">
        <w:rPr>
          <w:rFonts w:ascii="Arial" w:hAnsi="Arial" w:cs="Arial"/>
          <w:color w:val="000000" w:themeColor="text1"/>
          <w:sz w:val="22"/>
        </w:rPr>
        <w:t xml:space="preserve">stas, socios o constituyentes. </w:t>
      </w:r>
    </w:p>
    <w:p w14:paraId="056B3EC9" w14:textId="353D14FC" w:rsidR="00AD1B0F" w:rsidRPr="00BE18D7" w:rsidRDefault="00AD1B0F" w:rsidP="008A2025">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A pesar de que la experiencia es inherente a la persona que la ha obtenido, razón por la cual es intransferible</w:t>
      </w:r>
      <w:r w:rsidR="004202F3" w:rsidRPr="00BE18D7">
        <w:rPr>
          <w:rFonts w:ascii="Arial" w:hAnsi="Arial" w:cs="Arial"/>
          <w:color w:val="000000" w:themeColor="text1"/>
          <w:sz w:val="22"/>
        </w:rPr>
        <w:t>,</w:t>
      </w:r>
      <w:r w:rsidRPr="00BE18D7">
        <w:rPr>
          <w:rFonts w:ascii="Arial" w:hAnsi="Arial" w:cs="Arial"/>
          <w:color w:val="000000" w:themeColor="text1"/>
          <w:sz w:val="22"/>
        </w:rPr>
        <w:t xml:space="preserve"> en virtud de su carácter personalísimo, por disposición legal o reglamentaria, en casos excepcionales, como el descrito por el artículo mencio</w:t>
      </w:r>
      <w:r w:rsidR="009F1F65" w:rsidRPr="00BE18D7">
        <w:rPr>
          <w:rFonts w:ascii="Arial" w:hAnsi="Arial" w:cs="Arial"/>
          <w:color w:val="000000" w:themeColor="text1"/>
          <w:sz w:val="22"/>
        </w:rPr>
        <w:t xml:space="preserve">nado, se aplica de otra forma. </w:t>
      </w:r>
    </w:p>
    <w:p w14:paraId="06915DC4" w14:textId="30A140BB" w:rsidR="00AD1B0F" w:rsidRPr="00BE18D7" w:rsidRDefault="00AD1B0F" w:rsidP="008A2025">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La finalidad de esta norma es permitir que las sociedades</w:t>
      </w:r>
      <w:r w:rsidR="004202F3" w:rsidRPr="00BE18D7">
        <w:rPr>
          <w:rFonts w:ascii="Arial" w:hAnsi="Arial" w:cs="Arial"/>
          <w:color w:val="000000" w:themeColor="text1"/>
          <w:sz w:val="22"/>
        </w:rPr>
        <w:t xml:space="preserve"> recientemente creadas</w:t>
      </w:r>
      <w:r w:rsidRPr="00BE18D7">
        <w:rPr>
          <w:rFonts w:ascii="Arial" w:hAnsi="Arial" w:cs="Arial"/>
          <w:color w:val="000000" w:themeColor="text1"/>
          <w:sz w:val="22"/>
        </w:rPr>
        <w:t xml:space="preserve"> que no cuentan con la experiencia suficiente para contratar con el Estado</w:t>
      </w:r>
      <w:r w:rsidR="004202F3" w:rsidRPr="00BE18D7">
        <w:rPr>
          <w:rFonts w:ascii="Arial" w:hAnsi="Arial" w:cs="Arial"/>
          <w:color w:val="000000" w:themeColor="text1"/>
          <w:sz w:val="22"/>
        </w:rPr>
        <w:t>,</w:t>
      </w:r>
      <w:r w:rsidRPr="00BE18D7">
        <w:rPr>
          <w:rFonts w:ascii="Arial" w:hAnsi="Arial" w:cs="Arial"/>
          <w:color w:val="000000" w:themeColor="text1"/>
          <w:sz w:val="22"/>
        </w:rPr>
        <w:t xml:space="preserve"> puedan apoyarse en la experiencia de sus accionistas, socios o constituyentes con el fin de incentivar la competencia en la contratación estatal. Así las cosas, el socio transfiere la experiencia adquirida directamente a la sociedad de la que es p</w:t>
      </w:r>
      <w:r w:rsidR="004202F3" w:rsidRPr="00BE18D7">
        <w:rPr>
          <w:rFonts w:ascii="Arial" w:hAnsi="Arial" w:cs="Arial"/>
          <w:color w:val="000000" w:themeColor="text1"/>
          <w:sz w:val="22"/>
        </w:rPr>
        <w:t>arte, para que e</w:t>
      </w:r>
      <w:r w:rsidRPr="00BE18D7">
        <w:rPr>
          <w:rFonts w:ascii="Arial" w:hAnsi="Arial" w:cs="Arial"/>
          <w:color w:val="000000" w:themeColor="text1"/>
          <w:sz w:val="22"/>
        </w:rPr>
        <w:t>sta, como persona jurídica independiente, pueda cumplir con los requisitos habilitantes o puntuables que establezcan las entidades estatales en sus procesos de contratación, y de esta forma promover el desarrollo de la empresa y la pluralidad de oferen</w:t>
      </w:r>
      <w:r w:rsidR="009F1F65" w:rsidRPr="00BE18D7">
        <w:rPr>
          <w:rFonts w:ascii="Arial" w:hAnsi="Arial" w:cs="Arial"/>
          <w:color w:val="000000" w:themeColor="text1"/>
          <w:sz w:val="22"/>
        </w:rPr>
        <w:t>tes en la contratación pública.</w:t>
      </w:r>
    </w:p>
    <w:p w14:paraId="16DA9D62" w14:textId="4E661D14" w:rsidR="00AD1B0F" w:rsidRPr="00BE18D7" w:rsidRDefault="00AD1B0F" w:rsidP="008A2025">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Ahora bien, este aspecto ofrece meridiana claridad en cuanto a su aplicación, pero el interrogante que ha generado la norma es ¿qué pasa después de que la sociedad a la que le ha sido permitido certificar la experiencia de sus socios, accionistas o constituyentes cumple 3 años de su constitución? ¿puede seguir siendo beneficiaria de la prerrogativa del numeral 2.5 del artículo 2.2.1.1.1</w:t>
      </w:r>
      <w:r w:rsidR="009F1F65" w:rsidRPr="00BE18D7">
        <w:rPr>
          <w:rFonts w:ascii="Arial" w:hAnsi="Arial" w:cs="Arial"/>
          <w:color w:val="000000" w:themeColor="text1"/>
          <w:sz w:val="22"/>
        </w:rPr>
        <w:t>.5.2 del Decreto 1082 de 2015?</w:t>
      </w:r>
    </w:p>
    <w:p w14:paraId="00F7F949" w14:textId="233DF34C" w:rsidR="00AD1B0F" w:rsidRPr="00BE18D7" w:rsidRDefault="00AD1B0F" w:rsidP="008A2025">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 xml:space="preserve">Estos interrogantes han sido planteados a la Subdirección de Gestión Contractual, y se han dado respuestas en uno y otro sentido. Así, en Concepto del 7 de febrero de 2018 </w:t>
      </w:r>
      <w:r w:rsidRPr="00BE18D7">
        <w:rPr>
          <w:rFonts w:ascii="Arial" w:hAnsi="Arial" w:cs="Arial"/>
          <w:color w:val="000000" w:themeColor="text1"/>
          <w:sz w:val="22"/>
        </w:rPr>
        <w:lastRenderedPageBreak/>
        <w:t>se sostuvo que las personas jurídicas que hubieran sido beneficiarias de la norma podían seguir acreditando la experiencia de sus socios o accionistas, inclusive después de transcurridos 3 años desde la constitución de la sociedad, siempre que se renovara el RU</w:t>
      </w:r>
      <w:r w:rsidR="009F1F65" w:rsidRPr="00BE18D7">
        <w:rPr>
          <w:rFonts w:ascii="Arial" w:hAnsi="Arial" w:cs="Arial"/>
          <w:color w:val="000000" w:themeColor="text1"/>
          <w:sz w:val="22"/>
        </w:rPr>
        <w:t xml:space="preserve">P, en los siguientes términos: </w:t>
      </w:r>
    </w:p>
    <w:p w14:paraId="0F8E96D1" w14:textId="604AC436" w:rsidR="00AD1B0F" w:rsidRPr="00BE18D7" w:rsidRDefault="00AD1B0F" w:rsidP="008A2025">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Teniendo en cuenta lo anterior, aunque la persona jurídica tenga más de tres años de constituida y haya registrado inicialmente la exper</w:t>
      </w:r>
      <w:r w:rsidR="00864800" w:rsidRPr="00BE18D7">
        <w:rPr>
          <w:rFonts w:ascii="Arial" w:hAnsi="Arial" w:cs="Arial"/>
          <w:color w:val="000000" w:themeColor="text1"/>
          <w:sz w:val="22"/>
        </w:rPr>
        <w:t xml:space="preserve">iencia de sus socios en el RUP </w:t>
      </w:r>
      <w:r w:rsidR="00864800" w:rsidRPr="00BE18D7">
        <w:rPr>
          <w:rFonts w:ascii="Arial" w:eastAsia="Calibri" w:hAnsi="Arial" w:cs="Arial"/>
          <w:color w:val="000000" w:themeColor="text1"/>
          <w:sz w:val="22"/>
        </w:rPr>
        <w:t>―</w:t>
      </w:r>
      <w:r w:rsidRPr="00BE18D7">
        <w:rPr>
          <w:rFonts w:ascii="Arial" w:hAnsi="Arial" w:cs="Arial"/>
          <w:color w:val="000000" w:themeColor="text1"/>
          <w:sz w:val="22"/>
        </w:rPr>
        <w:t>pues su consti</w:t>
      </w:r>
      <w:r w:rsidR="00864800" w:rsidRPr="00BE18D7">
        <w:rPr>
          <w:rFonts w:ascii="Arial" w:hAnsi="Arial" w:cs="Arial"/>
          <w:color w:val="000000" w:themeColor="text1"/>
          <w:sz w:val="22"/>
        </w:rPr>
        <w:t>tución era inferior a tres años</w:t>
      </w:r>
      <w:r w:rsidR="00864800" w:rsidRPr="00BE18D7">
        <w:rPr>
          <w:rFonts w:ascii="Arial" w:eastAsia="Calibri" w:hAnsi="Arial" w:cs="Arial"/>
          <w:color w:val="000000" w:themeColor="text1"/>
          <w:sz w:val="22"/>
        </w:rPr>
        <w:t>―</w:t>
      </w:r>
      <w:r w:rsidR="004202F3" w:rsidRPr="00BE18D7">
        <w:rPr>
          <w:rFonts w:ascii="Arial" w:hAnsi="Arial" w:cs="Arial"/>
          <w:color w:val="000000" w:themeColor="text1"/>
          <w:sz w:val="22"/>
        </w:rPr>
        <w:t xml:space="preserve"> y e</w:t>
      </w:r>
      <w:r w:rsidRPr="00BE18D7">
        <w:rPr>
          <w:rFonts w:ascii="Arial" w:hAnsi="Arial" w:cs="Arial"/>
          <w:color w:val="000000" w:themeColor="text1"/>
          <w:sz w:val="22"/>
        </w:rPr>
        <w:t>ste es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w:t>
      </w:r>
      <w:r w:rsidR="00864800" w:rsidRPr="00BE18D7">
        <w:rPr>
          <w:rFonts w:ascii="Arial" w:hAnsi="Arial" w:cs="Arial"/>
          <w:color w:val="000000" w:themeColor="text1"/>
          <w:sz w:val="22"/>
        </w:rPr>
        <w:t>e inscribirse en el registro</w:t>
      </w:r>
      <w:r w:rsidR="009F1F65" w:rsidRPr="00BE18D7">
        <w:rPr>
          <w:rFonts w:ascii="Arial" w:hAnsi="Arial" w:cs="Arial"/>
          <w:color w:val="000000" w:themeColor="text1"/>
          <w:sz w:val="22"/>
        </w:rPr>
        <w:t xml:space="preserve">. </w:t>
      </w:r>
    </w:p>
    <w:p w14:paraId="686A3983" w14:textId="77B89C78" w:rsidR="00AD1B0F" w:rsidRPr="00BE18D7" w:rsidRDefault="00AD1B0F" w:rsidP="008A2025">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Posición contraria se adoptó en un concepto del 3 de abril del 2018, en el que frente a la misma pregunta esta Subdirección respondió que después de cumplidos los 3 años desde la constitución de la sociedad, las entidades estatales no deberían tener como válida la experiencia acreditada por los socios, accionistas o constituyentes. Como fundamento de esta posición, la Subdir</w:t>
      </w:r>
      <w:r w:rsidR="009F1F65" w:rsidRPr="00BE18D7">
        <w:rPr>
          <w:rFonts w:ascii="Arial" w:hAnsi="Arial" w:cs="Arial"/>
          <w:color w:val="000000" w:themeColor="text1"/>
          <w:sz w:val="22"/>
        </w:rPr>
        <w:t xml:space="preserve">ección consideró lo siguiente: </w:t>
      </w:r>
    </w:p>
    <w:p w14:paraId="37A4B241" w14:textId="498BCAB1" w:rsidR="00AD1B0F" w:rsidRPr="00BE18D7" w:rsidRDefault="00AD1B0F" w:rsidP="008A2025">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1. La posición de Colombia Compra Eficiente respecto a la validez de la experiencia de los accionistas, socios o constituyentes, acreditada en el RUP por</w:t>
      </w:r>
      <w:r w:rsidR="00864800" w:rsidRPr="00BE18D7">
        <w:rPr>
          <w:rFonts w:ascii="Arial" w:hAnsi="Arial" w:cs="Arial"/>
          <w:color w:val="000000" w:themeColor="text1"/>
          <w:sz w:val="22"/>
        </w:rPr>
        <w:t xml:space="preserve"> una sociedad nueva, cuando esta</w:t>
      </w:r>
      <w:r w:rsidRPr="00BE18D7">
        <w:rPr>
          <w:rFonts w:ascii="Arial" w:hAnsi="Arial" w:cs="Arial"/>
          <w:color w:val="000000" w:themeColor="text1"/>
          <w:sz w:val="22"/>
        </w:rPr>
        <w:t xml:space="preserve"> ya superó los 3 años de constituida, ha vari</w:t>
      </w:r>
      <w:r w:rsidR="009F1F65" w:rsidRPr="00BE18D7">
        <w:rPr>
          <w:rFonts w:ascii="Arial" w:hAnsi="Arial" w:cs="Arial"/>
          <w:color w:val="000000" w:themeColor="text1"/>
          <w:sz w:val="22"/>
        </w:rPr>
        <w:t xml:space="preserve">ado. </w:t>
      </w:r>
    </w:p>
    <w:p w14:paraId="5FCAAF97" w14:textId="58CF10C9" w:rsidR="00AD1B0F" w:rsidRPr="00BE18D7" w:rsidRDefault="00AD1B0F" w:rsidP="008A2025">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 xml:space="preserve">2. El Decreto 1082 de 2015 establece que para la inscripción en el RUP de una persona jurídica, si su </w:t>
      </w:r>
      <w:r w:rsidR="00864800" w:rsidRPr="00BE18D7">
        <w:rPr>
          <w:rFonts w:ascii="Arial" w:hAnsi="Arial" w:cs="Arial"/>
          <w:color w:val="000000" w:themeColor="text1"/>
          <w:sz w:val="22"/>
        </w:rPr>
        <w:t>constitución es menor a 3</w:t>
      </w:r>
      <w:r w:rsidRPr="00BE18D7">
        <w:rPr>
          <w:rFonts w:ascii="Arial" w:hAnsi="Arial" w:cs="Arial"/>
          <w:color w:val="000000" w:themeColor="text1"/>
          <w:sz w:val="22"/>
        </w:rPr>
        <w:t xml:space="preserve"> años, puede acreditar la experiencia de sus accioni</w:t>
      </w:r>
      <w:r w:rsidR="009F1F65" w:rsidRPr="00BE18D7">
        <w:rPr>
          <w:rFonts w:ascii="Arial" w:hAnsi="Arial" w:cs="Arial"/>
          <w:color w:val="000000" w:themeColor="text1"/>
          <w:sz w:val="22"/>
        </w:rPr>
        <w:t xml:space="preserve">stas, socios o constituyentes. </w:t>
      </w:r>
    </w:p>
    <w:p w14:paraId="28AD929C" w14:textId="12041856" w:rsidR="00AD1B0F" w:rsidRPr="00BE18D7" w:rsidRDefault="00AD1B0F" w:rsidP="008A2025">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3. La finalidad de esta norma es permitir que las sociedades que no cuentan con la experiencia suficiente para contratar con el Estado puedan apoyarse en la experiencia de sus accionistas, socios o constituyentes con el fin de incentivar la libre competenc</w:t>
      </w:r>
      <w:r w:rsidR="009F1F65" w:rsidRPr="00BE18D7">
        <w:rPr>
          <w:rFonts w:ascii="Arial" w:hAnsi="Arial" w:cs="Arial"/>
          <w:color w:val="000000" w:themeColor="text1"/>
          <w:sz w:val="22"/>
        </w:rPr>
        <w:t xml:space="preserve">ia en la contratación estatal. </w:t>
      </w:r>
    </w:p>
    <w:p w14:paraId="58004967" w14:textId="4DDF8D0F" w:rsidR="00AD1B0F" w:rsidRPr="00BE18D7" w:rsidRDefault="00AD1B0F" w:rsidP="008A2025">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4. En consecuencia, la persona jurídica cuy</w:t>
      </w:r>
      <w:r w:rsidR="00540DF9" w:rsidRPr="00BE18D7">
        <w:rPr>
          <w:rFonts w:ascii="Arial" w:hAnsi="Arial" w:cs="Arial"/>
          <w:color w:val="000000" w:themeColor="text1"/>
          <w:sz w:val="22"/>
        </w:rPr>
        <w:t>a constitución es menor a 3</w:t>
      </w:r>
      <w:r w:rsidRPr="00BE18D7">
        <w:rPr>
          <w:rFonts w:ascii="Arial" w:hAnsi="Arial" w:cs="Arial"/>
          <w:color w:val="000000" w:themeColor="text1"/>
          <w:sz w:val="22"/>
        </w:rPr>
        <w:t xml:space="preserve"> años puede registrar la experiencia de sus socios en el RUP, la cual no pod</w:t>
      </w:r>
      <w:r w:rsidR="004202F3" w:rsidRPr="00BE18D7">
        <w:rPr>
          <w:rFonts w:ascii="Arial" w:hAnsi="Arial" w:cs="Arial"/>
          <w:color w:val="000000" w:themeColor="text1"/>
          <w:sz w:val="22"/>
        </w:rPr>
        <w:t>rá ser tenida en cuenta por la entidad e</w:t>
      </w:r>
      <w:r w:rsidRPr="00BE18D7">
        <w:rPr>
          <w:rFonts w:ascii="Arial" w:hAnsi="Arial" w:cs="Arial"/>
          <w:color w:val="000000" w:themeColor="text1"/>
          <w:sz w:val="22"/>
        </w:rPr>
        <w:t>statal como experiencia de la socie</w:t>
      </w:r>
      <w:r w:rsidR="00540DF9" w:rsidRPr="00BE18D7">
        <w:rPr>
          <w:rFonts w:ascii="Arial" w:hAnsi="Arial" w:cs="Arial"/>
          <w:color w:val="000000" w:themeColor="text1"/>
          <w:sz w:val="22"/>
        </w:rPr>
        <w:t>dad una vez cumplidos los 3</w:t>
      </w:r>
      <w:r w:rsidRPr="00BE18D7">
        <w:rPr>
          <w:rFonts w:ascii="Arial" w:hAnsi="Arial" w:cs="Arial"/>
          <w:color w:val="000000" w:themeColor="text1"/>
          <w:sz w:val="22"/>
        </w:rPr>
        <w:t xml:space="preserve"> años de constituida la persona jurídica a los que hace referencia la norma, pues no se cumple con el presupuesto normativo para acceder al beneficio </w:t>
      </w:r>
      <w:r w:rsidR="009F1F65" w:rsidRPr="00BE18D7">
        <w:rPr>
          <w:rFonts w:ascii="Arial" w:hAnsi="Arial" w:cs="Arial"/>
          <w:color w:val="000000" w:themeColor="text1"/>
          <w:sz w:val="22"/>
        </w:rPr>
        <w:t>que contempla el Decreto 1082.</w:t>
      </w:r>
    </w:p>
    <w:p w14:paraId="6E5134A0" w14:textId="143363F9" w:rsidR="00AD1B0F" w:rsidRPr="00BE18D7" w:rsidRDefault="00AD1B0F" w:rsidP="008A2025">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5. Las Cámaras de Comercio se encargan de hacer la verificación documental de la información presentada por los interesados al momento de inscribir, renovar o actualizar su información en el RUP. De esa forma, a diferencia de la renovación, la actualización del RUP puede llevar</w:t>
      </w:r>
      <w:r w:rsidR="00864800" w:rsidRPr="00BE18D7">
        <w:rPr>
          <w:rFonts w:ascii="Arial" w:hAnsi="Arial" w:cs="Arial"/>
          <w:color w:val="000000" w:themeColor="text1"/>
          <w:sz w:val="22"/>
        </w:rPr>
        <w:t>se a cabo en cualquier momento</w:t>
      </w:r>
      <w:r w:rsidR="004202F3" w:rsidRPr="00BE18D7">
        <w:rPr>
          <w:rFonts w:ascii="Arial" w:hAnsi="Arial" w:cs="Arial"/>
          <w:color w:val="000000" w:themeColor="text1"/>
          <w:sz w:val="22"/>
        </w:rPr>
        <w:t>,</w:t>
      </w:r>
      <w:r w:rsidR="00864800" w:rsidRPr="00BE18D7">
        <w:rPr>
          <w:rFonts w:ascii="Arial" w:hAnsi="Arial" w:cs="Arial"/>
          <w:color w:val="000000" w:themeColor="text1"/>
          <w:sz w:val="22"/>
        </w:rPr>
        <w:t xml:space="preserve"> </w:t>
      </w:r>
      <w:r w:rsidRPr="00BE18D7">
        <w:rPr>
          <w:rFonts w:ascii="Arial" w:hAnsi="Arial" w:cs="Arial"/>
          <w:color w:val="000000" w:themeColor="text1"/>
          <w:sz w:val="22"/>
        </w:rPr>
        <w:t xml:space="preserve">únicamente para la capacidad jurídica </w:t>
      </w:r>
      <w:r w:rsidRPr="00BE18D7">
        <w:rPr>
          <w:rFonts w:ascii="Arial" w:hAnsi="Arial" w:cs="Arial"/>
          <w:color w:val="000000" w:themeColor="text1"/>
          <w:sz w:val="22"/>
        </w:rPr>
        <w:lastRenderedPageBreak/>
        <w:t>y experiencia y debe ser verificada junto con sus soportes por la Cámara de Comercio correspondient</w:t>
      </w:r>
      <w:r w:rsidR="009F1F65" w:rsidRPr="00BE18D7">
        <w:rPr>
          <w:rFonts w:ascii="Arial" w:hAnsi="Arial" w:cs="Arial"/>
          <w:color w:val="000000" w:themeColor="text1"/>
          <w:sz w:val="22"/>
        </w:rPr>
        <w:t xml:space="preserve">e. </w:t>
      </w:r>
    </w:p>
    <w:p w14:paraId="5106970E" w14:textId="1600692D" w:rsidR="00AD1B0F" w:rsidRPr="00BE18D7" w:rsidRDefault="00AD1B0F" w:rsidP="008A2025">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Ante esta disparidad de criterios, la Subdirección de Gestión Contractual estimó necesario recoger estos pro</w:t>
      </w:r>
      <w:r w:rsidR="004202F3" w:rsidRPr="00BE18D7">
        <w:rPr>
          <w:rFonts w:ascii="Arial" w:hAnsi="Arial" w:cs="Arial"/>
          <w:color w:val="000000" w:themeColor="text1"/>
          <w:sz w:val="22"/>
        </w:rPr>
        <w:t>nunciamientos y unificar su</w:t>
      </w:r>
      <w:r w:rsidRPr="00BE18D7">
        <w:rPr>
          <w:rFonts w:ascii="Arial" w:hAnsi="Arial" w:cs="Arial"/>
          <w:color w:val="000000" w:themeColor="text1"/>
          <w:sz w:val="22"/>
        </w:rPr>
        <w:t xml:space="preserve"> posición en el concepto con radicado No. 4201913000006797 del 19 de noviembre de 2019, en torno a la posibilidad o no de que las sociedades nuevas puedan seguir acreditando la experiencia de sus socios, accionistas o constituyentes, incluso después de cumplidos 3 años de consti</w:t>
      </w:r>
      <w:r w:rsidR="009F1F65" w:rsidRPr="00BE18D7">
        <w:rPr>
          <w:rFonts w:ascii="Arial" w:hAnsi="Arial" w:cs="Arial"/>
          <w:color w:val="000000" w:themeColor="text1"/>
          <w:sz w:val="22"/>
        </w:rPr>
        <w:t xml:space="preserve">tución de la persona jurídica. </w:t>
      </w:r>
    </w:p>
    <w:p w14:paraId="4EEC4F58" w14:textId="37DF296F" w:rsidR="00AD1B0F" w:rsidRPr="00BE18D7" w:rsidRDefault="004202F3" w:rsidP="008A2025">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El criterio que se adoptó</w:t>
      </w:r>
      <w:r w:rsidR="00AD1B0F" w:rsidRPr="00BE18D7">
        <w:rPr>
          <w:rFonts w:ascii="Arial" w:hAnsi="Arial" w:cs="Arial"/>
          <w:color w:val="000000" w:themeColor="text1"/>
          <w:sz w:val="22"/>
        </w:rPr>
        <w:t xml:space="preserve"> es que la experiencia de los socios, accionistas o constituyentes para aquellas sociedades que al momento de inscribirse en el RUP tenían menos de 3 años de constituidas puede seguir siendo acreditada por la persona jurídica después de transcurridos los 3 años del acto de constitución. Esta posición ya había sido acogida por esta Subdirección en pronunciamientos más recientes, esto es, posteriores a la acogida en el Concepto del 3 d</w:t>
      </w:r>
      <w:r w:rsidR="009F1F65" w:rsidRPr="00BE18D7">
        <w:rPr>
          <w:rFonts w:ascii="Arial" w:hAnsi="Arial" w:cs="Arial"/>
          <w:color w:val="000000" w:themeColor="text1"/>
          <w:sz w:val="22"/>
        </w:rPr>
        <w:t xml:space="preserve">e abril de 2018 antes citado. </w:t>
      </w:r>
    </w:p>
    <w:p w14:paraId="2F2A8A81" w14:textId="771DCD3F" w:rsidR="00AD1B0F" w:rsidRPr="00BE18D7" w:rsidRDefault="00AD1B0F" w:rsidP="008A2025">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w:t>
      </w:r>
      <w:r w:rsidR="00540DF9" w:rsidRPr="00BE18D7">
        <w:rPr>
          <w:rFonts w:ascii="Arial" w:hAnsi="Arial" w:cs="Arial"/>
          <w:color w:val="000000" w:themeColor="text1"/>
          <w:sz w:val="22"/>
        </w:rPr>
        <w:t xml:space="preserve"> lo contrario cesan sus efectos</w:t>
      </w:r>
      <w:r w:rsidRPr="00BE18D7">
        <w:rPr>
          <w:rFonts w:ascii="Arial" w:hAnsi="Arial" w:cs="Arial"/>
          <w:color w:val="000000" w:themeColor="text1"/>
          <w:sz w:val="22"/>
        </w:rPr>
        <w:t>. En la actual</w:t>
      </w:r>
      <w:r w:rsidR="004202F3" w:rsidRPr="00BE18D7">
        <w:rPr>
          <w:rFonts w:ascii="Arial" w:hAnsi="Arial" w:cs="Arial"/>
          <w:color w:val="000000" w:themeColor="text1"/>
          <w:sz w:val="22"/>
        </w:rPr>
        <w:t>idad, las Cámaras de Comercio so</w:t>
      </w:r>
      <w:r w:rsidRPr="00BE18D7">
        <w:rPr>
          <w:rFonts w:ascii="Arial" w:hAnsi="Arial" w:cs="Arial"/>
          <w:color w:val="000000" w:themeColor="text1"/>
          <w:sz w:val="22"/>
        </w:rPr>
        <w:t>lo pueden eliminar la experiencia registrada en el RUP a solicitud del proponente, por tanto, le corresponde a las personas jurídicas mantener su RUP actualizado y a las entidades estatales verificar</w:t>
      </w:r>
      <w:r w:rsidR="004202F3" w:rsidRPr="00BE18D7">
        <w:rPr>
          <w:rFonts w:ascii="Arial" w:hAnsi="Arial" w:cs="Arial"/>
          <w:color w:val="000000" w:themeColor="text1"/>
          <w:sz w:val="22"/>
        </w:rPr>
        <w:t>lo</w:t>
      </w:r>
      <w:r w:rsidRPr="00BE18D7">
        <w:rPr>
          <w:rFonts w:ascii="Arial" w:hAnsi="Arial" w:cs="Arial"/>
          <w:color w:val="000000" w:themeColor="text1"/>
          <w:sz w:val="22"/>
        </w:rPr>
        <w:t>, para efectos de t</w:t>
      </w:r>
      <w:r w:rsidR="009F1F65" w:rsidRPr="00BE18D7">
        <w:rPr>
          <w:rFonts w:ascii="Arial" w:hAnsi="Arial" w:cs="Arial"/>
          <w:color w:val="000000" w:themeColor="text1"/>
          <w:sz w:val="22"/>
        </w:rPr>
        <w:t xml:space="preserve">ener en cuenta la experiencia. </w:t>
      </w:r>
    </w:p>
    <w:p w14:paraId="1F1527AF" w14:textId="71C1E1F5" w:rsidR="00AD1B0F" w:rsidRPr="00BE18D7" w:rsidRDefault="00AD1B0F" w:rsidP="008A2025">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En otras palabras, si la pe</w:t>
      </w:r>
      <w:r w:rsidR="00540DF9" w:rsidRPr="00BE18D7">
        <w:rPr>
          <w:rFonts w:ascii="Arial" w:hAnsi="Arial" w:cs="Arial"/>
          <w:color w:val="000000" w:themeColor="text1"/>
          <w:sz w:val="22"/>
        </w:rPr>
        <w:t>rsona jurídica con menos de 3</w:t>
      </w:r>
      <w:r w:rsidRPr="00BE18D7">
        <w:rPr>
          <w:rFonts w:ascii="Arial" w:hAnsi="Arial" w:cs="Arial"/>
          <w:color w:val="000000" w:themeColor="text1"/>
          <w:sz w:val="22"/>
        </w:rPr>
        <w:t xml:space="preserve"> años de constituida registra la experien</w:t>
      </w:r>
      <w:r w:rsidR="004202F3" w:rsidRPr="00BE18D7">
        <w:rPr>
          <w:rFonts w:ascii="Arial" w:hAnsi="Arial" w:cs="Arial"/>
          <w:color w:val="000000" w:themeColor="text1"/>
          <w:sz w:val="22"/>
        </w:rPr>
        <w:t>cia de sus socios en el RUP, y e</w:t>
      </w:r>
      <w:r w:rsidRPr="00BE18D7">
        <w:rPr>
          <w:rFonts w:ascii="Arial" w:hAnsi="Arial" w:cs="Arial"/>
          <w:color w:val="000000" w:themeColor="text1"/>
          <w:sz w:val="22"/>
        </w:rPr>
        <w:t xml:space="preserve">ste es renovado, puede continuar utilizando la experiencia inscrita mientras no cesen los efectos del RUP. Por el contrario, si no se renueva y la </w:t>
      </w:r>
      <w:r w:rsidR="00540DF9" w:rsidRPr="00BE18D7">
        <w:rPr>
          <w:rFonts w:ascii="Arial" w:hAnsi="Arial" w:cs="Arial"/>
          <w:color w:val="000000" w:themeColor="text1"/>
          <w:sz w:val="22"/>
        </w:rPr>
        <w:t>persona jurídica supera los 3</w:t>
      </w:r>
      <w:r w:rsidRPr="00BE18D7">
        <w:rPr>
          <w:rFonts w:ascii="Arial" w:hAnsi="Arial" w:cs="Arial"/>
          <w:color w:val="000000" w:themeColor="text1"/>
          <w:sz w:val="22"/>
        </w:rPr>
        <w:t xml:space="preserve"> años de constituida, la experiencia que registró de sus socios no puede ser inscrita nuevamente, puesto que </w:t>
      </w:r>
      <w:r w:rsidR="004202F3" w:rsidRPr="00BE18D7">
        <w:rPr>
          <w:rFonts w:ascii="Arial" w:hAnsi="Arial" w:cs="Arial"/>
          <w:color w:val="000000" w:themeColor="text1"/>
          <w:sz w:val="22"/>
        </w:rPr>
        <w:t>los efectos del RUP cesaron</w:t>
      </w:r>
      <w:r w:rsidRPr="00BE18D7">
        <w:rPr>
          <w:rFonts w:ascii="Arial" w:hAnsi="Arial" w:cs="Arial"/>
          <w:color w:val="000000" w:themeColor="text1"/>
          <w:sz w:val="22"/>
        </w:rPr>
        <w:t xml:space="preserve"> y la Cámara de Comercio tiene que hacer nuevamente la verificación documental de la información presentada al momento d</w:t>
      </w:r>
      <w:r w:rsidR="009F1F65" w:rsidRPr="00BE18D7">
        <w:rPr>
          <w:rFonts w:ascii="Arial" w:hAnsi="Arial" w:cs="Arial"/>
          <w:color w:val="000000" w:themeColor="text1"/>
          <w:sz w:val="22"/>
        </w:rPr>
        <w:t xml:space="preserve">e inscribirse en el registro.  </w:t>
      </w:r>
    </w:p>
    <w:p w14:paraId="5E0F5929" w14:textId="79D7088C" w:rsidR="00AD1B0F" w:rsidRPr="00BE18D7" w:rsidRDefault="00AD1B0F" w:rsidP="00F4797F">
      <w:pPr>
        <w:spacing w:line="276" w:lineRule="auto"/>
        <w:ind w:firstLine="708"/>
        <w:jc w:val="both"/>
        <w:rPr>
          <w:rFonts w:ascii="Arial" w:hAnsi="Arial" w:cs="Arial"/>
          <w:color w:val="000000" w:themeColor="text1"/>
          <w:sz w:val="22"/>
        </w:rPr>
      </w:pPr>
      <w:r w:rsidRPr="00BE18D7">
        <w:rPr>
          <w:rFonts w:ascii="Arial" w:hAnsi="Arial" w:cs="Arial"/>
          <w:color w:val="000000" w:themeColor="text1"/>
          <w:sz w:val="22"/>
        </w:rPr>
        <w:t>Lo anterior, tiene fundamento en la Circular Única de la Superintendencia de Industria y Comercio, en el numeral 4.2, sobre el procedimiento para llevar el registro único d</w:t>
      </w:r>
      <w:r w:rsidR="009F1F65" w:rsidRPr="00BE18D7">
        <w:rPr>
          <w:rFonts w:ascii="Arial" w:hAnsi="Arial" w:cs="Arial"/>
          <w:color w:val="000000" w:themeColor="text1"/>
          <w:sz w:val="22"/>
        </w:rPr>
        <w:t xml:space="preserve">e proponentes, que establece:  </w:t>
      </w:r>
    </w:p>
    <w:p w14:paraId="360669CB" w14:textId="77777777" w:rsidR="004202F3" w:rsidRPr="00BE18D7" w:rsidRDefault="004202F3" w:rsidP="00F4797F">
      <w:pPr>
        <w:spacing w:line="276" w:lineRule="auto"/>
        <w:ind w:firstLine="708"/>
        <w:jc w:val="both"/>
        <w:rPr>
          <w:rFonts w:ascii="Arial" w:hAnsi="Arial" w:cs="Arial"/>
          <w:color w:val="000000" w:themeColor="text1"/>
          <w:sz w:val="22"/>
        </w:rPr>
      </w:pPr>
    </w:p>
    <w:p w14:paraId="5A42B0EC" w14:textId="496FC910" w:rsidR="00AD1B0F" w:rsidRPr="00BE18D7" w:rsidRDefault="00AD1B0F" w:rsidP="00F4797F">
      <w:pPr>
        <w:ind w:left="709" w:right="709"/>
        <w:jc w:val="both"/>
        <w:rPr>
          <w:rFonts w:ascii="Arial" w:hAnsi="Arial" w:cs="Arial"/>
          <w:color w:val="000000" w:themeColor="text1"/>
          <w:sz w:val="21"/>
          <w:szCs w:val="21"/>
        </w:rPr>
      </w:pPr>
      <w:r w:rsidRPr="00BE18D7">
        <w:rPr>
          <w:rFonts w:ascii="Arial" w:hAnsi="Arial" w:cs="Arial"/>
          <w:color w:val="000000" w:themeColor="text1"/>
          <w:sz w:val="21"/>
          <w:szCs w:val="21"/>
        </w:rPr>
        <w:t xml:space="preserve">4.2.5. Vigencia de los documentos. Para efectos de renovación y actualización se considera que los documentos no pierden su vigencia salvo disposición legal en contrario. Por lo anterior, las Cámaras de Comercio no podrán abstenerse de </w:t>
      </w:r>
      <w:r w:rsidRPr="00BE18D7">
        <w:rPr>
          <w:rFonts w:ascii="Arial" w:hAnsi="Arial" w:cs="Arial"/>
          <w:color w:val="000000" w:themeColor="text1"/>
          <w:sz w:val="21"/>
          <w:szCs w:val="21"/>
        </w:rPr>
        <w:lastRenderedPageBreak/>
        <w:t xml:space="preserve">realizar la inscripción argumentando el vencimiento de los documentos de soporte.  </w:t>
      </w:r>
    </w:p>
    <w:p w14:paraId="2F1558E7" w14:textId="77777777" w:rsidR="004202F3" w:rsidRPr="00BE18D7" w:rsidRDefault="004202F3" w:rsidP="00F4797F">
      <w:pPr>
        <w:ind w:left="709" w:right="709"/>
        <w:jc w:val="both"/>
        <w:rPr>
          <w:rFonts w:ascii="Arial" w:hAnsi="Arial" w:cs="Arial"/>
          <w:color w:val="000000" w:themeColor="text1"/>
          <w:sz w:val="21"/>
          <w:szCs w:val="21"/>
        </w:rPr>
      </w:pPr>
    </w:p>
    <w:p w14:paraId="100E4DB4" w14:textId="68565C73" w:rsidR="00AD1B0F" w:rsidRPr="00BE18D7" w:rsidRDefault="00AD1B0F" w:rsidP="00F4797F">
      <w:pPr>
        <w:spacing w:line="276" w:lineRule="auto"/>
        <w:ind w:firstLine="708"/>
        <w:jc w:val="both"/>
        <w:rPr>
          <w:rFonts w:ascii="Arial" w:hAnsi="Arial" w:cs="Arial"/>
          <w:color w:val="000000" w:themeColor="text1"/>
          <w:sz w:val="22"/>
        </w:rPr>
      </w:pPr>
      <w:r w:rsidRPr="00BE18D7">
        <w:rPr>
          <w:rFonts w:ascii="Arial" w:hAnsi="Arial" w:cs="Arial"/>
          <w:color w:val="000000" w:themeColor="text1"/>
          <w:sz w:val="22"/>
        </w:rPr>
        <w:t>Así las cosas, con el fin de inc</w:t>
      </w:r>
      <w:r w:rsidR="004202F3" w:rsidRPr="00BE18D7">
        <w:rPr>
          <w:rFonts w:ascii="Arial" w:hAnsi="Arial" w:cs="Arial"/>
          <w:color w:val="000000" w:themeColor="text1"/>
          <w:sz w:val="22"/>
        </w:rPr>
        <w:t>entivar la participación continu</w:t>
      </w:r>
      <w:r w:rsidRPr="00BE18D7">
        <w:rPr>
          <w:rFonts w:ascii="Arial" w:hAnsi="Arial" w:cs="Arial"/>
          <w:color w:val="000000" w:themeColor="text1"/>
          <w:sz w:val="22"/>
        </w:rPr>
        <w:t xml:space="preserve">a y constante de los proponentes, las entidades estatales, en sus procesos de contratación, aceptarán como válida la experiencia de los socios, accionistas o constituyentes incluso después de cumplidos los </w:t>
      </w:r>
      <w:r w:rsidR="00540DF9" w:rsidRPr="00BE18D7">
        <w:rPr>
          <w:rFonts w:ascii="Arial" w:hAnsi="Arial" w:cs="Arial"/>
          <w:color w:val="000000" w:themeColor="text1"/>
          <w:sz w:val="22"/>
        </w:rPr>
        <w:t>3</w:t>
      </w:r>
      <w:r w:rsidRPr="00BE18D7">
        <w:rPr>
          <w:rFonts w:ascii="Arial" w:hAnsi="Arial" w:cs="Arial"/>
          <w:color w:val="000000" w:themeColor="text1"/>
          <w:sz w:val="22"/>
        </w:rPr>
        <w:t xml:space="preserve"> años de constitución de la sociedad, pues esta interpretación permite incentivar la creación de empresa y generar una mayor participación de las e</w:t>
      </w:r>
      <w:r w:rsidR="009F1F65" w:rsidRPr="00BE18D7">
        <w:rPr>
          <w:rFonts w:ascii="Arial" w:hAnsi="Arial" w:cs="Arial"/>
          <w:color w:val="000000" w:themeColor="text1"/>
          <w:sz w:val="22"/>
        </w:rPr>
        <w:t xml:space="preserve">mpresas recién constituidas.   </w:t>
      </w:r>
    </w:p>
    <w:p w14:paraId="0FC7B561" w14:textId="321BA750" w:rsidR="00AD1B0F" w:rsidRPr="00BE18D7" w:rsidRDefault="00AD1B0F" w:rsidP="004202F3">
      <w:pPr>
        <w:spacing w:line="276" w:lineRule="auto"/>
        <w:ind w:firstLine="709"/>
        <w:jc w:val="both"/>
        <w:rPr>
          <w:rFonts w:ascii="Arial" w:hAnsi="Arial" w:cs="Arial"/>
          <w:color w:val="000000" w:themeColor="text1"/>
          <w:sz w:val="22"/>
        </w:rPr>
      </w:pPr>
      <w:r w:rsidRPr="00BE18D7">
        <w:rPr>
          <w:rFonts w:ascii="Arial" w:hAnsi="Arial" w:cs="Arial"/>
          <w:color w:val="000000" w:themeColor="text1"/>
          <w:sz w:val="22"/>
        </w:rPr>
        <w:t>En este sentido, si bien la norma n</w:t>
      </w:r>
      <w:r w:rsidR="00540DF9" w:rsidRPr="00BE18D7">
        <w:rPr>
          <w:rFonts w:ascii="Arial" w:hAnsi="Arial" w:cs="Arial"/>
          <w:color w:val="000000" w:themeColor="text1"/>
          <w:sz w:val="22"/>
        </w:rPr>
        <w:t>o determina si después de 3</w:t>
      </w:r>
      <w:r w:rsidRPr="00BE18D7">
        <w:rPr>
          <w:rFonts w:ascii="Arial" w:hAnsi="Arial" w:cs="Arial"/>
          <w:color w:val="000000" w:themeColor="text1"/>
          <w:sz w:val="22"/>
        </w:rPr>
        <w:t xml:space="preserve"> años de constituida la persona jurídica la experiencia que fue aportada por los socios, accionistas o constituyentes sigue siendo válida o la entidad la puede rechazar, la Agencia Nacional de Contratación Pública considera que la experiencia de los socios, accionistas o constituyentes aportada a la persona jurídica sigue siendo válida porque de esta forma se garantiza la pluralidad de oferentes en los procesos de contratación. </w:t>
      </w:r>
    </w:p>
    <w:p w14:paraId="7B860C8C" w14:textId="77777777" w:rsidR="00AD1B0F" w:rsidRPr="00BE18D7" w:rsidRDefault="00AD1B0F" w:rsidP="004202F3">
      <w:pPr>
        <w:spacing w:line="276" w:lineRule="auto"/>
        <w:ind w:firstLine="709"/>
        <w:jc w:val="both"/>
        <w:rPr>
          <w:rFonts w:ascii="Arial" w:hAnsi="Arial" w:cs="Arial"/>
          <w:color w:val="000000" w:themeColor="text1"/>
          <w:sz w:val="22"/>
        </w:rPr>
      </w:pPr>
    </w:p>
    <w:p w14:paraId="609C4D8B" w14:textId="7122CBEE" w:rsidR="00AD1B0F" w:rsidRPr="00BE18D7" w:rsidRDefault="004202F3" w:rsidP="004202F3">
      <w:pPr>
        <w:spacing w:line="276" w:lineRule="auto"/>
        <w:jc w:val="both"/>
        <w:rPr>
          <w:rFonts w:ascii="Arial" w:hAnsi="Arial" w:cs="Arial"/>
          <w:b/>
          <w:color w:val="000000" w:themeColor="text1"/>
          <w:sz w:val="22"/>
        </w:rPr>
      </w:pPr>
      <w:r w:rsidRPr="00BE18D7">
        <w:rPr>
          <w:rFonts w:ascii="Arial" w:hAnsi="Arial" w:cs="Arial"/>
          <w:b/>
          <w:color w:val="000000" w:themeColor="text1"/>
          <w:sz w:val="22"/>
        </w:rPr>
        <w:t>2.6.</w:t>
      </w:r>
      <w:r w:rsidR="00AD1B0F" w:rsidRPr="00BE18D7">
        <w:rPr>
          <w:rFonts w:ascii="Arial" w:hAnsi="Arial" w:cs="Arial"/>
          <w:b/>
          <w:color w:val="000000" w:themeColor="text1"/>
          <w:sz w:val="22"/>
        </w:rPr>
        <w:t xml:space="preserve"> Acreditación de experiencia en las excepciones al RUP </w:t>
      </w:r>
    </w:p>
    <w:p w14:paraId="6757C2E8" w14:textId="77777777" w:rsidR="00AD1B0F" w:rsidRPr="00BE18D7" w:rsidRDefault="00AD1B0F" w:rsidP="004202F3">
      <w:pPr>
        <w:spacing w:line="276" w:lineRule="auto"/>
        <w:ind w:firstLine="709"/>
        <w:jc w:val="both"/>
        <w:rPr>
          <w:rFonts w:ascii="Arial" w:hAnsi="Arial" w:cs="Arial"/>
          <w:color w:val="000000" w:themeColor="text1"/>
          <w:sz w:val="22"/>
        </w:rPr>
      </w:pPr>
    </w:p>
    <w:p w14:paraId="3C93A529" w14:textId="070431B9" w:rsidR="00AD1B0F" w:rsidRPr="00BE18D7" w:rsidRDefault="00AD1B0F" w:rsidP="004202F3">
      <w:pPr>
        <w:spacing w:line="276" w:lineRule="auto"/>
        <w:jc w:val="both"/>
        <w:rPr>
          <w:rFonts w:ascii="Arial" w:hAnsi="Arial" w:cs="Arial"/>
          <w:color w:val="000000" w:themeColor="text1"/>
          <w:sz w:val="22"/>
        </w:rPr>
      </w:pPr>
      <w:r w:rsidRPr="00BE18D7">
        <w:rPr>
          <w:rFonts w:ascii="Arial" w:hAnsi="Arial" w:cs="Arial"/>
          <w:color w:val="000000" w:themeColor="text1"/>
          <w:sz w:val="22"/>
        </w:rPr>
        <w:t>La acreditación de la experiencia en los procesos de contratación que no requieren del RUP, se estudió, por esta Subdirección, en el concepto con radicado No. 4201913000006797 del 19 de noviembre de 2019, de acuerdo con los argumentos que se presentan a co</w:t>
      </w:r>
      <w:r w:rsidR="009F1F65" w:rsidRPr="00BE18D7">
        <w:rPr>
          <w:rFonts w:ascii="Arial" w:hAnsi="Arial" w:cs="Arial"/>
          <w:color w:val="000000" w:themeColor="text1"/>
          <w:sz w:val="22"/>
        </w:rPr>
        <w:t xml:space="preserve">ntinuación. </w:t>
      </w:r>
    </w:p>
    <w:p w14:paraId="702D1DB2" w14:textId="38A83FAF" w:rsidR="00AD1B0F" w:rsidRPr="00BE18D7" w:rsidRDefault="00AD1B0F" w:rsidP="00F4797F">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El Registro Único de Proponentes no es exigible en todos los p</w:t>
      </w:r>
      <w:r w:rsidR="00540DF9" w:rsidRPr="00BE18D7">
        <w:rPr>
          <w:rFonts w:ascii="Arial" w:hAnsi="Arial" w:cs="Arial"/>
          <w:color w:val="000000" w:themeColor="text1"/>
          <w:sz w:val="22"/>
        </w:rPr>
        <w:t>rocesos de selección. El</w:t>
      </w:r>
      <w:r w:rsidRPr="00BE18D7">
        <w:rPr>
          <w:rFonts w:ascii="Arial" w:hAnsi="Arial" w:cs="Arial"/>
          <w:color w:val="000000" w:themeColor="text1"/>
          <w:sz w:val="22"/>
        </w:rPr>
        <w:t xml:space="preserve"> inciso</w:t>
      </w:r>
      <w:r w:rsidR="00540DF9" w:rsidRPr="00BE18D7">
        <w:rPr>
          <w:rFonts w:ascii="Arial" w:hAnsi="Arial" w:cs="Arial"/>
          <w:color w:val="000000" w:themeColor="text1"/>
          <w:sz w:val="22"/>
        </w:rPr>
        <w:t xml:space="preserve"> segundo</w:t>
      </w:r>
      <w:r w:rsidRPr="00BE18D7">
        <w:rPr>
          <w:rFonts w:ascii="Arial" w:hAnsi="Arial" w:cs="Arial"/>
          <w:color w:val="000000" w:themeColor="text1"/>
          <w:sz w:val="22"/>
        </w:rPr>
        <w:t xml:space="preserve"> del artículo 6 de la Ley 1150 de 2007 señala los casos en los que no se requerirá el R</w:t>
      </w:r>
      <w:r w:rsidR="00540DF9" w:rsidRPr="00BE18D7">
        <w:rPr>
          <w:rFonts w:ascii="Arial" w:hAnsi="Arial" w:cs="Arial"/>
          <w:color w:val="000000" w:themeColor="text1"/>
          <w:sz w:val="22"/>
        </w:rPr>
        <w:t>egistro Único de Proponentes: «[…]</w:t>
      </w:r>
      <w:r w:rsidRPr="00BE18D7">
        <w:rPr>
          <w:rFonts w:ascii="Arial" w:hAnsi="Arial" w:cs="Arial"/>
          <w:color w:val="000000" w:themeColor="text1"/>
          <w:sz w:val="22"/>
        </w:rPr>
        <w:t xml:space="preserve">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w:t>
      </w:r>
      <w:r w:rsidR="00540DF9" w:rsidRPr="00BE18D7">
        <w:rPr>
          <w:rFonts w:ascii="Arial" w:hAnsi="Arial" w:cs="Arial"/>
          <w:color w:val="000000" w:themeColor="text1"/>
          <w:sz w:val="22"/>
        </w:rPr>
        <w:t>cualquier índole»</w:t>
      </w:r>
      <w:r w:rsidR="009F1F65" w:rsidRPr="00BE18D7">
        <w:rPr>
          <w:rFonts w:ascii="Arial" w:hAnsi="Arial" w:cs="Arial"/>
          <w:color w:val="000000" w:themeColor="text1"/>
          <w:sz w:val="22"/>
        </w:rPr>
        <w:t xml:space="preserve">. </w:t>
      </w:r>
    </w:p>
    <w:p w14:paraId="60DA78A2" w14:textId="7B5464F6" w:rsidR="00AD1B0F" w:rsidRPr="00BE18D7" w:rsidRDefault="00AD1B0F" w:rsidP="00F4797F">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La norma señala que, en estos eventos, las entidades contratantes tienen del deber de verificar las condiciones de capacidad jurídica, técnica, financiera y organizacional de los oferentes. Adicionalmente, en los casos que sea necesaria la verificación de requisitos o información que no repose en el RUP, la entidad estatal podrá s</w:t>
      </w:r>
      <w:r w:rsidR="00540DF9" w:rsidRPr="00BE18D7">
        <w:rPr>
          <w:rFonts w:ascii="Arial" w:hAnsi="Arial" w:cs="Arial"/>
          <w:color w:val="000000" w:themeColor="text1"/>
          <w:sz w:val="22"/>
        </w:rPr>
        <w:t xml:space="preserve">olicitar información adicional </w:t>
      </w:r>
      <w:r w:rsidR="00540DF9" w:rsidRPr="00BE18D7">
        <w:rPr>
          <w:rFonts w:ascii="Arial" w:eastAsia="Calibri" w:hAnsi="Arial" w:cs="Arial"/>
          <w:color w:val="000000" w:themeColor="text1"/>
          <w:sz w:val="22"/>
        </w:rPr>
        <w:t>―</w:t>
      </w:r>
      <w:r w:rsidRPr="00BE18D7">
        <w:rPr>
          <w:rFonts w:ascii="Arial" w:hAnsi="Arial" w:cs="Arial"/>
          <w:color w:val="000000" w:themeColor="text1"/>
          <w:sz w:val="22"/>
        </w:rPr>
        <w:t>por ejemplo, longitudes de obra, esp</w:t>
      </w:r>
      <w:r w:rsidR="00540DF9" w:rsidRPr="00BE18D7">
        <w:rPr>
          <w:rFonts w:ascii="Arial" w:hAnsi="Arial" w:cs="Arial"/>
          <w:color w:val="000000" w:themeColor="text1"/>
          <w:sz w:val="22"/>
        </w:rPr>
        <w:t>ecificaciones técnicas, etc</w:t>
      </w:r>
      <w:r w:rsidR="00540DF9" w:rsidRPr="00BE18D7">
        <w:rPr>
          <w:rFonts w:ascii="Arial" w:eastAsia="Calibri" w:hAnsi="Arial" w:cs="Arial"/>
          <w:color w:val="000000" w:themeColor="text1"/>
          <w:sz w:val="22"/>
        </w:rPr>
        <w:t xml:space="preserve">― </w:t>
      </w:r>
      <w:r w:rsidRPr="00BE18D7">
        <w:rPr>
          <w:rFonts w:ascii="Arial" w:hAnsi="Arial" w:cs="Arial"/>
          <w:color w:val="000000" w:themeColor="text1"/>
          <w:sz w:val="22"/>
        </w:rPr>
        <w:t xml:space="preserve">sólo para complementar la información contenida allí, y con el fin de verificar condiciones adicionales </w:t>
      </w:r>
      <w:r w:rsidR="009F1F65" w:rsidRPr="00BE18D7">
        <w:rPr>
          <w:rFonts w:ascii="Arial" w:hAnsi="Arial" w:cs="Arial"/>
          <w:color w:val="000000" w:themeColor="text1"/>
          <w:sz w:val="22"/>
        </w:rPr>
        <w:t xml:space="preserve">de experiencia del proponente. </w:t>
      </w:r>
    </w:p>
    <w:p w14:paraId="5A58BAE4" w14:textId="6C6C38AE" w:rsidR="00AD1B0F" w:rsidRPr="00BE18D7" w:rsidRDefault="004202F3" w:rsidP="00F4797F">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lastRenderedPageBreak/>
        <w:t>De esta forma, so</w:t>
      </w:r>
      <w:r w:rsidR="00AD1B0F" w:rsidRPr="00BE18D7">
        <w:rPr>
          <w:rFonts w:ascii="Arial" w:hAnsi="Arial" w:cs="Arial"/>
          <w:color w:val="000000" w:themeColor="text1"/>
          <w:sz w:val="22"/>
        </w:rPr>
        <w:t>lo en aquellos casos en los que por las características del objeto a contratar se requiera la verificación de requisitos del proponente adicionales a los contenidos en el Registro, la entidad podrá hacer tal verificación en forma directa y solicitar d</w:t>
      </w:r>
      <w:r w:rsidR="009F1F65" w:rsidRPr="00BE18D7">
        <w:rPr>
          <w:rFonts w:ascii="Arial" w:hAnsi="Arial" w:cs="Arial"/>
          <w:color w:val="000000" w:themeColor="text1"/>
          <w:sz w:val="22"/>
        </w:rPr>
        <w:t xml:space="preserve">ocumentos diferentes al mismo. </w:t>
      </w:r>
    </w:p>
    <w:p w14:paraId="2F8F301C" w14:textId="6FB239F5" w:rsidR="00AD1B0F" w:rsidRPr="00BE18D7" w:rsidRDefault="00AD1B0F" w:rsidP="00F4797F">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Ahora bien ¿qué ocurre con la medida contenida en el inciso final del numeral 2.5 del artículo 2.2.1.1.1.5.2 del Decreto 1082 de 2015 en aquellos casos en que la persona jurídica con menos de 3 años de constitución no está inscrita en el RUP? ¿pueden las sociedades recién creadas -con menos de 3 años- acreditar la experiencia de sus socios, accionistas o constituyentes en los procesos del segundo inciso del artículo 6 de la Ley 1150 de 2007, esto es, cuando no se exige que el propo</w:t>
      </w:r>
      <w:r w:rsidR="009F1F65" w:rsidRPr="00BE18D7">
        <w:rPr>
          <w:rFonts w:ascii="Arial" w:hAnsi="Arial" w:cs="Arial"/>
          <w:color w:val="000000" w:themeColor="text1"/>
          <w:sz w:val="22"/>
        </w:rPr>
        <w:t>nente no se inscriba en el RUP?</w:t>
      </w:r>
      <w:r w:rsidR="00540DF9" w:rsidRPr="00BE18D7">
        <w:rPr>
          <w:rFonts w:ascii="Arial" w:hAnsi="Arial" w:cs="Arial"/>
          <w:color w:val="000000" w:themeColor="text1"/>
          <w:sz w:val="22"/>
        </w:rPr>
        <w:t>.</w:t>
      </w:r>
    </w:p>
    <w:p w14:paraId="53FD869E" w14:textId="2FDA6B56" w:rsidR="00AD1B0F" w:rsidRPr="00BE18D7" w:rsidRDefault="00AD1B0F" w:rsidP="00F4797F">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 xml:space="preserve">Teniendo en cuenta que la posibilidad de acreditar la experiencia de los socios para las personas jurídicas con menos de 3 años de constitución se encuentra contenida en una norma que regula el RUP, en principio, solo aplicaría para los casos en los que la persona jurídica está inscrita en dicho registro. Para los demás eventos, como ya se anotó, la entidad contratante tiene la carga de verificar, entre otros, el requisito de experiencia de los oferentes y ello lo hará de conformidad con la regla que al efecto haya establecido </w:t>
      </w:r>
      <w:r w:rsidR="009F1F65" w:rsidRPr="00BE18D7">
        <w:rPr>
          <w:rFonts w:ascii="Arial" w:hAnsi="Arial" w:cs="Arial"/>
          <w:color w:val="000000" w:themeColor="text1"/>
          <w:sz w:val="22"/>
        </w:rPr>
        <w:t xml:space="preserve">en los pliegos de condiciones. </w:t>
      </w:r>
    </w:p>
    <w:p w14:paraId="7C330D63" w14:textId="6ADB46FE" w:rsidR="00AD1B0F" w:rsidRPr="00BE18D7" w:rsidRDefault="00AD1B0F" w:rsidP="00F4797F">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La entidad, en virtud de su autonomía, puede determinar en los pliegos de condiciones que en la evaluación del requisito de experiencia tendrá en cuenta la experiencia de los socios, accionistas o constituyentes de aquellas personas jurídicas con me</w:t>
      </w:r>
      <w:r w:rsidR="009F1F65" w:rsidRPr="00BE18D7">
        <w:rPr>
          <w:rFonts w:ascii="Arial" w:hAnsi="Arial" w:cs="Arial"/>
          <w:color w:val="000000" w:themeColor="text1"/>
          <w:sz w:val="22"/>
        </w:rPr>
        <w:t xml:space="preserve">nos de 3 años de constitución. </w:t>
      </w:r>
    </w:p>
    <w:p w14:paraId="7E79CCBD" w14:textId="4CBDCCDD" w:rsidR="00AD1B0F" w:rsidRPr="00BE18D7" w:rsidRDefault="00AD1B0F" w:rsidP="00F4797F">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 xml:space="preserve">No obstante, la Subdirección de Gestión Contractual considera, a pesar de la discrecionalidad y autonomía que les asiste a las entidades contratantes, que la regla expresada en el numeral 2.5 del artículo 2.2.1.1.1.5.2 del Decreto 1082 de 2015 se debe hacer extensiva, inclusive, a las personas jurídicas que no estén inscritas en el RUP y participen en los procesos de selección exceptuados por el segundo inciso del artículo 6 de la Ley 1150 de 2007. </w:t>
      </w:r>
    </w:p>
    <w:p w14:paraId="0A4BF295" w14:textId="2C157635" w:rsidR="00AD1B0F" w:rsidRPr="00BE18D7" w:rsidRDefault="00AD1B0F" w:rsidP="00F4797F">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La anterior consideración tiene su principal sustento en el principio de igualdad de trato que orienta e irradia la actividad contractual del Estado. El principio de igualdad, consagrado en el artículo 13 de la Constitución Política, es un valor fundamental, no solo de la contratación estatal sino del ordenamiento jurídico. La igualdad, según la Corte Constitucional, tiene la connotació</w:t>
      </w:r>
      <w:r w:rsidR="00540DF9" w:rsidRPr="00BE18D7">
        <w:rPr>
          <w:rFonts w:ascii="Arial" w:hAnsi="Arial" w:cs="Arial"/>
          <w:color w:val="000000" w:themeColor="text1"/>
          <w:sz w:val="22"/>
        </w:rPr>
        <w:t>n de principio, valor y derecho</w:t>
      </w:r>
      <w:r w:rsidRPr="00BE18D7">
        <w:rPr>
          <w:rFonts w:ascii="Arial" w:hAnsi="Arial" w:cs="Arial"/>
          <w:color w:val="000000" w:themeColor="text1"/>
          <w:sz w:val="22"/>
        </w:rPr>
        <w:t>, por lo que representa un criterio de obligatoria observancia tanto para la producción como para la aplicación</w:t>
      </w:r>
      <w:r w:rsidR="009F1F65" w:rsidRPr="00BE18D7">
        <w:rPr>
          <w:rFonts w:ascii="Arial" w:hAnsi="Arial" w:cs="Arial"/>
          <w:color w:val="000000" w:themeColor="text1"/>
          <w:sz w:val="22"/>
        </w:rPr>
        <w:t xml:space="preserve"> e interpretación del derecho. </w:t>
      </w:r>
    </w:p>
    <w:p w14:paraId="5FF33050" w14:textId="4E9F0807" w:rsidR="00AD1B0F" w:rsidRPr="00BE18D7" w:rsidRDefault="00AD1B0F" w:rsidP="00F4797F">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 xml:space="preserve">A la luz del artículo 209 de la Constitución Política, la igualdad es uno de los principios orientadores de la función administrativa, y en virtud del principio de igualdad, las autoridades darán el mismo trato y protección a las personas e instituciones que </w:t>
      </w:r>
      <w:r w:rsidRPr="00BE18D7">
        <w:rPr>
          <w:rFonts w:ascii="Arial" w:hAnsi="Arial" w:cs="Arial"/>
          <w:color w:val="000000" w:themeColor="text1"/>
          <w:sz w:val="22"/>
        </w:rPr>
        <w:lastRenderedPageBreak/>
        <w:t>intervengan en las actuaciones bajo su conocimiento, como lo ordena el numeral 2º del artíc</w:t>
      </w:r>
      <w:r w:rsidR="009F1F65" w:rsidRPr="00BE18D7">
        <w:rPr>
          <w:rFonts w:ascii="Arial" w:hAnsi="Arial" w:cs="Arial"/>
          <w:color w:val="000000" w:themeColor="text1"/>
          <w:sz w:val="22"/>
        </w:rPr>
        <w:t xml:space="preserve">ulo 3º de la Ley 1437 de 2011. </w:t>
      </w:r>
    </w:p>
    <w:p w14:paraId="57E60936" w14:textId="1E922EED" w:rsidR="00AD1B0F" w:rsidRPr="00BE18D7" w:rsidRDefault="00AD1B0F" w:rsidP="00F4797F">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 xml:space="preserve">En el ámbito de la contratación pública, la igualdad se materializa a través del equilibrio de todos los oferentes frente al proceso de selección, desde la exigencia de los requisitos estipulados en los pliegos de condiciones, en la calificación de sus ofertas y en su selección. La igualdad en los procesos de contratación supone que las condiciones a las que se enfrentan los proponentes sean las mismas para todos y que la oferta adjudicada sea </w:t>
      </w:r>
      <w:r w:rsidR="009F1F65" w:rsidRPr="00BE18D7">
        <w:rPr>
          <w:rFonts w:ascii="Arial" w:hAnsi="Arial" w:cs="Arial"/>
          <w:color w:val="000000" w:themeColor="text1"/>
          <w:sz w:val="22"/>
        </w:rPr>
        <w:t xml:space="preserve">la más favorable a la entidad. </w:t>
      </w:r>
    </w:p>
    <w:p w14:paraId="1F87F83C" w14:textId="7D750897" w:rsidR="00AD1B0F" w:rsidRPr="00BE18D7" w:rsidRDefault="00AD1B0F" w:rsidP="00F4797F">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 xml:space="preserve">Es por ello que el Consejo de Estado ha determinado que la aplicación del principio de igualdad en la contratación pública materializa otros principios de similar importancia, como la selección objetiva y la transparencia: </w:t>
      </w:r>
    </w:p>
    <w:p w14:paraId="58B615F8" w14:textId="15C10E47" w:rsidR="00AD1B0F" w:rsidRPr="00BE18D7" w:rsidRDefault="00AD1B0F" w:rsidP="00F4797F">
      <w:pPr>
        <w:ind w:left="709" w:right="709"/>
        <w:jc w:val="both"/>
        <w:rPr>
          <w:rFonts w:ascii="Arial" w:hAnsi="Arial" w:cs="Arial"/>
          <w:color w:val="000000" w:themeColor="text1"/>
          <w:sz w:val="22"/>
        </w:rPr>
      </w:pPr>
      <w:r w:rsidRPr="00BE18D7">
        <w:rPr>
          <w:rFonts w:ascii="Arial" w:hAnsi="Arial" w:cs="Arial"/>
          <w:color w:val="000000" w:themeColor="text1"/>
          <w:sz w:val="22"/>
        </w:rPr>
        <w:t>La igualdad de los licitadores, presupuesto fundamental que garantiza la selección 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desarrolla la objetividad connatural a este procedimiento, en consideración a que el pliego es fuente principal de los derechos y obligaciones de la admi</w:t>
      </w:r>
      <w:r w:rsidR="009F1F65" w:rsidRPr="00BE18D7">
        <w:rPr>
          <w:rFonts w:ascii="Arial" w:hAnsi="Arial" w:cs="Arial"/>
          <w:color w:val="000000" w:themeColor="text1"/>
          <w:sz w:val="22"/>
        </w:rPr>
        <w:t>nistración y de los proponentes</w:t>
      </w:r>
      <w:r w:rsidR="008C35A2" w:rsidRPr="00BE18D7">
        <w:rPr>
          <w:rStyle w:val="Refdenotaalpie"/>
          <w:rFonts w:ascii="Arial" w:hAnsi="Arial" w:cs="Arial"/>
          <w:color w:val="000000" w:themeColor="text1"/>
          <w:sz w:val="22"/>
        </w:rPr>
        <w:footnoteReference w:id="20"/>
      </w:r>
      <w:r w:rsidRPr="00BE18D7">
        <w:rPr>
          <w:rFonts w:ascii="Arial" w:hAnsi="Arial" w:cs="Arial"/>
          <w:color w:val="000000" w:themeColor="text1"/>
          <w:sz w:val="22"/>
        </w:rPr>
        <w:t>.</w:t>
      </w:r>
    </w:p>
    <w:p w14:paraId="5E58CB70" w14:textId="77777777" w:rsidR="00F4797F" w:rsidRPr="00BE18D7" w:rsidRDefault="00F4797F" w:rsidP="00F4797F">
      <w:pPr>
        <w:ind w:left="709" w:right="709"/>
        <w:jc w:val="both"/>
        <w:rPr>
          <w:rFonts w:ascii="Arial" w:hAnsi="Arial" w:cs="Arial"/>
          <w:color w:val="000000" w:themeColor="text1"/>
          <w:sz w:val="22"/>
        </w:rPr>
      </w:pPr>
    </w:p>
    <w:p w14:paraId="2808D937" w14:textId="10517736" w:rsidR="00AD1B0F" w:rsidRPr="00BE18D7" w:rsidRDefault="00AD1B0F" w:rsidP="00F4797F">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 xml:space="preserve">Ahora bien, a pesar de que la norma que concede la posibilidad de acreditar la experiencia de los socios, accionistas o constituyentes para las personas jurídicas con menos de 3 años de creación se refiere al RUP, ello no impide que se pueda hacer una aplicación extensiva o analógica para los eventos en los que no sea necesaria la inscripción en el RUP. Es más, se insiste en que esta aplicación analógica </w:t>
      </w:r>
      <w:r w:rsidR="004202F3" w:rsidRPr="00BE18D7">
        <w:rPr>
          <w:rFonts w:ascii="Arial" w:hAnsi="Arial" w:cs="Arial"/>
          <w:color w:val="000000" w:themeColor="text1"/>
          <w:sz w:val="22"/>
        </w:rPr>
        <w:t xml:space="preserve">se fundamenta en virtud </w:t>
      </w:r>
      <w:r w:rsidRPr="00BE18D7">
        <w:rPr>
          <w:rFonts w:ascii="Arial" w:hAnsi="Arial" w:cs="Arial"/>
          <w:color w:val="000000" w:themeColor="text1"/>
          <w:sz w:val="22"/>
        </w:rPr>
        <w:t xml:space="preserve"> del principio de igualdad de trato en la contratación pública, pues no se observa ningún criterio de distinción que justifique que en un caso se les tenga en cuenta la experiencia de los socios y en otros casos no. Personas jurídicas con menos de 3 años de constitución inscritas en el RUP son esencialmente iguales a las que no tienen dicho registro. </w:t>
      </w:r>
    </w:p>
    <w:p w14:paraId="6D0E9802" w14:textId="6187A2D3" w:rsidR="00AD1B0F" w:rsidRPr="00BE18D7" w:rsidRDefault="00AD1B0F" w:rsidP="00CC722B">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 xml:space="preserve">En efecto, si se realiza una comparación entre los dos grupos de sujetos a los que se hace referencia, se tendría que concluir que son esencialmente iguales: i) ambos son personas jurídicas recién creadas, esto es, con menos de 3 años de constitución; ii) ambos se encuentran dentro del ámbito de protección o finalidad de la norma, es decir, con la aplicación extensiva de la norma también se promueve el desarrollo de la empresa y la </w:t>
      </w:r>
      <w:r w:rsidRPr="00BE18D7">
        <w:rPr>
          <w:rFonts w:ascii="Arial" w:hAnsi="Arial" w:cs="Arial"/>
          <w:color w:val="000000" w:themeColor="text1"/>
          <w:sz w:val="22"/>
        </w:rPr>
        <w:lastRenderedPageBreak/>
        <w:t>pluralidad de oferentes en la contratación pública y iii) no existe ningún criterio material o sustantivo que jus</w:t>
      </w:r>
      <w:r w:rsidR="009F1F65" w:rsidRPr="00BE18D7">
        <w:rPr>
          <w:rFonts w:ascii="Arial" w:hAnsi="Arial" w:cs="Arial"/>
          <w:color w:val="000000" w:themeColor="text1"/>
          <w:sz w:val="22"/>
        </w:rPr>
        <w:t xml:space="preserve">tifique el trato diferenciado. </w:t>
      </w:r>
    </w:p>
    <w:p w14:paraId="34768D2D" w14:textId="27394FF0" w:rsidR="00AD1B0F" w:rsidRPr="00BE18D7" w:rsidRDefault="00AD1B0F" w:rsidP="00F4797F">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La única diferencia entre los dos grupos de sujetos es la inscripción en el RUP, el cual es obligatorio, por regla general; pero esa obligatoriedad tiene excepciones. En estas excepciones la persona jurídica no está obligada a registrarse para participar en los procesos de selección que la norma excluye del deber de inscribi</w:t>
      </w:r>
      <w:r w:rsidR="00EC3F12" w:rsidRPr="00BE18D7">
        <w:rPr>
          <w:rFonts w:ascii="Arial" w:hAnsi="Arial" w:cs="Arial"/>
          <w:color w:val="000000" w:themeColor="text1"/>
          <w:sz w:val="22"/>
        </w:rPr>
        <w:t>r</w:t>
      </w:r>
      <w:r w:rsidRPr="00BE18D7">
        <w:rPr>
          <w:rFonts w:ascii="Arial" w:hAnsi="Arial" w:cs="Arial"/>
          <w:color w:val="000000" w:themeColor="text1"/>
          <w:sz w:val="22"/>
        </w:rPr>
        <w:t>se en el registro. La inscripción en el RUP no se considera un criterio de diferenciación que pueda justificar un trato diferenciado entre dos grupos de personas que son esencialmente iguales, máxime cuando la falta de inscripción en el RUP, en los casos exceptuados, es una situaci</w:t>
      </w:r>
      <w:r w:rsidR="00EC3F12" w:rsidRPr="00BE18D7">
        <w:rPr>
          <w:rFonts w:ascii="Arial" w:hAnsi="Arial" w:cs="Arial"/>
          <w:color w:val="000000" w:themeColor="text1"/>
          <w:sz w:val="22"/>
        </w:rPr>
        <w:t xml:space="preserve">ón permitida por la propia ley </w:t>
      </w:r>
      <w:r w:rsidR="00EC3F12" w:rsidRPr="00BE18D7">
        <w:rPr>
          <w:rFonts w:ascii="Arial" w:eastAsia="Calibri" w:hAnsi="Arial" w:cs="Arial"/>
          <w:color w:val="000000" w:themeColor="text1"/>
          <w:sz w:val="22"/>
        </w:rPr>
        <w:t>―</w:t>
      </w:r>
      <w:r w:rsidRPr="00BE18D7">
        <w:rPr>
          <w:rFonts w:ascii="Arial" w:hAnsi="Arial" w:cs="Arial"/>
          <w:color w:val="000000" w:themeColor="text1"/>
          <w:sz w:val="22"/>
        </w:rPr>
        <w:t xml:space="preserve">inciso </w:t>
      </w:r>
      <w:r w:rsidR="00EC3F12" w:rsidRPr="00BE18D7">
        <w:rPr>
          <w:rFonts w:ascii="Arial" w:hAnsi="Arial" w:cs="Arial"/>
          <w:color w:val="000000" w:themeColor="text1"/>
          <w:sz w:val="22"/>
        </w:rPr>
        <w:t xml:space="preserve">segundo </w:t>
      </w:r>
      <w:r w:rsidRPr="00BE18D7">
        <w:rPr>
          <w:rFonts w:ascii="Arial" w:hAnsi="Arial" w:cs="Arial"/>
          <w:color w:val="000000" w:themeColor="text1"/>
          <w:sz w:val="22"/>
        </w:rPr>
        <w:t>del artíc</w:t>
      </w:r>
      <w:r w:rsidR="00EC3F12" w:rsidRPr="00BE18D7">
        <w:rPr>
          <w:rFonts w:ascii="Arial" w:hAnsi="Arial" w:cs="Arial"/>
          <w:color w:val="000000" w:themeColor="text1"/>
          <w:sz w:val="22"/>
        </w:rPr>
        <w:t>ulo 6 de la Ley 1150 de 2007</w:t>
      </w:r>
      <w:r w:rsidR="00EC3F12" w:rsidRPr="00BE18D7">
        <w:rPr>
          <w:rFonts w:ascii="Arial" w:eastAsia="Calibri" w:hAnsi="Arial" w:cs="Arial"/>
          <w:color w:val="000000" w:themeColor="text1"/>
          <w:sz w:val="22"/>
        </w:rPr>
        <w:t>―</w:t>
      </w:r>
      <w:r w:rsidR="009F1F65" w:rsidRPr="00BE18D7">
        <w:rPr>
          <w:rFonts w:ascii="Arial" w:hAnsi="Arial" w:cs="Arial"/>
          <w:color w:val="000000" w:themeColor="text1"/>
          <w:sz w:val="22"/>
        </w:rPr>
        <w:t xml:space="preserve">. </w:t>
      </w:r>
    </w:p>
    <w:p w14:paraId="454600B8" w14:textId="4B2E63F8" w:rsidR="00AD1B0F" w:rsidRPr="00BE18D7" w:rsidRDefault="00AD1B0F" w:rsidP="00F4797F">
      <w:pPr>
        <w:spacing w:before="120" w:after="120" w:line="276" w:lineRule="auto"/>
        <w:ind w:firstLine="708"/>
        <w:jc w:val="both"/>
        <w:rPr>
          <w:rFonts w:ascii="Arial" w:hAnsi="Arial" w:cs="Arial"/>
          <w:color w:val="000000" w:themeColor="text1"/>
          <w:sz w:val="22"/>
        </w:rPr>
      </w:pPr>
      <w:r w:rsidRPr="00BE18D7">
        <w:rPr>
          <w:rFonts w:ascii="Arial" w:hAnsi="Arial" w:cs="Arial"/>
          <w:color w:val="000000" w:themeColor="text1"/>
          <w:sz w:val="22"/>
        </w:rPr>
        <w:t>Así las cosas, frente a la acreditación de la experiencia de los socios, accionistas o constituyentes de una persona jurídica con menos de 3 años de constitución, para participar en los eventos exceptuados al deber de inscripción en el RUP, como</w:t>
      </w:r>
      <w:r w:rsidR="008F0344" w:rsidRPr="00BE18D7">
        <w:rPr>
          <w:rFonts w:ascii="Arial" w:hAnsi="Arial" w:cs="Arial"/>
          <w:color w:val="000000" w:themeColor="text1"/>
          <w:sz w:val="22"/>
        </w:rPr>
        <w:t xml:space="preserve"> en</w:t>
      </w:r>
      <w:r w:rsidRPr="00BE18D7">
        <w:rPr>
          <w:rFonts w:ascii="Arial" w:hAnsi="Arial" w:cs="Arial"/>
          <w:color w:val="000000" w:themeColor="text1"/>
          <w:sz w:val="22"/>
        </w:rPr>
        <w:t xml:space="preserve"> los procesos de selección de mínima cuantía, la entidad contratante, en virtud de su autonomía, cuenta con la discreción de adoptar dos alternativas: i) aplicar el numeral 2.5 del artículo 2.2.1.1.1.5.2 del Decreto 1082 de 2015 de manera restrictiva, es decir, solo para los eventos de personas jurídicas con menos de 3 años de constitución que se inscriban en el RUP o ii) hacer una aplicación extensiva o analógica de esta norma, y determinar en los pliegos de condiciones que estas personas jurídica, que por virtud de los eventos exceptuados por el segundo inciso del artículo 6 de la Ley 1150 de 2007, no están obligadas a inscribirse en el RUP y no lo han hecho, pueden acreditar la experiencia de sus socios, accionistas y constituyentes si tiene menos de 3 años de consti</w:t>
      </w:r>
      <w:r w:rsidR="009F1F65" w:rsidRPr="00BE18D7">
        <w:rPr>
          <w:rFonts w:ascii="Arial" w:hAnsi="Arial" w:cs="Arial"/>
          <w:color w:val="000000" w:themeColor="text1"/>
          <w:sz w:val="22"/>
        </w:rPr>
        <w:t xml:space="preserve">tución. </w:t>
      </w:r>
    </w:p>
    <w:p w14:paraId="2996748D" w14:textId="77777777" w:rsidR="00AD1B0F" w:rsidRPr="00BE18D7" w:rsidRDefault="00AD1B0F" w:rsidP="00F4797F">
      <w:pPr>
        <w:spacing w:line="276" w:lineRule="auto"/>
        <w:ind w:firstLine="709"/>
        <w:jc w:val="both"/>
        <w:rPr>
          <w:rFonts w:ascii="Arial" w:hAnsi="Arial" w:cs="Arial"/>
          <w:color w:val="000000" w:themeColor="text1"/>
          <w:sz w:val="22"/>
        </w:rPr>
      </w:pPr>
      <w:r w:rsidRPr="00BE18D7">
        <w:rPr>
          <w:rFonts w:ascii="Arial" w:hAnsi="Arial" w:cs="Arial"/>
          <w:color w:val="000000" w:themeColor="text1"/>
          <w:sz w:val="22"/>
        </w:rPr>
        <w:t>La Subdirección de Gestión Contractual considera que la segunda alternativa es la más adecuada, toda vez que realiza el principio de igualdad de trato que rige la contratación de las entidades estatales y materializa el fin de protección de la norma, que es promover el desarrollo de la pequeña empresa y la pluralidad de oferentes.</w:t>
      </w:r>
    </w:p>
    <w:p w14:paraId="0C0219AC" w14:textId="77777777" w:rsidR="00AD1B0F" w:rsidRPr="00BE18D7" w:rsidRDefault="00AD1B0F" w:rsidP="00F4797F">
      <w:pPr>
        <w:spacing w:line="276" w:lineRule="auto"/>
        <w:ind w:firstLine="709"/>
        <w:jc w:val="both"/>
        <w:rPr>
          <w:rFonts w:ascii="Arial" w:hAnsi="Arial" w:cs="Arial"/>
          <w:color w:val="000000" w:themeColor="text1"/>
          <w:sz w:val="22"/>
        </w:rPr>
      </w:pPr>
    </w:p>
    <w:p w14:paraId="479F83CC" w14:textId="77777777" w:rsidR="00AD1B0F" w:rsidRPr="00BE18D7" w:rsidRDefault="00AD1B0F" w:rsidP="00965ED6">
      <w:pPr>
        <w:spacing w:line="276" w:lineRule="auto"/>
        <w:ind w:firstLine="709"/>
        <w:jc w:val="both"/>
        <w:rPr>
          <w:rFonts w:ascii="Arial" w:hAnsi="Arial" w:cs="Arial"/>
          <w:b/>
          <w:color w:val="000000" w:themeColor="text1"/>
          <w:sz w:val="22"/>
        </w:rPr>
      </w:pPr>
      <w:r w:rsidRPr="00BE18D7">
        <w:rPr>
          <w:rFonts w:ascii="Arial" w:hAnsi="Arial" w:cs="Arial"/>
          <w:b/>
          <w:color w:val="000000" w:themeColor="text1"/>
          <w:sz w:val="22"/>
        </w:rPr>
        <w:t>3.</w:t>
      </w:r>
      <w:r w:rsidRPr="00BE18D7">
        <w:rPr>
          <w:rFonts w:ascii="Arial" w:hAnsi="Arial" w:cs="Arial"/>
          <w:b/>
          <w:color w:val="000000" w:themeColor="text1"/>
          <w:sz w:val="22"/>
        </w:rPr>
        <w:tab/>
        <w:t xml:space="preserve">Respuesta </w:t>
      </w:r>
    </w:p>
    <w:p w14:paraId="4D8FF84F" w14:textId="77777777" w:rsidR="00AD1B0F" w:rsidRPr="00BE18D7" w:rsidRDefault="00AD1B0F" w:rsidP="00965ED6">
      <w:pPr>
        <w:spacing w:line="276" w:lineRule="auto"/>
        <w:ind w:firstLine="709"/>
        <w:jc w:val="both"/>
        <w:rPr>
          <w:rFonts w:ascii="Arial" w:hAnsi="Arial" w:cs="Arial"/>
          <w:color w:val="000000" w:themeColor="text1"/>
          <w:sz w:val="22"/>
        </w:rPr>
      </w:pPr>
    </w:p>
    <w:p w14:paraId="1749CEAE" w14:textId="4C877C07" w:rsidR="008F0344" w:rsidRPr="00BE18D7" w:rsidRDefault="008F0344" w:rsidP="00965ED6">
      <w:pPr>
        <w:tabs>
          <w:tab w:val="left" w:pos="426"/>
        </w:tabs>
        <w:spacing w:line="276" w:lineRule="auto"/>
        <w:ind w:left="709" w:right="709"/>
        <w:jc w:val="both"/>
        <w:rPr>
          <w:rFonts w:ascii="Arial" w:eastAsia="Calibri" w:hAnsi="Arial" w:cs="Arial"/>
          <w:color w:val="000000" w:themeColor="text1"/>
          <w:sz w:val="22"/>
        </w:rPr>
      </w:pPr>
      <w:r w:rsidRPr="00BE18D7">
        <w:rPr>
          <w:rFonts w:ascii="Arial" w:eastAsia="Calibri" w:hAnsi="Arial" w:cs="Arial"/>
          <w:color w:val="000000" w:themeColor="text1"/>
          <w:sz w:val="22"/>
        </w:rPr>
        <w:t>i) El beneficio establecido en el numeral 2.5. del artículo 2.2.1.1.1.5.2. del Decreto 1082 de 2015 es aplicable a procesos de mínima cuantía?</w:t>
      </w:r>
    </w:p>
    <w:p w14:paraId="5AD267E4" w14:textId="77777777" w:rsidR="008F0344" w:rsidRPr="006F1A04" w:rsidRDefault="008F0344" w:rsidP="00965ED6">
      <w:pPr>
        <w:spacing w:line="276" w:lineRule="auto"/>
        <w:jc w:val="both"/>
        <w:rPr>
          <w:rFonts w:ascii="Arial" w:hAnsi="Arial" w:cs="Arial"/>
          <w:color w:val="000000" w:themeColor="text1"/>
          <w:sz w:val="16"/>
          <w:szCs w:val="16"/>
        </w:rPr>
      </w:pPr>
    </w:p>
    <w:p w14:paraId="774346E1" w14:textId="5E6E6FA2" w:rsidR="001F4991" w:rsidRPr="00BE18D7" w:rsidRDefault="001F4991" w:rsidP="00965ED6">
      <w:pPr>
        <w:spacing w:before="120" w:after="120" w:line="276" w:lineRule="auto"/>
        <w:jc w:val="both"/>
        <w:rPr>
          <w:rFonts w:ascii="Arial" w:hAnsi="Arial" w:cs="Arial"/>
          <w:color w:val="000000" w:themeColor="text1"/>
          <w:sz w:val="22"/>
        </w:rPr>
      </w:pPr>
      <w:r w:rsidRPr="00BE18D7">
        <w:rPr>
          <w:rFonts w:ascii="Arial" w:hAnsi="Arial" w:cs="Arial"/>
          <w:color w:val="000000" w:themeColor="text1"/>
          <w:sz w:val="22"/>
        </w:rPr>
        <w:t xml:space="preserve">La acreditación de la experiencia de los socios, accionistas o constituyentes de una persona jurídica con menos de 3 años de constitución, para participar en los eventos exceptuados al deber de inscripción en el RUP, como en los procesos de selección de mínima cuantía, la entidad contratante, en virtud de su autonomía, cuenta con la discreción de adoptar dos alternativas: i) aplicar el numeral 2.5 del artículo 2.2.1.1.1.5.2 del Decreto 1082 de 2015 de manera restrictiva, es decir, solo para los eventos de personas jurídicas con menos de 3 </w:t>
      </w:r>
      <w:r w:rsidRPr="00BE18D7">
        <w:rPr>
          <w:rFonts w:ascii="Arial" w:hAnsi="Arial" w:cs="Arial"/>
          <w:color w:val="000000" w:themeColor="text1"/>
          <w:sz w:val="22"/>
        </w:rPr>
        <w:lastRenderedPageBreak/>
        <w:t xml:space="preserve">años de constitución que se inscriban en el RUP o ii) hacer una aplicación extensiva o analógica de esta norma, y determinar en los pliegos de condiciones que estas personas jurídica, que por virtud de los eventos exceptuados por el segundo inciso del artículo 6 de la Ley 1150 de 2007, no están obligadas a inscribirse en el RUP y no lo han hecho, pueden acreditar la experiencia de sus socios, accionistas y constituyentes si tiene menos de 3 años de constitución. </w:t>
      </w:r>
    </w:p>
    <w:p w14:paraId="23EFD5DA" w14:textId="344AF672" w:rsidR="00F4797F" w:rsidRPr="00BE18D7" w:rsidRDefault="001F4991" w:rsidP="00965ED6">
      <w:pPr>
        <w:spacing w:before="120" w:after="120" w:line="276" w:lineRule="auto"/>
        <w:ind w:firstLine="709"/>
        <w:jc w:val="both"/>
        <w:rPr>
          <w:rFonts w:ascii="Arial" w:hAnsi="Arial" w:cs="Arial"/>
          <w:color w:val="000000" w:themeColor="text1"/>
          <w:sz w:val="22"/>
        </w:rPr>
      </w:pPr>
      <w:r w:rsidRPr="00BE18D7">
        <w:rPr>
          <w:rFonts w:ascii="Arial" w:hAnsi="Arial" w:cs="Arial"/>
          <w:color w:val="000000" w:themeColor="text1"/>
          <w:sz w:val="22"/>
        </w:rPr>
        <w:t>La Subdirección de Gestión Contractual considera que la segunda alternativa es la más adecuada, toda vez que realiza el principio de igualdad de trato que rige la contratación de las entidades estatales y materializa el fin de protección de la norma, que es promover el desarrollo de la pequeña empresa y la pluralidad de oferentes.</w:t>
      </w:r>
    </w:p>
    <w:p w14:paraId="02C1FACD" w14:textId="77777777" w:rsidR="008F0344" w:rsidRPr="00BE18D7" w:rsidRDefault="008F0344" w:rsidP="00F4797F">
      <w:pPr>
        <w:pStyle w:val="Prrafodelista"/>
        <w:tabs>
          <w:tab w:val="left" w:pos="426"/>
        </w:tabs>
        <w:spacing w:line="276" w:lineRule="auto"/>
        <w:ind w:left="1080"/>
        <w:contextualSpacing w:val="0"/>
        <w:jc w:val="both"/>
        <w:rPr>
          <w:rFonts w:ascii="Arial" w:eastAsia="Calibri" w:hAnsi="Arial" w:cs="Arial"/>
          <w:color w:val="000000" w:themeColor="text1"/>
          <w:sz w:val="22"/>
        </w:rPr>
      </w:pPr>
      <w:r w:rsidRPr="00BE18D7">
        <w:rPr>
          <w:rFonts w:ascii="Arial" w:eastAsia="Calibri" w:hAnsi="Arial" w:cs="Arial"/>
          <w:color w:val="000000" w:themeColor="text1"/>
          <w:sz w:val="22"/>
        </w:rPr>
        <w:t xml:space="preserve">ii)¿ una persona jurídica compra a una persona natural con establecimiento de comercio dicho establecimiento, la experiencia de esta última es acreditable por parte de la SAS dentro de un proceso contractual como propia?. </w:t>
      </w:r>
    </w:p>
    <w:p w14:paraId="244B0D18" w14:textId="77777777" w:rsidR="002D6F6E" w:rsidRPr="00BE18D7" w:rsidRDefault="002D6F6E" w:rsidP="00F4797F">
      <w:pPr>
        <w:pStyle w:val="Prrafodelista"/>
        <w:tabs>
          <w:tab w:val="left" w:pos="426"/>
        </w:tabs>
        <w:spacing w:line="276" w:lineRule="auto"/>
        <w:ind w:left="1080"/>
        <w:contextualSpacing w:val="0"/>
        <w:jc w:val="both"/>
        <w:rPr>
          <w:rFonts w:ascii="Arial" w:eastAsia="Calibri" w:hAnsi="Arial" w:cs="Arial"/>
          <w:color w:val="000000" w:themeColor="text1"/>
          <w:sz w:val="22"/>
        </w:rPr>
      </w:pPr>
    </w:p>
    <w:p w14:paraId="30D6F7E4" w14:textId="7D3FA169" w:rsidR="004202F3" w:rsidRPr="00BE18D7" w:rsidRDefault="00965ED6" w:rsidP="006F1A04">
      <w:pPr>
        <w:spacing w:line="276" w:lineRule="auto"/>
        <w:jc w:val="both"/>
        <w:rPr>
          <w:rFonts w:ascii="Arial" w:hAnsi="Arial" w:cs="Arial"/>
          <w:color w:val="000000" w:themeColor="text1"/>
          <w:sz w:val="22"/>
        </w:rPr>
      </w:pPr>
      <w:r w:rsidRPr="00BE18D7">
        <w:rPr>
          <w:rFonts w:ascii="Arial" w:hAnsi="Arial" w:cs="Arial"/>
          <w:color w:val="000000" w:themeColor="text1"/>
          <w:sz w:val="22"/>
        </w:rPr>
        <w:t>L</w:t>
      </w:r>
      <w:r w:rsidR="004202F3" w:rsidRPr="00BE18D7">
        <w:rPr>
          <w:rFonts w:ascii="Arial" w:hAnsi="Arial" w:cs="Arial"/>
          <w:color w:val="000000" w:themeColor="text1"/>
          <w:sz w:val="22"/>
        </w:rPr>
        <w:t xml:space="preserve">a Subdirección de Gestión Contractual concluye que no es posible que, a través de la venta de un establecimiento de comercio, se transfiera la experiencia del antiguo propietario,  pues su enajenación no puede incluir una condición que no integra el conjunto de bienes que constituyen al establecimiento. Además, como se dijo, la experiencia es una condición de la persona natural o jurídica y no de los bienes a través de los cuales adquirió la misma y no se entiende que con este negocio jurídico la persona natural pase a conformar la sociedad que adquiere el establecimiento de comercio. </w:t>
      </w:r>
    </w:p>
    <w:p w14:paraId="41F0AA17" w14:textId="77777777" w:rsidR="004202F3" w:rsidRPr="00BE18D7" w:rsidRDefault="004202F3" w:rsidP="006F1A04">
      <w:pPr>
        <w:spacing w:line="276" w:lineRule="auto"/>
        <w:jc w:val="both"/>
        <w:rPr>
          <w:rFonts w:ascii="Arial" w:hAnsi="Arial" w:cs="Arial"/>
          <w:color w:val="000000" w:themeColor="text1"/>
          <w:sz w:val="22"/>
        </w:rPr>
      </w:pPr>
    </w:p>
    <w:p w14:paraId="47DEA7AA" w14:textId="46AB7F00" w:rsidR="00A37FB6" w:rsidRPr="00BE18D7" w:rsidRDefault="00AD1B0F" w:rsidP="006F1A04">
      <w:pPr>
        <w:spacing w:line="276" w:lineRule="auto"/>
        <w:jc w:val="both"/>
        <w:rPr>
          <w:rFonts w:ascii="Arial" w:eastAsia="Calibri" w:hAnsi="Arial" w:cs="Arial"/>
          <w:color w:val="000000" w:themeColor="text1"/>
          <w:sz w:val="22"/>
        </w:rPr>
      </w:pPr>
      <w:r w:rsidRPr="00BE18D7">
        <w:rPr>
          <w:rFonts w:ascii="Arial" w:hAnsi="Arial" w:cs="Arial"/>
          <w:color w:val="000000" w:themeColor="text1"/>
          <w:sz w:val="22"/>
        </w:rPr>
        <w:t>Este concepto tiene el alcance previsto en el artículo 28 del Código de Procedimiento Administrativo y de lo Contencioso Administrativo.</w:t>
      </w:r>
    </w:p>
    <w:p w14:paraId="43D2F84E" w14:textId="77777777" w:rsidR="00A37FB6" w:rsidRPr="006F1A04" w:rsidRDefault="00A37FB6" w:rsidP="006F1A04">
      <w:pPr>
        <w:spacing w:line="276" w:lineRule="auto"/>
        <w:jc w:val="both"/>
        <w:rPr>
          <w:rFonts w:ascii="Arial" w:eastAsia="Calibri" w:hAnsi="Arial" w:cs="Arial"/>
          <w:color w:val="000000" w:themeColor="text1"/>
          <w:sz w:val="16"/>
          <w:szCs w:val="16"/>
        </w:rPr>
      </w:pPr>
    </w:p>
    <w:p w14:paraId="0F8C901F" w14:textId="77777777" w:rsidR="00A37FB6" w:rsidRPr="00BE18D7" w:rsidRDefault="00A37FB6" w:rsidP="006F1A04">
      <w:pPr>
        <w:spacing w:line="276" w:lineRule="auto"/>
        <w:jc w:val="both"/>
        <w:rPr>
          <w:rFonts w:ascii="Arial" w:eastAsia="Calibri" w:hAnsi="Arial" w:cs="Arial"/>
          <w:color w:val="000000" w:themeColor="text1"/>
          <w:sz w:val="22"/>
        </w:rPr>
      </w:pPr>
      <w:r w:rsidRPr="00BE18D7">
        <w:rPr>
          <w:rFonts w:ascii="Arial" w:hAnsi="Arial" w:cs="Arial"/>
          <w:noProof/>
          <w:color w:val="000000" w:themeColor="text1"/>
          <w:sz w:val="22"/>
          <w:lang w:val="es-CO" w:eastAsia="es-CO"/>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1A5E674">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D9926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1E81A930" w14:textId="77777777" w:rsidR="00A37FB6" w:rsidRPr="00BE18D7" w:rsidRDefault="00A37FB6" w:rsidP="006F1A04">
      <w:pPr>
        <w:spacing w:line="276" w:lineRule="auto"/>
        <w:rPr>
          <w:rFonts w:ascii="Arial" w:eastAsia="Times New Roman" w:hAnsi="Arial" w:cs="Arial"/>
          <w:color w:val="000000" w:themeColor="text1"/>
          <w:sz w:val="22"/>
          <w:lang w:eastAsia="es-CO"/>
        </w:rPr>
      </w:pPr>
      <w:r w:rsidRPr="00BE18D7">
        <w:rPr>
          <w:rFonts w:ascii="Arial" w:eastAsia="Times New Roman" w:hAnsi="Arial" w:cs="Arial"/>
          <w:color w:val="000000" w:themeColor="text1"/>
          <w:sz w:val="22"/>
          <w:lang w:eastAsia="es-CO"/>
        </w:rPr>
        <w:t>Atentamente,</w:t>
      </w:r>
    </w:p>
    <w:p w14:paraId="57DD1EBD" w14:textId="184A754F" w:rsidR="00746E08" w:rsidRPr="00BE18D7" w:rsidRDefault="006F1A04" w:rsidP="008A2025">
      <w:pPr>
        <w:spacing w:before="120" w:after="120" w:line="276" w:lineRule="auto"/>
        <w:jc w:val="center"/>
        <w:rPr>
          <w:rFonts w:ascii="Arial" w:eastAsia="Times New Roman" w:hAnsi="Arial" w:cs="Arial"/>
          <w:color w:val="000000" w:themeColor="text1"/>
          <w:sz w:val="22"/>
          <w:lang w:eastAsia="es-CO"/>
        </w:rPr>
      </w:pPr>
      <w:r>
        <w:rPr>
          <w:noProof/>
        </w:rPr>
        <w:drawing>
          <wp:inline distT="0" distB="0" distL="0" distR="0" wp14:anchorId="7B830A46" wp14:editId="26FEF66C">
            <wp:extent cx="2773045" cy="988695"/>
            <wp:effectExtent l="0" t="0" r="0" b="0"/>
            <wp:docPr id="1085652245"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E18D7" w:rsidRPr="00BE18D7" w14:paraId="469202AF" w14:textId="77777777" w:rsidTr="008F0344">
        <w:trPr>
          <w:trHeight w:val="315"/>
        </w:trPr>
        <w:tc>
          <w:tcPr>
            <w:tcW w:w="812" w:type="dxa"/>
            <w:vAlign w:val="center"/>
            <w:hideMark/>
          </w:tcPr>
          <w:p w14:paraId="3F62A0B3" w14:textId="77777777" w:rsidR="00746E08" w:rsidRPr="00BE18D7" w:rsidRDefault="00746E08" w:rsidP="001F4991">
            <w:pPr>
              <w:pStyle w:val="Sinespaciado"/>
              <w:rPr>
                <w:rFonts w:ascii="Arial" w:hAnsi="Arial" w:cs="Arial"/>
                <w:color w:val="000000" w:themeColor="text1"/>
                <w:sz w:val="16"/>
                <w:szCs w:val="16"/>
                <w:lang w:eastAsia="es-ES"/>
              </w:rPr>
            </w:pPr>
            <w:r w:rsidRPr="00BE18D7">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3A691200" w:rsidR="00746E08" w:rsidRPr="00BE18D7" w:rsidRDefault="008F0344" w:rsidP="001F4991">
            <w:pPr>
              <w:pStyle w:val="Sinespaciado"/>
              <w:rPr>
                <w:rFonts w:ascii="Arial" w:hAnsi="Arial" w:cs="Arial"/>
                <w:color w:val="000000" w:themeColor="text1"/>
                <w:sz w:val="16"/>
                <w:szCs w:val="16"/>
                <w:lang w:eastAsia="es-ES"/>
              </w:rPr>
            </w:pPr>
            <w:r w:rsidRPr="00BE18D7">
              <w:rPr>
                <w:rFonts w:ascii="Arial" w:hAnsi="Arial" w:cs="Arial"/>
                <w:color w:val="000000" w:themeColor="text1"/>
                <w:sz w:val="16"/>
                <w:szCs w:val="16"/>
                <w:lang w:eastAsia="es-ES"/>
              </w:rPr>
              <w:t xml:space="preserve">Nina María Padrón Ballestas </w:t>
            </w:r>
          </w:p>
          <w:p w14:paraId="51C325E7" w14:textId="6734F849" w:rsidR="00746E08" w:rsidRPr="00BE18D7" w:rsidRDefault="008F0344" w:rsidP="001F4991">
            <w:pPr>
              <w:pStyle w:val="Sinespaciado"/>
              <w:rPr>
                <w:rFonts w:ascii="Arial" w:hAnsi="Arial" w:cs="Arial"/>
                <w:color w:val="000000" w:themeColor="text1"/>
                <w:sz w:val="16"/>
                <w:szCs w:val="16"/>
                <w:lang w:eastAsia="es-ES"/>
              </w:rPr>
            </w:pPr>
            <w:r w:rsidRPr="00BE18D7">
              <w:rPr>
                <w:rFonts w:ascii="Arial" w:hAnsi="Arial" w:cs="Arial"/>
                <w:color w:val="000000" w:themeColor="text1"/>
                <w:sz w:val="16"/>
                <w:szCs w:val="16"/>
                <w:lang w:eastAsia="es-ES"/>
              </w:rPr>
              <w:t>Contratista Subdirección de Gestión Contractual</w:t>
            </w:r>
          </w:p>
        </w:tc>
      </w:tr>
      <w:tr w:rsidR="00BE18D7" w:rsidRPr="00BE18D7" w14:paraId="10BC78E8" w14:textId="77777777" w:rsidTr="008F0344">
        <w:trPr>
          <w:trHeight w:val="330"/>
        </w:trPr>
        <w:tc>
          <w:tcPr>
            <w:tcW w:w="812" w:type="dxa"/>
            <w:vAlign w:val="center"/>
            <w:hideMark/>
          </w:tcPr>
          <w:p w14:paraId="6A7DBF66" w14:textId="77777777" w:rsidR="00746E08" w:rsidRPr="00BE18D7" w:rsidRDefault="00746E08" w:rsidP="001F4991">
            <w:pPr>
              <w:pStyle w:val="Sinespaciado"/>
              <w:rPr>
                <w:rFonts w:ascii="Arial" w:hAnsi="Arial" w:cs="Arial"/>
                <w:color w:val="000000" w:themeColor="text1"/>
                <w:sz w:val="16"/>
                <w:szCs w:val="16"/>
                <w:lang w:eastAsia="es-ES"/>
              </w:rPr>
            </w:pPr>
            <w:r w:rsidRPr="00BE18D7">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0D88E5F8" w:rsidR="00746E08" w:rsidRPr="00BE18D7" w:rsidRDefault="00F4797F" w:rsidP="001F4991">
            <w:pPr>
              <w:pStyle w:val="Sinespaciado"/>
              <w:rPr>
                <w:rFonts w:ascii="Arial" w:hAnsi="Arial" w:cs="Arial"/>
                <w:color w:val="000000" w:themeColor="text1"/>
                <w:sz w:val="16"/>
                <w:szCs w:val="16"/>
                <w:lang w:eastAsia="es-ES"/>
              </w:rPr>
            </w:pPr>
            <w:r w:rsidRPr="00BE18D7">
              <w:rPr>
                <w:rFonts w:ascii="Arial" w:hAnsi="Arial" w:cs="Arial"/>
                <w:color w:val="000000" w:themeColor="text1"/>
                <w:sz w:val="16"/>
                <w:szCs w:val="16"/>
                <w:lang w:eastAsia="es-ES"/>
              </w:rPr>
              <w:t>Sebastián Ramírez Grisales</w:t>
            </w:r>
          </w:p>
          <w:p w14:paraId="19E8BD8D" w14:textId="029BF71E" w:rsidR="00746E08" w:rsidRPr="00BE18D7" w:rsidRDefault="00F4797F" w:rsidP="001F4991">
            <w:pPr>
              <w:pStyle w:val="Sinespaciado"/>
              <w:rPr>
                <w:rFonts w:ascii="Arial" w:hAnsi="Arial" w:cs="Arial"/>
                <w:color w:val="000000" w:themeColor="text1"/>
                <w:sz w:val="16"/>
                <w:szCs w:val="16"/>
                <w:lang w:eastAsia="es-ES"/>
              </w:rPr>
            </w:pPr>
            <w:r w:rsidRPr="00BE18D7">
              <w:rPr>
                <w:rFonts w:ascii="Arial" w:hAnsi="Arial" w:cs="Arial"/>
                <w:color w:val="000000" w:themeColor="text1"/>
                <w:sz w:val="16"/>
                <w:szCs w:val="16"/>
                <w:lang w:eastAsia="es-ES"/>
              </w:rPr>
              <w:t xml:space="preserve">Contratista Subdirección </w:t>
            </w:r>
            <w:r w:rsidR="00746E08" w:rsidRPr="00BE18D7">
              <w:rPr>
                <w:rFonts w:ascii="Arial" w:hAnsi="Arial" w:cs="Arial"/>
                <w:color w:val="000000" w:themeColor="text1"/>
                <w:sz w:val="16"/>
                <w:szCs w:val="16"/>
                <w:lang w:eastAsia="es-ES"/>
              </w:rPr>
              <w:t>de Gestión Contractual</w:t>
            </w:r>
          </w:p>
        </w:tc>
      </w:tr>
      <w:tr w:rsidR="001F4991" w:rsidRPr="00BE18D7" w14:paraId="50741B38" w14:textId="77777777" w:rsidTr="008F0344">
        <w:trPr>
          <w:trHeight w:val="300"/>
        </w:trPr>
        <w:tc>
          <w:tcPr>
            <w:tcW w:w="812" w:type="dxa"/>
            <w:vAlign w:val="center"/>
            <w:hideMark/>
          </w:tcPr>
          <w:p w14:paraId="297715FA" w14:textId="77777777" w:rsidR="00746E08" w:rsidRPr="00BE18D7" w:rsidRDefault="00746E08" w:rsidP="001F4991">
            <w:pPr>
              <w:pStyle w:val="Sinespaciado"/>
              <w:rPr>
                <w:rFonts w:ascii="Arial" w:hAnsi="Arial" w:cs="Arial"/>
                <w:color w:val="000000" w:themeColor="text1"/>
                <w:sz w:val="16"/>
                <w:szCs w:val="16"/>
                <w:lang w:eastAsia="es-ES"/>
              </w:rPr>
            </w:pPr>
            <w:r w:rsidRPr="00BE18D7">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BE18D7" w:rsidRDefault="00746E08" w:rsidP="001F4991">
            <w:pPr>
              <w:pStyle w:val="Sinespaciado"/>
              <w:rPr>
                <w:rFonts w:ascii="Arial" w:hAnsi="Arial" w:cs="Arial"/>
                <w:color w:val="000000" w:themeColor="text1"/>
                <w:sz w:val="16"/>
                <w:szCs w:val="16"/>
                <w:lang w:eastAsia="es-ES"/>
              </w:rPr>
            </w:pPr>
            <w:r w:rsidRPr="00BE18D7">
              <w:rPr>
                <w:rFonts w:ascii="Arial" w:hAnsi="Arial" w:cs="Arial"/>
                <w:color w:val="000000" w:themeColor="text1"/>
                <w:sz w:val="16"/>
                <w:szCs w:val="16"/>
                <w:lang w:eastAsia="es-ES"/>
              </w:rPr>
              <w:t>Fabián Gonzalo Marín Cortés</w:t>
            </w:r>
          </w:p>
          <w:p w14:paraId="17847B1F" w14:textId="71EB0D70" w:rsidR="00746E08" w:rsidRPr="00BE18D7" w:rsidRDefault="00746E08" w:rsidP="001F4991">
            <w:pPr>
              <w:pStyle w:val="Sinespaciado"/>
              <w:rPr>
                <w:rFonts w:ascii="Arial" w:hAnsi="Arial" w:cs="Arial"/>
                <w:color w:val="000000" w:themeColor="text1"/>
                <w:sz w:val="16"/>
                <w:szCs w:val="16"/>
                <w:lang w:eastAsia="es-ES"/>
              </w:rPr>
            </w:pPr>
            <w:r w:rsidRPr="00BE18D7">
              <w:rPr>
                <w:rFonts w:ascii="Arial" w:hAnsi="Arial" w:cs="Arial"/>
                <w:color w:val="000000" w:themeColor="text1"/>
                <w:sz w:val="16"/>
                <w:szCs w:val="16"/>
                <w:lang w:eastAsia="es-ES"/>
              </w:rPr>
              <w:t>Subdirector de Gestión Contractual</w:t>
            </w:r>
          </w:p>
        </w:tc>
      </w:tr>
    </w:tbl>
    <w:p w14:paraId="299FEDB9" w14:textId="77777777" w:rsidR="00540DF9" w:rsidRPr="00BE18D7" w:rsidRDefault="00540DF9" w:rsidP="006F1A04">
      <w:pPr>
        <w:spacing w:before="120" w:after="120" w:line="276" w:lineRule="auto"/>
        <w:rPr>
          <w:rFonts w:ascii="Arial" w:eastAsia="Times New Roman" w:hAnsi="Arial" w:cs="Arial"/>
          <w:color w:val="000000" w:themeColor="text1"/>
          <w:sz w:val="22"/>
          <w:lang w:eastAsia="es-ES"/>
        </w:rPr>
      </w:pPr>
    </w:p>
    <w:sectPr w:rsidR="00540DF9" w:rsidRPr="00BE18D7"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873FDF" w14:textId="77777777" w:rsidR="007061E5" w:rsidRDefault="007061E5">
      <w:r>
        <w:separator/>
      </w:r>
    </w:p>
  </w:endnote>
  <w:endnote w:type="continuationSeparator" w:id="0">
    <w:p w14:paraId="390DA9D3" w14:textId="77777777" w:rsidR="007061E5" w:rsidRDefault="007061E5">
      <w:r>
        <w:continuationSeparator/>
      </w:r>
    </w:p>
  </w:endnote>
  <w:endnote w:type="continuationNotice" w:id="1">
    <w:p w14:paraId="30DA0AD3" w14:textId="77777777" w:rsidR="00487919" w:rsidRDefault="004879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560147" w:rsidRDefault="00560147" w:rsidP="00322937">
    <w:pPr>
      <w:pStyle w:val="Sinespaciado"/>
      <w:jc w:val="right"/>
      <w:rPr>
        <w:rFonts w:ascii="Arial" w:hAnsi="Arial" w:cs="Arial"/>
        <w:sz w:val="18"/>
        <w:szCs w:val="18"/>
      </w:rPr>
    </w:pPr>
  </w:p>
  <w:p w14:paraId="7A3785F3" w14:textId="2EF28465" w:rsidR="00560147" w:rsidRPr="008217B7" w:rsidRDefault="00560147"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C722B">
      <w:rPr>
        <w:rFonts w:ascii="Arial" w:hAnsi="Arial" w:cs="Arial"/>
        <w:b/>
        <w:bCs/>
        <w:noProof/>
        <w:color w:val="7F7F7F" w:themeColor="text1" w:themeTint="80"/>
        <w:sz w:val="16"/>
        <w:szCs w:val="16"/>
      </w:rPr>
      <w:t>20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C722B">
      <w:rPr>
        <w:rFonts w:ascii="Arial" w:hAnsi="Arial" w:cs="Arial"/>
        <w:b/>
        <w:bCs/>
        <w:noProof/>
        <w:color w:val="7F7F7F" w:themeColor="text1" w:themeTint="80"/>
        <w:sz w:val="16"/>
        <w:szCs w:val="16"/>
      </w:rPr>
      <w:t>22</w:t>
    </w:r>
    <w:r w:rsidRPr="00084B97">
      <w:rPr>
        <w:rFonts w:ascii="Arial" w:hAnsi="Arial" w:cs="Arial"/>
        <w:b/>
        <w:bCs/>
        <w:color w:val="7F7F7F" w:themeColor="text1" w:themeTint="80"/>
        <w:sz w:val="16"/>
        <w:szCs w:val="16"/>
      </w:rPr>
      <w:fldChar w:fldCharType="end"/>
    </w:r>
  </w:p>
  <w:p w14:paraId="48FC6A04" w14:textId="5FD1A7C9" w:rsidR="00560147" w:rsidRDefault="24F35AF8" w:rsidP="00322937">
    <w:pPr>
      <w:pStyle w:val="Piedepgina"/>
      <w:jc w:val="center"/>
      <w:rPr>
        <w:lang w:val="es-ES"/>
      </w:rPr>
    </w:pPr>
    <w:r>
      <w:rPr>
        <w:noProof/>
      </w:rPr>
      <w:drawing>
        <wp:inline distT="0" distB="0" distL="0" distR="0" wp14:anchorId="608B196D" wp14:editId="753CCB17">
          <wp:extent cx="3700130" cy="519139"/>
          <wp:effectExtent l="0" t="0" r="0" b="0"/>
          <wp:docPr id="191702366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3AACB643" w:rsidR="00560147" w:rsidRDefault="00560147" w:rsidP="007B0854">
    <w:pPr>
      <w:pStyle w:val="Piedepgina"/>
      <w:jc w:val="center"/>
      <w:rPr>
        <w:lang w:val="es-ES"/>
      </w:rPr>
    </w:pPr>
  </w:p>
  <w:p w14:paraId="0ED90A46" w14:textId="77777777" w:rsidR="0022710A" w:rsidRDefault="0022710A" w:rsidP="007B0854">
    <w:pPr>
      <w:pStyle w:val="Piedepgina"/>
      <w:jc w:val="center"/>
      <w:rPr>
        <w:lang w:val="es-ES"/>
      </w:rPr>
    </w:pPr>
  </w:p>
  <w:p w14:paraId="6C0EFC49" w14:textId="77777777" w:rsidR="00560147" w:rsidRPr="007B0854" w:rsidRDefault="00560147"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7769F2" w14:textId="77777777" w:rsidR="007061E5" w:rsidRDefault="007061E5">
      <w:r>
        <w:separator/>
      </w:r>
    </w:p>
  </w:footnote>
  <w:footnote w:type="continuationSeparator" w:id="0">
    <w:p w14:paraId="3FBD8B19" w14:textId="77777777" w:rsidR="007061E5" w:rsidRDefault="007061E5">
      <w:r>
        <w:continuationSeparator/>
      </w:r>
    </w:p>
  </w:footnote>
  <w:footnote w:type="continuationNotice" w:id="1">
    <w:p w14:paraId="159B1121" w14:textId="77777777" w:rsidR="00487919" w:rsidRDefault="00487919"/>
  </w:footnote>
  <w:footnote w:id="2">
    <w:p w14:paraId="548A773E" w14:textId="62E02D28" w:rsidR="00560147" w:rsidRPr="0022710A" w:rsidRDefault="00560147" w:rsidP="00965ED6">
      <w:pPr>
        <w:pStyle w:val="Textonotapie"/>
        <w:ind w:firstLine="708"/>
        <w:jc w:val="both"/>
        <w:rPr>
          <w:rFonts w:ascii="Arial" w:hAnsi="Arial" w:cs="Arial"/>
          <w:color w:val="000000" w:themeColor="text1"/>
          <w:sz w:val="19"/>
          <w:szCs w:val="19"/>
        </w:rPr>
      </w:pPr>
      <w:r w:rsidRPr="0022710A">
        <w:rPr>
          <w:rStyle w:val="Refdenotaalpie"/>
          <w:rFonts w:ascii="Arial" w:hAnsi="Arial" w:cs="Arial"/>
          <w:color w:val="000000" w:themeColor="text1"/>
          <w:sz w:val="19"/>
          <w:szCs w:val="19"/>
        </w:rPr>
        <w:footnoteRef/>
      </w:r>
      <w:r w:rsidRPr="0022710A">
        <w:rPr>
          <w:rFonts w:ascii="Arial" w:hAnsi="Arial" w:cs="Arial"/>
          <w:color w:val="000000" w:themeColor="text1"/>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5F0D5971" w14:textId="46771EAA" w:rsidR="00560147" w:rsidRPr="0022710A" w:rsidRDefault="00DA5C47" w:rsidP="00965ED6">
      <w:pPr>
        <w:pStyle w:val="Textonotapie"/>
        <w:ind w:firstLine="708"/>
        <w:jc w:val="both"/>
        <w:rPr>
          <w:rFonts w:ascii="Arial" w:hAnsi="Arial" w:cs="Arial"/>
          <w:color w:val="000000" w:themeColor="text1"/>
          <w:sz w:val="19"/>
          <w:szCs w:val="19"/>
        </w:rPr>
      </w:pPr>
      <w:r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 Documentos del Proceso son: a) los estudios y documentos previos; b) el aviso de convocatoria; c) los pliegos de condiciones o la invitación; d) las Adendas; e) la oferta; f) el informe de evaluación; g) el contrato; y cualquier otro documento expedido por la Entidad Estatal durante e</w:t>
      </w:r>
      <w:r w:rsidRPr="0022710A">
        <w:rPr>
          <w:rFonts w:ascii="Arial" w:hAnsi="Arial" w:cs="Arial"/>
          <w:color w:val="000000" w:themeColor="text1"/>
          <w:sz w:val="19"/>
          <w:szCs w:val="19"/>
        </w:rPr>
        <w:t>l Proceso de Contratación [...]»</w:t>
      </w:r>
      <w:r w:rsidR="00560147" w:rsidRPr="0022710A">
        <w:rPr>
          <w:rFonts w:ascii="Arial" w:hAnsi="Arial" w:cs="Arial"/>
          <w:color w:val="000000" w:themeColor="text1"/>
          <w:sz w:val="19"/>
          <w:szCs w:val="19"/>
        </w:rPr>
        <w:t>.</w:t>
      </w:r>
    </w:p>
    <w:p w14:paraId="0C6D24D5" w14:textId="77777777" w:rsidR="00DA5C47" w:rsidRPr="0022710A" w:rsidRDefault="00DA5C47" w:rsidP="00965ED6">
      <w:pPr>
        <w:pStyle w:val="Textonotapie"/>
        <w:ind w:firstLine="708"/>
        <w:jc w:val="both"/>
        <w:rPr>
          <w:rFonts w:ascii="Arial" w:hAnsi="Arial" w:cs="Arial"/>
          <w:color w:val="000000" w:themeColor="text1"/>
          <w:sz w:val="19"/>
          <w:szCs w:val="19"/>
        </w:rPr>
      </w:pPr>
    </w:p>
  </w:footnote>
  <w:footnote w:id="3">
    <w:p w14:paraId="4B32E366" w14:textId="79E18ECA" w:rsidR="00560147" w:rsidRPr="0022710A" w:rsidRDefault="00560147" w:rsidP="00965ED6">
      <w:pPr>
        <w:pStyle w:val="Textonotapie"/>
        <w:ind w:firstLine="708"/>
        <w:jc w:val="both"/>
        <w:rPr>
          <w:rFonts w:ascii="Arial" w:hAnsi="Arial" w:cs="Arial"/>
          <w:color w:val="000000" w:themeColor="text1"/>
          <w:sz w:val="19"/>
          <w:szCs w:val="19"/>
        </w:rPr>
      </w:pPr>
      <w:r w:rsidRPr="0022710A">
        <w:rPr>
          <w:rStyle w:val="Refdenotaalpie"/>
          <w:rFonts w:ascii="Arial" w:hAnsi="Arial" w:cs="Arial"/>
          <w:color w:val="000000" w:themeColor="text1"/>
          <w:sz w:val="19"/>
          <w:szCs w:val="19"/>
        </w:rPr>
        <w:footnoteRef/>
      </w:r>
      <w:r w:rsidRPr="0022710A">
        <w:rPr>
          <w:rFonts w:ascii="Arial" w:hAnsi="Arial" w:cs="Arial"/>
          <w:color w:val="000000" w:themeColor="text1"/>
          <w:sz w:val="19"/>
          <w:szCs w:val="19"/>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0F1A257E" w14:textId="69804B9C" w:rsidR="00560147" w:rsidRPr="0022710A" w:rsidRDefault="00DA5C47" w:rsidP="00965ED6">
      <w:pPr>
        <w:pStyle w:val="Textonotapie"/>
        <w:ind w:firstLine="708"/>
        <w:jc w:val="both"/>
        <w:rPr>
          <w:rFonts w:ascii="Arial" w:hAnsi="Arial" w:cs="Arial"/>
          <w:color w:val="000000" w:themeColor="text1"/>
          <w:sz w:val="19"/>
          <w:szCs w:val="19"/>
        </w:rPr>
      </w:pPr>
      <w:r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Las personas jurídicas nacionales y extranjeras deberán acreditar que su duración no será inferior a la del plazo del contrato y un año más».</w:t>
      </w:r>
    </w:p>
    <w:p w14:paraId="791CFA68" w14:textId="77777777" w:rsidR="00560147" w:rsidRPr="0022710A" w:rsidRDefault="00560147" w:rsidP="00965ED6">
      <w:pPr>
        <w:pStyle w:val="Textonotapie"/>
        <w:jc w:val="both"/>
        <w:rPr>
          <w:rFonts w:ascii="Arial" w:hAnsi="Arial" w:cs="Arial"/>
          <w:color w:val="000000" w:themeColor="text1"/>
          <w:sz w:val="19"/>
          <w:szCs w:val="19"/>
          <w:lang w:val="es-CO"/>
        </w:rPr>
      </w:pPr>
      <w:r w:rsidRPr="0022710A">
        <w:rPr>
          <w:rFonts w:ascii="Arial" w:hAnsi="Arial" w:cs="Arial"/>
          <w:color w:val="000000" w:themeColor="text1"/>
          <w:sz w:val="19"/>
          <w:szCs w:val="19"/>
        </w:rPr>
        <w:t xml:space="preserve"> </w:t>
      </w:r>
    </w:p>
  </w:footnote>
  <w:footnote w:id="4">
    <w:p w14:paraId="35865A66" w14:textId="7310E078" w:rsidR="00560147" w:rsidRPr="0022710A" w:rsidRDefault="00560147" w:rsidP="00965ED6">
      <w:pPr>
        <w:pStyle w:val="Textonotapie"/>
        <w:ind w:firstLine="708"/>
        <w:jc w:val="both"/>
        <w:rPr>
          <w:rFonts w:ascii="Arial" w:hAnsi="Arial" w:cs="Arial"/>
          <w:color w:val="000000" w:themeColor="text1"/>
          <w:sz w:val="19"/>
          <w:szCs w:val="19"/>
        </w:rPr>
      </w:pPr>
      <w:r w:rsidRPr="0022710A">
        <w:rPr>
          <w:rStyle w:val="Refdenotaalpie"/>
          <w:rFonts w:ascii="Arial" w:hAnsi="Arial" w:cs="Arial"/>
          <w:color w:val="000000" w:themeColor="text1"/>
          <w:sz w:val="19"/>
          <w:szCs w:val="19"/>
        </w:rPr>
        <w:footnoteRef/>
      </w:r>
      <w:r w:rsidRPr="0022710A">
        <w:rPr>
          <w:rFonts w:ascii="Arial" w:hAnsi="Arial" w:cs="Arial"/>
          <w:color w:val="000000" w:themeColor="text1"/>
          <w:sz w:val="19"/>
          <w:szCs w:val="19"/>
        </w:rPr>
        <w:t xml:space="preserve"> Código Civil: «Artículo 633. Definición de persona jurídica. Se llama persona jurídica, una persona ficticia, capaz de ejercer derechos y contraer obligaciones civiles, y de ser representada judicial y extrajudicialmente.</w:t>
      </w:r>
    </w:p>
    <w:p w14:paraId="7F453CA5" w14:textId="5D6E7F27" w:rsidR="00560147" w:rsidRPr="0022710A" w:rsidRDefault="00DA5C47" w:rsidP="00965ED6">
      <w:pPr>
        <w:pStyle w:val="Textonotapie"/>
        <w:ind w:firstLine="708"/>
        <w:jc w:val="both"/>
        <w:rPr>
          <w:rFonts w:ascii="Arial" w:hAnsi="Arial" w:cs="Arial"/>
          <w:color w:val="000000" w:themeColor="text1"/>
          <w:sz w:val="19"/>
          <w:szCs w:val="19"/>
        </w:rPr>
      </w:pPr>
      <w:r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Las personas jurídicas son de dos especies: corporaciones y fundaciones de beneficencia pública.</w:t>
      </w:r>
    </w:p>
    <w:p w14:paraId="1E34731D" w14:textId="57F9D97B" w:rsidR="00560147" w:rsidRPr="0022710A" w:rsidRDefault="00DA5C47" w:rsidP="00965ED6">
      <w:pPr>
        <w:pStyle w:val="Textonotapie"/>
        <w:ind w:firstLine="708"/>
        <w:jc w:val="both"/>
        <w:rPr>
          <w:rFonts w:ascii="Arial" w:hAnsi="Arial" w:cs="Arial"/>
          <w:color w:val="000000" w:themeColor="text1"/>
          <w:sz w:val="19"/>
          <w:szCs w:val="19"/>
          <w:lang w:val="es-CO"/>
        </w:rPr>
      </w:pPr>
      <w:r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Hay personas jurídicas que participan de uno y otro carácter».</w:t>
      </w:r>
    </w:p>
  </w:footnote>
  <w:footnote w:id="5">
    <w:p w14:paraId="5D30EC09" w14:textId="77777777" w:rsidR="00560147" w:rsidRPr="0022710A" w:rsidRDefault="00560147" w:rsidP="00965ED6">
      <w:pPr>
        <w:pStyle w:val="Textonotapie"/>
        <w:ind w:firstLine="708"/>
        <w:jc w:val="both"/>
        <w:rPr>
          <w:rFonts w:ascii="Arial" w:hAnsi="Arial" w:cs="Arial"/>
          <w:color w:val="000000" w:themeColor="text1"/>
          <w:sz w:val="19"/>
          <w:szCs w:val="19"/>
        </w:rPr>
      </w:pPr>
    </w:p>
    <w:p w14:paraId="6B0E98B5" w14:textId="3E500705" w:rsidR="00560147" w:rsidRPr="0022710A" w:rsidRDefault="00560147" w:rsidP="00965ED6">
      <w:pPr>
        <w:pStyle w:val="Textonotapie"/>
        <w:ind w:firstLine="708"/>
        <w:jc w:val="both"/>
        <w:rPr>
          <w:rFonts w:ascii="Arial" w:hAnsi="Arial" w:cs="Arial"/>
          <w:color w:val="000000" w:themeColor="text1"/>
          <w:sz w:val="19"/>
          <w:szCs w:val="19"/>
        </w:rPr>
      </w:pPr>
      <w:r w:rsidRPr="0022710A">
        <w:rPr>
          <w:rStyle w:val="Refdenotaalpie"/>
          <w:rFonts w:ascii="Arial" w:hAnsi="Arial" w:cs="Arial"/>
          <w:color w:val="000000" w:themeColor="text1"/>
          <w:sz w:val="19"/>
          <w:szCs w:val="19"/>
        </w:rPr>
        <w:footnoteRef/>
      </w:r>
      <w:r w:rsidRPr="0022710A">
        <w:rPr>
          <w:rFonts w:ascii="Arial" w:hAnsi="Arial" w:cs="Arial"/>
          <w:color w:val="000000" w:themeColor="text1"/>
          <w:sz w:val="19"/>
          <w:szCs w:val="19"/>
        </w:rPr>
        <w:t xml:space="preserve"> Código de Comercio: «Artículo 1. Aplicabilidad de la ley comercial. Los comerciantes y los asuntos mercantiles se regirán por las disposiciones de la ley comercial, y los casos no regulados expresamente en ella serán decid</w:t>
      </w:r>
      <w:r w:rsidR="00DA5C47" w:rsidRPr="0022710A">
        <w:rPr>
          <w:rFonts w:ascii="Arial" w:hAnsi="Arial" w:cs="Arial"/>
          <w:color w:val="000000" w:themeColor="text1"/>
          <w:sz w:val="19"/>
          <w:szCs w:val="19"/>
        </w:rPr>
        <w:t>idos por analogía de sus normas</w:t>
      </w:r>
    </w:p>
    <w:p w14:paraId="2A055662" w14:textId="1BE43C82" w:rsidR="00560147" w:rsidRPr="0022710A" w:rsidRDefault="00DA5C47" w:rsidP="00965ED6">
      <w:pPr>
        <w:pStyle w:val="Textonotapie"/>
        <w:ind w:firstLine="708"/>
        <w:jc w:val="both"/>
        <w:rPr>
          <w:rFonts w:ascii="Arial" w:hAnsi="Arial" w:cs="Arial"/>
          <w:color w:val="000000" w:themeColor="text1"/>
          <w:sz w:val="19"/>
          <w:szCs w:val="19"/>
        </w:rPr>
      </w:pPr>
      <w:r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Artículo 2. Aplicación de la legislación civil. En las cuestiones comerciales que no pudieren regularse conforme a la regla anterior, se aplicarán las disposiciones de la legislación civil».</w:t>
      </w:r>
    </w:p>
    <w:p w14:paraId="29CFC68B" w14:textId="77777777" w:rsidR="00560147" w:rsidRPr="0022710A" w:rsidRDefault="00560147" w:rsidP="00965ED6">
      <w:pPr>
        <w:pStyle w:val="Textonotapie"/>
        <w:jc w:val="both"/>
        <w:rPr>
          <w:rFonts w:ascii="Arial" w:hAnsi="Arial" w:cs="Arial"/>
          <w:color w:val="000000" w:themeColor="text1"/>
          <w:sz w:val="19"/>
          <w:szCs w:val="19"/>
          <w:lang w:val="es-CO"/>
        </w:rPr>
      </w:pPr>
    </w:p>
  </w:footnote>
  <w:footnote w:id="6">
    <w:p w14:paraId="67389AE8" w14:textId="1EFBB681" w:rsidR="00560147" w:rsidRPr="0022710A" w:rsidRDefault="00560147" w:rsidP="00965ED6">
      <w:pPr>
        <w:pStyle w:val="Textonotapie"/>
        <w:ind w:firstLine="708"/>
        <w:jc w:val="both"/>
        <w:rPr>
          <w:rFonts w:ascii="Arial" w:hAnsi="Arial" w:cs="Arial"/>
          <w:color w:val="000000" w:themeColor="text1"/>
          <w:sz w:val="19"/>
          <w:szCs w:val="19"/>
        </w:rPr>
      </w:pPr>
      <w:r w:rsidRPr="0022710A">
        <w:rPr>
          <w:rStyle w:val="Refdenotaalpie"/>
          <w:rFonts w:ascii="Arial" w:hAnsi="Arial" w:cs="Arial"/>
          <w:color w:val="000000" w:themeColor="text1"/>
          <w:sz w:val="19"/>
          <w:szCs w:val="19"/>
        </w:rPr>
        <w:footnoteRef/>
      </w:r>
      <w:r w:rsidRPr="0022710A">
        <w:rPr>
          <w:rFonts w:ascii="Arial" w:hAnsi="Arial" w:cs="Arial"/>
          <w:color w:val="000000" w:themeColor="text1"/>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019BA661" w14:textId="2808B4FF" w:rsidR="00560147" w:rsidRPr="0022710A" w:rsidRDefault="00DA5C47" w:rsidP="00965ED6">
      <w:pPr>
        <w:pStyle w:val="Textonotapie"/>
        <w:ind w:firstLine="708"/>
        <w:jc w:val="both"/>
        <w:rPr>
          <w:rFonts w:ascii="Arial" w:hAnsi="Arial" w:cs="Arial"/>
          <w:color w:val="000000" w:themeColor="text1"/>
          <w:sz w:val="19"/>
          <w:szCs w:val="19"/>
        </w:rPr>
      </w:pPr>
      <w:r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w:t>
      </w:r>
      <w:r w:rsidRPr="0022710A">
        <w:rPr>
          <w:rFonts w:ascii="Arial" w:hAnsi="Arial" w:cs="Arial"/>
          <w:color w:val="000000" w:themeColor="text1"/>
          <w:sz w:val="19"/>
          <w:szCs w:val="19"/>
        </w:rPr>
        <w:t>rá la respectiva certificación».</w:t>
      </w:r>
    </w:p>
    <w:p w14:paraId="4B4A8086" w14:textId="77777777" w:rsidR="00560147" w:rsidRPr="0022710A" w:rsidRDefault="00560147" w:rsidP="00965ED6">
      <w:pPr>
        <w:pStyle w:val="Textonotapie"/>
        <w:jc w:val="both"/>
        <w:rPr>
          <w:rFonts w:ascii="Arial" w:hAnsi="Arial" w:cs="Arial"/>
          <w:color w:val="000000" w:themeColor="text1"/>
          <w:sz w:val="19"/>
          <w:szCs w:val="19"/>
          <w:lang w:val="es-ES"/>
        </w:rPr>
      </w:pPr>
    </w:p>
  </w:footnote>
  <w:footnote w:id="7">
    <w:p w14:paraId="043171BF" w14:textId="1EBC7E66" w:rsidR="00560147" w:rsidRPr="0022710A" w:rsidRDefault="00560147" w:rsidP="00965ED6">
      <w:pPr>
        <w:pStyle w:val="Textonotapie"/>
        <w:ind w:firstLine="708"/>
        <w:jc w:val="both"/>
        <w:rPr>
          <w:rFonts w:ascii="Arial" w:hAnsi="Arial" w:cs="Arial"/>
          <w:color w:val="000000" w:themeColor="text1"/>
          <w:sz w:val="19"/>
          <w:szCs w:val="19"/>
        </w:rPr>
      </w:pPr>
      <w:r w:rsidRPr="0022710A">
        <w:rPr>
          <w:rStyle w:val="Refdenotaalpie"/>
          <w:rFonts w:ascii="Arial" w:hAnsi="Arial" w:cs="Arial"/>
          <w:color w:val="000000" w:themeColor="text1"/>
          <w:sz w:val="19"/>
          <w:szCs w:val="19"/>
        </w:rPr>
        <w:footnoteRef/>
      </w:r>
      <w:r w:rsidRPr="0022710A">
        <w:rPr>
          <w:rFonts w:ascii="Arial" w:hAnsi="Arial" w:cs="Arial"/>
          <w:color w:val="000000" w:themeColor="text1"/>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77E55BE3" w14:textId="77777777" w:rsidR="00560147" w:rsidRPr="0022710A" w:rsidRDefault="00560147" w:rsidP="00965ED6">
      <w:pPr>
        <w:pStyle w:val="Textonotapie"/>
        <w:ind w:firstLine="708"/>
        <w:jc w:val="both"/>
        <w:rPr>
          <w:rFonts w:ascii="Arial" w:hAnsi="Arial" w:cs="Arial"/>
          <w:color w:val="000000" w:themeColor="text1"/>
          <w:sz w:val="19"/>
          <w:szCs w:val="19"/>
          <w:lang w:val="es-ES"/>
        </w:rPr>
      </w:pPr>
    </w:p>
  </w:footnote>
  <w:footnote w:id="8">
    <w:p w14:paraId="53020E43" w14:textId="6C419751" w:rsidR="00560147" w:rsidRPr="0022710A" w:rsidRDefault="00560147" w:rsidP="00965ED6">
      <w:pPr>
        <w:pStyle w:val="Textonotapie"/>
        <w:ind w:firstLine="708"/>
        <w:jc w:val="both"/>
        <w:rPr>
          <w:rFonts w:ascii="Arial" w:hAnsi="Arial" w:cs="Arial"/>
          <w:color w:val="000000" w:themeColor="text1"/>
          <w:sz w:val="19"/>
          <w:szCs w:val="19"/>
        </w:rPr>
      </w:pPr>
      <w:r w:rsidRPr="0022710A">
        <w:rPr>
          <w:rStyle w:val="Refdenotaalpie"/>
          <w:rFonts w:ascii="Arial" w:hAnsi="Arial" w:cs="Arial"/>
          <w:color w:val="000000" w:themeColor="text1"/>
          <w:sz w:val="19"/>
          <w:szCs w:val="19"/>
        </w:rPr>
        <w:footnoteRef/>
      </w:r>
      <w:r w:rsidRPr="0022710A">
        <w:rPr>
          <w:rFonts w:ascii="Arial" w:hAnsi="Arial" w:cs="Arial"/>
          <w:color w:val="000000" w:themeColor="text1"/>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7D435074" w14:textId="38B3FEC5" w:rsidR="00560147" w:rsidRPr="0022710A" w:rsidRDefault="00DA5C47" w:rsidP="00965ED6">
      <w:pPr>
        <w:pStyle w:val="Textonotapie"/>
        <w:ind w:firstLine="708"/>
        <w:jc w:val="both"/>
        <w:rPr>
          <w:rFonts w:ascii="Arial" w:hAnsi="Arial" w:cs="Arial"/>
          <w:color w:val="000000" w:themeColor="text1"/>
          <w:sz w:val="19"/>
          <w:szCs w:val="19"/>
        </w:rPr>
      </w:pPr>
      <w:r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 […]».</w:t>
      </w:r>
    </w:p>
    <w:p w14:paraId="1A7276C4" w14:textId="77777777" w:rsidR="00560147" w:rsidRPr="0022710A" w:rsidRDefault="00560147" w:rsidP="00965ED6">
      <w:pPr>
        <w:pStyle w:val="Textonotapie"/>
        <w:ind w:firstLine="708"/>
        <w:jc w:val="both"/>
        <w:rPr>
          <w:rFonts w:ascii="Arial" w:hAnsi="Arial" w:cs="Arial"/>
          <w:color w:val="000000" w:themeColor="text1"/>
          <w:sz w:val="19"/>
          <w:szCs w:val="19"/>
          <w:lang w:val="es-ES"/>
        </w:rPr>
      </w:pPr>
    </w:p>
  </w:footnote>
  <w:footnote w:id="9">
    <w:p w14:paraId="41698710" w14:textId="05619042" w:rsidR="00560147" w:rsidRPr="0022710A" w:rsidRDefault="00560147" w:rsidP="00965ED6">
      <w:pPr>
        <w:pStyle w:val="Textonotapie"/>
        <w:ind w:firstLine="708"/>
        <w:jc w:val="both"/>
        <w:rPr>
          <w:rFonts w:ascii="Arial" w:hAnsi="Arial" w:cs="Arial"/>
          <w:color w:val="000000" w:themeColor="text1"/>
          <w:sz w:val="19"/>
          <w:szCs w:val="19"/>
        </w:rPr>
      </w:pPr>
      <w:r w:rsidRPr="0022710A">
        <w:rPr>
          <w:rStyle w:val="Refdenotaalpie"/>
          <w:rFonts w:ascii="Arial" w:hAnsi="Arial" w:cs="Arial"/>
          <w:color w:val="000000" w:themeColor="text1"/>
          <w:sz w:val="19"/>
          <w:szCs w:val="19"/>
        </w:rPr>
        <w:footnoteRef/>
      </w:r>
      <w:r w:rsidRPr="0022710A">
        <w:rPr>
          <w:rFonts w:ascii="Arial" w:hAnsi="Arial" w:cs="Arial"/>
          <w:color w:val="000000" w:themeColor="text1"/>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A5161B4" w14:textId="5D699DB4" w:rsidR="00DA5C47" w:rsidRPr="0022710A" w:rsidRDefault="00DA5C47" w:rsidP="00965ED6">
      <w:pPr>
        <w:pStyle w:val="Textonotapie"/>
        <w:ind w:firstLine="708"/>
        <w:jc w:val="both"/>
        <w:rPr>
          <w:rFonts w:ascii="Arial" w:hAnsi="Arial" w:cs="Arial"/>
          <w:color w:val="000000" w:themeColor="text1"/>
          <w:sz w:val="19"/>
          <w:szCs w:val="19"/>
        </w:rPr>
      </w:pPr>
      <w:r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w:t>
      </w:r>
      <w:r w:rsidRPr="0022710A">
        <w:rPr>
          <w:rFonts w:ascii="Arial" w:hAnsi="Arial" w:cs="Arial"/>
          <w:color w:val="000000" w:themeColor="text1"/>
          <w:sz w:val="19"/>
          <w:szCs w:val="19"/>
        </w:rPr>
        <w:t xml:space="preserve">r la inscripción en el registro. </w:t>
      </w:r>
    </w:p>
    <w:p w14:paraId="343481C4" w14:textId="4AA75F48" w:rsidR="00560147" w:rsidRPr="0022710A" w:rsidRDefault="00DA5C47" w:rsidP="00965ED6">
      <w:pPr>
        <w:pStyle w:val="Textonotapie"/>
        <w:ind w:firstLine="708"/>
        <w:jc w:val="both"/>
        <w:rPr>
          <w:rFonts w:ascii="Arial" w:hAnsi="Arial" w:cs="Arial"/>
          <w:color w:val="000000" w:themeColor="text1"/>
          <w:sz w:val="19"/>
          <w:szCs w:val="19"/>
        </w:rPr>
      </w:pPr>
      <w:r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 […]».</w:t>
      </w:r>
    </w:p>
    <w:p w14:paraId="5D631165" w14:textId="77777777" w:rsidR="00560147" w:rsidRPr="0022710A" w:rsidRDefault="00560147" w:rsidP="00965ED6">
      <w:pPr>
        <w:pStyle w:val="Textonotapie"/>
        <w:jc w:val="both"/>
        <w:rPr>
          <w:rFonts w:ascii="Arial" w:hAnsi="Arial" w:cs="Arial"/>
          <w:color w:val="000000" w:themeColor="text1"/>
          <w:sz w:val="19"/>
          <w:szCs w:val="19"/>
          <w:lang w:val="es-ES"/>
        </w:rPr>
      </w:pPr>
    </w:p>
  </w:footnote>
  <w:footnote w:id="10">
    <w:p w14:paraId="440E554A" w14:textId="482F7B64" w:rsidR="00560147" w:rsidRPr="0022710A" w:rsidRDefault="00560147" w:rsidP="00965ED6">
      <w:pPr>
        <w:pStyle w:val="Textonotapie"/>
        <w:ind w:firstLine="708"/>
        <w:jc w:val="both"/>
        <w:rPr>
          <w:rFonts w:ascii="Arial" w:hAnsi="Arial" w:cs="Arial"/>
          <w:color w:val="000000" w:themeColor="text1"/>
          <w:sz w:val="19"/>
          <w:szCs w:val="19"/>
        </w:rPr>
      </w:pPr>
      <w:r w:rsidRPr="0022710A">
        <w:rPr>
          <w:rStyle w:val="Refdenotaalpie"/>
          <w:rFonts w:ascii="Arial" w:hAnsi="Arial" w:cs="Arial"/>
          <w:color w:val="000000" w:themeColor="text1"/>
          <w:sz w:val="19"/>
          <w:szCs w:val="19"/>
        </w:rPr>
        <w:footnoteRef/>
      </w:r>
      <w:r w:rsidRPr="0022710A">
        <w:rPr>
          <w:rFonts w:ascii="Arial" w:hAnsi="Arial" w:cs="Arial"/>
          <w:color w:val="000000" w:themeColor="text1"/>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00391CC" w14:textId="1CECAE41" w:rsidR="00560147" w:rsidRPr="0022710A" w:rsidRDefault="00780223" w:rsidP="00965ED6">
      <w:pPr>
        <w:pStyle w:val="Textonotapie"/>
        <w:ind w:firstLine="708"/>
        <w:jc w:val="both"/>
        <w:rPr>
          <w:rFonts w:ascii="Arial" w:hAnsi="Arial" w:cs="Arial"/>
          <w:color w:val="000000" w:themeColor="text1"/>
          <w:sz w:val="19"/>
          <w:szCs w:val="19"/>
        </w:rPr>
      </w:pPr>
      <w:r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1.    Si es una persona natural:</w:t>
      </w:r>
    </w:p>
    <w:p w14:paraId="53FD3D10" w14:textId="68018232" w:rsidR="00560147" w:rsidRPr="0022710A" w:rsidRDefault="00780223" w:rsidP="00965ED6">
      <w:pPr>
        <w:pStyle w:val="Textonotapie"/>
        <w:ind w:firstLine="708"/>
        <w:jc w:val="both"/>
        <w:rPr>
          <w:rFonts w:ascii="Arial" w:hAnsi="Arial" w:cs="Arial"/>
          <w:color w:val="000000" w:themeColor="text1"/>
          <w:sz w:val="19"/>
          <w:szCs w:val="19"/>
        </w:rPr>
      </w:pPr>
      <w:r w:rsidRPr="0022710A">
        <w:rPr>
          <w:rFonts w:ascii="Arial" w:hAnsi="Arial" w:cs="Arial"/>
          <w:color w:val="000000" w:themeColor="text1"/>
          <w:sz w:val="19"/>
          <w:szCs w:val="19"/>
        </w:rPr>
        <w:t>»1</w:t>
      </w:r>
      <w:r w:rsidR="00560147" w:rsidRPr="0022710A">
        <w:rPr>
          <w:rFonts w:ascii="Arial" w:hAnsi="Arial" w:cs="Arial"/>
          <w:color w:val="000000" w:themeColor="text1"/>
          <w:sz w:val="19"/>
          <w:szCs w:val="19"/>
        </w:rPr>
        <w:t>.1. Bienes, obras y servicios que ofrecerá a las Entidades Estatales, identificados con el Clasificador de Bienes y Servicios en el tercer nivel.</w:t>
      </w:r>
    </w:p>
    <w:p w14:paraId="1FDBC9D7" w14:textId="0CCEDD71" w:rsidR="00560147" w:rsidRPr="0022710A" w:rsidRDefault="00780223" w:rsidP="00965ED6">
      <w:pPr>
        <w:pStyle w:val="Textonotapie"/>
        <w:ind w:firstLine="708"/>
        <w:jc w:val="both"/>
        <w:rPr>
          <w:rFonts w:ascii="Arial" w:hAnsi="Arial" w:cs="Arial"/>
          <w:color w:val="000000" w:themeColor="text1"/>
          <w:sz w:val="19"/>
          <w:szCs w:val="19"/>
        </w:rPr>
      </w:pPr>
      <w:r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4DDAFBF8" w14:textId="77777777" w:rsidR="00560147" w:rsidRPr="0022710A" w:rsidRDefault="00560147" w:rsidP="00965ED6">
      <w:pPr>
        <w:pStyle w:val="Textonotapie"/>
        <w:ind w:firstLine="708"/>
        <w:jc w:val="both"/>
        <w:rPr>
          <w:rFonts w:ascii="Arial" w:hAnsi="Arial" w:cs="Arial"/>
          <w:color w:val="000000" w:themeColor="text1"/>
          <w:sz w:val="19"/>
          <w:szCs w:val="19"/>
          <w:lang w:val="es-ES"/>
        </w:rPr>
      </w:pPr>
    </w:p>
  </w:footnote>
  <w:footnote w:id="11">
    <w:p w14:paraId="7C53523D" w14:textId="6DFC1EA5" w:rsidR="00560147" w:rsidRPr="0022710A" w:rsidRDefault="00560147" w:rsidP="00965ED6">
      <w:pPr>
        <w:pStyle w:val="Textonotapie"/>
        <w:ind w:firstLine="708"/>
        <w:jc w:val="both"/>
        <w:rPr>
          <w:rFonts w:ascii="Arial" w:hAnsi="Arial" w:cs="Arial"/>
          <w:color w:val="000000" w:themeColor="text1"/>
          <w:sz w:val="19"/>
          <w:szCs w:val="19"/>
        </w:rPr>
      </w:pPr>
      <w:r w:rsidRPr="0022710A">
        <w:rPr>
          <w:rStyle w:val="Refdenotaalpie"/>
          <w:rFonts w:ascii="Arial" w:hAnsi="Arial" w:cs="Arial"/>
          <w:color w:val="000000" w:themeColor="text1"/>
          <w:sz w:val="19"/>
          <w:szCs w:val="19"/>
        </w:rPr>
        <w:footnoteRef/>
      </w:r>
      <w:r w:rsidRPr="0022710A">
        <w:rPr>
          <w:rFonts w:ascii="Arial" w:hAnsi="Arial" w:cs="Arial"/>
          <w:color w:val="000000" w:themeColor="text1"/>
          <w:sz w:val="19"/>
          <w:szCs w:val="19"/>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2386F555" w14:textId="6F5A2A53" w:rsidR="00560147" w:rsidRPr="0022710A" w:rsidRDefault="00780223" w:rsidP="00965ED6">
      <w:pPr>
        <w:pStyle w:val="Textonotapie"/>
        <w:ind w:firstLine="708"/>
        <w:jc w:val="both"/>
        <w:rPr>
          <w:rFonts w:ascii="Arial" w:hAnsi="Arial" w:cs="Arial"/>
          <w:color w:val="000000" w:themeColor="text1"/>
          <w:sz w:val="19"/>
          <w:szCs w:val="19"/>
        </w:rPr>
      </w:pPr>
      <w:r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05F290F2" w14:textId="57BD1252" w:rsidR="00560147" w:rsidRPr="0022710A" w:rsidRDefault="00780223" w:rsidP="00965ED6">
      <w:pPr>
        <w:pStyle w:val="Textonotapie"/>
        <w:ind w:firstLine="708"/>
        <w:jc w:val="both"/>
        <w:rPr>
          <w:rFonts w:ascii="Arial" w:hAnsi="Arial" w:cs="Arial"/>
          <w:color w:val="000000" w:themeColor="text1"/>
          <w:sz w:val="19"/>
          <w:szCs w:val="19"/>
        </w:rPr>
      </w:pPr>
      <w:r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 xml:space="preserve">[…] 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w:t>
      </w:r>
      <w:r w:rsidRPr="0022710A">
        <w:rPr>
          <w:rFonts w:ascii="Arial" w:hAnsi="Arial" w:cs="Arial"/>
          <w:color w:val="000000" w:themeColor="text1"/>
          <w:sz w:val="19"/>
          <w:szCs w:val="19"/>
        </w:rPr>
        <w:t>o quién ha sido el contratante.</w:t>
      </w:r>
    </w:p>
    <w:p w14:paraId="6E86ADB1" w14:textId="38A04669" w:rsidR="00560147" w:rsidRPr="0022710A" w:rsidRDefault="00780223" w:rsidP="00965ED6">
      <w:pPr>
        <w:pStyle w:val="Textonotapie"/>
        <w:ind w:firstLine="708"/>
        <w:jc w:val="both"/>
        <w:rPr>
          <w:rFonts w:ascii="Arial" w:hAnsi="Arial" w:cs="Arial"/>
          <w:color w:val="000000" w:themeColor="text1"/>
          <w:sz w:val="19"/>
          <w:szCs w:val="19"/>
        </w:rPr>
      </w:pPr>
      <w:r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 […]».</w:t>
      </w:r>
    </w:p>
    <w:p w14:paraId="3FC23FE2" w14:textId="77777777" w:rsidR="00560147" w:rsidRPr="0022710A" w:rsidRDefault="00560147" w:rsidP="00965ED6">
      <w:pPr>
        <w:pStyle w:val="Textonotapie"/>
        <w:jc w:val="both"/>
        <w:rPr>
          <w:rFonts w:ascii="Arial" w:hAnsi="Arial" w:cs="Arial"/>
          <w:color w:val="000000" w:themeColor="text1"/>
          <w:sz w:val="19"/>
          <w:szCs w:val="19"/>
          <w:lang w:val="es-ES"/>
        </w:rPr>
      </w:pPr>
    </w:p>
  </w:footnote>
  <w:footnote w:id="12">
    <w:p w14:paraId="6423182B" w14:textId="20FD6E39" w:rsidR="00560147" w:rsidRPr="0022710A" w:rsidRDefault="00560147" w:rsidP="00965ED6">
      <w:pPr>
        <w:pStyle w:val="Textonotapie"/>
        <w:ind w:firstLine="708"/>
        <w:jc w:val="both"/>
        <w:rPr>
          <w:rFonts w:ascii="Arial" w:hAnsi="Arial" w:cs="Arial"/>
          <w:color w:val="000000" w:themeColor="text1"/>
          <w:sz w:val="19"/>
          <w:szCs w:val="19"/>
        </w:rPr>
      </w:pPr>
      <w:r w:rsidRPr="0022710A">
        <w:rPr>
          <w:rStyle w:val="Refdenotaalpie"/>
          <w:rFonts w:ascii="Arial" w:hAnsi="Arial" w:cs="Arial"/>
          <w:color w:val="000000" w:themeColor="text1"/>
          <w:sz w:val="19"/>
          <w:szCs w:val="19"/>
        </w:rPr>
        <w:footnoteRef/>
      </w:r>
      <w:r w:rsidRPr="0022710A">
        <w:rPr>
          <w:rFonts w:ascii="Arial" w:hAnsi="Arial" w:cs="Arial"/>
          <w:color w:val="000000" w:themeColor="text1"/>
          <w:sz w:val="19"/>
          <w:szCs w:val="19"/>
        </w:rPr>
        <w:t xml:space="preserve"> Código de Comercio: «Artículo 222. Efectos posteriores a la liquidación de la sociedad. Disuelta la sociedad se procederá de inmediato a su liquidación. En consecuencia, no podrá iniciar nuevas operaciones en desarrollo de su objeto y conservará su capacidad jurídica únicamente para los actos necesarios a la inmediata liquidación. Cualquier operación o acto ajeno a este fin, salvo los autorizados expresamente por la Ley, hará responsables frente a la sociedad, a los asociados y a terceros, en forma ilimitada y solidaria, al liquidador, y al revisor fiscal que no se hubiere opuesto».</w:t>
      </w:r>
    </w:p>
    <w:p w14:paraId="31631572" w14:textId="3EBC0F2D" w:rsidR="00560147" w:rsidRPr="0022710A" w:rsidRDefault="00780223" w:rsidP="00965ED6">
      <w:pPr>
        <w:pStyle w:val="Textonotapie"/>
        <w:ind w:firstLine="708"/>
        <w:jc w:val="both"/>
        <w:rPr>
          <w:rFonts w:ascii="Arial" w:hAnsi="Arial" w:cs="Arial"/>
          <w:color w:val="000000" w:themeColor="text1"/>
          <w:sz w:val="19"/>
          <w:szCs w:val="19"/>
        </w:rPr>
      </w:pPr>
      <w:r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El nombre de la sociedad disuelta deberá adicio</w:t>
      </w:r>
      <w:r w:rsidR="008F4BBA" w:rsidRPr="0022710A">
        <w:rPr>
          <w:rFonts w:ascii="Arial" w:hAnsi="Arial" w:cs="Arial"/>
          <w:color w:val="000000" w:themeColor="text1"/>
          <w:sz w:val="19"/>
          <w:szCs w:val="19"/>
        </w:rPr>
        <w:t>narse siempre con la expresión “</w:t>
      </w:r>
      <w:r w:rsidR="00560147" w:rsidRPr="0022710A">
        <w:rPr>
          <w:rFonts w:ascii="Arial" w:hAnsi="Arial" w:cs="Arial"/>
          <w:color w:val="000000" w:themeColor="text1"/>
          <w:sz w:val="19"/>
          <w:szCs w:val="19"/>
        </w:rPr>
        <w:t>en liquidación</w:t>
      </w:r>
      <w:r w:rsidR="008F4BBA"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 Los encargados de realizarla responderán de los daños y perjuicios que se deriven por dicha omisión».</w:t>
      </w:r>
    </w:p>
    <w:p w14:paraId="413A7880" w14:textId="77777777" w:rsidR="00560147" w:rsidRPr="0022710A" w:rsidRDefault="00560147" w:rsidP="00965ED6">
      <w:pPr>
        <w:pStyle w:val="Textonotapie"/>
        <w:jc w:val="both"/>
        <w:rPr>
          <w:rFonts w:ascii="Arial" w:hAnsi="Arial" w:cs="Arial"/>
          <w:color w:val="000000" w:themeColor="text1"/>
          <w:sz w:val="19"/>
          <w:szCs w:val="19"/>
          <w:lang w:val="es-CO"/>
        </w:rPr>
      </w:pPr>
    </w:p>
  </w:footnote>
  <w:footnote w:id="13">
    <w:p w14:paraId="7B2DA847" w14:textId="77777777" w:rsidR="00560147" w:rsidRPr="0022710A" w:rsidRDefault="00560147" w:rsidP="00965ED6">
      <w:pPr>
        <w:pStyle w:val="Textonotapie"/>
        <w:ind w:firstLine="708"/>
        <w:jc w:val="both"/>
        <w:rPr>
          <w:rFonts w:ascii="Arial" w:hAnsi="Arial" w:cs="Arial"/>
          <w:color w:val="000000" w:themeColor="text1"/>
          <w:sz w:val="19"/>
          <w:szCs w:val="19"/>
        </w:rPr>
      </w:pPr>
      <w:r w:rsidRPr="0022710A">
        <w:rPr>
          <w:rStyle w:val="Refdenotaalpie"/>
          <w:rFonts w:ascii="Arial" w:hAnsi="Arial" w:cs="Arial"/>
          <w:color w:val="000000" w:themeColor="text1"/>
          <w:sz w:val="19"/>
          <w:szCs w:val="19"/>
        </w:rPr>
        <w:footnoteRef/>
      </w:r>
      <w:r w:rsidRPr="0022710A">
        <w:rPr>
          <w:rFonts w:ascii="Arial" w:hAnsi="Arial" w:cs="Arial"/>
          <w:color w:val="000000" w:themeColor="text1"/>
          <w:sz w:val="19"/>
          <w:szCs w:val="19"/>
        </w:rPr>
        <w:t xml:space="preserve"> Ver artículos 225 y ss. del Código de Comercio.</w:t>
      </w:r>
    </w:p>
    <w:p w14:paraId="219DAD92" w14:textId="77777777" w:rsidR="00560147" w:rsidRPr="0022710A" w:rsidRDefault="00560147" w:rsidP="00965ED6">
      <w:pPr>
        <w:pStyle w:val="Textonotapie"/>
        <w:ind w:firstLine="708"/>
        <w:jc w:val="both"/>
        <w:rPr>
          <w:rFonts w:ascii="Arial" w:hAnsi="Arial" w:cs="Arial"/>
          <w:color w:val="000000" w:themeColor="text1"/>
          <w:sz w:val="19"/>
          <w:szCs w:val="19"/>
          <w:lang w:val="es-CO"/>
        </w:rPr>
      </w:pPr>
      <w:r w:rsidRPr="0022710A">
        <w:rPr>
          <w:rFonts w:ascii="Arial" w:hAnsi="Arial" w:cs="Arial"/>
          <w:color w:val="000000" w:themeColor="text1"/>
          <w:sz w:val="19"/>
          <w:szCs w:val="19"/>
        </w:rPr>
        <w:t xml:space="preserve"> </w:t>
      </w:r>
    </w:p>
  </w:footnote>
  <w:footnote w:id="14">
    <w:p w14:paraId="7CA38ACA" w14:textId="4D45E77F" w:rsidR="00560147" w:rsidRPr="0022710A" w:rsidRDefault="00560147" w:rsidP="00965ED6">
      <w:pPr>
        <w:pStyle w:val="Textonotapie"/>
        <w:ind w:firstLine="708"/>
        <w:jc w:val="both"/>
        <w:rPr>
          <w:rFonts w:ascii="Arial" w:hAnsi="Arial" w:cs="Arial"/>
          <w:color w:val="000000" w:themeColor="text1"/>
          <w:sz w:val="19"/>
          <w:szCs w:val="19"/>
        </w:rPr>
      </w:pPr>
      <w:r w:rsidRPr="0022710A">
        <w:rPr>
          <w:rStyle w:val="Refdenotaalpie"/>
          <w:rFonts w:ascii="Arial" w:hAnsi="Arial" w:cs="Arial"/>
          <w:color w:val="000000" w:themeColor="text1"/>
          <w:sz w:val="19"/>
          <w:szCs w:val="19"/>
        </w:rPr>
        <w:footnoteRef/>
      </w:r>
      <w:r w:rsidRPr="0022710A">
        <w:rPr>
          <w:rFonts w:ascii="Arial" w:hAnsi="Arial" w:cs="Arial"/>
          <w:color w:val="000000" w:themeColor="text1"/>
          <w:sz w:val="19"/>
          <w:szCs w:val="19"/>
        </w:rPr>
        <w:t xml:space="preserve"> Código de Comercio: «Artículo 167. Reforma de contrato social por transformación de sociedad. Una sociedad podrá, antes de su disolución, adoptar cualquiera otra de las formas de la sociedad comercial reguladas en este Código, mediante una reforma del contrato social.</w:t>
      </w:r>
    </w:p>
    <w:p w14:paraId="291063D7" w14:textId="366EA1E7" w:rsidR="00560147" w:rsidRPr="0022710A" w:rsidRDefault="00780223" w:rsidP="00965ED6">
      <w:pPr>
        <w:pStyle w:val="Textonotapie"/>
        <w:ind w:firstLine="708"/>
        <w:jc w:val="both"/>
        <w:rPr>
          <w:rFonts w:ascii="Arial" w:hAnsi="Arial" w:cs="Arial"/>
          <w:color w:val="000000" w:themeColor="text1"/>
          <w:sz w:val="19"/>
          <w:szCs w:val="19"/>
        </w:rPr>
      </w:pPr>
      <w:r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La transformación no producirá solución de continuidad en la existencia de la sociedad como persona jurídica, ni en sus actividades ni en su patrimonio».</w:t>
      </w:r>
    </w:p>
  </w:footnote>
  <w:footnote w:id="15">
    <w:p w14:paraId="5D5BD0FC" w14:textId="0DC3EE27" w:rsidR="00560147" w:rsidRPr="0022710A" w:rsidRDefault="00560147" w:rsidP="00965ED6">
      <w:pPr>
        <w:pStyle w:val="Textonotapie"/>
        <w:ind w:firstLine="708"/>
        <w:jc w:val="both"/>
        <w:rPr>
          <w:rFonts w:ascii="Arial" w:hAnsi="Arial" w:cs="Arial"/>
          <w:color w:val="000000" w:themeColor="text1"/>
          <w:sz w:val="19"/>
          <w:szCs w:val="19"/>
        </w:rPr>
      </w:pPr>
      <w:r w:rsidRPr="0022710A">
        <w:rPr>
          <w:rStyle w:val="Refdenotaalpie"/>
          <w:rFonts w:ascii="Arial" w:hAnsi="Arial" w:cs="Arial"/>
          <w:color w:val="000000" w:themeColor="text1"/>
          <w:sz w:val="19"/>
          <w:szCs w:val="19"/>
        </w:rPr>
        <w:footnoteRef/>
      </w:r>
      <w:r w:rsidR="008F4BBA" w:rsidRPr="0022710A">
        <w:rPr>
          <w:rFonts w:ascii="Arial" w:hAnsi="Arial" w:cs="Arial"/>
          <w:color w:val="000000" w:themeColor="text1"/>
          <w:sz w:val="19"/>
          <w:szCs w:val="19"/>
        </w:rPr>
        <w:t xml:space="preserve"> Ley 222 de 1995: </w:t>
      </w:r>
      <w:r w:rsidR="008F4BBA" w:rsidRPr="0022710A">
        <w:rPr>
          <w:rFonts w:ascii="Arial" w:eastAsia="Calibri" w:hAnsi="Arial" w:cs="Arial"/>
          <w:color w:val="000000" w:themeColor="text1"/>
          <w:sz w:val="19"/>
          <w:szCs w:val="19"/>
        </w:rPr>
        <w:t>«</w:t>
      </w:r>
      <w:r w:rsidRPr="0022710A">
        <w:rPr>
          <w:rFonts w:ascii="Arial" w:hAnsi="Arial" w:cs="Arial"/>
          <w:color w:val="000000" w:themeColor="text1"/>
          <w:sz w:val="19"/>
          <w:szCs w:val="19"/>
        </w:rPr>
        <w:t>Artículo 3. Modalidades. Habrá escisión cuando:</w:t>
      </w:r>
    </w:p>
    <w:p w14:paraId="460879E9" w14:textId="72C3F774" w:rsidR="00560147" w:rsidRPr="0022710A" w:rsidRDefault="00780223" w:rsidP="00965ED6">
      <w:pPr>
        <w:pStyle w:val="Textonotapie"/>
        <w:ind w:firstLine="708"/>
        <w:jc w:val="both"/>
        <w:rPr>
          <w:rFonts w:ascii="Arial" w:hAnsi="Arial" w:cs="Arial"/>
          <w:color w:val="000000" w:themeColor="text1"/>
          <w:sz w:val="19"/>
          <w:szCs w:val="19"/>
        </w:rPr>
      </w:pPr>
      <w:r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1. Una sociedad sin disolverse, transfiere en bloque una o varias partes de su patrimonio a una o más sociedades existentes o las destina a la creación de una o varias sociedades.</w:t>
      </w:r>
    </w:p>
    <w:p w14:paraId="19DDC115" w14:textId="611023F8" w:rsidR="00560147" w:rsidRPr="0022710A" w:rsidRDefault="00780223" w:rsidP="00965ED6">
      <w:pPr>
        <w:pStyle w:val="Textonotapie"/>
        <w:ind w:firstLine="708"/>
        <w:jc w:val="both"/>
        <w:rPr>
          <w:rFonts w:ascii="Arial" w:hAnsi="Arial" w:cs="Arial"/>
          <w:color w:val="000000" w:themeColor="text1"/>
          <w:sz w:val="19"/>
          <w:szCs w:val="19"/>
        </w:rPr>
      </w:pPr>
      <w:r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2. Una sociedad se disuelve sin liquidarse, dividiendo su patrimonio en dos o más partes, que se transfieren a varias sociedades existentes o se destinan a la creación de nuevas sociedades.</w:t>
      </w:r>
    </w:p>
    <w:p w14:paraId="4ED344CB" w14:textId="4340C725" w:rsidR="00560147" w:rsidRPr="0022710A" w:rsidRDefault="00780223" w:rsidP="00965ED6">
      <w:pPr>
        <w:pStyle w:val="Textonotapie"/>
        <w:ind w:firstLine="708"/>
        <w:jc w:val="both"/>
        <w:rPr>
          <w:rFonts w:ascii="Arial" w:hAnsi="Arial" w:cs="Arial"/>
          <w:color w:val="000000" w:themeColor="text1"/>
          <w:sz w:val="19"/>
          <w:szCs w:val="19"/>
        </w:rPr>
      </w:pPr>
      <w:r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La sociedad o sociedades destinatarias de las transferencias resultantes de la escisión, se denominarán sociedades beneficiarias.</w:t>
      </w:r>
    </w:p>
    <w:p w14:paraId="1A02EF19" w14:textId="47D031B4" w:rsidR="00560147" w:rsidRPr="0022710A" w:rsidRDefault="00780223" w:rsidP="00965ED6">
      <w:pPr>
        <w:pStyle w:val="Textonotapie"/>
        <w:ind w:firstLine="708"/>
        <w:jc w:val="both"/>
        <w:rPr>
          <w:rFonts w:ascii="Arial" w:hAnsi="Arial" w:cs="Arial"/>
          <w:color w:val="000000" w:themeColor="text1"/>
          <w:sz w:val="19"/>
          <w:szCs w:val="19"/>
          <w:lang w:val="es-CO"/>
        </w:rPr>
      </w:pPr>
      <w:r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Los socios de la sociedad escindida participarán en el capital de las Sociedades beneficiarias en la misma proporción que tengan en aquélla, salvo que por unanimidad de las acciones, cuotas sociales o partes de interés representadas en la asamblea o junta de socios de la escindente, se apruebe una participación diferente».</w:t>
      </w:r>
    </w:p>
  </w:footnote>
  <w:footnote w:id="16">
    <w:p w14:paraId="4AD658F4" w14:textId="65B68411" w:rsidR="00560147" w:rsidRPr="0022710A" w:rsidRDefault="00560147" w:rsidP="00965ED6">
      <w:pPr>
        <w:pStyle w:val="Textonotapie"/>
        <w:ind w:firstLine="708"/>
        <w:jc w:val="both"/>
        <w:rPr>
          <w:rFonts w:ascii="Arial" w:hAnsi="Arial" w:cs="Arial"/>
          <w:color w:val="000000" w:themeColor="text1"/>
          <w:sz w:val="19"/>
          <w:szCs w:val="19"/>
        </w:rPr>
      </w:pPr>
      <w:r w:rsidRPr="0022710A">
        <w:rPr>
          <w:rStyle w:val="Refdenotaalpie"/>
          <w:rFonts w:ascii="Arial" w:hAnsi="Arial" w:cs="Arial"/>
          <w:color w:val="000000" w:themeColor="text1"/>
          <w:sz w:val="19"/>
          <w:szCs w:val="19"/>
        </w:rPr>
        <w:footnoteRef/>
      </w:r>
      <w:r w:rsidRPr="0022710A">
        <w:rPr>
          <w:rFonts w:ascii="Arial" w:hAnsi="Arial" w:cs="Arial"/>
          <w:color w:val="000000" w:themeColor="text1"/>
          <w:sz w:val="19"/>
          <w:szCs w:val="19"/>
        </w:rPr>
        <w:t xml:space="preserve"> Código de Comercio: «Artículo 172. Fusión de la sociedad-concepto. Habrá fusión cuando una o más sociedades se disuelvan, sin liquidarse, para ser absorbidas por otra o para crear una nueva.</w:t>
      </w:r>
    </w:p>
    <w:p w14:paraId="1C1F6F38" w14:textId="6607B679" w:rsidR="00560147" w:rsidRPr="0022710A" w:rsidRDefault="008A2025" w:rsidP="00965ED6">
      <w:pPr>
        <w:pStyle w:val="Textonotapie"/>
        <w:ind w:firstLine="708"/>
        <w:jc w:val="both"/>
        <w:rPr>
          <w:rFonts w:ascii="Arial" w:hAnsi="Arial" w:cs="Arial"/>
          <w:color w:val="000000" w:themeColor="text1"/>
          <w:sz w:val="19"/>
          <w:szCs w:val="19"/>
        </w:rPr>
      </w:pPr>
      <w:r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La absorbente o la nueva compañía adquirirá los derechos y obligaciones de la sociedad o sociedades disueltas al formalizarse el acuerdo de fusión».</w:t>
      </w:r>
    </w:p>
    <w:p w14:paraId="7CFA845E" w14:textId="77777777" w:rsidR="00560147" w:rsidRPr="0022710A" w:rsidRDefault="00560147" w:rsidP="00965ED6">
      <w:pPr>
        <w:pStyle w:val="Textonotapie"/>
        <w:jc w:val="both"/>
        <w:rPr>
          <w:rFonts w:ascii="Arial" w:hAnsi="Arial" w:cs="Arial"/>
          <w:color w:val="000000" w:themeColor="text1"/>
          <w:sz w:val="19"/>
          <w:szCs w:val="19"/>
          <w:lang w:val="es-CO"/>
        </w:rPr>
      </w:pPr>
    </w:p>
  </w:footnote>
  <w:footnote w:id="17">
    <w:p w14:paraId="31B4FFDD" w14:textId="19264FE0" w:rsidR="00560147" w:rsidRPr="0022710A" w:rsidRDefault="00560147" w:rsidP="00965ED6">
      <w:pPr>
        <w:pStyle w:val="Textonotapie"/>
        <w:ind w:firstLine="708"/>
        <w:jc w:val="both"/>
        <w:rPr>
          <w:rFonts w:ascii="Arial" w:hAnsi="Arial" w:cs="Arial"/>
          <w:color w:val="000000" w:themeColor="text1"/>
          <w:sz w:val="19"/>
          <w:szCs w:val="19"/>
        </w:rPr>
      </w:pPr>
      <w:r w:rsidRPr="0022710A">
        <w:rPr>
          <w:rStyle w:val="Refdenotaalpie"/>
          <w:rFonts w:ascii="Arial" w:hAnsi="Arial" w:cs="Arial"/>
          <w:color w:val="000000" w:themeColor="text1"/>
          <w:sz w:val="19"/>
          <w:szCs w:val="19"/>
        </w:rPr>
        <w:footnoteRef/>
      </w:r>
      <w:r w:rsidRPr="0022710A">
        <w:rPr>
          <w:rFonts w:ascii="Arial" w:hAnsi="Arial" w:cs="Arial"/>
          <w:color w:val="000000" w:themeColor="text1"/>
          <w:sz w:val="19"/>
          <w:szCs w:val="19"/>
        </w:rPr>
        <w:t xml:space="preserve"> Código de Comercio: «Artículo 180. Formación de nueva sociedad que continúa negocios de la disuelta. Lo dispuesto en esta Sección podrá aplicarse también al caso de la formación de una nueva sociedad para continuar los negocios de una sociedad disuelta, siempre que no haya variaciones en el giro de sus actividades o negocios y que la operación se celebre dentro de los seis meses siguientes a la fecha de disolución».</w:t>
      </w:r>
    </w:p>
    <w:p w14:paraId="07C8828D" w14:textId="77777777" w:rsidR="00560147" w:rsidRPr="0022710A" w:rsidRDefault="00560147" w:rsidP="00965ED6">
      <w:pPr>
        <w:pStyle w:val="Textonotapie"/>
        <w:ind w:firstLine="708"/>
        <w:jc w:val="both"/>
        <w:rPr>
          <w:rFonts w:ascii="Arial" w:hAnsi="Arial" w:cs="Arial"/>
          <w:color w:val="000000" w:themeColor="text1"/>
          <w:sz w:val="19"/>
          <w:szCs w:val="19"/>
          <w:lang w:val="es-CO"/>
        </w:rPr>
      </w:pPr>
    </w:p>
  </w:footnote>
  <w:footnote w:id="18">
    <w:p w14:paraId="1F854CDD" w14:textId="714E5103" w:rsidR="00560147" w:rsidRPr="0022710A" w:rsidRDefault="00560147" w:rsidP="00965ED6">
      <w:pPr>
        <w:pStyle w:val="Textonotapie"/>
        <w:ind w:firstLine="708"/>
        <w:jc w:val="both"/>
        <w:rPr>
          <w:rFonts w:ascii="Arial" w:hAnsi="Arial" w:cs="Arial"/>
          <w:color w:val="000000" w:themeColor="text1"/>
          <w:sz w:val="19"/>
          <w:szCs w:val="19"/>
        </w:rPr>
      </w:pPr>
      <w:r w:rsidRPr="0022710A">
        <w:rPr>
          <w:rStyle w:val="Refdenotaalpie"/>
          <w:rFonts w:ascii="Arial" w:hAnsi="Arial" w:cs="Arial"/>
          <w:color w:val="000000" w:themeColor="text1"/>
          <w:sz w:val="19"/>
          <w:szCs w:val="19"/>
        </w:rPr>
        <w:footnoteRef/>
      </w:r>
      <w:r w:rsidRPr="0022710A">
        <w:rPr>
          <w:rFonts w:ascii="Arial" w:hAnsi="Arial" w:cs="Arial"/>
          <w:color w:val="000000" w:themeColor="text1"/>
          <w:sz w:val="19"/>
          <w:szCs w:val="19"/>
        </w:rPr>
        <w:t xml:space="preserve"> Ley 1258 de 2008: «Artículo 33. Fusión abreviada. En aquellos casos en que una sociedad detente más del noventa (90%) de las acciones de una sociedad por acciones simplificada, aquella podrá absorber a esta, mediante determinación adoptada por los representantes legales o por las juntas directivas de las sociedades participantes en el proceso de fusión.</w:t>
      </w:r>
    </w:p>
    <w:p w14:paraId="2770E2CB" w14:textId="613728A5" w:rsidR="00560147" w:rsidRPr="0022710A" w:rsidRDefault="00780223" w:rsidP="00965ED6">
      <w:pPr>
        <w:pStyle w:val="Textonotapie"/>
        <w:ind w:firstLine="708"/>
        <w:jc w:val="both"/>
        <w:rPr>
          <w:rFonts w:ascii="Arial" w:hAnsi="Arial" w:cs="Arial"/>
          <w:color w:val="000000" w:themeColor="text1"/>
          <w:sz w:val="19"/>
          <w:szCs w:val="19"/>
        </w:rPr>
      </w:pPr>
      <w:r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El acuerdo de fusión podrá realizarse por documento privado inscrito en el Registro Mercantil, salvo que dentro de los activos transferidos se encuentren bienes cuya enajenación requiera escritura pública. La fusión podrá dar lugar al derecho de retiro a favor de los accionistas ausentes y disidentes en los términos de la Ley 222 de 1995, así como a la acción de oposición judicial prevista en el artículo 175 del Código de Comercio.</w:t>
      </w:r>
    </w:p>
    <w:p w14:paraId="30B95851" w14:textId="597B108F" w:rsidR="00560147" w:rsidRPr="0022710A" w:rsidRDefault="00780223" w:rsidP="00965ED6">
      <w:pPr>
        <w:pStyle w:val="Textonotapie"/>
        <w:ind w:firstLine="708"/>
        <w:jc w:val="both"/>
        <w:rPr>
          <w:rFonts w:ascii="Arial" w:hAnsi="Arial" w:cs="Arial"/>
          <w:color w:val="000000" w:themeColor="text1"/>
          <w:sz w:val="19"/>
          <w:szCs w:val="19"/>
          <w:lang w:val="es-CO"/>
        </w:rPr>
      </w:pPr>
      <w:r w:rsidRPr="0022710A">
        <w:rPr>
          <w:rFonts w:ascii="Arial" w:hAnsi="Arial" w:cs="Arial"/>
          <w:color w:val="000000" w:themeColor="text1"/>
          <w:sz w:val="19"/>
          <w:szCs w:val="19"/>
        </w:rPr>
        <w:t>»</w:t>
      </w:r>
      <w:r w:rsidR="00560147" w:rsidRPr="0022710A">
        <w:rPr>
          <w:rFonts w:ascii="Arial" w:hAnsi="Arial" w:cs="Arial"/>
          <w:color w:val="000000" w:themeColor="text1"/>
          <w:sz w:val="19"/>
          <w:szCs w:val="19"/>
        </w:rPr>
        <w:t>El texto del acuerdo de fusión abreviada tendrá que ser publicado en un diario de amplia circulación según lo establece la Ley 222 de 1995, dentro de ese mismo término habrá lugar a la oposición por parte de terceros interesados quienes podrán exigir garantías necesarias y/o suficientes».</w:t>
      </w:r>
    </w:p>
  </w:footnote>
  <w:footnote w:id="19">
    <w:p w14:paraId="5A6E5A5C" w14:textId="70D9C0C7" w:rsidR="00780223" w:rsidRPr="0022710A" w:rsidRDefault="00780223" w:rsidP="00965ED6">
      <w:pPr>
        <w:pStyle w:val="Textonotapie"/>
        <w:ind w:firstLine="708"/>
        <w:jc w:val="both"/>
        <w:rPr>
          <w:rFonts w:ascii="Arial" w:hAnsi="Arial" w:cs="Arial"/>
          <w:color w:val="000000" w:themeColor="text1"/>
          <w:sz w:val="19"/>
          <w:szCs w:val="19"/>
          <w:lang w:val="es-CO"/>
        </w:rPr>
      </w:pPr>
      <w:r w:rsidRPr="0022710A">
        <w:rPr>
          <w:rStyle w:val="Refdenotaalpie"/>
          <w:rFonts w:ascii="Arial" w:hAnsi="Arial" w:cs="Arial"/>
          <w:color w:val="000000" w:themeColor="text1"/>
          <w:sz w:val="19"/>
          <w:szCs w:val="19"/>
        </w:rPr>
        <w:footnoteRef/>
      </w:r>
      <w:r w:rsidRPr="0022710A">
        <w:rPr>
          <w:rFonts w:ascii="Arial" w:hAnsi="Arial" w:cs="Arial"/>
          <w:color w:val="000000" w:themeColor="text1"/>
          <w:sz w:val="19"/>
          <w:szCs w:val="19"/>
        </w:rPr>
        <w:t xml:space="preserve"> </w:t>
      </w:r>
      <w:r w:rsidRPr="0022710A">
        <w:rPr>
          <w:rFonts w:ascii="Arial" w:hAnsi="Arial" w:cs="Arial"/>
          <w:color w:val="000000" w:themeColor="text1"/>
          <w:sz w:val="19"/>
          <w:szCs w:val="19"/>
          <w:lang w:val="es-CO"/>
        </w:rPr>
        <w:t xml:space="preserve">CÁRDENAS M, Juan Pablo. Derecho Comercial, cuestiones fundamentales. </w:t>
      </w:r>
      <w:r w:rsidR="001B0FFB" w:rsidRPr="0022710A">
        <w:rPr>
          <w:rFonts w:ascii="Arial" w:hAnsi="Arial" w:cs="Arial"/>
          <w:color w:val="000000" w:themeColor="text1"/>
          <w:sz w:val="19"/>
          <w:szCs w:val="19"/>
          <w:lang w:val="es-CO"/>
        </w:rPr>
        <w:t xml:space="preserve">Primera Edición. Bogotá. </w:t>
      </w:r>
      <w:r w:rsidR="00965ED6" w:rsidRPr="0022710A">
        <w:rPr>
          <w:rFonts w:ascii="Arial" w:hAnsi="Arial" w:cs="Arial"/>
          <w:color w:val="000000" w:themeColor="text1"/>
          <w:sz w:val="19"/>
          <w:szCs w:val="19"/>
          <w:lang w:val="es-CO"/>
        </w:rPr>
        <w:t>Editorial Legis.</w:t>
      </w:r>
      <w:r w:rsidRPr="0022710A">
        <w:rPr>
          <w:rFonts w:ascii="Arial" w:hAnsi="Arial" w:cs="Arial"/>
          <w:color w:val="000000" w:themeColor="text1"/>
          <w:sz w:val="19"/>
          <w:szCs w:val="19"/>
          <w:lang w:val="es-CO"/>
        </w:rPr>
        <w:t xml:space="preserve"> 2016. </w:t>
      </w:r>
      <w:r w:rsidR="001B0FFB" w:rsidRPr="0022710A">
        <w:rPr>
          <w:rFonts w:ascii="Arial" w:hAnsi="Arial" w:cs="Arial"/>
          <w:color w:val="000000" w:themeColor="text1"/>
          <w:sz w:val="19"/>
          <w:szCs w:val="19"/>
          <w:lang w:val="es-CO"/>
        </w:rPr>
        <w:t xml:space="preserve">(Página 456). </w:t>
      </w:r>
    </w:p>
  </w:footnote>
  <w:footnote w:id="20">
    <w:p w14:paraId="2A4D76F0" w14:textId="66A46A1B" w:rsidR="00560147" w:rsidRPr="00965ED6" w:rsidRDefault="00560147" w:rsidP="00965ED6">
      <w:pPr>
        <w:pStyle w:val="Textonotapie"/>
        <w:ind w:firstLine="708"/>
        <w:jc w:val="both"/>
        <w:rPr>
          <w:rFonts w:ascii="Arial" w:hAnsi="Arial" w:cs="Arial"/>
          <w:sz w:val="19"/>
          <w:szCs w:val="19"/>
        </w:rPr>
      </w:pPr>
      <w:r w:rsidRPr="0022710A">
        <w:rPr>
          <w:rStyle w:val="Refdenotaalpie"/>
          <w:rFonts w:ascii="Arial" w:hAnsi="Arial" w:cs="Arial"/>
          <w:color w:val="000000" w:themeColor="text1"/>
          <w:sz w:val="19"/>
          <w:szCs w:val="19"/>
        </w:rPr>
        <w:footnoteRef/>
      </w:r>
      <w:r w:rsidR="00965ED6" w:rsidRPr="0022710A">
        <w:rPr>
          <w:rFonts w:ascii="Arial" w:eastAsia="Times New Roman" w:hAnsi="Arial" w:cs="Arial"/>
          <w:color w:val="000000" w:themeColor="text1"/>
          <w:sz w:val="19"/>
          <w:szCs w:val="19"/>
          <w:lang w:val="es-CO" w:eastAsia="es-ES_tradnl"/>
        </w:rPr>
        <w:t xml:space="preserve">Consejo de Estado. </w:t>
      </w:r>
      <w:r w:rsidRPr="0022710A">
        <w:rPr>
          <w:rFonts w:ascii="Arial" w:eastAsia="Times New Roman" w:hAnsi="Arial" w:cs="Arial"/>
          <w:color w:val="000000" w:themeColor="text1"/>
          <w:sz w:val="19"/>
          <w:szCs w:val="19"/>
          <w:lang w:val="es-CO" w:eastAsia="es-ES_tradnl"/>
        </w:rPr>
        <w:t>Sección Tercera</w:t>
      </w:r>
      <w:r w:rsidR="00965ED6" w:rsidRPr="0022710A">
        <w:rPr>
          <w:rFonts w:ascii="Arial" w:eastAsia="Times New Roman" w:hAnsi="Arial" w:cs="Arial"/>
          <w:color w:val="000000" w:themeColor="text1"/>
          <w:sz w:val="19"/>
          <w:szCs w:val="19"/>
          <w:lang w:val="es-CO" w:eastAsia="es-ES_tradnl"/>
        </w:rPr>
        <w:t>.</w:t>
      </w:r>
      <w:r w:rsidR="004202F3" w:rsidRPr="0022710A">
        <w:rPr>
          <w:rFonts w:ascii="Arial" w:hAnsi="Arial" w:cs="Arial"/>
          <w:color w:val="000000" w:themeColor="text1"/>
          <w:sz w:val="19"/>
          <w:szCs w:val="19"/>
        </w:rPr>
        <w:t xml:space="preserve"> Sentencia del 19 de julio de 2001</w:t>
      </w:r>
      <w:r w:rsidR="00965ED6" w:rsidRPr="0022710A">
        <w:rPr>
          <w:rFonts w:ascii="Arial" w:hAnsi="Arial" w:cs="Arial"/>
          <w:color w:val="000000" w:themeColor="text1"/>
          <w:sz w:val="19"/>
          <w:szCs w:val="19"/>
        </w:rPr>
        <w:t>.</w:t>
      </w:r>
      <w:r w:rsidR="00085D81" w:rsidRPr="0022710A">
        <w:rPr>
          <w:rFonts w:ascii="Arial" w:eastAsia="Times New Roman" w:hAnsi="Arial" w:cs="Arial"/>
          <w:color w:val="000000" w:themeColor="text1"/>
          <w:sz w:val="19"/>
          <w:szCs w:val="19"/>
          <w:lang w:val="es-CO" w:eastAsia="es-ES_tradnl"/>
        </w:rPr>
        <w:t xml:space="preserve"> </w:t>
      </w:r>
      <w:r w:rsidR="00965ED6" w:rsidRPr="0022710A">
        <w:rPr>
          <w:rFonts w:ascii="Arial" w:eastAsia="Times New Roman" w:hAnsi="Arial" w:cs="Arial"/>
          <w:color w:val="000000" w:themeColor="text1"/>
          <w:sz w:val="19"/>
          <w:szCs w:val="19"/>
          <w:lang w:val="es-CO" w:eastAsia="es-ES_tradnl"/>
        </w:rPr>
        <w:t>Exp. 12.037. C.P. Aliér Eduardo Herná</w:t>
      </w:r>
      <w:r w:rsidR="00965ED6" w:rsidRPr="00965ED6">
        <w:rPr>
          <w:rFonts w:ascii="Arial" w:eastAsia="Times New Roman" w:hAnsi="Arial" w:cs="Arial"/>
          <w:color w:val="4B4949"/>
          <w:sz w:val="19"/>
          <w:szCs w:val="19"/>
          <w:lang w:val="es-CO" w:eastAsia="es-ES_tradnl"/>
        </w:rPr>
        <w:t>ndez Enríquez.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560147" w:rsidRDefault="00560147">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B66CE578"/>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4671F8A"/>
    <w:multiLevelType w:val="hybridMultilevel"/>
    <w:tmpl w:val="B958F672"/>
    <w:lvl w:ilvl="0" w:tplc="D9D45C9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attachedTemplate r:id="rId1"/>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30BF5"/>
    <w:rsid w:val="00084B97"/>
    <w:rsid w:val="00085D81"/>
    <w:rsid w:val="00087955"/>
    <w:rsid w:val="000942EB"/>
    <w:rsid w:val="000A055B"/>
    <w:rsid w:val="000B103F"/>
    <w:rsid w:val="000F14E8"/>
    <w:rsid w:val="00103915"/>
    <w:rsid w:val="00122B23"/>
    <w:rsid w:val="00137FFA"/>
    <w:rsid w:val="0019378B"/>
    <w:rsid w:val="001B0444"/>
    <w:rsid w:val="001B0FFB"/>
    <w:rsid w:val="001C4DFD"/>
    <w:rsid w:val="001E7A7B"/>
    <w:rsid w:val="001F3B67"/>
    <w:rsid w:val="001F4991"/>
    <w:rsid w:val="0020632A"/>
    <w:rsid w:val="002110EB"/>
    <w:rsid w:val="00211338"/>
    <w:rsid w:val="0021583F"/>
    <w:rsid w:val="0022710A"/>
    <w:rsid w:val="00234B84"/>
    <w:rsid w:val="00247B09"/>
    <w:rsid w:val="002C4C0C"/>
    <w:rsid w:val="002D3025"/>
    <w:rsid w:val="002D6F6E"/>
    <w:rsid w:val="003033BA"/>
    <w:rsid w:val="00315B3D"/>
    <w:rsid w:val="00322937"/>
    <w:rsid w:val="0034177C"/>
    <w:rsid w:val="0034680A"/>
    <w:rsid w:val="00353DD5"/>
    <w:rsid w:val="003557F9"/>
    <w:rsid w:val="00386456"/>
    <w:rsid w:val="003865DA"/>
    <w:rsid w:val="003A0878"/>
    <w:rsid w:val="003A581E"/>
    <w:rsid w:val="003C657E"/>
    <w:rsid w:val="003C66C5"/>
    <w:rsid w:val="003E19BD"/>
    <w:rsid w:val="004141CB"/>
    <w:rsid w:val="00414AD7"/>
    <w:rsid w:val="004202F3"/>
    <w:rsid w:val="00423F9F"/>
    <w:rsid w:val="004422D6"/>
    <w:rsid w:val="00487919"/>
    <w:rsid w:val="00492040"/>
    <w:rsid w:val="0049241A"/>
    <w:rsid w:val="00495590"/>
    <w:rsid w:val="004A34D2"/>
    <w:rsid w:val="004A6F32"/>
    <w:rsid w:val="004C029B"/>
    <w:rsid w:val="0051074C"/>
    <w:rsid w:val="00513AF2"/>
    <w:rsid w:val="00534B0A"/>
    <w:rsid w:val="00540DF9"/>
    <w:rsid w:val="0054413A"/>
    <w:rsid w:val="005564CA"/>
    <w:rsid w:val="00560147"/>
    <w:rsid w:val="0056182B"/>
    <w:rsid w:val="005756AA"/>
    <w:rsid w:val="005B6D36"/>
    <w:rsid w:val="005D51FA"/>
    <w:rsid w:val="005D791B"/>
    <w:rsid w:val="00614817"/>
    <w:rsid w:val="00615A0B"/>
    <w:rsid w:val="00633DBF"/>
    <w:rsid w:val="00635FB7"/>
    <w:rsid w:val="0063643E"/>
    <w:rsid w:val="0064300C"/>
    <w:rsid w:val="00655371"/>
    <w:rsid w:val="00655904"/>
    <w:rsid w:val="00697665"/>
    <w:rsid w:val="006A4C1A"/>
    <w:rsid w:val="006A7CB5"/>
    <w:rsid w:val="006A7FD0"/>
    <w:rsid w:val="006C28A0"/>
    <w:rsid w:val="006D7687"/>
    <w:rsid w:val="006E0572"/>
    <w:rsid w:val="006F1068"/>
    <w:rsid w:val="006F1A04"/>
    <w:rsid w:val="006F4C35"/>
    <w:rsid w:val="00705631"/>
    <w:rsid w:val="007061E5"/>
    <w:rsid w:val="00715EAA"/>
    <w:rsid w:val="00721013"/>
    <w:rsid w:val="00742DD2"/>
    <w:rsid w:val="00746E08"/>
    <w:rsid w:val="00747C96"/>
    <w:rsid w:val="0075094E"/>
    <w:rsid w:val="007522E8"/>
    <w:rsid w:val="0075647A"/>
    <w:rsid w:val="007634AD"/>
    <w:rsid w:val="00765B1B"/>
    <w:rsid w:val="00780223"/>
    <w:rsid w:val="0078122E"/>
    <w:rsid w:val="00782A33"/>
    <w:rsid w:val="007843E9"/>
    <w:rsid w:val="00795647"/>
    <w:rsid w:val="007B0854"/>
    <w:rsid w:val="007F6B46"/>
    <w:rsid w:val="007F72CB"/>
    <w:rsid w:val="008217B7"/>
    <w:rsid w:val="0083119B"/>
    <w:rsid w:val="00834F2E"/>
    <w:rsid w:val="00836EAB"/>
    <w:rsid w:val="00842A04"/>
    <w:rsid w:val="0085092D"/>
    <w:rsid w:val="00850F79"/>
    <w:rsid w:val="00864800"/>
    <w:rsid w:val="0089774F"/>
    <w:rsid w:val="008A2025"/>
    <w:rsid w:val="008A25B7"/>
    <w:rsid w:val="008C0586"/>
    <w:rsid w:val="008C35A2"/>
    <w:rsid w:val="008C6F1E"/>
    <w:rsid w:val="008E1C15"/>
    <w:rsid w:val="008E6AEF"/>
    <w:rsid w:val="008F0344"/>
    <w:rsid w:val="008F4BBA"/>
    <w:rsid w:val="008F538E"/>
    <w:rsid w:val="009047C5"/>
    <w:rsid w:val="00911F2C"/>
    <w:rsid w:val="009164FA"/>
    <w:rsid w:val="0092630C"/>
    <w:rsid w:val="00936F9C"/>
    <w:rsid w:val="0095385A"/>
    <w:rsid w:val="00965ED6"/>
    <w:rsid w:val="00994A03"/>
    <w:rsid w:val="009B0496"/>
    <w:rsid w:val="009E15AC"/>
    <w:rsid w:val="009F1F65"/>
    <w:rsid w:val="009F59C2"/>
    <w:rsid w:val="00A13407"/>
    <w:rsid w:val="00A16DE4"/>
    <w:rsid w:val="00A23F8C"/>
    <w:rsid w:val="00A24560"/>
    <w:rsid w:val="00A25B36"/>
    <w:rsid w:val="00A34538"/>
    <w:rsid w:val="00A37FB6"/>
    <w:rsid w:val="00A51D72"/>
    <w:rsid w:val="00A64726"/>
    <w:rsid w:val="00A82FDF"/>
    <w:rsid w:val="00A84A7F"/>
    <w:rsid w:val="00AA08E7"/>
    <w:rsid w:val="00AA442B"/>
    <w:rsid w:val="00AA669D"/>
    <w:rsid w:val="00AD1B0F"/>
    <w:rsid w:val="00AE4A81"/>
    <w:rsid w:val="00B13EC0"/>
    <w:rsid w:val="00B22E22"/>
    <w:rsid w:val="00B525CB"/>
    <w:rsid w:val="00B63872"/>
    <w:rsid w:val="00B63CB2"/>
    <w:rsid w:val="00B64EDB"/>
    <w:rsid w:val="00B7315F"/>
    <w:rsid w:val="00B7754B"/>
    <w:rsid w:val="00B91B8E"/>
    <w:rsid w:val="00BD78FE"/>
    <w:rsid w:val="00BE18D7"/>
    <w:rsid w:val="00BF000A"/>
    <w:rsid w:val="00C1780C"/>
    <w:rsid w:val="00C37664"/>
    <w:rsid w:val="00C542CB"/>
    <w:rsid w:val="00C56F7B"/>
    <w:rsid w:val="00CC00CD"/>
    <w:rsid w:val="00CC722B"/>
    <w:rsid w:val="00CD2774"/>
    <w:rsid w:val="00D01760"/>
    <w:rsid w:val="00D16E39"/>
    <w:rsid w:val="00D223B6"/>
    <w:rsid w:val="00D32CAE"/>
    <w:rsid w:val="00D370C6"/>
    <w:rsid w:val="00D43E86"/>
    <w:rsid w:val="00D60327"/>
    <w:rsid w:val="00D72E9D"/>
    <w:rsid w:val="00D75C60"/>
    <w:rsid w:val="00D82CE5"/>
    <w:rsid w:val="00D82DEB"/>
    <w:rsid w:val="00DA04AA"/>
    <w:rsid w:val="00DA5AB1"/>
    <w:rsid w:val="00DA5C47"/>
    <w:rsid w:val="00DB201F"/>
    <w:rsid w:val="00DB22BC"/>
    <w:rsid w:val="00DB4F3B"/>
    <w:rsid w:val="00DC62E5"/>
    <w:rsid w:val="00DD735D"/>
    <w:rsid w:val="00DE3119"/>
    <w:rsid w:val="00DF236B"/>
    <w:rsid w:val="00E13AB8"/>
    <w:rsid w:val="00E25CB3"/>
    <w:rsid w:val="00E33B62"/>
    <w:rsid w:val="00E4143A"/>
    <w:rsid w:val="00E41DF1"/>
    <w:rsid w:val="00E6565C"/>
    <w:rsid w:val="00E95AD1"/>
    <w:rsid w:val="00E97D48"/>
    <w:rsid w:val="00EC3F12"/>
    <w:rsid w:val="00EE32AB"/>
    <w:rsid w:val="00EE59B5"/>
    <w:rsid w:val="00F3643D"/>
    <w:rsid w:val="00F4560B"/>
    <w:rsid w:val="00F4797F"/>
    <w:rsid w:val="00F61F29"/>
    <w:rsid w:val="00F84899"/>
    <w:rsid w:val="00F859F0"/>
    <w:rsid w:val="00F94C9C"/>
    <w:rsid w:val="00FE141E"/>
    <w:rsid w:val="00FE42ED"/>
    <w:rsid w:val="0F7D0FB7"/>
    <w:rsid w:val="24F35AF8"/>
    <w:rsid w:val="26FEF66C"/>
    <w:rsid w:val="40B5BD15"/>
    <w:rsid w:val="48E4CD61"/>
    <w:rsid w:val="49CE05AA"/>
    <w:rsid w:val="4A055DDC"/>
    <w:rsid w:val="501EDE4B"/>
    <w:rsid w:val="58AF924B"/>
    <w:rsid w:val="5ABD7C36"/>
    <w:rsid w:val="628C4E7C"/>
    <w:rsid w:val="62A07129"/>
    <w:rsid w:val="6E71F7CC"/>
    <w:rsid w:val="754EA47B"/>
    <w:rsid w:val="7F4B58D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48FC69B5"/>
  <w15:docId w15:val="{47B214F5-4BA4-4AF9-B461-C8BDC464E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2F3"/>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2630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90323139">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90264112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01001884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7CE31A86-299A-4F0B-B973-9D3843D5DB17}">
  <ds:schemaRefs>
    <ds:schemaRef ds:uri="http://schemas.openxmlformats.org/officeDocument/2006/bibliography"/>
  </ds:schemaRefs>
</ds:datastoreItem>
</file>

<file path=customXml/itemProps3.xml><?xml version="1.0" encoding="utf-8"?>
<ds:datastoreItem xmlns:ds="http://schemas.openxmlformats.org/officeDocument/2006/customXml" ds:itemID="{30508455-6467-4C3F-9BB9-DC7306B58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AC9C59-D4A1-4244-A56B-C19609E47B2D}">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http://purl.org/dc/terms/"/>
    <ds:schemaRef ds:uri="9d85dbaf-23eb-4e57-a637-93dcacc8b1a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22</Pages>
  <Words>7819</Words>
  <Characters>43005</Characters>
  <Application>Microsoft Office Word</Application>
  <DocSecurity>0</DocSecurity>
  <Lines>358</Lines>
  <Paragraphs>101</Paragraphs>
  <ScaleCrop>false</ScaleCrop>
  <Company/>
  <LinksUpToDate>false</LinksUpToDate>
  <CharactersWithSpaces>50723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43</cp:revision>
  <cp:lastPrinted>2020-01-30T18:05:00Z</cp:lastPrinted>
  <dcterms:created xsi:type="dcterms:W3CDTF">2020-02-25T00:48:00Z</dcterms:created>
  <dcterms:modified xsi:type="dcterms:W3CDTF">2020-08-03T15:42:00Z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