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5BA42" w14:textId="77777777" w:rsidR="005F5CB4" w:rsidRPr="00422EC2" w:rsidRDefault="005F5CB4" w:rsidP="000A3221">
      <w:pPr>
        <w:jc w:val="right"/>
        <w:rPr>
          <w:rFonts w:ascii="Arial" w:hAnsi="Arial" w:cs="Arial"/>
          <w:b/>
          <w:color w:val="000000" w:themeColor="text1"/>
          <w:sz w:val="22"/>
          <w:szCs w:val="22"/>
          <w:lang w:eastAsia="es-ES"/>
        </w:rPr>
      </w:pPr>
    </w:p>
    <w:p w14:paraId="770C1457" w14:textId="23CF2710" w:rsidR="00A95C83" w:rsidRPr="00B8134D" w:rsidRDefault="002A3CE1" w:rsidP="00A95C83">
      <w:pPr>
        <w:jc w:val="both"/>
        <w:rPr>
          <w:rFonts w:ascii="Arial" w:eastAsia="Calibri" w:hAnsi="Arial" w:cs="Arial"/>
          <w:b/>
          <w:bCs/>
          <w:sz w:val="22"/>
          <w:szCs w:val="22"/>
          <w:lang w:val="es-ES_tradnl"/>
        </w:rPr>
      </w:pPr>
      <w:r w:rsidRPr="00422EC2">
        <w:rPr>
          <w:rFonts w:ascii="Arial" w:hAnsi="Arial" w:cs="Arial"/>
          <w:b/>
          <w:color w:val="000000" w:themeColor="text1"/>
          <w:sz w:val="22"/>
          <w:szCs w:val="22"/>
          <w:lang w:eastAsia="es-ES"/>
        </w:rPr>
        <w:t>DOCUMENTOS TIPO</w:t>
      </w:r>
      <w:r w:rsidR="00A95C83" w:rsidRPr="00B8134D">
        <w:rPr>
          <w:rFonts w:ascii="Arial" w:eastAsia="Calibri" w:hAnsi="Arial" w:cs="Arial"/>
          <w:b/>
          <w:bCs/>
          <w:sz w:val="22"/>
          <w:szCs w:val="22"/>
          <w:lang w:val="es-ES_tradnl"/>
        </w:rPr>
        <w:t xml:space="preserve"> – </w:t>
      </w:r>
      <w:r>
        <w:rPr>
          <w:rFonts w:ascii="Arial" w:eastAsia="Calibri" w:hAnsi="Arial" w:cs="Arial"/>
          <w:b/>
          <w:bCs/>
          <w:sz w:val="22"/>
          <w:szCs w:val="22"/>
          <w:lang w:val="es-ES_tradnl"/>
        </w:rPr>
        <w:t xml:space="preserve">Noción </w:t>
      </w:r>
      <w:r w:rsidRPr="00B8134D">
        <w:rPr>
          <w:rFonts w:ascii="Arial" w:eastAsia="Calibri" w:hAnsi="Arial" w:cs="Arial"/>
          <w:b/>
          <w:bCs/>
          <w:sz w:val="22"/>
          <w:szCs w:val="22"/>
          <w:lang w:val="es-ES_tradnl"/>
        </w:rPr>
        <w:t xml:space="preserve"> </w:t>
      </w:r>
    </w:p>
    <w:p w14:paraId="55418FB5" w14:textId="77777777" w:rsidR="002C010E" w:rsidRPr="00B8134D" w:rsidRDefault="002C010E" w:rsidP="00A95C83">
      <w:pPr>
        <w:jc w:val="both"/>
        <w:rPr>
          <w:rFonts w:ascii="Arial" w:eastAsia="Calibri" w:hAnsi="Arial" w:cs="Arial"/>
          <w:sz w:val="22"/>
          <w:szCs w:val="22"/>
          <w:lang w:val="es-ES_tradnl"/>
        </w:rPr>
      </w:pPr>
    </w:p>
    <w:p w14:paraId="3F787B31" w14:textId="58F42125" w:rsidR="00D77CBA" w:rsidRDefault="002A3CE1" w:rsidP="0004365E">
      <w:pPr>
        <w:jc w:val="both"/>
        <w:rPr>
          <w:rFonts w:ascii="Arial" w:eastAsia="Calibri" w:hAnsi="Arial" w:cs="Arial"/>
          <w:color w:val="000000"/>
          <w:sz w:val="20"/>
          <w:szCs w:val="20"/>
        </w:rPr>
      </w:pPr>
      <w:r w:rsidRPr="00422EC2">
        <w:rPr>
          <w:rFonts w:ascii="Arial" w:eastAsia="Calibri" w:hAnsi="Arial" w:cs="Arial"/>
          <w:color w:val="000000"/>
          <w:sz w:val="20"/>
          <w:szCs w:val="20"/>
        </w:rPr>
        <w:t>La adopción de los documentos tipo en el ordenamiento jurídico colombiano se incluyó por primera vez en el artículo 4 de la Ley 1882 de 2018. A partir de esta norma, se determinó la obligatoriedad por parte de todas las entidades sometidas al estatuto general de contratación pública de aplicar los documentos tipo adoptados por el Gobierno nacional</w:t>
      </w:r>
      <w:r w:rsidR="00D77CBA">
        <w:rPr>
          <w:rFonts w:ascii="Arial" w:eastAsia="Calibri" w:hAnsi="Arial" w:cs="Arial"/>
          <w:color w:val="000000"/>
          <w:sz w:val="20"/>
          <w:szCs w:val="20"/>
        </w:rPr>
        <w:t xml:space="preserve">. </w:t>
      </w:r>
    </w:p>
    <w:p w14:paraId="7FA71F83" w14:textId="77777777" w:rsidR="00D77CBA" w:rsidRPr="00422EC2" w:rsidRDefault="00D77CBA" w:rsidP="0004365E">
      <w:pPr>
        <w:jc w:val="both"/>
        <w:rPr>
          <w:rFonts w:ascii="Arial" w:eastAsia="Calibri" w:hAnsi="Arial" w:cs="Arial"/>
          <w:color w:val="000000"/>
          <w:sz w:val="20"/>
          <w:szCs w:val="20"/>
        </w:rPr>
      </w:pPr>
    </w:p>
    <w:p w14:paraId="6E5F4A33" w14:textId="77777777" w:rsidR="00A95C83" w:rsidRPr="00B8134D" w:rsidRDefault="00A95C83" w:rsidP="00D77CBA">
      <w:pPr>
        <w:jc w:val="both"/>
        <w:rPr>
          <w:rFonts w:ascii="Arial" w:hAnsi="Arial" w:cs="Arial"/>
          <w:b/>
          <w:bCs/>
          <w:sz w:val="22"/>
          <w:szCs w:val="22"/>
          <w:lang w:val="es-ES_tradnl"/>
        </w:rPr>
      </w:pPr>
    </w:p>
    <w:p w14:paraId="0F978882" w14:textId="6BCA5B88" w:rsidR="002C010E" w:rsidRPr="00B8134D" w:rsidRDefault="002A3CE1" w:rsidP="00A95C83">
      <w:pPr>
        <w:rPr>
          <w:rFonts w:ascii="Arial" w:hAnsi="Arial" w:cs="Arial"/>
          <w:b/>
          <w:bCs/>
          <w:sz w:val="22"/>
          <w:szCs w:val="22"/>
          <w:lang w:val="es-ES_tradnl"/>
        </w:rPr>
      </w:pPr>
      <w:r>
        <w:rPr>
          <w:rFonts w:ascii="Arial" w:hAnsi="Arial" w:cs="Arial"/>
          <w:b/>
          <w:bCs/>
          <w:sz w:val="22"/>
          <w:szCs w:val="22"/>
          <w:lang w:val="es-ES_tradnl"/>
        </w:rPr>
        <w:t>PLIEGO TIPO – Obras de infraestructura de agua potable y saneamiento básico</w:t>
      </w:r>
    </w:p>
    <w:p w14:paraId="387C7C3D" w14:textId="77777777" w:rsidR="00A95C83" w:rsidRPr="00B8134D" w:rsidRDefault="00A95C83" w:rsidP="00A95C83">
      <w:pPr>
        <w:rPr>
          <w:rFonts w:ascii="Arial" w:hAnsi="Arial" w:cs="Arial"/>
          <w:sz w:val="22"/>
          <w:szCs w:val="22"/>
          <w:lang w:val="es-ES_tradnl"/>
        </w:rPr>
      </w:pPr>
    </w:p>
    <w:p w14:paraId="0104890B" w14:textId="77777777" w:rsidR="00D77CBA" w:rsidRPr="00260EA4" w:rsidRDefault="00454E7C" w:rsidP="00D77CBA">
      <w:pPr>
        <w:pStyle w:val="xmsonospacing"/>
        <w:spacing w:before="0" w:beforeAutospacing="0" w:after="120" w:afterAutospacing="0"/>
        <w:jc w:val="both"/>
        <w:rPr>
          <w:rFonts w:ascii="Arial" w:hAnsi="Arial" w:cs="Arial"/>
          <w:color w:val="000000"/>
          <w:sz w:val="22"/>
          <w:szCs w:val="22"/>
          <w:bdr w:val="none" w:sz="0" w:space="0" w:color="auto" w:frame="1"/>
        </w:rPr>
      </w:pPr>
      <w:r w:rsidRPr="00454E7C">
        <w:rPr>
          <w:rFonts w:ascii="Arial" w:hAnsi="Arial" w:cs="Arial"/>
          <w:color w:val="000000"/>
          <w:sz w:val="20"/>
          <w:szCs w:val="20"/>
          <w:bdr w:val="none" w:sz="0" w:space="0" w:color="auto" w:frame="1"/>
        </w:rPr>
        <w:t xml:space="preserve">Esta Agencia, en ejercicio de la competencia otorgada en el artículo referido, profirió la </w:t>
      </w:r>
      <w:r w:rsidRPr="00D77CBA">
        <w:rPr>
          <w:rFonts w:ascii="Arial" w:hAnsi="Arial" w:cs="Arial"/>
          <w:color w:val="000000"/>
          <w:sz w:val="20"/>
          <w:szCs w:val="20"/>
          <w:bdr w:val="none" w:sz="0" w:space="0" w:color="auto" w:frame="1"/>
        </w:rPr>
        <w:t xml:space="preserve">Resolución 248 de 2020, cuyo objeto es definido por el artículo 1 de la siguiente manera: </w:t>
      </w:r>
      <w:r w:rsidR="00D77CBA" w:rsidRPr="00D77CBA">
        <w:rPr>
          <w:rFonts w:ascii="Arial" w:hAnsi="Arial" w:cs="Arial"/>
          <w:color w:val="000000"/>
          <w:sz w:val="20"/>
          <w:szCs w:val="20"/>
          <w:bdr w:val="none" w:sz="0" w:space="0" w:color="auto" w:frame="1"/>
        </w:rPr>
        <w:t>«Adóptense los documentos tipo para los contratos de obra de infraestructura de agua potable y saneamiento básico, que se adelanten por la modalidad de licitación pública».</w:t>
      </w:r>
      <w:r w:rsidR="00D77CBA" w:rsidRPr="00D77CBA">
        <w:rPr>
          <w:rStyle w:val="apple-converted-space"/>
          <w:rFonts w:ascii="Arial" w:hAnsi="Arial" w:cs="Arial"/>
          <w:color w:val="000000"/>
          <w:sz w:val="20"/>
          <w:szCs w:val="20"/>
          <w:bdr w:val="none" w:sz="0" w:space="0" w:color="auto" w:frame="1"/>
        </w:rPr>
        <w:t> </w:t>
      </w:r>
      <w:r w:rsidR="00D77CBA" w:rsidRPr="00D77CBA">
        <w:rPr>
          <w:rFonts w:ascii="Arial" w:hAnsi="Arial" w:cs="Arial"/>
          <w:color w:val="000000"/>
          <w:sz w:val="20"/>
          <w:szCs w:val="20"/>
          <w:bdr w:val="none" w:sz="0" w:space="0" w:color="auto" w:frame="1"/>
        </w:rPr>
        <w:t>En su artículo 2 se reitera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D77CBA" w:rsidRPr="00E96F75">
        <w:rPr>
          <w:rFonts w:ascii="Arial" w:hAnsi="Arial" w:cs="Arial"/>
          <w:color w:val="000000"/>
          <w:sz w:val="22"/>
          <w:szCs w:val="22"/>
          <w:bdr w:val="none" w:sz="0" w:space="0" w:color="auto" w:frame="1"/>
        </w:rPr>
        <w:t> </w:t>
      </w:r>
    </w:p>
    <w:p w14:paraId="3C739C4F" w14:textId="77777777" w:rsidR="00454E7C" w:rsidRPr="00B8134D" w:rsidRDefault="00454E7C" w:rsidP="00D77CBA">
      <w:pPr>
        <w:jc w:val="both"/>
        <w:rPr>
          <w:rFonts w:ascii="Arial" w:eastAsia="Calibri" w:hAnsi="Arial" w:cs="Arial"/>
          <w:sz w:val="22"/>
          <w:szCs w:val="22"/>
          <w:lang w:val="es-ES_tradnl"/>
        </w:rPr>
      </w:pPr>
    </w:p>
    <w:p w14:paraId="73F250CA" w14:textId="69F1A43C" w:rsidR="00A95C83" w:rsidRPr="00B8134D" w:rsidRDefault="002A3CE1" w:rsidP="00A95C83">
      <w:pPr>
        <w:spacing w:line="276" w:lineRule="auto"/>
        <w:jc w:val="both"/>
        <w:rPr>
          <w:rFonts w:ascii="Arial" w:eastAsia="Calibri" w:hAnsi="Arial" w:cs="Arial"/>
          <w:b/>
          <w:bCs/>
          <w:sz w:val="22"/>
          <w:szCs w:val="22"/>
          <w:lang w:val="es-ES_tradnl"/>
        </w:rPr>
      </w:pPr>
      <w:r>
        <w:rPr>
          <w:rFonts w:ascii="Arial" w:eastAsia="Calibri" w:hAnsi="Arial" w:cs="Arial"/>
          <w:b/>
          <w:bCs/>
          <w:sz w:val="22"/>
          <w:szCs w:val="22"/>
          <w:lang w:val="es-ES_tradnl"/>
        </w:rPr>
        <w:t xml:space="preserve">DOCUMENTOS TIPO – Obligatoriedad </w:t>
      </w:r>
    </w:p>
    <w:p w14:paraId="32124780" w14:textId="77777777" w:rsidR="00A95C83" w:rsidRPr="00B8134D" w:rsidRDefault="00A95C83" w:rsidP="00A95C83">
      <w:pPr>
        <w:spacing w:line="276" w:lineRule="auto"/>
        <w:jc w:val="both"/>
        <w:rPr>
          <w:rFonts w:ascii="Arial" w:eastAsia="Calibri" w:hAnsi="Arial" w:cs="Arial"/>
          <w:sz w:val="22"/>
          <w:szCs w:val="22"/>
          <w:lang w:val="es-ES_tradnl"/>
        </w:rPr>
      </w:pPr>
    </w:p>
    <w:p w14:paraId="64217642" w14:textId="77777777" w:rsidR="00D77CBA" w:rsidRPr="00FB4D30" w:rsidRDefault="00454E7C" w:rsidP="00D77CBA">
      <w:pPr>
        <w:pStyle w:val="xmsonospacing"/>
        <w:spacing w:before="0" w:beforeAutospacing="0" w:after="120" w:afterAutospacing="0"/>
        <w:jc w:val="both"/>
        <w:rPr>
          <w:rFonts w:ascii="Arial" w:hAnsi="Arial" w:cs="Arial"/>
          <w:color w:val="000000"/>
          <w:sz w:val="22"/>
          <w:szCs w:val="22"/>
          <w:bdr w:val="none" w:sz="0" w:space="0" w:color="auto" w:frame="1"/>
        </w:rPr>
      </w:pPr>
      <w:r>
        <w:rPr>
          <w:rFonts w:ascii="Arial" w:hAnsi="Arial" w:cs="Arial"/>
          <w:color w:val="000000"/>
          <w:sz w:val="20"/>
          <w:szCs w:val="20"/>
          <w:bdr w:val="none" w:sz="0" w:space="0" w:color="auto" w:frame="1"/>
        </w:rPr>
        <w:t xml:space="preserve">[…] </w:t>
      </w:r>
      <w:r w:rsidRPr="00454E7C">
        <w:rPr>
          <w:rFonts w:ascii="Arial" w:hAnsi="Arial" w:cs="Arial"/>
          <w:color w:val="000000"/>
          <w:sz w:val="20"/>
          <w:szCs w:val="20"/>
          <w:bdr w:val="none" w:sz="0" w:space="0" w:color="auto" w:frame="1"/>
        </w:rPr>
        <w:t>los documentos tipo en materia de infraestructura de agua potable y saneamiento básico son obligatorios única y exclusivamente para las entidades estatales sometidas al Estatuto General de la Contratación Pública, que adelanten procesos de contratación a través de la modalidad de licitación pública. Por tanto, dichos documentos no son obligatorios para las entidades públicas no sometidas al Estatuto General de la Contratación Pública o para los particulares</w:t>
      </w:r>
      <w:r w:rsidR="00D77CBA">
        <w:rPr>
          <w:rFonts w:ascii="Arial" w:hAnsi="Arial" w:cs="Arial"/>
          <w:color w:val="000000"/>
          <w:sz w:val="20"/>
          <w:szCs w:val="20"/>
          <w:bdr w:val="none" w:sz="0" w:space="0" w:color="auto" w:frame="1"/>
        </w:rPr>
        <w:t>.</w:t>
      </w:r>
      <w:r w:rsidR="00D77CBA" w:rsidRPr="00D77CBA">
        <w:rPr>
          <w:rFonts w:ascii="Arial" w:hAnsi="Arial" w:cs="Arial"/>
          <w:color w:val="000000"/>
          <w:sz w:val="20"/>
          <w:szCs w:val="20"/>
          <w:bdr w:val="none" w:sz="0" w:space="0" w:color="auto" w:frame="1"/>
        </w:rPr>
        <w:t xml:space="preserve"> Sin embargo, estas pueden observar los documentos tipo de forma facultativa, como una forma de adoptar e incorporar políticas de buenas prácticas contractuales.</w:t>
      </w:r>
      <w:r w:rsidR="00D77CBA" w:rsidRPr="006A443A">
        <w:rPr>
          <w:rFonts w:ascii="Arial" w:hAnsi="Arial" w:cs="Arial"/>
          <w:color w:val="000000"/>
          <w:sz w:val="22"/>
          <w:szCs w:val="22"/>
          <w:bdr w:val="none" w:sz="0" w:space="0" w:color="auto" w:frame="1"/>
        </w:rPr>
        <w:t> </w:t>
      </w:r>
    </w:p>
    <w:p w14:paraId="3912DD81" w14:textId="77777777" w:rsidR="003C79D8" w:rsidRDefault="003C79D8" w:rsidP="00A95C83">
      <w:pPr>
        <w:jc w:val="both"/>
        <w:rPr>
          <w:rFonts w:ascii="Arial" w:eastAsia="Calibri" w:hAnsi="Arial" w:cs="Arial"/>
          <w:sz w:val="20"/>
          <w:szCs w:val="20"/>
        </w:rPr>
      </w:pPr>
    </w:p>
    <w:p w14:paraId="0A6BE1E4" w14:textId="6D0A5014" w:rsidR="00D77CBA" w:rsidRDefault="00483643" w:rsidP="00A95C83">
      <w:pPr>
        <w:spacing w:line="276" w:lineRule="auto"/>
        <w:jc w:val="both"/>
        <w:rPr>
          <w:rFonts w:ascii="Arial" w:eastAsia="Calibri" w:hAnsi="Arial" w:cs="Arial"/>
          <w:b/>
          <w:bCs/>
          <w:sz w:val="22"/>
          <w:szCs w:val="22"/>
        </w:rPr>
      </w:pPr>
      <w:r>
        <w:rPr>
          <w:rFonts w:ascii="Arial" w:eastAsia="Calibri" w:hAnsi="Arial" w:cs="Arial"/>
          <w:b/>
          <w:bCs/>
          <w:sz w:val="22"/>
          <w:szCs w:val="22"/>
        </w:rPr>
        <w:t xml:space="preserve">ENTIDADES PÚBLICAS CON RÉGIMEN ESPECIAL </w:t>
      </w:r>
      <w:r w:rsidR="003C79D8">
        <w:rPr>
          <w:rFonts w:ascii="Arial" w:eastAsia="Calibri" w:hAnsi="Arial" w:cs="Arial"/>
          <w:b/>
          <w:bCs/>
          <w:sz w:val="22"/>
          <w:szCs w:val="22"/>
        </w:rPr>
        <w:t xml:space="preserve">– reglas aplicables </w:t>
      </w:r>
    </w:p>
    <w:p w14:paraId="24C56269" w14:textId="77777777" w:rsidR="00454E7C" w:rsidRPr="00D77CBA" w:rsidRDefault="00454E7C" w:rsidP="00D77CBA">
      <w:pPr>
        <w:jc w:val="both"/>
        <w:rPr>
          <w:rFonts w:ascii="Arial" w:hAnsi="Arial" w:cs="Arial"/>
          <w:color w:val="000000"/>
          <w:sz w:val="20"/>
          <w:szCs w:val="20"/>
          <w:bdr w:val="none" w:sz="0" w:space="0" w:color="auto" w:frame="1"/>
        </w:rPr>
      </w:pPr>
    </w:p>
    <w:p w14:paraId="171AAD63" w14:textId="77777777" w:rsidR="00D77CBA" w:rsidRPr="00D77CBA" w:rsidRDefault="00D77CBA" w:rsidP="00D77CBA">
      <w:pPr>
        <w:spacing w:after="120"/>
        <w:jc w:val="both"/>
        <w:rPr>
          <w:rFonts w:ascii="Arial" w:hAnsi="Arial" w:cs="Arial"/>
          <w:color w:val="000000"/>
          <w:sz w:val="20"/>
          <w:szCs w:val="20"/>
        </w:rPr>
      </w:pPr>
      <w:r w:rsidRPr="00D77CBA">
        <w:rPr>
          <w:rFonts w:ascii="Arial" w:hAnsi="Arial" w:cs="Arial"/>
          <w:color w:val="000000"/>
          <w:sz w:val="20"/>
          <w:szCs w:val="20"/>
          <w:bdr w:val="none" w:sz="0" w:space="0" w:color="auto" w:frame="1"/>
        </w:rPr>
        <w:t>Las entidades públicas con régimen contractual 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se rigen,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 entendiéndolas como aquellas que desarrollan su actividad contractual con base en un régimen jurídico distinto del Estatuto General de Contratación de la Administración Pública. </w:t>
      </w:r>
    </w:p>
    <w:p w14:paraId="3F19E93D" w14:textId="77777777" w:rsidR="00454E7C" w:rsidRPr="00454E7C" w:rsidRDefault="00454E7C" w:rsidP="00454E7C">
      <w:pPr>
        <w:jc w:val="both"/>
        <w:rPr>
          <w:rFonts w:ascii="Arial" w:hAnsi="Arial" w:cs="Arial"/>
          <w:color w:val="000000"/>
          <w:sz w:val="20"/>
          <w:szCs w:val="20"/>
          <w:bdr w:val="none" w:sz="0" w:space="0" w:color="auto" w:frame="1"/>
        </w:rPr>
      </w:pPr>
      <w:r w:rsidRPr="00454E7C">
        <w:rPr>
          <w:rFonts w:ascii="Arial" w:hAnsi="Arial" w:cs="Arial"/>
          <w:color w:val="000000"/>
          <w:sz w:val="20"/>
          <w:szCs w:val="20"/>
          <w:bdr w:val="none" w:sz="0" w:space="0" w:color="auto" w:frame="1"/>
        </w:rPr>
        <w:t xml:space="preserve">  </w:t>
      </w:r>
    </w:p>
    <w:p w14:paraId="6B7916F5" w14:textId="1F72954A" w:rsidR="00D77CBA" w:rsidRDefault="00D77CBA" w:rsidP="00454E7C">
      <w:pPr>
        <w:jc w:val="both"/>
        <w:rPr>
          <w:rFonts w:ascii="Arial" w:hAnsi="Arial" w:cs="Arial"/>
          <w:color w:val="000000"/>
          <w:sz w:val="20"/>
          <w:szCs w:val="20"/>
          <w:bdr w:val="none" w:sz="0" w:space="0" w:color="auto" w:frame="1"/>
        </w:rPr>
      </w:pPr>
    </w:p>
    <w:p w14:paraId="09D5FB19" w14:textId="77777777" w:rsidR="00D77CBA" w:rsidRDefault="00D77CBA" w:rsidP="00454E7C">
      <w:pPr>
        <w:jc w:val="both"/>
        <w:rPr>
          <w:rFonts w:ascii="Arial" w:hAnsi="Arial" w:cs="Arial"/>
          <w:color w:val="000000"/>
          <w:sz w:val="20"/>
          <w:szCs w:val="20"/>
          <w:bdr w:val="none" w:sz="0" w:space="0" w:color="auto" w:frame="1"/>
        </w:rPr>
      </w:pPr>
    </w:p>
    <w:p w14:paraId="4D19CA01" w14:textId="77777777" w:rsidR="0026277F" w:rsidRDefault="0026277F" w:rsidP="00A95C83">
      <w:pPr>
        <w:spacing w:line="276" w:lineRule="auto"/>
        <w:jc w:val="both"/>
        <w:rPr>
          <w:rFonts w:ascii="Arial" w:eastAsia="Calibri" w:hAnsi="Arial" w:cs="Arial"/>
          <w:sz w:val="22"/>
          <w:szCs w:val="22"/>
        </w:rPr>
      </w:pPr>
    </w:p>
    <w:p w14:paraId="30DB1461" w14:textId="63F2341B" w:rsidR="00BA7E27" w:rsidRPr="00BA7E27" w:rsidRDefault="00BA7E27" w:rsidP="00BA7E27">
      <w:pPr>
        <w:jc w:val="right"/>
      </w:pPr>
      <w:r w:rsidRPr="00BA7E27">
        <w:lastRenderedPageBreak/>
        <w:fldChar w:fldCharType="begin"/>
      </w:r>
      <w:r w:rsidRPr="00BA7E27">
        <w:instrText xml:space="preserve"> INCLUDEPICTURE "/var/folders/tb/0fmk9b510f57pz5rwhv8lnpw0000gp/T/com.microsoft.Word/WebArchiveCopyPasteTempFiles/page1image8478640" \* MERGEFORMATINET </w:instrText>
      </w:r>
      <w:r w:rsidRPr="00BA7E27">
        <w:fldChar w:fldCharType="separate"/>
      </w:r>
      <w:r w:rsidRPr="00BA7E27">
        <w:rPr>
          <w:noProof/>
        </w:rPr>
        <w:drawing>
          <wp:inline distT="0" distB="0" distL="0" distR="0" wp14:anchorId="3E287346" wp14:editId="38F9D878">
            <wp:extent cx="2407285" cy="605155"/>
            <wp:effectExtent l="0" t="0" r="5715" b="4445"/>
            <wp:docPr id="1" name="Imagen 1" descr="page1image847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84786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7285" cy="605155"/>
                    </a:xfrm>
                    <a:prstGeom prst="rect">
                      <a:avLst/>
                    </a:prstGeom>
                    <a:noFill/>
                    <a:ln>
                      <a:noFill/>
                    </a:ln>
                  </pic:spPr>
                </pic:pic>
              </a:graphicData>
            </a:graphic>
          </wp:inline>
        </w:drawing>
      </w:r>
      <w:r w:rsidRPr="00BA7E27">
        <w:fldChar w:fldCharType="end"/>
      </w:r>
    </w:p>
    <w:p w14:paraId="53F867AE" w14:textId="07E333C9" w:rsidR="000A3221" w:rsidRPr="006C15D5" w:rsidRDefault="002E17B2" w:rsidP="000A3221">
      <w:pPr>
        <w:jc w:val="right"/>
        <w:rPr>
          <w:rFonts w:ascii="Arial" w:hAnsi="Arial" w:cs="Arial"/>
          <w:b/>
          <w:color w:val="000000" w:themeColor="text1"/>
          <w:sz w:val="22"/>
        </w:rPr>
      </w:pPr>
      <w:r>
        <w:rPr>
          <w:rFonts w:ascii="Arial" w:hAnsi="Arial" w:cs="Arial"/>
          <w:b/>
          <w:color w:val="000000" w:themeColor="text1"/>
          <w:sz w:val="22"/>
        </w:rPr>
        <w:tab/>
      </w:r>
    </w:p>
    <w:p w14:paraId="7BAE63CF" w14:textId="27265883" w:rsidR="000A3221" w:rsidRDefault="000A3221" w:rsidP="000A3221">
      <w:pPr>
        <w:rPr>
          <w:rFonts w:ascii="Arial" w:eastAsia="Calibri" w:hAnsi="Arial" w:cs="Arial"/>
          <w:color w:val="000000" w:themeColor="text1"/>
          <w:sz w:val="22"/>
        </w:rPr>
      </w:pPr>
    </w:p>
    <w:p w14:paraId="3C9B38FE" w14:textId="50A29050"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1B16A1">
        <w:rPr>
          <w:rFonts w:ascii="Arial" w:eastAsia="Calibri" w:hAnsi="Arial" w:cs="Arial"/>
          <w:color w:val="000000" w:themeColor="text1"/>
          <w:sz w:val="22"/>
        </w:rPr>
        <w:t>a</w:t>
      </w:r>
    </w:p>
    <w:p w14:paraId="648CC771" w14:textId="29C17BD6" w:rsidR="000A3221" w:rsidRPr="006C15D5" w:rsidRDefault="00E96F75" w:rsidP="000A3221">
      <w:pPr>
        <w:rPr>
          <w:rFonts w:ascii="Arial" w:eastAsia="Calibri" w:hAnsi="Arial" w:cs="Arial"/>
          <w:color w:val="000000" w:themeColor="text1"/>
          <w:sz w:val="22"/>
        </w:rPr>
      </w:pPr>
      <w:r>
        <w:rPr>
          <w:rFonts w:ascii="Arial" w:eastAsia="Calibri" w:hAnsi="Arial" w:cs="Arial"/>
          <w:bCs/>
          <w:color w:val="000000" w:themeColor="text1"/>
          <w:sz w:val="22"/>
        </w:rPr>
        <w:t>Chia, Cundinamarca</w:t>
      </w:r>
    </w:p>
    <w:p w14:paraId="07CC316A" w14:textId="296EB8DA" w:rsidR="000A3221" w:rsidRDefault="000A3221" w:rsidP="000A3221">
      <w:pPr>
        <w:rPr>
          <w:rFonts w:ascii="Arial" w:eastAsia="Calibri" w:hAnsi="Arial" w:cs="Arial"/>
          <w:color w:val="000000" w:themeColor="text1"/>
          <w:sz w:val="22"/>
        </w:rPr>
      </w:pPr>
    </w:p>
    <w:p w14:paraId="17B64582" w14:textId="77777777" w:rsidR="001D1DE1" w:rsidRPr="006C15D5" w:rsidRDefault="001D1DE1" w:rsidP="000A3221">
      <w:pPr>
        <w:rPr>
          <w:rFonts w:ascii="Arial" w:eastAsia="Calibri" w:hAnsi="Arial" w:cs="Arial"/>
          <w:color w:val="000000" w:themeColor="text1"/>
          <w:sz w:val="22"/>
        </w:rPr>
      </w:pPr>
    </w:p>
    <w:p w14:paraId="0E9ED585" w14:textId="35D275E2" w:rsidR="00BF3AEF" w:rsidRPr="006C15D5" w:rsidRDefault="000A3221" w:rsidP="0026277F">
      <w:pPr>
        <w:ind w:firstLine="2552"/>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1B16A1">
        <w:rPr>
          <w:rFonts w:ascii="Arial" w:eastAsia="Calibri" w:hAnsi="Arial" w:cs="Arial"/>
          <w:b/>
          <w:color w:val="000000" w:themeColor="text1"/>
          <w:sz w:val="22"/>
        </w:rPr>
        <w:t>053</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1B16A1">
        <w:rPr>
          <w:rFonts w:ascii="Arial" w:eastAsia="Calibri" w:hAnsi="Arial" w:cs="Arial"/>
          <w:b/>
          <w:color w:val="000000" w:themeColor="text1"/>
          <w:sz w:val="22"/>
        </w:rPr>
        <w:t>1</w:t>
      </w: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96F75" w:rsidRPr="00E96F75" w14:paraId="324DF65E" w14:textId="77777777" w:rsidTr="00E96F75">
        <w:tc>
          <w:tcPr>
            <w:tcW w:w="2552" w:type="dxa"/>
            <w:hideMark/>
          </w:tcPr>
          <w:p w14:paraId="15132EF2"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7CD566C" w14:textId="61BAB268" w:rsidR="00E96F75" w:rsidRPr="00E96F75" w:rsidRDefault="00E96F75" w:rsidP="00707F5A">
            <w:pPr>
              <w:spacing w:line="276" w:lineRule="auto"/>
              <w:jc w:val="both"/>
              <w:rPr>
                <w:rFonts w:ascii="Arial" w:eastAsia="Calibri" w:hAnsi="Arial" w:cs="Arial"/>
                <w:bCs/>
                <w:color w:val="000000" w:themeColor="text1"/>
              </w:rPr>
            </w:pPr>
            <w:r w:rsidRPr="00E96F75">
              <w:rPr>
                <w:rFonts w:ascii="Arial" w:hAnsi="Arial" w:cs="Arial"/>
                <w:bCs/>
                <w:color w:val="000000" w:themeColor="text1"/>
                <w:lang w:eastAsia="es-ES"/>
              </w:rPr>
              <w:t>DOCUMENTOS TIPO</w:t>
            </w:r>
            <w:r w:rsidRPr="00E96F75">
              <w:rPr>
                <w:rFonts w:ascii="Arial" w:eastAsia="Calibri" w:hAnsi="Arial" w:cs="Arial"/>
                <w:bCs/>
                <w:color w:val="000000" w:themeColor="text1"/>
                <w:lang w:val="es-ES_tradnl"/>
              </w:rPr>
              <w:t xml:space="preserve"> – Noción / </w:t>
            </w:r>
            <w:r w:rsidRPr="00E96F75">
              <w:rPr>
                <w:rFonts w:ascii="Arial" w:hAnsi="Arial" w:cs="Arial"/>
                <w:bCs/>
                <w:color w:val="000000" w:themeColor="text1"/>
                <w:lang w:val="es-ES_tradnl"/>
              </w:rPr>
              <w:t>PLIEGO TIPO – Obras de infraestructura de agua potable y saneamiento básico</w:t>
            </w:r>
            <w:r w:rsidR="00483643">
              <w:rPr>
                <w:rFonts w:ascii="Arial" w:hAnsi="Arial" w:cs="Arial"/>
                <w:bCs/>
                <w:color w:val="000000" w:themeColor="text1"/>
                <w:lang w:val="es-ES_tradnl"/>
              </w:rPr>
              <w:t xml:space="preserve"> </w:t>
            </w:r>
            <w:r w:rsidRPr="00E96F75">
              <w:rPr>
                <w:rFonts w:ascii="Arial" w:hAnsi="Arial" w:cs="Arial"/>
                <w:bCs/>
                <w:color w:val="000000" w:themeColor="text1"/>
                <w:lang w:val="es-ES_tradnl"/>
              </w:rPr>
              <w:t xml:space="preserve">/ </w:t>
            </w:r>
            <w:r w:rsidRPr="00E96F75">
              <w:rPr>
                <w:rFonts w:ascii="Arial" w:eastAsia="Calibri" w:hAnsi="Arial" w:cs="Arial"/>
                <w:bCs/>
                <w:color w:val="000000" w:themeColor="text1"/>
                <w:lang w:val="es-ES_tradnl"/>
              </w:rPr>
              <w:t xml:space="preserve">DOCUMENTOS TIPO – Obligatoriedad / </w:t>
            </w:r>
            <w:r w:rsidR="00483643" w:rsidRPr="00E96F75">
              <w:rPr>
                <w:rFonts w:ascii="Arial" w:eastAsia="Calibri" w:hAnsi="Arial" w:cs="Arial"/>
                <w:bCs/>
                <w:color w:val="000000" w:themeColor="text1"/>
              </w:rPr>
              <w:t xml:space="preserve">ENTIDADES DE RÉGIMEN ESPECIAL </w:t>
            </w:r>
            <w:r w:rsidRPr="00E96F75">
              <w:rPr>
                <w:rFonts w:ascii="Arial" w:eastAsia="Calibri" w:hAnsi="Arial" w:cs="Arial"/>
                <w:bCs/>
                <w:color w:val="000000" w:themeColor="text1"/>
              </w:rPr>
              <w:t xml:space="preserve">– reglas aplicables </w:t>
            </w:r>
          </w:p>
          <w:p w14:paraId="4A40C838" w14:textId="27AACEEE" w:rsidR="000A3221" w:rsidRPr="00E96F75" w:rsidRDefault="000A3221" w:rsidP="00E96F75">
            <w:pPr>
              <w:spacing w:line="276" w:lineRule="auto"/>
              <w:jc w:val="both"/>
              <w:rPr>
                <w:rFonts w:ascii="Arial" w:eastAsia="Calibri" w:hAnsi="Arial" w:cs="Arial"/>
                <w:bCs/>
                <w:color w:val="000000" w:themeColor="text1"/>
                <w:lang w:val="es-ES_tradnl"/>
              </w:rPr>
            </w:pPr>
          </w:p>
        </w:tc>
      </w:tr>
      <w:tr w:rsidR="00E96F75" w:rsidRPr="00E96F75" w14:paraId="62A81E64" w14:textId="77777777" w:rsidTr="00E96F75">
        <w:tc>
          <w:tcPr>
            <w:tcW w:w="2552" w:type="dxa"/>
          </w:tcPr>
          <w:p w14:paraId="73F14ECF" w14:textId="77777777" w:rsidR="000A3221" w:rsidRPr="006C15D5" w:rsidRDefault="000A3221" w:rsidP="002E6480">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0B69532A" w14:textId="161E8AFF" w:rsidR="000A3221" w:rsidRPr="00E96F75" w:rsidRDefault="000A3221" w:rsidP="002E6480">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w:t>
            </w:r>
            <w:r w:rsidR="001B16A1" w:rsidRPr="00E96F75">
              <w:rPr>
                <w:rFonts w:ascii="Arial" w:eastAsia="Calibri" w:hAnsi="Arial" w:cs="Arial"/>
                <w:bCs/>
                <w:color w:val="000000" w:themeColor="text1"/>
              </w:rPr>
              <w:t>10</w:t>
            </w:r>
            <w:r w:rsidRPr="00E96F75">
              <w:rPr>
                <w:rFonts w:ascii="Arial" w:eastAsia="Calibri" w:hAnsi="Arial" w:cs="Arial"/>
                <w:bCs/>
                <w:color w:val="000000" w:themeColor="text1"/>
              </w:rPr>
              <w:t>1</w:t>
            </w:r>
            <w:r w:rsidR="001B16A1" w:rsidRPr="00E96F75">
              <w:rPr>
                <w:rFonts w:ascii="Arial" w:eastAsia="Calibri" w:hAnsi="Arial" w:cs="Arial"/>
                <w:bCs/>
                <w:color w:val="000000" w:themeColor="text1"/>
              </w:rPr>
              <w:t>27000631</w:t>
            </w:r>
          </w:p>
        </w:tc>
      </w:tr>
      <w:tr w:rsidR="000A3221" w:rsidRPr="003F6D32" w14:paraId="47AE2467" w14:textId="77777777" w:rsidTr="00E96F75">
        <w:trPr>
          <w:trHeight w:val="80"/>
        </w:trPr>
        <w:tc>
          <w:tcPr>
            <w:tcW w:w="2552" w:type="dxa"/>
          </w:tcPr>
          <w:p w14:paraId="66A2BBA4" w14:textId="77777777" w:rsidR="000A3221" w:rsidRPr="006C15D5" w:rsidRDefault="000A3221" w:rsidP="002E6480">
            <w:pPr>
              <w:spacing w:before="120"/>
              <w:rPr>
                <w:rFonts w:ascii="Arial" w:eastAsia="Calibri" w:hAnsi="Arial" w:cs="Arial"/>
                <w:b/>
                <w:color w:val="000000" w:themeColor="text1"/>
              </w:rPr>
            </w:pPr>
          </w:p>
        </w:tc>
        <w:tc>
          <w:tcPr>
            <w:tcW w:w="6374" w:type="dxa"/>
          </w:tcPr>
          <w:p w14:paraId="0C057034" w14:textId="77777777" w:rsidR="000A3221" w:rsidRPr="006C15D5" w:rsidRDefault="000A3221" w:rsidP="002E6480">
            <w:pPr>
              <w:spacing w:before="120"/>
              <w:jc w:val="both"/>
              <w:rPr>
                <w:rFonts w:ascii="Arial" w:eastAsia="Calibri" w:hAnsi="Arial" w:cs="Arial"/>
                <w:color w:val="000000" w:themeColor="text1"/>
              </w:rPr>
            </w:pPr>
          </w:p>
        </w:tc>
      </w:tr>
    </w:tbl>
    <w:p w14:paraId="595F5738" w14:textId="77777777" w:rsidR="000A3221" w:rsidRPr="006C15D5" w:rsidRDefault="000A3221" w:rsidP="000A3221">
      <w:pPr>
        <w:jc w:val="both"/>
        <w:rPr>
          <w:rFonts w:ascii="Arial" w:eastAsia="Calibri" w:hAnsi="Arial" w:cs="Arial"/>
          <w:color w:val="000000" w:themeColor="text1"/>
          <w:sz w:val="22"/>
        </w:rPr>
      </w:pPr>
    </w:p>
    <w:p w14:paraId="39A1E878" w14:textId="7466DFFB"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1B16A1">
        <w:rPr>
          <w:rFonts w:ascii="Arial" w:eastAsia="Calibri" w:hAnsi="Arial" w:cs="Arial"/>
          <w:color w:val="000000" w:themeColor="text1"/>
          <w:sz w:val="22"/>
        </w:rPr>
        <w:t>a</w:t>
      </w:r>
      <w:r w:rsidRPr="006C15D5">
        <w:rPr>
          <w:rFonts w:ascii="Arial" w:eastAsia="Calibri" w:hAnsi="Arial" w:cs="Arial"/>
          <w:color w:val="000000" w:themeColor="text1"/>
          <w:sz w:val="22"/>
        </w:rPr>
        <w:t xml:space="preserve"> señor</w:t>
      </w:r>
      <w:r w:rsidR="001B16A1">
        <w:rPr>
          <w:rFonts w:ascii="Arial" w:eastAsia="Calibri" w:hAnsi="Arial" w:cs="Arial"/>
          <w:color w:val="000000" w:themeColor="text1"/>
          <w:sz w:val="22"/>
        </w:rPr>
        <w:t>a</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7D053B1F"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B63EB7">
        <w:rPr>
          <w:rFonts w:ascii="Arial" w:eastAsia="Calibri" w:hAnsi="Arial" w:cs="Arial"/>
          <w:color w:val="000000" w:themeColor="text1"/>
          <w:sz w:val="22"/>
        </w:rPr>
        <w:t>2</w:t>
      </w:r>
      <w:r w:rsidR="001B16A1">
        <w:rPr>
          <w:rFonts w:ascii="Arial" w:eastAsia="Calibri" w:hAnsi="Arial" w:cs="Arial"/>
          <w:color w:val="000000" w:themeColor="text1"/>
          <w:sz w:val="22"/>
        </w:rPr>
        <w:t>7</w:t>
      </w:r>
      <w:r>
        <w:rPr>
          <w:rFonts w:ascii="Arial" w:eastAsia="Calibri" w:hAnsi="Arial" w:cs="Arial"/>
          <w:color w:val="000000" w:themeColor="text1"/>
          <w:sz w:val="22"/>
        </w:rPr>
        <w:t xml:space="preserve"> de </w:t>
      </w:r>
      <w:r w:rsidR="001B16A1">
        <w:rPr>
          <w:rFonts w:ascii="Arial" w:eastAsia="Calibri" w:hAnsi="Arial" w:cs="Arial"/>
          <w:color w:val="000000" w:themeColor="text1"/>
          <w:sz w:val="22"/>
        </w:rPr>
        <w:t xml:space="preserve">enero </w:t>
      </w:r>
      <w:r>
        <w:rPr>
          <w:rFonts w:ascii="Arial" w:eastAsia="Calibri" w:hAnsi="Arial" w:cs="Arial"/>
          <w:color w:val="000000" w:themeColor="text1"/>
          <w:sz w:val="22"/>
        </w:rPr>
        <w:t>de 202</w:t>
      </w:r>
      <w:r w:rsidR="001B16A1">
        <w:rPr>
          <w:rFonts w:ascii="Arial" w:eastAsia="Calibri" w:hAnsi="Arial" w:cs="Arial"/>
          <w:color w:val="000000" w:themeColor="text1"/>
          <w:sz w:val="22"/>
        </w:rPr>
        <w:t>1</w:t>
      </w:r>
      <w:r>
        <w:rPr>
          <w:rFonts w:ascii="Arial" w:eastAsia="Calibri" w:hAnsi="Arial" w:cs="Arial"/>
          <w:color w:val="000000" w:themeColor="text1"/>
          <w:sz w:val="22"/>
        </w:rPr>
        <w:t xml:space="preserve">.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39642658" w14:textId="452178F2" w:rsidR="000A3221" w:rsidRPr="00F61ACC" w:rsidRDefault="000A3221" w:rsidP="001D1DE1">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0EFF9169" w14:textId="77777777" w:rsidR="001D1DE1" w:rsidRDefault="001D1DE1" w:rsidP="001B16A1">
      <w:pPr>
        <w:autoSpaceDE w:val="0"/>
        <w:autoSpaceDN w:val="0"/>
        <w:adjustRightInd w:val="0"/>
        <w:spacing w:line="276" w:lineRule="auto"/>
        <w:jc w:val="both"/>
        <w:rPr>
          <w:rFonts w:ascii="Arial" w:eastAsia="Calibri" w:hAnsi="Arial" w:cs="Arial"/>
          <w:color w:val="000000" w:themeColor="text1"/>
          <w:sz w:val="22"/>
        </w:rPr>
      </w:pPr>
    </w:p>
    <w:p w14:paraId="521FDA6E" w14:textId="6137C7E8" w:rsidR="000A3221" w:rsidRPr="001B16A1" w:rsidRDefault="000A3221" w:rsidP="001B16A1">
      <w:pPr>
        <w:spacing w:line="276" w:lineRule="auto"/>
        <w:jc w:val="both"/>
      </w:pPr>
      <w:r w:rsidRPr="00C56D20">
        <w:rPr>
          <w:rFonts w:ascii="Arial" w:eastAsia="Calibri" w:hAnsi="Arial" w:cs="Arial"/>
          <w:color w:val="000000" w:themeColor="text1"/>
          <w:sz w:val="22"/>
        </w:rPr>
        <w:t>Usted realiza la siguiente pregun</w:t>
      </w:r>
      <w:r w:rsidRPr="005852AA">
        <w:rPr>
          <w:rFonts w:ascii="Arial" w:eastAsia="Calibri" w:hAnsi="Arial" w:cs="Arial"/>
          <w:color w:val="000000" w:themeColor="text1"/>
          <w:sz w:val="22"/>
          <w:szCs w:val="22"/>
        </w:rPr>
        <w:t xml:space="preserve">ta: </w:t>
      </w:r>
      <w:r w:rsidRPr="001B16A1">
        <w:rPr>
          <w:rFonts w:ascii="Arial" w:eastAsia="Calibri" w:hAnsi="Arial" w:cs="Arial"/>
          <w:color w:val="000000" w:themeColor="text1"/>
          <w:sz w:val="22"/>
          <w:szCs w:val="22"/>
          <w:lang w:val="es-ES"/>
        </w:rPr>
        <w:t>«</w:t>
      </w:r>
      <w:r w:rsidR="001B16A1">
        <w:rPr>
          <w:rFonts w:ascii="Arial" w:hAnsi="Arial" w:cs="Arial"/>
          <w:color w:val="000000" w:themeColor="text1"/>
          <w:sz w:val="22"/>
          <w:szCs w:val="22"/>
          <w:lang w:val="es-ES"/>
        </w:rPr>
        <w:t>¿</w:t>
      </w:r>
      <w:r w:rsidR="001B16A1">
        <w:rPr>
          <w:rFonts w:ascii="Arial" w:hAnsi="Arial" w:cs="Arial"/>
          <w:color w:val="000000"/>
          <w:sz w:val="22"/>
          <w:szCs w:val="22"/>
          <w:bdr w:val="none" w:sz="0" w:space="0" w:color="auto" w:frame="1"/>
        </w:rPr>
        <w:t>L</w:t>
      </w:r>
      <w:r w:rsidR="00C866A1" w:rsidRPr="001B16A1">
        <w:rPr>
          <w:rFonts w:ascii="Arial" w:hAnsi="Arial" w:cs="Arial"/>
          <w:color w:val="000000"/>
          <w:sz w:val="22"/>
          <w:szCs w:val="22"/>
          <w:bdr w:val="none" w:sz="0" w:space="0" w:color="auto" w:frame="1"/>
        </w:rPr>
        <w:t>os pliegos tipo de agua y saneamiento, (sic) también es obligatorio para una empresa de servicios públicos domiciliarios que tiene régimen especial para la contratación</w:t>
      </w:r>
      <w:r w:rsidRPr="001B16A1">
        <w:rPr>
          <w:rFonts w:ascii="Arial" w:hAnsi="Arial" w:cs="Arial"/>
          <w:color w:val="000000" w:themeColor="text1"/>
          <w:sz w:val="22"/>
          <w:szCs w:val="22"/>
          <w:lang w:val="es-ES"/>
        </w:rPr>
        <w:t>?</w:t>
      </w:r>
      <w:r w:rsidRPr="001B16A1">
        <w:rPr>
          <w:rFonts w:ascii="Arial" w:eastAsia="Calibri" w:hAnsi="Arial" w:cs="Arial"/>
          <w:color w:val="000000" w:themeColor="text1"/>
          <w:sz w:val="22"/>
          <w:szCs w:val="22"/>
          <w:lang w:val="es-ES"/>
        </w:rPr>
        <w:t>».</w:t>
      </w:r>
    </w:p>
    <w:p w14:paraId="2B0B8D59" w14:textId="77777777" w:rsidR="000A3221" w:rsidRPr="00B63EB7" w:rsidRDefault="000A3221" w:rsidP="000A3221">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753A4B92" w14:textId="77777777" w:rsidR="000A3221" w:rsidRDefault="000A3221" w:rsidP="000A32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587221BD" w14:textId="77777777" w:rsidR="000A3221" w:rsidRDefault="000A3221" w:rsidP="000A3221">
      <w:pPr>
        <w:tabs>
          <w:tab w:val="left" w:pos="426"/>
        </w:tabs>
        <w:spacing w:line="276" w:lineRule="auto"/>
        <w:jc w:val="both"/>
        <w:rPr>
          <w:rFonts w:ascii="Arial" w:eastAsia="Calibri" w:hAnsi="Arial" w:cs="Arial"/>
          <w:b/>
          <w:color w:val="000000" w:themeColor="text1"/>
          <w:sz w:val="22"/>
        </w:rPr>
      </w:pPr>
    </w:p>
    <w:p w14:paraId="090548AD" w14:textId="59AB8C90" w:rsidR="00585342" w:rsidRPr="0040093D" w:rsidRDefault="000A3221" w:rsidP="00707F5A">
      <w:pPr>
        <w:tabs>
          <w:tab w:val="left" w:pos="426"/>
        </w:tabs>
        <w:spacing w:after="120" w:line="276" w:lineRule="auto"/>
        <w:jc w:val="both"/>
        <w:rPr>
          <w:rFonts w:ascii="Arial" w:hAnsi="Arial" w:cs="Arial"/>
          <w:color w:val="000000" w:themeColor="text1"/>
          <w:sz w:val="22"/>
          <w:lang w:val="es-ES_tradnl"/>
        </w:rPr>
      </w:pPr>
      <w:r w:rsidRPr="00410AF1">
        <w:rPr>
          <w:rFonts w:ascii="Arial" w:eastAsia="Calibri" w:hAnsi="Arial" w:cs="Arial"/>
          <w:bCs/>
          <w:color w:val="000000" w:themeColor="text1"/>
          <w:sz w:val="22"/>
        </w:rPr>
        <w:t>Para responder a sus interrogantes se estudiarán los siguientes t</w:t>
      </w:r>
      <w:r w:rsidR="00666936">
        <w:rPr>
          <w:rFonts w:ascii="Arial" w:eastAsia="Calibri" w:hAnsi="Arial" w:cs="Arial"/>
          <w:bCs/>
          <w:color w:val="000000" w:themeColor="text1"/>
          <w:sz w:val="22"/>
        </w:rPr>
        <w:t>emas</w:t>
      </w:r>
      <w:r w:rsidRPr="00410AF1">
        <w:rPr>
          <w:rFonts w:ascii="Arial" w:eastAsia="Calibri" w:hAnsi="Arial" w:cs="Arial"/>
          <w:bCs/>
          <w:color w:val="000000" w:themeColor="text1"/>
          <w:sz w:val="22"/>
        </w:rPr>
        <w:t xml:space="preserve">: i) </w:t>
      </w:r>
      <w:r w:rsidR="006A443A">
        <w:rPr>
          <w:rFonts w:ascii="Arial" w:hAnsi="Arial" w:cs="Arial"/>
          <w:bCs/>
          <w:sz w:val="22"/>
          <w:lang w:val="es-ES_tradnl"/>
        </w:rPr>
        <w:t>Los documentos tipo – pliego tipo de agua potable y saneamiento básico</w:t>
      </w:r>
      <w:r w:rsidR="009D1664">
        <w:rPr>
          <w:rFonts w:ascii="Arial" w:eastAsia="Calibri" w:hAnsi="Arial" w:cs="Arial"/>
          <w:bCs/>
          <w:color w:val="000000" w:themeColor="text1"/>
          <w:sz w:val="22"/>
        </w:rPr>
        <w:t xml:space="preserve"> y</w:t>
      </w:r>
      <w:r w:rsidRPr="00410AF1">
        <w:rPr>
          <w:rFonts w:ascii="Arial" w:eastAsia="Calibri" w:hAnsi="Arial" w:cs="Arial"/>
          <w:bCs/>
          <w:color w:val="000000" w:themeColor="text1"/>
          <w:sz w:val="22"/>
        </w:rPr>
        <w:t xml:space="preserve"> ii)</w:t>
      </w:r>
      <w:r w:rsidR="0004365E">
        <w:rPr>
          <w:rFonts w:ascii="Arial" w:eastAsia="Calibri" w:hAnsi="Arial" w:cs="Arial"/>
          <w:bCs/>
          <w:color w:val="000000" w:themeColor="text1"/>
          <w:sz w:val="22"/>
        </w:rPr>
        <w:t xml:space="preserve"> el</w:t>
      </w:r>
      <w:r w:rsidRPr="00410AF1">
        <w:rPr>
          <w:rFonts w:ascii="Arial" w:eastAsia="Calibri" w:hAnsi="Arial" w:cs="Arial"/>
          <w:bCs/>
          <w:color w:val="000000" w:themeColor="text1"/>
          <w:sz w:val="22"/>
        </w:rPr>
        <w:t xml:space="preserve"> </w:t>
      </w:r>
      <w:r w:rsidR="006A443A">
        <w:rPr>
          <w:rFonts w:ascii="Arial" w:eastAsia="Calibri" w:hAnsi="Arial" w:cs="Arial"/>
          <w:bCs/>
          <w:color w:val="000000" w:themeColor="text1"/>
          <w:sz w:val="22"/>
        </w:rPr>
        <w:t>régimen especial de contratación pública y servicios domiciliarios</w:t>
      </w:r>
      <w:r w:rsidR="00266877">
        <w:rPr>
          <w:rFonts w:ascii="Arial" w:eastAsia="Calibri" w:hAnsi="Arial" w:cs="Arial"/>
          <w:bCs/>
          <w:color w:val="000000" w:themeColor="text1"/>
          <w:sz w:val="22"/>
        </w:rPr>
        <w:t>.</w:t>
      </w:r>
    </w:p>
    <w:p w14:paraId="0846550E" w14:textId="0DFDF28F" w:rsidR="00DF72E7" w:rsidRPr="00B60E43" w:rsidRDefault="005D7830" w:rsidP="00E03A3F">
      <w:pPr>
        <w:tabs>
          <w:tab w:val="left" w:pos="426"/>
          <w:tab w:val="left" w:pos="851"/>
        </w:tabs>
        <w:spacing w:line="276" w:lineRule="auto"/>
        <w:ind w:firstLine="709"/>
        <w:jc w:val="both"/>
        <w:rPr>
          <w:rFonts w:ascii="Arial" w:eastAsia="Calibri" w:hAnsi="Arial" w:cs="Arial"/>
          <w:sz w:val="22"/>
          <w:lang w:val="es-ES_tradnl"/>
        </w:rPr>
      </w:pPr>
      <w:bookmarkStart w:id="0" w:name="_Hlk38448224"/>
      <w:r w:rsidRPr="00B60E43">
        <w:rPr>
          <w:rFonts w:ascii="Arial" w:hAnsi="Arial" w:cs="Arial"/>
          <w:sz w:val="22"/>
          <w:lang w:val="es-ES_tradnl"/>
        </w:rPr>
        <w:t>La Agencia Nacional de Contratación Pública – Colombia Compra Eficiente se pronunció sobre</w:t>
      </w:r>
      <w:r w:rsidR="00D7257B">
        <w:rPr>
          <w:rFonts w:ascii="Arial" w:hAnsi="Arial" w:cs="Arial"/>
          <w:sz w:val="22"/>
          <w:lang w:val="es-ES_tradnl"/>
        </w:rPr>
        <w:t xml:space="preserve"> la definición y el alcance de</w:t>
      </w:r>
      <w:r w:rsidRPr="00B60E43">
        <w:rPr>
          <w:rFonts w:ascii="Arial" w:hAnsi="Arial" w:cs="Arial"/>
          <w:sz w:val="22"/>
          <w:lang w:val="es-ES_tradnl"/>
        </w:rPr>
        <w:t xml:space="preserve"> </w:t>
      </w:r>
      <w:r w:rsidR="006A443A">
        <w:rPr>
          <w:rFonts w:ascii="Arial" w:hAnsi="Arial" w:cs="Arial"/>
          <w:sz w:val="22"/>
          <w:lang w:val="es-ES_tradnl"/>
        </w:rPr>
        <w:t>los documentos tipo en las siguientes consult</w:t>
      </w:r>
      <w:r w:rsidR="00D7257B">
        <w:rPr>
          <w:rFonts w:ascii="Arial" w:hAnsi="Arial" w:cs="Arial"/>
          <w:sz w:val="22"/>
          <w:lang w:val="es-ES_tradnl"/>
        </w:rPr>
        <w:t xml:space="preserve">as C-030 del 28 de enero de 2020, C-067 del 2 de marzo de 2020, C-080 del 5 de marzo de 2020, C-173 del 16 de marzo, C-102 del 18 de marzo de 2020, C-316 del 29 de mayo de 2020 C-297 del 4 de junio de 2020, </w:t>
      </w:r>
      <w:r w:rsidR="00C4483E">
        <w:rPr>
          <w:rFonts w:ascii="Arial" w:hAnsi="Arial" w:cs="Arial"/>
          <w:sz w:val="22"/>
          <w:lang w:val="es-ES_tradnl"/>
        </w:rPr>
        <w:t xml:space="preserve">C-541 del 21 de agosto, </w:t>
      </w:r>
      <w:r w:rsidR="00C053C4">
        <w:rPr>
          <w:rFonts w:ascii="Arial" w:hAnsi="Arial" w:cs="Arial"/>
          <w:sz w:val="22"/>
          <w:lang w:val="es-ES_tradnl"/>
        </w:rPr>
        <w:t>C-635 del</w:t>
      </w:r>
      <w:r w:rsidR="00AC3B10">
        <w:rPr>
          <w:rFonts w:ascii="Arial" w:hAnsi="Arial" w:cs="Arial"/>
          <w:sz w:val="22"/>
          <w:lang w:val="es-ES_tradnl"/>
        </w:rPr>
        <w:t xml:space="preserve"> 29 de octubre de </w:t>
      </w:r>
      <w:r w:rsidR="00AC3B10">
        <w:rPr>
          <w:rFonts w:ascii="Arial" w:hAnsi="Arial" w:cs="Arial"/>
          <w:sz w:val="22"/>
          <w:lang w:val="es-ES_tradnl"/>
        </w:rPr>
        <w:lastRenderedPageBreak/>
        <w:t>2020, C-653 del 9 de noviembre de 2020, C-665 del 11 de noviembre de 2020, C-698 del 19 de noviembre de 2020, C-775 del 11 de diciembre de 2020 y el C-804 de</w:t>
      </w:r>
      <w:r w:rsidR="00E03A3F">
        <w:rPr>
          <w:rFonts w:ascii="Arial" w:hAnsi="Arial" w:cs="Arial"/>
          <w:sz w:val="22"/>
          <w:lang w:val="es-ES_tradnl"/>
        </w:rPr>
        <w:t xml:space="preserve"> 1 de febrero de 2021. </w:t>
      </w:r>
      <w:r w:rsidRPr="00B60E43">
        <w:rPr>
          <w:rFonts w:ascii="Arial" w:hAnsi="Arial" w:cs="Arial"/>
          <w:sz w:val="22"/>
          <w:lang w:val="es-ES_tradnl"/>
        </w:rPr>
        <w:t xml:space="preserve">Igualmente, </w:t>
      </w:r>
      <w:r w:rsidRPr="00B60E43">
        <w:rPr>
          <w:rFonts w:ascii="Arial" w:eastAsia="Calibri" w:hAnsi="Arial" w:cs="Arial"/>
          <w:sz w:val="22"/>
          <w:lang w:val="es-ES_tradnl"/>
        </w:rPr>
        <w:t>expidió</w:t>
      </w:r>
      <w:r w:rsidR="00DF72E7">
        <w:rPr>
          <w:rFonts w:ascii="Arial" w:eastAsia="Calibri" w:hAnsi="Arial" w:cs="Arial"/>
          <w:sz w:val="22"/>
          <w:lang w:val="es-ES_tradnl"/>
        </w:rPr>
        <w:t xml:space="preserve"> </w:t>
      </w:r>
      <w:r w:rsidR="00E96F75">
        <w:rPr>
          <w:rFonts w:ascii="Arial" w:eastAsia="Calibri" w:hAnsi="Arial" w:cs="Arial"/>
          <w:sz w:val="22"/>
          <w:lang w:val="es-ES_tradnl"/>
        </w:rPr>
        <w:t xml:space="preserve">los conceptos </w:t>
      </w:r>
      <w:r w:rsidR="00DF72E7">
        <w:rPr>
          <w:rFonts w:ascii="Arial" w:eastAsia="Calibri" w:hAnsi="Arial" w:cs="Arial"/>
          <w:sz w:val="22"/>
          <w:lang w:val="es-ES_tradnl"/>
        </w:rPr>
        <w:t xml:space="preserve">C-032 del 19 de febrero de 2020, C-157 del 16 de marzo de 2020, el C-147 de 2020 del 17 de marzo de 2020, C-168 del 31 de marzo de 2020, C-158 del 3 de abril de 2020, C-227 del 7 de abril de 2020, C-362 del 3 de julio de 2020 y el C-462 del 24 de julio de 2020, en los cuales se abarco el tema de régimen especial de contratación. </w:t>
      </w:r>
      <w:r w:rsidR="004B2621" w:rsidRPr="004B2621">
        <w:rPr>
          <w:rFonts w:ascii="Arial" w:eastAsia="Calibri" w:hAnsi="Arial" w:cs="Arial"/>
          <w:sz w:val="22"/>
          <w:lang w:val="es-ES_tradnl"/>
        </w:rPr>
        <w:t>Las tesis desarrolladas en estos conceptos se reiteran a continuación</w:t>
      </w:r>
      <w:r w:rsidR="004B2621">
        <w:rPr>
          <w:rFonts w:ascii="Arial" w:eastAsia="Calibri" w:hAnsi="Arial" w:cs="Arial"/>
          <w:sz w:val="22"/>
          <w:lang w:val="es-ES_tradnl"/>
        </w:rPr>
        <w:t>:</w:t>
      </w:r>
    </w:p>
    <w:bookmarkEnd w:id="0"/>
    <w:p w14:paraId="073E7257" w14:textId="77777777" w:rsidR="00AE0EA0" w:rsidRPr="00B60E43" w:rsidRDefault="00AE0EA0" w:rsidP="00E14224">
      <w:pPr>
        <w:tabs>
          <w:tab w:val="left" w:pos="426"/>
          <w:tab w:val="left" w:pos="851"/>
        </w:tabs>
        <w:spacing w:line="276" w:lineRule="auto"/>
        <w:jc w:val="both"/>
        <w:rPr>
          <w:rFonts w:ascii="Arial" w:hAnsi="Arial" w:cs="Arial"/>
          <w:sz w:val="22"/>
          <w:lang w:val="es-ES_tradnl"/>
        </w:rPr>
      </w:pPr>
    </w:p>
    <w:p w14:paraId="74D75364" w14:textId="139A544B" w:rsidR="005D7830" w:rsidRPr="00BC42A3" w:rsidRDefault="000A3221" w:rsidP="00E95F23">
      <w:pPr>
        <w:spacing w:line="276" w:lineRule="auto"/>
        <w:jc w:val="both"/>
        <w:rPr>
          <w:rFonts w:ascii="Arial" w:hAnsi="Arial" w:cs="Arial"/>
          <w:b/>
          <w:sz w:val="22"/>
          <w:lang w:val="es-ES_tradnl"/>
        </w:rPr>
      </w:pPr>
      <w:r w:rsidRPr="00866D6C">
        <w:rPr>
          <w:rFonts w:ascii="Arial" w:hAnsi="Arial" w:cs="Arial"/>
          <w:b/>
          <w:bCs/>
          <w:sz w:val="22"/>
        </w:rPr>
        <w:t>2.1.</w:t>
      </w:r>
      <w:r w:rsidR="005D7830">
        <w:rPr>
          <w:rFonts w:ascii="Arial" w:hAnsi="Arial" w:cs="Arial"/>
          <w:b/>
          <w:sz w:val="22"/>
          <w:lang w:val="es-ES_tradnl"/>
        </w:rPr>
        <w:t xml:space="preserve"> </w:t>
      </w:r>
      <w:r w:rsidR="00C866A1">
        <w:rPr>
          <w:rFonts w:ascii="Arial" w:hAnsi="Arial" w:cs="Arial"/>
          <w:b/>
          <w:sz w:val="22"/>
          <w:lang w:val="es-ES_tradnl"/>
        </w:rPr>
        <w:t>Los documentos tipo – pliego tipo de agua potable y saneamiento básico</w:t>
      </w:r>
    </w:p>
    <w:p w14:paraId="167E4D76" w14:textId="25BAD51F" w:rsidR="005D7830" w:rsidRPr="003E3C01" w:rsidRDefault="005D7830" w:rsidP="005D7830">
      <w:pPr>
        <w:autoSpaceDE w:val="0"/>
        <w:autoSpaceDN w:val="0"/>
        <w:adjustRightInd w:val="0"/>
        <w:spacing w:line="276" w:lineRule="auto"/>
        <w:jc w:val="both"/>
        <w:rPr>
          <w:rFonts w:ascii="Arial" w:eastAsia="Calibri" w:hAnsi="Arial" w:cs="Arial"/>
          <w:b/>
          <w:color w:val="000000" w:themeColor="text1"/>
          <w:sz w:val="22"/>
          <w:lang w:val="es-ES_tradnl"/>
        </w:rPr>
      </w:pPr>
    </w:p>
    <w:p w14:paraId="02A85D96" w14:textId="525B1AF8" w:rsidR="00E03A3F" w:rsidRDefault="00E03A3F" w:rsidP="00E03A3F">
      <w:pPr>
        <w:spacing w:line="276" w:lineRule="auto"/>
        <w:jc w:val="both"/>
        <w:rPr>
          <w:rFonts w:ascii="Arial" w:eastAsia="Calibri" w:hAnsi="Arial" w:cs="Arial"/>
          <w:color w:val="000000"/>
          <w:sz w:val="22"/>
        </w:rPr>
      </w:pPr>
      <w:r>
        <w:rPr>
          <w:rFonts w:ascii="Arial" w:eastAsia="Calibri" w:hAnsi="Arial" w:cs="Arial"/>
          <w:color w:val="000000"/>
          <w:sz w:val="22"/>
        </w:rPr>
        <w:t>La adopción de los documentos tipo en el ordenamiento jurídico colombiano se incluyó por primera vez en el artículo 4 de la Ley 1882 de 2018. A partir de esta norma, se determinó la obligatoriedad por parte de todas las entidades</w:t>
      </w:r>
      <w:r w:rsidR="00594A80">
        <w:rPr>
          <w:rFonts w:ascii="Arial" w:eastAsia="Calibri" w:hAnsi="Arial" w:cs="Arial"/>
          <w:color w:val="000000"/>
          <w:sz w:val="22"/>
        </w:rPr>
        <w:t xml:space="preserve"> públicas</w:t>
      </w:r>
      <w:r>
        <w:rPr>
          <w:rFonts w:ascii="Arial" w:eastAsia="Calibri" w:hAnsi="Arial" w:cs="Arial"/>
          <w:color w:val="000000"/>
          <w:sz w:val="22"/>
        </w:rPr>
        <w:t xml:space="preserve"> sometidas al estatuto general de contratación pública de aplicar los documentos tipo adoptados por el </w:t>
      </w:r>
      <w:r w:rsidR="004B2621">
        <w:rPr>
          <w:rFonts w:ascii="Arial" w:eastAsia="Calibri" w:hAnsi="Arial" w:cs="Arial"/>
          <w:color w:val="000000"/>
          <w:sz w:val="22"/>
        </w:rPr>
        <w:t>g</w:t>
      </w:r>
      <w:r>
        <w:rPr>
          <w:rFonts w:ascii="Arial" w:eastAsia="Calibri" w:hAnsi="Arial" w:cs="Arial"/>
          <w:color w:val="000000"/>
          <w:sz w:val="22"/>
        </w:rPr>
        <w:t>obierno nacional</w:t>
      </w:r>
      <w:r w:rsidR="00594A80">
        <w:rPr>
          <w:rFonts w:ascii="Arial" w:eastAsia="Calibri" w:hAnsi="Arial" w:cs="Arial"/>
          <w:color w:val="000000"/>
          <w:sz w:val="22"/>
        </w:rPr>
        <w:t>.</w:t>
      </w:r>
      <w:r>
        <w:rPr>
          <w:rFonts w:ascii="Arial" w:eastAsia="Calibri" w:hAnsi="Arial" w:cs="Arial"/>
          <w:color w:val="000000"/>
          <w:sz w:val="22"/>
        </w:rPr>
        <w:t xml:space="preserve"> </w:t>
      </w:r>
    </w:p>
    <w:p w14:paraId="592C7B4A" w14:textId="7A0F81FB" w:rsidR="00C866A1" w:rsidRDefault="00594A80">
      <w:pPr>
        <w:spacing w:before="120" w:line="276" w:lineRule="auto"/>
        <w:ind w:firstLine="708"/>
        <w:jc w:val="both"/>
        <w:rPr>
          <w:rFonts w:ascii="Arial" w:hAnsi="Arial" w:cs="Arial"/>
          <w:color w:val="000000"/>
          <w:sz w:val="22"/>
          <w:szCs w:val="22"/>
          <w:bdr w:val="none" w:sz="0" w:space="0" w:color="auto" w:frame="1"/>
        </w:rPr>
      </w:pPr>
      <w:r>
        <w:rPr>
          <w:rFonts w:ascii="Arial" w:eastAsia="Calibri" w:hAnsi="Arial" w:cs="Arial"/>
          <w:color w:val="000000"/>
          <w:sz w:val="22"/>
        </w:rPr>
        <w:t xml:space="preserve">El </w:t>
      </w:r>
      <w:r w:rsidR="0070525E">
        <w:rPr>
          <w:rFonts w:ascii="Arial" w:eastAsia="Calibri" w:hAnsi="Arial" w:cs="Arial"/>
          <w:color w:val="000000"/>
          <w:sz w:val="22"/>
        </w:rPr>
        <w:t xml:space="preserve">citado </w:t>
      </w:r>
      <w:r w:rsidR="00E03A3F">
        <w:rPr>
          <w:rFonts w:ascii="Arial" w:eastAsia="Calibri" w:hAnsi="Arial" w:cs="Arial"/>
          <w:color w:val="000000"/>
          <w:sz w:val="22"/>
        </w:rPr>
        <w:t>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00E03A3F">
        <w:rPr>
          <w:rStyle w:val="Refdenotaalpie"/>
          <w:rFonts w:ascii="Arial" w:eastAsia="Calibri" w:hAnsi="Arial" w:cs="Arial"/>
          <w:color w:val="000000"/>
          <w:sz w:val="22"/>
        </w:rPr>
        <w:footnoteReference w:id="1"/>
      </w:r>
      <w:r w:rsidR="00AA7647">
        <w:rPr>
          <w:rFonts w:ascii="Arial" w:eastAsia="Calibri" w:hAnsi="Arial" w:cs="Arial"/>
          <w:color w:val="000000"/>
          <w:sz w:val="22"/>
        </w:rPr>
        <w:t xml:space="preserve">. </w:t>
      </w:r>
      <w:r w:rsidR="0070525E">
        <w:rPr>
          <w:rFonts w:ascii="Arial" w:hAnsi="Arial" w:cs="Arial"/>
          <w:color w:val="000000"/>
          <w:sz w:val="22"/>
          <w:szCs w:val="22"/>
          <w:bdr w:val="none" w:sz="0" w:space="0" w:color="auto" w:frame="1"/>
        </w:rPr>
        <w:t>Esta norma</w:t>
      </w:r>
      <w:r>
        <w:rPr>
          <w:rFonts w:ascii="Arial" w:hAnsi="Arial" w:cs="Arial"/>
          <w:color w:val="000000"/>
          <w:sz w:val="22"/>
          <w:szCs w:val="22"/>
          <w:bdr w:val="none" w:sz="0" w:space="0" w:color="auto" w:frame="1"/>
        </w:rPr>
        <w:t xml:space="preserve"> </w:t>
      </w:r>
      <w:r w:rsidR="001F0FBD">
        <w:rPr>
          <w:rFonts w:ascii="Arial" w:hAnsi="Arial" w:cs="Arial"/>
          <w:color w:val="000000"/>
          <w:sz w:val="22"/>
          <w:szCs w:val="22"/>
          <w:bdr w:val="none" w:sz="0" w:space="0" w:color="auto" w:frame="1"/>
        </w:rPr>
        <w:t>fue modificad</w:t>
      </w:r>
      <w:r w:rsidR="0070525E">
        <w:rPr>
          <w:rFonts w:ascii="Arial" w:hAnsi="Arial" w:cs="Arial"/>
          <w:color w:val="000000"/>
          <w:sz w:val="22"/>
          <w:szCs w:val="22"/>
          <w:bdr w:val="none" w:sz="0" w:space="0" w:color="auto" w:frame="1"/>
        </w:rPr>
        <w:t>a</w:t>
      </w:r>
      <w:r w:rsidR="001F0FBD">
        <w:rPr>
          <w:rFonts w:ascii="Arial" w:hAnsi="Arial" w:cs="Arial"/>
          <w:color w:val="000000"/>
          <w:sz w:val="22"/>
          <w:szCs w:val="22"/>
          <w:bdr w:val="none" w:sz="0" w:space="0" w:color="auto" w:frame="1"/>
        </w:rPr>
        <w:t xml:space="preserve"> por el artículo 1 de la Ley 2022 de 2020, de la siguiente manera:</w:t>
      </w:r>
    </w:p>
    <w:p w14:paraId="7E44AB63" w14:textId="77777777" w:rsidR="004B2621" w:rsidRPr="006A443A" w:rsidRDefault="004B2621" w:rsidP="00D77CBA">
      <w:pPr>
        <w:spacing w:line="276" w:lineRule="auto"/>
        <w:ind w:firstLine="708"/>
        <w:jc w:val="both"/>
        <w:rPr>
          <w:rFonts w:ascii="Arial" w:hAnsi="Arial" w:cs="Arial"/>
          <w:color w:val="000000"/>
          <w:sz w:val="22"/>
          <w:szCs w:val="22"/>
        </w:rPr>
      </w:pPr>
    </w:p>
    <w:p w14:paraId="7D7A5856" w14:textId="3FFA773D" w:rsidR="001F3972" w:rsidRDefault="00BF14D0"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D77CBA">
        <w:rPr>
          <w:rFonts w:ascii="Arial" w:eastAsia="Calibri" w:hAnsi="Arial" w:cs="Arial"/>
          <w:color w:val="000000" w:themeColor="text1"/>
          <w:sz w:val="21"/>
          <w:szCs w:val="21"/>
          <w:lang w:val="es-ES"/>
        </w:rPr>
        <w:t>«</w:t>
      </w:r>
      <w:r w:rsidR="00C866A1" w:rsidRPr="00D77CBA">
        <w:rPr>
          <w:rFonts w:ascii="Arial" w:hAnsi="Arial" w:cs="Arial"/>
          <w:color w:val="000000"/>
          <w:sz w:val="21"/>
          <w:szCs w:val="21"/>
          <w:bdr w:val="none" w:sz="0" w:space="0" w:color="auto" w:frame="1"/>
        </w:rPr>
        <w:t>La</w:t>
      </w:r>
      <w:r w:rsidR="00C866A1" w:rsidRPr="00AA7647">
        <w:rPr>
          <w:rFonts w:ascii="Arial" w:hAnsi="Arial" w:cs="Arial"/>
          <w:color w:val="000000"/>
          <w:sz w:val="21"/>
          <w:szCs w:val="21"/>
          <w:bdr w:val="none" w:sz="0" w:space="0" w:color="auto" w:frame="1"/>
        </w:rPr>
        <w:t xml:space="preserve">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9223958" w14:textId="77777777" w:rsidR="001F3972" w:rsidRDefault="00C866A1"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AA7647">
        <w:rPr>
          <w:rFonts w:ascii="Arial" w:hAnsi="Arial" w:cs="Arial"/>
          <w:color w:val="000000"/>
          <w:sz w:val="21"/>
          <w:szCs w:val="21"/>
          <w:bdr w:val="none" w:sz="0" w:space="0" w:color="auto" w:frame="1"/>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775B24F" w14:textId="77777777" w:rsidR="001F3972" w:rsidRDefault="001F3972"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0CAC795" w14:textId="77777777" w:rsidR="001F3972" w:rsidRDefault="001F3972"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DDAF69E" w14:textId="252C3C12" w:rsidR="00AA7647" w:rsidRPr="001F3972" w:rsidRDefault="001F3972" w:rsidP="00D77CBA">
      <w:pPr>
        <w:pStyle w:val="xmsonospacing"/>
        <w:spacing w:before="0" w:beforeAutospacing="0" w:after="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BF14D0" w:rsidRPr="00422EC2">
        <w:rPr>
          <w:rFonts w:ascii="Arial" w:eastAsia="Calibri" w:hAnsi="Arial" w:cs="Arial"/>
          <w:color w:val="000000" w:themeColor="text1"/>
          <w:sz w:val="21"/>
          <w:szCs w:val="21"/>
          <w:lang w:val="es-ES"/>
        </w:rPr>
        <w:t>».</w:t>
      </w:r>
    </w:p>
    <w:p w14:paraId="24805C7A" w14:textId="3D376503" w:rsidR="00C866A1" w:rsidRPr="006A443A" w:rsidRDefault="00C866A1" w:rsidP="00AA7647">
      <w:pPr>
        <w:pStyle w:val="xmsonospacing"/>
        <w:spacing w:before="0" w:beforeAutospacing="0" w:after="0" w:afterAutospacing="0" w:line="276" w:lineRule="auto"/>
        <w:ind w:left="709" w:right="709"/>
        <w:jc w:val="both"/>
        <w:rPr>
          <w:rFonts w:ascii="Arial" w:hAnsi="Arial" w:cs="Arial"/>
          <w:color w:val="000000"/>
          <w:sz w:val="22"/>
          <w:szCs w:val="22"/>
        </w:rPr>
      </w:pPr>
    </w:p>
    <w:p w14:paraId="021B50A5" w14:textId="7F272854" w:rsidR="00AA7647" w:rsidRPr="00260EA4" w:rsidRDefault="00C866A1" w:rsidP="00AA7647">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Esta Agencia, en ejercicio </w:t>
      </w:r>
      <w:r w:rsidR="004463D5">
        <w:rPr>
          <w:rFonts w:ascii="Arial" w:hAnsi="Arial" w:cs="Arial"/>
          <w:color w:val="000000"/>
          <w:sz w:val="22"/>
          <w:szCs w:val="22"/>
          <w:bdr w:val="none" w:sz="0" w:space="0" w:color="auto" w:frame="1"/>
        </w:rPr>
        <w:t>de la</w:t>
      </w:r>
      <w:r w:rsidRPr="006A443A">
        <w:rPr>
          <w:rFonts w:ascii="Arial" w:hAnsi="Arial" w:cs="Arial"/>
          <w:color w:val="000000"/>
          <w:sz w:val="22"/>
          <w:szCs w:val="22"/>
          <w:bdr w:val="none" w:sz="0" w:space="0" w:color="auto" w:frame="1"/>
        </w:rPr>
        <w:t xml:space="preserve"> competencia</w:t>
      </w:r>
      <w:r w:rsidR="004463D5">
        <w:rPr>
          <w:rFonts w:ascii="Arial" w:hAnsi="Arial" w:cs="Arial"/>
          <w:color w:val="000000"/>
          <w:sz w:val="22"/>
          <w:szCs w:val="22"/>
          <w:bdr w:val="none" w:sz="0" w:space="0" w:color="auto" w:frame="1"/>
        </w:rPr>
        <w:t xml:space="preserve"> otorgada </w:t>
      </w:r>
      <w:r w:rsidR="00A46ADC">
        <w:rPr>
          <w:rFonts w:ascii="Arial" w:hAnsi="Arial" w:cs="Arial"/>
          <w:color w:val="000000"/>
          <w:sz w:val="22"/>
          <w:szCs w:val="22"/>
          <w:bdr w:val="none" w:sz="0" w:space="0" w:color="auto" w:frame="1"/>
        </w:rPr>
        <w:t>en el</w:t>
      </w:r>
      <w:r w:rsidR="004463D5">
        <w:rPr>
          <w:rFonts w:ascii="Arial" w:hAnsi="Arial" w:cs="Arial"/>
          <w:color w:val="000000"/>
          <w:sz w:val="22"/>
          <w:szCs w:val="22"/>
          <w:bdr w:val="none" w:sz="0" w:space="0" w:color="auto" w:frame="1"/>
        </w:rPr>
        <w:t xml:space="preserve"> artículo </w:t>
      </w:r>
      <w:r w:rsidR="00A46ADC">
        <w:rPr>
          <w:rFonts w:ascii="Arial" w:hAnsi="Arial" w:cs="Arial"/>
          <w:color w:val="000000"/>
          <w:sz w:val="22"/>
          <w:szCs w:val="22"/>
          <w:bdr w:val="none" w:sz="0" w:space="0" w:color="auto" w:frame="1"/>
        </w:rPr>
        <w:t>referido</w:t>
      </w:r>
      <w:r w:rsidRPr="006A443A">
        <w:rPr>
          <w:rFonts w:ascii="Arial" w:hAnsi="Arial" w:cs="Arial"/>
          <w:color w:val="000000"/>
          <w:sz w:val="22"/>
          <w:szCs w:val="22"/>
          <w:bdr w:val="none" w:sz="0" w:space="0" w:color="auto" w:frame="1"/>
        </w:rPr>
        <w:t xml:space="preserve">, profirió la Resolución 248 de 2020, cuyo objeto es definido por el artículo 1 de la siguiente manera: </w:t>
      </w:r>
      <w:r w:rsidR="004B2621">
        <w:rPr>
          <w:rFonts w:ascii="Arial" w:hAnsi="Arial" w:cs="Arial"/>
          <w:color w:val="000000"/>
          <w:sz w:val="22"/>
          <w:szCs w:val="22"/>
          <w:bdr w:val="none" w:sz="0" w:space="0" w:color="auto" w:frame="1"/>
        </w:rPr>
        <w:t>«</w:t>
      </w:r>
      <w:r w:rsidRPr="00D77CBA">
        <w:rPr>
          <w:rFonts w:ascii="Arial" w:hAnsi="Arial" w:cs="Arial"/>
          <w:color w:val="000000"/>
          <w:sz w:val="22"/>
          <w:szCs w:val="22"/>
          <w:bdr w:val="none" w:sz="0" w:space="0" w:color="auto" w:frame="1"/>
        </w:rPr>
        <w:t>Adóptense los documentos tipo para los contratos de obra de infraestructura de agua potable y saneamiento básico, que se adelanten por la modalidad de licitación pública</w:t>
      </w:r>
      <w:r w:rsidR="004B2621">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w:t>
      </w:r>
      <w:r w:rsidRPr="006A443A">
        <w:rPr>
          <w:rStyle w:val="apple-converted-space"/>
          <w:rFonts w:ascii="Arial" w:hAnsi="Arial" w:cs="Arial"/>
          <w:color w:val="000000"/>
          <w:sz w:val="22"/>
          <w:szCs w:val="22"/>
          <w:bdr w:val="none" w:sz="0" w:space="0" w:color="auto" w:frame="1"/>
        </w:rPr>
        <w:t> </w:t>
      </w:r>
      <w:r w:rsidRPr="006A443A">
        <w:rPr>
          <w:rFonts w:ascii="Arial" w:hAnsi="Arial" w:cs="Arial"/>
          <w:color w:val="000000"/>
          <w:sz w:val="22"/>
          <w:szCs w:val="22"/>
          <w:bdr w:val="none" w:sz="0" w:space="0" w:color="auto" w:frame="1"/>
        </w:rPr>
        <w:t xml:space="preserve">En su artículo 2 se reitera el alcance de la obligatoriedad de los documentos tipo en la materia, de la siguiente </w:t>
      </w:r>
      <w:r w:rsidR="00E96F75">
        <w:rPr>
          <w:rFonts w:ascii="Arial" w:hAnsi="Arial" w:cs="Arial"/>
          <w:color w:val="000000"/>
          <w:sz w:val="22"/>
          <w:szCs w:val="22"/>
          <w:bdr w:val="none" w:sz="0" w:space="0" w:color="auto" w:frame="1"/>
        </w:rPr>
        <w:t>forma</w:t>
      </w:r>
      <w:r w:rsidRPr="006A443A">
        <w:rPr>
          <w:rFonts w:ascii="Arial" w:hAnsi="Arial" w:cs="Arial"/>
          <w:color w:val="000000"/>
          <w:sz w:val="22"/>
          <w:szCs w:val="22"/>
          <w:bdr w:val="none" w:sz="0" w:space="0" w:color="auto" w:frame="1"/>
        </w:rPr>
        <w:t xml:space="preserve">: </w:t>
      </w:r>
      <w:r w:rsidR="004B2621">
        <w:rPr>
          <w:rFonts w:ascii="Arial" w:hAnsi="Arial" w:cs="Arial"/>
          <w:color w:val="000000"/>
          <w:sz w:val="22"/>
          <w:szCs w:val="22"/>
          <w:bdr w:val="none" w:sz="0" w:space="0" w:color="auto" w:frame="1"/>
        </w:rPr>
        <w:t>«</w:t>
      </w:r>
      <w:r w:rsidRPr="00D77CBA">
        <w:rPr>
          <w:rFonts w:ascii="Arial" w:hAnsi="Arial" w:cs="Arial"/>
          <w:color w:val="000000"/>
          <w:sz w:val="22"/>
          <w:szCs w:val="22"/>
          <w:bdr w:val="none" w:sz="0" w:space="0" w:color="auto" w:frame="1"/>
        </w:rPr>
        <w:t>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4B2621">
        <w:rPr>
          <w:rFonts w:ascii="Arial" w:hAnsi="Arial" w:cs="Arial"/>
          <w:color w:val="000000"/>
          <w:sz w:val="22"/>
          <w:szCs w:val="22"/>
          <w:bdr w:val="none" w:sz="0" w:space="0" w:color="auto" w:frame="1"/>
        </w:rPr>
        <w:t>»</w:t>
      </w:r>
      <w:r w:rsidRPr="00260EA4">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 </w:t>
      </w:r>
    </w:p>
    <w:p w14:paraId="0C6D5A9E" w14:textId="4206FE11" w:rsidR="0070525E" w:rsidRPr="00D77CBA" w:rsidRDefault="0070525E" w:rsidP="00D77CBA">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De lo anterior, es posible concluir, de manera clara, que los documentos </w:t>
      </w:r>
      <w:r>
        <w:rPr>
          <w:rFonts w:ascii="Arial" w:hAnsi="Arial" w:cs="Arial"/>
          <w:color w:val="000000"/>
          <w:sz w:val="22"/>
          <w:szCs w:val="22"/>
          <w:bdr w:val="none" w:sz="0" w:space="0" w:color="auto" w:frame="1"/>
        </w:rPr>
        <w:t xml:space="preserve">tipo </w:t>
      </w:r>
      <w:r w:rsidRPr="006A443A">
        <w:rPr>
          <w:rFonts w:ascii="Arial" w:hAnsi="Arial" w:cs="Arial"/>
          <w:color w:val="000000"/>
          <w:sz w:val="22"/>
          <w:szCs w:val="22"/>
          <w:bdr w:val="none" w:sz="0" w:space="0" w:color="auto" w:frame="1"/>
        </w:rPr>
        <w:t>en materia de infraestructura de agua potable y saneamiento básico son obligatorios</w:t>
      </w:r>
      <w:r>
        <w:rPr>
          <w:rFonts w:ascii="Arial" w:hAnsi="Arial" w:cs="Arial"/>
          <w:color w:val="000000"/>
          <w:sz w:val="22"/>
          <w:szCs w:val="22"/>
          <w:bdr w:val="none" w:sz="0" w:space="0" w:color="auto" w:frame="1"/>
        </w:rPr>
        <w:t xml:space="preserve"> única y exclusivamente</w:t>
      </w:r>
      <w:r w:rsidRPr="006A443A">
        <w:rPr>
          <w:rFonts w:ascii="Arial" w:hAnsi="Arial" w:cs="Arial"/>
          <w:color w:val="000000"/>
          <w:sz w:val="22"/>
          <w:szCs w:val="22"/>
          <w:bdr w:val="none" w:sz="0" w:space="0" w:color="auto" w:frame="1"/>
        </w:rPr>
        <w:t xml:space="preserve"> para las entidades estatales sometidas al Estatuto General de la Contratación Pública,</w:t>
      </w:r>
      <w:r>
        <w:rPr>
          <w:rFonts w:ascii="Arial" w:hAnsi="Arial" w:cs="Arial"/>
          <w:color w:val="000000"/>
          <w:sz w:val="22"/>
          <w:szCs w:val="22"/>
          <w:bdr w:val="none" w:sz="0" w:space="0" w:color="auto" w:frame="1"/>
        </w:rPr>
        <w:t xml:space="preserve"> que adelanten procesos de contratación a través de la modalidad de licitación pública. Por tanto, dichos documentos no son obligatorios para las entidades públicas no sometidas a</w:t>
      </w:r>
      <w:r w:rsidR="009242CE">
        <w:rPr>
          <w:rFonts w:ascii="Arial" w:hAnsi="Arial" w:cs="Arial"/>
          <w:color w:val="000000"/>
          <w:sz w:val="22"/>
          <w:szCs w:val="22"/>
          <w:bdr w:val="none" w:sz="0" w:space="0" w:color="auto" w:frame="1"/>
        </w:rPr>
        <w:t xml:space="preserve"> dicho Estatuto</w:t>
      </w:r>
      <w:r>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 xml:space="preserve">Sin embargo, </w:t>
      </w:r>
      <w:r>
        <w:rPr>
          <w:rFonts w:ascii="Arial" w:hAnsi="Arial" w:cs="Arial"/>
          <w:color w:val="000000"/>
          <w:sz w:val="22"/>
          <w:szCs w:val="22"/>
          <w:bdr w:val="none" w:sz="0" w:space="0" w:color="auto" w:frame="1"/>
        </w:rPr>
        <w:t xml:space="preserve">estas </w:t>
      </w:r>
      <w:r w:rsidRPr="006A443A">
        <w:rPr>
          <w:rFonts w:ascii="Arial" w:hAnsi="Arial" w:cs="Arial"/>
          <w:color w:val="000000"/>
          <w:sz w:val="22"/>
          <w:szCs w:val="22"/>
          <w:bdr w:val="none" w:sz="0" w:space="0" w:color="auto" w:frame="1"/>
        </w:rPr>
        <w:t>pueden observar los documentos tipo de forma facultativa, como</w:t>
      </w:r>
      <w:r>
        <w:rPr>
          <w:rFonts w:ascii="Arial" w:hAnsi="Arial" w:cs="Arial"/>
          <w:color w:val="000000"/>
          <w:sz w:val="22"/>
          <w:szCs w:val="22"/>
          <w:bdr w:val="none" w:sz="0" w:space="0" w:color="auto" w:frame="1"/>
        </w:rPr>
        <w:t xml:space="preserve"> </w:t>
      </w:r>
      <w:r w:rsidR="009242CE">
        <w:rPr>
          <w:rFonts w:ascii="Arial" w:hAnsi="Arial" w:cs="Arial"/>
          <w:color w:val="000000"/>
          <w:sz w:val="22"/>
          <w:szCs w:val="22"/>
          <w:bdr w:val="none" w:sz="0" w:space="0" w:color="auto" w:frame="1"/>
        </w:rPr>
        <w:t xml:space="preserve">una </w:t>
      </w:r>
      <w:r>
        <w:rPr>
          <w:rFonts w:ascii="Arial" w:hAnsi="Arial" w:cs="Arial"/>
          <w:color w:val="000000"/>
          <w:sz w:val="22"/>
          <w:szCs w:val="22"/>
          <w:bdr w:val="none" w:sz="0" w:space="0" w:color="auto" w:frame="1"/>
        </w:rPr>
        <w:t>forma de</w:t>
      </w:r>
      <w:r w:rsidRPr="006A443A">
        <w:rPr>
          <w:rFonts w:ascii="Arial" w:hAnsi="Arial" w:cs="Arial"/>
          <w:color w:val="000000"/>
          <w:sz w:val="22"/>
          <w:szCs w:val="22"/>
          <w:bdr w:val="none" w:sz="0" w:space="0" w:color="auto" w:frame="1"/>
        </w:rPr>
        <w:t xml:space="preserve"> </w:t>
      </w:r>
      <w:r w:rsidR="009242CE">
        <w:rPr>
          <w:rFonts w:ascii="Arial" w:hAnsi="Arial" w:cs="Arial"/>
          <w:color w:val="000000"/>
          <w:sz w:val="22"/>
          <w:szCs w:val="22"/>
          <w:bdr w:val="none" w:sz="0" w:space="0" w:color="auto" w:frame="1"/>
        </w:rPr>
        <w:t>adoptar e incorporar</w:t>
      </w:r>
      <w:r>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políticas de buenas prácticas contractuales. </w:t>
      </w:r>
    </w:p>
    <w:p w14:paraId="51EB6077" w14:textId="77777777" w:rsidR="00AA7647" w:rsidRPr="00BC42A3" w:rsidRDefault="00AA7647" w:rsidP="006A443A">
      <w:pPr>
        <w:spacing w:line="276" w:lineRule="auto"/>
        <w:jc w:val="both"/>
        <w:rPr>
          <w:rFonts w:ascii="Arial" w:eastAsia="Calibri" w:hAnsi="Arial" w:cs="Arial"/>
          <w:b/>
          <w:sz w:val="22"/>
        </w:rPr>
      </w:pPr>
    </w:p>
    <w:p w14:paraId="410B48AF" w14:textId="67AFD241" w:rsidR="00BC42A3" w:rsidRPr="00BC42A3" w:rsidRDefault="000A3221" w:rsidP="006A443A">
      <w:pPr>
        <w:tabs>
          <w:tab w:val="left" w:pos="426"/>
        </w:tabs>
        <w:spacing w:line="276" w:lineRule="auto"/>
        <w:jc w:val="both"/>
        <w:rPr>
          <w:rFonts w:ascii="Arial" w:hAnsi="Arial" w:cs="Arial"/>
          <w:b/>
          <w:sz w:val="22"/>
        </w:rPr>
      </w:pPr>
      <w:r w:rsidRPr="00BC42A3">
        <w:rPr>
          <w:rFonts w:ascii="Arial" w:hAnsi="Arial" w:cs="Arial"/>
          <w:b/>
          <w:sz w:val="22"/>
        </w:rPr>
        <w:t>2.2.</w:t>
      </w:r>
      <w:r w:rsidRPr="00BC42A3">
        <w:rPr>
          <w:rFonts w:ascii="Arial" w:hAnsi="Arial" w:cs="Arial"/>
          <w:b/>
          <w:sz w:val="22"/>
        </w:rPr>
        <w:tab/>
      </w:r>
      <w:r w:rsidR="00C866A1">
        <w:rPr>
          <w:rFonts w:ascii="Arial" w:eastAsia="Calibri" w:hAnsi="Arial" w:cs="Arial"/>
          <w:b/>
          <w:color w:val="000000" w:themeColor="text1"/>
          <w:sz w:val="22"/>
        </w:rPr>
        <w:t xml:space="preserve">Régimen especial de contratación pública y las empresas de servicios públicos domiciliarios </w:t>
      </w:r>
    </w:p>
    <w:p w14:paraId="7FC81499" w14:textId="77777777" w:rsidR="00AE0EA0" w:rsidRPr="00B60E43" w:rsidRDefault="00AE0EA0" w:rsidP="006A443A">
      <w:pPr>
        <w:spacing w:line="276" w:lineRule="auto"/>
        <w:jc w:val="both"/>
        <w:rPr>
          <w:rFonts w:ascii="Arial" w:eastAsia="Calibri" w:hAnsi="Arial" w:cs="Arial"/>
          <w:sz w:val="22"/>
          <w:lang w:val="es-ES_tradnl"/>
        </w:rPr>
      </w:pPr>
    </w:p>
    <w:p w14:paraId="687351B8" w14:textId="3CCD6680" w:rsidR="00C866A1" w:rsidRPr="006A443A" w:rsidRDefault="00C866A1" w:rsidP="00D77CBA">
      <w:pPr>
        <w:spacing w:after="120" w:line="276" w:lineRule="auto"/>
        <w:jc w:val="both"/>
        <w:rPr>
          <w:rFonts w:ascii="Arial" w:hAnsi="Arial" w:cs="Arial"/>
          <w:color w:val="000000"/>
          <w:sz w:val="22"/>
          <w:szCs w:val="22"/>
        </w:rPr>
      </w:pPr>
      <w:r w:rsidRPr="006A443A">
        <w:rPr>
          <w:rFonts w:ascii="Arial" w:hAnsi="Arial" w:cs="Arial"/>
          <w:color w:val="000000"/>
          <w:sz w:val="22"/>
          <w:szCs w:val="22"/>
          <w:bdr w:val="none" w:sz="0" w:space="0" w:color="auto" w:frame="1"/>
        </w:rPr>
        <w:t>Las entidades</w:t>
      </w:r>
      <w:r w:rsidR="00454E7C">
        <w:rPr>
          <w:rFonts w:ascii="Arial" w:hAnsi="Arial" w:cs="Arial"/>
          <w:color w:val="000000"/>
          <w:sz w:val="22"/>
          <w:szCs w:val="22"/>
          <w:bdr w:val="none" w:sz="0" w:space="0" w:color="auto" w:frame="1"/>
        </w:rPr>
        <w:t xml:space="preserve"> públicas con </w:t>
      </w:r>
      <w:r w:rsidRPr="006A443A">
        <w:rPr>
          <w:rFonts w:ascii="Arial" w:hAnsi="Arial" w:cs="Arial"/>
          <w:color w:val="000000"/>
          <w:sz w:val="22"/>
          <w:szCs w:val="22"/>
          <w:bdr w:val="none" w:sz="0" w:space="0" w:color="auto" w:frame="1"/>
        </w:rPr>
        <w:t xml:space="preserve">régimen </w:t>
      </w:r>
      <w:r w:rsidR="00454E7C">
        <w:rPr>
          <w:rFonts w:ascii="Arial" w:hAnsi="Arial" w:cs="Arial"/>
          <w:color w:val="000000"/>
          <w:sz w:val="22"/>
          <w:szCs w:val="22"/>
          <w:bdr w:val="none" w:sz="0" w:space="0" w:color="auto" w:frame="1"/>
        </w:rPr>
        <w:t xml:space="preserve">contractual </w:t>
      </w:r>
      <w:r w:rsidRPr="006A443A">
        <w:rPr>
          <w:rFonts w:ascii="Arial" w:hAnsi="Arial" w:cs="Arial"/>
          <w:color w:val="000000"/>
          <w:sz w:val="22"/>
          <w:szCs w:val="22"/>
          <w:bdr w:val="none" w:sz="0" w:space="0" w:color="auto" w:frame="1"/>
        </w:rPr>
        <w:t xml:space="preserve">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w:t>
      </w:r>
      <w:r w:rsidR="004B32FD">
        <w:rPr>
          <w:rFonts w:ascii="Arial" w:hAnsi="Arial" w:cs="Arial"/>
          <w:color w:val="000000"/>
          <w:sz w:val="22"/>
          <w:szCs w:val="22"/>
          <w:bdr w:val="none" w:sz="0" w:space="0" w:color="auto" w:frame="1"/>
        </w:rPr>
        <w:t>se rigen</w:t>
      </w:r>
      <w:r w:rsidRPr="006A443A">
        <w:rPr>
          <w:rFonts w:ascii="Arial" w:hAnsi="Arial" w:cs="Arial"/>
          <w:color w:val="000000"/>
          <w:sz w:val="22"/>
          <w:szCs w:val="22"/>
          <w:bdr w:val="none" w:sz="0" w:space="0" w:color="auto" w:frame="1"/>
        </w:rPr>
        <w:t xml:space="preserve">,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 entendiéndolas como aquellas que desarrollan su actividad contractual con base en un régimen jurídico distinto </w:t>
      </w:r>
      <w:r w:rsidR="000168EE">
        <w:rPr>
          <w:rFonts w:ascii="Arial" w:hAnsi="Arial" w:cs="Arial"/>
          <w:color w:val="000000"/>
          <w:sz w:val="22"/>
          <w:szCs w:val="22"/>
          <w:bdr w:val="none" w:sz="0" w:space="0" w:color="auto" w:frame="1"/>
        </w:rPr>
        <w:t>del Estatuto General de Contratación de la Administración Pública</w:t>
      </w:r>
      <w:r w:rsidRPr="006A443A">
        <w:rPr>
          <w:rFonts w:ascii="Arial" w:hAnsi="Arial" w:cs="Arial"/>
          <w:color w:val="000000"/>
          <w:sz w:val="22"/>
          <w:szCs w:val="22"/>
          <w:bdr w:val="none" w:sz="0" w:space="0" w:color="auto" w:frame="1"/>
        </w:rPr>
        <w:t>. </w:t>
      </w:r>
    </w:p>
    <w:p w14:paraId="0E1690B8" w14:textId="52CE91F1" w:rsidR="00C866A1" w:rsidRDefault="00C866A1" w:rsidP="00D77CBA">
      <w:pPr>
        <w:spacing w:before="120" w:line="276" w:lineRule="auto"/>
        <w:ind w:firstLine="703"/>
        <w:jc w:val="both"/>
        <w:rPr>
          <w:rFonts w:ascii="Arial" w:hAnsi="Arial" w:cs="Arial"/>
          <w:color w:val="000000"/>
          <w:sz w:val="22"/>
          <w:szCs w:val="22"/>
          <w:bdr w:val="none" w:sz="0" w:space="0" w:color="auto" w:frame="1"/>
          <w:lang w:val="es-MX"/>
        </w:rPr>
      </w:pPr>
      <w:r w:rsidRPr="006A443A">
        <w:rPr>
          <w:rFonts w:ascii="Arial" w:hAnsi="Arial" w:cs="Arial"/>
          <w:color w:val="000000"/>
          <w:sz w:val="22"/>
          <w:szCs w:val="22"/>
          <w:bdr w:val="none" w:sz="0" w:space="0" w:color="auto" w:frame="1"/>
        </w:rPr>
        <w:t>No obstante, las entidades de régimen especial cumplen una finalidad pública y/o utilizan recursos públicos para lograr</w:t>
      </w:r>
      <w:r w:rsidR="00503F21">
        <w:rPr>
          <w:rFonts w:ascii="Arial" w:hAnsi="Arial" w:cs="Arial"/>
          <w:color w:val="000000"/>
          <w:sz w:val="22"/>
          <w:szCs w:val="22"/>
          <w:bdr w:val="none" w:sz="0" w:space="0" w:color="auto" w:frame="1"/>
        </w:rPr>
        <w:t xml:space="preserve"> sus cometidos</w:t>
      </w:r>
      <w:r w:rsidRPr="006A443A">
        <w:rPr>
          <w:rFonts w:ascii="Arial" w:hAnsi="Arial" w:cs="Arial"/>
          <w:color w:val="000000"/>
          <w:sz w:val="22"/>
          <w:szCs w:val="22"/>
          <w:bdr w:val="none" w:sz="0" w:space="0" w:color="auto" w:frame="1"/>
        </w:rPr>
        <w:t>, por lo que</w:t>
      </w:r>
      <w:r w:rsidR="000168EE">
        <w:rPr>
          <w:rFonts w:ascii="Arial" w:hAnsi="Arial" w:cs="Arial"/>
          <w:color w:val="000000"/>
          <w:sz w:val="22"/>
          <w:szCs w:val="22"/>
          <w:bdr w:val="none" w:sz="0" w:space="0" w:color="auto" w:frame="1"/>
        </w:rPr>
        <w:t xml:space="preserve"> –conforme al artículo 13 de la Ley 1150 de 2007–</w:t>
      </w:r>
      <w:r w:rsidRPr="006A443A">
        <w:rPr>
          <w:rFonts w:ascii="Arial" w:hAnsi="Arial" w:cs="Arial"/>
          <w:color w:val="000000"/>
          <w:sz w:val="22"/>
          <w:szCs w:val="22"/>
          <w:bdr w:val="none" w:sz="0" w:space="0" w:color="auto" w:frame="1"/>
        </w:rPr>
        <w:t xml:space="preserve"> no son ajenas a la obligación de observar los principios de la función administrativa y </w:t>
      </w:r>
      <w:r w:rsidR="00503F21">
        <w:rPr>
          <w:rFonts w:ascii="Arial" w:hAnsi="Arial" w:cs="Arial"/>
          <w:color w:val="000000"/>
          <w:sz w:val="22"/>
          <w:szCs w:val="22"/>
          <w:bdr w:val="none" w:sz="0" w:space="0" w:color="auto" w:frame="1"/>
        </w:rPr>
        <w:t>d</w:t>
      </w:r>
      <w:r w:rsidRPr="006A443A">
        <w:rPr>
          <w:rFonts w:ascii="Arial" w:hAnsi="Arial" w:cs="Arial"/>
          <w:color w:val="000000"/>
          <w:sz w:val="22"/>
          <w:szCs w:val="22"/>
          <w:bdr w:val="none" w:sz="0" w:space="0" w:color="auto" w:frame="1"/>
        </w:rPr>
        <w:t>el control fiscal, entre otras reglas dispuestas en la normativa de contratación pública, que son tra</w:t>
      </w:r>
      <w:r w:rsidR="00B34B39">
        <w:rPr>
          <w:rFonts w:ascii="Arial" w:hAnsi="Arial" w:cs="Arial"/>
          <w:color w:val="000000"/>
          <w:sz w:val="22"/>
          <w:szCs w:val="22"/>
          <w:bdr w:val="none" w:sz="0" w:space="0" w:color="auto" w:frame="1"/>
        </w:rPr>
        <w:t>n</w:t>
      </w:r>
      <w:r w:rsidRPr="006A443A">
        <w:rPr>
          <w:rFonts w:ascii="Arial" w:hAnsi="Arial" w:cs="Arial"/>
          <w:color w:val="000000"/>
          <w:sz w:val="22"/>
          <w:szCs w:val="22"/>
          <w:bdr w:val="none" w:sz="0" w:space="0" w:color="auto" w:frame="1"/>
        </w:rPr>
        <w:t>sversales a todas las entidades, sin importar su régimen legal. Dentro de estos elementos se encuentra, por ejemplo, el régimen de inhabilidades e incompatibilidades previsto para la contratación estatal.</w:t>
      </w:r>
      <w:r w:rsidR="004B32FD">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En concordancia con lo anterior, el </w:t>
      </w:r>
      <w:r w:rsidRPr="006A443A">
        <w:rPr>
          <w:rFonts w:ascii="Arial" w:hAnsi="Arial" w:cs="Arial"/>
          <w:color w:val="000000"/>
          <w:sz w:val="22"/>
          <w:szCs w:val="22"/>
          <w:bdr w:val="none" w:sz="0" w:space="0" w:color="auto" w:frame="1"/>
          <w:lang w:val="es-MX"/>
        </w:rPr>
        <w:t>Consejo de Estado</w:t>
      </w:r>
      <w:r w:rsidR="00DE7EA5">
        <w:rPr>
          <w:rFonts w:ascii="Arial" w:hAnsi="Arial" w:cs="Arial"/>
          <w:color w:val="000000"/>
          <w:sz w:val="22"/>
          <w:szCs w:val="22"/>
          <w:bdr w:val="none" w:sz="0" w:space="0" w:color="auto" w:frame="1"/>
          <w:lang w:val="es-MX"/>
        </w:rPr>
        <w:t xml:space="preserve"> </w:t>
      </w:r>
      <w:r w:rsidR="004B32FD">
        <w:rPr>
          <w:rFonts w:ascii="Arial" w:hAnsi="Arial" w:cs="Arial"/>
          <w:color w:val="000000"/>
          <w:sz w:val="22"/>
          <w:szCs w:val="22"/>
          <w:bdr w:val="none" w:sz="0" w:space="0" w:color="auto" w:frame="1"/>
          <w:lang w:val="es-MX"/>
        </w:rPr>
        <w:t>explica</w:t>
      </w:r>
      <w:r w:rsidRPr="006A443A">
        <w:rPr>
          <w:rFonts w:ascii="Arial" w:hAnsi="Arial" w:cs="Arial"/>
          <w:color w:val="000000"/>
          <w:sz w:val="22"/>
          <w:szCs w:val="22"/>
          <w:bdr w:val="none" w:sz="0" w:space="0" w:color="auto" w:frame="1"/>
          <w:lang w:val="es-MX"/>
        </w:rPr>
        <w:t xml:space="preserve"> que</w:t>
      </w:r>
      <w:r w:rsidR="00503F21">
        <w:rPr>
          <w:rFonts w:ascii="Arial" w:hAnsi="Arial" w:cs="Arial"/>
          <w:color w:val="000000"/>
          <w:sz w:val="22"/>
          <w:szCs w:val="22"/>
          <w:bdr w:val="none" w:sz="0" w:space="0" w:color="auto" w:frame="1"/>
          <w:lang w:val="es-MX"/>
        </w:rPr>
        <w:t>:</w:t>
      </w:r>
      <w:r w:rsidRPr="006A443A">
        <w:rPr>
          <w:rFonts w:ascii="Arial" w:hAnsi="Arial" w:cs="Arial"/>
          <w:color w:val="000000"/>
          <w:sz w:val="22"/>
          <w:szCs w:val="22"/>
          <w:bdr w:val="none" w:sz="0" w:space="0" w:color="auto" w:frame="1"/>
          <w:lang w:val="es-MX"/>
        </w:rPr>
        <w:t>  </w:t>
      </w:r>
    </w:p>
    <w:p w14:paraId="4697EF8C" w14:textId="77777777" w:rsidR="004B32FD" w:rsidRPr="006A443A" w:rsidRDefault="004B32FD" w:rsidP="00D77CBA">
      <w:pPr>
        <w:spacing w:line="276" w:lineRule="auto"/>
        <w:ind w:firstLine="705"/>
        <w:jc w:val="both"/>
        <w:rPr>
          <w:rFonts w:ascii="Arial" w:hAnsi="Arial" w:cs="Arial"/>
          <w:color w:val="000000"/>
          <w:sz w:val="22"/>
          <w:szCs w:val="22"/>
        </w:rPr>
      </w:pPr>
    </w:p>
    <w:p w14:paraId="1BA9D384" w14:textId="598835AA" w:rsidR="00C866A1" w:rsidRPr="00422EC2" w:rsidRDefault="00BF14D0" w:rsidP="00D77CBA">
      <w:pPr>
        <w:spacing w:after="120"/>
        <w:ind w:left="703" w:right="703"/>
        <w:jc w:val="both"/>
        <w:rPr>
          <w:rFonts w:ascii="Arial" w:hAnsi="Arial" w:cs="Arial"/>
          <w:color w:val="000000"/>
          <w:sz w:val="21"/>
          <w:szCs w:val="21"/>
        </w:rPr>
      </w:pPr>
      <w:r w:rsidRPr="00422EC2">
        <w:rPr>
          <w:rFonts w:ascii="Arial" w:eastAsia="Calibri" w:hAnsi="Arial" w:cs="Arial"/>
          <w:color w:val="000000" w:themeColor="text1"/>
          <w:sz w:val="21"/>
          <w:szCs w:val="21"/>
          <w:lang w:val="es-ES"/>
        </w:rPr>
        <w:t>«</w:t>
      </w:r>
      <w:r w:rsidR="00DE7EA5">
        <w:rPr>
          <w:rFonts w:ascii="Arial" w:hAnsi="Arial" w:cs="Arial"/>
          <w:color w:val="000000"/>
          <w:sz w:val="21"/>
          <w:szCs w:val="21"/>
          <w:bdr w:val="none" w:sz="0" w:space="0" w:color="auto" w:frame="1"/>
          <w:lang w:val="es-MX"/>
        </w:rPr>
        <w:t>E</w:t>
      </w:r>
      <w:r w:rsidR="00C866A1" w:rsidRPr="00422EC2">
        <w:rPr>
          <w:rFonts w:ascii="Arial" w:hAnsi="Arial" w:cs="Arial"/>
          <w:color w:val="000000"/>
          <w:sz w:val="21"/>
          <w:szCs w:val="21"/>
          <w:bdr w:val="none" w:sz="0" w:space="0" w:color="auto" w:frame="1"/>
          <w:lang w:val="es-MX"/>
        </w:rPr>
        <w:t>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r w:rsidR="00C866A1" w:rsidRPr="00422EC2">
        <w:rPr>
          <w:rFonts w:ascii="Arial" w:hAnsi="Arial" w:cs="Arial"/>
          <w:color w:val="000000"/>
          <w:sz w:val="21"/>
          <w:szCs w:val="21"/>
          <w:bdr w:val="none" w:sz="0" w:space="0" w:color="auto" w:frame="1"/>
        </w:rPr>
        <w:t>  </w:t>
      </w:r>
    </w:p>
    <w:p w14:paraId="5D7D6039" w14:textId="77777777" w:rsidR="000168EE" w:rsidRDefault="00C866A1" w:rsidP="004B32FD">
      <w:pPr>
        <w:ind w:left="705" w:right="705"/>
        <w:jc w:val="both"/>
        <w:rPr>
          <w:rFonts w:ascii="Arial" w:hAnsi="Arial" w:cs="Arial"/>
          <w:color w:val="000000"/>
          <w:sz w:val="21"/>
          <w:szCs w:val="21"/>
          <w:bdr w:val="none" w:sz="0" w:space="0" w:color="auto" w:frame="1"/>
          <w:lang w:val="es-MX"/>
        </w:rPr>
      </w:pPr>
      <w:r w:rsidRPr="00422EC2">
        <w:rPr>
          <w:rFonts w:ascii="Arial" w:hAnsi="Arial" w:cs="Arial"/>
          <w:color w:val="000000"/>
          <w:sz w:val="21"/>
          <w:szCs w:val="21"/>
          <w:bdr w:val="none" w:sz="0" w:space="0" w:color="auto" w:frame="1"/>
          <w:lang w:val="es-MX"/>
        </w:rPr>
        <w:t>La Sala entiende que el régimen preponderante domina y aporta el gran volumen de normas contractuales y que el régimen inspirador influye y ayuda a interpretar</w:t>
      </w:r>
      <w:r w:rsidR="0026277F">
        <w:rPr>
          <w:rFonts w:ascii="Arial" w:hAnsi="Arial" w:cs="Arial"/>
          <w:color w:val="000000"/>
          <w:sz w:val="21"/>
          <w:szCs w:val="21"/>
          <w:bdr w:val="none" w:sz="0" w:space="0" w:color="auto" w:frame="1"/>
          <w:lang w:val="es-MX"/>
        </w:rPr>
        <w:t>,</w:t>
      </w:r>
      <w:r w:rsidRPr="00422EC2">
        <w:rPr>
          <w:rFonts w:ascii="Arial" w:hAnsi="Arial" w:cs="Arial"/>
          <w:color w:val="000000"/>
          <w:sz w:val="21"/>
          <w:szCs w:val="21"/>
          <w:bdr w:val="none" w:sz="0" w:space="0" w:color="auto" w:frame="1"/>
          <w:lang w:val="es-MX"/>
        </w:rPr>
        <w:t> pero también transforma parte de esas instituciones, porque se suma a ellas, lo que no siempre se logra conservando intacta la institución privada sino introduciéndole modificaciones</w:t>
      </w:r>
    </w:p>
    <w:p w14:paraId="39D834F3" w14:textId="77777777" w:rsidR="000168EE" w:rsidRDefault="000168EE" w:rsidP="004B32FD">
      <w:pPr>
        <w:ind w:left="705" w:right="705"/>
        <w:jc w:val="both"/>
        <w:rPr>
          <w:rFonts w:ascii="Arial" w:hAnsi="Arial" w:cs="Arial"/>
          <w:color w:val="000000"/>
          <w:sz w:val="21"/>
          <w:szCs w:val="21"/>
          <w:bdr w:val="none" w:sz="0" w:space="0" w:color="auto" w:frame="1"/>
          <w:lang w:val="es-MX"/>
        </w:rPr>
      </w:pPr>
    </w:p>
    <w:p w14:paraId="68F1682E" w14:textId="0D6C0F28" w:rsidR="004463D5" w:rsidRPr="00422EC2" w:rsidRDefault="000168EE" w:rsidP="00D77CBA">
      <w:pPr>
        <w:ind w:left="705" w:right="705"/>
        <w:jc w:val="both"/>
        <w:rPr>
          <w:rFonts w:ascii="Arial" w:hAnsi="Arial" w:cs="Arial"/>
          <w:color w:val="000000"/>
          <w:sz w:val="21"/>
          <w:szCs w:val="21"/>
          <w:bdr w:val="none" w:sz="0" w:space="0" w:color="auto" w:frame="1"/>
          <w:lang w:val="es-MX"/>
        </w:rPr>
      </w:pPr>
      <w:r w:rsidRPr="000168EE">
        <w:rPr>
          <w:rFonts w:ascii="Arial" w:hAnsi="Arial" w:cs="Arial"/>
          <w:color w:val="000000"/>
          <w:sz w:val="21"/>
          <w:szCs w:val="21"/>
          <w:bdr w:val="none" w:sz="0" w:space="0" w:color="auto" w:frame="1"/>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w:t>
      </w:r>
      <w:r w:rsidRPr="000168EE">
        <w:rPr>
          <w:rFonts w:ascii="Arial" w:hAnsi="Arial" w:cs="Arial"/>
          <w:color w:val="000000"/>
          <w:sz w:val="21"/>
          <w:szCs w:val="21"/>
          <w:bdr w:val="none" w:sz="0" w:space="0" w:color="auto" w:frame="1"/>
        </w:rPr>
        <w:lastRenderedPageBreak/>
        <w:t>contratistas que garanticen la libre concurrencia, la igualdad de oportunidades de acceso a los negocios del Estado, la trasparencia y en general los demás valores propios de la gestión de lo público</w:t>
      </w:r>
      <w:r w:rsidR="00DE7EA5" w:rsidRPr="00422EC2">
        <w:rPr>
          <w:rStyle w:val="Refdenotaalpie"/>
          <w:rFonts w:ascii="Arial" w:hAnsi="Arial" w:cs="Arial"/>
          <w:color w:val="000000"/>
          <w:sz w:val="21"/>
          <w:szCs w:val="21"/>
          <w:bdr w:val="none" w:sz="0" w:space="0" w:color="auto" w:frame="1"/>
          <w:lang w:val="es-MX"/>
        </w:rPr>
        <w:footnoteReference w:id="2"/>
      </w:r>
      <w:r w:rsidR="00BF14D0" w:rsidRPr="00422EC2">
        <w:rPr>
          <w:rFonts w:ascii="Arial" w:eastAsia="Calibri" w:hAnsi="Arial" w:cs="Arial"/>
          <w:color w:val="000000" w:themeColor="text1"/>
          <w:sz w:val="21"/>
          <w:szCs w:val="21"/>
          <w:lang w:val="es-ES"/>
        </w:rPr>
        <w:t>».</w:t>
      </w:r>
    </w:p>
    <w:p w14:paraId="4E8EA487" w14:textId="381D51A7" w:rsidR="00C866A1" w:rsidRPr="006A443A" w:rsidRDefault="00C866A1" w:rsidP="00422EC2">
      <w:pPr>
        <w:spacing w:line="276" w:lineRule="auto"/>
        <w:ind w:left="705" w:right="705"/>
        <w:jc w:val="both"/>
        <w:rPr>
          <w:rFonts w:ascii="Arial" w:hAnsi="Arial" w:cs="Arial"/>
          <w:color w:val="000000"/>
          <w:sz w:val="22"/>
          <w:szCs w:val="22"/>
        </w:rPr>
      </w:pPr>
      <w:r w:rsidRPr="006A443A">
        <w:rPr>
          <w:rFonts w:ascii="Arial" w:hAnsi="Arial" w:cs="Arial"/>
          <w:i/>
          <w:iCs/>
          <w:color w:val="000000"/>
          <w:sz w:val="22"/>
          <w:szCs w:val="22"/>
          <w:bdr w:val="none" w:sz="0" w:space="0" w:color="auto" w:frame="1"/>
        </w:rPr>
        <w:t> </w:t>
      </w:r>
    </w:p>
    <w:p w14:paraId="045D1B0D" w14:textId="77777777" w:rsidR="00DE7EA5" w:rsidRDefault="00C866A1" w:rsidP="00D77CBA">
      <w:pPr>
        <w:spacing w:line="276" w:lineRule="auto"/>
        <w:ind w:firstLine="705"/>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Ahora bien, en relación con la prestación de servicios públicos domiciliarios, es importante resaltar que la Constitución Política de 1991 incorporó un modelo de liberalización para su prestación, con arreglo a la cual estos pueden ofrecerse en el mercado, en un esquema de libre competencia, directamente por el Estado, por particulares o por comunidades organizadas. En tal sentido, el artículo 365 de la Constitución prevé lo siguiente: </w:t>
      </w:r>
    </w:p>
    <w:p w14:paraId="68ACD2DF" w14:textId="77777777" w:rsidR="00DE7EA5" w:rsidRDefault="00DE7EA5" w:rsidP="006A443A">
      <w:pPr>
        <w:spacing w:line="276" w:lineRule="auto"/>
        <w:jc w:val="both"/>
        <w:rPr>
          <w:rFonts w:ascii="Arial" w:hAnsi="Arial" w:cs="Arial"/>
          <w:color w:val="000000"/>
          <w:sz w:val="22"/>
          <w:szCs w:val="22"/>
          <w:bdr w:val="none" w:sz="0" w:space="0" w:color="auto" w:frame="1"/>
        </w:rPr>
      </w:pPr>
    </w:p>
    <w:p w14:paraId="514AB89E" w14:textId="058E2011" w:rsidR="00C866A1" w:rsidRPr="00422EC2" w:rsidRDefault="00BF14D0" w:rsidP="00D77CBA">
      <w:pPr>
        <w:ind w:left="709" w:right="709"/>
        <w:jc w:val="both"/>
        <w:rPr>
          <w:rFonts w:ascii="Arial" w:hAnsi="Arial" w:cs="Arial"/>
          <w:color w:val="000000"/>
          <w:sz w:val="21"/>
          <w:szCs w:val="21"/>
        </w:rPr>
      </w:pPr>
      <w:r w:rsidRPr="00422EC2">
        <w:rPr>
          <w:rFonts w:ascii="Arial" w:eastAsia="Calibri" w:hAnsi="Arial" w:cs="Arial"/>
          <w:color w:val="000000" w:themeColor="text1"/>
          <w:sz w:val="21"/>
          <w:szCs w:val="21"/>
          <w:lang w:val="es-ES"/>
        </w:rPr>
        <w:t>«</w:t>
      </w:r>
      <w:r w:rsidR="00C866A1" w:rsidRPr="00422EC2">
        <w:rPr>
          <w:rFonts w:ascii="Arial" w:hAnsi="Arial" w:cs="Arial"/>
          <w:color w:val="000000"/>
          <w:sz w:val="21"/>
          <w:szCs w:val="21"/>
          <w:bdr w:val="none" w:sz="0" w:space="0" w:color="auto" w:frame="1"/>
        </w:rPr>
        <w:t>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w:t>
      </w:r>
    </w:p>
    <w:p w14:paraId="2882DD5C" w14:textId="5C18C8A9" w:rsidR="00C866A1" w:rsidRDefault="00C866A1" w:rsidP="000168EE">
      <w:pPr>
        <w:spacing w:before="120"/>
        <w:ind w:left="709" w:right="709"/>
        <w:jc w:val="both"/>
        <w:rPr>
          <w:rFonts w:ascii="Arial" w:hAnsi="Arial" w:cs="Arial"/>
          <w:color w:val="000000"/>
          <w:sz w:val="21"/>
          <w:szCs w:val="21"/>
          <w:bdr w:val="none" w:sz="0" w:space="0" w:color="auto" w:frame="1"/>
        </w:rPr>
      </w:pPr>
      <w:r w:rsidRPr="00422EC2">
        <w:rPr>
          <w:rFonts w:ascii="Arial" w:hAnsi="Arial" w:cs="Arial"/>
          <w:color w:val="000000"/>
          <w:sz w:val="21"/>
          <w:szCs w:val="21"/>
          <w:bdr w:val="none" w:sz="0" w:space="0" w:color="auto" w:frame="1"/>
        </w:rPr>
        <w:t>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00BF14D0" w:rsidRPr="00422EC2">
        <w:rPr>
          <w:rFonts w:ascii="Arial" w:eastAsia="Calibri" w:hAnsi="Arial" w:cs="Arial"/>
          <w:color w:val="000000" w:themeColor="text1"/>
          <w:sz w:val="21"/>
          <w:szCs w:val="21"/>
          <w:lang w:val="es-ES"/>
        </w:rPr>
        <w:t>».</w:t>
      </w:r>
    </w:p>
    <w:p w14:paraId="1E2E7F71" w14:textId="77777777" w:rsidR="000168EE" w:rsidRPr="00D77CBA" w:rsidRDefault="000168EE" w:rsidP="00D77CBA">
      <w:pPr>
        <w:spacing w:line="276" w:lineRule="auto"/>
        <w:ind w:left="709" w:right="709"/>
        <w:jc w:val="both"/>
        <w:rPr>
          <w:rFonts w:ascii="Arial" w:hAnsi="Arial" w:cs="Arial"/>
          <w:color w:val="000000"/>
          <w:sz w:val="22"/>
          <w:szCs w:val="22"/>
        </w:rPr>
      </w:pPr>
    </w:p>
    <w:p w14:paraId="3991F711" w14:textId="0FE50E35" w:rsidR="00DE7EA5" w:rsidRDefault="00C866A1" w:rsidP="00D77CBA">
      <w:pPr>
        <w:spacing w:after="12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Con base en este presupuesto constitucional de liberalización de los servicios públicos domiciliarios el legislador expidió la Ley 142 de 1994, en la cual determinó, en su artículo 31, que el régimen jurídico contractual de las entidades estatales que prestan los servicios públicos domiciliarios </w:t>
      </w:r>
      <w:r w:rsidR="000168EE">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no estarán sujetos a las disposiciones del Estatuto General de Contratación de la Administración Pública, salvo en lo que la presente ley disponga otra cosa</w:t>
      </w:r>
      <w:r w:rsidR="000168EE">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 Por su parte, y en la misma lógica, el artículo 32 de la Ley 142 dispone que el régimen de los actos de las empresas prestadoras de servicios públicos domiciliarios es el derecho privado</w:t>
      </w:r>
      <w:r w:rsidR="00BF14D0">
        <w:rPr>
          <w:rStyle w:val="Refdenotaalpie"/>
          <w:rFonts w:ascii="Arial" w:hAnsi="Arial" w:cs="Arial"/>
          <w:color w:val="000000"/>
          <w:sz w:val="22"/>
          <w:szCs w:val="22"/>
          <w:bdr w:val="none" w:sz="0" w:space="0" w:color="auto" w:frame="1"/>
        </w:rPr>
        <w:footnoteReference w:id="3"/>
      </w:r>
      <w:r w:rsidRPr="006A443A">
        <w:rPr>
          <w:rFonts w:ascii="Arial" w:hAnsi="Arial" w:cs="Arial"/>
          <w:color w:val="000000"/>
          <w:sz w:val="22"/>
          <w:szCs w:val="22"/>
          <w:bdr w:val="none" w:sz="0" w:space="0" w:color="auto" w:frame="1"/>
        </w:rPr>
        <w:t xml:space="preserve">. </w:t>
      </w:r>
    </w:p>
    <w:p w14:paraId="11C4C6C1" w14:textId="580B6432" w:rsidR="00C866A1" w:rsidRPr="006A443A" w:rsidRDefault="00C866A1" w:rsidP="00D77CBA">
      <w:pPr>
        <w:spacing w:line="276" w:lineRule="auto"/>
        <w:ind w:firstLine="708"/>
        <w:jc w:val="both"/>
        <w:rPr>
          <w:rFonts w:ascii="Arial" w:hAnsi="Arial" w:cs="Arial"/>
          <w:color w:val="000000"/>
          <w:sz w:val="22"/>
          <w:szCs w:val="22"/>
        </w:rPr>
      </w:pPr>
      <w:r w:rsidRPr="006A443A">
        <w:rPr>
          <w:rFonts w:ascii="Arial" w:hAnsi="Arial" w:cs="Arial"/>
          <w:color w:val="000000"/>
          <w:sz w:val="22"/>
          <w:szCs w:val="22"/>
          <w:bdr w:val="none" w:sz="0" w:space="0" w:color="auto" w:frame="1"/>
        </w:rPr>
        <w:t>En consecuencia, la lectura sistemática de las dos normas referidas permite concluir que el régimen jurídico contractual de las empresas de servicios públicos domiciliarios es el derecho privado y</w:t>
      </w:r>
      <w:r w:rsidR="00BA5B3A">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 xml:space="preserve"> solo excepcionalmente, se aplicarán normas del Estatuto General de </w:t>
      </w:r>
      <w:r w:rsidRPr="006A443A">
        <w:rPr>
          <w:rFonts w:ascii="Arial" w:hAnsi="Arial" w:cs="Arial"/>
          <w:color w:val="000000"/>
          <w:sz w:val="22"/>
          <w:szCs w:val="22"/>
          <w:bdr w:val="none" w:sz="0" w:space="0" w:color="auto" w:frame="1"/>
        </w:rPr>
        <w:lastRenderedPageBreak/>
        <w:t>Contratación de la Administración Pública. Se trata, entonces, de un régimen de derecho privado con dosis de derecho público. </w:t>
      </w:r>
    </w:p>
    <w:p w14:paraId="255FE02B" w14:textId="77777777" w:rsidR="00260EA4" w:rsidRPr="00585342" w:rsidRDefault="00260EA4" w:rsidP="006A443A">
      <w:pPr>
        <w:tabs>
          <w:tab w:val="left" w:pos="426"/>
        </w:tabs>
        <w:spacing w:line="276" w:lineRule="auto"/>
        <w:jc w:val="both"/>
        <w:rPr>
          <w:rFonts w:ascii="Arial" w:eastAsia="Calibri" w:hAnsi="Arial" w:cs="Arial"/>
          <w:bCs/>
          <w:color w:val="000000" w:themeColor="text1"/>
          <w:sz w:val="22"/>
          <w:szCs w:val="22"/>
        </w:rPr>
      </w:pPr>
    </w:p>
    <w:p w14:paraId="1689023C" w14:textId="77777777" w:rsidR="00DE7EA5" w:rsidRDefault="000A3221" w:rsidP="006A443A">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Respuesta</w:t>
      </w:r>
    </w:p>
    <w:p w14:paraId="3BCB1C48" w14:textId="77777777" w:rsidR="003E3C01" w:rsidRDefault="003E3C01" w:rsidP="00C13859">
      <w:pPr>
        <w:ind w:left="709" w:right="709"/>
        <w:jc w:val="both"/>
        <w:rPr>
          <w:rFonts w:ascii="Arial" w:eastAsia="Calibri" w:hAnsi="Arial" w:cs="Arial"/>
          <w:color w:val="000000" w:themeColor="text1"/>
          <w:sz w:val="21"/>
          <w:szCs w:val="21"/>
          <w:lang w:val="es-ES"/>
        </w:rPr>
      </w:pPr>
    </w:p>
    <w:p w14:paraId="1FF564C6" w14:textId="16E3CA0D" w:rsidR="000A3221" w:rsidRPr="00422EC2" w:rsidRDefault="00C866A1" w:rsidP="00D77CBA">
      <w:pPr>
        <w:spacing w:after="240" w:line="276" w:lineRule="auto"/>
        <w:ind w:left="709" w:right="709"/>
        <w:jc w:val="both"/>
        <w:rPr>
          <w:rFonts w:eastAsia="Calibri"/>
          <w:lang w:val="es-ES"/>
        </w:rPr>
      </w:pPr>
      <w:r w:rsidRPr="00422EC2">
        <w:rPr>
          <w:rFonts w:ascii="Arial" w:eastAsia="Calibri" w:hAnsi="Arial" w:cs="Arial"/>
          <w:color w:val="000000" w:themeColor="text1"/>
          <w:sz w:val="21"/>
          <w:szCs w:val="21"/>
          <w:lang w:val="es-ES"/>
        </w:rPr>
        <w:t>«</w:t>
      </w:r>
      <w:r w:rsidRPr="00422EC2">
        <w:rPr>
          <w:rFonts w:ascii="Arial" w:hAnsi="Arial" w:cs="Arial"/>
          <w:color w:val="000000" w:themeColor="text1"/>
          <w:sz w:val="21"/>
          <w:szCs w:val="21"/>
          <w:lang w:val="es-ES"/>
        </w:rPr>
        <w:t>¿</w:t>
      </w:r>
      <w:r w:rsidRPr="00422EC2">
        <w:rPr>
          <w:rFonts w:ascii="Arial" w:hAnsi="Arial" w:cs="Arial"/>
          <w:color w:val="000000"/>
          <w:sz w:val="21"/>
          <w:szCs w:val="21"/>
          <w:bdr w:val="none" w:sz="0" w:space="0" w:color="auto" w:frame="1"/>
        </w:rPr>
        <w:t>los pliegos tipo de agua y saneamiento, (sic) también es obligatorio para una empresa de servicios públicos domiciliarios que tiene régimen especial para la contratación</w:t>
      </w:r>
      <w:r w:rsidRPr="00422EC2">
        <w:rPr>
          <w:rFonts w:ascii="Arial" w:hAnsi="Arial" w:cs="Arial"/>
          <w:color w:val="000000" w:themeColor="text1"/>
          <w:sz w:val="21"/>
          <w:szCs w:val="21"/>
          <w:lang w:val="es-ES"/>
        </w:rPr>
        <w:t>?</w:t>
      </w:r>
      <w:r w:rsidRPr="00422EC2">
        <w:rPr>
          <w:rFonts w:ascii="Arial" w:eastAsia="Calibri" w:hAnsi="Arial" w:cs="Arial"/>
          <w:color w:val="000000" w:themeColor="text1"/>
          <w:sz w:val="21"/>
          <w:szCs w:val="21"/>
          <w:lang w:val="es-ES"/>
        </w:rPr>
        <w:t>».</w:t>
      </w:r>
    </w:p>
    <w:p w14:paraId="12A86BC4" w14:textId="5F4F24E5" w:rsidR="00C866A1" w:rsidRPr="006A443A" w:rsidRDefault="003C03C7" w:rsidP="00D77CBA">
      <w:pPr>
        <w:pStyle w:val="xmsonospacing"/>
        <w:spacing w:before="120" w:beforeAutospacing="0" w:after="120" w:afterAutospacing="0" w:line="276" w:lineRule="auto"/>
        <w:jc w:val="both"/>
        <w:rPr>
          <w:rFonts w:ascii="Arial" w:hAnsi="Arial" w:cs="Arial"/>
          <w:color w:val="000000"/>
          <w:sz w:val="22"/>
          <w:szCs w:val="22"/>
        </w:rPr>
      </w:pPr>
      <w:r>
        <w:rPr>
          <w:rFonts w:ascii="Arial" w:hAnsi="Arial" w:cs="Arial"/>
          <w:color w:val="000000"/>
          <w:sz w:val="22"/>
          <w:szCs w:val="22"/>
          <w:bdr w:val="none" w:sz="0" w:space="0" w:color="auto" w:frame="1"/>
        </w:rPr>
        <w:t>D</w:t>
      </w:r>
      <w:r w:rsidR="00C866A1" w:rsidRPr="006A443A">
        <w:rPr>
          <w:rFonts w:ascii="Arial" w:hAnsi="Arial" w:cs="Arial"/>
          <w:color w:val="000000"/>
          <w:sz w:val="22"/>
          <w:szCs w:val="22"/>
          <w:bdr w:val="none" w:sz="0" w:space="0" w:color="auto" w:frame="1"/>
        </w:rPr>
        <w:t xml:space="preserve">e conformidad el artículo 365 de la Constitución Política y los artículos 32 y 32 de la Ley 142 de 1994, las empresas prestadoras de servicios públicos domiciliarios </w:t>
      </w:r>
      <w:r w:rsidR="009254A7">
        <w:rPr>
          <w:rFonts w:ascii="Arial" w:hAnsi="Arial" w:cs="Arial"/>
          <w:color w:val="000000"/>
          <w:sz w:val="22"/>
          <w:szCs w:val="22"/>
          <w:bdr w:val="none" w:sz="0" w:space="0" w:color="auto" w:frame="1"/>
        </w:rPr>
        <w:t>tienen</w:t>
      </w:r>
      <w:r w:rsidR="009254A7" w:rsidRPr="006A443A">
        <w:rPr>
          <w:rFonts w:ascii="Arial" w:hAnsi="Arial" w:cs="Arial"/>
          <w:color w:val="000000"/>
          <w:sz w:val="22"/>
          <w:szCs w:val="22"/>
          <w:bdr w:val="none" w:sz="0" w:space="0" w:color="auto" w:frame="1"/>
        </w:rPr>
        <w:t xml:space="preserve"> </w:t>
      </w:r>
      <w:r w:rsidR="00C866A1" w:rsidRPr="006A443A">
        <w:rPr>
          <w:rFonts w:ascii="Arial" w:hAnsi="Arial" w:cs="Arial"/>
          <w:color w:val="000000"/>
          <w:sz w:val="22"/>
          <w:szCs w:val="22"/>
          <w:bdr w:val="none" w:sz="0" w:space="0" w:color="auto" w:frame="1"/>
        </w:rPr>
        <w:t>un régimen jurídico especial de contratación.</w:t>
      </w:r>
      <w:r w:rsidR="009254A7">
        <w:rPr>
          <w:rFonts w:ascii="Arial" w:hAnsi="Arial" w:cs="Arial"/>
          <w:color w:val="000000"/>
          <w:sz w:val="22"/>
          <w:szCs w:val="22"/>
          <w:bdr w:val="none" w:sz="0" w:space="0" w:color="auto" w:frame="1"/>
        </w:rPr>
        <w:t xml:space="preserve"> </w:t>
      </w:r>
      <w:r w:rsidR="00B34B39">
        <w:rPr>
          <w:rFonts w:ascii="Arial" w:hAnsi="Arial" w:cs="Arial"/>
          <w:color w:val="000000"/>
          <w:sz w:val="22"/>
          <w:szCs w:val="22"/>
          <w:bdr w:val="none" w:sz="0" w:space="0" w:color="auto" w:frame="1"/>
        </w:rPr>
        <w:t>De igual forma</w:t>
      </w:r>
      <w:r w:rsidR="003C182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de acuerdo</w:t>
      </w:r>
      <w:r w:rsidR="003C182B">
        <w:rPr>
          <w:rFonts w:ascii="Arial" w:hAnsi="Arial" w:cs="Arial"/>
          <w:color w:val="000000"/>
          <w:sz w:val="22"/>
          <w:szCs w:val="22"/>
          <w:bdr w:val="none" w:sz="0" w:space="0" w:color="auto" w:frame="1"/>
        </w:rPr>
        <w:t xml:space="preserve"> </w:t>
      </w:r>
      <w:r w:rsidR="00B34B39">
        <w:rPr>
          <w:rFonts w:ascii="Arial" w:hAnsi="Arial" w:cs="Arial"/>
          <w:color w:val="000000"/>
          <w:sz w:val="22"/>
          <w:szCs w:val="22"/>
          <w:bdr w:val="none" w:sz="0" w:space="0" w:color="auto" w:frame="1"/>
        </w:rPr>
        <w:t>con</w:t>
      </w:r>
      <w:r w:rsidR="003C182B">
        <w:rPr>
          <w:rFonts w:ascii="Arial" w:hAnsi="Arial" w:cs="Arial"/>
          <w:color w:val="000000"/>
          <w:sz w:val="22"/>
          <w:szCs w:val="22"/>
          <w:bdr w:val="none" w:sz="0" w:space="0" w:color="auto" w:frame="1"/>
        </w:rPr>
        <w:t xml:space="preserve"> la Ley </w:t>
      </w:r>
      <w:r w:rsidR="00BB3569">
        <w:rPr>
          <w:rFonts w:ascii="Arial" w:hAnsi="Arial" w:cs="Arial"/>
          <w:color w:val="000000"/>
          <w:sz w:val="22"/>
          <w:szCs w:val="22"/>
          <w:bdr w:val="none" w:sz="0" w:space="0" w:color="auto" w:frame="1"/>
        </w:rPr>
        <w:t xml:space="preserve">2022 de 2020, los destinatarios de los documentos tipo son las </w:t>
      </w:r>
      <w:r>
        <w:rPr>
          <w:rFonts w:ascii="Arial" w:hAnsi="Arial" w:cs="Arial"/>
          <w:color w:val="000000"/>
          <w:sz w:val="22"/>
          <w:szCs w:val="22"/>
          <w:bdr w:val="none" w:sz="0" w:space="0" w:color="auto" w:frame="1"/>
        </w:rPr>
        <w:t xml:space="preserve">entidades sometidas al Estatuto General de Contratación de la Administración Pública. </w:t>
      </w:r>
      <w:r w:rsidR="009254A7">
        <w:rPr>
          <w:rFonts w:ascii="Arial" w:hAnsi="Arial" w:cs="Arial"/>
          <w:color w:val="000000"/>
          <w:sz w:val="22"/>
          <w:szCs w:val="22"/>
          <w:bdr w:val="none" w:sz="0" w:space="0" w:color="auto" w:frame="1"/>
        </w:rPr>
        <w:t>Por ello,</w:t>
      </w:r>
      <w:r w:rsidR="00C866A1" w:rsidRPr="006A443A">
        <w:rPr>
          <w:rFonts w:ascii="Arial" w:hAnsi="Arial" w:cs="Arial"/>
          <w:color w:val="000000"/>
          <w:sz w:val="22"/>
          <w:szCs w:val="22"/>
          <w:bdr w:val="none" w:sz="0" w:space="0" w:color="auto" w:frame="1"/>
        </w:rPr>
        <w:t xml:space="preserve"> los documentos tipo </w:t>
      </w:r>
      <w:r>
        <w:rPr>
          <w:rFonts w:ascii="Arial" w:hAnsi="Arial" w:cs="Arial"/>
          <w:color w:val="000000"/>
          <w:sz w:val="22"/>
          <w:szCs w:val="22"/>
          <w:bdr w:val="none" w:sz="0" w:space="0" w:color="auto" w:frame="1"/>
        </w:rPr>
        <w:t>implementados mediante la Resolución 248 de 2020</w:t>
      </w:r>
      <w:r w:rsidR="00C866A1" w:rsidRPr="006A443A">
        <w:rPr>
          <w:rFonts w:ascii="Arial" w:hAnsi="Arial" w:cs="Arial"/>
          <w:color w:val="000000"/>
          <w:sz w:val="22"/>
          <w:szCs w:val="22"/>
          <w:bdr w:val="none" w:sz="0" w:space="0" w:color="auto" w:frame="1"/>
        </w:rPr>
        <w:t xml:space="preserve"> no son de obligatorio cumplimiento por parte de las empresas prestadoras de servicios públicos domiciliarios</w:t>
      </w:r>
      <w:r>
        <w:rPr>
          <w:rFonts w:ascii="Arial" w:hAnsi="Arial" w:cs="Arial"/>
          <w:color w:val="000000"/>
          <w:sz w:val="22"/>
          <w:szCs w:val="22"/>
          <w:bdr w:val="none" w:sz="0" w:space="0" w:color="auto" w:frame="1"/>
        </w:rPr>
        <w:t>,</w:t>
      </w:r>
      <w:r w:rsidR="00C866A1" w:rsidRPr="006A443A">
        <w:rPr>
          <w:rFonts w:ascii="Arial" w:hAnsi="Arial" w:cs="Arial"/>
          <w:color w:val="000000"/>
          <w:sz w:val="22"/>
          <w:szCs w:val="22"/>
          <w:bdr w:val="none" w:sz="0" w:space="0" w:color="auto" w:frame="1"/>
        </w:rPr>
        <w:t xml:space="preserve"> pues </w:t>
      </w:r>
      <w:r>
        <w:rPr>
          <w:rFonts w:ascii="Arial" w:hAnsi="Arial" w:cs="Arial"/>
          <w:color w:val="000000"/>
          <w:sz w:val="22"/>
          <w:szCs w:val="22"/>
          <w:bdr w:val="none" w:sz="0" w:space="0" w:color="auto" w:frame="1"/>
        </w:rPr>
        <w:t>su gestión contractual no se rige por la</w:t>
      </w:r>
      <w:r w:rsidR="009254A7">
        <w:rPr>
          <w:rFonts w:ascii="Arial" w:hAnsi="Arial" w:cs="Arial"/>
          <w:color w:val="000000"/>
          <w:sz w:val="22"/>
          <w:szCs w:val="22"/>
          <w:bdr w:val="none" w:sz="0" w:space="0" w:color="auto" w:frame="1"/>
        </w:rPr>
        <w:t xml:space="preserve"> Ley 80 de 1993</w:t>
      </w:r>
      <w:r w:rsidR="00C866A1" w:rsidRPr="006A443A">
        <w:rPr>
          <w:rFonts w:ascii="Arial" w:hAnsi="Arial" w:cs="Arial"/>
          <w:color w:val="000000"/>
          <w:sz w:val="22"/>
          <w:szCs w:val="22"/>
          <w:bdr w:val="none" w:sz="0" w:space="0" w:color="auto" w:frame="1"/>
        </w:rPr>
        <w:t>.</w:t>
      </w:r>
    </w:p>
    <w:p w14:paraId="623AF067" w14:textId="433FA151" w:rsidR="00C866A1" w:rsidRPr="006A443A" w:rsidRDefault="009254A7" w:rsidP="00422EC2">
      <w:pPr>
        <w:pStyle w:val="xmsonospacing"/>
        <w:spacing w:before="0" w:beforeAutospacing="0" w:after="0" w:afterAutospacing="0" w:line="276" w:lineRule="auto"/>
        <w:ind w:firstLine="708"/>
        <w:jc w:val="both"/>
        <w:rPr>
          <w:rFonts w:ascii="Arial" w:hAnsi="Arial" w:cs="Arial"/>
          <w:color w:val="000000"/>
          <w:sz w:val="22"/>
          <w:szCs w:val="22"/>
        </w:rPr>
      </w:pPr>
      <w:r>
        <w:rPr>
          <w:rFonts w:ascii="Arial" w:hAnsi="Arial" w:cs="Arial"/>
          <w:color w:val="000000"/>
          <w:sz w:val="22"/>
          <w:szCs w:val="22"/>
          <w:bdr w:val="none" w:sz="0" w:space="0" w:color="auto" w:frame="1"/>
        </w:rPr>
        <w:t>L</w:t>
      </w:r>
      <w:r w:rsidR="00C866A1" w:rsidRPr="006A443A">
        <w:rPr>
          <w:rFonts w:ascii="Arial" w:hAnsi="Arial" w:cs="Arial"/>
          <w:color w:val="000000"/>
          <w:sz w:val="22"/>
          <w:szCs w:val="22"/>
          <w:bdr w:val="none" w:sz="0" w:space="0" w:color="auto" w:frame="1"/>
        </w:rPr>
        <w:t>o anterior no obsta para que, como política de buena práctica contractual</w:t>
      </w:r>
      <w:r>
        <w:rPr>
          <w:rFonts w:ascii="Arial" w:hAnsi="Arial" w:cs="Arial"/>
          <w:color w:val="000000"/>
          <w:sz w:val="22"/>
          <w:szCs w:val="22"/>
          <w:bdr w:val="none" w:sz="0" w:space="0" w:color="auto" w:frame="1"/>
        </w:rPr>
        <w:t xml:space="preserve">, </w:t>
      </w:r>
      <w:r w:rsidR="00C866A1" w:rsidRPr="006A443A">
        <w:rPr>
          <w:rFonts w:ascii="Arial" w:hAnsi="Arial" w:cs="Arial"/>
          <w:color w:val="000000"/>
          <w:sz w:val="22"/>
          <w:szCs w:val="22"/>
          <w:bdr w:val="none" w:sz="0" w:space="0" w:color="auto" w:frame="1"/>
        </w:rPr>
        <w:t>las empresas prestadoras de servicios públicos domiciliarios decidan, de manera facultativa, observar los documentos tipo para contratos de obras de infraestructura de agua potable y saneamiento básico expedidos por esta Agencia.</w:t>
      </w:r>
    </w:p>
    <w:p w14:paraId="572838A2" w14:textId="77777777" w:rsidR="003E3C01" w:rsidRDefault="003E3C01" w:rsidP="006A443A">
      <w:pPr>
        <w:spacing w:line="276" w:lineRule="auto"/>
        <w:jc w:val="both"/>
        <w:rPr>
          <w:rFonts w:ascii="Arial" w:eastAsia="Calibri" w:hAnsi="Arial" w:cs="Arial"/>
          <w:color w:val="000000" w:themeColor="text1"/>
          <w:sz w:val="22"/>
          <w:szCs w:val="22"/>
        </w:rPr>
      </w:pPr>
    </w:p>
    <w:p w14:paraId="3206D288" w14:textId="15BB8D4B" w:rsidR="000A3221" w:rsidRPr="006C15D5" w:rsidRDefault="000A3221" w:rsidP="006A443A">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008351C5" w:rsidR="00F31054" w:rsidRDefault="009C37B5" w:rsidP="001B16A1">
      <w:pPr>
        <w:jc w:val="center"/>
        <w:rPr>
          <w:rFonts w:ascii="Arial" w:hAnsi="Arial" w:cs="Arial"/>
          <w:color w:val="000000" w:themeColor="text1"/>
          <w:sz w:val="22"/>
          <w:lang w:eastAsia="es-CO"/>
        </w:rPr>
      </w:pPr>
      <w:r w:rsidRPr="00FC4438">
        <w:rPr>
          <w:noProof/>
        </w:rPr>
        <w:drawing>
          <wp:inline distT="0" distB="0" distL="0" distR="0" wp14:anchorId="48E49FAC" wp14:editId="05CE70AA">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4600" cy="1114425"/>
                    </a:xfrm>
                    <a:prstGeom prst="rect">
                      <a:avLst/>
                    </a:prstGeom>
                  </pic:spPr>
                </pic:pic>
              </a:graphicData>
            </a:graphic>
          </wp:inline>
        </w:drawing>
      </w: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2E6480">
        <w:trPr>
          <w:trHeight w:val="315"/>
        </w:trPr>
        <w:tc>
          <w:tcPr>
            <w:tcW w:w="812" w:type="dxa"/>
            <w:vAlign w:val="center"/>
            <w:hideMark/>
          </w:tcPr>
          <w:p w14:paraId="7438F1CC"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2E6480">
        <w:trPr>
          <w:trHeight w:val="330"/>
        </w:trPr>
        <w:tc>
          <w:tcPr>
            <w:tcW w:w="812" w:type="dxa"/>
            <w:vAlign w:val="center"/>
            <w:hideMark/>
          </w:tcPr>
          <w:p w14:paraId="1B4031DF"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C5FE00"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2EADEC24" w14:textId="77777777" w:rsidR="000A3221" w:rsidRPr="006C15D5" w:rsidRDefault="000A3221" w:rsidP="002E6480">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2E6480">
        <w:trPr>
          <w:trHeight w:val="300"/>
        </w:trPr>
        <w:tc>
          <w:tcPr>
            <w:tcW w:w="812" w:type="dxa"/>
            <w:vAlign w:val="center"/>
            <w:hideMark/>
          </w:tcPr>
          <w:p w14:paraId="44ACDF20"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rsidP="00C13859"/>
    <w:sectPr w:rsidR="003D76D7"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AD44E" w14:textId="77777777" w:rsidR="00F87AAB" w:rsidRDefault="00F87AAB" w:rsidP="003D76D7">
      <w:r>
        <w:separator/>
      </w:r>
    </w:p>
  </w:endnote>
  <w:endnote w:type="continuationSeparator" w:id="0">
    <w:p w14:paraId="01D674C4" w14:textId="77777777" w:rsidR="00F87AAB" w:rsidRDefault="00F87AAB"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8217B7" w:rsidRDefault="00F87AAB" w:rsidP="00322937">
    <w:pPr>
      <w:pStyle w:val="Sinespaciado"/>
      <w:jc w:val="right"/>
      <w:rPr>
        <w:rFonts w:ascii="Arial" w:hAnsi="Arial" w:cs="Arial"/>
        <w:sz w:val="18"/>
        <w:szCs w:val="18"/>
      </w:rPr>
    </w:pPr>
  </w:p>
  <w:p w14:paraId="09F5290B" w14:textId="77777777" w:rsidR="00F501D2" w:rsidRDefault="00F87AAB" w:rsidP="00322937">
    <w:pPr>
      <w:pStyle w:val="Sinespaciado"/>
      <w:jc w:val="right"/>
      <w:rPr>
        <w:rFonts w:ascii="Arial" w:hAnsi="Arial" w:cs="Arial"/>
        <w:sz w:val="18"/>
        <w:szCs w:val="18"/>
      </w:rPr>
    </w:pPr>
  </w:p>
  <w:p w14:paraId="1D343841" w14:textId="77777777" w:rsidR="00FE42ED" w:rsidRPr="008217B7" w:rsidRDefault="00F410F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9047C5" w:rsidRDefault="00F410F2" w:rsidP="00322937">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322937" w:rsidRPr="00E756AC" w:rsidRDefault="00F87AAB" w:rsidP="007B0854">
    <w:pPr>
      <w:pStyle w:val="Piedepgina"/>
      <w:jc w:val="center"/>
      <w:rPr>
        <w:sz w:val="18"/>
        <w:szCs w:val="18"/>
        <w:lang w:val="es-ES"/>
      </w:rPr>
    </w:pPr>
  </w:p>
  <w:p w14:paraId="50FDFB48" w14:textId="77777777" w:rsidR="004A34D2" w:rsidRPr="00E756AC" w:rsidRDefault="00F87AAB"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37881" w14:textId="77777777" w:rsidR="00F87AAB" w:rsidRDefault="00F87AAB" w:rsidP="003D76D7">
      <w:r>
        <w:separator/>
      </w:r>
    </w:p>
  </w:footnote>
  <w:footnote w:type="continuationSeparator" w:id="0">
    <w:p w14:paraId="1F3ED2EE" w14:textId="77777777" w:rsidR="00F87AAB" w:rsidRDefault="00F87AAB" w:rsidP="003D76D7">
      <w:r>
        <w:continuationSeparator/>
      </w:r>
    </w:p>
  </w:footnote>
  <w:footnote w:id="1">
    <w:p w14:paraId="4859EC0D" w14:textId="77777777" w:rsidR="00E03A3F" w:rsidRPr="0082639E" w:rsidRDefault="00E03A3F" w:rsidP="00E03A3F">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CC17F7F" w14:textId="77777777" w:rsidR="00E03A3F" w:rsidRPr="0082639E" w:rsidRDefault="00E03A3F" w:rsidP="00E03A3F">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6644FDA1" w14:textId="77777777" w:rsidR="00E03A3F" w:rsidRPr="0082639E" w:rsidRDefault="00E03A3F" w:rsidP="00E03A3F">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7FC3092A" w14:textId="77777777" w:rsidR="00E03A3F" w:rsidRPr="0082639E" w:rsidRDefault="00E03A3F" w:rsidP="00E03A3F">
      <w:pPr>
        <w:pStyle w:val="Textonotapie"/>
        <w:jc w:val="both"/>
        <w:rPr>
          <w:sz w:val="19"/>
          <w:szCs w:val="19"/>
          <w:lang w:val="es-CO"/>
        </w:rPr>
      </w:pPr>
    </w:p>
  </w:footnote>
  <w:footnote w:id="2">
    <w:p w14:paraId="54FD03DE" w14:textId="12152559" w:rsidR="00DE7EA5" w:rsidRDefault="00DE7EA5" w:rsidP="00BA5B3A">
      <w:pPr>
        <w:pStyle w:val="Textonotapie"/>
        <w:ind w:firstLine="708"/>
        <w:jc w:val="both"/>
        <w:rPr>
          <w:rFonts w:ascii="Arial" w:hAnsi="Arial" w:cs="Arial"/>
          <w:color w:val="000000"/>
          <w:sz w:val="19"/>
          <w:szCs w:val="19"/>
          <w:bdr w:val="none" w:sz="0" w:space="0" w:color="auto" w:frame="1"/>
        </w:rPr>
      </w:pPr>
      <w:r w:rsidRPr="00422EC2">
        <w:rPr>
          <w:rStyle w:val="Refdenotaalpie"/>
          <w:rFonts w:ascii="Arial" w:hAnsi="Arial" w:cs="Arial"/>
          <w:sz w:val="19"/>
          <w:szCs w:val="19"/>
        </w:rPr>
        <w:footnoteRef/>
      </w:r>
      <w:r w:rsidRPr="00422EC2">
        <w:rPr>
          <w:rFonts w:ascii="Arial" w:hAnsi="Arial" w:cs="Arial"/>
          <w:sz w:val="19"/>
          <w:szCs w:val="19"/>
        </w:rPr>
        <w:t xml:space="preserve"> </w:t>
      </w:r>
      <w:r w:rsidRPr="00422EC2">
        <w:rPr>
          <w:rFonts w:ascii="Arial" w:hAnsi="Arial" w:cs="Arial"/>
          <w:color w:val="000000"/>
          <w:sz w:val="19"/>
          <w:szCs w:val="19"/>
          <w:bdr w:val="none" w:sz="0" w:space="0" w:color="auto" w:frame="1"/>
        </w:rPr>
        <w:t>Consejo de Estado. S</w:t>
      </w:r>
      <w:r w:rsidR="00BA5B3A">
        <w:rPr>
          <w:rFonts w:ascii="Arial" w:hAnsi="Arial" w:cs="Arial"/>
          <w:color w:val="000000"/>
          <w:sz w:val="19"/>
          <w:szCs w:val="19"/>
          <w:bdr w:val="none" w:sz="0" w:space="0" w:color="auto" w:frame="1"/>
        </w:rPr>
        <w:t>ala de lo Contencioso Administrativo, S</w:t>
      </w:r>
      <w:r w:rsidRPr="00422EC2">
        <w:rPr>
          <w:rFonts w:ascii="Arial" w:hAnsi="Arial" w:cs="Arial"/>
          <w:color w:val="000000"/>
          <w:sz w:val="19"/>
          <w:szCs w:val="19"/>
          <w:bdr w:val="none" w:sz="0" w:space="0" w:color="auto" w:frame="1"/>
        </w:rPr>
        <w:t>ección Tercera. Radicado No. 45.607</w:t>
      </w:r>
      <w:r w:rsidR="00BA5B3A">
        <w:rPr>
          <w:rFonts w:ascii="Arial" w:hAnsi="Arial" w:cs="Arial"/>
          <w:color w:val="000000"/>
          <w:sz w:val="19"/>
          <w:szCs w:val="19"/>
          <w:bdr w:val="none" w:sz="0" w:space="0" w:color="auto" w:frame="1"/>
        </w:rPr>
        <w:t>, sentencia</w:t>
      </w:r>
      <w:r w:rsidRPr="00422EC2">
        <w:rPr>
          <w:rFonts w:ascii="Arial" w:hAnsi="Arial" w:cs="Arial"/>
          <w:color w:val="000000"/>
          <w:sz w:val="19"/>
          <w:szCs w:val="19"/>
          <w:bdr w:val="none" w:sz="0" w:space="0" w:color="auto" w:frame="1"/>
        </w:rPr>
        <w:t xml:space="preserve"> del 24 de octubre de 2016</w:t>
      </w:r>
      <w:r w:rsidR="00BA5B3A">
        <w:rPr>
          <w:rFonts w:ascii="Arial" w:hAnsi="Arial" w:cs="Arial"/>
          <w:color w:val="000000"/>
          <w:sz w:val="19"/>
          <w:szCs w:val="19"/>
          <w:bdr w:val="none" w:sz="0" w:space="0" w:color="auto" w:frame="1"/>
        </w:rPr>
        <w:t>.</w:t>
      </w:r>
    </w:p>
    <w:p w14:paraId="50468899" w14:textId="77777777" w:rsidR="00BF14D0" w:rsidRPr="00422EC2" w:rsidRDefault="00BF14D0" w:rsidP="00BA5B3A">
      <w:pPr>
        <w:pStyle w:val="Textonotapie"/>
        <w:ind w:firstLine="708"/>
        <w:jc w:val="both"/>
        <w:rPr>
          <w:rFonts w:ascii="Arial" w:hAnsi="Arial" w:cs="Arial"/>
          <w:sz w:val="19"/>
          <w:szCs w:val="19"/>
          <w:lang w:val="es-ES"/>
        </w:rPr>
      </w:pPr>
    </w:p>
  </w:footnote>
  <w:footnote w:id="3">
    <w:p w14:paraId="54EDAF2E" w14:textId="66C6D4D6" w:rsidR="00BF14D0" w:rsidRPr="00D77CBA" w:rsidRDefault="00BF14D0" w:rsidP="00D77CBA">
      <w:pPr>
        <w:pStyle w:val="Textonotapie"/>
        <w:ind w:firstLine="708"/>
        <w:jc w:val="both"/>
        <w:rPr>
          <w:rFonts w:ascii="Arial" w:hAnsi="Arial" w:cs="Arial"/>
          <w:sz w:val="19"/>
          <w:szCs w:val="19"/>
          <w:lang w:val="es-ES"/>
        </w:rPr>
      </w:pPr>
      <w:r w:rsidRPr="00D77CBA">
        <w:rPr>
          <w:rStyle w:val="Refdenotaalpie"/>
          <w:rFonts w:ascii="Arial" w:hAnsi="Arial" w:cs="Arial"/>
          <w:sz w:val="19"/>
          <w:szCs w:val="19"/>
        </w:rPr>
        <w:footnoteRef/>
      </w:r>
      <w:r w:rsidRPr="00D77CBA">
        <w:rPr>
          <w:rFonts w:ascii="Arial" w:hAnsi="Arial" w:cs="Arial"/>
          <w:sz w:val="19"/>
          <w:szCs w:val="19"/>
        </w:rPr>
        <w:t xml:space="preserve"> Artículo 32, Ley 142 de 1994 “</w:t>
      </w:r>
      <w:r>
        <w:rPr>
          <w:rFonts w:ascii="Arial" w:hAnsi="Arial" w:cs="Arial"/>
          <w:color w:val="000000"/>
          <w:sz w:val="19"/>
          <w:szCs w:val="19"/>
          <w:bdr w:val="none" w:sz="0" w:space="0" w:color="auto" w:frame="1"/>
        </w:rPr>
        <w:t>S</w:t>
      </w:r>
      <w:r w:rsidRPr="00D77CBA">
        <w:rPr>
          <w:rFonts w:ascii="Arial" w:hAnsi="Arial" w:cs="Arial"/>
          <w:color w:val="000000"/>
          <w:sz w:val="19"/>
          <w:szCs w:val="19"/>
          <w:bdr w:val="none" w:sz="0" w:space="0" w:color="auto" w:frame="1"/>
        </w:rPr>
        <w:t xml:space="preserve">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B0854" w:rsidRDefault="00F410F2">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07CBD"/>
    <w:rsid w:val="00013D88"/>
    <w:rsid w:val="000168EE"/>
    <w:rsid w:val="00036D01"/>
    <w:rsid w:val="0004365E"/>
    <w:rsid w:val="00057F3B"/>
    <w:rsid w:val="0006698F"/>
    <w:rsid w:val="000803FE"/>
    <w:rsid w:val="000A1A4E"/>
    <w:rsid w:val="000A3221"/>
    <w:rsid w:val="000D77B7"/>
    <w:rsid w:val="001043ED"/>
    <w:rsid w:val="00125144"/>
    <w:rsid w:val="00130782"/>
    <w:rsid w:val="00196AA2"/>
    <w:rsid w:val="00197D73"/>
    <w:rsid w:val="001A453E"/>
    <w:rsid w:val="001B16A1"/>
    <w:rsid w:val="001B77B2"/>
    <w:rsid w:val="001C03B6"/>
    <w:rsid w:val="001D1DE1"/>
    <w:rsid w:val="001D6021"/>
    <w:rsid w:val="001E1555"/>
    <w:rsid w:val="001F0FBD"/>
    <w:rsid w:val="001F3972"/>
    <w:rsid w:val="002075E5"/>
    <w:rsid w:val="00235F26"/>
    <w:rsid w:val="00260EA4"/>
    <w:rsid w:val="0026277F"/>
    <w:rsid w:val="00266877"/>
    <w:rsid w:val="00275779"/>
    <w:rsid w:val="002A3CE1"/>
    <w:rsid w:val="002A47E2"/>
    <w:rsid w:val="002C010E"/>
    <w:rsid w:val="002C1193"/>
    <w:rsid w:val="002E17B2"/>
    <w:rsid w:val="00374DAD"/>
    <w:rsid w:val="00381F4E"/>
    <w:rsid w:val="003C03C7"/>
    <w:rsid w:val="003C182B"/>
    <w:rsid w:val="003C558A"/>
    <w:rsid w:val="003C79D8"/>
    <w:rsid w:val="003D76D7"/>
    <w:rsid w:val="003E3C01"/>
    <w:rsid w:val="00422EC2"/>
    <w:rsid w:val="00425809"/>
    <w:rsid w:val="004463D5"/>
    <w:rsid w:val="00454E7C"/>
    <w:rsid w:val="00483643"/>
    <w:rsid w:val="0049622A"/>
    <w:rsid w:val="004B2621"/>
    <w:rsid w:val="004B32FD"/>
    <w:rsid w:val="004D6641"/>
    <w:rsid w:val="004D6EB0"/>
    <w:rsid w:val="00503F21"/>
    <w:rsid w:val="00511A76"/>
    <w:rsid w:val="00527F05"/>
    <w:rsid w:val="00582F2B"/>
    <w:rsid w:val="00585342"/>
    <w:rsid w:val="00594A80"/>
    <w:rsid w:val="00597BF8"/>
    <w:rsid w:val="005B4540"/>
    <w:rsid w:val="005B475C"/>
    <w:rsid w:val="005D7830"/>
    <w:rsid w:val="005F5CB4"/>
    <w:rsid w:val="0062307B"/>
    <w:rsid w:val="00636C8E"/>
    <w:rsid w:val="00666936"/>
    <w:rsid w:val="00666FB4"/>
    <w:rsid w:val="00695198"/>
    <w:rsid w:val="006A443A"/>
    <w:rsid w:val="006A5DD8"/>
    <w:rsid w:val="006B382F"/>
    <w:rsid w:val="006C12B2"/>
    <w:rsid w:val="007021C0"/>
    <w:rsid w:val="0070525E"/>
    <w:rsid w:val="00706796"/>
    <w:rsid w:val="00707F5A"/>
    <w:rsid w:val="00710055"/>
    <w:rsid w:val="00727161"/>
    <w:rsid w:val="00787482"/>
    <w:rsid w:val="007916F1"/>
    <w:rsid w:val="007A1095"/>
    <w:rsid w:val="007E5A7C"/>
    <w:rsid w:val="007F2608"/>
    <w:rsid w:val="00806D63"/>
    <w:rsid w:val="0081421D"/>
    <w:rsid w:val="00841CB2"/>
    <w:rsid w:val="008803E0"/>
    <w:rsid w:val="00881238"/>
    <w:rsid w:val="00881473"/>
    <w:rsid w:val="008A4CA1"/>
    <w:rsid w:val="008B5722"/>
    <w:rsid w:val="008F639B"/>
    <w:rsid w:val="00902FF1"/>
    <w:rsid w:val="009076BF"/>
    <w:rsid w:val="009242CE"/>
    <w:rsid w:val="009254A7"/>
    <w:rsid w:val="0093097E"/>
    <w:rsid w:val="0093346A"/>
    <w:rsid w:val="009C37B5"/>
    <w:rsid w:val="009D1664"/>
    <w:rsid w:val="00A122AB"/>
    <w:rsid w:val="00A1440E"/>
    <w:rsid w:val="00A17C8D"/>
    <w:rsid w:val="00A22A5D"/>
    <w:rsid w:val="00A37206"/>
    <w:rsid w:val="00A46ADC"/>
    <w:rsid w:val="00A57CE2"/>
    <w:rsid w:val="00A851EC"/>
    <w:rsid w:val="00A95C83"/>
    <w:rsid w:val="00AA7647"/>
    <w:rsid w:val="00AB0BDD"/>
    <w:rsid w:val="00AC3B10"/>
    <w:rsid w:val="00AE0EA0"/>
    <w:rsid w:val="00AE2E8D"/>
    <w:rsid w:val="00AE5029"/>
    <w:rsid w:val="00AE6A39"/>
    <w:rsid w:val="00B23473"/>
    <w:rsid w:val="00B34B39"/>
    <w:rsid w:val="00B4530C"/>
    <w:rsid w:val="00B63EB7"/>
    <w:rsid w:val="00B75295"/>
    <w:rsid w:val="00B8088F"/>
    <w:rsid w:val="00B879D3"/>
    <w:rsid w:val="00B91AD7"/>
    <w:rsid w:val="00BA5B3A"/>
    <w:rsid w:val="00BA7E27"/>
    <w:rsid w:val="00BB3569"/>
    <w:rsid w:val="00BC42A3"/>
    <w:rsid w:val="00BE7D5D"/>
    <w:rsid w:val="00BF14D0"/>
    <w:rsid w:val="00BF3AEF"/>
    <w:rsid w:val="00C053C4"/>
    <w:rsid w:val="00C13859"/>
    <w:rsid w:val="00C31389"/>
    <w:rsid w:val="00C4483E"/>
    <w:rsid w:val="00C62B18"/>
    <w:rsid w:val="00C74D6A"/>
    <w:rsid w:val="00C82EF7"/>
    <w:rsid w:val="00C866A1"/>
    <w:rsid w:val="00D0298F"/>
    <w:rsid w:val="00D4736F"/>
    <w:rsid w:val="00D51E63"/>
    <w:rsid w:val="00D7257B"/>
    <w:rsid w:val="00D76CD8"/>
    <w:rsid w:val="00D77CBA"/>
    <w:rsid w:val="00D96087"/>
    <w:rsid w:val="00DB6FCA"/>
    <w:rsid w:val="00DC5965"/>
    <w:rsid w:val="00DE48C6"/>
    <w:rsid w:val="00DE7EA5"/>
    <w:rsid w:val="00DF72E7"/>
    <w:rsid w:val="00E03A3F"/>
    <w:rsid w:val="00E11C88"/>
    <w:rsid w:val="00E14224"/>
    <w:rsid w:val="00E23B13"/>
    <w:rsid w:val="00E26580"/>
    <w:rsid w:val="00E340A3"/>
    <w:rsid w:val="00E773FC"/>
    <w:rsid w:val="00E84C78"/>
    <w:rsid w:val="00E95F23"/>
    <w:rsid w:val="00E96F75"/>
    <w:rsid w:val="00EF0741"/>
    <w:rsid w:val="00F070CF"/>
    <w:rsid w:val="00F24AF8"/>
    <w:rsid w:val="00F31054"/>
    <w:rsid w:val="00F344A0"/>
    <w:rsid w:val="00F410F2"/>
    <w:rsid w:val="00F50EAF"/>
    <w:rsid w:val="00F61F2D"/>
    <w:rsid w:val="00F66099"/>
    <w:rsid w:val="00F7305C"/>
    <w:rsid w:val="00F81071"/>
    <w:rsid w:val="00F8200D"/>
    <w:rsid w:val="00F837C6"/>
    <w:rsid w:val="00F87AAB"/>
    <w:rsid w:val="00FC11E3"/>
    <w:rsid w:val="00FC4706"/>
    <w:rsid w:val="00FC544A"/>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B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semiHidden/>
    <w:unhideWhenUsed/>
    <w:rsid w:val="007E5A7C"/>
    <w:rPr>
      <w:sz w:val="20"/>
      <w:szCs w:val="20"/>
    </w:rPr>
  </w:style>
  <w:style w:type="character" w:customStyle="1" w:styleId="TextocomentarioCar">
    <w:name w:val="Texto comentario Car"/>
    <w:basedOn w:val="Fuentedeprrafopredeter"/>
    <w:link w:val="Textocomentario"/>
    <w:uiPriority w:val="99"/>
    <w:semiHidden/>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paragraph" w:customStyle="1" w:styleId="xmsonospacing">
    <w:name w:val="x_msonospacing"/>
    <w:basedOn w:val="Normal"/>
    <w:rsid w:val="00C866A1"/>
    <w:pPr>
      <w:spacing w:before="100" w:beforeAutospacing="1" w:after="100" w:afterAutospacing="1"/>
    </w:pPr>
  </w:style>
  <w:style w:type="paragraph" w:customStyle="1" w:styleId="xparagraph">
    <w:name w:val="x_paragraph"/>
    <w:basedOn w:val="Normal"/>
    <w:rsid w:val="00C866A1"/>
    <w:pPr>
      <w:spacing w:before="100" w:beforeAutospacing="1" w:after="100" w:afterAutospacing="1"/>
    </w:pPr>
  </w:style>
  <w:style w:type="character" w:customStyle="1" w:styleId="xnormaltextrun">
    <w:name w:val="x_normaltextrun"/>
    <w:basedOn w:val="Fuentedeprrafopredeter"/>
    <w:rsid w:val="00C866A1"/>
  </w:style>
  <w:style w:type="character" w:customStyle="1" w:styleId="xeop">
    <w:name w:val="x_eop"/>
    <w:basedOn w:val="Fuentedeprrafopredeter"/>
    <w:rsid w:val="00C866A1"/>
  </w:style>
  <w:style w:type="character" w:customStyle="1" w:styleId="xapple-converted-space">
    <w:name w:val="x_apple-converted-space"/>
    <w:basedOn w:val="Fuentedeprrafopredeter"/>
    <w:rsid w:val="00C86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1314042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48412123">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55230391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26089985">
      <w:bodyDiv w:val="1"/>
      <w:marLeft w:val="0"/>
      <w:marRight w:val="0"/>
      <w:marTop w:val="0"/>
      <w:marBottom w:val="0"/>
      <w:divBdr>
        <w:top w:val="none" w:sz="0" w:space="0" w:color="auto"/>
        <w:left w:val="none" w:sz="0" w:space="0" w:color="auto"/>
        <w:bottom w:val="none" w:sz="0" w:space="0" w:color="auto"/>
        <w:right w:val="none" w:sz="0" w:space="0" w:color="auto"/>
      </w:divBdr>
      <w:divsChild>
        <w:div w:id="1214002661">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36853545">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48DBE456-140E-4C62-B24A-4D1E29B8D664}"/>
</file>

<file path=customXml/itemProps3.xml><?xml version="1.0" encoding="utf-8"?>
<ds:datastoreItem xmlns:ds="http://schemas.openxmlformats.org/officeDocument/2006/customXml" ds:itemID="{6C5DAB85-FF60-4FA8-912A-8847569B2345}"/>
</file>

<file path=customXml/itemProps4.xml><?xml version="1.0" encoding="utf-8"?>
<ds:datastoreItem xmlns:ds="http://schemas.openxmlformats.org/officeDocument/2006/customXml" ds:itemID="{811C1301-DB12-4B40-A2CE-B1F9316CBC49}"/>
</file>

<file path=docProps/app.xml><?xml version="1.0" encoding="utf-8"?>
<Properties xmlns="http://schemas.openxmlformats.org/officeDocument/2006/extended-properties" xmlns:vt="http://schemas.openxmlformats.org/officeDocument/2006/docPropsVTypes">
  <Template>Normal.dotm</Template>
  <TotalTime>1</TotalTime>
  <Pages>7</Pages>
  <Words>2568</Words>
  <Characters>14124</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3</cp:revision>
  <dcterms:created xsi:type="dcterms:W3CDTF">2021-03-10T13:07:00Z</dcterms:created>
  <dcterms:modified xsi:type="dcterms:W3CDTF">2021-03-17T14:59:00Z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