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42FFC" w14:textId="77777777" w:rsidR="00A67976" w:rsidRDefault="00A67976" w:rsidP="00A67976">
      <w:pPr>
        <w:spacing w:after="0"/>
        <w:rPr>
          <w:rFonts w:ascii="Arial" w:eastAsia="Geomanist Light" w:hAnsi="Arial" w:cs="Arial"/>
          <w:b/>
          <w:bCs/>
          <w:color w:val="000000" w:themeColor="text1"/>
          <w:lang w:val="es-MX"/>
        </w:rPr>
      </w:pPr>
      <w:bookmarkStart w:id="0" w:name="_Hlk94281581"/>
      <w:bookmarkStart w:id="1" w:name="_Hlk102489058"/>
      <w:bookmarkStart w:id="2" w:name="_Hlk34951122"/>
      <w:r w:rsidRPr="0018158D">
        <w:rPr>
          <w:rFonts w:ascii="Arial" w:eastAsia="Geomanist Light" w:hAnsi="Arial" w:cs="Arial"/>
          <w:b/>
          <w:bCs/>
          <w:color w:val="000000" w:themeColor="text1"/>
          <w:lang w:val="es-MX"/>
        </w:rPr>
        <w:t xml:space="preserve">CONTRATOS O CONVENIOS INTERADMINISTRATIVOS – Definición – Criterio orgánico </w:t>
      </w:r>
    </w:p>
    <w:p w14:paraId="7091C2D1" w14:textId="77777777" w:rsidR="00A67976" w:rsidRPr="0018158D" w:rsidRDefault="00A67976" w:rsidP="00A67976">
      <w:pPr>
        <w:spacing w:after="0" w:line="240" w:lineRule="auto"/>
        <w:rPr>
          <w:rFonts w:ascii="Arial" w:eastAsia="Geomanist Light" w:hAnsi="Arial" w:cs="Arial"/>
          <w:b/>
          <w:bCs/>
          <w:color w:val="000000" w:themeColor="text1"/>
          <w:sz w:val="20"/>
          <w:szCs w:val="20"/>
          <w:lang w:val="es-MX"/>
        </w:rPr>
      </w:pPr>
    </w:p>
    <w:p w14:paraId="22EBB7E6" w14:textId="77777777" w:rsidR="00A67976" w:rsidRPr="0018158D" w:rsidRDefault="00A67976" w:rsidP="00A67976">
      <w:pPr>
        <w:spacing w:after="0" w:line="240" w:lineRule="auto"/>
        <w:jc w:val="both"/>
        <w:rPr>
          <w:rFonts w:ascii="Arial" w:eastAsia="Geomanist Light" w:hAnsi="Arial" w:cs="Arial"/>
          <w:color w:val="000000" w:themeColor="text1"/>
          <w:sz w:val="20"/>
          <w:szCs w:val="20"/>
        </w:rPr>
      </w:pPr>
      <w:r w:rsidRPr="00AB0BF6">
        <w:rPr>
          <w:rFonts w:ascii="Arial" w:eastAsia="Geomanist Light" w:hAnsi="Arial" w:cs="Arial"/>
          <w:color w:val="000000" w:themeColor="text1"/>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47FAC2A7" w14:textId="77777777" w:rsidR="00A67976" w:rsidRPr="00AB0BF6" w:rsidRDefault="00A67976" w:rsidP="00A67976">
      <w:pPr>
        <w:spacing w:after="0" w:line="240" w:lineRule="auto"/>
        <w:jc w:val="both"/>
        <w:rPr>
          <w:rFonts w:ascii="Arial" w:eastAsia="Geomanist Light" w:hAnsi="Arial" w:cs="Arial"/>
          <w:color w:val="000000" w:themeColor="text1"/>
          <w:sz w:val="20"/>
          <w:szCs w:val="20"/>
        </w:rPr>
      </w:pPr>
    </w:p>
    <w:p w14:paraId="7A0A612C" w14:textId="77777777" w:rsidR="00A67976" w:rsidRPr="0018158D" w:rsidRDefault="00A67976" w:rsidP="00A67976">
      <w:pPr>
        <w:spacing w:after="0" w:line="240" w:lineRule="auto"/>
        <w:jc w:val="both"/>
        <w:rPr>
          <w:rFonts w:ascii="Arial" w:eastAsia="Geomanist Light" w:hAnsi="Arial" w:cs="Arial"/>
          <w:color w:val="000000" w:themeColor="text1"/>
          <w:sz w:val="20"/>
          <w:szCs w:val="20"/>
        </w:rPr>
      </w:pPr>
      <w:r w:rsidRPr="00AB0BF6">
        <w:rPr>
          <w:rFonts w:ascii="Arial" w:eastAsia="Geomanist Light" w:hAnsi="Arial" w:cs="Arial"/>
          <w:color w:val="000000" w:themeColor="text1"/>
          <w:sz w:val="20"/>
          <w:szCs w:val="20"/>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7B3ED363" w14:textId="77777777" w:rsidR="00A67976" w:rsidRPr="0018158D" w:rsidRDefault="00A67976" w:rsidP="00A67976">
      <w:pPr>
        <w:spacing w:after="0" w:line="240" w:lineRule="auto"/>
        <w:jc w:val="both"/>
        <w:rPr>
          <w:rFonts w:ascii="Arial" w:eastAsia="Geomanist Light" w:hAnsi="Arial" w:cs="Arial"/>
          <w:color w:val="000000" w:themeColor="text1"/>
          <w:sz w:val="20"/>
          <w:szCs w:val="20"/>
        </w:rPr>
      </w:pPr>
    </w:p>
    <w:p w14:paraId="3440674A" w14:textId="77777777" w:rsidR="00A67976" w:rsidRDefault="00A67976" w:rsidP="00A67976">
      <w:pPr>
        <w:spacing w:after="0"/>
        <w:jc w:val="both"/>
        <w:rPr>
          <w:rFonts w:ascii="Arial" w:eastAsia="Geomanist Light" w:hAnsi="Arial" w:cs="Arial"/>
          <w:b/>
          <w:bCs/>
          <w:color w:val="000000" w:themeColor="text1"/>
          <w:lang w:val="es-MX"/>
        </w:rPr>
      </w:pPr>
      <w:r w:rsidRPr="0018158D">
        <w:rPr>
          <w:rFonts w:ascii="Arial" w:eastAsia="Geomanist Light" w:hAnsi="Arial" w:cs="Arial"/>
          <w:b/>
          <w:bCs/>
          <w:color w:val="000000" w:themeColor="text1"/>
          <w:lang w:val="es-MX"/>
        </w:rPr>
        <w:t xml:space="preserve">CONTRATOS Y CONVENIOS INTERADMINISTRATIVOS – Diferencias – Similitudes </w:t>
      </w:r>
    </w:p>
    <w:p w14:paraId="25C75222" w14:textId="77777777" w:rsidR="00A67976" w:rsidRPr="00AB0BF6" w:rsidRDefault="00A67976" w:rsidP="00A67976">
      <w:pPr>
        <w:spacing w:after="0" w:line="240" w:lineRule="auto"/>
        <w:jc w:val="both"/>
        <w:rPr>
          <w:rFonts w:ascii="Arial" w:eastAsia="Geomanist Light" w:hAnsi="Arial" w:cs="Arial"/>
          <w:b/>
          <w:bCs/>
          <w:color w:val="000000" w:themeColor="text1"/>
          <w:sz w:val="20"/>
          <w:szCs w:val="20"/>
        </w:rPr>
      </w:pPr>
    </w:p>
    <w:p w14:paraId="6AA6AA6E" w14:textId="77777777" w:rsidR="00A67976" w:rsidRPr="0018158D" w:rsidRDefault="00A67976" w:rsidP="00A67976">
      <w:pPr>
        <w:spacing w:after="0" w:line="240" w:lineRule="auto"/>
        <w:jc w:val="both"/>
        <w:rPr>
          <w:rFonts w:ascii="Arial" w:hAnsi="Arial" w:cs="Arial"/>
          <w:sz w:val="20"/>
          <w:szCs w:val="20"/>
        </w:rPr>
      </w:pPr>
      <w:r w:rsidRPr="0018158D">
        <w:rPr>
          <w:rFonts w:ascii="Arial" w:eastAsia="Calibri" w:hAnsi="Arial" w:cs="Arial"/>
          <w:bCs/>
          <w:color w:val="000000" w:themeColor="text1"/>
          <w:sz w:val="20"/>
          <w:szCs w:val="20"/>
          <w:lang w:bidi="es-ES"/>
        </w:rPr>
        <w:t xml:space="preserve">[…] mientras que el </w:t>
      </w:r>
      <w:r w:rsidRPr="0018158D">
        <w:rPr>
          <w:rFonts w:ascii="Arial" w:eastAsia="Calibri" w:hAnsi="Arial" w:cs="Arial"/>
          <w:bCs/>
          <w:i/>
          <w:iCs/>
          <w:color w:val="000000" w:themeColor="text1"/>
          <w:sz w:val="20"/>
          <w:szCs w:val="20"/>
          <w:lang w:bidi="es-ES"/>
        </w:rPr>
        <w:t>contrato interadministrativo</w:t>
      </w:r>
      <w:r w:rsidRPr="0018158D">
        <w:rPr>
          <w:rFonts w:ascii="Arial" w:eastAsia="Calibri" w:hAnsi="Arial" w:cs="Arial"/>
          <w:bCs/>
          <w:color w:val="000000" w:themeColor="text1"/>
          <w:sz w:val="20"/>
          <w:szCs w:val="20"/>
          <w:lang w:bidi="es-ES"/>
        </w:rPr>
        <w:t xml:space="preserve"> se caracteriza por su naturaleza onerosa, patrimonial y se conforma por intereses básicamente contrapuestos, los </w:t>
      </w:r>
      <w:r w:rsidRPr="0018158D">
        <w:rPr>
          <w:rFonts w:ascii="Arial" w:eastAsia="Calibri" w:hAnsi="Arial" w:cs="Arial"/>
          <w:bCs/>
          <w:i/>
          <w:iCs/>
          <w:color w:val="000000" w:themeColor="text1"/>
          <w:sz w:val="20"/>
          <w:szCs w:val="20"/>
          <w:lang w:bidi="es-ES"/>
        </w:rPr>
        <w:t>convenios interadministrativos</w:t>
      </w:r>
      <w:r w:rsidRPr="0018158D">
        <w:rPr>
          <w:rFonts w:ascii="Arial" w:eastAsia="Calibri" w:hAnsi="Arial" w:cs="Arial"/>
          <w:bCs/>
          <w:color w:val="000000" w:themeColor="text1"/>
          <w:sz w:val="20"/>
          <w:szCs w:val="20"/>
          <w:lang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w:t>
      </w:r>
      <w:r w:rsidRPr="0018158D">
        <w:rPr>
          <w:sz w:val="20"/>
          <w:szCs w:val="20"/>
        </w:rPr>
        <w:t xml:space="preserve"> </w:t>
      </w:r>
      <w:r w:rsidRPr="0018158D">
        <w:rPr>
          <w:rFonts w:ascii="Arial" w:eastAsia="Calibri" w:hAnsi="Arial" w:cs="Arial"/>
          <w:color w:val="000000" w:themeColor="text1"/>
          <w:sz w:val="20"/>
          <w:szCs w:val="20"/>
          <w:lang w:eastAsia="en-GB"/>
        </w:rPr>
        <w:t xml:space="preserve">[…] la distinción también se plantea en el ámbito del derecho privado con la referencia a los contratos de contraprestación y de colaboración;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 </w:t>
      </w:r>
      <w:r w:rsidRPr="0018158D">
        <w:rPr>
          <w:rFonts w:ascii="Arial" w:hAnsi="Arial" w:cs="Arial"/>
          <w:sz w:val="20"/>
          <w:szCs w:val="20"/>
        </w:rPr>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w:t>
      </w:r>
    </w:p>
    <w:p w14:paraId="16E53420" w14:textId="77777777" w:rsidR="00A67976" w:rsidRPr="0018158D" w:rsidRDefault="00A67976" w:rsidP="00A67976">
      <w:pPr>
        <w:spacing w:after="0" w:line="240" w:lineRule="auto"/>
        <w:jc w:val="both"/>
        <w:rPr>
          <w:rFonts w:ascii="Arial" w:hAnsi="Arial" w:cs="Arial"/>
          <w:sz w:val="20"/>
          <w:szCs w:val="20"/>
        </w:rPr>
      </w:pPr>
    </w:p>
    <w:p w14:paraId="720D7442" w14:textId="77777777" w:rsidR="00A67976" w:rsidRDefault="00A67976" w:rsidP="00A67976">
      <w:pPr>
        <w:spacing w:after="0"/>
        <w:jc w:val="both"/>
        <w:rPr>
          <w:rFonts w:ascii="Arial" w:hAnsi="Arial" w:cs="Arial"/>
          <w:b/>
          <w:bCs/>
        </w:rPr>
      </w:pPr>
      <w:r w:rsidRPr="0018158D">
        <w:rPr>
          <w:rFonts w:ascii="Arial" w:hAnsi="Arial" w:cs="Arial"/>
          <w:b/>
          <w:bCs/>
        </w:rPr>
        <w:t xml:space="preserve">DOCUMENTOS TIPO – Fundamento normativo – Obligatoriedad – Ámbito de aplicación – Entidades sometidas  </w:t>
      </w:r>
    </w:p>
    <w:p w14:paraId="0931F081" w14:textId="77777777" w:rsidR="00A67976" w:rsidRPr="0018158D" w:rsidRDefault="00A67976" w:rsidP="00A67976">
      <w:pPr>
        <w:spacing w:after="0" w:line="240" w:lineRule="auto"/>
        <w:jc w:val="both"/>
        <w:rPr>
          <w:rFonts w:ascii="Arial" w:hAnsi="Arial" w:cs="Arial"/>
          <w:b/>
          <w:bCs/>
          <w:sz w:val="20"/>
          <w:szCs w:val="20"/>
        </w:rPr>
      </w:pPr>
    </w:p>
    <w:p w14:paraId="5BE44753" w14:textId="77777777" w:rsidR="00A67976" w:rsidRPr="0018158D" w:rsidRDefault="00A67976" w:rsidP="00A67976">
      <w:pPr>
        <w:spacing w:after="0" w:line="240" w:lineRule="auto"/>
        <w:jc w:val="both"/>
        <w:rPr>
          <w:rFonts w:ascii="Arial" w:eastAsia="Calibri" w:hAnsi="Arial" w:cs="Arial"/>
          <w:sz w:val="20"/>
          <w:szCs w:val="20"/>
          <w:lang w:val="es-ES_tradnl" w:eastAsia="es-ES"/>
        </w:rPr>
      </w:pPr>
      <w:r w:rsidRPr="0018158D">
        <w:rPr>
          <w:rFonts w:ascii="Arial" w:eastAsia="Calibri" w:hAnsi="Arial"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18158D">
        <w:rPr>
          <w:rFonts w:ascii="Arial" w:eastAsia="Calibri" w:hAnsi="Arial" w:cs="Arial"/>
          <w:bCs/>
          <w:sz w:val="20"/>
          <w:szCs w:val="20"/>
          <w:lang w:val="es-ES_tradnl" w:eastAsia="es-ES_tradnl"/>
        </w:rPr>
        <w:t>EGCAP</w:t>
      </w:r>
      <w:r w:rsidRPr="0018158D">
        <w:rPr>
          <w:rFonts w:ascii="Arial" w:eastAsia="Calibri" w:hAnsi="Arial" w:cs="Arial"/>
          <w:sz w:val="20"/>
          <w:szCs w:val="20"/>
          <w:lang w:val="es-ES_tradnl" w:eastAsia="es-ES"/>
        </w:rPr>
        <w:t xml:space="preserve">, se atribuyó a la </w:t>
      </w:r>
      <w:r w:rsidRPr="0018158D">
        <w:rPr>
          <w:rFonts w:ascii="Arial" w:eastAsia="Calibri" w:hAnsi="Arial" w:cs="Arial"/>
          <w:sz w:val="20"/>
          <w:szCs w:val="20"/>
          <w:lang w:val="es-ES_tradnl"/>
        </w:rPr>
        <w:t xml:space="preserve">Agencia Nacional de Contratación Pública – Colombia Compra Eficiente la competencia para su expedición. </w:t>
      </w:r>
      <w:r w:rsidRPr="0018158D">
        <w:rPr>
          <w:rFonts w:ascii="Arial" w:eastAsia="Calibri" w:hAnsi="Arial" w:cs="Arial"/>
          <w:sz w:val="20"/>
          <w:szCs w:val="20"/>
          <w:lang w:val="es-ES_tradnl" w:eastAsia="es-ES"/>
        </w:rPr>
        <w:t xml:space="preserve">En este marco, con la finalidad de realizar un desarrollo armónico y ajustado de la ley que le otorga la mencionada competencia, esta Agencia expidió la Resolución 160 del 15 de septiembre de 2020, </w:t>
      </w:r>
      <w:r w:rsidRPr="0018158D">
        <w:rPr>
          <w:rFonts w:ascii="Arial" w:eastAsia="Calibri" w:hAnsi="Arial" w:cs="Arial"/>
          <w:i/>
          <w:iCs/>
          <w:sz w:val="20"/>
          <w:szCs w:val="20"/>
          <w:lang w:val="es-ES_tradnl" w:eastAsia="es-ES"/>
        </w:rPr>
        <w:t>“Por la cual se adopta el procedimiento para implementar los documentos tipo y se define el sistema para su revisión”.</w:t>
      </w:r>
      <w:r w:rsidRPr="0018158D">
        <w:rPr>
          <w:rFonts w:ascii="Arial" w:eastAsia="Calibri" w:hAnsi="Arial" w:cs="Arial"/>
          <w:sz w:val="20"/>
          <w:szCs w:val="20"/>
          <w:lang w:val="es-ES_tradnl" w:eastAsia="es-ES"/>
        </w:rPr>
        <w:t xml:space="preserve"> </w:t>
      </w:r>
    </w:p>
    <w:p w14:paraId="5F911969" w14:textId="77777777" w:rsidR="00A67976" w:rsidRPr="0018158D" w:rsidRDefault="00A67976" w:rsidP="00A67976">
      <w:pPr>
        <w:spacing w:after="0" w:line="240" w:lineRule="auto"/>
        <w:jc w:val="both"/>
        <w:rPr>
          <w:rFonts w:ascii="Arial" w:eastAsia="Calibri" w:hAnsi="Arial" w:cs="Arial"/>
          <w:sz w:val="20"/>
          <w:szCs w:val="20"/>
          <w:lang w:val="es-ES_tradnl" w:eastAsia="es-ES"/>
        </w:rPr>
      </w:pPr>
    </w:p>
    <w:p w14:paraId="5C88BE50" w14:textId="77777777" w:rsidR="00A67976" w:rsidRPr="0018158D" w:rsidRDefault="00A67976" w:rsidP="00A67976">
      <w:pPr>
        <w:spacing w:after="0" w:line="240" w:lineRule="auto"/>
        <w:jc w:val="both"/>
        <w:rPr>
          <w:rFonts w:ascii="Arial" w:eastAsia="Calibri" w:hAnsi="Arial" w:cs="Arial"/>
          <w:sz w:val="20"/>
          <w:szCs w:val="20"/>
          <w:lang w:eastAsia="en-GB"/>
        </w:rPr>
      </w:pPr>
      <w:r w:rsidRPr="0018158D">
        <w:rPr>
          <w:rFonts w:ascii="Arial" w:eastAsia="Calibri" w:hAnsi="Arial" w:cs="Arial"/>
          <w:sz w:val="20"/>
          <w:szCs w:val="20"/>
          <w:lang w:eastAsia="es-ES_tradnl"/>
        </w:rPr>
        <w:t xml:space="preserve">De acuerdo con lo expuesto, </w:t>
      </w:r>
      <w:r w:rsidRPr="0018158D">
        <w:rPr>
          <w:rFonts w:ascii="Arial" w:eastAsia="Calibri" w:hAnsi="Arial" w:cs="Arial"/>
          <w:sz w:val="20"/>
          <w:szCs w:val="20"/>
          <w:bdr w:val="none" w:sz="0" w:space="0" w:color="auto" w:frame="1"/>
          <w:lang w:eastAsia="es-ES_tradnl"/>
        </w:rPr>
        <w:t xml:space="preserve">los documentos tipo adoptados son obligatorios para las entidades estatales regidas por el </w:t>
      </w:r>
      <w:r w:rsidRPr="0018158D">
        <w:rPr>
          <w:rFonts w:ascii="Arial" w:eastAsia="Calibri" w:hAnsi="Arial" w:cs="Arial"/>
          <w:bCs/>
          <w:sz w:val="20"/>
          <w:szCs w:val="20"/>
          <w:lang w:val="es-ES_tradnl" w:eastAsia="es-ES_tradnl"/>
        </w:rPr>
        <w:t>EGCAP</w:t>
      </w:r>
      <w:r w:rsidRPr="0018158D">
        <w:rPr>
          <w:rFonts w:ascii="Arial" w:eastAsia="Calibri" w:hAnsi="Arial"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18158D">
        <w:rPr>
          <w:rFonts w:ascii="Arial" w:eastAsia="Calibri" w:hAnsi="Arial" w:cs="Arial"/>
          <w:sz w:val="20"/>
          <w:szCs w:val="20"/>
          <w:lang w:eastAsia="en-GB"/>
        </w:rPr>
        <w:t xml:space="preserve">La obligatoriedad del contenido de los documentos tipo implica que las entidades estatales tengan que </w:t>
      </w:r>
      <w:r w:rsidRPr="0018158D">
        <w:rPr>
          <w:rFonts w:ascii="Arial" w:eastAsia="Calibri" w:hAnsi="Arial" w:cs="Arial"/>
          <w:sz w:val="20"/>
          <w:szCs w:val="20"/>
          <w:lang w:eastAsia="en-GB"/>
        </w:rPr>
        <w:lastRenderedPageBreak/>
        <w:t>adelantar los procesos de contratación ciñéndose a las condiciones establecidas en los documentos tipo, sin que puedan variarse los requisitos fijados en ellos.</w:t>
      </w:r>
    </w:p>
    <w:p w14:paraId="04F9F5DB" w14:textId="77777777" w:rsidR="00A67976" w:rsidRPr="0018158D" w:rsidRDefault="00A67976" w:rsidP="00A67976">
      <w:pPr>
        <w:spacing w:after="0" w:line="240" w:lineRule="auto"/>
        <w:jc w:val="both"/>
        <w:rPr>
          <w:rFonts w:ascii="Arial" w:eastAsia="Calibri" w:hAnsi="Arial" w:cs="Arial"/>
          <w:sz w:val="20"/>
          <w:szCs w:val="20"/>
          <w:lang w:eastAsia="en-GB"/>
        </w:rPr>
      </w:pPr>
    </w:p>
    <w:p w14:paraId="04599087" w14:textId="77777777" w:rsidR="00A67976" w:rsidRDefault="00A67976" w:rsidP="00A67976">
      <w:pPr>
        <w:spacing w:after="0"/>
        <w:jc w:val="both"/>
        <w:rPr>
          <w:rFonts w:ascii="Arial" w:eastAsia="Calibri" w:hAnsi="Arial" w:cs="Arial"/>
          <w:b/>
          <w:bCs/>
          <w:lang w:eastAsia="en-GB"/>
        </w:rPr>
      </w:pPr>
      <w:r w:rsidRPr="0018158D">
        <w:rPr>
          <w:rFonts w:ascii="Arial" w:eastAsia="Calibri" w:hAnsi="Arial" w:cs="Arial"/>
          <w:b/>
          <w:bCs/>
          <w:lang w:eastAsia="en-GB"/>
        </w:rPr>
        <w:t xml:space="preserve">DOCUMENTOS TIPO – Extensión – Ámbito de aplicación – Excepciones </w:t>
      </w:r>
    </w:p>
    <w:p w14:paraId="7B0A46D5" w14:textId="77777777" w:rsidR="00A67976" w:rsidRPr="0018158D" w:rsidRDefault="00A67976" w:rsidP="00A67976">
      <w:pPr>
        <w:spacing w:after="0" w:line="240" w:lineRule="auto"/>
        <w:jc w:val="both"/>
        <w:rPr>
          <w:rFonts w:ascii="Arial" w:eastAsia="Calibri" w:hAnsi="Arial" w:cs="Arial"/>
          <w:b/>
          <w:bCs/>
          <w:sz w:val="20"/>
          <w:szCs w:val="20"/>
          <w:lang w:eastAsia="en-GB"/>
        </w:rPr>
      </w:pPr>
    </w:p>
    <w:p w14:paraId="544C57A2" w14:textId="77777777" w:rsidR="00A67976" w:rsidRPr="0018158D" w:rsidRDefault="00A67976" w:rsidP="00A67976">
      <w:pPr>
        <w:spacing w:after="0" w:line="240" w:lineRule="auto"/>
        <w:jc w:val="both"/>
        <w:rPr>
          <w:rFonts w:ascii="Arial" w:hAnsi="Arial" w:cs="Arial"/>
          <w:sz w:val="20"/>
          <w:szCs w:val="20"/>
          <w:lang w:val="es-ES_tradnl"/>
        </w:rPr>
      </w:pPr>
      <w:r w:rsidRPr="0018158D">
        <w:rPr>
          <w:rFonts w:ascii="Arial" w:hAnsi="Arial" w:cs="Arial"/>
          <w:sz w:val="20"/>
          <w:szCs w:val="20"/>
          <w:lang w:val="es-ES_tradnl"/>
        </w:rPr>
        <w:t xml:space="preserve">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Adicionalmente, en atención a lo dispuesto en los dos primeros incisos del artículo 56 de la Ley 2195 de 2022, cuando estas entidades suscriban convenios o contratos de cualquier índole con entidades estatales de régimen especial o exceptuado, patrimonios autónomos, personas naturales o jurídicas de derecho privado, también deberán aplicar documentos tipo, y en general, las disposiciones del Estatuto General de Contratación de la Administración Pública. </w:t>
      </w:r>
    </w:p>
    <w:p w14:paraId="0FCABE3E" w14:textId="77777777" w:rsidR="00A67976" w:rsidRPr="0018158D" w:rsidRDefault="00A67976" w:rsidP="00A67976">
      <w:pPr>
        <w:spacing w:after="0" w:line="240" w:lineRule="auto"/>
        <w:jc w:val="both"/>
        <w:rPr>
          <w:rFonts w:ascii="Arial" w:hAnsi="Arial" w:cs="Arial"/>
          <w:sz w:val="20"/>
          <w:szCs w:val="20"/>
          <w:lang w:val="es-ES_tradnl"/>
        </w:rPr>
      </w:pPr>
    </w:p>
    <w:p w14:paraId="6FF10293" w14:textId="77777777" w:rsidR="00A67976" w:rsidRDefault="00A67976" w:rsidP="00A67976">
      <w:pPr>
        <w:tabs>
          <w:tab w:val="left" w:pos="0"/>
        </w:tabs>
        <w:spacing w:after="0" w:line="240" w:lineRule="auto"/>
        <w:jc w:val="both"/>
        <w:rPr>
          <w:rFonts w:ascii="Arial" w:eastAsia="Calibri" w:hAnsi="Arial" w:cs="Arial"/>
          <w:bCs/>
          <w:sz w:val="20"/>
          <w:szCs w:val="20"/>
          <w:lang w:val="es-ES_tradnl" w:eastAsia="es-ES_tradnl"/>
        </w:rPr>
      </w:pPr>
      <w:r w:rsidRPr="0018158D">
        <w:rPr>
          <w:rFonts w:ascii="Arial" w:eastAsia="Calibri" w:hAnsi="Arial"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18158D">
        <w:rPr>
          <w:rFonts w:ascii="Arial" w:eastAsia="Calibri" w:hAnsi="Arial" w:cs="Arial"/>
          <w:bCs/>
          <w:i/>
          <w:iCs/>
          <w:sz w:val="20"/>
          <w:szCs w:val="20"/>
          <w:lang w:val="es-ES_tradnl" w:eastAsia="es-ES_tradnl"/>
        </w:rPr>
        <w:t>giro ordinario</w:t>
      </w:r>
      <w:r w:rsidRPr="0018158D">
        <w:rPr>
          <w:rFonts w:ascii="Arial" w:eastAsia="Calibri" w:hAnsi="Arial"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18158D">
        <w:rPr>
          <w:rFonts w:ascii="Arial" w:eastAsia="Calibri" w:hAnsi="Arial" w:cs="Arial"/>
          <w:bCs/>
          <w:sz w:val="20"/>
          <w:szCs w:val="20"/>
          <w:lang w:val="es-ES_tradnl" w:eastAsia="es-ES_tradnl"/>
        </w:rPr>
        <w:t>ii</w:t>
      </w:r>
      <w:proofErr w:type="spellEnd"/>
      <w:r w:rsidRPr="0018158D">
        <w:rPr>
          <w:rFonts w:ascii="Arial" w:eastAsia="Calibri" w:hAnsi="Arial" w:cs="Arial"/>
          <w:bCs/>
          <w:sz w:val="20"/>
          <w:szCs w:val="20"/>
          <w:lang w:val="es-ES_tradnl" w:eastAsia="es-ES_tradnl"/>
        </w:rPr>
        <w:t xml:space="preserve">) las empresas sociales del Estado, </w:t>
      </w:r>
      <w:proofErr w:type="spellStart"/>
      <w:r w:rsidRPr="0018158D">
        <w:rPr>
          <w:rFonts w:ascii="Arial" w:eastAsia="Calibri" w:hAnsi="Arial" w:cs="Arial"/>
          <w:bCs/>
          <w:sz w:val="20"/>
          <w:szCs w:val="20"/>
          <w:lang w:val="es-ES_tradnl" w:eastAsia="es-ES_tradnl"/>
        </w:rPr>
        <w:t>iii</w:t>
      </w:r>
      <w:proofErr w:type="spellEnd"/>
      <w:r w:rsidRPr="0018158D">
        <w:rPr>
          <w:rFonts w:ascii="Arial" w:eastAsia="Calibri" w:hAnsi="Arial" w:cs="Arial"/>
          <w:bCs/>
          <w:sz w:val="20"/>
          <w:szCs w:val="20"/>
          <w:lang w:val="es-ES_tradnl" w:eastAsia="es-ES_tradnl"/>
        </w:rPr>
        <w:t xml:space="preserve">) las sociedades de economía mixta y </w:t>
      </w:r>
      <w:proofErr w:type="spellStart"/>
      <w:r w:rsidRPr="0018158D">
        <w:rPr>
          <w:rFonts w:ascii="Arial" w:eastAsia="Calibri" w:hAnsi="Arial" w:cs="Arial"/>
          <w:bCs/>
          <w:sz w:val="20"/>
          <w:szCs w:val="20"/>
          <w:lang w:val="es-ES_tradnl" w:eastAsia="es-ES_tradnl"/>
        </w:rPr>
        <w:t>iv</w:t>
      </w:r>
      <w:proofErr w:type="spellEnd"/>
      <w:r w:rsidRPr="0018158D">
        <w:rPr>
          <w:rFonts w:ascii="Arial" w:eastAsia="Calibri" w:hAnsi="Arial" w:cs="Arial"/>
          <w:bCs/>
          <w:sz w:val="20"/>
          <w:szCs w:val="20"/>
          <w:lang w:val="es-ES_tradnl" w:eastAsia="es-ES_tradnl"/>
        </w:rPr>
        <w:t xml:space="preserve">) las empresas industriales y comerciales del Estado, únicamente, en la contratación relacionada con el </w:t>
      </w:r>
      <w:r w:rsidRPr="0018158D">
        <w:rPr>
          <w:rFonts w:ascii="Arial" w:eastAsia="Calibri" w:hAnsi="Arial" w:cs="Arial"/>
          <w:bCs/>
          <w:i/>
          <w:iCs/>
          <w:sz w:val="20"/>
          <w:szCs w:val="20"/>
          <w:lang w:val="es-ES_tradnl" w:eastAsia="es-ES_tradnl"/>
        </w:rPr>
        <w:t>giro ordinario.</w:t>
      </w:r>
      <w:r w:rsidRPr="0018158D">
        <w:rPr>
          <w:rFonts w:ascii="Arial" w:eastAsia="Calibri" w:hAnsi="Arial" w:cs="Arial"/>
          <w:bCs/>
          <w:sz w:val="20"/>
          <w:szCs w:val="20"/>
          <w:lang w:val="es-ES_tradnl" w:eastAsia="es-ES_tradnl"/>
        </w:rPr>
        <w:t xml:space="preserve"> Esto significa que, en la contratación asociada a su </w:t>
      </w:r>
      <w:r w:rsidRPr="0018158D">
        <w:rPr>
          <w:rFonts w:ascii="Arial" w:eastAsia="Calibri" w:hAnsi="Arial" w:cs="Arial"/>
          <w:bCs/>
          <w:i/>
          <w:iCs/>
          <w:sz w:val="20"/>
          <w:szCs w:val="20"/>
          <w:lang w:val="es-ES_tradnl" w:eastAsia="es-ES_tradnl"/>
        </w:rPr>
        <w:t xml:space="preserve">giro ordinario, </w:t>
      </w:r>
      <w:r w:rsidRPr="0018158D">
        <w:rPr>
          <w:rFonts w:ascii="Arial" w:eastAsia="Calibri" w:hAnsi="Arial" w:cs="Arial"/>
          <w:bCs/>
          <w:sz w:val="20"/>
          <w:szCs w:val="20"/>
          <w:lang w:val="es-ES_tradnl" w:eastAsia="es-ES_tradnl"/>
        </w:rPr>
        <w:t>estos tipos de entidades no tendrían que aplicar, de manera obligatoria, los documentos tipo, ni tampoco el EGCAP.</w:t>
      </w:r>
      <w:r w:rsidRPr="0018158D">
        <w:rPr>
          <w:rFonts w:ascii="Arial" w:eastAsia="Times New Roman" w:hAnsi="Arial" w:cs="Arial"/>
          <w:sz w:val="20"/>
          <w:szCs w:val="20"/>
          <w:lang w:eastAsia="es-ES_tradnl"/>
        </w:rPr>
        <w:t xml:space="preserve"> es decir, si entidades estatales exceptuadas pretenden ser adjudicatarias de estos contratos, no deben someterse a un proceso de selección en el que se apliquen documentos tipo expedidos por esta Agencia. </w:t>
      </w:r>
      <w:r w:rsidRPr="0018158D">
        <w:rPr>
          <w:rFonts w:ascii="Arial" w:eastAsia="Calibri" w:hAnsi="Arial" w:cs="Arial"/>
          <w:bCs/>
          <w:sz w:val="20"/>
          <w:szCs w:val="20"/>
          <w:lang w:val="es-ES_tradnl" w:eastAsia="es-ES_tradnl"/>
        </w:rPr>
        <w:t xml:space="preserve">En este caso la norma se limita a fomentar la implementación de documentos tipo a modo de buena práctica contractual, en los casos en los que se estime conveniente. </w:t>
      </w:r>
    </w:p>
    <w:p w14:paraId="0BFCA822" w14:textId="77777777" w:rsidR="00A67976" w:rsidRPr="0018158D" w:rsidRDefault="00A67976" w:rsidP="00A67976">
      <w:pPr>
        <w:tabs>
          <w:tab w:val="left" w:pos="0"/>
        </w:tabs>
        <w:spacing w:after="0" w:line="240" w:lineRule="auto"/>
        <w:jc w:val="both"/>
        <w:rPr>
          <w:rFonts w:ascii="Arial" w:eastAsia="Calibri" w:hAnsi="Arial" w:cs="Arial"/>
          <w:bCs/>
          <w:sz w:val="20"/>
          <w:szCs w:val="20"/>
          <w:lang w:val="es-ES_tradnl" w:eastAsia="es-ES_tradnl"/>
        </w:rPr>
      </w:pPr>
    </w:p>
    <w:p w14:paraId="76CAD506" w14:textId="77777777" w:rsidR="00A67976" w:rsidRDefault="00A67976" w:rsidP="00A67976">
      <w:pPr>
        <w:tabs>
          <w:tab w:val="left" w:pos="0"/>
        </w:tabs>
        <w:spacing w:after="0" w:line="276" w:lineRule="auto"/>
        <w:jc w:val="both"/>
        <w:rPr>
          <w:rFonts w:ascii="Arial" w:eastAsia="Calibri" w:hAnsi="Arial" w:cs="Arial"/>
          <w:b/>
          <w:lang w:val="es-ES_tradnl" w:eastAsia="es-ES_tradnl"/>
        </w:rPr>
      </w:pPr>
      <w:r w:rsidRPr="0018158D">
        <w:rPr>
          <w:rFonts w:ascii="Arial" w:eastAsia="Calibri" w:hAnsi="Arial" w:cs="Arial"/>
          <w:b/>
          <w:lang w:val="es-ES_tradnl" w:eastAsia="es-ES_tradnl"/>
        </w:rPr>
        <w:t>DOCUMENTOS TIPO – Infraestructura Social – Bienes o servicios adicionales – Contratos llave en mano – Obligatoriedad</w:t>
      </w:r>
    </w:p>
    <w:p w14:paraId="5E5B3B9E" w14:textId="77777777" w:rsidR="00A67976" w:rsidRPr="0018158D" w:rsidRDefault="00A67976" w:rsidP="00A67976">
      <w:pPr>
        <w:tabs>
          <w:tab w:val="left" w:pos="0"/>
        </w:tabs>
        <w:spacing w:after="0" w:line="240" w:lineRule="auto"/>
        <w:jc w:val="both"/>
        <w:rPr>
          <w:rFonts w:ascii="Arial" w:eastAsia="Calibri" w:hAnsi="Arial" w:cs="Arial"/>
          <w:b/>
          <w:sz w:val="20"/>
          <w:szCs w:val="20"/>
          <w:lang w:val="es-ES_tradnl" w:eastAsia="es-ES_tradnl"/>
        </w:rPr>
      </w:pPr>
    </w:p>
    <w:p w14:paraId="6D0B00BA" w14:textId="77777777" w:rsidR="00A67976" w:rsidRPr="0018158D" w:rsidRDefault="00A67976" w:rsidP="00A67976">
      <w:pPr>
        <w:spacing w:after="0" w:line="240" w:lineRule="auto"/>
        <w:jc w:val="both"/>
        <w:rPr>
          <w:rFonts w:ascii="Arial" w:eastAsia="Calibri" w:hAnsi="Arial" w:cs="Arial"/>
          <w:sz w:val="20"/>
          <w:szCs w:val="20"/>
        </w:rPr>
      </w:pPr>
      <w:r w:rsidRPr="0018158D">
        <w:rPr>
          <w:rFonts w:ascii="Arial" w:eastAsia="Calibri" w:hAnsi="Arial" w:cs="Arial"/>
          <w:sz w:val="20"/>
          <w:szCs w:val="20"/>
        </w:rPr>
        <w:t>Cuando la entidad requiere bienes y servicios que no se encuentran incluidos como infraestructura social en la matriz de experiencia y considera necesario exigir experiencia adicional, debe aplicar el artículo 4 de la Resolución 219 del 6 de agosto de 2021. Esta norma dispone los eventos en los que el objeto contractual incluye bienes o servicios adicionales a la obra pública de infraestructura de infraestructura social. En este caso, la entidad puede incluir experiencia adicional para evaluar la idoneidad del proponente respecto a esta clase de bienes y servicios.</w:t>
      </w:r>
    </w:p>
    <w:p w14:paraId="5A27C1BA" w14:textId="77777777" w:rsidR="00A67976" w:rsidRPr="0018158D" w:rsidRDefault="00A67976" w:rsidP="00A67976">
      <w:pPr>
        <w:spacing w:after="0" w:line="240" w:lineRule="auto"/>
        <w:jc w:val="both"/>
        <w:rPr>
          <w:rFonts w:ascii="Arial" w:eastAsia="Calibri" w:hAnsi="Arial" w:cs="Arial"/>
          <w:sz w:val="20"/>
          <w:szCs w:val="20"/>
        </w:rPr>
      </w:pPr>
    </w:p>
    <w:p w14:paraId="423FD49C" w14:textId="77777777" w:rsidR="00A67976" w:rsidRPr="0018158D" w:rsidRDefault="00A67976" w:rsidP="00A67976">
      <w:pPr>
        <w:spacing w:after="0" w:line="240" w:lineRule="auto"/>
        <w:jc w:val="both"/>
        <w:rPr>
          <w:rFonts w:ascii="Arial" w:eastAsia="Calibri" w:hAnsi="Arial" w:cs="Arial"/>
          <w:sz w:val="20"/>
          <w:szCs w:val="20"/>
        </w:rPr>
      </w:pPr>
      <w:r w:rsidRPr="0018158D">
        <w:rPr>
          <w:rFonts w:ascii="Arial" w:eastAsia="Calibri" w:hAnsi="Arial" w:cs="Arial"/>
          <w:sz w:val="20"/>
          <w:szCs w:val="20"/>
        </w:rPr>
        <w:t xml:space="preserve">En el marco de las definiciones de los parágrafos 2 y 3 de la norma precitada, la posibilidad de solicitar experiencia adicional solo ocurre cuando el objeto contractual incluye bienes o servicios adicionales a la obra pública de infraestructura social. Esto implica que: i) la actividad que se requiere, si bien es una labor de obra, no está relacionada con la infraestructura social, por ejemplo, la construcción de una vía cerca de un parque recreativo, y </w:t>
      </w:r>
      <w:proofErr w:type="spellStart"/>
      <w:r w:rsidRPr="0018158D">
        <w:rPr>
          <w:rFonts w:ascii="Arial" w:eastAsia="Calibri" w:hAnsi="Arial" w:cs="Arial"/>
          <w:sz w:val="20"/>
          <w:szCs w:val="20"/>
        </w:rPr>
        <w:t>ii</w:t>
      </w:r>
      <w:proofErr w:type="spellEnd"/>
      <w:r w:rsidRPr="0018158D">
        <w:rPr>
          <w:rFonts w:ascii="Arial" w:eastAsia="Calibri" w:hAnsi="Arial" w:cs="Arial"/>
          <w:sz w:val="20"/>
          <w:szCs w:val="20"/>
        </w:rPr>
        <w:t>) el bien o servicio adicional es distinto a la actividad principal, aun cuando se relaciona con la infraestructura social, v. gr., cuando se requiere que el contratista realice los estudios y diseños de la obra. En supuestos como los indicados es posible que la entidad exija experiencia adicional para acreditar la idoneidad del contratista en la ejecución de estos bienes o servicios adicionales a la obra de infraestructura social. Sin embargo, esta opción se encuentra limitada por el parágrafo 1 del artículo 4 de la Resolución 219 del 6 de agosto de 2021, modificado por el artículo 177 de la Resolución 275 del 24 de junio de 2022, pues “En los casos que el objeto contractual incluya actividades que son abarcadas por otros Documentos, la Entidad Estatal aplicará las reglas de combinación de experiencia previstas en el numeral 3.5.1 del documento base”.</w:t>
      </w:r>
    </w:p>
    <w:p w14:paraId="25CC4EEC" w14:textId="77777777" w:rsidR="00A67976" w:rsidRPr="0018158D" w:rsidRDefault="00A67976" w:rsidP="00A67976">
      <w:pPr>
        <w:spacing w:after="0" w:line="240" w:lineRule="auto"/>
        <w:jc w:val="both"/>
        <w:rPr>
          <w:rFonts w:ascii="Arial" w:eastAsia="Calibri" w:hAnsi="Arial" w:cs="Arial"/>
          <w:sz w:val="20"/>
          <w:szCs w:val="20"/>
        </w:rPr>
      </w:pPr>
    </w:p>
    <w:p w14:paraId="29FC7CF1" w14:textId="77777777" w:rsidR="00A67976" w:rsidRPr="0018158D" w:rsidRDefault="00A67976" w:rsidP="00A67976">
      <w:pPr>
        <w:spacing w:after="0" w:line="240" w:lineRule="auto"/>
        <w:jc w:val="both"/>
        <w:rPr>
          <w:rFonts w:ascii="Arial" w:eastAsia="Times New Roman" w:hAnsi="Arial" w:cs="Arial"/>
          <w:sz w:val="20"/>
          <w:szCs w:val="20"/>
          <w:lang w:val="es-MX" w:eastAsia="es-ES_tradnl"/>
        </w:rPr>
      </w:pPr>
      <w:r w:rsidRPr="0018158D">
        <w:rPr>
          <w:rFonts w:ascii="Arial" w:eastAsia="Times New Roman" w:hAnsi="Arial" w:cs="Arial"/>
          <w:sz w:val="20"/>
          <w:szCs w:val="20"/>
          <w:lang w:val="es-ES_tradnl" w:eastAsia="es-ES_tradnl"/>
        </w:rPr>
        <w:t xml:space="preserve">Por tanto, según la norma reseñada, si de manera excepcional la entidad estatal considera que el contratista de la obra que debe contratarse a través de la aplicación de los documentos tipo de infraestructura social debe ejecutar bienes o servicios adicionales, como sería el caso de los estudios y diseños necesarios para la obra, puede incluir la experiencia adicional para evaluar la idoneidad de los proponentes, </w:t>
      </w:r>
      <w:r w:rsidRPr="0018158D">
        <w:rPr>
          <w:rFonts w:ascii="Arial" w:eastAsia="Times New Roman" w:hAnsi="Arial" w:cs="Arial"/>
          <w:sz w:val="20"/>
          <w:szCs w:val="20"/>
          <w:lang w:val="es-MX" w:eastAsia="es-ES_tradnl"/>
        </w:rPr>
        <w:t>cumpliendo todas las demás exigencias de los documentos tipo. En consecuencia</w:t>
      </w:r>
      <w:r w:rsidRPr="00A8780C">
        <w:rPr>
          <w:rFonts w:ascii="Arial" w:eastAsia="Times New Roman" w:hAnsi="Arial" w:cs="Arial"/>
          <w:sz w:val="20"/>
          <w:szCs w:val="20"/>
          <w:lang w:val="es-MX" w:eastAsia="es-ES_tradnl"/>
        </w:rPr>
        <w:t xml:space="preserve">, si la obra que pretende ejecutar la entidad estatal se enmarca en alguno de los tipos de proyectos o </w:t>
      </w:r>
      <w:r w:rsidRPr="0018158D">
        <w:rPr>
          <w:rFonts w:ascii="Arial" w:eastAsia="Times New Roman" w:hAnsi="Arial" w:cs="Arial"/>
          <w:sz w:val="20"/>
          <w:szCs w:val="20"/>
          <w:lang w:val="es-MX" w:eastAsia="es-ES_tradnl"/>
        </w:rPr>
        <w:t>“</w:t>
      </w:r>
      <w:r w:rsidRPr="00A8780C">
        <w:rPr>
          <w:rFonts w:ascii="Arial" w:eastAsia="Times New Roman" w:hAnsi="Arial" w:cs="Arial"/>
          <w:sz w:val="20"/>
          <w:szCs w:val="20"/>
          <w:lang w:val="es-MX" w:eastAsia="es-ES_tradnl"/>
        </w:rPr>
        <w:t>actividades</w:t>
      </w:r>
      <w:r w:rsidRPr="0018158D">
        <w:rPr>
          <w:rFonts w:ascii="Arial" w:eastAsia="Times New Roman" w:hAnsi="Arial" w:cs="Arial"/>
          <w:sz w:val="20"/>
          <w:szCs w:val="20"/>
          <w:lang w:val="es-MX" w:eastAsia="es-ES_tradnl"/>
        </w:rPr>
        <w:t>”</w:t>
      </w:r>
      <w:r w:rsidRPr="00A8780C">
        <w:rPr>
          <w:rFonts w:ascii="Arial" w:eastAsia="Times New Roman" w:hAnsi="Arial" w:cs="Arial"/>
          <w:sz w:val="20"/>
          <w:szCs w:val="20"/>
          <w:lang w:val="es-MX" w:eastAsia="es-ES_tradnl"/>
        </w:rPr>
        <w:t xml:space="preserve"> incluidas en alguna de las matrices de experiencia de los documentos tipo </w:t>
      </w:r>
      <w:r w:rsidRPr="00A8780C">
        <w:rPr>
          <w:rFonts w:ascii="Arial" w:eastAsia="Times New Roman" w:hAnsi="Arial" w:cs="Arial"/>
          <w:i/>
          <w:iCs/>
          <w:sz w:val="20"/>
          <w:szCs w:val="20"/>
          <w:lang w:val="es-MX" w:eastAsia="es-ES_tradnl"/>
        </w:rPr>
        <w:t>complementarios</w:t>
      </w:r>
      <w:r w:rsidRPr="00A8780C">
        <w:rPr>
          <w:rFonts w:ascii="Arial" w:eastAsia="Times New Roman" w:hAnsi="Arial" w:cs="Arial"/>
          <w:sz w:val="20"/>
          <w:szCs w:val="20"/>
          <w:lang w:val="es-MX" w:eastAsia="es-ES_tradnl"/>
        </w:rPr>
        <w:t xml:space="preserve"> relacionados con la infraestructura social, el proceso de selección debe adelantarse utilizando dichos documentos tipo. Esto aplica, incluso, para los contratos de obra </w:t>
      </w:r>
      <w:r w:rsidRPr="0018158D">
        <w:rPr>
          <w:rFonts w:ascii="Arial" w:eastAsia="Times New Roman" w:hAnsi="Arial" w:cs="Arial"/>
          <w:sz w:val="20"/>
          <w:szCs w:val="20"/>
          <w:lang w:val="es-MX" w:eastAsia="es-ES_tradnl"/>
        </w:rPr>
        <w:t>“</w:t>
      </w:r>
      <w:r w:rsidRPr="00A8780C">
        <w:rPr>
          <w:rFonts w:ascii="Arial" w:eastAsia="Times New Roman" w:hAnsi="Arial" w:cs="Arial"/>
          <w:sz w:val="20"/>
          <w:szCs w:val="20"/>
          <w:lang w:val="es-MX" w:eastAsia="es-ES_tradnl"/>
        </w:rPr>
        <w:t>llave en mano</w:t>
      </w:r>
      <w:r w:rsidRPr="0018158D">
        <w:rPr>
          <w:rFonts w:ascii="Arial" w:eastAsia="Times New Roman" w:hAnsi="Arial" w:cs="Arial"/>
          <w:sz w:val="20"/>
          <w:szCs w:val="20"/>
          <w:lang w:val="es-MX" w:eastAsia="es-ES_tradnl"/>
        </w:rPr>
        <w:t>”</w:t>
      </w:r>
      <w:r w:rsidRPr="00A8780C">
        <w:rPr>
          <w:rFonts w:ascii="Arial" w:eastAsia="Times New Roman" w:hAnsi="Arial" w:cs="Arial"/>
          <w:sz w:val="20"/>
          <w:szCs w:val="20"/>
          <w:lang w:val="es-MX" w:eastAsia="es-ES_tradnl"/>
        </w:rPr>
        <w:t xml:space="preserve"> para infraestructura social, en donde se considere necesario exigir experiencia adicional para la ejecución de bienes o servicios adicionales a la obra pública, como sería la realización de los diseños de la obra. </w:t>
      </w:r>
    </w:p>
    <w:p w14:paraId="08D2A35D" w14:textId="77777777" w:rsidR="00395337" w:rsidRDefault="00395337" w:rsidP="008410D2">
      <w:pPr>
        <w:spacing w:after="0" w:line="276" w:lineRule="auto"/>
        <w:jc w:val="both"/>
        <w:rPr>
          <w:rFonts w:ascii="Arial" w:eastAsia="Geomanist Light" w:hAnsi="Arial" w:cs="Arial"/>
          <w:color w:val="000000" w:themeColor="text1"/>
          <w:lang w:val="es-MX"/>
        </w:rPr>
      </w:pPr>
    </w:p>
    <w:p w14:paraId="4BFE5E95" w14:textId="77777777" w:rsidR="00A67976" w:rsidRDefault="00A67976" w:rsidP="008410D2">
      <w:pPr>
        <w:spacing w:after="0" w:line="276" w:lineRule="auto"/>
        <w:jc w:val="both"/>
        <w:rPr>
          <w:rFonts w:ascii="Arial" w:eastAsia="Geomanist Light" w:hAnsi="Arial" w:cs="Arial"/>
          <w:color w:val="000000" w:themeColor="text1"/>
          <w:lang w:val="es-MX"/>
        </w:rPr>
      </w:pPr>
    </w:p>
    <w:p w14:paraId="48EA5593" w14:textId="77777777" w:rsidR="00A67976" w:rsidRDefault="00A67976" w:rsidP="008410D2">
      <w:pPr>
        <w:spacing w:after="0" w:line="276" w:lineRule="auto"/>
        <w:jc w:val="both"/>
        <w:rPr>
          <w:rFonts w:ascii="Arial" w:eastAsia="Geomanist Light" w:hAnsi="Arial" w:cs="Arial"/>
          <w:color w:val="000000" w:themeColor="text1"/>
          <w:lang w:val="es-MX"/>
        </w:rPr>
      </w:pPr>
    </w:p>
    <w:p w14:paraId="50139420" w14:textId="77777777" w:rsidR="00A67976" w:rsidRDefault="00A67976" w:rsidP="008410D2">
      <w:pPr>
        <w:spacing w:after="0" w:line="276" w:lineRule="auto"/>
        <w:jc w:val="both"/>
        <w:rPr>
          <w:rFonts w:ascii="Arial" w:eastAsia="Geomanist Light" w:hAnsi="Arial" w:cs="Arial"/>
          <w:color w:val="000000" w:themeColor="text1"/>
          <w:lang w:val="es-MX"/>
        </w:rPr>
      </w:pPr>
    </w:p>
    <w:p w14:paraId="50357A0E" w14:textId="77777777" w:rsidR="00A67976" w:rsidRDefault="00A67976" w:rsidP="008410D2">
      <w:pPr>
        <w:spacing w:after="0" w:line="276" w:lineRule="auto"/>
        <w:jc w:val="both"/>
        <w:rPr>
          <w:rFonts w:ascii="Arial" w:eastAsia="Geomanist Light" w:hAnsi="Arial" w:cs="Arial"/>
          <w:color w:val="000000" w:themeColor="text1"/>
          <w:lang w:val="es-MX"/>
        </w:rPr>
      </w:pPr>
    </w:p>
    <w:p w14:paraId="238A7EE8" w14:textId="77777777" w:rsidR="00A67976" w:rsidRDefault="00A67976" w:rsidP="008410D2">
      <w:pPr>
        <w:spacing w:after="0" w:line="276" w:lineRule="auto"/>
        <w:jc w:val="both"/>
        <w:rPr>
          <w:rFonts w:ascii="Arial" w:eastAsia="Geomanist Light" w:hAnsi="Arial" w:cs="Arial"/>
          <w:color w:val="000000" w:themeColor="text1"/>
          <w:lang w:val="es-MX"/>
        </w:rPr>
      </w:pPr>
    </w:p>
    <w:p w14:paraId="35610D43" w14:textId="77777777" w:rsidR="00A67976" w:rsidRDefault="00A67976" w:rsidP="008410D2">
      <w:pPr>
        <w:spacing w:after="0" w:line="276" w:lineRule="auto"/>
        <w:jc w:val="both"/>
        <w:rPr>
          <w:rFonts w:ascii="Arial" w:eastAsia="Geomanist Light" w:hAnsi="Arial" w:cs="Arial"/>
          <w:color w:val="000000" w:themeColor="text1"/>
          <w:lang w:val="es-MX"/>
        </w:rPr>
      </w:pPr>
    </w:p>
    <w:p w14:paraId="1A95C48F" w14:textId="77777777" w:rsidR="00A67976" w:rsidRDefault="00A67976" w:rsidP="008410D2">
      <w:pPr>
        <w:spacing w:after="0" w:line="276" w:lineRule="auto"/>
        <w:jc w:val="both"/>
        <w:rPr>
          <w:rFonts w:ascii="Arial" w:eastAsia="Geomanist Light" w:hAnsi="Arial" w:cs="Arial"/>
          <w:color w:val="000000" w:themeColor="text1"/>
          <w:lang w:val="es-MX"/>
        </w:rPr>
      </w:pPr>
    </w:p>
    <w:p w14:paraId="3657B564" w14:textId="77777777" w:rsidR="00A67976" w:rsidRDefault="00A67976" w:rsidP="008410D2">
      <w:pPr>
        <w:spacing w:after="0" w:line="276" w:lineRule="auto"/>
        <w:jc w:val="both"/>
        <w:rPr>
          <w:rFonts w:ascii="Arial" w:eastAsia="Geomanist Light" w:hAnsi="Arial" w:cs="Arial"/>
          <w:color w:val="000000" w:themeColor="text1"/>
          <w:lang w:val="es-MX"/>
        </w:rPr>
      </w:pPr>
    </w:p>
    <w:p w14:paraId="0872CC56" w14:textId="77777777" w:rsidR="00A67976" w:rsidRDefault="00A67976" w:rsidP="008410D2">
      <w:pPr>
        <w:spacing w:after="0" w:line="276" w:lineRule="auto"/>
        <w:jc w:val="both"/>
        <w:rPr>
          <w:rFonts w:ascii="Arial" w:eastAsia="Geomanist Light" w:hAnsi="Arial" w:cs="Arial"/>
          <w:color w:val="000000" w:themeColor="text1"/>
          <w:lang w:val="es-MX"/>
        </w:rPr>
      </w:pPr>
    </w:p>
    <w:p w14:paraId="57C93F41" w14:textId="77777777" w:rsidR="00A67976" w:rsidRDefault="00A67976" w:rsidP="008410D2">
      <w:pPr>
        <w:spacing w:after="0" w:line="276" w:lineRule="auto"/>
        <w:jc w:val="both"/>
        <w:rPr>
          <w:rFonts w:ascii="Arial" w:eastAsia="Geomanist Light" w:hAnsi="Arial" w:cs="Arial"/>
          <w:color w:val="000000" w:themeColor="text1"/>
          <w:lang w:val="es-MX"/>
        </w:rPr>
      </w:pPr>
    </w:p>
    <w:p w14:paraId="500E711F" w14:textId="77777777" w:rsidR="00A67976" w:rsidRDefault="00A67976" w:rsidP="008410D2">
      <w:pPr>
        <w:spacing w:after="0" w:line="276" w:lineRule="auto"/>
        <w:jc w:val="both"/>
        <w:rPr>
          <w:rFonts w:ascii="Arial" w:eastAsia="Geomanist Light" w:hAnsi="Arial" w:cs="Arial"/>
          <w:color w:val="000000" w:themeColor="text1"/>
          <w:lang w:val="es-MX"/>
        </w:rPr>
      </w:pPr>
    </w:p>
    <w:p w14:paraId="5BE4604F" w14:textId="77777777" w:rsidR="00A67976" w:rsidRDefault="00A67976" w:rsidP="008410D2">
      <w:pPr>
        <w:spacing w:after="0" w:line="276" w:lineRule="auto"/>
        <w:jc w:val="both"/>
        <w:rPr>
          <w:rFonts w:ascii="Arial" w:eastAsia="Geomanist Light" w:hAnsi="Arial" w:cs="Arial"/>
          <w:color w:val="000000" w:themeColor="text1"/>
          <w:lang w:val="es-MX"/>
        </w:rPr>
      </w:pPr>
    </w:p>
    <w:p w14:paraId="7E18536C" w14:textId="77777777" w:rsidR="00A67976" w:rsidRDefault="00A67976" w:rsidP="008410D2">
      <w:pPr>
        <w:spacing w:after="0" w:line="276" w:lineRule="auto"/>
        <w:jc w:val="both"/>
        <w:rPr>
          <w:rFonts w:ascii="Arial" w:eastAsia="Geomanist Light" w:hAnsi="Arial" w:cs="Arial"/>
          <w:color w:val="000000" w:themeColor="text1"/>
          <w:lang w:val="es-MX"/>
        </w:rPr>
      </w:pPr>
    </w:p>
    <w:p w14:paraId="2D0C18B2" w14:textId="77777777" w:rsidR="00A67976" w:rsidRDefault="00A67976" w:rsidP="008410D2">
      <w:pPr>
        <w:spacing w:after="0" w:line="276" w:lineRule="auto"/>
        <w:jc w:val="both"/>
        <w:rPr>
          <w:rFonts w:ascii="Arial" w:eastAsia="Geomanist Light" w:hAnsi="Arial" w:cs="Arial"/>
          <w:color w:val="000000" w:themeColor="text1"/>
          <w:lang w:val="es-MX"/>
        </w:rPr>
      </w:pPr>
    </w:p>
    <w:p w14:paraId="070D3547" w14:textId="77777777" w:rsidR="00A67976" w:rsidRDefault="00A67976" w:rsidP="008410D2">
      <w:pPr>
        <w:spacing w:after="0" w:line="276" w:lineRule="auto"/>
        <w:jc w:val="both"/>
        <w:rPr>
          <w:rFonts w:ascii="Arial" w:eastAsia="Geomanist Light" w:hAnsi="Arial" w:cs="Arial"/>
          <w:color w:val="000000" w:themeColor="text1"/>
          <w:lang w:val="es-MX"/>
        </w:rPr>
      </w:pPr>
    </w:p>
    <w:p w14:paraId="3CFB8C40" w14:textId="77777777" w:rsidR="00A67976" w:rsidRDefault="00A67976" w:rsidP="008410D2">
      <w:pPr>
        <w:spacing w:after="0" w:line="276" w:lineRule="auto"/>
        <w:jc w:val="both"/>
        <w:rPr>
          <w:rFonts w:ascii="Arial" w:eastAsia="Geomanist Light" w:hAnsi="Arial" w:cs="Arial"/>
          <w:color w:val="000000" w:themeColor="text1"/>
          <w:lang w:val="es-MX"/>
        </w:rPr>
      </w:pPr>
    </w:p>
    <w:p w14:paraId="50423AE7" w14:textId="77777777" w:rsidR="00A67976" w:rsidRDefault="00A67976" w:rsidP="008410D2">
      <w:pPr>
        <w:spacing w:after="0" w:line="276" w:lineRule="auto"/>
        <w:jc w:val="both"/>
        <w:rPr>
          <w:rFonts w:ascii="Arial" w:eastAsia="Geomanist Light" w:hAnsi="Arial" w:cs="Arial"/>
          <w:color w:val="000000" w:themeColor="text1"/>
          <w:lang w:val="es-MX"/>
        </w:rPr>
      </w:pPr>
    </w:p>
    <w:p w14:paraId="34C15636" w14:textId="77777777" w:rsidR="00A67976" w:rsidRDefault="00A67976" w:rsidP="008410D2">
      <w:pPr>
        <w:spacing w:after="0" w:line="276" w:lineRule="auto"/>
        <w:jc w:val="both"/>
        <w:rPr>
          <w:rFonts w:ascii="Arial" w:eastAsia="Geomanist Light" w:hAnsi="Arial" w:cs="Arial"/>
          <w:color w:val="000000" w:themeColor="text1"/>
          <w:lang w:val="es-MX"/>
        </w:rPr>
      </w:pPr>
    </w:p>
    <w:p w14:paraId="5EDBD7E9" w14:textId="77777777" w:rsidR="00A67976" w:rsidRDefault="00A67976" w:rsidP="008410D2">
      <w:pPr>
        <w:spacing w:after="0" w:line="276" w:lineRule="auto"/>
        <w:jc w:val="both"/>
        <w:rPr>
          <w:rFonts w:ascii="Arial" w:eastAsia="Geomanist Light" w:hAnsi="Arial" w:cs="Arial"/>
          <w:color w:val="000000" w:themeColor="text1"/>
          <w:lang w:val="es-MX"/>
        </w:rPr>
      </w:pPr>
    </w:p>
    <w:p w14:paraId="435E6FED" w14:textId="77777777" w:rsidR="00A67976" w:rsidRDefault="00A67976" w:rsidP="008410D2">
      <w:pPr>
        <w:spacing w:after="0" w:line="276" w:lineRule="auto"/>
        <w:jc w:val="both"/>
        <w:rPr>
          <w:rFonts w:ascii="Arial" w:eastAsia="Geomanist Light" w:hAnsi="Arial" w:cs="Arial"/>
          <w:color w:val="000000" w:themeColor="text1"/>
          <w:lang w:val="es-MX"/>
        </w:rPr>
      </w:pPr>
    </w:p>
    <w:p w14:paraId="187D6F4B" w14:textId="77777777" w:rsidR="00A67976" w:rsidRDefault="00A67976" w:rsidP="008410D2">
      <w:pPr>
        <w:spacing w:after="0" w:line="276" w:lineRule="auto"/>
        <w:jc w:val="both"/>
        <w:rPr>
          <w:rFonts w:ascii="Arial" w:eastAsia="Geomanist Light" w:hAnsi="Arial" w:cs="Arial"/>
          <w:color w:val="000000" w:themeColor="text1"/>
          <w:lang w:val="es-MX"/>
        </w:rPr>
      </w:pPr>
    </w:p>
    <w:p w14:paraId="27235F4B" w14:textId="77777777" w:rsidR="00A67976" w:rsidRDefault="00A67976" w:rsidP="008410D2">
      <w:pPr>
        <w:spacing w:after="0" w:line="276" w:lineRule="auto"/>
        <w:jc w:val="both"/>
        <w:rPr>
          <w:rFonts w:ascii="Arial" w:eastAsia="Geomanist Light" w:hAnsi="Arial" w:cs="Arial"/>
          <w:color w:val="000000" w:themeColor="text1"/>
          <w:lang w:val="es-MX"/>
        </w:rPr>
      </w:pPr>
    </w:p>
    <w:p w14:paraId="3E375A45" w14:textId="77777777" w:rsidR="00A67976" w:rsidRDefault="00A67976" w:rsidP="008410D2">
      <w:pPr>
        <w:spacing w:after="0" w:line="276" w:lineRule="auto"/>
        <w:jc w:val="both"/>
        <w:rPr>
          <w:rFonts w:ascii="Arial" w:eastAsia="Geomanist Light" w:hAnsi="Arial" w:cs="Arial"/>
          <w:color w:val="000000" w:themeColor="text1"/>
          <w:lang w:val="es-MX"/>
        </w:rPr>
      </w:pPr>
    </w:p>
    <w:p w14:paraId="3F78BD67" w14:textId="77777777" w:rsidR="00A67976" w:rsidRDefault="00A67976" w:rsidP="008410D2">
      <w:pPr>
        <w:spacing w:after="0" w:line="276" w:lineRule="auto"/>
        <w:jc w:val="both"/>
        <w:rPr>
          <w:rFonts w:ascii="Arial" w:eastAsia="Geomanist Light" w:hAnsi="Arial" w:cs="Arial"/>
          <w:color w:val="000000" w:themeColor="text1"/>
          <w:lang w:val="es-MX"/>
        </w:rPr>
      </w:pPr>
    </w:p>
    <w:p w14:paraId="247A14C9" w14:textId="77777777" w:rsidR="00A67976" w:rsidRDefault="00A67976" w:rsidP="008410D2">
      <w:pPr>
        <w:spacing w:after="0" w:line="276" w:lineRule="auto"/>
        <w:jc w:val="both"/>
        <w:rPr>
          <w:rFonts w:ascii="Arial" w:eastAsia="Geomanist Light" w:hAnsi="Arial" w:cs="Arial"/>
          <w:color w:val="000000" w:themeColor="text1"/>
          <w:lang w:val="es-MX"/>
        </w:rPr>
      </w:pPr>
    </w:p>
    <w:p w14:paraId="0B03D7ED" w14:textId="77777777" w:rsidR="00A67976" w:rsidRDefault="00A67976" w:rsidP="008410D2">
      <w:pPr>
        <w:spacing w:after="0" w:line="276" w:lineRule="auto"/>
        <w:jc w:val="both"/>
        <w:rPr>
          <w:rFonts w:ascii="Arial" w:eastAsia="Geomanist Light" w:hAnsi="Arial" w:cs="Arial"/>
          <w:color w:val="000000" w:themeColor="text1"/>
          <w:lang w:val="es-MX"/>
        </w:rPr>
      </w:pPr>
    </w:p>
    <w:p w14:paraId="76611A7B" w14:textId="77777777" w:rsidR="00395337" w:rsidRDefault="00395337" w:rsidP="008410D2">
      <w:pPr>
        <w:spacing w:after="0" w:line="276" w:lineRule="auto"/>
        <w:jc w:val="both"/>
        <w:rPr>
          <w:rFonts w:ascii="Arial" w:eastAsia="Geomanist Light" w:hAnsi="Arial" w:cs="Arial"/>
          <w:color w:val="000000" w:themeColor="text1"/>
          <w:lang w:val="es-MX"/>
        </w:rPr>
      </w:pPr>
    </w:p>
    <w:p w14:paraId="32A31751" w14:textId="0B51A731" w:rsidR="008410D2" w:rsidRDefault="008410D2" w:rsidP="00522BD7">
      <w:pPr>
        <w:spacing w:after="0" w:line="276" w:lineRule="auto"/>
        <w:jc w:val="both"/>
        <w:rPr>
          <w:rFonts w:ascii="Arial" w:eastAsia="Geomanist Light" w:hAnsi="Arial" w:cs="Arial"/>
          <w:color w:val="201F1E"/>
          <w:lang w:val="es-MX"/>
        </w:rPr>
      </w:pPr>
      <w:r w:rsidRPr="00044F0D">
        <w:rPr>
          <w:rFonts w:ascii="Arial" w:eastAsia="Geomanist Light" w:hAnsi="Arial" w:cs="Arial"/>
          <w:color w:val="000000" w:themeColor="text1"/>
          <w:lang w:val="es-MX"/>
        </w:rPr>
        <w:t>Bogotá D.C., </w:t>
      </w:r>
      <w:r w:rsidR="00522BD7" w:rsidRPr="00522BD7">
        <w:rPr>
          <w:rFonts w:ascii="Arial" w:eastAsia="Geomanist Light" w:hAnsi="Arial" w:cs="Arial"/>
          <w:color w:val="201F1E"/>
          <w:lang w:val="es-MX"/>
        </w:rPr>
        <w:t xml:space="preserve">26 de </w:t>
      </w:r>
      <w:proofErr w:type="gramStart"/>
      <w:r w:rsidR="00522BD7" w:rsidRPr="00522BD7">
        <w:rPr>
          <w:rFonts w:ascii="Arial" w:eastAsia="Geomanist Light" w:hAnsi="Arial" w:cs="Arial"/>
          <w:color w:val="201F1E"/>
          <w:lang w:val="es-MX"/>
        </w:rPr>
        <w:t>Abril</w:t>
      </w:r>
      <w:proofErr w:type="gramEnd"/>
      <w:r w:rsidR="00522BD7" w:rsidRPr="00522BD7">
        <w:rPr>
          <w:rFonts w:ascii="Arial" w:eastAsia="Geomanist Light" w:hAnsi="Arial" w:cs="Arial"/>
          <w:color w:val="201F1E"/>
          <w:lang w:val="es-MX"/>
        </w:rPr>
        <w:t xml:space="preserve"> de 2023</w:t>
      </w:r>
    </w:p>
    <w:p w14:paraId="309665E3" w14:textId="77777777" w:rsidR="00522BD7" w:rsidRDefault="00522BD7" w:rsidP="00522BD7">
      <w:pPr>
        <w:spacing w:after="0" w:line="276" w:lineRule="auto"/>
        <w:jc w:val="both"/>
        <w:rPr>
          <w:rFonts w:ascii="Arial" w:eastAsia="Times New Roman" w:hAnsi="Arial" w:cs="Arial"/>
          <w:bCs/>
          <w:lang w:val="es-MX" w:eastAsia="es-ES"/>
        </w:rPr>
      </w:pPr>
    </w:p>
    <w:p w14:paraId="780D2846" w14:textId="2E0DD214" w:rsidR="00522BD7" w:rsidRPr="00044F0D" w:rsidRDefault="00522BD7" w:rsidP="00522BD7">
      <w:pPr>
        <w:spacing w:after="0" w:line="276" w:lineRule="auto"/>
        <w:jc w:val="right"/>
        <w:rPr>
          <w:rFonts w:ascii="Arial" w:eastAsia="Times New Roman" w:hAnsi="Arial" w:cs="Arial"/>
          <w:bCs/>
          <w:lang w:val="es-MX" w:eastAsia="es-ES"/>
        </w:rPr>
      </w:pPr>
      <w:r>
        <w:rPr>
          <w:rFonts w:ascii="Arial" w:eastAsia="Times New Roman" w:hAnsi="Arial" w:cs="Arial"/>
          <w:bCs/>
          <w:noProof/>
          <w:lang w:val="es-MX" w:eastAsia="es-ES"/>
        </w:rPr>
        <w:drawing>
          <wp:inline distT="0" distB="0" distL="0" distR="0" wp14:anchorId="077B5558" wp14:editId="00540C24">
            <wp:extent cx="2466975" cy="587061"/>
            <wp:effectExtent l="0" t="0" r="0" b="3810"/>
            <wp:docPr id="939580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8465" cy="596934"/>
                    </a:xfrm>
                    <a:prstGeom prst="rect">
                      <a:avLst/>
                    </a:prstGeom>
                    <a:noFill/>
                    <a:ln>
                      <a:noFill/>
                    </a:ln>
                  </pic:spPr>
                </pic:pic>
              </a:graphicData>
            </a:graphic>
          </wp:inline>
        </w:drawing>
      </w:r>
    </w:p>
    <w:p w14:paraId="6CAE2D0C" w14:textId="77777777" w:rsidR="00CE25BC" w:rsidRPr="00044F0D" w:rsidRDefault="00CE25BC" w:rsidP="008410D2">
      <w:pPr>
        <w:spacing w:after="0"/>
        <w:rPr>
          <w:rFonts w:ascii="Arial" w:eastAsia="Times New Roman" w:hAnsi="Arial" w:cs="Arial"/>
          <w:bCs/>
          <w:lang w:val="es-MX" w:eastAsia="es-ES"/>
        </w:rPr>
      </w:pPr>
    </w:p>
    <w:p w14:paraId="77968A5A" w14:textId="1FD2302D" w:rsidR="008410D2" w:rsidRPr="00C046D8" w:rsidRDefault="008410D2" w:rsidP="008410D2">
      <w:pPr>
        <w:spacing w:after="0"/>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Señor</w:t>
      </w:r>
    </w:p>
    <w:p w14:paraId="654698D4" w14:textId="77777777" w:rsidR="008410D2" w:rsidRPr="00C802A0" w:rsidRDefault="008410D2" w:rsidP="008410D2">
      <w:pPr>
        <w:spacing w:after="0"/>
        <w:contextualSpacing/>
        <w:jc w:val="both"/>
        <w:rPr>
          <w:rFonts w:ascii="Arial" w:eastAsia="Times New Roman" w:hAnsi="Arial" w:cs="Arial"/>
          <w:b/>
          <w:bCs/>
          <w:lang w:val="es-MX" w:eastAsia="es-ES_tradnl"/>
        </w:rPr>
      </w:pPr>
      <w:r w:rsidRPr="00C802A0">
        <w:rPr>
          <w:rFonts w:ascii="Arial" w:eastAsia="Times New Roman" w:hAnsi="Arial" w:cs="Arial"/>
          <w:b/>
          <w:bCs/>
          <w:lang w:val="es-MX" w:eastAsia="es-ES_tradnl"/>
        </w:rPr>
        <w:t xml:space="preserve">Edwin Edgardo </w:t>
      </w:r>
      <w:bookmarkStart w:id="3" w:name="_Hlk132967870"/>
      <w:r w:rsidRPr="00C802A0">
        <w:rPr>
          <w:rFonts w:ascii="Arial" w:eastAsia="Times New Roman" w:hAnsi="Arial" w:cs="Arial"/>
          <w:b/>
          <w:bCs/>
          <w:lang w:val="es-MX" w:eastAsia="es-ES_tradnl"/>
        </w:rPr>
        <w:t>Bermúdez</w:t>
      </w:r>
      <w:bookmarkEnd w:id="3"/>
      <w:r w:rsidRPr="00C802A0">
        <w:rPr>
          <w:rFonts w:ascii="Arial" w:eastAsia="Times New Roman" w:hAnsi="Arial" w:cs="Arial"/>
          <w:b/>
          <w:bCs/>
          <w:lang w:val="es-MX" w:eastAsia="es-ES_tradnl"/>
        </w:rPr>
        <w:t xml:space="preserve"> Pinto</w:t>
      </w:r>
    </w:p>
    <w:p w14:paraId="6061D9DA" w14:textId="77777777" w:rsidR="008410D2" w:rsidRPr="00C046D8" w:rsidRDefault="008410D2" w:rsidP="008410D2">
      <w:pPr>
        <w:spacing w:after="0"/>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Bogotá D.C. </w:t>
      </w:r>
    </w:p>
    <w:p w14:paraId="0DAB7974" w14:textId="77777777" w:rsidR="008410D2" w:rsidRPr="00C046D8" w:rsidRDefault="008410D2" w:rsidP="008410D2">
      <w:pPr>
        <w:spacing w:after="0"/>
        <w:contextualSpacing/>
        <w:rPr>
          <w:rFonts w:ascii="Arial" w:eastAsia="Calibri" w:hAnsi="Arial" w:cs="Arial"/>
          <w:b/>
          <w:bCs/>
          <w:lang w:val="es-ES_tradnl" w:eastAsia="es-ES_tradnl"/>
        </w:rPr>
      </w:pPr>
    </w:p>
    <w:p w14:paraId="065F0DFE" w14:textId="77777777" w:rsidR="008410D2" w:rsidRPr="00C046D8" w:rsidRDefault="008410D2" w:rsidP="008410D2">
      <w:pPr>
        <w:spacing w:after="0"/>
        <w:contextualSpacing/>
        <w:rPr>
          <w:rFonts w:ascii="Arial" w:eastAsia="Calibri" w:hAnsi="Arial" w:cs="Arial"/>
          <w:b/>
          <w:bCs/>
          <w:lang w:val="es-ES_tradnl" w:eastAsia="es-ES_tradnl"/>
        </w:rPr>
      </w:pPr>
      <w:r>
        <w:rPr>
          <w:rFonts w:ascii="Arial" w:eastAsia="Calibri" w:hAnsi="Arial" w:cs="Arial"/>
          <w:b/>
          <w:bCs/>
          <w:lang w:val="es-ES_tradnl" w:eastAsia="es-ES_tradnl"/>
        </w:rPr>
        <w:t xml:space="preserve">                                            </w:t>
      </w: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056</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 xml:space="preserve">3 </w:t>
      </w:r>
    </w:p>
    <w:p w14:paraId="6AC7D8B3" w14:textId="77777777" w:rsidR="008410D2" w:rsidRPr="00C046D8" w:rsidRDefault="008410D2" w:rsidP="008410D2">
      <w:pPr>
        <w:spacing w:after="0"/>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0"/>
        <w:gridCol w:w="5926"/>
      </w:tblGrid>
      <w:tr w:rsidR="008410D2" w:rsidRPr="00C046D8" w14:paraId="1E829412" w14:textId="77777777" w:rsidTr="5DE941BD">
        <w:tc>
          <w:tcPr>
            <w:tcW w:w="3000" w:type="dxa"/>
          </w:tcPr>
          <w:p w14:paraId="658D2602" w14:textId="77777777" w:rsidR="008410D2" w:rsidRPr="00C046D8" w:rsidRDefault="008410D2" w:rsidP="00532A88">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5926" w:type="dxa"/>
          </w:tcPr>
          <w:p w14:paraId="72F7F9CF" w14:textId="77777777" w:rsidR="008410D2" w:rsidRPr="00C046D8" w:rsidRDefault="008410D2" w:rsidP="00532A88">
            <w:pPr>
              <w:contextualSpacing/>
              <w:jc w:val="both"/>
              <w:rPr>
                <w:rFonts w:ascii="Arial" w:eastAsia="Calibri" w:hAnsi="Arial" w:cs="Arial"/>
                <w:bCs/>
                <w:lang w:val="es-ES_tradnl" w:eastAsia="es-ES_tradnl"/>
              </w:rPr>
            </w:pPr>
            <w:r w:rsidRPr="00F90DF3">
              <w:rPr>
                <w:rFonts w:ascii="Arial" w:eastAsia="Calibri" w:hAnsi="Arial" w:cs="Arial"/>
                <w:bCs/>
                <w:lang w:val="es-ES_tradnl" w:eastAsia="es-ES_tradnl"/>
              </w:rPr>
              <w:t>CONTRATOS O CONVENIOS INTERADMINISTRATIVOS – Definición – Criterio orgánico</w:t>
            </w:r>
            <w:r>
              <w:rPr>
                <w:rFonts w:ascii="Arial" w:eastAsia="Calibri" w:hAnsi="Arial" w:cs="Arial"/>
                <w:bCs/>
                <w:lang w:val="es-ES_tradnl" w:eastAsia="es-ES_tradnl"/>
              </w:rPr>
              <w:t xml:space="preserve"> / </w:t>
            </w:r>
            <w:r w:rsidRPr="00F90DF3">
              <w:rPr>
                <w:rFonts w:ascii="Arial" w:eastAsia="Calibri" w:hAnsi="Arial" w:cs="Arial"/>
                <w:bCs/>
                <w:lang w:val="es-ES_tradnl" w:eastAsia="es-ES_tradnl"/>
              </w:rPr>
              <w:t>CONTRATOS Y CONVENIOS INTERADMINISTRATIVOS – Diferencias – Similitudes</w:t>
            </w:r>
            <w:r>
              <w:rPr>
                <w:rFonts w:ascii="Arial" w:eastAsia="Calibri" w:hAnsi="Arial" w:cs="Arial"/>
                <w:bCs/>
                <w:lang w:val="es-ES_tradnl" w:eastAsia="es-ES_tradnl"/>
              </w:rPr>
              <w:t xml:space="preserve"> / </w:t>
            </w:r>
            <w:r w:rsidRPr="00F90DF3">
              <w:rPr>
                <w:rFonts w:ascii="Arial" w:eastAsia="Calibri" w:hAnsi="Arial" w:cs="Arial"/>
                <w:bCs/>
                <w:lang w:val="es-ES_tradnl" w:eastAsia="es-ES_tradnl"/>
              </w:rPr>
              <w:t xml:space="preserve">DOCUMENTOS TIPO – Fundamento normativo – Obligatoriedad – Ámbito de aplicación – Entidades sometidas </w:t>
            </w:r>
            <w:r>
              <w:rPr>
                <w:rFonts w:ascii="Arial" w:eastAsia="Calibri" w:hAnsi="Arial" w:cs="Arial"/>
                <w:bCs/>
                <w:lang w:val="es-ES_tradnl" w:eastAsia="es-ES_tradnl"/>
              </w:rPr>
              <w:t xml:space="preserve">/ </w:t>
            </w:r>
            <w:r w:rsidRPr="00ED7E53">
              <w:rPr>
                <w:rFonts w:ascii="Arial" w:eastAsia="Calibri" w:hAnsi="Arial" w:cs="Arial"/>
                <w:bCs/>
                <w:lang w:val="es-ES_tradnl" w:eastAsia="es-ES_tradnl"/>
              </w:rPr>
              <w:t xml:space="preserve">DOCUMENTOS TIPO – Extensión – Ámbito de aplicación – Excepciones </w:t>
            </w:r>
            <w:r>
              <w:rPr>
                <w:rFonts w:ascii="Arial" w:eastAsia="Calibri" w:hAnsi="Arial" w:cs="Arial"/>
                <w:bCs/>
                <w:lang w:val="es-ES_tradnl" w:eastAsia="es-ES_tradnl"/>
              </w:rPr>
              <w:t xml:space="preserve">/ </w:t>
            </w:r>
            <w:r w:rsidRPr="00ED7E53">
              <w:rPr>
                <w:rFonts w:ascii="Arial" w:eastAsia="Calibri" w:hAnsi="Arial" w:cs="Arial"/>
                <w:bCs/>
                <w:lang w:val="es-ES_tradnl" w:eastAsia="es-ES_tradnl"/>
              </w:rPr>
              <w:t>DOCUMENTOS TIPO – Infraestructura Social – Bienes o servicios adicionales – Contratos llave en mano – Obligatoriedad</w:t>
            </w:r>
            <w:r>
              <w:rPr>
                <w:rFonts w:ascii="Arial" w:eastAsia="Calibri" w:hAnsi="Arial" w:cs="Arial"/>
                <w:bCs/>
                <w:lang w:val="es-ES_tradnl" w:eastAsia="es-ES_tradnl"/>
              </w:rPr>
              <w:t xml:space="preserve"> /  </w:t>
            </w:r>
          </w:p>
          <w:p w14:paraId="2E37674C" w14:textId="77777777" w:rsidR="008410D2" w:rsidRPr="00C046D8" w:rsidRDefault="008410D2" w:rsidP="00532A88">
            <w:pPr>
              <w:contextualSpacing/>
              <w:jc w:val="both"/>
              <w:rPr>
                <w:rFonts w:ascii="Arial" w:eastAsia="Calibri" w:hAnsi="Arial" w:cs="Arial"/>
                <w:lang w:val="es-ES_tradnl" w:eastAsia="es-ES_tradnl"/>
              </w:rPr>
            </w:pPr>
          </w:p>
        </w:tc>
      </w:tr>
      <w:tr w:rsidR="008410D2" w:rsidRPr="00C046D8" w14:paraId="3C0826B2" w14:textId="77777777" w:rsidTr="5DE941BD">
        <w:trPr>
          <w:trHeight w:val="227"/>
        </w:trPr>
        <w:tc>
          <w:tcPr>
            <w:tcW w:w="3000" w:type="dxa"/>
          </w:tcPr>
          <w:p w14:paraId="127738A1" w14:textId="77777777" w:rsidR="008410D2" w:rsidRPr="00C046D8" w:rsidRDefault="008410D2" w:rsidP="00532A88">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5926" w:type="dxa"/>
          </w:tcPr>
          <w:p w14:paraId="02C433E9" w14:textId="77777777" w:rsidR="008410D2" w:rsidRPr="00C046D8" w:rsidRDefault="008410D2" w:rsidP="00532A88">
            <w:pPr>
              <w:contextualSpacing/>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Respuesta a la consulta No. </w:t>
            </w:r>
            <w:r w:rsidRPr="00C802A0">
              <w:rPr>
                <w:rFonts w:ascii="Arial" w:eastAsia="Calibri" w:hAnsi="Arial" w:cs="Arial"/>
                <w:lang w:val="es-ES_tradnl" w:eastAsia="es-ES_tradnl"/>
              </w:rPr>
              <w:t>P20230210001183</w:t>
            </w:r>
          </w:p>
        </w:tc>
      </w:tr>
    </w:tbl>
    <w:p w14:paraId="1FC14539" w14:textId="77777777" w:rsidR="008410D2" w:rsidRPr="00C046D8" w:rsidRDefault="008410D2" w:rsidP="008410D2">
      <w:pPr>
        <w:spacing w:after="0"/>
        <w:contextualSpacing/>
        <w:jc w:val="both"/>
        <w:rPr>
          <w:rFonts w:ascii="Arial" w:eastAsia="Calibri" w:hAnsi="Arial" w:cs="Arial"/>
          <w:lang w:val="es-ES_tradnl" w:eastAsia="es-ES_tradnl"/>
        </w:rPr>
      </w:pPr>
    </w:p>
    <w:p w14:paraId="54895BEB" w14:textId="77777777" w:rsidR="008410D2" w:rsidRPr="00C046D8" w:rsidRDefault="008410D2" w:rsidP="008410D2">
      <w:pPr>
        <w:spacing w:after="0"/>
        <w:contextualSpacing/>
        <w:jc w:val="both"/>
        <w:rPr>
          <w:rFonts w:ascii="Arial" w:eastAsia="Calibri" w:hAnsi="Arial" w:cs="Arial"/>
          <w:lang w:val="es-ES_tradnl" w:eastAsia="es-ES_tradnl"/>
        </w:rPr>
      </w:pPr>
    </w:p>
    <w:p w14:paraId="349839C3" w14:textId="77777777" w:rsidR="008410D2" w:rsidRPr="00C046D8" w:rsidRDefault="008410D2" w:rsidP="008410D2">
      <w:pPr>
        <w:spacing w:after="0"/>
        <w:contextualSpacing/>
        <w:jc w:val="both"/>
        <w:rPr>
          <w:rFonts w:ascii="Arial" w:eastAsia="Calibri" w:hAnsi="Arial" w:cs="Arial"/>
          <w:lang w:val="es-ES" w:eastAsia="es-ES"/>
        </w:rPr>
      </w:pPr>
      <w:r w:rsidRPr="293D6149">
        <w:rPr>
          <w:rFonts w:ascii="Arial" w:eastAsia="Calibri" w:hAnsi="Arial" w:cs="Arial"/>
          <w:lang w:val="es-ES" w:eastAsia="es-ES"/>
        </w:rPr>
        <w:t xml:space="preserve">Respetado señor </w:t>
      </w:r>
      <w:r w:rsidRPr="00C802A0">
        <w:rPr>
          <w:rFonts w:ascii="Arial" w:eastAsia="Times New Roman" w:hAnsi="Arial" w:cs="Arial"/>
          <w:lang w:eastAsia="es-ES"/>
        </w:rPr>
        <w:t>Bermúdez</w:t>
      </w:r>
      <w:r w:rsidRPr="293D6149">
        <w:rPr>
          <w:rFonts w:ascii="Arial" w:eastAsia="Calibri" w:hAnsi="Arial" w:cs="Arial"/>
          <w:lang w:val="es-ES" w:eastAsia="es-ES"/>
        </w:rPr>
        <w:t>:</w:t>
      </w:r>
    </w:p>
    <w:p w14:paraId="4EECBD30" w14:textId="77777777" w:rsidR="008410D2" w:rsidRPr="00C046D8" w:rsidRDefault="008410D2" w:rsidP="008410D2">
      <w:pPr>
        <w:spacing w:after="0" w:line="276" w:lineRule="auto"/>
        <w:contextualSpacing/>
        <w:jc w:val="both"/>
        <w:rPr>
          <w:rFonts w:ascii="Arial" w:eastAsia="Calibri" w:hAnsi="Arial" w:cs="Arial"/>
          <w:szCs w:val="24"/>
          <w:lang w:val="es-ES_tradnl" w:eastAsia="es-ES_tradnl"/>
        </w:rPr>
      </w:pPr>
    </w:p>
    <w:p w14:paraId="6B22C1FC" w14:textId="77777777" w:rsidR="008410D2" w:rsidRPr="00C046D8" w:rsidRDefault="008410D2" w:rsidP="008410D2">
      <w:pPr>
        <w:spacing w:after="0" w:line="276" w:lineRule="auto"/>
        <w:contextualSpacing/>
        <w:jc w:val="both"/>
        <w:rPr>
          <w:rFonts w:ascii="Arial" w:eastAsia="Calibri" w:hAnsi="Arial" w:cs="Arial"/>
          <w:lang w:val="es-ES" w:eastAsia="es-ES"/>
        </w:rPr>
      </w:pPr>
      <w:r w:rsidRPr="293D6149">
        <w:rPr>
          <w:rFonts w:ascii="Arial" w:eastAsia="Calibri" w:hAnsi="Arial" w:cs="Arial"/>
          <w:lang w:val="es-ES" w:eastAsia="es-ES"/>
        </w:rPr>
        <w:t xml:space="preserve">En ejercicio de la competencia otorgada por el numeral 8 del artículo 11 y el numeral 5 del artículo 3 del Decreto Ley 4170 de 2011, la Agencia Nacional de Contratación Pública </w:t>
      </w:r>
      <w:r>
        <w:rPr>
          <w:rFonts w:ascii="Arial" w:eastAsia="Calibri" w:hAnsi="Arial" w:cs="Arial"/>
          <w:lang w:val="es-ES" w:eastAsia="es-ES"/>
        </w:rPr>
        <w:t>–</w:t>
      </w:r>
      <w:r w:rsidRPr="293D6149">
        <w:rPr>
          <w:rFonts w:ascii="Arial" w:eastAsia="Calibri" w:hAnsi="Arial" w:cs="Arial"/>
          <w:lang w:val="es-ES" w:eastAsia="es-ES"/>
        </w:rPr>
        <w:t xml:space="preserve"> Colombia Compra Eficiente responde a su consulta del </w:t>
      </w:r>
      <w:r>
        <w:rPr>
          <w:rFonts w:ascii="Arial" w:eastAsia="Calibri" w:hAnsi="Arial" w:cs="Arial"/>
          <w:lang w:val="es-ES" w:eastAsia="es-ES"/>
        </w:rPr>
        <w:t>10 de febrero</w:t>
      </w:r>
      <w:r w:rsidRPr="293D6149">
        <w:rPr>
          <w:rFonts w:ascii="Arial" w:eastAsia="Calibri" w:hAnsi="Arial" w:cs="Arial"/>
          <w:lang w:val="es-ES" w:eastAsia="es-ES"/>
        </w:rPr>
        <w:t xml:space="preserve"> de 2023:</w:t>
      </w:r>
    </w:p>
    <w:p w14:paraId="2F78E1CD" w14:textId="77777777" w:rsidR="008410D2" w:rsidRPr="00C046D8" w:rsidRDefault="008410D2" w:rsidP="008410D2">
      <w:pPr>
        <w:spacing w:after="0" w:line="276" w:lineRule="auto"/>
        <w:contextualSpacing/>
        <w:jc w:val="both"/>
        <w:rPr>
          <w:rFonts w:ascii="Arial" w:eastAsia="Calibri" w:hAnsi="Arial" w:cs="Arial"/>
          <w:b/>
          <w:szCs w:val="24"/>
          <w:lang w:val="es-ES_tradnl" w:eastAsia="es-ES_tradnl"/>
        </w:rPr>
      </w:pPr>
    </w:p>
    <w:p w14:paraId="4B7B35B0" w14:textId="77777777" w:rsidR="008410D2" w:rsidRPr="00C046D8" w:rsidRDefault="008410D2" w:rsidP="008410D2">
      <w:pPr>
        <w:numPr>
          <w:ilvl w:val="0"/>
          <w:numId w:val="4"/>
        </w:numPr>
        <w:tabs>
          <w:tab w:val="left" w:pos="0"/>
          <w:tab w:val="left" w:pos="142"/>
          <w:tab w:val="left" w:pos="284"/>
        </w:tabs>
        <w:spacing w:after="0" w:line="240" w:lineRule="auto"/>
        <w:ind w:left="0" w:firstLine="0"/>
        <w:contextualSpacing/>
        <w:jc w:val="both"/>
        <w:rPr>
          <w:rFonts w:ascii="Arial" w:eastAsia="Calibri" w:hAnsi="Arial" w:cs="Arial"/>
          <w:b/>
          <w:lang w:val="es-ES_tradnl"/>
        </w:rPr>
      </w:pPr>
      <w:r w:rsidRPr="00C046D8">
        <w:rPr>
          <w:rFonts w:ascii="Arial" w:eastAsia="Calibri" w:hAnsi="Arial" w:cs="Arial"/>
          <w:b/>
          <w:lang w:val="es-ES_tradnl"/>
        </w:rPr>
        <w:t>Problema</w:t>
      </w:r>
      <w:r>
        <w:rPr>
          <w:rFonts w:ascii="Arial" w:eastAsia="Calibri" w:hAnsi="Arial" w:cs="Arial"/>
          <w:b/>
          <w:lang w:val="es-ES_tradnl"/>
        </w:rPr>
        <w:t>s</w:t>
      </w:r>
      <w:r w:rsidRPr="00C046D8">
        <w:rPr>
          <w:rFonts w:ascii="Arial" w:eastAsia="Calibri" w:hAnsi="Arial" w:cs="Arial"/>
          <w:b/>
          <w:lang w:val="es-ES_tradnl"/>
        </w:rPr>
        <w:t xml:space="preserve"> planteado</w:t>
      </w:r>
      <w:r>
        <w:rPr>
          <w:rFonts w:ascii="Arial" w:eastAsia="Calibri" w:hAnsi="Arial" w:cs="Arial"/>
          <w:b/>
          <w:lang w:val="es-ES_tradnl"/>
        </w:rPr>
        <w:t>s</w:t>
      </w:r>
      <w:r w:rsidRPr="00C046D8">
        <w:rPr>
          <w:rFonts w:ascii="Arial" w:eastAsia="Calibri" w:hAnsi="Arial" w:cs="Arial"/>
          <w:b/>
          <w:lang w:val="es-ES_tradnl"/>
        </w:rPr>
        <w:t xml:space="preserve"> </w:t>
      </w:r>
    </w:p>
    <w:p w14:paraId="50C76DF7" w14:textId="77777777" w:rsidR="008410D2" w:rsidRDefault="008410D2" w:rsidP="008410D2">
      <w:pPr>
        <w:tabs>
          <w:tab w:val="left" w:pos="426"/>
        </w:tabs>
        <w:spacing w:after="0"/>
        <w:contextualSpacing/>
        <w:jc w:val="both"/>
        <w:rPr>
          <w:rFonts w:ascii="Arial" w:eastAsia="Calibri" w:hAnsi="Arial" w:cs="Arial"/>
          <w:b/>
          <w:szCs w:val="24"/>
          <w:lang w:val="es-ES_tradnl" w:eastAsia="es-ES_tradnl"/>
        </w:rPr>
      </w:pPr>
    </w:p>
    <w:p w14:paraId="0DD26C15" w14:textId="77777777" w:rsidR="008410D2" w:rsidRPr="00C802A0" w:rsidRDefault="008410D2" w:rsidP="008410D2">
      <w:pPr>
        <w:tabs>
          <w:tab w:val="left" w:pos="426"/>
        </w:tabs>
        <w:spacing w:after="0" w:line="276" w:lineRule="auto"/>
        <w:contextualSpacing/>
        <w:jc w:val="both"/>
        <w:rPr>
          <w:rFonts w:ascii="Arial" w:eastAsia="Calibri" w:hAnsi="Arial" w:cs="Arial"/>
          <w:bCs/>
          <w:szCs w:val="24"/>
          <w:lang w:val="es-ES_tradnl" w:eastAsia="es-ES_tradnl"/>
        </w:rPr>
      </w:pPr>
      <w:r>
        <w:rPr>
          <w:rFonts w:ascii="Arial" w:eastAsia="Calibri" w:hAnsi="Arial" w:cs="Arial"/>
          <w:bCs/>
          <w:szCs w:val="24"/>
          <w:lang w:val="es-ES_tradnl" w:eastAsia="es-ES_tradnl"/>
        </w:rPr>
        <w:t>Usted realiza las siguientes preguntas: i) “</w:t>
      </w:r>
      <w:r w:rsidRPr="00C802A0">
        <w:rPr>
          <w:rFonts w:ascii="Arial" w:eastAsia="Calibri" w:hAnsi="Arial" w:cs="Arial"/>
          <w:bCs/>
          <w:szCs w:val="24"/>
          <w:lang w:val="es-ES_tradnl" w:eastAsia="es-ES_tradnl"/>
        </w:rPr>
        <w:t>¿El Municipio puede suscribir convenios con las empresas de servicios públicos ESP ya sea esta oficial, mixta, sociedad de economía mixta, empresa industrial y comercial del estado, privada, solidaria, cooperativa, o comunitaria, para la ejecución de contratos de obra pública en el sector de infraestructura de agua potable y saneamiento básico?</w:t>
      </w:r>
      <w:r>
        <w:rPr>
          <w:rFonts w:ascii="Arial" w:eastAsia="Calibri" w:hAnsi="Arial" w:cs="Arial"/>
          <w:bCs/>
          <w:szCs w:val="24"/>
          <w:lang w:val="es-ES_tradnl" w:eastAsia="es-ES_tradnl"/>
        </w:rPr>
        <w:t xml:space="preserve">”, </w:t>
      </w:r>
      <w:proofErr w:type="spellStart"/>
      <w:r>
        <w:rPr>
          <w:rFonts w:ascii="Arial" w:eastAsia="Calibri" w:hAnsi="Arial" w:cs="Arial"/>
          <w:bCs/>
          <w:szCs w:val="24"/>
          <w:lang w:val="es-ES_tradnl" w:eastAsia="es-ES_tradnl"/>
        </w:rPr>
        <w:t>ii</w:t>
      </w:r>
      <w:proofErr w:type="spellEnd"/>
      <w:r>
        <w:rPr>
          <w:rFonts w:ascii="Arial" w:eastAsia="Calibri" w:hAnsi="Arial" w:cs="Arial"/>
          <w:bCs/>
          <w:szCs w:val="24"/>
          <w:lang w:val="es-ES_tradnl" w:eastAsia="es-ES_tradnl"/>
        </w:rPr>
        <w:t>) “</w:t>
      </w:r>
      <w:r w:rsidRPr="00C802A0">
        <w:rPr>
          <w:rFonts w:ascii="Arial" w:eastAsia="Calibri" w:hAnsi="Arial" w:cs="Arial"/>
          <w:bCs/>
          <w:szCs w:val="24"/>
          <w:lang w:val="es-ES_tradnl" w:eastAsia="es-ES_tradnl"/>
        </w:rPr>
        <w:t>¿Qué clase de convenio puede suscribirse? ¿Se deben cumplir requisitos específicos para la suscripción y ejecución del convenio?</w:t>
      </w:r>
      <w:r>
        <w:rPr>
          <w:rFonts w:ascii="Arial" w:eastAsia="Calibri" w:hAnsi="Arial" w:cs="Arial"/>
          <w:bCs/>
          <w:szCs w:val="24"/>
          <w:lang w:val="es-ES_tradnl" w:eastAsia="es-ES_tradnl"/>
        </w:rPr>
        <w:t xml:space="preserve"> </w:t>
      </w:r>
      <w:r w:rsidRPr="00C802A0">
        <w:rPr>
          <w:rFonts w:ascii="Arial" w:eastAsia="Calibri" w:hAnsi="Arial" w:cs="Arial"/>
          <w:bCs/>
          <w:szCs w:val="24"/>
          <w:lang w:val="es-ES_tradnl" w:eastAsia="es-ES_tradnl"/>
        </w:rPr>
        <w:t>¿Existe alguna directiva presidencial o acto administrativo vinculante expedido por otra autoridad que rija para la materia?</w:t>
      </w:r>
      <w:r>
        <w:rPr>
          <w:rFonts w:ascii="Arial" w:eastAsia="Calibri" w:hAnsi="Arial" w:cs="Arial"/>
          <w:bCs/>
          <w:szCs w:val="24"/>
          <w:lang w:val="es-ES_tradnl" w:eastAsia="es-ES_tradnl"/>
        </w:rPr>
        <w:t xml:space="preserve"> </w:t>
      </w:r>
      <w:r w:rsidRPr="00C802A0">
        <w:rPr>
          <w:rFonts w:ascii="Arial" w:eastAsia="Calibri" w:hAnsi="Arial" w:cs="Arial"/>
          <w:bCs/>
          <w:szCs w:val="24"/>
          <w:lang w:val="es-ES_tradnl" w:eastAsia="es-ES_tradnl"/>
        </w:rPr>
        <w:t>¿En la ejecución del convenio pueden utilizarse los pliegos tipo vigentes para el sector?</w:t>
      </w:r>
      <w:r>
        <w:rPr>
          <w:rFonts w:ascii="Arial" w:eastAsia="Calibri" w:hAnsi="Arial" w:cs="Arial"/>
          <w:bCs/>
          <w:szCs w:val="24"/>
          <w:lang w:val="es-ES_tradnl" w:eastAsia="es-ES_tradnl"/>
        </w:rPr>
        <w:t xml:space="preserve">”, y </w:t>
      </w:r>
      <w:proofErr w:type="spellStart"/>
      <w:r>
        <w:rPr>
          <w:rFonts w:ascii="Arial" w:eastAsia="Calibri" w:hAnsi="Arial" w:cs="Arial"/>
          <w:bCs/>
          <w:szCs w:val="24"/>
          <w:lang w:val="es-ES_tradnl" w:eastAsia="es-ES_tradnl"/>
        </w:rPr>
        <w:t>iii</w:t>
      </w:r>
      <w:proofErr w:type="spellEnd"/>
      <w:r>
        <w:rPr>
          <w:rFonts w:ascii="Arial" w:eastAsia="Calibri" w:hAnsi="Arial" w:cs="Arial"/>
          <w:bCs/>
          <w:szCs w:val="24"/>
          <w:lang w:val="es-ES_tradnl" w:eastAsia="es-ES_tradnl"/>
        </w:rPr>
        <w:t>) “</w:t>
      </w:r>
      <w:r w:rsidRPr="00C802A0">
        <w:rPr>
          <w:rFonts w:ascii="Arial" w:eastAsia="Calibri" w:hAnsi="Arial" w:cs="Arial"/>
          <w:bCs/>
          <w:szCs w:val="24"/>
          <w:lang w:val="es-ES_tradnl" w:eastAsia="es-ES_tradnl"/>
        </w:rPr>
        <w:t>Consecuencia de un convenio interadministrativo suscrito entre el Municipio y el Ministerio del Interior se va a contratar bajo la modalidad LLAVE EN MANO los estudios, diseños y construcción del proyecto SACUDETE AL PARQUES, y en principio este hace parte de Infraestructura Social - Sector Cultura, Recreación y Deporte; no obstante al revisar la matriz de experiencia de los pliego tipo no se encuentran consagrados ninguno de los ítems de estudios y/o diseños, ¿Es facultativo de la entidad contratante utilizar los pliegos tipo, o es obligatoria su utilización?</w:t>
      </w:r>
      <w:r>
        <w:rPr>
          <w:rFonts w:ascii="Arial" w:eastAsia="Calibri" w:hAnsi="Arial" w:cs="Arial"/>
          <w:bCs/>
          <w:szCs w:val="24"/>
          <w:lang w:val="es-ES_tradnl" w:eastAsia="es-ES_tradnl"/>
        </w:rPr>
        <w:t>”.</w:t>
      </w:r>
    </w:p>
    <w:p w14:paraId="5C8922D1" w14:textId="77777777" w:rsidR="008410D2" w:rsidRPr="003C4EE6" w:rsidRDefault="008410D2" w:rsidP="008410D2">
      <w:pPr>
        <w:tabs>
          <w:tab w:val="decimal" w:pos="765"/>
          <w:tab w:val="right" w:pos="7371"/>
        </w:tabs>
        <w:spacing w:before="240" w:after="0" w:line="240" w:lineRule="auto"/>
        <w:ind w:left="709" w:right="709"/>
        <w:contextualSpacing/>
        <w:jc w:val="both"/>
        <w:rPr>
          <w:rFonts w:ascii="Arial" w:eastAsia="Times New Roman" w:hAnsi="Arial" w:cs="Arial"/>
          <w:sz w:val="21"/>
          <w:szCs w:val="21"/>
          <w:lang w:val="es-ES_tradnl" w:eastAsia="es-ES_tradnl"/>
        </w:rPr>
      </w:pPr>
    </w:p>
    <w:p w14:paraId="140986D1" w14:textId="77777777" w:rsidR="008410D2" w:rsidRDefault="008410D2" w:rsidP="008410D2">
      <w:pPr>
        <w:numPr>
          <w:ilvl w:val="0"/>
          <w:numId w:val="4"/>
        </w:numPr>
        <w:tabs>
          <w:tab w:val="left" w:pos="0"/>
          <w:tab w:val="left" w:pos="284"/>
        </w:tabs>
        <w:spacing w:after="0" w:line="276" w:lineRule="auto"/>
        <w:ind w:left="0" w:firstLine="0"/>
        <w:contextualSpacing/>
        <w:jc w:val="both"/>
        <w:rPr>
          <w:rFonts w:ascii="Arial" w:eastAsia="Calibri" w:hAnsi="Arial" w:cs="Arial"/>
          <w:b/>
          <w:lang w:val="es-ES_tradnl"/>
        </w:rPr>
      </w:pPr>
      <w:r w:rsidRPr="00C046D8">
        <w:rPr>
          <w:rFonts w:ascii="Arial" w:eastAsia="Calibri" w:hAnsi="Arial" w:cs="Arial"/>
          <w:b/>
          <w:lang w:val="es-ES_tradnl"/>
        </w:rPr>
        <w:t>Consideraciones</w:t>
      </w:r>
      <w:bookmarkStart w:id="4" w:name="_Hlk100312295"/>
    </w:p>
    <w:p w14:paraId="4C85C010" w14:textId="77777777" w:rsidR="008410D2" w:rsidRDefault="008410D2" w:rsidP="008410D2">
      <w:pPr>
        <w:tabs>
          <w:tab w:val="left" w:pos="0"/>
          <w:tab w:val="left" w:pos="284"/>
        </w:tabs>
        <w:spacing w:after="0" w:line="276" w:lineRule="auto"/>
        <w:contextualSpacing/>
        <w:jc w:val="both"/>
        <w:rPr>
          <w:rFonts w:ascii="Arial" w:eastAsia="Calibri" w:hAnsi="Arial" w:cs="Arial"/>
          <w:b/>
          <w:lang w:val="es-ES_tradnl"/>
        </w:rPr>
      </w:pPr>
    </w:p>
    <w:p w14:paraId="4226123C" w14:textId="77777777" w:rsidR="008410D2" w:rsidRDefault="008410D2" w:rsidP="008410D2">
      <w:pPr>
        <w:tabs>
          <w:tab w:val="left" w:pos="0"/>
          <w:tab w:val="left" w:pos="284"/>
        </w:tabs>
        <w:spacing w:after="0" w:line="276" w:lineRule="auto"/>
        <w:contextualSpacing/>
        <w:jc w:val="both"/>
        <w:rPr>
          <w:rStyle w:val="eop"/>
          <w:rFonts w:ascii="Arial" w:hAnsi="Arial" w:cs="Arial"/>
          <w:color w:val="000000"/>
        </w:rPr>
      </w:pPr>
      <w:r w:rsidRPr="00B53426">
        <w:rPr>
          <w:rFonts w:ascii="Arial" w:eastAsia="Calibri" w:hAnsi="Arial" w:cs="Arial"/>
          <w:color w:val="000000" w:themeColor="text1"/>
        </w:rPr>
        <w:t>La Agencia Nacional de Contratación Pública – Colombia Compra Eficiente resuelve las consultas sobre los asuntos de su competencia, esto es, sobre la aplicación de normas de carácter general en materia de compras y contratación pública. En ese sentido, la competencia de esta entidad se fija con límites claros, con el objeto de evitar que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Pr>
          <w:rFonts w:ascii="Arial" w:eastAsia="Calibri" w:hAnsi="Arial" w:cs="Arial"/>
          <w:color w:val="000000" w:themeColor="text1"/>
        </w:rPr>
        <w:t xml:space="preserve"> </w:t>
      </w:r>
      <w:r>
        <w:rPr>
          <w:rStyle w:val="normaltextrun"/>
          <w:rFonts w:ascii="Arial" w:hAnsi="Arial" w:cs="Arial"/>
          <w:color w:val="000000"/>
        </w:rPr>
        <w:t>Por lo anterior, es importante advertir que los conceptos que emite la Subdirección de Gestión Contractual explican las posturas hermenéuticas de la Agencia en relación con aspectos del ordenamiento jurídico sometidos a consulta. Sin embargo, estos conceptos no son vinculantes o de obligatorio cumplimiento para el destinatario, sino que expresan la posición interpretativa de la entidad que elabora el concepto.</w:t>
      </w:r>
      <w:r>
        <w:rPr>
          <w:rStyle w:val="eop"/>
          <w:rFonts w:ascii="Arial" w:hAnsi="Arial" w:cs="Arial"/>
          <w:color w:val="000000"/>
        </w:rPr>
        <w:t> </w:t>
      </w:r>
    </w:p>
    <w:p w14:paraId="49965B44" w14:textId="77777777" w:rsidR="008410D2" w:rsidRPr="00A446F6" w:rsidRDefault="008410D2" w:rsidP="008410D2">
      <w:pPr>
        <w:tabs>
          <w:tab w:val="left" w:pos="0"/>
          <w:tab w:val="left" w:pos="284"/>
        </w:tabs>
        <w:spacing w:after="0" w:line="276" w:lineRule="auto"/>
        <w:contextualSpacing/>
        <w:jc w:val="both"/>
        <w:rPr>
          <w:rFonts w:ascii="Arial" w:eastAsia="Calibri" w:hAnsi="Arial" w:cs="Arial"/>
          <w:b/>
          <w:sz w:val="12"/>
          <w:szCs w:val="12"/>
          <w:lang w:val="es-ES_tradnl"/>
        </w:rPr>
      </w:pPr>
    </w:p>
    <w:p w14:paraId="283826E2" w14:textId="77777777" w:rsidR="008410D2" w:rsidRDefault="008410D2" w:rsidP="008410D2">
      <w:pPr>
        <w:spacing w:after="0" w:line="276" w:lineRule="auto"/>
        <w:ind w:firstLine="708"/>
        <w:jc w:val="both"/>
        <w:rPr>
          <w:rFonts w:ascii="Arial" w:eastAsia="Calibri" w:hAnsi="Arial" w:cs="Arial"/>
          <w:lang w:val="es-ES_tradnl"/>
        </w:rPr>
      </w:pPr>
      <w:r>
        <w:rPr>
          <w:rFonts w:ascii="Arial" w:eastAsia="Calibri" w:hAnsi="Arial" w:cs="Arial"/>
        </w:rPr>
        <w:t>En ese contexto, p</w:t>
      </w:r>
      <w:r w:rsidRPr="00C046D8">
        <w:rPr>
          <w:rFonts w:ascii="Arial" w:eastAsia="Calibri" w:hAnsi="Arial" w:cs="Arial"/>
        </w:rPr>
        <w:t xml:space="preserve">ara resolver la inquietud planteada </w:t>
      </w:r>
      <w:r w:rsidRPr="00C046D8">
        <w:rPr>
          <w:rFonts w:ascii="Arial" w:eastAsia="Calibri" w:hAnsi="Arial" w:cs="Arial"/>
          <w:lang w:val="es-ES_tradnl"/>
        </w:rPr>
        <w:t>se analizarán los siguientes temas: i)</w:t>
      </w:r>
      <w:r>
        <w:rPr>
          <w:rFonts w:ascii="Arial" w:eastAsia="Calibri" w:hAnsi="Arial" w:cs="Arial"/>
          <w:lang w:val="es-ES_tradnl"/>
        </w:rPr>
        <w:t xml:space="preserve"> régimen de los contratos o convenios interadministrativos en el ordenamiento colombiano; </w:t>
      </w:r>
      <w:proofErr w:type="spellStart"/>
      <w:r>
        <w:rPr>
          <w:rFonts w:ascii="Arial" w:eastAsia="Calibri" w:hAnsi="Arial" w:cs="Arial"/>
          <w:lang w:val="es-ES_tradnl"/>
        </w:rPr>
        <w:t>ii</w:t>
      </w:r>
      <w:proofErr w:type="spellEnd"/>
      <w:r>
        <w:rPr>
          <w:rFonts w:ascii="Arial" w:eastAsia="Calibri" w:hAnsi="Arial" w:cs="Arial"/>
          <w:lang w:val="es-ES_tradnl"/>
        </w:rPr>
        <w:t>)</w:t>
      </w:r>
      <w:r w:rsidRPr="00C046D8">
        <w:rPr>
          <w:rFonts w:ascii="Arial" w:eastAsia="Calibri" w:hAnsi="Arial" w:cs="Arial"/>
          <w:lang w:val="es-ES_tradnl"/>
        </w:rPr>
        <w:t xml:space="preserve"> fundamento normativo y ámbito de aplicación de los documentos tipo</w:t>
      </w:r>
      <w:r>
        <w:rPr>
          <w:rFonts w:ascii="Arial" w:eastAsia="Calibri" w:hAnsi="Arial" w:cs="Arial"/>
          <w:lang w:val="es-ES_tradnl"/>
        </w:rPr>
        <w:t>;</w:t>
      </w:r>
      <w:r w:rsidRPr="00C046D8">
        <w:rPr>
          <w:rFonts w:ascii="Arial" w:eastAsia="Calibri" w:hAnsi="Arial" w:cs="Arial"/>
          <w:lang w:val="es-ES_tradnl"/>
        </w:rPr>
        <w:t xml:space="preserve"> </w:t>
      </w:r>
      <w:proofErr w:type="spellStart"/>
      <w:r w:rsidRPr="00165C4E">
        <w:rPr>
          <w:rFonts w:ascii="Arial" w:eastAsia="Calibri" w:hAnsi="Arial" w:cs="Arial"/>
          <w:lang w:val="es-ES_tradnl"/>
        </w:rPr>
        <w:t>ii</w:t>
      </w:r>
      <w:r>
        <w:rPr>
          <w:rFonts w:ascii="Arial" w:eastAsia="Calibri" w:hAnsi="Arial" w:cs="Arial"/>
          <w:lang w:val="es-ES_tradnl"/>
        </w:rPr>
        <w:t>i</w:t>
      </w:r>
      <w:proofErr w:type="spellEnd"/>
      <w:r w:rsidRPr="00165C4E">
        <w:rPr>
          <w:rFonts w:ascii="Arial" w:eastAsia="Calibri" w:hAnsi="Arial" w:cs="Arial"/>
          <w:lang w:val="es-ES_tradnl"/>
        </w:rPr>
        <w:t xml:space="preserve">) </w:t>
      </w:r>
      <w:bookmarkEnd w:id="4"/>
      <w:r w:rsidRPr="00165C4E">
        <w:rPr>
          <w:rFonts w:ascii="Arial" w:eastAsia="Calibri" w:hAnsi="Arial" w:cs="Arial"/>
          <w:lang w:val="es-ES_tradnl"/>
        </w:rPr>
        <w:t>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exceptuadas y particulares;</w:t>
      </w:r>
      <w:r>
        <w:rPr>
          <w:rFonts w:ascii="Arial" w:eastAsia="Calibri" w:hAnsi="Arial" w:cs="Arial"/>
          <w:lang w:val="es-ES_tradnl"/>
        </w:rPr>
        <w:t xml:space="preserve"> </w:t>
      </w:r>
      <w:proofErr w:type="spellStart"/>
      <w:r>
        <w:rPr>
          <w:rFonts w:ascii="Arial" w:eastAsia="Calibri" w:hAnsi="Arial" w:cs="Arial"/>
          <w:lang w:val="es-ES_tradnl"/>
        </w:rPr>
        <w:t>iv</w:t>
      </w:r>
      <w:proofErr w:type="spellEnd"/>
      <w:r>
        <w:rPr>
          <w:rFonts w:ascii="Arial" w:eastAsia="Calibri" w:hAnsi="Arial" w:cs="Arial"/>
          <w:lang w:val="es-ES_tradnl"/>
        </w:rPr>
        <w:t>) a</w:t>
      </w:r>
      <w:r w:rsidRPr="00116464">
        <w:rPr>
          <w:rFonts w:ascii="Arial" w:eastAsia="Calibri" w:hAnsi="Arial" w:cs="Arial"/>
          <w:lang w:val="es-ES_tradnl"/>
        </w:rPr>
        <w:t xml:space="preserve">plicación prevalente del Estatuto General de Contratación de la Administración Pública en </w:t>
      </w:r>
      <w:r w:rsidRPr="00165C4E">
        <w:rPr>
          <w:rFonts w:ascii="Arial" w:eastAsia="Calibri" w:hAnsi="Arial" w:cs="Arial"/>
          <w:lang w:val="es-ES_tradnl"/>
        </w:rPr>
        <w:t>los contratos o convenios</w:t>
      </w:r>
      <w:r>
        <w:rPr>
          <w:rFonts w:ascii="Arial" w:eastAsia="Calibri" w:hAnsi="Arial" w:cs="Arial"/>
          <w:lang w:val="es-ES_tradnl"/>
        </w:rPr>
        <w:t xml:space="preserve"> </w:t>
      </w:r>
      <w:r w:rsidRPr="00116464">
        <w:rPr>
          <w:rFonts w:ascii="Arial" w:eastAsia="Calibri" w:hAnsi="Arial" w:cs="Arial"/>
          <w:lang w:val="es-ES_tradnl"/>
        </w:rPr>
        <w:t>celebrados con entidades exceptuadas. Aparente tensión con el literal c) del artículo 2, numeral 4, de la Ley 1150 de 2007</w:t>
      </w:r>
      <w:r>
        <w:rPr>
          <w:rFonts w:ascii="Arial" w:eastAsia="Calibri" w:hAnsi="Arial" w:cs="Arial"/>
          <w:lang w:val="es-ES_tradnl"/>
        </w:rPr>
        <w:t>; v)</w:t>
      </w:r>
      <w:r w:rsidRPr="003D0A43">
        <w:t xml:space="preserve"> </w:t>
      </w:r>
      <w:r>
        <w:rPr>
          <w:rFonts w:ascii="Arial" w:eastAsia="Calibri" w:hAnsi="Arial" w:cs="Arial"/>
          <w:lang w:val="es-ES_tradnl"/>
        </w:rPr>
        <w:t>e</w:t>
      </w:r>
      <w:r w:rsidRPr="003D0A43">
        <w:rPr>
          <w:rFonts w:ascii="Arial" w:eastAsia="Calibri" w:hAnsi="Arial" w:cs="Arial"/>
          <w:lang w:val="es-ES_tradnl"/>
        </w:rPr>
        <w:t>xcepciones a la aplicación del artículo 56 de la Ley 2195 de 2022</w:t>
      </w:r>
      <w:r>
        <w:rPr>
          <w:rFonts w:ascii="Arial" w:eastAsia="Calibri" w:hAnsi="Arial" w:cs="Arial"/>
          <w:lang w:val="es-ES_tradnl"/>
        </w:rPr>
        <w:t>:</w:t>
      </w:r>
      <w:r w:rsidRPr="003D0A43">
        <w:rPr>
          <w:rFonts w:ascii="Arial" w:eastAsia="Calibri" w:hAnsi="Arial" w:cs="Arial"/>
          <w:lang w:val="es-ES_tradnl"/>
        </w:rPr>
        <w:t xml:space="preserve"> </w:t>
      </w:r>
      <w:r>
        <w:rPr>
          <w:rFonts w:ascii="Arial" w:eastAsia="Calibri" w:hAnsi="Arial" w:cs="Arial"/>
          <w:lang w:val="es-ES_tradnl"/>
        </w:rPr>
        <w:t>a</w:t>
      </w:r>
      <w:r w:rsidRPr="003D0A43">
        <w:rPr>
          <w:rFonts w:ascii="Arial" w:eastAsia="Calibri" w:hAnsi="Arial" w:cs="Arial"/>
          <w:lang w:val="es-ES_tradnl"/>
        </w:rPr>
        <w:t>lcance de la expresión “giro ordinario” contenida en el parágrafo de la norma</w:t>
      </w:r>
      <w:r>
        <w:rPr>
          <w:rFonts w:ascii="Arial" w:eastAsia="Calibri" w:hAnsi="Arial" w:cs="Arial"/>
          <w:lang w:val="es-ES_tradnl"/>
        </w:rPr>
        <w:t xml:space="preserve">, vi) </w:t>
      </w:r>
      <w:r w:rsidRPr="00567310">
        <w:rPr>
          <w:rFonts w:ascii="Arial" w:eastAsia="Calibri" w:hAnsi="Arial" w:cs="Arial"/>
          <w:lang w:val="es-ES_tradnl"/>
        </w:rPr>
        <w:t>efectos respecto de la subcontratación realizada por entidades estatales exceptuadas, patrimonios autónomos, personas naturales o jurídicas que sean contratistas del Estado</w:t>
      </w:r>
      <w:r>
        <w:rPr>
          <w:rFonts w:ascii="Arial" w:eastAsia="Calibri" w:hAnsi="Arial" w:cs="Arial"/>
          <w:lang w:val="es-ES_tradnl"/>
        </w:rPr>
        <w:t xml:space="preserve">; y </w:t>
      </w:r>
      <w:proofErr w:type="spellStart"/>
      <w:r>
        <w:rPr>
          <w:rFonts w:ascii="Arial" w:eastAsia="Calibri" w:hAnsi="Arial" w:cs="Arial"/>
          <w:lang w:val="es-ES_tradnl"/>
        </w:rPr>
        <w:t>vii</w:t>
      </w:r>
      <w:proofErr w:type="spellEnd"/>
      <w:r>
        <w:rPr>
          <w:rFonts w:ascii="Arial" w:eastAsia="Calibri" w:hAnsi="Arial" w:cs="Arial"/>
          <w:lang w:val="es-ES_tradnl"/>
        </w:rPr>
        <w:t xml:space="preserve">) </w:t>
      </w:r>
      <w:bookmarkStart w:id="5" w:name="_Hlk132983089"/>
      <w:r>
        <w:rPr>
          <w:rFonts w:ascii="Arial" w:eastAsia="Calibri" w:hAnsi="Arial" w:cs="Arial"/>
          <w:lang w:val="es-ES_tradnl"/>
        </w:rPr>
        <w:t>obras y servicios adicionales en los documentos tipo de obra pública para construcción de infraestructura social de cultura, recreación y deporte</w:t>
      </w:r>
      <w:bookmarkEnd w:id="5"/>
      <w:r>
        <w:rPr>
          <w:rFonts w:ascii="Arial" w:eastAsia="Calibri" w:hAnsi="Arial" w:cs="Arial"/>
          <w:lang w:val="es-ES_tradnl"/>
        </w:rPr>
        <w:t>.</w:t>
      </w:r>
    </w:p>
    <w:p w14:paraId="0D386427" w14:textId="77777777" w:rsidR="008410D2" w:rsidRPr="00903212" w:rsidRDefault="008410D2" w:rsidP="008410D2">
      <w:pPr>
        <w:spacing w:before="120" w:after="0" w:line="276" w:lineRule="auto"/>
        <w:ind w:firstLine="709"/>
        <w:jc w:val="both"/>
        <w:rPr>
          <w:rFonts w:ascii="Arial" w:eastAsia="Calibri" w:hAnsi="Arial" w:cs="Arial"/>
          <w:color w:val="000000" w:themeColor="text1"/>
          <w:lang w:val="es-ES"/>
        </w:rPr>
      </w:pPr>
      <w:r>
        <w:rPr>
          <w:rFonts w:ascii="Arial" w:eastAsia="Calibri" w:hAnsi="Arial" w:cs="Arial"/>
          <w:color w:val="000000" w:themeColor="text1"/>
          <w:lang w:val="es-ES"/>
        </w:rPr>
        <w:t xml:space="preserve">La Agencia Nacional de Contratación Pública – Colombia Compra Eficiente, en los Conceptos </w:t>
      </w:r>
      <w:r>
        <w:rPr>
          <w:rFonts w:ascii="Arial" w:eastAsia="Calibri" w:hAnsi="Arial" w:cs="Arial"/>
          <w:color w:val="000000" w:themeColor="text1"/>
          <w:lang w:eastAsia="en-GB"/>
        </w:rPr>
        <w:t xml:space="preserve">C-168 del 14 de abril de 2021, </w:t>
      </w:r>
      <w:r>
        <w:rPr>
          <w:rFonts w:ascii="Arial" w:eastAsia="Calibri" w:hAnsi="Arial" w:cs="Arial"/>
          <w:color w:val="000000" w:themeColor="text1"/>
          <w:lang w:val="es-ES"/>
        </w:rPr>
        <w:t xml:space="preserve">C-585 de 15 de octubre de 2021, C-639 del 14 de marzo de 2021, </w:t>
      </w:r>
      <w:r>
        <w:rPr>
          <w:rFonts w:ascii="Arial" w:eastAsia="Calibri" w:hAnsi="Arial" w:cs="Arial"/>
          <w:color w:val="000000" w:themeColor="text1"/>
          <w:lang w:eastAsia="en-GB"/>
        </w:rPr>
        <w:t xml:space="preserve">C-664 del 1° de septiembre de 2022, </w:t>
      </w:r>
      <w:r>
        <w:rPr>
          <w:rFonts w:ascii="Arial" w:eastAsia="Calibri" w:hAnsi="Arial" w:cs="Arial"/>
          <w:color w:val="000000" w:themeColor="text1"/>
          <w:lang w:val="es-ES"/>
        </w:rPr>
        <w:t>C-771 del 29 de diciembre de 2022, analizó el régimen de los contratos o convenios interadministrativos. Asimismo,</w:t>
      </w:r>
      <w:r w:rsidRPr="00165C4E">
        <w:rPr>
          <w:rFonts w:ascii="Arial" w:eastAsia="Times New Roman" w:hAnsi="Arial" w:cs="Arial"/>
          <w:lang w:val="es-ES_tradnl" w:eastAsia="es-ES_tradnl"/>
        </w:rPr>
        <w:t xml:space="preserve"> ha pronunciado sobre </w:t>
      </w:r>
      <w:r w:rsidRPr="00165C4E">
        <w:rPr>
          <w:rFonts w:ascii="Arial" w:eastAsia="Times New Roman" w:hAnsi="Arial" w:cs="Arial"/>
          <w:lang w:eastAsia="es-ES_tradnl"/>
        </w:rPr>
        <w:t xml:space="preserve">el alcance del artículo 56 de la Ley 2195 de 2022, específicamente, a partir del </w:t>
      </w:r>
      <w:r>
        <w:rPr>
          <w:rFonts w:ascii="Arial" w:eastAsia="Times New Roman" w:hAnsi="Arial" w:cs="Arial"/>
          <w:lang w:eastAsia="es-ES_tradnl"/>
        </w:rPr>
        <w:t>C</w:t>
      </w:r>
      <w:r w:rsidRPr="00165C4E">
        <w:rPr>
          <w:rFonts w:ascii="Arial" w:eastAsia="Times New Roman" w:hAnsi="Arial" w:cs="Arial"/>
          <w:lang w:eastAsia="es-ES_tradnl"/>
        </w:rPr>
        <w:t xml:space="preserve">oncepto C-066 del 28 de enero de 2022, cuya tesis se desarrolló y complementó </w:t>
      </w:r>
      <w:r>
        <w:rPr>
          <w:rFonts w:ascii="Arial" w:eastAsia="Times New Roman" w:hAnsi="Arial" w:cs="Arial"/>
          <w:lang w:eastAsia="es-ES_tradnl"/>
        </w:rPr>
        <w:t>los Conceptos</w:t>
      </w:r>
      <w:r w:rsidRPr="00165C4E">
        <w:rPr>
          <w:rFonts w:ascii="Arial" w:eastAsia="Times New Roman" w:hAnsi="Arial" w:cs="Arial"/>
          <w:lang w:eastAsia="es-ES_tradnl"/>
        </w:rPr>
        <w:t xml:space="preserve">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y C-532 del 22 de agosto de 2022, </w:t>
      </w:r>
      <w:r>
        <w:rPr>
          <w:rStyle w:val="normaltextrun"/>
          <w:rFonts w:ascii="Arial" w:hAnsi="Arial" w:cs="Arial"/>
          <w:color w:val="000000"/>
        </w:rPr>
        <w:t>pronunciándose específicamente sobre las empresas de servicios públicos en los Conceptos C-341 del 27 de mayo de 2022, C-382 del 27 de mayo de 2022, C-449 del 25 de julio de 2022, C-453 del 14 de julio de 2022,  C-488 del 29 de julio de 2022, C-494 del 28 de julio de 2022 y C-501 del del 29 de julio de 2022</w:t>
      </w:r>
      <w:r w:rsidRPr="00165C4E">
        <w:rPr>
          <w:rFonts w:ascii="Arial" w:eastAsia="Times New Roman" w:hAnsi="Arial" w:cs="Arial"/>
          <w:lang w:eastAsia="es-ES_tradnl"/>
        </w:rPr>
        <w:t>.</w:t>
      </w:r>
      <w:r w:rsidRPr="00165C4E">
        <w:rPr>
          <w:rStyle w:val="normaltextrun"/>
          <w:rFonts w:ascii="Arial" w:hAnsi="Arial" w:cs="Arial"/>
          <w:color w:val="000000" w:themeColor="text1"/>
        </w:rPr>
        <w:t xml:space="preserve"> El mismo tema ha sido estudiado por</w:t>
      </w:r>
      <w:r w:rsidRPr="00165C4E">
        <w:rPr>
          <w:rStyle w:val="normaltextrun"/>
          <w:rFonts w:ascii="Arial" w:hAnsi="Arial" w:cs="Arial"/>
          <w:color w:val="000000"/>
        </w:rPr>
        <w:t xml:space="preserve"> esta Subdirección en los </w:t>
      </w:r>
      <w:r>
        <w:rPr>
          <w:rStyle w:val="normaltextrun"/>
          <w:rFonts w:ascii="Arial" w:hAnsi="Arial" w:cs="Arial"/>
          <w:color w:val="000000"/>
        </w:rPr>
        <w:t>C</w:t>
      </w:r>
      <w:r w:rsidRPr="00165C4E">
        <w:rPr>
          <w:rStyle w:val="normaltextrun"/>
          <w:rFonts w:ascii="Arial" w:hAnsi="Arial" w:cs="Arial"/>
          <w:color w:val="000000"/>
        </w:rPr>
        <w:t>onceptos C-486 del 2 de septiembre de 2022, C-671 del 19 de octubre de 2022</w:t>
      </w:r>
      <w:r>
        <w:rPr>
          <w:rStyle w:val="normaltextrun"/>
          <w:rFonts w:ascii="Arial" w:hAnsi="Arial" w:cs="Arial"/>
          <w:color w:val="000000"/>
        </w:rPr>
        <w:t>,</w:t>
      </w:r>
      <w:r w:rsidRPr="00165C4E">
        <w:rPr>
          <w:rStyle w:val="normaltextrun"/>
          <w:rFonts w:ascii="Arial" w:hAnsi="Arial" w:cs="Arial"/>
          <w:color w:val="000000"/>
        </w:rPr>
        <w:t xml:space="preserve"> C-576 del 25 de octubre de 202</w:t>
      </w:r>
      <w:r>
        <w:rPr>
          <w:rStyle w:val="normaltextrun"/>
          <w:rFonts w:ascii="Arial" w:hAnsi="Arial" w:cs="Arial"/>
          <w:color w:val="000000"/>
        </w:rPr>
        <w:t>2 y C-042 del 29 de marzo de 2023. Por lo demás, es los Conceptos C-284 del 11 de mayo de 2022, C-502 del 4 de agosto de 2022 y C-710 del 27 de octubre de 2022, la Agencia analizó el régimen de las obras y servicios adicionales en los documentos tipo de licitación de obra pública para proyectos de infraestructura social</w:t>
      </w:r>
      <w:r w:rsidRPr="00165C4E">
        <w:rPr>
          <w:rStyle w:val="Refdenotaalpie"/>
          <w:rFonts w:ascii="Arial" w:hAnsi="Arial" w:cs="Arial"/>
          <w:color w:val="000000"/>
        </w:rPr>
        <w:footnoteReference w:id="2"/>
      </w:r>
      <w:r>
        <w:rPr>
          <w:rFonts w:ascii="Arial" w:eastAsia="Times New Roman" w:hAnsi="Arial" w:cs="Arial"/>
          <w:lang w:eastAsia="es-ES"/>
        </w:rPr>
        <w:t xml:space="preserve">. </w:t>
      </w:r>
      <w:r w:rsidRPr="00504597">
        <w:rPr>
          <w:rFonts w:ascii="Arial" w:eastAsia="Calibri" w:hAnsi="Arial" w:cs="Arial"/>
          <w:color w:val="000000" w:themeColor="text1"/>
          <w:lang w:val="es-ES_tradnl"/>
        </w:rPr>
        <w:t xml:space="preserve">La tesis propuesta en estos conceptos se reitera a continuación y se complementa en lo pertinente </w:t>
      </w:r>
      <w:r>
        <w:rPr>
          <w:rFonts w:ascii="Arial" w:eastAsia="Calibri" w:hAnsi="Arial" w:cs="Arial"/>
          <w:color w:val="000000" w:themeColor="text1"/>
          <w:lang w:val="es-ES_tradnl"/>
        </w:rPr>
        <w:t>de acuerdo con</w:t>
      </w:r>
      <w:r w:rsidRPr="00504597">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las preguntas realizadas</w:t>
      </w:r>
      <w:r w:rsidRPr="00504597">
        <w:rPr>
          <w:rFonts w:ascii="Arial" w:eastAsia="Calibri" w:hAnsi="Arial" w:cs="Arial"/>
          <w:color w:val="000000" w:themeColor="text1"/>
          <w:lang w:val="es-ES_tradnl"/>
        </w:rPr>
        <w:t xml:space="preserve">. </w:t>
      </w:r>
      <w:r w:rsidRPr="293D6149">
        <w:rPr>
          <w:rFonts w:ascii="Arial" w:eastAsia="Times New Roman" w:hAnsi="Arial" w:cs="Arial"/>
          <w:lang w:eastAsia="es-ES"/>
        </w:rPr>
        <w:t xml:space="preserve"> </w:t>
      </w:r>
    </w:p>
    <w:p w14:paraId="4766DA8C" w14:textId="77777777" w:rsidR="008410D2" w:rsidRPr="00C046D8" w:rsidRDefault="008410D2" w:rsidP="008410D2">
      <w:pPr>
        <w:spacing w:after="0" w:line="276" w:lineRule="auto"/>
        <w:ind w:firstLine="709"/>
        <w:jc w:val="both"/>
        <w:rPr>
          <w:rFonts w:ascii="Arial" w:eastAsia="Times New Roman" w:hAnsi="Arial" w:cs="Arial"/>
          <w:lang w:val="es-ES" w:eastAsia="es-ES_tradnl"/>
        </w:rPr>
      </w:pPr>
    </w:p>
    <w:p w14:paraId="4FDB1768" w14:textId="77777777" w:rsidR="008410D2" w:rsidRDefault="008410D2" w:rsidP="008410D2">
      <w:pPr>
        <w:spacing w:after="0" w:line="276" w:lineRule="auto"/>
        <w:contextualSpacing/>
        <w:jc w:val="both"/>
        <w:rPr>
          <w:rFonts w:ascii="Arial" w:eastAsia="Arial" w:hAnsi="Arial" w:cs="Arial"/>
          <w:b/>
          <w:bCs/>
          <w:lang w:val="es-ES_tradnl" w:eastAsia="es-ES_tradnl"/>
        </w:rPr>
      </w:pPr>
      <w:r>
        <w:rPr>
          <w:rFonts w:ascii="Arial" w:eastAsia="Arial" w:hAnsi="Arial" w:cs="Arial"/>
          <w:b/>
          <w:bCs/>
          <w:lang w:val="es-ES_tradnl" w:eastAsia="es-ES_tradnl"/>
        </w:rPr>
        <w:t xml:space="preserve">2.1. Marco normativo de los contratos o convenios interadministrativos </w:t>
      </w:r>
    </w:p>
    <w:p w14:paraId="231DD5DD" w14:textId="77777777" w:rsidR="008410D2" w:rsidRDefault="008410D2" w:rsidP="008410D2">
      <w:pPr>
        <w:spacing w:after="0" w:line="276" w:lineRule="auto"/>
        <w:contextualSpacing/>
        <w:jc w:val="both"/>
        <w:rPr>
          <w:rFonts w:ascii="Arial" w:eastAsia="Arial" w:hAnsi="Arial" w:cs="Arial"/>
          <w:b/>
          <w:bCs/>
          <w:lang w:val="es-ES_tradnl" w:eastAsia="es-ES_tradnl"/>
        </w:rPr>
      </w:pPr>
    </w:p>
    <w:p w14:paraId="4AA23409" w14:textId="77777777" w:rsidR="008410D2" w:rsidRPr="00D74F6F" w:rsidRDefault="008410D2" w:rsidP="008410D2">
      <w:pPr>
        <w:pStyle w:val="Textoindependiente"/>
        <w:spacing w:after="0"/>
        <w:jc w:val="both"/>
        <w:rPr>
          <w:rFonts w:ascii="Arial" w:hAnsi="Arial" w:cs="Arial"/>
        </w:rPr>
      </w:pPr>
      <w:bookmarkStart w:id="6" w:name="_Hlk78820161"/>
      <w:r w:rsidRPr="00D74F6F">
        <w:rPr>
          <w:rFonts w:ascii="Arial" w:hAnsi="Arial" w:cs="Arial"/>
        </w:rPr>
        <w:t>La tipología del contrato o convenio interadministrativo fue creada en la Ley 80 de 1993, y el Decreto 1082 de 2015 la califica como aquella contratación entre entidades estatales</w:t>
      </w:r>
      <w:r w:rsidRPr="00D74F6F">
        <w:rPr>
          <w:rStyle w:val="Refdenotaalpie"/>
          <w:rFonts w:ascii="Arial" w:hAnsi="Arial" w:cs="Arial"/>
        </w:rPr>
        <w:footnoteReference w:id="3"/>
      </w:r>
      <w:r w:rsidRPr="00D74F6F">
        <w:rPr>
          <w:rFonts w:ascii="Arial" w:hAnsi="Arial" w:cs="Aria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D74F6F">
        <w:rPr>
          <w:rFonts w:ascii="Arial" w:hAnsi="Arial" w:cs="Arial"/>
          <w:spacing w:val="-6"/>
        </w:rPr>
        <w:t xml:space="preserve"> </w:t>
      </w:r>
      <w:r w:rsidRPr="00D74F6F">
        <w:rPr>
          <w:rFonts w:ascii="Arial" w:hAnsi="Arial" w:cs="Arial"/>
        </w:rPr>
        <w:t>estatales.</w:t>
      </w:r>
    </w:p>
    <w:p w14:paraId="4BB31250" w14:textId="77777777" w:rsidR="008410D2" w:rsidRPr="00D74F6F" w:rsidRDefault="008410D2" w:rsidP="008410D2">
      <w:pPr>
        <w:pStyle w:val="Textoindependiente"/>
        <w:spacing w:before="117" w:after="0"/>
        <w:ind w:firstLine="707"/>
        <w:jc w:val="both"/>
        <w:rPr>
          <w:rFonts w:ascii="Arial" w:hAnsi="Arial" w:cs="Arial"/>
        </w:rPr>
      </w:pPr>
      <w:bookmarkStart w:id="8" w:name="_Hlk78820654"/>
      <w:bookmarkEnd w:id="6"/>
      <w:r w:rsidRPr="00D74F6F">
        <w:rPr>
          <w:rFonts w:ascii="Arial" w:hAnsi="Arial" w:cs="Aria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8"/>
    <w:p w14:paraId="2FD2671F" w14:textId="77777777" w:rsidR="008410D2" w:rsidRPr="00D74F6F" w:rsidRDefault="008410D2" w:rsidP="008410D2">
      <w:pPr>
        <w:pStyle w:val="Textoindependiente"/>
        <w:spacing w:before="121" w:after="0"/>
        <w:ind w:firstLine="707"/>
        <w:jc w:val="both"/>
        <w:rPr>
          <w:rFonts w:ascii="Arial" w:hAnsi="Arial" w:cs="Arial"/>
        </w:rPr>
      </w:pPr>
      <w:r w:rsidRPr="00D74F6F">
        <w:rPr>
          <w:rFonts w:ascii="Arial" w:hAnsi="Arial" w:cs="Arial"/>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D74F6F">
        <w:rPr>
          <w:rStyle w:val="Refdenotaalpie"/>
          <w:rFonts w:ascii="Arial" w:hAnsi="Arial" w:cs="Arial"/>
        </w:rPr>
        <w:footnoteReference w:id="4"/>
      </w:r>
      <w:r w:rsidRPr="00D74F6F">
        <w:rPr>
          <w:rFonts w:ascii="Arial" w:hAnsi="Arial" w:cs="Arial"/>
        </w:rPr>
        <w:t>. Nótese que, en este caso, lo que cambia es la modalidad de selección y no la naturaleza de contrato</w:t>
      </w:r>
      <w:r w:rsidRPr="00D74F6F">
        <w:rPr>
          <w:rFonts w:ascii="Arial" w:hAnsi="Arial" w:cs="Arial"/>
          <w:spacing w:val="-18"/>
        </w:rPr>
        <w:t xml:space="preserve"> </w:t>
      </w:r>
      <w:r w:rsidRPr="00D74F6F">
        <w:rPr>
          <w:rFonts w:ascii="Arial" w:hAnsi="Arial" w:cs="Arial"/>
        </w:rPr>
        <w:t>interadministrativo.</w:t>
      </w:r>
    </w:p>
    <w:p w14:paraId="35CAE4DB" w14:textId="77777777" w:rsidR="008410D2" w:rsidRPr="00D74F6F" w:rsidRDefault="008410D2" w:rsidP="008410D2">
      <w:pPr>
        <w:pStyle w:val="Textoindependiente"/>
        <w:spacing w:before="114" w:after="0"/>
        <w:ind w:firstLine="707"/>
        <w:jc w:val="both"/>
        <w:rPr>
          <w:rFonts w:ascii="Arial" w:hAnsi="Arial" w:cs="Arial"/>
        </w:rPr>
      </w:pPr>
      <w:r w:rsidRPr="00D74F6F">
        <w:rPr>
          <w:rFonts w:ascii="Arial" w:hAnsi="Arial" w:cs="Arial"/>
        </w:rPr>
        <w:t>La Corte Constitucional, en Sentencia C</w:t>
      </w:r>
      <w:r>
        <w:rPr>
          <w:rFonts w:ascii="Arial" w:hAnsi="Arial" w:cs="Arial"/>
        </w:rPr>
        <w:t>-</w:t>
      </w:r>
      <w:r w:rsidRPr="00D74F6F">
        <w:rPr>
          <w:rFonts w:ascii="Arial" w:hAnsi="Arial" w:cs="Arial"/>
        </w:rPr>
        <w:t>671 de 2015</w:t>
      </w:r>
      <w:r>
        <w:rPr>
          <w:rFonts w:ascii="Arial" w:hAnsi="Arial" w:cs="Arial"/>
        </w:rPr>
        <w:t>,</w:t>
      </w:r>
      <w:r w:rsidRPr="00D74F6F">
        <w:rPr>
          <w:rFonts w:ascii="Arial" w:hAnsi="Arial" w:cs="Arial"/>
        </w:rPr>
        <w:t xml:space="preserve">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D74F6F">
        <w:rPr>
          <w:rFonts w:ascii="Arial" w:hAnsi="Arial" w:cs="Arial"/>
          <w:spacing w:val="-13"/>
        </w:rPr>
        <w:t xml:space="preserve"> </w:t>
      </w:r>
      <w:r w:rsidRPr="00D74F6F">
        <w:rPr>
          <w:rFonts w:ascii="Arial" w:hAnsi="Arial" w:cs="Arial"/>
        </w:rPr>
        <w:t>que:</w:t>
      </w:r>
    </w:p>
    <w:p w14:paraId="43BA822C" w14:textId="77777777" w:rsidR="008410D2" w:rsidRPr="002B5545" w:rsidRDefault="008410D2" w:rsidP="008410D2">
      <w:pPr>
        <w:pStyle w:val="Textoindependiente"/>
        <w:spacing w:after="0"/>
        <w:ind w:firstLine="707"/>
        <w:jc w:val="both"/>
        <w:rPr>
          <w:rFonts w:ascii="Arial" w:hAnsi="Arial" w:cs="Arial"/>
        </w:rPr>
      </w:pPr>
    </w:p>
    <w:p w14:paraId="652098F1" w14:textId="3BA6D0E9" w:rsidR="008410D2" w:rsidRPr="00446B03" w:rsidRDefault="00517AF1" w:rsidP="001A5552">
      <w:pPr>
        <w:spacing w:after="0" w:line="240" w:lineRule="auto"/>
        <w:ind w:left="709" w:right="709"/>
        <w:jc w:val="both"/>
        <w:rPr>
          <w:rFonts w:ascii="Arial" w:hAnsi="Arial" w:cs="Arial"/>
          <w:sz w:val="21"/>
        </w:rPr>
      </w:pPr>
      <w:r>
        <w:rPr>
          <w:rFonts w:ascii="Arial" w:hAnsi="Arial" w:cs="Arial"/>
          <w:sz w:val="21"/>
        </w:rPr>
        <w:t>“</w:t>
      </w:r>
      <w:r w:rsidR="008410D2"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008410D2" w:rsidRPr="00446B03">
        <w:rPr>
          <w:rFonts w:ascii="Arial" w:hAnsi="Arial" w:cs="Arial"/>
          <w:sz w:val="21"/>
        </w:rPr>
        <w:t>ii</w:t>
      </w:r>
      <w:proofErr w:type="spellEnd"/>
      <w:r w:rsidR="008410D2" w:rsidRPr="00446B03">
        <w:rPr>
          <w:rFonts w:ascii="Arial" w:hAnsi="Arial" w:cs="Arial"/>
          <w:sz w:val="21"/>
        </w:rPr>
        <w:t>) tienen como fuente la autonomía contractual; (</w:t>
      </w:r>
      <w:proofErr w:type="spellStart"/>
      <w:r w:rsidR="008410D2" w:rsidRPr="00446B03">
        <w:rPr>
          <w:rFonts w:ascii="Arial" w:hAnsi="Arial" w:cs="Arial"/>
          <w:sz w:val="21"/>
        </w:rPr>
        <w:t>iii</w:t>
      </w:r>
      <w:proofErr w:type="spellEnd"/>
      <w:r w:rsidR="008410D2" w:rsidRPr="00446B03">
        <w:rPr>
          <w:rFonts w:ascii="Arial" w:hAnsi="Arial" w:cs="Arial"/>
          <w:sz w:val="21"/>
        </w:rPr>
        <w:t>) son contratos nominados puesto que están mencionados en la ley; (</w:t>
      </w:r>
      <w:proofErr w:type="spellStart"/>
      <w:r w:rsidR="008410D2" w:rsidRPr="00446B03">
        <w:rPr>
          <w:rFonts w:ascii="Arial" w:hAnsi="Arial" w:cs="Arial"/>
          <w:sz w:val="21"/>
        </w:rPr>
        <w:t>iv</w:t>
      </w:r>
      <w:proofErr w:type="spellEnd"/>
      <w:r w:rsidR="008410D2" w:rsidRPr="00446B03">
        <w:rPr>
          <w:rFonts w:ascii="Arial"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008410D2" w:rsidRPr="00446B03">
        <w:rPr>
          <w:rFonts w:ascii="Arial" w:hAnsi="Arial" w:cs="Arial"/>
          <w:sz w:val="21"/>
        </w:rPr>
        <w:t>vii</w:t>
      </w:r>
      <w:proofErr w:type="spellEnd"/>
      <w:r w:rsidR="008410D2" w:rsidRPr="00446B03">
        <w:rPr>
          <w:rFonts w:ascii="Arial" w:hAnsi="Arial" w:cs="Arial"/>
          <w:sz w:val="21"/>
        </w:rPr>
        <w:t>) persiguen  una finalidad común a través de la realización de intereses compartidos entre las entidades vinculadas; (</w:t>
      </w:r>
      <w:proofErr w:type="spellStart"/>
      <w:r w:rsidR="008410D2" w:rsidRPr="00446B03">
        <w:rPr>
          <w:rFonts w:ascii="Arial" w:hAnsi="Arial" w:cs="Arial"/>
          <w:sz w:val="21"/>
        </w:rPr>
        <w:t>viii</w:t>
      </w:r>
      <w:proofErr w:type="spellEnd"/>
      <w:r w:rsidR="008410D2" w:rsidRPr="00446B03">
        <w:rPr>
          <w:rFonts w:ascii="Arial" w:hAnsi="Arial" w:cs="Arial"/>
          <w:sz w:val="21"/>
        </w:rPr>
        <w:t>) la acción mediante la cual se deben ventilar las diferencias que sobre el particular surjan es la de controversias contractuales</w:t>
      </w:r>
      <w:r>
        <w:rPr>
          <w:rFonts w:ascii="Arial" w:hAnsi="Arial" w:cs="Arial"/>
          <w:sz w:val="21"/>
        </w:rPr>
        <w:t>”</w:t>
      </w:r>
      <w:r w:rsidR="008410D2" w:rsidRPr="00446B03">
        <w:rPr>
          <w:rStyle w:val="Refdenotaalpie"/>
          <w:rFonts w:ascii="Arial" w:hAnsi="Arial" w:cs="Arial"/>
          <w:sz w:val="21"/>
        </w:rPr>
        <w:footnoteReference w:id="5"/>
      </w:r>
      <w:r w:rsidR="008410D2" w:rsidRPr="00446B03">
        <w:rPr>
          <w:rFonts w:ascii="Arial" w:hAnsi="Arial" w:cs="Arial"/>
          <w:sz w:val="21"/>
        </w:rPr>
        <w:t>.</w:t>
      </w:r>
    </w:p>
    <w:p w14:paraId="2E982FEA" w14:textId="77777777" w:rsidR="008410D2" w:rsidRPr="002816F3" w:rsidRDefault="008410D2" w:rsidP="008410D2">
      <w:pPr>
        <w:spacing w:after="0"/>
        <w:ind w:left="709" w:right="709"/>
        <w:jc w:val="both"/>
        <w:rPr>
          <w:rFonts w:ascii="Arial" w:hAnsi="Arial" w:cs="Arial"/>
        </w:rPr>
      </w:pPr>
    </w:p>
    <w:p w14:paraId="1F730019" w14:textId="77777777" w:rsidR="008410D2" w:rsidRPr="002816F3" w:rsidRDefault="008410D2" w:rsidP="008410D2">
      <w:pPr>
        <w:pStyle w:val="Textoindependiente"/>
        <w:spacing w:after="0"/>
        <w:ind w:firstLine="707"/>
        <w:jc w:val="both"/>
        <w:rPr>
          <w:rFonts w:ascii="Arial" w:hAnsi="Arial" w:cs="Arial"/>
        </w:rPr>
      </w:pPr>
      <w:r w:rsidRPr="002816F3">
        <w:rPr>
          <w:rFonts w:ascii="Arial" w:hAnsi="Arial" w:cs="Arial"/>
        </w:rPr>
        <w:t>En ese sentido, los</w:t>
      </w:r>
      <w:r>
        <w:rPr>
          <w:rFonts w:ascii="Arial" w:hAnsi="Arial" w:cs="Arial"/>
        </w:rPr>
        <w:t xml:space="preserve"> </w:t>
      </w:r>
      <w:r w:rsidRPr="002816F3">
        <w:rPr>
          <w:rFonts w:ascii="Arial" w:hAnsi="Arial" w:cs="Arial"/>
        </w:rPr>
        <w:t>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9D77BA0" w14:textId="77777777" w:rsidR="008410D2" w:rsidRPr="002816F3" w:rsidRDefault="008410D2" w:rsidP="008410D2">
      <w:pPr>
        <w:pStyle w:val="Textoindependiente"/>
        <w:spacing w:before="119" w:after="0"/>
        <w:ind w:firstLine="707"/>
        <w:jc w:val="both"/>
        <w:rPr>
          <w:rFonts w:ascii="Arial" w:hAnsi="Arial" w:cs="Arial"/>
        </w:rPr>
      </w:pPr>
      <w:r w:rsidRPr="002816F3">
        <w:rPr>
          <w:rFonts w:ascii="Arial" w:hAnsi="Arial" w:cs="Aria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Como se indicó, la existencia de un contrato interadministrativo no está determinada por la modalidad de selección sino, entre otras cosas, de la calidad de las partes que lo suscriben, es decir, debe tratarse de entidades</w:t>
      </w:r>
      <w:r w:rsidRPr="002816F3">
        <w:rPr>
          <w:rFonts w:ascii="Arial" w:hAnsi="Arial" w:cs="Arial"/>
          <w:spacing w:val="-3"/>
        </w:rPr>
        <w:t xml:space="preserve"> </w:t>
      </w:r>
      <w:r w:rsidRPr="002816F3">
        <w:rPr>
          <w:rFonts w:ascii="Arial" w:hAnsi="Arial" w:cs="Arial"/>
        </w:rPr>
        <w:t>estatales.</w:t>
      </w:r>
    </w:p>
    <w:p w14:paraId="7AAE79F8" w14:textId="77777777" w:rsidR="008410D2" w:rsidRPr="002816F3" w:rsidRDefault="008410D2" w:rsidP="008410D2">
      <w:pPr>
        <w:pStyle w:val="Textoindependiente"/>
        <w:spacing w:before="120" w:after="0"/>
        <w:ind w:firstLine="709"/>
        <w:jc w:val="both"/>
        <w:rPr>
          <w:rFonts w:ascii="Arial" w:hAnsi="Arial" w:cs="Arial"/>
        </w:rPr>
      </w:pPr>
      <w:r w:rsidRPr="002816F3">
        <w:rPr>
          <w:rFonts w:ascii="Arial" w:hAnsi="Arial" w:cs="Arial"/>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816F3">
        <w:rPr>
          <w:rFonts w:ascii="Arial" w:hAnsi="Arial" w:cs="Arial"/>
          <w:spacing w:val="-4"/>
        </w:rPr>
        <w:t xml:space="preserve"> </w:t>
      </w:r>
      <w:r w:rsidRPr="002816F3">
        <w:rPr>
          <w:rFonts w:ascii="Arial" w:hAnsi="Arial" w:cs="Arial"/>
        </w:rPr>
        <w:t>estatales.</w:t>
      </w:r>
    </w:p>
    <w:p w14:paraId="128A1EED" w14:textId="77777777" w:rsidR="008410D2" w:rsidRPr="002816F3" w:rsidRDefault="008410D2" w:rsidP="008410D2">
      <w:pPr>
        <w:pStyle w:val="Textoindependiente"/>
        <w:spacing w:before="122" w:after="0"/>
        <w:ind w:firstLine="708"/>
        <w:jc w:val="both"/>
        <w:rPr>
          <w:rFonts w:ascii="Arial" w:hAnsi="Arial" w:cs="Arial"/>
        </w:rPr>
      </w:pPr>
      <w:r w:rsidRPr="002816F3">
        <w:rPr>
          <w:rFonts w:ascii="Arial" w:hAnsi="Arial" w:cs="Arial"/>
        </w:rPr>
        <w:t>Es conveniente destacar que el Decreto 1082 de 2015 dispone que los convenios o contratos interadministrativos, así denominados en su artículo 2.2.1.2.1.4.4, se contratan directamente, por lo qu</w:t>
      </w:r>
      <w:r>
        <w:rPr>
          <w:rFonts w:ascii="Arial" w:hAnsi="Arial" w:cs="Arial"/>
        </w:rPr>
        <w:t xml:space="preserve">e representan figuras similares </w:t>
      </w:r>
      <w:r w:rsidRPr="002816F3">
        <w:rPr>
          <w:rFonts w:ascii="Arial" w:hAnsi="Arial" w:cs="Arial"/>
        </w:rPr>
        <w:t>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57D11914" w14:textId="77777777" w:rsidR="008410D2" w:rsidRPr="002816F3" w:rsidRDefault="008410D2" w:rsidP="008410D2">
      <w:pPr>
        <w:pStyle w:val="Textoindependiente"/>
        <w:spacing w:after="0"/>
        <w:ind w:firstLine="708"/>
        <w:jc w:val="both"/>
        <w:rPr>
          <w:rFonts w:ascii="Arial" w:hAnsi="Arial" w:cs="Arial"/>
        </w:rPr>
      </w:pPr>
      <w:r w:rsidRPr="002816F3">
        <w:rPr>
          <w:rFonts w:ascii="Arial" w:hAnsi="Arial" w:cs="Arial"/>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816F3">
        <w:rPr>
          <w:rFonts w:ascii="Arial" w:hAnsi="Arial" w:cs="Arial"/>
          <w:spacing w:val="-4"/>
        </w:rPr>
        <w:t xml:space="preserve"> </w:t>
      </w:r>
      <w:r w:rsidRPr="002816F3">
        <w:rPr>
          <w:rFonts w:ascii="Arial" w:hAnsi="Arial" w:cs="Arial"/>
        </w:rPr>
        <w:t>[…]”</w:t>
      </w:r>
      <w:r w:rsidRPr="002816F3">
        <w:rPr>
          <w:rStyle w:val="Refdenotaalpie"/>
          <w:rFonts w:ascii="Arial" w:hAnsi="Arial" w:cs="Arial"/>
        </w:rPr>
        <w:footnoteReference w:id="6"/>
      </w:r>
      <w:r w:rsidRPr="002816F3">
        <w:rPr>
          <w:rFonts w:ascii="Arial" w:hAnsi="Arial" w:cs="Arial"/>
        </w:rPr>
        <w:t>.</w:t>
      </w:r>
    </w:p>
    <w:p w14:paraId="0BBBE9D6" w14:textId="77777777" w:rsidR="008410D2" w:rsidRPr="0076320C" w:rsidRDefault="008410D2" w:rsidP="008410D2">
      <w:pPr>
        <w:snapToGrid w:val="0"/>
        <w:spacing w:before="120" w:after="0" w:line="276" w:lineRule="auto"/>
        <w:ind w:firstLine="709"/>
        <w:jc w:val="both"/>
        <w:rPr>
          <w:rFonts w:ascii="Arial" w:eastAsia="Calibri" w:hAnsi="Arial" w:cs="Arial"/>
          <w:bCs/>
          <w:color w:val="000000" w:themeColor="text1"/>
          <w:lang w:bidi="es-ES"/>
        </w:rPr>
      </w:pPr>
      <w:r>
        <w:rPr>
          <w:rFonts w:ascii="Arial" w:eastAsia="Calibri" w:hAnsi="Arial" w:cs="Arial"/>
          <w:bCs/>
          <w:color w:val="000000" w:themeColor="text1"/>
          <w:lang w:bidi="es-ES"/>
        </w:rPr>
        <w:t>S</w:t>
      </w:r>
      <w:r w:rsidRPr="0076320C">
        <w:rPr>
          <w:rFonts w:ascii="Arial" w:eastAsia="Calibri" w:hAnsi="Arial" w:cs="Arial"/>
          <w:bCs/>
          <w:color w:val="000000" w:themeColor="text1"/>
          <w:lang w:bidi="es-ES"/>
        </w:rPr>
        <w:t>i bien tanto los contratos como convenios comparten características comunes</w:t>
      </w:r>
      <w:r>
        <w:rPr>
          <w:rFonts w:ascii="Arial" w:eastAsia="Calibri" w:hAnsi="Arial" w:cs="Arial"/>
          <w:bCs/>
          <w:color w:val="000000" w:themeColor="text1"/>
          <w:lang w:bidi="es-ES"/>
        </w:rPr>
        <w:t xml:space="preserve"> explicadas en los párrafos precedentes</w:t>
      </w:r>
      <w:r w:rsidRPr="0076320C">
        <w:rPr>
          <w:rFonts w:ascii="Arial" w:eastAsia="Calibri" w:hAnsi="Arial" w:cs="Arial"/>
          <w:bCs/>
          <w:color w:val="000000" w:themeColor="text1"/>
          <w:lang w:bidi="es-ES"/>
        </w:rPr>
        <w:t>, difieren en cuanto a ciert</w:t>
      </w:r>
      <w:r>
        <w:rPr>
          <w:rFonts w:ascii="Arial" w:eastAsia="Calibri" w:hAnsi="Arial" w:cs="Arial"/>
          <w:bCs/>
          <w:color w:val="000000" w:themeColor="text1"/>
          <w:lang w:bidi="es-ES"/>
        </w:rPr>
        <w:t>o</w:t>
      </w:r>
      <w:r w:rsidRPr="0076320C">
        <w:rPr>
          <w:rFonts w:ascii="Arial" w:eastAsia="Calibri" w:hAnsi="Arial" w:cs="Arial"/>
          <w:bCs/>
          <w:color w:val="000000" w:themeColor="text1"/>
          <w:lang w:bidi="es-ES"/>
        </w:rPr>
        <w:t xml:space="preserve">s </w:t>
      </w:r>
      <w:r>
        <w:rPr>
          <w:rFonts w:ascii="Arial" w:eastAsia="Calibri" w:hAnsi="Arial" w:cs="Arial"/>
          <w:bCs/>
          <w:color w:val="000000" w:themeColor="text1"/>
          <w:lang w:bidi="es-ES"/>
        </w:rPr>
        <w:t>aspectos</w:t>
      </w:r>
      <w:r w:rsidRPr="0076320C">
        <w:rPr>
          <w:rFonts w:ascii="Arial" w:eastAsia="Calibri" w:hAnsi="Arial" w:cs="Arial"/>
          <w:bCs/>
          <w:color w:val="000000" w:themeColor="text1"/>
          <w:lang w:bidi="es-ES"/>
        </w:rPr>
        <w:t xml:space="preserve"> esenciales</w:t>
      </w:r>
      <w:r w:rsidRPr="0076320C">
        <w:rPr>
          <w:rFonts w:ascii="Arial" w:eastAsia="Calibri" w:hAnsi="Arial" w:cs="Arial"/>
          <w:color w:val="000000" w:themeColor="text1"/>
          <w:lang w:bidi="es-ES"/>
        </w:rPr>
        <w:t xml:space="preserve">. </w:t>
      </w:r>
      <w:r w:rsidRPr="0076320C">
        <w:rPr>
          <w:rFonts w:ascii="Arial" w:eastAsia="Calibri" w:hAnsi="Arial" w:cs="Arial"/>
          <w:bCs/>
          <w:color w:val="000000" w:themeColor="text1"/>
          <w:lang w:bidi="es-ES"/>
        </w:rPr>
        <w:t xml:space="preserve">Así, mientras que el </w:t>
      </w:r>
      <w:r w:rsidRPr="00D96A82">
        <w:rPr>
          <w:rFonts w:ascii="Arial" w:eastAsia="Calibri" w:hAnsi="Arial" w:cs="Arial"/>
          <w:bCs/>
          <w:i/>
          <w:iCs/>
          <w:color w:val="000000" w:themeColor="text1"/>
          <w:lang w:bidi="es-ES"/>
        </w:rPr>
        <w:t xml:space="preserve">contrato </w:t>
      </w:r>
      <w:r>
        <w:rPr>
          <w:rFonts w:ascii="Arial" w:eastAsia="Calibri" w:hAnsi="Arial" w:cs="Arial"/>
          <w:bCs/>
          <w:i/>
          <w:iCs/>
          <w:color w:val="000000" w:themeColor="text1"/>
          <w:lang w:bidi="es-ES"/>
        </w:rPr>
        <w:t>inter</w:t>
      </w:r>
      <w:r w:rsidRPr="00D96A82">
        <w:rPr>
          <w:rFonts w:ascii="Arial" w:eastAsia="Calibri" w:hAnsi="Arial" w:cs="Arial"/>
          <w:bCs/>
          <w:i/>
          <w:iCs/>
          <w:color w:val="000000" w:themeColor="text1"/>
          <w:lang w:bidi="es-ES"/>
        </w:rPr>
        <w:t>administrativo</w:t>
      </w:r>
      <w:r w:rsidRPr="0076320C">
        <w:rPr>
          <w:rFonts w:ascii="Arial" w:eastAsia="Calibri" w:hAnsi="Arial" w:cs="Arial"/>
          <w:bCs/>
          <w:color w:val="000000" w:themeColor="text1"/>
          <w:lang w:bidi="es-ES"/>
        </w:rPr>
        <w:t xml:space="preserve"> se caracteriza por su naturaleza onerosa, patrimonial y se conforma por intereses básicamente contrapuestos, los </w:t>
      </w:r>
      <w:r w:rsidRPr="00D96A82">
        <w:rPr>
          <w:rFonts w:ascii="Arial" w:eastAsia="Calibri" w:hAnsi="Arial" w:cs="Arial"/>
          <w:bCs/>
          <w:i/>
          <w:iCs/>
          <w:color w:val="000000" w:themeColor="text1"/>
          <w:lang w:bidi="es-ES"/>
        </w:rPr>
        <w:t xml:space="preserve">convenios </w:t>
      </w:r>
      <w:r>
        <w:rPr>
          <w:rFonts w:ascii="Arial" w:eastAsia="Calibri" w:hAnsi="Arial" w:cs="Arial"/>
          <w:bCs/>
          <w:i/>
          <w:iCs/>
          <w:color w:val="000000" w:themeColor="text1"/>
          <w:lang w:bidi="es-ES"/>
        </w:rPr>
        <w:t>inter</w:t>
      </w:r>
      <w:r w:rsidRPr="00D96A82">
        <w:rPr>
          <w:rFonts w:ascii="Arial" w:eastAsia="Calibri" w:hAnsi="Arial" w:cs="Arial"/>
          <w:bCs/>
          <w:i/>
          <w:iCs/>
          <w:color w:val="000000" w:themeColor="text1"/>
          <w:lang w:bidi="es-ES"/>
        </w:rPr>
        <w:t>administrativos</w:t>
      </w:r>
      <w:r w:rsidRPr="0076320C">
        <w:rPr>
          <w:rFonts w:ascii="Arial" w:eastAsia="Calibri" w:hAnsi="Arial" w:cs="Arial"/>
          <w:bCs/>
          <w:color w:val="000000" w:themeColor="text1"/>
          <w:lang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w:t>
      </w:r>
      <w:r>
        <w:rPr>
          <w:rFonts w:ascii="Arial" w:eastAsia="Calibri" w:hAnsi="Arial" w:cs="Arial"/>
          <w:bCs/>
          <w:color w:val="000000" w:themeColor="text1"/>
          <w:lang w:bidi="es-ES"/>
        </w:rPr>
        <w:t xml:space="preserve"> </w:t>
      </w:r>
      <w:r w:rsidRPr="0076320C">
        <w:rPr>
          <w:rFonts w:ascii="Arial" w:eastAsia="Calibri" w:hAnsi="Arial" w:cs="Arial"/>
          <w:bCs/>
          <w:color w:val="000000" w:themeColor="text1"/>
          <w:lang w:bidi="es-ES"/>
        </w:rPr>
        <w:t>De aquí que la Sala de Consulta y Servicio Civil del Consejo de Estado haya señalado la necesidad de diferenciar el régimen jurídico aplicable a ciertas situaciones específicas del convenio interadministrativo que se separan del régimen jurídico común:</w:t>
      </w:r>
    </w:p>
    <w:p w14:paraId="43067ADA" w14:textId="77777777" w:rsidR="008410D2" w:rsidRPr="0076320C" w:rsidRDefault="008410D2" w:rsidP="008410D2">
      <w:pPr>
        <w:spacing w:beforeLines="120" w:before="288" w:afterLines="120" w:after="288" w:line="276" w:lineRule="auto"/>
        <w:ind w:firstLine="708"/>
        <w:contextualSpacing/>
        <w:rPr>
          <w:rFonts w:ascii="Arial" w:eastAsia="Calibri" w:hAnsi="Arial" w:cs="Arial"/>
          <w:bCs/>
          <w:color w:val="000000" w:themeColor="text1"/>
          <w:lang w:bidi="es-ES"/>
        </w:rPr>
      </w:pPr>
    </w:p>
    <w:p w14:paraId="6AA3DB4E" w14:textId="77777777" w:rsidR="008410D2" w:rsidRDefault="008410D2" w:rsidP="008410D2">
      <w:pPr>
        <w:spacing w:beforeLines="120" w:before="288" w:afterLines="120" w:after="288" w:line="240" w:lineRule="auto"/>
        <w:ind w:left="709" w:right="709"/>
        <w:contextualSpacing/>
        <w:jc w:val="both"/>
        <w:rPr>
          <w:rFonts w:ascii="Arial" w:eastAsia="Calibri" w:hAnsi="Arial" w:cs="Arial"/>
          <w:bCs/>
          <w:color w:val="000000" w:themeColor="text1"/>
          <w:sz w:val="21"/>
          <w:lang w:bidi="es-ES"/>
        </w:rPr>
      </w:pPr>
      <w:r>
        <w:rPr>
          <w:rFonts w:ascii="Arial" w:eastAsia="Calibri" w:hAnsi="Arial" w:cs="Arial"/>
          <w:bCs/>
          <w:color w:val="000000" w:themeColor="text1"/>
          <w:sz w:val="21"/>
          <w:lang w:bidi="es-ES"/>
        </w:rPr>
        <w:t>“</w:t>
      </w:r>
      <w:r w:rsidRPr="00DA48D6">
        <w:rPr>
          <w:rFonts w:ascii="Arial" w:eastAsia="Calibri" w:hAnsi="Arial" w:cs="Arial"/>
          <w:bCs/>
          <w:color w:val="000000" w:themeColor="text1"/>
          <w:sz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2B211E92" w14:textId="77777777" w:rsidR="008410D2" w:rsidRPr="00340446" w:rsidRDefault="008410D2" w:rsidP="008410D2">
      <w:pPr>
        <w:spacing w:beforeLines="120" w:before="288" w:afterLines="120" w:after="288" w:line="240" w:lineRule="auto"/>
        <w:ind w:left="709" w:right="709"/>
        <w:contextualSpacing/>
        <w:jc w:val="both"/>
        <w:rPr>
          <w:rFonts w:ascii="Arial" w:eastAsia="Calibri" w:hAnsi="Arial" w:cs="Arial"/>
          <w:bCs/>
          <w:color w:val="000000" w:themeColor="text1"/>
          <w:sz w:val="12"/>
          <w:szCs w:val="12"/>
          <w:lang w:bidi="es-ES"/>
        </w:rPr>
      </w:pPr>
    </w:p>
    <w:p w14:paraId="309E9BB6" w14:textId="77777777" w:rsidR="008410D2" w:rsidRPr="00DA48D6" w:rsidRDefault="008410D2" w:rsidP="008410D2">
      <w:pPr>
        <w:spacing w:beforeLines="120" w:before="288" w:afterLines="120" w:after="288" w:line="240" w:lineRule="auto"/>
        <w:ind w:left="709" w:right="709"/>
        <w:contextualSpacing/>
        <w:jc w:val="both"/>
        <w:rPr>
          <w:rFonts w:ascii="Arial" w:eastAsia="Calibri" w:hAnsi="Arial" w:cs="Arial"/>
          <w:bCs/>
          <w:color w:val="000000" w:themeColor="text1"/>
          <w:sz w:val="21"/>
          <w:lang w:bidi="es-ES"/>
        </w:rPr>
      </w:pPr>
      <w:r w:rsidRPr="00DA48D6">
        <w:rPr>
          <w:rFonts w:ascii="Arial" w:eastAsia="Calibri" w:hAnsi="Arial" w:cs="Arial"/>
          <w:bCs/>
          <w:color w:val="000000" w:themeColor="text1"/>
          <w:sz w:val="21"/>
          <w:lang w:bidi="es-ES"/>
        </w:rPr>
        <w:t>Ahora, dada la naturaleza jurídica explicada de los convenios interadministrativos</w:t>
      </w:r>
      <w:r w:rsidRPr="00DA48D6">
        <w:rPr>
          <w:rFonts w:ascii="Arial" w:eastAsia="Calibri" w:hAnsi="Arial" w:cs="Arial"/>
          <w:bCs/>
          <w:i/>
          <w:iCs/>
          <w:color w:val="000000" w:themeColor="text1"/>
          <w:sz w:val="21"/>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Pr>
          <w:rFonts w:ascii="Arial" w:eastAsia="Calibri" w:hAnsi="Arial" w:cs="Arial"/>
          <w:bCs/>
          <w:i/>
          <w:iCs/>
          <w:color w:val="000000" w:themeColor="text1"/>
          <w:sz w:val="21"/>
          <w:lang w:bidi="es-ES"/>
        </w:rPr>
        <w:t>”</w:t>
      </w:r>
      <w:r w:rsidRPr="00DA48D6">
        <w:rPr>
          <w:rFonts w:ascii="Arial" w:eastAsia="Calibri" w:hAnsi="Arial" w:cs="Arial"/>
          <w:bCs/>
          <w:color w:val="000000" w:themeColor="text1"/>
          <w:sz w:val="21"/>
          <w:lang w:bidi="es-ES"/>
        </w:rPr>
        <w:t>.</w:t>
      </w:r>
      <w:r w:rsidRPr="006E302A">
        <w:rPr>
          <w:rFonts w:ascii="Arial" w:eastAsia="Calibri" w:hAnsi="Arial" w:cs="Arial"/>
          <w:bCs/>
          <w:color w:val="000000" w:themeColor="text1"/>
          <w:sz w:val="21"/>
          <w:szCs w:val="21"/>
          <w:vertAlign w:val="superscript"/>
          <w:lang w:bidi="es-ES"/>
        </w:rPr>
        <w:footnoteReference w:id="7"/>
      </w:r>
      <w:r w:rsidRPr="00DA48D6">
        <w:rPr>
          <w:rFonts w:ascii="Arial" w:eastAsia="Calibri" w:hAnsi="Arial" w:cs="Arial"/>
          <w:bCs/>
          <w:color w:val="000000" w:themeColor="text1"/>
          <w:sz w:val="21"/>
          <w:lang w:bidi="es-ES"/>
        </w:rPr>
        <w:t xml:space="preserve"> (Cursiva fuera del texto original) </w:t>
      </w:r>
    </w:p>
    <w:p w14:paraId="4FC85255" w14:textId="77777777" w:rsidR="008410D2" w:rsidRDefault="008410D2" w:rsidP="008410D2">
      <w:pPr>
        <w:tabs>
          <w:tab w:val="left" w:pos="426"/>
        </w:tabs>
        <w:spacing w:after="0" w:line="276" w:lineRule="auto"/>
        <w:jc w:val="both"/>
        <w:rPr>
          <w:rFonts w:ascii="Arial" w:eastAsia="Calibri" w:hAnsi="Arial" w:cs="Arial"/>
          <w:color w:val="000000" w:themeColor="text1"/>
          <w:lang w:eastAsia="en-GB"/>
        </w:rPr>
      </w:pPr>
    </w:p>
    <w:p w14:paraId="530B7014" w14:textId="77777777" w:rsidR="008410D2" w:rsidRPr="006E302A" w:rsidRDefault="008410D2" w:rsidP="001A5552">
      <w:pPr>
        <w:tabs>
          <w:tab w:val="left" w:pos="426"/>
        </w:tabs>
        <w:spacing w:after="120" w:line="276" w:lineRule="auto"/>
        <w:jc w:val="both"/>
        <w:rPr>
          <w:rFonts w:ascii="Arial" w:eastAsia="Calibri" w:hAnsi="Arial" w:cs="Arial"/>
          <w:color w:val="000000" w:themeColor="text1"/>
          <w:lang w:eastAsia="en-GB"/>
        </w:rPr>
      </w:pPr>
      <w:r>
        <w:rPr>
          <w:rFonts w:ascii="Arial" w:eastAsia="Calibri" w:hAnsi="Arial" w:cs="Arial"/>
          <w:color w:val="000000" w:themeColor="text1"/>
          <w:lang w:eastAsia="en-GB"/>
        </w:rPr>
        <w:tab/>
      </w:r>
      <w:r>
        <w:rPr>
          <w:rFonts w:ascii="Arial" w:eastAsia="Calibri" w:hAnsi="Arial" w:cs="Arial"/>
          <w:color w:val="000000" w:themeColor="text1"/>
          <w:lang w:eastAsia="en-GB"/>
        </w:rPr>
        <w:tab/>
        <w:t>De hecho, la distinción también se plantea en el ámbito del derecho privado con la referencia a los contratos de contraprestación y de colaboración</w:t>
      </w:r>
      <w:r>
        <w:rPr>
          <w:rStyle w:val="Refdenotaalpie"/>
          <w:rFonts w:ascii="Arial" w:eastAsia="Calibri" w:hAnsi="Arial" w:cs="Arial"/>
          <w:color w:val="000000" w:themeColor="text1"/>
          <w:lang w:eastAsia="en-GB"/>
        </w:rPr>
        <w:footnoteReference w:id="8"/>
      </w:r>
      <w:r>
        <w:rPr>
          <w:rFonts w:ascii="Arial" w:eastAsia="Calibri" w:hAnsi="Arial" w:cs="Arial"/>
          <w:color w:val="000000" w:themeColor="text1"/>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Pr>
          <w:rStyle w:val="Refdenotaalpie"/>
          <w:rFonts w:ascii="Arial" w:eastAsia="Calibri" w:hAnsi="Arial" w:cs="Arial"/>
          <w:color w:val="000000" w:themeColor="text1"/>
          <w:lang w:eastAsia="en-GB"/>
        </w:rPr>
        <w:footnoteReference w:id="9"/>
      </w:r>
      <w:r>
        <w:rPr>
          <w:rFonts w:ascii="Arial" w:eastAsia="Calibri" w:hAnsi="Arial" w:cs="Arial"/>
          <w:color w:val="000000" w:themeColor="text1"/>
          <w:lang w:eastAsia="en-GB"/>
        </w:rPr>
        <w:t xml:space="preserve">. </w:t>
      </w:r>
    </w:p>
    <w:p w14:paraId="78D78A00" w14:textId="77777777" w:rsidR="008410D2" w:rsidRDefault="008410D2" w:rsidP="001A5552">
      <w:pPr>
        <w:pStyle w:val="Textoindependiente"/>
        <w:ind w:firstLine="709"/>
        <w:jc w:val="both"/>
        <w:rPr>
          <w:rFonts w:ascii="Arial" w:hAnsi="Arial" w:cs="Arial"/>
        </w:rPr>
      </w:pPr>
      <w:r w:rsidRPr="002816F3">
        <w:rPr>
          <w:rFonts w:ascii="Arial" w:hAnsi="Arial" w:cs="Arial"/>
        </w:rPr>
        <w:t xml:space="preserve">Teniendo en cuenta lo anterior, </w:t>
      </w:r>
      <w:r w:rsidRPr="008F3C3D">
        <w:rPr>
          <w:rFonts w:ascii="Arial" w:hAnsi="Arial" w:cs="Arial"/>
        </w:rPr>
        <w:t>no existe una definición legal que diferencie los conceptos de contrato y convenio</w:t>
      </w:r>
      <w:r>
        <w:rPr>
          <w:rFonts w:ascii="Arial" w:hAnsi="Arial" w:cs="Arial"/>
        </w:rPr>
        <w:t xml:space="preserve">. </w:t>
      </w:r>
      <w:r w:rsidRPr="008F3C3D">
        <w:rPr>
          <w:rFonts w:ascii="Arial" w:hAnsi="Arial" w:cs="Arial"/>
        </w:rPr>
        <w:t>En tal sentido,</w:t>
      </w:r>
      <w:r>
        <w:rPr>
          <w:rFonts w:ascii="Arial" w:hAnsi="Arial" w:cs="Arial"/>
        </w:rPr>
        <w:t xml:space="preserve"> teniendo en cuenta sus características comunes,</w:t>
      </w:r>
      <w:r w:rsidRPr="008F3C3D">
        <w:rPr>
          <w:rFonts w:ascii="Arial" w:hAnsi="Arial" w:cs="Arial"/>
        </w:rPr>
        <w:t xml:space="preserve"> las referencias realizadas por el legislador a estos términos deben asimilarse, salvo que de su contenido logre inferirse que se quiere otorgar un contenido en particular</w:t>
      </w:r>
      <w:r>
        <w:rPr>
          <w:rFonts w:ascii="Arial" w:hAnsi="Arial" w:cs="Arial"/>
        </w:rPr>
        <w:t xml:space="preserve">. Por lo demás, </w:t>
      </w:r>
      <w:r w:rsidRPr="002816F3">
        <w:rPr>
          <w:rFonts w:ascii="Arial" w:hAnsi="Arial" w:cs="Arial"/>
        </w:rPr>
        <w:t xml:space="preserve">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7FD620ED" w14:textId="77777777" w:rsidR="008410D2" w:rsidRDefault="008410D2" w:rsidP="008410D2">
      <w:pPr>
        <w:pStyle w:val="Textoindependiente"/>
        <w:spacing w:after="0"/>
        <w:ind w:firstLine="709"/>
        <w:jc w:val="both"/>
        <w:rPr>
          <w:rFonts w:ascii="Arial" w:hAnsi="Arial" w:cs="Arial"/>
        </w:rPr>
      </w:pPr>
      <w:r>
        <w:rPr>
          <w:rFonts w:ascii="Arial" w:hAnsi="Arial" w:cs="Arial"/>
        </w:rPr>
        <w:t>Aunque ni la Ley 489 de 1998 ni la Ley 142 de 1994 tipifican la existencia de empresas de servicios públicos solidarias, cooperativas o comunitarias, de acuerdo con la Sentencia de la Corte Constitucional</w:t>
      </w:r>
      <w:r w:rsidRPr="003E0952">
        <w:rPr>
          <w:rFonts w:ascii="Arial" w:hAnsi="Arial" w:cs="Arial"/>
        </w:rPr>
        <w:t xml:space="preserve"> C-736 de 200</w:t>
      </w:r>
      <w:r>
        <w:rPr>
          <w:rFonts w:ascii="Arial" w:hAnsi="Arial" w:cs="Arial"/>
        </w:rPr>
        <w:t xml:space="preserve">7, con ponencia del Magistrado </w:t>
      </w:r>
      <w:r w:rsidRPr="003E0952">
        <w:rPr>
          <w:rFonts w:ascii="Arial" w:hAnsi="Arial" w:cs="Arial"/>
        </w:rPr>
        <w:t>Marco Gerardo Monroy Cabra</w:t>
      </w:r>
      <w:r>
        <w:rPr>
          <w:rFonts w:ascii="Arial" w:hAnsi="Arial" w:cs="Arial"/>
        </w:rPr>
        <w:t xml:space="preserve">, es necesario tener en cuenta que </w:t>
      </w:r>
      <w:r w:rsidRPr="002816F3">
        <w:rPr>
          <w:rFonts w:ascii="Arial" w:hAnsi="Arial" w:cs="Arial"/>
        </w:rPr>
        <w:t>las empresas de servicios públicos oficiales y mixtas o privadas en las cuales haya cualquier porcentaje de participación pública, son entidades descentralizadas que conforman la estructura de la rama ejecutiva del poder público</w:t>
      </w:r>
      <w:r>
        <w:rPr>
          <w:rFonts w:ascii="Arial" w:hAnsi="Arial" w:cs="Arial"/>
        </w:rPr>
        <w:t xml:space="preserve">. Por tanto, en la medida que concurran con otra entidad en la celebración de negocio jurídico, la tipología corresponderá a un convenio o contrato interadministrativo, el cual puede contener como objeto la ejecución de actividades de obra de agua potable y saneamiento básico, sin más requisitos ni restricciones que los previstos en la ley y reglamento. En caso de que por el criterio orgánico no exista una relación interadministrativa, por regla general el contrato será de obra y se someterá reglas de los demás procedimientos con pluralidad de oferentes del artículo 2 de la Ley 1150 de 2007, pues la contratación directa se reserva a los contratos o convenios del precitado artículo </w:t>
      </w:r>
      <w:r w:rsidRPr="00F62F80">
        <w:rPr>
          <w:rFonts w:ascii="Arial" w:hAnsi="Arial" w:cs="Arial"/>
        </w:rPr>
        <w:t>2.2.1.2.1.4.4</w:t>
      </w:r>
      <w:r>
        <w:rPr>
          <w:rFonts w:ascii="Arial" w:hAnsi="Arial" w:cs="Arial"/>
        </w:rPr>
        <w:t xml:space="preserve"> del Decreto 1082 de 2015, sin perjuicio de las demás causales previstas en el ordenamiento jurídico. En ambos casos, es importante determinar si aplican los documentos tipo, tema que se analizará a continuación.  </w:t>
      </w:r>
    </w:p>
    <w:p w14:paraId="54BA18E9" w14:textId="77777777" w:rsidR="008410D2" w:rsidRDefault="008410D2" w:rsidP="001A5552">
      <w:pPr>
        <w:pStyle w:val="Textoindependiente"/>
        <w:spacing w:after="0" w:line="240" w:lineRule="auto"/>
        <w:jc w:val="both"/>
        <w:rPr>
          <w:rFonts w:ascii="Arial" w:eastAsia="Arial" w:hAnsi="Arial" w:cs="Arial"/>
          <w:b/>
          <w:bCs/>
          <w:lang w:val="es-ES_tradnl" w:eastAsia="es-ES_tradnl"/>
        </w:rPr>
      </w:pPr>
    </w:p>
    <w:p w14:paraId="025A8362" w14:textId="77777777" w:rsidR="008410D2" w:rsidRPr="00C046D8" w:rsidRDefault="008410D2" w:rsidP="008410D2">
      <w:pPr>
        <w:spacing w:after="0" w:line="276" w:lineRule="auto"/>
        <w:contextualSpacing/>
        <w:jc w:val="both"/>
        <w:rPr>
          <w:rFonts w:ascii="Arial" w:eastAsia="Arial" w:hAnsi="Arial" w:cs="Arial"/>
          <w:b/>
          <w:bCs/>
          <w:lang w:val="es-ES_tradnl" w:eastAsia="es-ES_tradnl"/>
        </w:rPr>
      </w:pPr>
      <w:r w:rsidRPr="00C046D8">
        <w:rPr>
          <w:rFonts w:ascii="Arial" w:eastAsia="Arial" w:hAnsi="Arial" w:cs="Arial"/>
          <w:b/>
          <w:bCs/>
          <w:lang w:val="es-ES_tradnl" w:eastAsia="es-ES_tradnl"/>
        </w:rPr>
        <w:t>2.</w:t>
      </w:r>
      <w:r>
        <w:rPr>
          <w:rFonts w:ascii="Arial" w:eastAsia="Arial" w:hAnsi="Arial" w:cs="Arial"/>
          <w:b/>
          <w:bCs/>
          <w:lang w:val="es-ES_tradnl" w:eastAsia="es-ES_tradnl"/>
        </w:rPr>
        <w:t>2</w:t>
      </w:r>
      <w:r w:rsidRPr="00C046D8">
        <w:rPr>
          <w:rFonts w:ascii="Arial" w:eastAsia="Arial" w:hAnsi="Arial" w:cs="Arial"/>
          <w:b/>
          <w:bCs/>
          <w:lang w:val="es-ES_tradnl" w:eastAsia="es-ES_tradnl"/>
        </w:rPr>
        <w:t xml:space="preserve">. </w:t>
      </w:r>
      <w:bookmarkStart w:id="10" w:name="_Hlk110852287"/>
      <w:r w:rsidRPr="00C046D8">
        <w:rPr>
          <w:rFonts w:ascii="Arial" w:eastAsia="Arial" w:hAnsi="Arial" w:cs="Arial"/>
          <w:b/>
          <w:bCs/>
          <w:lang w:val="es-ES_tradnl" w:eastAsia="es-ES_tradnl"/>
        </w:rPr>
        <w:t xml:space="preserve">Fundamento normativo y ámbito de aplicación de los documentos tipo </w:t>
      </w:r>
      <w:bookmarkEnd w:id="10"/>
    </w:p>
    <w:p w14:paraId="656EE6D2" w14:textId="77777777" w:rsidR="008410D2" w:rsidRPr="00C046D8" w:rsidRDefault="008410D2" w:rsidP="001A5552">
      <w:pPr>
        <w:spacing w:after="0" w:line="240" w:lineRule="auto"/>
        <w:contextualSpacing/>
        <w:jc w:val="both"/>
        <w:rPr>
          <w:rFonts w:ascii="Arial" w:eastAsia="Arial" w:hAnsi="Arial" w:cs="Arial"/>
          <w:b/>
          <w:bCs/>
          <w:lang w:val="es-ES_tradnl" w:eastAsia="es-ES_tradnl"/>
        </w:rPr>
      </w:pPr>
    </w:p>
    <w:p w14:paraId="6A99E42D" w14:textId="77777777" w:rsidR="008410D2" w:rsidRPr="00C046D8" w:rsidRDefault="008410D2" w:rsidP="001A5552">
      <w:pPr>
        <w:spacing w:after="12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La adopción de los documentos tipo obligatorios en el ordenamiento jurídico colombiano se incluyó por primera vez en el parágrafo 3 del artículo 2 de la Ley 1150 de 2007</w:t>
      </w:r>
      <w:r w:rsidRPr="00C046D8">
        <w:rPr>
          <w:rFonts w:ascii="Arial" w:eastAsia="Calibri" w:hAnsi="Arial" w:cs="Arial"/>
          <w:vertAlign w:val="superscript"/>
          <w:lang w:val="es-ES_tradnl" w:eastAsia="es-ES_tradnl"/>
        </w:rPr>
        <w:footnoteReference w:id="10"/>
      </w:r>
      <w:r w:rsidRPr="00C046D8">
        <w:rPr>
          <w:rFonts w:ascii="Arial" w:eastAsia="Calibri" w:hAnsi="Arial" w:cs="Arial"/>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CD373AE" w14:textId="77777777" w:rsidR="008410D2" w:rsidRPr="00C046D8" w:rsidRDefault="008410D2" w:rsidP="008410D2">
      <w:pPr>
        <w:spacing w:after="0" w:line="276" w:lineRule="auto"/>
        <w:ind w:firstLine="709"/>
        <w:jc w:val="both"/>
        <w:rPr>
          <w:rFonts w:ascii="Arial" w:eastAsia="Calibri" w:hAnsi="Arial" w:cs="Arial"/>
          <w:lang w:val="es-ES_tradnl" w:eastAsia="es-ES_tradnl"/>
        </w:rPr>
      </w:pPr>
      <w:r w:rsidRPr="00C046D8">
        <w:rPr>
          <w:rFonts w:ascii="Arial" w:eastAsia="Calibri" w:hAnsi="Arial" w:cs="Arial"/>
          <w:lang w:val="es-ES_tradnl" w:eastAsia="es-ES_tradnl"/>
        </w:rPr>
        <w:t xml:space="preserve">Debido a lo anterior, el artículo 4 de la Ley 1882 de 2018 se convierte en el antecedente más relevante respecto a los documentos tipo. A partir de esta norma, se definió un mandato de obligatoria observancia por parte de todas las entidades sometidas al </w:t>
      </w:r>
      <w:r w:rsidRPr="00C046D8">
        <w:rPr>
          <w:rFonts w:ascii="Arial" w:eastAsia="Calibri" w:hAnsi="Arial" w:cs="Arial"/>
          <w:bCs/>
          <w:lang w:val="es-ES_tradnl" w:eastAsia="es-ES_tradnl"/>
        </w:rPr>
        <w:t>EGCAP</w:t>
      </w:r>
      <w:r>
        <w:rPr>
          <w:rFonts w:ascii="Arial" w:eastAsia="Calibri" w:hAnsi="Arial" w:cs="Arial"/>
          <w:bCs/>
          <w:lang w:val="es-ES_tradnl" w:eastAsia="es-ES_tradnl"/>
        </w:rPr>
        <w:t xml:space="preserve"> en </w:t>
      </w:r>
      <w:r w:rsidRPr="00C046D8">
        <w:rPr>
          <w:rFonts w:ascii="Arial" w:eastAsia="Calibri" w:hAnsi="Arial" w:cs="Arial"/>
          <w:lang w:val="es-ES_tradnl" w:eastAsia="es-ES_tradnl"/>
        </w:rPr>
        <w:t>la aplicación de los documentos tipo adoptados por el gobierno nacional</w:t>
      </w:r>
      <w:r>
        <w:rPr>
          <w:rFonts w:ascii="Arial" w:eastAsia="Calibri" w:hAnsi="Arial" w:cs="Arial"/>
          <w:lang w:val="es-ES_tradnl" w:eastAsia="es-ES_tradnl"/>
        </w:rPr>
        <w:t xml:space="preserve"> para la contratación </w:t>
      </w:r>
      <w:r w:rsidRPr="00C046D8">
        <w:rPr>
          <w:rFonts w:ascii="Arial" w:eastAsia="Calibri" w:hAnsi="Arial" w:cs="Arial"/>
          <w:lang w:val="es-ES_tradnl" w:eastAsia="es-ES_tradnl"/>
        </w:rPr>
        <w:t>de obra</w:t>
      </w:r>
      <w:r>
        <w:rPr>
          <w:rFonts w:ascii="Arial" w:eastAsia="Calibri" w:hAnsi="Arial" w:cs="Arial"/>
          <w:lang w:val="es-ES_tradnl" w:eastAsia="es-ES_tradnl"/>
        </w:rPr>
        <w:t xml:space="preserve"> </w:t>
      </w:r>
      <w:r w:rsidRPr="00C046D8">
        <w:rPr>
          <w:rFonts w:ascii="Arial" w:eastAsia="Calibri" w:hAnsi="Arial" w:cs="Arial"/>
          <w:lang w:val="es-ES_tradnl" w:eastAsia="es-ES_tradnl"/>
        </w:rPr>
        <w:t>pública</w:t>
      </w:r>
      <w:r>
        <w:rPr>
          <w:rFonts w:ascii="Arial" w:eastAsia="Calibri" w:hAnsi="Arial" w:cs="Arial"/>
          <w:lang w:val="es-ES_tradnl" w:eastAsia="es-ES_tradnl"/>
        </w:rPr>
        <w:t xml:space="preserve"> y su respectiva </w:t>
      </w:r>
      <w:r w:rsidRPr="00C046D8">
        <w:rPr>
          <w:rFonts w:ascii="Arial" w:eastAsia="Calibri" w:hAnsi="Arial" w:cs="Arial"/>
          <w:lang w:val="es-ES_tradnl" w:eastAsia="es-ES_tradnl"/>
        </w:rPr>
        <w:t>interventoría,</w:t>
      </w:r>
      <w:r>
        <w:rPr>
          <w:rFonts w:ascii="Arial" w:eastAsia="Calibri" w:hAnsi="Arial" w:cs="Arial"/>
          <w:lang w:val="es-ES_tradnl" w:eastAsia="es-ES_tradnl"/>
        </w:rPr>
        <w:t xml:space="preserve"> así como la</w:t>
      </w:r>
      <w:r w:rsidRPr="00C046D8">
        <w:rPr>
          <w:rFonts w:ascii="Arial" w:eastAsia="Calibri" w:hAnsi="Arial" w:cs="Arial"/>
          <w:lang w:val="es-ES_tradnl" w:eastAsia="es-ES_tradnl"/>
        </w:rPr>
        <w:t xml:space="preserve"> interventoría para consultoría de estudios y diseños para obras públicas y consultoría en ingeniería para obras, los cuales debían ser utilizados en los procesos de selección que adelantaran</w:t>
      </w:r>
      <w:r w:rsidRPr="00C046D8">
        <w:rPr>
          <w:rFonts w:ascii="Arial" w:eastAsia="Calibri" w:hAnsi="Arial" w:cs="Arial"/>
          <w:vertAlign w:val="superscript"/>
          <w:lang w:val="es-ES_tradnl" w:eastAsia="es-ES_tradnl"/>
        </w:rPr>
        <w:footnoteReference w:id="11"/>
      </w:r>
      <w:r w:rsidRPr="00C046D8">
        <w:rPr>
          <w:rFonts w:ascii="Arial" w:eastAsia="Calibri" w:hAnsi="Arial" w:cs="Arial"/>
          <w:lang w:val="es-ES_tradnl" w:eastAsia="es-ES_tradnl"/>
        </w:rPr>
        <w:t>.</w:t>
      </w:r>
    </w:p>
    <w:p w14:paraId="4709B22D" w14:textId="77777777" w:rsidR="008410D2" w:rsidRPr="00C046D8" w:rsidRDefault="008410D2" w:rsidP="008410D2">
      <w:pPr>
        <w:spacing w:before="120" w:after="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w:t>
      </w:r>
    </w:p>
    <w:p w14:paraId="5A054BA0" w14:textId="77777777" w:rsidR="008410D2" w:rsidRPr="00C046D8" w:rsidRDefault="008410D2" w:rsidP="008410D2">
      <w:pPr>
        <w:spacing w:before="120" w:after="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r>
      <w:bookmarkStart w:id="11" w:name="_Hlk113022874"/>
      <w:r w:rsidRPr="00C046D8">
        <w:rPr>
          <w:rFonts w:ascii="Arial" w:eastAsia="Calibri" w:hAnsi="Arial" w:cs="Arial"/>
          <w:lang w:val="es-ES_tradnl" w:eastAsia="es-ES_tradnl"/>
        </w:rPr>
        <w:t xml:space="preserve">De la norma descrita se concluía lo siguiente: i) la adopción de los documentos tipo estaba en cabeza del gobierno nacional; </w:t>
      </w:r>
      <w:proofErr w:type="spellStart"/>
      <w:r w:rsidRPr="00C046D8">
        <w:rPr>
          <w:rFonts w:ascii="Arial" w:eastAsia="Calibri" w:hAnsi="Arial" w:cs="Arial"/>
          <w:lang w:val="es-ES_tradnl" w:eastAsia="es-ES_tradnl"/>
        </w:rPr>
        <w:t>ii</w:t>
      </w:r>
      <w:proofErr w:type="spellEnd"/>
      <w:r w:rsidRPr="00C046D8">
        <w:rPr>
          <w:rFonts w:ascii="Arial" w:eastAsia="Calibri" w:hAnsi="Arial" w:cs="Arial"/>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C046D8">
        <w:rPr>
          <w:rFonts w:ascii="Arial" w:eastAsia="Calibri" w:hAnsi="Arial" w:cs="Arial"/>
          <w:lang w:val="es-ES_tradnl" w:eastAsia="es-ES_tradnl"/>
        </w:rPr>
        <w:t>iii</w:t>
      </w:r>
      <w:proofErr w:type="spellEnd"/>
      <w:r w:rsidRPr="00C046D8">
        <w:rPr>
          <w:rFonts w:ascii="Arial" w:eastAsia="Calibri" w:hAnsi="Arial" w:cs="Arial"/>
          <w:lang w:val="es-ES_tradnl" w:eastAsia="es-ES_tradnl"/>
        </w:rPr>
        <w:t xml:space="preserve">) eran de obligatorio cumplimiento por parte de todas las entidades sometidas al </w:t>
      </w:r>
      <w:proofErr w:type="spellStart"/>
      <w:r w:rsidRPr="00C046D8">
        <w:rPr>
          <w:rFonts w:ascii="Arial" w:eastAsia="Calibri" w:hAnsi="Arial" w:cs="Arial"/>
          <w:bCs/>
          <w:lang w:val="es-ES_tradnl" w:eastAsia="es-ES_tradnl"/>
        </w:rPr>
        <w:t>EGCAP</w:t>
      </w:r>
      <w:proofErr w:type="spellEnd"/>
      <w:r w:rsidRPr="00C046D8">
        <w:rPr>
          <w:rFonts w:ascii="Arial" w:eastAsia="Calibri" w:hAnsi="Arial" w:cs="Arial"/>
          <w:lang w:val="es-ES_tradnl" w:eastAsia="es-ES_tradnl"/>
        </w:rPr>
        <w:t xml:space="preserve">; </w:t>
      </w:r>
      <w:proofErr w:type="spellStart"/>
      <w:r w:rsidRPr="00C046D8">
        <w:rPr>
          <w:rFonts w:ascii="Arial" w:eastAsia="Calibri" w:hAnsi="Arial" w:cs="Arial"/>
          <w:lang w:val="es-ES_tradnl" w:eastAsia="es-ES_tradnl"/>
        </w:rPr>
        <w:t>iv</w:t>
      </w:r>
      <w:proofErr w:type="spellEnd"/>
      <w:r w:rsidRPr="00C046D8">
        <w:rPr>
          <w:rFonts w:ascii="Arial" w:eastAsia="Calibri" w:hAnsi="Arial" w:cs="Arial"/>
          <w:lang w:val="es-ES_tradnl" w:eastAsia="es-ES_tradn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bookmarkEnd w:id="11"/>
    <w:p w14:paraId="18332CD1" w14:textId="77777777" w:rsidR="008410D2" w:rsidRPr="00C046D8" w:rsidRDefault="008410D2" w:rsidP="008410D2">
      <w:pPr>
        <w:spacing w:before="120" w:after="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t xml:space="preserve">Esta norma fue estudiada por la Corte Constitucional en la </w:t>
      </w:r>
      <w:r>
        <w:rPr>
          <w:rFonts w:ascii="Arial" w:eastAsia="Calibri" w:hAnsi="Arial" w:cs="Arial"/>
          <w:lang w:val="es-ES_tradnl" w:eastAsia="es-ES_tradnl"/>
        </w:rPr>
        <w:t>s</w:t>
      </w:r>
      <w:r w:rsidRPr="00C046D8">
        <w:rPr>
          <w:rFonts w:ascii="Arial" w:eastAsia="Calibri" w:hAnsi="Arial" w:cs="Arial"/>
          <w:lang w:val="es-ES_tradnl" w:eastAsia="es-ES_tradnl"/>
        </w:rPr>
        <w:t xml:space="preserve">entencia C-119 de 2020. Al respecto, el Alto Tribunal indicó que la adopción de los documentos tipo no afectaba la autonomía de las entidades territoriales, en cuanto la estandarización se predicaba únicamente de los requisitos habilitantes </w:t>
      </w:r>
      <w:bookmarkStart w:id="12" w:name="_Hlk48665985"/>
      <w:r w:rsidRPr="00C046D8">
        <w:rPr>
          <w:rFonts w:ascii="Arial" w:eastAsia="Calibri" w:hAnsi="Arial" w:cs="Arial"/>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12"/>
      <w:r w:rsidRPr="00C046D8">
        <w:rPr>
          <w:rFonts w:ascii="Arial" w:eastAsia="Calibri" w:hAnsi="Arial" w:cs="Arial"/>
          <w:lang w:val="es-ES_tradnl" w:eastAsia="es-ES_tradnl"/>
        </w:rPr>
        <w:t>. De igual manera, se establece que esta autonomía se garantiza con la identificación autónoma de sus necesidades y la configuración de los elementos del contrato</w:t>
      </w:r>
      <w:r w:rsidRPr="00C046D8">
        <w:rPr>
          <w:rFonts w:ascii="Arial" w:eastAsia="Calibri" w:hAnsi="Arial" w:cs="Arial"/>
          <w:vertAlign w:val="superscript"/>
          <w:lang w:val="es-ES_tradnl" w:eastAsia="es-ES_tradnl"/>
        </w:rPr>
        <w:footnoteReference w:id="12"/>
      </w:r>
      <w:r w:rsidRPr="00C046D8">
        <w:rPr>
          <w:rFonts w:ascii="Arial" w:eastAsia="Calibri" w:hAnsi="Arial" w:cs="Arial"/>
          <w:lang w:val="es-ES_tradnl" w:eastAsia="es-ES_tradnl"/>
        </w:rPr>
        <w:t>.</w:t>
      </w:r>
    </w:p>
    <w:p w14:paraId="7E4B12C8" w14:textId="77777777" w:rsidR="008410D2" w:rsidRPr="00C046D8" w:rsidRDefault="008410D2" w:rsidP="008410D2">
      <w:pPr>
        <w:spacing w:before="120" w:after="0" w:line="276" w:lineRule="auto"/>
        <w:jc w:val="both"/>
        <w:rPr>
          <w:rFonts w:ascii="Arial" w:eastAsia="Calibri" w:hAnsi="Arial" w:cs="Arial"/>
          <w:lang w:val="es-ES_tradnl" w:eastAsia="es-ES_tradnl"/>
        </w:rPr>
      </w:pPr>
      <w:r w:rsidRPr="00C046D8">
        <w:rPr>
          <w:rFonts w:ascii="Arial" w:eastAsia="Calibri" w:hAnsi="Arial" w:cs="Arial"/>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cuestiones en los que el legislador tiene amplia libertad de configuración legislativa y, por tanto, puede atribuir dicha regulación al gobierno nacional. Ahora bien, la referida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11C8017" w14:textId="77777777" w:rsidR="008410D2" w:rsidRPr="00C046D8" w:rsidRDefault="008410D2" w:rsidP="008410D2">
      <w:pPr>
        <w:spacing w:before="120" w:after="0" w:line="276" w:lineRule="auto"/>
        <w:ind w:firstLine="709"/>
        <w:jc w:val="both"/>
        <w:rPr>
          <w:rFonts w:ascii="Arial" w:eastAsia="Calibri" w:hAnsi="Arial" w:cs="Arial"/>
          <w:lang w:val="es-ES_tradnl" w:eastAsia="es-ES"/>
        </w:rPr>
      </w:pPr>
      <w:bookmarkStart w:id="13" w:name="_Hlk113022941"/>
      <w:r w:rsidRPr="00C046D8">
        <w:rPr>
          <w:rFonts w:ascii="Arial" w:eastAsia="Calibri" w:hAnsi="Arial" w:cs="Arial"/>
          <w:lang w:val="es-ES_tradnl" w:eastAsia="es-ES"/>
        </w:rPr>
        <w:t>Posteriormente, se expidió la Ley 2022 de 2020, norma que modificó el contenido del parágrafo 7 del artículo 2 de la Ley 1150 de 2007, que había sido adicionado por la Ley 1882 de 2018</w:t>
      </w:r>
      <w:r w:rsidRPr="00C046D8">
        <w:rPr>
          <w:rFonts w:ascii="Arial" w:eastAsia="Calibri" w:hAnsi="Arial" w:cs="Arial"/>
          <w:vertAlign w:val="superscript"/>
          <w:lang w:val="es-ES_tradnl" w:eastAsia="es-ES"/>
        </w:rPr>
        <w:footnoteReference w:id="13"/>
      </w:r>
      <w:r w:rsidRPr="00C046D8">
        <w:rPr>
          <w:rFonts w:ascii="Arial" w:eastAsia="Calibri" w:hAnsi="Arial" w:cs="Arial"/>
          <w:lang w:val="es-ES_tradnl" w:eastAsia="es-ES"/>
        </w:rPr>
        <w:t xml:space="preserve">. Con esta modificación, si bien se mantuvo el mandato de aplicación obligatoria de los documentos tipo por parte de las entidades sometidas al </w:t>
      </w:r>
      <w:r w:rsidRPr="00C046D8">
        <w:rPr>
          <w:rFonts w:ascii="Arial" w:eastAsia="Calibri" w:hAnsi="Arial" w:cs="Arial"/>
          <w:bCs/>
          <w:lang w:val="es-ES_tradnl" w:eastAsia="es-ES_tradnl"/>
        </w:rPr>
        <w:t>EGCAP</w:t>
      </w:r>
      <w:r w:rsidRPr="00C046D8">
        <w:rPr>
          <w:rFonts w:ascii="Arial" w:eastAsia="Calibri" w:hAnsi="Arial" w:cs="Arial"/>
          <w:lang w:val="es-ES_tradnl" w:eastAsia="es-ES"/>
        </w:rPr>
        <w:t xml:space="preserve">, se atribuyó a la </w:t>
      </w:r>
      <w:r w:rsidRPr="00C046D8">
        <w:rPr>
          <w:rFonts w:ascii="Arial" w:eastAsia="Calibri" w:hAnsi="Arial" w:cs="Arial"/>
          <w:lang w:val="es-ES_tradnl"/>
        </w:rPr>
        <w:t xml:space="preserve">Agencia Nacional de Contratación Pública – Colombia Compra Eficiente la competencia para su expedición. </w:t>
      </w:r>
      <w:r w:rsidRPr="00C046D8">
        <w:rPr>
          <w:rFonts w:ascii="Arial" w:eastAsia="Calibri" w:hAnsi="Arial" w:cs="Arial"/>
          <w:lang w:val="es-ES_tradnl" w:eastAsia="es-ES"/>
        </w:rPr>
        <w:t>En este marco, con la finalidad de realizar un desarrollo armónico y ajustado de la ley que le otorga la mencionada competencia, esta Agencia expidió la Resolución 160 del 15 de septiembre de 2020</w:t>
      </w:r>
      <w:r>
        <w:rPr>
          <w:rFonts w:ascii="Arial" w:eastAsia="Calibri" w:hAnsi="Arial" w:cs="Arial"/>
          <w:lang w:val="es-ES_tradnl" w:eastAsia="es-ES"/>
        </w:rPr>
        <w:t>,</w:t>
      </w:r>
      <w:r w:rsidRPr="00C046D8">
        <w:rPr>
          <w:rFonts w:ascii="Arial" w:eastAsia="Calibri" w:hAnsi="Arial" w:cs="Arial"/>
          <w:lang w:val="es-ES_tradnl" w:eastAsia="es-ES"/>
        </w:rPr>
        <w:t xml:space="preserve"> </w:t>
      </w:r>
      <w:r w:rsidRPr="006B1CE6">
        <w:rPr>
          <w:rFonts w:ascii="Arial" w:eastAsia="Calibri" w:hAnsi="Arial" w:cs="Arial"/>
          <w:i/>
          <w:iCs/>
          <w:lang w:val="es-ES_tradnl" w:eastAsia="es-ES"/>
        </w:rPr>
        <w:t>“Por la cual se adopta el procedimiento para implementar los documentos tipo y se define el sistema para su revisión”.</w:t>
      </w:r>
      <w:r w:rsidRPr="00C046D8">
        <w:rPr>
          <w:rFonts w:ascii="Arial" w:eastAsia="Calibri" w:hAnsi="Arial" w:cs="Arial"/>
          <w:lang w:val="es-ES_tradnl" w:eastAsia="es-ES"/>
        </w:rPr>
        <w:t xml:space="preserve"> </w:t>
      </w:r>
    </w:p>
    <w:p w14:paraId="5D6AA887" w14:textId="77777777" w:rsidR="008410D2" w:rsidRPr="00C046D8" w:rsidRDefault="008410D2" w:rsidP="008410D2">
      <w:pPr>
        <w:shd w:val="clear" w:color="auto" w:fill="FFFFFF"/>
        <w:spacing w:after="0" w:line="276" w:lineRule="auto"/>
        <w:ind w:firstLine="709"/>
        <w:jc w:val="both"/>
        <w:textAlignment w:val="baseline"/>
        <w:rPr>
          <w:rFonts w:ascii="Arial" w:eastAsia="Calibri" w:hAnsi="Arial" w:cs="Arial"/>
          <w:lang w:eastAsia="en-GB"/>
        </w:rPr>
      </w:pPr>
      <w:r w:rsidRPr="00C046D8">
        <w:rPr>
          <w:rFonts w:ascii="Arial" w:eastAsia="Calibri" w:hAnsi="Arial" w:cs="Arial"/>
          <w:lang w:eastAsia="es-ES_tradnl"/>
        </w:rPr>
        <w:t xml:space="preserve">De acuerdo con lo expuesto, </w:t>
      </w:r>
      <w:r w:rsidRPr="00C046D8">
        <w:rPr>
          <w:rFonts w:ascii="Arial" w:eastAsia="Calibri" w:hAnsi="Arial" w:cs="Arial"/>
          <w:bdr w:val="none" w:sz="0" w:space="0" w:color="auto" w:frame="1"/>
          <w:lang w:eastAsia="es-ES_tradnl"/>
        </w:rPr>
        <w:t xml:space="preserve">los documentos tipo adoptados son obligatorios para las entidades estatales regidas por el </w:t>
      </w:r>
      <w:r w:rsidRPr="00C046D8">
        <w:rPr>
          <w:rFonts w:ascii="Arial" w:eastAsia="Calibri" w:hAnsi="Arial" w:cs="Arial"/>
          <w:bCs/>
          <w:lang w:val="es-ES_tradnl" w:eastAsia="es-ES_tradnl"/>
        </w:rPr>
        <w:t>EGCAP</w:t>
      </w:r>
      <w:r w:rsidRPr="00C046D8">
        <w:rPr>
          <w:rFonts w:ascii="Arial" w:eastAsia="Calibri" w:hAnsi="Arial"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C046D8">
        <w:rPr>
          <w:rFonts w:ascii="Arial" w:eastAsia="Calibri" w:hAnsi="Arial" w:cs="Arial"/>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bookmarkEnd w:id="13"/>
    <w:p w14:paraId="5FD02965" w14:textId="77777777" w:rsidR="008410D2" w:rsidRPr="00C046D8" w:rsidRDefault="008410D2" w:rsidP="008410D2">
      <w:pPr>
        <w:tabs>
          <w:tab w:val="left" w:pos="0"/>
        </w:tabs>
        <w:spacing w:after="0" w:line="276" w:lineRule="auto"/>
        <w:contextualSpacing/>
        <w:jc w:val="both"/>
        <w:rPr>
          <w:rFonts w:ascii="Arial" w:eastAsia="Calibri" w:hAnsi="Arial" w:cs="Arial"/>
          <w:b/>
          <w:lang w:val="es-ES_tradnl" w:eastAsia="es-ES_tradnl"/>
        </w:rPr>
      </w:pPr>
      <w:r w:rsidRPr="00C046D8">
        <w:rPr>
          <w:rFonts w:ascii="Arial" w:eastAsia="Calibri" w:hAnsi="Arial" w:cs="Arial"/>
          <w:lang w:eastAsia="en-GB"/>
        </w:rPr>
        <w:t xml:space="preserve"> </w:t>
      </w:r>
    </w:p>
    <w:p w14:paraId="4FD0E62D" w14:textId="77777777" w:rsidR="008410D2" w:rsidRPr="00C046D8" w:rsidRDefault="008410D2" w:rsidP="008410D2">
      <w:pPr>
        <w:tabs>
          <w:tab w:val="left" w:pos="0"/>
        </w:tabs>
        <w:spacing w:after="0" w:line="276" w:lineRule="auto"/>
        <w:contextualSpacing/>
        <w:jc w:val="both"/>
        <w:rPr>
          <w:rFonts w:ascii="Arial" w:eastAsia="Calibri" w:hAnsi="Arial" w:cs="Arial"/>
          <w:b/>
          <w:lang w:val="es-ES_tradnl" w:eastAsia="es-ES_tradnl"/>
        </w:rPr>
      </w:pPr>
      <w:r w:rsidRPr="00165C4E">
        <w:rPr>
          <w:rFonts w:ascii="Arial" w:eastAsia="Calibri" w:hAnsi="Arial" w:cs="Arial"/>
          <w:b/>
          <w:lang w:val="es-ES_tradnl" w:eastAsia="es-ES_tradnl"/>
        </w:rPr>
        <w:t>2.</w:t>
      </w:r>
      <w:r>
        <w:rPr>
          <w:rFonts w:ascii="Arial" w:eastAsia="Calibri" w:hAnsi="Arial" w:cs="Arial"/>
          <w:b/>
          <w:lang w:val="es-ES_tradnl" w:eastAsia="es-ES_tradnl"/>
        </w:rPr>
        <w:t>3</w:t>
      </w:r>
      <w:r w:rsidRPr="00165C4E">
        <w:rPr>
          <w:rFonts w:ascii="Arial" w:eastAsia="Calibri" w:hAnsi="Arial" w:cs="Arial"/>
          <w:b/>
          <w:lang w:val="es-ES_tradnl" w:eastAsia="es-ES_tradnl"/>
        </w:rPr>
        <w:t xml:space="preserve">. </w:t>
      </w:r>
      <w:bookmarkStart w:id="14" w:name="_Hlk95322387"/>
      <w:r w:rsidRPr="00165C4E">
        <w:rPr>
          <w:rFonts w:ascii="Arial" w:eastAsia="Calibri" w:hAnsi="Arial" w:cs="Arial"/>
          <w:b/>
          <w:lang w:val="es-ES_tradnl"/>
        </w:rPr>
        <w:t xml:space="preserve">Alcance del artículo 56 de la Ley 2195 de 2022 frente a la implementación obligatoria del </w:t>
      </w:r>
      <w:r w:rsidRPr="00165C4E">
        <w:rPr>
          <w:rFonts w:ascii="Arial" w:eastAsia="Calibri" w:hAnsi="Arial" w:cs="Arial"/>
          <w:b/>
          <w:lang w:val="es-ES_tradnl" w:eastAsia="es-ES_tradnl"/>
        </w:rPr>
        <w:t xml:space="preserve">Estatuto General de Contratación de la Administración Pública </w:t>
      </w:r>
      <w:r w:rsidRPr="00165C4E">
        <w:rPr>
          <w:rFonts w:ascii="Arial" w:eastAsia="Calibri" w:hAnsi="Arial" w:cs="Arial"/>
          <w:b/>
          <w:lang w:val="es-ES_tradnl"/>
        </w:rPr>
        <w:t>y de los documentos tipo en la celebración de convenios o contratos interadministrativos o de cualquier otra índole con entidades estatales exceptuadas y particulares</w:t>
      </w:r>
    </w:p>
    <w:bookmarkEnd w:id="14"/>
    <w:p w14:paraId="1C1B2810" w14:textId="77777777" w:rsidR="008410D2" w:rsidRPr="00C046D8" w:rsidRDefault="008410D2" w:rsidP="008410D2">
      <w:pPr>
        <w:tabs>
          <w:tab w:val="left" w:pos="0"/>
        </w:tabs>
        <w:spacing w:after="0" w:line="276" w:lineRule="auto"/>
        <w:contextualSpacing/>
        <w:jc w:val="both"/>
        <w:rPr>
          <w:rFonts w:ascii="Arial" w:eastAsia="Calibri" w:hAnsi="Arial" w:cs="Arial"/>
          <w:bCs/>
          <w:lang w:val="es-ES_tradnl" w:eastAsia="es-ES_tradnl"/>
        </w:rPr>
      </w:pPr>
    </w:p>
    <w:p w14:paraId="58DCADE0" w14:textId="77777777" w:rsidR="008410D2" w:rsidRPr="00C046D8"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Conforme se explicó en el acápite anterior, en virtud de la Ley 2022 de 2020, los documentos tipo expedidos por la Agencia Nacional de Contratación Pública – Colombia Compra Eficiente</w:t>
      </w:r>
      <w:r>
        <w:rPr>
          <w:rFonts w:ascii="Arial" w:eastAsia="Calibri" w:hAnsi="Arial" w:cs="Arial"/>
          <w:bCs/>
          <w:lang w:val="es-ES_tradnl" w:eastAsia="es-ES_tradnl"/>
        </w:rPr>
        <w:t>–</w:t>
      </w:r>
      <w:r w:rsidRPr="00C046D8">
        <w:rPr>
          <w:rFonts w:ascii="Arial" w:eastAsia="Calibri" w:hAnsi="Arial" w:cs="Arial"/>
          <w:bCs/>
          <w:lang w:val="es-ES_tradnl" w:eastAsia="es-ES_tradnl"/>
        </w:rPr>
        <w:t xml:space="preserve"> son de aplicación obligatoria para las entidades estatales sometidas al EGCAP. En ese sentido, el contenido normativo de la Ley 2022 de 2020, y en su momento también de la Ley 1882 de 2018, exclu</w:t>
      </w:r>
      <w:r>
        <w:rPr>
          <w:rFonts w:ascii="Arial" w:eastAsia="Calibri" w:hAnsi="Arial" w:cs="Arial"/>
          <w:bCs/>
          <w:lang w:val="es-ES_tradnl" w:eastAsia="es-ES_tradnl"/>
        </w:rPr>
        <w:t>yen</w:t>
      </w:r>
      <w:r w:rsidRPr="00C046D8">
        <w:rPr>
          <w:rFonts w:ascii="Arial" w:eastAsia="Calibri" w:hAnsi="Arial" w:cs="Arial"/>
          <w:bCs/>
          <w:lang w:val="es-ES_tradnl" w:eastAsia="es-ES_tradnl"/>
        </w:rPr>
        <w:t xml:space="preserve"> del ámbito de aplicación de los documentos tipo la contratación de entidades estatales de régimen exceptuado, por lo general, sujetas al derecho privado. </w:t>
      </w:r>
    </w:p>
    <w:p w14:paraId="25074FD4" w14:textId="77777777" w:rsidR="008410D2"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
          <w:lang w:val="es-ES_tradnl" w:eastAsia="es-ES_tradnl"/>
        </w:rPr>
        <w:tab/>
      </w:r>
      <w:bookmarkStart w:id="15" w:name="_Hlk113023000"/>
      <w:r w:rsidRPr="00C046D8">
        <w:rPr>
          <w:rFonts w:ascii="Arial" w:eastAsia="Calibri" w:hAnsi="Arial" w:cs="Arial"/>
          <w:bCs/>
          <w:lang w:val="es-ES_tradnl" w:eastAsia="es-ES_tradnl"/>
        </w:rPr>
        <w:t xml:space="preserve">En este contexto, se expidió la Ley 2195 de 2022, </w:t>
      </w:r>
      <w:r w:rsidRPr="007A6317">
        <w:rPr>
          <w:rFonts w:ascii="Arial" w:eastAsia="Calibri" w:hAnsi="Arial" w:cs="Arial"/>
          <w:bCs/>
          <w:i/>
          <w:iCs/>
          <w:lang w:val="es-ES_tradnl" w:eastAsia="es-ES_tradnl"/>
        </w:rPr>
        <w:t>“Por medio de la cual se adoptan medidas en materia de transparencia, prevención y lucha contra la corrupción y se dictan otras disposiciones”</w:t>
      </w:r>
      <w:r w:rsidRPr="00C046D8">
        <w:rPr>
          <w:rFonts w:ascii="Arial" w:eastAsia="Calibri" w:hAnsi="Arial" w:cs="Arial"/>
          <w:bCs/>
          <w:lang w:val="es-ES_tradnl" w:eastAsia="es-ES_tradnl"/>
        </w:rPr>
        <w:t xml:space="preserve">. Según su artículo 1°, este cuerpo normativo </w:t>
      </w:r>
      <w:r>
        <w:rPr>
          <w:rFonts w:ascii="Arial" w:eastAsia="Calibri" w:hAnsi="Arial" w:cs="Arial"/>
          <w:lang w:val="es-ES_tradnl" w:eastAsia="es-ES_tradnl"/>
        </w:rPr>
        <w:t>“</w:t>
      </w:r>
      <w:r w:rsidRPr="00C046D8">
        <w:rPr>
          <w:rFonts w:ascii="Arial" w:eastAsia="Times New Roman" w:hAnsi="Arial" w:cs="Arial"/>
          <w:lang w:val="es-ES_tradnl" w:eastAsia="es-ES_tradnl"/>
        </w:rPr>
        <w:t xml:space="preserve">[…] </w:t>
      </w:r>
      <w:r w:rsidRPr="00C046D8">
        <w:rPr>
          <w:rFonts w:ascii="Arial" w:eastAsia="Calibri" w:hAnsi="Arial" w:cs="Arial"/>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w:t>
      </w:r>
      <w:r>
        <w:rPr>
          <w:rFonts w:ascii="Arial" w:eastAsia="Calibri" w:hAnsi="Arial" w:cs="Arial"/>
          <w:lang w:val="es-ES_tradnl" w:eastAsia="es-ES_tradnl"/>
        </w:rPr>
        <w:t>”</w:t>
      </w:r>
      <w:r w:rsidRPr="00C046D8">
        <w:rPr>
          <w:rFonts w:ascii="Arial" w:eastAsia="Calibri" w:hAnsi="Arial" w:cs="Arial"/>
          <w:lang w:val="es-ES_tradnl" w:eastAsia="es-ES_tradnl"/>
        </w:rPr>
        <w:t xml:space="preserve">. Dentro del capítulo VIII de la Ley en mención, que lleva por título </w:t>
      </w:r>
      <w:r>
        <w:rPr>
          <w:rFonts w:ascii="Arial" w:eastAsia="Calibri" w:hAnsi="Arial" w:cs="Arial"/>
          <w:lang w:val="es-ES_tradnl" w:eastAsia="es-ES_tradnl"/>
        </w:rPr>
        <w:t>“</w:t>
      </w:r>
      <w:r w:rsidRPr="00380BFE">
        <w:rPr>
          <w:rFonts w:ascii="Arial" w:eastAsia="Calibri" w:hAnsi="Arial" w:cs="Arial"/>
          <w:i/>
          <w:iCs/>
          <w:lang w:val="es-ES_tradnl" w:eastAsia="es-ES_tradnl"/>
        </w:rPr>
        <w:t>Disposiciones en materia contractual para la moralización y la transparencia</w:t>
      </w:r>
      <w:r>
        <w:rPr>
          <w:rFonts w:ascii="Arial" w:eastAsia="Calibri" w:hAnsi="Arial" w:cs="Arial"/>
          <w:lang w:val="es-ES_tradnl" w:eastAsia="es-ES_tradnl"/>
        </w:rPr>
        <w:t>”</w:t>
      </w:r>
      <w:r w:rsidRPr="00C046D8">
        <w:rPr>
          <w:rFonts w:ascii="Arial" w:eastAsia="Calibri" w:hAnsi="Arial" w:cs="Arial"/>
          <w:lang w:val="es-ES_tradnl" w:eastAsia="es-ES_tradnl"/>
        </w:rPr>
        <w:t xml:space="preserve">, se </w:t>
      </w:r>
      <w:r w:rsidRPr="00C046D8">
        <w:rPr>
          <w:rFonts w:ascii="Arial" w:eastAsia="Calibri" w:hAnsi="Arial" w:cs="Arial"/>
          <w:bCs/>
          <w:lang w:val="es-ES_tradnl" w:eastAsia="es-ES_tradnl"/>
        </w:rPr>
        <w:t xml:space="preserve">destaca el artículo 56, norma sobre la que versa la presente consulta. </w:t>
      </w:r>
    </w:p>
    <w:p w14:paraId="248E4F9C" w14:textId="77777777" w:rsidR="008410D2" w:rsidRDefault="008410D2" w:rsidP="001A555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t>Para comenzar el análisis del contenido de la referida disposición, es pertinente iniciar estudiando su trámite legislativo. Al respecto, el Proyecto de Ley No. 341 de 2020</w:t>
      </w:r>
      <w:r>
        <w:rPr>
          <w:rStyle w:val="Refdenotaalpie"/>
          <w:rFonts w:ascii="Arial" w:eastAsia="Calibri" w:hAnsi="Arial" w:cs="Arial"/>
          <w:bCs/>
          <w:lang w:val="es-ES_tradnl" w:eastAsia="es-ES_tradnl"/>
        </w:rPr>
        <w:footnoteReference w:id="14"/>
      </w:r>
      <w:r>
        <w:rPr>
          <w:rFonts w:ascii="Arial" w:eastAsia="Calibri" w:hAnsi="Arial" w:cs="Arial"/>
          <w:bCs/>
          <w:lang w:val="es-ES_tradnl" w:eastAsia="es-ES_tradnl"/>
        </w:rPr>
        <w:t xml:space="preserve"> radicado el 20 de octubre de 2020 por el gobierno nacional ante el Congreso de la República no previó en su articulado norma que sea igual o similar al contenido que actualmente observamos en el artículo 56 de la Ley 2195 de 2022, pues este fue agregado con posterioridad en plenaria del Senado y después fue complementada y ajustada en el debate legislativo que cursó en Cámara de Representantes mediante Proyecto de Ley No.369 de 2021</w:t>
      </w:r>
      <w:r>
        <w:rPr>
          <w:rStyle w:val="Refdenotaalpie"/>
          <w:rFonts w:ascii="Arial" w:eastAsia="Calibri" w:hAnsi="Arial" w:cs="Arial"/>
          <w:bCs/>
          <w:lang w:val="es-ES_tradnl" w:eastAsia="es-ES_tradnl"/>
        </w:rPr>
        <w:footnoteReference w:id="15"/>
      </w:r>
      <w:r>
        <w:rPr>
          <w:rFonts w:ascii="Arial" w:eastAsia="Calibri" w:hAnsi="Arial" w:cs="Arial"/>
          <w:bCs/>
          <w:lang w:val="es-ES_tradnl" w:eastAsia="es-ES_tradnl"/>
        </w:rPr>
        <w:t xml:space="preserve"> y a continuación conciliado por ambas cámaras el 16 y 15 de diciembre de 2021, respectivamente.</w:t>
      </w:r>
    </w:p>
    <w:p w14:paraId="0290D41D" w14:textId="77777777" w:rsidR="008410D2" w:rsidRPr="00AE13C5" w:rsidRDefault="008410D2" w:rsidP="008410D2">
      <w:pPr>
        <w:tabs>
          <w:tab w:val="left" w:pos="0"/>
        </w:tabs>
        <w:spacing w:after="0" w:line="276" w:lineRule="auto"/>
        <w:jc w:val="both"/>
        <w:rPr>
          <w:rFonts w:ascii="Arial" w:eastAsia="Calibri" w:hAnsi="Arial" w:cs="Arial"/>
          <w:lang w:val="es-ES_tradnl" w:eastAsia="es-ES_tradnl"/>
        </w:rPr>
      </w:pPr>
      <w:r>
        <w:rPr>
          <w:rFonts w:ascii="Arial" w:eastAsia="Calibri" w:hAnsi="Arial" w:cs="Arial"/>
          <w:bCs/>
          <w:lang w:val="es-ES_tradnl" w:eastAsia="es-ES_tradnl"/>
        </w:rPr>
        <w:tab/>
        <w:t xml:space="preserve">Sobre el tema, es importante indicar que, en el informe de ponencia para primer debate legislativo en Senado, previo a la intervención realizada por </w:t>
      </w:r>
      <w:r w:rsidRPr="00A8462A">
        <w:rPr>
          <w:rFonts w:ascii="Arial" w:eastAsia="Calibri" w:hAnsi="Arial" w:cs="Arial"/>
          <w:bCs/>
          <w:lang w:val="es-ES_tradnl" w:eastAsia="es-ES_tradnl"/>
        </w:rPr>
        <w:t>l</w:t>
      </w:r>
      <w:r>
        <w:rPr>
          <w:rFonts w:ascii="Arial" w:eastAsia="Calibri" w:hAnsi="Arial" w:cs="Arial"/>
          <w:bCs/>
          <w:lang w:val="es-ES_tradnl" w:eastAsia="es-ES_tradnl"/>
        </w:rPr>
        <w:t>a</w:t>
      </w:r>
      <w:r w:rsidRPr="00A8462A">
        <w:rPr>
          <w:rFonts w:ascii="Arial" w:eastAsia="Calibri" w:hAnsi="Arial" w:cs="Arial"/>
          <w:bCs/>
          <w:lang w:val="es-ES_tradnl" w:eastAsia="es-ES_tradnl"/>
        </w:rPr>
        <w:t xml:space="preserve"> Subdirec</w:t>
      </w:r>
      <w:r>
        <w:rPr>
          <w:rFonts w:ascii="Arial" w:eastAsia="Calibri" w:hAnsi="Arial" w:cs="Arial"/>
          <w:bCs/>
          <w:lang w:val="es-ES_tradnl" w:eastAsia="es-ES_tradnl"/>
        </w:rPr>
        <w:t xml:space="preserve">ción de Gestión Contractual de la Agencia, </w:t>
      </w:r>
      <w:r w:rsidRPr="00165C4E">
        <w:rPr>
          <w:rFonts w:ascii="Arial" w:eastAsia="Calibri" w:hAnsi="Arial" w:cs="Arial"/>
          <w:lang w:val="es-ES_tradnl" w:eastAsia="es-ES_tradnl"/>
        </w:rPr>
        <w:t xml:space="preserve">en audiencia pública realizada por la </w:t>
      </w:r>
      <w:r w:rsidRPr="00165C4E">
        <w:rPr>
          <w:rStyle w:val="markedcontent"/>
          <w:rFonts w:ascii="Arial" w:hAnsi="Arial" w:cs="Arial"/>
        </w:rPr>
        <w:t xml:space="preserve">Comisión Primera del Senado </w:t>
      </w:r>
      <w:r w:rsidRPr="00165C4E">
        <w:rPr>
          <w:rFonts w:ascii="Arial" w:eastAsia="Calibri" w:hAnsi="Arial" w:cs="Arial"/>
          <w:lang w:val="es-ES_tradnl" w:eastAsia="es-ES_tradnl"/>
        </w:rPr>
        <w:t xml:space="preserve">el día </w:t>
      </w:r>
      <w:r w:rsidRPr="00165C4E">
        <w:rPr>
          <w:rStyle w:val="markedcontent"/>
          <w:rFonts w:ascii="Arial" w:hAnsi="Arial" w:cs="Arial"/>
        </w:rPr>
        <w:t>14 de diciembre de 2020,</w:t>
      </w:r>
      <w:r>
        <w:rPr>
          <w:rStyle w:val="markedcontent"/>
          <w:rFonts w:ascii="Arial" w:hAnsi="Arial" w:cs="Arial"/>
        </w:rPr>
        <w:t xml:space="preserve"> </w:t>
      </w:r>
      <w:r>
        <w:rPr>
          <w:rFonts w:ascii="Arial" w:eastAsia="Calibri" w:hAnsi="Arial" w:cs="Arial"/>
          <w:bCs/>
          <w:lang w:val="es-ES_tradnl" w:eastAsia="es-ES_tradnl"/>
        </w:rPr>
        <w:t>se</w:t>
      </w:r>
      <w:r w:rsidRPr="00BE2891">
        <w:rPr>
          <w:rFonts w:ascii="Arial" w:eastAsia="Calibri" w:hAnsi="Arial" w:cs="Arial"/>
          <w:bCs/>
          <w:lang w:val="es-ES_tradnl" w:eastAsia="es-ES_tradnl"/>
        </w:rPr>
        <w:t xml:space="preserve"> </w:t>
      </w:r>
      <w:r w:rsidRPr="00EB07D8">
        <w:rPr>
          <w:rFonts w:ascii="Arial" w:eastAsia="Calibri" w:hAnsi="Arial" w:cs="Arial"/>
          <w:bCs/>
          <w:lang w:val="es-ES_tradnl" w:eastAsia="es-ES_tradnl"/>
        </w:rPr>
        <w:t>incluyeron</w:t>
      </w:r>
      <w:r>
        <w:rPr>
          <w:rFonts w:ascii="Arial" w:eastAsia="Calibri" w:hAnsi="Arial" w:cs="Arial"/>
          <w:bCs/>
          <w:lang w:val="es-ES_tradnl" w:eastAsia="es-ES_tradnl"/>
        </w:rPr>
        <w:t xml:space="preserve"> d</w:t>
      </w:r>
      <w:r w:rsidRPr="00BE2891">
        <w:rPr>
          <w:rFonts w:ascii="Arial" w:eastAsia="Calibri" w:hAnsi="Arial" w:cs="Arial"/>
          <w:bCs/>
          <w:lang w:val="es-ES_tradnl" w:eastAsia="es-ES_tradnl"/>
        </w:rPr>
        <w:t xml:space="preserve">isposiciones en el proyecto de </w:t>
      </w:r>
      <w:r>
        <w:rPr>
          <w:rFonts w:ascii="Arial" w:eastAsia="Calibri" w:hAnsi="Arial" w:cs="Arial"/>
          <w:bCs/>
          <w:lang w:val="es-ES_tradnl" w:eastAsia="es-ES_tradnl"/>
        </w:rPr>
        <w:t>L</w:t>
      </w:r>
      <w:r w:rsidRPr="00BE2891">
        <w:rPr>
          <w:rFonts w:ascii="Arial" w:eastAsia="Calibri" w:hAnsi="Arial" w:cs="Arial"/>
          <w:bCs/>
          <w:lang w:val="es-ES_tradnl" w:eastAsia="es-ES_tradnl"/>
        </w:rPr>
        <w:t>ey relacionadas por ejemplo con</w:t>
      </w:r>
      <w:r>
        <w:rPr>
          <w:rFonts w:ascii="Arial" w:eastAsia="Calibri" w:hAnsi="Arial" w:cs="Arial"/>
          <w:bCs/>
          <w:lang w:val="es-ES_tradnl" w:eastAsia="es-ES_tradnl"/>
        </w:rPr>
        <w:t xml:space="preserve">: </w:t>
      </w:r>
      <w:r w:rsidRPr="00E31EA8">
        <w:rPr>
          <w:rFonts w:ascii="Arial" w:eastAsia="Calibri" w:hAnsi="Arial" w:cs="Arial"/>
          <w:lang w:val="es-ES_tradnl" w:eastAsia="es-ES_tradnl"/>
        </w:rPr>
        <w:t xml:space="preserve">“impedir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w:t>
      </w:r>
      <w:r>
        <w:rPr>
          <w:rFonts w:ascii="Arial" w:eastAsia="Calibri" w:hAnsi="Arial" w:cs="Arial"/>
          <w:lang w:val="es-ES_tradnl" w:eastAsia="es-ES_tradnl"/>
        </w:rPr>
        <w:t xml:space="preserve">a </w:t>
      </w:r>
      <w:r w:rsidRPr="00E31EA8">
        <w:rPr>
          <w:rFonts w:ascii="Arial" w:eastAsia="Calibri" w:hAnsi="Arial" w:cs="Arial"/>
          <w:lang w:val="es-ES_tradnl" w:eastAsia="es-ES_tradnl"/>
        </w:rPr>
        <w:t xml:space="preserve">algunos objetos </w:t>
      </w:r>
      <w:r>
        <w:rPr>
          <w:rFonts w:ascii="Arial" w:eastAsia="Calibri" w:hAnsi="Arial" w:cs="Arial"/>
          <w:lang w:val="es-ES_tradnl" w:eastAsia="es-ES_tradnl"/>
        </w:rPr>
        <w:t>que</w:t>
      </w:r>
      <w:r w:rsidRPr="00E31EA8">
        <w:rPr>
          <w:rFonts w:ascii="Arial" w:eastAsia="Calibri" w:hAnsi="Arial" w:cs="Arial"/>
          <w:lang w:val="es-ES_tradnl" w:eastAsia="es-ES_tradnl"/>
        </w:rPr>
        <w:t xml:space="preserve"> tienen un régimen especial y a </w:t>
      </w:r>
      <w:r>
        <w:rPr>
          <w:rFonts w:ascii="Arial" w:eastAsia="Calibri" w:hAnsi="Arial" w:cs="Arial"/>
          <w:lang w:val="es-ES_tradnl" w:eastAsia="es-ES_tradnl"/>
        </w:rPr>
        <w:t>los</w:t>
      </w:r>
      <w:r w:rsidRPr="00E31EA8">
        <w:rPr>
          <w:rFonts w:ascii="Arial" w:eastAsia="Calibri" w:hAnsi="Arial" w:cs="Arial"/>
          <w:lang w:val="es-ES_tradnl" w:eastAsia="es-ES_tradnl"/>
        </w:rPr>
        <w:t xml:space="preserve"> patrimonios autónomos, así como </w:t>
      </w:r>
      <w:r>
        <w:rPr>
          <w:rFonts w:ascii="Arial" w:eastAsia="Calibri" w:hAnsi="Arial" w:cs="Arial"/>
          <w:lang w:val="es-ES_tradnl" w:eastAsia="es-ES_tradnl"/>
        </w:rPr>
        <w:t xml:space="preserve">a las </w:t>
      </w:r>
      <w:r w:rsidRPr="00E31EA8">
        <w:rPr>
          <w:rFonts w:ascii="Arial" w:eastAsia="Calibri" w:hAnsi="Arial" w:cs="Arial"/>
          <w:lang w:val="es-ES_tradnl" w:eastAsia="es-ES_tradnl"/>
        </w:rPr>
        <w:t>empresas de servicios públicos; y finalmente, hacer obligatorio que las entidades exceptuadas de la contratación estén obligadas a publicar los documentos en el SECOP”</w:t>
      </w:r>
      <w:r w:rsidRPr="00E31EA8">
        <w:rPr>
          <w:rStyle w:val="Refdenotaalpie"/>
          <w:rFonts w:ascii="Arial" w:eastAsia="Calibri" w:hAnsi="Arial" w:cs="Arial"/>
          <w:lang w:val="es-ES_tradnl" w:eastAsia="es-ES_tradnl"/>
        </w:rPr>
        <w:footnoteReference w:id="16"/>
      </w:r>
      <w:r w:rsidRPr="00E31EA8">
        <w:rPr>
          <w:rFonts w:ascii="Arial" w:eastAsia="Calibri" w:hAnsi="Arial" w:cs="Arial"/>
          <w:lang w:val="es-ES_tradnl" w:eastAsia="es-ES_tradnl"/>
        </w:rPr>
        <w:t>.</w:t>
      </w:r>
      <w:r>
        <w:rPr>
          <w:rFonts w:ascii="Arial" w:eastAsia="Calibri" w:hAnsi="Arial" w:cs="Arial"/>
          <w:lang w:val="es-ES_tradnl" w:eastAsia="es-ES_tradnl"/>
        </w:rPr>
        <w:t xml:space="preserve"> </w:t>
      </w:r>
      <w:r w:rsidRPr="293D6149">
        <w:rPr>
          <w:rFonts w:ascii="Arial" w:eastAsia="Calibri" w:hAnsi="Arial" w:cs="Arial"/>
          <w:lang w:val="es-ES" w:eastAsia="es-ES"/>
        </w:rPr>
        <w:t xml:space="preserve">En ese orden de ideas, se incorporó en el informe para primer debate legislativo el artículo 85, denominado </w:t>
      </w:r>
      <w:r w:rsidRPr="293D6149">
        <w:rPr>
          <w:rFonts w:ascii="Arial" w:eastAsia="Calibri" w:hAnsi="Arial" w:cs="Arial"/>
          <w:i/>
          <w:lang w:val="es-ES" w:eastAsia="es-ES"/>
        </w:rPr>
        <w:t>“Aplicación del Régimen de Contratación Pública en Entidades del Régimen Privado o Especial”,</w:t>
      </w:r>
      <w:r w:rsidRPr="293D6149">
        <w:rPr>
          <w:rFonts w:ascii="Arial" w:eastAsia="Calibri" w:hAnsi="Arial" w:cs="Arial"/>
          <w:lang w:val="es-ES" w:eastAsia="es-ES"/>
        </w:rPr>
        <w:t xml:space="preserve"> que disponía: </w:t>
      </w:r>
    </w:p>
    <w:p w14:paraId="0926181B" w14:textId="77777777" w:rsidR="008410D2" w:rsidRDefault="008410D2" w:rsidP="008410D2">
      <w:pPr>
        <w:spacing w:after="0" w:line="276" w:lineRule="auto"/>
        <w:jc w:val="both"/>
        <w:rPr>
          <w:rFonts w:ascii="Arial" w:eastAsia="Calibri" w:hAnsi="Arial" w:cs="Arial"/>
          <w:lang w:val="es-ES" w:eastAsia="es-ES"/>
        </w:rPr>
      </w:pPr>
    </w:p>
    <w:p w14:paraId="157786CD" w14:textId="6A386B28" w:rsidR="008410D2" w:rsidRDefault="0017508F" w:rsidP="008410D2">
      <w:pPr>
        <w:tabs>
          <w:tab w:val="left" w:pos="0"/>
        </w:tabs>
        <w:spacing w:after="0" w:line="240" w:lineRule="auto"/>
        <w:ind w:left="709" w:right="709"/>
        <w:jc w:val="both"/>
        <w:rPr>
          <w:rFonts w:ascii="Arial" w:eastAsia="Calibri" w:hAnsi="Arial" w:cs="Arial"/>
          <w:bCs/>
          <w:sz w:val="21"/>
          <w:szCs w:val="21"/>
          <w:lang w:val="es-ES_tradnl" w:eastAsia="es-ES_tradnl"/>
        </w:rPr>
      </w:pPr>
      <w:r>
        <w:rPr>
          <w:rFonts w:ascii="Arial" w:eastAsia="Calibri" w:hAnsi="Arial" w:cs="Arial"/>
          <w:bCs/>
          <w:sz w:val="21"/>
          <w:szCs w:val="21"/>
          <w:lang w:val="es-ES_tradnl" w:eastAsia="es-ES_tradnl"/>
        </w:rPr>
        <w:t>“</w:t>
      </w:r>
      <w:r w:rsidR="008410D2" w:rsidRPr="004E508C">
        <w:rPr>
          <w:rFonts w:ascii="Arial" w:eastAsia="Calibri" w:hAnsi="Arial" w:cs="Arial"/>
          <w:bCs/>
          <w:sz w:val="21"/>
          <w:szCs w:val="21"/>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w:t>
      </w:r>
      <w:r w:rsidR="008410D2">
        <w:rPr>
          <w:rFonts w:ascii="Arial" w:eastAsia="Calibri" w:hAnsi="Arial" w:cs="Arial"/>
          <w:bCs/>
          <w:sz w:val="21"/>
          <w:szCs w:val="21"/>
          <w:lang w:val="es-ES_tradnl" w:eastAsia="es-ES_tradnl"/>
        </w:rPr>
        <w:t>Entidad Estatal</w:t>
      </w:r>
      <w:r w:rsidR="008410D2" w:rsidRPr="004E508C">
        <w:rPr>
          <w:rFonts w:ascii="Arial" w:eastAsia="Calibri" w:hAnsi="Arial" w:cs="Arial"/>
          <w:bCs/>
          <w:sz w:val="21"/>
          <w:szCs w:val="21"/>
          <w:lang w:val="es-ES_tradnl" w:eastAsia="es-ES_tradnl"/>
        </w:rPr>
        <w:t xml:space="preserve"> con capacidad para contratar, cuyo régimen de contratación sea especial o de derecho privado, para la adquisición de bienes, obras o servicios a través de estas entidades, el régimen aplicable a los procedimientos de selección y los contratos que realicen en desarrollo de los anteriores negocios jurídicos también será el Estatuto General de Contratación de la Administración Pública</w:t>
      </w:r>
      <w:r>
        <w:rPr>
          <w:rFonts w:ascii="Arial" w:eastAsia="Calibri" w:hAnsi="Arial" w:cs="Arial"/>
          <w:bCs/>
          <w:sz w:val="21"/>
          <w:szCs w:val="21"/>
          <w:lang w:val="es-ES_tradnl" w:eastAsia="es-ES_tradnl"/>
        </w:rPr>
        <w:t>”</w:t>
      </w:r>
      <w:r w:rsidR="008410D2" w:rsidRPr="004E508C">
        <w:rPr>
          <w:rFonts w:ascii="Arial" w:eastAsia="Calibri" w:hAnsi="Arial" w:cs="Arial"/>
          <w:bCs/>
          <w:sz w:val="21"/>
          <w:szCs w:val="21"/>
          <w:lang w:val="es-ES_tradnl" w:eastAsia="es-ES_tradnl"/>
        </w:rPr>
        <w:t xml:space="preserve">. </w:t>
      </w:r>
    </w:p>
    <w:p w14:paraId="257B196B" w14:textId="6D9CCBCF" w:rsidR="008410D2" w:rsidRPr="004E508C" w:rsidRDefault="008410D2" w:rsidP="008410D2">
      <w:pPr>
        <w:spacing w:after="0" w:line="240" w:lineRule="auto"/>
        <w:ind w:left="709" w:right="709"/>
        <w:jc w:val="both"/>
        <w:rPr>
          <w:rFonts w:ascii="Arial" w:eastAsia="Calibri" w:hAnsi="Arial" w:cs="Arial"/>
          <w:sz w:val="21"/>
          <w:szCs w:val="21"/>
          <w:lang w:val="es-ES" w:eastAsia="es-ES"/>
        </w:rPr>
      </w:pPr>
      <w:r w:rsidRPr="293D6149">
        <w:rPr>
          <w:rFonts w:ascii="Arial" w:eastAsia="Calibri" w:hAnsi="Arial" w:cs="Arial"/>
          <w:sz w:val="21"/>
          <w:szCs w:val="21"/>
          <w:lang w:val="es-ES" w:eastAsia="es-ES"/>
        </w:rPr>
        <w:t>Parágrafo: Para los casos descritos en el inciso anterior, también serán obligatorios los documentos tipo adoptados por la Agencia Nacional de Contratación Pública – Colombia Compra Eficiente- o quien haga sus veces, conforme al parágrafo 7 del artículo 2 de la Ley 1150 de 2007 o las normas que lo modifiquen o sustituyan</w:t>
      </w:r>
      <w:r w:rsidR="0017508F">
        <w:rPr>
          <w:rFonts w:ascii="Arial" w:eastAsia="Calibri" w:hAnsi="Arial" w:cs="Arial"/>
          <w:sz w:val="21"/>
          <w:szCs w:val="21"/>
          <w:lang w:val="es-ES" w:eastAsia="es-ES"/>
        </w:rPr>
        <w:t>”</w:t>
      </w:r>
      <w:r w:rsidRPr="293D6149">
        <w:rPr>
          <w:rFonts w:ascii="Arial" w:eastAsia="Calibri" w:hAnsi="Arial" w:cs="Arial"/>
          <w:sz w:val="21"/>
          <w:szCs w:val="21"/>
          <w:lang w:val="es-ES" w:eastAsia="es-ES"/>
        </w:rPr>
        <w:t>.</w:t>
      </w:r>
      <w:r w:rsidRPr="293D6149">
        <w:rPr>
          <w:rStyle w:val="Refdenotaalpie"/>
          <w:rFonts w:ascii="Arial" w:eastAsia="Calibri" w:hAnsi="Arial" w:cs="Arial"/>
          <w:sz w:val="21"/>
          <w:szCs w:val="21"/>
          <w:lang w:val="es-ES" w:eastAsia="es-ES"/>
        </w:rPr>
        <w:footnoteReference w:id="17"/>
      </w:r>
    </w:p>
    <w:p w14:paraId="7E8AD5E0" w14:textId="77777777" w:rsidR="008410D2" w:rsidRPr="00AE13C5" w:rsidRDefault="008410D2" w:rsidP="008410D2">
      <w:pPr>
        <w:spacing w:after="0" w:line="276" w:lineRule="auto"/>
        <w:ind w:left="709" w:right="709"/>
        <w:jc w:val="both"/>
        <w:rPr>
          <w:rFonts w:ascii="Arial" w:eastAsia="Calibri" w:hAnsi="Arial" w:cs="Arial"/>
          <w:lang w:val="es-ES" w:eastAsia="es-ES"/>
        </w:rPr>
      </w:pPr>
    </w:p>
    <w:p w14:paraId="2F3BFD2E" w14:textId="77777777" w:rsidR="008410D2" w:rsidRDefault="008410D2" w:rsidP="008410D2">
      <w:pPr>
        <w:tabs>
          <w:tab w:val="left" w:pos="0"/>
        </w:tabs>
        <w:spacing w:after="0" w:line="276" w:lineRule="auto"/>
        <w:jc w:val="both"/>
        <w:rPr>
          <w:rStyle w:val="markedcontent"/>
          <w:rFonts w:ascii="Arial" w:hAnsi="Arial" w:cs="Arial"/>
        </w:rPr>
      </w:pPr>
      <w:r w:rsidRPr="00C046D8">
        <w:rPr>
          <w:rFonts w:ascii="Arial" w:eastAsia="Calibri" w:hAnsi="Arial" w:cs="Arial"/>
          <w:bCs/>
          <w:lang w:val="es-ES_tradnl" w:eastAsia="es-ES_tradnl"/>
        </w:rPr>
        <w:tab/>
      </w:r>
      <w:r w:rsidRPr="00165C4E">
        <w:rPr>
          <w:rFonts w:ascii="Arial" w:eastAsia="Calibri" w:hAnsi="Arial" w:cs="Arial"/>
          <w:lang w:val="es-ES_tradnl" w:eastAsia="es-ES_tradnl"/>
        </w:rPr>
        <w:t xml:space="preserve">Conforme a lo expuesto en el pliego de modificaciones al proyecto de Ley, la adición del articulado en mención tiene como fin </w:t>
      </w:r>
      <w:r w:rsidRPr="00165C4E">
        <w:rPr>
          <w:rStyle w:val="markedcontent"/>
          <w:rFonts w:ascii="Arial" w:hAnsi="Arial" w:cs="Arial"/>
        </w:rPr>
        <w:t xml:space="preserve">“Extender la </w:t>
      </w:r>
      <w:r w:rsidRPr="00165C4E">
        <w:rPr>
          <w:rStyle w:val="markedcontent"/>
          <w:rFonts w:ascii="Arial" w:hAnsi="Arial" w:cs="Arial"/>
          <w:i/>
        </w:rPr>
        <w:t>obligatoriedad de la aplicación del régimen de contratación estatal y pliegos tipo, cuando se celebran convenios interadministrativos</w:t>
      </w:r>
      <w:r w:rsidRPr="00165C4E">
        <w:rPr>
          <w:rStyle w:val="markedcontent"/>
          <w:rFonts w:ascii="Arial" w:hAnsi="Arial" w:cs="Arial"/>
        </w:rPr>
        <w:t xml:space="preserve"> con una entidad que tiene régimen de contratación privada </w:t>
      </w:r>
      <w:r w:rsidRPr="00165C4E">
        <w:rPr>
          <w:rStyle w:val="markedcontent"/>
          <w:rFonts w:ascii="Arial" w:hAnsi="Arial" w:cs="Arial"/>
          <w:i/>
        </w:rPr>
        <w:t>con el fin de evitar la contratación directa con recursos del estado y proveer de mayores garantías al proceso</w:t>
      </w:r>
      <w:r w:rsidRPr="00165C4E">
        <w:rPr>
          <w:rStyle w:val="markedcontent"/>
          <w:rFonts w:ascii="Arial" w:hAnsi="Arial" w:cs="Arial"/>
        </w:rPr>
        <w:t>”</w:t>
      </w:r>
      <w:r w:rsidRPr="00165C4E">
        <w:rPr>
          <w:rStyle w:val="Refdenotaalpie"/>
          <w:rFonts w:ascii="Arial" w:hAnsi="Arial" w:cs="Arial"/>
        </w:rPr>
        <w:footnoteReference w:id="18"/>
      </w:r>
      <w:r w:rsidRPr="00165C4E">
        <w:rPr>
          <w:rStyle w:val="markedcontent"/>
          <w:rFonts w:ascii="Arial" w:hAnsi="Arial" w:cs="Arial"/>
        </w:rPr>
        <w:t xml:space="preserve"> (</w:t>
      </w:r>
      <w:r>
        <w:rPr>
          <w:rStyle w:val="markedcontent"/>
          <w:rFonts w:ascii="Arial" w:hAnsi="Arial" w:cs="Arial"/>
        </w:rPr>
        <w:t>É</w:t>
      </w:r>
      <w:r w:rsidRPr="00165C4E">
        <w:rPr>
          <w:rStyle w:val="markedcontent"/>
          <w:rFonts w:ascii="Arial" w:hAnsi="Arial" w:cs="Arial"/>
        </w:rPr>
        <w:t>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2B6CA740" w14:textId="77777777" w:rsidR="008410D2" w:rsidRDefault="008410D2" w:rsidP="008410D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t>Sin embargo, para segunda ponencia del Senado</w:t>
      </w:r>
      <w:r>
        <w:rPr>
          <w:rStyle w:val="Refdenotaalpie"/>
          <w:rFonts w:ascii="Arial" w:eastAsia="Calibri" w:hAnsi="Arial" w:cs="Arial"/>
          <w:bCs/>
          <w:lang w:val="es-ES_tradnl" w:eastAsia="es-ES_tradnl"/>
        </w:rPr>
        <w:footnoteReference w:id="19"/>
      </w:r>
      <w:r>
        <w:rPr>
          <w:rFonts w:ascii="Arial" w:eastAsia="Calibri" w:hAnsi="Arial" w:cs="Arial"/>
          <w:bCs/>
          <w:lang w:val="es-ES_tradnl" w:eastAsia="es-ES_tradnl"/>
        </w:rPr>
        <w:t xml:space="preserve">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p>
    <w:p w14:paraId="02591E6A" w14:textId="77777777" w:rsidR="008410D2" w:rsidRDefault="008410D2" w:rsidP="008410D2">
      <w:pPr>
        <w:tabs>
          <w:tab w:val="left" w:pos="0"/>
        </w:tabs>
        <w:spacing w:after="0" w:line="276" w:lineRule="auto"/>
        <w:jc w:val="both"/>
        <w:rPr>
          <w:rFonts w:ascii="Arial" w:eastAsia="Calibri" w:hAnsi="Arial" w:cs="Arial"/>
          <w:bCs/>
          <w:lang w:val="es-ES_tradnl" w:eastAsia="es-ES_tradnl"/>
        </w:rPr>
      </w:pPr>
    </w:p>
    <w:p w14:paraId="2FF08C05" w14:textId="21995894" w:rsidR="008410D2" w:rsidRDefault="0017508F" w:rsidP="008410D2">
      <w:pPr>
        <w:tabs>
          <w:tab w:val="left" w:pos="0"/>
        </w:tabs>
        <w:spacing w:after="0" w:line="240" w:lineRule="auto"/>
        <w:ind w:left="709" w:right="709"/>
        <w:jc w:val="both"/>
        <w:rPr>
          <w:rStyle w:val="markedcontent"/>
          <w:rFonts w:ascii="Arial" w:hAnsi="Arial" w:cs="Arial"/>
          <w:sz w:val="21"/>
          <w:szCs w:val="21"/>
        </w:rPr>
      </w:pPr>
      <w:r>
        <w:rPr>
          <w:rStyle w:val="markedcontent"/>
          <w:rFonts w:ascii="Arial" w:hAnsi="Arial" w:cs="Arial"/>
          <w:sz w:val="21"/>
          <w:szCs w:val="21"/>
        </w:rPr>
        <w:t>“</w:t>
      </w:r>
      <w:r w:rsidR="008410D2" w:rsidRPr="00187A0D">
        <w:rPr>
          <w:rStyle w:val="markedcontent"/>
          <w:rFonts w:ascii="Arial" w:hAnsi="Arial" w:cs="Arial"/>
          <w:sz w:val="21"/>
          <w:szCs w:val="21"/>
        </w:rPr>
        <w:t>ARTÍCULO 62 (NUEVO). APLICACIÓN DE LOS DOCUMENTOS TIPO A</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ENTIDADES DE RÉGIMEN ESPECIAL. Para la adquisición de bienes, obras o</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servicios, las entidades estatales sometidas al Estatuto General de Contratación de la</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Administración Pública que celebren contratos o convenios interadministrativos o de</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 xml:space="preserve">cualquier otra índole, con otra </w:t>
      </w:r>
      <w:r w:rsidR="008410D2">
        <w:rPr>
          <w:rStyle w:val="markedcontent"/>
          <w:rFonts w:ascii="Arial" w:hAnsi="Arial" w:cs="Arial"/>
          <w:sz w:val="21"/>
          <w:szCs w:val="21"/>
        </w:rPr>
        <w:t>Entidad Estatal</w:t>
      </w:r>
      <w:r w:rsidR="008410D2" w:rsidRPr="00187A0D">
        <w:rPr>
          <w:rStyle w:val="markedcontent"/>
          <w:rFonts w:ascii="Arial" w:hAnsi="Arial" w:cs="Arial"/>
          <w:sz w:val="21"/>
          <w:szCs w:val="21"/>
        </w:rPr>
        <w:t xml:space="preserve"> o con patrimonios autónomos o con</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personas naturales o jurídicas de derecho privado, cuyo régimen de contratación sea</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especial o de derecho privado, deberán aplicar los documentos tipo adoptados por la</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Agencia Nacional de Contratación Pública – Colombia Compra Eficiente o quien haga</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sus veces, conforme al parágrafo 7 del artículo 2 de la Ley 1150 de 2007 o las normas</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que lo modifiquen o sustituyan</w:t>
      </w:r>
      <w:r w:rsidR="008410D2">
        <w:rPr>
          <w:rStyle w:val="markedcontent"/>
          <w:rFonts w:ascii="Arial" w:hAnsi="Arial" w:cs="Arial"/>
          <w:sz w:val="21"/>
          <w:szCs w:val="21"/>
        </w:rPr>
        <w:t>.</w:t>
      </w:r>
      <w:r w:rsidR="008410D2" w:rsidRPr="00187A0D">
        <w:rPr>
          <w:rStyle w:val="markedcontent"/>
          <w:rFonts w:ascii="Arial" w:hAnsi="Arial" w:cs="Arial"/>
          <w:sz w:val="21"/>
          <w:szCs w:val="21"/>
        </w:rPr>
        <w:t xml:space="preserve"> Los procedimientos de selección y los contratos que realicen en desarrollo de los</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anteriores negocios jurídicos, donde apliquen los documentos tipo se regirán por el</w:t>
      </w:r>
      <w:r w:rsidR="008410D2">
        <w:rPr>
          <w:rStyle w:val="markedcontent"/>
          <w:rFonts w:ascii="Arial" w:hAnsi="Arial" w:cs="Arial"/>
          <w:sz w:val="21"/>
          <w:szCs w:val="21"/>
        </w:rPr>
        <w:t xml:space="preserve"> </w:t>
      </w:r>
      <w:r w:rsidR="008410D2" w:rsidRPr="00187A0D">
        <w:rPr>
          <w:rStyle w:val="markedcontent"/>
          <w:rFonts w:ascii="Arial" w:hAnsi="Arial" w:cs="Arial"/>
          <w:sz w:val="21"/>
          <w:szCs w:val="21"/>
        </w:rPr>
        <w:t>Estatuto General de Contratación de la Administración Pública.</w:t>
      </w:r>
      <w:r w:rsidR="008410D2">
        <w:rPr>
          <w:rStyle w:val="markedcontent"/>
          <w:rFonts w:ascii="Arial" w:hAnsi="Arial" w:cs="Arial"/>
          <w:sz w:val="21"/>
          <w:szCs w:val="21"/>
        </w:rPr>
        <w:t>”</w:t>
      </w:r>
    </w:p>
    <w:p w14:paraId="3A38688C" w14:textId="43F60F04" w:rsidR="008410D2" w:rsidRPr="00187A0D" w:rsidRDefault="008410D2" w:rsidP="008410D2">
      <w:pPr>
        <w:tabs>
          <w:tab w:val="left" w:pos="0"/>
        </w:tabs>
        <w:spacing w:after="0" w:line="240" w:lineRule="auto"/>
        <w:ind w:left="709" w:right="709"/>
        <w:jc w:val="both"/>
        <w:rPr>
          <w:rFonts w:ascii="Arial" w:eastAsia="Calibri" w:hAnsi="Arial" w:cs="Arial"/>
          <w:bCs/>
          <w:sz w:val="21"/>
          <w:szCs w:val="21"/>
          <w:lang w:val="es-ES_tradnl" w:eastAsia="es-ES_tradnl"/>
        </w:rPr>
      </w:pPr>
      <w:r w:rsidRPr="00187A0D">
        <w:rPr>
          <w:rStyle w:val="markedcontent"/>
          <w:rFonts w:ascii="Arial" w:hAnsi="Arial" w:cs="Arial"/>
          <w:sz w:val="21"/>
          <w:szCs w:val="21"/>
        </w:rPr>
        <w:t>Parágrafo: Se exceptúan del presente artículo las Universidades, las empresas</w:t>
      </w:r>
      <w:r>
        <w:rPr>
          <w:rStyle w:val="markedcontent"/>
          <w:rFonts w:ascii="Arial" w:hAnsi="Arial" w:cs="Arial"/>
          <w:sz w:val="21"/>
          <w:szCs w:val="21"/>
        </w:rPr>
        <w:t xml:space="preserve"> </w:t>
      </w:r>
      <w:r w:rsidRPr="00187A0D">
        <w:rPr>
          <w:rStyle w:val="markedcontent"/>
          <w:rFonts w:ascii="Arial" w:hAnsi="Arial" w:cs="Arial"/>
          <w:sz w:val="21"/>
          <w:szCs w:val="21"/>
        </w:rPr>
        <w:t>sociales del estado, las sociedades de economía mixta y las empresas industriales y</w:t>
      </w:r>
      <w:r>
        <w:rPr>
          <w:rStyle w:val="markedcontent"/>
          <w:rFonts w:ascii="Arial" w:hAnsi="Arial" w:cs="Arial"/>
          <w:sz w:val="21"/>
          <w:szCs w:val="21"/>
        </w:rPr>
        <w:t xml:space="preserve"> </w:t>
      </w:r>
      <w:r w:rsidRPr="00187A0D">
        <w:rPr>
          <w:rStyle w:val="markedcontent"/>
          <w:rFonts w:ascii="Arial" w:hAnsi="Arial" w:cs="Arial"/>
          <w:sz w:val="21"/>
          <w:szCs w:val="21"/>
        </w:rPr>
        <w:t>comerciales del Estado en cuanto a las actividades propias del servicio que prestan o</w:t>
      </w:r>
      <w:r>
        <w:rPr>
          <w:rStyle w:val="markedcontent"/>
          <w:rFonts w:ascii="Arial" w:hAnsi="Arial" w:cs="Arial"/>
          <w:sz w:val="21"/>
          <w:szCs w:val="21"/>
        </w:rPr>
        <w:t xml:space="preserve"> </w:t>
      </w:r>
      <w:r w:rsidRPr="00187A0D">
        <w:rPr>
          <w:rStyle w:val="markedcontent"/>
          <w:rFonts w:ascii="Arial" w:hAnsi="Arial" w:cs="Arial"/>
          <w:sz w:val="21"/>
          <w:szCs w:val="21"/>
        </w:rPr>
        <w:t>de su objeto social. En estas entidades se fomentará como buena práctica la</w:t>
      </w:r>
      <w:r>
        <w:rPr>
          <w:rStyle w:val="markedcontent"/>
          <w:rFonts w:ascii="Arial" w:hAnsi="Arial" w:cs="Arial"/>
          <w:sz w:val="21"/>
          <w:szCs w:val="21"/>
        </w:rPr>
        <w:t xml:space="preserve"> </w:t>
      </w:r>
      <w:r w:rsidRPr="00187A0D">
        <w:rPr>
          <w:rStyle w:val="markedcontent"/>
          <w:rFonts w:ascii="Arial" w:hAnsi="Arial" w:cs="Arial"/>
          <w:sz w:val="21"/>
          <w:szCs w:val="21"/>
        </w:rPr>
        <w:t>aplicación de los pliegos tipo</w:t>
      </w:r>
      <w:r w:rsidR="0017508F">
        <w:rPr>
          <w:rStyle w:val="markedcontent"/>
          <w:rFonts w:ascii="Arial" w:hAnsi="Arial" w:cs="Arial"/>
          <w:sz w:val="21"/>
          <w:szCs w:val="21"/>
        </w:rPr>
        <w:t>”</w:t>
      </w:r>
      <w:r w:rsidRPr="00187A0D">
        <w:rPr>
          <w:rStyle w:val="markedcontent"/>
          <w:rFonts w:ascii="Arial" w:hAnsi="Arial" w:cs="Arial"/>
          <w:sz w:val="21"/>
          <w:szCs w:val="21"/>
        </w:rPr>
        <w:t>.</w:t>
      </w:r>
      <w:r>
        <w:rPr>
          <w:rStyle w:val="Refdenotaalpie"/>
          <w:rFonts w:ascii="Arial" w:hAnsi="Arial" w:cs="Arial"/>
          <w:sz w:val="21"/>
          <w:szCs w:val="21"/>
        </w:rPr>
        <w:footnoteReference w:id="20"/>
      </w:r>
    </w:p>
    <w:p w14:paraId="210F8D57" w14:textId="77777777" w:rsidR="008410D2" w:rsidRDefault="008410D2" w:rsidP="008410D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p>
    <w:p w14:paraId="6CAE0B35" w14:textId="77777777" w:rsidR="008410D2" w:rsidRPr="00C046D8" w:rsidRDefault="008410D2" w:rsidP="008410D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La mencionada disposición pasó el debate en Cámara de Representantes con algunos ajustes en la redacción del artículo</w:t>
      </w:r>
      <w:r w:rsidRPr="00165C4E">
        <w:rPr>
          <w:rStyle w:val="Refdenotaalpie"/>
          <w:rFonts w:ascii="Arial" w:eastAsia="Calibri" w:hAnsi="Arial" w:cs="Arial"/>
          <w:lang w:val="es-ES_tradnl" w:eastAsia="es-ES_tradnl"/>
        </w:rPr>
        <w:footnoteReference w:id="21"/>
      </w:r>
      <w:r w:rsidRPr="00165C4E">
        <w:rPr>
          <w:rFonts w:ascii="Arial" w:eastAsia="Calibri" w:hAnsi="Arial" w:cs="Arial"/>
          <w:lang w:val="es-ES_tradnl" w:eastAsia="es-ES_tradnl"/>
        </w:rPr>
        <w:t xml:space="preserve">, pero manteniendo su fin principal, y esto es, que los documentos tipo deban ser aplicados en general por todas las entidades sometidas al EGCAP, independientemente de la celebración de contratos o convenios interadministrativos o de cualquier otra índole, </w:t>
      </w:r>
      <w:bookmarkEnd w:id="15"/>
      <w:r w:rsidRPr="00165C4E">
        <w:rPr>
          <w:rFonts w:ascii="Arial" w:eastAsia="Calibri" w:hAnsi="Arial" w:cs="Arial"/>
          <w:lang w:val="es-ES_tradnl" w:eastAsia="es-ES_tradnl"/>
        </w:rPr>
        <w:t>con entidades estatales exceptuadas o con régimen especial de contratación, patrimonios autónomos o particulares. Consecuentemente, fue aprobada su redacción en conciliación del texto en ambas cámaras</w:t>
      </w:r>
      <w:r w:rsidRPr="00165C4E">
        <w:rPr>
          <w:rStyle w:val="Refdenotaalpie"/>
          <w:rFonts w:ascii="Arial" w:eastAsia="Times New Roman" w:hAnsi="Arial" w:cs="Arial"/>
          <w:lang w:val="es-ES_tradnl" w:eastAsia="es-ES_tradnl"/>
        </w:rPr>
        <w:footnoteReference w:id="22"/>
      </w:r>
      <w:r w:rsidRPr="00165C4E">
        <w:rPr>
          <w:rFonts w:ascii="Arial" w:eastAsia="Calibri" w:hAnsi="Arial" w:cs="Arial"/>
          <w:lang w:val="es-ES_tradnl" w:eastAsia="es-ES_tradnl"/>
        </w:rPr>
        <w:t xml:space="preserve"> prescribiendo la redacción de la norma hoy día vigente, en los siguientes términos:</w:t>
      </w:r>
      <w:r w:rsidRPr="00C046D8">
        <w:rPr>
          <w:rFonts w:ascii="Arial" w:eastAsia="Calibri" w:hAnsi="Arial" w:cs="Arial"/>
          <w:bCs/>
          <w:lang w:val="es-ES_tradnl" w:eastAsia="es-ES_tradnl"/>
        </w:rPr>
        <w:t xml:space="preserve"> </w:t>
      </w:r>
    </w:p>
    <w:p w14:paraId="6BF0F0D4" w14:textId="77777777" w:rsidR="008410D2" w:rsidRPr="006A55BE" w:rsidRDefault="008410D2" w:rsidP="008410D2">
      <w:pPr>
        <w:tabs>
          <w:tab w:val="left" w:pos="0"/>
        </w:tabs>
        <w:spacing w:after="0" w:line="276" w:lineRule="auto"/>
        <w:jc w:val="both"/>
        <w:rPr>
          <w:rFonts w:ascii="Arial" w:eastAsia="Calibri" w:hAnsi="Arial" w:cs="Arial"/>
          <w:bCs/>
          <w:lang w:val="es-ES_tradnl" w:eastAsia="es-ES_tradnl"/>
        </w:rPr>
      </w:pPr>
    </w:p>
    <w:p w14:paraId="1553E988" w14:textId="723F8F26" w:rsidR="008410D2" w:rsidRDefault="0017508F" w:rsidP="008410D2">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Pr>
          <w:rFonts w:ascii="Arial" w:eastAsia="Times New Roman" w:hAnsi="Arial" w:cs="Arial"/>
          <w:sz w:val="21"/>
          <w:szCs w:val="21"/>
          <w:lang w:val="es-ES_tradnl" w:eastAsia="es-ES_tradnl"/>
        </w:rPr>
        <w:t>“</w:t>
      </w:r>
      <w:r w:rsidR="008410D2" w:rsidRPr="00C046D8">
        <w:rPr>
          <w:rFonts w:ascii="Arial" w:eastAsia="Times New Roman" w:hAnsi="Arial"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w:t>
      </w:r>
      <w:r w:rsidR="008410D2">
        <w:rPr>
          <w:rFonts w:ascii="Arial" w:eastAsia="Times New Roman" w:hAnsi="Arial" w:cs="Arial"/>
          <w:sz w:val="21"/>
          <w:szCs w:val="21"/>
          <w:lang w:val="es-ES_tradnl" w:eastAsia="es-ES_tradnl"/>
        </w:rPr>
        <w:t>Entidad Estatal</w:t>
      </w:r>
      <w:r w:rsidR="008410D2" w:rsidRPr="00C046D8">
        <w:rPr>
          <w:rFonts w:ascii="Arial" w:eastAsia="Times New Roman" w:hAnsi="Arial" w:cs="Arial"/>
          <w:sz w:val="21"/>
          <w:szCs w:val="21"/>
          <w:lang w:val="es-ES_tradnl" w:eastAsia="es-ES_tradnl"/>
        </w:rPr>
        <w:t xml:space="preserve">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4F32CB44" w14:textId="77777777" w:rsidR="008410D2" w:rsidRPr="007D0D5F" w:rsidRDefault="008410D2" w:rsidP="008410D2">
      <w:pPr>
        <w:tabs>
          <w:tab w:val="left" w:pos="0"/>
        </w:tabs>
        <w:spacing w:after="0" w:line="240" w:lineRule="auto"/>
        <w:ind w:left="709" w:right="709"/>
        <w:contextualSpacing/>
        <w:jc w:val="both"/>
        <w:rPr>
          <w:rFonts w:ascii="Arial" w:eastAsia="Times New Roman" w:hAnsi="Arial" w:cs="Arial"/>
          <w:sz w:val="12"/>
          <w:szCs w:val="12"/>
          <w:lang w:val="es-ES_tradnl" w:eastAsia="es-ES_tradnl"/>
        </w:rPr>
      </w:pPr>
    </w:p>
    <w:p w14:paraId="6AACC6C4" w14:textId="77777777" w:rsidR="008410D2" w:rsidRDefault="008410D2" w:rsidP="008410D2">
      <w:pPr>
        <w:tabs>
          <w:tab w:val="left" w:pos="0"/>
        </w:tabs>
        <w:spacing w:after="0" w:line="240" w:lineRule="auto"/>
        <w:ind w:left="709" w:right="709"/>
        <w:contextualSpacing/>
        <w:jc w:val="both"/>
        <w:rPr>
          <w:rFonts w:ascii="Arial" w:eastAsia="Times New Roman" w:hAnsi="Arial" w:cs="Arial"/>
          <w:sz w:val="21"/>
          <w:szCs w:val="21"/>
          <w:lang w:val="es-ES_tradnl" w:eastAsia="es-ES_tradnl"/>
        </w:rPr>
      </w:pPr>
      <w:r w:rsidRPr="00C046D8">
        <w:rPr>
          <w:rFonts w:ascii="Arial" w:eastAsia="Times New Roman" w:hAnsi="Arial"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1524FF5" w14:textId="77777777" w:rsidR="008410D2" w:rsidRPr="007D0D5F" w:rsidRDefault="008410D2" w:rsidP="008410D2">
      <w:pPr>
        <w:tabs>
          <w:tab w:val="left" w:pos="0"/>
        </w:tabs>
        <w:spacing w:after="0" w:line="240" w:lineRule="auto"/>
        <w:ind w:left="709" w:right="709"/>
        <w:contextualSpacing/>
        <w:jc w:val="both"/>
        <w:rPr>
          <w:rFonts w:ascii="Arial" w:eastAsia="Times New Roman" w:hAnsi="Arial" w:cs="Arial"/>
          <w:sz w:val="12"/>
          <w:szCs w:val="12"/>
          <w:lang w:val="es-ES_tradnl" w:eastAsia="es-ES_tradnl"/>
        </w:rPr>
      </w:pPr>
    </w:p>
    <w:p w14:paraId="4DD21C0E" w14:textId="5358C062" w:rsidR="008410D2" w:rsidRPr="00C046D8" w:rsidRDefault="008410D2" w:rsidP="008410D2">
      <w:pPr>
        <w:tabs>
          <w:tab w:val="left" w:pos="0"/>
        </w:tabs>
        <w:spacing w:after="0" w:line="240" w:lineRule="auto"/>
        <w:ind w:left="709" w:right="709"/>
        <w:contextualSpacing/>
        <w:jc w:val="both"/>
        <w:rPr>
          <w:rFonts w:ascii="Arial" w:eastAsia="Calibri" w:hAnsi="Arial" w:cs="Arial"/>
          <w:bCs/>
          <w:sz w:val="21"/>
          <w:szCs w:val="21"/>
          <w:lang w:val="es-ES_tradnl" w:eastAsia="es-ES_tradnl"/>
        </w:rPr>
      </w:pPr>
      <w:r w:rsidRPr="00C046D8">
        <w:rPr>
          <w:rFonts w:ascii="Arial" w:eastAsia="Times New Roman" w:hAnsi="Arial" w:cs="Arial"/>
          <w:sz w:val="21"/>
          <w:szCs w:val="21"/>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r w:rsidR="0017508F">
        <w:rPr>
          <w:rFonts w:ascii="Arial" w:eastAsia="Times New Roman" w:hAnsi="Arial" w:cs="Arial"/>
          <w:sz w:val="21"/>
          <w:szCs w:val="21"/>
          <w:lang w:val="es-ES_tradnl" w:eastAsia="es-ES_tradnl"/>
        </w:rPr>
        <w:t>”</w:t>
      </w:r>
      <w:r w:rsidRPr="00C046D8">
        <w:rPr>
          <w:rFonts w:ascii="Arial" w:eastAsia="Times New Roman" w:hAnsi="Arial" w:cs="Arial"/>
          <w:sz w:val="21"/>
          <w:szCs w:val="21"/>
          <w:lang w:val="es-ES_tradnl" w:eastAsia="es-ES_tradnl"/>
        </w:rPr>
        <w:t>.</w:t>
      </w:r>
    </w:p>
    <w:p w14:paraId="108B2BD1" w14:textId="77777777" w:rsidR="008410D2" w:rsidRPr="00C046D8" w:rsidRDefault="008410D2" w:rsidP="008410D2">
      <w:pPr>
        <w:tabs>
          <w:tab w:val="left" w:pos="0"/>
        </w:tabs>
        <w:spacing w:after="0" w:line="276" w:lineRule="auto"/>
        <w:contextualSpacing/>
        <w:jc w:val="both"/>
        <w:rPr>
          <w:rFonts w:ascii="Arial" w:eastAsia="Calibri" w:hAnsi="Arial" w:cs="Arial"/>
          <w:bCs/>
          <w:lang w:val="es-ES_tradnl" w:eastAsia="es-ES_tradnl"/>
        </w:rPr>
      </w:pPr>
    </w:p>
    <w:p w14:paraId="461CB0FD" w14:textId="77777777" w:rsidR="008410D2"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Las implicaciones del</w:t>
      </w:r>
      <w:r>
        <w:rPr>
          <w:rFonts w:ascii="Arial" w:eastAsia="Calibri" w:hAnsi="Arial" w:cs="Arial"/>
          <w:bCs/>
          <w:lang w:val="es-ES_tradnl" w:eastAsia="es-ES_tradnl"/>
        </w:rPr>
        <w:t xml:space="preserve"> texto conforme al cual fue</w:t>
      </w:r>
      <w:r w:rsidRPr="00C046D8">
        <w:rPr>
          <w:rFonts w:ascii="Arial" w:eastAsia="Calibri" w:hAnsi="Arial" w:cs="Arial"/>
          <w:bCs/>
          <w:lang w:val="es-ES_tradnl" w:eastAsia="es-ES_tradnl"/>
        </w:rPr>
        <w:t xml:space="preserve"> </w:t>
      </w:r>
      <w:r>
        <w:rPr>
          <w:rFonts w:ascii="Arial" w:eastAsia="Calibri" w:hAnsi="Arial" w:cs="Arial"/>
          <w:bCs/>
          <w:lang w:val="es-ES_tradnl" w:eastAsia="es-ES_tradnl"/>
        </w:rPr>
        <w:t>expedida</w:t>
      </w:r>
      <w:r w:rsidRPr="00C046D8">
        <w:rPr>
          <w:rFonts w:ascii="Arial" w:eastAsia="Calibri" w:hAnsi="Arial" w:cs="Arial"/>
          <w:bCs/>
          <w:lang w:val="es-ES_tradnl" w:eastAsia="es-ES_tradnl"/>
        </w:rPr>
        <w:t xml:space="preserve">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w:t>
      </w:r>
      <w:r>
        <w:rPr>
          <w:rFonts w:ascii="Arial" w:eastAsia="Calibri" w:hAnsi="Arial" w:cs="Arial"/>
          <w:bCs/>
          <w:lang w:val="es-ES_tradnl" w:eastAsia="es-ES_tradnl"/>
        </w:rPr>
        <w:t>Por esto</w:t>
      </w:r>
      <w:r w:rsidRPr="00C046D8">
        <w:rPr>
          <w:rFonts w:ascii="Arial" w:eastAsia="Calibri" w:hAnsi="Arial" w:cs="Arial"/>
          <w:bCs/>
          <w:lang w:val="es-ES_tradnl" w:eastAsia="es-ES_tradnl"/>
        </w:rPr>
        <w:t xml:space="preserv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55BEBF5D" w14:textId="77777777" w:rsidR="008410D2" w:rsidRDefault="008410D2" w:rsidP="008410D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C046D8">
        <w:rPr>
          <w:rFonts w:ascii="Arial" w:eastAsia="Calibri" w:hAnsi="Arial" w:cs="Arial"/>
          <w:bCs/>
          <w:lang w:val="es-ES_tradnl" w:eastAsia="es-ES_tradnl"/>
        </w:rPr>
        <w:t xml:space="preserve">Como se desprende de la frase inicial de la norma citada, </w:t>
      </w:r>
      <w:r>
        <w:rPr>
          <w:rFonts w:ascii="Arial" w:eastAsia="Calibri" w:hAnsi="Arial" w:cs="Arial"/>
          <w:bCs/>
          <w:lang w:val="es-ES_tradnl" w:eastAsia="es-ES_tradnl"/>
        </w:rPr>
        <w:t xml:space="preserve">es claro que el primer y principal </w:t>
      </w:r>
      <w:r w:rsidRPr="00C046D8">
        <w:rPr>
          <w:rFonts w:ascii="Arial" w:eastAsia="Calibri" w:hAnsi="Arial" w:cs="Arial"/>
          <w:bCs/>
          <w:lang w:val="es-ES_tradnl" w:eastAsia="es-ES_tradnl"/>
        </w:rPr>
        <w:t xml:space="preserve">mandato </w:t>
      </w:r>
      <w:r>
        <w:rPr>
          <w:rFonts w:ascii="Arial" w:eastAsia="Calibri" w:hAnsi="Arial" w:cs="Arial"/>
          <w:bCs/>
          <w:lang w:val="es-ES_tradnl" w:eastAsia="es-ES_tradnl"/>
        </w:rPr>
        <w:t xml:space="preserve">de la norma únicamente se encuentra </w:t>
      </w:r>
      <w:r w:rsidRPr="00C046D8">
        <w:rPr>
          <w:rFonts w:ascii="Arial" w:eastAsia="Calibri" w:hAnsi="Arial" w:cs="Arial"/>
          <w:bCs/>
          <w:lang w:val="es-ES_tradnl" w:eastAsia="es-ES_tradnl"/>
        </w:rPr>
        <w:t xml:space="preserve">dirigido a las entidades estatales sometidas al EGCAP, para que, en la adquisición de bienes, obras o servicios, apliquen los documentos tipo expedidos por esta Agencia, cuando celebren contratos o convenios interadministrativos o de cualquier otra índole con otra </w:t>
      </w:r>
      <w:r>
        <w:rPr>
          <w:rFonts w:ascii="Arial" w:eastAsia="Calibri" w:hAnsi="Arial" w:cs="Arial"/>
          <w:bCs/>
          <w:lang w:val="es-ES_tradnl" w:eastAsia="es-ES_tradnl"/>
        </w:rPr>
        <w:t>Entidad Estatal</w:t>
      </w:r>
      <w:r w:rsidRPr="00C046D8">
        <w:rPr>
          <w:rFonts w:ascii="Arial" w:eastAsia="Calibri" w:hAnsi="Arial" w:cs="Arial"/>
          <w:bCs/>
          <w:lang w:val="es-ES_tradnl" w:eastAsia="es-ES_tradnl"/>
        </w:rPr>
        <w:t>, o con patrimonios autónomos o con personas naturales o jurídicas, cuyo régimen de contratación sea especial o de derecho privado.</w:t>
      </w:r>
      <w:r>
        <w:rPr>
          <w:rFonts w:ascii="Arial" w:eastAsia="Calibri" w:hAnsi="Arial" w:cs="Arial"/>
          <w:bCs/>
          <w:lang w:val="es-ES_tradnl" w:eastAsia="es-ES_tradnl"/>
        </w:rPr>
        <w:t xml:space="preserve"> En ese sentido,</w:t>
      </w:r>
      <w:r w:rsidRPr="00C046D8">
        <w:rPr>
          <w:rFonts w:ascii="Arial" w:eastAsia="Calibri" w:hAnsi="Arial" w:cs="Arial"/>
          <w:bCs/>
          <w:lang w:val="es-ES_tradnl" w:eastAsia="es-ES_tradnl"/>
        </w:rPr>
        <w:t xml:space="preserve"> el primer inciso de la norma reafirma el deber de las entidades sometidas al EGCAP de aplicar los documentos tipo. </w:t>
      </w:r>
    </w:p>
    <w:p w14:paraId="11C02A61" w14:textId="77777777" w:rsidR="008410D2" w:rsidRPr="004D745F" w:rsidRDefault="008410D2" w:rsidP="001A5552">
      <w:pPr>
        <w:tabs>
          <w:tab w:val="left" w:pos="0"/>
        </w:tabs>
        <w:spacing w:after="120" w:line="276" w:lineRule="auto"/>
        <w:jc w:val="both"/>
        <w:rPr>
          <w:rFonts w:ascii="Arial" w:eastAsia="Calibri" w:hAnsi="Arial" w:cs="Arial"/>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w:t>
      </w:r>
      <w:r>
        <w:rPr>
          <w:rFonts w:ascii="Arial" w:eastAsia="Calibri" w:hAnsi="Arial" w:cs="Arial"/>
          <w:lang w:val="es-ES_tradnl" w:eastAsia="es-ES_tradnl"/>
        </w:rPr>
        <w:t xml:space="preserve"> </w:t>
      </w:r>
      <w:r w:rsidRPr="00165C4E">
        <w:rPr>
          <w:rFonts w:ascii="Arial" w:eastAsia="Calibri" w:hAnsi="Arial" w:cs="Arial"/>
          <w:lang w:val="es-ES_tradnl" w:eastAsia="es-ES_tradnl"/>
        </w:rPr>
        <w:t xml:space="preserve">por contexto conforme al criterio </w:t>
      </w:r>
      <w:r>
        <w:rPr>
          <w:rFonts w:ascii="Arial" w:eastAsia="Calibri" w:hAnsi="Arial" w:cs="Arial"/>
          <w:lang w:val="es-ES_tradnl" w:eastAsia="es-ES_tradnl"/>
        </w:rPr>
        <w:t xml:space="preserve">hermenéutico </w:t>
      </w:r>
      <w:r w:rsidRPr="00165C4E">
        <w:rPr>
          <w:rFonts w:ascii="Arial" w:eastAsia="Calibri" w:hAnsi="Arial" w:cs="Arial"/>
          <w:lang w:val="es-ES_tradnl" w:eastAsia="es-ES_tradnl"/>
        </w:rPr>
        <w:t xml:space="preserve">del artículo 30 del Código Civil, </w:t>
      </w:r>
      <w:r>
        <w:rPr>
          <w:rFonts w:ascii="Arial" w:eastAsia="Calibri" w:hAnsi="Arial" w:cs="Arial"/>
          <w:lang w:val="es-ES_tradnl" w:eastAsia="es-ES_tradnl"/>
        </w:rPr>
        <w:t xml:space="preserve">según el cual </w:t>
      </w:r>
      <w:r w:rsidRPr="00165C4E">
        <w:rPr>
          <w:rFonts w:ascii="Arial" w:eastAsia="Calibri" w:hAnsi="Arial" w:cs="Arial"/>
          <w:lang w:val="es-ES_tradnl" w:eastAsia="es-ES_tradnl"/>
        </w:rPr>
        <w:t>“Los pasajes oscuros de una ley pueden ser ilustrados por medio de otras leyes, particularmente si versan sobre el mismo asunto”</w:t>
      </w:r>
      <w:r>
        <w:rPr>
          <w:rFonts w:ascii="Arial" w:eastAsia="Calibri" w:hAnsi="Arial" w:cs="Arial"/>
          <w:lang w:val="es-ES_tradnl" w:eastAsia="es-ES_tradnl"/>
        </w:rPr>
        <w:t>,</w:t>
      </w:r>
      <w:r w:rsidRPr="00165C4E">
        <w:rPr>
          <w:rFonts w:ascii="Arial" w:eastAsia="Calibri" w:hAnsi="Arial" w:cs="Arial"/>
          <w:lang w:val="es-ES_tradnl" w:eastAsia="es-ES_tradnl"/>
        </w:rPr>
        <w:t xml:space="preserve"> y de interpretación </w:t>
      </w:r>
      <w:r>
        <w:rPr>
          <w:rFonts w:ascii="Arial" w:eastAsia="Calibri" w:hAnsi="Arial" w:cs="Arial"/>
          <w:lang w:val="es-ES_tradnl" w:eastAsia="es-ES_tradnl"/>
        </w:rPr>
        <w:t xml:space="preserve">por </w:t>
      </w:r>
      <w:r w:rsidRPr="00165C4E">
        <w:rPr>
          <w:rFonts w:ascii="Arial" w:eastAsia="Calibri" w:hAnsi="Arial" w:cs="Arial"/>
          <w:lang w:val="es-ES_tradnl" w:eastAsia="es-ES_tradnl"/>
        </w:rPr>
        <w:t xml:space="preserve">extensión de una </w:t>
      </w:r>
      <w:r>
        <w:rPr>
          <w:rFonts w:ascii="Arial" w:eastAsia="Calibri" w:hAnsi="Arial" w:cs="Arial"/>
          <w:lang w:val="es-ES_tradnl" w:eastAsia="es-ES_tradnl"/>
        </w:rPr>
        <w:t>l</w:t>
      </w:r>
      <w:r w:rsidRPr="00165C4E">
        <w:rPr>
          <w:rFonts w:ascii="Arial" w:eastAsia="Calibri" w:hAnsi="Arial" w:cs="Arial"/>
          <w:lang w:val="es-ES_tradnl" w:eastAsia="es-ES_tradnl"/>
        </w:rPr>
        <w:t xml:space="preserve">ey consagrada en el artículo 31 </w:t>
      </w:r>
      <w:r w:rsidRPr="004D745F">
        <w:rPr>
          <w:rFonts w:ascii="Arial" w:eastAsia="Calibri" w:hAnsi="Arial" w:cs="Arial"/>
          <w:i/>
          <w:iCs/>
          <w:lang w:val="es-ES_tradnl" w:eastAsia="es-ES_tradnl"/>
        </w:rPr>
        <w:t>ibidem</w:t>
      </w:r>
      <w:r w:rsidRPr="00165C4E">
        <w:rPr>
          <w:rFonts w:ascii="Arial" w:eastAsia="Calibri" w:hAnsi="Arial" w:cs="Arial"/>
          <w:lang w:val="es-ES_tradnl" w:eastAsia="es-ES_tradnl"/>
        </w:rPr>
        <w:t>,</w:t>
      </w:r>
      <w:r>
        <w:rPr>
          <w:rFonts w:ascii="Arial" w:eastAsia="Calibri" w:hAnsi="Arial" w:cs="Arial"/>
          <w:lang w:val="es-ES_tradnl" w:eastAsia="es-ES_tradnl"/>
        </w:rPr>
        <w:t xml:space="preserve"> conforme al cual</w:t>
      </w:r>
      <w:r w:rsidRPr="00165C4E">
        <w:rPr>
          <w:rFonts w:ascii="Arial" w:eastAsia="Calibri" w:hAnsi="Arial" w:cs="Arial"/>
          <w:lang w:val="es-ES_tradnl" w:eastAsia="es-ES_tradnl"/>
        </w:rPr>
        <w:t xml:space="preserve"> “Lo favorable u odioso de una disposición no se tomará en cuenta para ampliar o restringir su interpretación. La extensión que deba darse a toda ley se determinará por su genuino sentido, y según las reglas de interpretación precedentes”</w:t>
      </w:r>
      <w:r>
        <w:rPr>
          <w:rFonts w:ascii="Arial" w:eastAsia="Calibri" w:hAnsi="Arial" w:cs="Arial"/>
          <w:lang w:val="es-ES_tradnl" w:eastAsia="es-ES_tradnl"/>
        </w:rPr>
        <w:t>.</w:t>
      </w:r>
      <w:r w:rsidRPr="00165C4E">
        <w:rPr>
          <w:rFonts w:ascii="Arial" w:eastAsia="Calibri" w:hAnsi="Arial" w:cs="Arial"/>
          <w:lang w:val="es-ES_tradnl" w:eastAsia="es-ES_tradnl"/>
        </w:rPr>
        <w:t xml:space="preserve"> </w:t>
      </w:r>
      <w:r>
        <w:rPr>
          <w:rFonts w:ascii="Arial" w:eastAsia="Calibri" w:hAnsi="Arial" w:cs="Arial"/>
          <w:bCs/>
          <w:lang w:val="es-ES_tradnl" w:eastAsia="es-ES_tradnl"/>
        </w:rPr>
        <w:t xml:space="preserve">Desde esta perspectiva, </w:t>
      </w:r>
      <w:r w:rsidRPr="00165C4E">
        <w:rPr>
          <w:rFonts w:ascii="Arial" w:eastAsia="Calibri" w:hAnsi="Arial" w:cs="Arial"/>
          <w:bCs/>
          <w:lang w:val="es-ES_tradnl" w:eastAsia="es-ES_tradnl"/>
        </w:rPr>
        <w:t>no pu</w:t>
      </w:r>
      <w:r>
        <w:rPr>
          <w:rFonts w:ascii="Arial" w:eastAsia="Calibri" w:hAnsi="Arial" w:cs="Arial"/>
          <w:bCs/>
          <w:lang w:val="es-ES_tradnl" w:eastAsia="es-ES_tradnl"/>
        </w:rPr>
        <w:t>diera</w:t>
      </w:r>
      <w:r w:rsidRPr="00165C4E">
        <w:rPr>
          <w:rFonts w:ascii="Arial" w:eastAsia="Calibri" w:hAnsi="Arial" w:cs="Arial"/>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w:t>
      </w:r>
      <w:r>
        <w:rPr>
          <w:rFonts w:ascii="Arial" w:eastAsia="Calibri" w:hAnsi="Arial" w:cs="Arial"/>
          <w:lang w:val="es-ES_tradnl" w:eastAsia="es-ES_tradnl"/>
        </w:rPr>
        <w:t>es decir,</w:t>
      </w:r>
      <w:r w:rsidRPr="00165C4E">
        <w:rPr>
          <w:rFonts w:ascii="Arial" w:eastAsia="Calibri" w:hAnsi="Arial" w:cs="Arial"/>
          <w:bCs/>
          <w:lang w:val="es-ES_tradnl" w:eastAsia="es-ES_tradnl"/>
        </w:rPr>
        <w:t xml:space="preserve"> </w:t>
      </w:r>
      <w:r w:rsidRPr="00165C4E">
        <w:rPr>
          <w:rFonts w:ascii="Arial" w:eastAsia="Calibri" w:hAnsi="Arial" w:cs="Arial"/>
          <w:lang w:val="es-ES_tradnl" w:eastAsia="es-ES_tradnl"/>
        </w:rPr>
        <w:t>la obligatoriedad de utilizar documentos pliego tipo</w:t>
      </w:r>
      <w:r>
        <w:rPr>
          <w:rFonts w:ascii="Arial" w:eastAsia="Calibri" w:hAnsi="Arial" w:cs="Arial"/>
          <w:lang w:val="es-ES_tradnl" w:eastAsia="es-ES_tradnl"/>
        </w:rPr>
        <w:t xml:space="preserve"> </w:t>
      </w:r>
      <w:r>
        <w:rPr>
          <w:rFonts w:ascii="Arial" w:eastAsia="Calibri" w:hAnsi="Arial" w:cs="Arial"/>
          <w:bCs/>
          <w:lang w:val="es-ES_tradnl" w:eastAsia="es-ES_tradnl"/>
        </w:rPr>
        <w:t>se extiende</w:t>
      </w:r>
      <w:r w:rsidRPr="00165C4E">
        <w:rPr>
          <w:rFonts w:ascii="Arial" w:eastAsia="Calibri" w:hAnsi="Arial" w:cs="Arial"/>
          <w:bCs/>
          <w:lang w:val="es-ES_tradnl" w:eastAsia="es-ES_tradnl"/>
        </w:rPr>
        <w:t xml:space="preserve"> </w:t>
      </w:r>
      <w:r w:rsidRPr="00165C4E">
        <w:rPr>
          <w:rFonts w:ascii="Arial" w:eastAsia="Calibri" w:hAnsi="Arial" w:cs="Arial"/>
          <w:lang w:val="es-ES_tradnl" w:eastAsia="es-ES_tradnl"/>
        </w:rPr>
        <w:t xml:space="preserve">en los convenios o contratos interadministrativos o de cualquier otra índole, </w:t>
      </w:r>
      <w:r>
        <w:rPr>
          <w:rFonts w:ascii="Arial" w:eastAsia="Calibri" w:hAnsi="Arial" w:cs="Arial"/>
          <w:bCs/>
          <w:lang w:val="es-ES_tradnl" w:eastAsia="es-ES_tradnl"/>
        </w:rPr>
        <w:t>y</w:t>
      </w:r>
      <w:r w:rsidRPr="00165C4E">
        <w:rPr>
          <w:rFonts w:ascii="Arial" w:eastAsia="Calibri" w:hAnsi="Arial" w:cs="Arial"/>
          <w:lang w:val="es-ES_tradnl" w:eastAsia="es-ES_tradnl"/>
        </w:rPr>
        <w:t>a las diferentes modalidades de selección de los Procesos de Contratación adelantados por entidades sometidas al EGCAP</w:t>
      </w:r>
      <w:r>
        <w:rPr>
          <w:rFonts w:ascii="Arial" w:eastAsia="Calibri" w:hAnsi="Arial" w:cs="Arial"/>
          <w:bCs/>
          <w:lang w:val="es-ES_tradnl" w:eastAsia="es-ES_tradnl"/>
        </w:rPr>
        <w:t>.</w:t>
      </w:r>
    </w:p>
    <w:p w14:paraId="14268BAE" w14:textId="77777777" w:rsidR="008410D2" w:rsidRDefault="008410D2" w:rsidP="008410D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t>A</w:t>
      </w:r>
      <w:r w:rsidRPr="006A55BE">
        <w:rPr>
          <w:rFonts w:ascii="Arial" w:eastAsia="Calibri" w:hAnsi="Arial" w:cs="Arial"/>
          <w:bCs/>
          <w:lang w:val="es-ES_tradnl" w:eastAsia="es-ES_tradnl"/>
        </w:rPr>
        <w:t>ntes</w:t>
      </w:r>
      <w:r w:rsidRPr="00C046D8">
        <w:rPr>
          <w:rFonts w:ascii="Arial" w:eastAsia="Calibri" w:hAnsi="Arial" w:cs="Arial"/>
          <w:bCs/>
          <w:lang w:val="es-ES_tradnl" w:eastAsia="es-ES_tradnl"/>
        </w:rPr>
        <w:t xml:space="preserve"> de la expedición del artículo 56</w:t>
      </w:r>
      <w:r>
        <w:rPr>
          <w:rFonts w:ascii="Arial" w:eastAsia="Calibri" w:hAnsi="Arial" w:cs="Arial"/>
          <w:bCs/>
          <w:lang w:val="es-ES_tradnl" w:eastAsia="es-ES_tradnl"/>
        </w:rPr>
        <w:t xml:space="preserve"> de </w:t>
      </w:r>
      <w:r w:rsidRPr="00C046D8">
        <w:rPr>
          <w:rFonts w:ascii="Arial" w:eastAsia="Calibri" w:hAnsi="Arial" w:cs="Arial"/>
          <w:bCs/>
          <w:lang w:val="es-ES_tradnl" w:eastAsia="es-ES_tradnl"/>
        </w:rPr>
        <w:t>la Ley 2022 de 2020</w:t>
      </w:r>
      <w:r>
        <w:rPr>
          <w:rFonts w:ascii="Arial" w:eastAsia="Calibri" w:hAnsi="Arial" w:cs="Arial"/>
          <w:bCs/>
          <w:lang w:val="es-ES_tradnl" w:eastAsia="es-ES_tradnl"/>
        </w:rPr>
        <w:t>,</w:t>
      </w:r>
      <w:r w:rsidRPr="00C046D8">
        <w:rPr>
          <w:rFonts w:ascii="Arial" w:eastAsia="Calibri" w:hAnsi="Arial" w:cs="Arial"/>
          <w:bCs/>
          <w:lang w:val="es-ES_tradnl" w:eastAsia="es-ES_tradnl"/>
        </w:rPr>
        <w:t xml:space="preserve"> ya</w:t>
      </w:r>
      <w:r>
        <w:rPr>
          <w:rFonts w:ascii="Arial" w:eastAsia="Calibri" w:hAnsi="Arial" w:cs="Arial"/>
          <w:bCs/>
          <w:lang w:val="es-ES_tradnl" w:eastAsia="es-ES_tradnl"/>
        </w:rPr>
        <w:t xml:space="preserve"> se</w:t>
      </w:r>
      <w:r w:rsidRPr="00C046D8">
        <w:rPr>
          <w:rFonts w:ascii="Arial" w:eastAsia="Calibri" w:hAnsi="Arial" w:cs="Arial"/>
          <w:bCs/>
          <w:lang w:val="es-ES_tradnl" w:eastAsia="es-ES_tradnl"/>
        </w:rPr>
        <w:t xml:space="preserve"> había establecido el mandato de aplicación obligatoria de los documentos tipo</w:t>
      </w:r>
      <w:r>
        <w:rPr>
          <w:rFonts w:ascii="Arial" w:eastAsia="Calibri" w:hAnsi="Arial" w:cs="Arial"/>
          <w:bCs/>
          <w:lang w:val="es-ES_tradnl" w:eastAsia="es-ES_tradnl"/>
        </w:rPr>
        <w:t xml:space="preserve"> para las entidades estatales sometidas al EGCAP</w:t>
      </w:r>
      <w:r w:rsidRPr="00C046D8">
        <w:rPr>
          <w:rFonts w:ascii="Arial" w:eastAsia="Calibri" w:hAnsi="Arial" w:cs="Arial"/>
          <w:bCs/>
          <w:lang w:val="es-ES_tradnl" w:eastAsia="es-ES_tradnl"/>
        </w:rPr>
        <w:t xml:space="preserve">, atribuyendo a esta Agencia la competencia para expedirlos. </w:t>
      </w:r>
      <w:r>
        <w:rPr>
          <w:rFonts w:ascii="Arial" w:eastAsia="Calibri" w:hAnsi="Arial" w:cs="Arial"/>
          <w:bCs/>
          <w:lang w:val="es-ES_tradnl" w:eastAsia="es-ES_tradnl"/>
        </w:rPr>
        <w:t xml:space="preserve">Esta norma imperativa debía observarse siempre y cuando el objeto contratar este </w:t>
      </w:r>
      <w:r w:rsidRPr="00C046D8">
        <w:rPr>
          <w:rFonts w:ascii="Arial" w:eastAsia="Calibri" w:hAnsi="Arial" w:cs="Arial"/>
          <w:bCs/>
          <w:lang w:val="es-ES_tradnl" w:eastAsia="es-ES_tradnl"/>
        </w:rPr>
        <w:t>cobijado por algún documento tipo vigente</w:t>
      </w:r>
      <w:r>
        <w:rPr>
          <w:rFonts w:ascii="Arial" w:eastAsia="Calibri" w:hAnsi="Arial" w:cs="Arial"/>
          <w:bCs/>
          <w:lang w:val="es-ES_tradnl" w:eastAsia="es-ES_tradnl"/>
        </w:rPr>
        <w:t>, no obstante, si la Entidad Estatal optaba bajo la modalidad de selección de contratación directa, celebrar convenios o contratos interadministrativos, o de cualquier otra índole, con</w:t>
      </w:r>
      <w:r w:rsidRPr="00C046D8">
        <w:rPr>
          <w:rFonts w:ascii="Arial" w:eastAsia="Calibri" w:hAnsi="Arial" w:cs="Arial"/>
          <w:bCs/>
          <w:lang w:val="es-ES_tradnl" w:eastAsia="es-ES_tradnl"/>
        </w:rPr>
        <w:t xml:space="preserve"> entidades con regímenes especiales o de derecho privado era un asunto que escapaba del ámbito de aplicación de lo establecido por la Ley 2022 de 2020, incluso tratándose de obras o servicios para cuya contratación </w:t>
      </w:r>
      <w:r>
        <w:rPr>
          <w:rFonts w:ascii="Arial" w:eastAsia="Calibri" w:hAnsi="Arial" w:cs="Arial"/>
          <w:bCs/>
          <w:lang w:val="es-ES_tradnl" w:eastAsia="es-ES_tradnl"/>
        </w:rPr>
        <w:t>le fuese aplicable los</w:t>
      </w:r>
      <w:r w:rsidRPr="00C046D8">
        <w:rPr>
          <w:rFonts w:ascii="Arial" w:eastAsia="Calibri" w:hAnsi="Arial" w:cs="Arial"/>
          <w:bCs/>
          <w:lang w:val="es-ES_tradnl" w:eastAsia="es-ES_tradnl"/>
        </w:rPr>
        <w:t xml:space="preserve"> documentos tipo vigentes</w:t>
      </w:r>
      <w:r>
        <w:rPr>
          <w:rFonts w:ascii="Arial" w:eastAsia="Calibri" w:hAnsi="Arial" w:cs="Arial"/>
          <w:bCs/>
          <w:lang w:val="es-ES_tradnl" w:eastAsia="es-ES_tradnl"/>
        </w:rPr>
        <w:t>.</w:t>
      </w:r>
    </w:p>
    <w:p w14:paraId="25C94DC8" w14:textId="77777777" w:rsidR="008410D2" w:rsidRDefault="008410D2" w:rsidP="008410D2">
      <w:pPr>
        <w:tabs>
          <w:tab w:val="left" w:pos="0"/>
        </w:tabs>
        <w:spacing w:after="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165C4E">
        <w:rPr>
          <w:rFonts w:ascii="Arial" w:eastAsia="Calibri" w:hAnsi="Arial" w:cs="Arial"/>
          <w:lang w:val="es-ES_tradnl" w:eastAsia="es-ES_tradnl"/>
        </w:rPr>
        <w:t>Ahora,</w:t>
      </w:r>
      <w:r>
        <w:rPr>
          <w:rFonts w:ascii="Arial" w:eastAsia="Calibri" w:hAnsi="Arial" w:cs="Arial"/>
          <w:bCs/>
          <w:lang w:val="es-ES_tradnl" w:eastAsia="es-ES_tradnl"/>
        </w:rPr>
        <w:t xml:space="preserve"> con la entrada en vigencia del artículo 56 de la Ley 2195 de 2022, </w:t>
      </w:r>
      <w:r w:rsidRPr="00C046D8">
        <w:rPr>
          <w:rFonts w:ascii="Arial" w:eastAsia="Calibri" w:hAnsi="Arial" w:cs="Arial"/>
          <w:bCs/>
          <w:lang w:val="es-ES_tradnl" w:eastAsia="es-ES_tradnl"/>
        </w:rPr>
        <w:t xml:space="preserve">la aplicación de documentos </w:t>
      </w:r>
      <w:r>
        <w:rPr>
          <w:rFonts w:ascii="Arial" w:eastAsia="Calibri" w:hAnsi="Arial" w:cs="Arial"/>
          <w:bCs/>
          <w:lang w:val="es-ES_tradnl" w:eastAsia="es-ES_tradnl"/>
        </w:rPr>
        <w:t xml:space="preserve">pliego </w:t>
      </w:r>
      <w:r w:rsidRPr="00C046D8">
        <w:rPr>
          <w:rFonts w:ascii="Arial" w:eastAsia="Calibri" w:hAnsi="Arial" w:cs="Arial"/>
          <w:bCs/>
          <w:lang w:val="es-ES_tradnl" w:eastAsia="es-ES_tradnl"/>
        </w:rPr>
        <w:t xml:space="preserve">tipo </w:t>
      </w:r>
      <w:r>
        <w:rPr>
          <w:rFonts w:ascii="Arial" w:eastAsia="Calibri" w:hAnsi="Arial" w:cs="Arial"/>
          <w:bCs/>
          <w:lang w:val="es-ES_tradnl" w:eastAsia="es-ES_tradnl"/>
        </w:rPr>
        <w:t xml:space="preserve">resulta obligatoria cuando la Entidad Estatal opta por celebrar convenios o contratos interadministrativos, o de cualquier otra índole, sin que por ello implique que las entidades de </w:t>
      </w:r>
      <w:r w:rsidRPr="00C046D8">
        <w:rPr>
          <w:rFonts w:ascii="Arial" w:eastAsia="Calibri" w:hAnsi="Arial" w:cs="Arial"/>
          <w:bCs/>
          <w:lang w:val="es-ES_tradnl" w:eastAsia="es-ES_tradnl"/>
        </w:rPr>
        <w:t xml:space="preserve">regímenes especiales </w:t>
      </w:r>
      <w:r>
        <w:rPr>
          <w:rFonts w:ascii="Arial" w:eastAsia="Calibri" w:hAnsi="Arial" w:cs="Arial"/>
          <w:bCs/>
          <w:lang w:val="es-ES_tradnl" w:eastAsia="es-ES_tradnl"/>
        </w:rPr>
        <w:t xml:space="preserve">de contratación, patrimonios autónomos o personas naturales o jurídicas </w:t>
      </w:r>
      <w:r w:rsidRPr="00C046D8">
        <w:rPr>
          <w:rFonts w:ascii="Arial" w:eastAsia="Calibri" w:hAnsi="Arial" w:cs="Arial"/>
          <w:bCs/>
          <w:lang w:val="es-ES_tradnl" w:eastAsia="es-ES_tradnl"/>
        </w:rPr>
        <w:t>de derecho privado</w:t>
      </w:r>
      <w:r>
        <w:rPr>
          <w:rFonts w:ascii="Arial" w:eastAsia="Calibri" w:hAnsi="Arial" w:cs="Arial"/>
          <w:bCs/>
          <w:lang w:val="es-ES_tradnl" w:eastAsia="es-ES_tradnl"/>
        </w:rPr>
        <w:t xml:space="preserve"> se las haya habilitado legalmente para que apliquen documentos pliego tipo en su contratación privada, por cuanto, la norma parte de la premisa fundamental de que </w:t>
      </w:r>
      <w:r w:rsidRPr="00C046D8">
        <w:rPr>
          <w:rFonts w:ascii="Arial" w:eastAsia="Calibri" w:hAnsi="Arial" w:cs="Arial"/>
          <w:bCs/>
          <w:lang w:val="es-ES_tradnl" w:eastAsia="es-ES_tradnl"/>
        </w:rPr>
        <w:t xml:space="preserve">la aplicación de estos solo </w:t>
      </w:r>
      <w:r>
        <w:rPr>
          <w:rFonts w:ascii="Arial" w:eastAsia="Calibri" w:hAnsi="Arial" w:cs="Arial"/>
          <w:bCs/>
          <w:lang w:val="es-ES_tradnl" w:eastAsia="es-ES_tradnl"/>
        </w:rPr>
        <w:t xml:space="preserve">es </w:t>
      </w:r>
      <w:r w:rsidRPr="00C046D8">
        <w:rPr>
          <w:rFonts w:ascii="Arial" w:eastAsia="Calibri" w:hAnsi="Arial" w:cs="Arial"/>
          <w:bCs/>
          <w:lang w:val="es-ES_tradnl" w:eastAsia="es-ES_tradnl"/>
        </w:rPr>
        <w:t xml:space="preserve">procedente </w:t>
      </w:r>
      <w:r>
        <w:rPr>
          <w:rFonts w:ascii="Arial" w:eastAsia="Calibri" w:hAnsi="Arial" w:cs="Arial"/>
          <w:bCs/>
          <w:lang w:val="es-ES_tradnl" w:eastAsia="es-ES_tradnl"/>
        </w:rPr>
        <w:t xml:space="preserve">para entidades cuyo </w:t>
      </w:r>
      <w:r w:rsidRPr="00C046D8">
        <w:rPr>
          <w:rFonts w:ascii="Arial" w:eastAsia="Calibri" w:hAnsi="Arial" w:cs="Arial"/>
          <w:bCs/>
          <w:lang w:val="es-ES_tradnl" w:eastAsia="es-ES_tradnl"/>
        </w:rPr>
        <w:t xml:space="preserve">régimen </w:t>
      </w:r>
      <w:r>
        <w:rPr>
          <w:rFonts w:ascii="Arial" w:eastAsia="Calibri" w:hAnsi="Arial" w:cs="Arial"/>
          <w:bCs/>
          <w:lang w:val="es-ES_tradnl" w:eastAsia="es-ES_tradnl"/>
        </w:rPr>
        <w:t xml:space="preserve">contractual corresponde al </w:t>
      </w:r>
      <w:r w:rsidRPr="00C046D8">
        <w:rPr>
          <w:rFonts w:ascii="Arial" w:eastAsia="Calibri" w:hAnsi="Arial" w:cs="Arial"/>
          <w:bCs/>
          <w:lang w:val="es-ES_tradnl" w:eastAsia="es-ES_tradnl"/>
        </w:rPr>
        <w:t xml:space="preserve">EGCAP. Esto en la medida en que, </w:t>
      </w:r>
      <w:bookmarkStart w:id="16" w:name="_Hlk109963698"/>
      <w:r w:rsidRPr="00C046D8">
        <w:rPr>
          <w:rFonts w:ascii="Arial" w:eastAsia="Calibri" w:hAnsi="Arial" w:cs="Arial"/>
          <w:bCs/>
          <w:lang w:val="es-ES_tradnl" w:eastAsia="es-ES_tradnl"/>
        </w:rPr>
        <w:t>el parágrafo 7 del artículo 2 de la Ley 1150 de 2007</w:t>
      </w:r>
      <w:r>
        <w:rPr>
          <w:rFonts w:ascii="Arial" w:eastAsia="Calibri" w:hAnsi="Arial" w:cs="Arial"/>
          <w:bCs/>
          <w:lang w:val="es-ES_tradnl" w:eastAsia="es-ES_tradnl"/>
        </w:rPr>
        <w:t>, modificado por la Ley 2022 de 2020,</w:t>
      </w:r>
      <w:r w:rsidRPr="00C046D8">
        <w:rPr>
          <w:rFonts w:ascii="Arial" w:eastAsia="Calibri" w:hAnsi="Arial" w:cs="Arial"/>
          <w:bCs/>
          <w:lang w:val="es-ES_tradnl" w:eastAsia="es-ES_tradnl"/>
        </w:rPr>
        <w:t xml:space="preserve"> solo se refiere a la obligación de aplicar los documentos tipo en los procesos de contratación que adelanten las entidades sometidas al EGCAP.</w:t>
      </w:r>
      <w:r w:rsidRPr="00C046D8">
        <w:rPr>
          <w:rFonts w:ascii="Arial" w:eastAsia="Calibri" w:hAnsi="Arial" w:cs="Arial"/>
          <w:bCs/>
          <w:strike/>
          <w:lang w:val="es-ES_tradnl" w:eastAsia="es-ES_tradnl"/>
        </w:rPr>
        <w:t xml:space="preserve"> </w:t>
      </w:r>
      <w:bookmarkEnd w:id="16"/>
    </w:p>
    <w:p w14:paraId="36B9B4A5" w14:textId="77777777" w:rsidR="008410D2" w:rsidRDefault="008410D2" w:rsidP="008410D2">
      <w:pPr>
        <w:spacing w:after="0" w:line="276" w:lineRule="auto"/>
        <w:ind w:firstLine="708"/>
        <w:jc w:val="both"/>
        <w:rPr>
          <w:rFonts w:ascii="Arial" w:eastAsia="Calibri" w:hAnsi="Arial" w:cs="Arial"/>
          <w:lang w:val="es-ES" w:eastAsia="es-ES"/>
        </w:rPr>
      </w:pPr>
      <w:r w:rsidRPr="293D6149">
        <w:rPr>
          <w:rFonts w:ascii="Arial" w:hAnsi="Arial" w:cs="Arial"/>
        </w:rPr>
        <w:t>E</w:t>
      </w:r>
      <w:r>
        <w:rPr>
          <w:rFonts w:ascii="Arial" w:hAnsi="Arial" w:cs="Arial"/>
        </w:rPr>
        <w:t xml:space="preserve">sta Agencia </w:t>
      </w:r>
      <w:r w:rsidRPr="293D6149">
        <w:rPr>
          <w:rFonts w:ascii="Arial" w:hAnsi="Arial" w:cs="Arial"/>
        </w:rPr>
        <w:t xml:space="preserve">ha </w:t>
      </w:r>
      <w:r>
        <w:rPr>
          <w:rFonts w:ascii="Arial" w:hAnsi="Arial" w:cs="Arial"/>
        </w:rPr>
        <w:t>considera</w:t>
      </w:r>
      <w:r w:rsidRPr="293D6149">
        <w:rPr>
          <w:rFonts w:ascii="Arial" w:hAnsi="Arial" w:cs="Arial"/>
        </w:rPr>
        <w:t>do, como se</w:t>
      </w:r>
      <w:r>
        <w:rPr>
          <w:rFonts w:ascii="Arial" w:hAnsi="Arial" w:cs="Arial"/>
        </w:rPr>
        <w:t xml:space="preserve"> explicó </w:t>
      </w:r>
      <w:r w:rsidRPr="004D745F">
        <w:rPr>
          <w:rFonts w:ascii="Arial" w:hAnsi="Arial" w:cs="Arial"/>
          <w:i/>
          <w:iCs/>
        </w:rPr>
        <w:t>ut supra</w:t>
      </w:r>
      <w:r>
        <w:rPr>
          <w:rFonts w:ascii="Arial" w:hAnsi="Arial" w:cs="Arial"/>
        </w:rPr>
        <w:t xml:space="preserve">, que </w:t>
      </w:r>
      <w:r w:rsidRPr="293D6149">
        <w:rPr>
          <w:rFonts w:ascii="Arial" w:eastAsia="Calibri" w:hAnsi="Arial"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w:t>
      </w:r>
      <w:r>
        <w:rPr>
          <w:rFonts w:ascii="Arial" w:eastAsia="Calibri" w:hAnsi="Arial" w:cs="Arial"/>
          <w:lang w:val="es-ES" w:eastAsia="es-ES"/>
        </w:rPr>
        <w:t>.</w:t>
      </w:r>
      <w:r w:rsidRPr="293D6149">
        <w:rPr>
          <w:rFonts w:ascii="Arial" w:eastAsia="Calibri" w:hAnsi="Arial" w:cs="Arial"/>
          <w:lang w:val="es-ES" w:eastAsia="es-ES"/>
        </w:rPr>
        <w:t xml:space="preserve"> </w:t>
      </w:r>
      <w:r>
        <w:rPr>
          <w:rFonts w:ascii="Arial" w:eastAsia="Calibri" w:hAnsi="Arial" w:cs="Arial"/>
          <w:lang w:val="es-ES" w:eastAsia="es-ES"/>
        </w:rPr>
        <w:t>P</w:t>
      </w:r>
      <w:r w:rsidRPr="293D6149">
        <w:rPr>
          <w:rFonts w:ascii="Arial" w:eastAsia="Calibri" w:hAnsi="Arial" w:cs="Arial"/>
          <w:lang w:val="es-ES" w:eastAsia="es-ES"/>
        </w:rPr>
        <w:t>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293D6149">
        <w:rPr>
          <w:rFonts w:ascii="Arial" w:eastAsia="Calibri" w:hAnsi="Arial" w:cs="Arial"/>
          <w:vertAlign w:val="superscript"/>
          <w:lang w:val="es-ES" w:eastAsia="es-ES"/>
        </w:rPr>
        <w:footnoteReference w:id="23"/>
      </w:r>
      <w:r w:rsidRPr="293D6149">
        <w:rPr>
          <w:rFonts w:ascii="Arial" w:eastAsia="Calibri" w:hAnsi="Arial" w:cs="Arial"/>
          <w:lang w:val="es-ES" w:eastAsia="es-ES"/>
        </w:rPr>
        <w:t xml:space="preserve">, ahora deberán tenerse en cuenta las siguientes reglas: i) </w:t>
      </w:r>
      <w:r w:rsidRPr="293D6149">
        <w:rPr>
          <w:rFonts w:ascii="Arial" w:eastAsia="Calibri" w:hAnsi="Arial" w:cs="Arial"/>
          <w:i/>
          <w:lang w:val="es-ES" w:eastAsia="es-ES"/>
        </w:rPr>
        <w:t>en el caso de los convenios interadministrativos o de cualquier otra índole:</w:t>
      </w:r>
      <w:r w:rsidRPr="293D6149">
        <w:rPr>
          <w:rFonts w:ascii="Arial" w:eastAsia="Calibri" w:hAnsi="Arial"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w:t>
      </w:r>
      <w:proofErr w:type="spellStart"/>
      <w:r w:rsidRPr="293D6149">
        <w:rPr>
          <w:rFonts w:ascii="Arial" w:eastAsia="Calibri" w:hAnsi="Arial" w:cs="Arial"/>
          <w:lang w:val="es-ES" w:eastAsia="es-ES"/>
        </w:rPr>
        <w:t>EGCAP</w:t>
      </w:r>
      <w:proofErr w:type="spellEnd"/>
      <w:r w:rsidRPr="293D6149">
        <w:rPr>
          <w:rFonts w:ascii="Arial" w:eastAsia="Calibri" w:hAnsi="Arial" w:cs="Arial"/>
          <w:lang w:val="es-ES" w:eastAsia="es-ES"/>
        </w:rPr>
        <w:t xml:space="preserve">; y, </w:t>
      </w:r>
      <w:proofErr w:type="spellStart"/>
      <w:r w:rsidRPr="293D6149">
        <w:rPr>
          <w:rFonts w:ascii="Arial" w:eastAsia="Calibri" w:hAnsi="Arial" w:cs="Arial"/>
          <w:lang w:val="es-ES" w:eastAsia="es-ES"/>
        </w:rPr>
        <w:t>ii</w:t>
      </w:r>
      <w:proofErr w:type="spellEnd"/>
      <w:r w:rsidRPr="293D6149">
        <w:rPr>
          <w:rFonts w:ascii="Arial" w:eastAsia="Calibri" w:hAnsi="Arial" w:cs="Arial"/>
          <w:lang w:val="es-ES" w:eastAsia="es-ES"/>
        </w:rPr>
        <w:t xml:space="preserve">) </w:t>
      </w:r>
      <w:r w:rsidRPr="293D6149">
        <w:rPr>
          <w:rFonts w:ascii="Arial" w:eastAsia="Calibri" w:hAnsi="Arial" w:cs="Arial"/>
          <w:i/>
          <w:lang w:val="es-ES" w:eastAsia="es-ES"/>
        </w:rPr>
        <w:t>en el caso de los contratos interadministrativos</w:t>
      </w:r>
      <w:r w:rsidRPr="293D6149">
        <w:rPr>
          <w:rFonts w:ascii="Arial" w:eastAsia="Calibri" w:hAnsi="Arial" w:cs="Arial"/>
          <w:lang w:val="es-ES" w:eastAsia="es-ES"/>
        </w:rPr>
        <w:t xml:space="preserve"> </w:t>
      </w:r>
      <w:r w:rsidRPr="293D6149">
        <w:rPr>
          <w:rFonts w:ascii="Arial" w:eastAsia="Calibri" w:hAnsi="Arial" w:cs="Arial"/>
          <w:i/>
          <w:lang w:val="es-ES" w:eastAsia="es-ES"/>
        </w:rPr>
        <w:t>o de cualquier otra índole</w:t>
      </w:r>
      <w:r w:rsidRPr="293D6149">
        <w:rPr>
          <w:rFonts w:ascii="Arial" w:eastAsia="Calibri" w:hAnsi="Arial" w:cs="Arial"/>
          <w:lang w:val="es-ES" w:eastAsia="es-ES"/>
        </w:rPr>
        <w:t xml:space="preserve">: </w:t>
      </w:r>
      <w:r w:rsidRPr="293D6149">
        <w:rPr>
          <w:rFonts w:ascii="Arial" w:eastAsia="Times New Roman" w:hAnsi="Arial"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293D6149">
        <w:rPr>
          <w:rFonts w:ascii="Arial" w:eastAsia="Calibri" w:hAnsi="Arial" w:cs="Arial"/>
          <w:lang w:val="es-ES" w:eastAsia="es-ES"/>
        </w:rPr>
        <w:t>entidad sometida al EGCAP.</w:t>
      </w:r>
    </w:p>
    <w:p w14:paraId="0D53E042" w14:textId="77777777" w:rsidR="008410D2"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 </w:t>
      </w:r>
      <w:bookmarkStart w:id="18" w:name="_Hlk113023365"/>
      <w:r>
        <w:rPr>
          <w:rFonts w:ascii="Arial" w:eastAsia="Calibri" w:hAnsi="Arial" w:cs="Arial"/>
          <w:bCs/>
          <w:lang w:val="es-ES_tradnl" w:eastAsia="es-ES_tradnl"/>
        </w:rPr>
        <w:t>E</w:t>
      </w:r>
      <w:r w:rsidRPr="00C046D8">
        <w:rPr>
          <w:rFonts w:ascii="Arial" w:eastAsia="Calibri" w:hAnsi="Arial" w:cs="Arial"/>
          <w:bCs/>
          <w:lang w:val="es-ES_tradnl" w:eastAsia="es-ES_tradnl"/>
        </w:rPr>
        <w:t xml:space="preserve">l segundo inciso de la norma bajo estudio usa la expresión </w:t>
      </w:r>
      <w:r>
        <w:rPr>
          <w:rFonts w:ascii="Arial" w:eastAsia="Calibri" w:hAnsi="Arial" w:cs="Arial"/>
          <w:lang w:val="es-ES_tradnl" w:eastAsia="es-ES_tradnl"/>
        </w:rPr>
        <w:t>“</w:t>
      </w:r>
      <w:r w:rsidRPr="00C046D8">
        <w:rPr>
          <w:rFonts w:ascii="Arial" w:eastAsia="Times New Roman" w:hAnsi="Arial" w:cs="Arial"/>
          <w:lang w:eastAsia="es-ES_tradnl"/>
        </w:rPr>
        <w:t xml:space="preserve">los procedimientos de selección y </w:t>
      </w:r>
      <w:r w:rsidRPr="00C046D8">
        <w:rPr>
          <w:rFonts w:ascii="Arial" w:eastAsia="Times New Roman" w:hAnsi="Arial" w:cs="Arial"/>
          <w:i/>
          <w:iCs/>
          <w:lang w:eastAsia="es-ES_tradnl"/>
        </w:rPr>
        <w:t>contratos que realicen en desarrollo de los anteriores negocios jurídicos</w:t>
      </w:r>
      <w:r>
        <w:rPr>
          <w:rFonts w:ascii="Arial" w:eastAsia="Calibri" w:hAnsi="Arial" w:cs="Arial"/>
          <w:lang w:val="es-ES_tradnl" w:eastAsia="es-ES_tradnl"/>
        </w:rPr>
        <w:t>”</w:t>
      </w:r>
      <w:r>
        <w:rPr>
          <w:rFonts w:ascii="Arial" w:eastAsia="Times New Roman" w:hAnsi="Arial" w:cs="Arial"/>
          <w:lang w:eastAsia="es-ES_tradnl"/>
        </w:rPr>
        <w:t xml:space="preserve">. Pudiera entenderse que </w:t>
      </w:r>
      <w:r w:rsidRPr="00C046D8">
        <w:rPr>
          <w:rFonts w:ascii="Arial" w:eastAsia="Times New Roman" w:hAnsi="Arial" w:cs="Arial"/>
          <w:lang w:eastAsia="es-ES_tradnl"/>
        </w:rPr>
        <w:t xml:space="preserve">alude a los negocios jurídicos descritos en el primer inciso, es decir, aquellos a través de los cuales una </w:t>
      </w:r>
      <w:r>
        <w:rPr>
          <w:rFonts w:ascii="Arial" w:eastAsia="Times New Roman" w:hAnsi="Arial" w:cs="Arial"/>
          <w:lang w:eastAsia="es-ES_tradnl"/>
        </w:rPr>
        <w:t>Entidad Estatal</w:t>
      </w:r>
      <w:r w:rsidRPr="00C046D8">
        <w:rPr>
          <w:rFonts w:ascii="Arial" w:eastAsia="Times New Roman" w:hAnsi="Arial" w:cs="Arial"/>
          <w:lang w:eastAsia="es-ES_tradnl"/>
        </w:rPr>
        <w:t xml:space="preserve"> sometida al EGCAP contrata </w:t>
      </w:r>
      <w:r>
        <w:rPr>
          <w:rFonts w:ascii="Arial" w:eastAsia="Times New Roman" w:hAnsi="Arial" w:cs="Arial"/>
          <w:lang w:eastAsia="es-ES_tradnl"/>
        </w:rPr>
        <w:t>o coopera</w:t>
      </w:r>
      <w:r w:rsidRPr="00C046D8">
        <w:rPr>
          <w:rFonts w:ascii="Arial" w:eastAsia="Times New Roman" w:hAnsi="Arial" w:cs="Arial"/>
          <w:lang w:eastAsia="es-ES_tradnl"/>
        </w:rPr>
        <w:t xml:space="preserve"> </w:t>
      </w:r>
      <w:r>
        <w:rPr>
          <w:rFonts w:ascii="Arial" w:eastAsia="Times New Roman" w:hAnsi="Arial" w:cs="Arial"/>
          <w:lang w:eastAsia="es-ES_tradnl"/>
        </w:rPr>
        <w:t>con</w:t>
      </w:r>
      <w:r w:rsidRPr="00C046D8">
        <w:rPr>
          <w:rFonts w:ascii="Arial" w:eastAsia="Times New Roman" w:hAnsi="Arial" w:cs="Arial"/>
          <w:lang w:eastAsia="es-ES_tradnl"/>
        </w:rPr>
        <w:t xml:space="preserve"> un sujeto de derecho privado –entidad exceptuada, patrimonio autónomo o persona natural o jurídica de derecho privado– </w:t>
      </w:r>
      <w:r>
        <w:rPr>
          <w:rFonts w:ascii="Arial" w:eastAsia="Times New Roman" w:hAnsi="Arial" w:cs="Arial"/>
          <w:lang w:eastAsia="es-ES_tradnl"/>
        </w:rPr>
        <w:t>en un objeto del que se desprende</w:t>
      </w:r>
      <w:r w:rsidRPr="00C046D8">
        <w:rPr>
          <w:rFonts w:ascii="Arial" w:eastAsia="Times New Roman" w:hAnsi="Arial" w:cs="Arial"/>
          <w:lang w:eastAsia="es-ES_tradnl"/>
        </w:rPr>
        <w:t xml:space="preserve"> </w:t>
      </w:r>
      <w:r>
        <w:rPr>
          <w:rFonts w:ascii="Arial" w:eastAsia="Times New Roman" w:hAnsi="Arial" w:cs="Arial"/>
          <w:lang w:eastAsia="es-ES_tradnl"/>
        </w:rPr>
        <w:t>el</w:t>
      </w:r>
      <w:r w:rsidRPr="00C046D8">
        <w:rPr>
          <w:rFonts w:ascii="Arial" w:eastAsia="Times New Roman" w:hAnsi="Arial" w:cs="Arial"/>
          <w:lang w:eastAsia="es-ES_tradnl"/>
        </w:rPr>
        <w:t xml:space="preserve"> suministr</w:t>
      </w:r>
      <w:r>
        <w:rPr>
          <w:rFonts w:ascii="Arial" w:eastAsia="Times New Roman" w:hAnsi="Arial" w:cs="Arial"/>
          <w:lang w:eastAsia="es-ES_tradnl"/>
        </w:rPr>
        <w:t>o de</w:t>
      </w:r>
      <w:r w:rsidRPr="00C046D8">
        <w:rPr>
          <w:rFonts w:ascii="Arial" w:eastAsia="Times New Roman" w:hAnsi="Arial" w:cs="Arial"/>
          <w:lang w:eastAsia="es-ES_tradnl"/>
        </w:rPr>
        <w:t xml:space="preserve"> un bien, obra o servicio cobijada por un documento tipo. </w:t>
      </w:r>
      <w:r>
        <w:rPr>
          <w:rFonts w:ascii="Arial" w:eastAsia="Times New Roman" w:hAnsi="Arial" w:cs="Arial"/>
          <w:lang w:eastAsia="es-ES_tradnl"/>
        </w:rPr>
        <w:t xml:space="preserve"> </w:t>
      </w:r>
      <w:r w:rsidRPr="00C046D8">
        <w:rPr>
          <w:rFonts w:ascii="Arial" w:eastAsia="Times New Roman" w:hAnsi="Arial" w:cs="Arial"/>
          <w:lang w:eastAsia="es-ES_tradnl"/>
        </w:rPr>
        <w:t xml:space="preserve">En ese sentido, la norma parte de la base de que para </w:t>
      </w:r>
      <w:r w:rsidRPr="00C046D8">
        <w:rPr>
          <w:rFonts w:ascii="Arial" w:eastAsia="Times New Roman" w:hAnsi="Arial" w:cs="Arial"/>
          <w:i/>
          <w:iCs/>
          <w:lang w:eastAsia="es-ES_tradnl"/>
        </w:rPr>
        <w:t>desarrollar</w:t>
      </w:r>
      <w:r w:rsidRPr="00C046D8">
        <w:rPr>
          <w:rFonts w:ascii="Arial" w:eastAsia="Times New Roman" w:hAnsi="Arial" w:cs="Arial"/>
          <w:lang w:eastAsia="es-ES_tradnl"/>
        </w:rPr>
        <w:t xml:space="preserve"> tales negocios jurídicos la </w:t>
      </w:r>
      <w:r>
        <w:rPr>
          <w:rFonts w:ascii="Arial" w:eastAsia="Times New Roman" w:hAnsi="Arial" w:cs="Arial"/>
          <w:lang w:eastAsia="es-ES_tradnl"/>
        </w:rPr>
        <w:t>Entidad Estatal</w:t>
      </w:r>
      <w:r w:rsidRPr="00C046D8">
        <w:rPr>
          <w:rFonts w:ascii="Arial" w:eastAsia="Times New Roman" w:hAnsi="Arial" w:cs="Arial"/>
          <w:lang w:eastAsia="es-ES_tradnl"/>
        </w:rPr>
        <w:t xml:space="preserve"> sometida necesariamente debe adelantar un procedimiento de selección y suscribir un contrato elevado a escrito, lo que </w:t>
      </w:r>
      <w:r>
        <w:rPr>
          <w:rFonts w:ascii="Arial" w:eastAsia="Times New Roman" w:hAnsi="Arial" w:cs="Arial"/>
          <w:lang w:eastAsia="es-ES_tradnl"/>
        </w:rPr>
        <w:t>–</w:t>
      </w:r>
      <w:r w:rsidRPr="00C046D8">
        <w:rPr>
          <w:rFonts w:ascii="Arial" w:eastAsia="Times New Roman" w:hAnsi="Arial" w:cs="Arial"/>
          <w:lang w:eastAsia="es-ES_tradnl"/>
        </w:rPr>
        <w:t>en atención al artículo 56</w:t>
      </w:r>
      <w:r>
        <w:rPr>
          <w:rFonts w:ascii="Arial" w:eastAsia="Times New Roman" w:hAnsi="Arial" w:cs="Arial"/>
          <w:lang w:eastAsia="es-ES_tradnl"/>
        </w:rPr>
        <w:t>–</w:t>
      </w:r>
      <w:r w:rsidRPr="00C046D8">
        <w:rPr>
          <w:rFonts w:ascii="Arial" w:eastAsia="Times New Roman" w:hAnsi="Arial" w:cs="Arial"/>
          <w:lang w:eastAsia="es-ES_tradnl"/>
        </w:rPr>
        <w:t xml:space="preserve"> deberá hacer</w:t>
      </w:r>
      <w:r>
        <w:rPr>
          <w:rFonts w:ascii="Arial" w:eastAsia="Times New Roman" w:hAnsi="Arial" w:cs="Arial"/>
          <w:lang w:eastAsia="es-ES_tradnl"/>
        </w:rPr>
        <w:t>lo</w:t>
      </w:r>
      <w:r w:rsidRPr="00C046D8">
        <w:rPr>
          <w:rFonts w:ascii="Arial" w:eastAsia="Times New Roman" w:hAnsi="Arial" w:cs="Arial"/>
          <w:lang w:eastAsia="es-ES_tradnl"/>
        </w:rPr>
        <w:t xml:space="preserve"> aplicando documentos tipo y con sujeción al EGCAP. </w:t>
      </w:r>
    </w:p>
    <w:p w14:paraId="65CEEDEF" w14:textId="77777777" w:rsidR="008410D2" w:rsidRDefault="008410D2" w:rsidP="001A5552">
      <w:pPr>
        <w:tabs>
          <w:tab w:val="left" w:pos="0"/>
        </w:tabs>
        <w:spacing w:after="120" w:line="276" w:lineRule="auto"/>
        <w:jc w:val="both"/>
        <w:rPr>
          <w:rFonts w:ascii="Arial" w:eastAsia="Calibri" w:hAnsi="Arial" w:cs="Arial"/>
          <w:bCs/>
          <w:lang w:val="es-ES_tradnl" w:eastAsia="es-ES_tradnl"/>
        </w:rPr>
      </w:pPr>
      <w:r>
        <w:rPr>
          <w:rFonts w:ascii="Arial" w:eastAsia="Calibri" w:hAnsi="Arial" w:cs="Arial"/>
          <w:bCs/>
          <w:lang w:val="es-ES_tradnl" w:eastAsia="es-ES_tradnl"/>
        </w:rPr>
        <w:tab/>
      </w:r>
      <w:r w:rsidRPr="00C046D8">
        <w:rPr>
          <w:rFonts w:ascii="Arial" w:eastAsia="Calibri" w:hAnsi="Arial" w:cs="Arial"/>
          <w:bCs/>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w:t>
      </w:r>
      <w:r>
        <w:rPr>
          <w:rFonts w:ascii="Arial" w:eastAsia="Calibri" w:hAnsi="Arial" w:cs="Arial"/>
          <w:bCs/>
          <w:lang w:val="es-ES_tradnl" w:eastAsia="es-ES_tradnl"/>
        </w:rPr>
        <w:t>s</w:t>
      </w:r>
      <w:r w:rsidRPr="00C046D8">
        <w:rPr>
          <w:rFonts w:ascii="Arial" w:eastAsia="Calibri" w:hAnsi="Arial" w:cs="Arial"/>
          <w:bCs/>
          <w:lang w:val="es-ES_tradnl" w:eastAsia="es-ES_tradnl"/>
        </w:rPr>
        <w:t xml:space="preserve"> por el derecho privado, los cuales, generalmente, se perfeccionan con el acuerdo de voluntades, salvo que la ley exija alguna solemnidad adicional</w:t>
      </w:r>
      <w:bookmarkStart w:id="19" w:name="_Hlk113023433"/>
      <w:bookmarkEnd w:id="18"/>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 xml:space="preserve">De esto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19"/>
    </w:p>
    <w:p w14:paraId="4E8ADF3C" w14:textId="77777777" w:rsidR="008410D2" w:rsidRPr="00E31EA8" w:rsidRDefault="008410D2" w:rsidP="008410D2">
      <w:pPr>
        <w:tabs>
          <w:tab w:val="left" w:pos="0"/>
        </w:tabs>
        <w:spacing w:after="0" w:line="276" w:lineRule="auto"/>
        <w:jc w:val="both"/>
        <w:rPr>
          <w:rFonts w:ascii="Arial" w:eastAsia="Calibri" w:hAnsi="Arial" w:cs="Arial"/>
          <w:lang w:val="es-ES_tradnl" w:eastAsia="es-ES_tradnl"/>
        </w:rPr>
      </w:pPr>
      <w:r>
        <w:rPr>
          <w:rFonts w:ascii="Arial" w:eastAsia="Calibri" w:hAnsi="Arial" w:cs="Arial"/>
          <w:bCs/>
          <w:lang w:val="es-ES_tradnl" w:eastAsia="es-ES_tradnl"/>
        </w:rPr>
        <w:tab/>
      </w:r>
      <w:r w:rsidRPr="00C046D8">
        <w:rPr>
          <w:rFonts w:ascii="Arial" w:eastAsia="Calibri" w:hAnsi="Arial" w:cs="Arial"/>
          <w:bCs/>
          <w:lang w:val="es-ES_tradnl" w:eastAsia="es-ES_tradnl"/>
        </w:rPr>
        <w:t>Por tanto, el hecho de que la norma est</w:t>
      </w:r>
      <w:r>
        <w:rPr>
          <w:rFonts w:ascii="Arial" w:eastAsia="Calibri" w:hAnsi="Arial" w:cs="Arial"/>
          <w:bCs/>
          <w:lang w:val="es-ES_tradnl" w:eastAsia="es-ES_tradnl"/>
        </w:rPr>
        <w:t>é</w:t>
      </w:r>
      <w:r w:rsidRPr="00C046D8">
        <w:rPr>
          <w:rFonts w:ascii="Arial" w:eastAsia="Calibri" w:hAnsi="Arial" w:cs="Arial"/>
          <w:bCs/>
          <w:lang w:val="es-ES_tradnl" w:eastAsia="es-ES_tradnl"/>
        </w:rPr>
        <w:t xml:space="preserve"> dirigida a las entidades sometidas al EGCAP, </w:t>
      </w:r>
      <w:r>
        <w:rPr>
          <w:rFonts w:ascii="Arial" w:eastAsia="Calibri" w:hAnsi="Arial" w:cs="Arial"/>
          <w:bCs/>
          <w:lang w:val="es-ES_tradnl" w:eastAsia="es-ES_tradnl"/>
        </w:rPr>
        <w:t xml:space="preserve">,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w:t>
      </w:r>
      <w:r w:rsidRPr="00C046D8">
        <w:rPr>
          <w:rFonts w:ascii="Arial" w:eastAsia="Calibri" w:hAnsi="Arial" w:cs="Arial"/>
          <w:bCs/>
          <w:lang w:val="es-ES_tradnl" w:eastAsia="es-ES_tradnl"/>
        </w:rPr>
        <w:t>al parágrafo 7 del artículo 2 de la Ley 1150 de 2007, modificado por la Ley 2022 de 2020</w:t>
      </w:r>
      <w:r>
        <w:rPr>
          <w:rFonts w:ascii="Arial" w:eastAsia="Calibri" w:hAnsi="Arial" w:cs="Arial"/>
          <w:bCs/>
          <w:lang w:val="es-ES_tradnl" w:eastAsia="es-ES_tradnl"/>
        </w:rPr>
        <w:t xml:space="preserve">. </w:t>
      </w:r>
    </w:p>
    <w:p w14:paraId="40A2F2D7" w14:textId="77777777" w:rsidR="008410D2" w:rsidRPr="00C046D8" w:rsidRDefault="008410D2" w:rsidP="008410D2">
      <w:pPr>
        <w:tabs>
          <w:tab w:val="left" w:pos="0"/>
        </w:tabs>
        <w:spacing w:after="0" w:line="276" w:lineRule="auto"/>
        <w:jc w:val="both"/>
        <w:rPr>
          <w:rFonts w:ascii="Arial" w:eastAsia="Calibri" w:hAnsi="Arial" w:cs="Arial"/>
          <w:bCs/>
          <w:lang w:val="es-ES_tradnl" w:eastAsia="es-ES_tradnl"/>
        </w:rPr>
      </w:pPr>
    </w:p>
    <w:p w14:paraId="464AE71D" w14:textId="77777777" w:rsidR="008410D2" w:rsidRPr="00C046D8" w:rsidRDefault="008410D2" w:rsidP="008410D2">
      <w:pPr>
        <w:spacing w:after="0" w:line="276" w:lineRule="auto"/>
        <w:jc w:val="both"/>
        <w:rPr>
          <w:rFonts w:ascii="Arial" w:eastAsia="Calibri" w:hAnsi="Arial" w:cs="Arial"/>
          <w:lang w:val="es-ES" w:eastAsia="es-ES"/>
        </w:rPr>
      </w:pPr>
      <w:bookmarkStart w:id="20" w:name="_Hlk109963871"/>
      <w:r w:rsidRPr="293D6149">
        <w:rPr>
          <w:rFonts w:ascii="Arial" w:eastAsia="Calibri" w:hAnsi="Arial" w:cs="Arial"/>
          <w:b/>
          <w:lang w:val="es-ES" w:eastAsia="es-ES"/>
        </w:rPr>
        <w:t>2.</w:t>
      </w:r>
      <w:r>
        <w:rPr>
          <w:rFonts w:ascii="Arial" w:eastAsia="Calibri" w:hAnsi="Arial" w:cs="Arial"/>
          <w:b/>
          <w:lang w:val="es-ES" w:eastAsia="es-ES"/>
        </w:rPr>
        <w:t>4</w:t>
      </w:r>
      <w:r w:rsidRPr="293D6149">
        <w:rPr>
          <w:rFonts w:ascii="Arial" w:eastAsia="Calibri" w:hAnsi="Arial" w:cs="Arial"/>
          <w:b/>
          <w:lang w:val="es-ES" w:eastAsia="es-ES"/>
        </w:rPr>
        <w:t>.</w:t>
      </w:r>
      <w:r w:rsidRPr="293D6149">
        <w:rPr>
          <w:rFonts w:ascii="Arial" w:eastAsia="Calibri" w:hAnsi="Arial" w:cs="Arial"/>
          <w:b/>
          <w:i/>
          <w:lang w:val="es-ES" w:eastAsia="es-ES"/>
        </w:rPr>
        <w:t xml:space="preserve"> </w:t>
      </w:r>
      <w:r w:rsidRPr="293D6149">
        <w:rPr>
          <w:rFonts w:ascii="Arial" w:eastAsia="Calibri" w:hAnsi="Arial" w:cs="Arial"/>
          <w:b/>
          <w:lang w:val="es-ES" w:eastAsia="es-ES"/>
        </w:rPr>
        <w:t xml:space="preserve">Aplicación prevalente del Estatuto General de Contratación de la Administración Pública en los contratos celebrados con entidades exceptuadas. Aparente tensión con el literal c) del artículo 2, numeral 4, de la Ley 1150 de 2007 </w:t>
      </w:r>
    </w:p>
    <w:p w14:paraId="4291288A" w14:textId="77777777" w:rsidR="008410D2" w:rsidRPr="00C046D8" w:rsidRDefault="008410D2" w:rsidP="008410D2">
      <w:pPr>
        <w:tabs>
          <w:tab w:val="left" w:pos="0"/>
        </w:tabs>
        <w:spacing w:after="0" w:line="276" w:lineRule="auto"/>
        <w:contextualSpacing/>
        <w:jc w:val="both"/>
        <w:rPr>
          <w:rFonts w:ascii="Arial" w:eastAsia="Calibri" w:hAnsi="Arial" w:cs="Arial"/>
          <w:bCs/>
          <w:szCs w:val="24"/>
          <w:lang w:val="es-ES_tradnl" w:eastAsia="es-ES_tradnl"/>
        </w:rPr>
      </w:pPr>
    </w:p>
    <w:p w14:paraId="55CD0A47" w14:textId="77777777" w:rsidR="008410D2" w:rsidRPr="00C046D8" w:rsidRDefault="008410D2" w:rsidP="008410D2">
      <w:pPr>
        <w:tabs>
          <w:tab w:val="left" w:pos="0"/>
        </w:tabs>
        <w:spacing w:after="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 numeral 4 de la Ley 1150 de 2007 daba pie a la aplicación de normas de derecho privado, lo que evidencia una </w:t>
      </w:r>
      <w:r>
        <w:rPr>
          <w:rFonts w:ascii="Arial" w:eastAsia="Calibri" w:hAnsi="Arial" w:cs="Arial"/>
          <w:bCs/>
          <w:lang w:val="es-ES_tradnl" w:eastAsia="es-ES_tradnl"/>
        </w:rPr>
        <w:t xml:space="preserve">supuesta o </w:t>
      </w:r>
      <w:r w:rsidRPr="00C046D8">
        <w:rPr>
          <w:rFonts w:ascii="Arial" w:eastAsia="Calibri" w:hAnsi="Arial" w:cs="Arial"/>
          <w:bCs/>
          <w:lang w:val="es-ES_tradnl" w:eastAsia="es-ES_tradnl"/>
        </w:rPr>
        <w:t xml:space="preserve">aparente tensión entre este y el artículo 56 de la Ley 2195 de 2022, en lo que se refiere al régimen aplicable en estas situaciones, comoquiera que, en estos eventos, al tenor de </w:t>
      </w:r>
      <w:r>
        <w:rPr>
          <w:rFonts w:ascii="Arial" w:eastAsia="Calibri" w:hAnsi="Arial" w:cs="Arial"/>
          <w:bCs/>
          <w:lang w:val="es-ES_tradnl" w:eastAsia="es-ES_tradnl"/>
        </w:rPr>
        <w:t xml:space="preserve">criterios interpretativos aplicadas a </w:t>
      </w:r>
      <w:r w:rsidRPr="00C046D8">
        <w:rPr>
          <w:rFonts w:ascii="Arial" w:eastAsia="Calibri" w:hAnsi="Arial" w:cs="Arial"/>
          <w:bCs/>
          <w:lang w:val="es-ES_tradnl" w:eastAsia="es-ES_tradnl"/>
        </w:rPr>
        <w:t xml:space="preserve">lo dispuesto en esta última norma, </w:t>
      </w:r>
      <w:r>
        <w:rPr>
          <w:rFonts w:ascii="Arial" w:eastAsia="Calibri" w:hAnsi="Arial" w:cs="Arial"/>
          <w:bCs/>
          <w:lang w:val="es-ES_tradnl" w:eastAsia="es-ES_tradnl"/>
        </w:rPr>
        <w:t xml:space="preserve">se entendía que </w:t>
      </w:r>
      <w:r w:rsidRPr="00C046D8">
        <w:rPr>
          <w:rFonts w:ascii="Arial" w:eastAsia="Calibri" w:hAnsi="Arial" w:cs="Arial"/>
          <w:bCs/>
          <w:lang w:val="es-ES_tradnl" w:eastAsia="es-ES_tradnl"/>
        </w:rPr>
        <w:t>deb</w:t>
      </w:r>
      <w:r>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 aplicarse el EGCAP y los documentos tipo. </w:t>
      </w:r>
    </w:p>
    <w:p w14:paraId="36101EF5" w14:textId="77777777" w:rsidR="008410D2" w:rsidRPr="00C046D8"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Lo anterior supon</w:t>
      </w:r>
      <w:r>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w:t>
      </w:r>
      <w:r>
        <w:rPr>
          <w:rFonts w:ascii="Arial" w:eastAsia="Calibri" w:hAnsi="Arial" w:cs="Arial"/>
          <w:bCs/>
          <w:lang w:val="es-ES_tradnl" w:eastAsia="es-ES_tradnl"/>
        </w:rPr>
        <w:t>ía</w:t>
      </w:r>
      <w:r w:rsidRPr="00C046D8">
        <w:rPr>
          <w:rFonts w:ascii="Arial" w:eastAsia="Calibri" w:hAnsi="Arial" w:cs="Arial"/>
          <w:bCs/>
          <w:lang w:val="es-ES_tradnl" w:eastAsia="es-ES_tradnl"/>
        </w:rPr>
        <w:t xml:space="preserve">n diferentes consecuencias jurídicas, ya que mientras que la primera norma dispone la aplicación del derecho privado, la última impone la aplicación de documentos tipo y del EGCAP. Esta aparente contradicción, </w:t>
      </w:r>
      <w:r>
        <w:rPr>
          <w:rFonts w:ascii="Arial" w:eastAsia="Calibri" w:hAnsi="Arial" w:cs="Arial"/>
          <w:bCs/>
          <w:lang w:val="es-ES_tradnl" w:eastAsia="es-ES_tradnl"/>
        </w:rPr>
        <w:t>como se expuso en el numeral anterior,</w:t>
      </w:r>
      <w:r w:rsidRPr="00C046D8">
        <w:rPr>
          <w:rFonts w:ascii="Arial" w:eastAsia="Calibri" w:hAnsi="Arial" w:cs="Arial"/>
          <w:bCs/>
          <w:lang w:val="es-ES_tradnl" w:eastAsia="es-ES_tradnl"/>
        </w:rPr>
        <w:t xml:space="preserve"> debe ser resuelta en favor del artículo 56 de la Ley 2195 de 2022</w:t>
      </w:r>
      <w:r>
        <w:rPr>
          <w:rFonts w:ascii="Arial" w:eastAsia="Calibri" w:hAnsi="Arial" w:cs="Arial"/>
          <w:bCs/>
          <w:lang w:val="es-ES_tradnl" w:eastAsia="es-ES_tradnl"/>
        </w:rPr>
        <w:t>.</w:t>
      </w:r>
    </w:p>
    <w:p w14:paraId="23807CB0" w14:textId="77777777" w:rsidR="008410D2" w:rsidRPr="00C046D8"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133C440E" w14:textId="77777777" w:rsidR="008410D2" w:rsidRPr="00C046D8"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0A0B97F1" w14:textId="5B7D73CC" w:rsidR="008410D2" w:rsidRPr="00C046D8" w:rsidRDefault="008410D2" w:rsidP="008410D2">
      <w:pPr>
        <w:tabs>
          <w:tab w:val="left" w:pos="0"/>
        </w:tabs>
        <w:spacing w:after="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t xml:space="preserve">Conforme a lo explicado en el acápite anterior, </w:t>
      </w:r>
      <w:bookmarkStart w:id="21" w:name="_Hlk113023497"/>
      <w:r w:rsidRPr="00C046D8">
        <w:rPr>
          <w:rFonts w:ascii="Arial" w:eastAsia="Calibri" w:hAnsi="Arial" w:cs="Arial"/>
          <w:bCs/>
          <w:lang w:val="es-ES_tradnl" w:eastAsia="es-ES_tradnl"/>
        </w:rPr>
        <w:t>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w:t>
      </w:r>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en los casos en los que el objeto contractual que se pretende contratar esté sometido a algún documento tipo</w:t>
      </w:r>
      <w:r>
        <w:rPr>
          <w:rFonts w:ascii="Arial" w:eastAsia="Calibri" w:hAnsi="Arial" w:cs="Arial"/>
          <w:bCs/>
          <w:lang w:val="es-ES_tradnl" w:eastAsia="es-ES_tradnl"/>
        </w:rPr>
        <w:t xml:space="preserve">, esto </w:t>
      </w:r>
      <w:r w:rsidRPr="00C046D8">
        <w:rPr>
          <w:rFonts w:ascii="Arial" w:eastAsia="Times New Roman" w:hAnsi="Arial" w:cs="Arial"/>
          <w:lang w:eastAsia="es-ES_tradnl"/>
        </w:rPr>
        <w:t>implica que si las entidades estatales exceptuadas</w:t>
      </w:r>
      <w:r>
        <w:rPr>
          <w:rFonts w:ascii="Arial" w:eastAsia="Times New Roman" w:hAnsi="Arial" w:cs="Arial"/>
          <w:lang w:eastAsia="es-ES_tradnl"/>
        </w:rPr>
        <w:t xml:space="preserve"> </w:t>
      </w:r>
      <w:r w:rsidRPr="00C046D8">
        <w:rPr>
          <w:rFonts w:ascii="Arial" w:eastAsia="Times New Roman" w:hAnsi="Arial" w:cs="Arial"/>
          <w:lang w:eastAsia="es-ES_tradnl"/>
        </w:rPr>
        <w:t>pretenden ser adjudicatarias de estos contratos, deben someterse a un proceso de selección en el que se apliquen documentos tipo expedidos por esta Agencia</w:t>
      </w:r>
      <w:r>
        <w:rPr>
          <w:rFonts w:ascii="Arial" w:eastAsia="Times New Roman" w:hAnsi="Arial" w:cs="Arial"/>
          <w:lang w:eastAsia="es-ES_tradnl"/>
        </w:rPr>
        <w:t xml:space="preserve"> a cargo de la </w:t>
      </w:r>
      <w:r>
        <w:rPr>
          <w:rFonts w:ascii="Arial" w:eastAsia="Calibri" w:hAnsi="Arial" w:cs="Arial"/>
          <w:bCs/>
          <w:lang w:val="es-ES_tradnl" w:eastAsia="es-ES_tradnl"/>
        </w:rPr>
        <w:t xml:space="preserve">entidad sometida al </w:t>
      </w:r>
      <w:proofErr w:type="spellStart"/>
      <w:r>
        <w:rPr>
          <w:rFonts w:ascii="Arial" w:eastAsia="Calibri" w:hAnsi="Arial" w:cs="Arial"/>
          <w:bCs/>
          <w:lang w:val="es-ES_tradnl" w:eastAsia="es-ES_tradnl"/>
        </w:rPr>
        <w:t>EGCAP</w:t>
      </w:r>
      <w:proofErr w:type="spellEnd"/>
      <w:r w:rsidR="00023ACA">
        <w:rPr>
          <w:rFonts w:ascii="Arial" w:eastAsia="Calibri" w:hAnsi="Arial" w:cs="Arial"/>
          <w:bCs/>
          <w:lang w:val="es-ES_tradnl" w:eastAsia="es-ES_tradnl"/>
        </w:rPr>
        <w:t>.</w:t>
      </w:r>
    </w:p>
    <w:bookmarkEnd w:id="21"/>
    <w:p w14:paraId="79D0BDA2" w14:textId="77777777" w:rsidR="008410D2" w:rsidRDefault="008410D2" w:rsidP="008410D2">
      <w:pPr>
        <w:tabs>
          <w:tab w:val="left" w:pos="0"/>
        </w:tabs>
        <w:spacing w:after="0" w:line="276" w:lineRule="auto"/>
        <w:jc w:val="both"/>
        <w:rPr>
          <w:rFonts w:ascii="Arial" w:eastAsia="Times New Roman" w:hAnsi="Arial" w:cs="Arial"/>
          <w:lang w:eastAsia="es-ES_tradnl"/>
        </w:rPr>
      </w:pPr>
      <w:r w:rsidRPr="00C046D8">
        <w:rPr>
          <w:rFonts w:ascii="Arial" w:eastAsia="Times New Roman" w:hAnsi="Arial" w:cs="Arial"/>
          <w:lang w:eastAsia="es-ES_tradnl"/>
        </w:rPr>
        <w:tab/>
      </w:r>
      <w:bookmarkEnd w:id="20"/>
    </w:p>
    <w:p w14:paraId="5807DBD2" w14:textId="77777777" w:rsidR="008410D2" w:rsidRPr="00E31EA8" w:rsidRDefault="008410D2" w:rsidP="008410D2">
      <w:pPr>
        <w:tabs>
          <w:tab w:val="left" w:pos="0"/>
        </w:tabs>
        <w:spacing w:after="0" w:line="276" w:lineRule="auto"/>
        <w:jc w:val="both"/>
        <w:rPr>
          <w:rFonts w:ascii="Arial" w:eastAsia="Times New Roman" w:hAnsi="Arial" w:cs="Arial"/>
          <w:b/>
          <w:bCs/>
          <w:lang w:eastAsia="es-ES_tradnl"/>
        </w:rPr>
      </w:pPr>
      <w:r w:rsidRPr="00E31EA8">
        <w:rPr>
          <w:rFonts w:ascii="Arial" w:eastAsia="Times New Roman" w:hAnsi="Arial" w:cs="Arial"/>
          <w:b/>
          <w:bCs/>
          <w:lang w:eastAsia="es-ES_tradnl"/>
        </w:rPr>
        <w:t>2.</w:t>
      </w:r>
      <w:r>
        <w:rPr>
          <w:rFonts w:ascii="Arial" w:eastAsia="Times New Roman" w:hAnsi="Arial" w:cs="Arial"/>
          <w:b/>
          <w:bCs/>
          <w:lang w:eastAsia="es-ES_tradnl"/>
        </w:rPr>
        <w:t>5</w:t>
      </w:r>
      <w:r w:rsidRPr="00E31EA8">
        <w:rPr>
          <w:rFonts w:ascii="Arial" w:eastAsia="Times New Roman" w:hAnsi="Arial" w:cs="Arial"/>
          <w:b/>
          <w:bCs/>
          <w:lang w:eastAsia="es-ES_tradnl"/>
        </w:rPr>
        <w:t xml:space="preserve">. Excepciones a la aplicación del artículo 56 de la Ley 2195 de 2022. Alcance de la expresión </w:t>
      </w:r>
      <w:r w:rsidRPr="00E31EA8">
        <w:rPr>
          <w:rFonts w:ascii="Arial" w:eastAsia="Times New Roman" w:hAnsi="Arial" w:cs="Arial"/>
          <w:b/>
          <w:bCs/>
          <w:i/>
          <w:iCs/>
          <w:lang w:eastAsia="es-ES_tradnl"/>
        </w:rPr>
        <w:t>“giro ordinario”</w:t>
      </w:r>
      <w:r w:rsidRPr="00E31EA8">
        <w:rPr>
          <w:rFonts w:ascii="Arial" w:eastAsia="Times New Roman" w:hAnsi="Arial" w:cs="Arial"/>
          <w:b/>
          <w:bCs/>
          <w:lang w:eastAsia="es-ES_tradnl"/>
        </w:rPr>
        <w:t xml:space="preserve"> </w:t>
      </w:r>
      <w:r>
        <w:rPr>
          <w:rFonts w:ascii="Arial" w:eastAsia="Times New Roman" w:hAnsi="Arial" w:cs="Arial"/>
          <w:b/>
          <w:bCs/>
          <w:lang w:eastAsia="es-ES_tradnl"/>
        </w:rPr>
        <w:t xml:space="preserve">contenida </w:t>
      </w:r>
      <w:r w:rsidRPr="00E31EA8">
        <w:rPr>
          <w:rFonts w:ascii="Arial" w:eastAsia="Times New Roman" w:hAnsi="Arial" w:cs="Arial"/>
          <w:b/>
          <w:bCs/>
          <w:lang w:eastAsia="es-ES_tradnl"/>
        </w:rPr>
        <w:t xml:space="preserve">en el </w:t>
      </w:r>
      <w:r>
        <w:rPr>
          <w:rFonts w:ascii="Arial" w:eastAsia="Times New Roman" w:hAnsi="Arial" w:cs="Arial"/>
          <w:b/>
          <w:bCs/>
          <w:lang w:eastAsia="es-ES_tradnl"/>
        </w:rPr>
        <w:t>parágrafo</w:t>
      </w:r>
      <w:r w:rsidRPr="00E31EA8">
        <w:rPr>
          <w:rFonts w:ascii="Arial" w:eastAsia="Times New Roman" w:hAnsi="Arial" w:cs="Arial"/>
          <w:b/>
          <w:bCs/>
          <w:lang w:eastAsia="es-ES_tradnl"/>
        </w:rPr>
        <w:t xml:space="preserve"> de la norma</w:t>
      </w:r>
      <w:r>
        <w:rPr>
          <w:rFonts w:ascii="Arial" w:eastAsia="Times New Roman" w:hAnsi="Arial" w:cs="Arial"/>
          <w:b/>
          <w:bCs/>
          <w:lang w:eastAsia="es-ES_tradnl"/>
        </w:rPr>
        <w:t>. Especial referencia a las empresas de servicios públicos</w:t>
      </w:r>
    </w:p>
    <w:p w14:paraId="4088FDC0" w14:textId="77777777" w:rsidR="008410D2" w:rsidRDefault="008410D2" w:rsidP="008410D2">
      <w:pPr>
        <w:tabs>
          <w:tab w:val="left" w:pos="0"/>
        </w:tabs>
        <w:spacing w:after="0" w:line="276" w:lineRule="auto"/>
        <w:jc w:val="both"/>
        <w:rPr>
          <w:rFonts w:ascii="Arial" w:eastAsia="Times New Roman" w:hAnsi="Arial" w:cs="Arial"/>
          <w:lang w:eastAsia="es-ES_tradnl"/>
        </w:rPr>
      </w:pPr>
    </w:p>
    <w:p w14:paraId="627B8F42" w14:textId="77777777" w:rsidR="008410D2" w:rsidRDefault="008410D2" w:rsidP="001A5552">
      <w:pPr>
        <w:tabs>
          <w:tab w:val="left" w:pos="0"/>
        </w:tabs>
        <w:spacing w:after="120" w:line="276" w:lineRule="auto"/>
        <w:jc w:val="both"/>
        <w:rPr>
          <w:rFonts w:ascii="Arial" w:eastAsia="Calibri" w:hAnsi="Arial" w:cs="Arial"/>
          <w:bCs/>
          <w:lang w:val="es-ES_tradnl" w:eastAsia="es-ES_tradnl"/>
        </w:rPr>
      </w:pPr>
      <w:r>
        <w:rPr>
          <w:rFonts w:ascii="Arial" w:eastAsia="Times New Roman" w:hAnsi="Arial" w:cs="Arial"/>
          <w:lang w:eastAsia="es-ES_tradnl"/>
        </w:rPr>
        <w:t>De otra parte,</w:t>
      </w:r>
      <w:bookmarkStart w:id="22" w:name="_Hlk113023556"/>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es necesario precisar el alcance de</w:t>
      </w:r>
      <w:r>
        <w:rPr>
          <w:rFonts w:ascii="Arial" w:eastAsia="Calibri" w:hAnsi="Arial" w:cs="Arial"/>
          <w:bCs/>
          <w:lang w:val="es-ES_tradnl" w:eastAsia="es-ES_tradnl"/>
        </w:rPr>
        <w:t>l parágrafo del artículo 56 de la Ley 2195 de 2022 y lo d</w:t>
      </w:r>
      <w:r w:rsidRPr="00C046D8">
        <w:rPr>
          <w:rFonts w:ascii="Arial" w:eastAsia="Calibri" w:hAnsi="Arial" w:cs="Arial"/>
          <w:bCs/>
          <w:lang w:val="es-ES_tradnl" w:eastAsia="es-ES_tradnl"/>
        </w:rPr>
        <w:t>ispuesto en los dos primeros incisos del mencionado artículo</w:t>
      </w:r>
      <w:r>
        <w:rPr>
          <w:rFonts w:ascii="Arial" w:eastAsia="Calibri" w:hAnsi="Arial" w:cs="Arial"/>
          <w:bCs/>
          <w:lang w:val="es-ES_tradnl" w:eastAsia="es-ES_tradnl"/>
        </w:rPr>
        <w:t xml:space="preserve">, del </w:t>
      </w:r>
      <w:r w:rsidRPr="00C046D8">
        <w:rPr>
          <w:rFonts w:ascii="Arial" w:eastAsia="Calibri" w:hAnsi="Arial" w:cs="Arial"/>
          <w:bCs/>
          <w:lang w:val="es-ES_tradnl" w:eastAsia="es-ES_tradnl"/>
        </w:rPr>
        <w:t xml:space="preserve">cual </w:t>
      </w:r>
      <w:r>
        <w:rPr>
          <w:rFonts w:ascii="Arial" w:eastAsia="Calibri" w:hAnsi="Arial" w:cs="Arial"/>
          <w:bCs/>
          <w:lang w:val="es-ES_tradnl" w:eastAsia="es-ES_tradnl"/>
        </w:rPr>
        <w:t xml:space="preserve">se </w:t>
      </w:r>
      <w:r w:rsidRPr="00C046D8">
        <w:rPr>
          <w:rFonts w:ascii="Arial" w:eastAsia="Calibri" w:hAnsi="Arial" w:cs="Arial"/>
          <w:bCs/>
          <w:lang w:val="es-ES_tradnl" w:eastAsia="es-ES_tradnl"/>
        </w:rPr>
        <w:t xml:space="preserve">excluye, a cierto tipo de entidades, en lo relacionado con la contratación de su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046D8">
        <w:rPr>
          <w:rFonts w:ascii="Arial" w:eastAsia="Calibri" w:hAnsi="Arial" w:cs="Arial"/>
          <w:bCs/>
          <w:lang w:val="es-ES_tradnl" w:eastAsia="es-ES_tradnl"/>
        </w:rPr>
        <w:t>ii</w:t>
      </w:r>
      <w:proofErr w:type="spellEnd"/>
      <w:r w:rsidRPr="00C046D8">
        <w:rPr>
          <w:rFonts w:ascii="Arial" w:eastAsia="Calibri" w:hAnsi="Arial" w:cs="Arial"/>
          <w:bCs/>
          <w:lang w:val="es-ES_tradnl" w:eastAsia="es-ES_tradnl"/>
        </w:rPr>
        <w:t xml:space="preserve">) las empresas sociales del Estado, </w:t>
      </w:r>
      <w:proofErr w:type="spellStart"/>
      <w:r w:rsidRPr="00C046D8">
        <w:rPr>
          <w:rFonts w:ascii="Arial" w:eastAsia="Calibri" w:hAnsi="Arial" w:cs="Arial"/>
          <w:bCs/>
          <w:lang w:val="es-ES_tradnl" w:eastAsia="es-ES_tradnl"/>
        </w:rPr>
        <w:t>iii</w:t>
      </w:r>
      <w:proofErr w:type="spellEnd"/>
      <w:r w:rsidRPr="00C046D8">
        <w:rPr>
          <w:rFonts w:ascii="Arial" w:eastAsia="Calibri" w:hAnsi="Arial" w:cs="Arial"/>
          <w:bCs/>
          <w:lang w:val="es-ES_tradnl" w:eastAsia="es-ES_tradnl"/>
        </w:rPr>
        <w:t xml:space="preserve">) las sociedades de economía mixta y </w:t>
      </w:r>
      <w:proofErr w:type="spellStart"/>
      <w:r w:rsidRPr="00C046D8">
        <w:rPr>
          <w:rFonts w:ascii="Arial" w:eastAsia="Calibri" w:hAnsi="Arial" w:cs="Arial"/>
          <w:bCs/>
          <w:lang w:val="es-ES_tradnl" w:eastAsia="es-ES_tradnl"/>
        </w:rPr>
        <w:t>iv</w:t>
      </w:r>
      <w:proofErr w:type="spellEnd"/>
      <w:r w:rsidRPr="00C046D8">
        <w:rPr>
          <w:rFonts w:ascii="Arial" w:eastAsia="Calibri" w:hAnsi="Arial" w:cs="Arial"/>
          <w:bCs/>
          <w:lang w:val="es-ES_tradnl" w:eastAsia="es-ES_tradnl"/>
        </w:rPr>
        <w:t xml:space="preserve">) las empresas industriales y comerciales del Estado, únicamente, en la contratación relacionada con 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Esto significa que, en la contratación asociada a su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estos tipos de entidades no tendrían que aplicar, de manera obligatoria, los documentos tipo, ni tampoco el EGCAP.</w:t>
      </w:r>
      <w:r w:rsidRPr="007C166F">
        <w:rPr>
          <w:rFonts w:ascii="Arial" w:eastAsia="Times New Roman" w:hAnsi="Arial" w:cs="Arial"/>
          <w:lang w:eastAsia="es-ES_tradnl"/>
        </w:rPr>
        <w:t xml:space="preserve"> </w:t>
      </w:r>
      <w:r>
        <w:rPr>
          <w:rFonts w:ascii="Arial" w:eastAsia="Times New Roman" w:hAnsi="Arial" w:cs="Arial"/>
          <w:lang w:eastAsia="es-ES_tradnl"/>
        </w:rPr>
        <w:t xml:space="preserve">es decir, si entidades </w:t>
      </w:r>
      <w:r w:rsidRPr="00C046D8">
        <w:rPr>
          <w:rFonts w:ascii="Arial" w:eastAsia="Times New Roman" w:hAnsi="Arial" w:cs="Arial"/>
          <w:lang w:eastAsia="es-ES_tradnl"/>
        </w:rPr>
        <w:t>estatales exceptuadas</w:t>
      </w:r>
      <w:r>
        <w:rPr>
          <w:rFonts w:ascii="Arial" w:eastAsia="Times New Roman" w:hAnsi="Arial" w:cs="Arial"/>
          <w:lang w:eastAsia="es-ES_tradnl"/>
        </w:rPr>
        <w:t xml:space="preserve"> </w:t>
      </w:r>
      <w:r w:rsidRPr="00C046D8">
        <w:rPr>
          <w:rFonts w:ascii="Arial" w:eastAsia="Times New Roman" w:hAnsi="Arial" w:cs="Arial"/>
          <w:lang w:eastAsia="es-ES_tradnl"/>
        </w:rPr>
        <w:t xml:space="preserve">pretenden ser adjudicatarias de estos contratos, </w:t>
      </w:r>
      <w:r>
        <w:rPr>
          <w:rFonts w:ascii="Arial" w:eastAsia="Times New Roman" w:hAnsi="Arial" w:cs="Arial"/>
          <w:lang w:eastAsia="es-ES_tradnl"/>
        </w:rPr>
        <w:t xml:space="preserve">no </w:t>
      </w:r>
      <w:r w:rsidRPr="00C046D8">
        <w:rPr>
          <w:rFonts w:ascii="Arial" w:eastAsia="Times New Roman" w:hAnsi="Arial" w:cs="Arial"/>
          <w:lang w:eastAsia="es-ES_tradnl"/>
        </w:rPr>
        <w:t>deben someterse a un proceso de selección en el que se apliquen documentos tipo expedidos por esta Agencia</w:t>
      </w:r>
      <w:r>
        <w:rPr>
          <w:rFonts w:ascii="Arial" w:eastAsia="Times New Roman" w:hAnsi="Arial" w:cs="Arial"/>
          <w:lang w:eastAsia="es-ES_tradnl"/>
        </w:rPr>
        <w:t xml:space="preserve">. </w:t>
      </w:r>
      <w:r w:rsidRPr="00C046D8">
        <w:rPr>
          <w:rFonts w:ascii="Arial" w:eastAsia="Calibri" w:hAnsi="Arial" w:cs="Arial"/>
          <w:bCs/>
          <w:lang w:val="es-ES_tradnl" w:eastAsia="es-ES_tradnl"/>
        </w:rPr>
        <w:t xml:space="preserve">En este caso la norma se limita a fomentar la implementación de documentos tipo a modo de buena práctica contractual, en los casos en los que se estime conveniente. </w:t>
      </w:r>
    </w:p>
    <w:bookmarkEnd w:id="22"/>
    <w:p w14:paraId="3933AF05" w14:textId="77777777" w:rsidR="008410D2" w:rsidRPr="00C046D8" w:rsidRDefault="008410D2" w:rsidP="001A5552">
      <w:pPr>
        <w:tabs>
          <w:tab w:val="left" w:pos="0"/>
        </w:tabs>
        <w:spacing w:after="120" w:line="276" w:lineRule="auto"/>
        <w:jc w:val="both"/>
        <w:rPr>
          <w:rFonts w:ascii="Arial" w:eastAsia="Arial" w:hAnsi="Arial" w:cs="Arial"/>
          <w:lang w:val="es-ES_tradnl" w:eastAsia="es-ES_tradnl"/>
        </w:rPr>
      </w:pPr>
      <w:r w:rsidRPr="00C046D8">
        <w:rPr>
          <w:rFonts w:ascii="Arial" w:eastAsia="Calibri" w:hAnsi="Arial" w:cs="Arial"/>
          <w:bCs/>
          <w:lang w:val="es-ES_tradnl" w:eastAsia="es-ES_tradnl"/>
        </w:rPr>
        <w:tab/>
        <w:t xml:space="preserve">Ahora, es importante tener en cuenta que cuando la norma se refiere a la contratación del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emplea un concepto jurídico indeterminado</w:t>
      </w:r>
      <w:r w:rsidRPr="00C046D8">
        <w:rPr>
          <w:rFonts w:ascii="Arial" w:eastAsia="Calibri" w:hAnsi="Arial" w:cs="Arial"/>
          <w:vertAlign w:val="superscript"/>
          <w:lang w:eastAsia="es-ES_tradnl"/>
        </w:rPr>
        <w:footnoteReference w:id="24"/>
      </w:r>
      <w:r w:rsidRPr="00C046D8">
        <w:rPr>
          <w:rFonts w:ascii="Arial" w:eastAsia="Calibri" w:hAnsi="Arial" w:cs="Arial"/>
          <w:bCs/>
          <w:lang w:val="es-ES_tradnl" w:eastAsia="es-ES_tradnl"/>
        </w:rPr>
        <w:t xml:space="preserve">. </w:t>
      </w:r>
      <w:r w:rsidRPr="00C046D8">
        <w:rPr>
          <w:rFonts w:ascii="Arial" w:eastAsia="Arial" w:hAnsi="Arial"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0ECE16B4" w14:textId="77777777" w:rsidR="008410D2" w:rsidRPr="00C046D8" w:rsidRDefault="008410D2" w:rsidP="008410D2">
      <w:pPr>
        <w:tabs>
          <w:tab w:val="left" w:pos="0"/>
        </w:tabs>
        <w:spacing w:after="0" w:line="276" w:lineRule="auto"/>
        <w:ind w:firstLine="709"/>
        <w:jc w:val="both"/>
        <w:rPr>
          <w:rFonts w:ascii="Arial" w:eastAsia="Calibri" w:hAnsi="Arial" w:cs="Arial"/>
          <w:bCs/>
          <w:lang w:val="es-ES_tradnl" w:eastAsia="es-ES_tradnl"/>
        </w:rPr>
      </w:pPr>
      <w:r w:rsidRPr="00C046D8">
        <w:rPr>
          <w:rFonts w:ascii="Arial" w:eastAsia="Arial" w:hAnsi="Arial" w:cs="Arial"/>
          <w:lang w:val="es-ES_tradnl" w:eastAsia="es-ES_tradnl"/>
        </w:rPr>
        <w:t>La Corte Constitucional</w:t>
      </w:r>
      <w:r w:rsidRPr="00C046D8">
        <w:rPr>
          <w:rFonts w:ascii="Arial" w:eastAsia="Arial" w:hAnsi="Arial" w:cs="Arial"/>
          <w:vertAlign w:val="superscript"/>
          <w:lang w:eastAsia="es-ES_tradnl"/>
        </w:rPr>
        <w:footnoteReference w:id="25"/>
      </w:r>
      <w:r w:rsidRPr="00C046D8">
        <w:rPr>
          <w:rFonts w:ascii="Arial" w:eastAsia="Arial" w:hAnsi="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Pr>
          <w:rFonts w:ascii="Arial" w:eastAsia="Calibri" w:hAnsi="Arial" w:cs="Arial"/>
          <w:bCs/>
          <w:lang w:val="es-ES_tradnl" w:eastAsia="es-ES_tradnl"/>
        </w:rPr>
        <w:t xml:space="preserve"> </w:t>
      </w:r>
      <w:r w:rsidRPr="00C046D8">
        <w:rPr>
          <w:rFonts w:ascii="Arial" w:eastAsia="Calibri" w:hAnsi="Arial"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incluida en la redacción original del parágrafo 1° del artículo 32 de la Ley 80 de 1993</w:t>
      </w:r>
      <w:r w:rsidRPr="00C046D8">
        <w:rPr>
          <w:rFonts w:ascii="Arial" w:eastAsia="Calibri" w:hAnsi="Arial" w:cs="Arial"/>
          <w:vertAlign w:val="superscript"/>
          <w:lang w:eastAsia="es-ES_tradnl"/>
        </w:rPr>
        <w:footnoteReference w:id="26"/>
      </w:r>
      <w:r w:rsidRPr="00C046D8">
        <w:rPr>
          <w:rFonts w:ascii="Arial" w:eastAsia="Calibri" w:hAnsi="Arial" w:cs="Arial"/>
          <w:bCs/>
          <w:lang w:val="es-ES_tradnl" w:eastAsia="es-ES_tradnl"/>
        </w:rPr>
        <w:t xml:space="preserve">, la Sección Tercera manifestó lo siguiente: </w:t>
      </w:r>
    </w:p>
    <w:p w14:paraId="1349C099" w14:textId="77777777" w:rsidR="008410D2" w:rsidRPr="00C046D8" w:rsidRDefault="008410D2" w:rsidP="008410D2">
      <w:pPr>
        <w:tabs>
          <w:tab w:val="left" w:pos="0"/>
        </w:tabs>
        <w:spacing w:after="0" w:line="276" w:lineRule="auto"/>
        <w:contextualSpacing/>
        <w:jc w:val="both"/>
        <w:rPr>
          <w:rFonts w:ascii="Arial" w:eastAsia="Calibri" w:hAnsi="Arial" w:cs="Arial"/>
          <w:bCs/>
          <w:lang w:val="es-ES_tradnl" w:eastAsia="es-ES_tradnl"/>
        </w:rPr>
      </w:pPr>
    </w:p>
    <w:p w14:paraId="0F6E72D2" w14:textId="77777777" w:rsidR="008410D2" w:rsidRPr="00C046D8" w:rsidRDefault="008410D2" w:rsidP="008410D2">
      <w:pPr>
        <w:spacing w:after="0"/>
        <w:ind w:left="709" w:right="709"/>
        <w:contextualSpacing/>
        <w:jc w:val="both"/>
        <w:rPr>
          <w:rFonts w:ascii="Arial" w:eastAsia="Times New Roman" w:hAnsi="Arial" w:cs="Arial"/>
          <w:sz w:val="21"/>
          <w:szCs w:val="21"/>
          <w:lang w:val="es-ES_tradnl" w:eastAsia="es-CO"/>
        </w:rPr>
      </w:pPr>
      <w:r>
        <w:rPr>
          <w:rFonts w:ascii="Arial" w:eastAsia="Times New Roman" w:hAnsi="Arial" w:cs="Arial"/>
          <w:sz w:val="21"/>
          <w:szCs w:val="21"/>
          <w:lang w:val="es-ES_tradnl" w:eastAsia="es-ES_tradnl"/>
        </w:rPr>
        <w:t>“</w:t>
      </w:r>
      <w:r w:rsidRPr="00C046D8">
        <w:rPr>
          <w:rFonts w:ascii="Arial" w:eastAsia="Times New Roman" w:hAnsi="Arial" w:cs="Arial"/>
          <w:sz w:val="21"/>
          <w:szCs w:val="21"/>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C046D8">
        <w:rPr>
          <w:rFonts w:ascii="Arial" w:eastAsia="Times New Roman" w:hAnsi="Arial" w:cs="Arial"/>
          <w:sz w:val="21"/>
          <w:szCs w:val="21"/>
          <w:lang w:val="es-ES_tradnl" w:eastAsia="es-ES_tradnl"/>
        </w:rPr>
        <w:t>Siendo</w:t>
      </w:r>
      <w:proofErr w:type="gramEnd"/>
      <w:r w:rsidRPr="00C046D8">
        <w:rPr>
          <w:rFonts w:ascii="Arial" w:eastAsia="Times New Roman" w:hAnsi="Arial" w:cs="Arial"/>
          <w:sz w:val="21"/>
          <w:szCs w:val="21"/>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Pr>
          <w:rFonts w:ascii="Arial" w:eastAsia="Times New Roman" w:hAnsi="Arial" w:cs="Arial"/>
          <w:sz w:val="21"/>
          <w:szCs w:val="21"/>
          <w:lang w:val="es-ES_tradnl" w:eastAsia="es-ES_tradnl"/>
        </w:rPr>
        <w:t>”</w:t>
      </w:r>
      <w:r w:rsidRPr="00C046D8">
        <w:rPr>
          <w:rFonts w:ascii="Arial" w:eastAsia="Times New Roman" w:hAnsi="Arial" w:cs="Arial"/>
          <w:sz w:val="21"/>
          <w:szCs w:val="21"/>
          <w:vertAlign w:val="superscript"/>
          <w:lang w:eastAsia="es-ES_tradnl"/>
        </w:rPr>
        <w:footnoteReference w:id="27"/>
      </w:r>
      <w:r w:rsidRPr="00C046D8">
        <w:rPr>
          <w:rFonts w:ascii="Arial" w:eastAsia="Times New Roman" w:hAnsi="Arial" w:cs="Arial"/>
          <w:sz w:val="21"/>
          <w:szCs w:val="21"/>
          <w:lang w:val="es-ES_tradnl" w:eastAsia="es-ES_tradnl"/>
        </w:rPr>
        <w:t>.</w:t>
      </w:r>
    </w:p>
    <w:p w14:paraId="1B378F79" w14:textId="77777777" w:rsidR="008410D2" w:rsidRPr="00C046D8" w:rsidRDefault="008410D2" w:rsidP="008410D2">
      <w:pPr>
        <w:tabs>
          <w:tab w:val="left" w:pos="0"/>
        </w:tabs>
        <w:spacing w:after="0" w:line="276" w:lineRule="auto"/>
        <w:contextualSpacing/>
        <w:jc w:val="both"/>
        <w:rPr>
          <w:rFonts w:ascii="Arial" w:eastAsia="Calibri" w:hAnsi="Arial" w:cs="Arial"/>
          <w:bCs/>
          <w:i/>
          <w:iCs/>
          <w:szCs w:val="24"/>
          <w:lang w:val="es-ES_tradnl" w:eastAsia="es-ES_tradnl"/>
        </w:rPr>
      </w:pPr>
    </w:p>
    <w:p w14:paraId="3D87DCBD" w14:textId="77777777" w:rsidR="008410D2" w:rsidRDefault="008410D2" w:rsidP="008410D2">
      <w:pPr>
        <w:tabs>
          <w:tab w:val="left" w:pos="0"/>
        </w:tabs>
        <w:spacing w:after="0" w:line="276" w:lineRule="auto"/>
        <w:contextualSpacing/>
        <w:jc w:val="both"/>
        <w:rPr>
          <w:rFonts w:ascii="Arial" w:eastAsia="Calibri" w:hAnsi="Arial" w:cs="Arial"/>
          <w:bCs/>
          <w:sz w:val="21"/>
          <w:szCs w:val="21"/>
          <w:lang w:val="es-ES_tradnl" w:eastAsia="es-ES_tradnl"/>
        </w:rPr>
      </w:pPr>
      <w:r w:rsidRPr="00C046D8">
        <w:rPr>
          <w:rFonts w:ascii="Arial" w:eastAsia="Calibri" w:hAnsi="Arial" w:cs="Arial"/>
          <w:bCs/>
          <w:lang w:val="es-ES_tradnl" w:eastAsia="es-ES_tradnl"/>
        </w:rPr>
        <w:tab/>
      </w:r>
      <w:r w:rsidRPr="00165C4E">
        <w:rPr>
          <w:rFonts w:ascii="Arial" w:eastAsia="Calibri" w:hAnsi="Arial" w:cs="Arial"/>
          <w:bCs/>
          <w:lang w:val="es-ES_tradnl" w:eastAsia="es-ES_tradnl"/>
        </w:rPr>
        <w:t xml:space="preserve">En el mismo sentido se pronunció recientemente el Alto Tribunal de lo Contencioso Administrativo, reiterando las anteriores consideraciones, al expresar que el concepto de </w:t>
      </w:r>
      <w:r w:rsidRPr="00165C4E">
        <w:rPr>
          <w:rFonts w:ascii="Arial" w:eastAsia="Calibri" w:hAnsi="Arial" w:cs="Arial"/>
          <w:i/>
          <w:lang w:val="es-ES_tradnl" w:eastAsia="es-ES_tradnl"/>
        </w:rPr>
        <w:t xml:space="preserve">“giro ordinario de los negocios” </w:t>
      </w:r>
      <w:r w:rsidRPr="00165C4E">
        <w:rPr>
          <w:rFonts w:ascii="Arial" w:eastAsia="Calibri" w:hAnsi="Arial" w:cs="Arial"/>
          <w:bCs/>
          <w:lang w:val="es-ES_tradnl" w:eastAsia="es-ES_tradnl"/>
        </w:rPr>
        <w:t>se refiere a aquellas actividades compatibles con el objeto social, funciones previstas en la ley, o en las normas de creación y en sus estatutos internos de las personas</w:t>
      </w:r>
      <w:r w:rsidRPr="00165C4E">
        <w:rPr>
          <w:rFonts w:ascii="Arial" w:eastAsia="Calibri" w:hAnsi="Arial" w:cs="Arial"/>
          <w:sz w:val="21"/>
          <w:szCs w:val="21"/>
          <w:vertAlign w:val="superscript"/>
          <w:lang w:eastAsia="es-ES_tradnl"/>
        </w:rPr>
        <w:footnoteReference w:id="28"/>
      </w:r>
      <w:r w:rsidRPr="00165C4E">
        <w:rPr>
          <w:rFonts w:ascii="Arial" w:eastAsia="Calibri" w:hAnsi="Arial" w:cs="Arial"/>
          <w:bCs/>
          <w:lang w:val="es-ES_tradnl" w:eastAsia="es-ES_tradnl"/>
        </w:rPr>
        <w:t xml:space="preserve"> y la doctrina societaria</w:t>
      </w:r>
      <w:r w:rsidRPr="00165C4E">
        <w:rPr>
          <w:rStyle w:val="Refdenotaalpie"/>
          <w:rFonts w:ascii="Arial" w:eastAsia="Calibri" w:hAnsi="Arial" w:cs="Arial"/>
          <w:bCs/>
          <w:lang w:val="es-ES_tradnl" w:eastAsia="es-ES_tradnl"/>
        </w:rPr>
        <w:footnoteReference w:id="29"/>
      </w:r>
      <w:r w:rsidRPr="00165C4E">
        <w:rPr>
          <w:rFonts w:ascii="Arial" w:eastAsia="Calibri" w:hAnsi="Arial" w:cs="Arial"/>
          <w:bCs/>
          <w:sz w:val="21"/>
          <w:szCs w:val="21"/>
          <w:lang w:val="es-ES_tradnl" w:eastAsia="es-ES_tradnl"/>
        </w:rPr>
        <w:t>.</w:t>
      </w:r>
      <w:r w:rsidRPr="00C046D8">
        <w:rPr>
          <w:rFonts w:ascii="Arial" w:eastAsia="Calibri" w:hAnsi="Arial" w:cs="Arial"/>
          <w:bCs/>
          <w:sz w:val="21"/>
          <w:szCs w:val="21"/>
          <w:lang w:val="es-ES_tradnl" w:eastAsia="es-ES_tradnl"/>
        </w:rPr>
        <w:t xml:space="preserve"> </w:t>
      </w:r>
    </w:p>
    <w:p w14:paraId="202C18F3" w14:textId="77777777" w:rsidR="008410D2" w:rsidRPr="004D745F" w:rsidRDefault="008410D2" w:rsidP="008410D2">
      <w:pPr>
        <w:tabs>
          <w:tab w:val="left" w:pos="0"/>
        </w:tabs>
        <w:spacing w:after="0" w:line="276" w:lineRule="auto"/>
        <w:contextualSpacing/>
        <w:jc w:val="both"/>
        <w:rPr>
          <w:rFonts w:ascii="Arial" w:eastAsia="Calibri" w:hAnsi="Arial" w:cs="Arial"/>
          <w:bCs/>
          <w:sz w:val="12"/>
          <w:szCs w:val="12"/>
          <w:lang w:val="es-ES_tradnl" w:eastAsia="es-ES_tradnl"/>
        </w:rPr>
      </w:pPr>
    </w:p>
    <w:p w14:paraId="56C5F765" w14:textId="77777777" w:rsidR="008410D2" w:rsidRPr="00C046D8" w:rsidRDefault="008410D2" w:rsidP="001A5552">
      <w:pPr>
        <w:spacing w:after="120" w:line="276" w:lineRule="auto"/>
        <w:jc w:val="both"/>
        <w:rPr>
          <w:rFonts w:ascii="Arial" w:eastAsia="Calibri" w:hAnsi="Arial" w:cs="Arial"/>
          <w:lang w:val="es-ES" w:eastAsia="es-ES"/>
        </w:rPr>
      </w:pPr>
      <w:r w:rsidRPr="00C046D8">
        <w:rPr>
          <w:rFonts w:ascii="Arial" w:eastAsia="Calibri" w:hAnsi="Arial" w:cs="Arial"/>
          <w:bCs/>
          <w:lang w:val="es-ES_tradnl" w:eastAsia="es-ES_tradnl"/>
        </w:rPr>
        <w:tab/>
      </w:r>
      <w:r w:rsidRPr="293D6149">
        <w:rPr>
          <w:rFonts w:ascii="Arial" w:eastAsia="Calibri" w:hAnsi="Arial" w:cs="Arial"/>
          <w:lang w:val="es-ES" w:eastAsia="es-ES"/>
        </w:rPr>
        <w:t xml:space="preserve">Conforme con lo expresado, el </w:t>
      </w:r>
      <w:r w:rsidRPr="293D6149">
        <w:rPr>
          <w:rFonts w:ascii="Arial" w:eastAsia="Calibri" w:hAnsi="Arial" w:cs="Arial"/>
          <w:i/>
          <w:lang w:val="es-ES" w:eastAsia="es-ES"/>
        </w:rPr>
        <w:t xml:space="preserve">giro ordinario </w:t>
      </w:r>
      <w:r w:rsidRPr="293D6149">
        <w:rPr>
          <w:rFonts w:ascii="Arial" w:eastAsia="Calibri" w:hAnsi="Arial"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293D6149">
        <w:rPr>
          <w:rFonts w:ascii="Arial" w:eastAsia="Times New Roman" w:hAnsi="Arial" w:cs="Arial"/>
          <w:lang w:val="es-ES" w:eastAsia="es-ES"/>
        </w:rPr>
        <w:t>S]e</w:t>
      </w:r>
      <w:r w:rsidRPr="293D6149">
        <w:rPr>
          <w:rFonts w:ascii="Arial" w:eastAsia="Calibri" w:hAnsi="Arial"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293D6149">
        <w:rPr>
          <w:rFonts w:ascii="Arial" w:eastAsia="Calibri" w:hAnsi="Arial" w:cs="Arial"/>
          <w:vertAlign w:val="superscript"/>
          <w:lang w:eastAsia="es-ES"/>
        </w:rPr>
        <w:footnoteReference w:id="30"/>
      </w:r>
    </w:p>
    <w:p w14:paraId="03B0C4B9" w14:textId="77777777" w:rsidR="008410D2" w:rsidRDefault="008410D2" w:rsidP="008410D2">
      <w:pPr>
        <w:tabs>
          <w:tab w:val="left" w:pos="0"/>
        </w:tabs>
        <w:spacing w:after="0" w:line="276" w:lineRule="auto"/>
        <w:contextualSpacing/>
        <w:jc w:val="both"/>
        <w:rPr>
          <w:rFonts w:ascii="Arial" w:eastAsia="Calibri" w:hAnsi="Arial" w:cs="Arial"/>
          <w:bCs/>
          <w:lang w:val="es-ES_tradnl" w:eastAsia="es-ES_tradnl"/>
        </w:rPr>
      </w:pPr>
      <w:r w:rsidRPr="00C046D8">
        <w:rPr>
          <w:rFonts w:ascii="Arial" w:eastAsia="Calibri" w:hAnsi="Arial" w:cs="Arial"/>
          <w:bCs/>
          <w:lang w:val="es-ES_tradnl" w:eastAsia="es-ES_tradnl"/>
        </w:rPr>
        <w:tab/>
      </w:r>
      <w:bookmarkStart w:id="23" w:name="_Hlk109966084"/>
      <w:bookmarkStart w:id="24" w:name="_Hlk95322109"/>
      <w:r w:rsidRPr="00C046D8">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C046D8">
        <w:rPr>
          <w:rFonts w:ascii="Arial" w:eastAsia="Calibri" w:hAnsi="Arial" w:cs="Arial"/>
          <w:bCs/>
          <w:i/>
          <w:iCs/>
          <w:lang w:val="es-ES_tradnl" w:eastAsia="es-ES_tradnl"/>
        </w:rPr>
        <w:t xml:space="preserve">giro ordinario </w:t>
      </w:r>
      <w:r w:rsidRPr="00C046D8">
        <w:rPr>
          <w:rFonts w:ascii="Arial" w:eastAsia="Calibri" w:hAnsi="Arial"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C046D8">
        <w:rPr>
          <w:rFonts w:ascii="Arial" w:eastAsia="Calibri" w:hAnsi="Arial" w:cs="Arial"/>
          <w:bCs/>
          <w:i/>
          <w:iCs/>
          <w:lang w:val="es-ES_tradnl" w:eastAsia="es-ES_tradnl"/>
        </w:rPr>
        <w:t>ejusdem</w:t>
      </w:r>
      <w:proofErr w:type="spellEnd"/>
      <w:r w:rsidRPr="00C046D8">
        <w:rPr>
          <w:rFonts w:ascii="Arial" w:eastAsia="Calibri" w:hAnsi="Arial" w:cs="Arial"/>
          <w:bCs/>
          <w:lang w:val="es-ES_tradnl" w:eastAsia="es-ES_tradnl"/>
        </w:rPr>
        <w:t xml:space="preserve"> se limita a enunciar algunos tipos de entidades estatales, las cuales no solo difieren en su naturaleza jurídica, sino también en las actividades que realizan. </w:t>
      </w:r>
    </w:p>
    <w:p w14:paraId="2F779751" w14:textId="77777777" w:rsidR="008410D2" w:rsidRPr="004D745F" w:rsidRDefault="008410D2" w:rsidP="008410D2">
      <w:pPr>
        <w:tabs>
          <w:tab w:val="left" w:pos="0"/>
        </w:tabs>
        <w:spacing w:after="0" w:line="276" w:lineRule="auto"/>
        <w:contextualSpacing/>
        <w:jc w:val="both"/>
        <w:rPr>
          <w:rFonts w:ascii="Arial" w:eastAsia="Calibri" w:hAnsi="Arial" w:cs="Arial"/>
          <w:bCs/>
          <w:sz w:val="12"/>
          <w:szCs w:val="12"/>
          <w:lang w:val="es-ES_tradnl" w:eastAsia="es-ES_tradnl"/>
        </w:rPr>
      </w:pPr>
    </w:p>
    <w:bookmarkEnd w:id="23"/>
    <w:p w14:paraId="19F4DB6A" w14:textId="77777777" w:rsidR="008410D2" w:rsidRDefault="008410D2" w:rsidP="001A5552">
      <w:pPr>
        <w:tabs>
          <w:tab w:val="left" w:pos="0"/>
        </w:tabs>
        <w:spacing w:after="120" w:line="276" w:lineRule="auto"/>
        <w:ind w:firstLine="709"/>
        <w:jc w:val="both"/>
        <w:rPr>
          <w:rFonts w:ascii="Arial" w:eastAsia="Calibri" w:hAnsi="Arial" w:cs="Arial"/>
          <w:bCs/>
          <w:lang w:val="es-ES_tradnl" w:eastAsia="es-ES_tradnl"/>
        </w:rPr>
      </w:pPr>
      <w:r w:rsidRPr="00C046D8">
        <w:rPr>
          <w:rFonts w:ascii="Arial" w:eastAsia="Calibri" w:hAnsi="Arial" w:cs="Arial"/>
          <w:bCs/>
          <w:lang w:val="es-ES_tradnl" w:eastAsia="es-ES_tradnl"/>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C046D8">
        <w:rPr>
          <w:rFonts w:ascii="Arial" w:eastAsia="Calibri" w:hAnsi="Arial" w:cs="Arial"/>
          <w:bCs/>
          <w:i/>
          <w:iCs/>
          <w:lang w:val="es-ES_tradnl" w:eastAsia="es-ES_tradnl"/>
        </w:rPr>
        <w:t>giro ordinario</w:t>
      </w:r>
      <w:r w:rsidRPr="00C046D8">
        <w:rPr>
          <w:rFonts w:ascii="Arial" w:eastAsia="Calibri" w:hAnsi="Arial" w:cs="Arial"/>
          <w:bCs/>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24"/>
    <w:p w14:paraId="619234F1" w14:textId="77777777" w:rsidR="008410D2" w:rsidRPr="00C046D8" w:rsidRDefault="008410D2" w:rsidP="001A5552">
      <w:pPr>
        <w:tabs>
          <w:tab w:val="left" w:pos="0"/>
        </w:tabs>
        <w:spacing w:after="120" w:line="276" w:lineRule="auto"/>
        <w:jc w:val="both"/>
        <w:rPr>
          <w:rFonts w:ascii="Arial" w:eastAsia="Calibri" w:hAnsi="Arial" w:cs="Arial"/>
          <w:bCs/>
          <w:lang w:val="es-ES_tradnl" w:eastAsia="es-ES_tradnl"/>
        </w:rPr>
      </w:pPr>
      <w:r w:rsidRPr="00C046D8">
        <w:rPr>
          <w:rFonts w:ascii="Arial" w:eastAsia="Calibri" w:hAnsi="Arial" w:cs="Arial"/>
          <w:bCs/>
          <w:lang w:val="es-ES_tradnl" w:eastAsia="es-ES_tradnl"/>
        </w:rPr>
        <w:tab/>
      </w:r>
      <w:r w:rsidRPr="00165C4E">
        <w:rPr>
          <w:rFonts w:ascii="Arial" w:eastAsia="Calibri" w:hAnsi="Arial" w:cs="Arial"/>
          <w:lang w:val="es-ES_tradnl" w:eastAsia="es-ES_tradnl"/>
        </w:rPr>
        <w:t>Esta interpretación, a juicio de la Agencia, se desprende de la literalidad del texto de la norma en comento, además, está en armonía con la voluntad del órgano legislativo. Al respecto se estima que, si bien es cierto que entre los propósitos del artículo es la aplicación de pliegos tipo en convenios o contratos interadministrativos o de cualquier otra índole–a través de las cuales se podría estar eludiendo la aplicación de documentos tipo</w:t>
      </w:r>
      <w:r w:rsidRPr="00165C4E">
        <w:rPr>
          <w:rFonts w:ascii="Arial" w:eastAsia="Calibri" w:hAnsi="Arial" w:cs="Arial"/>
          <w:vertAlign w:val="superscript"/>
          <w:lang w:eastAsia="es-ES_tradnl"/>
        </w:rPr>
        <w:footnoteReference w:id="31"/>
      </w:r>
      <w:r w:rsidRPr="00165C4E">
        <w:rPr>
          <w:rFonts w:ascii="Arial" w:eastAsia="Calibri" w:hAnsi="Arial" w:cs="Arial"/>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165C4E">
        <w:rPr>
          <w:rFonts w:ascii="Arial" w:eastAsia="Calibri" w:hAnsi="Arial" w:cs="Arial"/>
          <w:vertAlign w:val="superscript"/>
          <w:lang w:eastAsia="es-ES_tradnl"/>
        </w:rPr>
        <w:footnoteReference w:id="32"/>
      </w:r>
      <w:r w:rsidRPr="00165C4E">
        <w:rPr>
          <w:rFonts w:ascii="Arial" w:eastAsia="Calibri" w:hAnsi="Arial" w:cs="Arial"/>
          <w:lang w:val="es-ES_tradnl" w:eastAsia="es-ES_tradnl"/>
        </w:rPr>
        <w:t>.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A esto se suma el hecho de que el parágrafo bajo estudio es una norma restrictiva, por lo que, en virtud de dicho carácter, amerita una interpretación apegada a lo que literalmente se desprende del texto. Lo anterior en virtud del criterio de interpretación sobre la extensión de una Ley contemplada en el artículo 31 del Código civil, según la cual: “Lo favorable u odioso de una disposición no se tomará en cuenta para ampliar o restringir su interpretación (…)”. En ese mismo sentido, el Consejo de Estado, indicó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165C4E">
        <w:rPr>
          <w:rFonts w:ascii="Arial" w:eastAsia="Calibri" w:hAnsi="Arial" w:cs="Arial"/>
          <w:vertAlign w:val="superscript"/>
          <w:lang w:eastAsia="es-ES_tradnl"/>
        </w:rPr>
        <w:footnoteReference w:id="33"/>
      </w:r>
      <w:r w:rsidRPr="00165C4E">
        <w:rPr>
          <w:rFonts w:ascii="Arial" w:eastAsia="Calibri" w:hAnsi="Arial" w:cs="Arial"/>
          <w:lang w:val="es-ES_tradnl" w:eastAsia="es-ES_tradnl"/>
        </w:rPr>
        <w:t>.</w:t>
      </w:r>
    </w:p>
    <w:p w14:paraId="4105EDAC" w14:textId="77777777" w:rsidR="008410D2" w:rsidRDefault="008410D2" w:rsidP="008410D2">
      <w:pPr>
        <w:tabs>
          <w:tab w:val="left" w:pos="0"/>
        </w:tabs>
        <w:spacing w:after="0" w:line="276" w:lineRule="auto"/>
        <w:ind w:firstLine="709"/>
        <w:jc w:val="both"/>
        <w:rPr>
          <w:rFonts w:ascii="Arial" w:eastAsia="Calibri" w:hAnsi="Arial" w:cs="Arial"/>
          <w:bCs/>
          <w:lang w:val="es-ES_tradnl" w:eastAsia="es-ES_tradnl"/>
        </w:rPr>
      </w:pPr>
      <w:r w:rsidRPr="00165C4E">
        <w:rPr>
          <w:rFonts w:ascii="Arial" w:eastAsia="Calibri" w:hAnsi="Arial" w:cs="Arial"/>
          <w:bCs/>
          <w:lang w:val="es-ES_tradnl" w:eastAsia="es-ES_tradnl"/>
        </w:rPr>
        <w:t>A criterio</w:t>
      </w:r>
      <w:r w:rsidRPr="00165C4E">
        <w:rPr>
          <w:rFonts w:ascii="Arial" w:eastAsia="Calibri" w:hAnsi="Arial" w:cs="Arial"/>
          <w:lang w:val="es-ES_tradnl" w:eastAsia="es-ES_tradnl"/>
        </w:rPr>
        <w:t xml:space="preserve"> de esta Agencia</w:t>
      </w:r>
      <w:r w:rsidRPr="00165C4E">
        <w:rPr>
          <w:rFonts w:ascii="Arial" w:eastAsia="Calibri" w:hAnsi="Arial" w:cs="Arial"/>
          <w:bCs/>
          <w:lang w:val="es-ES_tradnl" w:eastAsia="es-ES_tradnl"/>
        </w:rPr>
        <w:t>,</w:t>
      </w:r>
      <w:r w:rsidRPr="00165C4E">
        <w:rPr>
          <w:rFonts w:ascii="Arial" w:eastAsia="Calibri" w:hAnsi="Arial" w:cs="Arial"/>
          <w:lang w:val="es-ES_tradnl" w:eastAsia="es-ES_tradnl"/>
        </w:rPr>
        <w:t xml:space="preserve"> lo dispuesto en el parágrafo del artículo 56 de la Ley 2195 de 2022 es una manifestación de la voluntad del Legislador de relevar de la aplicación obligatoria de pliegos tipo en convenios o contratos interadministrativos, o de cualquier otra índole, con  instituciones de educación superior públicas, las empresas sociales del Estado, las sociedades de economía mixta y las empresas industriales y comerciales del Estado, únicamente en lo que tiene que ver con su </w:t>
      </w:r>
      <w:r w:rsidRPr="00165C4E">
        <w:rPr>
          <w:rFonts w:ascii="Arial" w:eastAsia="Calibri" w:hAnsi="Arial" w:cs="Arial"/>
          <w:i/>
          <w:lang w:val="es-ES_tradnl" w:eastAsia="es-ES_tradnl"/>
        </w:rPr>
        <w:t>giro ordinario</w:t>
      </w:r>
      <w:r w:rsidRPr="00165C4E">
        <w:rPr>
          <w:rFonts w:ascii="Arial" w:eastAsia="Calibri" w:hAnsi="Arial" w:cs="Arial"/>
          <w:lang w:val="es-ES_tradnl" w:eastAsia="es-ES_tradnl"/>
        </w:rPr>
        <w:t>. Esto significa que, cuando Entidad Estatal sometida al EGCAP pretenda celebrar un contrato o convenio para la adquisición de bienes, obras o servicios con alguno de los tipos entidades mencionadas en el parágrafo de la norma, que se enmarque dentro del giro ordinario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p>
    <w:p w14:paraId="1B7BBD72" w14:textId="77777777" w:rsidR="008410D2" w:rsidRDefault="008410D2" w:rsidP="008410D2">
      <w:pPr>
        <w:tabs>
          <w:tab w:val="left" w:pos="0"/>
        </w:tabs>
        <w:spacing w:before="120" w:after="0" w:line="276" w:lineRule="auto"/>
        <w:ind w:firstLine="709"/>
        <w:jc w:val="both"/>
        <w:rPr>
          <w:rFonts w:ascii="Arial" w:eastAsia="Calibri" w:hAnsi="Arial" w:cs="Arial"/>
          <w:bCs/>
          <w:lang w:val="es-ES_tradnl" w:eastAsia="es-ES_tradnl"/>
        </w:rPr>
      </w:pPr>
      <w:r w:rsidRPr="00165C4E">
        <w:rPr>
          <w:rFonts w:ascii="Arial" w:eastAsia="Calibri" w:hAnsi="Arial" w:cs="Arial"/>
          <w:lang w:val="es-ES_tradnl" w:eastAsia="es-ES_tradnl"/>
        </w:rPr>
        <w:t>En conclusión, no deberá entonces, en estos casos, la entidad sometida al EGCAP  reservarse la obligación de llevar a cabo la selección de los Procesos de Contratación y celebrar los respectivos contratos para adquirir aquellas de obras o servicios para cuya contratación le fuese aplicable los documentos tipo vigentes, que deban contratarse en el marco de un convenio interadministrativo, y tampoco es necesario que</w:t>
      </w:r>
      <w:r w:rsidRPr="00165C4E">
        <w:rPr>
          <w:rFonts w:ascii="Arial" w:eastAsia="Times New Roman" w:hAnsi="Arial" w:cs="Arial"/>
          <w:lang w:eastAsia="es-ES_tradnl"/>
        </w:rPr>
        <w:t xml:space="preserve">  </w:t>
      </w:r>
      <w:r w:rsidRPr="00165C4E">
        <w:rPr>
          <w:rFonts w:ascii="Arial" w:eastAsia="Calibri" w:hAnsi="Arial" w:cs="Arial"/>
          <w:lang w:val="es-ES_tradnl" w:eastAsia="es-ES_tradnl"/>
        </w:rPr>
        <w:t xml:space="preserve">las instituciones de educación superior públicas,  las empresas sociales del Estado, las sociedades de economía mixta y las empresas industriales y comerciales del Estado, que </w:t>
      </w:r>
      <w:r w:rsidRPr="00165C4E">
        <w:rPr>
          <w:rFonts w:ascii="Arial" w:eastAsia="Times New Roman" w:hAnsi="Arial" w:cs="Arial"/>
          <w:lang w:eastAsia="es-ES_tradnl"/>
        </w:rPr>
        <w:t xml:space="preserve">pretenden ser adjudicatarias de contratos que versen </w:t>
      </w:r>
      <w:r w:rsidRPr="00165C4E">
        <w:rPr>
          <w:rFonts w:ascii="Arial" w:eastAsia="Calibri" w:hAnsi="Arial" w:cs="Arial"/>
          <w:lang w:val="es-ES_tradnl" w:eastAsia="es-ES_tradnl"/>
        </w:rPr>
        <w:t xml:space="preserve">únicamente, en la contratación relacionada con su </w:t>
      </w:r>
      <w:r w:rsidRPr="00165C4E">
        <w:rPr>
          <w:rFonts w:ascii="Arial" w:eastAsia="Calibri" w:hAnsi="Arial" w:cs="Arial"/>
          <w:i/>
          <w:lang w:val="es-ES_tradnl" w:eastAsia="es-ES_tradnl"/>
        </w:rPr>
        <w:t>giro ordinario</w:t>
      </w:r>
      <w:r w:rsidRPr="00165C4E">
        <w:rPr>
          <w:rFonts w:ascii="Arial" w:eastAsia="Times New Roman" w:hAnsi="Arial" w:cs="Arial"/>
          <w:lang w:eastAsia="es-ES_tradnl"/>
        </w:rPr>
        <w:t xml:space="preserve">, no deberán someterse a un proceso de selección en el que se apliquen documentos tipo expedidos por esta Agencia a cargo de la </w:t>
      </w:r>
      <w:r w:rsidRPr="00165C4E">
        <w:rPr>
          <w:rFonts w:ascii="Arial" w:eastAsia="Calibri" w:hAnsi="Arial" w:cs="Arial"/>
          <w:lang w:val="es-ES_tradnl" w:eastAsia="es-ES_tradnl"/>
        </w:rPr>
        <w:t xml:space="preserve">entidad sometida al EGCAP. Por el contrario, si el objeto contractual se encuentra por fuera del giro ordinario de la entidad ejecutora, y el objeto se encuentra dentro del ámbito de aplicación de algún documento tipo, la aplicación </w:t>
      </w:r>
      <w:proofErr w:type="gramStart"/>
      <w:r w:rsidRPr="00165C4E">
        <w:rPr>
          <w:rFonts w:ascii="Arial" w:eastAsia="Calibri" w:hAnsi="Arial" w:cs="Arial"/>
          <w:lang w:val="es-ES_tradnl" w:eastAsia="es-ES_tradnl"/>
        </w:rPr>
        <w:t>del mismo</w:t>
      </w:r>
      <w:proofErr w:type="gramEnd"/>
      <w:r w:rsidRPr="00165C4E">
        <w:rPr>
          <w:rFonts w:ascii="Arial" w:eastAsia="Calibri" w:hAnsi="Arial" w:cs="Arial"/>
          <w:lang w:val="es-ES_tradnl" w:eastAsia="es-ES_tradnl"/>
        </w:rPr>
        <w:t xml:space="preserve"> en conjunto con el EGCAP resultan de obligatoria observancia, al no quedar dicho supuesto cobijado por el parágrafo.</w:t>
      </w:r>
      <w:r w:rsidRPr="00C046D8">
        <w:rPr>
          <w:rFonts w:ascii="Arial" w:eastAsia="Calibri" w:hAnsi="Arial" w:cs="Arial"/>
          <w:bCs/>
          <w:lang w:val="es-ES_tradnl" w:eastAsia="es-ES_tradnl"/>
        </w:rPr>
        <w:t xml:space="preserve"> </w:t>
      </w:r>
    </w:p>
    <w:p w14:paraId="751F8FB5" w14:textId="77777777" w:rsidR="008410D2" w:rsidRPr="00864E72" w:rsidRDefault="008410D2" w:rsidP="008410D2">
      <w:pPr>
        <w:tabs>
          <w:tab w:val="left" w:pos="0"/>
        </w:tabs>
        <w:spacing w:before="120" w:after="0" w:line="276" w:lineRule="auto"/>
        <w:ind w:firstLine="709"/>
        <w:jc w:val="both"/>
        <w:rPr>
          <w:rFonts w:ascii="Arial" w:eastAsia="Calibri" w:hAnsi="Arial" w:cs="Arial"/>
          <w:bCs/>
          <w:color w:val="000000" w:themeColor="text1"/>
          <w:lang w:val="es-ES_tradnl"/>
        </w:rPr>
      </w:pPr>
      <w:r w:rsidRPr="00864E72">
        <w:rPr>
          <w:rFonts w:ascii="Arial" w:eastAsia="Calibri" w:hAnsi="Arial" w:cs="Arial"/>
          <w:bCs/>
          <w:color w:val="000000" w:themeColor="text1"/>
          <w:lang w:val="es-ES_tradnl"/>
        </w:rPr>
        <w:t>En relación con las empresas prestadoras de servicios públicos domiciliarios, conviene señalar, acorde con lo expresado por la Corte Constitucional en la Sentencia C-736 de 2007</w:t>
      </w:r>
      <w:r w:rsidRPr="00864E72">
        <w:rPr>
          <w:rStyle w:val="Refdenotaalpie"/>
          <w:rFonts w:ascii="Arial" w:eastAsia="Calibri" w:hAnsi="Arial" w:cs="Arial"/>
          <w:bCs/>
          <w:color w:val="000000" w:themeColor="text1"/>
          <w:lang w:val="es-ES_tradnl"/>
        </w:rPr>
        <w:footnoteReference w:id="34"/>
      </w:r>
      <w:r w:rsidRPr="00864E72">
        <w:rPr>
          <w:rFonts w:ascii="Arial" w:eastAsia="Calibri" w:hAnsi="Arial" w:cs="Arial"/>
          <w:bCs/>
          <w:color w:val="000000" w:themeColor="text1"/>
          <w:lang w:val="es-ES_tradnl"/>
        </w:rPr>
        <w:t xml:space="preserve">, que aquellas son entidades descentralizadas por servicios, independientemente de la naturaleza y porcentaje de su capital. En otras palabras, aunque el artículo 14 de la Ley 142 de 1994 establece que las empresas prestadoras de servicios públicos domiciliarios pueden ser </w:t>
      </w:r>
      <w:r w:rsidRPr="00864E72">
        <w:rPr>
          <w:rFonts w:ascii="Arial" w:eastAsia="Calibri" w:hAnsi="Arial" w:cs="Arial"/>
          <w:bCs/>
          <w:i/>
          <w:iCs/>
          <w:color w:val="000000" w:themeColor="text1"/>
          <w:lang w:val="es-ES_tradnl"/>
        </w:rPr>
        <w:t>oficiales</w:t>
      </w:r>
      <w:r w:rsidRPr="00864E72">
        <w:rPr>
          <w:rFonts w:ascii="Arial" w:eastAsia="Calibri" w:hAnsi="Arial" w:cs="Arial"/>
          <w:bCs/>
          <w:color w:val="000000" w:themeColor="text1"/>
          <w:lang w:val="es-ES_tradnl"/>
        </w:rPr>
        <w:t xml:space="preserve">, </w:t>
      </w:r>
      <w:r w:rsidRPr="00864E72">
        <w:rPr>
          <w:rFonts w:ascii="Arial" w:eastAsia="Calibri" w:hAnsi="Arial" w:cs="Arial"/>
          <w:bCs/>
          <w:i/>
          <w:iCs/>
          <w:color w:val="000000" w:themeColor="text1"/>
          <w:lang w:val="es-ES_tradnl"/>
        </w:rPr>
        <w:t>mixtas</w:t>
      </w:r>
      <w:r w:rsidRPr="00864E72">
        <w:rPr>
          <w:rFonts w:ascii="Arial" w:eastAsia="Calibri" w:hAnsi="Arial" w:cs="Arial"/>
          <w:bCs/>
          <w:color w:val="000000" w:themeColor="text1"/>
          <w:lang w:val="es-ES_tradnl"/>
        </w:rPr>
        <w:t xml:space="preserve"> o </w:t>
      </w:r>
      <w:r w:rsidRPr="00864E72">
        <w:rPr>
          <w:rFonts w:ascii="Arial" w:eastAsia="Calibri" w:hAnsi="Arial" w:cs="Arial"/>
          <w:bCs/>
          <w:i/>
          <w:iCs/>
          <w:color w:val="000000" w:themeColor="text1"/>
          <w:lang w:val="es-ES_tradnl"/>
        </w:rPr>
        <w:t>privadas</w:t>
      </w:r>
      <w:r w:rsidRPr="00864E72">
        <w:rPr>
          <w:rStyle w:val="Refdenotaalpie"/>
          <w:rFonts w:ascii="Arial" w:eastAsia="Calibri" w:hAnsi="Arial" w:cs="Arial"/>
          <w:bCs/>
          <w:color w:val="000000" w:themeColor="text1"/>
          <w:lang w:val="es-ES_tradnl"/>
        </w:rPr>
        <w:footnoteReference w:id="35"/>
      </w:r>
      <w:r w:rsidRPr="00864E72">
        <w:rPr>
          <w:rFonts w:ascii="Arial" w:eastAsia="Calibri" w:hAnsi="Arial" w:cs="Arial"/>
          <w:bCs/>
          <w:color w:val="000000" w:themeColor="text1"/>
          <w:lang w:val="es-ES_tradnl"/>
        </w:rPr>
        <w:t xml:space="preserve">, estas tres especies ingresan en la categoría de las </w:t>
      </w:r>
      <w:r w:rsidRPr="00864E72">
        <w:rPr>
          <w:rFonts w:ascii="Arial" w:eastAsia="Calibri" w:hAnsi="Arial" w:cs="Arial"/>
          <w:bCs/>
          <w:i/>
          <w:iCs/>
          <w:color w:val="000000" w:themeColor="text1"/>
          <w:lang w:val="es-ES_tradnl"/>
        </w:rPr>
        <w:t>entidades descentralizadas por servicios</w:t>
      </w:r>
      <w:r w:rsidRPr="00864E72">
        <w:rPr>
          <w:rFonts w:ascii="Arial" w:eastAsia="Calibri" w:hAnsi="Arial" w:cs="Arial"/>
          <w:bCs/>
          <w:color w:val="000000" w:themeColor="text1"/>
          <w:lang w:val="es-ES_tradnl"/>
        </w:rPr>
        <w:t xml:space="preserve">. Adicionalmente, debe recordarse que en dicha Sentencia el alto tribunal afirmó que las empresas prestadoras de servicios públicos domiciliarios </w:t>
      </w:r>
      <w:r w:rsidRPr="00864E72">
        <w:rPr>
          <w:rFonts w:ascii="Arial" w:eastAsia="Calibri" w:hAnsi="Arial" w:cs="Arial"/>
          <w:bCs/>
          <w:i/>
          <w:iCs/>
          <w:color w:val="000000" w:themeColor="text1"/>
          <w:lang w:val="es-ES_tradnl"/>
        </w:rPr>
        <w:t>mixtas y privadas</w:t>
      </w:r>
      <w:r w:rsidRPr="00864E72">
        <w:rPr>
          <w:rFonts w:ascii="Arial" w:eastAsia="Calibri" w:hAnsi="Arial" w:cs="Arial"/>
          <w:bCs/>
          <w:color w:val="000000" w:themeColor="text1"/>
          <w:lang w:val="es-ES_tradnl"/>
        </w:rPr>
        <w:t xml:space="preserve"> son tipos </w:t>
      </w:r>
      <w:r w:rsidRPr="00864E72">
        <w:rPr>
          <w:rFonts w:ascii="Arial" w:eastAsia="Calibri" w:hAnsi="Arial" w:cs="Arial"/>
          <w:bCs/>
          <w:i/>
          <w:iCs/>
          <w:color w:val="000000" w:themeColor="text1"/>
          <w:lang w:val="es-ES_tradnl"/>
        </w:rPr>
        <w:t>especiales</w:t>
      </w:r>
      <w:r w:rsidRPr="00864E72">
        <w:rPr>
          <w:rFonts w:ascii="Arial" w:eastAsia="Calibri" w:hAnsi="Arial" w:cs="Arial"/>
          <w:bCs/>
          <w:color w:val="000000" w:themeColor="text1"/>
          <w:lang w:val="es-ES_tradnl"/>
        </w:rPr>
        <w:t xml:space="preserve"> de entidades descentralizadas por servicios que, por tanto, no pueden encasillarse en las otras especies de entidades descentralizadas por servicios enlistadas en el artículo 38 de la Ley 489 de 1998, es decir, que no cabe considerarlas, verbigracia, dentro de las sociedades públicas, ni en las sociedades de economía mixta. En efecto:</w:t>
      </w:r>
    </w:p>
    <w:p w14:paraId="56D91607" w14:textId="77777777" w:rsidR="008410D2" w:rsidRPr="00864E72" w:rsidRDefault="008410D2" w:rsidP="008410D2">
      <w:pPr>
        <w:tabs>
          <w:tab w:val="left" w:pos="0"/>
        </w:tabs>
        <w:spacing w:after="0" w:line="276" w:lineRule="auto"/>
        <w:ind w:left="709" w:right="709"/>
        <w:jc w:val="both"/>
        <w:rPr>
          <w:rFonts w:ascii="Arial" w:eastAsia="Calibri" w:hAnsi="Arial" w:cs="Arial"/>
          <w:bCs/>
          <w:color w:val="000000" w:themeColor="text1"/>
          <w:sz w:val="21"/>
          <w:szCs w:val="21"/>
          <w:lang w:val="es-ES_tradnl"/>
        </w:rPr>
      </w:pPr>
    </w:p>
    <w:p w14:paraId="612EED5F" w14:textId="4292803C" w:rsidR="008410D2" w:rsidRPr="00864E72" w:rsidRDefault="005470DF" w:rsidP="008410D2">
      <w:pPr>
        <w:tabs>
          <w:tab w:val="left" w:pos="0"/>
        </w:tabs>
        <w:spacing w:after="0" w:line="240" w:lineRule="auto"/>
        <w:ind w:left="709" w:right="709"/>
        <w:jc w:val="both"/>
        <w:rPr>
          <w:rFonts w:ascii="Arial" w:eastAsia="Calibri" w:hAnsi="Arial" w:cs="Arial"/>
          <w:bCs/>
          <w:i/>
          <w:iCs/>
          <w:color w:val="000000" w:themeColor="text1"/>
          <w:sz w:val="21"/>
          <w:szCs w:val="21"/>
          <w:lang w:val="es-ES_tradnl"/>
        </w:rPr>
      </w:pPr>
      <w:r>
        <w:rPr>
          <w:rFonts w:ascii="Arial" w:eastAsia="Calibri" w:hAnsi="Arial" w:cs="Arial"/>
          <w:bCs/>
          <w:color w:val="000000" w:themeColor="text1"/>
          <w:sz w:val="21"/>
          <w:szCs w:val="21"/>
          <w:lang w:val="es-ES_tradnl"/>
        </w:rPr>
        <w:t>“</w:t>
      </w:r>
      <w:r w:rsidR="008410D2" w:rsidRPr="00864E72">
        <w:rPr>
          <w:rFonts w:ascii="Arial" w:eastAsia="Calibri" w:hAnsi="Arial" w:cs="Arial"/>
          <w:bCs/>
          <w:color w:val="000000" w:themeColor="text1"/>
          <w:sz w:val="21"/>
          <w:szCs w:val="21"/>
          <w:lang w:val="es-ES_tradnl"/>
        </w:rPr>
        <w:t xml:space="preserve">[…] la Corte entiende que el constituyente quiso definir que las personas o entidades que asuman la prestación de los servicios públicos tendrán no sólo un régimen jurídico especial, </w:t>
      </w:r>
      <w:r w:rsidR="008410D2" w:rsidRPr="00864E72">
        <w:rPr>
          <w:rFonts w:ascii="Arial" w:eastAsia="Calibri" w:hAnsi="Arial" w:cs="Arial"/>
          <w:bCs/>
          <w:i/>
          <w:iCs/>
          <w:color w:val="000000" w:themeColor="text1"/>
          <w:sz w:val="21"/>
          <w:szCs w:val="21"/>
          <w:lang w:val="es-ES_tradnl"/>
        </w:rPr>
        <w:t>sino también una naturaleza jurídica especial</w:t>
      </w:r>
      <w:r w:rsidR="008410D2" w:rsidRPr="00864E72">
        <w:rPr>
          <w:rFonts w:ascii="Arial" w:eastAsia="Calibri" w:hAnsi="Arial" w:cs="Arial"/>
          <w:bCs/>
          <w:color w:val="000000" w:themeColor="text1"/>
          <w:sz w:val="21"/>
          <w:szCs w:val="21"/>
          <w:lang w:val="es-ES_tradnl"/>
        </w:rPr>
        <w:t xml:space="preserve">; esta particular naturaleza y reglamentación jurídica encuentra su fundamento en la necesidad de hacer realidad la finalidad social que es definida por la misma Carta como objetivo de la adecuada prestación de los servicios públicos. De lo anterior se desprende que cuando el Estado asume directamente o participa con los particulares en dicho cometido, las entidades que surgen para esos efectos también se revisten de ese carácter especial y quedan sujetas a la reglamentación jurídica particularmente diseñada para la prestación adecuada de los servicios públicos. Otro tanto sucede cuando los particulares asumen la prestación de servicios públicos. </w:t>
      </w:r>
      <w:r w:rsidR="008410D2" w:rsidRPr="00864E72">
        <w:rPr>
          <w:rFonts w:ascii="Arial" w:eastAsia="Calibri" w:hAnsi="Arial" w:cs="Arial"/>
          <w:bCs/>
          <w:i/>
          <w:iCs/>
          <w:color w:val="000000" w:themeColor="text1"/>
          <w:sz w:val="21"/>
          <w:szCs w:val="21"/>
          <w:lang w:val="es-ES_tradnl"/>
        </w:rPr>
        <w:t>Así las cosas, las sociedades públicas, privadas o mixtas cuyo objeto social sea la prestación de los servicios en comento, antes que sociedades de economía mixta, sociedades entre entidades públicas o sociedades de carácter privado, vienen a ser entidades de naturaleza especial, para responder así a este interés constitucional de someter esta actividad de interés social a un régimen jurídico también especial</w:t>
      </w:r>
      <w:r w:rsidR="008410D2">
        <w:rPr>
          <w:rFonts w:ascii="Arial" w:eastAsia="Calibri" w:hAnsi="Arial" w:cs="Arial"/>
          <w:bCs/>
          <w:i/>
          <w:iCs/>
          <w:color w:val="000000" w:themeColor="text1"/>
          <w:sz w:val="21"/>
          <w:szCs w:val="21"/>
          <w:lang w:val="es-ES_tradnl"/>
        </w:rPr>
        <w:t>.</w:t>
      </w:r>
    </w:p>
    <w:p w14:paraId="605545C1" w14:textId="77777777" w:rsidR="008410D2" w:rsidRPr="00864E72" w:rsidRDefault="008410D2" w:rsidP="008410D2">
      <w:pPr>
        <w:tabs>
          <w:tab w:val="left" w:pos="0"/>
        </w:tabs>
        <w:spacing w:after="0" w:line="240" w:lineRule="auto"/>
        <w:ind w:left="709" w:right="709"/>
        <w:jc w:val="both"/>
        <w:rPr>
          <w:rFonts w:ascii="Arial" w:eastAsia="Calibri" w:hAnsi="Arial" w:cs="Arial"/>
          <w:bCs/>
          <w:color w:val="000000" w:themeColor="text1"/>
          <w:sz w:val="21"/>
          <w:szCs w:val="21"/>
          <w:lang w:val="es-ES_tradnl"/>
        </w:rPr>
      </w:pPr>
      <w:r w:rsidRPr="00864E72">
        <w:rPr>
          <w:rFonts w:ascii="Arial" w:eastAsia="Calibri" w:hAnsi="Arial" w:cs="Arial"/>
          <w:bCs/>
          <w:color w:val="000000" w:themeColor="text1"/>
          <w:sz w:val="21"/>
          <w:szCs w:val="21"/>
          <w:lang w:val="es-ES_tradnl"/>
        </w:rPr>
        <w:t>[…]</w:t>
      </w:r>
    </w:p>
    <w:p w14:paraId="4261DAB3" w14:textId="12738FCA" w:rsidR="008410D2" w:rsidRPr="00864E72" w:rsidRDefault="008410D2" w:rsidP="008410D2">
      <w:pPr>
        <w:tabs>
          <w:tab w:val="left" w:pos="0"/>
        </w:tabs>
        <w:spacing w:after="0" w:line="240" w:lineRule="auto"/>
        <w:ind w:left="709" w:right="709"/>
        <w:jc w:val="both"/>
        <w:rPr>
          <w:rFonts w:ascii="Arial" w:eastAsia="Calibri" w:hAnsi="Arial" w:cs="Arial"/>
          <w:bCs/>
          <w:color w:val="000000" w:themeColor="text1"/>
          <w:sz w:val="21"/>
          <w:szCs w:val="21"/>
          <w:lang w:val="es-ES_tradnl"/>
        </w:rPr>
      </w:pPr>
      <w:r w:rsidRPr="00864E72">
        <w:rPr>
          <w:rFonts w:ascii="Arial" w:eastAsia="Calibri" w:hAnsi="Arial" w:cs="Arial"/>
          <w:bCs/>
          <w:color w:val="000000" w:themeColor="text1"/>
          <w:sz w:val="21"/>
          <w:szCs w:val="21"/>
          <w:lang w:val="es-ES_tradnl"/>
        </w:rPr>
        <w:t>[…]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r w:rsidR="005470DF">
        <w:rPr>
          <w:rFonts w:ascii="Arial" w:eastAsia="Calibri" w:hAnsi="Arial" w:cs="Arial"/>
          <w:bCs/>
          <w:color w:val="000000" w:themeColor="text1"/>
          <w:sz w:val="21"/>
          <w:szCs w:val="21"/>
          <w:lang w:val="es-ES_tradnl"/>
        </w:rPr>
        <w:t>”</w:t>
      </w:r>
      <w:r w:rsidRPr="00864E72">
        <w:rPr>
          <w:rStyle w:val="Refdenotaalpie"/>
          <w:rFonts w:ascii="Arial" w:eastAsia="Calibri" w:hAnsi="Arial" w:cs="Arial"/>
          <w:bCs/>
          <w:color w:val="000000" w:themeColor="text1"/>
          <w:sz w:val="21"/>
          <w:szCs w:val="21"/>
          <w:lang w:val="es-ES_tradnl"/>
        </w:rPr>
        <w:footnoteReference w:id="36"/>
      </w:r>
      <w:r>
        <w:rPr>
          <w:rFonts w:ascii="Arial" w:eastAsia="Calibri" w:hAnsi="Arial" w:cs="Arial"/>
          <w:bCs/>
          <w:color w:val="000000" w:themeColor="text1"/>
          <w:sz w:val="21"/>
          <w:szCs w:val="21"/>
          <w:lang w:val="es-ES_tradnl"/>
        </w:rPr>
        <w:t>.</w:t>
      </w:r>
      <w:r w:rsidRPr="00864E72">
        <w:rPr>
          <w:rFonts w:ascii="Arial" w:eastAsia="Calibri" w:hAnsi="Arial" w:cs="Arial"/>
          <w:bCs/>
          <w:color w:val="000000" w:themeColor="text1"/>
          <w:sz w:val="21"/>
          <w:szCs w:val="21"/>
          <w:lang w:val="es-ES_tradnl"/>
        </w:rPr>
        <w:t xml:space="preserve"> (</w:t>
      </w:r>
      <w:r>
        <w:rPr>
          <w:rFonts w:ascii="Arial" w:eastAsia="Calibri" w:hAnsi="Arial" w:cs="Arial"/>
          <w:bCs/>
          <w:color w:val="000000" w:themeColor="text1"/>
          <w:sz w:val="21"/>
          <w:szCs w:val="21"/>
          <w:lang w:val="es-ES_tradnl"/>
        </w:rPr>
        <w:t>É</w:t>
      </w:r>
      <w:r w:rsidRPr="00864E72">
        <w:rPr>
          <w:rFonts w:ascii="Arial" w:eastAsia="Calibri" w:hAnsi="Arial" w:cs="Arial"/>
          <w:bCs/>
          <w:color w:val="000000" w:themeColor="text1"/>
          <w:sz w:val="21"/>
          <w:szCs w:val="21"/>
          <w:lang w:val="es-ES_tradnl"/>
        </w:rPr>
        <w:t>nfasis fuera de texto).</w:t>
      </w:r>
    </w:p>
    <w:p w14:paraId="3F0FD9D9" w14:textId="77777777" w:rsidR="008410D2" w:rsidRPr="00864E72" w:rsidRDefault="008410D2" w:rsidP="008410D2">
      <w:pPr>
        <w:tabs>
          <w:tab w:val="left" w:pos="0"/>
        </w:tabs>
        <w:spacing w:after="0" w:line="276" w:lineRule="auto"/>
        <w:ind w:firstLine="709"/>
        <w:jc w:val="both"/>
        <w:rPr>
          <w:rFonts w:ascii="Arial" w:eastAsia="Calibri" w:hAnsi="Arial" w:cs="Arial"/>
          <w:bCs/>
          <w:color w:val="000000" w:themeColor="text1"/>
          <w:lang w:val="es-ES_tradnl"/>
        </w:rPr>
      </w:pPr>
    </w:p>
    <w:p w14:paraId="5E2524FC" w14:textId="77777777" w:rsidR="008410D2" w:rsidRPr="00864E72" w:rsidRDefault="008410D2" w:rsidP="008410D2">
      <w:pPr>
        <w:spacing w:after="0" w:line="276" w:lineRule="auto"/>
        <w:ind w:firstLine="709"/>
        <w:jc w:val="both"/>
        <w:rPr>
          <w:rFonts w:ascii="Arial" w:eastAsia="Calibri" w:hAnsi="Arial" w:cs="Arial"/>
          <w:bCs/>
          <w:color w:val="000000" w:themeColor="text1"/>
          <w:lang w:val="es-ES_tradnl"/>
        </w:rPr>
      </w:pPr>
      <w:r w:rsidRPr="00864E72">
        <w:rPr>
          <w:rFonts w:ascii="Arial" w:eastAsia="Calibri" w:hAnsi="Arial" w:cs="Arial"/>
          <w:bCs/>
          <w:color w:val="000000" w:themeColor="text1"/>
          <w:lang w:val="es-ES_tradnl"/>
        </w:rPr>
        <w:t xml:space="preserve">Sin perjuicio de lo anterior, el artículo 17 de la Ley 142 de 1994 establece que </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 xml:space="preserve">Las entidades descentralizadas de cualquier orden territorial o nacional, cuyos propietarios no deseen que su capital esté representado en acciones, </w:t>
      </w:r>
      <w:r w:rsidRPr="00864E72">
        <w:rPr>
          <w:rFonts w:ascii="Arial" w:eastAsia="Calibri" w:hAnsi="Arial" w:cs="Arial"/>
          <w:bCs/>
          <w:i/>
          <w:iCs/>
          <w:color w:val="000000" w:themeColor="text1"/>
          <w:lang w:val="es-ES_tradnl"/>
        </w:rPr>
        <w:t>deberán adoptar la forma de empresa industrial y comercial del estado</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 xml:space="preserve"> (</w:t>
      </w:r>
      <w:r>
        <w:rPr>
          <w:rFonts w:ascii="Arial" w:eastAsia="Calibri" w:hAnsi="Arial" w:cs="Arial"/>
          <w:bCs/>
          <w:color w:val="000000" w:themeColor="text1"/>
          <w:lang w:val="es-ES_tradnl"/>
        </w:rPr>
        <w:t xml:space="preserve">Énfasis </w:t>
      </w:r>
      <w:r w:rsidRPr="00864E72">
        <w:rPr>
          <w:rFonts w:ascii="Arial" w:eastAsia="Calibri" w:hAnsi="Arial" w:cs="Arial"/>
          <w:bCs/>
          <w:color w:val="000000" w:themeColor="text1"/>
          <w:lang w:val="es-ES_tradnl"/>
        </w:rPr>
        <w:t xml:space="preserve">fuera de texto). Es decir que en tal evento esa es la </w:t>
      </w:r>
      <w:r w:rsidRPr="00864E72">
        <w:rPr>
          <w:rFonts w:ascii="Arial" w:eastAsia="Calibri" w:hAnsi="Arial" w:cs="Arial"/>
          <w:bCs/>
          <w:i/>
          <w:iCs/>
          <w:color w:val="000000" w:themeColor="text1"/>
          <w:lang w:val="es-ES_tradnl"/>
        </w:rPr>
        <w:t>naturaleza</w:t>
      </w:r>
      <w:r w:rsidRPr="00864E72">
        <w:rPr>
          <w:rFonts w:ascii="Arial" w:eastAsia="Calibri" w:hAnsi="Arial" w:cs="Arial"/>
          <w:bCs/>
          <w:color w:val="000000" w:themeColor="text1"/>
          <w:lang w:val="es-ES_tradnl"/>
        </w:rPr>
        <w:t xml:space="preserve"> de la empresa de servicios públicos domiciliarios. Así lo reconoció la Corte Constitucional en un apartado del fallo que se viene comentando, </w:t>
      </w:r>
      <w:r>
        <w:rPr>
          <w:rFonts w:ascii="Arial" w:eastAsia="Calibri" w:hAnsi="Arial" w:cs="Arial"/>
          <w:bCs/>
          <w:color w:val="000000" w:themeColor="text1"/>
          <w:lang w:val="es-ES_tradnl"/>
        </w:rPr>
        <w:t>pues</w:t>
      </w:r>
      <w:r w:rsidRPr="00864E72">
        <w:rPr>
          <w:rFonts w:ascii="Arial" w:eastAsia="Calibri" w:hAnsi="Arial" w:cs="Arial"/>
          <w:bCs/>
          <w:color w:val="000000" w:themeColor="text1"/>
          <w:lang w:val="es-ES_tradnl"/>
        </w:rPr>
        <w:t xml:space="preserve"> </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 xml:space="preserve">[…] el artículo 17 de la Ley en cita define así </w:t>
      </w:r>
      <w:r w:rsidRPr="00864E72">
        <w:rPr>
          <w:rFonts w:ascii="Arial" w:eastAsia="Calibri" w:hAnsi="Arial" w:cs="Arial"/>
          <w:bCs/>
          <w:i/>
          <w:iCs/>
          <w:color w:val="000000" w:themeColor="text1"/>
          <w:lang w:val="es-ES_tradnl"/>
        </w:rPr>
        <w:t>la naturaleza jurídica</w:t>
      </w:r>
      <w:r w:rsidRPr="00864E72">
        <w:rPr>
          <w:rFonts w:ascii="Arial" w:eastAsia="Calibri" w:hAnsi="Arial" w:cs="Arial"/>
          <w:bCs/>
          <w:color w:val="000000" w:themeColor="text1"/>
          <w:lang w:val="es-ES_tradnl"/>
        </w:rPr>
        <w:t xml:space="preserve"> de las empresas de servicios públicos</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 xml:space="preserve"> (</w:t>
      </w:r>
      <w:r>
        <w:rPr>
          <w:rFonts w:ascii="Arial" w:eastAsia="Calibri" w:hAnsi="Arial" w:cs="Arial"/>
          <w:bCs/>
          <w:color w:val="000000" w:themeColor="text1"/>
          <w:lang w:val="es-ES_tradnl"/>
        </w:rPr>
        <w:t>É</w:t>
      </w:r>
      <w:r w:rsidRPr="00864E72">
        <w:rPr>
          <w:rFonts w:ascii="Arial" w:eastAsia="Calibri" w:hAnsi="Arial" w:cs="Arial"/>
          <w:bCs/>
          <w:color w:val="000000" w:themeColor="text1"/>
          <w:lang w:val="es-ES_tradnl"/>
        </w:rPr>
        <w:t xml:space="preserve">nfasis fuera de texto). El Consejo de Estado también ha considerado, interpretando el mismo artículo, que las empresas de servicios públicos domiciliarios pueden tener la </w:t>
      </w:r>
      <w:r w:rsidRPr="00864E72">
        <w:rPr>
          <w:rFonts w:ascii="Arial" w:eastAsia="Calibri" w:hAnsi="Arial" w:cs="Arial"/>
          <w:bCs/>
          <w:i/>
          <w:iCs/>
          <w:color w:val="000000" w:themeColor="text1"/>
          <w:lang w:val="es-ES_tradnl"/>
        </w:rPr>
        <w:t>forma</w:t>
      </w:r>
      <w:r w:rsidRPr="00864E72">
        <w:rPr>
          <w:rFonts w:ascii="Arial" w:eastAsia="Calibri" w:hAnsi="Arial" w:cs="Arial"/>
          <w:bCs/>
          <w:color w:val="000000" w:themeColor="text1"/>
          <w:lang w:val="es-ES_tradnl"/>
        </w:rPr>
        <w:t xml:space="preserve"> de empresas industriales y comerciales del Estado o de sociedades por acciones. Lo dijo, por ejemplo, para otorgarles a las empresas industriales y comerciales del Estado que prestaran servicios públicos domiciliarios el carácter de entidades públicas e indicar que, por tanto, eran sujetos pasivos de la contribución especial prevista en el artículo 6 de la Ley 1106 de 2006. En tal sentido, dicha corporación judicial indicó: </w:t>
      </w:r>
    </w:p>
    <w:p w14:paraId="5208B881" w14:textId="77777777" w:rsidR="008410D2" w:rsidRPr="00864E72" w:rsidRDefault="008410D2" w:rsidP="008410D2">
      <w:pPr>
        <w:spacing w:after="0" w:line="276" w:lineRule="auto"/>
        <w:ind w:firstLine="709"/>
        <w:jc w:val="both"/>
        <w:rPr>
          <w:rFonts w:ascii="Arial" w:eastAsia="Calibri" w:hAnsi="Arial" w:cs="Arial"/>
          <w:bCs/>
          <w:color w:val="000000" w:themeColor="text1"/>
          <w:lang w:val="es-ES_tradnl"/>
        </w:rPr>
      </w:pPr>
    </w:p>
    <w:p w14:paraId="339B085A" w14:textId="4593B4C7" w:rsidR="008410D2" w:rsidRPr="00864E72" w:rsidRDefault="005470DF" w:rsidP="008410D2">
      <w:pPr>
        <w:tabs>
          <w:tab w:val="left" w:pos="0"/>
        </w:tabs>
        <w:spacing w:after="0" w:line="240" w:lineRule="auto"/>
        <w:ind w:left="709" w:right="709"/>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w:t>
      </w:r>
      <w:r w:rsidR="008410D2" w:rsidRPr="00864E72">
        <w:rPr>
          <w:rFonts w:ascii="Arial" w:eastAsia="Calibri" w:hAnsi="Arial" w:cs="Arial"/>
          <w:bCs/>
          <w:color w:val="000000" w:themeColor="text1"/>
          <w:sz w:val="21"/>
          <w:szCs w:val="21"/>
          <w:lang w:val="es-ES_tradnl"/>
        </w:rPr>
        <w:t>La Sala precisa que el acto acusado resolvió la consulta referida a una empresa de servicios públicos domiciliarios de naturaleza pública, toda vez que como se puso de presente se constituyó como empresa Industrial y Comercial del Estado, organismo que al tenor del artículo 38 de la Ley 489 de 1998, hace parte del sector descentralizado por servicios de la rama ejecutiva del poder público.</w:t>
      </w:r>
    </w:p>
    <w:p w14:paraId="5D9C3637" w14:textId="77777777" w:rsidR="008410D2" w:rsidRPr="00864E72" w:rsidRDefault="008410D2" w:rsidP="008410D2">
      <w:pPr>
        <w:tabs>
          <w:tab w:val="left" w:pos="0"/>
        </w:tabs>
        <w:spacing w:after="0" w:line="240" w:lineRule="auto"/>
        <w:ind w:left="709" w:right="709"/>
        <w:jc w:val="both"/>
        <w:rPr>
          <w:rFonts w:ascii="Arial" w:eastAsia="Calibri" w:hAnsi="Arial" w:cs="Arial"/>
          <w:bCs/>
          <w:color w:val="000000" w:themeColor="text1"/>
          <w:sz w:val="21"/>
          <w:szCs w:val="21"/>
          <w:lang w:val="es-ES_tradnl"/>
        </w:rPr>
      </w:pPr>
      <w:r w:rsidRPr="00864E72">
        <w:rPr>
          <w:rFonts w:ascii="Arial" w:eastAsia="Calibri" w:hAnsi="Arial" w:cs="Arial"/>
          <w:bCs/>
          <w:color w:val="000000" w:themeColor="text1"/>
          <w:sz w:val="21"/>
          <w:szCs w:val="21"/>
          <w:lang w:val="es-ES_tradnl"/>
        </w:rPr>
        <w:t xml:space="preserve">Ahora, el artículo 19 ibídem enuncia como régimen jurídico de las empresas en mención, las reglas, entre otras, sobre la denominación, duración, aportes, mecanismos de constitución, registro, emisión, colocación de acciones, causales de disolución. </w:t>
      </w:r>
    </w:p>
    <w:p w14:paraId="4CD8CDCC" w14:textId="77777777" w:rsidR="008410D2" w:rsidRPr="00864E72" w:rsidRDefault="008410D2" w:rsidP="008410D2">
      <w:pPr>
        <w:tabs>
          <w:tab w:val="left" w:pos="0"/>
        </w:tabs>
        <w:spacing w:after="0" w:line="240" w:lineRule="auto"/>
        <w:ind w:left="709" w:right="709"/>
        <w:jc w:val="both"/>
        <w:rPr>
          <w:rFonts w:ascii="Arial" w:eastAsia="Calibri" w:hAnsi="Arial" w:cs="Arial"/>
          <w:bCs/>
          <w:color w:val="000000" w:themeColor="text1"/>
          <w:sz w:val="21"/>
          <w:szCs w:val="21"/>
          <w:lang w:val="es-ES_tradnl"/>
        </w:rPr>
      </w:pPr>
      <w:r w:rsidRPr="00864E72">
        <w:rPr>
          <w:rFonts w:ascii="Arial" w:eastAsia="Calibri" w:hAnsi="Arial" w:cs="Arial"/>
          <w:bCs/>
          <w:color w:val="000000" w:themeColor="text1"/>
          <w:sz w:val="21"/>
          <w:szCs w:val="21"/>
          <w:lang w:val="es-ES_tradnl"/>
        </w:rPr>
        <w:t>[…]</w:t>
      </w:r>
    </w:p>
    <w:p w14:paraId="345BE194" w14:textId="5FCA049E" w:rsidR="008410D2" w:rsidRPr="00864E72" w:rsidRDefault="008410D2" w:rsidP="008410D2">
      <w:pPr>
        <w:tabs>
          <w:tab w:val="left" w:pos="0"/>
        </w:tabs>
        <w:spacing w:after="0" w:line="240" w:lineRule="auto"/>
        <w:ind w:left="709" w:right="709"/>
        <w:jc w:val="both"/>
        <w:rPr>
          <w:rFonts w:ascii="Arial" w:eastAsia="Calibri" w:hAnsi="Arial" w:cs="Arial"/>
          <w:bCs/>
          <w:color w:val="000000" w:themeColor="text1"/>
          <w:sz w:val="21"/>
          <w:szCs w:val="21"/>
          <w:lang w:val="es-ES_tradnl"/>
        </w:rPr>
      </w:pPr>
      <w:r w:rsidRPr="00864E72">
        <w:rPr>
          <w:rFonts w:ascii="Arial" w:eastAsia="Calibri" w:hAnsi="Arial" w:cs="Arial"/>
          <w:bCs/>
          <w:color w:val="000000" w:themeColor="text1"/>
          <w:sz w:val="21"/>
          <w:szCs w:val="21"/>
          <w:lang w:val="es-ES_tradnl"/>
        </w:rPr>
        <w:t>La Corte Constitucional en la sentencia C-318 de 1998 aludió al elemento subjetivo para determinar el contrato de obra pública a que se refiere la contribución en cuestión. Así pues, adquiere relevancia en este punto la naturaleza de cada entidad, por lo cual si se considera que determinado ente es estatal (empresa industrial y comercial del Estado), y celebra un contrato de obra está en el supuesto de la descripción del hecho gravado que contempla el artículo 6º de la Ley 1106 de 2006</w:t>
      </w:r>
      <w:r w:rsidR="005470DF">
        <w:rPr>
          <w:rFonts w:ascii="Arial" w:eastAsia="Calibri" w:hAnsi="Arial" w:cs="Arial"/>
          <w:bCs/>
          <w:color w:val="000000" w:themeColor="text1"/>
          <w:sz w:val="21"/>
          <w:szCs w:val="21"/>
          <w:lang w:val="es-ES_tradnl"/>
        </w:rPr>
        <w:t>”</w:t>
      </w:r>
      <w:r w:rsidRPr="00864E72">
        <w:rPr>
          <w:rStyle w:val="Refdenotaalpie"/>
          <w:rFonts w:ascii="Arial" w:eastAsia="Calibri" w:hAnsi="Arial" w:cs="Arial"/>
          <w:bCs/>
          <w:color w:val="000000" w:themeColor="text1"/>
          <w:sz w:val="21"/>
          <w:szCs w:val="21"/>
          <w:lang w:val="es-ES_tradnl"/>
        </w:rPr>
        <w:footnoteReference w:id="37"/>
      </w:r>
      <w:r w:rsidRPr="00864E72">
        <w:rPr>
          <w:rFonts w:ascii="Arial" w:eastAsia="Calibri" w:hAnsi="Arial" w:cs="Arial"/>
          <w:bCs/>
          <w:color w:val="000000" w:themeColor="text1"/>
          <w:sz w:val="21"/>
          <w:szCs w:val="21"/>
          <w:lang w:val="es-ES_tradnl"/>
        </w:rPr>
        <w:t>.</w:t>
      </w:r>
    </w:p>
    <w:p w14:paraId="43E9B5C5" w14:textId="77777777" w:rsidR="008410D2" w:rsidRPr="00305F77" w:rsidRDefault="008410D2" w:rsidP="008410D2">
      <w:pPr>
        <w:tabs>
          <w:tab w:val="left" w:pos="0"/>
        </w:tabs>
        <w:spacing w:after="0" w:line="276" w:lineRule="auto"/>
        <w:ind w:right="709"/>
        <w:jc w:val="both"/>
        <w:rPr>
          <w:rFonts w:ascii="Arial" w:eastAsia="Calibri" w:hAnsi="Arial" w:cs="Arial"/>
          <w:bCs/>
          <w:color w:val="000000" w:themeColor="text1"/>
          <w:lang w:val="es-ES_tradnl"/>
        </w:rPr>
      </w:pPr>
    </w:p>
    <w:p w14:paraId="77EF1995" w14:textId="442C2A0D" w:rsidR="008410D2" w:rsidRPr="00864E72" w:rsidRDefault="008410D2" w:rsidP="008410D2">
      <w:pPr>
        <w:spacing w:after="0" w:line="276" w:lineRule="auto"/>
        <w:ind w:firstLine="709"/>
        <w:jc w:val="both"/>
        <w:rPr>
          <w:rFonts w:ascii="Arial" w:eastAsia="Calibri" w:hAnsi="Arial" w:cs="Arial"/>
          <w:bCs/>
          <w:color w:val="000000" w:themeColor="text1"/>
          <w:lang w:val="es-ES_tradnl"/>
        </w:rPr>
      </w:pPr>
      <w:r w:rsidRPr="00864E72">
        <w:rPr>
          <w:rFonts w:ascii="Arial" w:eastAsia="Calibri" w:hAnsi="Arial" w:cs="Arial"/>
          <w:bCs/>
          <w:color w:val="000000" w:themeColor="text1"/>
          <w:lang w:val="es-ES_tradnl"/>
        </w:rPr>
        <w:t xml:space="preserve">En otras palabras, con fundamento en la jurisprudencia se concluyó </w:t>
      </w:r>
      <w:r w:rsidR="005470DF" w:rsidRPr="00864E72">
        <w:rPr>
          <w:rFonts w:ascii="Arial" w:eastAsia="Calibri" w:hAnsi="Arial" w:cs="Arial"/>
          <w:bCs/>
          <w:color w:val="000000" w:themeColor="text1"/>
          <w:lang w:val="es-ES_tradnl"/>
        </w:rPr>
        <w:t>que,</w:t>
      </w:r>
      <w:r w:rsidRPr="00864E72">
        <w:rPr>
          <w:rFonts w:ascii="Arial" w:eastAsia="Calibri" w:hAnsi="Arial" w:cs="Arial"/>
          <w:bCs/>
          <w:color w:val="000000" w:themeColor="text1"/>
          <w:lang w:val="es-ES_tradnl"/>
        </w:rPr>
        <w:t xml:space="preserve"> a las empresas prestadoras de servicios públicos domiciliarios, que, según el artículo 17 de la Ley 142 de 1994, se conformaran como empresas industriales y comerciales del Estado se les tenía en cuenta esta naturaleza jurídica –la de empresas industriales y comerciales del Estado–, para hacerlas destinatarias de la contribución especial. También en un reciente concepto la Superintendencia de Servicios Públicos Domiciliarios recordó que el legislador permitió que las empresas de servicios públicos domiciliarios adoptaran la forma de empresas industriales y comerciales del Estado, pero que el plazo para que esto se diera ya venció. En palabras de este organismo, </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Los plazos legales para efectuar la transformación a que alude el parágrafo del artículo 17 de la Ley 142 de 1994, de las entidades descentralizadas en Empresas Industriales y Comerciales del Estado, venció el 3 de enero de 1998, por lo que, a partir de tal fecha, aquéllas que no lo hicieron, debieron constituirse como sociedades por acciones; mientras que el término de transformación para la Nación y a las entidades territoriales (departamentos, municipios, distritos), que prestaban directamente los servicios públicos domiciliarios, de acuerdo con el artículo 182 referido, venció el 11 de enero de 1996</w:t>
      </w:r>
      <w:r>
        <w:rPr>
          <w:rFonts w:ascii="Arial" w:eastAsia="Calibri" w:hAnsi="Arial" w:cs="Arial"/>
          <w:bCs/>
          <w:color w:val="000000" w:themeColor="text1"/>
          <w:lang w:val="es-ES_tradnl"/>
        </w:rPr>
        <w:t>”</w:t>
      </w:r>
      <w:r w:rsidRPr="00864E72">
        <w:rPr>
          <w:rStyle w:val="Refdenotaalpie"/>
          <w:rFonts w:ascii="Arial" w:eastAsia="Calibri" w:hAnsi="Arial" w:cs="Arial"/>
          <w:bCs/>
          <w:color w:val="000000" w:themeColor="text1"/>
          <w:lang w:val="es-ES_tradnl"/>
        </w:rPr>
        <w:footnoteReference w:id="38"/>
      </w:r>
      <w:r w:rsidRPr="00864E72">
        <w:rPr>
          <w:rFonts w:ascii="Arial" w:eastAsia="Calibri" w:hAnsi="Arial" w:cs="Arial"/>
          <w:bCs/>
          <w:color w:val="000000" w:themeColor="text1"/>
          <w:lang w:val="es-ES_tradnl"/>
        </w:rPr>
        <w:t>.</w:t>
      </w:r>
    </w:p>
    <w:p w14:paraId="2AB57339" w14:textId="77777777" w:rsidR="008410D2" w:rsidRPr="00864E72" w:rsidRDefault="008410D2" w:rsidP="008410D2">
      <w:pPr>
        <w:spacing w:before="120" w:after="0" w:line="276" w:lineRule="auto"/>
        <w:ind w:firstLine="709"/>
        <w:jc w:val="both"/>
        <w:rPr>
          <w:rFonts w:ascii="Arial" w:eastAsia="Calibri" w:hAnsi="Arial" w:cs="Arial"/>
          <w:bCs/>
          <w:color w:val="000000" w:themeColor="text1"/>
          <w:lang w:val="es-ES_tradnl"/>
        </w:rPr>
      </w:pPr>
      <w:r w:rsidRPr="00864E72">
        <w:rPr>
          <w:rFonts w:ascii="Arial" w:eastAsia="Calibri" w:hAnsi="Arial" w:cs="Arial"/>
          <w:bCs/>
          <w:color w:val="000000" w:themeColor="text1"/>
          <w:lang w:val="es-ES_tradnl"/>
        </w:rPr>
        <w:t xml:space="preserve">En este orden de ideas, las excepciones consagradas en el parágrafo del artículo 56 de la Ley 2195 de 2022 solo se aplican a los órganos del Estado cuya naturaleza jurídica coincida con la de las entidades allí indicadas de manera </w:t>
      </w:r>
      <w:r w:rsidRPr="00864E72">
        <w:rPr>
          <w:rFonts w:ascii="Arial" w:eastAsia="Calibri" w:hAnsi="Arial" w:cs="Arial"/>
          <w:bCs/>
          <w:i/>
          <w:iCs/>
          <w:color w:val="000000" w:themeColor="text1"/>
          <w:lang w:val="es-ES_tradnl"/>
        </w:rPr>
        <w:t>taxativa</w:t>
      </w:r>
      <w:r w:rsidRPr="00864E72">
        <w:rPr>
          <w:rFonts w:ascii="Arial" w:eastAsia="Calibri" w:hAnsi="Arial" w:cs="Arial"/>
          <w:bCs/>
          <w:color w:val="000000" w:themeColor="text1"/>
          <w:lang w:val="es-ES_tradnl"/>
        </w:rPr>
        <w:t xml:space="preserve">, esto es, a </w:t>
      </w:r>
      <w:r>
        <w:rPr>
          <w:rFonts w:ascii="Arial" w:eastAsia="Calibri" w:hAnsi="Arial" w:cs="Arial"/>
          <w:bCs/>
          <w:color w:val="000000" w:themeColor="text1"/>
          <w:lang w:val="es-ES_tradnl"/>
        </w:rPr>
        <w:t>“</w:t>
      </w:r>
      <w:r w:rsidRPr="00864E72">
        <w:rPr>
          <w:rFonts w:ascii="Arial" w:hAnsi="Arial" w:cs="Arial"/>
          <w:color w:val="000000" w:themeColor="text1"/>
        </w:rPr>
        <w:t xml:space="preserve">[…] </w:t>
      </w:r>
      <w:r w:rsidRPr="00864E72">
        <w:rPr>
          <w:rFonts w:ascii="Arial" w:eastAsia="Calibri" w:hAnsi="Arial" w:cs="Arial"/>
          <w:bCs/>
          <w:color w:val="000000" w:themeColor="text1"/>
          <w:lang w:val="es-ES_tradnl"/>
        </w:rPr>
        <w:t>las Instituciones de Educación Superior públicas, las empresas sociales del Estado, las sociedades de economía mixta y las empresas industriales y comerciales del Estado, únicamente en cuanto a la contratación de su giro ordinario</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 xml:space="preserve">. Por consiguiente, cada entidad estatal deberá analizar su naturaleza jurídica y hacer una interpretación restrictiva de este parágrafo, pues las excepciones deben leerse de manera acorde con dicho parámetro hermenéutico. Tratándose de empresas prestadoras de servicios públicos domiciliarios, no sobra indicar que la autoridad competente para resolver las consultas relacionadas con aspectos asociados a su naturaleza jurídica es la Superintendencia de Servicios Públicos Domiciliarios, de conformidad con el artículo 11, numeral 2, del Decreto 1369 de 2020, según el cual dicha entidad debe </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Absolver las consultas jurídicas externas relativas al régimen de los servicios públicos domiciliarios</w:t>
      </w:r>
      <w:r>
        <w:rPr>
          <w:rFonts w:ascii="Arial" w:eastAsia="Calibri" w:hAnsi="Arial" w:cs="Arial"/>
          <w:bCs/>
          <w:color w:val="000000" w:themeColor="text1"/>
          <w:lang w:val="es-ES_tradnl"/>
        </w:rPr>
        <w:t>”</w:t>
      </w:r>
      <w:r w:rsidRPr="00864E72">
        <w:rPr>
          <w:rFonts w:ascii="Arial" w:eastAsia="Calibri" w:hAnsi="Arial" w:cs="Arial"/>
          <w:bCs/>
          <w:color w:val="000000" w:themeColor="text1"/>
          <w:lang w:val="es-ES_tradnl"/>
        </w:rPr>
        <w:t>.</w:t>
      </w:r>
    </w:p>
    <w:p w14:paraId="0E12228F" w14:textId="77777777" w:rsidR="008410D2" w:rsidRPr="00C046D8" w:rsidRDefault="008410D2" w:rsidP="008410D2">
      <w:pPr>
        <w:tabs>
          <w:tab w:val="left" w:pos="0"/>
        </w:tabs>
        <w:spacing w:after="0" w:line="276" w:lineRule="auto"/>
        <w:contextualSpacing/>
        <w:jc w:val="both"/>
        <w:rPr>
          <w:rFonts w:ascii="Arial" w:eastAsia="Calibri" w:hAnsi="Arial" w:cs="Arial"/>
          <w:b/>
          <w:lang w:val="es-ES_tradnl" w:eastAsia="es-ES_tradnl"/>
        </w:rPr>
      </w:pPr>
    </w:p>
    <w:p w14:paraId="68C47B0C" w14:textId="77777777" w:rsidR="008410D2" w:rsidRPr="00F47405" w:rsidRDefault="008410D2" w:rsidP="008410D2">
      <w:pPr>
        <w:tabs>
          <w:tab w:val="left" w:pos="0"/>
        </w:tabs>
        <w:spacing w:after="0" w:line="276" w:lineRule="auto"/>
        <w:contextualSpacing/>
        <w:jc w:val="both"/>
        <w:rPr>
          <w:rFonts w:ascii="Arial" w:eastAsia="Calibri" w:hAnsi="Arial" w:cs="Arial"/>
          <w:b/>
          <w:szCs w:val="24"/>
          <w:lang w:val="es-ES_tradnl" w:eastAsia="es-ES_tradnl"/>
        </w:rPr>
      </w:pPr>
      <w:r w:rsidRPr="00F47405">
        <w:rPr>
          <w:rFonts w:ascii="Arial" w:eastAsia="Calibri" w:hAnsi="Arial" w:cs="Arial"/>
          <w:b/>
          <w:szCs w:val="24"/>
          <w:lang w:val="es-ES_tradnl" w:eastAsia="es-ES_tradnl"/>
        </w:rPr>
        <w:t>2.</w:t>
      </w:r>
      <w:bookmarkStart w:id="25" w:name="_Hlk130800261"/>
      <w:r>
        <w:rPr>
          <w:rFonts w:ascii="Arial" w:eastAsia="Calibri" w:hAnsi="Arial" w:cs="Arial"/>
          <w:b/>
          <w:szCs w:val="24"/>
          <w:lang w:val="es-ES_tradnl" w:eastAsia="es-ES_tradnl"/>
        </w:rPr>
        <w:t>6</w:t>
      </w:r>
      <w:r w:rsidRPr="00F47405">
        <w:rPr>
          <w:rFonts w:ascii="Arial" w:eastAsia="Calibri" w:hAnsi="Arial" w:cs="Arial"/>
          <w:b/>
          <w:szCs w:val="24"/>
          <w:lang w:val="es-ES_tradnl" w:eastAsia="es-ES_tradnl"/>
        </w:rPr>
        <w:t>. Efectos</w:t>
      </w:r>
      <w:r>
        <w:rPr>
          <w:rFonts w:ascii="Arial" w:eastAsia="Calibri" w:hAnsi="Arial" w:cs="Arial"/>
          <w:b/>
          <w:szCs w:val="24"/>
          <w:lang w:val="es-ES_tradnl" w:eastAsia="es-ES_tradnl"/>
        </w:rPr>
        <w:t xml:space="preserve"> del artículo 56 de la Ley 2195</w:t>
      </w:r>
      <w:r w:rsidRPr="00F47405">
        <w:rPr>
          <w:rFonts w:ascii="Arial" w:eastAsia="Calibri" w:hAnsi="Arial" w:cs="Arial"/>
          <w:b/>
          <w:szCs w:val="24"/>
          <w:lang w:val="es-ES_tradnl" w:eastAsia="es-ES_tradnl"/>
        </w:rPr>
        <w:t xml:space="preserve"> respecto de la subcontratación realizada por entidades estatales exceptuadas, patrimonios autónomos, personas naturales o jurídicas que sean contratistas del Estado</w:t>
      </w:r>
    </w:p>
    <w:bookmarkEnd w:id="25"/>
    <w:p w14:paraId="54B176EA" w14:textId="77777777" w:rsidR="008410D2" w:rsidRPr="00C046D8" w:rsidRDefault="008410D2" w:rsidP="008410D2">
      <w:pPr>
        <w:tabs>
          <w:tab w:val="left" w:pos="0"/>
        </w:tabs>
        <w:spacing w:after="0" w:line="276" w:lineRule="auto"/>
        <w:contextualSpacing/>
        <w:jc w:val="both"/>
        <w:rPr>
          <w:rFonts w:ascii="Arial" w:eastAsia="Calibri" w:hAnsi="Arial" w:cs="Arial"/>
          <w:bCs/>
          <w:szCs w:val="24"/>
          <w:lang w:val="es-ES_tradnl" w:eastAsia="es-ES_tradnl"/>
        </w:rPr>
      </w:pPr>
    </w:p>
    <w:p w14:paraId="372BDD01" w14:textId="77777777" w:rsidR="008410D2" w:rsidRDefault="008410D2" w:rsidP="001A5552">
      <w:pPr>
        <w:tabs>
          <w:tab w:val="left" w:pos="0"/>
        </w:tabs>
        <w:spacing w:after="120" w:line="276" w:lineRule="auto"/>
        <w:jc w:val="both"/>
        <w:rPr>
          <w:rFonts w:ascii="Arial" w:eastAsia="Calibri" w:hAnsi="Arial" w:cs="Arial"/>
          <w:bCs/>
          <w:szCs w:val="24"/>
          <w:lang w:val="es-ES_tradnl" w:eastAsia="es-ES_tradnl"/>
        </w:rPr>
      </w:pPr>
      <w:r w:rsidRPr="00165C4E">
        <w:rPr>
          <w:rFonts w:ascii="Arial" w:eastAsia="Calibri" w:hAnsi="Arial" w:cs="Arial"/>
          <w:szCs w:val="24"/>
          <w:lang w:val="es-ES_tradnl" w:eastAsia="es-ES_tradnl"/>
        </w:rPr>
        <w:t>Conforme a la postura hermenéutica explicada en el presente concepto, el mandato de aplicación de los documentos tipo contenido en el artículo 56 de la Ley 2195 de 2022 es</w:t>
      </w:r>
      <w:r>
        <w:rPr>
          <w:rFonts w:ascii="Arial" w:eastAsia="Calibri" w:hAnsi="Arial" w:cs="Arial"/>
          <w:szCs w:val="24"/>
          <w:lang w:val="es-ES_tradnl" w:eastAsia="es-ES_tradnl"/>
        </w:rPr>
        <w:t>tá</w:t>
      </w:r>
      <w:r w:rsidRPr="00165C4E">
        <w:rPr>
          <w:rFonts w:ascii="Arial" w:eastAsia="Calibri" w:hAnsi="Arial" w:cs="Arial"/>
          <w:szCs w:val="24"/>
          <w:lang w:val="es-ES_tradnl" w:eastAsia="es-ES_tradnl"/>
        </w:rPr>
        <w:t xml:space="preserve"> dirigido</w:t>
      </w:r>
      <w:r>
        <w:rPr>
          <w:rFonts w:ascii="Arial" w:eastAsia="Calibri" w:hAnsi="Arial" w:cs="Arial"/>
          <w:szCs w:val="24"/>
          <w:lang w:val="es-ES_tradnl" w:eastAsia="es-ES_tradnl"/>
        </w:rPr>
        <w:t>,</w:t>
      </w:r>
      <w:r w:rsidRPr="00165C4E">
        <w:rPr>
          <w:rFonts w:ascii="Arial" w:eastAsia="Calibri" w:hAnsi="Arial" w:cs="Arial"/>
          <w:szCs w:val="24"/>
          <w:lang w:val="es-ES_tradnl" w:eastAsia="es-ES_tradnl"/>
        </w:rPr>
        <w:t xml:space="preserve"> en primera medida</w:t>
      </w:r>
      <w:r>
        <w:rPr>
          <w:rFonts w:ascii="Arial" w:eastAsia="Calibri" w:hAnsi="Arial" w:cs="Arial"/>
          <w:szCs w:val="24"/>
          <w:lang w:val="es-ES_tradnl" w:eastAsia="es-ES_tradnl"/>
        </w:rPr>
        <w:t>,</w:t>
      </w:r>
      <w:r w:rsidRPr="00165C4E">
        <w:rPr>
          <w:rFonts w:ascii="Arial" w:eastAsia="Calibri" w:hAnsi="Arial" w:cs="Arial"/>
          <w:szCs w:val="24"/>
          <w:lang w:val="es-ES_tradnl" w:eastAsia="es-ES_tradnl"/>
        </w:rPr>
        <w:t xml:space="preserve"> a las entidades sometidas al EGCAP, particularmente, a los negocios jurídicos que para la adquisición de bienes, obras o servicios celebren con otras entidades estatales exceptuadas, patrimonios autónomos, personas naturales o jurídicas de derecho privado. Por lo tanto, es posible afirmar que los efectos de la norma se proyectan a los negocios jurídicos descritos en el primer inciso, comoquiera que la norma no alude a procesos de selección o contratos diferentes de los requeridos para perfeccionar el negocio jurídico entre la Entidad Estatal sometida al EGCAP y el respectivo sujeto derecho privado. </w:t>
      </w:r>
    </w:p>
    <w:p w14:paraId="28CA3BB8" w14:textId="77777777" w:rsidR="008410D2" w:rsidRPr="00C046D8" w:rsidRDefault="008410D2" w:rsidP="001A5552">
      <w:pPr>
        <w:tabs>
          <w:tab w:val="left" w:pos="0"/>
        </w:tabs>
        <w:spacing w:after="120" w:line="276" w:lineRule="auto"/>
        <w:jc w:val="both"/>
        <w:rPr>
          <w:rFonts w:ascii="Arial" w:hAnsi="Arial" w:cs="Arial"/>
          <w:sz w:val="21"/>
          <w:szCs w:val="21"/>
        </w:rPr>
      </w:pPr>
      <w:r w:rsidRPr="00C046D8">
        <w:rPr>
          <w:rFonts w:ascii="Arial" w:eastAsia="Calibri" w:hAnsi="Arial" w:cs="Arial"/>
          <w:bCs/>
          <w:szCs w:val="24"/>
          <w:lang w:val="es-ES_tradnl" w:eastAsia="es-ES_tradnl"/>
        </w:rPr>
        <w:tab/>
      </w:r>
      <w:r w:rsidRPr="00165C4E">
        <w:rPr>
          <w:rFonts w:ascii="Arial" w:eastAsia="Calibri" w:hAnsi="Arial" w:cs="Arial"/>
          <w:szCs w:val="24"/>
          <w:lang w:val="es-ES_tradnl" w:eastAsia="es-ES_tradnl"/>
        </w:rPr>
        <w:t>Ahora bien, r</w:t>
      </w:r>
      <w:r w:rsidRPr="00165C4E">
        <w:rPr>
          <w:rFonts w:ascii="Arial" w:hAnsi="Arial" w:cs="Arial"/>
        </w:rPr>
        <w:t xml:space="preserve">especto de la subcontratación debe indicarse que, </w:t>
      </w:r>
      <w:r w:rsidRPr="00165C4E">
        <w:rPr>
          <w:rFonts w:ascii="Arial" w:hAnsi="Arial" w:cs="Arial"/>
          <w:lang w:val="es-ES"/>
        </w:rPr>
        <w:t>aunque en materia de contratación estatal hay algunas referencias a esta institución en las Leyes 80 de 1993</w:t>
      </w:r>
      <w:r w:rsidRPr="00165C4E">
        <w:rPr>
          <w:rFonts w:ascii="Arial" w:hAnsi="Arial" w:cs="Arial"/>
          <w:vertAlign w:val="superscript"/>
          <w:lang w:val="es-ES"/>
        </w:rPr>
        <w:footnoteReference w:id="39"/>
      </w:r>
      <w:r w:rsidRPr="00165C4E">
        <w:rPr>
          <w:rFonts w:ascii="Arial" w:hAnsi="Arial" w:cs="Arial"/>
          <w:lang w:val="es-ES"/>
        </w:rPr>
        <w:t xml:space="preserve"> y 1150 de 2007</w:t>
      </w:r>
      <w:r w:rsidRPr="00165C4E">
        <w:rPr>
          <w:rFonts w:ascii="Arial" w:hAnsi="Arial" w:cs="Arial"/>
          <w:vertAlign w:val="superscript"/>
          <w:lang w:val="es-ES"/>
        </w:rPr>
        <w:footnoteReference w:id="40"/>
      </w:r>
      <w:r w:rsidRPr="00165C4E">
        <w:rPr>
          <w:rFonts w:ascii="Arial" w:hAnsi="Arial" w:cs="Arial"/>
          <w:lang w:val="es-ES"/>
        </w:rPr>
        <w:t xml:space="preserve"> y en el Decreto 1082 de 2015</w:t>
      </w:r>
      <w:r w:rsidRPr="00165C4E">
        <w:rPr>
          <w:rFonts w:ascii="Arial" w:hAnsi="Arial" w:cs="Arial"/>
          <w:vertAlign w:val="superscript"/>
          <w:lang w:val="es-ES"/>
        </w:rPr>
        <w:footnoteReference w:id="41"/>
      </w:r>
      <w:r w:rsidRPr="00165C4E">
        <w:rPr>
          <w:rFonts w:ascii="Arial" w:hAnsi="Arial" w:cs="Arial"/>
          <w:lang w:val="es-ES"/>
        </w:rPr>
        <w:t xml:space="preserve">, el ordenamiento jurídico adolece de una disposición legal que brinde una definición de subcontratación. Sin embargo, la jurisprudencia y la doctrina se han encargado de estudiar y analizar la naturaleza de esta figura y han construido los elementos y características propias de la subcontratación. Por un lado, la doctrina ha señalado que </w:t>
      </w:r>
      <w:r w:rsidRPr="00165C4E">
        <w:rPr>
          <w:rFonts w:ascii="Arial" w:eastAsia="Times New Roman" w:hAnsi="Arial" w:cs="Arial"/>
          <w:lang w:eastAsia="es-ES_tradnl"/>
        </w:rPr>
        <w:t>“La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165C4E">
        <w:rPr>
          <w:rFonts w:ascii="Arial" w:eastAsia="Times New Roman" w:hAnsi="Arial" w:cs="Arial"/>
          <w:szCs w:val="24"/>
          <w:lang w:eastAsia="es-ES_tradnl"/>
        </w:rPr>
        <w:t>”</w:t>
      </w:r>
      <w:r w:rsidRPr="00165C4E">
        <w:rPr>
          <w:rFonts w:ascii="Arial" w:eastAsia="Times New Roman" w:hAnsi="Arial" w:cs="Arial"/>
          <w:vertAlign w:val="superscript"/>
          <w:lang w:eastAsia="es-ES_tradnl"/>
        </w:rPr>
        <w:footnoteReference w:id="42"/>
      </w:r>
      <w:r w:rsidRPr="00165C4E">
        <w:rPr>
          <w:rFonts w:ascii="Arial" w:eastAsia="Times New Roman" w:hAnsi="Arial" w:cs="Arial"/>
          <w:szCs w:val="24"/>
          <w:lang w:eastAsia="es-ES_tradnl"/>
        </w:rPr>
        <w:t xml:space="preserve">. En el ámbito internacional se ha entendido a la subcontratación como </w:t>
      </w:r>
      <w:r w:rsidRPr="00165C4E">
        <w:rPr>
          <w:rFonts w:ascii="Arial" w:eastAsia="Times New Roman" w:hAnsi="Arial" w:cs="Arial"/>
          <w:lang w:eastAsia="es-ES_tradnl"/>
        </w:rPr>
        <w:t>“</w:t>
      </w:r>
      <w:r w:rsidRPr="00165C4E">
        <w:rPr>
          <w:rFonts w:ascii="Arial" w:eastAsia="Times New Roman" w:hAnsi="Arial" w:cs="Arial"/>
          <w:szCs w:val="24"/>
          <w:lang w:eastAsia="es-ES_tradnl"/>
        </w:rPr>
        <w:t>La práctica mercantil de organización productiva en virtud de la cual el contratista o subcontratista encarga a otro subcontratista o trabajador autónomo parte de lo que a él se le ha encomendado”</w:t>
      </w:r>
      <w:r w:rsidRPr="00165C4E">
        <w:rPr>
          <w:rFonts w:ascii="Arial" w:eastAsia="Times New Roman" w:hAnsi="Arial" w:cs="Arial"/>
          <w:szCs w:val="24"/>
          <w:vertAlign w:val="superscript"/>
          <w:lang w:eastAsia="es-ES_tradnl"/>
        </w:rPr>
        <w:footnoteReference w:id="43"/>
      </w:r>
      <w:r w:rsidRPr="00165C4E">
        <w:rPr>
          <w:rFonts w:ascii="Arial" w:eastAsia="Times New Roman" w:hAnsi="Arial" w:cs="Arial"/>
          <w:szCs w:val="24"/>
          <w:lang w:eastAsia="es-ES_tradnl"/>
        </w:rPr>
        <w:t xml:space="preserve">. En el marco de esta figura, se define el nivel de subcontratación como </w:t>
      </w:r>
      <w:r w:rsidRPr="00165C4E">
        <w:rPr>
          <w:rFonts w:ascii="Arial" w:eastAsia="Times New Roman" w:hAnsi="Arial" w:cs="Arial"/>
          <w:lang w:eastAsia="es-ES_tradnl"/>
        </w:rPr>
        <w:t>“</w:t>
      </w:r>
      <w:r w:rsidRPr="00165C4E">
        <w:rPr>
          <w:rFonts w:ascii="Arial" w:eastAsia="Times New Roman" w:hAnsi="Arial" w:cs="Arial"/>
          <w:szCs w:val="24"/>
          <w:lang w:eastAsia="es-ES_tradnl"/>
        </w:rPr>
        <w:t>Cada uno de los escalones en que se estructura el proceso de subcontratación que se desarrolla para la ejecución de la totalidad o parte de la obra asumida contractualmente por el contratista con el promotor”</w:t>
      </w:r>
      <w:r w:rsidRPr="00165C4E">
        <w:rPr>
          <w:rFonts w:ascii="Arial" w:eastAsia="Times New Roman" w:hAnsi="Arial" w:cs="Arial"/>
          <w:szCs w:val="24"/>
          <w:vertAlign w:val="superscript"/>
          <w:lang w:eastAsia="es-ES_tradnl"/>
        </w:rPr>
        <w:footnoteReference w:id="44"/>
      </w:r>
      <w:r w:rsidRPr="00165C4E">
        <w:rPr>
          <w:rFonts w:ascii="Arial" w:hAnsi="Arial" w:cs="Arial"/>
        </w:rPr>
        <w:t>.</w:t>
      </w:r>
      <w:r w:rsidRPr="00C046D8">
        <w:rPr>
          <w:rFonts w:ascii="Arial" w:hAnsi="Arial" w:cs="Arial"/>
        </w:rPr>
        <w:t xml:space="preserve"> </w:t>
      </w:r>
    </w:p>
    <w:p w14:paraId="7161B8D7" w14:textId="77777777" w:rsidR="008410D2" w:rsidRPr="00C046D8" w:rsidRDefault="008410D2" w:rsidP="001A5552">
      <w:pPr>
        <w:spacing w:after="120" w:line="276" w:lineRule="auto"/>
        <w:ind w:firstLine="709"/>
        <w:jc w:val="both"/>
        <w:rPr>
          <w:rFonts w:ascii="Arial" w:eastAsia="Times New Roman" w:hAnsi="Arial" w:cs="Arial"/>
          <w:szCs w:val="24"/>
          <w:lang w:eastAsia="es-ES_tradnl"/>
        </w:rPr>
      </w:pPr>
      <w:r w:rsidRPr="00C046D8">
        <w:rPr>
          <w:rFonts w:ascii="Arial" w:eastAsia="Times New Roman" w:hAnsi="Arial" w:cs="Arial"/>
          <w:szCs w:val="24"/>
          <w:lang w:eastAsia="es-ES_tradnl"/>
        </w:rPr>
        <w:t>De lo expuesto se resaltan como características esenciales de la subcontratación las siguientes: i) es un contrato eventual, en la medida en que depende de una regulación previa a su celebración en el pliego de condiciones o en el contrato estatal,</w:t>
      </w:r>
      <w:r w:rsidRPr="00C046D8">
        <w:rPr>
          <w:rFonts w:ascii="Arial" w:eastAsia="Times New Roman" w:hAnsi="Arial" w:cs="Arial"/>
          <w:lang w:eastAsia="es-ES_tradnl"/>
        </w:rPr>
        <w:t xml:space="preserve"> </w:t>
      </w:r>
      <w:proofErr w:type="spellStart"/>
      <w:r w:rsidRPr="00C046D8">
        <w:rPr>
          <w:rFonts w:ascii="Arial" w:eastAsia="Times New Roman" w:hAnsi="Arial" w:cs="Arial"/>
          <w:lang w:eastAsia="es-ES_tradnl"/>
        </w:rPr>
        <w:t>ii</w:t>
      </w:r>
      <w:proofErr w:type="spellEnd"/>
      <w:r w:rsidRPr="00C046D8">
        <w:rPr>
          <w:rFonts w:ascii="Arial" w:eastAsia="Times New Roman" w:hAnsi="Arial" w:cs="Arial"/>
          <w:lang w:eastAsia="es-ES_tradnl"/>
        </w:rPr>
        <w:t xml:space="preserve">) es </w:t>
      </w:r>
      <w:r w:rsidRPr="00C046D8">
        <w:rPr>
          <w:rFonts w:ascii="Arial" w:eastAsia="Times New Roman" w:hAnsi="Arial" w:cs="Arial"/>
          <w:szCs w:val="24"/>
          <w:lang w:eastAsia="es-ES_tradnl"/>
        </w:rPr>
        <w:t xml:space="preserve">un contrato accesorio, pues asegura el cumplimiento de la obligación principal, </w:t>
      </w:r>
      <w:proofErr w:type="spellStart"/>
      <w:r w:rsidRPr="00C046D8">
        <w:rPr>
          <w:rFonts w:ascii="Arial" w:eastAsia="Times New Roman" w:hAnsi="Arial" w:cs="Arial"/>
          <w:szCs w:val="24"/>
          <w:lang w:eastAsia="es-ES_tradnl"/>
        </w:rPr>
        <w:t>iii</w:t>
      </w:r>
      <w:proofErr w:type="spellEnd"/>
      <w:r w:rsidRPr="00C046D8">
        <w:rPr>
          <w:rFonts w:ascii="Arial" w:eastAsia="Times New Roman" w:hAnsi="Arial" w:cs="Arial"/>
          <w:szCs w:val="24"/>
          <w:lang w:eastAsia="es-ES_tradnl"/>
        </w:rPr>
        <w:t xml:space="preserve">) la relación jurídica que surge entre el </w:t>
      </w:r>
      <w:r w:rsidRPr="00C046D8">
        <w:rPr>
          <w:rFonts w:ascii="Arial" w:eastAsia="Times New Roman" w:hAnsi="Arial" w:cs="Arial"/>
          <w:lang w:eastAsia="es-ES_tradnl"/>
        </w:rPr>
        <w:t>contratista del estado y el tercero</w:t>
      </w:r>
      <w:r w:rsidRPr="00C046D8">
        <w:rPr>
          <w:rFonts w:ascii="Arial" w:eastAsia="Times New Roman" w:hAnsi="Arial" w:cs="Arial"/>
          <w:szCs w:val="24"/>
          <w:lang w:eastAsia="es-ES_tradnl"/>
        </w:rPr>
        <w:t xml:space="preserve"> es independiente y autónoma de la entidad contratante, </w:t>
      </w:r>
      <w:proofErr w:type="spellStart"/>
      <w:r w:rsidRPr="00C046D8">
        <w:rPr>
          <w:rFonts w:ascii="Arial" w:eastAsia="Times New Roman" w:hAnsi="Arial" w:cs="Arial"/>
          <w:bCs/>
          <w:szCs w:val="24"/>
          <w:lang w:val="es-ES" w:eastAsia="es-ES_tradnl"/>
        </w:rPr>
        <w:t>iv</w:t>
      </w:r>
      <w:proofErr w:type="spellEnd"/>
      <w:r w:rsidRPr="00C046D8">
        <w:rPr>
          <w:rFonts w:ascii="Arial" w:eastAsia="Times New Roman" w:hAnsi="Arial" w:cs="Arial"/>
          <w:bCs/>
          <w:szCs w:val="24"/>
          <w:lang w:val="es-ES" w:eastAsia="es-ES_tradnl"/>
        </w:rPr>
        <w:t>) la sustitución es parcial, lo que significa que no podrán subcontratar la ejecución total del contrato principal y vi) la sustitución es material y no jurídica, por lo tanto, no relevará al contratista del estado de las responsabilidades emanadas del contrato principal.</w:t>
      </w:r>
    </w:p>
    <w:p w14:paraId="4CFCF662" w14:textId="77777777" w:rsidR="008410D2" w:rsidRPr="00C046D8" w:rsidRDefault="008410D2" w:rsidP="001A5552">
      <w:pPr>
        <w:spacing w:after="120" w:line="276" w:lineRule="auto"/>
        <w:ind w:firstLine="709"/>
        <w:jc w:val="both"/>
        <w:rPr>
          <w:rFonts w:ascii="Arial" w:eastAsia="Times New Roman" w:hAnsi="Arial" w:cs="Arial"/>
          <w:szCs w:val="24"/>
          <w:lang w:eastAsia="es-ES_tradnl"/>
        </w:rPr>
      </w:pPr>
      <w:r w:rsidRPr="00C046D8">
        <w:rPr>
          <w:rFonts w:ascii="Arial" w:hAnsi="Arial" w:cs="Arial"/>
          <w:lang w:val="es-ES"/>
        </w:rPr>
        <w:t>Teniendo en cuenta lo expuesto, l</w:t>
      </w:r>
      <w:r w:rsidRPr="00C046D8">
        <w:rPr>
          <w:rFonts w:ascii="Arial" w:eastAsia="Times New Roman" w:hAnsi="Arial" w:cs="Arial"/>
          <w:lang w:eastAsia="es-ES_tradnl"/>
        </w:rPr>
        <w:t xml:space="preserve">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w:t>
      </w:r>
      <w:r>
        <w:rPr>
          <w:rFonts w:ascii="Arial" w:eastAsia="Times New Roman" w:hAnsi="Arial" w:cs="Arial"/>
          <w:lang w:eastAsia="es-ES_tradnl"/>
        </w:rPr>
        <w:t>Entidad Estatal</w:t>
      </w:r>
      <w:r w:rsidRPr="00C046D8">
        <w:rPr>
          <w:rFonts w:ascii="Arial" w:eastAsia="Times New Roman" w:hAnsi="Arial" w:cs="Arial"/>
          <w:lang w:eastAsia="es-ES_tradnl"/>
        </w:rPr>
        <w:t xml:space="preserve">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1F84E532" w14:textId="77777777" w:rsidR="008410D2" w:rsidRPr="00C046D8" w:rsidRDefault="008410D2" w:rsidP="001A5552">
      <w:pPr>
        <w:spacing w:after="120" w:line="276" w:lineRule="auto"/>
        <w:ind w:firstLine="709"/>
        <w:jc w:val="both"/>
        <w:rPr>
          <w:rFonts w:ascii="Arial" w:eastAsia="Calibri" w:hAnsi="Arial" w:cs="Arial"/>
          <w:bCs/>
          <w:lang w:val="es-ES_tradnl" w:eastAsia="es-ES_tradnl"/>
        </w:rPr>
      </w:pPr>
      <w:r w:rsidRPr="00165C4E">
        <w:rPr>
          <w:rFonts w:ascii="Arial" w:eastAsia="Times New Roman" w:hAnsi="Arial" w:cs="Arial"/>
          <w:lang w:eastAsia="es-ES_tradnl"/>
        </w:rPr>
        <w:t>Con base en estos elementos, debe tenerse en cuenta que la situación de los subcontratistas no hace parte de aquella circunstancia que quiso regular el artículo objeto de estudio. E</w:t>
      </w:r>
      <w:r w:rsidRPr="00165C4E">
        <w:rPr>
          <w:rFonts w:ascii="Arial" w:eastAsia="Calibri" w:hAnsi="Arial" w:cs="Arial"/>
          <w:lang w:val="es-ES_tradnl" w:eastAsia="es-ES_tradnl"/>
        </w:rPr>
        <w:t>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 Tampoco se observa que la norma aprobada faculte a los mencionados sujetos de derecho privado a fungir como entidades estatales en estos subcontratos, ejerciendo potestades unilaterales o exorbitantes.</w:t>
      </w:r>
      <w:r w:rsidRPr="00C046D8">
        <w:rPr>
          <w:rFonts w:ascii="Arial" w:eastAsia="Calibri" w:hAnsi="Arial" w:cs="Arial"/>
          <w:bCs/>
          <w:lang w:val="es-ES_tradnl" w:eastAsia="es-ES_tradnl"/>
        </w:rPr>
        <w:t xml:space="preserve">  </w:t>
      </w:r>
    </w:p>
    <w:p w14:paraId="48596F9A" w14:textId="77777777" w:rsidR="008410D2" w:rsidRDefault="008410D2" w:rsidP="008410D2">
      <w:pPr>
        <w:tabs>
          <w:tab w:val="left" w:pos="0"/>
        </w:tabs>
        <w:spacing w:after="0" w:line="276" w:lineRule="auto"/>
        <w:contextualSpacing/>
        <w:jc w:val="both"/>
        <w:rPr>
          <w:rFonts w:ascii="Arial" w:eastAsia="Times New Roman" w:hAnsi="Arial" w:cs="Arial"/>
          <w:lang w:val="es-ES_tradnl" w:eastAsia="es-ES_tradnl"/>
        </w:rPr>
      </w:pPr>
      <w:r w:rsidRPr="00C046D8">
        <w:rPr>
          <w:rFonts w:ascii="Arial" w:eastAsia="Times New Roman" w:hAnsi="Arial" w:cs="Arial"/>
          <w:lang w:val="es-ES_tradnl" w:eastAsia="es-ES_tradnl"/>
        </w:rPr>
        <w:tab/>
      </w:r>
      <w:bookmarkStart w:id="26" w:name="_Hlk113023769"/>
      <w:r w:rsidRPr="00165C4E">
        <w:rPr>
          <w:rFonts w:ascii="Arial" w:eastAsia="Times New Roman" w:hAnsi="Arial" w:cs="Arial"/>
          <w:lang w:val="es-ES_tradnl" w:eastAsia="es-ES_tradnl"/>
        </w:rPr>
        <w:t>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por cuanto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sobre la extensión de una Ley previamente explicada</w:t>
      </w:r>
      <w:bookmarkEnd w:id="26"/>
      <w:r w:rsidRPr="00165C4E">
        <w:rPr>
          <w:rFonts w:ascii="Arial" w:eastAsia="Times New Roman" w:hAnsi="Arial" w:cs="Arial"/>
          <w:vertAlign w:val="superscript"/>
          <w:lang w:val="es-ES_tradnl" w:eastAsia="es-ES_tradnl"/>
        </w:rPr>
        <w:footnoteReference w:id="45"/>
      </w:r>
      <w:r w:rsidRPr="00165C4E">
        <w:rPr>
          <w:rFonts w:ascii="Arial" w:eastAsia="Times New Roman" w:hAnsi="Arial" w:cs="Arial"/>
          <w:lang w:val="es-ES_tradnl" w:eastAsia="es-ES_tradnl"/>
        </w:rPr>
        <w:t>.</w:t>
      </w:r>
    </w:p>
    <w:p w14:paraId="2A1B48E1" w14:textId="77777777" w:rsidR="008410D2" w:rsidRDefault="008410D2" w:rsidP="008410D2">
      <w:pPr>
        <w:tabs>
          <w:tab w:val="left" w:pos="0"/>
        </w:tabs>
        <w:spacing w:after="0" w:line="276" w:lineRule="auto"/>
        <w:contextualSpacing/>
        <w:jc w:val="both"/>
        <w:rPr>
          <w:rFonts w:ascii="Arial" w:eastAsia="Times New Roman" w:hAnsi="Arial" w:cs="Arial"/>
          <w:lang w:val="es-ES_tradnl" w:eastAsia="es-ES_tradnl"/>
        </w:rPr>
      </w:pPr>
    </w:p>
    <w:p w14:paraId="73C7A2B9" w14:textId="77777777" w:rsidR="008410D2" w:rsidRDefault="008410D2" w:rsidP="008410D2">
      <w:pPr>
        <w:tabs>
          <w:tab w:val="left" w:pos="0"/>
        </w:tabs>
        <w:spacing w:after="0" w:line="276" w:lineRule="auto"/>
        <w:contextualSpacing/>
        <w:jc w:val="both"/>
        <w:rPr>
          <w:rFonts w:ascii="Arial" w:eastAsia="Times New Roman" w:hAnsi="Arial" w:cs="Arial"/>
          <w:b/>
          <w:bCs/>
          <w:lang w:val="es-ES_tradnl" w:eastAsia="es-ES_tradnl"/>
        </w:rPr>
      </w:pPr>
      <w:r w:rsidRPr="002B3AC5">
        <w:rPr>
          <w:rFonts w:ascii="Arial" w:eastAsia="Times New Roman" w:hAnsi="Arial" w:cs="Arial"/>
          <w:b/>
          <w:bCs/>
          <w:lang w:val="es-ES_tradnl" w:eastAsia="es-ES_tradnl"/>
        </w:rPr>
        <w:t>2.7. Obras y servicios adicionales en los documentos tipo de obra pública para construcción de infraestructura social de cultura, recreación y deporte</w:t>
      </w:r>
    </w:p>
    <w:p w14:paraId="4CBA7BE2" w14:textId="77777777" w:rsidR="008410D2" w:rsidRDefault="008410D2" w:rsidP="001A5552">
      <w:pPr>
        <w:tabs>
          <w:tab w:val="left" w:pos="0"/>
        </w:tabs>
        <w:spacing w:after="0" w:line="240" w:lineRule="auto"/>
        <w:contextualSpacing/>
        <w:jc w:val="both"/>
        <w:rPr>
          <w:rFonts w:ascii="Arial" w:eastAsia="Times New Roman" w:hAnsi="Arial" w:cs="Arial"/>
          <w:b/>
          <w:bCs/>
          <w:lang w:val="es-ES_tradnl" w:eastAsia="es-ES_tradnl"/>
        </w:rPr>
      </w:pPr>
    </w:p>
    <w:p w14:paraId="292F5D80" w14:textId="77777777" w:rsidR="008410D2" w:rsidRDefault="008410D2" w:rsidP="001A5552">
      <w:pPr>
        <w:spacing w:after="120" w:line="276" w:lineRule="auto"/>
        <w:jc w:val="both"/>
        <w:rPr>
          <w:rFonts w:ascii="Arial" w:eastAsia="Calibri" w:hAnsi="Arial" w:cs="Arial"/>
        </w:rPr>
      </w:pPr>
      <w:r w:rsidRPr="00A66ED6">
        <w:rPr>
          <w:rFonts w:ascii="Arial" w:eastAsia="Calibri" w:hAnsi="Arial" w:cs="Arial"/>
          <w:shd w:val="clear" w:color="auto" w:fill="FFFFFF" w:themeFill="background1"/>
        </w:rPr>
        <w:t>En los Documentos Tipo</w:t>
      </w:r>
      <w:r>
        <w:rPr>
          <w:rFonts w:ascii="Arial" w:eastAsia="Calibri" w:hAnsi="Arial" w:cs="Arial"/>
        </w:rPr>
        <w:t xml:space="preserve"> de licitación de obra pública de infraestructura social adoptados por la Agencia mediante la Resolución 219 del 6 de agosto de 2021, para definir si aplican a un tipo de obra específico del sector cultura, recreación y deporte, la entidad estatal –en la etapa de planeación– debe identificar el tipo de infraestructura y las actividades definidas en la matriz de experiencia de acuerdo con el alcance del objeto a contratar. De igual manera, para establecer si los documentos tipo son aplicables, debe tener en cuenta los conceptos propios de la ingeniería civil y los definidos del glosario correspondiente. Esto con el fin de verificar si el objeto se encuentra enmarcado en estas actividades. </w:t>
      </w:r>
    </w:p>
    <w:p w14:paraId="1922CD85" w14:textId="77777777" w:rsidR="008410D2" w:rsidRDefault="008410D2" w:rsidP="001A5552">
      <w:pPr>
        <w:spacing w:after="120" w:line="276" w:lineRule="auto"/>
        <w:ind w:firstLine="708"/>
        <w:jc w:val="both"/>
        <w:rPr>
          <w:rFonts w:ascii="Arial" w:eastAsia="Calibri" w:hAnsi="Arial" w:cs="Arial"/>
        </w:rPr>
      </w:pPr>
      <w:r>
        <w:rPr>
          <w:rFonts w:ascii="Arial" w:eastAsia="Calibri" w:hAnsi="Arial" w:cs="Arial"/>
        </w:rPr>
        <w:t>Es necesario tener en cuenta que la Resolución 219 del 6 de agosto de 2021 fue modificada por las Resoluciones 336 del 2 de noviembre de 2021 y 275 del 24 de junio de 2022. Adicionalmente, tanto la matriz de experiencia como el glosario se expidieron mediante la Resolución 454 del 16 de diciembre de 2021, “</w:t>
      </w:r>
      <w:r w:rsidRPr="00F404F6">
        <w:rPr>
          <w:rFonts w:ascii="Arial" w:eastAsia="Calibri" w:hAnsi="Arial" w:cs="Arial"/>
        </w:rPr>
        <w:t>Por la cual se adoptan los documentos tipo complementarios para los procesos de licitación de obra pública de infraestructura social relacionados con el sector cultura, recreación y depor</w:t>
      </w:r>
      <w:r>
        <w:rPr>
          <w:rFonts w:ascii="Arial" w:eastAsia="Calibri" w:hAnsi="Arial" w:cs="Arial"/>
        </w:rPr>
        <w:t>te”. De esta manera, para definir la experiencia exigible la entidad estatal debe seguir los siguientes pasos:</w:t>
      </w:r>
    </w:p>
    <w:p w14:paraId="67332EDF" w14:textId="77777777" w:rsidR="008410D2" w:rsidRDefault="008410D2" w:rsidP="008410D2">
      <w:pPr>
        <w:spacing w:after="0" w:line="276" w:lineRule="auto"/>
        <w:ind w:firstLine="708"/>
        <w:jc w:val="both"/>
        <w:rPr>
          <w:rFonts w:ascii="Arial" w:eastAsia="Calibri" w:hAnsi="Arial" w:cs="Arial"/>
        </w:rPr>
      </w:pPr>
      <w:r>
        <w:rPr>
          <w:rFonts w:ascii="Arial" w:eastAsia="Calibri" w:hAnsi="Arial" w:cs="Arial"/>
        </w:rPr>
        <w:t>a) Identificar en la “Matriz – Experiencia</w:t>
      </w:r>
      <w:r w:rsidRPr="00F404F6">
        <w:rPr>
          <w:rFonts w:ascii="Arial" w:eastAsia="Calibri" w:hAnsi="Arial" w:cs="Arial"/>
        </w:rPr>
        <w:t xml:space="preserve"> Sector Cultura, Recreación y Deporte</w:t>
      </w:r>
      <w:r>
        <w:rPr>
          <w:rFonts w:ascii="Arial" w:eastAsia="Calibri" w:hAnsi="Arial" w:cs="Arial"/>
        </w:rPr>
        <w:t>”, el tipo de infraestructura sobre el cual recae la obra a ejecutar. Al respecto esta matriz contiene dos (2) secciones: 1. OBRAS DE INFRAESTRUCTURA CULTURAL y 2. OBRAS EN INFRAESTRUCTURA RECREO DEPORTIVA.</w:t>
      </w:r>
      <w:r>
        <w:rPr>
          <w:rFonts w:ascii="Arial" w:eastAsia="Calibri" w:hAnsi="Arial" w:cs="Arial"/>
        </w:rPr>
        <w:tab/>
      </w:r>
    </w:p>
    <w:p w14:paraId="319A0CC3"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 xml:space="preserve">b) Una vez definido el tipo de infraestructura, identificar la “ACTIVIDAD A CONTRATAR” acorde con la Matriz de experiencia. </w:t>
      </w:r>
    </w:p>
    <w:p w14:paraId="7DE84FF4"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c) Identificar el rango en el cual se encuentra el procedimiento de contratación de acuerdo con el presupuesto oficial.</w:t>
      </w:r>
    </w:p>
    <w:p w14:paraId="54504FE8"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d) Identificar la “experiencia general” exigible acorde con la “Matriz – Experiencia</w:t>
      </w:r>
      <w:r w:rsidRPr="00F404F6">
        <w:rPr>
          <w:rFonts w:ascii="Arial" w:eastAsia="Calibri" w:hAnsi="Arial" w:cs="Arial"/>
        </w:rPr>
        <w:t xml:space="preserve"> Sector Cultura, Recreación y Deporte</w:t>
      </w:r>
      <w:r>
        <w:rPr>
          <w:rFonts w:ascii="Arial" w:eastAsia="Calibri" w:hAnsi="Arial" w:cs="Arial"/>
        </w:rPr>
        <w:t>”, teniendo en cuenta la actividad a contratar y el rango de la cuantía del procedimiento contractual.</w:t>
      </w:r>
    </w:p>
    <w:p w14:paraId="28165252"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e) Identificar la “experiencia específica” exigible y el porcentaje de dimensionamiento que se puede solicitar, acorde con la longitud –u otra magnitud– a ejecutar, de acuerdo con la cuantía del procedimiento de contratación. Cuando en la “experiencia específica” se indiquen las siglas N.A., significa que la entidad estatal no puede exigir a los proponentes ningún tipo de experiencia específica en los procedimientos de contratación.</w:t>
      </w:r>
    </w:p>
    <w:p w14:paraId="7B60E1DC"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En este sentido, la “experiencia general” y la “experiencia específica” se exigirán de acuerdo con la actividad a contratar y con la cuantía del procedimiento de contratación. Por lo tanto, no podrán exigirse actividades o cantidades distintas a las previstas en la “Matriz – Experiencia</w:t>
      </w:r>
      <w:r w:rsidRPr="00F404F6">
        <w:rPr>
          <w:rFonts w:ascii="Arial" w:eastAsia="Calibri" w:hAnsi="Arial" w:cs="Arial"/>
        </w:rPr>
        <w:t xml:space="preserve"> Sector Cultura, Recreación y Deporte</w:t>
      </w:r>
      <w:r>
        <w:rPr>
          <w:rFonts w:ascii="Arial" w:eastAsia="Calibri" w:hAnsi="Arial" w:cs="Arial"/>
        </w:rPr>
        <w:t>”.</w:t>
      </w:r>
    </w:p>
    <w:p w14:paraId="4EC5BF77"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Una excepción a la regla anterior fue desarrollada en la Resolución 219 del 6 de agosto de 2021, al contemplar que la entidad puede solicitar experiencia adicional para evaluar la idoneidad del contratista en procesos de contratación de licitación de obra pública de infraestructura de infraestructura social, que incluyen bienes o servicios adicionales. Estos deben ser necesidades que no están incluidas en el alcance de la obra y que su ejecución se contempla en el mismo procedimiento de contratación. Por ello, con fundamento en esta disposición las entidades pueden requerir experiencia añadida cuando el bien o servicio adicional es de tal magnitud que no es posible valorar la idoneidad del contratista a partir de la experiencia establecida en la “Matriz – Experiencia</w:t>
      </w:r>
      <w:r w:rsidRPr="00F404F6">
        <w:rPr>
          <w:rFonts w:ascii="Arial" w:eastAsia="Calibri" w:hAnsi="Arial" w:cs="Arial"/>
        </w:rPr>
        <w:t xml:space="preserve"> Sector Cultura, Recreación y Deporte</w:t>
      </w:r>
      <w:r>
        <w:rPr>
          <w:rFonts w:ascii="Arial" w:eastAsia="Calibri" w:hAnsi="Arial" w:cs="Arial"/>
        </w:rPr>
        <w:t>”.</w:t>
      </w:r>
    </w:p>
    <w:p w14:paraId="134F0C87"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 xml:space="preserve">Cuando la entidad requiere bienes y servicios que no se encuentran incluidos como infraestructura social en la matriz de experiencia y considera necesario exigir experiencia adicional, debe aplicar </w:t>
      </w:r>
      <w:bookmarkStart w:id="27" w:name="_Hlk133222967"/>
      <w:r>
        <w:rPr>
          <w:rFonts w:ascii="Arial" w:eastAsia="Calibri" w:hAnsi="Arial" w:cs="Arial"/>
        </w:rPr>
        <w:t>el artículo 4 de la Resolución 219 del 6 de agosto de 2021</w:t>
      </w:r>
      <w:bookmarkEnd w:id="27"/>
      <w:r>
        <w:rPr>
          <w:rFonts w:ascii="Arial" w:eastAsia="Calibri" w:hAnsi="Arial" w:cs="Arial"/>
        </w:rPr>
        <w:t>. Esta norma dispone los eventos en los que el objeto contractual incluye bienes o servicios adicionales a la obra pública de infraestructura de infraestructura social. En este caso, la entidad puede incluir experiencia adicional para evaluar la idoneidad del proponente respecto a esta clase de bienes y servicios.</w:t>
      </w:r>
    </w:p>
    <w:p w14:paraId="5AA057C8"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 xml:space="preserve">No obstante, deben seguirse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Pr>
          <w:rFonts w:ascii="Arial" w:eastAsia="Calibri" w:hAnsi="Arial" w:cs="Arial"/>
        </w:rPr>
        <w:t>ii</w:t>
      </w:r>
      <w:proofErr w:type="spellEnd"/>
      <w:r>
        <w:rPr>
          <w:rFonts w:ascii="Arial" w:eastAsia="Calibri" w:hAnsi="Arial" w:cs="Arial"/>
        </w:rPr>
        <w:t xml:space="preserve">) conservar los requisitos exigidos en los documentos tipo, </w:t>
      </w:r>
      <w:proofErr w:type="spellStart"/>
      <w:r>
        <w:rPr>
          <w:rFonts w:ascii="Arial" w:eastAsia="Calibri" w:hAnsi="Arial" w:cs="Arial"/>
        </w:rPr>
        <w:t>iii</w:t>
      </w:r>
      <w:proofErr w:type="spellEnd"/>
      <w:r>
        <w:rPr>
          <w:rFonts w:ascii="Arial" w:eastAsia="Calibri" w:hAnsi="Arial" w:cs="Arial"/>
        </w:rPr>
        <w:t xml:space="preserve">) abstenerse de pedir experiencia exclusiva con entidades de cualquier naturaleza, experiencia previa en un territorio específico, limitada en el tiempo o que incluya volúmenes o cantidades de obra específica, </w:t>
      </w:r>
      <w:proofErr w:type="spellStart"/>
      <w:r>
        <w:rPr>
          <w:rFonts w:ascii="Arial" w:eastAsia="Calibri" w:hAnsi="Arial" w:cs="Arial"/>
        </w:rPr>
        <w:t>iv</w:t>
      </w:r>
      <w:proofErr w:type="spellEnd"/>
      <w:r>
        <w:rPr>
          <w:rFonts w:ascii="Arial" w:eastAsia="Calibri" w:hAnsi="Arial" w:cs="Arial"/>
        </w:rPr>
        <w:t>) clasificar la experiencia requerida solo hasta el tercer nivel del clasificador de bienes y servicios, así como incluir exclusivamente los códigos que estén relacionados directamente con el objeto a contratar</w:t>
      </w:r>
      <w:r>
        <w:rPr>
          <w:rStyle w:val="Refdenotaalpie"/>
          <w:rFonts w:ascii="Arial" w:eastAsia="Calibri" w:hAnsi="Arial" w:cs="Arial"/>
        </w:rPr>
        <w:footnoteReference w:id="46"/>
      </w:r>
      <w:r>
        <w:rPr>
          <w:rFonts w:ascii="Arial" w:eastAsia="Calibri" w:hAnsi="Arial" w:cs="Arial"/>
        </w:rPr>
        <w:t>.</w:t>
      </w:r>
    </w:p>
    <w:p w14:paraId="54546B19" w14:textId="77777777" w:rsidR="008410D2" w:rsidRDefault="008410D2" w:rsidP="001A5552">
      <w:pPr>
        <w:spacing w:after="120" w:line="276" w:lineRule="auto"/>
        <w:ind w:firstLine="709"/>
        <w:jc w:val="both"/>
        <w:rPr>
          <w:rFonts w:ascii="Arial" w:eastAsia="Calibri" w:hAnsi="Arial" w:cs="Arial"/>
        </w:rPr>
      </w:pPr>
      <w:r w:rsidRPr="00456CCB">
        <w:rPr>
          <w:rFonts w:ascii="Arial" w:eastAsia="Calibri" w:hAnsi="Arial" w:cs="Arial"/>
          <w:i/>
          <w:iCs/>
        </w:rPr>
        <w:t>En primer lugar</w:t>
      </w:r>
      <w:r>
        <w:rPr>
          <w:rFonts w:ascii="Arial" w:eastAsia="Calibri" w:hAnsi="Arial" w:cs="Arial"/>
        </w:rPr>
        <w:t xml:space="preserve">, la entidad que opte por solicitar experiencia adicional en desarrollo de esta norma debe evidenciar en los documentos del proceso que agotó estos parámetros. Para ello, debe justificar en los estudios y documentos previos, como parte del deber de análisis,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 </w:t>
      </w:r>
    </w:p>
    <w:p w14:paraId="459D76F2" w14:textId="77777777" w:rsidR="008410D2" w:rsidRDefault="008410D2" w:rsidP="001A5552">
      <w:pPr>
        <w:spacing w:after="120" w:line="276" w:lineRule="auto"/>
        <w:ind w:firstLine="709"/>
        <w:jc w:val="both"/>
        <w:rPr>
          <w:rFonts w:ascii="Arial" w:eastAsia="Calibri" w:hAnsi="Arial" w:cs="Arial"/>
        </w:rPr>
      </w:pPr>
      <w:r w:rsidRPr="00456CCB">
        <w:rPr>
          <w:rFonts w:ascii="Arial" w:eastAsia="Calibri" w:hAnsi="Arial" w:cs="Arial"/>
          <w:i/>
          <w:iCs/>
        </w:rPr>
        <w:t>En segundo lugar</w:t>
      </w:r>
      <w:r>
        <w:rPr>
          <w:rFonts w:ascii="Arial" w:eastAsia="Calibri" w:hAnsi="Arial" w:cs="Arial"/>
        </w:rPr>
        <w:t xml:space="preserve">, la solicitud de esta experiencia no permite que la entidad modifique los requisitos habilitantes y de ponderación de la propuesta, por lo cual se deben mantener los establecidos en los documentos tipo. </w:t>
      </w:r>
      <w:r w:rsidRPr="00456CCB">
        <w:rPr>
          <w:rFonts w:ascii="Arial" w:eastAsia="Calibri" w:hAnsi="Arial" w:cs="Arial"/>
          <w:i/>
          <w:iCs/>
        </w:rPr>
        <w:t>En tercer lugar</w:t>
      </w:r>
      <w:r>
        <w:rPr>
          <w:rFonts w:ascii="Arial" w:eastAsia="Calibri" w:hAnsi="Arial" w:cs="Arial"/>
        </w:rPr>
        <w:t>,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w:t>
      </w:r>
      <w:r>
        <w:rPr>
          <w:rFonts w:ascii="Arial" w:hAnsi="Arial" w:cs="Arial"/>
        </w:rPr>
        <w:t xml:space="preserve"> de imposible cumplimiento. </w:t>
      </w:r>
      <w:r w:rsidRPr="00456CCB">
        <w:rPr>
          <w:rFonts w:ascii="Arial" w:eastAsia="Calibri" w:hAnsi="Arial" w:cs="Arial"/>
          <w:i/>
          <w:iCs/>
        </w:rPr>
        <w:t>Por último</w:t>
      </w:r>
      <w:r>
        <w:rPr>
          <w:rFonts w:ascii="Arial" w:eastAsia="Calibri" w:hAnsi="Arial" w:cs="Arial"/>
        </w:rPr>
        <w:t xml:space="preserve">, la experiencia requerida debe estar clasificada hasta el tercer nivel del clasificador de bienes y servicios, por lo tanto, la entidad no puede requerir que se acredite el “producto” de este clasificador. </w:t>
      </w:r>
    </w:p>
    <w:p w14:paraId="44E90C16" w14:textId="77777777" w:rsidR="008410D2" w:rsidRPr="001E088B" w:rsidRDefault="008410D2" w:rsidP="001A5552">
      <w:pPr>
        <w:spacing w:after="120" w:line="276" w:lineRule="auto"/>
        <w:ind w:firstLine="709"/>
        <w:jc w:val="both"/>
        <w:rPr>
          <w:rFonts w:ascii="Arial" w:eastAsia="Calibri" w:hAnsi="Arial" w:cs="Arial"/>
        </w:rPr>
      </w:pPr>
      <w:r>
        <w:rPr>
          <w:rFonts w:ascii="Arial" w:eastAsia="Calibri" w:hAnsi="Arial" w:cs="Arial"/>
        </w:rPr>
        <w:t xml:space="preserve">Para estos efectos, el parágrafo 2 del artículo 4 de la Resolución 219 del 6 de agosto de 2021 entiende por bienes y servicios adicionales “[…] </w:t>
      </w:r>
      <w:r w:rsidRPr="001E088B">
        <w:rPr>
          <w:rFonts w:ascii="Arial" w:eastAsia="Calibri" w:hAnsi="Arial" w:cs="Arial"/>
        </w:rPr>
        <w:t>aquellas actividades que no están incluidas en la matriz de experiencia de los documentos tipo de infraestructura social aplicable, pero que están relacionadas con el contrato a ejecutar</w:t>
      </w:r>
      <w:r>
        <w:rPr>
          <w:rFonts w:ascii="Arial" w:eastAsia="Calibri" w:hAnsi="Arial" w:cs="Arial"/>
        </w:rPr>
        <w:t xml:space="preserve">”. Asimismo, el parágrafo 3 </w:t>
      </w:r>
      <w:r w:rsidRPr="001E088B">
        <w:rPr>
          <w:rFonts w:ascii="Arial" w:eastAsia="Calibri" w:hAnsi="Arial" w:cs="Arial"/>
          <w:i/>
          <w:iCs/>
        </w:rPr>
        <w:t>ibidem</w:t>
      </w:r>
      <w:r>
        <w:rPr>
          <w:rFonts w:ascii="Arial" w:eastAsia="Calibri" w:hAnsi="Arial" w:cs="Arial"/>
        </w:rPr>
        <w:t xml:space="preserve"> prescribe que “[…] </w:t>
      </w:r>
      <w:r w:rsidRPr="001E088B">
        <w:rPr>
          <w:rFonts w:ascii="Arial" w:eastAsia="Calibri" w:hAnsi="Arial" w:cs="Arial"/>
        </w:rPr>
        <w:t>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r>
        <w:rPr>
          <w:rFonts w:ascii="Arial" w:eastAsia="Calibri" w:hAnsi="Arial" w:cs="Arial"/>
        </w:rPr>
        <w:t>”</w:t>
      </w:r>
      <w:r w:rsidRPr="001E088B">
        <w:rPr>
          <w:rFonts w:ascii="Arial" w:eastAsia="Calibri" w:hAnsi="Arial" w:cs="Arial"/>
        </w:rPr>
        <w:t>.</w:t>
      </w:r>
    </w:p>
    <w:p w14:paraId="3B819098"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 xml:space="preserve">Así las cosas, la posibilidad de solicitar experiencia adicional solo ocurre cuando el objeto contractual incluye bienes o servicios adicionales a la obra pública de infraestructura social. Esto implica que: i) la actividad que se requiere, si bien es una labor de obra, no está relacionada con la infraestructura social, por ejemplo, la construcción de una vía cerca de un parque recreativo, y </w:t>
      </w:r>
      <w:proofErr w:type="spellStart"/>
      <w:r>
        <w:rPr>
          <w:rFonts w:ascii="Arial" w:eastAsia="Calibri" w:hAnsi="Arial" w:cs="Arial"/>
        </w:rPr>
        <w:t>ii</w:t>
      </w:r>
      <w:proofErr w:type="spellEnd"/>
      <w:r>
        <w:rPr>
          <w:rFonts w:ascii="Arial" w:eastAsia="Calibri" w:hAnsi="Arial" w:cs="Arial"/>
        </w:rPr>
        <w:t>) el bien o servicio adicional es distinto a la actividad principal, aun cuando se relaciona con la infraestructura social, v. gr., cuando se requiere que el contratista realice los estudios y diseños de la obra. En supuestos como los indicados es posible que la entidad exija experiencia adicional para acreditar la idoneidad del contratista en la ejecución de estos bienes o servicios adicionales a la obra de infraestructura social. Sin embargo, esta opción se encuentra limitada por el parágrafo 1 del artículo 4 de la Resolución 219 del 6 de agosto de 2021, modificado por el artículo 177 de la Resolución 275 del 24 de junio de 2022, pues “</w:t>
      </w:r>
      <w:r w:rsidRPr="00456CCB">
        <w:rPr>
          <w:rFonts w:ascii="Arial" w:eastAsia="Calibri" w:hAnsi="Arial" w:cs="Arial"/>
        </w:rPr>
        <w:t>En los casos que el objeto contractual incluya actividades que son abarcadas por otros Documentos, la Entidad Estatal aplicará las reglas de combinación de experiencia previstas en el numeral 3.5.1 del documento base</w:t>
      </w:r>
      <w:r>
        <w:rPr>
          <w:rFonts w:ascii="Arial" w:eastAsia="Calibri" w:hAnsi="Arial" w:cs="Arial"/>
        </w:rPr>
        <w:t>”</w:t>
      </w:r>
      <w:r w:rsidRPr="00456CCB">
        <w:rPr>
          <w:rFonts w:ascii="Arial" w:eastAsia="Calibri" w:hAnsi="Arial" w:cs="Arial"/>
        </w:rPr>
        <w:t>.</w:t>
      </w:r>
    </w:p>
    <w:p w14:paraId="7494E092" w14:textId="77777777" w:rsidR="008410D2" w:rsidRPr="00A8780C" w:rsidRDefault="008410D2" w:rsidP="008410D2">
      <w:pPr>
        <w:spacing w:after="0" w:line="276" w:lineRule="auto"/>
        <w:ind w:firstLine="709"/>
        <w:jc w:val="both"/>
        <w:rPr>
          <w:rFonts w:ascii="Arial" w:eastAsia="Times New Roman" w:hAnsi="Arial" w:cs="Arial"/>
          <w:lang w:val="es-MX" w:eastAsia="es-ES_tradnl"/>
        </w:rPr>
      </w:pPr>
      <w:r>
        <w:rPr>
          <w:rFonts w:ascii="Arial" w:eastAsia="Times New Roman" w:hAnsi="Arial" w:cs="Arial"/>
          <w:lang w:val="es-ES_tradnl" w:eastAsia="es-ES_tradnl"/>
        </w:rPr>
        <w:t>Por tanto</w:t>
      </w:r>
      <w:r w:rsidRPr="00A8780C">
        <w:rPr>
          <w:rFonts w:ascii="Arial" w:eastAsia="Times New Roman" w:hAnsi="Arial" w:cs="Arial"/>
          <w:lang w:val="es-ES_tradnl" w:eastAsia="es-ES_tradnl"/>
        </w:rPr>
        <w:t>, según la norma reseñada, si de manera excepcional la entidad estatal considera que el contratista de la obra que debe contratarse a través de la aplicación de los documentos tipo de infraestructura social debe ejecutar bienes o servicios adicionales, como sería el caso de los estudios y diseños necesarios para la obra, puede incluir la experiencia adicional para evaluar la idoneidad de los proponentes,</w:t>
      </w:r>
      <w:r>
        <w:rPr>
          <w:rFonts w:ascii="Arial" w:eastAsia="Times New Roman" w:hAnsi="Arial" w:cs="Arial"/>
          <w:lang w:val="es-ES_tradnl" w:eastAsia="es-ES_tradnl"/>
        </w:rPr>
        <w:t xml:space="preserve"> </w:t>
      </w:r>
      <w:r w:rsidRPr="00A8780C">
        <w:rPr>
          <w:rFonts w:ascii="Arial" w:eastAsia="Times New Roman" w:hAnsi="Arial" w:cs="Arial"/>
          <w:lang w:val="es-MX" w:eastAsia="es-ES_tradnl"/>
        </w:rPr>
        <w:t xml:space="preserve">cumpliendo todas las demás exigencias de los documentos tipo. </w:t>
      </w:r>
      <w:r>
        <w:rPr>
          <w:rFonts w:ascii="Arial" w:eastAsia="Times New Roman" w:hAnsi="Arial" w:cs="Arial"/>
          <w:lang w:val="es-MX" w:eastAsia="es-ES_tradnl"/>
        </w:rPr>
        <w:t>En consecuencia</w:t>
      </w:r>
      <w:r w:rsidRPr="00A8780C">
        <w:rPr>
          <w:rFonts w:ascii="Arial" w:eastAsia="Times New Roman" w:hAnsi="Arial" w:cs="Arial"/>
          <w:lang w:val="es-MX" w:eastAsia="es-ES_tradnl"/>
        </w:rPr>
        <w:t xml:space="preserve">, si la obra que pretende ejecutar la entidad estatal se enmarca en alguno de los tipos de proyectos o </w:t>
      </w:r>
      <w:r>
        <w:rPr>
          <w:rFonts w:ascii="Arial" w:eastAsia="Times New Roman" w:hAnsi="Arial" w:cs="Arial"/>
          <w:lang w:val="es-MX" w:eastAsia="es-ES_tradnl"/>
        </w:rPr>
        <w:t>“</w:t>
      </w:r>
      <w:r w:rsidRPr="00A8780C">
        <w:rPr>
          <w:rFonts w:ascii="Arial" w:eastAsia="Times New Roman" w:hAnsi="Arial" w:cs="Arial"/>
          <w:lang w:val="es-MX" w:eastAsia="es-ES_tradnl"/>
        </w:rPr>
        <w:t>actividades</w:t>
      </w:r>
      <w:r>
        <w:rPr>
          <w:rFonts w:ascii="Arial" w:eastAsia="Times New Roman" w:hAnsi="Arial" w:cs="Arial"/>
          <w:lang w:val="es-MX" w:eastAsia="es-ES_tradnl"/>
        </w:rPr>
        <w:t>”</w:t>
      </w:r>
      <w:r w:rsidRPr="00A8780C">
        <w:rPr>
          <w:rFonts w:ascii="Arial" w:eastAsia="Times New Roman" w:hAnsi="Arial" w:cs="Arial"/>
          <w:lang w:val="es-MX" w:eastAsia="es-ES_tradnl"/>
        </w:rPr>
        <w:t xml:space="preserve"> incluidas en alguna de las matrices de experiencia de los documentos tipo </w:t>
      </w:r>
      <w:r w:rsidRPr="00A8780C">
        <w:rPr>
          <w:rFonts w:ascii="Arial" w:eastAsia="Times New Roman" w:hAnsi="Arial" w:cs="Arial"/>
          <w:i/>
          <w:iCs/>
          <w:lang w:val="es-MX" w:eastAsia="es-ES_tradnl"/>
        </w:rPr>
        <w:t>complementarios</w:t>
      </w:r>
      <w:r w:rsidRPr="00A8780C">
        <w:rPr>
          <w:rFonts w:ascii="Arial" w:eastAsia="Times New Roman" w:hAnsi="Arial" w:cs="Arial"/>
          <w:lang w:val="es-MX" w:eastAsia="es-ES_tradnl"/>
        </w:rPr>
        <w:t xml:space="preserve"> relacionados con la infraestructura social, el proceso de selección debe adelantarse utilizando dichos documentos tipo. Esto aplica, incluso, para los contratos de obra </w:t>
      </w:r>
      <w:r>
        <w:rPr>
          <w:rFonts w:ascii="Arial" w:eastAsia="Times New Roman" w:hAnsi="Arial" w:cs="Arial"/>
          <w:lang w:val="es-MX" w:eastAsia="es-ES_tradnl"/>
        </w:rPr>
        <w:t>“</w:t>
      </w:r>
      <w:r w:rsidRPr="00A8780C">
        <w:rPr>
          <w:rFonts w:ascii="Arial" w:eastAsia="Times New Roman" w:hAnsi="Arial" w:cs="Arial"/>
          <w:lang w:val="es-MX" w:eastAsia="es-ES_tradnl"/>
        </w:rPr>
        <w:t>llave en mano</w:t>
      </w:r>
      <w:r>
        <w:rPr>
          <w:rFonts w:ascii="Arial" w:eastAsia="Times New Roman" w:hAnsi="Arial" w:cs="Arial"/>
          <w:lang w:val="es-MX" w:eastAsia="es-ES_tradnl"/>
        </w:rPr>
        <w:t>”</w:t>
      </w:r>
      <w:r w:rsidRPr="00A8780C">
        <w:rPr>
          <w:rFonts w:ascii="Arial" w:eastAsia="Times New Roman" w:hAnsi="Arial" w:cs="Arial"/>
          <w:lang w:val="es-MX" w:eastAsia="es-ES_tradnl"/>
        </w:rPr>
        <w:t xml:space="preserve"> para infraestructura social, en donde se considere necesario exigir experiencia adicional para la ejecución de bienes o servicios adicionales a la obra pública, como sería la realización de los diseños de la obra. </w:t>
      </w:r>
    </w:p>
    <w:p w14:paraId="0E783A93" w14:textId="77777777" w:rsidR="008410D2" w:rsidRPr="00C046D8" w:rsidRDefault="008410D2" w:rsidP="008410D2">
      <w:pPr>
        <w:tabs>
          <w:tab w:val="left" w:pos="0"/>
        </w:tabs>
        <w:spacing w:after="0" w:line="276" w:lineRule="auto"/>
        <w:contextualSpacing/>
        <w:jc w:val="both"/>
        <w:rPr>
          <w:rFonts w:ascii="Arial" w:eastAsia="Calibri" w:hAnsi="Arial" w:cs="Arial"/>
          <w:b/>
          <w:szCs w:val="24"/>
          <w:lang w:val="es-ES_tradnl" w:eastAsia="es-ES_tradnl"/>
        </w:rPr>
      </w:pPr>
    </w:p>
    <w:p w14:paraId="356BE4DB" w14:textId="77777777" w:rsidR="008410D2" w:rsidRPr="00C046D8" w:rsidRDefault="008410D2" w:rsidP="008410D2">
      <w:pPr>
        <w:tabs>
          <w:tab w:val="left" w:pos="0"/>
        </w:tabs>
        <w:spacing w:after="0" w:line="276" w:lineRule="auto"/>
        <w:contextualSpacing/>
        <w:jc w:val="both"/>
        <w:rPr>
          <w:rFonts w:ascii="Arial" w:eastAsia="Calibri" w:hAnsi="Arial" w:cs="Arial"/>
          <w:b/>
          <w:szCs w:val="24"/>
          <w:lang w:val="es-ES_tradnl" w:eastAsia="es-ES_tradnl"/>
        </w:rPr>
      </w:pPr>
      <w:r w:rsidRPr="00C046D8">
        <w:rPr>
          <w:rFonts w:ascii="Arial" w:eastAsia="Calibri" w:hAnsi="Arial" w:cs="Arial"/>
          <w:b/>
          <w:szCs w:val="24"/>
          <w:lang w:val="es-ES_tradnl" w:eastAsia="es-ES_tradnl"/>
        </w:rPr>
        <w:t>3. Respuesta</w:t>
      </w:r>
      <w:r>
        <w:rPr>
          <w:rFonts w:ascii="Arial" w:eastAsia="Calibri" w:hAnsi="Arial" w:cs="Arial"/>
          <w:b/>
          <w:szCs w:val="24"/>
          <w:lang w:val="es-ES_tradnl" w:eastAsia="es-ES_tradnl"/>
        </w:rPr>
        <w:t>s</w:t>
      </w:r>
    </w:p>
    <w:p w14:paraId="07377C08" w14:textId="77777777" w:rsidR="008410D2" w:rsidRPr="00C046D8" w:rsidRDefault="008410D2" w:rsidP="008410D2">
      <w:pPr>
        <w:tabs>
          <w:tab w:val="left" w:pos="0"/>
        </w:tabs>
        <w:spacing w:after="0" w:line="276" w:lineRule="auto"/>
        <w:contextualSpacing/>
        <w:jc w:val="both"/>
        <w:rPr>
          <w:rFonts w:ascii="Arial" w:eastAsia="Calibri" w:hAnsi="Arial" w:cs="Arial"/>
          <w:szCs w:val="24"/>
          <w:lang w:val="es-ES_tradnl" w:eastAsia="es-ES_tradnl"/>
        </w:rPr>
      </w:pPr>
    </w:p>
    <w:p w14:paraId="769DE38B" w14:textId="77777777" w:rsidR="008410D2" w:rsidRDefault="008410D2" w:rsidP="008410D2">
      <w:pPr>
        <w:tabs>
          <w:tab w:val="decimal" w:pos="765"/>
          <w:tab w:val="right" w:pos="7371"/>
        </w:tabs>
        <w:spacing w:after="0" w:line="240" w:lineRule="auto"/>
        <w:ind w:left="709" w:right="709"/>
        <w:contextualSpacing/>
        <w:jc w:val="both"/>
        <w:rPr>
          <w:rFonts w:ascii="Arial" w:eastAsia="Times New Roman" w:hAnsi="Arial" w:cs="Arial"/>
          <w:bCs/>
          <w:sz w:val="21"/>
          <w:szCs w:val="21"/>
          <w:lang w:val="es-ES_tradnl" w:eastAsia="es-ES_tradnl"/>
        </w:rPr>
      </w:pPr>
      <w:r w:rsidRPr="003C4EE6">
        <w:rPr>
          <w:rFonts w:ascii="Arial" w:eastAsia="Times New Roman" w:hAnsi="Arial" w:cs="Arial"/>
          <w:bCs/>
          <w:sz w:val="21"/>
          <w:szCs w:val="21"/>
          <w:lang w:val="es-ES" w:eastAsia="es-ES_tradnl"/>
        </w:rPr>
        <w:t>“</w:t>
      </w:r>
      <w:r w:rsidRPr="006A7488">
        <w:rPr>
          <w:rFonts w:ascii="Arial" w:eastAsia="Times New Roman" w:hAnsi="Arial" w:cs="Arial"/>
          <w:bCs/>
          <w:sz w:val="21"/>
          <w:szCs w:val="21"/>
          <w:lang w:val="es-ES_tradnl" w:eastAsia="es-ES_tradnl"/>
        </w:rPr>
        <w:t>i) “¿El Municipio puede suscribir convenios con las empresas de servicios públicos ESP ya sea esta oficial, mixta, sociedad de economía mixta, empresa industrial y comercial del estado, privada, solidaria, cooperativa, o comunitaria, para la ejecución de contratos de obra pública en el sector de infraestructura de agua potable y saneamiento básico?”</w:t>
      </w:r>
      <w:r>
        <w:rPr>
          <w:rFonts w:ascii="Arial" w:eastAsia="Times New Roman" w:hAnsi="Arial" w:cs="Arial"/>
          <w:bCs/>
          <w:sz w:val="21"/>
          <w:szCs w:val="21"/>
          <w:lang w:val="es-ES_tradnl" w:eastAsia="es-ES_tradnl"/>
        </w:rPr>
        <w:t>.</w:t>
      </w:r>
    </w:p>
    <w:p w14:paraId="222F44E2" w14:textId="77777777" w:rsidR="008410D2" w:rsidRPr="006A7488" w:rsidRDefault="008410D2" w:rsidP="008410D2">
      <w:pPr>
        <w:tabs>
          <w:tab w:val="decimal" w:pos="765"/>
          <w:tab w:val="right" w:pos="7371"/>
        </w:tabs>
        <w:spacing w:after="0" w:line="240" w:lineRule="auto"/>
        <w:ind w:left="709" w:right="709"/>
        <w:contextualSpacing/>
        <w:jc w:val="both"/>
        <w:rPr>
          <w:rFonts w:ascii="Arial" w:eastAsia="Times New Roman" w:hAnsi="Arial" w:cs="Arial"/>
          <w:bCs/>
          <w:sz w:val="12"/>
          <w:szCs w:val="12"/>
          <w:lang w:val="es-ES_tradnl" w:eastAsia="es-ES_tradnl"/>
        </w:rPr>
      </w:pPr>
    </w:p>
    <w:p w14:paraId="0A724F79" w14:textId="77777777" w:rsidR="008410D2" w:rsidRDefault="008410D2" w:rsidP="008410D2">
      <w:pPr>
        <w:tabs>
          <w:tab w:val="decimal" w:pos="765"/>
          <w:tab w:val="right" w:pos="7371"/>
        </w:tabs>
        <w:spacing w:before="240" w:after="0" w:line="240" w:lineRule="auto"/>
        <w:ind w:left="709" w:right="709"/>
        <w:contextualSpacing/>
        <w:jc w:val="both"/>
        <w:rPr>
          <w:rFonts w:ascii="Arial" w:eastAsia="Times New Roman" w:hAnsi="Arial" w:cs="Arial"/>
          <w:bCs/>
          <w:sz w:val="21"/>
          <w:szCs w:val="21"/>
          <w:lang w:val="es-ES" w:eastAsia="es-ES_tradnl"/>
        </w:rPr>
      </w:pPr>
      <w:proofErr w:type="spellStart"/>
      <w:r w:rsidRPr="006A7488">
        <w:rPr>
          <w:rFonts w:ascii="Arial" w:eastAsia="Times New Roman" w:hAnsi="Arial" w:cs="Arial"/>
          <w:bCs/>
          <w:sz w:val="21"/>
          <w:szCs w:val="21"/>
          <w:lang w:val="es-ES_tradnl" w:eastAsia="es-ES_tradnl"/>
        </w:rPr>
        <w:t>ii</w:t>
      </w:r>
      <w:proofErr w:type="spellEnd"/>
      <w:r w:rsidRPr="006A7488">
        <w:rPr>
          <w:rFonts w:ascii="Arial" w:eastAsia="Times New Roman" w:hAnsi="Arial" w:cs="Arial"/>
          <w:bCs/>
          <w:sz w:val="21"/>
          <w:szCs w:val="21"/>
          <w:lang w:val="es-ES_tradnl" w:eastAsia="es-ES_tradnl"/>
        </w:rPr>
        <w:t>) “¿Qué clase de convenio puede suscribirse? ¿Se deben cumplir requisitos específicos para la suscripción y ejecución del convenio? ¿Existe alguna directiva presidencial o acto administrativo vinculante expedido por otra autoridad que rija para la materia?</w:t>
      </w:r>
      <w:r>
        <w:rPr>
          <w:rFonts w:ascii="Arial" w:eastAsia="Times New Roman" w:hAnsi="Arial" w:cs="Arial"/>
          <w:bCs/>
          <w:sz w:val="21"/>
          <w:szCs w:val="21"/>
          <w:lang w:val="es-ES_tradnl" w:eastAsia="es-ES_tradnl"/>
        </w:rPr>
        <w:t xml:space="preserve"> […]”.</w:t>
      </w:r>
    </w:p>
    <w:p w14:paraId="5E5F7F5D" w14:textId="77777777" w:rsidR="008410D2" w:rsidRPr="006A7488" w:rsidRDefault="008410D2" w:rsidP="008410D2">
      <w:pPr>
        <w:tabs>
          <w:tab w:val="decimal" w:pos="765"/>
          <w:tab w:val="right" w:pos="7371"/>
        </w:tabs>
        <w:spacing w:after="0" w:line="276" w:lineRule="auto"/>
        <w:ind w:left="709" w:right="709"/>
        <w:contextualSpacing/>
        <w:jc w:val="both"/>
        <w:rPr>
          <w:rFonts w:ascii="Arial" w:eastAsia="Times New Roman" w:hAnsi="Arial" w:cs="Arial"/>
          <w:highlight w:val="yellow"/>
          <w:lang w:eastAsia="es-ES"/>
        </w:rPr>
      </w:pPr>
    </w:p>
    <w:p w14:paraId="10A60BA6" w14:textId="77777777" w:rsidR="008410D2" w:rsidRDefault="008410D2" w:rsidP="008410D2">
      <w:pPr>
        <w:spacing w:after="0" w:line="276" w:lineRule="auto"/>
        <w:jc w:val="both"/>
        <w:rPr>
          <w:rFonts w:ascii="Arial" w:hAnsi="Arial" w:cs="Arial"/>
        </w:rPr>
      </w:pPr>
      <w:r w:rsidRPr="00165C4E">
        <w:rPr>
          <w:rFonts w:ascii="Arial" w:eastAsia="Calibri" w:hAnsi="Arial" w:cs="Arial"/>
          <w:lang w:val="es-ES" w:eastAsia="es-ES"/>
        </w:rPr>
        <w:t xml:space="preserve">Conforme </w:t>
      </w:r>
      <w:r>
        <w:rPr>
          <w:rFonts w:ascii="Arial" w:eastAsia="Calibri" w:hAnsi="Arial" w:cs="Arial"/>
          <w:lang w:val="es-ES" w:eastAsia="es-ES"/>
        </w:rPr>
        <w:t>a la interpretación de las normas generales del sistema de compras públicas</w:t>
      </w:r>
      <w:r w:rsidRPr="00165C4E">
        <w:rPr>
          <w:rFonts w:ascii="Arial" w:eastAsia="Calibri" w:hAnsi="Arial" w:cs="Arial"/>
          <w:lang w:val="es-ES" w:eastAsia="es-ES"/>
        </w:rPr>
        <w:t xml:space="preserve">, </w:t>
      </w:r>
      <w:bookmarkEnd w:id="0"/>
      <w:bookmarkEnd w:id="1"/>
      <w:r>
        <w:rPr>
          <w:rFonts w:ascii="Arial" w:hAnsi="Arial" w:cs="Arial"/>
        </w:rPr>
        <w:t>aunque ni la Ley 489 de 1998 ni la Ley 142 de 1994 tipifican la existencia de empresas de servicios públicos solidarias, cooperativas o comunitarias, de acuerdo con la Sentencia de la Corte Constitucional</w:t>
      </w:r>
      <w:r w:rsidRPr="003E0952">
        <w:rPr>
          <w:rFonts w:ascii="Arial" w:hAnsi="Arial" w:cs="Arial"/>
        </w:rPr>
        <w:t xml:space="preserve"> C-736 de 200</w:t>
      </w:r>
      <w:r>
        <w:rPr>
          <w:rFonts w:ascii="Arial" w:hAnsi="Arial" w:cs="Arial"/>
        </w:rPr>
        <w:t xml:space="preserve">7, con ponencia del Magistrado </w:t>
      </w:r>
      <w:r w:rsidRPr="003E0952">
        <w:rPr>
          <w:rFonts w:ascii="Arial" w:hAnsi="Arial" w:cs="Arial"/>
        </w:rPr>
        <w:t>Marco Gerardo Monroy Cabra</w:t>
      </w:r>
      <w:r>
        <w:rPr>
          <w:rFonts w:ascii="Arial" w:hAnsi="Arial" w:cs="Arial"/>
        </w:rPr>
        <w:t xml:space="preserve">, es necesario tener en cuenta que </w:t>
      </w:r>
      <w:r w:rsidRPr="002816F3">
        <w:rPr>
          <w:rFonts w:ascii="Arial" w:hAnsi="Arial" w:cs="Arial"/>
        </w:rPr>
        <w:t>las empresas de servicios públicos oficiales y mixtas o privadas en las cuales haya cualquier porcentaje de participación pública, son entidades descentralizadas que conforman la estructura de la rama ejecutiva del poder público</w:t>
      </w:r>
      <w:r>
        <w:rPr>
          <w:rFonts w:ascii="Arial" w:hAnsi="Arial" w:cs="Arial"/>
        </w:rPr>
        <w:t xml:space="preserve">. Por tanto, en la medida que concurran con otra entidad en la celebración de negocio jurídico, la tipología corresponderá a un convenio o contrato interadministrativo, el cual puede contener como objeto la ejecución de actividades de obra de agua potable y saneamiento básico, sin más requisitos ni restricciones que los previstos en la ley y reglamento. En caso de que por el criterio orgánico no exista una relación interadministrativa, por regla general el contrato será de obra y se someterá reglas de los demás procedimientos con pluralidad de oferentes del artículo 2 de la Ley 1150 de 2007, pues la contratación directa se reserva a los contratos o convenios del precitado artículo </w:t>
      </w:r>
      <w:r w:rsidRPr="00F62F80">
        <w:rPr>
          <w:rFonts w:ascii="Arial" w:hAnsi="Arial" w:cs="Arial"/>
        </w:rPr>
        <w:t>2.2.1.2.1.4.4</w:t>
      </w:r>
      <w:r>
        <w:rPr>
          <w:rFonts w:ascii="Arial" w:hAnsi="Arial" w:cs="Arial"/>
        </w:rPr>
        <w:t xml:space="preserve"> del Decreto 1082 de 2015, sin perjuicio de las demás causales previstas en el ordenamiento jurídico.</w:t>
      </w:r>
    </w:p>
    <w:p w14:paraId="4D199241" w14:textId="77777777" w:rsidR="008410D2" w:rsidRDefault="008410D2" w:rsidP="008410D2">
      <w:pPr>
        <w:spacing w:after="0" w:line="276" w:lineRule="auto"/>
        <w:jc w:val="both"/>
        <w:rPr>
          <w:rFonts w:ascii="Arial" w:hAnsi="Arial" w:cs="Arial"/>
        </w:rPr>
      </w:pPr>
    </w:p>
    <w:p w14:paraId="690CB53B" w14:textId="77777777" w:rsidR="008410D2" w:rsidRPr="0001657A" w:rsidRDefault="008410D2" w:rsidP="008410D2">
      <w:pPr>
        <w:spacing w:after="0" w:line="240" w:lineRule="auto"/>
        <w:ind w:left="709" w:right="709"/>
        <w:jc w:val="both"/>
        <w:rPr>
          <w:rFonts w:ascii="Arial" w:eastAsia="Calibri" w:hAnsi="Arial" w:cs="Arial"/>
          <w:bCs/>
          <w:sz w:val="21"/>
          <w:szCs w:val="21"/>
          <w:lang w:val="es-ES_tradnl" w:eastAsia="es-ES_tradnl"/>
        </w:rPr>
      </w:pPr>
      <w:proofErr w:type="spellStart"/>
      <w:r w:rsidRPr="0001657A">
        <w:rPr>
          <w:rFonts w:ascii="Arial" w:eastAsia="Calibri" w:hAnsi="Arial" w:cs="Arial"/>
          <w:bCs/>
          <w:sz w:val="21"/>
          <w:szCs w:val="21"/>
          <w:lang w:val="es-ES_tradnl" w:eastAsia="es-ES_tradnl"/>
        </w:rPr>
        <w:t>ii</w:t>
      </w:r>
      <w:proofErr w:type="spellEnd"/>
      <w:r w:rsidRPr="0001657A">
        <w:rPr>
          <w:rFonts w:ascii="Arial" w:eastAsia="Calibri" w:hAnsi="Arial" w:cs="Arial"/>
          <w:bCs/>
          <w:sz w:val="21"/>
          <w:szCs w:val="21"/>
          <w:lang w:val="es-ES_tradnl" w:eastAsia="es-ES_tradnl"/>
        </w:rPr>
        <w:t>. “[…] ¿En la ejecución del convenio pueden utilizarse los pliegos tipo vigentes para el sector?”.</w:t>
      </w:r>
    </w:p>
    <w:p w14:paraId="27918EAC" w14:textId="77777777" w:rsidR="008410D2" w:rsidRDefault="008410D2" w:rsidP="008410D2">
      <w:pPr>
        <w:spacing w:after="0" w:line="276" w:lineRule="auto"/>
        <w:jc w:val="both"/>
        <w:rPr>
          <w:rFonts w:ascii="Arial" w:hAnsi="Arial" w:cs="Arial"/>
          <w:lang w:val="es-ES_tradnl"/>
        </w:rPr>
      </w:pPr>
    </w:p>
    <w:p w14:paraId="161B2817" w14:textId="77777777" w:rsidR="008410D2" w:rsidRDefault="008410D2" w:rsidP="001A5552">
      <w:pPr>
        <w:spacing w:after="120" w:line="276" w:lineRule="auto"/>
        <w:ind w:firstLine="709"/>
        <w:jc w:val="both"/>
        <w:rPr>
          <w:rFonts w:ascii="Arial" w:hAnsi="Arial" w:cs="Arial"/>
          <w:lang w:val="es-ES_tradnl"/>
        </w:rPr>
      </w:pPr>
      <w:r>
        <w:rPr>
          <w:rFonts w:ascii="Arial" w:hAnsi="Arial" w:cs="Arial"/>
          <w:lang w:val="es-ES_tradnl"/>
        </w:rPr>
        <w:t>E</w:t>
      </w:r>
      <w:r w:rsidRPr="0001657A">
        <w:rPr>
          <w:rFonts w:ascii="Arial" w:hAnsi="Arial" w:cs="Arial"/>
          <w:lang w:val="es-ES_tradnl"/>
        </w:rPr>
        <w:t xml:space="preserve">n virtud de lo establecido en el parágrafo 7 del artículo 2 de la Ley 1150 de 2007, modificado por el artículo 1 de la Ley 2022 de 2020, las entidades estatales regidas por el Estatuto General de Contratación de la Administración Pública están obligadas a aplicar los documentos tipo en los procedimientos y contratos que adelanten en aplicación de dicha normativa. Adicionalmente, en atención a lo dispuesto en los dos primeros incisos del artículo 56 de la Ley 2195 de 2022, cuando estas entidades suscriban convenios o contratos de cualquier índole con entidades estatales de régimen especial o exceptuado, patrimonios autónomos, personas naturales o jurídicas de derecho privado, también deberán aplicar documentos tipo, y en general, las disposiciones del Estatuto General de Contratación de la Administración Pública.  </w:t>
      </w:r>
    </w:p>
    <w:p w14:paraId="2ADDB866" w14:textId="77777777" w:rsidR="008410D2" w:rsidRDefault="008410D2" w:rsidP="008410D2">
      <w:pPr>
        <w:spacing w:after="0" w:line="276" w:lineRule="auto"/>
        <w:ind w:firstLine="708"/>
        <w:jc w:val="both"/>
        <w:rPr>
          <w:rFonts w:ascii="Arial" w:eastAsia="Calibri" w:hAnsi="Arial" w:cs="Arial"/>
          <w:bCs/>
          <w:color w:val="000000" w:themeColor="text1"/>
          <w:lang w:val="es-ES_tradnl"/>
        </w:rPr>
      </w:pPr>
      <w:r w:rsidRPr="00864E72">
        <w:rPr>
          <w:rFonts w:ascii="Arial" w:hAnsi="Arial" w:cs="Arial"/>
          <w:shd w:val="clear" w:color="auto" w:fill="FFFFFF"/>
          <w:lang w:val="es-ES_tradnl"/>
        </w:rPr>
        <w:t xml:space="preserve">No obstante, se encuentran exceptuadas del ámbito de aplicación de la norma </w:t>
      </w:r>
      <w:r w:rsidRPr="00864E72">
        <w:rPr>
          <w:rFonts w:ascii="Arial" w:hAnsi="Arial" w:cs="Arial"/>
          <w:shd w:val="clear" w:color="auto" w:fill="FFFFFF"/>
        </w:rPr>
        <w:t>las instituciones de educación superior públicas, las empresas sociales del Estado, las sociedades de economía mixta y las empresas industriales y comerciales del Estado, únicamente en cuanto a la contratación de su giro ordinario</w:t>
      </w:r>
      <w:r w:rsidRPr="00864E72">
        <w:rPr>
          <w:rFonts w:ascii="Arial" w:hAnsi="Arial" w:cs="Arial"/>
          <w:shd w:val="clear" w:color="auto" w:fill="FFFFFF"/>
          <w:lang w:val="es-ES_tradnl"/>
        </w:rPr>
        <w:t>.</w:t>
      </w:r>
      <w:r>
        <w:rPr>
          <w:rFonts w:ascii="Arial" w:hAnsi="Arial" w:cs="Arial"/>
          <w:shd w:val="clear" w:color="auto" w:fill="FFFFFF"/>
          <w:lang w:val="es-ES_tradnl"/>
        </w:rPr>
        <w:t xml:space="preserve"> </w:t>
      </w:r>
      <w:r w:rsidRPr="00864E72">
        <w:rPr>
          <w:rFonts w:ascii="Arial" w:hAnsi="Arial" w:cs="Arial"/>
          <w:color w:val="000000" w:themeColor="text1"/>
          <w:shd w:val="clear" w:color="auto" w:fill="FFFFFF"/>
          <w:lang w:val="es-ES_tradnl"/>
        </w:rPr>
        <w:t xml:space="preserve">Bajo los lineamientos </w:t>
      </w:r>
      <w:r>
        <w:rPr>
          <w:rFonts w:ascii="Arial" w:hAnsi="Arial" w:cs="Arial"/>
          <w:color w:val="000000" w:themeColor="text1"/>
          <w:shd w:val="clear" w:color="auto" w:fill="FFFFFF"/>
          <w:lang w:val="es-ES_tradnl"/>
        </w:rPr>
        <w:t>descritos en el concepto</w:t>
      </w:r>
      <w:r w:rsidRPr="00864E72">
        <w:rPr>
          <w:rFonts w:ascii="Arial" w:hAnsi="Arial" w:cs="Arial"/>
          <w:color w:val="000000" w:themeColor="text1"/>
          <w:shd w:val="clear" w:color="auto" w:fill="FFFFFF"/>
          <w:lang w:val="es-ES_tradnl"/>
        </w:rPr>
        <w:t>, cada entidad pública debe hacer un ejercicio de subsunción a efectos de determinar si la no</w:t>
      </w:r>
      <w:r>
        <w:rPr>
          <w:rFonts w:ascii="Arial" w:hAnsi="Arial" w:cs="Arial"/>
          <w:color w:val="000000" w:themeColor="text1"/>
          <w:shd w:val="clear" w:color="auto" w:fill="FFFFFF"/>
          <w:lang w:val="es-ES_tradnl"/>
        </w:rPr>
        <w:t>r</w:t>
      </w:r>
      <w:r w:rsidRPr="00864E72">
        <w:rPr>
          <w:rFonts w:ascii="Arial" w:hAnsi="Arial" w:cs="Arial"/>
          <w:color w:val="000000" w:themeColor="text1"/>
          <w:shd w:val="clear" w:color="auto" w:fill="FFFFFF"/>
          <w:lang w:val="es-ES_tradnl"/>
        </w:rPr>
        <w:t xml:space="preserve">ma en cita resulta aplicable, dada su naturaleza jurídica. En todo caso, es de precisar </w:t>
      </w:r>
      <w:proofErr w:type="gramStart"/>
      <w:r w:rsidRPr="00864E72">
        <w:rPr>
          <w:rFonts w:ascii="Arial" w:hAnsi="Arial" w:cs="Arial"/>
          <w:color w:val="000000" w:themeColor="text1"/>
          <w:shd w:val="clear" w:color="auto" w:fill="FFFFFF"/>
          <w:lang w:val="es-ES_tradnl"/>
        </w:rPr>
        <w:t>que</w:t>
      </w:r>
      <w:proofErr w:type="gramEnd"/>
      <w:r w:rsidRPr="00864E72">
        <w:rPr>
          <w:rFonts w:ascii="Arial" w:hAnsi="Arial" w:cs="Arial"/>
          <w:color w:val="000000" w:themeColor="text1"/>
          <w:shd w:val="clear" w:color="auto" w:fill="FFFFFF"/>
          <w:lang w:val="es-ES_tradnl"/>
        </w:rPr>
        <w:t xml:space="preserve"> en el caso de las empresas prestadoras de servicios públicos domiciliarios, la entidad competente para absolver </w:t>
      </w:r>
      <w:r w:rsidRPr="00864E72">
        <w:rPr>
          <w:rFonts w:ascii="Arial" w:eastAsia="Calibri" w:hAnsi="Arial" w:cs="Arial"/>
          <w:bCs/>
          <w:color w:val="000000" w:themeColor="text1"/>
          <w:lang w:val="es-ES_tradnl"/>
        </w:rPr>
        <w:t>las consultas relacionadas con su naturaleza jurídica es la Superintendencia de Servicios Públicos Domiciliarios, de conformidad con el artículo 11, numeral 2, del Decreto 1369 de 2020</w:t>
      </w:r>
      <w:r>
        <w:rPr>
          <w:rFonts w:ascii="Arial" w:eastAsia="Calibri" w:hAnsi="Arial" w:cs="Arial"/>
          <w:bCs/>
          <w:color w:val="000000" w:themeColor="text1"/>
          <w:lang w:val="es-ES_tradnl"/>
        </w:rPr>
        <w:t>.</w:t>
      </w:r>
    </w:p>
    <w:p w14:paraId="16F7E3D2" w14:textId="77777777" w:rsidR="008410D2" w:rsidRDefault="008410D2" w:rsidP="008410D2">
      <w:pPr>
        <w:spacing w:after="0" w:line="276" w:lineRule="auto"/>
        <w:ind w:firstLine="708"/>
        <w:jc w:val="both"/>
        <w:rPr>
          <w:rFonts w:ascii="Arial" w:eastAsia="Calibri" w:hAnsi="Arial" w:cs="Arial"/>
          <w:bCs/>
          <w:color w:val="000000" w:themeColor="text1"/>
          <w:lang w:val="es-ES_tradnl"/>
        </w:rPr>
      </w:pPr>
    </w:p>
    <w:p w14:paraId="3EEB9CB2" w14:textId="77777777" w:rsidR="008410D2" w:rsidRPr="00476954" w:rsidRDefault="008410D2" w:rsidP="008410D2">
      <w:pPr>
        <w:spacing w:after="0" w:line="240" w:lineRule="auto"/>
        <w:ind w:left="709" w:right="709"/>
        <w:jc w:val="both"/>
        <w:rPr>
          <w:rFonts w:ascii="Arial" w:hAnsi="Arial" w:cs="Arial"/>
          <w:sz w:val="21"/>
          <w:szCs w:val="21"/>
          <w:shd w:val="clear" w:color="auto" w:fill="FFFFFF"/>
          <w:lang w:val="es-ES_tradnl"/>
        </w:rPr>
      </w:pPr>
      <w:proofErr w:type="spellStart"/>
      <w:r w:rsidRPr="00476954">
        <w:rPr>
          <w:rFonts w:ascii="Arial" w:hAnsi="Arial" w:cs="Arial"/>
          <w:sz w:val="21"/>
          <w:szCs w:val="21"/>
          <w:shd w:val="clear" w:color="auto" w:fill="FFFFFF"/>
          <w:lang w:val="es-ES_tradnl"/>
        </w:rPr>
        <w:t>iii</w:t>
      </w:r>
      <w:proofErr w:type="spellEnd"/>
      <w:r w:rsidRPr="00476954">
        <w:rPr>
          <w:rFonts w:ascii="Arial" w:hAnsi="Arial" w:cs="Arial"/>
          <w:sz w:val="21"/>
          <w:szCs w:val="21"/>
          <w:shd w:val="clear" w:color="auto" w:fill="FFFFFF"/>
          <w:lang w:val="es-ES_tradnl"/>
        </w:rPr>
        <w:t>) “Consecuencia de un convenio interadministrativo suscrito entre el Municipio y el Ministerio del Interior se va a contratar bajo la modalidad LLAVE EN MANO los estudios, diseños y construcción del proyecto SACUDETE AL PARQUES, y en principio este hace parte de Infraestructura Social - Sector Cultura, Recreación y Deporte; no obstante al revisar la matriz de experiencia de los pliego tipo no se encuentran consagrados ninguno de los ítems de estudios y/o diseños, ¿Es facultativo de la entidad contratante utilizar los pliegos tipo, o es obligatoria su utilización?”.</w:t>
      </w:r>
    </w:p>
    <w:p w14:paraId="6FE73559" w14:textId="77777777" w:rsidR="008410D2" w:rsidRDefault="008410D2" w:rsidP="008410D2">
      <w:pPr>
        <w:spacing w:after="0" w:line="276" w:lineRule="auto"/>
        <w:ind w:left="709" w:right="709"/>
        <w:jc w:val="both"/>
        <w:rPr>
          <w:rFonts w:ascii="Arial" w:hAnsi="Arial" w:cs="Arial"/>
          <w:shd w:val="clear" w:color="auto" w:fill="FFFFFF"/>
          <w:lang w:val="es-ES_tradnl"/>
        </w:rPr>
      </w:pPr>
    </w:p>
    <w:p w14:paraId="13F68BA0"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Cuando la entidad requiere bienes y servicios que no se encuentran incluidos como infraestructura social en la matriz de experiencia y considera necesario exigir experiencia adicional, debe aplicar el artículo 4 de la Resolución 219 del 6 de agosto de 2021. Esta norma dispone los eventos en los que el objeto contractual incluye bienes o servicios adicionales a la obra pública de infraestructura de infraestructura social. En este caso, la entidad puede incluir experiencia adicional para evaluar la idoneidad del proponente respecto a esta clase de bienes y servicios.</w:t>
      </w:r>
    </w:p>
    <w:p w14:paraId="74572900" w14:textId="77777777" w:rsidR="008410D2" w:rsidRDefault="008410D2" w:rsidP="001A5552">
      <w:pPr>
        <w:spacing w:after="120" w:line="276" w:lineRule="auto"/>
        <w:ind w:firstLine="709"/>
        <w:jc w:val="both"/>
        <w:rPr>
          <w:rFonts w:ascii="Arial" w:eastAsia="Calibri" w:hAnsi="Arial" w:cs="Arial"/>
        </w:rPr>
      </w:pPr>
      <w:r>
        <w:rPr>
          <w:rFonts w:ascii="Arial" w:eastAsia="Calibri" w:hAnsi="Arial" w:cs="Arial"/>
        </w:rPr>
        <w:t xml:space="preserve">No obstante, deben seguirse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Pr>
          <w:rFonts w:ascii="Arial" w:eastAsia="Calibri" w:hAnsi="Arial" w:cs="Arial"/>
        </w:rPr>
        <w:t>ii</w:t>
      </w:r>
      <w:proofErr w:type="spellEnd"/>
      <w:r>
        <w:rPr>
          <w:rFonts w:ascii="Arial" w:eastAsia="Calibri" w:hAnsi="Arial" w:cs="Arial"/>
        </w:rPr>
        <w:t xml:space="preserve">) conservar los requisitos exigidos en los documentos tipo, </w:t>
      </w:r>
      <w:proofErr w:type="spellStart"/>
      <w:r>
        <w:rPr>
          <w:rFonts w:ascii="Arial" w:eastAsia="Calibri" w:hAnsi="Arial" w:cs="Arial"/>
        </w:rPr>
        <w:t>iii</w:t>
      </w:r>
      <w:proofErr w:type="spellEnd"/>
      <w:r>
        <w:rPr>
          <w:rFonts w:ascii="Arial" w:eastAsia="Calibri" w:hAnsi="Arial" w:cs="Arial"/>
        </w:rPr>
        <w:t xml:space="preserve">) abstenerse de pedir experiencia exclusiva con entidades de cualquier naturaleza, experiencia previa en un territorio específico, limitada en el tiempo o que incluya volúmenes o cantidades de obra específica, </w:t>
      </w:r>
      <w:proofErr w:type="spellStart"/>
      <w:r>
        <w:rPr>
          <w:rFonts w:ascii="Arial" w:eastAsia="Calibri" w:hAnsi="Arial" w:cs="Arial"/>
        </w:rPr>
        <w:t>iv</w:t>
      </w:r>
      <w:proofErr w:type="spellEnd"/>
      <w:r>
        <w:rPr>
          <w:rFonts w:ascii="Arial" w:eastAsia="Calibri" w:hAnsi="Arial" w:cs="Arial"/>
        </w:rPr>
        <w:t>) clasificar la experiencia requerida solo hasta el tercer nivel del clasificador de bienes y servicios, así como incluir exclusivamente los códigos que estén relacionados directamente con el objeto a contratar.</w:t>
      </w:r>
    </w:p>
    <w:p w14:paraId="4ECCE7D3" w14:textId="77777777" w:rsidR="008410D2" w:rsidRDefault="008410D2" w:rsidP="008410D2">
      <w:pPr>
        <w:spacing w:after="0" w:line="276" w:lineRule="auto"/>
        <w:ind w:firstLine="709"/>
        <w:jc w:val="both"/>
        <w:rPr>
          <w:rFonts w:ascii="Arial" w:eastAsia="Calibri" w:hAnsi="Arial" w:cs="Arial"/>
        </w:rPr>
      </w:pPr>
      <w:r>
        <w:rPr>
          <w:rFonts w:ascii="Arial" w:eastAsia="Calibri" w:hAnsi="Arial" w:cs="Arial"/>
        </w:rPr>
        <w:t xml:space="preserve">En el marco de las definiciones de los parágrafos 2 y 3 de la norma precitada, la posibilidad de solicitar experiencia adicional solo ocurre cuando el objeto contractual incluye bienes o servicios adicionales a la obra pública de infraestructura social. Esto implica que: i) la actividad que se requiere, si bien es una labor de obra, no está relacionada con la infraestructura social, por ejemplo, la construcción de una vía cerca de un parque recreativo, y </w:t>
      </w:r>
      <w:proofErr w:type="spellStart"/>
      <w:r>
        <w:rPr>
          <w:rFonts w:ascii="Arial" w:eastAsia="Calibri" w:hAnsi="Arial" w:cs="Arial"/>
        </w:rPr>
        <w:t>ii</w:t>
      </w:r>
      <w:proofErr w:type="spellEnd"/>
      <w:r>
        <w:rPr>
          <w:rFonts w:ascii="Arial" w:eastAsia="Calibri" w:hAnsi="Arial" w:cs="Arial"/>
        </w:rPr>
        <w:t>) el bien o servicio adicional es distinto a la actividad principal, aun cuando se relaciona con la infraestructura social, v. gr., cuando se requiere que el contratista realice los estudios y diseños de la obra. En supuestos como los indicados es posible que la entidad exija experiencia adicional para acreditar la idoneidad del contratista en la ejecución de estos bienes o servicios adicionales a la obra de infraestructura social. Sin embargo, esta opción se encuentra limitada por el parágrafo 1 del artículo 4 de la Resolución 219 del 6 de agosto de 2021, modificado por el artículo 177 de la Resolución 275 del 24 de junio de 2022, pues “</w:t>
      </w:r>
      <w:r w:rsidRPr="00456CCB">
        <w:rPr>
          <w:rFonts w:ascii="Arial" w:eastAsia="Calibri" w:hAnsi="Arial" w:cs="Arial"/>
        </w:rPr>
        <w:t>En los casos que el objeto contractual incluya actividades que son abarcadas por otros Documentos, la Entidad Estatal aplicará las reglas de combinación de experiencia previstas en el numeral 3.5.1 del documento base</w:t>
      </w:r>
      <w:r>
        <w:rPr>
          <w:rFonts w:ascii="Arial" w:eastAsia="Calibri" w:hAnsi="Arial" w:cs="Arial"/>
        </w:rPr>
        <w:t>”</w:t>
      </w:r>
      <w:r w:rsidRPr="00456CCB">
        <w:rPr>
          <w:rFonts w:ascii="Arial" w:eastAsia="Calibri" w:hAnsi="Arial" w:cs="Arial"/>
        </w:rPr>
        <w:t>.</w:t>
      </w:r>
    </w:p>
    <w:p w14:paraId="25E66930" w14:textId="77777777" w:rsidR="008410D2" w:rsidRPr="0001657A" w:rsidRDefault="008410D2" w:rsidP="008410D2">
      <w:pPr>
        <w:spacing w:before="120" w:after="0" w:line="276" w:lineRule="auto"/>
        <w:ind w:firstLine="708"/>
        <w:jc w:val="both"/>
        <w:rPr>
          <w:rFonts w:ascii="Arial" w:hAnsi="Arial" w:cs="Arial"/>
          <w:shd w:val="clear" w:color="auto" w:fill="FFFFFF"/>
          <w:lang w:val="es-ES_tradnl"/>
        </w:rPr>
      </w:pPr>
      <w:r>
        <w:rPr>
          <w:rFonts w:ascii="Arial" w:eastAsia="Times New Roman" w:hAnsi="Arial" w:cs="Arial"/>
          <w:lang w:val="es-ES_tradnl" w:eastAsia="es-ES_tradnl"/>
        </w:rPr>
        <w:t>Por tanto</w:t>
      </w:r>
      <w:r w:rsidRPr="00A8780C">
        <w:rPr>
          <w:rFonts w:ascii="Arial" w:eastAsia="Times New Roman" w:hAnsi="Arial" w:cs="Arial"/>
          <w:lang w:val="es-ES_tradnl" w:eastAsia="es-ES_tradnl"/>
        </w:rPr>
        <w:t>, según la norma reseñada, si de manera excepcional la entidad estatal considera que el contratista de la obra que debe contratarse a través de la aplicación de los documentos tipo de infraestructura social debe ejecutar bienes o servicios adicionales, como sería el caso de los estudios y diseños necesarios para la obra, puede incluir la experiencia adicional para evaluar la idoneidad de los proponentes,</w:t>
      </w:r>
      <w:r>
        <w:rPr>
          <w:rFonts w:ascii="Arial" w:eastAsia="Times New Roman" w:hAnsi="Arial" w:cs="Arial"/>
          <w:lang w:val="es-ES_tradnl" w:eastAsia="es-ES_tradnl"/>
        </w:rPr>
        <w:t xml:space="preserve"> </w:t>
      </w:r>
      <w:r w:rsidRPr="00A8780C">
        <w:rPr>
          <w:rFonts w:ascii="Arial" w:eastAsia="Times New Roman" w:hAnsi="Arial" w:cs="Arial"/>
          <w:lang w:val="es-MX" w:eastAsia="es-ES_tradnl"/>
        </w:rPr>
        <w:t xml:space="preserve">cumpliendo todas las demás exigencias de los documentos tipo. </w:t>
      </w:r>
      <w:r>
        <w:rPr>
          <w:rFonts w:ascii="Arial" w:eastAsia="Times New Roman" w:hAnsi="Arial" w:cs="Arial"/>
          <w:lang w:val="es-MX" w:eastAsia="es-ES_tradnl"/>
        </w:rPr>
        <w:t>En consecuencia</w:t>
      </w:r>
      <w:r w:rsidRPr="00A8780C">
        <w:rPr>
          <w:rFonts w:ascii="Arial" w:eastAsia="Times New Roman" w:hAnsi="Arial" w:cs="Arial"/>
          <w:lang w:val="es-MX" w:eastAsia="es-ES_tradnl"/>
        </w:rPr>
        <w:t xml:space="preserve">, si la obra que pretende ejecutar la entidad estatal se enmarca en alguno de los tipos de proyectos o </w:t>
      </w:r>
      <w:r>
        <w:rPr>
          <w:rFonts w:ascii="Arial" w:eastAsia="Times New Roman" w:hAnsi="Arial" w:cs="Arial"/>
          <w:lang w:val="es-MX" w:eastAsia="es-ES_tradnl"/>
        </w:rPr>
        <w:t>“</w:t>
      </w:r>
      <w:r w:rsidRPr="00A8780C">
        <w:rPr>
          <w:rFonts w:ascii="Arial" w:eastAsia="Times New Roman" w:hAnsi="Arial" w:cs="Arial"/>
          <w:lang w:val="es-MX" w:eastAsia="es-ES_tradnl"/>
        </w:rPr>
        <w:t>actividades</w:t>
      </w:r>
      <w:r>
        <w:rPr>
          <w:rFonts w:ascii="Arial" w:eastAsia="Times New Roman" w:hAnsi="Arial" w:cs="Arial"/>
          <w:lang w:val="es-MX" w:eastAsia="es-ES_tradnl"/>
        </w:rPr>
        <w:t>”</w:t>
      </w:r>
      <w:r w:rsidRPr="00A8780C">
        <w:rPr>
          <w:rFonts w:ascii="Arial" w:eastAsia="Times New Roman" w:hAnsi="Arial" w:cs="Arial"/>
          <w:lang w:val="es-MX" w:eastAsia="es-ES_tradnl"/>
        </w:rPr>
        <w:t xml:space="preserve"> incluidas en alguna de las matrices de experiencia de los documentos tipo </w:t>
      </w:r>
      <w:r w:rsidRPr="00A8780C">
        <w:rPr>
          <w:rFonts w:ascii="Arial" w:eastAsia="Times New Roman" w:hAnsi="Arial" w:cs="Arial"/>
          <w:i/>
          <w:iCs/>
          <w:lang w:val="es-MX" w:eastAsia="es-ES_tradnl"/>
        </w:rPr>
        <w:t>complementarios</w:t>
      </w:r>
      <w:r w:rsidRPr="00A8780C">
        <w:rPr>
          <w:rFonts w:ascii="Arial" w:eastAsia="Times New Roman" w:hAnsi="Arial" w:cs="Arial"/>
          <w:lang w:val="es-MX" w:eastAsia="es-ES_tradnl"/>
        </w:rPr>
        <w:t xml:space="preserve"> relacionados con la infraestructura social, el proceso de selección debe adelantarse utilizando dichos documentos tipo. Esto aplica, incluso, para los contratos de obra </w:t>
      </w:r>
      <w:r>
        <w:rPr>
          <w:rFonts w:ascii="Arial" w:eastAsia="Times New Roman" w:hAnsi="Arial" w:cs="Arial"/>
          <w:lang w:val="es-MX" w:eastAsia="es-ES_tradnl"/>
        </w:rPr>
        <w:t>“</w:t>
      </w:r>
      <w:r w:rsidRPr="00A8780C">
        <w:rPr>
          <w:rFonts w:ascii="Arial" w:eastAsia="Times New Roman" w:hAnsi="Arial" w:cs="Arial"/>
          <w:lang w:val="es-MX" w:eastAsia="es-ES_tradnl"/>
        </w:rPr>
        <w:t>llave en mano</w:t>
      </w:r>
      <w:r>
        <w:rPr>
          <w:rFonts w:ascii="Arial" w:eastAsia="Times New Roman" w:hAnsi="Arial" w:cs="Arial"/>
          <w:lang w:val="es-MX" w:eastAsia="es-ES_tradnl"/>
        </w:rPr>
        <w:t>”</w:t>
      </w:r>
      <w:r w:rsidRPr="00A8780C">
        <w:rPr>
          <w:rFonts w:ascii="Arial" w:eastAsia="Times New Roman" w:hAnsi="Arial" w:cs="Arial"/>
          <w:lang w:val="es-MX" w:eastAsia="es-ES_tradnl"/>
        </w:rPr>
        <w:t xml:space="preserve"> para infraestructura social, en donde se considere necesario exigir experiencia adicional para la ejecución de bienes o servicios adicionales a la obra pública, como sería la realización de los diseños de la obra. </w:t>
      </w:r>
    </w:p>
    <w:p w14:paraId="135E209F" w14:textId="77777777" w:rsidR="008410D2" w:rsidRDefault="008410D2" w:rsidP="008410D2">
      <w:pPr>
        <w:spacing w:after="0" w:line="276" w:lineRule="auto"/>
        <w:jc w:val="both"/>
        <w:rPr>
          <w:rFonts w:ascii="Arial" w:hAnsi="Arial" w:cs="Arial"/>
        </w:rPr>
      </w:pPr>
    </w:p>
    <w:p w14:paraId="1D16207F" w14:textId="77777777" w:rsidR="008410D2" w:rsidRPr="00781AC2" w:rsidRDefault="008410D2" w:rsidP="008410D2">
      <w:pPr>
        <w:spacing w:after="0" w:line="276" w:lineRule="auto"/>
        <w:jc w:val="both"/>
        <w:rPr>
          <w:rFonts w:ascii="Arial" w:hAnsi="Arial" w:cs="Arial"/>
          <w:lang w:val="es-ES_tradnl"/>
        </w:rPr>
      </w:pPr>
      <w:r w:rsidRPr="00781AC2">
        <w:rPr>
          <w:rFonts w:ascii="Arial" w:hAnsi="Arial" w:cs="Arial"/>
          <w:lang w:val="es-ES_tradnl"/>
        </w:rPr>
        <w:t>Este concepto tiene el alcance previsto en el artículo 28 del Código de Procedimiento Administrativo y de lo Contencioso Administrativo.</w:t>
      </w:r>
    </w:p>
    <w:p w14:paraId="74E96C78" w14:textId="77777777" w:rsidR="008410D2" w:rsidRPr="000F4A3A" w:rsidRDefault="008410D2" w:rsidP="008410D2">
      <w:pPr>
        <w:tabs>
          <w:tab w:val="left" w:pos="426"/>
        </w:tabs>
        <w:spacing w:before="120" w:after="0"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39F32A9C" w14:textId="2A6A07F1" w:rsidR="008410D2" w:rsidRPr="00CB70D9" w:rsidRDefault="00395337" w:rsidP="008410D2">
      <w:pPr>
        <w:spacing w:after="0"/>
        <w:jc w:val="center"/>
        <w:rPr>
          <w:rFonts w:ascii="Arial" w:eastAsia="Times New Roman" w:hAnsi="Arial" w:cs="Arial"/>
          <w:lang w:eastAsia="es-CO"/>
        </w:rPr>
      </w:pPr>
      <w:r>
        <w:rPr>
          <w:rFonts w:ascii="Arial" w:hAnsi="Arial" w:cs="Arial"/>
          <w:noProof/>
          <w:lang w:eastAsia="es-CO"/>
        </w:rPr>
        <w:drawing>
          <wp:inline distT="0" distB="0" distL="0" distR="0" wp14:anchorId="6E90BFAC" wp14:editId="42162843">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410D2" w:rsidRPr="003F5F71" w14:paraId="3F902F81" w14:textId="77777777" w:rsidTr="00532A88">
        <w:trPr>
          <w:trHeight w:val="409"/>
        </w:trPr>
        <w:tc>
          <w:tcPr>
            <w:tcW w:w="817" w:type="dxa"/>
            <w:tcBorders>
              <w:top w:val="nil"/>
              <w:left w:val="nil"/>
              <w:bottom w:val="nil"/>
              <w:right w:val="nil"/>
            </w:tcBorders>
            <w:vAlign w:val="center"/>
            <w:hideMark/>
          </w:tcPr>
          <w:p w14:paraId="40B6759E"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32CB0B29" w14:textId="77777777" w:rsidR="008410D2" w:rsidRPr="009C1F1A" w:rsidRDefault="008410D2" w:rsidP="00532A88">
            <w:pPr>
              <w:spacing w:after="0" w:line="240" w:lineRule="auto"/>
              <w:jc w:val="both"/>
              <w:rPr>
                <w:rFonts w:ascii="Arial" w:hAnsi="Arial" w:cs="Arial"/>
                <w:sz w:val="16"/>
                <w:szCs w:val="16"/>
              </w:rPr>
            </w:pPr>
            <w:r>
              <w:rPr>
                <w:rFonts w:ascii="Arial" w:hAnsi="Arial" w:cs="Arial"/>
                <w:sz w:val="16"/>
                <w:szCs w:val="16"/>
              </w:rPr>
              <w:t>Juan David Montoya Penagos</w:t>
            </w:r>
          </w:p>
          <w:p w14:paraId="3277F8CA"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8410D2" w:rsidRPr="003F5F71" w14:paraId="3C32AC3A" w14:textId="77777777" w:rsidTr="00532A88">
        <w:trPr>
          <w:trHeight w:val="409"/>
        </w:trPr>
        <w:tc>
          <w:tcPr>
            <w:tcW w:w="817" w:type="dxa"/>
            <w:tcBorders>
              <w:top w:val="nil"/>
              <w:left w:val="nil"/>
              <w:right w:val="nil"/>
            </w:tcBorders>
            <w:vAlign w:val="center"/>
          </w:tcPr>
          <w:p w14:paraId="197B44B4" w14:textId="77777777" w:rsidR="008410D2" w:rsidRPr="1CF3ADA9" w:rsidRDefault="008410D2" w:rsidP="00532A88">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90762E4"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Alejandro Sarmiento Cantillo</w:t>
            </w:r>
          </w:p>
          <w:p w14:paraId="1B6992D5"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8410D2" w:rsidRPr="003F5F71" w14:paraId="62CBE1D6" w14:textId="77777777" w:rsidTr="00532A88">
        <w:trPr>
          <w:trHeight w:val="389"/>
        </w:trPr>
        <w:tc>
          <w:tcPr>
            <w:tcW w:w="817" w:type="dxa"/>
            <w:tcBorders>
              <w:top w:val="nil"/>
              <w:left w:val="nil"/>
              <w:bottom w:val="nil"/>
              <w:right w:val="nil"/>
            </w:tcBorders>
            <w:vAlign w:val="center"/>
            <w:hideMark/>
          </w:tcPr>
          <w:p w14:paraId="7F060568"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50A6CE8"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1C00B928" w14:textId="77777777" w:rsidR="008410D2" w:rsidRPr="009C1F1A" w:rsidRDefault="008410D2" w:rsidP="00532A88">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42A3B252" w14:textId="77777777" w:rsidR="008410D2" w:rsidRPr="006219F8" w:rsidRDefault="008410D2" w:rsidP="008410D2">
      <w:pPr>
        <w:tabs>
          <w:tab w:val="left" w:pos="0"/>
        </w:tabs>
        <w:spacing w:after="0" w:line="276" w:lineRule="auto"/>
        <w:contextualSpacing/>
        <w:jc w:val="both"/>
        <w:rPr>
          <w:lang w:val="es-MX"/>
        </w:rPr>
      </w:pPr>
    </w:p>
    <w:p w14:paraId="0F293BF4" w14:textId="0F6FB6C1" w:rsidR="00127233" w:rsidRPr="00D42C11" w:rsidRDefault="00127233" w:rsidP="00D42C11"/>
    <w:sectPr w:rsidR="00127233" w:rsidRPr="00D42C11"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6D9CE" w14:textId="77777777" w:rsidR="003378B4" w:rsidRDefault="003378B4" w:rsidP="004A1847">
      <w:pPr>
        <w:spacing w:after="0" w:line="240" w:lineRule="auto"/>
      </w:pPr>
      <w:r>
        <w:separator/>
      </w:r>
    </w:p>
  </w:endnote>
  <w:endnote w:type="continuationSeparator" w:id="0">
    <w:p w14:paraId="501E9B28" w14:textId="77777777" w:rsidR="003378B4" w:rsidRDefault="003378B4" w:rsidP="004A1847">
      <w:pPr>
        <w:spacing w:after="0" w:line="240" w:lineRule="auto"/>
      </w:pPr>
      <w:r>
        <w:continuationSeparator/>
      </w:r>
    </w:p>
  </w:endnote>
  <w:endnote w:type="continuationNotice" w:id="1">
    <w:p w14:paraId="63744DEE" w14:textId="77777777" w:rsidR="003378B4" w:rsidRDefault="00337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060E2" w14:textId="77777777" w:rsidR="003378B4" w:rsidRDefault="003378B4" w:rsidP="004A1847">
      <w:pPr>
        <w:spacing w:after="0" w:line="240" w:lineRule="auto"/>
      </w:pPr>
      <w:r>
        <w:separator/>
      </w:r>
    </w:p>
  </w:footnote>
  <w:footnote w:type="continuationSeparator" w:id="0">
    <w:p w14:paraId="6D3C09A2" w14:textId="77777777" w:rsidR="003378B4" w:rsidRDefault="003378B4" w:rsidP="004A1847">
      <w:pPr>
        <w:spacing w:after="0" w:line="240" w:lineRule="auto"/>
      </w:pPr>
      <w:r>
        <w:continuationSeparator/>
      </w:r>
    </w:p>
  </w:footnote>
  <w:footnote w:type="continuationNotice" w:id="1">
    <w:p w14:paraId="4AD26A87" w14:textId="77777777" w:rsidR="003378B4" w:rsidRDefault="003378B4">
      <w:pPr>
        <w:spacing w:after="0" w:line="240" w:lineRule="auto"/>
      </w:pPr>
    </w:p>
  </w:footnote>
  <w:footnote w:id="2">
    <w:p w14:paraId="1AA3A8DF" w14:textId="77777777" w:rsidR="008410D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hAnsi="Arial" w:cs="Arial"/>
          <w:sz w:val="16"/>
          <w:szCs w:val="16"/>
          <w:lang w:val="es-CO"/>
        </w:rPr>
        <w:t xml:space="preserve">Estos conceptos pueden ser consultados en la Relatoría de esta Agencia en el siguiente </w:t>
      </w:r>
      <w:proofErr w:type="gramStart"/>
      <w:r w:rsidRPr="001A5552">
        <w:rPr>
          <w:rFonts w:ascii="Arial" w:hAnsi="Arial" w:cs="Arial"/>
          <w:sz w:val="16"/>
          <w:szCs w:val="16"/>
          <w:lang w:val="es-CO"/>
        </w:rPr>
        <w:t>Link</w:t>
      </w:r>
      <w:proofErr w:type="gramEnd"/>
      <w:r w:rsidRPr="001A5552">
        <w:rPr>
          <w:rFonts w:ascii="Arial" w:hAnsi="Arial" w:cs="Arial"/>
          <w:sz w:val="16"/>
          <w:szCs w:val="16"/>
          <w:lang w:val="es-CO"/>
        </w:rPr>
        <w:t xml:space="preserve">: </w:t>
      </w:r>
      <w:hyperlink r:id="rId1" w:history="1">
        <w:r w:rsidRPr="001A5552">
          <w:rPr>
            <w:rStyle w:val="Hipervnculo"/>
            <w:rFonts w:ascii="Arial" w:hAnsi="Arial" w:cs="Arial"/>
            <w:sz w:val="16"/>
            <w:szCs w:val="16"/>
            <w:lang w:val="es-CO"/>
          </w:rPr>
          <w:t>https://relatoria.colombiacompra.gov.co/busqueda/conceptos</w:t>
        </w:r>
      </w:hyperlink>
      <w:r w:rsidRPr="001A5552">
        <w:rPr>
          <w:rFonts w:ascii="Arial" w:hAnsi="Arial" w:cs="Arial"/>
          <w:sz w:val="16"/>
          <w:szCs w:val="16"/>
          <w:lang w:val="es-CO"/>
        </w:rPr>
        <w:t xml:space="preserve"> </w:t>
      </w:r>
    </w:p>
    <w:p w14:paraId="232D3FD9" w14:textId="77777777" w:rsidR="008410D2" w:rsidRPr="007C211D" w:rsidRDefault="008410D2" w:rsidP="008410D2">
      <w:pPr>
        <w:pStyle w:val="Textonotapie"/>
        <w:ind w:firstLine="708"/>
        <w:jc w:val="both"/>
        <w:rPr>
          <w:rFonts w:ascii="Arial" w:hAnsi="Arial" w:cs="Arial"/>
          <w:sz w:val="16"/>
          <w:szCs w:val="16"/>
          <w:lang w:val="es-CO"/>
        </w:rPr>
      </w:pPr>
    </w:p>
  </w:footnote>
  <w:footnote w:id="3">
    <w:p w14:paraId="13924151" w14:textId="77777777" w:rsidR="008410D2" w:rsidRPr="001A5552" w:rsidRDefault="008410D2" w:rsidP="008410D2">
      <w:pPr>
        <w:spacing w:after="0"/>
        <w:ind w:firstLine="709"/>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Decreto 1082 de 2015: “Artículo </w:t>
      </w:r>
      <w:bookmarkStart w:id="7" w:name="_Hlk132977831"/>
      <w:r w:rsidRPr="001A5552">
        <w:rPr>
          <w:rFonts w:ascii="Arial" w:hAnsi="Arial" w:cs="Arial"/>
          <w:sz w:val="16"/>
          <w:szCs w:val="16"/>
        </w:rPr>
        <w:t>2.2.1.2.1.4.4</w:t>
      </w:r>
      <w:bookmarkEnd w:id="7"/>
      <w:r w:rsidRPr="001A5552">
        <w:rPr>
          <w:rFonts w:ascii="Arial" w:hAnsi="Arial" w:cs="Arial"/>
          <w:sz w:val="16"/>
          <w:szCs w:val="16"/>
        </w:rPr>
        <w:t xml:space="preserve">. Convenios o contratos interadministrativos. La modalidad de selección para la contratación entre Entidades Estatales es la contratación directa; </w:t>
      </w:r>
      <w:proofErr w:type="gramStart"/>
      <w:r w:rsidRPr="001A5552">
        <w:rPr>
          <w:rFonts w:ascii="Arial" w:hAnsi="Arial" w:cs="Arial"/>
          <w:sz w:val="16"/>
          <w:szCs w:val="16"/>
        </w:rPr>
        <w:t>y</w:t>
      </w:r>
      <w:proofErr w:type="gramEnd"/>
      <w:r w:rsidRPr="001A5552">
        <w:rPr>
          <w:rFonts w:ascii="Arial" w:hAnsi="Arial" w:cs="Arial"/>
          <w:sz w:val="16"/>
          <w:szCs w:val="16"/>
        </w:rPr>
        <w:t xml:space="preserve"> en consecuencia, le es aplicable lo establecido en el artículo 2.2.1.2.1.4.1 del presente decreto.</w:t>
      </w:r>
    </w:p>
    <w:p w14:paraId="6CE06CC8" w14:textId="77777777" w:rsidR="008410D2" w:rsidRPr="001A5552" w:rsidRDefault="008410D2" w:rsidP="008410D2">
      <w:pPr>
        <w:spacing w:after="0"/>
        <w:ind w:firstLine="709"/>
        <w:jc w:val="both"/>
        <w:rPr>
          <w:rFonts w:ascii="Arial" w:hAnsi="Arial" w:cs="Arial"/>
          <w:sz w:val="16"/>
          <w:szCs w:val="16"/>
        </w:rPr>
      </w:pPr>
      <w:r w:rsidRPr="001A5552">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A5552">
        <w:rPr>
          <w:rFonts w:ascii="Arial" w:hAnsi="Arial" w:cs="Arial"/>
          <w:spacing w:val="-1"/>
          <w:sz w:val="16"/>
          <w:szCs w:val="16"/>
        </w:rPr>
        <w:t xml:space="preserve"> </w:t>
      </w:r>
      <w:r w:rsidRPr="001A5552">
        <w:rPr>
          <w:rFonts w:ascii="Arial" w:hAnsi="Arial" w:cs="Arial"/>
          <w:sz w:val="16"/>
          <w:szCs w:val="16"/>
        </w:rPr>
        <w:t>Estatales”.</w:t>
      </w:r>
    </w:p>
  </w:footnote>
  <w:footnote w:id="4">
    <w:p w14:paraId="78BA22DF" w14:textId="77777777" w:rsidR="008410D2" w:rsidRDefault="008410D2" w:rsidP="008410D2">
      <w:pPr>
        <w:spacing w:after="0"/>
        <w:ind w:firstLine="709"/>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A5552">
        <w:rPr>
          <w:rFonts w:ascii="Arial" w:hAnsi="Arial" w:cs="Arial"/>
          <w:spacing w:val="-6"/>
          <w:sz w:val="16"/>
          <w:szCs w:val="16"/>
        </w:rPr>
        <w:t xml:space="preserve"> </w:t>
      </w:r>
      <w:r w:rsidRPr="001A5552">
        <w:rPr>
          <w:rFonts w:ascii="Arial" w:hAnsi="Arial" w:cs="Arial"/>
          <w:sz w:val="16"/>
          <w:szCs w:val="16"/>
        </w:rPr>
        <w:t>artículo”.</w:t>
      </w:r>
    </w:p>
    <w:p w14:paraId="2FF699A6" w14:textId="77777777" w:rsidR="008410D2" w:rsidRPr="007C211D" w:rsidRDefault="008410D2" w:rsidP="008410D2">
      <w:pPr>
        <w:spacing w:after="0"/>
        <w:ind w:firstLine="709"/>
        <w:jc w:val="both"/>
        <w:rPr>
          <w:rFonts w:ascii="Arial" w:hAnsi="Arial" w:cs="Arial"/>
          <w:sz w:val="16"/>
          <w:szCs w:val="16"/>
        </w:rPr>
      </w:pPr>
    </w:p>
  </w:footnote>
  <w:footnote w:id="5">
    <w:p w14:paraId="17D8CCB6" w14:textId="77777777" w:rsidR="008410D2" w:rsidRPr="001A5552" w:rsidRDefault="008410D2" w:rsidP="008410D2">
      <w:pPr>
        <w:spacing w:after="0"/>
        <w:ind w:firstLine="709"/>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position w:val="7"/>
          <w:sz w:val="16"/>
          <w:szCs w:val="16"/>
        </w:rPr>
        <w:t xml:space="preserve"> </w:t>
      </w:r>
      <w:r w:rsidRPr="001A5552">
        <w:rPr>
          <w:rFonts w:ascii="Arial" w:hAnsi="Arial" w:cs="Arial"/>
          <w:sz w:val="16"/>
          <w:szCs w:val="16"/>
        </w:rPr>
        <w:t>Consejo de Estado. Sección Tercera. Sentencia del 23 de junio de 2010. Radicación No. 66001-23-31-000-1998-00261-01(17.860). Consejero Ponente: Mauricio Fajardo Gómez.</w:t>
      </w:r>
    </w:p>
  </w:footnote>
  <w:footnote w:id="6">
    <w:p w14:paraId="733213CB" w14:textId="77777777" w:rsidR="008410D2" w:rsidRPr="001A5552" w:rsidRDefault="008410D2" w:rsidP="008410D2">
      <w:pPr>
        <w:spacing w:after="0"/>
        <w:ind w:firstLine="709"/>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Consejo de Estado. Sección Tercera. Subsección C. Sentencia del 11 de diciembre de 2019. </w:t>
      </w:r>
      <w:proofErr w:type="spellStart"/>
      <w:r w:rsidRPr="001A5552">
        <w:rPr>
          <w:rFonts w:ascii="Arial" w:hAnsi="Arial" w:cs="Arial"/>
          <w:sz w:val="16"/>
          <w:szCs w:val="16"/>
        </w:rPr>
        <w:t>Exp</w:t>
      </w:r>
      <w:proofErr w:type="spellEnd"/>
      <w:r w:rsidRPr="001A5552">
        <w:rPr>
          <w:rFonts w:ascii="Arial" w:hAnsi="Arial" w:cs="Arial"/>
          <w:sz w:val="16"/>
          <w:szCs w:val="16"/>
        </w:rPr>
        <w:t>. 46.986. C.P. Jaime Enrique Rodríguez Navas.</w:t>
      </w:r>
    </w:p>
  </w:footnote>
  <w:footnote w:id="7">
    <w:p w14:paraId="632E3CFE" w14:textId="77777777" w:rsidR="008410D2" w:rsidRPr="001A5552" w:rsidRDefault="008410D2" w:rsidP="008410D2">
      <w:pPr>
        <w:pStyle w:val="Textonotapie"/>
        <w:ind w:firstLine="708"/>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CONSEJO DE ESTADO. Sala de Consulta y Servicio Civil. Concepto 26 de julio de 2016. </w:t>
      </w:r>
      <w:proofErr w:type="spellStart"/>
      <w:r w:rsidRPr="001A5552">
        <w:rPr>
          <w:rFonts w:ascii="Arial" w:hAnsi="Arial" w:cs="Arial"/>
          <w:sz w:val="16"/>
          <w:szCs w:val="16"/>
        </w:rPr>
        <w:t>Exp</w:t>
      </w:r>
      <w:proofErr w:type="spellEnd"/>
      <w:r w:rsidRPr="001A5552">
        <w:rPr>
          <w:rFonts w:ascii="Arial" w:hAnsi="Arial" w:cs="Arial"/>
          <w:sz w:val="16"/>
          <w:szCs w:val="16"/>
        </w:rPr>
        <w:t xml:space="preserve">. 2.257. C.P. Álvaro </w:t>
      </w:r>
      <w:proofErr w:type="spellStart"/>
      <w:r w:rsidRPr="001A5552">
        <w:rPr>
          <w:rFonts w:ascii="Arial" w:hAnsi="Arial" w:cs="Arial"/>
          <w:sz w:val="16"/>
          <w:szCs w:val="16"/>
        </w:rPr>
        <w:t>Namén</w:t>
      </w:r>
      <w:proofErr w:type="spellEnd"/>
      <w:r w:rsidRPr="001A5552">
        <w:rPr>
          <w:rFonts w:ascii="Arial" w:hAnsi="Arial" w:cs="Arial"/>
          <w:sz w:val="16"/>
          <w:szCs w:val="16"/>
        </w:rPr>
        <w:t xml:space="preserve"> Vargas. </w:t>
      </w:r>
      <w:r w:rsidRPr="001A5552">
        <w:rPr>
          <w:rFonts w:ascii="Arial" w:hAnsi="Arial" w:cs="Arial"/>
          <w:sz w:val="16"/>
          <w:szCs w:val="16"/>
          <w:lang w:val="es-CO"/>
        </w:rPr>
        <w:t xml:space="preserve">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w:t>
      </w:r>
      <w:proofErr w:type="spellStart"/>
      <w:r w:rsidRPr="001A5552">
        <w:rPr>
          <w:rFonts w:ascii="Arial" w:hAnsi="Arial" w:cs="Arial"/>
          <w:sz w:val="16"/>
          <w:szCs w:val="16"/>
          <w:lang w:val="es-CO"/>
        </w:rPr>
        <w:t>organizatoria</w:t>
      </w:r>
      <w:proofErr w:type="spellEnd"/>
      <w:r w:rsidRPr="001A5552">
        <w:rPr>
          <w:rFonts w:ascii="Arial" w:hAnsi="Arial" w:cs="Arial"/>
          <w:sz w:val="16"/>
          <w:szCs w:val="16"/>
          <w:lang w:val="es-CO"/>
        </w:rPr>
        <w:t>,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footnote>
  <w:footnote w:id="8">
    <w:p w14:paraId="7FE6CBFD" w14:textId="77777777" w:rsidR="008410D2" w:rsidRPr="001A5552" w:rsidRDefault="008410D2" w:rsidP="001A5552">
      <w:pPr>
        <w:pStyle w:val="Textonotapie"/>
        <w:spacing w:after="120"/>
        <w:ind w:firstLine="709"/>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Por ejemplo, </w:t>
      </w:r>
      <w:bookmarkStart w:id="9" w:name="_Hlk131016907"/>
      <w:r w:rsidRPr="001A5552">
        <w:rPr>
          <w:rFonts w:ascii="Arial" w:hAnsi="Arial" w:cs="Arial"/>
          <w:sz w:val="16"/>
          <w:szCs w:val="16"/>
        </w:rPr>
        <w:t xml:space="preserve">Peña Nossa </w:t>
      </w:r>
      <w:bookmarkEnd w:id="9"/>
      <w:r w:rsidRPr="001A5552">
        <w:rPr>
          <w:rFonts w:ascii="Arial" w:hAnsi="Arial" w:cs="Arial"/>
          <w:sz w:val="16"/>
          <w:szCs w:val="16"/>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542CA271" w14:textId="77777777" w:rsidR="008410D2" w:rsidRPr="001A5552" w:rsidRDefault="008410D2" w:rsidP="008410D2">
      <w:pPr>
        <w:pStyle w:val="Textonotapie"/>
        <w:ind w:firstLine="708"/>
        <w:jc w:val="both"/>
        <w:rPr>
          <w:rFonts w:ascii="Arial" w:hAnsi="Arial" w:cs="Arial"/>
          <w:sz w:val="16"/>
          <w:szCs w:val="16"/>
        </w:rPr>
      </w:pPr>
      <w:r w:rsidRPr="001A5552">
        <w:rPr>
          <w:rFonts w:ascii="Arial" w:hAnsi="Arial" w:cs="Arial"/>
          <w:sz w:val="16"/>
          <w:szCs w:val="16"/>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proofErr w:type="gramStart"/>
      <w:r w:rsidRPr="001A5552">
        <w:rPr>
          <w:rFonts w:ascii="Arial" w:hAnsi="Arial" w:cs="Arial"/>
          <w:i/>
          <w:sz w:val="16"/>
          <w:szCs w:val="16"/>
        </w:rPr>
        <w:t>joint venture</w:t>
      </w:r>
      <w:proofErr w:type="gramEnd"/>
      <w:r w:rsidRPr="001A5552">
        <w:rPr>
          <w:rFonts w:ascii="Arial" w:hAnsi="Arial" w:cs="Arial"/>
          <w:i/>
          <w:sz w:val="16"/>
          <w:szCs w:val="16"/>
        </w:rPr>
        <w:t>,</w:t>
      </w:r>
      <w:r w:rsidRPr="001A5552">
        <w:rPr>
          <w:rFonts w:ascii="Arial" w:hAnsi="Arial" w:cs="Arial"/>
          <w:sz w:val="16"/>
          <w:szCs w:val="16"/>
        </w:rPr>
        <w:t xml:space="preserve"> etc.” (Cfr. </w:t>
      </w:r>
      <w:r w:rsidRPr="001A5552">
        <w:rPr>
          <w:rFonts w:ascii="Arial" w:hAnsi="Arial" w:cs="Arial"/>
          <w:sz w:val="16"/>
          <w:szCs w:val="16"/>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1A5552">
        <w:rPr>
          <w:rFonts w:ascii="Arial" w:hAnsi="Arial" w:cs="Arial"/>
          <w:sz w:val="16"/>
          <w:szCs w:val="16"/>
        </w:rPr>
        <w:t xml:space="preserve">  </w:t>
      </w:r>
    </w:p>
    <w:p w14:paraId="334A4959" w14:textId="77777777" w:rsidR="008410D2" w:rsidRPr="001A5552" w:rsidRDefault="008410D2" w:rsidP="008410D2">
      <w:pPr>
        <w:pStyle w:val="Textonotapie"/>
        <w:ind w:firstLine="708"/>
        <w:jc w:val="both"/>
        <w:rPr>
          <w:rFonts w:ascii="Arial" w:hAnsi="Arial" w:cs="Arial"/>
          <w:sz w:val="16"/>
          <w:szCs w:val="16"/>
        </w:rPr>
      </w:pPr>
    </w:p>
  </w:footnote>
  <w:footnote w:id="9">
    <w:p w14:paraId="4CEDAD1D" w14:textId="2ACB8D09" w:rsidR="008410D2" w:rsidRPr="001A5552" w:rsidRDefault="008410D2" w:rsidP="008410D2">
      <w:pPr>
        <w:pStyle w:val="Textonotapie"/>
        <w:ind w:firstLine="708"/>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PLANIOL, Marcel &amp; RIPERT, Jeorge. Tratado práctico de derecho civil francés. Tomo VI. La Habana: Cultural SA, 1940. p. 24. </w:t>
      </w:r>
    </w:p>
  </w:footnote>
  <w:footnote w:id="10">
    <w:p w14:paraId="551722E7" w14:textId="77777777" w:rsidR="008410D2" w:rsidRPr="001A5552" w:rsidRDefault="008410D2" w:rsidP="008410D2">
      <w:pPr>
        <w:pStyle w:val="Textonotapie"/>
        <w:ind w:firstLine="709"/>
        <w:contextualSpacing/>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1">
    <w:p w14:paraId="73A2CAF0" w14:textId="77777777" w:rsidR="008410D2" w:rsidRPr="001A5552" w:rsidRDefault="008410D2" w:rsidP="008410D2">
      <w:pPr>
        <w:pStyle w:val="Textonotapie"/>
        <w:ind w:firstLine="709"/>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hAnsi="Arial" w:cs="Arial"/>
          <w:sz w:val="16"/>
          <w:szCs w:val="16"/>
          <w:lang w:val="es-CO"/>
        </w:rPr>
        <w:t xml:space="preserve">Ley 1882 de 2018: “Artículo 4. </w:t>
      </w:r>
      <w:r w:rsidRPr="001A5552">
        <w:rPr>
          <w:rFonts w:ascii="Arial" w:hAnsi="Arial" w:cs="Arial"/>
          <w:sz w:val="16"/>
          <w:szCs w:val="16"/>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7503CEB" w14:textId="77777777" w:rsidR="008410D2" w:rsidRPr="001A5552" w:rsidRDefault="008410D2" w:rsidP="008410D2">
      <w:pPr>
        <w:pStyle w:val="Textonotapie"/>
        <w:ind w:firstLine="709"/>
        <w:jc w:val="both"/>
        <w:rPr>
          <w:rFonts w:ascii="Arial" w:hAnsi="Arial" w:cs="Arial"/>
          <w:sz w:val="16"/>
          <w:szCs w:val="16"/>
          <w:lang w:val="es-CO"/>
        </w:rPr>
      </w:pPr>
      <w:r w:rsidRPr="001A5552">
        <w:rPr>
          <w:rFonts w:ascii="Arial" w:hAnsi="Arial" w:cs="Arial"/>
          <w:sz w:val="16"/>
          <w:szCs w:val="16"/>
          <w:lang w:val="es-CO"/>
        </w:rPr>
        <w:t>La facultad de adoptar documentos tipo la tendrá el Gobierno nacional, cuando lo considere necesario, en relación con otros contratos o procesos de selección.</w:t>
      </w:r>
    </w:p>
    <w:p w14:paraId="6C3DD437" w14:textId="77777777" w:rsidR="008410D2" w:rsidRPr="001A5552" w:rsidRDefault="008410D2" w:rsidP="008410D2">
      <w:pPr>
        <w:pStyle w:val="Textonotapie"/>
        <w:ind w:firstLine="709"/>
        <w:contextualSpacing/>
        <w:jc w:val="both"/>
        <w:rPr>
          <w:rFonts w:ascii="Arial" w:hAnsi="Arial" w:cs="Arial"/>
          <w:sz w:val="16"/>
          <w:szCs w:val="16"/>
          <w:lang w:val="es-CO"/>
        </w:rPr>
      </w:pPr>
      <w:r w:rsidRPr="001A5552">
        <w:rPr>
          <w:rFonts w:ascii="Arial" w:hAnsi="Arial" w:cs="Arial"/>
          <w:sz w:val="16"/>
          <w:szCs w:val="16"/>
          <w:lang w:val="es-CO"/>
        </w:rPr>
        <w:t>Los pliegos tipo se adoptarán por categorías de acuerdo con la cuantía de la contratación, según la reglamentación que expida el Gobierno nacional”.</w:t>
      </w:r>
    </w:p>
  </w:footnote>
  <w:footnote w:id="12">
    <w:p w14:paraId="1B0341D0" w14:textId="77777777"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CORTE CONSTITUCIONAL, sentencia C-119 de 2020. M.P. Alejandro Linares Cantillo. En dicha oportunidad se indicó que: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13">
    <w:p w14:paraId="6700778A"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Style w:val="Refdenotaalpie"/>
          <w:rFonts w:ascii="Arial" w:eastAsiaTheme="majorEastAsia" w:hAnsi="Arial" w:cs="Arial"/>
          <w:sz w:val="16"/>
          <w:szCs w:val="16"/>
        </w:rPr>
        <w:footnoteRef/>
      </w:r>
      <w:r w:rsidRPr="001A5552">
        <w:rPr>
          <w:rFonts w:ascii="Arial" w:hAnsi="Arial" w:cs="Arial"/>
          <w:sz w:val="16"/>
          <w:szCs w:val="16"/>
        </w:rPr>
        <w:t xml:space="preserve"> Ley 2022 de 2020: “</w:t>
      </w:r>
      <w:r w:rsidRPr="001A5552">
        <w:rPr>
          <w:rStyle w:val="Textoennegrita"/>
          <w:rFonts w:ascii="Arial" w:hAnsi="Arial" w:cs="Arial"/>
          <w:b w:val="0"/>
          <w:sz w:val="16"/>
          <w:szCs w:val="16"/>
        </w:rPr>
        <w:t>Artículo 1º.</w:t>
      </w:r>
      <w:r w:rsidRPr="001A5552">
        <w:rPr>
          <w:rFonts w:ascii="Arial" w:hAnsi="Arial" w:cs="Arial"/>
          <w:sz w:val="16"/>
          <w:szCs w:val="16"/>
        </w:rPr>
        <w:t> Modifíquese el artículo 4º de la Ley 1882 de 2018, el cual quedará así:</w:t>
      </w:r>
    </w:p>
    <w:p w14:paraId="17F6E511"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Style w:val="Textoennegrita"/>
          <w:rFonts w:ascii="Arial" w:hAnsi="Arial" w:cs="Arial"/>
          <w:b w:val="0"/>
          <w:sz w:val="16"/>
          <w:szCs w:val="16"/>
        </w:rPr>
        <w:t>“Artículo 4º.</w:t>
      </w:r>
      <w:r w:rsidRPr="001A5552">
        <w:rPr>
          <w:rFonts w:ascii="Arial" w:hAnsi="Arial" w:cs="Arial"/>
          <w:sz w:val="16"/>
          <w:szCs w:val="16"/>
        </w:rPr>
        <w:t> Adiciónese el siguiente parágrafo al artículo 2º de la Ley 1150 de 2007.</w:t>
      </w:r>
    </w:p>
    <w:p w14:paraId="75BE8148"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Style w:val="Textoennegrita"/>
          <w:rFonts w:ascii="Arial" w:hAnsi="Arial" w:cs="Arial"/>
          <w:b w:val="0"/>
          <w:sz w:val="16"/>
          <w:szCs w:val="16"/>
        </w:rPr>
        <w:t>Parágrafo 7º.</w:t>
      </w:r>
      <w:r w:rsidRPr="001A5552">
        <w:rPr>
          <w:rFonts w:ascii="Arial" w:hAnsi="Arial" w:cs="Arial"/>
          <w:sz w:val="16"/>
          <w:szCs w:val="16"/>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872ABA2"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Fonts w:ascii="Arial" w:hAnsi="Arial"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22F1EB9"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Fonts w:ascii="Arial" w:hAnsi="Arial"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4BA73E0"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Fonts w:ascii="Arial" w:hAnsi="Arial"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FFC3BF5" w14:textId="77777777" w:rsidR="008410D2" w:rsidRPr="001A5552" w:rsidRDefault="008410D2" w:rsidP="008410D2">
      <w:pPr>
        <w:pStyle w:val="NormalWeb"/>
        <w:spacing w:before="0" w:beforeAutospacing="0" w:after="0" w:afterAutospacing="0"/>
        <w:ind w:firstLine="708"/>
        <w:contextualSpacing/>
        <w:jc w:val="both"/>
        <w:rPr>
          <w:rFonts w:ascii="Arial" w:hAnsi="Arial" w:cs="Arial"/>
          <w:sz w:val="16"/>
          <w:szCs w:val="16"/>
        </w:rPr>
      </w:pPr>
      <w:r w:rsidRPr="001A5552">
        <w:rPr>
          <w:rFonts w:ascii="Arial" w:hAnsi="Arial"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4">
    <w:p w14:paraId="7A94E8E9" w14:textId="77777777" w:rsidR="008410D2" w:rsidRDefault="008410D2" w:rsidP="008410D2">
      <w:pPr>
        <w:pStyle w:val="Textonotapie"/>
        <w:ind w:firstLine="708"/>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CONGRESO DE LA REPÚBLICA., Gaceta legislativa No. 1249 de 4 de noviembre de 2020 – Senado.</w:t>
      </w:r>
    </w:p>
    <w:p w14:paraId="6480C9E5" w14:textId="77777777" w:rsidR="008410D2" w:rsidRPr="001A5552" w:rsidRDefault="008410D2" w:rsidP="008410D2">
      <w:pPr>
        <w:pStyle w:val="Textonotapie"/>
        <w:ind w:firstLine="708"/>
        <w:jc w:val="both"/>
        <w:rPr>
          <w:rFonts w:ascii="Arial" w:hAnsi="Arial" w:cs="Arial"/>
          <w:sz w:val="16"/>
          <w:szCs w:val="16"/>
          <w:lang w:val="es-CO"/>
        </w:rPr>
      </w:pPr>
    </w:p>
  </w:footnote>
  <w:footnote w:id="15">
    <w:p w14:paraId="3DB83AB7" w14:textId="77777777"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CONGRESO DE LA REPÚBLICA., </w:t>
      </w:r>
      <w:r w:rsidRPr="001A5552">
        <w:rPr>
          <w:rFonts w:ascii="Arial" w:hAnsi="Arial" w:cs="Arial"/>
          <w:sz w:val="16"/>
          <w:szCs w:val="16"/>
          <w:lang w:val="es-CO"/>
        </w:rPr>
        <w:t>Gaceta legislativa No.1677 de 23 de noviembre de 2021 – Cámara de Representantes.</w:t>
      </w:r>
    </w:p>
  </w:footnote>
  <w:footnote w:id="16">
    <w:p w14:paraId="271B8984" w14:textId="77777777" w:rsidR="0017508F" w:rsidRDefault="0017508F" w:rsidP="008410D2">
      <w:pPr>
        <w:pStyle w:val="Textonotapie"/>
        <w:ind w:firstLine="708"/>
        <w:jc w:val="both"/>
        <w:rPr>
          <w:rFonts w:ascii="Arial" w:hAnsi="Arial" w:cs="Arial"/>
          <w:sz w:val="16"/>
          <w:szCs w:val="16"/>
        </w:rPr>
      </w:pPr>
    </w:p>
    <w:p w14:paraId="5FB152EC" w14:textId="794A0129"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hAnsi="Arial" w:cs="Arial"/>
          <w:sz w:val="16"/>
          <w:szCs w:val="16"/>
          <w:lang w:val="es-CO"/>
        </w:rPr>
        <w:t xml:space="preserve">Intervención realizada por </w:t>
      </w:r>
      <w:r w:rsidRPr="001A5552">
        <w:rPr>
          <w:rFonts w:ascii="Arial" w:eastAsia="Calibri" w:hAnsi="Arial" w:cs="Arial"/>
          <w:sz w:val="16"/>
          <w:szCs w:val="16"/>
          <w:lang w:val="es-ES_tradnl" w:eastAsia="es-ES_tradnl"/>
        </w:rPr>
        <w:t xml:space="preserve">el subdirector de Gestión Contractual de la Agencia, en ese entonces, el abogado Jorge Tirado, que reposa en la gaceta legislativa No. 274 del 13 de abril de 2021 - </w:t>
      </w:r>
      <w:r w:rsidRPr="001A5552">
        <w:rPr>
          <w:rFonts w:ascii="Arial" w:hAnsi="Arial" w:cs="Arial"/>
          <w:sz w:val="16"/>
          <w:szCs w:val="16"/>
        </w:rPr>
        <w:t>Senado del Congreso de la República.</w:t>
      </w:r>
    </w:p>
  </w:footnote>
  <w:footnote w:id="17">
    <w:p w14:paraId="30C71CC6" w14:textId="77777777"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Ver articulado propuesto en el informe de ponencia para primer debate del </w:t>
      </w:r>
      <w:r w:rsidRPr="001A5552">
        <w:rPr>
          <w:rFonts w:ascii="Arial" w:eastAsia="Calibri" w:hAnsi="Arial" w:cs="Arial"/>
          <w:sz w:val="16"/>
          <w:szCs w:val="16"/>
          <w:lang w:val="es-ES_tradnl" w:eastAsia="es-ES_tradnl"/>
        </w:rPr>
        <w:t>Proyecto de Ley No. 341 de 2020</w:t>
      </w:r>
      <w:r w:rsidRPr="001A5552">
        <w:rPr>
          <w:rFonts w:ascii="Arial" w:hAnsi="Arial" w:cs="Arial"/>
          <w:sz w:val="16"/>
          <w:szCs w:val="16"/>
        </w:rPr>
        <w:t xml:space="preserve">del </w:t>
      </w:r>
      <w:r w:rsidRPr="001A5552">
        <w:rPr>
          <w:rFonts w:ascii="Arial" w:eastAsia="Calibri" w:hAnsi="Arial" w:cs="Arial"/>
          <w:sz w:val="16"/>
          <w:szCs w:val="16"/>
          <w:lang w:val="es-ES_tradnl" w:eastAsia="es-ES_tradnl"/>
        </w:rPr>
        <w:t xml:space="preserve">gaceta legislativa No. 274 del 13 de abril de 2021 - </w:t>
      </w:r>
      <w:r w:rsidRPr="001A5552">
        <w:rPr>
          <w:rFonts w:ascii="Arial" w:hAnsi="Arial" w:cs="Arial"/>
          <w:sz w:val="16"/>
          <w:szCs w:val="16"/>
        </w:rPr>
        <w:t>Senado del Congreso de la República.</w:t>
      </w:r>
    </w:p>
  </w:footnote>
  <w:footnote w:id="18">
    <w:p w14:paraId="61A7A721" w14:textId="77777777" w:rsidR="008410D2" w:rsidRPr="001A5552" w:rsidRDefault="008410D2" w:rsidP="008410D2">
      <w:pPr>
        <w:pStyle w:val="Textonotapie"/>
        <w:ind w:firstLine="708"/>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Ver aparte de pliego de modificaciones en el informe de ponencia para primer debate del </w:t>
      </w:r>
      <w:r w:rsidRPr="001A5552">
        <w:rPr>
          <w:rFonts w:ascii="Arial" w:eastAsia="Calibri" w:hAnsi="Arial" w:cs="Arial"/>
          <w:sz w:val="16"/>
          <w:szCs w:val="16"/>
          <w:lang w:val="es-ES_tradnl" w:eastAsia="es-ES_tradnl"/>
        </w:rPr>
        <w:t>Proyecto de Ley No. 341 de 2020</w:t>
      </w:r>
      <w:r w:rsidRPr="001A5552">
        <w:rPr>
          <w:rFonts w:ascii="Arial" w:hAnsi="Arial" w:cs="Arial"/>
          <w:sz w:val="16"/>
          <w:szCs w:val="16"/>
        </w:rPr>
        <w:t xml:space="preserve">del </w:t>
      </w:r>
      <w:r w:rsidRPr="001A5552">
        <w:rPr>
          <w:rFonts w:ascii="Arial" w:eastAsia="Calibri" w:hAnsi="Arial" w:cs="Arial"/>
          <w:sz w:val="16"/>
          <w:szCs w:val="16"/>
          <w:lang w:val="es-ES_tradnl" w:eastAsia="es-ES_tradnl"/>
        </w:rPr>
        <w:t xml:space="preserve">gaceta legislativa No. 274 del 13 de abril de 2021 - </w:t>
      </w:r>
      <w:r w:rsidRPr="001A5552">
        <w:rPr>
          <w:rFonts w:ascii="Arial" w:hAnsi="Arial" w:cs="Arial"/>
          <w:sz w:val="16"/>
          <w:szCs w:val="16"/>
        </w:rPr>
        <w:t>Senado del Congreso de la República.</w:t>
      </w:r>
    </w:p>
    <w:p w14:paraId="77C37699" w14:textId="77777777" w:rsidR="008410D2" w:rsidRPr="001A5552" w:rsidRDefault="008410D2" w:rsidP="008410D2">
      <w:pPr>
        <w:pStyle w:val="Textonotapie"/>
        <w:ind w:firstLine="708"/>
        <w:jc w:val="both"/>
        <w:rPr>
          <w:rFonts w:ascii="Arial" w:hAnsi="Arial" w:cs="Arial"/>
          <w:sz w:val="16"/>
          <w:szCs w:val="16"/>
          <w:lang w:val="es-CO"/>
        </w:rPr>
      </w:pPr>
    </w:p>
  </w:footnote>
  <w:footnote w:id="19">
    <w:p w14:paraId="20A9D514" w14:textId="77777777"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CONGRESO DE LA REPÚBLICA., Gaceta legislativa No. 1160 del 9 de septiembre de 2021</w:t>
      </w:r>
      <w:r w:rsidRPr="001A5552">
        <w:rPr>
          <w:rFonts w:ascii="Arial" w:eastAsia="Calibri" w:hAnsi="Arial" w:cs="Arial"/>
          <w:sz w:val="16"/>
          <w:szCs w:val="16"/>
          <w:lang w:val="es-ES_tradnl" w:eastAsia="es-ES_tradnl"/>
        </w:rPr>
        <w:t xml:space="preserve">- </w:t>
      </w:r>
      <w:r w:rsidRPr="001A5552">
        <w:rPr>
          <w:rFonts w:ascii="Arial" w:hAnsi="Arial" w:cs="Arial"/>
          <w:sz w:val="16"/>
          <w:szCs w:val="16"/>
        </w:rPr>
        <w:t>Senado.</w:t>
      </w:r>
    </w:p>
  </w:footnote>
  <w:footnote w:id="20">
    <w:p w14:paraId="38AE1D01" w14:textId="77777777"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CONGRESO DE LA REPÚBLICA., </w:t>
      </w:r>
      <w:r w:rsidRPr="001A5552">
        <w:rPr>
          <w:rFonts w:ascii="Arial" w:hAnsi="Arial" w:cs="Arial"/>
          <w:sz w:val="16"/>
          <w:szCs w:val="16"/>
          <w:lang w:val="es-CO"/>
        </w:rPr>
        <w:t>Gaceta legislativa No. 1589 del 9 de noviembre de 2021 – Senado.</w:t>
      </w:r>
    </w:p>
  </w:footnote>
  <w:footnote w:id="21">
    <w:p w14:paraId="0A9B8190" w14:textId="77777777" w:rsidR="008410D2" w:rsidRPr="001A5552" w:rsidRDefault="008410D2" w:rsidP="008410D2">
      <w:pPr>
        <w:pStyle w:val="Textonotapie"/>
        <w:ind w:firstLine="708"/>
        <w:jc w:val="both"/>
        <w:rPr>
          <w:rFonts w:ascii="Arial" w:hAnsi="Arial" w:cs="Arial"/>
          <w:sz w:val="16"/>
          <w:szCs w:val="16"/>
        </w:rPr>
      </w:pPr>
    </w:p>
    <w:p w14:paraId="0AC62EC2" w14:textId="77777777"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hAnsi="Arial" w:cs="Arial"/>
          <w:sz w:val="16"/>
          <w:szCs w:val="16"/>
          <w:lang w:val="es-CO"/>
        </w:rPr>
        <w:t xml:space="preserve">Ver gacetas legislativas No. 1677 de 23 de noviembre de 2021, No. 1752 de 1 de diciembre de 2021 y No. 1828 del 14 de diciembre – Cámara de Representantes del Congreso de la República </w:t>
      </w:r>
    </w:p>
  </w:footnote>
  <w:footnote w:id="22">
    <w:p w14:paraId="66749A30" w14:textId="77777777" w:rsidR="0017508F" w:rsidRDefault="0017508F" w:rsidP="008410D2">
      <w:pPr>
        <w:pStyle w:val="Textonotapie"/>
        <w:ind w:firstLine="708"/>
        <w:jc w:val="both"/>
        <w:rPr>
          <w:rFonts w:ascii="Arial" w:hAnsi="Arial" w:cs="Arial"/>
          <w:sz w:val="16"/>
          <w:szCs w:val="16"/>
        </w:rPr>
      </w:pPr>
    </w:p>
    <w:p w14:paraId="6FFC79DA" w14:textId="121FBBCE" w:rsidR="008410D2" w:rsidRPr="001A5552" w:rsidRDefault="008410D2" w:rsidP="008410D2">
      <w:pPr>
        <w:pStyle w:val="Textonotapie"/>
        <w:ind w:firstLine="708"/>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CONGRESO DE LA REPÚBLICA., Gacetas</w:t>
      </w:r>
      <w:r w:rsidRPr="001A5552">
        <w:rPr>
          <w:rFonts w:ascii="Arial" w:hAnsi="Arial" w:cs="Arial"/>
          <w:sz w:val="16"/>
          <w:szCs w:val="16"/>
          <w:lang w:val="es-CO"/>
        </w:rPr>
        <w:t xml:space="preserve"> legislativas No. 1860 y 1861 de 2021, de Cámara de Representantes y Senado, respectivamente.</w:t>
      </w:r>
    </w:p>
  </w:footnote>
  <w:footnote w:id="23">
    <w:p w14:paraId="43DB94EF" w14:textId="77777777" w:rsidR="008410D2" w:rsidRPr="001A5552" w:rsidRDefault="008410D2" w:rsidP="008410D2">
      <w:pPr>
        <w:pStyle w:val="Textonotapie"/>
        <w:ind w:firstLine="708"/>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w:t>
      </w:r>
      <w:bookmarkStart w:id="17" w:name="2"/>
      <w:r w:rsidRPr="001A5552">
        <w:rPr>
          <w:rFonts w:ascii="Arial" w:hAnsi="Arial" w:cs="Arial"/>
          <w:sz w:val="16"/>
          <w:szCs w:val="16"/>
        </w:rPr>
        <w:t>“Artículo 2o. De las modalidades de selección.</w:t>
      </w:r>
      <w:bookmarkEnd w:id="17"/>
      <w:r w:rsidRPr="001A5552">
        <w:rPr>
          <w:rFonts w:ascii="Arial" w:hAnsi="Arial" w:cs="Arial"/>
          <w:sz w:val="16"/>
          <w:szCs w:val="16"/>
        </w:rPr>
        <w:t> La escogencia del contratista se efectuará con arreglo a las modalidades de selección de licitación pública, selección abreviada, concurso de méritos y contratación directa, con base en las siguientes reglas:</w:t>
      </w:r>
    </w:p>
    <w:p w14:paraId="59ED6EA9" w14:textId="77777777" w:rsidR="008410D2" w:rsidRPr="001A5552" w:rsidRDefault="008410D2" w:rsidP="008410D2">
      <w:pPr>
        <w:pStyle w:val="Textonotapie"/>
        <w:ind w:firstLine="708"/>
        <w:contextualSpacing/>
        <w:jc w:val="both"/>
        <w:rPr>
          <w:rFonts w:ascii="Arial" w:hAnsi="Arial" w:cs="Arial"/>
          <w:sz w:val="16"/>
          <w:szCs w:val="16"/>
        </w:rPr>
      </w:pPr>
      <w:r w:rsidRPr="001A5552">
        <w:rPr>
          <w:rFonts w:ascii="Arial" w:hAnsi="Arial" w:cs="Arial"/>
          <w:sz w:val="16"/>
          <w:szCs w:val="16"/>
        </w:rPr>
        <w:t>[…]</w:t>
      </w:r>
    </w:p>
    <w:p w14:paraId="04BB416F" w14:textId="77777777" w:rsidR="008410D2" w:rsidRPr="001A5552" w:rsidRDefault="008410D2" w:rsidP="008410D2">
      <w:pPr>
        <w:pStyle w:val="Textonotapie"/>
        <w:ind w:firstLine="708"/>
        <w:contextualSpacing/>
        <w:jc w:val="both"/>
        <w:rPr>
          <w:rFonts w:ascii="Arial" w:hAnsi="Arial" w:cs="Arial"/>
          <w:sz w:val="16"/>
          <w:szCs w:val="16"/>
        </w:rPr>
      </w:pPr>
      <w:r w:rsidRPr="001A5552">
        <w:rPr>
          <w:rFonts w:ascii="Arial" w:hAnsi="Arial" w:cs="Arial"/>
          <w:sz w:val="16"/>
          <w:szCs w:val="16"/>
        </w:rPr>
        <w:t>“4. </w:t>
      </w:r>
      <w:r w:rsidRPr="001A5552">
        <w:rPr>
          <w:rStyle w:val="baj"/>
          <w:rFonts w:ascii="Arial" w:hAnsi="Arial" w:cs="Arial"/>
          <w:sz w:val="16"/>
          <w:szCs w:val="16"/>
        </w:rPr>
        <w:t>Contratación directa. </w:t>
      </w:r>
      <w:r w:rsidRPr="001A5552">
        <w:rPr>
          <w:rFonts w:ascii="Arial" w:hAnsi="Arial" w:cs="Arial"/>
          <w:sz w:val="16"/>
          <w:szCs w:val="16"/>
        </w:rPr>
        <w:t>La modalidad de selección de contratación directa solamente procederá en los siguientes casos:</w:t>
      </w:r>
    </w:p>
    <w:p w14:paraId="1EC9F25A" w14:textId="77777777" w:rsidR="008410D2" w:rsidRPr="001A5552" w:rsidRDefault="008410D2" w:rsidP="008410D2">
      <w:pPr>
        <w:pStyle w:val="Textonotapie"/>
        <w:ind w:firstLine="708"/>
        <w:contextualSpacing/>
        <w:jc w:val="both"/>
        <w:rPr>
          <w:rFonts w:ascii="Arial" w:hAnsi="Arial" w:cs="Arial"/>
          <w:sz w:val="16"/>
          <w:szCs w:val="16"/>
        </w:rPr>
      </w:pPr>
      <w:r w:rsidRPr="001A5552">
        <w:rPr>
          <w:rFonts w:ascii="Arial" w:hAnsi="Arial" w:cs="Arial"/>
          <w:sz w:val="16"/>
          <w:szCs w:val="16"/>
        </w:rPr>
        <w:t>[…]</w:t>
      </w:r>
    </w:p>
    <w:p w14:paraId="446334EC" w14:textId="77777777" w:rsidR="008410D2" w:rsidRPr="001A5552" w:rsidRDefault="008410D2" w:rsidP="008410D2">
      <w:pPr>
        <w:pStyle w:val="Textonotapie"/>
        <w:ind w:firstLine="708"/>
        <w:contextualSpacing/>
        <w:jc w:val="both"/>
        <w:rPr>
          <w:rFonts w:ascii="Arial" w:hAnsi="Arial" w:cs="Arial"/>
          <w:sz w:val="16"/>
          <w:szCs w:val="16"/>
        </w:rPr>
      </w:pPr>
      <w:r w:rsidRPr="001A5552">
        <w:rPr>
          <w:rFonts w:ascii="Arial" w:hAnsi="Arial" w:cs="Arial"/>
          <w:sz w:val="16"/>
          <w:szCs w:val="16"/>
        </w:rPr>
        <w:t>“C. […]</w:t>
      </w:r>
    </w:p>
    <w:p w14:paraId="2CF20D7D" w14:textId="74E9F5B7" w:rsidR="008410D2" w:rsidRPr="001A5552" w:rsidRDefault="008410D2" w:rsidP="008410D2">
      <w:pPr>
        <w:pStyle w:val="Textonotapie"/>
        <w:ind w:firstLine="708"/>
        <w:contextualSpacing/>
        <w:jc w:val="both"/>
        <w:rPr>
          <w:rFonts w:ascii="Arial" w:hAnsi="Arial" w:cs="Arial"/>
          <w:sz w:val="16"/>
          <w:szCs w:val="16"/>
        </w:rPr>
      </w:pPr>
      <w:r w:rsidRPr="001A5552">
        <w:rPr>
          <w:rFonts w:ascii="Arial" w:hAnsi="Arial" w:cs="Arial"/>
          <w:sz w:val="16"/>
          <w:szCs w:val="16"/>
        </w:rPr>
        <w:t>“Inciso 2o. modificado por el artículo 95 de la Ley 1474 de 2011</w:t>
      </w:r>
      <w:proofErr w:type="gramStart"/>
      <w:r w:rsidRPr="001A5552">
        <w:rPr>
          <w:rFonts w:ascii="Arial" w:hAnsi="Arial" w:cs="Arial"/>
          <w:sz w:val="16"/>
          <w:szCs w:val="16"/>
        </w:rPr>
        <w:t>–</w:t>
      </w:r>
      <w:r w:rsidRPr="001A5552" w:rsidDel="002C5C6D">
        <w:rPr>
          <w:rFonts w:ascii="Arial" w:hAnsi="Arial" w:cs="Arial"/>
          <w:sz w:val="16"/>
          <w:szCs w:val="16"/>
        </w:rPr>
        <w:t xml:space="preserve"> </w:t>
      </w:r>
      <w:r w:rsidRPr="001A5552">
        <w:rPr>
          <w:rFonts w:ascii="Arial" w:hAnsi="Arial" w:cs="Arial"/>
          <w:sz w:val="16"/>
          <w:szCs w:val="16"/>
        </w:rPr>
        <w:t xml:space="preserve"> En</w:t>
      </w:r>
      <w:proofErr w:type="gramEnd"/>
      <w:r w:rsidRPr="001A5552">
        <w:rPr>
          <w:rFonts w:ascii="Arial" w:hAnsi="Arial" w:cs="Arial"/>
          <w:sz w:val="16"/>
          <w:szCs w:val="16"/>
        </w:rPr>
        <w:t xml:space="preserve">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24">
    <w:p w14:paraId="5CFC4063" w14:textId="77777777" w:rsidR="008410D2" w:rsidRDefault="008410D2" w:rsidP="008410D2">
      <w:pPr>
        <w:pStyle w:val="Textonotapie"/>
        <w:ind w:firstLine="709"/>
        <w:contextualSpacing/>
        <w:jc w:val="both"/>
        <w:rPr>
          <w:rFonts w:ascii="Arial" w:hAnsi="Arial" w:cs="Arial"/>
          <w:sz w:val="16"/>
          <w:szCs w:val="16"/>
          <w:lang w:val="es-ES"/>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hAnsi="Arial" w:cs="Arial"/>
          <w:sz w:val="16"/>
          <w:szCs w:val="16"/>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w:t>
      </w:r>
      <w:proofErr w:type="gramStart"/>
      <w:r w:rsidRPr="001A5552">
        <w:rPr>
          <w:rFonts w:ascii="Arial" w:hAnsi="Arial" w:cs="Arial"/>
          <w:sz w:val="16"/>
          <w:szCs w:val="16"/>
          <w:lang w:val="es-ES"/>
        </w:rPr>
        <w:t>los mismos</w:t>
      </w:r>
      <w:proofErr w:type="gramEnd"/>
      <w:r w:rsidRPr="001A5552">
        <w:rPr>
          <w:rFonts w:ascii="Arial" w:hAnsi="Arial" w:cs="Arial"/>
          <w:sz w:val="16"/>
          <w:szCs w:val="16"/>
          <w:lang w:val="es-ES"/>
        </w:rPr>
        <w:t xml:space="preserve">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43D8E13E" w14:textId="77777777" w:rsidR="008410D2" w:rsidRPr="001A5552" w:rsidRDefault="008410D2" w:rsidP="008410D2">
      <w:pPr>
        <w:pStyle w:val="Textonotapie"/>
        <w:ind w:firstLine="709"/>
        <w:contextualSpacing/>
        <w:jc w:val="both"/>
        <w:rPr>
          <w:rFonts w:ascii="Arial" w:hAnsi="Arial" w:cs="Arial"/>
          <w:sz w:val="16"/>
          <w:szCs w:val="16"/>
        </w:rPr>
      </w:pPr>
    </w:p>
  </w:footnote>
  <w:footnote w:id="25">
    <w:p w14:paraId="543EF6D9" w14:textId="77777777"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CORTE CONSTITUCIONAL, Sentencia C-382 de 2019, M.P. Alejandro Linares Cantillo.</w:t>
      </w:r>
    </w:p>
  </w:footnote>
  <w:footnote w:id="26">
    <w:p w14:paraId="0E90B75B" w14:textId="77777777" w:rsidR="008410D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7930F24F" w14:textId="77777777" w:rsidR="008410D2" w:rsidRPr="007C211D" w:rsidRDefault="008410D2" w:rsidP="008410D2">
      <w:pPr>
        <w:pStyle w:val="Textonotapie"/>
        <w:ind w:firstLine="709"/>
        <w:contextualSpacing/>
        <w:jc w:val="both"/>
        <w:rPr>
          <w:rFonts w:ascii="Arial" w:hAnsi="Arial" w:cs="Arial"/>
          <w:sz w:val="16"/>
          <w:szCs w:val="16"/>
        </w:rPr>
      </w:pPr>
    </w:p>
  </w:footnote>
  <w:footnote w:id="27">
    <w:p w14:paraId="60D6CD56" w14:textId="77777777" w:rsidR="008410D2" w:rsidRPr="001A5552" w:rsidRDefault="008410D2" w:rsidP="008410D2">
      <w:pPr>
        <w:pStyle w:val="Textonotapie"/>
        <w:ind w:firstLine="709"/>
        <w:contextualSpacing/>
        <w:jc w:val="both"/>
        <w:rPr>
          <w:rFonts w:ascii="Arial" w:hAnsi="Arial" w:cs="Arial"/>
          <w:sz w:val="16"/>
          <w:szCs w:val="16"/>
          <w:lang w:val="es-ES"/>
        </w:rPr>
      </w:pPr>
      <w:r w:rsidRPr="001A5552">
        <w:rPr>
          <w:rStyle w:val="Refdenotaalpie"/>
          <w:rFonts w:ascii="Arial" w:hAnsi="Arial" w:cs="Arial"/>
          <w:sz w:val="16"/>
          <w:szCs w:val="16"/>
        </w:rPr>
        <w:footnoteRef/>
      </w:r>
      <w:r w:rsidRPr="001A5552">
        <w:rPr>
          <w:rFonts w:ascii="Arial" w:hAnsi="Arial" w:cs="Arial"/>
          <w:sz w:val="16"/>
          <w:szCs w:val="16"/>
        </w:rPr>
        <w:t xml:space="preserve"> CONSEJO DE ESTADO. Sección Tercera. Subsección B. Sentencia del 12 de octubre de 2011. Exp. No. 20070. C.P. Danilo Rojas Betancourt.</w:t>
      </w:r>
    </w:p>
  </w:footnote>
  <w:footnote w:id="28">
    <w:p w14:paraId="038048E1" w14:textId="77777777" w:rsidR="00F32D91" w:rsidRDefault="008410D2" w:rsidP="008410D2">
      <w:pPr>
        <w:tabs>
          <w:tab w:val="left" w:pos="0"/>
        </w:tabs>
        <w:spacing w:after="0" w:line="240" w:lineRule="auto"/>
        <w:contextualSpacing/>
        <w:jc w:val="both"/>
        <w:rPr>
          <w:rFonts w:ascii="Arial" w:hAnsi="Arial" w:cs="Arial"/>
          <w:sz w:val="16"/>
          <w:szCs w:val="16"/>
        </w:rPr>
      </w:pPr>
      <w:r w:rsidRPr="001A5552">
        <w:rPr>
          <w:rFonts w:ascii="Arial" w:hAnsi="Arial" w:cs="Arial"/>
          <w:sz w:val="16"/>
          <w:szCs w:val="16"/>
        </w:rPr>
        <w:tab/>
      </w:r>
    </w:p>
    <w:p w14:paraId="2B904DAF" w14:textId="54B06B32" w:rsidR="008410D2" w:rsidRPr="001A5552" w:rsidRDefault="008410D2" w:rsidP="008410D2">
      <w:pPr>
        <w:tabs>
          <w:tab w:val="left" w:pos="0"/>
        </w:tabs>
        <w:spacing w:after="0" w:line="240" w:lineRule="auto"/>
        <w:contextualSpacing/>
        <w:jc w:val="both"/>
        <w:rPr>
          <w:rFonts w:ascii="Arial" w:hAnsi="Arial" w:cs="Arial"/>
          <w:sz w:val="16"/>
          <w:szCs w:val="16"/>
        </w:rPr>
      </w:pPr>
      <w:r>
        <w:rPr>
          <w:rFonts w:ascii="Arial" w:hAnsi="Arial" w:cs="Arial"/>
          <w:sz w:val="16"/>
          <w:szCs w:val="16"/>
        </w:rPr>
        <w:tab/>
      </w:r>
      <w:r w:rsidRPr="001A5552">
        <w:rPr>
          <w:rStyle w:val="Refdenotaalpie"/>
          <w:rFonts w:ascii="Arial" w:hAnsi="Arial" w:cs="Arial"/>
          <w:sz w:val="16"/>
          <w:szCs w:val="16"/>
        </w:rPr>
        <w:footnoteRef/>
      </w:r>
      <w:r w:rsidRPr="001A5552">
        <w:rPr>
          <w:rFonts w:ascii="Arial" w:hAnsi="Arial" w:cs="Arial"/>
          <w:sz w:val="16"/>
          <w:szCs w:val="16"/>
        </w:rPr>
        <w:t xml:space="preserve"> CONSEJO DE ESTADO. Sección Tercera. Subsección A. Sentencia del 3 de marzo de 2021. Exp. No. 51373. C.P. José Roberto Sáchica Méndez. </w:t>
      </w:r>
      <w:r w:rsidRPr="001A5552">
        <w:rPr>
          <w:rFonts w:ascii="Arial" w:eastAsia="Calibri" w:hAnsi="Arial" w:cs="Arial"/>
          <w:sz w:val="16"/>
          <w:szCs w:val="16"/>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29">
    <w:p w14:paraId="086CDE5C" w14:textId="77777777" w:rsidR="00F32D91" w:rsidRDefault="00F32D91" w:rsidP="008410D2">
      <w:pPr>
        <w:pStyle w:val="Textonotapie"/>
        <w:ind w:firstLine="708"/>
        <w:jc w:val="both"/>
        <w:rPr>
          <w:rFonts w:ascii="Arial" w:hAnsi="Arial" w:cs="Arial"/>
          <w:sz w:val="16"/>
          <w:szCs w:val="16"/>
        </w:rPr>
      </w:pPr>
    </w:p>
    <w:p w14:paraId="5A010C90" w14:textId="2076CB95" w:rsidR="008410D2" w:rsidRPr="001A5552" w:rsidRDefault="008410D2" w:rsidP="008410D2">
      <w:pPr>
        <w:pStyle w:val="Textonotapie"/>
        <w:ind w:firstLine="708"/>
        <w:jc w:val="both"/>
        <w:rPr>
          <w:rFonts w:ascii="Arial" w:hAnsi="Arial" w:cs="Arial"/>
          <w:sz w:val="16"/>
          <w:szCs w:val="16"/>
          <w:lang w:val="es-ES_tradnl"/>
        </w:rPr>
      </w:pPr>
      <w:r w:rsidRPr="001A5552">
        <w:rPr>
          <w:rStyle w:val="Refdenotaalpie"/>
          <w:rFonts w:ascii="Arial" w:hAnsi="Arial" w:cs="Arial"/>
          <w:sz w:val="16"/>
          <w:szCs w:val="16"/>
        </w:rPr>
        <w:footnoteRef/>
      </w:r>
      <w:r w:rsidRPr="001A5552">
        <w:rPr>
          <w:rFonts w:ascii="Arial" w:hAnsi="Arial" w:cs="Arial"/>
          <w:sz w:val="16"/>
          <w:szCs w:val="16"/>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30">
    <w:p w14:paraId="754BCFEB" w14:textId="77777777" w:rsidR="008410D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5EA3249B" w14:textId="77777777" w:rsidR="00F32D91" w:rsidRPr="001A5552" w:rsidRDefault="00F32D91" w:rsidP="008410D2">
      <w:pPr>
        <w:pStyle w:val="Textonotapie"/>
        <w:ind w:firstLine="709"/>
        <w:contextualSpacing/>
        <w:jc w:val="both"/>
        <w:rPr>
          <w:rFonts w:ascii="Arial" w:hAnsi="Arial" w:cs="Arial"/>
          <w:sz w:val="16"/>
          <w:szCs w:val="16"/>
        </w:rPr>
      </w:pPr>
    </w:p>
    <w:p w14:paraId="787461E1" w14:textId="77777777" w:rsidR="008410D2" w:rsidRPr="001A5552" w:rsidRDefault="008410D2" w:rsidP="008410D2">
      <w:pPr>
        <w:pStyle w:val="Textonotapie"/>
        <w:ind w:firstLine="709"/>
        <w:contextualSpacing/>
        <w:jc w:val="both"/>
        <w:rPr>
          <w:rFonts w:ascii="Arial" w:hAnsi="Arial" w:cs="Arial"/>
          <w:sz w:val="16"/>
          <w:szCs w:val="16"/>
        </w:rPr>
      </w:pPr>
      <w:r w:rsidRPr="001A5552">
        <w:rPr>
          <w:rFonts w:ascii="Arial" w:hAnsi="Arial" w:cs="Arial"/>
          <w:sz w:val="16"/>
          <w:szCs w:val="16"/>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31">
    <w:p w14:paraId="6C7E1522" w14:textId="77777777" w:rsidR="00F32D91" w:rsidRDefault="00F32D91" w:rsidP="008410D2">
      <w:pPr>
        <w:pStyle w:val="Textonotapie"/>
        <w:ind w:firstLine="709"/>
        <w:contextualSpacing/>
        <w:jc w:val="both"/>
        <w:rPr>
          <w:rFonts w:ascii="Arial" w:hAnsi="Arial" w:cs="Arial"/>
          <w:sz w:val="16"/>
          <w:szCs w:val="16"/>
        </w:rPr>
      </w:pPr>
    </w:p>
    <w:p w14:paraId="23DBEA27" w14:textId="7D637B4C" w:rsidR="008410D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p>
    <w:p w14:paraId="6EBA2168" w14:textId="77777777" w:rsidR="008410D2" w:rsidRPr="007C211D" w:rsidRDefault="008410D2" w:rsidP="008410D2">
      <w:pPr>
        <w:pStyle w:val="Textonotapie"/>
        <w:ind w:firstLine="709"/>
        <w:contextualSpacing/>
        <w:jc w:val="both"/>
        <w:rPr>
          <w:rFonts w:ascii="Arial" w:hAnsi="Arial" w:cs="Arial"/>
          <w:sz w:val="16"/>
          <w:szCs w:val="16"/>
        </w:rPr>
      </w:pPr>
    </w:p>
  </w:footnote>
  <w:footnote w:id="32">
    <w:p w14:paraId="46B2A5EC" w14:textId="138AF67A"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Al respecto ha señalado la </w:t>
      </w:r>
      <w:r w:rsidR="00D022C4" w:rsidRPr="00D022C4">
        <w:rPr>
          <w:rFonts w:ascii="Arial" w:hAnsi="Arial" w:cs="Arial"/>
          <w:sz w:val="16"/>
          <w:szCs w:val="16"/>
        </w:rPr>
        <w:t>CORTE CONSTITUCIONAL</w:t>
      </w:r>
      <w:r w:rsidRPr="001A5552">
        <w:rPr>
          <w:rFonts w:ascii="Arial" w:hAnsi="Arial" w:cs="Arial"/>
          <w:sz w:val="16"/>
          <w:szCs w:val="16"/>
        </w:rPr>
        <w:t>: “En relación con el ámbito de configuración del legislador en materia contractual la jurisprudencia constitucional ha señalado los siguientes criterios:</w:t>
      </w:r>
    </w:p>
    <w:p w14:paraId="4E941AB6" w14:textId="77777777" w:rsidR="008410D2" w:rsidRPr="001A5552" w:rsidRDefault="008410D2" w:rsidP="008410D2">
      <w:pPr>
        <w:pStyle w:val="Textonotapie"/>
        <w:ind w:firstLine="709"/>
        <w:contextualSpacing/>
        <w:jc w:val="both"/>
        <w:rPr>
          <w:rFonts w:ascii="Arial" w:hAnsi="Arial" w:cs="Arial"/>
          <w:sz w:val="16"/>
          <w:szCs w:val="16"/>
        </w:rPr>
      </w:pPr>
      <w:r w:rsidRPr="001A5552">
        <w:rPr>
          <w:rFonts w:ascii="Arial" w:hAnsi="Arial" w:cs="Arial"/>
          <w:sz w:val="16"/>
          <w:szCs w:val="16"/>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22D19900" w14:textId="77777777" w:rsidR="008410D2" w:rsidRPr="001A5552" w:rsidRDefault="008410D2" w:rsidP="008410D2">
      <w:pPr>
        <w:pStyle w:val="Textonotapie"/>
        <w:ind w:firstLine="709"/>
        <w:contextualSpacing/>
        <w:jc w:val="both"/>
        <w:rPr>
          <w:rFonts w:ascii="Arial" w:hAnsi="Arial" w:cs="Arial"/>
          <w:sz w:val="16"/>
          <w:szCs w:val="16"/>
        </w:rPr>
      </w:pPr>
      <w:r w:rsidRPr="001A5552">
        <w:rPr>
          <w:rFonts w:ascii="Arial" w:hAnsi="Arial" w:cs="Arial"/>
          <w:sz w:val="16"/>
          <w:szCs w:val="16"/>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5DE76985" w14:textId="77777777" w:rsidR="008410D2" w:rsidRPr="001A5552" w:rsidRDefault="008410D2" w:rsidP="008410D2">
      <w:pPr>
        <w:pStyle w:val="Textonotapie"/>
        <w:ind w:firstLine="709"/>
        <w:contextualSpacing/>
        <w:jc w:val="both"/>
        <w:rPr>
          <w:rFonts w:ascii="Arial" w:hAnsi="Arial" w:cs="Arial"/>
          <w:sz w:val="16"/>
          <w:szCs w:val="16"/>
        </w:rPr>
      </w:pPr>
      <w:r w:rsidRPr="001A5552">
        <w:rPr>
          <w:rFonts w:ascii="Arial" w:hAnsi="Arial" w:cs="Arial"/>
          <w:sz w:val="16"/>
          <w:szCs w:val="16"/>
        </w:rPr>
        <w:t xml:space="preserve">(iii)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 </w:t>
      </w:r>
    </w:p>
  </w:footnote>
  <w:footnote w:id="33">
    <w:p w14:paraId="3470E1D0" w14:textId="77777777" w:rsidR="00E74D95" w:rsidRDefault="00E74D95" w:rsidP="008410D2">
      <w:pPr>
        <w:pStyle w:val="Textonotapie"/>
        <w:ind w:firstLine="709"/>
        <w:contextualSpacing/>
        <w:jc w:val="both"/>
        <w:rPr>
          <w:rFonts w:ascii="Arial" w:hAnsi="Arial" w:cs="Arial"/>
          <w:sz w:val="16"/>
          <w:szCs w:val="16"/>
        </w:rPr>
      </w:pPr>
    </w:p>
    <w:p w14:paraId="11C7E8F6" w14:textId="59412D3A"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CONSEJO DE ESTADO. Sección Tercera. Subsección A. Sentencia del 24 de junio de 2015. Exp. 40.635. Consejero Ponente: Hernán Andrade Rincón (E).</w:t>
      </w:r>
    </w:p>
  </w:footnote>
  <w:footnote w:id="34">
    <w:p w14:paraId="3D40F072" w14:textId="77777777" w:rsidR="008410D2" w:rsidRDefault="008410D2" w:rsidP="008410D2">
      <w:pPr>
        <w:pStyle w:val="Textonotapie"/>
        <w:ind w:firstLine="709"/>
        <w:jc w:val="both"/>
        <w:rPr>
          <w:rFonts w:ascii="Arial" w:hAnsi="Arial" w:cs="Arial"/>
          <w:color w:val="000000" w:themeColor="text1"/>
          <w:sz w:val="16"/>
          <w:szCs w:val="16"/>
          <w:lang w:val="es-ES"/>
        </w:rPr>
      </w:pPr>
      <w:r w:rsidRPr="001A5552">
        <w:rPr>
          <w:rStyle w:val="Refdenotaalpie"/>
          <w:rFonts w:ascii="Arial" w:hAnsi="Arial" w:cs="Arial"/>
          <w:color w:val="000000" w:themeColor="text1"/>
          <w:sz w:val="16"/>
          <w:szCs w:val="16"/>
        </w:rPr>
        <w:footnoteRef/>
      </w:r>
      <w:r w:rsidRPr="001A5552">
        <w:rPr>
          <w:rFonts w:ascii="Arial" w:hAnsi="Arial" w:cs="Arial"/>
          <w:color w:val="000000" w:themeColor="text1"/>
          <w:sz w:val="16"/>
          <w:szCs w:val="16"/>
        </w:rPr>
        <w:t xml:space="preserve"> </w:t>
      </w:r>
      <w:r w:rsidRPr="001A5552">
        <w:rPr>
          <w:rFonts w:ascii="Arial" w:hAnsi="Arial" w:cs="Arial"/>
          <w:color w:val="000000" w:themeColor="text1"/>
          <w:sz w:val="16"/>
          <w:szCs w:val="16"/>
          <w:lang w:val="es-ES"/>
        </w:rPr>
        <w:t>Magistrado Ponente: Marco Gerardo Monroy Cabra.</w:t>
      </w:r>
    </w:p>
    <w:p w14:paraId="35D781A2" w14:textId="77777777" w:rsidR="008410D2" w:rsidRPr="007C211D" w:rsidRDefault="008410D2" w:rsidP="008410D2">
      <w:pPr>
        <w:pStyle w:val="Textonotapie"/>
        <w:ind w:firstLine="709"/>
        <w:jc w:val="both"/>
        <w:rPr>
          <w:rFonts w:ascii="Arial" w:hAnsi="Arial" w:cs="Arial"/>
          <w:color w:val="000000" w:themeColor="text1"/>
          <w:sz w:val="16"/>
          <w:szCs w:val="16"/>
          <w:lang w:val="es-ES"/>
        </w:rPr>
      </w:pPr>
    </w:p>
  </w:footnote>
  <w:footnote w:id="35">
    <w:p w14:paraId="7F551F66" w14:textId="77777777" w:rsidR="008410D2" w:rsidRPr="001A5552" w:rsidRDefault="008410D2" w:rsidP="008410D2">
      <w:pPr>
        <w:pStyle w:val="Textonotapie"/>
        <w:ind w:firstLine="709"/>
        <w:jc w:val="both"/>
        <w:rPr>
          <w:rFonts w:ascii="Arial" w:hAnsi="Arial" w:cs="Arial"/>
          <w:color w:val="000000" w:themeColor="text1"/>
          <w:sz w:val="16"/>
          <w:szCs w:val="16"/>
        </w:rPr>
      </w:pPr>
      <w:r w:rsidRPr="001A5552">
        <w:rPr>
          <w:rStyle w:val="Refdenotaalpie"/>
          <w:rFonts w:ascii="Arial" w:hAnsi="Arial" w:cs="Arial"/>
          <w:color w:val="000000" w:themeColor="text1"/>
          <w:sz w:val="16"/>
          <w:szCs w:val="16"/>
        </w:rPr>
        <w:footnoteRef/>
      </w:r>
      <w:r w:rsidRPr="001A5552">
        <w:rPr>
          <w:rFonts w:ascii="Arial" w:hAnsi="Arial" w:cs="Arial"/>
          <w:color w:val="000000" w:themeColor="text1"/>
          <w:sz w:val="16"/>
          <w:szCs w:val="16"/>
        </w:rPr>
        <w:t xml:space="preserve"> En lo pertinente, dicho artículo señala: </w:t>
      </w:r>
    </w:p>
    <w:p w14:paraId="7FA29206" w14:textId="77777777" w:rsidR="008410D2" w:rsidRPr="001A5552" w:rsidRDefault="008410D2" w:rsidP="008410D2">
      <w:pPr>
        <w:pStyle w:val="Textonotapie"/>
        <w:ind w:firstLine="709"/>
        <w:jc w:val="both"/>
        <w:rPr>
          <w:rFonts w:ascii="Arial" w:hAnsi="Arial" w:cs="Arial"/>
          <w:color w:val="000000" w:themeColor="text1"/>
          <w:sz w:val="16"/>
          <w:szCs w:val="16"/>
          <w:lang w:val="es-ES"/>
        </w:rPr>
      </w:pPr>
      <w:r w:rsidRPr="001A5552">
        <w:rPr>
          <w:rFonts w:ascii="Arial" w:hAnsi="Arial" w:cs="Arial"/>
          <w:color w:val="000000" w:themeColor="text1"/>
          <w:sz w:val="16"/>
          <w:szCs w:val="16"/>
          <w:lang w:val="es-ES"/>
        </w:rPr>
        <w:t>“[…]</w:t>
      </w:r>
    </w:p>
    <w:p w14:paraId="1AC8E7B1" w14:textId="77777777" w:rsidR="008410D2" w:rsidRPr="001A5552" w:rsidRDefault="008410D2" w:rsidP="008410D2">
      <w:pPr>
        <w:pStyle w:val="Textonotapie"/>
        <w:ind w:firstLine="709"/>
        <w:jc w:val="both"/>
        <w:rPr>
          <w:rFonts w:ascii="Arial" w:hAnsi="Arial" w:cs="Arial"/>
          <w:color w:val="000000" w:themeColor="text1"/>
          <w:sz w:val="16"/>
          <w:szCs w:val="16"/>
          <w:lang w:val="es-ES"/>
        </w:rPr>
      </w:pPr>
      <w:r w:rsidRPr="001A5552">
        <w:rPr>
          <w:rFonts w:ascii="Arial" w:hAnsi="Arial" w:cs="Arial"/>
          <w:color w:val="000000" w:themeColor="text1"/>
          <w:sz w:val="16"/>
          <w:szCs w:val="16"/>
          <w:lang w:val="es-ES"/>
        </w:rPr>
        <w:t>14.5. EMPRESA DE SERVICIOS PÚBLICOS OFICIAL. Es aquella en cuyo capital la Nación, las entidades territoriales, o las entidades descentralizadas de aquella o estas tienen el 100% de los aportes.</w:t>
      </w:r>
    </w:p>
    <w:p w14:paraId="286D405A" w14:textId="77777777" w:rsidR="008410D2" w:rsidRPr="001A5552" w:rsidRDefault="008410D2" w:rsidP="008410D2">
      <w:pPr>
        <w:pStyle w:val="Textonotapie"/>
        <w:ind w:firstLine="709"/>
        <w:jc w:val="both"/>
        <w:rPr>
          <w:rFonts w:ascii="Arial" w:hAnsi="Arial" w:cs="Arial"/>
          <w:color w:val="000000" w:themeColor="text1"/>
          <w:sz w:val="16"/>
          <w:szCs w:val="16"/>
          <w:lang w:val="es-ES"/>
        </w:rPr>
      </w:pPr>
      <w:r w:rsidRPr="001A5552">
        <w:rPr>
          <w:rFonts w:ascii="Arial" w:hAnsi="Arial" w:cs="Arial"/>
          <w:color w:val="000000" w:themeColor="text1"/>
          <w:sz w:val="16"/>
          <w:szCs w:val="16"/>
          <w:lang w:val="es-ES"/>
        </w:rPr>
        <w:t>14.6. EMPRESA DE SERVICIOS PÚBLICOS MIXTA. Es aquella en cuyo capital la Nación, las entidades territoriales, o las entidades descentralizadas de aquella o éstas tienen aportes iguales o superiores al 50%.</w:t>
      </w:r>
    </w:p>
    <w:p w14:paraId="024A8861" w14:textId="77777777" w:rsidR="008410D2" w:rsidRPr="001A5552" w:rsidRDefault="008410D2" w:rsidP="008410D2">
      <w:pPr>
        <w:pStyle w:val="Textonotapie"/>
        <w:ind w:firstLine="709"/>
        <w:jc w:val="both"/>
        <w:rPr>
          <w:rFonts w:ascii="Arial" w:hAnsi="Arial" w:cs="Arial"/>
          <w:color w:val="000000" w:themeColor="text1"/>
          <w:sz w:val="16"/>
          <w:szCs w:val="16"/>
          <w:lang w:val="es-ES"/>
        </w:rPr>
      </w:pPr>
      <w:r w:rsidRPr="001A5552">
        <w:rPr>
          <w:rFonts w:ascii="Arial" w:hAnsi="Arial" w:cs="Arial"/>
          <w:color w:val="000000" w:themeColor="text1"/>
          <w:sz w:val="16"/>
          <w:szCs w:val="16"/>
          <w:lang w:val="es-ES"/>
        </w:rPr>
        <w:t>14.7. EMPRESA DE SERVICIOS PÚBLICOS PRIVADA. Es aquella cuyo capital pertenece mayoritariamente a particulares, o a entidades surgidas de convenios internacionales que deseen someterse íntegramente para estos efectos a las reglas a las que se someten los particulares”.</w:t>
      </w:r>
    </w:p>
  </w:footnote>
  <w:footnote w:id="36">
    <w:p w14:paraId="005E8FE3" w14:textId="77777777" w:rsidR="008410D2" w:rsidRPr="001A5552" w:rsidRDefault="008410D2" w:rsidP="008410D2">
      <w:pPr>
        <w:pStyle w:val="Textonotapie"/>
        <w:ind w:firstLine="709"/>
        <w:jc w:val="both"/>
        <w:rPr>
          <w:rFonts w:ascii="Arial" w:hAnsi="Arial" w:cs="Arial"/>
          <w:color w:val="000000" w:themeColor="text1"/>
          <w:sz w:val="16"/>
          <w:szCs w:val="16"/>
          <w:lang w:val="es-ES"/>
        </w:rPr>
      </w:pPr>
      <w:r w:rsidRPr="001A5552">
        <w:rPr>
          <w:rStyle w:val="Refdenotaalpie"/>
          <w:rFonts w:ascii="Arial" w:hAnsi="Arial" w:cs="Arial"/>
          <w:color w:val="000000" w:themeColor="text1"/>
          <w:sz w:val="16"/>
          <w:szCs w:val="16"/>
        </w:rPr>
        <w:footnoteRef/>
      </w:r>
      <w:r w:rsidRPr="001A5552">
        <w:rPr>
          <w:rFonts w:ascii="Arial" w:hAnsi="Arial" w:cs="Arial"/>
          <w:color w:val="000000" w:themeColor="text1"/>
          <w:sz w:val="16"/>
          <w:szCs w:val="16"/>
        </w:rPr>
        <w:t xml:space="preserve"> Sentencia C-736 de 2007.</w:t>
      </w:r>
    </w:p>
  </w:footnote>
  <w:footnote w:id="37">
    <w:p w14:paraId="46C2B61B" w14:textId="4E8468A9" w:rsidR="008410D2" w:rsidRPr="001A5552" w:rsidRDefault="008410D2" w:rsidP="008410D2">
      <w:pPr>
        <w:pStyle w:val="Textonotapie"/>
        <w:ind w:firstLine="709"/>
        <w:jc w:val="both"/>
        <w:rPr>
          <w:rFonts w:ascii="Arial" w:hAnsi="Arial" w:cs="Arial"/>
          <w:color w:val="000000" w:themeColor="text1"/>
          <w:sz w:val="16"/>
          <w:szCs w:val="16"/>
        </w:rPr>
      </w:pPr>
      <w:r w:rsidRPr="001A5552">
        <w:rPr>
          <w:rStyle w:val="Refdenotaalpie"/>
          <w:rFonts w:ascii="Arial" w:hAnsi="Arial" w:cs="Arial"/>
          <w:color w:val="000000" w:themeColor="text1"/>
          <w:sz w:val="16"/>
          <w:szCs w:val="16"/>
        </w:rPr>
        <w:footnoteRef/>
      </w:r>
      <w:r w:rsidRPr="001A5552">
        <w:rPr>
          <w:rFonts w:ascii="Arial" w:hAnsi="Arial" w:cs="Arial"/>
          <w:color w:val="000000" w:themeColor="text1"/>
          <w:sz w:val="16"/>
          <w:szCs w:val="16"/>
        </w:rPr>
        <w:t xml:space="preserve"> Consejo de Estado. </w:t>
      </w:r>
      <w:r w:rsidR="005470DF" w:rsidRPr="005470DF">
        <w:rPr>
          <w:rFonts w:ascii="Arial" w:hAnsi="Arial" w:cs="Arial"/>
          <w:color w:val="000000" w:themeColor="text1"/>
          <w:sz w:val="16"/>
          <w:szCs w:val="16"/>
        </w:rPr>
        <w:t>Sección</w:t>
      </w:r>
      <w:r w:rsidRPr="001A5552">
        <w:rPr>
          <w:rFonts w:ascii="Arial" w:hAnsi="Arial" w:cs="Arial"/>
          <w:color w:val="000000" w:themeColor="text1"/>
          <w:sz w:val="16"/>
          <w:szCs w:val="16"/>
        </w:rPr>
        <w:t xml:space="preserve"> Cuarta. Sentencia del 1 de 2012. Consejero ponente: William Giraldo Giraldo. Expediente 17907. </w:t>
      </w:r>
    </w:p>
  </w:footnote>
  <w:footnote w:id="38">
    <w:p w14:paraId="36D114F4" w14:textId="77777777" w:rsidR="008410D2" w:rsidRPr="001A5552" w:rsidRDefault="008410D2" w:rsidP="008410D2">
      <w:pPr>
        <w:pStyle w:val="Textonotapie"/>
        <w:ind w:firstLine="709"/>
        <w:jc w:val="both"/>
        <w:rPr>
          <w:rFonts w:ascii="Arial" w:hAnsi="Arial" w:cs="Arial"/>
          <w:color w:val="000000" w:themeColor="text1"/>
          <w:sz w:val="16"/>
          <w:szCs w:val="16"/>
          <w:lang w:val="es-ES"/>
        </w:rPr>
      </w:pPr>
      <w:r w:rsidRPr="001A5552">
        <w:rPr>
          <w:rStyle w:val="Refdenotaalpie"/>
          <w:rFonts w:ascii="Arial" w:hAnsi="Arial" w:cs="Arial"/>
          <w:color w:val="000000" w:themeColor="text1"/>
          <w:sz w:val="16"/>
          <w:szCs w:val="16"/>
        </w:rPr>
        <w:footnoteRef/>
      </w:r>
      <w:r w:rsidRPr="001A5552">
        <w:rPr>
          <w:rFonts w:ascii="Arial" w:hAnsi="Arial" w:cs="Arial"/>
          <w:color w:val="000000" w:themeColor="text1"/>
          <w:sz w:val="16"/>
          <w:szCs w:val="16"/>
        </w:rPr>
        <w:t xml:space="preserve"> Superitendencia de Servicios Públicos Domiciliarios. </w:t>
      </w:r>
      <w:r w:rsidRPr="001A5552">
        <w:rPr>
          <w:rFonts w:ascii="Arial" w:hAnsi="Arial" w:cs="Arial"/>
          <w:color w:val="000000" w:themeColor="text1"/>
          <w:sz w:val="16"/>
          <w:szCs w:val="16"/>
          <w:lang w:val="es-ES"/>
        </w:rPr>
        <w:t>Concepto C-766 de 2021.</w:t>
      </w:r>
    </w:p>
  </w:footnote>
  <w:footnote w:id="39">
    <w:p w14:paraId="0E1D947C" w14:textId="77777777"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El inciso final del numeral 5 “encargos fiduciarios y fiducia pública” del artículo 32 de la Ley 80 de 1993 señala lo siguiente: “So pena de nulidad no podrá celebrarse contratos de fiducia o subcontratos en contravención del artículo 355 de la Constitución Política. Si tal evento se diese, la entidad fideicomitente deberá repetir contra la persona, natural o jurídica, adjudicataria del respectivo contrato”.</w:t>
      </w:r>
    </w:p>
  </w:footnote>
  <w:footnote w:id="40">
    <w:p w14:paraId="1FD6033C" w14:textId="77777777" w:rsidR="008410D2" w:rsidRPr="001A5552" w:rsidRDefault="008410D2" w:rsidP="008410D2">
      <w:pPr>
        <w:pStyle w:val="Textonotapie"/>
        <w:ind w:firstLine="709"/>
        <w:contextualSpacing/>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El literal c del numeral 4 del artículo 2 de la Ley 1150 de 2007 dispone que: “</w:t>
      </w:r>
      <w:r w:rsidRPr="001A5552">
        <w:rPr>
          <w:rFonts w:ascii="Arial" w:hAnsi="Arial" w:cs="Arial"/>
          <w:sz w:val="16"/>
          <w:szCs w:val="16"/>
          <w:lang w:val="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1A5552">
        <w:rPr>
          <w:rFonts w:ascii="Arial" w:hAnsi="Arial" w:cs="Arial"/>
          <w:sz w:val="16"/>
          <w:szCs w:val="16"/>
        </w:rPr>
        <w:t>”</w:t>
      </w:r>
      <w:r w:rsidRPr="001A5552">
        <w:rPr>
          <w:rFonts w:ascii="Arial" w:hAnsi="Arial" w:cs="Arial"/>
          <w:sz w:val="16"/>
          <w:szCs w:val="16"/>
          <w:lang w:val="es-CO"/>
        </w:rPr>
        <w:t>.</w:t>
      </w:r>
    </w:p>
  </w:footnote>
  <w:footnote w:id="41">
    <w:p w14:paraId="7046D263" w14:textId="77777777" w:rsidR="008410D2" w:rsidRPr="001A5552" w:rsidRDefault="008410D2" w:rsidP="008410D2">
      <w:pPr>
        <w:pStyle w:val="Textonotapie"/>
        <w:ind w:firstLine="709"/>
        <w:contextualSpacing/>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El artículo 2.2.1.2.3.1.5 del Decreto 1082 de 2015 hace mención </w:t>
      </w:r>
      <w:proofErr w:type="gramStart"/>
      <w:r w:rsidRPr="001A5552">
        <w:rPr>
          <w:rFonts w:ascii="Arial" w:hAnsi="Arial" w:cs="Arial"/>
          <w:sz w:val="16"/>
          <w:szCs w:val="16"/>
        </w:rPr>
        <w:t>a</w:t>
      </w:r>
      <w:proofErr w:type="gramEnd"/>
      <w:r w:rsidRPr="001A5552">
        <w:rPr>
          <w:rFonts w:ascii="Arial" w:hAnsi="Arial" w:cs="Arial"/>
          <w:sz w:val="16"/>
          <w:szCs w:val="16"/>
        </w:rPr>
        <w:t xml:space="preserve"> la subcontratación en lo relacionado con las garantías, particularmente en l</w:t>
      </w:r>
      <w:r w:rsidRPr="001A5552">
        <w:rPr>
          <w:rFonts w:ascii="Arial" w:hAnsi="Arial" w:cs="Arial"/>
          <w:sz w:val="16"/>
          <w:szCs w:val="16"/>
          <w:lang w:val="es-CO"/>
        </w:rPr>
        <w:t xml:space="preserve">os riesgos a los que se encuentran expuestas las entidades estatales, derivados de la responsabilidad extracontractual que pueda surgir por las actuaciones, hechos u omisiones de sus contratistas y subcontratistas. </w:t>
      </w:r>
    </w:p>
  </w:footnote>
  <w:footnote w:id="42">
    <w:p w14:paraId="680205A4" w14:textId="77777777" w:rsidR="008410D2" w:rsidRDefault="008410D2" w:rsidP="008410D2">
      <w:pPr>
        <w:pStyle w:val="Textonotapie"/>
        <w:ind w:firstLine="709"/>
        <w:contextualSpacing/>
        <w:jc w:val="both"/>
        <w:rPr>
          <w:rFonts w:ascii="Arial"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hAnsi="Arial" w:cs="Arial"/>
          <w:sz w:val="16"/>
          <w:szCs w:val="16"/>
          <w:lang w:val="es-CO"/>
        </w:rPr>
        <w:t xml:space="preserve">RAMÍREZ GRISALES, Richard Steve. La Subcontratación. Serie: Las cláusulas del contrato estatal. Librería Jurídica Sánchez R. Ltda. y Centro de Estudios de Derecho Administrativo –CEDA-, Medellín, 2012, p. 26. </w:t>
      </w:r>
    </w:p>
    <w:p w14:paraId="5219D183" w14:textId="77777777" w:rsidR="008410D2" w:rsidRPr="007C211D" w:rsidRDefault="008410D2" w:rsidP="008410D2">
      <w:pPr>
        <w:pStyle w:val="Textonotapie"/>
        <w:ind w:firstLine="709"/>
        <w:contextualSpacing/>
        <w:jc w:val="both"/>
        <w:rPr>
          <w:rFonts w:ascii="Arial" w:hAnsi="Arial" w:cs="Arial"/>
          <w:sz w:val="16"/>
          <w:szCs w:val="16"/>
          <w:lang w:val="es-CO"/>
        </w:rPr>
      </w:pPr>
    </w:p>
  </w:footnote>
  <w:footnote w:id="43">
    <w:p w14:paraId="309F5127" w14:textId="77777777"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TRABALÓN Cristóbal. Tratado Legal de Construcción. Editorial Tébar Flores. Madrid. 2015.</w:t>
      </w:r>
    </w:p>
    <w:p w14:paraId="6AF90036" w14:textId="77777777" w:rsidR="008410D2" w:rsidRPr="001A5552" w:rsidRDefault="008410D2" w:rsidP="008410D2">
      <w:pPr>
        <w:pStyle w:val="Textonotapie"/>
        <w:ind w:firstLine="709"/>
        <w:contextualSpacing/>
        <w:jc w:val="both"/>
        <w:rPr>
          <w:rFonts w:ascii="Arial" w:hAnsi="Arial" w:cs="Arial"/>
          <w:sz w:val="16"/>
          <w:szCs w:val="16"/>
          <w:lang w:val="es-CO"/>
        </w:rPr>
      </w:pPr>
    </w:p>
  </w:footnote>
  <w:footnote w:id="44">
    <w:p w14:paraId="6D89F68D" w14:textId="77777777" w:rsidR="008410D2" w:rsidRPr="001A5552" w:rsidRDefault="008410D2" w:rsidP="008410D2">
      <w:pPr>
        <w:pStyle w:val="Textonotapie"/>
        <w:ind w:firstLine="709"/>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Ibidem </w:t>
      </w:r>
    </w:p>
  </w:footnote>
  <w:footnote w:id="45">
    <w:p w14:paraId="60C45E74" w14:textId="77777777" w:rsidR="008410D2" w:rsidRPr="001A5552" w:rsidRDefault="008410D2" w:rsidP="008410D2">
      <w:pPr>
        <w:pStyle w:val="Textonotapie"/>
        <w:ind w:firstLine="708"/>
        <w:contextualSpacing/>
        <w:jc w:val="both"/>
        <w:rPr>
          <w:rFonts w:ascii="Arial" w:hAnsi="Arial" w:cs="Arial"/>
          <w:sz w:val="16"/>
          <w:szCs w:val="16"/>
        </w:rPr>
      </w:pPr>
      <w:r w:rsidRPr="001A5552">
        <w:rPr>
          <w:rStyle w:val="Refdenotaalpie"/>
          <w:rFonts w:ascii="Arial" w:hAnsi="Arial" w:cs="Arial"/>
          <w:sz w:val="16"/>
          <w:szCs w:val="16"/>
        </w:rPr>
        <w:footnoteRef/>
      </w:r>
      <w:r w:rsidRPr="001A5552">
        <w:rPr>
          <w:rFonts w:ascii="Arial" w:hAnsi="Arial" w:cs="Arial"/>
          <w:sz w:val="16"/>
          <w:szCs w:val="16"/>
        </w:rPr>
        <w:t xml:space="preserve"> Código Civil. Artículo 31. </w:t>
      </w:r>
    </w:p>
    <w:p w14:paraId="6868833F" w14:textId="77777777" w:rsidR="008410D2" w:rsidRPr="001A5552" w:rsidRDefault="008410D2" w:rsidP="008410D2">
      <w:pPr>
        <w:pStyle w:val="Textonotapie"/>
        <w:ind w:firstLine="708"/>
        <w:contextualSpacing/>
        <w:jc w:val="both"/>
        <w:rPr>
          <w:rFonts w:ascii="Arial" w:hAnsi="Arial" w:cs="Arial"/>
          <w:sz w:val="16"/>
          <w:szCs w:val="16"/>
        </w:rPr>
      </w:pPr>
    </w:p>
  </w:footnote>
  <w:footnote w:id="46">
    <w:p w14:paraId="0C7FF270" w14:textId="77777777" w:rsidR="008410D2" w:rsidRPr="001A5552" w:rsidRDefault="008410D2" w:rsidP="008410D2">
      <w:pPr>
        <w:pStyle w:val="Textonotapie"/>
        <w:ind w:firstLine="708"/>
        <w:jc w:val="both"/>
        <w:rPr>
          <w:rFonts w:ascii="Arial" w:eastAsia="Calibri" w:hAnsi="Arial" w:cs="Arial"/>
          <w:sz w:val="16"/>
          <w:szCs w:val="16"/>
          <w:lang w:val="es-CO"/>
        </w:rPr>
      </w:pPr>
      <w:r w:rsidRPr="001A5552">
        <w:rPr>
          <w:rStyle w:val="Refdenotaalpie"/>
          <w:rFonts w:ascii="Arial" w:hAnsi="Arial" w:cs="Arial"/>
          <w:sz w:val="16"/>
          <w:szCs w:val="16"/>
        </w:rPr>
        <w:footnoteRef/>
      </w:r>
      <w:r w:rsidRPr="001A5552">
        <w:rPr>
          <w:rFonts w:ascii="Arial" w:hAnsi="Arial" w:cs="Arial"/>
          <w:sz w:val="16"/>
          <w:szCs w:val="16"/>
        </w:rPr>
        <w:t xml:space="preserve"> </w:t>
      </w:r>
      <w:r w:rsidRPr="001A5552">
        <w:rPr>
          <w:rFonts w:ascii="Arial" w:eastAsia="Calibri" w:hAnsi="Arial" w:cs="Arial"/>
          <w:sz w:val="16"/>
          <w:szCs w:val="16"/>
        </w:rPr>
        <w:t>En lo pertinente, el artículo 4 de la Resolución 219 del 6 de agosto de 2021 dispone que “</w:t>
      </w:r>
      <w:r w:rsidRPr="001A5552">
        <w:rPr>
          <w:rFonts w:ascii="Arial" w:eastAsia="Calibri" w:hAnsi="Arial" w:cs="Arial"/>
          <w:sz w:val="16"/>
          <w:szCs w:val="16"/>
          <w:lang w:val="es-CO"/>
        </w:rPr>
        <w:t xml:space="preserve">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la obra pública, deberá seguir los siguientes parámetros: </w:t>
      </w:r>
    </w:p>
    <w:p w14:paraId="23847168" w14:textId="77777777" w:rsidR="008410D2" w:rsidRPr="001A5552" w:rsidRDefault="008410D2" w:rsidP="008410D2">
      <w:pPr>
        <w:pStyle w:val="Textonotapie"/>
        <w:ind w:firstLine="708"/>
        <w:jc w:val="both"/>
        <w:rPr>
          <w:rFonts w:ascii="Arial" w:eastAsia="Calibri" w:hAnsi="Arial" w:cs="Arial"/>
          <w:sz w:val="16"/>
          <w:szCs w:val="16"/>
          <w:lang w:val="es-CO"/>
        </w:rPr>
      </w:pPr>
      <w:r w:rsidRPr="001A5552">
        <w:rPr>
          <w:rFonts w:ascii="Arial" w:eastAsia="Calibri" w:hAnsi="Arial" w:cs="Arial"/>
          <w:sz w:val="16"/>
          <w:szCs w:val="16"/>
          <w:lang w:val="es-CO"/>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2AFF5788" w14:textId="77777777" w:rsidR="008410D2" w:rsidRPr="001A5552" w:rsidRDefault="008410D2" w:rsidP="008410D2">
      <w:pPr>
        <w:pStyle w:val="Textonotapie"/>
        <w:ind w:firstLine="708"/>
        <w:jc w:val="both"/>
        <w:rPr>
          <w:rFonts w:ascii="Arial" w:eastAsia="Calibri" w:hAnsi="Arial" w:cs="Arial"/>
          <w:sz w:val="16"/>
          <w:szCs w:val="16"/>
          <w:lang w:val="es-CO"/>
        </w:rPr>
      </w:pPr>
      <w:r w:rsidRPr="001A5552">
        <w:rPr>
          <w:rFonts w:ascii="Arial" w:eastAsia="Calibri" w:hAnsi="Arial" w:cs="Arial"/>
          <w:sz w:val="16"/>
          <w:szCs w:val="16"/>
          <w:lang w:val="es-CO"/>
        </w:rPr>
        <w:t xml:space="preserve">Para tal efecto, la entidad realizará el estudio previo y el análisis del sector en los términos de los artículos 2.2.1.1.1.6.1 y 2.2.1.1.1.6.2 del Decreto 1082 de 2015, o la norma que los adicione, complemente o sustituya. </w:t>
      </w:r>
    </w:p>
    <w:p w14:paraId="20CDD174" w14:textId="77777777" w:rsidR="008410D2" w:rsidRPr="001A5552" w:rsidRDefault="008410D2" w:rsidP="008410D2">
      <w:pPr>
        <w:pStyle w:val="Textonotapie"/>
        <w:ind w:firstLine="708"/>
        <w:jc w:val="both"/>
        <w:rPr>
          <w:rFonts w:ascii="Arial" w:eastAsia="Calibri" w:hAnsi="Arial" w:cs="Arial"/>
          <w:sz w:val="16"/>
          <w:szCs w:val="16"/>
          <w:lang w:val="es-CO"/>
        </w:rPr>
      </w:pPr>
      <w:r w:rsidRPr="001A5552">
        <w:rPr>
          <w:rFonts w:ascii="Arial" w:eastAsia="Calibri" w:hAnsi="Arial" w:cs="Arial"/>
          <w:sz w:val="16"/>
          <w:szCs w:val="16"/>
          <w:lang w:val="es-CO"/>
        </w:rPr>
        <w:t>2. Conservar los requisitos exigidos en los documentos tipo.</w:t>
      </w:r>
    </w:p>
    <w:p w14:paraId="12E908D7" w14:textId="77777777" w:rsidR="008410D2" w:rsidRPr="001A5552" w:rsidRDefault="008410D2" w:rsidP="008410D2">
      <w:pPr>
        <w:pStyle w:val="Textonotapie"/>
        <w:ind w:firstLine="708"/>
        <w:jc w:val="both"/>
        <w:rPr>
          <w:rFonts w:ascii="Arial" w:hAnsi="Arial" w:cs="Arial"/>
          <w:sz w:val="16"/>
          <w:szCs w:val="16"/>
          <w:lang w:val="es-ES"/>
        </w:rPr>
      </w:pPr>
      <w:r w:rsidRPr="001A5552">
        <w:rPr>
          <w:rFonts w:ascii="Arial" w:hAnsi="Arial" w:cs="Arial"/>
          <w:sz w:val="16"/>
          <w:szCs w:val="16"/>
          <w:lang w:val="es-ES"/>
        </w:rPr>
        <w:t>3. Abstenerse de pedir experiencia exclusiva con entidades de cualquier naturaleza, experiencia previa exclusiva en un territorio específico, limitada en el tiempo o que incluya volúmenes o cantidades de obra específica.</w:t>
      </w:r>
    </w:p>
    <w:p w14:paraId="1104CE57" w14:textId="77777777" w:rsidR="008410D2" w:rsidRPr="001A5552" w:rsidRDefault="008410D2" w:rsidP="008410D2">
      <w:pPr>
        <w:pStyle w:val="Textonotapie"/>
        <w:ind w:firstLine="708"/>
        <w:jc w:val="both"/>
        <w:rPr>
          <w:rFonts w:ascii="Arial" w:hAnsi="Arial" w:cs="Arial"/>
          <w:sz w:val="16"/>
          <w:szCs w:val="16"/>
          <w:lang w:val="es-ES"/>
        </w:rPr>
      </w:pPr>
      <w:r w:rsidRPr="001A5552">
        <w:rPr>
          <w:rFonts w:ascii="Arial" w:hAnsi="Arial" w:cs="Arial"/>
          <w:sz w:val="16"/>
          <w:szCs w:val="16"/>
          <w:lang w:val="es-ES"/>
        </w:rPr>
        <w:t>4. Clasificar la experiencia requerida solo hasta el tercer nivel del Clasificador de Bienes y Servicios e incluir exclusivamente los códigos que estén relacionados directamente con el objeto a contratar.</w:t>
      </w:r>
    </w:p>
    <w:p w14:paraId="006C95DC" w14:textId="77777777" w:rsidR="008410D2" w:rsidRPr="001A5552" w:rsidRDefault="008410D2" w:rsidP="008410D2">
      <w:pPr>
        <w:pStyle w:val="Textonotapie"/>
        <w:ind w:firstLine="708"/>
        <w:jc w:val="both"/>
        <w:rPr>
          <w:rFonts w:ascii="Arial" w:hAnsi="Arial" w:cs="Arial"/>
          <w:sz w:val="16"/>
          <w:szCs w:val="16"/>
          <w:lang w:val="es-ES"/>
        </w:rPr>
      </w:pPr>
      <w:r w:rsidRPr="001A5552">
        <w:rPr>
          <w:rFonts w:ascii="Arial" w:hAnsi="Arial" w:cs="Arial"/>
          <w:sz w:val="16"/>
          <w:szCs w:val="16"/>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7E6FCA"/>
    <w:multiLevelType w:val="hybridMultilevel"/>
    <w:tmpl w:val="747059BE"/>
    <w:lvl w:ilvl="0" w:tplc="0238763C">
      <w:start w:val="1"/>
      <w:numFmt w:val="lowerRoman"/>
      <w:lvlText w:val="%1)"/>
      <w:lvlJc w:val="left"/>
      <w:pPr>
        <w:ind w:left="1488" w:hanging="720"/>
      </w:pPr>
      <w:rPr>
        <w:rFonts w:hint="default"/>
      </w:rPr>
    </w:lvl>
    <w:lvl w:ilvl="1" w:tplc="240A0019" w:tentative="1">
      <w:start w:val="1"/>
      <w:numFmt w:val="lowerLetter"/>
      <w:lvlText w:val="%2."/>
      <w:lvlJc w:val="left"/>
      <w:pPr>
        <w:ind w:left="1848" w:hanging="360"/>
      </w:pPr>
    </w:lvl>
    <w:lvl w:ilvl="2" w:tplc="240A001B" w:tentative="1">
      <w:start w:val="1"/>
      <w:numFmt w:val="lowerRoman"/>
      <w:lvlText w:val="%3."/>
      <w:lvlJc w:val="right"/>
      <w:pPr>
        <w:ind w:left="2568" w:hanging="180"/>
      </w:pPr>
    </w:lvl>
    <w:lvl w:ilvl="3" w:tplc="240A000F" w:tentative="1">
      <w:start w:val="1"/>
      <w:numFmt w:val="decimal"/>
      <w:lvlText w:val="%4."/>
      <w:lvlJc w:val="left"/>
      <w:pPr>
        <w:ind w:left="3288" w:hanging="360"/>
      </w:pPr>
    </w:lvl>
    <w:lvl w:ilvl="4" w:tplc="240A0019" w:tentative="1">
      <w:start w:val="1"/>
      <w:numFmt w:val="lowerLetter"/>
      <w:lvlText w:val="%5."/>
      <w:lvlJc w:val="left"/>
      <w:pPr>
        <w:ind w:left="4008" w:hanging="360"/>
      </w:pPr>
    </w:lvl>
    <w:lvl w:ilvl="5" w:tplc="240A001B" w:tentative="1">
      <w:start w:val="1"/>
      <w:numFmt w:val="lowerRoman"/>
      <w:lvlText w:val="%6."/>
      <w:lvlJc w:val="right"/>
      <w:pPr>
        <w:ind w:left="4728" w:hanging="180"/>
      </w:pPr>
    </w:lvl>
    <w:lvl w:ilvl="6" w:tplc="240A000F" w:tentative="1">
      <w:start w:val="1"/>
      <w:numFmt w:val="decimal"/>
      <w:lvlText w:val="%7."/>
      <w:lvlJc w:val="left"/>
      <w:pPr>
        <w:ind w:left="5448" w:hanging="360"/>
      </w:pPr>
    </w:lvl>
    <w:lvl w:ilvl="7" w:tplc="240A0019" w:tentative="1">
      <w:start w:val="1"/>
      <w:numFmt w:val="lowerLetter"/>
      <w:lvlText w:val="%8."/>
      <w:lvlJc w:val="left"/>
      <w:pPr>
        <w:ind w:left="6168" w:hanging="360"/>
      </w:pPr>
    </w:lvl>
    <w:lvl w:ilvl="8" w:tplc="240A001B" w:tentative="1">
      <w:start w:val="1"/>
      <w:numFmt w:val="lowerRoman"/>
      <w:lvlText w:val="%9."/>
      <w:lvlJc w:val="right"/>
      <w:pPr>
        <w:ind w:left="688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B9030C5"/>
    <w:multiLevelType w:val="hybridMultilevel"/>
    <w:tmpl w:val="4AB68F80"/>
    <w:lvl w:ilvl="0" w:tplc="01825070">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6" w15:restartNumberingAfterBreak="0">
    <w:nsid w:val="43D62203"/>
    <w:multiLevelType w:val="hybridMultilevel"/>
    <w:tmpl w:val="1FD0B122"/>
    <w:lvl w:ilvl="0" w:tplc="7C4E33AE">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F986D1E"/>
    <w:multiLevelType w:val="hybridMultilevel"/>
    <w:tmpl w:val="A5CAB70C"/>
    <w:lvl w:ilvl="0" w:tplc="80FA80CC">
      <w:start w:val="2"/>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00395951">
    <w:abstractNumId w:val="4"/>
  </w:num>
  <w:num w:numId="2" w16cid:durableId="1408454564">
    <w:abstractNumId w:val="2"/>
  </w:num>
  <w:num w:numId="3" w16cid:durableId="1897622572">
    <w:abstractNumId w:val="3"/>
  </w:num>
  <w:num w:numId="4" w16cid:durableId="1044789443">
    <w:abstractNumId w:val="0"/>
  </w:num>
  <w:num w:numId="5" w16cid:durableId="1249735065">
    <w:abstractNumId w:val="1"/>
  </w:num>
  <w:num w:numId="6" w16cid:durableId="1454249125">
    <w:abstractNumId w:val="5"/>
  </w:num>
  <w:num w:numId="7" w16cid:durableId="836000102">
    <w:abstractNumId w:val="7"/>
  </w:num>
  <w:num w:numId="8" w16cid:durableId="1836458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ACA"/>
    <w:rsid w:val="0006537D"/>
    <w:rsid w:val="000677AC"/>
    <w:rsid w:val="00083334"/>
    <w:rsid w:val="000956CF"/>
    <w:rsid w:val="000A683E"/>
    <w:rsid w:val="0011595A"/>
    <w:rsid w:val="001220C5"/>
    <w:rsid w:val="0012417C"/>
    <w:rsid w:val="001267F7"/>
    <w:rsid w:val="00127233"/>
    <w:rsid w:val="00130999"/>
    <w:rsid w:val="00164D81"/>
    <w:rsid w:val="0017508F"/>
    <w:rsid w:val="001A076D"/>
    <w:rsid w:val="001A1011"/>
    <w:rsid w:val="001A48D0"/>
    <w:rsid w:val="001A5552"/>
    <w:rsid w:val="002653C1"/>
    <w:rsid w:val="0026611D"/>
    <w:rsid w:val="002951A0"/>
    <w:rsid w:val="00295E6F"/>
    <w:rsid w:val="002A64FD"/>
    <w:rsid w:val="002F0839"/>
    <w:rsid w:val="00301469"/>
    <w:rsid w:val="00306EE1"/>
    <w:rsid w:val="00310B9B"/>
    <w:rsid w:val="003170C9"/>
    <w:rsid w:val="00321BF5"/>
    <w:rsid w:val="003378B4"/>
    <w:rsid w:val="0036461C"/>
    <w:rsid w:val="00367884"/>
    <w:rsid w:val="0039439C"/>
    <w:rsid w:val="00395337"/>
    <w:rsid w:val="003B69E7"/>
    <w:rsid w:val="003C013B"/>
    <w:rsid w:val="003D0F4D"/>
    <w:rsid w:val="003F58A1"/>
    <w:rsid w:val="00410DD6"/>
    <w:rsid w:val="004134C9"/>
    <w:rsid w:val="0043138C"/>
    <w:rsid w:val="00462A59"/>
    <w:rsid w:val="00483384"/>
    <w:rsid w:val="004A1847"/>
    <w:rsid w:val="004B6B0E"/>
    <w:rsid w:val="004C175B"/>
    <w:rsid w:val="004D25B3"/>
    <w:rsid w:val="004E68D1"/>
    <w:rsid w:val="00511405"/>
    <w:rsid w:val="00517AF1"/>
    <w:rsid w:val="00522BD7"/>
    <w:rsid w:val="00526E9D"/>
    <w:rsid w:val="005470DF"/>
    <w:rsid w:val="00547856"/>
    <w:rsid w:val="00547A74"/>
    <w:rsid w:val="005566E8"/>
    <w:rsid w:val="005746AB"/>
    <w:rsid w:val="0059357F"/>
    <w:rsid w:val="0059360B"/>
    <w:rsid w:val="005A1130"/>
    <w:rsid w:val="005D65C8"/>
    <w:rsid w:val="006105A7"/>
    <w:rsid w:val="006219F8"/>
    <w:rsid w:val="006473EB"/>
    <w:rsid w:val="00681FDB"/>
    <w:rsid w:val="006A0877"/>
    <w:rsid w:val="006A7DAD"/>
    <w:rsid w:val="006D70BA"/>
    <w:rsid w:val="006F502E"/>
    <w:rsid w:val="0070516C"/>
    <w:rsid w:val="0074057F"/>
    <w:rsid w:val="007566FE"/>
    <w:rsid w:val="0076726F"/>
    <w:rsid w:val="0077144B"/>
    <w:rsid w:val="00793403"/>
    <w:rsid w:val="007C0CDF"/>
    <w:rsid w:val="007C211D"/>
    <w:rsid w:val="007E2A2F"/>
    <w:rsid w:val="007F2B7C"/>
    <w:rsid w:val="00811651"/>
    <w:rsid w:val="00820F5B"/>
    <w:rsid w:val="00833452"/>
    <w:rsid w:val="008410D2"/>
    <w:rsid w:val="008614E5"/>
    <w:rsid w:val="008678EB"/>
    <w:rsid w:val="00875894"/>
    <w:rsid w:val="00881C10"/>
    <w:rsid w:val="00890411"/>
    <w:rsid w:val="008B115D"/>
    <w:rsid w:val="008D5C70"/>
    <w:rsid w:val="009025AF"/>
    <w:rsid w:val="00904F23"/>
    <w:rsid w:val="00906B3C"/>
    <w:rsid w:val="0095342C"/>
    <w:rsid w:val="009F33F2"/>
    <w:rsid w:val="009F6C77"/>
    <w:rsid w:val="00A07532"/>
    <w:rsid w:val="00A1085C"/>
    <w:rsid w:val="00A309E2"/>
    <w:rsid w:val="00A67976"/>
    <w:rsid w:val="00A8066E"/>
    <w:rsid w:val="00AA4B8A"/>
    <w:rsid w:val="00AA6BF7"/>
    <w:rsid w:val="00AC3320"/>
    <w:rsid w:val="00AF4CB7"/>
    <w:rsid w:val="00B01ED6"/>
    <w:rsid w:val="00B06D09"/>
    <w:rsid w:val="00B771A9"/>
    <w:rsid w:val="00B809BB"/>
    <w:rsid w:val="00B8248A"/>
    <w:rsid w:val="00BB7726"/>
    <w:rsid w:val="00C2329E"/>
    <w:rsid w:val="00C30461"/>
    <w:rsid w:val="00C37E87"/>
    <w:rsid w:val="00C754BE"/>
    <w:rsid w:val="00C87572"/>
    <w:rsid w:val="00C9405D"/>
    <w:rsid w:val="00CC1B26"/>
    <w:rsid w:val="00CD284F"/>
    <w:rsid w:val="00CE25BC"/>
    <w:rsid w:val="00CF23AA"/>
    <w:rsid w:val="00D01921"/>
    <w:rsid w:val="00D022C4"/>
    <w:rsid w:val="00D42C11"/>
    <w:rsid w:val="00D752B7"/>
    <w:rsid w:val="00DA1854"/>
    <w:rsid w:val="00DB0887"/>
    <w:rsid w:val="00DF1E43"/>
    <w:rsid w:val="00E20894"/>
    <w:rsid w:val="00E26B7C"/>
    <w:rsid w:val="00E74D95"/>
    <w:rsid w:val="00E820A5"/>
    <w:rsid w:val="00EA3003"/>
    <w:rsid w:val="00EB1B2D"/>
    <w:rsid w:val="00EB3C91"/>
    <w:rsid w:val="00EB66DA"/>
    <w:rsid w:val="00F32D91"/>
    <w:rsid w:val="00F558E8"/>
    <w:rsid w:val="00F605F2"/>
    <w:rsid w:val="00F76AFC"/>
    <w:rsid w:val="00F8319B"/>
    <w:rsid w:val="00FA5516"/>
    <w:rsid w:val="00FD6F73"/>
    <w:rsid w:val="1CC63BF5"/>
    <w:rsid w:val="2F9951DC"/>
    <w:rsid w:val="3EA2D60F"/>
    <w:rsid w:val="5DE941BD"/>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8410D2"/>
    <w:rPr>
      <w:color w:val="0563C1" w:themeColor="hyperlink"/>
      <w:u w:val="single"/>
    </w:rPr>
  </w:style>
  <w:style w:type="character" w:styleId="Textoennegrita">
    <w:name w:val="Strong"/>
    <w:basedOn w:val="Fuentedeprrafopredeter"/>
    <w:uiPriority w:val="22"/>
    <w:qFormat/>
    <w:rsid w:val="008410D2"/>
    <w:rPr>
      <w:b/>
      <w:bCs/>
    </w:rPr>
  </w:style>
  <w:style w:type="paragraph" w:customStyle="1" w:styleId="Appelnotedebasde">
    <w:name w:val="Appel note de bas de..."/>
    <w:basedOn w:val="Normal"/>
    <w:link w:val="Refdenotaalpie"/>
    <w:uiPriority w:val="99"/>
    <w:rsid w:val="008410D2"/>
    <w:pPr>
      <w:spacing w:line="240" w:lineRule="exact"/>
    </w:pPr>
    <w:rPr>
      <w:vertAlign w:val="superscript"/>
    </w:rPr>
  </w:style>
  <w:style w:type="paragraph" w:styleId="NormalWeb">
    <w:name w:val="Normal (Web)"/>
    <w:basedOn w:val="Normal"/>
    <w:link w:val="NormalWebCar"/>
    <w:uiPriority w:val="99"/>
    <w:unhideWhenUsed/>
    <w:rsid w:val="008410D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8410D2"/>
    <w:rPr>
      <w:rFonts w:ascii="Times New Roman" w:eastAsia="Times New Roman" w:hAnsi="Times New Roman" w:cs="Times New Roman"/>
      <w:sz w:val="24"/>
      <w:szCs w:val="24"/>
      <w:lang w:eastAsia="es-CO"/>
    </w:rPr>
  </w:style>
  <w:style w:type="character" w:customStyle="1" w:styleId="baj">
    <w:name w:val="b_aj"/>
    <w:basedOn w:val="Fuentedeprrafopredeter"/>
    <w:rsid w:val="008410D2"/>
  </w:style>
  <w:style w:type="paragraph" w:customStyle="1" w:styleId="paragraph">
    <w:name w:val="paragraph"/>
    <w:basedOn w:val="Normal"/>
    <w:rsid w:val="008410D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8410D2"/>
  </w:style>
  <w:style w:type="character" w:styleId="Mencinsinresolver">
    <w:name w:val="Unresolved Mention"/>
    <w:basedOn w:val="Fuentedeprrafopredeter"/>
    <w:uiPriority w:val="99"/>
    <w:semiHidden/>
    <w:unhideWhenUsed/>
    <w:rsid w:val="008410D2"/>
    <w:rPr>
      <w:color w:val="605E5C"/>
      <w:shd w:val="clear" w:color="auto" w:fill="E1DFDD"/>
    </w:rPr>
  </w:style>
  <w:style w:type="character" w:customStyle="1" w:styleId="markedcontent">
    <w:name w:val="markedcontent"/>
    <w:basedOn w:val="Fuentedeprrafopredeter"/>
    <w:rsid w:val="008410D2"/>
  </w:style>
  <w:style w:type="paragraph" w:styleId="Textoindependiente">
    <w:name w:val="Body Text"/>
    <w:basedOn w:val="Normal"/>
    <w:link w:val="TextoindependienteCar"/>
    <w:uiPriority w:val="99"/>
    <w:unhideWhenUsed/>
    <w:rsid w:val="008410D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410D2"/>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ABFD5696-F60D-403E-9F95-73EA01AEA9A9}"/>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15408</Words>
  <Characters>84746</Characters>
  <Application>Microsoft Office Word</Application>
  <DocSecurity>0</DocSecurity>
  <Lines>706</Lines>
  <Paragraphs>199</Paragraphs>
  <ScaleCrop>false</ScaleCrop>
  <Company/>
  <LinksUpToDate>false</LinksUpToDate>
  <CharactersWithSpaces>99955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ANCP-CCE-</cp:lastModifiedBy>
  <cp:revision>7</cp:revision>
  <dcterms:created xsi:type="dcterms:W3CDTF">2023-04-27T01:56:00Z</dcterms:created>
  <dcterms:modified xsi:type="dcterms:W3CDTF">2023-09-12T14:33:00Z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