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DC79" w14:textId="77777777" w:rsidR="00A17308" w:rsidRPr="00A17308" w:rsidRDefault="00A17308" w:rsidP="00A17308">
      <w:pPr>
        <w:spacing w:after="0" w:line="240" w:lineRule="auto"/>
        <w:jc w:val="both"/>
        <w:rPr>
          <w:rFonts w:ascii="Verdana" w:eastAsia="Geomanist Light" w:hAnsi="Verdana" w:cs="Arial"/>
          <w:color w:val="000000" w:themeColor="text1"/>
        </w:rPr>
      </w:pPr>
      <w:r w:rsidRPr="00A17308">
        <w:rPr>
          <w:rFonts w:ascii="Verdana" w:eastAsia="Geomanist Light" w:hAnsi="Verdana" w:cs="Arial"/>
          <w:b/>
          <w:bCs/>
          <w:color w:val="000000" w:themeColor="text1"/>
        </w:rPr>
        <w:t>PLAN ANUAL DE ADQUISICIONES – Noción – Carácter estimativo</w:t>
      </w:r>
    </w:p>
    <w:p w14:paraId="1ED4CE9F" w14:textId="77777777" w:rsidR="00A17308" w:rsidRPr="00A17308" w:rsidRDefault="00A17308" w:rsidP="00A17308">
      <w:pPr>
        <w:spacing w:after="0" w:line="240" w:lineRule="auto"/>
        <w:jc w:val="both"/>
        <w:rPr>
          <w:rFonts w:ascii="Verdana" w:eastAsia="Geomanist Light" w:hAnsi="Verdana" w:cs="Arial"/>
          <w:color w:val="000000" w:themeColor="text1"/>
        </w:rPr>
      </w:pPr>
      <w:r w:rsidRPr="00A17308">
        <w:rPr>
          <w:rFonts w:ascii="Verdana" w:eastAsia="Geomanist Light" w:hAnsi="Verdana" w:cs="Arial"/>
          <w:color w:val="000000" w:themeColor="text1"/>
        </w:rPr>
        <w:t> </w:t>
      </w:r>
    </w:p>
    <w:p w14:paraId="65077A3C" w14:textId="1CB5F1A6" w:rsidR="00A17308" w:rsidRPr="00A17308" w:rsidRDefault="00A17308" w:rsidP="00A17308">
      <w:pPr>
        <w:spacing w:after="0" w:line="240" w:lineRule="auto"/>
        <w:jc w:val="both"/>
        <w:rPr>
          <w:rFonts w:ascii="Verdana" w:eastAsia="Geomanist Light" w:hAnsi="Verdana" w:cs="Arial"/>
          <w:color w:val="000000" w:themeColor="text1"/>
          <w:sz w:val="20"/>
          <w:szCs w:val="20"/>
        </w:rPr>
      </w:pPr>
      <w:r w:rsidRPr="00A17308">
        <w:rPr>
          <w:rFonts w:ascii="Verdana" w:eastAsia="Geomanist Light" w:hAnsi="Verdana" w:cs="Arial"/>
          <w:color w:val="000000" w:themeColor="text1"/>
          <w:sz w:val="20"/>
          <w:szCs w:val="20"/>
        </w:rPr>
        <w:t>El Plan Anual de Adquisiciones, es un instrumento de planificación y orientación de la contratación de las Entidades Estatales,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De este modo, el Plan Anual de Adquisiciones, se considera un documento de carácter estimativo que tiene entre otras finalidades, la de “servir como referente inicial para evaluar la ejecución de presupuesto y pronosticar la demanda de bienes y servicios de la entidad durante el año referido del plan”</w:t>
      </w:r>
      <w:r w:rsidRPr="00A17308">
        <w:rPr>
          <w:rFonts w:ascii="Verdana" w:eastAsia="Geomanist Light" w:hAnsi="Verdana" w:cs="Arial"/>
          <w:color w:val="000000" w:themeColor="text1"/>
          <w:sz w:val="20"/>
          <w:szCs w:val="20"/>
        </w:rPr>
        <w:t>.</w:t>
      </w:r>
    </w:p>
    <w:p w14:paraId="7EAD7DEB" w14:textId="77777777" w:rsidR="000563CA" w:rsidRPr="00D412CD" w:rsidRDefault="000563CA" w:rsidP="000563CA">
      <w:pPr>
        <w:spacing w:after="0" w:line="240" w:lineRule="auto"/>
        <w:rPr>
          <w:rFonts w:ascii="Verdana" w:eastAsia="Geomanist Light" w:hAnsi="Verdana" w:cs="Arial"/>
          <w:b/>
          <w:bCs/>
          <w:color w:val="000000" w:themeColor="text1"/>
          <w:lang w:val="es-MX"/>
        </w:rPr>
      </w:pPr>
    </w:p>
    <w:p w14:paraId="71FD9CF9" w14:textId="24654E8F" w:rsidR="000563CA" w:rsidRPr="009B705E" w:rsidRDefault="00E66598" w:rsidP="009B705E">
      <w:pPr>
        <w:spacing w:line="276" w:lineRule="auto"/>
        <w:jc w:val="both"/>
        <w:rPr>
          <w:rFonts w:ascii="Verdana" w:hAnsi="Verdana" w:cs="Arial"/>
          <w:b/>
          <w:lang w:val="es-ES_tradnl" w:eastAsia="es-ES_tradnl"/>
        </w:rPr>
      </w:pPr>
      <w:r w:rsidRPr="009B705E">
        <w:rPr>
          <w:rFonts w:ascii="Verdana" w:hAnsi="Verdana" w:cs="Arial"/>
          <w:b/>
          <w:lang w:val="es-ES_tradnl" w:eastAsia="es-ES_tradnl"/>
        </w:rPr>
        <w:t>PLAN ANUAL DE ADQUISICIONES –</w:t>
      </w:r>
      <w:r w:rsidRPr="009B705E">
        <w:rPr>
          <w:rFonts w:ascii="Verdana" w:eastAsia="Aptos" w:hAnsi="Verdana" w:cs="Arial"/>
          <w:b/>
          <w:shd w:val="clear" w:color="auto" w:fill="FFFFFF"/>
          <w:lang w:val="es-ES_tradnl"/>
        </w:rPr>
        <w:t xml:space="preserve"> Artículo 74 de la Ley 1474 de 2011 – </w:t>
      </w:r>
      <w:r w:rsidRPr="009B705E">
        <w:rPr>
          <w:rFonts w:ascii="Verdana" w:hAnsi="Verdana" w:cs="Arial"/>
          <w:b/>
          <w:lang w:val="es-ES_tradnl" w:eastAsia="es-ES_tradnl"/>
        </w:rPr>
        <w:t>Deber</w:t>
      </w:r>
      <w:r w:rsidRPr="009B705E">
        <w:rPr>
          <w:rFonts w:ascii="Verdana" w:eastAsia="Aptos" w:hAnsi="Verdana" w:cs="Arial"/>
          <w:b/>
          <w:shd w:val="clear" w:color="auto" w:fill="FFFFFF"/>
        </w:rPr>
        <w:t xml:space="preserve"> de las entidades – P</w:t>
      </w:r>
      <w:r w:rsidRPr="009B705E">
        <w:rPr>
          <w:rFonts w:ascii="Verdana" w:eastAsia="Aptos" w:hAnsi="Verdana" w:cs="Arial"/>
          <w:b/>
          <w:shd w:val="clear" w:color="auto" w:fill="FFFFFF"/>
          <w:lang w:val="es-ES_tradnl"/>
        </w:rPr>
        <w:t>rincipio de anualidad</w:t>
      </w:r>
    </w:p>
    <w:p w14:paraId="20CAA6DE" w14:textId="77777777" w:rsidR="00A17308" w:rsidRPr="00A17308" w:rsidRDefault="00A17308" w:rsidP="00A17308">
      <w:pPr>
        <w:spacing w:after="0" w:line="240" w:lineRule="auto"/>
        <w:jc w:val="both"/>
        <w:rPr>
          <w:rFonts w:ascii="Verdana" w:eastAsia="Geomanist Light" w:hAnsi="Verdana" w:cs="Arial"/>
          <w:color w:val="000000" w:themeColor="text1"/>
          <w:sz w:val="20"/>
          <w:szCs w:val="20"/>
        </w:rPr>
      </w:pPr>
      <w:r w:rsidRPr="00A17308">
        <w:rPr>
          <w:rFonts w:ascii="Verdana" w:eastAsia="Geomanist Light" w:hAnsi="Verdana" w:cs="Arial"/>
          <w:color w:val="000000" w:themeColor="text1"/>
          <w:sz w:val="20"/>
          <w:szCs w:val="20"/>
        </w:rPr>
        <w:t>De acuerdo con el artículo 2.2.1.1.1.3.1 del Decreto 1082 de 2015, el Plan Anual de Adquisiciones es el plan general de compras al que se refiere el artículo 74 de la Ley 1474 de 2011 y el plan de compras al que se refiere la Ley Anual de Presupuesto. Asimismo, el artículo 2.1.1.1.3.1 del Decreto 1082 de 2015 lo define como un instrumento de planeación contractual que las Entidades Estatales debe diligenciar, publicar y actualizar.</w:t>
      </w:r>
    </w:p>
    <w:p w14:paraId="19704860" w14:textId="77777777" w:rsidR="00A17308" w:rsidRPr="00A17308" w:rsidRDefault="00A17308" w:rsidP="00A17308">
      <w:pPr>
        <w:spacing w:after="0" w:line="240" w:lineRule="auto"/>
        <w:jc w:val="both"/>
        <w:rPr>
          <w:rFonts w:ascii="Verdana" w:eastAsia="Geomanist Light" w:hAnsi="Verdana" w:cs="Arial"/>
          <w:color w:val="000000" w:themeColor="text1"/>
          <w:sz w:val="20"/>
          <w:szCs w:val="20"/>
        </w:rPr>
      </w:pPr>
      <w:r w:rsidRPr="00A17308">
        <w:rPr>
          <w:rFonts w:ascii="Verdana" w:eastAsia="Geomanist Light" w:hAnsi="Verdana" w:cs="Arial"/>
          <w:color w:val="000000" w:themeColor="text1"/>
          <w:sz w:val="20"/>
          <w:szCs w:val="20"/>
        </w:rPr>
        <w:t> </w:t>
      </w:r>
    </w:p>
    <w:p w14:paraId="0395476C" w14:textId="77777777" w:rsidR="00A17308" w:rsidRPr="00A17308" w:rsidRDefault="00A17308" w:rsidP="00A17308">
      <w:pPr>
        <w:spacing w:after="0" w:line="240" w:lineRule="auto"/>
        <w:jc w:val="both"/>
        <w:rPr>
          <w:rFonts w:ascii="Verdana" w:eastAsia="Geomanist Light" w:hAnsi="Verdana" w:cs="Arial"/>
          <w:color w:val="000000" w:themeColor="text1"/>
          <w:sz w:val="20"/>
          <w:szCs w:val="20"/>
        </w:rPr>
      </w:pPr>
      <w:r w:rsidRPr="00A17308">
        <w:rPr>
          <w:rFonts w:ascii="Verdana" w:eastAsia="Geomanist Light" w:hAnsi="Verdana" w:cs="Arial"/>
          <w:color w:val="000000" w:themeColor="text1"/>
          <w:sz w:val="20"/>
          <w:szCs w:val="20"/>
        </w:rPr>
        <w:t>[…] el artículo 74 de la Ley 1474 de 2011 dispone que “todas las entidades del Estado” deben publicar, a más tardar el 31 de enero de cada año, en su respectiva página web, el plan de acción, en el cual se incluye el plan general de compras. Como ya se indicó, el plan general de compras para el ordenamiento vigente corresponde con el concepto de Plan Anual de Adquisiciones como lo establece el artículo 2.2.1.1.1.3.1. del Decreto 1082 de 2015.</w:t>
      </w:r>
    </w:p>
    <w:p w14:paraId="10E1A4B9" w14:textId="77777777" w:rsidR="00A17308" w:rsidRPr="00A17308" w:rsidRDefault="00A17308" w:rsidP="00A17308">
      <w:pPr>
        <w:spacing w:after="0" w:line="240" w:lineRule="auto"/>
        <w:jc w:val="both"/>
        <w:rPr>
          <w:rFonts w:ascii="Verdana" w:eastAsia="Geomanist Light" w:hAnsi="Verdana" w:cs="Arial"/>
          <w:color w:val="000000" w:themeColor="text1"/>
          <w:sz w:val="20"/>
          <w:szCs w:val="20"/>
        </w:rPr>
      </w:pPr>
      <w:r w:rsidRPr="00A17308">
        <w:rPr>
          <w:rFonts w:ascii="Verdana" w:eastAsia="Geomanist Light" w:hAnsi="Verdana" w:cs="Arial"/>
          <w:color w:val="000000" w:themeColor="text1"/>
          <w:sz w:val="20"/>
          <w:szCs w:val="20"/>
        </w:rPr>
        <w:t> </w:t>
      </w:r>
    </w:p>
    <w:p w14:paraId="3B79004F" w14:textId="77777777" w:rsidR="00A17308" w:rsidRPr="00A17308" w:rsidRDefault="00A17308" w:rsidP="00A17308">
      <w:pPr>
        <w:spacing w:after="0" w:line="240" w:lineRule="auto"/>
        <w:jc w:val="both"/>
        <w:rPr>
          <w:rFonts w:ascii="Verdana" w:eastAsia="Geomanist Light" w:hAnsi="Verdana" w:cs="Arial"/>
          <w:color w:val="000000" w:themeColor="text1"/>
          <w:sz w:val="20"/>
          <w:szCs w:val="20"/>
        </w:rPr>
      </w:pPr>
      <w:r w:rsidRPr="00A17308">
        <w:rPr>
          <w:rFonts w:ascii="Verdana" w:eastAsia="Geomanist Light" w:hAnsi="Verdana" w:cs="Arial"/>
          <w:color w:val="000000" w:themeColor="text1"/>
          <w:sz w:val="20"/>
          <w:szCs w:val="20"/>
        </w:rPr>
        <w:t>[…]el artículo 2.2.1.1.1.4.3 ibidem, el Plan Anual de Adquisiciones también debe publicarse en el SECOP. Se trata de una obligación que involucra a todas las Entidades del Estado sin importar la rama a la cual pertenecen, o si se trata de entidades descentralizadas territorialmente o por servicios; las empresas del Estado y las sociedades en las que el Estado tenga participación, sin que importe su monto.</w:t>
      </w:r>
    </w:p>
    <w:p w14:paraId="2C0DABE5" w14:textId="77777777" w:rsidR="00A17308" w:rsidRPr="00A17308" w:rsidRDefault="00A17308" w:rsidP="00A17308">
      <w:pPr>
        <w:spacing w:after="0" w:line="240" w:lineRule="auto"/>
        <w:rPr>
          <w:rFonts w:ascii="Verdana" w:eastAsia="Geomanist Light" w:hAnsi="Verdana" w:cs="Arial"/>
          <w:color w:val="000000" w:themeColor="text1"/>
        </w:rPr>
      </w:pPr>
      <w:r w:rsidRPr="00A17308">
        <w:rPr>
          <w:rFonts w:ascii="Verdana" w:eastAsia="Geomanist Light" w:hAnsi="Verdana" w:cs="Arial"/>
          <w:color w:val="000000" w:themeColor="text1"/>
        </w:rPr>
        <w:t> </w:t>
      </w:r>
    </w:p>
    <w:p w14:paraId="1E23484E" w14:textId="77777777" w:rsidR="00097B3D" w:rsidRPr="000563CA" w:rsidRDefault="00097B3D" w:rsidP="006A0B94">
      <w:pPr>
        <w:spacing w:after="0" w:line="240" w:lineRule="auto"/>
        <w:rPr>
          <w:rFonts w:ascii="Verdana" w:eastAsia="Geomanist Light" w:hAnsi="Verdana" w:cs="Arial"/>
          <w:color w:val="000000" w:themeColor="text1"/>
        </w:rPr>
      </w:pPr>
    </w:p>
    <w:p w14:paraId="7F563F13" w14:textId="77777777" w:rsidR="00097B3D" w:rsidRDefault="00097B3D" w:rsidP="006A0B94">
      <w:pPr>
        <w:spacing w:after="0" w:line="240" w:lineRule="auto"/>
        <w:rPr>
          <w:rFonts w:ascii="Verdana" w:eastAsia="Geomanist Light" w:hAnsi="Verdana" w:cs="Arial"/>
          <w:color w:val="000000" w:themeColor="text1"/>
          <w:lang w:val="es-MX"/>
        </w:rPr>
      </w:pPr>
    </w:p>
    <w:p w14:paraId="74489246" w14:textId="77777777" w:rsidR="00097B3D" w:rsidRDefault="00097B3D" w:rsidP="006A0B94">
      <w:pPr>
        <w:spacing w:after="0" w:line="240" w:lineRule="auto"/>
        <w:rPr>
          <w:rFonts w:ascii="Verdana" w:eastAsia="Geomanist Light" w:hAnsi="Verdana" w:cs="Arial"/>
          <w:color w:val="000000" w:themeColor="text1"/>
          <w:lang w:val="es-MX"/>
        </w:rPr>
      </w:pPr>
    </w:p>
    <w:p w14:paraId="3D0BCEAB" w14:textId="77777777" w:rsidR="00097B3D" w:rsidRDefault="00097B3D" w:rsidP="006A0B94">
      <w:pPr>
        <w:spacing w:after="0" w:line="240" w:lineRule="auto"/>
        <w:rPr>
          <w:rFonts w:ascii="Verdana" w:eastAsia="Geomanist Light" w:hAnsi="Verdana" w:cs="Arial"/>
          <w:color w:val="000000" w:themeColor="text1"/>
          <w:lang w:val="es-MX"/>
        </w:rPr>
      </w:pPr>
    </w:p>
    <w:p w14:paraId="0282A451" w14:textId="77777777" w:rsidR="00097B3D" w:rsidRDefault="00097B3D" w:rsidP="006A0B94">
      <w:pPr>
        <w:spacing w:after="0" w:line="240" w:lineRule="auto"/>
        <w:rPr>
          <w:rFonts w:ascii="Verdana" w:eastAsia="Geomanist Light" w:hAnsi="Verdana" w:cs="Arial"/>
          <w:color w:val="000000" w:themeColor="text1"/>
          <w:lang w:val="es-MX"/>
        </w:rPr>
      </w:pPr>
    </w:p>
    <w:p w14:paraId="677DF5AC" w14:textId="77777777" w:rsidR="00097B3D" w:rsidRDefault="00097B3D" w:rsidP="006A0B94">
      <w:pPr>
        <w:spacing w:after="0" w:line="240" w:lineRule="auto"/>
        <w:rPr>
          <w:rFonts w:ascii="Verdana" w:eastAsia="Geomanist Light" w:hAnsi="Verdana" w:cs="Arial"/>
          <w:color w:val="000000" w:themeColor="text1"/>
          <w:lang w:val="es-MX"/>
        </w:rPr>
      </w:pPr>
    </w:p>
    <w:p w14:paraId="41DDD9D6" w14:textId="77777777" w:rsidR="00097B3D" w:rsidRDefault="00097B3D" w:rsidP="006A0B94">
      <w:pPr>
        <w:spacing w:after="0" w:line="240" w:lineRule="auto"/>
        <w:rPr>
          <w:rFonts w:ascii="Verdana" w:eastAsia="Geomanist Light" w:hAnsi="Verdana" w:cs="Arial"/>
          <w:color w:val="000000" w:themeColor="text1"/>
          <w:lang w:val="es-MX"/>
        </w:rPr>
      </w:pPr>
    </w:p>
    <w:p w14:paraId="0E41D437" w14:textId="77777777" w:rsidR="00097B3D" w:rsidRDefault="00097B3D" w:rsidP="006A0B94">
      <w:pPr>
        <w:spacing w:after="0" w:line="240" w:lineRule="auto"/>
        <w:rPr>
          <w:rFonts w:ascii="Verdana" w:eastAsia="Geomanist Light" w:hAnsi="Verdana" w:cs="Arial"/>
          <w:color w:val="000000" w:themeColor="text1"/>
          <w:lang w:val="es-MX"/>
        </w:rPr>
      </w:pPr>
    </w:p>
    <w:p w14:paraId="06E6C1D5" w14:textId="77777777" w:rsidR="00097B3D" w:rsidRDefault="00097B3D" w:rsidP="006A0B94">
      <w:pPr>
        <w:spacing w:after="0" w:line="240" w:lineRule="auto"/>
        <w:rPr>
          <w:rFonts w:ascii="Verdana" w:eastAsia="Geomanist Light" w:hAnsi="Verdana" w:cs="Arial"/>
          <w:color w:val="000000" w:themeColor="text1"/>
          <w:lang w:val="es-MX"/>
        </w:rPr>
      </w:pPr>
    </w:p>
    <w:p w14:paraId="41E411E6" w14:textId="3C796D85" w:rsidR="006A0B94" w:rsidRDefault="003D266D" w:rsidP="006A0B94">
      <w:pPr>
        <w:spacing w:after="0" w:line="240" w:lineRule="auto"/>
        <w:jc w:val="both"/>
        <w:rPr>
          <w:rFonts w:ascii="Verdana" w:eastAsia="Calibri" w:hAnsi="Verdana" w:cs="Arial"/>
          <w:color w:val="000000" w:themeColor="text1"/>
          <w:lang w:val="es-ES" w:eastAsia="es-ES"/>
        </w:rPr>
      </w:pPr>
      <w:r w:rsidRPr="003D266D">
        <w:rPr>
          <w:rFonts w:ascii="Verdana" w:eastAsia="Calibri" w:hAnsi="Verdana" w:cs="Arial"/>
          <w:color w:val="000000" w:themeColor="text1"/>
          <w:lang w:eastAsia="es-ES"/>
        </w:rPr>
        <w:lastRenderedPageBreak/>
        <w:t xml:space="preserve">Bogotá D.C., 13 de </w:t>
      </w:r>
      <w:r w:rsidRPr="003D266D">
        <w:rPr>
          <w:rFonts w:ascii="Verdana" w:eastAsia="Calibri" w:hAnsi="Verdana" w:cs="Arial"/>
          <w:color w:val="000000" w:themeColor="text1"/>
          <w:lang w:eastAsia="es-ES"/>
        </w:rPr>
        <w:t>febrero</w:t>
      </w:r>
      <w:r w:rsidRPr="003D266D">
        <w:rPr>
          <w:rFonts w:ascii="Verdana" w:eastAsia="Calibri" w:hAnsi="Verdana" w:cs="Arial"/>
          <w:color w:val="000000" w:themeColor="text1"/>
          <w:lang w:eastAsia="es-ES"/>
        </w:rPr>
        <w:t xml:space="preserve"> de 2025</w:t>
      </w:r>
    </w:p>
    <w:p w14:paraId="658F8B5B" w14:textId="297346CD" w:rsidR="006A0B94" w:rsidRDefault="006A0B94" w:rsidP="006A0B94">
      <w:pPr>
        <w:spacing w:after="0" w:line="240" w:lineRule="auto"/>
        <w:jc w:val="both"/>
        <w:rPr>
          <w:rFonts w:ascii="Verdana" w:eastAsia="Calibri" w:hAnsi="Verdana" w:cs="Arial"/>
          <w:color w:val="000000" w:themeColor="text1"/>
          <w:lang w:val="es-ES" w:eastAsia="es-ES"/>
        </w:rPr>
      </w:pPr>
    </w:p>
    <w:p w14:paraId="76F0F8F3" w14:textId="0C361ED5" w:rsidR="006E48D8" w:rsidRDefault="006E48D8" w:rsidP="006A0B94">
      <w:pPr>
        <w:spacing w:after="0" w:line="240" w:lineRule="auto"/>
        <w:jc w:val="both"/>
        <w:rPr>
          <w:rFonts w:ascii="Verdana" w:eastAsia="Calibri" w:hAnsi="Verdana" w:cs="Arial"/>
          <w:color w:val="000000" w:themeColor="text1"/>
          <w:lang w:val="es-ES" w:eastAsia="es-ES"/>
        </w:rPr>
      </w:pPr>
      <w:r w:rsidRPr="006E48D8">
        <w:rPr>
          <w:rFonts w:ascii="Verdana" w:eastAsia="Calibri" w:hAnsi="Verdana" w:cs="Arial"/>
          <w:color w:val="000000" w:themeColor="text1"/>
          <w:lang w:val="es-ES" w:eastAsia="es-ES"/>
        </w:rPr>
        <w:drawing>
          <wp:anchor distT="0" distB="0" distL="114300" distR="114300" simplePos="0" relativeHeight="251658240" behindDoc="1" locked="0" layoutInCell="1" allowOverlap="1" wp14:anchorId="397EA4D0" wp14:editId="58593EDD">
            <wp:simplePos x="0" y="0"/>
            <wp:positionH relativeFrom="column">
              <wp:posOffset>3093396</wp:posOffset>
            </wp:positionH>
            <wp:positionV relativeFrom="paragraph">
              <wp:posOffset>80726</wp:posOffset>
            </wp:positionV>
            <wp:extent cx="3352800" cy="1047750"/>
            <wp:effectExtent l="0" t="0" r="0" b="0"/>
            <wp:wrapTight wrapText="bothSides">
              <wp:wrapPolygon edited="0">
                <wp:start x="0" y="0"/>
                <wp:lineTo x="0" y="21207"/>
                <wp:lineTo x="21477" y="21207"/>
                <wp:lineTo x="21477" y="0"/>
                <wp:lineTo x="0" y="0"/>
              </wp:wrapPolygon>
            </wp:wrapTight>
            <wp:docPr id="156823860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238603" name="Imagen 1" descr="Texto&#10;&#10;Descripción generada automáticamente"/>
                    <pic:cNvPicPr/>
                  </pic:nvPicPr>
                  <pic:blipFill>
                    <a:blip r:embed="rId7">
                      <a:extLst>
                        <a:ext uri="{28A0092B-C50C-407E-A947-70E740481C1C}">
                          <a14:useLocalDpi xmlns:a14="http://schemas.microsoft.com/office/drawing/2010/main" val="0"/>
                        </a:ext>
                      </a:extLst>
                    </a:blip>
                    <a:stretch>
                      <a:fillRect/>
                    </a:stretch>
                  </pic:blipFill>
                  <pic:spPr>
                    <a:xfrm>
                      <a:off x="0" y="0"/>
                      <a:ext cx="3352800" cy="1047750"/>
                    </a:xfrm>
                    <a:prstGeom prst="rect">
                      <a:avLst/>
                    </a:prstGeom>
                  </pic:spPr>
                </pic:pic>
              </a:graphicData>
            </a:graphic>
          </wp:anchor>
        </w:drawing>
      </w:r>
    </w:p>
    <w:p w14:paraId="6D6708EC" w14:textId="38396074" w:rsidR="006E48D8" w:rsidRDefault="006E48D8" w:rsidP="006A0B94">
      <w:pPr>
        <w:spacing w:after="0" w:line="240" w:lineRule="auto"/>
        <w:jc w:val="both"/>
        <w:rPr>
          <w:rFonts w:ascii="Verdana" w:eastAsia="Calibri" w:hAnsi="Verdana" w:cs="Arial"/>
          <w:color w:val="000000" w:themeColor="text1"/>
          <w:lang w:val="es-ES" w:eastAsia="es-ES"/>
        </w:rPr>
      </w:pPr>
    </w:p>
    <w:p w14:paraId="254D0CAB" w14:textId="77777777" w:rsidR="006E48D8" w:rsidRDefault="006E48D8" w:rsidP="006A0B94">
      <w:pPr>
        <w:spacing w:after="0" w:line="240" w:lineRule="auto"/>
        <w:jc w:val="both"/>
        <w:rPr>
          <w:rFonts w:ascii="Verdana" w:eastAsia="Calibri" w:hAnsi="Verdana" w:cs="Arial"/>
          <w:color w:val="000000" w:themeColor="text1"/>
          <w:lang w:val="es-ES" w:eastAsia="es-ES"/>
        </w:rPr>
      </w:pPr>
    </w:p>
    <w:p w14:paraId="71DC9DB9" w14:textId="77777777" w:rsidR="006E48D8" w:rsidRDefault="006E48D8" w:rsidP="006A0B94">
      <w:pPr>
        <w:spacing w:after="0" w:line="240" w:lineRule="auto"/>
        <w:jc w:val="both"/>
        <w:rPr>
          <w:rFonts w:ascii="Verdana" w:eastAsia="Calibri" w:hAnsi="Verdana" w:cs="Arial"/>
          <w:color w:val="000000" w:themeColor="text1"/>
          <w:lang w:val="es-ES" w:eastAsia="es-ES"/>
        </w:rPr>
      </w:pPr>
    </w:p>
    <w:p w14:paraId="4EE203FD" w14:textId="77777777" w:rsidR="006A0B94" w:rsidRPr="00115E3D" w:rsidRDefault="006A0B94" w:rsidP="006A0B94">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4FBFEA42" w14:textId="77777777" w:rsidR="006A0B94" w:rsidRDefault="006A0B94" w:rsidP="006A0B94">
      <w:pPr>
        <w:spacing w:after="0" w:line="240" w:lineRule="auto"/>
        <w:rPr>
          <w:rFonts w:ascii="Verdana" w:eastAsia="Calibri" w:hAnsi="Verdana" w:cs="Arial"/>
          <w:b/>
          <w:color w:val="000000" w:themeColor="text1"/>
          <w:lang w:val="es-ES" w:eastAsia="es-ES"/>
        </w:rPr>
      </w:pPr>
      <w:r w:rsidRPr="6514F806">
        <w:rPr>
          <w:rFonts w:ascii="Verdana" w:eastAsia="Calibri" w:hAnsi="Verdana" w:cs="Arial"/>
          <w:b/>
          <w:color w:val="000000" w:themeColor="text1"/>
          <w:lang w:val="es-ES" w:eastAsia="es-ES"/>
        </w:rPr>
        <w:t>Leivy Tatiana Preciado Minotta</w:t>
      </w:r>
    </w:p>
    <w:p w14:paraId="108ACEA8" w14:textId="77777777" w:rsidR="006A0B94" w:rsidRPr="00F652A5" w:rsidRDefault="006A0B94" w:rsidP="006A0B94">
      <w:pPr>
        <w:spacing w:after="0" w:line="240" w:lineRule="auto"/>
        <w:rPr>
          <w:rFonts w:ascii="Verdana" w:eastAsia="Calibri" w:hAnsi="Verdana" w:cs="Arial"/>
          <w:bCs/>
          <w:color w:val="000000" w:themeColor="text1"/>
          <w:lang w:val="es-ES_tradnl" w:eastAsia="es-ES_tradnl"/>
        </w:rPr>
      </w:pPr>
      <w:r w:rsidRPr="00F652A5">
        <w:rPr>
          <w:rFonts w:ascii="Verdana" w:eastAsia="Calibri" w:hAnsi="Verdana" w:cs="Arial"/>
          <w:bCs/>
          <w:color w:val="000000" w:themeColor="text1"/>
          <w:lang w:val="es-ES_tradnl" w:eastAsia="es-ES_tradnl"/>
        </w:rPr>
        <w:t>Profesional de Apoyo Área Planeación Institucional</w:t>
      </w:r>
    </w:p>
    <w:p w14:paraId="3826ACFE" w14:textId="77777777" w:rsidR="006A0B94" w:rsidRPr="00F652A5" w:rsidRDefault="006A0B94" w:rsidP="006A0B94">
      <w:pPr>
        <w:spacing w:after="0" w:line="240" w:lineRule="auto"/>
        <w:rPr>
          <w:rFonts w:ascii="Verdana" w:eastAsia="Calibri" w:hAnsi="Verdana" w:cs="Arial"/>
          <w:bCs/>
          <w:color w:val="000000" w:themeColor="text1"/>
          <w:lang w:val="es-ES_tradnl" w:eastAsia="es-ES_tradnl"/>
        </w:rPr>
      </w:pPr>
      <w:r w:rsidRPr="00F652A5">
        <w:rPr>
          <w:rFonts w:ascii="Verdana" w:eastAsia="Calibri" w:hAnsi="Verdana" w:cs="Arial"/>
          <w:bCs/>
          <w:color w:val="000000" w:themeColor="text1"/>
          <w:lang w:val="es-ES_tradnl" w:eastAsia="es-ES_tradnl"/>
        </w:rPr>
        <w:t>Sociedad De Acueducto Alcantarillado Y Aseo De Buenaventura</w:t>
      </w:r>
    </w:p>
    <w:p w14:paraId="3EC75B53" w14:textId="77777777" w:rsidR="006A0B94" w:rsidRDefault="006A0B94" w:rsidP="006A0B94">
      <w:pPr>
        <w:spacing w:after="0" w:line="240" w:lineRule="auto"/>
        <w:rPr>
          <w:rFonts w:ascii="Verdana" w:eastAsia="Calibri" w:hAnsi="Verdana" w:cs="Arial"/>
          <w:color w:val="000000" w:themeColor="text1"/>
          <w:u w:val="single"/>
          <w:lang w:eastAsia="es-ES"/>
        </w:rPr>
      </w:pPr>
      <w:hyperlink r:id="rId8" w:history="1">
        <w:r w:rsidRPr="00F1315B">
          <w:rPr>
            <w:rStyle w:val="Hipervnculo"/>
            <w:rFonts w:ascii="Verdana" w:eastAsia="Calibri" w:hAnsi="Verdana" w:cs="Arial"/>
            <w:lang w:eastAsia="es-ES"/>
          </w:rPr>
          <w:t>profesional_planeacion@saaab.gov.co</w:t>
        </w:r>
      </w:hyperlink>
    </w:p>
    <w:p w14:paraId="01074AD6" w14:textId="77777777" w:rsidR="006A0B94" w:rsidRPr="008C6345" w:rsidRDefault="006A0B94" w:rsidP="006A0B94">
      <w:pPr>
        <w:spacing w:after="0" w:line="240" w:lineRule="auto"/>
        <w:rPr>
          <w:rFonts w:ascii="Verdana" w:eastAsia="Calibri" w:hAnsi="Verdana" w:cs="Arial"/>
          <w:b/>
          <w:bCs/>
          <w:color w:val="000000" w:themeColor="text1"/>
          <w:lang w:eastAsia="es-ES"/>
        </w:rPr>
      </w:pPr>
      <w:r>
        <w:rPr>
          <w:rFonts w:ascii="Verdana" w:eastAsia="Calibri" w:hAnsi="Verdana" w:cs="Arial"/>
          <w:color w:val="000000" w:themeColor="text1"/>
          <w:lang w:eastAsia="es-ES"/>
        </w:rPr>
        <w:t>Buenaventura</w:t>
      </w:r>
      <w:r w:rsidRPr="008C6345">
        <w:rPr>
          <w:rFonts w:ascii="Verdana" w:eastAsia="Calibri" w:hAnsi="Verdana" w:cs="Arial"/>
          <w:color w:val="000000" w:themeColor="text1"/>
          <w:lang w:eastAsia="es-ES"/>
        </w:rPr>
        <w:t xml:space="preserve">, </w:t>
      </w:r>
      <w:r>
        <w:rPr>
          <w:rFonts w:ascii="Verdana" w:eastAsia="Calibri" w:hAnsi="Verdana" w:cs="Arial"/>
          <w:color w:val="000000" w:themeColor="text1"/>
          <w:lang w:eastAsia="es-ES"/>
        </w:rPr>
        <w:t xml:space="preserve">Valle del Cauca </w:t>
      </w:r>
    </w:p>
    <w:p w14:paraId="0FCE9264" w14:textId="77777777" w:rsidR="006A0B94" w:rsidRPr="008C6345" w:rsidRDefault="006A0B94" w:rsidP="006A0B94">
      <w:pPr>
        <w:spacing w:after="0" w:line="240" w:lineRule="auto"/>
        <w:rPr>
          <w:rFonts w:ascii="Verdana" w:eastAsia="Calibri" w:hAnsi="Verdana" w:cs="Arial"/>
          <w:b/>
          <w:bCs/>
          <w:color w:val="000000" w:themeColor="text1"/>
          <w:lang w:eastAsia="es-ES_tradnl"/>
        </w:rPr>
      </w:pPr>
    </w:p>
    <w:p w14:paraId="02D2C4F9" w14:textId="77777777" w:rsidR="006A0B94" w:rsidRPr="008C6345" w:rsidRDefault="006A0B94" w:rsidP="006A0B94">
      <w:pPr>
        <w:spacing w:after="0" w:line="240" w:lineRule="auto"/>
        <w:rPr>
          <w:rFonts w:ascii="Verdana" w:eastAsia="Calibri" w:hAnsi="Verdana" w:cs="Arial"/>
          <w:b/>
          <w:bCs/>
          <w:color w:val="000000" w:themeColor="text1"/>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A0B94" w:rsidRPr="00115E3D" w14:paraId="5CE1102B" w14:textId="77777777" w:rsidTr="00EF5085">
        <w:trPr>
          <w:trHeight w:val="884"/>
        </w:trPr>
        <w:tc>
          <w:tcPr>
            <w:tcW w:w="2689" w:type="dxa"/>
          </w:tcPr>
          <w:p w14:paraId="6ADB3DBD" w14:textId="77777777" w:rsidR="006A0B94" w:rsidRPr="008C6345" w:rsidRDefault="006A0B94" w:rsidP="00EF5085">
            <w:pPr>
              <w:jc w:val="both"/>
              <w:rPr>
                <w:rFonts w:ascii="Verdana" w:eastAsia="Calibri" w:hAnsi="Verdana" w:cs="Arial"/>
                <w:b/>
                <w:bCs/>
                <w:color w:val="000000" w:themeColor="text1"/>
                <w:lang w:eastAsia="es-ES_tradnl"/>
              </w:rPr>
            </w:pPr>
          </w:p>
        </w:tc>
        <w:tc>
          <w:tcPr>
            <w:tcW w:w="6100" w:type="dxa"/>
          </w:tcPr>
          <w:p w14:paraId="77DC6379" w14:textId="77777777" w:rsidR="006A0B94" w:rsidRPr="00115E3D" w:rsidRDefault="006A0B94" w:rsidP="00EF5085">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056</w:t>
            </w:r>
            <w:r w:rsidRPr="00115E3D">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5</w:t>
            </w:r>
          </w:p>
        </w:tc>
      </w:tr>
      <w:tr w:rsidR="006A0B94" w:rsidRPr="00115E3D" w14:paraId="7EC0B417" w14:textId="77777777" w:rsidTr="00EF5085">
        <w:trPr>
          <w:trHeight w:val="884"/>
        </w:trPr>
        <w:tc>
          <w:tcPr>
            <w:tcW w:w="2689" w:type="dxa"/>
          </w:tcPr>
          <w:p w14:paraId="41361B29" w14:textId="77777777" w:rsidR="006A0B94" w:rsidRPr="00115E3D" w:rsidRDefault="006A0B94" w:rsidP="00EF5085">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53BCD00E" w14:textId="77777777" w:rsidR="006A0B94" w:rsidRDefault="006A0B94" w:rsidP="00EF5085">
            <w:pPr>
              <w:spacing w:line="276" w:lineRule="auto"/>
              <w:jc w:val="both"/>
              <w:rPr>
                <w:rFonts w:ascii="Verdana" w:hAnsi="Verdana" w:cs="Arial"/>
                <w:bCs/>
                <w:lang w:val="es-ES_tradnl" w:eastAsia="es-ES_tradnl"/>
              </w:rPr>
            </w:pPr>
            <w:r w:rsidRPr="002078C3">
              <w:rPr>
                <w:rFonts w:ascii="Verdana" w:hAnsi="Verdana" w:cs="Arial"/>
                <w:bCs/>
                <w:lang w:val="es-ES_tradnl" w:eastAsia="es-ES_tradnl"/>
              </w:rPr>
              <w:t>PLAN ANUAL DE ADQUISICIONES – Noción – Carácter estimativo / PLAN ANUAL DE ADQUISICIONES –</w:t>
            </w:r>
            <w:r w:rsidRPr="00A61B0C">
              <w:rPr>
                <w:rFonts w:ascii="Verdana" w:eastAsia="Aptos" w:hAnsi="Verdana" w:cs="Arial"/>
                <w:shd w:val="clear" w:color="auto" w:fill="FFFFFF"/>
                <w:lang w:val="es-ES_tradnl"/>
              </w:rPr>
              <w:t xml:space="preserve"> </w:t>
            </w:r>
            <w:r>
              <w:rPr>
                <w:rFonts w:ascii="Verdana" w:eastAsia="Aptos" w:hAnsi="Verdana" w:cs="Arial"/>
                <w:shd w:val="clear" w:color="auto" w:fill="FFFFFF"/>
                <w:lang w:val="es-ES_tradnl"/>
              </w:rPr>
              <w:t>A</w:t>
            </w:r>
            <w:r w:rsidRPr="00A61B0C">
              <w:rPr>
                <w:rFonts w:ascii="Verdana" w:eastAsia="Aptos" w:hAnsi="Verdana" w:cs="Arial"/>
                <w:shd w:val="clear" w:color="auto" w:fill="FFFFFF"/>
                <w:lang w:val="es-ES_tradnl"/>
              </w:rPr>
              <w:t xml:space="preserve">rtículo 74 de la Ley 1474 de 2011 </w:t>
            </w:r>
            <w:r>
              <w:rPr>
                <w:rFonts w:ascii="Verdana" w:eastAsia="Aptos" w:hAnsi="Verdana" w:cs="Arial"/>
                <w:shd w:val="clear" w:color="auto" w:fill="FFFFFF"/>
                <w:lang w:val="es-ES_tradnl"/>
              </w:rPr>
              <w:t xml:space="preserve">– </w:t>
            </w:r>
            <w:r w:rsidRPr="002078C3">
              <w:rPr>
                <w:rFonts w:ascii="Verdana" w:hAnsi="Verdana" w:cs="Arial"/>
                <w:bCs/>
                <w:lang w:val="es-ES_tradnl" w:eastAsia="es-ES_tradnl"/>
              </w:rPr>
              <w:t>Deber</w:t>
            </w:r>
            <w:r w:rsidRPr="00A61B0C">
              <w:rPr>
                <w:rFonts w:ascii="Verdana" w:eastAsia="Aptos" w:hAnsi="Verdana" w:cs="Arial"/>
                <w:shd w:val="clear" w:color="auto" w:fill="FFFFFF"/>
              </w:rPr>
              <w:t xml:space="preserve"> de las entidades</w:t>
            </w:r>
            <w:r>
              <w:rPr>
                <w:rFonts w:ascii="Verdana" w:eastAsia="Aptos" w:hAnsi="Verdana" w:cs="Arial"/>
                <w:shd w:val="clear" w:color="auto" w:fill="FFFFFF"/>
              </w:rPr>
              <w:t xml:space="preserve"> – P</w:t>
            </w:r>
            <w:r w:rsidRPr="0006275B">
              <w:rPr>
                <w:rFonts w:ascii="Verdana" w:eastAsia="Aptos" w:hAnsi="Verdana" w:cs="Arial"/>
                <w:shd w:val="clear" w:color="auto" w:fill="FFFFFF"/>
                <w:lang w:val="es-ES_tradnl"/>
              </w:rPr>
              <w:t>rincipio de anualidad</w:t>
            </w:r>
          </w:p>
          <w:p w14:paraId="0D8692F7" w14:textId="77777777" w:rsidR="006A0B94" w:rsidRPr="00115E3D" w:rsidRDefault="006A0B94" w:rsidP="00EF5085">
            <w:pPr>
              <w:spacing w:line="276" w:lineRule="auto"/>
              <w:jc w:val="both"/>
              <w:rPr>
                <w:rFonts w:ascii="Verdana" w:eastAsia="Calibri" w:hAnsi="Verdana" w:cs="Arial"/>
                <w:color w:val="000000" w:themeColor="text1"/>
                <w:lang w:val="es-ES" w:eastAsia="es-ES"/>
              </w:rPr>
            </w:pPr>
          </w:p>
        </w:tc>
      </w:tr>
      <w:tr w:rsidR="006A0B94" w:rsidRPr="00115E3D" w14:paraId="60697605" w14:textId="77777777" w:rsidTr="00EF5085">
        <w:tc>
          <w:tcPr>
            <w:tcW w:w="2689" w:type="dxa"/>
          </w:tcPr>
          <w:p w14:paraId="41C9D68F" w14:textId="77777777" w:rsidR="006A0B94" w:rsidRPr="00115E3D" w:rsidRDefault="006A0B94" w:rsidP="00EF5085">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7738FDB1" w14:textId="77777777" w:rsidR="006A0B94" w:rsidRPr="00115E3D" w:rsidRDefault="006A0B94" w:rsidP="00EF5085">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sidRPr="00912C29">
              <w:rPr>
                <w:rFonts w:ascii="Verdana" w:eastAsia="Calibri" w:hAnsi="Verdana" w:cs="Arial"/>
                <w:color w:val="000000" w:themeColor="text1"/>
                <w:lang w:val="es-ES_tradnl" w:eastAsia="es-ES_tradnl"/>
              </w:rPr>
              <w:t>P20250120000467</w:t>
            </w:r>
            <w:r>
              <w:rPr>
                <w:rFonts w:ascii="Verdana" w:eastAsia="Calibri" w:hAnsi="Verdana" w:cs="Arial"/>
                <w:color w:val="000000" w:themeColor="text1"/>
                <w:lang w:val="es-ES_tradnl" w:eastAsia="es-ES_tradnl"/>
              </w:rPr>
              <w:t xml:space="preserve"> </w:t>
            </w:r>
          </w:p>
        </w:tc>
      </w:tr>
    </w:tbl>
    <w:p w14:paraId="48E18E6F" w14:textId="77777777" w:rsidR="006A0B94" w:rsidRPr="00115E3D" w:rsidRDefault="006A0B94" w:rsidP="006A0B94">
      <w:pPr>
        <w:spacing w:after="0" w:line="240" w:lineRule="auto"/>
        <w:jc w:val="both"/>
        <w:rPr>
          <w:rFonts w:ascii="Verdana" w:eastAsia="Calibri" w:hAnsi="Verdana" w:cs="Arial"/>
          <w:color w:val="000000" w:themeColor="text1"/>
          <w:lang w:val="es-ES_tradnl" w:eastAsia="es-ES_tradnl"/>
        </w:rPr>
      </w:pPr>
    </w:p>
    <w:p w14:paraId="10221264" w14:textId="77777777" w:rsidR="006A0B94" w:rsidRPr="00115E3D" w:rsidRDefault="006A0B94" w:rsidP="006A0B94">
      <w:pPr>
        <w:spacing w:after="0" w:line="240" w:lineRule="auto"/>
        <w:jc w:val="both"/>
        <w:rPr>
          <w:rFonts w:ascii="Verdana" w:eastAsia="Calibri" w:hAnsi="Verdana" w:cs="Arial"/>
          <w:color w:val="000000" w:themeColor="text1"/>
          <w:lang w:val="es-ES_tradnl" w:eastAsia="es-ES_tradnl"/>
        </w:rPr>
      </w:pPr>
    </w:p>
    <w:p w14:paraId="0628468C" w14:textId="77777777" w:rsidR="006A0B94" w:rsidRPr="00115E3D" w:rsidRDefault="006A0B94" w:rsidP="006A0B94">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 señora Leivy</w:t>
      </w:r>
      <w:r w:rsidRPr="00115E3D">
        <w:rPr>
          <w:rFonts w:ascii="Verdana" w:eastAsia="Calibri" w:hAnsi="Verdana" w:cs="Arial"/>
          <w:color w:val="000000" w:themeColor="text1"/>
          <w:lang w:val="es-ES" w:eastAsia="es-ES"/>
        </w:rPr>
        <w:t xml:space="preserve">: </w:t>
      </w:r>
    </w:p>
    <w:p w14:paraId="52270F86" w14:textId="77777777" w:rsidR="006A0B94" w:rsidRPr="00115E3D" w:rsidRDefault="006A0B94" w:rsidP="006A0B94">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3F8B5707" w14:textId="77777777" w:rsidR="006A0B94" w:rsidRPr="00115E3D" w:rsidRDefault="006A0B94" w:rsidP="006A0B94">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20</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enero</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25</w:t>
      </w:r>
      <w:r w:rsidRPr="00115E3D">
        <w:rPr>
          <w:rFonts w:ascii="Verdana" w:eastAsia="Calibri" w:hAnsi="Verdana" w:cs="Arial"/>
          <w:color w:val="000000" w:themeColor="text1"/>
          <w:lang w:val="es-ES" w:eastAsia="es-ES"/>
        </w:rPr>
        <w:t xml:space="preserve">, en la cual manifiesta lo siguiente: </w:t>
      </w:r>
    </w:p>
    <w:p w14:paraId="5F968F18" w14:textId="77777777" w:rsidR="006A0B94" w:rsidRPr="00115E3D" w:rsidRDefault="006A0B94" w:rsidP="006A0B94">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2DFC669C" w14:textId="77777777" w:rsidR="006A0B94" w:rsidRPr="00912C29" w:rsidRDefault="006A0B94" w:rsidP="006A0B94">
      <w:pPr>
        <w:spacing w:after="0" w:line="240" w:lineRule="auto"/>
        <w:ind w:left="709" w:right="709"/>
        <w:jc w:val="both"/>
        <w:rPr>
          <w:rFonts w:ascii="Verdana" w:eastAsia="Century Gothic" w:hAnsi="Verdana" w:cs="Century Gothic"/>
          <w:color w:val="000000" w:themeColor="text1"/>
          <w:sz w:val="20"/>
          <w:szCs w:val="20"/>
          <w:lang w:val="es-ES"/>
        </w:rPr>
      </w:pPr>
      <w:bookmarkStart w:id="0" w:name="_Hlk95313578"/>
      <w:r w:rsidRPr="00912C29">
        <w:rPr>
          <w:rFonts w:ascii="Verdana" w:eastAsia="Century Gothic" w:hAnsi="Verdana" w:cs="Century Gothic"/>
          <w:color w:val="000000" w:themeColor="text1"/>
          <w:sz w:val="20"/>
          <w:szCs w:val="20"/>
          <w:lang w:val="es-ES"/>
        </w:rPr>
        <w:t>“</w:t>
      </w:r>
      <w:bookmarkEnd w:id="0"/>
      <w:r w:rsidRPr="00912C29">
        <w:rPr>
          <w:rFonts w:ascii="Verdana" w:eastAsia="Century Gothic" w:hAnsi="Verdana" w:cs="Century Gothic"/>
          <w:color w:val="000000" w:themeColor="text1"/>
          <w:sz w:val="20"/>
          <w:szCs w:val="20"/>
        </w:rPr>
        <w:t>Por medio de la presente, quisiéramos consultar si es posible en este año 2025, realizar una nueva versión del Plan Anual de Adquisiciones</w:t>
      </w:r>
      <w:r w:rsidRPr="00912C29">
        <w:rPr>
          <w:rFonts w:ascii="Verdana" w:eastAsia="Century Gothic" w:hAnsi="Verdana" w:cs="Century Gothic"/>
          <w:color w:val="000000" w:themeColor="text1"/>
          <w:sz w:val="20"/>
          <w:szCs w:val="20"/>
        </w:rPr>
        <w:br/>
        <w:t>vigencia 2024.”</w:t>
      </w:r>
    </w:p>
    <w:p w14:paraId="46F92ECF" w14:textId="77777777" w:rsidR="006A0B94" w:rsidRPr="00115E3D" w:rsidRDefault="006A0B94" w:rsidP="006A0B94">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6085A79E" w14:textId="77777777" w:rsidR="006A0B94" w:rsidRPr="00115E3D" w:rsidRDefault="006A0B94" w:rsidP="006A0B94">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027C523C" w14:textId="77777777" w:rsidR="006A0B94" w:rsidRPr="00115E3D" w:rsidRDefault="006A0B94" w:rsidP="006A0B94">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66B889B" w14:textId="77777777" w:rsidR="006A0B94" w:rsidRPr="00115E3D" w:rsidRDefault="006A0B94" w:rsidP="006A0B94">
      <w:pPr>
        <w:spacing w:after="0" w:line="276" w:lineRule="auto"/>
        <w:ind w:firstLine="709"/>
        <w:jc w:val="both"/>
        <w:rPr>
          <w:rFonts w:ascii="Verdana" w:eastAsia="Calibri" w:hAnsi="Verdana" w:cs="Arial"/>
          <w:color w:val="000000" w:themeColor="text1"/>
          <w:lang w:val="es-ES" w:eastAsia="es-ES"/>
        </w:rPr>
      </w:pPr>
    </w:p>
    <w:p w14:paraId="1664A716" w14:textId="77777777" w:rsidR="006A0B94" w:rsidRPr="00115E3D" w:rsidRDefault="006A0B94" w:rsidP="006A0B94">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2E6ABC74" w14:textId="77777777" w:rsidR="006A0B94" w:rsidRPr="00115E3D" w:rsidRDefault="006A0B94" w:rsidP="006A0B94">
      <w:pPr>
        <w:tabs>
          <w:tab w:val="left" w:pos="426"/>
        </w:tabs>
        <w:spacing w:after="0" w:line="276" w:lineRule="auto"/>
        <w:jc w:val="both"/>
        <w:rPr>
          <w:rFonts w:ascii="Verdana" w:eastAsia="Century Gothic" w:hAnsi="Verdana" w:cs="Century Gothic"/>
          <w:color w:val="000000" w:themeColor="text1"/>
          <w:lang w:val="es-ES"/>
        </w:rPr>
      </w:pPr>
    </w:p>
    <w:p w14:paraId="4FCC703A" w14:textId="77777777" w:rsidR="006A0B94" w:rsidRPr="00115E3D" w:rsidRDefault="006A0B94" w:rsidP="006A0B94">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el siguiente problema jurídico: </w:t>
      </w:r>
      <w:r>
        <w:rPr>
          <w:rFonts w:ascii="Verdana" w:eastAsia="Century Gothic" w:hAnsi="Verdana" w:cs="Century Gothic"/>
          <w:color w:val="000000" w:themeColor="text1"/>
        </w:rPr>
        <w:t xml:space="preserve">i) </w:t>
      </w:r>
      <w:r w:rsidRPr="00582E51">
        <w:rPr>
          <w:rFonts w:ascii="Verdana" w:eastAsia="Century Gothic" w:hAnsi="Verdana" w:cs="Century Gothic"/>
          <w:color w:val="000000" w:themeColor="text1"/>
        </w:rPr>
        <w:t>¿Es jurídicamente viable modificar o actualizar el Plan Anual de Adquisiciones (PAA) de la vigencia 2024 en el año 2025, considerando los principios presupuestales y normativos que rigen la planeación contractual en el sector público?</w:t>
      </w:r>
    </w:p>
    <w:p w14:paraId="70FA42D9" w14:textId="77777777" w:rsidR="006A0B94" w:rsidRPr="00115E3D" w:rsidRDefault="006A0B94" w:rsidP="006A0B94">
      <w:pPr>
        <w:spacing w:after="0" w:line="276" w:lineRule="auto"/>
        <w:jc w:val="both"/>
        <w:rPr>
          <w:rFonts w:ascii="Verdana" w:eastAsia="Calibri" w:hAnsi="Verdana" w:cs="Arial"/>
          <w:color w:val="000000" w:themeColor="text1"/>
          <w:lang w:val="es-ES"/>
        </w:rPr>
      </w:pPr>
    </w:p>
    <w:p w14:paraId="4BE3809C" w14:textId="77777777" w:rsidR="006A0B94" w:rsidRPr="00115E3D" w:rsidRDefault="006A0B94" w:rsidP="006A0B9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71C9AB39" w14:textId="77777777" w:rsidR="006A0B94" w:rsidRPr="00115E3D" w:rsidRDefault="006A0B94" w:rsidP="006A0B94">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A0B94" w:rsidRPr="00115E3D" w14:paraId="66030E89" w14:textId="77777777" w:rsidTr="00EF5085">
        <w:tc>
          <w:tcPr>
            <w:tcW w:w="8828" w:type="dxa"/>
            <w:shd w:val="clear" w:color="auto" w:fill="auto"/>
          </w:tcPr>
          <w:p w14:paraId="60BA9FA4" w14:textId="77777777" w:rsidR="006A0B94" w:rsidRPr="00D6520B" w:rsidRDefault="006A0B94" w:rsidP="00EF5085">
            <w:pPr>
              <w:spacing w:after="120" w:line="276" w:lineRule="auto"/>
              <w:jc w:val="both"/>
              <w:rPr>
                <w:rFonts w:ascii="Verdana" w:eastAsia="Aptos" w:hAnsi="Verdana" w:cs="Arial"/>
                <w:shd w:val="clear" w:color="auto" w:fill="FFFFFF"/>
                <w:lang w:val="es-ES"/>
              </w:rPr>
            </w:pPr>
            <w:r w:rsidRPr="349C2B99">
              <w:rPr>
                <w:rFonts w:ascii="Verdana" w:eastAsia="Aptos" w:hAnsi="Verdana" w:cs="Arial"/>
                <w:shd w:val="clear" w:color="auto" w:fill="FFFFFF"/>
                <w:lang w:val="es-ES"/>
              </w:rPr>
              <w:t xml:space="preserve">Modificar o actualizar el Plan Anual de Adquisiciones (PAA) de la vigencia 2024 en el año 2025 no es jurídicamente viable, debido a que este instrumento está sujeto al principio de anualidad presupuestal, el cual establece que la planeación y ejecución del gasto público deben realizarse dentro del mismo período fiscal, conforme a lo dispuesto en el artículo 346 de la Constitución </w:t>
            </w:r>
            <w:r w:rsidRPr="349C2B99">
              <w:rPr>
                <w:rFonts w:ascii="Verdana" w:eastAsia="Aptos" w:hAnsi="Verdana" w:cs="Arial"/>
                <w:shd w:val="clear" w:color="auto" w:fill="FFFFFF"/>
                <w:lang w:val="es-ES"/>
              </w:rPr>
              <w:lastRenderedPageBreak/>
              <w:t xml:space="preserve">Política y en la Ley Orgánica del Presupuesto. De acuerdo con el artículo 74 de la Ley 1474 de 2011 y el artículo 2.2.1.1.1.3.1 del Decreto 1082 de 2015, el PAA es un instrumento de planeación contractual que debe publicarse, ejecutarse y actualizarse exclusivamente dentro de la vigencia fiscal correspondiente, lo que impide su modificación una vez finalizada el año para el cual fue elaborado. </w:t>
            </w:r>
          </w:p>
          <w:p w14:paraId="728B532E" w14:textId="77777777" w:rsidR="006A0B94" w:rsidRPr="0006275B" w:rsidRDefault="006A0B94" w:rsidP="00EF5085">
            <w:pPr>
              <w:spacing w:after="120" w:line="276" w:lineRule="auto"/>
              <w:ind w:firstLine="709"/>
              <w:jc w:val="both"/>
              <w:rPr>
                <w:rFonts w:ascii="Verdana" w:eastAsia="Calibri" w:hAnsi="Verdana" w:cs="Arial"/>
                <w:color w:val="000000" w:themeColor="text1"/>
              </w:rPr>
            </w:pPr>
            <w:r w:rsidRPr="0006275B">
              <w:rPr>
                <w:rFonts w:ascii="Verdana" w:eastAsia="Aptos" w:hAnsi="Verdana" w:cs="Arial"/>
                <w:shd w:val="clear" w:color="auto" w:fill="FFFFFF"/>
                <w:lang w:val="es-ES_tradnl"/>
              </w:rPr>
              <w:t>Además, el PAA tiene un carácter estimativo y orientador, por lo que su propósito no es restringir las decisiones de contratación, sino garantizar una planeación adecuada y transparente del gasto público. La posibilidad de modificarlo en una vigencia posterior atentaría contra los principios de seguridad jurídica, planeación y responsabilidad fiscal, ya que la contratación pública debe sujetarse a la disponibilidad de recursos aprobados para cada período y alinearse con el presupuesto vigente. Cualquier necesidad de adquisición que no haya sido contemplada o ejecutada en la vigencia 2024 deberá ser incorporada en el PAA del 2025, sin que sea procedente retrotraer efectos sobre una planeación contractual cerrada. Además, la Ley Anual de Presupuesto establece que los saldos no comprometidos dentro del ejercicio fiscal expiran, salvo que se encuentren debidamente respaldados en reservas presupuestales o cuentas por pagar, lo que refuerza la imposibilidad de actualizar un PAA de una vigencia anterior en el año siguiente.</w:t>
            </w:r>
          </w:p>
        </w:tc>
      </w:tr>
    </w:tbl>
    <w:p w14:paraId="1E517D4E" w14:textId="77777777" w:rsidR="006A0B94" w:rsidRPr="00115E3D" w:rsidRDefault="006A0B94" w:rsidP="006A0B94">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3740E384" w14:textId="77777777" w:rsidR="006A0B94" w:rsidRPr="00115E3D" w:rsidRDefault="006A0B94" w:rsidP="006A0B9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4F65120C" w14:textId="77777777" w:rsidR="006A0B94" w:rsidRPr="00115E3D" w:rsidRDefault="006A0B94" w:rsidP="006A0B94">
      <w:pPr>
        <w:spacing w:after="0" w:line="276" w:lineRule="auto"/>
        <w:jc w:val="both"/>
        <w:rPr>
          <w:rFonts w:ascii="Verdana" w:eastAsia="Calibri" w:hAnsi="Verdana" w:cs="Arial"/>
          <w:color w:val="000000" w:themeColor="text1"/>
          <w:lang w:val="es-ES"/>
        </w:rPr>
      </w:pPr>
    </w:p>
    <w:p w14:paraId="7372410E" w14:textId="77777777" w:rsidR="006A0B94" w:rsidRPr="00115E3D" w:rsidRDefault="006A0B94" w:rsidP="006A0B94">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0136A91B" w14:textId="77777777" w:rsidR="006A0B94" w:rsidRPr="00115E3D" w:rsidRDefault="006A0B94" w:rsidP="006A0B94">
      <w:pPr>
        <w:spacing w:after="0" w:line="276" w:lineRule="auto"/>
        <w:jc w:val="both"/>
        <w:rPr>
          <w:rFonts w:ascii="Verdana" w:eastAsia="Calibri" w:hAnsi="Verdana" w:cs="Arial"/>
          <w:color w:val="000000" w:themeColor="text1"/>
          <w:lang w:val="es-ES"/>
        </w:rPr>
      </w:pPr>
    </w:p>
    <w:p w14:paraId="29021D65" w14:textId="77777777" w:rsidR="006A0B94" w:rsidRPr="00A61B0C" w:rsidRDefault="006A0B94" w:rsidP="006A0B94">
      <w:pPr>
        <w:spacing w:after="120" w:line="276" w:lineRule="auto"/>
        <w:jc w:val="both"/>
        <w:rPr>
          <w:rFonts w:ascii="Verdana" w:eastAsia="Calibri" w:hAnsi="Verdana" w:cs="Arial"/>
        </w:rPr>
      </w:pPr>
      <w:r w:rsidRPr="00A61B0C">
        <w:rPr>
          <w:rFonts w:ascii="Verdana" w:eastAsia="Calibri" w:hAnsi="Verdana" w:cs="Arial"/>
        </w:rPr>
        <w:t>La Guía para elaborar el Plan Anual de Adquisiciones</w:t>
      </w:r>
      <w:r w:rsidRPr="00A61B0C">
        <w:rPr>
          <w:rFonts w:ascii="Verdana" w:eastAsia="Calibri" w:hAnsi="Verdana" w:cs="Arial"/>
          <w:vertAlign w:val="superscript"/>
        </w:rPr>
        <w:footnoteReference w:id="1"/>
      </w:r>
      <w:r w:rsidRPr="00A61B0C">
        <w:rPr>
          <w:rFonts w:ascii="Verdana" w:eastAsia="Calibri" w:hAnsi="Verdana" w:cs="Arial"/>
        </w:rPr>
        <w:t xml:space="preserve"> de esta Agencia, define al Plan Anual de Adquisiciones, en adelante PAA como “un instrumento de planificación y orientación de la contratación de las Entidades Estatales, diseñado para identificar las necesidades de contratación, en el que se incluyen, de manera estimativa, los bienes, obras y servicios que la Administración Pública está interesada en adquirir para determinada vigencia”. Sin perjuicio de lo </w:t>
      </w:r>
      <w:r w:rsidRPr="00A61B0C">
        <w:rPr>
          <w:rFonts w:ascii="Verdana" w:eastAsia="Calibri" w:hAnsi="Verdana" w:cs="Arial"/>
        </w:rPr>
        <w:lastRenderedPageBreak/>
        <w:t>anterior, el PAA no restringe las decisiones en la contratación que habrán de adoptarse dentro de la anualidad respectiva, por lo que se considera un documento de carácter estimativo que tiene entre otras finalidades, la de “servir como referente inicial para evaluar la ejecución de presupuesto y pronosticar la demanda de bienes y servicios de la entidad durante el año referido del plan”</w:t>
      </w:r>
      <w:r w:rsidRPr="00A61B0C">
        <w:rPr>
          <w:rFonts w:ascii="Verdana" w:eastAsia="Aptos" w:hAnsi="Verdana" w:cs="Times New Roman"/>
          <w:vertAlign w:val="superscript"/>
        </w:rPr>
        <w:footnoteReference w:id="2"/>
      </w:r>
      <w:r w:rsidRPr="00A61B0C">
        <w:rPr>
          <w:rFonts w:ascii="Verdana" w:eastAsia="Calibri" w:hAnsi="Verdana" w:cs="Arial"/>
        </w:rPr>
        <w:t>.</w:t>
      </w:r>
    </w:p>
    <w:p w14:paraId="512E6217" w14:textId="77777777" w:rsidR="006A0B94" w:rsidRPr="00A61B0C" w:rsidRDefault="006A0B94" w:rsidP="006A0B94">
      <w:pPr>
        <w:spacing w:after="120" w:line="276" w:lineRule="auto"/>
        <w:ind w:firstLine="709"/>
        <w:jc w:val="both"/>
        <w:rPr>
          <w:rFonts w:ascii="Verdana" w:eastAsia="Aptos" w:hAnsi="Verdana" w:cs="Arial"/>
          <w:shd w:val="clear" w:color="auto" w:fill="FFFFFF"/>
          <w:lang w:val="es-ES_tradnl"/>
        </w:rPr>
      </w:pPr>
      <w:r w:rsidRPr="00A61B0C">
        <w:rPr>
          <w:rFonts w:ascii="Verdana" w:eastAsia="Aptos" w:hAnsi="Verdana" w:cs="Arial"/>
          <w:shd w:val="clear" w:color="auto" w:fill="FFFFFF"/>
        </w:rPr>
        <w:t xml:space="preserve">De acuerdo con el artículo 2.2.1.1.1.3.1. del Decreto 1082 de 2015, el PAA es el plan general de compras al que se refiere el artículo 74 de la Ley 1474 de 2011 y el plan de compras al que se refiere la Ley Anual de Presupuesto. Asimismo, este artículo lo define como un instrumento de planeación contractual que las Entidades Estatales deben diligenciar, publicar y actualizar. </w:t>
      </w:r>
      <w:r w:rsidRPr="00A61B0C">
        <w:rPr>
          <w:rFonts w:ascii="Verdana" w:eastAsia="Aptos" w:hAnsi="Verdana" w:cs="Arial"/>
          <w:shd w:val="clear" w:color="auto" w:fill="FFFFFF"/>
          <w:lang w:val="es-ES_tradnl"/>
        </w:rPr>
        <w:t>En particular, el artículo 74 de la Ley 1474 de 2011 dispone que “todas las entidades del Estado” deben publicar, a más tardar el 31 de enero de cada año, en su respectiva página web, el plan de acción, en el cual se incluye el plan general de compras</w:t>
      </w:r>
      <w:r w:rsidRPr="00A61B0C">
        <w:rPr>
          <w:rFonts w:ascii="Verdana" w:eastAsia="Aptos" w:hAnsi="Verdana" w:cs="Times New Roman"/>
          <w:shd w:val="clear" w:color="auto" w:fill="FFFFFF"/>
          <w:vertAlign w:val="superscript"/>
          <w:lang w:val="es-ES_tradnl"/>
        </w:rPr>
        <w:footnoteReference w:id="3"/>
      </w:r>
      <w:r w:rsidRPr="00A61B0C">
        <w:rPr>
          <w:rFonts w:ascii="Verdana" w:eastAsia="Aptos" w:hAnsi="Verdana" w:cs="Arial"/>
          <w:shd w:val="clear" w:color="auto" w:fill="FFFFFF"/>
          <w:lang w:val="es-ES_tradnl"/>
        </w:rPr>
        <w:t>.</w:t>
      </w:r>
    </w:p>
    <w:p w14:paraId="7B75ECBF" w14:textId="77777777" w:rsidR="006A0B94" w:rsidRPr="00A61B0C" w:rsidRDefault="006A0B94" w:rsidP="006A0B94">
      <w:pPr>
        <w:spacing w:after="120" w:line="276" w:lineRule="auto"/>
        <w:ind w:firstLine="709"/>
        <w:jc w:val="both"/>
        <w:rPr>
          <w:rFonts w:ascii="Verdana" w:eastAsia="Aptos" w:hAnsi="Verdana" w:cs="Arial"/>
          <w:shd w:val="clear" w:color="auto" w:fill="FFFFFF"/>
          <w:lang w:val="es-ES"/>
        </w:rPr>
      </w:pPr>
      <w:r w:rsidRPr="00A61B0C">
        <w:rPr>
          <w:rFonts w:ascii="Verdana" w:eastAsia="Aptos" w:hAnsi="Verdana" w:cs="Arial"/>
          <w:shd w:val="clear" w:color="auto" w:fill="FFFFFF"/>
          <w:lang w:val="es-ES_tradnl"/>
        </w:rPr>
        <w:t>Como ya se indicó, el plan general de compras para el ordenamiento vigente corresponde con el concepto de PAA como lo establece el artículo 2.2.1.1.1.3.1 del Decreto 1082 de 2015. Además, de acuerdo con el artículo 2.2.1.1.1.4.3 ibidem,</w:t>
      </w:r>
      <w:r w:rsidRPr="00A61B0C">
        <w:rPr>
          <w:rFonts w:ascii="Verdana" w:eastAsia="Aptos" w:hAnsi="Verdana" w:cs="Arial"/>
          <w:shd w:val="clear" w:color="auto" w:fill="FFFFFF"/>
          <w:lang w:val="es-ES"/>
        </w:rPr>
        <w:t xml:space="preserve"> el PAA también debe publicarse en el Sistema Electrónico para la Contratación Pública, en adelante SECOP</w:t>
      </w:r>
      <w:r w:rsidRPr="00A61B0C">
        <w:rPr>
          <w:rFonts w:ascii="Verdana" w:eastAsia="Aptos" w:hAnsi="Verdana" w:cs="Times New Roman"/>
          <w:shd w:val="clear" w:color="auto" w:fill="FFFFFF"/>
          <w:vertAlign w:val="superscript"/>
        </w:rPr>
        <w:footnoteReference w:id="4"/>
      </w:r>
      <w:r w:rsidRPr="00A61B0C">
        <w:rPr>
          <w:rFonts w:ascii="Verdana" w:eastAsia="Aptos" w:hAnsi="Verdana" w:cs="Arial"/>
          <w:shd w:val="clear" w:color="auto" w:fill="FFFFFF"/>
          <w:lang w:val="es-ES"/>
        </w:rPr>
        <w:t xml:space="preserve">. Se trata de una obligación que involucra a todas las entidades del Estado sin importar la rama a la cual pertenecen, o si se trata de entidades descentralizadas territorialmente o por servicios; los órganos con competencia para contratar, como los concejos </w:t>
      </w:r>
      <w:r w:rsidRPr="00A61B0C">
        <w:rPr>
          <w:rFonts w:ascii="Verdana" w:eastAsia="Aptos" w:hAnsi="Verdana" w:cs="Arial"/>
          <w:shd w:val="clear" w:color="auto" w:fill="FFFFFF"/>
          <w:lang w:val="es-ES"/>
        </w:rPr>
        <w:lastRenderedPageBreak/>
        <w:t>municipales; las empresas del Estado y las sociedades en las que el Estado tenga participación, sin que importe su monto.</w:t>
      </w:r>
    </w:p>
    <w:p w14:paraId="7608628E" w14:textId="77777777" w:rsidR="006A0B94" w:rsidRPr="00A61B0C" w:rsidRDefault="006A0B94" w:rsidP="006A0B94">
      <w:pPr>
        <w:spacing w:after="120" w:line="276" w:lineRule="auto"/>
        <w:ind w:firstLine="709"/>
        <w:jc w:val="both"/>
        <w:rPr>
          <w:rFonts w:ascii="Verdana" w:eastAsia="Aptos" w:hAnsi="Verdana" w:cs="Arial"/>
          <w:lang w:val="es-ES"/>
        </w:rPr>
      </w:pPr>
      <w:r w:rsidRPr="00A61B0C">
        <w:rPr>
          <w:rFonts w:ascii="Verdana" w:eastAsia="Aptos" w:hAnsi="Verdana" w:cs="Arial"/>
          <w:lang w:val="es-ES"/>
        </w:rPr>
        <w:t>El artículo 2.1.2.1.10 del Decreto 1081 de 2015 señala que los sujetos obligados que contraten con cargo a recursos públicos tienen la obligación de publicar el PAA en el SECOP. Los sujetos que no contratan con cargo a recursos públicos no tienen tal obligación, mientras que aquellos que sí contratan tanto con cargo a recursos públicos como con aquellos que no tienen esta naturaleza, solamente tienen el deber de publicar el PAA para los recursos de carácter público que se ejecutarán durante la vigencia fiscal.</w:t>
      </w:r>
    </w:p>
    <w:p w14:paraId="3AB9D580" w14:textId="77777777" w:rsidR="006A0B94" w:rsidRPr="00A61B0C" w:rsidRDefault="006A0B94" w:rsidP="006A0B94">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Teniendo en claro lo anterior, los artículos 2.2.1.1.1.4.1, 2.2.1.1.1.4.36 y 2.2.1.1.1.4.47 del Decreto 1082 de 2015 establecen el deber de las entidades de “elaborar el Plan Anual de Adquisiciones, el cual debe contener la lista de bienes, obras y servicios que pretenden adquirir durante el año”. El aparte trascrito confirma el carácter estimativo del PAA, pues contiene un listado de bienes, obras o servicios que, producto del ejercicio de planeación de la entidad, esta pretende adquirir dentro de la vigencia correspondiente. Esta naturaleza estimativa del documento contiene los siguientes aspectos: i) la necesidad; ii) la identificación en el clasificador si la entidad conoce el bien, obra o servicio que satisface la necesidad; iii) el valor estimado del contrato; iv) el tipo de recursos con cargo a los cuales la entidad pagará el bien, obra o servicio; v) la modalidad de selección del contratista y vi) la fecha aproximada en la cual la entidad indicará el procedimiento de selección.</w:t>
      </w:r>
    </w:p>
    <w:p w14:paraId="06406958" w14:textId="77777777" w:rsidR="006A0B94" w:rsidRPr="00A61B0C" w:rsidRDefault="006A0B94" w:rsidP="006A0B94">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 xml:space="preserve">Sin embargo, debe precisarse que, las disposiciones anteriores establecen únicamente la obligación de enunciar las necesidades que la entidad pretende satisfacer para una determinada vigencia fiscal. Pues tal obligación, no impone determinar valores, tiempos, bienes, obras o servicios de manera exacta, sino que permite realizar un pronóstico indicativo de las necesidades que se van a satisfacer a través de la celebración de contratos. </w:t>
      </w:r>
    </w:p>
    <w:p w14:paraId="70160046" w14:textId="77777777" w:rsidR="006A0B94" w:rsidRPr="00A61B0C" w:rsidRDefault="006A0B94" w:rsidP="006A0B94">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 xml:space="preserve">Al respecto, el artículo 2.2.1.1.1.4.1. del Decreto 1082 de 2015,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w:t>
      </w:r>
      <w:r w:rsidRPr="00A61B0C">
        <w:rPr>
          <w:rFonts w:ascii="Verdana" w:eastAsia="Aptos" w:hAnsi="Verdana" w:cs="Arial"/>
          <w:shd w:val="clear" w:color="auto" w:fill="FFFFFF"/>
        </w:rPr>
        <w:lastRenderedPageBreak/>
        <w:t xml:space="preserve">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17157D2F" w14:textId="77777777" w:rsidR="006A0B94" w:rsidRPr="00A61B0C" w:rsidRDefault="006A0B94" w:rsidP="006A0B94">
      <w:pPr>
        <w:spacing w:after="120" w:line="276" w:lineRule="auto"/>
        <w:ind w:firstLine="709"/>
        <w:jc w:val="both"/>
        <w:rPr>
          <w:rFonts w:ascii="Verdana" w:eastAsia="Aptos" w:hAnsi="Verdana" w:cs="Arial"/>
          <w:lang w:val="es-ES"/>
        </w:rPr>
      </w:pPr>
      <w:r w:rsidRPr="00A61B0C">
        <w:rPr>
          <w:rFonts w:ascii="Verdana" w:eastAsia="Aptos" w:hAnsi="Verdana" w:cs="Arial"/>
          <w:shd w:val="clear" w:color="auto" w:fill="FFFFFF"/>
        </w:rPr>
        <w:t>La norma citada en el párrafo precedente dispone que el PAA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w:t>
      </w:r>
    </w:p>
    <w:p w14:paraId="2E704260" w14:textId="77777777" w:rsidR="006A0B94" w:rsidRDefault="006A0B94" w:rsidP="006A0B94">
      <w:pPr>
        <w:spacing w:after="120" w:line="276" w:lineRule="auto"/>
        <w:ind w:firstLine="709"/>
        <w:jc w:val="both"/>
        <w:rPr>
          <w:rFonts w:ascii="Verdana" w:eastAsia="Calibri" w:hAnsi="Verdana" w:cs="Arial"/>
          <w:lang w:val="es-ES"/>
        </w:rPr>
      </w:pPr>
      <w:r w:rsidRPr="00A61B0C">
        <w:rPr>
          <w:rFonts w:ascii="Verdana" w:eastAsia="Calibri" w:hAnsi="Verdana" w:cs="Arial"/>
          <w:lang w:val="es-ES"/>
        </w:rPr>
        <w:t>En ese sentido, puede colegirse que la norma es categórica en señalar que en el Plan Anual de Adquisiciones debe enlistarse todo bien, obra o servicio que se pretenda adquirir, por lo que las entidades deberán cumplir con dicha obligación sin consideración de las condiciones en que planeen hacerlo, ya que el deber de inclusión de tal información es independiente de la clase o modalidad de contratación o de la forma en la que se pagará el valor estimado, etc. Basta con que se trate de un bien, obra o servicio que la entidad necesite adquirir para que surja la obligación de relacionarlo en el plan, por lo que, será indispensable que determine si con la contratación se está adquiriendo un bien, servicio u obra, pues en caso de que no, su inclusión no será obligatoria.</w:t>
      </w:r>
    </w:p>
    <w:p w14:paraId="23AF2F99" w14:textId="77777777" w:rsidR="006A0B94" w:rsidRPr="00F07A8D" w:rsidRDefault="006A0B94" w:rsidP="006A0B94">
      <w:pPr>
        <w:widowControl w:val="0"/>
        <w:autoSpaceDE w:val="0"/>
        <w:autoSpaceDN w:val="0"/>
        <w:spacing w:after="0" w:line="276" w:lineRule="auto"/>
        <w:jc w:val="both"/>
        <w:rPr>
          <w:rFonts w:ascii="Verdana" w:hAnsi="Verdana" w:cs="Arial"/>
          <w:color w:val="000000" w:themeColor="text1"/>
          <w:lang w:val="es-ES"/>
        </w:rPr>
      </w:pPr>
    </w:p>
    <w:p w14:paraId="12C1C871" w14:textId="77777777" w:rsidR="006A0B94" w:rsidRPr="00115E3D" w:rsidRDefault="006A0B94" w:rsidP="006A0B9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Referencias normativas, jurisprudenciales y otras fuentes:</w:t>
      </w:r>
    </w:p>
    <w:p w14:paraId="2F3351F2" w14:textId="77777777" w:rsidR="006A0B94" w:rsidRPr="00115E3D" w:rsidRDefault="006A0B94" w:rsidP="006A0B94">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A0B94" w:rsidRPr="00115E3D" w14:paraId="28E0F7B9" w14:textId="77777777" w:rsidTr="00EF5085">
        <w:trPr>
          <w:trHeight w:val="870"/>
        </w:trPr>
        <w:tc>
          <w:tcPr>
            <w:tcW w:w="8647" w:type="dxa"/>
          </w:tcPr>
          <w:p w14:paraId="5EDB81E9" w14:textId="77777777" w:rsidR="006A0B94" w:rsidRPr="00B52642" w:rsidRDefault="006A0B94" w:rsidP="006A0B94">
            <w:pPr>
              <w:widowControl w:val="0"/>
              <w:numPr>
                <w:ilvl w:val="0"/>
                <w:numId w:val="3"/>
              </w:numPr>
              <w:autoSpaceDE w:val="0"/>
              <w:autoSpaceDN w:val="0"/>
              <w:spacing w:after="160" w:line="276" w:lineRule="auto"/>
              <w:ind w:left="714" w:hanging="357"/>
              <w:contextualSpacing/>
              <w:jc w:val="both"/>
              <w:rPr>
                <w:rFonts w:ascii="Verdana" w:eastAsia="Aptos" w:hAnsi="Verdana" w:cs="Arial"/>
              </w:rPr>
            </w:pPr>
            <w:r w:rsidRPr="00B52642">
              <w:rPr>
                <w:rFonts w:ascii="Verdana" w:eastAsia="Calibri" w:hAnsi="Verdana" w:cs="Arial"/>
                <w:lang w:val="es-ES"/>
              </w:rPr>
              <w:t>Decreto 1082 de 2015</w:t>
            </w:r>
            <w:r>
              <w:rPr>
                <w:rFonts w:ascii="Verdana" w:eastAsia="Calibri" w:hAnsi="Verdana" w:cs="Arial"/>
                <w:lang w:val="es-ES"/>
              </w:rPr>
              <w:t xml:space="preserve"> - </w:t>
            </w:r>
            <w:r w:rsidRPr="00B52642">
              <w:rPr>
                <w:rFonts w:ascii="Verdana" w:eastAsia="Calibri" w:hAnsi="Verdana" w:cs="Arial"/>
                <w:lang w:val="es-ES"/>
              </w:rPr>
              <w:t xml:space="preserve">Artículo </w:t>
            </w:r>
            <w:r w:rsidRPr="00B52642">
              <w:rPr>
                <w:rFonts w:ascii="Verdana" w:eastAsia="Calibri" w:hAnsi="Verdana" w:cs="Arial"/>
                <w:kern w:val="2"/>
                <w14:ligatures w14:val="standardContextual"/>
              </w:rPr>
              <w:t xml:space="preserve">2.2.1.1.1.3.1, 2.2.1.1.1.4.1, </w:t>
            </w:r>
            <w:r w:rsidRPr="00B52642">
              <w:rPr>
                <w:rFonts w:ascii="Verdana" w:eastAsia="Calibri" w:hAnsi="Verdana" w:cs="Arial"/>
                <w:noProof/>
                <w:lang w:val="es-ES_tradnl"/>
              </w:rPr>
              <w:t>2.2.1.1.1.4.3 y 2.2.1.1.1.4.4</w:t>
            </w:r>
          </w:p>
          <w:p w14:paraId="2613AF0C" w14:textId="77777777" w:rsidR="006A0B94" w:rsidRPr="00B52642" w:rsidRDefault="006A0B94" w:rsidP="006A0B94">
            <w:pPr>
              <w:widowControl w:val="0"/>
              <w:numPr>
                <w:ilvl w:val="0"/>
                <w:numId w:val="3"/>
              </w:numPr>
              <w:autoSpaceDE w:val="0"/>
              <w:autoSpaceDN w:val="0"/>
              <w:spacing w:after="160" w:line="276" w:lineRule="auto"/>
              <w:ind w:left="714" w:hanging="357"/>
              <w:contextualSpacing/>
              <w:jc w:val="both"/>
              <w:rPr>
                <w:rFonts w:ascii="Verdana" w:eastAsia="Aptos" w:hAnsi="Verdana" w:cs="Arial"/>
              </w:rPr>
            </w:pPr>
            <w:r w:rsidRPr="00B52642">
              <w:rPr>
                <w:rFonts w:ascii="Verdana" w:eastAsia="Calibri" w:hAnsi="Verdana" w:cs="Arial"/>
                <w:kern w:val="2"/>
                <w14:ligatures w14:val="standardContextual"/>
              </w:rPr>
              <w:t>Ley 1474 de 2011. Artículo 74</w:t>
            </w:r>
          </w:p>
          <w:p w14:paraId="5C2F2C4F" w14:textId="77777777" w:rsidR="006A0B94" w:rsidRPr="00CB2069" w:rsidRDefault="006A0B94" w:rsidP="006A0B94">
            <w:pPr>
              <w:widowControl w:val="0"/>
              <w:numPr>
                <w:ilvl w:val="0"/>
                <w:numId w:val="3"/>
              </w:numPr>
              <w:autoSpaceDE w:val="0"/>
              <w:autoSpaceDN w:val="0"/>
              <w:spacing w:line="276" w:lineRule="auto"/>
              <w:ind w:left="714" w:hanging="357"/>
              <w:contextualSpacing/>
              <w:jc w:val="both"/>
              <w:rPr>
                <w:rFonts w:ascii="Verdana" w:eastAsia="Aptos" w:hAnsi="Verdana" w:cs="Arial"/>
              </w:rPr>
            </w:pPr>
            <w:r w:rsidRPr="00B52642">
              <w:rPr>
                <w:rFonts w:ascii="Verdana" w:eastAsia="Calibri" w:hAnsi="Verdana" w:cs="Arial"/>
                <w:kern w:val="2"/>
                <w14:ligatures w14:val="standardContextual"/>
              </w:rPr>
              <w:t>Decreto 1081 de 2015</w:t>
            </w:r>
            <w:r>
              <w:rPr>
                <w:rFonts w:ascii="Verdana" w:eastAsia="Calibri" w:hAnsi="Verdana" w:cs="Arial"/>
                <w:kern w:val="2"/>
                <w14:ligatures w14:val="standardContextual"/>
              </w:rPr>
              <w:t>,</w:t>
            </w:r>
            <w:r w:rsidRPr="00B52642">
              <w:rPr>
                <w:rFonts w:ascii="Verdana" w:eastAsia="Calibri" w:hAnsi="Verdana" w:cs="Arial"/>
                <w:kern w:val="2"/>
                <w14:ligatures w14:val="standardContextual"/>
              </w:rPr>
              <w:t xml:space="preserve"> Artículo 2.1.1.2.1.10</w:t>
            </w:r>
          </w:p>
          <w:p w14:paraId="18C3C172" w14:textId="77777777" w:rsidR="006A0B94" w:rsidRPr="00115E3D" w:rsidRDefault="006A0B94" w:rsidP="006A0B94">
            <w:pPr>
              <w:pStyle w:val="Prrafodelista"/>
              <w:widowControl w:val="0"/>
              <w:numPr>
                <w:ilvl w:val="0"/>
                <w:numId w:val="3"/>
              </w:numPr>
              <w:autoSpaceDE w:val="0"/>
              <w:autoSpaceDN w:val="0"/>
              <w:spacing w:after="120" w:line="276" w:lineRule="auto"/>
              <w:contextualSpacing w:val="0"/>
              <w:jc w:val="both"/>
              <w:rPr>
                <w:rFonts w:ascii="Verdana" w:hAnsi="Verdana" w:cs="Arial"/>
                <w:color w:val="000000" w:themeColor="text1"/>
              </w:rPr>
            </w:pPr>
            <w:r w:rsidRPr="00A61B0C">
              <w:rPr>
                <w:rFonts w:ascii="Verdana" w:eastAsia="Calibri" w:hAnsi="Verdana" w:cs="Arial"/>
                <w:kern w:val="2"/>
                <w14:ligatures w14:val="standardContextual"/>
              </w:rPr>
              <w:t xml:space="preserve">Guía para Elaborar el Plan Anual de Adquisiciones. Disponible </w:t>
            </w:r>
            <w:hyperlink r:id="rId9" w:history="1">
              <w:r w:rsidRPr="00A61B0C">
                <w:rPr>
                  <w:rFonts w:ascii="Verdana" w:eastAsia="Calibri" w:hAnsi="Verdana" w:cs="Arial"/>
                  <w:color w:val="467886"/>
                  <w:kern w:val="2"/>
                  <w:u w:val="single"/>
                  <w14:ligatures w14:val="standardContextual"/>
                </w:rPr>
                <w:t>aquí</w:t>
              </w:r>
            </w:hyperlink>
            <w:r>
              <w:t xml:space="preserve"> </w:t>
            </w:r>
            <w:r>
              <w:rPr>
                <w:rFonts w:ascii="Verdana" w:eastAsia="Times New Roman" w:hAnsi="Verdana" w:cs="Arial"/>
                <w:bCs/>
                <w:color w:val="000000" w:themeColor="text1"/>
                <w:szCs w:val="24"/>
                <w:lang w:eastAsia="es-ES_tradnl"/>
              </w:rPr>
              <w:t xml:space="preserve"> </w:t>
            </w:r>
          </w:p>
        </w:tc>
      </w:tr>
    </w:tbl>
    <w:p w14:paraId="598C4EB8" w14:textId="77777777" w:rsidR="006A0B94" w:rsidRPr="00115E3D" w:rsidRDefault="006A0B94" w:rsidP="006A0B94">
      <w:pPr>
        <w:widowControl w:val="0"/>
        <w:autoSpaceDE w:val="0"/>
        <w:autoSpaceDN w:val="0"/>
        <w:spacing w:after="0" w:line="276" w:lineRule="auto"/>
        <w:jc w:val="both"/>
        <w:rPr>
          <w:rFonts w:ascii="Verdana" w:hAnsi="Verdana" w:cs="Arial"/>
          <w:color w:val="000000" w:themeColor="text1"/>
        </w:rPr>
      </w:pPr>
    </w:p>
    <w:p w14:paraId="76B4D2DD" w14:textId="77777777" w:rsidR="006A0B94" w:rsidRPr="00115E3D" w:rsidRDefault="006A0B94" w:rsidP="006A0B94">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Doctrina de la Agencia Nacional de Contratación Pública:</w:t>
      </w:r>
    </w:p>
    <w:p w14:paraId="120A6951" w14:textId="77777777" w:rsidR="006A0B94" w:rsidRPr="00115E3D" w:rsidRDefault="006A0B94" w:rsidP="006A0B94">
      <w:pPr>
        <w:widowControl w:val="0"/>
        <w:autoSpaceDE w:val="0"/>
        <w:autoSpaceDN w:val="0"/>
        <w:spacing w:after="0" w:line="276" w:lineRule="auto"/>
        <w:jc w:val="both"/>
        <w:rPr>
          <w:rFonts w:ascii="Verdana" w:hAnsi="Verdana" w:cs="Arial"/>
          <w:color w:val="000000" w:themeColor="text1"/>
        </w:rPr>
      </w:pPr>
    </w:p>
    <w:p w14:paraId="3476F3CF" w14:textId="77777777" w:rsidR="006A0B94" w:rsidRPr="00245948" w:rsidRDefault="006A0B94" w:rsidP="006A0B94">
      <w:pPr>
        <w:widowControl w:val="0"/>
        <w:autoSpaceDE w:val="0"/>
        <w:autoSpaceDN w:val="0"/>
        <w:spacing w:after="0" w:line="276" w:lineRule="auto"/>
        <w:jc w:val="both"/>
        <w:rPr>
          <w:rStyle w:val="normaltextrun"/>
          <w:rFonts w:ascii="Verdana" w:hAnsi="Verdana" w:cs="Arial"/>
          <w:color w:val="000000" w:themeColor="text1"/>
          <w:shd w:val="clear" w:color="auto" w:fill="FFFFFF"/>
        </w:rPr>
      </w:pPr>
      <w:r w:rsidRPr="004E5679">
        <w:rPr>
          <w:rFonts w:ascii="Verdana" w:hAnsi="Verdana" w:cs="Arial"/>
          <w:bCs/>
          <w:lang w:val="es-MX"/>
        </w:rPr>
        <w:t>En lo concerniente al marco normativo del Plan Anual de Adquisiciones se pronunció esta Subdirección en los conceptos C-733 del 13 de enero de 2022, C-026 del 18 de febrero de 2022, C-027 del 25 de febrero de 2022, C-047 del 2 de marzo de 2022, C-087 del 17 de marzo de 2022, C-408 del 23 de junio de 2022, C-622 de 28 de septiembre de 2022, C-754 de 9 de noviembre de 2022, C-763 de 15 de noviembre de 2022, C-062 de 18 de abril de 2023, C-142 de 30 de mayo de 2023, C-196 de 15 de junio de 2023, C-122 de 21 de junio de 2023, C-364 de 6 de septiembre de 2023, C-438 del 24 de octubre 2023, CU-007 del 16 de enero de 2024</w:t>
      </w:r>
      <w:r>
        <w:rPr>
          <w:rFonts w:ascii="Verdana" w:hAnsi="Verdana" w:cs="Arial"/>
          <w:bCs/>
          <w:lang w:val="es-MX"/>
        </w:rPr>
        <w:t>, C-934 de 30 de diciembre de 2024, C-1015 de 30 de diciembre de 2024 y C-023 de 29 de enero de 2025</w:t>
      </w:r>
      <w:r w:rsidRPr="004E5679">
        <w:rPr>
          <w:rFonts w:ascii="Verdana" w:hAnsi="Verdana" w:cs="Arial"/>
          <w:vertAlign w:val="superscript"/>
        </w:rPr>
        <w:footnoteReference w:id="5"/>
      </w:r>
      <w:r>
        <w:rPr>
          <w:rFonts w:ascii="Verdana" w:hAnsi="Verdana" w:cs="Arial"/>
          <w:bCs/>
          <w:lang w:val="es-MX"/>
        </w:rPr>
        <w:t xml:space="preserve"> </w:t>
      </w:r>
      <w:r w:rsidRPr="00DE54D3">
        <w:rPr>
          <w:rStyle w:val="normaltextrun"/>
          <w:rFonts w:ascii="Verdana" w:hAnsi="Verdana" w:cs="Arial"/>
          <w:color w:val="000000"/>
          <w:shd w:val="clear" w:color="auto" w:fill="FFFFFF"/>
        </w:rPr>
        <w:t xml:space="preserve">. </w:t>
      </w:r>
      <w:r w:rsidRPr="004E5679">
        <w:rPr>
          <w:rFonts w:ascii="Verdana" w:hAnsi="Verdana" w:cs="Arial"/>
        </w:rPr>
        <w:t xml:space="preserve">Estos </w:t>
      </w:r>
      <w:r w:rsidRPr="004E5679">
        <w:rPr>
          <w:rFonts w:ascii="Verdana" w:hAnsi="Verdana"/>
        </w:rPr>
        <w:t>y otros conceptos se encuentran disponibles para consulta en el Sistema de relatoría de la Agencia, al cual se puede acceder a través del siguiente enlace:</w:t>
      </w:r>
      <w:r w:rsidRPr="004E5679">
        <w:rPr>
          <w:rStyle w:val="normaltextrun"/>
          <w:rFonts w:ascii="Verdana" w:hAnsi="Verdana" w:cs="Arial"/>
          <w:shd w:val="clear" w:color="auto" w:fill="FFFFFF"/>
        </w:rPr>
        <w:t xml:space="preserve"> </w:t>
      </w:r>
      <w:hyperlink r:id="rId10" w:history="1">
        <w:r w:rsidRPr="004E5679">
          <w:rPr>
            <w:rStyle w:val="Hipervnculo"/>
            <w:rFonts w:ascii="Verdana" w:hAnsi="Verdana" w:cs="Arial"/>
            <w:shd w:val="clear" w:color="auto" w:fill="FFFFFF"/>
          </w:rPr>
          <w:t>https://relatoria.colombiacompra.gov.co/busqueda/conceptos</w:t>
        </w:r>
      </w:hyperlink>
    </w:p>
    <w:p w14:paraId="52742C8E" w14:textId="77777777" w:rsidR="006A0B94" w:rsidRPr="00115E3D" w:rsidRDefault="006A0B94" w:rsidP="006A0B94">
      <w:pPr>
        <w:spacing w:after="0" w:line="240" w:lineRule="auto"/>
        <w:jc w:val="both"/>
        <w:rPr>
          <w:rFonts w:ascii="Verdana" w:hAnsi="Verdana"/>
          <w:color w:val="000000" w:themeColor="text1"/>
        </w:rPr>
      </w:pPr>
    </w:p>
    <w:p w14:paraId="4DDE340E" w14:textId="77777777" w:rsidR="006A0B94" w:rsidRPr="00E46A07" w:rsidRDefault="006A0B94" w:rsidP="006A0B94">
      <w:pPr>
        <w:spacing w:after="0" w:line="254" w:lineRule="auto"/>
        <w:jc w:val="both"/>
        <w:rPr>
          <w:rFonts w:ascii="Verdana" w:eastAsia="Calibri" w:hAnsi="Verdana" w:cs="Times New Roman"/>
        </w:rPr>
      </w:pPr>
      <w:r w:rsidRPr="00E46A07">
        <w:rPr>
          <w:rFonts w:ascii="Verdana" w:eastAsia="Calibri" w:hAnsi="Verdana" w:cs="Times New Roman"/>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607FC936" w14:textId="77777777" w:rsidR="006A0B94" w:rsidRDefault="006A0B94" w:rsidP="006A0B94">
      <w:pPr>
        <w:spacing w:after="0" w:line="254" w:lineRule="auto"/>
        <w:rPr>
          <w:rFonts w:ascii="Verdana" w:eastAsia="Calibri" w:hAnsi="Verdana" w:cs="Times New Roman"/>
          <w:b/>
          <w:bCs/>
        </w:rPr>
      </w:pPr>
    </w:p>
    <w:p w14:paraId="21570B70" w14:textId="77777777" w:rsidR="006A0B94" w:rsidRDefault="006A0B94" w:rsidP="006A0B94">
      <w:pPr>
        <w:spacing w:after="0" w:line="254" w:lineRule="auto"/>
        <w:jc w:val="both"/>
        <w:rPr>
          <w:rFonts w:ascii="Verdana" w:eastAsia="Calibri" w:hAnsi="Verdana" w:cs="Times New Roman"/>
          <w:b/>
          <w:bCs/>
        </w:rPr>
      </w:pPr>
      <w:r w:rsidRPr="00E46A07">
        <w:rPr>
          <w:rFonts w:ascii="Verdana" w:eastAsia="Calibri" w:hAnsi="Verdana" w:cs="Times New Roman"/>
          <w:b/>
          <w:bCs/>
        </w:rPr>
        <w:t>Documentos tipo para los procesos de selección de interventoría de obra pública de infraestructura de transporte – versión 3: </w:t>
      </w:r>
    </w:p>
    <w:p w14:paraId="235E93F7" w14:textId="77777777" w:rsidR="006A0B94" w:rsidRDefault="006A0B94" w:rsidP="006A0B94">
      <w:pPr>
        <w:spacing w:after="0" w:line="254" w:lineRule="auto"/>
        <w:jc w:val="both"/>
        <w:rPr>
          <w:rFonts w:ascii="Verdana" w:eastAsia="Calibri" w:hAnsi="Verdana" w:cs="Times New Roman"/>
          <w:b/>
          <w:bCs/>
        </w:rPr>
      </w:pPr>
    </w:p>
    <w:p w14:paraId="7E5F411F" w14:textId="77777777" w:rsidR="006A0B94" w:rsidRPr="00E46A07" w:rsidRDefault="006A0B94" w:rsidP="006A0B94">
      <w:pPr>
        <w:spacing w:after="0" w:line="254" w:lineRule="auto"/>
        <w:jc w:val="both"/>
        <w:rPr>
          <w:rFonts w:ascii="Verdana" w:eastAsia="Calibri" w:hAnsi="Verdana" w:cs="Times New Roman"/>
        </w:rPr>
      </w:pPr>
      <w:hyperlink r:id="rId11" w:tgtFrame="_blank" w:tooltip="Dirección URL original: https://www.colombiacompra.gov.co/content/03-documentos-tipo-para-los-procesos-de-seleccion-de-interventoria-de-obra-publica-de. Haga clic o pulse si confía en este vínculo." w:history="1">
        <w:r w:rsidRPr="00E46A07">
          <w:rPr>
            <w:rStyle w:val="Hipervnculo"/>
            <w:rFonts w:ascii="Verdana" w:eastAsia="Calibri" w:hAnsi="Verdana" w:cs="Times New Roman"/>
          </w:rPr>
          <w:t>03. Documentos tipo para los procesos de selección de interventoría de obra pública de infraestructura de transporte – versión 3 | Colombia Compra Eficiente | Agencia Nacional de Contratación Pública</w:t>
        </w:r>
      </w:hyperlink>
    </w:p>
    <w:p w14:paraId="27522CA9" w14:textId="77777777" w:rsidR="006A0B94" w:rsidRDefault="006A0B94" w:rsidP="006A0B94">
      <w:pPr>
        <w:spacing w:after="0" w:line="254" w:lineRule="auto"/>
        <w:jc w:val="both"/>
        <w:rPr>
          <w:rFonts w:ascii="Verdana" w:eastAsia="Calibri" w:hAnsi="Verdana" w:cs="Times New Roman"/>
          <w:b/>
          <w:bCs/>
        </w:rPr>
      </w:pPr>
    </w:p>
    <w:p w14:paraId="1688268A" w14:textId="77777777" w:rsidR="006A0B94" w:rsidRDefault="006A0B94" w:rsidP="006A0B94">
      <w:pPr>
        <w:spacing w:after="0" w:line="254" w:lineRule="auto"/>
        <w:jc w:val="both"/>
        <w:rPr>
          <w:rFonts w:ascii="Verdana" w:eastAsia="Calibri" w:hAnsi="Verdana" w:cs="Times New Roman"/>
        </w:rPr>
      </w:pPr>
      <w:r w:rsidRPr="00E46A07">
        <w:rPr>
          <w:rFonts w:ascii="Verdana" w:eastAsia="Calibri" w:hAnsi="Verdana" w:cs="Times New Roman"/>
          <w:b/>
          <w:bCs/>
        </w:rPr>
        <w:t>Documentos tipo para los procesos de selección de consultoría de obra pública de infraestructura de transporte – versión 2:</w:t>
      </w:r>
      <w:r w:rsidRPr="00E46A07">
        <w:rPr>
          <w:rFonts w:ascii="Verdana" w:eastAsia="Calibri" w:hAnsi="Verdana" w:cs="Times New Roman"/>
        </w:rPr>
        <w:t> </w:t>
      </w:r>
    </w:p>
    <w:p w14:paraId="003B3921" w14:textId="77777777" w:rsidR="006A0B94" w:rsidRDefault="006A0B94" w:rsidP="006A0B94">
      <w:pPr>
        <w:spacing w:after="0" w:line="254" w:lineRule="auto"/>
        <w:jc w:val="both"/>
        <w:rPr>
          <w:rFonts w:ascii="Verdana" w:eastAsia="Calibri" w:hAnsi="Verdana" w:cs="Times New Roman"/>
        </w:rPr>
      </w:pPr>
    </w:p>
    <w:p w14:paraId="7B0B54EB" w14:textId="77777777" w:rsidR="006A0B94" w:rsidRPr="00E46A07" w:rsidRDefault="006A0B94" w:rsidP="006A0B94">
      <w:pPr>
        <w:spacing w:after="0" w:line="254" w:lineRule="auto"/>
        <w:jc w:val="both"/>
        <w:rPr>
          <w:rFonts w:ascii="Verdana" w:eastAsia="Calibri" w:hAnsi="Verdana" w:cs="Times New Roman"/>
        </w:rPr>
      </w:pPr>
      <w:hyperlink r:id="rId12" w:tgtFrame="_blank" w:tooltip="Dirección URL original: https://www.colombiacompra.gov.co/content/02-documentos-tipo-para-los-procesos-de-seleccion-de-consultoria-de-obra-publica-de. Haga clic o pulse si confía en este vínculo." w:history="1">
        <w:r w:rsidRPr="00E46A07">
          <w:rPr>
            <w:rStyle w:val="Hipervnculo"/>
            <w:rFonts w:ascii="Verdana" w:eastAsia="Calibri" w:hAnsi="Verdana" w:cs="Times New Roman"/>
          </w:rPr>
          <w:t>02. Documentos tipo para los procesos de selección de consultoría de obra pública de infraestructura de transporte – versión 2. | Colombia Compra Eficiente | Agencia Nacional de Contratación Pública</w:t>
        </w:r>
      </w:hyperlink>
    </w:p>
    <w:p w14:paraId="7CC5A278" w14:textId="77777777" w:rsidR="006A0B94" w:rsidRDefault="006A0B94" w:rsidP="006A0B94">
      <w:pPr>
        <w:spacing w:after="0" w:line="254" w:lineRule="auto"/>
        <w:rPr>
          <w:rFonts w:ascii="Verdana" w:eastAsia="Calibri" w:hAnsi="Verdana" w:cs="Times New Roman"/>
        </w:rPr>
      </w:pPr>
    </w:p>
    <w:p w14:paraId="44F6E1C9" w14:textId="77777777" w:rsidR="006A0B94" w:rsidRDefault="006A0B94" w:rsidP="006A0B94">
      <w:pPr>
        <w:spacing w:after="0" w:line="254" w:lineRule="auto"/>
        <w:jc w:val="both"/>
        <w:rPr>
          <w:rFonts w:ascii="Verdana" w:eastAsia="Calibri" w:hAnsi="Verdana" w:cs="Times New Roman"/>
        </w:rPr>
      </w:pPr>
      <w:r w:rsidRPr="00E46A07">
        <w:rPr>
          <w:rFonts w:ascii="Verdana" w:eastAsia="Calibri" w:hAnsi="Verdana" w:cs="Times New Roman"/>
        </w:rPr>
        <w:lastRenderedPageBreak/>
        <w:t>También, te contamos que ya publicamos </w:t>
      </w:r>
      <w:r w:rsidRPr="00E46A07">
        <w:rPr>
          <w:rFonts w:ascii="Verdana" w:eastAsia="Calibri" w:hAnsi="Verdana" w:cs="Times New Roman"/>
          <w:b/>
          <w:bCs/>
        </w:rPr>
        <w:t>la nueva Guía de Contratación Pública Sostenible y Socialmente Responsable</w:t>
      </w:r>
      <w:r w:rsidRPr="00E46A07">
        <w:rPr>
          <w:rFonts w:ascii="Verdana" w:eastAsia="Calibri" w:hAnsi="Verdana" w:cs="Times New Roman"/>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p>
    <w:p w14:paraId="4E40B02A" w14:textId="77777777" w:rsidR="006A0B94" w:rsidRDefault="006A0B94" w:rsidP="006A0B94">
      <w:pPr>
        <w:spacing w:after="0" w:line="254" w:lineRule="auto"/>
        <w:jc w:val="both"/>
        <w:rPr>
          <w:rFonts w:ascii="Verdana" w:eastAsia="Calibri" w:hAnsi="Verdana" w:cs="Times New Roman"/>
        </w:rPr>
      </w:pPr>
    </w:p>
    <w:p w14:paraId="22B3146D" w14:textId="77777777" w:rsidR="006A0B94" w:rsidRDefault="006A0B94" w:rsidP="006A0B94">
      <w:pPr>
        <w:spacing w:after="0" w:line="254" w:lineRule="auto"/>
        <w:jc w:val="both"/>
        <w:rPr>
          <w:rFonts w:ascii="Verdana" w:eastAsia="Calibri" w:hAnsi="Verdana" w:cs="Times New Roman"/>
        </w:rPr>
      </w:pPr>
      <w:hyperlink r:id="rId13" w:tgtFrame="_blank" w:tooltip="Dirección URL original: https://www.colombiacompra.gov.co/manuales-guias-y-pliegos-tipo/manuales-y-guias/guia-de-contratacion-publica-sostenible-y-socialmente. Haga clic o pulse si confía en este vínculo." w:history="1">
        <w:r w:rsidRPr="00E46A07">
          <w:rPr>
            <w:rStyle w:val="Hipervnculo"/>
            <w:rFonts w:ascii="Verdana" w:eastAsia="Calibri" w:hAnsi="Verdana" w:cs="Times New Roman"/>
          </w:rPr>
          <w:t>Guía de Contratación Pública Sostenible y Socialmente Responsable | Colombia Compra Eficiente | Agencia Nacional de Contratación Pública</w:t>
        </w:r>
      </w:hyperlink>
    </w:p>
    <w:p w14:paraId="4B2352EB" w14:textId="77777777" w:rsidR="006A0B94" w:rsidRPr="00E46A07" w:rsidRDefault="006A0B94" w:rsidP="006A0B94">
      <w:pPr>
        <w:spacing w:after="0" w:line="254" w:lineRule="auto"/>
        <w:rPr>
          <w:rFonts w:ascii="Verdana" w:eastAsia="Calibri" w:hAnsi="Verdana" w:cs="Times New Roman"/>
        </w:rPr>
      </w:pPr>
    </w:p>
    <w:p w14:paraId="2530D97D" w14:textId="77777777" w:rsidR="006A0B94" w:rsidRDefault="006A0B94" w:rsidP="006A0B94">
      <w:pPr>
        <w:spacing w:after="0" w:line="254" w:lineRule="auto"/>
        <w:rPr>
          <w:rFonts w:ascii="Verdana" w:eastAsia="Calibri" w:hAnsi="Verdana" w:cs="Times New Roman"/>
        </w:rPr>
      </w:pPr>
      <w:r w:rsidRPr="00186A86">
        <w:rPr>
          <w:rFonts w:ascii="Verdana" w:eastAsia="Calibri" w:hAnsi="Verdana" w:cs="Times New Roman"/>
        </w:rPr>
        <w:t xml:space="preserve">Por último, lo invitamos a seguirnos en las redes sociales en las cuales se difunde información institucional: </w:t>
      </w:r>
    </w:p>
    <w:p w14:paraId="5E145B43" w14:textId="77777777" w:rsidR="006A0B94" w:rsidRPr="00186A86" w:rsidRDefault="006A0B94" w:rsidP="006A0B94">
      <w:pPr>
        <w:spacing w:after="0" w:line="254" w:lineRule="auto"/>
        <w:rPr>
          <w:rFonts w:ascii="Verdana" w:eastAsia="Calibri" w:hAnsi="Verdana" w:cs="Times New Roman"/>
        </w:rPr>
      </w:pPr>
    </w:p>
    <w:p w14:paraId="4DFE04C9" w14:textId="77777777" w:rsidR="006A0B94" w:rsidRPr="00186A86" w:rsidRDefault="006A0B94" w:rsidP="006A0B94">
      <w:pPr>
        <w:spacing w:after="0" w:line="254" w:lineRule="auto"/>
        <w:rPr>
          <w:rFonts w:ascii="Verdana" w:eastAsia="Calibri" w:hAnsi="Verdana" w:cs="Times New Roman"/>
        </w:rPr>
      </w:pPr>
      <w:r w:rsidRPr="00186A86">
        <w:rPr>
          <w:rFonts w:ascii="Verdana" w:eastAsia="Calibri" w:hAnsi="Verdana" w:cs="Times New Roman"/>
        </w:rPr>
        <w:t xml:space="preserve">Twitter: </w:t>
      </w:r>
      <w:r w:rsidRPr="00186A86">
        <w:rPr>
          <w:rFonts w:ascii="Verdana" w:eastAsia="Calibri" w:hAnsi="Verdana" w:cs="Times New Roman"/>
          <w:u w:val="single"/>
        </w:rPr>
        <w:t>@colombiacompra</w:t>
      </w:r>
      <w:r w:rsidRPr="00186A86">
        <w:rPr>
          <w:rFonts w:ascii="Verdana" w:eastAsia="Calibri" w:hAnsi="Verdana" w:cs="Times New Roman"/>
        </w:rPr>
        <w:t xml:space="preserve"> </w:t>
      </w:r>
    </w:p>
    <w:p w14:paraId="250A7EFE" w14:textId="77777777" w:rsidR="006A0B94" w:rsidRPr="00186A86" w:rsidRDefault="006A0B94" w:rsidP="006A0B94">
      <w:pPr>
        <w:spacing w:after="0" w:line="254" w:lineRule="auto"/>
        <w:rPr>
          <w:rFonts w:ascii="Verdana" w:eastAsia="Calibri" w:hAnsi="Verdana" w:cs="Times New Roman"/>
        </w:rPr>
      </w:pPr>
      <w:r w:rsidRPr="00186A86">
        <w:rPr>
          <w:rFonts w:ascii="Verdana" w:eastAsia="Calibri" w:hAnsi="Verdana" w:cs="Times New Roman"/>
        </w:rPr>
        <w:t xml:space="preserve">Facebook: </w:t>
      </w:r>
      <w:r w:rsidRPr="00186A86">
        <w:rPr>
          <w:rFonts w:ascii="Verdana" w:eastAsia="Calibri" w:hAnsi="Verdana" w:cs="Times New Roman"/>
          <w:u w:val="single"/>
        </w:rPr>
        <w:t>ColombiaCompraEficiente</w:t>
      </w:r>
    </w:p>
    <w:p w14:paraId="1EB6A64D" w14:textId="77777777" w:rsidR="006A0B94" w:rsidRPr="00186A86" w:rsidRDefault="006A0B94" w:rsidP="006A0B94">
      <w:pPr>
        <w:spacing w:after="0" w:line="254" w:lineRule="auto"/>
        <w:rPr>
          <w:rFonts w:ascii="Verdana" w:eastAsia="Calibri" w:hAnsi="Verdana" w:cs="Times New Roman"/>
          <w:u w:val="single"/>
        </w:rPr>
      </w:pPr>
      <w:r w:rsidRPr="00186A86">
        <w:rPr>
          <w:rFonts w:ascii="Verdana" w:eastAsia="Calibri" w:hAnsi="Verdana" w:cs="Times New Roman"/>
        </w:rPr>
        <w:t xml:space="preserve">LinkedIn: </w:t>
      </w:r>
      <w:r w:rsidRPr="00186A86">
        <w:rPr>
          <w:rFonts w:ascii="Verdana" w:eastAsia="Calibri" w:hAnsi="Verdana" w:cs="Times New Roman"/>
          <w:u w:val="single"/>
        </w:rPr>
        <w:t>Agencia Nacional de Contratación Pública - Colombia Compra Eficiente</w:t>
      </w:r>
      <w:r w:rsidRPr="00186A86">
        <w:rPr>
          <w:rFonts w:ascii="Verdana" w:eastAsia="Calibri" w:hAnsi="Verdana" w:cs="Times New Roman"/>
        </w:rPr>
        <w:t xml:space="preserve"> Instagram: </w:t>
      </w:r>
      <w:r w:rsidRPr="00186A86">
        <w:rPr>
          <w:rFonts w:ascii="Verdana" w:eastAsia="Calibri" w:hAnsi="Verdana" w:cs="Times New Roman"/>
          <w:u w:val="single"/>
        </w:rPr>
        <w:t>@colombiacompraeficiente_cce</w:t>
      </w:r>
    </w:p>
    <w:p w14:paraId="60168B26" w14:textId="77777777" w:rsidR="006A0B94" w:rsidRPr="00186A86" w:rsidRDefault="006A0B94" w:rsidP="006A0B94">
      <w:pPr>
        <w:spacing w:after="0" w:line="254" w:lineRule="auto"/>
        <w:rPr>
          <w:rFonts w:ascii="Verdana" w:eastAsia="Calibri" w:hAnsi="Verdana" w:cs="Times New Roman"/>
          <w:b/>
          <w:bCs/>
        </w:rPr>
      </w:pPr>
    </w:p>
    <w:p w14:paraId="5BE50CF7" w14:textId="77777777" w:rsidR="006A0B94" w:rsidRPr="00115E3D" w:rsidRDefault="006A0B94" w:rsidP="006A0B94">
      <w:pPr>
        <w:widowControl w:val="0"/>
        <w:autoSpaceDE w:val="0"/>
        <w:autoSpaceDN w:val="0"/>
        <w:spacing w:after="0" w:line="276" w:lineRule="auto"/>
        <w:jc w:val="both"/>
        <w:rPr>
          <w:rFonts w:ascii="Verdana" w:hAnsi="Verdana" w:cs="Arial"/>
          <w:color w:val="000000" w:themeColor="text1"/>
        </w:rPr>
      </w:pPr>
      <w:r w:rsidRPr="00186A86">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w:t>
      </w:r>
    </w:p>
    <w:p w14:paraId="7D2F499A" w14:textId="77777777" w:rsidR="006A0B94" w:rsidRDefault="006A0B94" w:rsidP="006A0B94">
      <w:pPr>
        <w:spacing w:after="0" w:line="240" w:lineRule="auto"/>
        <w:rPr>
          <w:rFonts w:ascii="Verdana" w:eastAsia="Times New Roman" w:hAnsi="Verdana" w:cs="Arial"/>
          <w:color w:val="000000" w:themeColor="text1"/>
          <w:lang w:eastAsia="es-CO"/>
        </w:rPr>
      </w:pPr>
    </w:p>
    <w:p w14:paraId="1A278C0A" w14:textId="77777777" w:rsidR="006A0B94" w:rsidRPr="00115E3D" w:rsidRDefault="006A0B94" w:rsidP="006A0B94">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7A340F1B" w14:textId="63AB370A" w:rsidR="006A0B94" w:rsidRPr="00115E3D" w:rsidRDefault="009B1DA5" w:rsidP="006A0B94">
      <w:pPr>
        <w:spacing w:line="276" w:lineRule="auto"/>
        <w:jc w:val="center"/>
        <w:rPr>
          <w:rFonts w:ascii="Verdana" w:hAnsi="Verdana" w:cs="Arial"/>
          <w:color w:val="000000" w:themeColor="text1"/>
          <w:lang w:val="es-ES_tradnl" w:eastAsia="es-CO"/>
        </w:rPr>
      </w:pPr>
      <w:r w:rsidRPr="000E7121">
        <w:rPr>
          <w:rFonts w:ascii="Verdana" w:eastAsia="Aptos" w:hAnsi="Verdana" w:cs="Arial"/>
          <w:noProof/>
          <w:lang w:eastAsia="es-CO"/>
        </w:rPr>
        <w:drawing>
          <wp:inline distT="0" distB="0" distL="0" distR="0" wp14:anchorId="3A6B6CE6" wp14:editId="463D8D78">
            <wp:extent cx="3399549" cy="1261954"/>
            <wp:effectExtent l="0" t="0" r="0" b="0"/>
            <wp:docPr id="159554257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exto&#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03593" cy="1263455"/>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A0B94" w:rsidRPr="00115E3D" w14:paraId="44F5BC57" w14:textId="77777777" w:rsidTr="00EF5085">
        <w:trPr>
          <w:trHeight w:val="315"/>
        </w:trPr>
        <w:tc>
          <w:tcPr>
            <w:tcW w:w="893" w:type="dxa"/>
            <w:vAlign w:val="center"/>
            <w:hideMark/>
          </w:tcPr>
          <w:p w14:paraId="3A3476D8" w14:textId="77777777" w:rsidR="006A0B94" w:rsidRPr="00115E3D" w:rsidRDefault="006A0B94"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9C01603" w14:textId="77777777" w:rsidR="006A0B94" w:rsidRPr="00115E3D" w:rsidRDefault="006A0B94" w:rsidP="00EF5085">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Andreina Cerpa Muñoz </w:t>
            </w:r>
          </w:p>
          <w:p w14:paraId="291926E4" w14:textId="77777777" w:rsidR="006A0B94" w:rsidRPr="00115E3D" w:rsidRDefault="006A0B94" w:rsidP="00EF5085">
            <w:pPr>
              <w:contextualSpacing/>
              <w:rPr>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Analista T2-02</w:t>
            </w:r>
            <w:r w:rsidRPr="00115E3D">
              <w:rPr>
                <w:rStyle w:val="normaltextrun"/>
                <w:rFonts w:ascii="Verdana" w:eastAsia="Arial" w:hAnsi="Verdana" w:cs="Arial"/>
                <w:color w:val="000000" w:themeColor="text1"/>
                <w:sz w:val="16"/>
                <w:szCs w:val="16"/>
              </w:rPr>
              <w:t xml:space="preserve"> de la Subdirección de Gestión Contractual</w:t>
            </w:r>
          </w:p>
        </w:tc>
      </w:tr>
      <w:tr w:rsidR="006A0B94" w:rsidRPr="00115E3D" w14:paraId="506D6558" w14:textId="77777777" w:rsidTr="00EF5085">
        <w:trPr>
          <w:trHeight w:val="330"/>
        </w:trPr>
        <w:tc>
          <w:tcPr>
            <w:tcW w:w="893" w:type="dxa"/>
            <w:vAlign w:val="center"/>
            <w:hideMark/>
          </w:tcPr>
          <w:p w14:paraId="22472256" w14:textId="77777777" w:rsidR="006A0B94" w:rsidRPr="00115E3D" w:rsidRDefault="006A0B94"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DFCF0B8" w14:textId="77777777" w:rsidR="006A0B94" w:rsidRPr="00580396" w:rsidRDefault="006A0B94" w:rsidP="00EF5085">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Fonts w:ascii="Verdana" w:hAnsi="Verdana" w:cs="Segoe UI"/>
                <w:color w:val="000000" w:themeColor="text1"/>
                <w:sz w:val="16"/>
                <w:szCs w:val="16"/>
              </w:rPr>
              <w:t>X</w:t>
            </w:r>
            <w:r w:rsidRPr="00580396">
              <w:rPr>
                <w:rFonts w:ascii="Verdana" w:hAnsi="Verdana" w:cs="Segoe UI"/>
                <w:sz w:val="16"/>
                <w:szCs w:val="16"/>
              </w:rPr>
              <w:t xml:space="preserve">imena Ríos López </w:t>
            </w:r>
          </w:p>
          <w:p w14:paraId="0BAB9485" w14:textId="77777777" w:rsidR="006A0B94" w:rsidRPr="00115E3D" w:rsidRDefault="006A0B94" w:rsidP="00EF5085">
            <w:pPr>
              <w:pStyle w:val="paragraph"/>
              <w:spacing w:before="0" w:beforeAutospacing="0" w:after="0" w:afterAutospacing="0"/>
              <w:contextualSpacing/>
              <w:textAlignment w:val="baseline"/>
              <w:rPr>
                <w:rFonts w:ascii="Verdana" w:hAnsi="Verdana" w:cs="Segoe UI"/>
                <w:color w:val="000000" w:themeColor="text1"/>
                <w:sz w:val="16"/>
                <w:szCs w:val="16"/>
              </w:rPr>
            </w:pPr>
            <w:r w:rsidRPr="00580396">
              <w:rPr>
                <w:rStyle w:val="normaltextrun"/>
                <w:rFonts w:ascii="Verdana" w:hAnsi="Verdana" w:cs="Arial"/>
                <w:color w:val="000000" w:themeColor="text1"/>
                <w:sz w:val="16"/>
                <w:szCs w:val="16"/>
                <w:lang w:val="es-ES"/>
              </w:rPr>
              <w:t>Gestor T1-11 de la Subdirección de Gestión Contractual</w:t>
            </w:r>
            <w:r w:rsidRPr="00115E3D">
              <w:rPr>
                <w:rStyle w:val="eop"/>
                <w:rFonts w:ascii="Verdana" w:hAnsi="Verdana" w:cs="Arial"/>
                <w:color w:val="000000" w:themeColor="text1"/>
                <w:sz w:val="16"/>
                <w:szCs w:val="16"/>
              </w:rPr>
              <w:t> </w:t>
            </w:r>
          </w:p>
        </w:tc>
      </w:tr>
      <w:tr w:rsidR="006A0B94" w:rsidRPr="00115E3D" w14:paraId="4CB40A37" w14:textId="77777777" w:rsidTr="00EF5085">
        <w:trPr>
          <w:trHeight w:val="300"/>
        </w:trPr>
        <w:tc>
          <w:tcPr>
            <w:tcW w:w="893" w:type="dxa"/>
            <w:vAlign w:val="center"/>
          </w:tcPr>
          <w:p w14:paraId="0FD5AF32" w14:textId="77777777" w:rsidR="006A0B94" w:rsidRPr="00115E3D" w:rsidRDefault="006A0B94" w:rsidP="00EF5085">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3AEDCEB" w14:textId="77777777" w:rsidR="006A0B94" w:rsidRPr="00115E3D" w:rsidRDefault="006A0B94" w:rsidP="00EF508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365DEF59" w14:textId="77777777" w:rsidR="006A0B94" w:rsidRPr="00115E3D" w:rsidRDefault="006A0B94" w:rsidP="00EF5085">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31F8B480" w14:textId="77777777" w:rsidR="006A0B94" w:rsidRDefault="006A0B94" w:rsidP="006A0B94"/>
    <w:p w14:paraId="4B61C93D" w14:textId="77777777" w:rsidR="000F5A42" w:rsidRPr="008A486F" w:rsidRDefault="000F5A42" w:rsidP="008A486F"/>
    <w:sectPr w:rsidR="000F5A42" w:rsidRPr="008A486F" w:rsidSect="00912C29">
      <w:headerReference w:type="default" r:id="rId15"/>
      <w:footerReference w:type="default" r:id="rId16"/>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1E08A" w14:textId="77777777" w:rsidR="0033571C" w:rsidRDefault="0033571C" w:rsidP="00912C29">
      <w:pPr>
        <w:spacing w:after="0" w:line="240" w:lineRule="auto"/>
      </w:pPr>
      <w:r>
        <w:separator/>
      </w:r>
    </w:p>
  </w:endnote>
  <w:endnote w:type="continuationSeparator" w:id="0">
    <w:p w14:paraId="4A0FDC64" w14:textId="77777777" w:rsidR="0033571C" w:rsidRDefault="0033571C" w:rsidP="00912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3C762" w14:textId="77777777" w:rsidR="00457C16" w:rsidRDefault="00457C16" w:rsidP="000849D5">
    <w:pPr>
      <w:spacing w:after="0"/>
      <w:rPr>
        <w:rFonts w:ascii="Verdana" w:hAnsi="Verdana"/>
        <w:b/>
        <w:bCs/>
        <w:sz w:val="20"/>
        <w:szCs w:val="20"/>
      </w:rPr>
    </w:pPr>
  </w:p>
  <w:p w14:paraId="0CA4AB29" w14:textId="77777777" w:rsidR="00457C16" w:rsidRPr="00174B77" w:rsidRDefault="00A17308"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2446EBFC" w14:textId="77777777" w:rsidR="00457C16" w:rsidRDefault="00A17308"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4FD7DCD7" w14:textId="77777777" w:rsidR="00457C16" w:rsidRPr="00E41027" w:rsidRDefault="00A17308" w:rsidP="000849D5">
    <w:pPr>
      <w:spacing w:after="0"/>
      <w:jc w:val="both"/>
      <w:rPr>
        <w:rFonts w:ascii="Verdana" w:hAnsi="Verdana"/>
        <w:sz w:val="18"/>
        <w:szCs w:val="18"/>
      </w:rPr>
    </w:pPr>
    <w:r w:rsidRPr="00E41027">
      <w:rPr>
        <w:rFonts w:ascii="Verdana" w:hAnsi="Verdana"/>
        <w:sz w:val="18"/>
        <w:szCs w:val="18"/>
      </w:rPr>
      <w:t>Mesa de servicio: (+57) 601 7456788</w:t>
    </w:r>
  </w:p>
  <w:p w14:paraId="27400A16" w14:textId="77777777" w:rsidR="00457C16" w:rsidRDefault="00A17308"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 xml:space="preserve">Código: </w:t>
    </w:r>
    <w:r>
      <w:rPr>
        <w:rFonts w:ascii="Century Gothic" w:hAnsi="Century Gothic"/>
        <w:sz w:val="18"/>
        <w:szCs w:val="18"/>
      </w:rPr>
      <w:t>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5ECFA9A2" w14:textId="77777777" w:rsidR="00457C16" w:rsidRPr="007D04B2" w:rsidRDefault="00457C16" w:rsidP="000849D5">
    <w:pPr>
      <w:pStyle w:val="Piedepgina"/>
    </w:pPr>
  </w:p>
  <w:p w14:paraId="5FAB9C2B" w14:textId="77777777" w:rsidR="00457C16" w:rsidRPr="000849D5" w:rsidRDefault="00457C16"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4E047" w14:textId="77777777" w:rsidR="0033571C" w:rsidRDefault="0033571C" w:rsidP="00912C29">
      <w:pPr>
        <w:spacing w:after="0" w:line="240" w:lineRule="auto"/>
      </w:pPr>
      <w:r>
        <w:separator/>
      </w:r>
    </w:p>
  </w:footnote>
  <w:footnote w:type="continuationSeparator" w:id="0">
    <w:p w14:paraId="3154B571" w14:textId="77777777" w:rsidR="0033571C" w:rsidRDefault="0033571C" w:rsidP="00912C29">
      <w:pPr>
        <w:spacing w:after="0" w:line="240" w:lineRule="auto"/>
      </w:pPr>
      <w:r>
        <w:continuationSeparator/>
      </w:r>
    </w:p>
  </w:footnote>
  <w:footnote w:id="1">
    <w:p w14:paraId="7BCBC5F1" w14:textId="77777777" w:rsidR="006A0B94" w:rsidRPr="007E1BC8" w:rsidRDefault="006A0B94" w:rsidP="006A0B94">
      <w:pPr>
        <w:pStyle w:val="Textonotapie"/>
        <w:ind w:firstLine="708"/>
        <w:jc w:val="both"/>
        <w:rPr>
          <w:rFonts w:ascii="Verdana" w:hAnsi="Verdana"/>
          <w:sz w:val="16"/>
          <w:szCs w:val="16"/>
        </w:rPr>
      </w:pPr>
      <w:r w:rsidRPr="007E1BC8">
        <w:rPr>
          <w:rStyle w:val="Refdenotaalpie"/>
          <w:rFonts w:ascii="Verdana" w:hAnsi="Verdana"/>
          <w:sz w:val="16"/>
          <w:szCs w:val="16"/>
        </w:rPr>
        <w:footnoteRef/>
      </w:r>
      <w:r>
        <w:rPr>
          <w:rFonts w:ascii="Verdana" w:hAnsi="Verdana"/>
          <w:sz w:val="16"/>
          <w:szCs w:val="16"/>
        </w:rPr>
        <w:t xml:space="preserve"> </w:t>
      </w:r>
      <w:r w:rsidRPr="007E1BC8">
        <w:rPr>
          <w:rFonts w:ascii="Verdana" w:hAnsi="Verdana"/>
          <w:sz w:val="16"/>
          <w:szCs w:val="16"/>
        </w:rPr>
        <w:t>Disponible en este enlace:</w:t>
      </w:r>
    </w:p>
    <w:p w14:paraId="5375A610" w14:textId="77777777" w:rsidR="006A0B94" w:rsidRDefault="006A0B94" w:rsidP="006A0B94">
      <w:pPr>
        <w:pStyle w:val="Textonotapie"/>
        <w:ind w:firstLine="708"/>
        <w:jc w:val="both"/>
        <w:rPr>
          <w:rFonts w:ascii="Verdana" w:hAnsi="Verdana"/>
          <w:sz w:val="16"/>
          <w:szCs w:val="16"/>
        </w:rPr>
      </w:pPr>
      <w:hyperlink r:id="rId1" w:history="1">
        <w:r w:rsidRPr="007E1BC8">
          <w:rPr>
            <w:rStyle w:val="Hipervnculo"/>
            <w:rFonts w:ascii="Verdana" w:hAnsi="Verdana"/>
            <w:sz w:val="16"/>
            <w:szCs w:val="16"/>
          </w:rPr>
          <w:t>https://www.colombiacompra.gov.co/sites/cce_public/files/cce_documents/guia_para_elaborar_el_plan_anual_de_adquisiciones_0.pdf</w:t>
        </w:r>
      </w:hyperlink>
      <w:r w:rsidRPr="007E1BC8">
        <w:rPr>
          <w:rFonts w:ascii="Verdana" w:hAnsi="Verdana"/>
          <w:sz w:val="16"/>
          <w:szCs w:val="16"/>
        </w:rPr>
        <w:t xml:space="preserve"> </w:t>
      </w:r>
    </w:p>
    <w:p w14:paraId="637082DC" w14:textId="77777777" w:rsidR="006A0B94" w:rsidRPr="007E1BC8" w:rsidRDefault="006A0B94" w:rsidP="006A0B94">
      <w:pPr>
        <w:pStyle w:val="Textonotapie"/>
        <w:ind w:firstLine="708"/>
        <w:jc w:val="both"/>
        <w:rPr>
          <w:rFonts w:ascii="Verdana" w:hAnsi="Verdana"/>
          <w:sz w:val="16"/>
          <w:szCs w:val="16"/>
          <w:lang w:val="es-CO"/>
        </w:rPr>
      </w:pPr>
    </w:p>
  </w:footnote>
  <w:footnote w:id="2">
    <w:p w14:paraId="6E5923F6" w14:textId="77777777" w:rsidR="006A0B94" w:rsidRPr="00CA4D89" w:rsidRDefault="006A0B94" w:rsidP="006A0B94">
      <w:pPr>
        <w:pStyle w:val="Textonotapie"/>
        <w:ind w:firstLine="708"/>
        <w:jc w:val="both"/>
        <w:rPr>
          <w:rFonts w:ascii="Verdana" w:hAnsi="Verdana" w:cs="Arial"/>
          <w:sz w:val="12"/>
          <w:szCs w:val="12"/>
          <w:lang w:val="es-CO"/>
        </w:rPr>
      </w:pPr>
      <w:r w:rsidRPr="007E1BC8">
        <w:rPr>
          <w:rStyle w:val="Refdenotaalpie"/>
          <w:rFonts w:ascii="Verdana" w:hAnsi="Verdana" w:cs="Arial"/>
          <w:sz w:val="16"/>
          <w:szCs w:val="16"/>
        </w:rPr>
        <w:footnoteRef/>
      </w:r>
      <w:r w:rsidRPr="007E1BC8">
        <w:rPr>
          <w:rFonts w:ascii="Verdana" w:eastAsia="Calibri" w:hAnsi="Verdana" w:cs="Arial"/>
          <w:sz w:val="16"/>
          <w:szCs w:val="16"/>
        </w:rPr>
        <w:t xml:space="preserve"> Agencia Nacional de Contratación Pública </w:t>
      </w:r>
      <w:r w:rsidRPr="007E1BC8">
        <w:rPr>
          <w:rFonts w:ascii="Verdana" w:eastAsia="Calibri" w:hAnsi="Verdana" w:cs="Arial"/>
          <w:bCs/>
          <w:sz w:val="16"/>
          <w:szCs w:val="16"/>
        </w:rPr>
        <w:t xml:space="preserve">– </w:t>
      </w:r>
      <w:r w:rsidRPr="007E1BC8">
        <w:rPr>
          <w:rFonts w:ascii="Verdana" w:eastAsia="Calibri" w:hAnsi="Verdana" w:cs="Arial"/>
          <w:sz w:val="16"/>
          <w:szCs w:val="16"/>
        </w:rPr>
        <w:t>Colombia Compra Eficiente</w:t>
      </w:r>
      <w:r w:rsidRPr="007E1BC8">
        <w:rPr>
          <w:rFonts w:ascii="Verdana" w:hAnsi="Verdana" w:cs="Arial"/>
          <w:sz w:val="16"/>
          <w:szCs w:val="16"/>
          <w:lang w:val="es-CO"/>
        </w:rPr>
        <w:t xml:space="preserve"> Guía para elaborar el Plan Anual de Adquisiciones. Página 3.</w:t>
      </w:r>
      <w:r w:rsidRPr="00CA4D89">
        <w:rPr>
          <w:rFonts w:ascii="Verdana" w:hAnsi="Verdana" w:cs="Arial"/>
          <w:sz w:val="12"/>
          <w:szCs w:val="12"/>
          <w:lang w:val="es-CO"/>
        </w:rPr>
        <w:t xml:space="preserve"> </w:t>
      </w:r>
    </w:p>
  </w:footnote>
  <w:footnote w:id="3">
    <w:p w14:paraId="6CC57FBD" w14:textId="77777777" w:rsidR="006A0B94" w:rsidRPr="007E1BC8" w:rsidRDefault="006A0B94" w:rsidP="006A0B94">
      <w:pPr>
        <w:pStyle w:val="Textonotapie"/>
        <w:ind w:firstLine="709"/>
        <w:jc w:val="both"/>
        <w:rPr>
          <w:rFonts w:ascii="Verdana" w:hAnsi="Verdana" w:cs="Arial"/>
          <w:sz w:val="16"/>
          <w:szCs w:val="16"/>
          <w:lang w:val="es-ES"/>
        </w:rPr>
      </w:pPr>
      <w:r w:rsidRPr="007E1BC8">
        <w:rPr>
          <w:rStyle w:val="Refdenotaalpie"/>
          <w:rFonts w:ascii="Verdana" w:hAnsi="Verdana" w:cs="Arial"/>
          <w:sz w:val="16"/>
          <w:szCs w:val="16"/>
        </w:rPr>
        <w:footnoteRef/>
      </w:r>
      <w:r w:rsidRPr="007E1BC8">
        <w:rPr>
          <w:rFonts w:ascii="Verdana" w:hAnsi="Verdana" w:cs="Arial"/>
          <w:sz w:val="16"/>
          <w:szCs w:val="16"/>
        </w:rPr>
        <w:t xml:space="preserve"> El artículo 74 de la Ley 1474 prescribe: “</w:t>
      </w:r>
      <w:r w:rsidRPr="007E1BC8">
        <w:rPr>
          <w:rFonts w:ascii="Verdana" w:hAnsi="Verdana" w:cs="Arial"/>
          <w:sz w:val="16"/>
          <w:szCs w:val="16"/>
          <w:lang w:val="es-ES"/>
        </w:rPr>
        <w:t>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6FC25ABC" w14:textId="77777777" w:rsidR="006A0B94" w:rsidRPr="007E1BC8" w:rsidRDefault="006A0B94" w:rsidP="006A0B94">
      <w:pPr>
        <w:pStyle w:val="Textonotapie"/>
        <w:ind w:firstLine="709"/>
        <w:jc w:val="both"/>
        <w:rPr>
          <w:rFonts w:ascii="Verdana" w:hAnsi="Verdana" w:cs="Arial"/>
          <w:sz w:val="16"/>
          <w:szCs w:val="16"/>
          <w:lang w:val="es-ES"/>
        </w:rPr>
      </w:pPr>
      <w:r w:rsidRPr="007E1BC8">
        <w:rPr>
          <w:rFonts w:ascii="Verdana" w:hAnsi="Verdana" w:cs="Arial"/>
          <w:sz w:val="16"/>
          <w:szCs w:val="16"/>
          <w:lang w:val="es-ES"/>
        </w:rPr>
        <w:t>A partir del año siguiente, el Plan de Acción deberá estar acompañado del informe de gestión del año inmediatamente anterior.</w:t>
      </w:r>
    </w:p>
    <w:p w14:paraId="0E1FDFDA" w14:textId="77777777" w:rsidR="006A0B94" w:rsidRPr="007E1BC8" w:rsidRDefault="006A0B94" w:rsidP="006A0B94">
      <w:pPr>
        <w:pStyle w:val="Textonotapie"/>
        <w:ind w:firstLine="709"/>
        <w:jc w:val="both"/>
        <w:rPr>
          <w:rFonts w:ascii="Verdana" w:hAnsi="Verdana" w:cs="Arial"/>
          <w:sz w:val="16"/>
          <w:szCs w:val="16"/>
          <w:lang w:val="es-ES"/>
        </w:rPr>
      </w:pPr>
      <w:r w:rsidRPr="007E1BC8">
        <w:rPr>
          <w:rFonts w:ascii="Verdana" w:hAnsi="Verdana" w:cs="Arial"/>
          <w:sz w:val="16"/>
          <w:szCs w:val="16"/>
          <w:lang w:val="es-ES"/>
        </w:rPr>
        <w:t>Igualmente publicarán por dicho medio su presupuesto debidamente desagregado, así como las modificaciones a este o a su desagregación.</w:t>
      </w:r>
      <w:r w:rsidRPr="007E1BC8">
        <w:rPr>
          <w:rFonts w:ascii="Verdana" w:hAnsi="Verdana" w:cs="Arial"/>
          <w:sz w:val="16"/>
          <w:szCs w:val="16"/>
          <w:lang w:val="es-ES"/>
        </w:rPr>
        <w:tab/>
      </w:r>
    </w:p>
    <w:p w14:paraId="77DB63EA" w14:textId="77777777" w:rsidR="006A0B94" w:rsidRPr="007E1BC8" w:rsidRDefault="006A0B94" w:rsidP="006A0B94">
      <w:pPr>
        <w:pStyle w:val="Textonotapie"/>
        <w:ind w:firstLine="709"/>
        <w:jc w:val="both"/>
        <w:rPr>
          <w:rFonts w:ascii="Verdana" w:hAnsi="Verdana" w:cs="Arial"/>
          <w:sz w:val="16"/>
          <w:szCs w:val="16"/>
          <w:lang w:val="es-ES"/>
        </w:rPr>
      </w:pPr>
      <w:r w:rsidRPr="007E1BC8">
        <w:rPr>
          <w:rFonts w:ascii="Verdana" w:hAnsi="Verdana" w:cs="Arial"/>
          <w:sz w:val="16"/>
          <w:szCs w:val="16"/>
          <w:lang w:val="es-ES"/>
        </w:rPr>
        <w:t>Parágrafo. Las empresas industriales y comerciales del Estado y las Sociedades de Economía Mixta estarán exentas de publicar la información relacionada con sus proyectos de inversión”.</w:t>
      </w:r>
    </w:p>
    <w:p w14:paraId="36951147" w14:textId="77777777" w:rsidR="006A0B94" w:rsidRPr="00CA4D89" w:rsidRDefault="006A0B94" w:rsidP="006A0B94">
      <w:pPr>
        <w:pStyle w:val="Textonotapie"/>
        <w:ind w:firstLine="708"/>
        <w:jc w:val="both"/>
        <w:rPr>
          <w:rFonts w:ascii="Verdana" w:hAnsi="Verdana" w:cs="Arial"/>
          <w:sz w:val="12"/>
          <w:szCs w:val="12"/>
          <w:lang w:val="es-ES"/>
        </w:rPr>
      </w:pPr>
      <w:r w:rsidRPr="00CA4D89">
        <w:rPr>
          <w:rFonts w:ascii="Verdana" w:hAnsi="Verdana" w:cs="Arial"/>
          <w:sz w:val="12"/>
          <w:szCs w:val="12"/>
          <w:lang w:val="es-ES"/>
        </w:rPr>
        <w:t xml:space="preserve"> </w:t>
      </w:r>
    </w:p>
  </w:footnote>
  <w:footnote w:id="4">
    <w:p w14:paraId="0FC4A1A5" w14:textId="77777777" w:rsidR="006A0B94" w:rsidRPr="00764668" w:rsidRDefault="006A0B94" w:rsidP="006A0B94">
      <w:pPr>
        <w:pStyle w:val="Textonotapie"/>
        <w:ind w:firstLine="708"/>
        <w:jc w:val="both"/>
        <w:rPr>
          <w:rFonts w:ascii="Verdana" w:hAnsi="Verdana" w:cs="Arial"/>
          <w:sz w:val="16"/>
          <w:szCs w:val="16"/>
          <w:lang w:val="es-ES"/>
        </w:rPr>
      </w:pPr>
      <w:r w:rsidRPr="00CA4D89">
        <w:rPr>
          <w:rStyle w:val="Refdenotaalpie"/>
          <w:rFonts w:ascii="Verdana" w:hAnsi="Verdana" w:cs="Arial"/>
          <w:sz w:val="12"/>
          <w:szCs w:val="12"/>
        </w:rPr>
        <w:footnoteRef/>
      </w:r>
      <w:r w:rsidRPr="00CA4D89">
        <w:rPr>
          <w:rFonts w:ascii="Verdana" w:hAnsi="Verdana" w:cs="Arial"/>
          <w:sz w:val="12"/>
          <w:szCs w:val="12"/>
        </w:rPr>
        <w:t xml:space="preserve"> </w:t>
      </w:r>
      <w:r w:rsidRPr="00764668">
        <w:rPr>
          <w:rFonts w:ascii="Verdana" w:hAnsi="Verdana" w:cs="Arial"/>
          <w:sz w:val="16"/>
          <w:szCs w:val="16"/>
          <w:lang w:val="es-ES"/>
        </w:rPr>
        <w:t>Decreto 1082 de 2015: “Artículo 2.2.1.1.1.4.3. Publicación del Plan Anual de Adquisiciones. La Entidad Estatal debe publicar su Plan Anual de Adquisiciones y las actualizaciones del mismo en su página web y en el SECOP, en la forma que para el efecto disponga Colombia Compra Eficiente”.</w:t>
      </w:r>
    </w:p>
    <w:p w14:paraId="0579EA0C" w14:textId="77777777" w:rsidR="006A0B94" w:rsidRPr="00CA4D89" w:rsidRDefault="006A0B94" w:rsidP="006A0B94">
      <w:pPr>
        <w:pStyle w:val="Textonotapie"/>
        <w:ind w:firstLine="708"/>
        <w:jc w:val="both"/>
        <w:rPr>
          <w:rFonts w:ascii="Verdana" w:hAnsi="Verdana" w:cs="Arial"/>
          <w:sz w:val="12"/>
          <w:szCs w:val="12"/>
        </w:rPr>
      </w:pPr>
    </w:p>
  </w:footnote>
  <w:footnote w:id="5">
    <w:p w14:paraId="31147D31" w14:textId="77777777" w:rsidR="006A0B94" w:rsidRPr="00DE54D3" w:rsidRDefault="006A0B94" w:rsidP="006A0B94">
      <w:pPr>
        <w:pStyle w:val="Textonotapie"/>
        <w:ind w:firstLine="708"/>
        <w:contextualSpacing/>
        <w:jc w:val="both"/>
        <w:rPr>
          <w:rFonts w:ascii="Verdana" w:hAnsi="Verdana" w:cs="Arial"/>
          <w:sz w:val="16"/>
          <w:szCs w:val="16"/>
          <w:shd w:val="clear" w:color="auto" w:fill="E6E6E6"/>
        </w:rPr>
      </w:pPr>
      <w:r w:rsidRPr="00DE54D3">
        <w:rPr>
          <w:rFonts w:ascii="Verdana" w:hAnsi="Verdana" w:cs="Arial"/>
          <w:sz w:val="16"/>
          <w:szCs w:val="16"/>
          <w:vertAlign w:val="superscript"/>
        </w:rPr>
        <w:footnoteRef/>
      </w:r>
      <w:r w:rsidRPr="00DE54D3">
        <w:rPr>
          <w:rFonts w:ascii="Verdana" w:hAnsi="Verdana" w:cs="Arial"/>
          <w:sz w:val="16"/>
          <w:szCs w:val="16"/>
          <w:shd w:val="clear" w:color="auto" w:fill="E6E6E6"/>
        </w:rPr>
        <w:t xml:space="preserve"> </w:t>
      </w:r>
      <w:r w:rsidRPr="00DE54D3">
        <w:rPr>
          <w:rFonts w:ascii="Verdana" w:hAnsi="Verdana" w:cs="Arial"/>
          <w:sz w:val="16"/>
          <w:szCs w:val="16"/>
        </w:rPr>
        <w:t>Los conceptos referenciados, así como otros expedidos por la Subdirección se encuentran disponibles para consulta pública en el portal de relatoría de la Agencia, al cual se puede acceder a través del siguiente enlace:</w:t>
      </w:r>
      <w:r w:rsidRPr="00DE54D3">
        <w:rPr>
          <w:rFonts w:ascii="Verdana" w:hAnsi="Verdana" w:cs="Arial"/>
          <w:sz w:val="16"/>
          <w:szCs w:val="16"/>
          <w:shd w:val="clear" w:color="auto" w:fill="E6E6E6"/>
        </w:rPr>
        <w:t xml:space="preserve"> </w:t>
      </w:r>
      <w:hyperlink r:id="rId2" w:history="1">
        <w:r w:rsidRPr="00DE54D3">
          <w:rPr>
            <w:rStyle w:val="Hipervnculo"/>
            <w:rFonts w:ascii="Verdana" w:hAnsi="Verdana" w:cs="Arial"/>
            <w:sz w:val="16"/>
            <w:szCs w:val="16"/>
          </w:rPr>
          <w:t>https://relatoria.colombiacompra.gov.co/busqueda/conceptos</w:t>
        </w:r>
      </w:hyperlink>
      <w:r w:rsidRPr="00DE54D3">
        <w:rPr>
          <w:rFonts w:ascii="Verdana" w:hAnsi="Verdana" w:cs="Arial"/>
          <w:sz w:val="16"/>
          <w:szCs w:val="16"/>
          <w:shd w:val="clear" w:color="auto" w:fill="E6E6E6"/>
        </w:rPr>
        <w:t xml:space="preserve"> </w:t>
      </w:r>
    </w:p>
    <w:p w14:paraId="7A13886E" w14:textId="77777777" w:rsidR="006A0B94" w:rsidRPr="00DE54D3" w:rsidRDefault="006A0B94" w:rsidP="006A0B94">
      <w:pPr>
        <w:pStyle w:val="Textonotapie"/>
        <w:ind w:firstLine="708"/>
        <w:contextualSpacing/>
        <w:jc w:val="both"/>
        <w:rPr>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00037" w14:textId="77777777" w:rsidR="00457C16" w:rsidRDefault="00A17308"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3C7490D" wp14:editId="0F4A1CE4">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9430DE7" wp14:editId="0C791DC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7E53796" w14:textId="77777777" w:rsidR="00457C16" w:rsidRDefault="00457C16" w:rsidP="00515FB5">
    <w:pPr>
      <w:pStyle w:val="Encabezado"/>
    </w:pPr>
  </w:p>
  <w:p w14:paraId="2F926E21" w14:textId="77777777" w:rsidR="00457C16" w:rsidRDefault="00457C16" w:rsidP="00515FB5">
    <w:pPr>
      <w:pStyle w:val="Encabezado"/>
    </w:pPr>
  </w:p>
  <w:p w14:paraId="1F97AC8D" w14:textId="77777777" w:rsidR="00457C16" w:rsidRPr="00515FB5" w:rsidRDefault="00457C16"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1492209491">
    <w:abstractNumId w:val="1"/>
  </w:num>
  <w:num w:numId="3" w16cid:durableId="6790895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C29"/>
    <w:rsid w:val="000563CA"/>
    <w:rsid w:val="0006275B"/>
    <w:rsid w:val="00097B3D"/>
    <w:rsid w:val="000F5A42"/>
    <w:rsid w:val="00124819"/>
    <w:rsid w:val="00245948"/>
    <w:rsid w:val="0033571C"/>
    <w:rsid w:val="003D266D"/>
    <w:rsid w:val="0040649C"/>
    <w:rsid w:val="0042313A"/>
    <w:rsid w:val="00457C16"/>
    <w:rsid w:val="005668E7"/>
    <w:rsid w:val="00574287"/>
    <w:rsid w:val="00582E51"/>
    <w:rsid w:val="006A0B94"/>
    <w:rsid w:val="006E48D8"/>
    <w:rsid w:val="007258F6"/>
    <w:rsid w:val="00734095"/>
    <w:rsid w:val="00820BBF"/>
    <w:rsid w:val="008A486F"/>
    <w:rsid w:val="008F094B"/>
    <w:rsid w:val="00905D95"/>
    <w:rsid w:val="00912C29"/>
    <w:rsid w:val="009B1DA5"/>
    <w:rsid w:val="009B705E"/>
    <w:rsid w:val="00A12218"/>
    <w:rsid w:val="00A15879"/>
    <w:rsid w:val="00A17308"/>
    <w:rsid w:val="00A90678"/>
    <w:rsid w:val="00A97E49"/>
    <w:rsid w:val="00AF7C4E"/>
    <w:rsid w:val="00CB111F"/>
    <w:rsid w:val="00CD01D1"/>
    <w:rsid w:val="00D36530"/>
    <w:rsid w:val="00D42DB0"/>
    <w:rsid w:val="00D6520B"/>
    <w:rsid w:val="00DC68B8"/>
    <w:rsid w:val="00E66598"/>
    <w:rsid w:val="00ED3A36"/>
    <w:rsid w:val="00F07A8D"/>
    <w:rsid w:val="00F56BB7"/>
    <w:rsid w:val="00F652A5"/>
    <w:rsid w:val="00F70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E2216"/>
  <w15:chartTrackingRefBased/>
  <w15:docId w15:val="{EA1EC8D0-4526-441B-9348-AB4B0CB9B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6598"/>
    <w:rPr>
      <w:kern w:val="0"/>
      <w14:ligatures w14:val="none"/>
    </w:rPr>
  </w:style>
  <w:style w:type="paragraph" w:styleId="Ttulo1">
    <w:name w:val="heading 1"/>
    <w:basedOn w:val="Normal"/>
    <w:next w:val="Normal"/>
    <w:link w:val="Ttulo1Car"/>
    <w:uiPriority w:val="9"/>
    <w:qFormat/>
    <w:rsid w:val="00912C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12C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12C2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12C2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12C2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12C2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12C2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12C2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12C2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12C2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12C2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12C2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12C2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12C2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12C2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12C2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12C2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12C29"/>
    <w:rPr>
      <w:rFonts w:eastAsiaTheme="majorEastAsia" w:cstheme="majorBidi"/>
      <w:color w:val="272727" w:themeColor="text1" w:themeTint="D8"/>
    </w:rPr>
  </w:style>
  <w:style w:type="paragraph" w:styleId="Ttulo">
    <w:name w:val="Title"/>
    <w:basedOn w:val="Normal"/>
    <w:next w:val="Normal"/>
    <w:link w:val="TtuloCar"/>
    <w:uiPriority w:val="10"/>
    <w:qFormat/>
    <w:rsid w:val="00912C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12C2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12C2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12C2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12C29"/>
    <w:pPr>
      <w:spacing w:before="160"/>
      <w:jc w:val="center"/>
    </w:pPr>
    <w:rPr>
      <w:i/>
      <w:iCs/>
      <w:color w:val="404040" w:themeColor="text1" w:themeTint="BF"/>
    </w:rPr>
  </w:style>
  <w:style w:type="character" w:customStyle="1" w:styleId="CitaCar">
    <w:name w:val="Cita Car"/>
    <w:basedOn w:val="Fuentedeprrafopredeter"/>
    <w:link w:val="Cita"/>
    <w:uiPriority w:val="29"/>
    <w:rsid w:val="00912C29"/>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12C29"/>
    <w:pPr>
      <w:ind w:left="720"/>
      <w:contextualSpacing/>
    </w:pPr>
  </w:style>
  <w:style w:type="character" w:styleId="nfasisintenso">
    <w:name w:val="Intense Emphasis"/>
    <w:basedOn w:val="Fuentedeprrafopredeter"/>
    <w:uiPriority w:val="21"/>
    <w:qFormat/>
    <w:rsid w:val="00912C29"/>
    <w:rPr>
      <w:i/>
      <w:iCs/>
      <w:color w:val="0F4761" w:themeColor="accent1" w:themeShade="BF"/>
    </w:rPr>
  </w:style>
  <w:style w:type="paragraph" w:styleId="Citadestacada">
    <w:name w:val="Intense Quote"/>
    <w:basedOn w:val="Normal"/>
    <w:next w:val="Normal"/>
    <w:link w:val="CitadestacadaCar"/>
    <w:uiPriority w:val="30"/>
    <w:qFormat/>
    <w:rsid w:val="00912C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12C29"/>
    <w:rPr>
      <w:i/>
      <w:iCs/>
      <w:color w:val="0F4761" w:themeColor="accent1" w:themeShade="BF"/>
    </w:rPr>
  </w:style>
  <w:style w:type="character" w:styleId="Referenciaintensa">
    <w:name w:val="Intense Reference"/>
    <w:basedOn w:val="Fuentedeprrafopredeter"/>
    <w:uiPriority w:val="32"/>
    <w:qFormat/>
    <w:rsid w:val="00912C29"/>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12C29"/>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912C29"/>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912C29"/>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12C29"/>
    <w:rPr>
      <w:vertAlign w:val="superscript"/>
    </w:rPr>
  </w:style>
  <w:style w:type="paragraph" w:customStyle="1" w:styleId="Appelnotedebasde">
    <w:name w:val="Appel note de bas de..."/>
    <w:basedOn w:val="Normal"/>
    <w:link w:val="Refdenotaalpie"/>
    <w:uiPriority w:val="99"/>
    <w:rsid w:val="00912C29"/>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912C2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12C29"/>
    <w:rPr>
      <w:kern w:val="0"/>
      <w14:ligatures w14:val="none"/>
    </w:rPr>
  </w:style>
  <w:style w:type="paragraph" w:styleId="Piedepgina">
    <w:name w:val="footer"/>
    <w:basedOn w:val="Normal"/>
    <w:link w:val="PiedepginaCar"/>
    <w:uiPriority w:val="99"/>
    <w:unhideWhenUsed/>
    <w:rsid w:val="00912C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12C29"/>
    <w:rPr>
      <w:kern w:val="0"/>
      <w14:ligatures w14:val="none"/>
    </w:rPr>
  </w:style>
  <w:style w:type="table" w:styleId="Tablaconcuadrcula">
    <w:name w:val="Table Grid"/>
    <w:basedOn w:val="Tablanormal"/>
    <w:uiPriority w:val="39"/>
    <w:qFormat/>
    <w:rsid w:val="00912C2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12C29"/>
    <w:rPr>
      <w:color w:val="467886" w:themeColor="hyperlink"/>
      <w:u w:val="single"/>
    </w:rPr>
  </w:style>
  <w:style w:type="character" w:customStyle="1" w:styleId="normaltextrun">
    <w:name w:val="normaltextrun"/>
    <w:basedOn w:val="Fuentedeprrafopredeter"/>
    <w:rsid w:val="00912C29"/>
  </w:style>
  <w:style w:type="character" w:customStyle="1" w:styleId="eop">
    <w:name w:val="eop"/>
    <w:basedOn w:val="Fuentedeprrafopredeter"/>
    <w:rsid w:val="00912C29"/>
  </w:style>
  <w:style w:type="paragraph" w:customStyle="1" w:styleId="paragraph">
    <w:name w:val="paragraph"/>
    <w:basedOn w:val="Normal"/>
    <w:rsid w:val="00912C29"/>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12C29"/>
  </w:style>
  <w:style w:type="character" w:styleId="Mencinsinresolver">
    <w:name w:val="Unresolved Mention"/>
    <w:basedOn w:val="Fuentedeprrafopredeter"/>
    <w:uiPriority w:val="99"/>
    <w:semiHidden/>
    <w:unhideWhenUsed/>
    <w:rsid w:val="00912C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167183">
      <w:bodyDiv w:val="1"/>
      <w:marLeft w:val="0"/>
      <w:marRight w:val="0"/>
      <w:marTop w:val="0"/>
      <w:marBottom w:val="0"/>
      <w:divBdr>
        <w:top w:val="none" w:sz="0" w:space="0" w:color="auto"/>
        <w:left w:val="none" w:sz="0" w:space="0" w:color="auto"/>
        <w:bottom w:val="none" w:sz="0" w:space="0" w:color="auto"/>
        <w:right w:val="none" w:sz="0" w:space="0" w:color="auto"/>
      </w:divBdr>
    </w:div>
    <w:div w:id="1143542935">
      <w:bodyDiv w:val="1"/>
      <w:marLeft w:val="0"/>
      <w:marRight w:val="0"/>
      <w:marTop w:val="0"/>
      <w:marBottom w:val="0"/>
      <w:divBdr>
        <w:top w:val="none" w:sz="0" w:space="0" w:color="auto"/>
        <w:left w:val="none" w:sz="0" w:space="0" w:color="auto"/>
        <w:bottom w:val="none" w:sz="0" w:space="0" w:color="auto"/>
        <w:right w:val="none" w:sz="0" w:space="0" w:color="auto"/>
      </w:divBdr>
    </w:div>
    <w:div w:id="1259295194">
      <w:bodyDiv w:val="1"/>
      <w:marLeft w:val="0"/>
      <w:marRight w:val="0"/>
      <w:marTop w:val="0"/>
      <w:marBottom w:val="0"/>
      <w:divBdr>
        <w:top w:val="none" w:sz="0" w:space="0" w:color="auto"/>
        <w:left w:val="none" w:sz="0" w:space="0" w:color="auto"/>
        <w:bottom w:val="none" w:sz="0" w:space="0" w:color="auto"/>
        <w:right w:val="none" w:sz="0" w:space="0" w:color="auto"/>
      </w:divBdr>
      <w:divsChild>
        <w:div w:id="118229071">
          <w:marLeft w:val="0"/>
          <w:marRight w:val="0"/>
          <w:marTop w:val="0"/>
          <w:marBottom w:val="0"/>
          <w:divBdr>
            <w:top w:val="none" w:sz="0" w:space="0" w:color="auto"/>
            <w:left w:val="none" w:sz="0" w:space="0" w:color="auto"/>
            <w:bottom w:val="none" w:sz="0" w:space="0" w:color="auto"/>
            <w:right w:val="none" w:sz="0" w:space="0" w:color="auto"/>
          </w:divBdr>
          <w:divsChild>
            <w:div w:id="51973471">
              <w:marLeft w:val="0"/>
              <w:marRight w:val="0"/>
              <w:marTop w:val="0"/>
              <w:marBottom w:val="0"/>
              <w:divBdr>
                <w:top w:val="none" w:sz="0" w:space="0" w:color="auto"/>
                <w:left w:val="none" w:sz="0" w:space="0" w:color="auto"/>
                <w:bottom w:val="none" w:sz="0" w:space="0" w:color="auto"/>
                <w:right w:val="none" w:sz="0" w:space="0" w:color="auto"/>
              </w:divBdr>
              <w:divsChild>
                <w:div w:id="934091184">
                  <w:marLeft w:val="0"/>
                  <w:marRight w:val="0"/>
                  <w:marTop w:val="0"/>
                  <w:marBottom w:val="0"/>
                  <w:divBdr>
                    <w:top w:val="none" w:sz="0" w:space="0" w:color="auto"/>
                    <w:left w:val="none" w:sz="0" w:space="0" w:color="auto"/>
                    <w:bottom w:val="none" w:sz="0" w:space="0" w:color="auto"/>
                    <w:right w:val="none" w:sz="0" w:space="0" w:color="auto"/>
                  </w:divBdr>
                  <w:divsChild>
                    <w:div w:id="2046589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915614">
      <w:bodyDiv w:val="1"/>
      <w:marLeft w:val="0"/>
      <w:marRight w:val="0"/>
      <w:marTop w:val="0"/>
      <w:marBottom w:val="0"/>
      <w:divBdr>
        <w:top w:val="none" w:sz="0" w:space="0" w:color="auto"/>
        <w:left w:val="none" w:sz="0" w:space="0" w:color="auto"/>
        <w:bottom w:val="none" w:sz="0" w:space="0" w:color="auto"/>
        <w:right w:val="none" w:sz="0" w:space="0" w:color="auto"/>
      </w:divBdr>
    </w:div>
    <w:div w:id="1918905438">
      <w:bodyDiv w:val="1"/>
      <w:marLeft w:val="0"/>
      <w:marRight w:val="0"/>
      <w:marTop w:val="0"/>
      <w:marBottom w:val="0"/>
      <w:divBdr>
        <w:top w:val="none" w:sz="0" w:space="0" w:color="auto"/>
        <w:left w:val="none" w:sz="0" w:space="0" w:color="auto"/>
        <w:bottom w:val="none" w:sz="0" w:space="0" w:color="auto"/>
        <w:right w:val="none" w:sz="0" w:space="0" w:color="auto"/>
      </w:divBdr>
    </w:div>
    <w:div w:id="2043087330">
      <w:bodyDiv w:val="1"/>
      <w:marLeft w:val="0"/>
      <w:marRight w:val="0"/>
      <w:marTop w:val="0"/>
      <w:marBottom w:val="0"/>
      <w:divBdr>
        <w:top w:val="none" w:sz="0" w:space="0" w:color="auto"/>
        <w:left w:val="none" w:sz="0" w:space="0" w:color="auto"/>
        <w:bottom w:val="none" w:sz="0" w:space="0" w:color="auto"/>
        <w:right w:val="none" w:sz="0" w:space="0" w:color="auto"/>
      </w:divBdr>
      <w:divsChild>
        <w:div w:id="86462726">
          <w:marLeft w:val="0"/>
          <w:marRight w:val="0"/>
          <w:marTop w:val="0"/>
          <w:marBottom w:val="0"/>
          <w:divBdr>
            <w:top w:val="none" w:sz="0" w:space="0" w:color="auto"/>
            <w:left w:val="none" w:sz="0" w:space="0" w:color="auto"/>
            <w:bottom w:val="none" w:sz="0" w:space="0" w:color="auto"/>
            <w:right w:val="none" w:sz="0" w:space="0" w:color="auto"/>
          </w:divBdr>
          <w:divsChild>
            <w:div w:id="134224918">
              <w:marLeft w:val="0"/>
              <w:marRight w:val="0"/>
              <w:marTop w:val="0"/>
              <w:marBottom w:val="0"/>
              <w:divBdr>
                <w:top w:val="none" w:sz="0" w:space="0" w:color="auto"/>
                <w:left w:val="none" w:sz="0" w:space="0" w:color="auto"/>
                <w:bottom w:val="none" w:sz="0" w:space="0" w:color="auto"/>
                <w:right w:val="none" w:sz="0" w:space="0" w:color="auto"/>
              </w:divBdr>
              <w:divsChild>
                <w:div w:id="1777093754">
                  <w:marLeft w:val="0"/>
                  <w:marRight w:val="0"/>
                  <w:marTop w:val="0"/>
                  <w:marBottom w:val="0"/>
                  <w:divBdr>
                    <w:top w:val="none" w:sz="0" w:space="0" w:color="auto"/>
                    <w:left w:val="none" w:sz="0" w:space="0" w:color="auto"/>
                    <w:bottom w:val="none" w:sz="0" w:space="0" w:color="auto"/>
                    <w:right w:val="none" w:sz="0" w:space="0" w:color="auto"/>
                  </w:divBdr>
                  <w:divsChild>
                    <w:div w:id="1970700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fesional_planeacion@saaab.gov.co" TargetMode="External"/><Relationship Id="rId13" Type="http://schemas.openxmlformats.org/officeDocument/2006/relationships/hyperlink" Target="https://nam02.safelinks.protection.outlook.com/?url=https%3A%2F%2Fwww.colombiacompra.gov.co%2Fmanuales-guias-y-pliegos-tipo%2Fmanuales-y-guias%2Fguia-de-contratacion-publica-sostenible-y-socialmente&amp;data=05%7C02%7Cgustavo.hinestroza%40colombiacompra.gov.co%7Cb18b651bca3a4eb8eab008dd269b400d%7C7b09041e245149d08cb179d5e3d8c1be%7C0%7C0%7C638709170415366439%7CUnknown%7CTWFpbGZsb3d8eyJFbXB0eU1hcGkiOnRydWUsIlYiOiIwLjAuMDAwMCIsIlAiOiJXaW4zMiIsIkFOIjoiTWFpbCIsIldUIjoyfQ%3D%3D%7C0%7C%7C%7C&amp;sdata=wYVokjYCzH%2F8r3psRdzY%2Fp6mJktONTGKqOSkSxpbihY%3D&amp;reserved=0" TargetMode="Externa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content%2F02-documentos-tipo-para-los-procesos-de-seleccion-de-consultoria-de-obra-publica-de&amp;data=05%7C02%7Cgustavo.hinestroza%40colombiacompra.gov.co%7Cb18b651bca3a4eb8eab008dd269b400d%7C7b09041e245149d08cb179d5e3d8c1be%7C0%7C0%7C638709170415349526%7CUnknown%7CTWFpbGZsb3d8eyJFbXB0eU1hcGkiOnRydWUsIlYiOiIwLjAuMDAwMCIsIlAiOiJXaW4zMiIsIkFOIjoiTWFpbCIsIldUIjoyfQ%3D%3D%7C0%7C%7C%7C&amp;sdata=Wafva1jUYBs0RExqjLzzsgUNJOfl0o0pW8YRpra9Y38%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content%2F03-documentos-tipo-para-los-procesos-de-seleccion-de-interventoria-de-obra-publica-de&amp;data=05%7C02%7Cgustavo.hinestroza%40colombiacompra.gov.co%7Cb18b651bca3a4eb8eab008dd269b400d%7C7b09041e245149d08cb179d5e3d8c1be%7C0%7C0%7C638709170415324798%7CUnknown%7CTWFpbGZsb3d8eyJFbXB0eU1hcGkiOnRydWUsIlYiOiIwLjAuMDAwMCIsIlAiOiJXaW4zMiIsIkFOIjoiTWFpbCIsIldUIjoyfQ%3D%3D%7C0%7C%7C%7C&amp;sdata=WP6Q0MNZveD9jX5eJ4GUi2pGzerfycSBvFEJQLfh%2FBU%3D&amp;reserved=0"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relatoria.colombiacompra.gov.co/busqueda/conceptos" TargetMode="Externa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https://www.colombiacompra.gov.co/sites/cce_public/files/cce_documents/guia_para_elaborar_el_plan_anual_de_adquisiciones_0.pdf" TargetMode="External"/><Relationship Id="rId14"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relatoria.colombiacompra.gov.co/busqueda/conceptos" TargetMode="External"/><Relationship Id="rId1" Type="http://schemas.openxmlformats.org/officeDocument/2006/relationships/hyperlink" Target="https://www.colombiacompra.gov.co/sites/cce_public/files/cce_documents/guia_para_elaborar_el_plan_anual_de_adquisiciones_0.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24091C-C596-440C-8B58-D4207641CD28}"/>
</file>

<file path=customXml/itemProps2.xml><?xml version="1.0" encoding="utf-8"?>
<ds:datastoreItem xmlns:ds="http://schemas.openxmlformats.org/officeDocument/2006/customXml" ds:itemID="{39F1356F-7DE9-40D0-8A3D-62FEC83D62C7}"/>
</file>

<file path=customXml/itemProps3.xml><?xml version="1.0" encoding="utf-8"?>
<ds:datastoreItem xmlns:ds="http://schemas.openxmlformats.org/officeDocument/2006/customXml" ds:itemID="{DF64933B-1C1A-4B9D-97DE-7669B4656E52}"/>
</file>

<file path=docProps/app.xml><?xml version="1.0" encoding="utf-8"?>
<Properties xmlns="http://schemas.openxmlformats.org/officeDocument/2006/extended-properties" xmlns:vt="http://schemas.openxmlformats.org/officeDocument/2006/docPropsVTypes">
  <Template>Normal</Template>
  <TotalTime>60</TotalTime>
  <Pages>9</Pages>
  <Words>3030</Words>
  <Characters>16666</Characters>
  <Application>Microsoft Office Word</Application>
  <DocSecurity>0</DocSecurity>
  <Lines>138</Lines>
  <Paragraphs>39</Paragraphs>
  <ScaleCrop>false</ScaleCrop>
  <Company/>
  <LinksUpToDate>false</LinksUpToDate>
  <CharactersWithSpaces>19657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34</cp:revision>
  <dcterms:created xsi:type="dcterms:W3CDTF">2025-02-05T22:33:00Z</dcterms:created>
  <dcterms:modified xsi:type="dcterms:W3CDTF">2025-02-14T16:10:00Z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