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C75C1" w:rsidR="002415B8" w:rsidP="008536BB" w:rsidRDefault="00B55C69" w14:paraId="363CAC71" w14:textId="5282EFA7">
      <w:pPr>
        <w:jc w:val="right"/>
        <w:rPr>
          <w:rFonts w:ascii="Arial" w:hAnsi="Arial" w:eastAsia="Calibri" w:cs="Arial"/>
          <w:b/>
          <w:color w:val="000000" w:themeColor="text1"/>
          <w:sz w:val="20"/>
          <w:szCs w:val="20"/>
          <w:lang w:val="es-ES_tradnl"/>
        </w:rPr>
      </w:pPr>
      <w:bookmarkStart w:name="_Hlk28946138" w:id="0"/>
      <w:bookmarkStart w:name="_Hlk29548183" w:id="1"/>
      <w:r w:rsidRPr="001C75C1">
        <w:rPr>
          <w:rFonts w:ascii="Arial" w:hAnsi="Arial" w:cs="Arial"/>
          <w:bCs/>
          <w:color w:val="000000" w:themeColor="text1"/>
          <w:sz w:val="16"/>
          <w:szCs w:val="16"/>
          <w:lang w:val="es-ES_tradnl" w:eastAsia="es-ES"/>
        </w:rPr>
        <w:t>CCE-DES-FM-17</w:t>
      </w:r>
      <w:bookmarkEnd w:id="0"/>
      <w:bookmarkEnd w:id="1"/>
    </w:p>
    <w:p w:rsidRPr="001C75C1" w:rsidR="00580772" w:rsidP="00E52CE7" w:rsidRDefault="00580772" w14:paraId="17A05F16" w14:textId="77777777">
      <w:pPr>
        <w:jc w:val="both"/>
        <w:rPr>
          <w:rFonts w:ascii="Arial" w:hAnsi="Arial" w:eastAsia="Calibri" w:cs="Arial"/>
          <w:b/>
          <w:color w:val="000000" w:themeColor="text1"/>
          <w:sz w:val="22"/>
          <w:lang w:val="es-ES_tradnl"/>
        </w:rPr>
      </w:pPr>
    </w:p>
    <w:p w:rsidRPr="001C75C1" w:rsidR="008A78D9" w:rsidP="008A78D9" w:rsidRDefault="008A78D9" w14:paraId="65D74FF6" w14:textId="77777777">
      <w:pPr>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SELECCIÓN OBJETIVA – Contratación estatal – Concepto</w:t>
      </w:r>
    </w:p>
    <w:p w:rsidRPr="001C75C1" w:rsidR="008A78D9" w:rsidP="008A78D9" w:rsidRDefault="008A78D9" w14:paraId="10239046" w14:textId="77777777">
      <w:pPr>
        <w:jc w:val="both"/>
        <w:rPr>
          <w:rFonts w:ascii="Arial" w:hAnsi="Arial" w:eastAsia="Calibri" w:cs="Arial"/>
          <w:b/>
          <w:color w:val="000000" w:themeColor="text1"/>
          <w:sz w:val="22"/>
          <w:lang w:val="es-ES_tradnl"/>
        </w:rPr>
      </w:pPr>
    </w:p>
    <w:p w:rsidRPr="001C75C1" w:rsidR="008A78D9" w:rsidP="008A78D9" w:rsidRDefault="008A78D9" w14:paraId="3F62833B" w14:textId="28B43A4D">
      <w:pPr>
        <w:jc w:val="both"/>
        <w:rPr>
          <w:rFonts w:ascii="Arial" w:hAnsi="Arial" w:eastAsia="Calibri" w:cs="Arial"/>
          <w:color w:val="000000" w:themeColor="text1"/>
          <w:sz w:val="20"/>
          <w:szCs w:val="20"/>
          <w:lang w:val="es-ES_tradnl"/>
        </w:rPr>
      </w:pPr>
      <w:r w:rsidRPr="001C75C1">
        <w:rPr>
          <w:rFonts w:ascii="Arial" w:hAnsi="Arial" w:eastAsia="Calibri" w:cs="Arial"/>
          <w:color w:val="000000" w:themeColor="text1"/>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1C75C1">
        <w:rPr>
          <w:rFonts w:ascii="Arial" w:hAnsi="Arial" w:eastAsia="Calibri" w:cs="Arial"/>
          <w:color w:val="000000" w:themeColor="text1"/>
          <w:sz w:val="20"/>
          <w:szCs w:val="20"/>
          <w:lang w:val="es-ES_tradnl"/>
        </w:rPr>
        <w:t>equivalentes,</w:t>
      </w:r>
      <w:proofErr w:type="gramEnd"/>
      <w:r w:rsidRPr="001C75C1">
        <w:rPr>
          <w:rFonts w:ascii="Arial" w:hAnsi="Arial" w:eastAsia="Calibri" w:cs="Arial"/>
          <w:color w:val="000000" w:themeColor="text1"/>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rsidRPr="001C75C1" w:rsidR="008A78D9" w:rsidP="008A78D9" w:rsidRDefault="008A78D9" w14:paraId="415131F2" w14:textId="77777777">
      <w:pPr>
        <w:jc w:val="both"/>
        <w:rPr>
          <w:rFonts w:ascii="Arial" w:hAnsi="Arial" w:eastAsia="Calibri" w:cs="Arial"/>
          <w:b/>
          <w:color w:val="000000" w:themeColor="text1"/>
          <w:sz w:val="22"/>
          <w:lang w:val="es-ES_tradnl"/>
        </w:rPr>
      </w:pPr>
    </w:p>
    <w:p w:rsidRPr="001C75C1" w:rsidR="008A78D9" w:rsidP="008A78D9" w:rsidRDefault="008A78D9" w14:paraId="62F5DDA4" w14:textId="77777777">
      <w:pPr>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EMPATE – Procedimiento de selección – Concepto</w:t>
      </w:r>
    </w:p>
    <w:p w:rsidRPr="001C75C1" w:rsidR="008A78D9" w:rsidP="008A78D9" w:rsidRDefault="008A78D9" w14:paraId="0D44B66C" w14:textId="77777777">
      <w:pPr>
        <w:jc w:val="both"/>
        <w:rPr>
          <w:rFonts w:ascii="Arial" w:hAnsi="Arial" w:eastAsia="Calibri" w:cs="Arial"/>
          <w:b/>
          <w:color w:val="000000" w:themeColor="text1"/>
          <w:sz w:val="22"/>
          <w:lang w:val="es-ES_tradnl"/>
        </w:rPr>
      </w:pPr>
    </w:p>
    <w:p w:rsidRPr="001C75C1" w:rsidR="008A78D9" w:rsidP="008A78D9" w:rsidRDefault="008A78D9" w14:paraId="2016F88C" w14:textId="77777777">
      <w:pPr>
        <w:jc w:val="both"/>
        <w:rPr>
          <w:rFonts w:ascii="Arial" w:hAnsi="Arial" w:cs="Arial"/>
          <w:noProof/>
          <w:color w:val="000000" w:themeColor="text1"/>
          <w:sz w:val="22"/>
          <w:lang w:val="es-ES_tradnl"/>
        </w:rPr>
      </w:pPr>
      <w:r w:rsidRPr="001C75C1">
        <w:rPr>
          <w:rFonts w:ascii="Arial" w:hAnsi="Arial" w:eastAsia="Calibri"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rsidRPr="001C75C1" w:rsidR="008A78D9" w:rsidP="008A78D9" w:rsidRDefault="008A78D9" w14:paraId="2C49C5E3" w14:textId="77777777">
      <w:pPr>
        <w:jc w:val="both"/>
        <w:rPr>
          <w:rFonts w:ascii="Arial" w:hAnsi="Arial" w:eastAsia="Calibri" w:cs="Arial"/>
          <w:b/>
          <w:color w:val="000000" w:themeColor="text1"/>
          <w:sz w:val="22"/>
          <w:lang w:val="es-ES_tradnl"/>
        </w:rPr>
      </w:pPr>
    </w:p>
    <w:p w:rsidRPr="001C75C1" w:rsidR="008A78D9" w:rsidP="008A78D9" w:rsidRDefault="008A78D9" w14:paraId="253963B1" w14:textId="77777777">
      <w:pPr>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FACTORES DE DESEMPATE – Características – Límites</w:t>
      </w:r>
    </w:p>
    <w:p w:rsidRPr="001C75C1" w:rsidR="008A78D9" w:rsidP="008A78D9" w:rsidRDefault="008A78D9" w14:paraId="25B2490E" w14:textId="77777777">
      <w:pPr>
        <w:spacing w:line="276" w:lineRule="auto"/>
        <w:jc w:val="both"/>
        <w:rPr>
          <w:rFonts w:ascii="Arial" w:hAnsi="Arial" w:cs="Arial"/>
          <w:noProof/>
          <w:color w:val="000000" w:themeColor="text1"/>
          <w:sz w:val="22"/>
          <w:lang w:val="es-ES_tradnl"/>
        </w:rPr>
      </w:pPr>
    </w:p>
    <w:p w:rsidRPr="001C75C1" w:rsidR="00DC17C0" w:rsidP="00DC17C0" w:rsidRDefault="00DC17C0" w14:paraId="57D66E31" w14:textId="5DF848A0">
      <w:pPr>
        <w:jc w:val="both"/>
        <w:rPr>
          <w:rFonts w:ascii="Arial" w:hAnsi="Arial" w:eastAsia="Calibri" w:cs="Arial"/>
          <w:color w:val="000000" w:themeColor="text1"/>
          <w:sz w:val="20"/>
          <w:szCs w:val="20"/>
          <w:lang w:val="es-ES_tradnl"/>
        </w:rPr>
      </w:pPr>
      <w:r w:rsidRPr="001C75C1">
        <w:rPr>
          <w:rFonts w:ascii="Arial" w:hAnsi="Arial" w:eastAsia="Calibri"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rsidRPr="001C75C1" w:rsidR="00DC17C0" w:rsidP="00DC17C0" w:rsidRDefault="00DC17C0" w14:paraId="0E4D3DE7" w14:textId="77777777">
      <w:pPr>
        <w:jc w:val="both"/>
        <w:rPr>
          <w:rFonts w:ascii="Arial" w:hAnsi="Arial" w:eastAsia="Calibri" w:cs="Arial"/>
          <w:color w:val="000000" w:themeColor="text1"/>
          <w:sz w:val="20"/>
          <w:szCs w:val="20"/>
          <w:lang w:val="es-ES_tradnl"/>
        </w:rPr>
      </w:pPr>
    </w:p>
    <w:p w:rsidRPr="001C75C1" w:rsidR="008A78D9" w:rsidP="00DC17C0" w:rsidRDefault="00DC17C0" w14:paraId="205EC5B8" w14:textId="450EA5B7">
      <w:pPr>
        <w:jc w:val="both"/>
        <w:rPr>
          <w:rFonts w:ascii="Arial" w:hAnsi="Arial" w:eastAsia="Calibri" w:cs="Arial"/>
          <w:color w:val="000000" w:themeColor="text1"/>
          <w:sz w:val="20"/>
          <w:szCs w:val="20"/>
          <w:lang w:val="es-ES_tradnl"/>
        </w:rPr>
      </w:pPr>
      <w:r w:rsidRPr="001C75C1">
        <w:rPr>
          <w:rFonts w:ascii="Arial" w:hAnsi="Arial" w:eastAsia="Calibri" w:cs="Arial"/>
          <w:color w:val="000000" w:themeColor="text1"/>
          <w:sz w:val="20"/>
          <w:szCs w:val="20"/>
          <w:lang w:val="es-ES_tradnl"/>
        </w:rPr>
        <w:t xml:space="preserve">En tal sentido, la Corte Constitucional explica que cuando la ley establece factores de desempate obligatorios, las entidades estatales no pueden </w:t>
      </w:r>
      <w:proofErr w:type="spellStart"/>
      <w:r w:rsidRPr="001C75C1">
        <w:rPr>
          <w:rFonts w:ascii="Arial" w:hAnsi="Arial" w:eastAsia="Calibri" w:cs="Arial"/>
          <w:color w:val="000000" w:themeColor="text1"/>
          <w:sz w:val="20"/>
          <w:szCs w:val="20"/>
          <w:lang w:val="es-ES_tradnl"/>
        </w:rPr>
        <w:t>inaplicarlos</w:t>
      </w:r>
      <w:proofErr w:type="spellEnd"/>
      <w:r w:rsidRPr="001C75C1">
        <w:rPr>
          <w:rFonts w:ascii="Arial" w:hAnsi="Arial" w:eastAsia="Calibri" w:cs="Arial"/>
          <w:color w:val="000000" w:themeColor="text1"/>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rsidRPr="001C75C1" w:rsidR="008A78D9" w:rsidP="008A78D9" w:rsidRDefault="008A78D9" w14:paraId="6ED3EEFF" w14:textId="77777777">
      <w:pPr>
        <w:jc w:val="both"/>
        <w:rPr>
          <w:rFonts w:ascii="Arial" w:hAnsi="Arial" w:eastAsia="Calibri" w:cs="Arial"/>
          <w:color w:val="000000" w:themeColor="text1"/>
          <w:sz w:val="20"/>
          <w:szCs w:val="20"/>
          <w:lang w:val="es-ES_tradnl"/>
        </w:rPr>
      </w:pPr>
    </w:p>
    <w:p w:rsidRPr="001C75C1" w:rsidR="008A78D9" w:rsidP="008A78D9" w:rsidRDefault="008A78D9" w14:paraId="53848D98" w14:textId="77777777">
      <w:pPr>
        <w:jc w:val="both"/>
        <w:rPr>
          <w:rFonts w:ascii="Arial" w:hAnsi="Arial" w:eastAsia="Calibri" w:cs="Arial"/>
          <w:b/>
          <w:color w:val="000000" w:themeColor="text1"/>
          <w:sz w:val="22"/>
          <w:lang w:val="es-ES_tradnl"/>
        </w:rPr>
      </w:pPr>
    </w:p>
    <w:p w:rsidRPr="001C75C1" w:rsidR="000D299D" w:rsidP="008A78D9" w:rsidRDefault="000D299D" w14:paraId="6A63EF45" w14:textId="77777777">
      <w:pPr>
        <w:jc w:val="both"/>
        <w:rPr>
          <w:rFonts w:ascii="Arial" w:hAnsi="Arial" w:eastAsia="Calibri" w:cs="Arial"/>
          <w:b/>
          <w:color w:val="000000" w:themeColor="text1"/>
          <w:sz w:val="22"/>
          <w:lang w:val="es-ES_tradnl"/>
        </w:rPr>
      </w:pPr>
    </w:p>
    <w:p w:rsidRPr="001C75C1" w:rsidR="000D299D" w:rsidP="008A78D9" w:rsidRDefault="000D299D" w14:paraId="09E41090" w14:textId="77777777">
      <w:pPr>
        <w:jc w:val="both"/>
        <w:rPr>
          <w:rFonts w:ascii="Arial" w:hAnsi="Arial" w:eastAsia="Calibri" w:cs="Arial"/>
          <w:b/>
          <w:color w:val="000000" w:themeColor="text1"/>
          <w:sz w:val="22"/>
          <w:lang w:val="es-ES_tradnl"/>
        </w:rPr>
      </w:pPr>
    </w:p>
    <w:p w:rsidRPr="001C75C1" w:rsidR="008A78D9" w:rsidP="008A78D9" w:rsidRDefault="008A78D9" w14:paraId="1F38DBDC" w14:textId="16DF26E6">
      <w:pPr>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lastRenderedPageBreak/>
        <w:t xml:space="preserve">LEY DE EMPRENDIMIENTO – Ley 2069 de 2020 – Vigencia </w:t>
      </w:r>
    </w:p>
    <w:p w:rsidRPr="001C75C1" w:rsidR="008A78D9" w:rsidP="008A78D9" w:rsidRDefault="008A78D9" w14:paraId="63574004" w14:textId="77777777">
      <w:pPr>
        <w:jc w:val="both"/>
        <w:rPr>
          <w:rFonts w:ascii="Arial" w:hAnsi="Arial" w:eastAsia="Calibri" w:cs="Arial"/>
          <w:b/>
          <w:color w:val="000000" w:themeColor="text1"/>
          <w:sz w:val="22"/>
          <w:lang w:val="es-ES_tradnl"/>
        </w:rPr>
      </w:pPr>
    </w:p>
    <w:p w:rsidRPr="001C75C1" w:rsidR="008A78D9" w:rsidP="008A78D9" w:rsidRDefault="008A78D9" w14:paraId="253FC307" w14:textId="2C7F89F9">
      <w:pPr>
        <w:jc w:val="both"/>
        <w:rPr>
          <w:rFonts w:ascii="Arial" w:hAnsi="Arial" w:eastAsia="Calibri" w:cs="Arial"/>
          <w:color w:val="000000" w:themeColor="text1"/>
          <w:sz w:val="20"/>
          <w:szCs w:val="20"/>
          <w:lang w:val="es-ES_tradnl"/>
        </w:rPr>
      </w:pPr>
      <w:r w:rsidRPr="001C75C1">
        <w:rPr>
          <w:rFonts w:ascii="Arial" w:hAnsi="Arial" w:eastAsia="Calibri" w:cs="Arial"/>
          <w:color w:val="000000" w:themeColor="text1"/>
          <w:sz w:val="20"/>
          <w:szCs w:val="20"/>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w:t>
      </w:r>
    </w:p>
    <w:p w:rsidRPr="001C75C1" w:rsidR="008A78D9" w:rsidP="008A78D9" w:rsidRDefault="008A78D9" w14:paraId="1A29BAC3" w14:textId="77777777">
      <w:pPr>
        <w:jc w:val="both"/>
        <w:rPr>
          <w:rFonts w:ascii="Arial" w:hAnsi="Arial" w:eastAsia="Calibri" w:cs="Arial"/>
          <w:color w:val="000000" w:themeColor="text1"/>
          <w:sz w:val="20"/>
          <w:szCs w:val="20"/>
          <w:lang w:val="es-ES_tradnl"/>
        </w:rPr>
      </w:pPr>
    </w:p>
    <w:p w:rsidRPr="001C75C1" w:rsidR="008A78D9" w:rsidP="008A78D9" w:rsidRDefault="008A78D9" w14:paraId="4DEE8ECD" w14:textId="77777777">
      <w:pPr>
        <w:jc w:val="both"/>
        <w:rPr>
          <w:rFonts w:ascii="Arial" w:hAnsi="Arial" w:eastAsia="Calibri" w:cs="Arial"/>
          <w:color w:val="000000" w:themeColor="text1"/>
          <w:sz w:val="20"/>
          <w:szCs w:val="20"/>
          <w:lang w:val="es-ES_tradnl"/>
        </w:rPr>
      </w:pPr>
      <w:r w:rsidRPr="001C75C1">
        <w:rPr>
          <w:rFonts w:ascii="Arial" w:hAnsi="Arial" w:eastAsia="Calibri" w:cs="Arial"/>
          <w:color w:val="000000" w:themeColor="text1"/>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1C75C1">
        <w:rPr>
          <w:rFonts w:ascii="Arial" w:hAnsi="Arial" w:eastAsia="Calibri" w:cs="Arial"/>
          <w:color w:val="000000" w:themeColor="text1"/>
          <w:sz w:val="20"/>
          <w:szCs w:val="20"/>
          <w:lang w:val="es-ES_tradnl"/>
        </w:rPr>
        <w:t>de acuerdo a</w:t>
      </w:r>
      <w:proofErr w:type="gramEnd"/>
      <w:r w:rsidRPr="001C75C1">
        <w:rPr>
          <w:rFonts w:ascii="Arial" w:hAnsi="Arial" w:eastAsia="Calibri" w:cs="Arial"/>
          <w:color w:val="000000" w:themeColor="text1"/>
          <w:sz w:val="20"/>
          <w:szCs w:val="20"/>
          <w:lang w:val="es-ES_tradnl"/>
        </w:rPr>
        <w:t xml:space="preserve"> las realidades socioeconómicas de cada región». En desarrollo de esta finalidad, se establecen medidas de apoyo para las micro, pequeñas y medianas empresas –«</w:t>
      </w:r>
      <w:proofErr w:type="spellStart"/>
      <w:r w:rsidRPr="001C75C1">
        <w:rPr>
          <w:rFonts w:ascii="Arial" w:hAnsi="Arial" w:eastAsia="Calibri" w:cs="Arial"/>
          <w:color w:val="000000" w:themeColor="text1"/>
          <w:sz w:val="20"/>
          <w:szCs w:val="20"/>
          <w:lang w:val="es-ES_tradnl"/>
        </w:rPr>
        <w:t>mipymes</w:t>
      </w:r>
      <w:proofErr w:type="spellEnd"/>
      <w:r w:rsidRPr="001C75C1">
        <w:rPr>
          <w:rFonts w:ascii="Arial" w:hAnsi="Arial" w:eastAsia="Calibri" w:cs="Arial"/>
          <w:color w:val="000000" w:themeColor="text1"/>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rsidRPr="001C75C1" w:rsidR="00D50113" w:rsidP="001D3EAE" w:rsidRDefault="00D50113" w14:paraId="5BA754DB" w14:textId="31970895">
      <w:pPr>
        <w:jc w:val="both"/>
        <w:rPr>
          <w:rFonts w:ascii="Arial" w:hAnsi="Arial" w:cs="Arial"/>
          <w:noProof/>
          <w:color w:val="000000" w:themeColor="text1"/>
          <w:sz w:val="20"/>
          <w:szCs w:val="20"/>
          <w:lang w:val="es-ES_tradnl"/>
        </w:rPr>
      </w:pPr>
    </w:p>
    <w:p w:rsidRPr="001C75C1" w:rsidR="00B5215E" w:rsidP="00B5215E" w:rsidRDefault="00B5215E" w14:paraId="2FCB849A" w14:textId="5DA517DC">
      <w:pPr>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PARTICIPACIÓN MAYORITARIA – Ley 2069 – Artículo 35 – Numeral 2 – Interpretación</w:t>
      </w:r>
      <w:r w:rsidRPr="001C75C1" w:rsidR="00F37E5F">
        <w:rPr>
          <w:rFonts w:ascii="Arial" w:hAnsi="Arial" w:eastAsia="Calibri" w:cs="Arial"/>
          <w:b/>
          <w:color w:val="000000" w:themeColor="text1"/>
          <w:sz w:val="22"/>
          <w:lang w:val="es-ES_tradnl"/>
        </w:rPr>
        <w:t xml:space="preserve"> – Decreto 1860 de 2021</w:t>
      </w:r>
    </w:p>
    <w:p w:rsidRPr="001C75C1" w:rsidR="00B5215E" w:rsidP="001D3EAE" w:rsidRDefault="00B5215E" w14:paraId="0EDE569E" w14:textId="77777777">
      <w:pPr>
        <w:jc w:val="both"/>
        <w:rPr>
          <w:rFonts w:ascii="Arial" w:hAnsi="Arial" w:cs="Arial"/>
          <w:noProof/>
          <w:color w:val="000000" w:themeColor="text1"/>
          <w:sz w:val="20"/>
          <w:szCs w:val="20"/>
          <w:lang w:val="es-ES_tradnl"/>
        </w:rPr>
      </w:pPr>
    </w:p>
    <w:p w:rsidRPr="001C75C1" w:rsidR="00F85F51" w:rsidP="00F85F51" w:rsidRDefault="00F85F51" w14:paraId="17ED1F15" w14:textId="77777777">
      <w:pPr>
        <w:jc w:val="both"/>
        <w:rPr>
          <w:rFonts w:ascii="Arial" w:hAnsi="Arial" w:cs="Arial"/>
          <w:color w:val="000000" w:themeColor="text1"/>
          <w:sz w:val="20"/>
          <w:szCs w:val="20"/>
          <w:lang w:val="es-ES_tradnl"/>
        </w:rPr>
      </w:pPr>
      <w:r w:rsidRPr="001C75C1">
        <w:rPr>
          <w:rFonts w:ascii="Arial" w:hAnsi="Arial" w:eastAsia="Calibri" w:cs="Arial"/>
          <w:color w:val="000000" w:themeColor="text1"/>
          <w:sz w:val="20"/>
          <w:szCs w:val="20"/>
          <w:lang w:val="es-ES_tradnl"/>
        </w:rPr>
        <w:t>E</w:t>
      </w:r>
      <w:r w:rsidRPr="001C75C1">
        <w:rPr>
          <w:rFonts w:ascii="Arial" w:hAnsi="Arial" w:cs="Arial"/>
          <w:color w:val="000000" w:themeColor="text1"/>
          <w:sz w:val="20"/>
          <w:szCs w:val="20"/>
          <w:lang w:val="es-ES_tradnl"/>
        </w:rPr>
        <w:t xml:space="preserve">l artículo 35, numeral 2, de la Ley 2069 de 2020 utiliza un concepto jurídico indeterminado, cuando se refiere a la participación </w:t>
      </w:r>
      <w:r w:rsidRPr="001C75C1">
        <w:rPr>
          <w:rFonts w:ascii="Arial" w:hAnsi="Arial" w:cs="Arial"/>
          <w:i/>
          <w:iCs/>
          <w:color w:val="000000" w:themeColor="text1"/>
          <w:sz w:val="20"/>
          <w:szCs w:val="20"/>
          <w:lang w:val="es-ES_tradnl"/>
        </w:rPr>
        <w:t>mayoritaria</w:t>
      </w:r>
      <w:r w:rsidRPr="001C75C1">
        <w:rPr>
          <w:rFonts w:ascii="Arial" w:hAnsi="Arial" w:cs="Arial"/>
          <w:color w:val="000000" w:themeColor="text1"/>
          <w:sz w:val="20"/>
          <w:szCs w:val="20"/>
          <w:lang w:val="es-ES_tradnl"/>
        </w:rPr>
        <w:t xml:space="preserve"> de las mujeres cabeza de familia o mujeres víctimas de la violencia intrafamiliar en la persona jurídica o en el proponente plural. Sin embargo, esto lo aclaró el artículo 3 del Decreto 1860 de 2021, que adicionó el artículo 2.2.1.2.4.2.17. al Decreto 1082 de 2015, reglamentando así el artículo 35 de la Ley 2069 de 2020, frente al alcance de los factores de desempate. </w:t>
      </w:r>
    </w:p>
    <w:p w:rsidRPr="001C75C1" w:rsidR="00F85F51" w:rsidP="00F85F51" w:rsidRDefault="00F85F51" w14:paraId="40712BA7" w14:textId="77777777">
      <w:pPr>
        <w:jc w:val="both"/>
        <w:rPr>
          <w:rFonts w:ascii="Arial" w:hAnsi="Arial" w:cs="Arial"/>
          <w:color w:val="000000" w:themeColor="text1"/>
          <w:sz w:val="20"/>
          <w:szCs w:val="20"/>
          <w:lang w:val="es-ES_tradnl"/>
        </w:rPr>
      </w:pPr>
    </w:p>
    <w:p w:rsidRPr="001C75C1" w:rsidR="00F85F51" w:rsidP="00F85F51" w:rsidRDefault="00F85F51" w14:paraId="7ECE2D8F" w14:textId="330ACD42">
      <w:pPr>
        <w:jc w:val="both"/>
        <w:rPr>
          <w:rFonts w:ascii="Arial" w:hAnsi="Arial" w:cs="Arial"/>
          <w:sz w:val="20"/>
          <w:szCs w:val="20"/>
          <w:lang w:val="es-ES_tradnl"/>
        </w:rPr>
      </w:pPr>
      <w:r w:rsidRPr="001C75C1">
        <w:rPr>
          <w:rFonts w:ascii="Arial" w:hAnsi="Arial" w:cs="Arial"/>
          <w:color w:val="000000" w:themeColor="text1"/>
          <w:sz w:val="20"/>
          <w:szCs w:val="20"/>
          <w:lang w:val="es-ES_tradnl"/>
        </w:rPr>
        <w:t xml:space="preserve">Acorde con el artículo 2.2.1.2.4.2.17., </w:t>
      </w:r>
      <w:r w:rsidRPr="001C75C1">
        <w:rPr>
          <w:rFonts w:ascii="Arial" w:hAnsi="Arial" w:cs="Arial"/>
          <w:sz w:val="20"/>
          <w:szCs w:val="20"/>
          <w:lang w:val="es-ES_tradnl"/>
        </w:rPr>
        <w:t>se puede afirmar que por participación mayoritaria se entiende, verbigracia –pero no exclusivamente–, en las sociedades por acciones, la posición de un socio cuando tiene más del cincuenta por ciento (50%) de participación en la sociedad. Esto es lo que dice el tercer inciso del artículo mencionado con anterioridad, cuando dispone que «</w:t>
      </w:r>
      <w:r w:rsidRPr="001C75C1">
        <w:rPr>
          <w:rFonts w:ascii="Arial" w:hAnsi="Arial" w:cs="Arial"/>
          <w:color w:val="000000" w:themeColor="text1"/>
          <w:sz w:val="20"/>
          <w:szCs w:val="20"/>
        </w:rPr>
        <w:t xml:space="preserve">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w:t>
      </w:r>
      <w:r w:rsidRPr="001C75C1">
        <w:rPr>
          <w:rFonts w:ascii="Arial" w:hAnsi="Arial" w:cs="Arial"/>
          <w:i/>
          <w:iCs/>
          <w:color w:val="000000" w:themeColor="text1"/>
          <w:sz w:val="20"/>
          <w:szCs w:val="20"/>
        </w:rPr>
        <w:t>que más del cincuenta por ciento (50 %) de la composición accionaria o cuota parte</w:t>
      </w:r>
      <w:r w:rsidRPr="001C75C1">
        <w:rPr>
          <w:rFonts w:ascii="Arial" w:hAnsi="Arial" w:cs="Arial"/>
          <w:color w:val="000000" w:themeColor="text1"/>
          <w:sz w:val="20"/>
          <w:szCs w:val="20"/>
        </w:rPr>
        <w:t xml:space="preserve"> de la persona jurídica está constituida por mujeres cabeza de familia y/o mujeres víctimas de violencia intrafamiliar. […]» (Énfasis fuera de texto).</w:t>
      </w:r>
    </w:p>
    <w:p w:rsidRPr="001C75C1" w:rsidR="000E48D2" w:rsidP="000E48D2" w:rsidRDefault="000E48D2" w14:paraId="64505BA4" w14:textId="77777777">
      <w:pPr>
        <w:jc w:val="both"/>
        <w:rPr>
          <w:rFonts w:ascii="Arial" w:hAnsi="Arial" w:cs="Arial"/>
          <w:noProof/>
          <w:color w:val="000000" w:themeColor="text1"/>
          <w:sz w:val="20"/>
          <w:szCs w:val="20"/>
          <w:lang w:val="es-ES_tradnl"/>
        </w:rPr>
      </w:pPr>
    </w:p>
    <w:p w:rsidRPr="001C75C1" w:rsidR="000E48D2" w:rsidP="000E48D2" w:rsidRDefault="000E48D2" w14:paraId="063D2C17" w14:textId="77777777">
      <w:pPr>
        <w:jc w:val="both"/>
        <w:rPr>
          <w:rFonts w:ascii="Arial" w:hAnsi="Arial" w:cs="Arial"/>
          <w:noProof/>
          <w:color w:val="000000" w:themeColor="text1"/>
          <w:sz w:val="20"/>
          <w:szCs w:val="20"/>
          <w:lang w:val="es-ES_tradnl"/>
        </w:rPr>
      </w:pPr>
    </w:p>
    <w:p w:rsidRPr="001C75C1" w:rsidR="000E48D2" w:rsidP="000E48D2" w:rsidRDefault="000E48D2" w14:paraId="3B8F9D15" w14:textId="77777777">
      <w:pPr>
        <w:jc w:val="both"/>
        <w:rPr>
          <w:rFonts w:ascii="Arial" w:hAnsi="Arial" w:cs="Arial"/>
          <w:noProof/>
          <w:color w:val="000000" w:themeColor="text1"/>
          <w:sz w:val="20"/>
          <w:szCs w:val="20"/>
          <w:lang w:val="es-ES_tradnl"/>
        </w:rPr>
      </w:pPr>
    </w:p>
    <w:p w:rsidRPr="001C75C1" w:rsidR="000E48D2" w:rsidP="000E48D2" w:rsidRDefault="000E48D2" w14:paraId="3D0C39EC" w14:textId="77777777">
      <w:pPr>
        <w:jc w:val="both"/>
        <w:rPr>
          <w:rFonts w:ascii="Arial" w:hAnsi="Arial" w:cs="Arial"/>
          <w:noProof/>
          <w:color w:val="000000" w:themeColor="text1"/>
          <w:sz w:val="20"/>
          <w:szCs w:val="20"/>
          <w:lang w:val="es-ES_tradnl"/>
        </w:rPr>
      </w:pPr>
    </w:p>
    <w:p w:rsidRPr="001C75C1" w:rsidR="000E48D2" w:rsidP="000E48D2" w:rsidRDefault="000E48D2" w14:paraId="1EA9DEA6" w14:textId="77777777">
      <w:pPr>
        <w:jc w:val="both"/>
        <w:rPr>
          <w:rFonts w:ascii="Arial" w:hAnsi="Arial" w:cs="Arial"/>
          <w:noProof/>
          <w:color w:val="000000" w:themeColor="text1"/>
          <w:sz w:val="20"/>
          <w:szCs w:val="20"/>
          <w:lang w:val="es-ES_tradnl"/>
        </w:rPr>
      </w:pPr>
    </w:p>
    <w:p w:rsidRPr="001C75C1" w:rsidR="000E48D2" w:rsidP="000E48D2" w:rsidRDefault="000E48D2" w14:paraId="298C8378" w14:textId="77777777">
      <w:pPr>
        <w:jc w:val="both"/>
        <w:rPr>
          <w:rFonts w:ascii="Arial" w:hAnsi="Arial" w:cs="Arial"/>
          <w:noProof/>
          <w:color w:val="000000" w:themeColor="text1"/>
          <w:sz w:val="20"/>
          <w:szCs w:val="20"/>
          <w:lang w:val="es-ES_tradnl"/>
        </w:rPr>
      </w:pPr>
    </w:p>
    <w:p w:rsidRPr="001C75C1" w:rsidR="000E48D2" w:rsidP="000E48D2" w:rsidRDefault="000E48D2" w14:paraId="1EB155C3" w14:textId="77777777">
      <w:pPr>
        <w:jc w:val="both"/>
        <w:rPr>
          <w:rFonts w:ascii="Arial" w:hAnsi="Arial" w:cs="Arial"/>
          <w:noProof/>
          <w:color w:val="000000" w:themeColor="text1"/>
          <w:sz w:val="20"/>
          <w:szCs w:val="20"/>
          <w:lang w:val="es-ES_tradnl"/>
        </w:rPr>
      </w:pPr>
    </w:p>
    <w:p w:rsidRPr="001C75C1" w:rsidR="000E48D2" w:rsidP="000E48D2" w:rsidRDefault="000E48D2" w14:paraId="24639690" w14:textId="77777777">
      <w:pPr>
        <w:jc w:val="both"/>
        <w:rPr>
          <w:rFonts w:ascii="Arial" w:hAnsi="Arial" w:cs="Arial"/>
          <w:noProof/>
          <w:color w:val="000000" w:themeColor="text1"/>
          <w:sz w:val="20"/>
          <w:szCs w:val="20"/>
          <w:lang w:val="es-ES_tradnl"/>
        </w:rPr>
      </w:pPr>
    </w:p>
    <w:p w:rsidRPr="001C75C1" w:rsidR="000E48D2" w:rsidP="000E48D2" w:rsidRDefault="000E48D2" w14:paraId="119B8B17" w14:textId="77777777">
      <w:pPr>
        <w:jc w:val="both"/>
        <w:rPr>
          <w:rFonts w:ascii="Arial" w:hAnsi="Arial" w:cs="Arial"/>
          <w:noProof/>
          <w:color w:val="000000" w:themeColor="text1"/>
          <w:sz w:val="20"/>
          <w:szCs w:val="20"/>
          <w:lang w:val="es-ES_tradnl"/>
        </w:rPr>
      </w:pPr>
    </w:p>
    <w:p w:rsidRPr="001C75C1" w:rsidR="000E48D2" w:rsidP="000E48D2" w:rsidRDefault="000E48D2" w14:paraId="32DA15F7" w14:textId="77777777">
      <w:pPr>
        <w:jc w:val="both"/>
        <w:rPr>
          <w:rFonts w:ascii="Arial" w:hAnsi="Arial" w:cs="Arial"/>
          <w:noProof/>
          <w:color w:val="000000" w:themeColor="text1"/>
          <w:sz w:val="20"/>
          <w:szCs w:val="20"/>
          <w:lang w:val="es-ES_tradnl"/>
        </w:rPr>
      </w:pPr>
    </w:p>
    <w:p w:rsidRPr="001C75C1" w:rsidR="000E48D2" w:rsidP="000E48D2" w:rsidRDefault="000E48D2" w14:paraId="7D30F40D" w14:textId="77777777">
      <w:pPr>
        <w:jc w:val="both"/>
        <w:rPr>
          <w:rFonts w:ascii="Arial" w:hAnsi="Arial" w:cs="Arial"/>
          <w:noProof/>
          <w:color w:val="000000" w:themeColor="text1"/>
          <w:sz w:val="20"/>
          <w:szCs w:val="20"/>
          <w:lang w:val="es-ES_tradnl"/>
        </w:rPr>
      </w:pPr>
    </w:p>
    <w:p w:rsidRPr="001C75C1" w:rsidR="004912B3" w:rsidP="000E48D2" w:rsidRDefault="004912B3" w14:paraId="6B0DFB2A" w14:textId="4C45ED3B">
      <w:pPr>
        <w:jc w:val="both"/>
        <w:rPr>
          <w:rFonts w:ascii="Arial" w:hAnsi="Arial" w:cs="Arial"/>
          <w:noProof/>
          <w:color w:val="000000" w:themeColor="text1"/>
          <w:sz w:val="20"/>
          <w:szCs w:val="20"/>
          <w:lang w:val="es-ES_tradnl"/>
        </w:rPr>
      </w:pPr>
      <w:r w:rsidRPr="001C75C1">
        <w:rPr>
          <w:rFonts w:ascii="Arial" w:hAnsi="Arial" w:cs="Arial"/>
          <w:noProof/>
          <w:color w:val="000000" w:themeColor="text1"/>
          <w:sz w:val="22"/>
          <w:lang w:val="es-ES_tradnl"/>
        </w:rPr>
        <w:lastRenderedPageBreak/>
        <w:t xml:space="preserve">Bogotá D.C., </w:t>
      </w:r>
      <w:r w:rsidR="00CB764A">
        <w:rPr>
          <w:rFonts w:ascii="Arial" w:hAnsi="Arial" w:cs="Arial"/>
          <w:b/>
          <w:color w:val="000000" w:themeColor="text1"/>
          <w:sz w:val="22"/>
          <w:lang w:val="es-ES_tradnl"/>
        </w:rPr>
        <w:t>08/03/2022 07:03:</w:t>
      </w:r>
      <w:r w:rsidR="00AB2898">
        <w:rPr>
          <w:rFonts w:ascii="Arial" w:hAnsi="Arial" w:cs="Arial"/>
          <w:b/>
          <w:color w:val="000000" w:themeColor="text1"/>
          <w:sz w:val="22"/>
          <w:lang w:val="es-ES_tradnl"/>
        </w:rPr>
        <w:t>23</w:t>
      </w:r>
    </w:p>
    <w:p w:rsidRPr="001C75C1" w:rsidR="004912B3" w:rsidP="004912B3" w:rsidRDefault="004912B3" w14:paraId="126974D8" w14:textId="77777777">
      <w:pPr>
        <w:spacing w:line="276" w:lineRule="auto"/>
        <w:jc w:val="both"/>
        <w:rPr>
          <w:rFonts w:ascii="Arial" w:hAnsi="Arial" w:eastAsia="Calibri" w:cs="Arial"/>
          <w:noProof/>
          <w:color w:val="000000" w:themeColor="text1"/>
          <w:sz w:val="22"/>
          <w:szCs w:val="22"/>
          <w:lang w:val="es-ES_tradnl"/>
        </w:rPr>
      </w:pPr>
    </w:p>
    <w:p w:rsidR="00B90AF5" w:rsidP="00B90AF5" w:rsidRDefault="00B90AF5" w14:paraId="40833492" w14:textId="1675008E">
      <w:pPr>
        <w:jc w:val="right"/>
      </w:pPr>
      <w:r>
        <w:fldChar w:fldCharType="begin"/>
      </w:r>
      <w:r>
        <w:instrText xml:space="preserve"> INCLUDEPICTURE "/var/folders/z2/mpmwzz0s3w31yr1_fh2qtrr80000gn/T/com.microsoft.Word/WebArchiveCopyPasteTempFiles/page1image3981138336" \* MERGEFORMATINET </w:instrText>
      </w:r>
      <w:r>
        <w:fldChar w:fldCharType="separate"/>
      </w:r>
      <w:r>
        <w:rPr>
          <w:noProof/>
        </w:rPr>
        <w:drawing>
          <wp:inline distT="0" distB="0" distL="0" distR="0" wp14:anchorId="1B770839" wp14:editId="4DC4EAEA">
            <wp:extent cx="2398395" cy="609600"/>
            <wp:effectExtent l="0" t="0" r="1905" b="0"/>
            <wp:docPr id="1" name="Imagen 1" descr="page1image3981138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981138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395" cy="609600"/>
                    </a:xfrm>
                    <a:prstGeom prst="rect">
                      <a:avLst/>
                    </a:prstGeom>
                    <a:noFill/>
                    <a:ln>
                      <a:noFill/>
                    </a:ln>
                  </pic:spPr>
                </pic:pic>
              </a:graphicData>
            </a:graphic>
          </wp:inline>
        </w:drawing>
      </w:r>
      <w:r>
        <w:fldChar w:fldCharType="end"/>
      </w:r>
    </w:p>
    <w:p w:rsidRPr="001C75C1" w:rsidR="004912B3" w:rsidP="004912B3" w:rsidRDefault="004912B3" w14:paraId="0777CBBA" w14:textId="77777777">
      <w:pPr>
        <w:jc w:val="both"/>
        <w:rPr>
          <w:rFonts w:ascii="Arial" w:hAnsi="Arial" w:cs="Arial"/>
          <w:bCs/>
          <w:color w:val="000000" w:themeColor="text1"/>
          <w:sz w:val="22"/>
          <w:lang w:val="es-ES_tradnl"/>
        </w:rPr>
      </w:pPr>
    </w:p>
    <w:p w:rsidRPr="001C75C1" w:rsidR="00F45069" w:rsidP="00F45069" w:rsidRDefault="00F45069" w14:paraId="41396698" w14:textId="3D406921">
      <w:pPr>
        <w:jc w:val="right"/>
        <w:rPr>
          <w:rFonts w:ascii="Arial" w:hAnsi="Arial" w:cs="Arial"/>
          <w:lang w:val="es-ES_tradnl"/>
        </w:rPr>
      </w:pPr>
    </w:p>
    <w:p w:rsidRPr="001C75C1" w:rsidR="00B95C30" w:rsidP="00B66E42" w:rsidRDefault="00B95C30" w14:paraId="6A8A869B" w14:textId="77777777">
      <w:pPr>
        <w:jc w:val="right"/>
        <w:rPr>
          <w:rFonts w:ascii="Arial" w:hAnsi="Arial" w:cs="Arial"/>
          <w:b/>
          <w:color w:val="000000" w:themeColor="text1"/>
          <w:sz w:val="22"/>
          <w:lang w:val="es-ES_tradnl"/>
        </w:rPr>
      </w:pPr>
    </w:p>
    <w:p w:rsidRPr="001C75C1" w:rsidR="00B95C30" w:rsidP="00B95C30" w:rsidRDefault="00B95C30" w14:paraId="5F5AE9EF" w14:textId="42E91CA7">
      <w:pPr>
        <w:jc w:val="both"/>
        <w:rPr>
          <w:rFonts w:ascii="Arial" w:hAnsi="Arial" w:eastAsia="Calibri" w:cs="Arial"/>
          <w:color w:val="000000" w:themeColor="text1"/>
          <w:sz w:val="22"/>
          <w:lang w:val="es-ES_tradnl"/>
        </w:rPr>
      </w:pPr>
      <w:r w:rsidRPr="001C75C1">
        <w:rPr>
          <w:rFonts w:ascii="Arial" w:hAnsi="Arial" w:eastAsia="Calibri" w:cs="Arial"/>
          <w:color w:val="000000" w:themeColor="text1"/>
          <w:sz w:val="22"/>
          <w:lang w:val="es-ES_tradnl"/>
        </w:rPr>
        <w:t>Señor</w:t>
      </w:r>
      <w:r w:rsidRPr="001C75C1" w:rsidR="007831EE">
        <w:rPr>
          <w:rFonts w:ascii="Arial" w:hAnsi="Arial" w:eastAsia="Calibri" w:cs="Arial"/>
          <w:color w:val="000000" w:themeColor="text1"/>
          <w:sz w:val="22"/>
          <w:lang w:val="es-ES_tradnl"/>
        </w:rPr>
        <w:t>a</w:t>
      </w:r>
    </w:p>
    <w:p w:rsidRPr="001C75C1" w:rsidR="00C875EC" w:rsidP="00B95C30" w:rsidRDefault="007831EE" w14:paraId="6B9E9EA5" w14:textId="591230EF">
      <w:pPr>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Sandra Milena Díaz Orjuela</w:t>
      </w:r>
    </w:p>
    <w:p w:rsidRPr="001C75C1" w:rsidR="00B95C30" w:rsidP="00B95C30" w:rsidRDefault="00D461B4" w14:paraId="3F3D1203" w14:textId="3CC99CC0">
      <w:pPr>
        <w:jc w:val="both"/>
        <w:rPr>
          <w:rFonts w:ascii="Arial" w:hAnsi="Arial" w:eastAsia="Calibri" w:cs="Arial"/>
          <w:color w:val="000000" w:themeColor="text1"/>
          <w:sz w:val="22"/>
          <w:lang w:val="es-ES_tradnl"/>
        </w:rPr>
      </w:pPr>
      <w:r w:rsidRPr="001C75C1">
        <w:rPr>
          <w:rFonts w:ascii="Arial" w:hAnsi="Arial" w:cs="Arial"/>
          <w:noProof/>
          <w:color w:val="000000" w:themeColor="text1"/>
          <w:sz w:val="22"/>
          <w:lang w:val="es-ES_tradnl"/>
        </w:rPr>
        <w:t>Bogotá D.C.</w:t>
      </w:r>
    </w:p>
    <w:p w:rsidRPr="001C75C1" w:rsidR="00B95C30" w:rsidP="00B95C30" w:rsidRDefault="00B95C30" w14:paraId="24E8D2A9" w14:textId="77777777">
      <w:pPr>
        <w:jc w:val="both"/>
        <w:rPr>
          <w:rFonts w:ascii="Arial" w:hAnsi="Arial" w:eastAsia="Calibri" w:cs="Arial"/>
          <w:color w:val="000000" w:themeColor="text1"/>
          <w:sz w:val="22"/>
          <w:lang w:val="es-ES_tradnl"/>
        </w:rPr>
      </w:pPr>
    </w:p>
    <w:p w:rsidRPr="001C75C1" w:rsidR="00B95C30" w:rsidP="00B95C30" w:rsidRDefault="00B95C30" w14:paraId="12E66182" w14:textId="51EB9CEA">
      <w:pPr>
        <w:jc w:val="center"/>
        <w:rPr>
          <w:rFonts w:ascii="Arial" w:hAnsi="Arial" w:eastAsia="Calibri" w:cs="Arial"/>
          <w:b/>
          <w:bCs/>
          <w:color w:val="000000" w:themeColor="text1"/>
          <w:sz w:val="22"/>
          <w:lang w:val="es-ES_tradnl"/>
        </w:rPr>
      </w:pPr>
      <w:r w:rsidRPr="001C75C1">
        <w:rPr>
          <w:rFonts w:ascii="Arial" w:hAnsi="Arial" w:eastAsia="Calibri" w:cs="Arial"/>
          <w:b/>
          <w:bCs/>
          <w:color w:val="000000" w:themeColor="text1"/>
          <w:sz w:val="22"/>
          <w:lang w:val="es-ES_tradnl"/>
        </w:rPr>
        <w:t xml:space="preserve">Concepto C ‒ </w:t>
      </w:r>
      <w:r w:rsidRPr="001C75C1" w:rsidR="00A246EE">
        <w:rPr>
          <w:rFonts w:ascii="Arial" w:hAnsi="Arial" w:eastAsia="Calibri" w:cs="Arial"/>
          <w:b/>
          <w:bCs/>
          <w:color w:val="000000" w:themeColor="text1"/>
          <w:sz w:val="22"/>
          <w:lang w:val="es-ES_tradnl"/>
        </w:rPr>
        <w:t>057</w:t>
      </w:r>
      <w:r w:rsidRPr="001C75C1">
        <w:rPr>
          <w:rFonts w:ascii="Arial" w:hAnsi="Arial" w:eastAsia="Calibri" w:cs="Arial"/>
          <w:b/>
          <w:bCs/>
          <w:color w:val="000000" w:themeColor="text1"/>
          <w:sz w:val="22"/>
          <w:lang w:val="es-ES_tradnl"/>
        </w:rPr>
        <w:t xml:space="preserve"> de 202</w:t>
      </w:r>
      <w:r w:rsidRPr="001C75C1" w:rsidR="009A5D43">
        <w:rPr>
          <w:rFonts w:ascii="Arial" w:hAnsi="Arial" w:eastAsia="Calibri" w:cs="Arial"/>
          <w:b/>
          <w:bCs/>
          <w:color w:val="000000" w:themeColor="text1"/>
          <w:sz w:val="22"/>
          <w:lang w:val="es-ES_tradnl"/>
        </w:rPr>
        <w:t>2</w:t>
      </w:r>
    </w:p>
    <w:p w:rsidRPr="001C75C1" w:rsidR="00B95C30" w:rsidP="00B95C30" w:rsidRDefault="00B95C30" w14:paraId="2B376FFA" w14:textId="77777777">
      <w:pPr>
        <w:jc w:val="both"/>
        <w:rPr>
          <w:rFonts w:ascii="Arial" w:hAnsi="Arial" w:eastAsia="Calibri" w:cs="Arial"/>
          <w:color w:val="000000" w:themeColor="text1"/>
          <w:sz w:val="22"/>
          <w:lang w:val="es-ES_tradnl"/>
        </w:rPr>
      </w:pPr>
    </w:p>
    <w:p w:rsidRPr="001C75C1" w:rsidR="00B95C30" w:rsidP="00B95C30" w:rsidRDefault="00B95C30" w14:paraId="08CF82B2" w14:textId="77777777">
      <w:pPr>
        <w:jc w:val="both"/>
        <w:rPr>
          <w:rFonts w:ascii="Arial" w:hAnsi="Arial" w:eastAsia="Calibri" w:cs="Arial"/>
          <w:color w:val="000000" w:themeColor="text1"/>
          <w:sz w:val="22"/>
          <w:lang w:val="es-ES_tradnl"/>
        </w:rPr>
      </w:pPr>
    </w:p>
    <w:p w:rsidRPr="001C75C1"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C75C1" w:rsidR="009342B6" w:rsidTr="00961A9D" w14:paraId="19DFC051" w14:textId="77777777">
        <w:tc>
          <w:tcPr>
            <w:tcW w:w="2689" w:type="dxa"/>
          </w:tcPr>
          <w:p w:rsidRPr="001C75C1" w:rsidR="00B95C30" w:rsidP="003D3D44" w:rsidRDefault="00B95C30" w14:paraId="6BC0D1AC" w14:textId="77777777">
            <w:pPr>
              <w:jc w:val="both"/>
              <w:rPr>
                <w:rFonts w:ascii="Arial" w:hAnsi="Arial" w:eastAsia="Calibri" w:cs="Arial"/>
                <w:color w:val="000000" w:themeColor="text1"/>
                <w:sz w:val="22"/>
                <w:lang w:val="es-ES_tradnl"/>
              </w:rPr>
            </w:pPr>
            <w:r w:rsidRPr="001C75C1">
              <w:rPr>
                <w:rFonts w:ascii="Arial" w:hAnsi="Arial" w:eastAsia="Calibri" w:cs="Arial"/>
                <w:b/>
                <w:color w:val="000000" w:themeColor="text1"/>
                <w:sz w:val="22"/>
                <w:lang w:val="es-ES_tradnl"/>
              </w:rPr>
              <w:t>Temas:</w:t>
            </w:r>
            <w:r w:rsidRPr="001C75C1">
              <w:rPr>
                <w:rFonts w:ascii="Arial" w:hAnsi="Arial" w:eastAsia="Calibri" w:cs="Arial"/>
                <w:color w:val="000000" w:themeColor="text1"/>
                <w:sz w:val="22"/>
                <w:lang w:val="es-ES_tradnl"/>
              </w:rPr>
              <w:t xml:space="preserve">                                      </w:t>
            </w:r>
          </w:p>
        </w:tc>
        <w:tc>
          <w:tcPr>
            <w:tcW w:w="6237" w:type="dxa"/>
            <w:shd w:val="clear" w:color="auto" w:fill="auto"/>
          </w:tcPr>
          <w:p w:rsidRPr="001C75C1" w:rsidR="00B95C30" w:rsidP="0038512F" w:rsidRDefault="00B020EB" w14:paraId="5F389CAF" w14:textId="018043E7">
            <w:pPr>
              <w:pStyle w:val="Sinespaciado"/>
              <w:jc w:val="both"/>
              <w:rPr>
                <w:rFonts w:ascii="Arial" w:hAnsi="Arial" w:cs="Arial"/>
                <w:bCs/>
                <w:color w:val="000000" w:themeColor="text1"/>
                <w:sz w:val="22"/>
                <w:lang w:val="es-ES_tradnl"/>
              </w:rPr>
            </w:pPr>
            <w:r w:rsidRPr="001C75C1">
              <w:rPr>
                <w:rFonts w:ascii="Arial" w:hAnsi="Arial" w:eastAsia="Calibri" w:cs="Arial"/>
                <w:color w:val="000000" w:themeColor="text1"/>
                <w:sz w:val="22"/>
                <w:lang w:val="es-ES_tradnl"/>
              </w:rPr>
              <w:t xml:space="preserve">SELECCIÓN OBJETIVA – Contratación estatal – Concepto / EMPATE – Procedimiento de selección – Concepto / FACTORES DE DESEMPATE – Características – Límites / LEY DE EMPRENDIMIENTO – Ley 2069 de 2020 – Vigencia / </w:t>
            </w:r>
            <w:r w:rsidRPr="001C75C1" w:rsidR="00961A9D">
              <w:rPr>
                <w:rFonts w:ascii="Arial" w:hAnsi="Arial" w:eastAsia="Calibri" w:cs="Arial"/>
                <w:color w:val="000000" w:themeColor="text1"/>
                <w:sz w:val="22"/>
                <w:lang w:val="es-ES_tradnl"/>
              </w:rPr>
              <w:t>PARTICIPACIÓN MAYORITARIA – Ley 2069 – Artículo 35 – Numeral 2 – Interpretación</w:t>
            </w:r>
            <w:r w:rsidRPr="001C75C1" w:rsidR="00F37E5F">
              <w:rPr>
                <w:rFonts w:ascii="Arial" w:hAnsi="Arial" w:eastAsia="Calibri" w:cs="Arial"/>
                <w:color w:val="000000" w:themeColor="text1"/>
                <w:sz w:val="22"/>
                <w:lang w:val="es-ES_tradnl"/>
              </w:rPr>
              <w:t xml:space="preserve"> – Decreto 1860 de 2021</w:t>
            </w:r>
            <w:r w:rsidRPr="001C75C1" w:rsidR="00F42B8C">
              <w:rPr>
                <w:rFonts w:ascii="Arial" w:hAnsi="Arial" w:eastAsia="Calibri" w:cs="Arial"/>
                <w:color w:val="000000" w:themeColor="text1"/>
                <w:sz w:val="22"/>
                <w:lang w:val="es-ES_tradnl"/>
              </w:rPr>
              <w:t xml:space="preserve">.        </w:t>
            </w:r>
          </w:p>
        </w:tc>
      </w:tr>
      <w:tr w:rsidRPr="001C75C1" w:rsidR="009342B6" w:rsidTr="003D3D44" w14:paraId="27CD52AB" w14:textId="77777777">
        <w:tc>
          <w:tcPr>
            <w:tcW w:w="2689" w:type="dxa"/>
          </w:tcPr>
          <w:p w:rsidRPr="001C75C1" w:rsidR="00B95C30" w:rsidP="003D3D44" w:rsidRDefault="00B95C30" w14:paraId="37E195A1" w14:textId="4C368209">
            <w:pPr>
              <w:spacing w:before="120"/>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Radicación:</w:t>
            </w:r>
            <w:r w:rsidRPr="001C75C1">
              <w:rPr>
                <w:rFonts w:ascii="Arial" w:hAnsi="Arial" w:eastAsia="Calibri" w:cs="Arial"/>
                <w:color w:val="000000" w:themeColor="text1"/>
                <w:sz w:val="22"/>
                <w:lang w:val="es-ES_tradnl"/>
              </w:rPr>
              <w:t xml:space="preserve">                              </w:t>
            </w:r>
          </w:p>
        </w:tc>
        <w:tc>
          <w:tcPr>
            <w:tcW w:w="6237" w:type="dxa"/>
          </w:tcPr>
          <w:p w:rsidRPr="001C75C1" w:rsidR="00B95C30" w:rsidP="003D3D44" w:rsidRDefault="00B95C30" w14:paraId="64360FC9" w14:textId="5B718045">
            <w:pPr>
              <w:spacing w:before="120"/>
              <w:jc w:val="both"/>
              <w:rPr>
                <w:rFonts w:ascii="Arial" w:hAnsi="Arial" w:eastAsia="Calibri" w:cs="Arial"/>
                <w:color w:val="000000" w:themeColor="text1"/>
                <w:sz w:val="22"/>
                <w:lang w:val="es-ES_tradnl"/>
              </w:rPr>
            </w:pPr>
            <w:r w:rsidRPr="001C75C1">
              <w:rPr>
                <w:rFonts w:ascii="Arial" w:hAnsi="Arial" w:eastAsia="Calibri" w:cs="Arial"/>
                <w:color w:val="000000" w:themeColor="text1"/>
                <w:sz w:val="22"/>
                <w:lang w:val="es-ES_tradnl"/>
              </w:rPr>
              <w:t xml:space="preserve">Respuesta a consulta # </w:t>
            </w:r>
            <w:r w:rsidRPr="001C75C1" w:rsidR="000E18DB">
              <w:rPr>
                <w:rFonts w:ascii="Arial" w:hAnsi="Arial" w:eastAsia="Calibri" w:cs="Arial"/>
                <w:color w:val="000000" w:themeColor="text1"/>
                <w:sz w:val="22"/>
                <w:lang w:val="es-ES_tradnl"/>
              </w:rPr>
              <w:t>P20220125000602</w:t>
            </w:r>
          </w:p>
          <w:p w:rsidRPr="001C75C1" w:rsidR="00B95C30" w:rsidP="003D3D44" w:rsidRDefault="00B95C30" w14:paraId="09088B1B" w14:textId="77777777">
            <w:pPr>
              <w:spacing w:before="120"/>
              <w:jc w:val="both"/>
              <w:rPr>
                <w:rFonts w:ascii="Arial" w:hAnsi="Arial" w:eastAsia="Calibri" w:cs="Arial"/>
                <w:color w:val="000000" w:themeColor="text1"/>
                <w:sz w:val="22"/>
                <w:lang w:val="es-ES_tradnl"/>
              </w:rPr>
            </w:pPr>
            <w:r w:rsidRPr="001C75C1">
              <w:rPr>
                <w:rFonts w:ascii="Arial" w:hAnsi="Arial" w:eastAsia="Calibri" w:cs="Arial"/>
                <w:color w:val="000000" w:themeColor="text1"/>
                <w:sz w:val="22"/>
                <w:lang w:val="es-ES_tradnl"/>
              </w:rPr>
              <w:t xml:space="preserve"> </w:t>
            </w:r>
          </w:p>
        </w:tc>
      </w:tr>
    </w:tbl>
    <w:p w:rsidRPr="001C75C1" w:rsidR="003C3339" w:rsidP="003C3339" w:rsidRDefault="003C3339" w14:paraId="1CF4AEA0" w14:textId="1365DCBF">
      <w:pPr>
        <w:jc w:val="both"/>
        <w:rPr>
          <w:rFonts w:ascii="Arial" w:hAnsi="Arial" w:eastAsia="Calibri" w:cs="Arial"/>
          <w:color w:val="000000" w:themeColor="text1"/>
          <w:sz w:val="22"/>
          <w:lang w:val="es-ES_tradnl"/>
        </w:rPr>
      </w:pPr>
      <w:r w:rsidRPr="001C75C1">
        <w:rPr>
          <w:rFonts w:ascii="Arial" w:hAnsi="Arial" w:eastAsia="Calibri" w:cs="Arial"/>
          <w:color w:val="000000" w:themeColor="text1"/>
          <w:sz w:val="22"/>
          <w:lang w:val="es-ES_tradnl"/>
        </w:rPr>
        <w:t>Estimad</w:t>
      </w:r>
      <w:r w:rsidRPr="001C75C1" w:rsidR="003D522C">
        <w:rPr>
          <w:rFonts w:ascii="Arial" w:hAnsi="Arial" w:eastAsia="Calibri" w:cs="Arial"/>
          <w:color w:val="000000" w:themeColor="text1"/>
          <w:sz w:val="22"/>
          <w:lang w:val="es-ES_tradnl"/>
        </w:rPr>
        <w:t>a</w:t>
      </w:r>
      <w:r w:rsidRPr="001C75C1">
        <w:rPr>
          <w:rFonts w:ascii="Arial" w:hAnsi="Arial" w:eastAsia="Calibri" w:cs="Arial"/>
          <w:color w:val="000000" w:themeColor="text1"/>
          <w:sz w:val="22"/>
          <w:lang w:val="es-ES_tradnl"/>
        </w:rPr>
        <w:t xml:space="preserve"> </w:t>
      </w:r>
      <w:r w:rsidRPr="001C75C1" w:rsidR="00677E9C">
        <w:rPr>
          <w:rFonts w:ascii="Arial" w:hAnsi="Arial" w:eastAsia="Calibri" w:cs="Arial"/>
          <w:color w:val="000000" w:themeColor="text1"/>
          <w:sz w:val="22"/>
          <w:lang w:val="es-ES_tradnl"/>
        </w:rPr>
        <w:t>señor</w:t>
      </w:r>
      <w:r w:rsidRPr="001C75C1" w:rsidR="003D522C">
        <w:rPr>
          <w:rFonts w:ascii="Arial" w:hAnsi="Arial" w:eastAsia="Calibri" w:cs="Arial"/>
          <w:color w:val="000000" w:themeColor="text1"/>
          <w:sz w:val="22"/>
          <w:lang w:val="es-ES_tradnl"/>
        </w:rPr>
        <w:t>a</w:t>
      </w:r>
      <w:r w:rsidRPr="001C75C1" w:rsidR="00677E9C">
        <w:rPr>
          <w:rFonts w:ascii="Arial" w:hAnsi="Arial" w:eastAsia="Calibri" w:cs="Arial"/>
          <w:color w:val="000000" w:themeColor="text1"/>
          <w:sz w:val="22"/>
          <w:lang w:val="es-ES_tradnl"/>
        </w:rPr>
        <w:t xml:space="preserve"> </w:t>
      </w:r>
      <w:r w:rsidRPr="001C75C1" w:rsidR="003D522C">
        <w:rPr>
          <w:rFonts w:ascii="Arial" w:hAnsi="Arial" w:eastAsia="Calibri" w:cs="Arial"/>
          <w:color w:val="000000" w:themeColor="text1"/>
          <w:sz w:val="22"/>
          <w:lang w:val="es-ES_tradnl"/>
        </w:rPr>
        <w:t>Díaz</w:t>
      </w:r>
      <w:r w:rsidRPr="001C75C1">
        <w:rPr>
          <w:rFonts w:ascii="Arial" w:hAnsi="Arial" w:eastAsia="Calibri" w:cs="Arial"/>
          <w:color w:val="000000" w:themeColor="text1"/>
          <w:sz w:val="22"/>
          <w:lang w:val="es-ES_tradnl"/>
        </w:rPr>
        <w:t>:</w:t>
      </w:r>
    </w:p>
    <w:p w:rsidRPr="001C75C1" w:rsidR="00DD5B04" w:rsidP="00DF76A2" w:rsidRDefault="00DD5B04" w14:paraId="1EAE5543" w14:textId="77777777">
      <w:pPr>
        <w:jc w:val="both"/>
        <w:rPr>
          <w:rFonts w:ascii="Arial" w:hAnsi="Arial" w:eastAsia="Calibri" w:cs="Arial"/>
          <w:color w:val="000000" w:themeColor="text1"/>
          <w:sz w:val="22"/>
          <w:lang w:val="es-ES_tradnl"/>
        </w:rPr>
      </w:pPr>
    </w:p>
    <w:p w:rsidRPr="001C75C1" w:rsidR="00DD5B04" w:rsidP="00DF76A2" w:rsidRDefault="00DD5B04" w14:paraId="2109B2D3" w14:textId="3CBFC16B">
      <w:pPr>
        <w:spacing w:line="276" w:lineRule="auto"/>
        <w:jc w:val="both"/>
        <w:rPr>
          <w:rFonts w:ascii="Arial" w:hAnsi="Arial" w:eastAsia="Calibri" w:cs="Arial"/>
          <w:color w:val="000000" w:themeColor="text1"/>
          <w:sz w:val="22"/>
          <w:lang w:val="es-ES_tradnl"/>
        </w:rPr>
      </w:pPr>
      <w:r w:rsidRPr="001C75C1">
        <w:rPr>
          <w:rFonts w:ascii="Arial" w:hAnsi="Arial" w:eastAsia="Calibri" w:cs="Arial"/>
          <w:color w:val="000000" w:themeColor="text1"/>
          <w:sz w:val="22"/>
          <w:lang w:val="es-ES_tradnl"/>
        </w:rPr>
        <w:t>En ejercicio de la competencia otorgada por el numeral 8 del artículo 11 y el numeral 5 del artículo 3 del Decreto Ley 4170 de 2011,</w:t>
      </w:r>
      <w:r w:rsidRPr="001C75C1" w:rsidR="00AB1340">
        <w:rPr>
          <w:rFonts w:ascii="Arial" w:hAnsi="Arial" w:eastAsia="Calibri" w:cs="Arial"/>
          <w:color w:val="000000" w:themeColor="text1"/>
          <w:sz w:val="22"/>
          <w:lang w:val="es-ES_tradnl"/>
        </w:rPr>
        <w:t xml:space="preserve"> </w:t>
      </w:r>
      <w:r w:rsidRPr="001C75C1">
        <w:rPr>
          <w:rFonts w:ascii="Arial" w:hAnsi="Arial" w:eastAsia="Calibri" w:cs="Arial"/>
          <w:color w:val="000000" w:themeColor="text1"/>
          <w:sz w:val="22"/>
          <w:lang w:val="es-ES_tradnl"/>
        </w:rPr>
        <w:t>la Agencia Nacional de Contratación Pública ― Colombia Compra Eficiente</w:t>
      </w:r>
      <w:r w:rsidRPr="001C75C1" w:rsidR="008C3C57">
        <w:rPr>
          <w:rFonts w:ascii="Arial" w:hAnsi="Arial" w:eastAsia="Calibri" w:cs="Arial"/>
          <w:color w:val="000000" w:themeColor="text1"/>
          <w:sz w:val="22"/>
          <w:lang w:val="es-ES_tradnl"/>
        </w:rPr>
        <w:t xml:space="preserve"> </w:t>
      </w:r>
      <w:r w:rsidRPr="001C75C1">
        <w:rPr>
          <w:rFonts w:ascii="Arial" w:hAnsi="Arial" w:eastAsia="Calibri" w:cs="Arial"/>
          <w:color w:val="000000" w:themeColor="text1"/>
          <w:sz w:val="22"/>
          <w:lang w:val="es-ES_tradnl"/>
        </w:rPr>
        <w:t xml:space="preserve">responde su consulta del </w:t>
      </w:r>
      <w:r w:rsidRPr="001C75C1" w:rsidR="00A10171">
        <w:rPr>
          <w:rFonts w:ascii="Arial" w:hAnsi="Arial" w:eastAsia="Calibri" w:cs="Arial"/>
          <w:color w:val="000000" w:themeColor="text1"/>
          <w:sz w:val="22"/>
          <w:lang w:val="es-ES_tradnl"/>
        </w:rPr>
        <w:t xml:space="preserve">9 de diciembre de 2021, remitida a esta entidad por falta de competencia, por parte de </w:t>
      </w:r>
      <w:r w:rsidRPr="001C75C1" w:rsidR="000C3729">
        <w:rPr>
          <w:rFonts w:ascii="Arial" w:hAnsi="Arial" w:eastAsia="Calibri" w:cs="Arial"/>
          <w:color w:val="000000" w:themeColor="text1"/>
          <w:sz w:val="22"/>
          <w:lang w:val="es-ES_tradnl"/>
        </w:rPr>
        <w:t>la Superintendencia de Sociedades, mediante oficio con radicado No. 2022-01</w:t>
      </w:r>
      <w:r w:rsidRPr="001C75C1" w:rsidR="006933D6">
        <w:rPr>
          <w:rFonts w:ascii="Arial" w:hAnsi="Arial" w:eastAsia="Calibri" w:cs="Arial"/>
          <w:color w:val="000000" w:themeColor="text1"/>
          <w:sz w:val="22"/>
          <w:lang w:val="es-ES_tradnl"/>
        </w:rPr>
        <w:t>-020237 del 24 de enero de 2022</w:t>
      </w:r>
      <w:r w:rsidRPr="001C75C1" w:rsidR="008C3C57">
        <w:rPr>
          <w:rFonts w:ascii="Arial" w:hAnsi="Arial" w:eastAsia="Calibri" w:cs="Arial"/>
          <w:color w:val="000000" w:themeColor="text1"/>
          <w:sz w:val="22"/>
          <w:lang w:val="es-ES_tradnl"/>
        </w:rPr>
        <w:t>.</w:t>
      </w:r>
    </w:p>
    <w:p w:rsidRPr="001C75C1"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1C75C1"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 xml:space="preserve">Problema planteado </w:t>
      </w:r>
    </w:p>
    <w:p w:rsidRPr="001C75C1"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1C75C1" w:rsidR="00487B8C" w:rsidP="00D658FC" w:rsidRDefault="00DD5B04" w14:paraId="23AB0EF4" w14:textId="1B8D5500">
      <w:pPr>
        <w:spacing w:line="276" w:lineRule="auto"/>
        <w:jc w:val="both"/>
        <w:rPr>
          <w:rFonts w:ascii="Arial" w:hAnsi="Arial" w:eastAsia="Calibri" w:cs="Arial"/>
          <w:color w:val="000000" w:themeColor="text1"/>
          <w:sz w:val="22"/>
          <w:lang w:val="es-ES_tradnl"/>
        </w:rPr>
      </w:pPr>
      <w:r w:rsidRPr="001C75C1">
        <w:rPr>
          <w:rFonts w:ascii="Arial" w:hAnsi="Arial" w:cs="Arial"/>
          <w:color w:val="000000" w:themeColor="text1"/>
          <w:sz w:val="22"/>
          <w:lang w:val="es-ES_tradnl"/>
        </w:rPr>
        <w:t xml:space="preserve">Usted </w:t>
      </w:r>
      <w:r w:rsidRPr="001C75C1" w:rsidR="00487B8C">
        <w:rPr>
          <w:rFonts w:ascii="Arial" w:hAnsi="Arial" w:cs="Arial"/>
          <w:color w:val="000000" w:themeColor="text1"/>
          <w:sz w:val="22"/>
          <w:lang w:val="es-ES_tradnl"/>
        </w:rPr>
        <w:t>realiza la siguiente consulta, en relación con la interpretación del</w:t>
      </w:r>
      <w:r w:rsidRPr="001C75C1" w:rsidR="002656D8">
        <w:rPr>
          <w:rFonts w:ascii="Arial" w:hAnsi="Arial" w:cs="Arial"/>
          <w:color w:val="000000" w:themeColor="text1"/>
          <w:sz w:val="22"/>
          <w:lang w:val="es-ES_tradnl"/>
        </w:rPr>
        <w:t xml:space="preserve"> factor de desempate consagrado en el artículo 35, numeral 2, de la Ley 2069 de 2020</w:t>
      </w:r>
      <w:r w:rsidRPr="001C75C1" w:rsidR="00D658FC">
        <w:rPr>
          <w:rFonts w:ascii="Arial" w:hAnsi="Arial" w:eastAsia="Calibri" w:cs="Arial"/>
          <w:color w:val="000000" w:themeColor="text1"/>
          <w:sz w:val="22"/>
          <w:lang w:val="es-ES_tradnl"/>
        </w:rPr>
        <w:t xml:space="preserve">: </w:t>
      </w:r>
    </w:p>
    <w:p w:rsidRPr="001C75C1" w:rsidR="00487B8C" w:rsidP="00D658FC" w:rsidRDefault="00487B8C" w14:paraId="0C8A1658" w14:textId="77777777">
      <w:pPr>
        <w:spacing w:line="276" w:lineRule="auto"/>
        <w:jc w:val="both"/>
        <w:rPr>
          <w:rFonts w:ascii="Arial" w:hAnsi="Arial" w:eastAsia="Calibri" w:cs="Arial"/>
          <w:color w:val="000000" w:themeColor="text1"/>
          <w:sz w:val="22"/>
          <w:lang w:val="es-ES_tradnl"/>
        </w:rPr>
      </w:pPr>
    </w:p>
    <w:p w:rsidRPr="001C75C1" w:rsidR="00B75972" w:rsidP="00553027" w:rsidRDefault="00553027" w14:paraId="0EF4AE16" w14:textId="749A8627">
      <w:pPr>
        <w:ind w:left="709" w:right="709"/>
        <w:jc w:val="both"/>
        <w:rPr>
          <w:rFonts w:ascii="Arial" w:hAnsi="Arial" w:eastAsia="Calibri" w:cs="Arial"/>
          <w:color w:val="000000" w:themeColor="text1"/>
          <w:sz w:val="21"/>
          <w:szCs w:val="21"/>
          <w:lang w:val="es-ES_tradnl"/>
        </w:rPr>
      </w:pPr>
      <w:r w:rsidRPr="001C75C1">
        <w:rPr>
          <w:rFonts w:ascii="Arial" w:hAnsi="Arial" w:eastAsia="Calibri" w:cs="Arial"/>
          <w:color w:val="000000" w:themeColor="text1"/>
          <w:sz w:val="21"/>
          <w:szCs w:val="21"/>
          <w:lang w:val="es-ES_tradnl"/>
        </w:rPr>
        <w:t xml:space="preserve">«Solicito de manera atenta se me indique cuál es el alcance que se debe dar al texto resaltado, en el sentido de determinar si esa participación mayoritaria corresponde necesariamente a una participación igual o superior al 51% de la </w:t>
      </w:r>
      <w:r w:rsidRPr="001C75C1" w:rsidR="000531F8">
        <w:rPr>
          <w:rFonts w:ascii="Arial" w:hAnsi="Arial" w:eastAsia="Calibri" w:cs="Arial"/>
          <w:color w:val="000000" w:themeColor="text1"/>
          <w:sz w:val="21"/>
          <w:szCs w:val="21"/>
          <w:lang w:val="es-ES_tradnl"/>
        </w:rPr>
        <w:t>composición</w:t>
      </w:r>
      <w:r w:rsidRPr="001C75C1">
        <w:rPr>
          <w:rFonts w:ascii="Arial" w:hAnsi="Arial" w:eastAsia="Calibri" w:cs="Arial"/>
          <w:color w:val="000000" w:themeColor="text1"/>
          <w:sz w:val="21"/>
          <w:szCs w:val="21"/>
          <w:lang w:val="es-ES_tradnl"/>
        </w:rPr>
        <w:t xml:space="preserve"> accionaria, o si debe entenderse como la </w:t>
      </w:r>
      <w:r w:rsidRPr="001C75C1" w:rsidR="000531F8">
        <w:rPr>
          <w:rFonts w:ascii="Arial" w:hAnsi="Arial" w:eastAsia="Calibri" w:cs="Arial"/>
          <w:color w:val="000000" w:themeColor="text1"/>
          <w:sz w:val="21"/>
          <w:szCs w:val="21"/>
          <w:lang w:val="es-ES_tradnl"/>
        </w:rPr>
        <w:t>participación</w:t>
      </w:r>
      <w:r w:rsidRPr="001C75C1">
        <w:rPr>
          <w:rFonts w:ascii="Arial" w:hAnsi="Arial" w:eastAsia="Calibri" w:cs="Arial"/>
          <w:color w:val="000000" w:themeColor="text1"/>
          <w:sz w:val="21"/>
          <w:szCs w:val="21"/>
          <w:lang w:val="es-ES_tradnl"/>
        </w:rPr>
        <w:t xml:space="preserve"> que implique el mayor </w:t>
      </w:r>
      <w:r w:rsidRPr="001C75C1" w:rsidR="000531F8">
        <w:rPr>
          <w:rFonts w:ascii="Arial" w:hAnsi="Arial" w:eastAsia="Calibri" w:cs="Arial"/>
          <w:color w:val="000000" w:themeColor="text1"/>
          <w:sz w:val="21"/>
          <w:szCs w:val="21"/>
          <w:lang w:val="es-ES_tradnl"/>
        </w:rPr>
        <w:t>número</w:t>
      </w:r>
      <w:r w:rsidRPr="001C75C1">
        <w:rPr>
          <w:rFonts w:ascii="Arial" w:hAnsi="Arial" w:eastAsia="Calibri" w:cs="Arial"/>
          <w:color w:val="000000" w:themeColor="text1"/>
          <w:sz w:val="21"/>
          <w:szCs w:val="21"/>
          <w:lang w:val="es-ES_tradnl"/>
        </w:rPr>
        <w:t xml:space="preserve"> de acciones dentro de la </w:t>
      </w:r>
      <w:r w:rsidRPr="001C75C1" w:rsidR="000531F8">
        <w:rPr>
          <w:rFonts w:ascii="Arial" w:hAnsi="Arial" w:eastAsia="Calibri" w:cs="Arial"/>
          <w:color w:val="000000" w:themeColor="text1"/>
          <w:sz w:val="21"/>
          <w:szCs w:val="21"/>
          <w:lang w:val="es-ES_tradnl"/>
        </w:rPr>
        <w:t>composición</w:t>
      </w:r>
      <w:r w:rsidRPr="001C75C1">
        <w:rPr>
          <w:rFonts w:ascii="Arial" w:hAnsi="Arial" w:eastAsia="Calibri" w:cs="Arial"/>
          <w:color w:val="000000" w:themeColor="text1"/>
          <w:sz w:val="21"/>
          <w:szCs w:val="21"/>
          <w:lang w:val="es-ES_tradnl"/>
        </w:rPr>
        <w:t xml:space="preserve"> accionaria, sin que necesariamente signifique que deba tener el 51% o </w:t>
      </w:r>
      <w:r w:rsidRPr="001C75C1" w:rsidR="000531F8">
        <w:rPr>
          <w:rFonts w:ascii="Arial" w:hAnsi="Arial" w:eastAsia="Calibri" w:cs="Arial"/>
          <w:color w:val="000000" w:themeColor="text1"/>
          <w:sz w:val="21"/>
          <w:szCs w:val="21"/>
          <w:lang w:val="es-ES_tradnl"/>
        </w:rPr>
        <w:t>más</w:t>
      </w:r>
      <w:r w:rsidRPr="001C75C1">
        <w:rPr>
          <w:rFonts w:ascii="Arial" w:hAnsi="Arial" w:eastAsia="Calibri" w:cs="Arial"/>
          <w:color w:val="000000" w:themeColor="text1"/>
          <w:sz w:val="21"/>
          <w:szCs w:val="21"/>
          <w:lang w:val="es-ES_tradnl"/>
        </w:rPr>
        <w:t xml:space="preserve"> de la </w:t>
      </w:r>
      <w:r w:rsidRPr="001C75C1" w:rsidR="000531F8">
        <w:rPr>
          <w:rFonts w:ascii="Arial" w:hAnsi="Arial" w:eastAsia="Calibri" w:cs="Arial"/>
          <w:color w:val="000000" w:themeColor="text1"/>
          <w:sz w:val="21"/>
          <w:szCs w:val="21"/>
          <w:lang w:val="es-ES_tradnl"/>
        </w:rPr>
        <w:t>participación»</w:t>
      </w:r>
      <w:r w:rsidRPr="001C75C1">
        <w:rPr>
          <w:rFonts w:ascii="Arial" w:hAnsi="Arial" w:eastAsia="Calibri" w:cs="Arial"/>
          <w:color w:val="000000" w:themeColor="text1"/>
          <w:sz w:val="21"/>
          <w:szCs w:val="21"/>
          <w:lang w:val="es-ES_tradnl"/>
        </w:rPr>
        <w:t>.</w:t>
      </w:r>
    </w:p>
    <w:p w:rsidRPr="001C75C1" w:rsidR="00553027" w:rsidP="00553027" w:rsidRDefault="00553027" w14:paraId="7DFB8F6B" w14:textId="46DEC789">
      <w:pPr>
        <w:ind w:right="709"/>
        <w:jc w:val="both"/>
        <w:rPr>
          <w:rFonts w:ascii="Arial" w:hAnsi="Arial" w:cs="Arial"/>
          <w:color w:val="000000" w:themeColor="text1"/>
          <w:sz w:val="22"/>
        </w:rPr>
      </w:pPr>
    </w:p>
    <w:p w:rsidRPr="001C75C1" w:rsidR="00AF374A" w:rsidP="00553027" w:rsidRDefault="00AF374A" w14:paraId="6B99A27E" w14:textId="77777777">
      <w:pPr>
        <w:ind w:right="709"/>
        <w:jc w:val="both"/>
        <w:rPr>
          <w:rFonts w:ascii="Arial" w:hAnsi="Arial" w:cs="Arial"/>
          <w:color w:val="000000" w:themeColor="text1"/>
          <w:sz w:val="22"/>
        </w:rPr>
      </w:pPr>
    </w:p>
    <w:p w:rsidRPr="001C75C1"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1C75C1">
        <w:rPr>
          <w:rFonts w:ascii="Arial" w:hAnsi="Arial" w:eastAsia="Calibri" w:cs="Arial"/>
          <w:b/>
          <w:color w:val="000000" w:themeColor="text1"/>
          <w:sz w:val="22"/>
          <w:lang w:val="es-ES_tradnl"/>
        </w:rPr>
        <w:t>Consideraciones</w:t>
      </w:r>
    </w:p>
    <w:p w:rsidRPr="001C75C1" w:rsidR="00435703" w:rsidP="00DF76A2" w:rsidRDefault="00435703" w14:paraId="7D050D2E" w14:textId="4381E36A">
      <w:pPr>
        <w:spacing w:line="276" w:lineRule="auto"/>
        <w:jc w:val="both"/>
        <w:rPr>
          <w:rFonts w:ascii="Arial" w:hAnsi="Arial" w:eastAsia="Calibri" w:cs="Arial"/>
          <w:color w:val="000000" w:themeColor="text1"/>
          <w:sz w:val="22"/>
          <w:szCs w:val="22"/>
          <w:lang w:val="es-ES_tradnl"/>
        </w:rPr>
      </w:pPr>
    </w:p>
    <w:p w:rsidRPr="001C75C1" w:rsidR="009D1D53" w:rsidP="009D1D53" w:rsidRDefault="009D1D53" w14:paraId="7BBB1CC4" w14:textId="2546459C">
      <w:pPr>
        <w:spacing w:line="276" w:lineRule="auto"/>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La Subdirección de Gestión Contractual responderá la consulta</w:t>
      </w:r>
      <w:r w:rsidRPr="001C75C1" w:rsidR="001F0C34">
        <w:rPr>
          <w:rFonts w:ascii="Arial" w:hAnsi="Arial" w:eastAsia="Calibri" w:cs="Arial"/>
          <w:color w:val="000000" w:themeColor="text1"/>
          <w:sz w:val="22"/>
          <w:szCs w:val="22"/>
          <w:lang w:val="es-ES_tradnl"/>
        </w:rPr>
        <w:t xml:space="preserve"> reiterando</w:t>
      </w:r>
      <w:r w:rsidRPr="001C75C1" w:rsidR="000A47CD">
        <w:rPr>
          <w:rFonts w:ascii="Arial" w:hAnsi="Arial" w:eastAsia="Calibri" w:cs="Arial"/>
          <w:color w:val="000000" w:themeColor="text1"/>
          <w:sz w:val="22"/>
          <w:szCs w:val="22"/>
          <w:lang w:val="es-ES_tradnl"/>
        </w:rPr>
        <w:t>,</w:t>
      </w:r>
      <w:r w:rsidRPr="001C75C1" w:rsidR="001F0C34">
        <w:rPr>
          <w:rFonts w:ascii="Arial" w:hAnsi="Arial" w:eastAsia="Calibri" w:cs="Arial"/>
          <w:color w:val="000000" w:themeColor="text1"/>
          <w:sz w:val="22"/>
          <w:szCs w:val="22"/>
          <w:lang w:val="es-ES_tradnl"/>
        </w:rPr>
        <w:t xml:space="preserve"> </w:t>
      </w:r>
      <w:r w:rsidRPr="001C75C1" w:rsidR="000D5C8B">
        <w:rPr>
          <w:rFonts w:ascii="Arial" w:hAnsi="Arial" w:eastAsia="Calibri" w:cs="Arial"/>
          <w:color w:val="000000" w:themeColor="text1"/>
          <w:sz w:val="22"/>
          <w:szCs w:val="22"/>
          <w:lang w:val="es-ES_tradnl"/>
        </w:rPr>
        <w:t>esencialmente</w:t>
      </w:r>
      <w:r w:rsidRPr="001C75C1" w:rsidR="000A47CD">
        <w:rPr>
          <w:rFonts w:ascii="Arial" w:hAnsi="Arial" w:eastAsia="Calibri" w:cs="Arial"/>
          <w:color w:val="000000" w:themeColor="text1"/>
          <w:sz w:val="22"/>
          <w:szCs w:val="22"/>
          <w:lang w:val="es-ES_tradnl"/>
        </w:rPr>
        <w:t>,</w:t>
      </w:r>
      <w:r w:rsidRPr="001C75C1" w:rsidR="000D5C8B">
        <w:rPr>
          <w:rFonts w:ascii="Arial" w:hAnsi="Arial" w:eastAsia="Calibri" w:cs="Arial"/>
          <w:color w:val="000000" w:themeColor="text1"/>
          <w:sz w:val="22"/>
          <w:szCs w:val="22"/>
          <w:lang w:val="es-ES_tradnl"/>
        </w:rPr>
        <w:t xml:space="preserve"> el contenido del concepto </w:t>
      </w:r>
      <w:r w:rsidRPr="001C75C1" w:rsidR="000D5C8B">
        <w:rPr>
          <w:rFonts w:ascii="Arial" w:hAnsi="Arial" w:cs="Arial"/>
          <w:color w:val="000000" w:themeColor="text1"/>
          <w:sz w:val="22"/>
          <w:lang w:val="es-ES_tradnl"/>
        </w:rPr>
        <w:t>C-338 del 12 de julio de 2021</w:t>
      </w:r>
      <w:r w:rsidRPr="001C75C1" w:rsidR="00864F5F">
        <w:rPr>
          <w:rFonts w:ascii="Arial" w:hAnsi="Arial" w:cs="Arial"/>
          <w:color w:val="000000" w:themeColor="text1"/>
          <w:sz w:val="22"/>
          <w:lang w:val="es-ES_tradnl"/>
        </w:rPr>
        <w:t xml:space="preserve"> e incluyendo un análisis especial de la forma como debe acreditarse el factor de desempate por el que se indaga.</w:t>
      </w:r>
      <w:r w:rsidRPr="001C75C1" w:rsidR="00864F5F">
        <w:rPr>
          <w:rFonts w:ascii="Arial" w:hAnsi="Arial" w:eastAsia="Calibri" w:cs="Arial"/>
          <w:color w:val="000000" w:themeColor="text1"/>
          <w:sz w:val="22"/>
          <w:szCs w:val="22"/>
          <w:lang w:val="es-ES_tradnl"/>
        </w:rPr>
        <w:t xml:space="preserve"> En tal sentido, se analizarán</w:t>
      </w:r>
      <w:r w:rsidRPr="001C75C1">
        <w:rPr>
          <w:rFonts w:ascii="Arial" w:hAnsi="Arial" w:eastAsia="Calibri" w:cs="Arial"/>
          <w:color w:val="000000" w:themeColor="text1"/>
          <w:sz w:val="22"/>
          <w:szCs w:val="22"/>
          <w:lang w:val="es-ES_tradnl"/>
        </w:rPr>
        <w:t xml:space="preserve"> los siguientes temas: i) definición de los criterios de desempate en la contratación estatal, ii)</w:t>
      </w:r>
      <w:r w:rsidRPr="001C75C1" w:rsidR="006401D8">
        <w:rPr>
          <w:rFonts w:ascii="Arial" w:hAnsi="Arial" w:eastAsia="Calibri" w:cs="Arial"/>
          <w:color w:val="000000" w:themeColor="text1"/>
          <w:sz w:val="22"/>
          <w:szCs w:val="22"/>
          <w:lang w:val="es-ES_tradnl"/>
        </w:rPr>
        <w:t xml:space="preserve"> </w:t>
      </w:r>
      <w:r w:rsidRPr="001C75C1">
        <w:rPr>
          <w:rFonts w:ascii="Arial" w:hAnsi="Arial" w:eastAsia="Calibri" w:cs="Arial"/>
          <w:color w:val="000000" w:themeColor="text1"/>
          <w:sz w:val="22"/>
          <w:szCs w:val="22"/>
          <w:lang w:val="es-ES_tradnl"/>
        </w:rPr>
        <w:t>ámbito de aplicación de la Ley 2069 de 2020</w:t>
      </w:r>
      <w:r w:rsidRPr="001C75C1" w:rsidR="006401D8">
        <w:rPr>
          <w:rFonts w:ascii="Arial" w:hAnsi="Arial" w:eastAsia="Calibri" w:cs="Arial"/>
          <w:color w:val="000000" w:themeColor="text1"/>
          <w:sz w:val="22"/>
          <w:szCs w:val="22"/>
          <w:lang w:val="es-ES_tradnl"/>
        </w:rPr>
        <w:t xml:space="preserve">, </w:t>
      </w:r>
      <w:r w:rsidRPr="001C75C1" w:rsidR="00985CE1">
        <w:rPr>
          <w:rFonts w:ascii="Arial" w:hAnsi="Arial" w:eastAsia="Calibri" w:cs="Arial"/>
          <w:color w:val="000000" w:themeColor="text1"/>
          <w:sz w:val="22"/>
          <w:szCs w:val="22"/>
          <w:lang w:val="es-ES_tradnl"/>
        </w:rPr>
        <w:t xml:space="preserve">y </w:t>
      </w:r>
      <w:r w:rsidRPr="001C75C1" w:rsidR="00BC39AB">
        <w:rPr>
          <w:rFonts w:ascii="Arial" w:hAnsi="Arial" w:eastAsia="Calibri" w:cs="Arial"/>
          <w:color w:val="000000" w:themeColor="text1"/>
          <w:sz w:val="22"/>
          <w:szCs w:val="22"/>
          <w:lang w:val="es-ES_tradnl"/>
        </w:rPr>
        <w:t>i</w:t>
      </w:r>
      <w:r w:rsidRPr="001C75C1" w:rsidR="00984C2C">
        <w:rPr>
          <w:rFonts w:ascii="Arial" w:hAnsi="Arial" w:eastAsia="Calibri" w:cs="Arial"/>
          <w:color w:val="000000" w:themeColor="text1"/>
          <w:sz w:val="22"/>
          <w:szCs w:val="22"/>
          <w:lang w:val="es-ES_tradnl"/>
        </w:rPr>
        <w:t>ii</w:t>
      </w:r>
      <w:r w:rsidRPr="001C75C1" w:rsidR="00985CE1">
        <w:rPr>
          <w:rFonts w:ascii="Arial" w:hAnsi="Arial" w:eastAsia="Calibri" w:cs="Arial"/>
          <w:color w:val="000000" w:themeColor="text1"/>
          <w:sz w:val="22"/>
          <w:szCs w:val="22"/>
          <w:lang w:val="es-ES_tradnl"/>
        </w:rPr>
        <w:t>)</w:t>
      </w:r>
      <w:r w:rsidRPr="001C75C1" w:rsidR="000F59E8">
        <w:rPr>
          <w:rFonts w:ascii="Arial" w:hAnsi="Arial" w:eastAsia="Calibri" w:cs="Arial"/>
          <w:color w:val="000000" w:themeColor="text1"/>
          <w:sz w:val="22"/>
          <w:szCs w:val="22"/>
          <w:lang w:val="es-ES_tradnl"/>
        </w:rPr>
        <w:t xml:space="preserve"> </w:t>
      </w:r>
      <w:r w:rsidRPr="001C75C1" w:rsidR="00984C2C">
        <w:rPr>
          <w:rFonts w:ascii="Arial" w:hAnsi="Arial" w:eastAsia="Calibri" w:cs="Arial"/>
          <w:color w:val="000000" w:themeColor="text1"/>
          <w:sz w:val="22"/>
          <w:szCs w:val="22"/>
          <w:lang w:val="es-ES_tradnl"/>
        </w:rPr>
        <w:t>alcance</w:t>
      </w:r>
      <w:r w:rsidRPr="001C75C1" w:rsidR="006E1D06">
        <w:rPr>
          <w:rFonts w:ascii="Arial" w:hAnsi="Arial" w:eastAsia="Calibri" w:cs="Arial"/>
          <w:color w:val="000000" w:themeColor="text1"/>
          <w:sz w:val="22"/>
          <w:szCs w:val="22"/>
          <w:lang w:val="es-ES_tradnl"/>
        </w:rPr>
        <w:t xml:space="preserve"> del</w:t>
      </w:r>
      <w:r w:rsidRPr="001C75C1" w:rsidR="008B7D5C">
        <w:rPr>
          <w:rFonts w:ascii="Arial" w:hAnsi="Arial" w:eastAsia="Calibri" w:cs="Arial"/>
          <w:color w:val="000000" w:themeColor="text1"/>
          <w:sz w:val="22"/>
          <w:szCs w:val="22"/>
          <w:lang w:val="es-ES_tradnl"/>
        </w:rPr>
        <w:t xml:space="preserve"> factor de desempate regulado en el</w:t>
      </w:r>
      <w:r w:rsidRPr="001C75C1" w:rsidR="006E1D06">
        <w:rPr>
          <w:rFonts w:ascii="Arial" w:hAnsi="Arial" w:eastAsia="Calibri" w:cs="Arial"/>
          <w:color w:val="000000" w:themeColor="text1"/>
          <w:sz w:val="22"/>
          <w:szCs w:val="22"/>
          <w:lang w:val="es-ES_tradnl"/>
        </w:rPr>
        <w:t xml:space="preserve"> numeral 2 del </w:t>
      </w:r>
      <w:r w:rsidRPr="001C75C1" w:rsidR="008B7D5C">
        <w:rPr>
          <w:rFonts w:ascii="Arial" w:hAnsi="Arial" w:eastAsia="Calibri" w:cs="Arial"/>
          <w:color w:val="000000" w:themeColor="text1"/>
          <w:sz w:val="22"/>
          <w:szCs w:val="22"/>
          <w:lang w:val="es-ES_tradnl"/>
        </w:rPr>
        <w:t>artículo 35 de la Ley 2069 de 2020</w:t>
      </w:r>
      <w:r w:rsidRPr="001C75C1" w:rsidR="00F917AC">
        <w:rPr>
          <w:rFonts w:ascii="Arial" w:hAnsi="Arial" w:eastAsia="Calibri" w:cs="Arial"/>
          <w:color w:val="000000" w:themeColor="text1"/>
          <w:sz w:val="22"/>
          <w:szCs w:val="22"/>
          <w:lang w:val="es-ES_tradnl"/>
        </w:rPr>
        <w:t>.</w:t>
      </w:r>
    </w:p>
    <w:p w:rsidRPr="001C75C1" w:rsidR="009D1D53" w:rsidP="009D1D53" w:rsidRDefault="009D1D53" w14:paraId="544B9598" w14:textId="0ECB184D">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w:t>
      </w:r>
      <w:r w:rsidRPr="001C75C1" w:rsidR="004064D7">
        <w:rPr>
          <w:rFonts w:ascii="Arial" w:hAnsi="Arial" w:eastAsia="Calibri" w:cs="Arial"/>
          <w:color w:val="000000" w:themeColor="text1"/>
          <w:sz w:val="22"/>
          <w:szCs w:val="22"/>
          <w:lang w:val="es-ES_tradnl"/>
        </w:rPr>
        <w:t xml:space="preserve">estudió los factores de desempate del artículo 35 de la Ley 2069 de 2020 </w:t>
      </w:r>
      <w:r w:rsidRPr="001C75C1">
        <w:rPr>
          <w:rFonts w:ascii="Arial" w:hAnsi="Arial" w:eastAsia="Calibri" w:cs="Arial"/>
          <w:color w:val="000000" w:themeColor="text1"/>
          <w:sz w:val="22"/>
          <w:szCs w:val="22"/>
          <w:lang w:val="es-ES_tradnl"/>
        </w:rPr>
        <w:t>en los conceptos</w:t>
      </w:r>
      <w:r w:rsidRPr="001C75C1" w:rsidR="004064D7">
        <w:rPr>
          <w:rFonts w:ascii="Arial" w:hAnsi="Arial" w:eastAsia="Calibri" w:cs="Arial"/>
          <w:color w:val="000000" w:themeColor="text1"/>
          <w:sz w:val="22"/>
          <w:szCs w:val="22"/>
          <w:lang w:val="es-ES_tradnl"/>
        </w:rPr>
        <w:t>:</w:t>
      </w:r>
      <w:r w:rsidRPr="001C75C1" w:rsidR="00FD6609">
        <w:rPr>
          <w:rFonts w:ascii="Arial" w:hAnsi="Arial" w:eastAsia="Calibri" w:cs="Arial"/>
          <w:color w:val="000000" w:themeColor="text1"/>
          <w:sz w:val="22"/>
          <w:szCs w:val="22"/>
          <w:lang w:val="es-ES_tradnl"/>
        </w:rPr>
        <w:t xml:space="preserve">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w:t>
      </w:r>
      <w:r w:rsidRPr="001C75C1" w:rsidR="00DC3FCF">
        <w:rPr>
          <w:rFonts w:ascii="Arial" w:hAnsi="Arial" w:eastAsia="Calibri" w:cs="Arial"/>
          <w:color w:val="000000" w:themeColor="text1"/>
          <w:sz w:val="22"/>
          <w:szCs w:val="22"/>
          <w:lang w:val="es-ES_tradnl"/>
        </w:rPr>
        <w:t xml:space="preserve">, </w:t>
      </w:r>
      <w:r w:rsidRPr="001C75C1" w:rsidR="00FD6609">
        <w:rPr>
          <w:rFonts w:ascii="Arial" w:hAnsi="Arial" w:eastAsia="Calibri" w:cs="Arial"/>
          <w:color w:val="000000" w:themeColor="text1"/>
          <w:sz w:val="22"/>
          <w:szCs w:val="22"/>
          <w:lang w:val="es-ES_tradnl"/>
        </w:rPr>
        <w:t>C-221 del 18 de mayo de 2021</w:t>
      </w:r>
      <w:r w:rsidRPr="001C75C1" w:rsidR="005508B2">
        <w:rPr>
          <w:rFonts w:ascii="Arial" w:hAnsi="Arial" w:eastAsia="Calibri" w:cs="Arial"/>
          <w:color w:val="000000" w:themeColor="text1"/>
          <w:sz w:val="22"/>
          <w:szCs w:val="22"/>
          <w:lang w:val="es-ES_tradnl"/>
        </w:rPr>
        <w:t>,</w:t>
      </w:r>
      <w:r w:rsidRPr="001C75C1" w:rsidR="00DC6A2B">
        <w:rPr>
          <w:rFonts w:ascii="Arial" w:hAnsi="Arial" w:eastAsia="Calibri" w:cs="Arial"/>
          <w:color w:val="000000" w:themeColor="text1"/>
          <w:sz w:val="22"/>
          <w:szCs w:val="22"/>
          <w:lang w:val="es-ES_tradnl"/>
        </w:rPr>
        <w:t xml:space="preserve"> </w:t>
      </w:r>
      <w:r w:rsidRPr="001C75C1" w:rsidR="00DC3FCF">
        <w:rPr>
          <w:rFonts w:ascii="Arial" w:hAnsi="Arial" w:eastAsia="Calibri" w:cs="Arial"/>
          <w:color w:val="000000" w:themeColor="text1"/>
          <w:sz w:val="22"/>
          <w:szCs w:val="22"/>
          <w:lang w:val="es-ES_tradnl"/>
        </w:rPr>
        <w:t>C-239 del 25 de mayo de 2021</w:t>
      </w:r>
      <w:r w:rsidRPr="001C75C1" w:rsidR="005508B2">
        <w:rPr>
          <w:rFonts w:ascii="Arial" w:hAnsi="Arial" w:eastAsia="Calibri" w:cs="Arial"/>
          <w:color w:val="000000" w:themeColor="text1"/>
          <w:sz w:val="22"/>
          <w:szCs w:val="22"/>
          <w:lang w:val="es-ES_tradnl"/>
        </w:rPr>
        <w:t xml:space="preserve"> entre otros</w:t>
      </w:r>
      <w:r w:rsidRPr="001C75C1" w:rsidR="005508B2">
        <w:rPr>
          <w:rStyle w:val="Refdenotaalpie"/>
          <w:rFonts w:ascii="Arial" w:hAnsi="Arial" w:eastAsia="Calibri" w:cs="Arial"/>
        </w:rPr>
        <w:footnoteReference w:id="2"/>
      </w:r>
      <w:r w:rsidRPr="001C75C1" w:rsidR="00DC6A2B">
        <w:rPr>
          <w:rFonts w:ascii="Arial" w:hAnsi="Arial" w:eastAsia="Calibri" w:cs="Arial"/>
          <w:color w:val="000000" w:themeColor="text1"/>
          <w:sz w:val="22"/>
          <w:szCs w:val="22"/>
          <w:lang w:val="es-ES_tradnl"/>
        </w:rPr>
        <w:t xml:space="preserve">. </w:t>
      </w:r>
      <w:r w:rsidRPr="001C75C1">
        <w:rPr>
          <w:rFonts w:ascii="Arial" w:hAnsi="Arial" w:eastAsia="Calibri" w:cs="Arial"/>
          <w:color w:val="000000" w:themeColor="text1"/>
          <w:sz w:val="22"/>
          <w:szCs w:val="22"/>
          <w:lang w:val="es-ES_tradnl"/>
        </w:rPr>
        <w:t>Algunas de las consideraciones de estos conceptos se reiteran a continuación.</w:t>
      </w:r>
    </w:p>
    <w:p w:rsidRPr="001C75C1" w:rsidR="00095D3C" w:rsidP="004D1C27" w:rsidRDefault="00095D3C" w14:paraId="30BF18FD" w14:textId="5251E127">
      <w:pPr>
        <w:spacing w:line="276" w:lineRule="auto"/>
        <w:jc w:val="both"/>
        <w:rPr>
          <w:rFonts w:ascii="Arial" w:hAnsi="Arial" w:eastAsia="Calibri" w:cs="Arial"/>
          <w:b/>
          <w:color w:val="000000" w:themeColor="text1"/>
          <w:sz w:val="22"/>
          <w:lang w:val="es-ES_tradnl"/>
        </w:rPr>
      </w:pPr>
    </w:p>
    <w:p w:rsidRPr="001C75C1" w:rsidR="0000500B" w:rsidP="0000500B" w:rsidRDefault="0000500B" w14:paraId="2C11ECBF" w14:textId="77777777">
      <w:pPr>
        <w:spacing w:line="276" w:lineRule="auto"/>
        <w:jc w:val="both"/>
        <w:rPr>
          <w:rFonts w:ascii="Arial" w:hAnsi="Arial" w:eastAsia="Calibri" w:cs="Arial"/>
          <w:b/>
          <w:bCs/>
          <w:color w:val="000000" w:themeColor="text1"/>
          <w:sz w:val="22"/>
          <w:szCs w:val="22"/>
          <w:lang w:val="es-ES_tradnl"/>
        </w:rPr>
      </w:pPr>
      <w:r w:rsidRPr="001C75C1">
        <w:rPr>
          <w:rFonts w:ascii="Arial" w:hAnsi="Arial" w:eastAsia="Calibri" w:cs="Arial"/>
          <w:b/>
          <w:bCs/>
          <w:color w:val="000000" w:themeColor="text1"/>
          <w:sz w:val="22"/>
          <w:szCs w:val="22"/>
          <w:lang w:val="es-ES_tradnl"/>
        </w:rPr>
        <w:t>2.1. Factores de desempate en la contratación estatal: concepto y características</w:t>
      </w:r>
    </w:p>
    <w:p w:rsidRPr="001C75C1" w:rsidR="0000500B" w:rsidP="0000500B" w:rsidRDefault="0000500B" w14:paraId="46B41382" w14:textId="77777777">
      <w:pPr>
        <w:spacing w:line="276" w:lineRule="auto"/>
        <w:jc w:val="both"/>
        <w:rPr>
          <w:rFonts w:ascii="Arial" w:hAnsi="Arial" w:eastAsia="Calibri" w:cs="Arial"/>
          <w:color w:val="000000" w:themeColor="text1"/>
          <w:sz w:val="22"/>
          <w:szCs w:val="22"/>
          <w:lang w:val="es-ES_tradnl"/>
        </w:rPr>
      </w:pPr>
    </w:p>
    <w:p w:rsidRPr="001C75C1" w:rsidR="0000500B" w:rsidP="0000500B" w:rsidRDefault="0000500B" w14:paraId="055D3DF1" w14:textId="1E1AE0FD">
      <w:pPr>
        <w:spacing w:line="276" w:lineRule="auto"/>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w:t>
      </w:r>
      <w:r w:rsidRPr="001C75C1">
        <w:rPr>
          <w:rFonts w:ascii="Arial" w:hAnsi="Arial" w:eastAsia="Calibri" w:cs="Arial"/>
          <w:color w:val="000000" w:themeColor="text1"/>
          <w:sz w:val="22"/>
          <w:szCs w:val="22"/>
          <w:lang w:val="es-ES_tradnl"/>
        </w:rPr>
        <w:lastRenderedPageBreak/>
        <w:t xml:space="preserve">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1C75C1">
        <w:rPr>
          <w:rFonts w:ascii="Arial" w:hAnsi="Arial" w:eastAsia="Calibri" w:cs="Arial"/>
          <w:color w:val="000000" w:themeColor="text1"/>
          <w:sz w:val="22"/>
          <w:szCs w:val="22"/>
          <w:lang w:val="es-ES_tradnl"/>
        </w:rPr>
        <w:t>equivalentes,</w:t>
      </w:r>
      <w:proofErr w:type="gramEnd"/>
      <w:r w:rsidRPr="001C75C1">
        <w:rPr>
          <w:rFonts w:ascii="Arial" w:hAnsi="Arial" w:eastAsia="Calibri"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rsidRPr="001C75C1" w:rsidR="0000500B" w:rsidP="0000500B" w:rsidRDefault="0000500B" w14:paraId="651E069D" w14:textId="642DB590">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Pr="001C75C1" w:rsidR="00536902">
        <w:rPr>
          <w:rFonts w:ascii="Arial" w:hAnsi="Arial" w:eastAsia="Calibri" w:cs="Arial"/>
          <w:color w:val="000000" w:themeColor="text1"/>
          <w:sz w:val="22"/>
          <w:szCs w:val="22"/>
          <w:lang w:val="es-ES_tradnl"/>
        </w:rPr>
        <w:t xml:space="preserve">materializar </w:t>
      </w:r>
      <w:r w:rsidRPr="001C75C1">
        <w:rPr>
          <w:rFonts w:ascii="Arial" w:hAnsi="Arial" w:eastAsia="Calibri"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Pr="001C75C1" w:rsidR="00047311">
        <w:rPr>
          <w:rFonts w:ascii="Arial" w:hAnsi="Arial" w:eastAsia="Calibri" w:cs="Arial"/>
          <w:color w:val="000000" w:themeColor="text1"/>
          <w:sz w:val="22"/>
          <w:szCs w:val="22"/>
          <w:lang w:val="es-ES_tradnl"/>
        </w:rPr>
        <w:t>id</w:t>
      </w:r>
      <w:r w:rsidRPr="001C75C1">
        <w:rPr>
          <w:rFonts w:ascii="Arial" w:hAnsi="Arial" w:eastAsia="Calibri" w:cs="Arial"/>
          <w:color w:val="000000" w:themeColor="text1"/>
          <w:sz w:val="22"/>
          <w:szCs w:val="22"/>
          <w:lang w:val="es-ES_tradnl"/>
        </w:rPr>
        <w:t>ó</w:t>
      </w:r>
      <w:r w:rsidRPr="001C75C1" w:rsidR="00047311">
        <w:rPr>
          <w:rFonts w:ascii="Arial" w:hAnsi="Arial" w:eastAsia="Calibri" w:cs="Arial"/>
          <w:color w:val="000000" w:themeColor="text1"/>
          <w:sz w:val="22"/>
          <w:szCs w:val="22"/>
          <w:lang w:val="es-ES_tradnl"/>
        </w:rPr>
        <w:t>neos</w:t>
      </w:r>
      <w:r w:rsidRPr="001C75C1">
        <w:rPr>
          <w:rFonts w:ascii="Arial" w:hAnsi="Arial" w:eastAsia="Calibri"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Pr="001C75C1" w:rsidR="00536902">
        <w:rPr>
          <w:rFonts w:ascii="Arial" w:hAnsi="Arial" w:eastAsia="Calibri" w:cs="Arial"/>
          <w:color w:val="000000" w:themeColor="text1"/>
          <w:sz w:val="22"/>
          <w:szCs w:val="22"/>
          <w:lang w:val="es-ES_tradnl"/>
        </w:rPr>
        <w:t>equivalente</w:t>
      </w:r>
      <w:r w:rsidRPr="001C75C1">
        <w:rPr>
          <w:rFonts w:ascii="Arial" w:hAnsi="Arial" w:eastAsia="Calibri" w:cs="Arial"/>
          <w:color w:val="000000" w:themeColor="text1"/>
          <w:sz w:val="22"/>
          <w:szCs w:val="22"/>
          <w:lang w:val="es-ES_tradnl"/>
        </w:rPr>
        <w:t xml:space="preserve">, al ponderarse los criterios de calificación que, en principio, aplican al procedimiento de selección. </w:t>
      </w:r>
    </w:p>
    <w:p w:rsidRPr="001C75C1" w:rsidR="00B0749C" w:rsidP="00B0749C" w:rsidRDefault="00B0749C" w14:paraId="50A698A7" w14:textId="77777777">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1C75C1">
        <w:rPr>
          <w:rStyle w:val="Refdenotaalpie"/>
          <w:rFonts w:ascii="Arial" w:hAnsi="Arial" w:cs="Arial"/>
        </w:rPr>
        <w:footnoteReference w:id="3"/>
      </w:r>
      <w:r w:rsidRPr="001C75C1">
        <w:rPr>
          <w:rFonts w:ascii="Arial" w:hAnsi="Arial" w:eastAsia="Calibri" w:cs="Arial"/>
          <w:color w:val="000000" w:themeColor="text1"/>
          <w:sz w:val="22"/>
          <w:szCs w:val="22"/>
          <w:lang w:val="es-ES_tradnl"/>
        </w:rPr>
        <w:t xml:space="preserve">. </w:t>
      </w:r>
    </w:p>
    <w:p w:rsidRPr="001C75C1" w:rsidR="00B0749C" w:rsidP="00B0749C" w:rsidRDefault="00B0749C" w14:paraId="223B25B2" w14:textId="77777777">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1C75C1">
        <w:rPr>
          <w:rFonts w:ascii="Arial" w:hAnsi="Arial" w:eastAsia="Calibri" w:cs="Arial"/>
          <w:color w:val="000000" w:themeColor="text1"/>
          <w:sz w:val="22"/>
          <w:szCs w:val="22"/>
          <w:lang w:val="es-ES_tradnl"/>
        </w:rPr>
        <w:t>inaplicarlos</w:t>
      </w:r>
      <w:proofErr w:type="spellEnd"/>
      <w:r w:rsidRPr="001C75C1">
        <w:rPr>
          <w:rFonts w:ascii="Arial" w:hAnsi="Arial" w:eastAsia="Calibri"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1C75C1">
        <w:rPr>
          <w:rStyle w:val="Refdenotaalpie"/>
          <w:rFonts w:ascii="Arial" w:hAnsi="Arial" w:eastAsia="Calibri" w:cs="Arial"/>
        </w:rPr>
        <w:footnoteReference w:id="4"/>
      </w:r>
      <w:r w:rsidRPr="001C75C1">
        <w:rPr>
          <w:rFonts w:ascii="Arial" w:hAnsi="Arial" w:eastAsia="Calibri" w:cs="Arial"/>
          <w:color w:val="000000" w:themeColor="text1"/>
          <w:sz w:val="22"/>
          <w:szCs w:val="22"/>
          <w:lang w:val="es-ES_tradnl"/>
        </w:rPr>
        <w:t xml:space="preserve">. Más aún, el </w:t>
      </w:r>
      <w:r w:rsidRPr="001C75C1">
        <w:rPr>
          <w:rFonts w:ascii="Arial" w:hAnsi="Arial" w:eastAsia="Calibri" w:cs="Arial"/>
          <w:color w:val="000000" w:themeColor="text1"/>
          <w:sz w:val="22"/>
          <w:szCs w:val="22"/>
          <w:lang w:val="es-ES_tradnl"/>
        </w:rPr>
        <w:lastRenderedPageBreak/>
        <w:t>Consejo de Estado ha señalado que contrariar los factores de desempate genera la nulidad del contrato, conforme al artículo 44, inciso 1º de la Ley 80 de 1993</w:t>
      </w:r>
      <w:r w:rsidRPr="001C75C1">
        <w:rPr>
          <w:rStyle w:val="Refdenotaalpie"/>
          <w:rFonts w:ascii="Arial" w:hAnsi="Arial" w:eastAsia="Calibri" w:cs="Arial"/>
        </w:rPr>
        <w:footnoteReference w:id="5"/>
      </w:r>
      <w:r w:rsidRPr="001C75C1">
        <w:rPr>
          <w:rFonts w:ascii="Arial" w:hAnsi="Arial" w:eastAsia="Calibri" w:cs="Arial"/>
          <w:color w:val="000000" w:themeColor="text1"/>
          <w:sz w:val="22"/>
          <w:szCs w:val="22"/>
          <w:lang w:val="es-ES_tradnl"/>
        </w:rPr>
        <w:t>.</w:t>
      </w:r>
    </w:p>
    <w:p w:rsidRPr="001C75C1" w:rsidR="0000500B" w:rsidP="0000500B" w:rsidRDefault="0000500B" w14:paraId="4CF237CD" w14:textId="77777777">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Ahora bien, en cumplimiento de los principios de reciprocidad y de </w:t>
      </w:r>
      <w:r w:rsidRPr="001C75C1">
        <w:rPr>
          <w:rFonts w:ascii="Arial" w:hAnsi="Arial" w:eastAsia="Calibri" w:cs="Arial"/>
          <w:i/>
          <w:iCs/>
          <w:color w:val="000000" w:themeColor="text1"/>
          <w:sz w:val="22"/>
          <w:szCs w:val="22"/>
          <w:lang w:val="es-ES_tradnl"/>
        </w:rPr>
        <w:t xml:space="preserve">pacta </w:t>
      </w:r>
      <w:proofErr w:type="spellStart"/>
      <w:r w:rsidRPr="001C75C1">
        <w:rPr>
          <w:rFonts w:ascii="Arial" w:hAnsi="Arial" w:eastAsia="Calibri" w:cs="Arial"/>
          <w:i/>
          <w:iCs/>
          <w:color w:val="000000" w:themeColor="text1"/>
          <w:sz w:val="22"/>
          <w:szCs w:val="22"/>
          <w:lang w:val="es-ES_tradnl"/>
        </w:rPr>
        <w:t>sunt</w:t>
      </w:r>
      <w:proofErr w:type="spellEnd"/>
      <w:r w:rsidRPr="001C75C1">
        <w:rPr>
          <w:rFonts w:ascii="Arial" w:hAnsi="Arial" w:eastAsia="Calibri" w:cs="Arial"/>
          <w:i/>
          <w:iCs/>
          <w:color w:val="000000" w:themeColor="text1"/>
          <w:sz w:val="22"/>
          <w:szCs w:val="22"/>
          <w:lang w:val="es-ES_tradnl"/>
        </w:rPr>
        <w:t xml:space="preserve"> </w:t>
      </w:r>
      <w:proofErr w:type="spellStart"/>
      <w:r w:rsidRPr="001C75C1">
        <w:rPr>
          <w:rFonts w:ascii="Arial" w:hAnsi="Arial" w:eastAsia="Calibri" w:cs="Arial"/>
          <w:i/>
          <w:iCs/>
          <w:color w:val="000000" w:themeColor="text1"/>
          <w:sz w:val="22"/>
          <w:szCs w:val="22"/>
          <w:lang w:val="es-ES_tradnl"/>
        </w:rPr>
        <w:t>servanda</w:t>
      </w:r>
      <w:proofErr w:type="spellEnd"/>
      <w:r w:rsidRPr="001C75C1">
        <w:rPr>
          <w:rFonts w:ascii="Arial" w:hAnsi="Arial" w:eastAsia="Calibri"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rsidRPr="001C75C1" w:rsidR="0000500B" w:rsidP="0000500B" w:rsidRDefault="0000500B" w14:paraId="03539568" w14:textId="77777777">
      <w:pPr>
        <w:spacing w:line="276" w:lineRule="auto"/>
        <w:rPr>
          <w:rFonts w:ascii="Arial" w:hAnsi="Arial" w:eastAsia="Calibri" w:cs="Arial"/>
          <w:color w:val="000000" w:themeColor="text1"/>
          <w:sz w:val="22"/>
          <w:szCs w:val="22"/>
          <w:lang w:val="es-ES_tradnl"/>
        </w:rPr>
      </w:pPr>
    </w:p>
    <w:p w:rsidRPr="001C75C1" w:rsidR="0000500B" w:rsidP="0000500B" w:rsidRDefault="0000500B" w14:paraId="389779C5" w14:textId="22E24AB8">
      <w:pPr>
        <w:spacing w:line="276" w:lineRule="auto"/>
        <w:jc w:val="both"/>
        <w:rPr>
          <w:rFonts w:ascii="Arial" w:hAnsi="Arial" w:eastAsia="Calibri" w:cs="Arial"/>
          <w:b/>
          <w:bCs/>
          <w:color w:val="000000" w:themeColor="text1"/>
          <w:sz w:val="22"/>
          <w:szCs w:val="22"/>
          <w:lang w:val="es-ES_tradnl"/>
        </w:rPr>
      </w:pPr>
      <w:r w:rsidRPr="001C75C1">
        <w:rPr>
          <w:rFonts w:ascii="Arial" w:hAnsi="Arial" w:eastAsia="Calibri" w:cs="Arial"/>
          <w:b/>
          <w:bCs/>
          <w:color w:val="000000" w:themeColor="text1"/>
          <w:sz w:val="22"/>
          <w:szCs w:val="22"/>
          <w:lang w:val="es-ES_tradnl"/>
        </w:rPr>
        <w:t xml:space="preserve">2.2. </w:t>
      </w:r>
      <w:r w:rsidRPr="001C75C1" w:rsidR="006401D8">
        <w:rPr>
          <w:rFonts w:ascii="Arial" w:hAnsi="Arial" w:eastAsia="Calibri" w:cs="Arial"/>
          <w:b/>
          <w:bCs/>
          <w:color w:val="000000" w:themeColor="text1"/>
          <w:sz w:val="22"/>
          <w:szCs w:val="22"/>
          <w:lang w:val="es-ES_tradnl"/>
        </w:rPr>
        <w:t>Á</w:t>
      </w:r>
      <w:r w:rsidRPr="001C75C1">
        <w:rPr>
          <w:rFonts w:ascii="Arial" w:hAnsi="Arial" w:eastAsia="Calibri" w:cs="Arial"/>
          <w:b/>
          <w:bCs/>
          <w:color w:val="000000" w:themeColor="text1"/>
          <w:sz w:val="22"/>
          <w:szCs w:val="22"/>
          <w:lang w:val="es-ES_tradnl"/>
        </w:rPr>
        <w:t>mbito de aplicación de la Ley 2069 de 2020</w:t>
      </w:r>
    </w:p>
    <w:p w:rsidRPr="001C75C1" w:rsidR="0000500B" w:rsidP="0000500B" w:rsidRDefault="0000500B" w14:paraId="26273CE2" w14:textId="77777777">
      <w:pPr>
        <w:spacing w:line="276" w:lineRule="auto"/>
        <w:jc w:val="both"/>
        <w:rPr>
          <w:rFonts w:ascii="Arial" w:hAnsi="Arial" w:eastAsia="Calibri" w:cs="Arial"/>
          <w:color w:val="000000" w:themeColor="text1"/>
          <w:sz w:val="22"/>
          <w:szCs w:val="22"/>
          <w:lang w:val="es-ES_tradnl"/>
        </w:rPr>
      </w:pPr>
    </w:p>
    <w:p w:rsidRPr="001C75C1" w:rsidR="0000500B" w:rsidP="0000500B" w:rsidRDefault="0000500B" w14:paraId="4A576B10" w14:textId="455A190B">
      <w:pPr>
        <w:spacing w:line="276" w:lineRule="auto"/>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w:t>
      </w:r>
    </w:p>
    <w:p w:rsidRPr="001C75C1" w:rsidR="0000500B" w:rsidP="00F94206" w:rsidRDefault="0000500B" w14:paraId="16B33129" w14:textId="1DAC657D">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En cuan</w:t>
      </w:r>
      <w:r w:rsidRPr="001C75C1" w:rsidR="00536902">
        <w:rPr>
          <w:rFonts w:ascii="Arial" w:hAnsi="Arial" w:eastAsia="Calibri" w:cs="Arial"/>
          <w:color w:val="000000" w:themeColor="text1"/>
          <w:sz w:val="22"/>
          <w:szCs w:val="22"/>
          <w:lang w:val="es-ES_tradnl"/>
        </w:rPr>
        <w:t>t</w:t>
      </w:r>
      <w:r w:rsidRPr="001C75C1">
        <w:rPr>
          <w:rFonts w:ascii="Arial" w:hAnsi="Arial" w:eastAsia="Calibri" w:cs="Arial"/>
          <w:color w:val="000000" w:themeColor="text1"/>
          <w:sz w:val="22"/>
          <w:szCs w:val="22"/>
          <w:lang w:val="es-ES_tradnl"/>
        </w:rPr>
        <w:t xml:space="preserve">o </w:t>
      </w:r>
      <w:r w:rsidRPr="001C75C1" w:rsidR="00F94206">
        <w:rPr>
          <w:rFonts w:ascii="Arial" w:hAnsi="Arial" w:eastAsia="Calibri" w:cs="Arial"/>
          <w:color w:val="000000" w:themeColor="text1"/>
          <w:sz w:val="22"/>
          <w:szCs w:val="22"/>
          <w:lang w:val="es-ES_tradnl"/>
        </w:rPr>
        <w:t xml:space="preserve">al </w:t>
      </w:r>
      <w:r w:rsidRPr="001C75C1">
        <w:rPr>
          <w:rFonts w:ascii="Arial" w:hAnsi="Arial" w:eastAsia="Calibri" w:cs="Arial"/>
          <w:color w:val="000000" w:themeColor="text1"/>
          <w:sz w:val="22"/>
          <w:szCs w:val="22"/>
          <w:lang w:val="es-ES_tradnl"/>
        </w:rPr>
        <w:t>contenido</w:t>
      </w:r>
      <w:r w:rsidRPr="001C75C1" w:rsidR="00F94206">
        <w:rPr>
          <w:rFonts w:ascii="Arial" w:hAnsi="Arial" w:eastAsia="Calibri" w:cs="Arial"/>
          <w:color w:val="000000" w:themeColor="text1"/>
          <w:sz w:val="22"/>
          <w:szCs w:val="22"/>
          <w:lang w:val="es-ES_tradnl"/>
        </w:rPr>
        <w:t xml:space="preserve"> de la Ley 2069 de 2020</w:t>
      </w:r>
      <w:r w:rsidRPr="001C75C1">
        <w:rPr>
          <w:rFonts w:ascii="Arial" w:hAnsi="Arial" w:eastAsia="Calibri" w:cs="Arial"/>
          <w:color w:val="000000" w:themeColor="text1"/>
          <w:sz w:val="22"/>
          <w:szCs w:val="22"/>
          <w:lang w:val="es-ES_tradnl"/>
        </w:rPr>
        <w:t xml:space="preserve">,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1C75C1">
        <w:rPr>
          <w:rFonts w:ascii="Arial" w:hAnsi="Arial" w:eastAsia="Calibri" w:cs="Arial"/>
          <w:color w:val="000000" w:themeColor="text1"/>
          <w:sz w:val="22"/>
          <w:szCs w:val="22"/>
          <w:lang w:val="es-ES_tradnl"/>
        </w:rPr>
        <w:t xml:space="preserve">de acuerdo </w:t>
      </w:r>
      <w:r w:rsidRPr="001C75C1" w:rsidR="00624505">
        <w:rPr>
          <w:rFonts w:ascii="Arial" w:hAnsi="Arial" w:eastAsia="Calibri" w:cs="Arial"/>
          <w:color w:val="000000" w:themeColor="text1"/>
          <w:sz w:val="22"/>
          <w:szCs w:val="22"/>
          <w:lang w:val="es-ES_tradnl"/>
        </w:rPr>
        <w:t>a</w:t>
      </w:r>
      <w:proofErr w:type="gramEnd"/>
      <w:r w:rsidRPr="001C75C1" w:rsidR="00624505">
        <w:rPr>
          <w:rFonts w:ascii="Arial" w:hAnsi="Arial" w:eastAsia="Calibri" w:cs="Arial"/>
          <w:color w:val="000000" w:themeColor="text1"/>
          <w:sz w:val="22"/>
          <w:szCs w:val="22"/>
          <w:lang w:val="es-ES_tradnl"/>
        </w:rPr>
        <w:t xml:space="preserve"> </w:t>
      </w:r>
      <w:r w:rsidRPr="001C75C1">
        <w:rPr>
          <w:rFonts w:ascii="Arial" w:hAnsi="Arial" w:eastAsia="Calibri" w:cs="Arial"/>
          <w:color w:val="000000" w:themeColor="text1"/>
          <w:sz w:val="22"/>
          <w:szCs w:val="22"/>
          <w:lang w:val="es-ES_tradnl"/>
        </w:rPr>
        <w:t>las realidades socioeconómicas de cada región». En desarrollo de esta finalidad, se establecen medidas de apoyo para las micro, pequeñas y medianas empresas –</w:t>
      </w:r>
      <w:proofErr w:type="spellStart"/>
      <w:r w:rsidRPr="001C75C1">
        <w:rPr>
          <w:rFonts w:ascii="Arial" w:hAnsi="Arial" w:eastAsia="Calibri" w:cs="Arial"/>
          <w:color w:val="000000" w:themeColor="text1"/>
          <w:sz w:val="22"/>
          <w:szCs w:val="22"/>
          <w:lang w:val="es-ES_tradnl"/>
        </w:rPr>
        <w:t>mipymes</w:t>
      </w:r>
      <w:proofErr w:type="spellEnd"/>
      <w:r w:rsidRPr="001C75C1">
        <w:rPr>
          <w:rFonts w:ascii="Arial" w:hAnsi="Arial" w:eastAsia="Calibri" w:cs="Arial"/>
          <w:color w:val="000000" w:themeColor="text1"/>
          <w:sz w:val="22"/>
          <w:szCs w:val="22"/>
          <w:lang w:val="es-ES_tradnl"/>
        </w:rPr>
        <w:t>–, mediante la racionalización y simplificación de los trámites y tarifas</w:t>
      </w:r>
      <w:r w:rsidRPr="001C75C1">
        <w:rPr>
          <w:rStyle w:val="Refdenotaalpie"/>
          <w:rFonts w:ascii="Arial" w:hAnsi="Arial" w:eastAsia="Calibri" w:cs="Arial"/>
        </w:rPr>
        <w:footnoteReference w:id="6"/>
      </w:r>
      <w:r w:rsidRPr="001C75C1">
        <w:rPr>
          <w:rFonts w:ascii="Arial" w:hAnsi="Arial" w:eastAsia="Calibri" w:cs="Arial"/>
          <w:color w:val="000000" w:themeColor="text1"/>
          <w:sz w:val="22"/>
          <w:szCs w:val="22"/>
          <w:lang w:val="es-ES_tradnl"/>
        </w:rPr>
        <w:t>, así como incentivos a favor de aquellas dentro del sistema de compras y contratación pública</w:t>
      </w:r>
      <w:r w:rsidRPr="001C75C1">
        <w:rPr>
          <w:rStyle w:val="Refdenotaalpie"/>
          <w:rFonts w:ascii="Arial" w:hAnsi="Arial" w:eastAsia="Calibri" w:cs="Arial"/>
        </w:rPr>
        <w:footnoteReference w:id="7"/>
      </w:r>
      <w:r w:rsidRPr="001C75C1">
        <w:rPr>
          <w:rFonts w:ascii="Arial" w:hAnsi="Arial" w:eastAsia="Calibri" w:cs="Arial"/>
          <w:color w:val="000000" w:themeColor="text1"/>
          <w:sz w:val="22"/>
          <w:szCs w:val="22"/>
          <w:lang w:val="es-ES_tradnl"/>
        </w:rPr>
        <w:t>. También se consagran mecanismos de acceso al financiamiento</w:t>
      </w:r>
      <w:r w:rsidRPr="001C75C1">
        <w:rPr>
          <w:rStyle w:val="Refdenotaalpie"/>
          <w:rFonts w:ascii="Arial" w:hAnsi="Arial" w:eastAsia="Calibri" w:cs="Arial"/>
        </w:rPr>
        <w:footnoteReference w:id="8"/>
      </w:r>
      <w:r w:rsidRPr="001C75C1">
        <w:rPr>
          <w:rFonts w:ascii="Arial" w:hAnsi="Arial" w:eastAsia="Calibri" w:cs="Arial"/>
          <w:color w:val="000000" w:themeColor="text1"/>
          <w:sz w:val="22"/>
          <w:szCs w:val="22"/>
          <w:lang w:val="es-ES_tradnl"/>
        </w:rPr>
        <w:t xml:space="preserve">, se unifican las fuentes de emprendimiento y de desarrollo empresarial, para fortalecer y promover los </w:t>
      </w:r>
      <w:r w:rsidRPr="001C75C1">
        <w:rPr>
          <w:rFonts w:ascii="Arial" w:hAnsi="Arial" w:eastAsia="Calibri" w:cs="Arial"/>
          <w:color w:val="000000" w:themeColor="text1"/>
          <w:sz w:val="22"/>
          <w:szCs w:val="22"/>
          <w:lang w:val="es-ES_tradnl"/>
        </w:rPr>
        <w:lastRenderedPageBreak/>
        <w:t>distintos sectores de la economía</w:t>
      </w:r>
      <w:r w:rsidRPr="001C75C1">
        <w:rPr>
          <w:rStyle w:val="Refdenotaalpie"/>
          <w:rFonts w:ascii="Arial" w:hAnsi="Arial" w:eastAsia="Calibri" w:cs="Arial"/>
        </w:rPr>
        <w:footnoteReference w:id="9"/>
      </w:r>
      <w:r w:rsidRPr="001C75C1">
        <w:rPr>
          <w:rFonts w:ascii="Arial" w:hAnsi="Arial" w:eastAsia="Calibri" w:cs="Arial"/>
          <w:color w:val="000000" w:themeColor="text1"/>
          <w:sz w:val="22"/>
          <w:szCs w:val="22"/>
          <w:lang w:val="es-ES_tradnl"/>
        </w:rPr>
        <w:t xml:space="preserve"> y se prevén medidas de educación para el emprendimiento y la innovación</w:t>
      </w:r>
      <w:r w:rsidRPr="001C75C1">
        <w:rPr>
          <w:rStyle w:val="Refdenotaalpie"/>
          <w:rFonts w:ascii="Arial" w:hAnsi="Arial" w:eastAsia="Calibri" w:cs="Arial"/>
        </w:rPr>
        <w:footnoteReference w:id="10"/>
      </w:r>
      <w:r w:rsidRPr="001C75C1">
        <w:rPr>
          <w:rFonts w:ascii="Arial" w:hAnsi="Arial" w:eastAsia="Calibri" w:cs="Arial"/>
          <w:color w:val="000000" w:themeColor="text1"/>
          <w:sz w:val="22"/>
          <w:szCs w:val="22"/>
          <w:lang w:val="es-ES_tradnl"/>
        </w:rPr>
        <w:t>.</w:t>
      </w:r>
    </w:p>
    <w:p w:rsidRPr="001C75C1" w:rsidR="0000500B" w:rsidP="0000500B" w:rsidRDefault="0000500B" w14:paraId="7371BE65" w14:textId="6713ED8E">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C75C1">
        <w:rPr>
          <w:rFonts w:ascii="Arial" w:hAnsi="Arial" w:eastAsia="Calibri" w:cs="Arial"/>
          <w:color w:val="000000" w:themeColor="text1"/>
          <w:sz w:val="22"/>
          <w:szCs w:val="22"/>
          <w:lang w:val="es-ES_tradnl"/>
        </w:rPr>
        <w:t>mipymes</w:t>
      </w:r>
      <w:proofErr w:type="spellEnd"/>
      <w:r w:rsidRPr="001C75C1">
        <w:rPr>
          <w:rFonts w:ascii="Arial" w:hAnsi="Arial" w:eastAsia="Calibri" w:cs="Arial"/>
          <w:color w:val="000000" w:themeColor="text1"/>
          <w:sz w:val="22"/>
          <w:szCs w:val="22"/>
          <w:lang w:val="es-ES_tradnl"/>
        </w:rPr>
        <w:t xml:space="preserve"> en el procedimiento de mínima cuantía, ii) criterios diferenciales para </w:t>
      </w:r>
      <w:proofErr w:type="spellStart"/>
      <w:r w:rsidRPr="001C75C1">
        <w:rPr>
          <w:rFonts w:ascii="Arial" w:hAnsi="Arial" w:eastAsia="Calibri" w:cs="Arial"/>
          <w:color w:val="000000" w:themeColor="text1"/>
          <w:sz w:val="22"/>
          <w:szCs w:val="22"/>
          <w:lang w:val="es-ES_tradnl"/>
        </w:rPr>
        <w:t>mipymes</w:t>
      </w:r>
      <w:proofErr w:type="spellEnd"/>
      <w:r w:rsidRPr="001C75C1">
        <w:rPr>
          <w:rFonts w:ascii="Arial" w:hAnsi="Arial" w:eastAsia="Calibri"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1C75C1">
        <w:rPr>
          <w:rFonts w:ascii="Arial" w:hAnsi="Arial" w:eastAsia="Calibri" w:cs="Arial"/>
          <w:color w:val="000000" w:themeColor="text1"/>
          <w:sz w:val="22"/>
          <w:szCs w:val="22"/>
          <w:lang w:val="es-ES_tradnl"/>
        </w:rPr>
        <w:t>mipymes</w:t>
      </w:r>
      <w:proofErr w:type="spellEnd"/>
      <w:r w:rsidRPr="001C75C1">
        <w:rPr>
          <w:rFonts w:ascii="Arial" w:hAnsi="Arial" w:eastAsia="Calibri"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r w:rsidRPr="001C75C1" w:rsidR="0088321E">
        <w:rPr>
          <w:rFonts w:ascii="Arial" w:hAnsi="Arial" w:eastAsia="Calibri" w:cs="Arial"/>
          <w:color w:val="000000" w:themeColor="text1"/>
          <w:sz w:val="22"/>
          <w:szCs w:val="22"/>
          <w:lang w:val="es-ES_tradnl"/>
        </w:rPr>
        <w:t>continuación,</w:t>
      </w:r>
      <w:r w:rsidRPr="001C75C1">
        <w:rPr>
          <w:rFonts w:ascii="Arial" w:hAnsi="Arial" w:eastAsia="Calibri" w:cs="Arial"/>
          <w:color w:val="000000" w:themeColor="text1"/>
          <w:sz w:val="22"/>
          <w:szCs w:val="22"/>
          <w:lang w:val="es-ES_tradnl"/>
        </w:rPr>
        <w:t xml:space="preserve"> se estudiará el contenido y alcance de dicha norma.  </w:t>
      </w:r>
    </w:p>
    <w:p w:rsidRPr="001C75C1" w:rsidR="0000500B" w:rsidP="0000500B" w:rsidRDefault="0000500B" w14:paraId="6DA213FC" w14:textId="77777777">
      <w:pPr>
        <w:spacing w:line="276" w:lineRule="auto"/>
        <w:jc w:val="both"/>
        <w:rPr>
          <w:rFonts w:ascii="Arial" w:hAnsi="Arial" w:eastAsia="Calibri" w:cs="Arial"/>
          <w:color w:val="000000" w:themeColor="text1"/>
          <w:sz w:val="22"/>
          <w:szCs w:val="22"/>
          <w:lang w:val="es-ES_tradnl"/>
        </w:rPr>
      </w:pPr>
    </w:p>
    <w:p w:rsidRPr="001C75C1" w:rsidR="00D30596" w:rsidP="00D30596" w:rsidRDefault="00473A2E" w14:paraId="25F17B5B" w14:textId="36FD7DD7">
      <w:pPr>
        <w:spacing w:line="276" w:lineRule="auto"/>
        <w:jc w:val="both"/>
        <w:rPr>
          <w:rFonts w:ascii="Arial" w:hAnsi="Arial" w:eastAsia="Calibri" w:cs="Arial"/>
          <w:b/>
          <w:bCs/>
          <w:color w:val="000000" w:themeColor="text1"/>
          <w:sz w:val="22"/>
          <w:szCs w:val="22"/>
          <w:lang w:val="es-ES_tradnl"/>
        </w:rPr>
      </w:pPr>
      <w:r w:rsidRPr="001C75C1">
        <w:rPr>
          <w:rFonts w:ascii="Arial" w:hAnsi="Arial" w:eastAsia="Calibri" w:cs="Arial"/>
          <w:b/>
          <w:bCs/>
          <w:color w:val="000000" w:themeColor="text1"/>
          <w:sz w:val="22"/>
          <w:szCs w:val="22"/>
          <w:lang w:val="es-ES_tradnl"/>
        </w:rPr>
        <w:t xml:space="preserve">2.3. </w:t>
      </w:r>
      <w:r w:rsidRPr="001C75C1" w:rsidR="00DB7484">
        <w:rPr>
          <w:rFonts w:ascii="Arial" w:hAnsi="Arial" w:eastAsia="Calibri" w:cs="Arial"/>
          <w:b/>
          <w:bCs/>
          <w:color w:val="000000" w:themeColor="text1"/>
          <w:sz w:val="22"/>
          <w:szCs w:val="22"/>
          <w:lang w:val="es-ES_tradnl"/>
        </w:rPr>
        <w:t>Alcance</w:t>
      </w:r>
      <w:r w:rsidRPr="001C75C1" w:rsidR="00D30596">
        <w:rPr>
          <w:rFonts w:ascii="Arial" w:hAnsi="Arial" w:eastAsia="Calibri" w:cs="Arial"/>
          <w:b/>
          <w:bCs/>
          <w:color w:val="000000" w:themeColor="text1"/>
          <w:sz w:val="22"/>
          <w:szCs w:val="22"/>
          <w:lang w:val="es-ES_tradnl"/>
        </w:rPr>
        <w:t xml:space="preserve"> del factor de desempate regulado en el numeral 2 del artículo 35 de la Ley 2069 de 2020</w:t>
      </w:r>
    </w:p>
    <w:p w:rsidRPr="001C75C1" w:rsidR="00473A2E" w:rsidP="00473A2E" w:rsidRDefault="00473A2E" w14:paraId="15672F50" w14:textId="3C161E43">
      <w:pPr>
        <w:spacing w:line="276" w:lineRule="auto"/>
        <w:jc w:val="both"/>
        <w:rPr>
          <w:rFonts w:ascii="Arial" w:hAnsi="Arial" w:eastAsia="Calibri" w:cs="Arial"/>
          <w:color w:val="000000" w:themeColor="text1"/>
          <w:sz w:val="22"/>
          <w:szCs w:val="22"/>
          <w:lang w:val="es-ES_tradnl"/>
        </w:rPr>
      </w:pPr>
    </w:p>
    <w:p w:rsidRPr="001C75C1" w:rsidR="00D30596" w:rsidP="00DF5508" w:rsidRDefault="00473A2E" w14:paraId="6D3B21C9" w14:textId="6CF8962F">
      <w:pPr>
        <w:spacing w:line="276" w:lineRule="auto"/>
        <w:jc w:val="both"/>
        <w:rPr>
          <w:rFonts w:ascii="Arial" w:hAnsi="Arial" w:eastAsia="Calibri" w:cs="Arial"/>
          <w:color w:val="000000" w:themeColor="text1"/>
          <w:sz w:val="22"/>
          <w:szCs w:val="22"/>
          <w:lang w:val="es-ES_tradnl"/>
        </w:rPr>
      </w:pPr>
      <w:r w:rsidRPr="001C75C1">
        <w:rPr>
          <w:rFonts w:ascii="Arial" w:hAnsi="Arial" w:eastAsia="Calibri"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Pr="001C75C1" w:rsidR="00D512A1">
        <w:rPr>
          <w:rFonts w:ascii="Arial" w:hAnsi="Arial" w:eastAsia="Calibri" w:cs="Arial"/>
          <w:color w:val="000000" w:themeColor="text1"/>
          <w:sz w:val="22"/>
          <w:szCs w:val="22"/>
          <w:lang w:val="es-ES_tradnl"/>
        </w:rPr>
        <w:t xml:space="preserve">algunos apartes normativos </w:t>
      </w:r>
      <w:r w:rsidRPr="001C75C1" w:rsidR="00775DEC">
        <w:rPr>
          <w:rFonts w:ascii="Arial" w:hAnsi="Arial" w:eastAsia="Calibri" w:cs="Arial"/>
          <w:color w:val="000000" w:themeColor="text1"/>
          <w:sz w:val="22"/>
          <w:szCs w:val="22"/>
          <w:lang w:val="es-ES_tradnl"/>
        </w:rPr>
        <w:t xml:space="preserve">de </w:t>
      </w:r>
      <w:r w:rsidRPr="001C75C1">
        <w:rPr>
          <w:rFonts w:ascii="Arial" w:hAnsi="Arial" w:eastAsia="Calibri" w:cs="Arial"/>
          <w:color w:val="000000" w:themeColor="text1"/>
          <w:sz w:val="22"/>
          <w:szCs w:val="22"/>
          <w:lang w:val="es-ES_tradnl"/>
        </w:rPr>
        <w:t xml:space="preserve">dicho artículo, la Subdirección de Gestión Contractual se pronunciará sobre el alcance que otorga a tales disposiciones, sin pasar por alto la </w:t>
      </w:r>
      <w:r w:rsidRPr="001C75C1" w:rsidR="0096071D">
        <w:rPr>
          <w:rFonts w:ascii="Arial" w:hAnsi="Arial" w:eastAsia="Calibri" w:cs="Arial"/>
          <w:color w:val="000000" w:themeColor="text1"/>
          <w:sz w:val="22"/>
          <w:szCs w:val="22"/>
          <w:lang w:val="es-ES_tradnl"/>
        </w:rPr>
        <w:t xml:space="preserve">relativa </w:t>
      </w:r>
      <w:r w:rsidRPr="001C75C1">
        <w:rPr>
          <w:rFonts w:ascii="Arial" w:hAnsi="Arial" w:eastAsia="Calibri" w:cs="Arial"/>
          <w:color w:val="000000" w:themeColor="text1"/>
          <w:sz w:val="22"/>
          <w:szCs w:val="22"/>
          <w:lang w:val="es-ES_tradnl"/>
        </w:rPr>
        <w:t>novedad de la Ley 2069 de 2020 –dada su reciente entrada en vigencia– y la ausencia de pronunciamientos jurisprudenciales o estudios doctrinarios sobre el tema, que seguramente contribuirán a decantar la interpretación de las normas en comento.</w:t>
      </w:r>
      <w:r w:rsidRPr="001C75C1" w:rsidR="00B83A32">
        <w:rPr>
          <w:rFonts w:ascii="Arial" w:hAnsi="Arial" w:eastAsia="Calibri" w:cs="Arial"/>
          <w:color w:val="000000" w:themeColor="text1"/>
          <w:sz w:val="22"/>
          <w:szCs w:val="22"/>
          <w:lang w:val="es-ES_tradnl"/>
        </w:rPr>
        <w:t xml:space="preserve"> Aún así, la expedición del Decreto </w:t>
      </w:r>
      <w:r w:rsidRPr="001C75C1" w:rsidR="009C0C1B">
        <w:rPr>
          <w:rFonts w:ascii="Arial" w:hAnsi="Arial" w:eastAsia="Calibri" w:cs="Arial"/>
          <w:color w:val="000000" w:themeColor="text1"/>
          <w:sz w:val="22"/>
          <w:szCs w:val="22"/>
          <w:lang w:val="es-ES_tradnl"/>
        </w:rPr>
        <w:t xml:space="preserve">1860 de 2021 –que reglamentó, entre otras disposiciones, los factores de desempate previstos en el artículo que se analizará– </w:t>
      </w:r>
      <w:r w:rsidRPr="001C75C1" w:rsidR="00460BDE">
        <w:rPr>
          <w:rFonts w:ascii="Arial" w:hAnsi="Arial" w:eastAsia="Calibri" w:cs="Arial"/>
          <w:color w:val="000000" w:themeColor="text1"/>
          <w:sz w:val="22"/>
          <w:szCs w:val="22"/>
          <w:lang w:val="es-ES_tradnl"/>
        </w:rPr>
        <w:t>dilucida</w:t>
      </w:r>
      <w:r w:rsidRPr="001C75C1" w:rsidR="009C0C1B">
        <w:rPr>
          <w:rFonts w:ascii="Arial" w:hAnsi="Arial" w:eastAsia="Calibri" w:cs="Arial"/>
          <w:color w:val="000000" w:themeColor="text1"/>
          <w:sz w:val="22"/>
          <w:szCs w:val="22"/>
          <w:lang w:val="es-ES_tradnl"/>
        </w:rPr>
        <w:t xml:space="preserve"> la interpretación de</w:t>
      </w:r>
      <w:r w:rsidRPr="001C75C1" w:rsidR="006B61AB">
        <w:rPr>
          <w:rFonts w:ascii="Arial" w:hAnsi="Arial" w:eastAsia="Calibri" w:cs="Arial"/>
          <w:color w:val="000000" w:themeColor="text1"/>
          <w:sz w:val="22"/>
          <w:szCs w:val="22"/>
          <w:lang w:val="es-ES_tradnl"/>
        </w:rPr>
        <w:t xml:space="preserve"> las disposiciones contenidas en la Ley 2069 de 2020 relativas a la contratación estatal, como se explicará </w:t>
      </w:r>
      <w:r w:rsidRPr="001C75C1" w:rsidR="008C5152">
        <w:rPr>
          <w:rFonts w:ascii="Arial" w:hAnsi="Arial" w:eastAsia="Calibri" w:cs="Arial"/>
          <w:color w:val="000000" w:themeColor="text1"/>
          <w:sz w:val="22"/>
          <w:szCs w:val="22"/>
          <w:lang w:val="es-ES_tradnl"/>
        </w:rPr>
        <w:t xml:space="preserve">en los siguientes </w:t>
      </w:r>
      <w:r w:rsidRPr="001C75C1" w:rsidR="005F3E34">
        <w:rPr>
          <w:rFonts w:ascii="Arial" w:hAnsi="Arial" w:eastAsia="Calibri" w:cs="Arial"/>
          <w:color w:val="000000" w:themeColor="text1"/>
          <w:sz w:val="22"/>
          <w:szCs w:val="22"/>
          <w:lang w:val="es-ES_tradnl"/>
        </w:rPr>
        <w:t>párrafos</w:t>
      </w:r>
      <w:r w:rsidRPr="001C75C1" w:rsidR="008C5152">
        <w:rPr>
          <w:rFonts w:ascii="Arial" w:hAnsi="Arial" w:eastAsia="Calibri" w:cs="Arial"/>
          <w:color w:val="000000" w:themeColor="text1"/>
          <w:sz w:val="22"/>
          <w:szCs w:val="22"/>
          <w:lang w:val="es-ES_tradnl"/>
        </w:rPr>
        <w:t xml:space="preserve"> de este concepto.</w:t>
      </w:r>
    </w:p>
    <w:p w:rsidRPr="001C75C1" w:rsidR="00FE655D" w:rsidP="00D30596" w:rsidRDefault="00FE655D" w14:paraId="3FC68BEC" w14:textId="71E159B3">
      <w:pPr>
        <w:spacing w:before="120" w:line="276" w:lineRule="auto"/>
        <w:ind w:firstLine="709"/>
        <w:jc w:val="both"/>
        <w:rPr>
          <w:rFonts w:ascii="Arial" w:hAnsi="Arial" w:eastAsia="Calibri" w:cs="Arial"/>
          <w:color w:val="000000" w:themeColor="text1"/>
          <w:sz w:val="22"/>
          <w:szCs w:val="22"/>
          <w:lang w:val="es-ES_tradnl"/>
        </w:rPr>
      </w:pPr>
      <w:r w:rsidRPr="001C75C1">
        <w:rPr>
          <w:rFonts w:ascii="Arial" w:hAnsi="Arial" w:cs="Arial"/>
          <w:color w:val="000000" w:themeColor="text1"/>
          <w:sz w:val="22"/>
          <w:szCs w:val="22"/>
          <w:lang w:val="es-ES_tradnl"/>
        </w:rPr>
        <w:t>El numeral 2 del artículo 35 de la Ley 2069 de 2020 establece</w:t>
      </w:r>
      <w:r w:rsidRPr="001C75C1" w:rsidR="00DF5508">
        <w:rPr>
          <w:rFonts w:ascii="Arial" w:hAnsi="Arial" w:cs="Arial"/>
          <w:color w:val="000000" w:themeColor="text1"/>
          <w:sz w:val="22"/>
          <w:szCs w:val="22"/>
          <w:lang w:val="es-ES_tradnl"/>
        </w:rPr>
        <w:t>:</w:t>
      </w:r>
    </w:p>
    <w:p w:rsidRPr="001C75C1" w:rsidR="00DF5508" w:rsidP="00DF5508" w:rsidRDefault="00DF5508" w14:paraId="1DB94A36" w14:textId="6860C91D">
      <w:pPr>
        <w:ind w:left="709" w:right="709"/>
        <w:jc w:val="both"/>
        <w:rPr>
          <w:rFonts w:ascii="Arial" w:hAnsi="Arial" w:cs="Arial"/>
          <w:color w:val="000000" w:themeColor="text1"/>
          <w:sz w:val="21"/>
          <w:szCs w:val="21"/>
          <w:lang w:val="es-ES_tradnl"/>
        </w:rPr>
      </w:pPr>
    </w:p>
    <w:p w:rsidRPr="001C75C1" w:rsidR="00DF5508" w:rsidP="00DF5508" w:rsidRDefault="00DF5508" w14:paraId="64105E86" w14:textId="6414D40D">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 xml:space="preserve">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w:t>
      </w:r>
      <w:r w:rsidRPr="001C75C1">
        <w:rPr>
          <w:rFonts w:ascii="Arial" w:hAnsi="Arial" w:cs="Arial"/>
          <w:color w:val="000000" w:themeColor="text1"/>
          <w:sz w:val="21"/>
          <w:szCs w:val="21"/>
        </w:rPr>
        <w:lastRenderedPageBreak/>
        <w:t>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rsidRPr="001C75C1" w:rsidR="00DF5508" w:rsidP="00DF5508" w:rsidRDefault="00DF5508" w14:paraId="0A66E34C" w14:textId="77777777">
      <w:pPr>
        <w:ind w:left="709" w:right="709"/>
        <w:jc w:val="both"/>
        <w:rPr>
          <w:rFonts w:ascii="Arial" w:hAnsi="Arial" w:cs="Arial"/>
          <w:color w:val="000000" w:themeColor="text1"/>
          <w:sz w:val="21"/>
          <w:szCs w:val="21"/>
        </w:rPr>
      </w:pPr>
    </w:p>
    <w:p w:rsidRPr="001C75C1" w:rsidR="00DF5508" w:rsidP="00DF5508" w:rsidRDefault="00DF5508" w14:paraId="0E17D79C" w14:textId="7577A7A2">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w:t>
      </w:r>
    </w:p>
    <w:p w:rsidRPr="001C75C1" w:rsidR="00DF5508" w:rsidP="00DF5508" w:rsidRDefault="00DF5508" w14:paraId="03A53327" w14:textId="77777777">
      <w:pPr>
        <w:ind w:left="709" w:right="709"/>
        <w:jc w:val="both"/>
        <w:rPr>
          <w:rFonts w:ascii="Arial" w:hAnsi="Arial" w:cs="Arial"/>
          <w:color w:val="000000" w:themeColor="text1"/>
          <w:sz w:val="21"/>
          <w:szCs w:val="21"/>
        </w:rPr>
      </w:pPr>
    </w:p>
    <w:p w:rsidRPr="001C75C1" w:rsidR="00DF5508" w:rsidP="00DF5508" w:rsidRDefault="00DF5508" w14:paraId="2BF0B62B" w14:textId="282A8E63">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rsidRPr="001C75C1" w:rsidR="00DF5508" w:rsidP="00DF5508" w:rsidRDefault="00DF5508" w14:paraId="5079BFAD" w14:textId="77777777">
      <w:pPr>
        <w:ind w:left="709" w:right="709"/>
        <w:jc w:val="both"/>
        <w:rPr>
          <w:rFonts w:ascii="Arial" w:hAnsi="Arial" w:cs="Arial"/>
          <w:color w:val="000000" w:themeColor="text1"/>
          <w:sz w:val="21"/>
          <w:szCs w:val="21"/>
        </w:rPr>
      </w:pPr>
    </w:p>
    <w:p w:rsidRPr="001C75C1" w:rsidR="00646561" w:rsidP="008108ED" w:rsidRDefault="000C7D4D" w14:paraId="190C98A8" w14:textId="0FD1DA70">
      <w:pPr>
        <w:spacing w:before="120" w:line="276" w:lineRule="auto"/>
        <w:ind w:firstLine="709"/>
        <w:jc w:val="both"/>
        <w:rPr>
          <w:rFonts w:ascii="Arial" w:hAnsi="Arial" w:cs="Arial"/>
          <w:color w:val="000000" w:themeColor="text1"/>
          <w:sz w:val="22"/>
          <w:lang w:val="es-ES_tradnl"/>
        </w:rPr>
      </w:pPr>
      <w:r w:rsidRPr="001C75C1">
        <w:rPr>
          <w:rFonts w:ascii="Arial" w:hAnsi="Arial" w:eastAsia="Calibri" w:cs="Arial"/>
          <w:color w:val="000000" w:themeColor="text1"/>
          <w:sz w:val="22"/>
          <w:lang w:val="es-ES_tradnl"/>
        </w:rPr>
        <w:t xml:space="preserve">Como se observa, </w:t>
      </w:r>
      <w:r w:rsidRPr="001C75C1">
        <w:rPr>
          <w:rFonts w:ascii="Arial" w:hAnsi="Arial" w:cs="Arial"/>
          <w:color w:val="000000" w:themeColor="text1"/>
          <w:sz w:val="22"/>
          <w:lang w:val="es-ES_tradnl"/>
        </w:rPr>
        <w:t>e</w:t>
      </w:r>
      <w:r w:rsidRPr="001C75C1" w:rsidR="00646561">
        <w:rPr>
          <w:rFonts w:ascii="Arial" w:hAnsi="Arial" w:cs="Arial"/>
          <w:color w:val="000000" w:themeColor="text1"/>
          <w:sz w:val="22"/>
          <w:lang w:val="es-ES_tradnl"/>
        </w:rPr>
        <w:t xml:space="preserve">l artículo 35, numeral 2, de la Ley 2069 de 2020 utiliza un concepto jurídico indeterminado, cuando se refiere a la participación </w:t>
      </w:r>
      <w:r w:rsidRPr="001C75C1" w:rsidR="00646561">
        <w:rPr>
          <w:rFonts w:ascii="Arial" w:hAnsi="Arial" w:cs="Arial"/>
          <w:i/>
          <w:iCs/>
          <w:color w:val="000000" w:themeColor="text1"/>
          <w:sz w:val="22"/>
          <w:lang w:val="es-ES_tradnl"/>
        </w:rPr>
        <w:t>mayoritaria</w:t>
      </w:r>
      <w:r w:rsidRPr="001C75C1" w:rsidR="00646561">
        <w:rPr>
          <w:rFonts w:ascii="Arial" w:hAnsi="Arial" w:cs="Arial"/>
          <w:color w:val="000000" w:themeColor="text1"/>
          <w:sz w:val="22"/>
          <w:lang w:val="es-ES_tradnl"/>
        </w:rPr>
        <w:t xml:space="preserve"> de las mujeres cabeza de familia o mujeres víctimas de la violencia intrafamiliar en la persona jurídica o en el proponente plural. </w:t>
      </w:r>
      <w:r w:rsidRPr="001C75C1" w:rsidR="008108ED">
        <w:rPr>
          <w:rFonts w:ascii="Arial" w:hAnsi="Arial" w:cs="Arial"/>
          <w:color w:val="000000" w:themeColor="text1"/>
          <w:sz w:val="22"/>
          <w:lang w:val="es-ES_tradnl"/>
        </w:rPr>
        <w:t>Sin embargo, esto lo aclar</w:t>
      </w:r>
      <w:r w:rsidRPr="001C75C1" w:rsidR="00435454">
        <w:rPr>
          <w:rFonts w:ascii="Arial" w:hAnsi="Arial" w:cs="Arial"/>
          <w:color w:val="000000" w:themeColor="text1"/>
          <w:sz w:val="22"/>
          <w:lang w:val="es-ES_tradnl"/>
        </w:rPr>
        <w:t>ó</w:t>
      </w:r>
      <w:r w:rsidRPr="001C75C1" w:rsidR="008108ED">
        <w:rPr>
          <w:rFonts w:ascii="Arial" w:hAnsi="Arial" w:cs="Arial"/>
          <w:color w:val="000000" w:themeColor="text1"/>
          <w:sz w:val="22"/>
          <w:lang w:val="es-ES_tradnl"/>
        </w:rPr>
        <w:t xml:space="preserve"> el artículo </w:t>
      </w:r>
      <w:r w:rsidRPr="001C75C1" w:rsidR="005D09B1">
        <w:rPr>
          <w:rFonts w:ascii="Arial" w:hAnsi="Arial" w:cs="Arial"/>
          <w:color w:val="000000" w:themeColor="text1"/>
          <w:sz w:val="22"/>
          <w:lang w:val="es-ES_tradnl"/>
        </w:rPr>
        <w:t xml:space="preserve">3 del Decreto 1860 de 2021, que </w:t>
      </w:r>
      <w:r w:rsidRPr="001C75C1" w:rsidR="002445E6">
        <w:rPr>
          <w:rFonts w:ascii="Arial" w:hAnsi="Arial" w:cs="Arial"/>
          <w:color w:val="000000" w:themeColor="text1"/>
          <w:sz w:val="22"/>
          <w:lang w:val="es-ES_tradnl"/>
        </w:rPr>
        <w:t>adicionó el artículo</w:t>
      </w:r>
      <w:r w:rsidRPr="001C75C1" w:rsidR="007613CC">
        <w:rPr>
          <w:rFonts w:ascii="Arial" w:hAnsi="Arial" w:cs="Arial"/>
          <w:color w:val="000000" w:themeColor="text1"/>
          <w:sz w:val="22"/>
          <w:lang w:val="es-ES_tradnl"/>
        </w:rPr>
        <w:t xml:space="preserve"> 2.2.1.2.4.2.17. </w:t>
      </w:r>
      <w:r w:rsidRPr="001C75C1" w:rsidR="002445E6">
        <w:rPr>
          <w:rFonts w:ascii="Arial" w:hAnsi="Arial" w:cs="Arial"/>
          <w:color w:val="000000" w:themeColor="text1"/>
          <w:sz w:val="22"/>
          <w:lang w:val="es-ES_tradnl"/>
        </w:rPr>
        <w:t>al Decreto 1082 de 2015</w:t>
      </w:r>
      <w:r w:rsidRPr="001C75C1" w:rsidR="007613CC">
        <w:rPr>
          <w:rFonts w:ascii="Arial" w:hAnsi="Arial" w:cs="Arial"/>
          <w:color w:val="000000" w:themeColor="text1"/>
          <w:sz w:val="22"/>
          <w:lang w:val="es-ES_tradnl"/>
        </w:rPr>
        <w:t>, reglamentando así el artículo 35 de la Ley 2069 de 2020</w:t>
      </w:r>
      <w:r w:rsidRPr="001C75C1" w:rsidR="00830879">
        <w:rPr>
          <w:rFonts w:ascii="Arial" w:hAnsi="Arial" w:cs="Arial"/>
          <w:color w:val="000000" w:themeColor="text1"/>
          <w:sz w:val="22"/>
          <w:lang w:val="es-ES_tradnl"/>
        </w:rPr>
        <w:t xml:space="preserve">, frente al alcance de los factores de desempate. </w:t>
      </w:r>
      <w:r w:rsidRPr="001C75C1" w:rsidR="002964D5">
        <w:rPr>
          <w:rFonts w:ascii="Arial" w:hAnsi="Arial" w:cs="Arial"/>
          <w:color w:val="000000" w:themeColor="text1"/>
          <w:sz w:val="22"/>
          <w:lang w:val="es-ES_tradnl"/>
        </w:rPr>
        <w:t>E</w:t>
      </w:r>
      <w:r w:rsidRPr="001C75C1" w:rsidR="00830879">
        <w:rPr>
          <w:rFonts w:ascii="Arial" w:hAnsi="Arial" w:cs="Arial"/>
          <w:color w:val="000000" w:themeColor="text1"/>
          <w:sz w:val="22"/>
          <w:lang w:val="es-ES_tradnl"/>
        </w:rPr>
        <w:t>n lo pertinente</w:t>
      </w:r>
      <w:r w:rsidRPr="001C75C1" w:rsidR="007964CA">
        <w:rPr>
          <w:rFonts w:ascii="Arial" w:hAnsi="Arial" w:cs="Arial"/>
          <w:color w:val="000000" w:themeColor="text1"/>
          <w:sz w:val="22"/>
          <w:lang w:val="es-ES_tradnl"/>
        </w:rPr>
        <w:t xml:space="preserve"> –es decir, en relación con el factor de desempate consagrado en el artículo 35, numeral 2</w:t>
      </w:r>
      <w:r w:rsidRPr="001C75C1" w:rsidR="00E96315">
        <w:rPr>
          <w:rFonts w:ascii="Arial" w:hAnsi="Arial" w:cs="Arial"/>
          <w:color w:val="000000" w:themeColor="text1"/>
          <w:sz w:val="22"/>
          <w:lang w:val="es-ES_tradnl"/>
        </w:rPr>
        <w:t>,</w:t>
      </w:r>
      <w:r w:rsidRPr="001C75C1" w:rsidR="007964CA">
        <w:rPr>
          <w:rFonts w:ascii="Arial" w:hAnsi="Arial" w:cs="Arial"/>
          <w:color w:val="000000" w:themeColor="text1"/>
          <w:sz w:val="22"/>
          <w:lang w:val="es-ES_tradnl"/>
        </w:rPr>
        <w:t xml:space="preserve"> de la Ley 2069 de 2020, que es sobre el cual versa la presente consulta–</w:t>
      </w:r>
      <w:r w:rsidRPr="001C75C1" w:rsidR="00830879">
        <w:rPr>
          <w:rFonts w:ascii="Arial" w:hAnsi="Arial" w:cs="Arial"/>
          <w:color w:val="000000" w:themeColor="text1"/>
          <w:sz w:val="22"/>
          <w:lang w:val="es-ES_tradnl"/>
        </w:rPr>
        <w:t>, el referido artículo 2.2.1.2.4.2.17. dispone:</w:t>
      </w:r>
    </w:p>
    <w:p w:rsidRPr="001C75C1" w:rsidR="00E96315" w:rsidP="00E96315" w:rsidRDefault="00E96315" w14:paraId="3F54A820" w14:textId="77777777">
      <w:pPr>
        <w:ind w:left="709" w:right="709"/>
        <w:jc w:val="both"/>
        <w:rPr>
          <w:rFonts w:ascii="Arial" w:hAnsi="Arial" w:cs="Arial"/>
          <w:color w:val="000000" w:themeColor="text1"/>
          <w:sz w:val="21"/>
          <w:szCs w:val="21"/>
          <w:lang w:val="es-ES_tradnl"/>
        </w:rPr>
      </w:pPr>
    </w:p>
    <w:p w:rsidRPr="001C75C1" w:rsidR="00830879" w:rsidP="00E96315" w:rsidRDefault="00BF6327" w14:paraId="6CA3B6D5" w14:textId="38B97F47">
      <w:pPr>
        <w:ind w:left="709" w:right="709"/>
        <w:jc w:val="both"/>
        <w:rPr>
          <w:rFonts w:ascii="Arial" w:hAnsi="Arial" w:cs="Arial"/>
          <w:color w:val="000000" w:themeColor="text1"/>
          <w:sz w:val="21"/>
          <w:szCs w:val="21"/>
          <w:lang w:val="es-ES_tradnl"/>
        </w:rPr>
      </w:pPr>
      <w:r w:rsidRPr="001C75C1">
        <w:rPr>
          <w:rFonts w:ascii="Arial" w:hAnsi="Arial" w:cs="Arial"/>
          <w:color w:val="000000" w:themeColor="text1"/>
          <w:sz w:val="21"/>
          <w:szCs w:val="21"/>
          <w:lang w:val="es-ES_tradnl"/>
        </w:rPr>
        <w:t>En caso de empate en el puntaje total de dos o más ofertas en los Procesos de Contratación realizados con cargo a recursos públicos, en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las obligaciones contenidas en los Acuerdos Comerciales vigentes, especialmente en materia de trato nacional.</w:t>
      </w:r>
    </w:p>
    <w:p w:rsidRPr="001C75C1" w:rsidR="00E96315" w:rsidP="00E96315" w:rsidRDefault="00E96315" w14:paraId="203DA323" w14:textId="77777777">
      <w:pPr>
        <w:ind w:left="709" w:right="709"/>
        <w:jc w:val="both"/>
        <w:rPr>
          <w:rFonts w:ascii="Arial" w:hAnsi="Arial" w:cs="Arial"/>
          <w:color w:val="000000" w:themeColor="text1"/>
          <w:sz w:val="21"/>
          <w:szCs w:val="21"/>
          <w:lang w:val="es-ES_tradnl"/>
        </w:rPr>
      </w:pPr>
    </w:p>
    <w:p w:rsidRPr="001C75C1" w:rsidR="00BF6327" w:rsidP="00E96315" w:rsidRDefault="00BF6327" w14:paraId="4BCAF131" w14:textId="2DC2AB98">
      <w:pPr>
        <w:ind w:left="709" w:right="709"/>
        <w:jc w:val="both"/>
        <w:rPr>
          <w:rFonts w:ascii="Arial" w:hAnsi="Arial" w:cs="Arial"/>
          <w:color w:val="000000" w:themeColor="text1"/>
          <w:sz w:val="21"/>
          <w:szCs w:val="21"/>
          <w:lang w:val="es-ES_tradnl"/>
        </w:rPr>
      </w:pPr>
      <w:r w:rsidRPr="001C75C1">
        <w:rPr>
          <w:rFonts w:ascii="Arial" w:hAnsi="Arial" w:cs="Arial"/>
          <w:color w:val="000000" w:themeColor="text1"/>
          <w:sz w:val="21"/>
          <w:szCs w:val="21"/>
          <w:lang w:val="es-ES_tradnl"/>
        </w:rPr>
        <w:t>[…]</w:t>
      </w:r>
    </w:p>
    <w:p w:rsidRPr="001C75C1" w:rsidR="00E96315" w:rsidP="00E96315" w:rsidRDefault="00E96315" w14:paraId="0D20C1DC" w14:textId="77777777">
      <w:pPr>
        <w:ind w:left="709" w:right="709"/>
        <w:jc w:val="both"/>
        <w:rPr>
          <w:rFonts w:ascii="Arial" w:hAnsi="Arial" w:cs="Arial"/>
          <w:color w:val="000000" w:themeColor="text1"/>
          <w:sz w:val="21"/>
          <w:szCs w:val="21"/>
        </w:rPr>
      </w:pPr>
    </w:p>
    <w:p w:rsidRPr="001C75C1" w:rsidR="00E96315" w:rsidP="00154410" w:rsidRDefault="00E96315" w14:paraId="7D18196D" w14:textId="5799FE46">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2. Preferir la propuesta de la mujer cabeza de familia. 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2 de la</w:t>
      </w:r>
      <w:r w:rsidRPr="001C75C1" w:rsidR="00154410">
        <w:rPr>
          <w:rFonts w:ascii="Arial" w:hAnsi="Arial" w:cs="Arial"/>
          <w:color w:val="000000" w:themeColor="text1"/>
          <w:sz w:val="21"/>
          <w:szCs w:val="21"/>
        </w:rPr>
        <w:t xml:space="preserve"> </w:t>
      </w:r>
      <w:r w:rsidRPr="001C75C1">
        <w:rPr>
          <w:rFonts w:ascii="Arial" w:hAnsi="Arial" w:cs="Arial"/>
          <w:color w:val="000000" w:themeColor="text1"/>
          <w:sz w:val="21"/>
          <w:szCs w:val="21"/>
        </w:rPr>
        <w:t>Ley 82 de 1993, modificado por el artículo 1 de la Ley 1232 de 2008.</w:t>
      </w:r>
    </w:p>
    <w:p w:rsidRPr="001C75C1" w:rsidR="00E96315" w:rsidP="00E96315" w:rsidRDefault="00E96315" w14:paraId="7A68D410" w14:textId="661B4E09">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 xml:space="preserve">Igualmente, se preferirá la propuesta de la mujer víctima de violencia intrafamiliar, la cual acreditará dicha condición de conformidad con el artículo 21 </w:t>
      </w:r>
      <w:r w:rsidRPr="001C75C1">
        <w:rPr>
          <w:rFonts w:ascii="Arial" w:hAnsi="Arial" w:cs="Arial"/>
          <w:color w:val="000000" w:themeColor="text1"/>
          <w:sz w:val="21"/>
          <w:szCs w:val="21"/>
        </w:rPr>
        <w:lastRenderedPageBreak/>
        <w:t>de la Ley 1257 de 2008, esto es, cuando se profiera una medida de protección expedida por la autoridad competente. En virtud del artículo 16 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rsidRPr="001C75C1" w:rsidR="008B4215" w:rsidP="00E96315" w:rsidRDefault="008B4215" w14:paraId="0E9E0BE5" w14:textId="77777777">
      <w:pPr>
        <w:ind w:left="709" w:right="709"/>
        <w:jc w:val="both"/>
        <w:rPr>
          <w:rFonts w:ascii="Arial" w:hAnsi="Arial" w:cs="Arial"/>
          <w:color w:val="000000" w:themeColor="text1"/>
          <w:sz w:val="21"/>
          <w:szCs w:val="21"/>
        </w:rPr>
      </w:pPr>
    </w:p>
    <w:p w:rsidRPr="001C75C1" w:rsidR="00E96315" w:rsidP="00E96315" w:rsidRDefault="00E96315" w14:paraId="4D7E0ED7" w14:textId="591ED353">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rsidRPr="001C75C1" w:rsidR="002964D5" w:rsidP="00E96315" w:rsidRDefault="002964D5" w14:paraId="56010641" w14:textId="77777777">
      <w:pPr>
        <w:ind w:left="709" w:right="709"/>
        <w:jc w:val="both"/>
        <w:rPr>
          <w:rFonts w:ascii="Arial" w:hAnsi="Arial" w:cs="Arial"/>
          <w:color w:val="000000" w:themeColor="text1"/>
          <w:sz w:val="21"/>
          <w:szCs w:val="21"/>
        </w:rPr>
      </w:pPr>
    </w:p>
    <w:p w:rsidRPr="001C75C1" w:rsidR="00E96315" w:rsidP="00E96315" w:rsidRDefault="00E96315" w14:paraId="6059F25E" w14:textId="00B5B583">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Finalmente, en el caso de los proponentes plurales, se preferirá la oferta cuando cada uno de los integrantes acredite alguna de las condiciones señaladas en los incisos anteriores de este numeral.</w:t>
      </w:r>
    </w:p>
    <w:p w:rsidRPr="001C75C1" w:rsidR="00E96315" w:rsidP="00E96315" w:rsidRDefault="00E96315" w14:paraId="3DE24762" w14:textId="77777777">
      <w:pPr>
        <w:ind w:left="709" w:right="709"/>
        <w:jc w:val="both"/>
        <w:rPr>
          <w:rFonts w:ascii="Arial" w:hAnsi="Arial" w:cs="Arial"/>
          <w:color w:val="000000" w:themeColor="text1"/>
          <w:sz w:val="21"/>
          <w:szCs w:val="21"/>
        </w:rPr>
      </w:pPr>
    </w:p>
    <w:p w:rsidRPr="001C75C1" w:rsidR="00830879" w:rsidP="008B4215" w:rsidRDefault="00E96315" w14:paraId="14F45C48" w14:textId="7073D545">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De acuerdo con el artículo 5 de la Ley 1581 de 2012, el titular de la información de estos datos sensibles, como es el caso de las mujeres víctimas de violencia intrafamiliar, deberá autorizar de manera previa y expresa el tratamiento de esta información, en los términos del literal a) del artículo 6 de la precitada Ley, como requisito para el otorgamiento del criterio de desempate.</w:t>
      </w:r>
    </w:p>
    <w:p w:rsidRPr="001C75C1" w:rsidR="002964D5" w:rsidP="002964D5" w:rsidRDefault="002964D5" w14:paraId="13F5DF47" w14:textId="77777777">
      <w:pPr>
        <w:spacing w:line="276" w:lineRule="auto"/>
        <w:ind w:firstLine="709"/>
        <w:jc w:val="both"/>
        <w:rPr>
          <w:rFonts w:ascii="Arial" w:hAnsi="Arial" w:cs="Arial"/>
          <w:sz w:val="22"/>
          <w:lang w:val="es-ES_tradnl"/>
        </w:rPr>
      </w:pPr>
    </w:p>
    <w:p w:rsidRPr="001C75C1" w:rsidR="00271F33" w:rsidP="002964D5" w:rsidRDefault="008108ED" w14:paraId="7D9C0059" w14:textId="0C2403E6">
      <w:pPr>
        <w:spacing w:line="276" w:lineRule="auto"/>
        <w:ind w:firstLine="709"/>
        <w:jc w:val="both"/>
        <w:rPr>
          <w:rFonts w:ascii="Arial" w:hAnsi="Arial" w:cs="Arial"/>
          <w:sz w:val="22"/>
          <w:lang w:val="es-ES_tradnl"/>
        </w:rPr>
      </w:pPr>
      <w:r w:rsidRPr="001C75C1">
        <w:rPr>
          <w:rFonts w:ascii="Arial" w:hAnsi="Arial" w:cs="Arial"/>
          <w:sz w:val="22"/>
          <w:lang w:val="es-ES_tradnl"/>
        </w:rPr>
        <w:t>Por tanto</w:t>
      </w:r>
      <w:r w:rsidRPr="001C75C1" w:rsidR="00646561">
        <w:rPr>
          <w:rFonts w:ascii="Arial" w:hAnsi="Arial" w:cs="Arial"/>
          <w:sz w:val="22"/>
          <w:lang w:val="es-ES_tradnl"/>
        </w:rPr>
        <w:t xml:space="preserve">, </w:t>
      </w:r>
      <w:r w:rsidRPr="001C75C1" w:rsidR="006D22A9">
        <w:rPr>
          <w:rFonts w:ascii="Arial" w:hAnsi="Arial" w:cs="Arial"/>
          <w:sz w:val="22"/>
          <w:lang w:val="es-ES_tradnl"/>
        </w:rPr>
        <w:t>frente a</w:t>
      </w:r>
      <w:r w:rsidRPr="001C75C1" w:rsidR="00646561">
        <w:rPr>
          <w:rFonts w:ascii="Arial" w:hAnsi="Arial" w:cs="Arial"/>
          <w:sz w:val="22"/>
          <w:lang w:val="es-ES_tradnl"/>
        </w:rPr>
        <w:t xml:space="preserve"> la expresión «mayoritariamente»,</w:t>
      </w:r>
      <w:r w:rsidRPr="001C75C1" w:rsidR="00863B02">
        <w:rPr>
          <w:rFonts w:ascii="Arial" w:hAnsi="Arial" w:cs="Arial"/>
          <w:sz w:val="22"/>
          <w:lang w:val="es-ES_tradnl"/>
        </w:rPr>
        <w:t xml:space="preserve"> en concordancia con lo</w:t>
      </w:r>
      <w:r w:rsidRPr="001C75C1" w:rsidR="002964D5">
        <w:rPr>
          <w:rFonts w:ascii="Arial" w:hAnsi="Arial" w:cs="Arial"/>
          <w:sz w:val="22"/>
          <w:lang w:val="es-ES_tradnl"/>
        </w:rPr>
        <w:t xml:space="preserve"> que ya había</w:t>
      </w:r>
      <w:r w:rsidRPr="001C75C1" w:rsidR="00863B02">
        <w:rPr>
          <w:rFonts w:ascii="Arial" w:hAnsi="Arial" w:cs="Arial"/>
          <w:sz w:val="22"/>
          <w:lang w:val="es-ES_tradnl"/>
        </w:rPr>
        <w:t xml:space="preserve"> manifestado esta Subdirección</w:t>
      </w:r>
      <w:r w:rsidRPr="001C75C1" w:rsidR="004A2DDD">
        <w:rPr>
          <w:rFonts w:ascii="Arial" w:hAnsi="Arial" w:cs="Arial"/>
          <w:sz w:val="22"/>
          <w:lang w:val="es-ES_tradnl"/>
        </w:rPr>
        <w:t>, entre otros pronunciamientos,</w:t>
      </w:r>
      <w:r w:rsidRPr="001C75C1" w:rsidR="00863B02">
        <w:rPr>
          <w:rFonts w:ascii="Arial" w:hAnsi="Arial" w:cs="Arial"/>
          <w:sz w:val="22"/>
          <w:lang w:val="es-ES_tradnl"/>
        </w:rPr>
        <w:t xml:space="preserve"> en los conceptos C-272 y C-302 del 9 y el 24 de junio de 2021, respectivamente,</w:t>
      </w:r>
      <w:r w:rsidRPr="001C75C1" w:rsidR="00646561">
        <w:rPr>
          <w:rFonts w:ascii="Arial" w:hAnsi="Arial" w:cs="Arial"/>
          <w:sz w:val="22"/>
          <w:lang w:val="es-ES_tradnl"/>
        </w:rPr>
        <w:t xml:space="preserve"> debe decirse que, si bien </w:t>
      </w:r>
      <w:r w:rsidRPr="001C75C1" w:rsidR="00F378A2">
        <w:rPr>
          <w:rFonts w:ascii="Arial" w:hAnsi="Arial" w:cs="Arial"/>
          <w:sz w:val="22"/>
          <w:lang w:val="es-ES_tradnl"/>
        </w:rPr>
        <w:t>el artículo 35 de la Ley 2069 de 2020</w:t>
      </w:r>
      <w:r w:rsidRPr="001C75C1" w:rsidR="00646561">
        <w:rPr>
          <w:rFonts w:ascii="Arial" w:hAnsi="Arial" w:cs="Arial"/>
          <w:sz w:val="22"/>
          <w:lang w:val="es-ES_tradnl"/>
        </w:rPr>
        <w:t xml:space="preserve"> no definió lo que debe </w:t>
      </w:r>
      <w:r w:rsidRPr="001C75C1" w:rsidR="00F378A2">
        <w:rPr>
          <w:rFonts w:ascii="Arial" w:hAnsi="Arial" w:cs="Arial"/>
          <w:sz w:val="22"/>
          <w:lang w:val="es-ES_tradnl"/>
        </w:rPr>
        <w:t>interpretarse</w:t>
      </w:r>
      <w:r w:rsidRPr="001C75C1" w:rsidR="00646561">
        <w:rPr>
          <w:rFonts w:ascii="Arial" w:hAnsi="Arial" w:cs="Arial"/>
          <w:sz w:val="22"/>
          <w:lang w:val="es-ES_tradnl"/>
        </w:rPr>
        <w:t xml:space="preserve"> por «</w:t>
      </w:r>
      <w:r w:rsidRPr="001C75C1" w:rsidR="00863B02">
        <w:rPr>
          <w:rFonts w:ascii="Arial" w:hAnsi="Arial" w:cs="Arial"/>
          <w:sz w:val="22"/>
          <w:lang w:val="es-ES_tradnl"/>
        </w:rPr>
        <w:t>p</w:t>
      </w:r>
      <w:r w:rsidRPr="001C75C1" w:rsidR="00646561">
        <w:rPr>
          <w:rFonts w:ascii="Arial" w:hAnsi="Arial" w:cs="Arial"/>
          <w:sz w:val="22"/>
          <w:lang w:val="es-ES_tradnl"/>
        </w:rPr>
        <w:t>articipación mayoritaria», se puede afirmar –acorde con el derecho societario– que por esta se entiende</w:t>
      </w:r>
      <w:r w:rsidRPr="001C75C1" w:rsidR="003A4987">
        <w:rPr>
          <w:rFonts w:ascii="Arial" w:hAnsi="Arial" w:cs="Arial"/>
          <w:sz w:val="22"/>
          <w:lang w:val="es-ES_tradnl"/>
        </w:rPr>
        <w:t>, verbigracia</w:t>
      </w:r>
      <w:r w:rsidRPr="001C75C1" w:rsidR="00065C8D">
        <w:rPr>
          <w:rFonts w:ascii="Arial" w:hAnsi="Arial" w:cs="Arial"/>
          <w:sz w:val="22"/>
          <w:lang w:val="es-ES_tradnl"/>
        </w:rPr>
        <w:t xml:space="preserve"> –pero no exclusivamente–</w:t>
      </w:r>
      <w:r w:rsidRPr="001C75C1" w:rsidR="003A4987">
        <w:rPr>
          <w:rFonts w:ascii="Arial" w:hAnsi="Arial" w:cs="Arial"/>
          <w:sz w:val="22"/>
          <w:lang w:val="es-ES_tradnl"/>
        </w:rPr>
        <w:t>, en las sociedades por acciones,</w:t>
      </w:r>
      <w:r w:rsidRPr="001C75C1" w:rsidR="00646561">
        <w:rPr>
          <w:rFonts w:ascii="Arial" w:hAnsi="Arial" w:cs="Arial"/>
          <w:sz w:val="22"/>
          <w:lang w:val="es-ES_tradnl"/>
        </w:rPr>
        <w:t xml:space="preserve"> la posición de un socio cuando tiene más del cincuenta por ciento (50%) de participación en la sociedad. </w:t>
      </w:r>
      <w:r w:rsidRPr="001C75C1" w:rsidR="00154410">
        <w:rPr>
          <w:rFonts w:ascii="Arial" w:hAnsi="Arial" w:cs="Arial"/>
          <w:sz w:val="22"/>
          <w:lang w:val="es-ES_tradnl"/>
        </w:rPr>
        <w:t xml:space="preserve">Esto es lo que dice el </w:t>
      </w:r>
      <w:r w:rsidRPr="001C75C1" w:rsidR="00271F33">
        <w:rPr>
          <w:rFonts w:ascii="Arial" w:hAnsi="Arial" w:cs="Arial"/>
          <w:sz w:val="22"/>
          <w:lang w:val="es-ES_tradnl"/>
        </w:rPr>
        <w:t xml:space="preserve">tercer </w:t>
      </w:r>
      <w:r w:rsidRPr="001C75C1" w:rsidR="00154410">
        <w:rPr>
          <w:rFonts w:ascii="Arial" w:hAnsi="Arial" w:cs="Arial"/>
          <w:sz w:val="22"/>
          <w:lang w:val="es-ES_tradnl"/>
        </w:rPr>
        <w:t>inciso</w:t>
      </w:r>
      <w:r w:rsidRPr="001C75C1" w:rsidR="00271F33">
        <w:rPr>
          <w:rFonts w:ascii="Arial" w:hAnsi="Arial" w:cs="Arial"/>
          <w:sz w:val="22"/>
          <w:lang w:val="es-ES_tradnl"/>
        </w:rPr>
        <w:t xml:space="preserve"> del artículo citado con anterioridad, cuando dispone:</w:t>
      </w:r>
    </w:p>
    <w:p w:rsidRPr="001C75C1" w:rsidR="00271F33" w:rsidP="002964D5" w:rsidRDefault="00271F33" w14:paraId="275FFE0A" w14:textId="77777777">
      <w:pPr>
        <w:spacing w:line="276" w:lineRule="auto"/>
        <w:ind w:firstLine="709"/>
        <w:jc w:val="both"/>
        <w:rPr>
          <w:rFonts w:ascii="Arial" w:hAnsi="Arial" w:cs="Arial"/>
          <w:sz w:val="22"/>
          <w:lang w:val="es-ES_tradnl"/>
        </w:rPr>
      </w:pPr>
    </w:p>
    <w:p w:rsidRPr="001C75C1" w:rsidR="00154410" w:rsidP="00271F33" w:rsidRDefault="00271F33" w14:paraId="1C160523" w14:textId="276CE713">
      <w:pPr>
        <w:ind w:left="709" w:right="709"/>
        <w:jc w:val="both"/>
        <w:rPr>
          <w:rFonts w:ascii="Arial" w:hAnsi="Arial" w:cs="Arial"/>
          <w:color w:val="000000" w:themeColor="text1"/>
          <w:sz w:val="21"/>
          <w:szCs w:val="21"/>
        </w:rPr>
      </w:pPr>
      <w:r w:rsidRPr="001C75C1">
        <w:rPr>
          <w:rFonts w:ascii="Arial" w:hAnsi="Arial" w:cs="Arial"/>
          <w:color w:val="000000" w:themeColor="text1"/>
          <w:sz w:val="21"/>
          <w:szCs w:val="21"/>
        </w:rPr>
        <w:t xml:space="preserve">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w:t>
      </w:r>
      <w:r w:rsidRPr="001C75C1">
        <w:rPr>
          <w:rFonts w:ascii="Arial" w:hAnsi="Arial" w:cs="Arial"/>
          <w:i/>
          <w:iCs/>
          <w:color w:val="000000" w:themeColor="text1"/>
          <w:sz w:val="21"/>
          <w:szCs w:val="21"/>
        </w:rPr>
        <w:t>que más del cincuenta por ciento (50 %) de la composición accionaria o cuota parte</w:t>
      </w:r>
      <w:r w:rsidRPr="001C75C1">
        <w:rPr>
          <w:rFonts w:ascii="Arial" w:hAnsi="Arial" w:cs="Arial"/>
          <w:color w:val="000000" w:themeColor="text1"/>
          <w:sz w:val="21"/>
          <w:szCs w:val="21"/>
        </w:rPr>
        <w:t xml:space="preserve"> de la persona jurídica está constituida por mujeres cabeza de familia y/o mujeres víctimas de violencia intrafamiliar.</w:t>
      </w:r>
      <w:r w:rsidRPr="001C75C1" w:rsidR="007738CF">
        <w:rPr>
          <w:rFonts w:ascii="Arial" w:hAnsi="Arial" w:cs="Arial"/>
          <w:color w:val="000000" w:themeColor="text1"/>
          <w:sz w:val="21"/>
          <w:szCs w:val="21"/>
        </w:rPr>
        <w:t xml:space="preserve"> </w:t>
      </w:r>
      <w:r w:rsidRPr="001C75C1">
        <w:rPr>
          <w:rFonts w:ascii="Arial" w:hAnsi="Arial" w:cs="Arial"/>
          <w:color w:val="000000" w:themeColor="text1"/>
          <w:sz w:val="21"/>
          <w:szCs w:val="21"/>
        </w:rPr>
        <w:t xml:space="preserve">Además, deberá acreditar la condición indicada de cada una de las mujeres que </w:t>
      </w:r>
      <w:r w:rsidRPr="001C75C1">
        <w:rPr>
          <w:rFonts w:ascii="Arial" w:hAnsi="Arial" w:cs="Arial"/>
          <w:color w:val="000000" w:themeColor="text1"/>
          <w:sz w:val="21"/>
          <w:szCs w:val="21"/>
        </w:rPr>
        <w:lastRenderedPageBreak/>
        <w:t>participen en la sociedad, aportando los documentos de cada una de ellas, de acuerdo con los dos incisos anteriores.</w:t>
      </w:r>
      <w:r w:rsidRPr="001C75C1" w:rsidR="007738CF">
        <w:rPr>
          <w:rFonts w:ascii="Arial" w:hAnsi="Arial" w:cs="Arial"/>
          <w:color w:val="000000" w:themeColor="text1"/>
          <w:sz w:val="21"/>
          <w:szCs w:val="21"/>
        </w:rPr>
        <w:t xml:space="preserve"> (Énfasis fuera de texto).</w:t>
      </w:r>
    </w:p>
    <w:p w:rsidRPr="001C75C1" w:rsidR="00271F33" w:rsidP="002964D5" w:rsidRDefault="00271F33" w14:paraId="7E45599B" w14:textId="77777777">
      <w:pPr>
        <w:spacing w:line="276" w:lineRule="auto"/>
        <w:ind w:firstLine="709"/>
        <w:jc w:val="both"/>
        <w:rPr>
          <w:rFonts w:ascii="Arial" w:hAnsi="Arial" w:cs="Arial"/>
          <w:sz w:val="22"/>
          <w:lang w:val="es-ES_tradnl"/>
        </w:rPr>
      </w:pPr>
    </w:p>
    <w:p w:rsidRPr="001C75C1" w:rsidR="00065C8D" w:rsidP="00B03B87" w:rsidRDefault="00646561" w14:paraId="2BDFD65A" w14:textId="54B6F347">
      <w:pPr>
        <w:spacing w:line="276" w:lineRule="auto"/>
        <w:ind w:firstLine="709"/>
        <w:jc w:val="both"/>
        <w:rPr>
          <w:rFonts w:ascii="Arial" w:hAnsi="Arial" w:cs="Arial"/>
          <w:sz w:val="22"/>
          <w:lang w:val="es-ES_tradnl"/>
        </w:rPr>
      </w:pPr>
      <w:r w:rsidRPr="001C75C1">
        <w:rPr>
          <w:rFonts w:ascii="Arial" w:hAnsi="Arial" w:cs="Arial"/>
          <w:sz w:val="22"/>
          <w:lang w:val="es-ES_tradnl"/>
        </w:rPr>
        <w:t xml:space="preserve">Conforme a lo anterior, la expresión «mayoritariamente», contenida en el numeral 2 del artículo 35 de la </w:t>
      </w:r>
      <w:r w:rsidRPr="001C75C1" w:rsidR="00297AB0">
        <w:rPr>
          <w:rFonts w:ascii="Arial" w:hAnsi="Arial" w:cs="Arial"/>
          <w:sz w:val="22"/>
          <w:lang w:val="es-ES_tradnl"/>
        </w:rPr>
        <w:t>L</w:t>
      </w:r>
      <w:r w:rsidRPr="001C75C1">
        <w:rPr>
          <w:rFonts w:ascii="Arial" w:hAnsi="Arial" w:cs="Arial"/>
          <w:sz w:val="22"/>
          <w:lang w:val="es-ES_tradnl"/>
        </w:rPr>
        <w:t xml:space="preserve">ey 2069 de 2020 exige que las mujeres cabeza de familia o mujeres víctimas de la violencia intrafamiliar cuenten –singular o conjuntamente– con una participación superior al (50%) en la sociedad, para que esta pueda ser considerada como mayoritaria. </w:t>
      </w:r>
      <w:r w:rsidRPr="001C75C1" w:rsidR="00B03B87">
        <w:rPr>
          <w:rFonts w:ascii="Arial" w:hAnsi="Arial" w:cs="Arial"/>
          <w:sz w:val="22"/>
          <w:lang w:val="es-ES_tradnl"/>
        </w:rPr>
        <w:t xml:space="preserve">Además, se precisa que </w:t>
      </w:r>
      <w:r w:rsidRPr="001C75C1" w:rsidR="006B10EF">
        <w:rPr>
          <w:rFonts w:ascii="Arial" w:hAnsi="Arial" w:cs="Arial"/>
          <w:sz w:val="22"/>
          <w:lang w:val="es-ES_tradnl"/>
        </w:rPr>
        <w:t xml:space="preserve">el carácter </w:t>
      </w:r>
      <w:r w:rsidRPr="001C75C1" w:rsidR="006B10EF">
        <w:rPr>
          <w:rFonts w:ascii="Arial" w:hAnsi="Arial" w:cs="Arial"/>
          <w:i/>
          <w:iCs/>
          <w:sz w:val="22"/>
          <w:lang w:val="es-ES_tradnl"/>
        </w:rPr>
        <w:t>mayoritario</w:t>
      </w:r>
      <w:r w:rsidRPr="001C75C1" w:rsidR="006B10EF">
        <w:rPr>
          <w:rFonts w:ascii="Arial" w:hAnsi="Arial" w:cs="Arial"/>
          <w:sz w:val="22"/>
          <w:lang w:val="es-ES_tradnl"/>
        </w:rPr>
        <w:t xml:space="preserve"> de la </w:t>
      </w:r>
      <w:r w:rsidRPr="001C75C1" w:rsidR="006B10EF">
        <w:rPr>
          <w:rFonts w:ascii="Arial" w:hAnsi="Arial" w:cs="Arial"/>
          <w:i/>
          <w:iCs/>
          <w:sz w:val="22"/>
          <w:lang w:val="es-ES_tradnl"/>
        </w:rPr>
        <w:t>participación</w:t>
      </w:r>
      <w:r w:rsidRPr="001C75C1" w:rsidR="00065C8D">
        <w:rPr>
          <w:rFonts w:ascii="Arial" w:hAnsi="Arial" w:cs="Arial"/>
          <w:sz w:val="22"/>
          <w:lang w:val="es-ES_tradnl"/>
        </w:rPr>
        <w:t xml:space="preserve"> de la</w:t>
      </w:r>
      <w:r w:rsidRPr="001C75C1" w:rsidR="002E6BF3">
        <w:rPr>
          <w:rFonts w:ascii="Arial" w:hAnsi="Arial" w:cs="Arial"/>
          <w:sz w:val="22"/>
          <w:lang w:val="es-ES_tradnl"/>
        </w:rPr>
        <w:t>s</w:t>
      </w:r>
      <w:r w:rsidRPr="001C75C1" w:rsidR="00065C8D">
        <w:rPr>
          <w:rFonts w:ascii="Arial" w:hAnsi="Arial" w:cs="Arial"/>
          <w:sz w:val="22"/>
          <w:lang w:val="es-ES_tradnl"/>
        </w:rPr>
        <w:t xml:space="preserve"> mujer</w:t>
      </w:r>
      <w:r w:rsidRPr="001C75C1" w:rsidR="002E6BF3">
        <w:rPr>
          <w:rFonts w:ascii="Arial" w:hAnsi="Arial" w:cs="Arial"/>
          <w:sz w:val="22"/>
          <w:lang w:val="es-ES_tradnl"/>
        </w:rPr>
        <w:t>es</w:t>
      </w:r>
      <w:r w:rsidRPr="001C75C1" w:rsidR="00065C8D">
        <w:rPr>
          <w:rFonts w:ascii="Arial" w:hAnsi="Arial" w:cs="Arial"/>
          <w:sz w:val="22"/>
          <w:lang w:val="es-ES_tradnl"/>
        </w:rPr>
        <w:t xml:space="preserve"> cabeza de familia y de las mujeres víctimas de la violencia intrafamiliar no se predica exclusivamente de las sociedades por acciones, pues el artículo </w:t>
      </w:r>
      <w:r w:rsidRPr="001C75C1" w:rsidR="00DE40B0">
        <w:rPr>
          <w:rFonts w:ascii="Arial" w:hAnsi="Arial" w:cs="Arial"/>
          <w:sz w:val="22"/>
          <w:lang w:val="es-ES_tradnl"/>
        </w:rPr>
        <w:t xml:space="preserve">35, numeral 2, de la Ley 2069 de 2020, se refiere, de manera genérica, a la participación mayoritaria, en una </w:t>
      </w:r>
      <w:r w:rsidRPr="001C75C1" w:rsidR="00DE40B0">
        <w:rPr>
          <w:rFonts w:ascii="Arial" w:hAnsi="Arial" w:cs="Arial"/>
          <w:i/>
          <w:iCs/>
          <w:sz w:val="22"/>
          <w:lang w:val="es-ES_tradnl"/>
        </w:rPr>
        <w:t>persona jurídica</w:t>
      </w:r>
      <w:r w:rsidRPr="001C75C1" w:rsidR="00DE40B0">
        <w:rPr>
          <w:rFonts w:ascii="Arial" w:hAnsi="Arial" w:cs="Arial"/>
          <w:sz w:val="22"/>
          <w:lang w:val="es-ES_tradnl"/>
        </w:rPr>
        <w:t>, concepto que define el artículo 633 del Código Civil de la siguiente manera: «Se llama persona jurídica, una persona ficticia, capaz de ejercer derechos y contraer obligaciones civiles, y de ser representada judicial y extrajudicialmente»</w:t>
      </w:r>
      <w:r w:rsidRPr="001C75C1" w:rsidR="00222F7B">
        <w:rPr>
          <w:rFonts w:ascii="Arial" w:hAnsi="Arial" w:cs="Arial"/>
          <w:sz w:val="22"/>
          <w:lang w:val="es-ES_tradnl"/>
        </w:rPr>
        <w:t>. Esta norma señala</w:t>
      </w:r>
      <w:r w:rsidRPr="001C75C1" w:rsidR="00F94046">
        <w:rPr>
          <w:rFonts w:ascii="Arial" w:hAnsi="Arial" w:cs="Arial"/>
          <w:sz w:val="22"/>
          <w:lang w:val="es-ES_tradnl"/>
        </w:rPr>
        <w:t>,</w:t>
      </w:r>
      <w:r w:rsidRPr="001C75C1" w:rsidR="00222F7B">
        <w:rPr>
          <w:rFonts w:ascii="Arial" w:hAnsi="Arial" w:cs="Arial"/>
          <w:sz w:val="22"/>
          <w:lang w:val="es-ES_tradnl"/>
        </w:rPr>
        <w:t xml:space="preserve"> a su vez</w:t>
      </w:r>
      <w:r w:rsidRPr="001C75C1" w:rsidR="00F94046">
        <w:rPr>
          <w:rFonts w:ascii="Arial" w:hAnsi="Arial" w:cs="Arial"/>
          <w:sz w:val="22"/>
          <w:lang w:val="es-ES_tradnl"/>
        </w:rPr>
        <w:t>,</w:t>
      </w:r>
      <w:r w:rsidRPr="001C75C1" w:rsidR="00222F7B">
        <w:rPr>
          <w:rFonts w:ascii="Arial" w:hAnsi="Arial" w:cs="Arial"/>
          <w:sz w:val="22"/>
          <w:lang w:val="es-ES_tradnl"/>
        </w:rPr>
        <w:t xml:space="preserve"> que «Las personas jurídicas son de dos especies: corporaciones y fundaciones de beneficencia pública».</w:t>
      </w:r>
      <w:r w:rsidRPr="001C75C1" w:rsidR="00832464">
        <w:rPr>
          <w:rFonts w:ascii="Arial" w:hAnsi="Arial" w:cs="Arial"/>
          <w:color w:val="000000" w:themeColor="text1"/>
          <w:sz w:val="22"/>
        </w:rPr>
        <w:t xml:space="preserve"> </w:t>
      </w:r>
      <w:r w:rsidRPr="001C75C1" w:rsidR="007E60FB">
        <w:rPr>
          <w:rFonts w:ascii="Arial" w:hAnsi="Arial" w:cs="Arial"/>
          <w:color w:val="000000" w:themeColor="text1"/>
          <w:sz w:val="22"/>
        </w:rPr>
        <w:t>Por tanto, la participación mayoritaria puede ser medida en acciones o cuotas parte, según el tipo de sociedad.</w:t>
      </w:r>
    </w:p>
    <w:p w:rsidRPr="001C75C1" w:rsidR="0073746D" w:rsidP="004D1C27" w:rsidRDefault="0073746D" w14:paraId="303B20FD" w14:textId="77777777">
      <w:pPr>
        <w:spacing w:line="276" w:lineRule="auto"/>
        <w:jc w:val="both"/>
        <w:rPr>
          <w:rFonts w:ascii="Arial" w:hAnsi="Arial" w:cs="Arial"/>
          <w:color w:val="000000" w:themeColor="text1"/>
          <w:sz w:val="22"/>
          <w:szCs w:val="22"/>
        </w:rPr>
      </w:pPr>
    </w:p>
    <w:p w:rsidRPr="001C75C1" w:rsidR="00DD5B04" w:rsidP="004D1C27" w:rsidRDefault="004177A6" w14:paraId="37CA9805" w14:textId="0A56C02E">
      <w:pPr>
        <w:spacing w:line="276" w:lineRule="auto"/>
        <w:jc w:val="both"/>
        <w:rPr>
          <w:rFonts w:ascii="Arial" w:hAnsi="Arial" w:cs="Arial"/>
          <w:color w:val="000000" w:themeColor="text1"/>
          <w:sz w:val="22"/>
          <w:lang w:val="es-ES_tradnl"/>
        </w:rPr>
      </w:pPr>
      <w:r w:rsidRPr="001C75C1">
        <w:rPr>
          <w:rFonts w:ascii="Arial" w:hAnsi="Arial" w:eastAsia="Calibri" w:cs="Arial"/>
          <w:b/>
          <w:color w:val="000000" w:themeColor="text1"/>
          <w:sz w:val="22"/>
          <w:lang w:val="es-ES_tradnl"/>
        </w:rPr>
        <w:t>3</w:t>
      </w:r>
      <w:r w:rsidRPr="001C75C1" w:rsidR="00B011A9">
        <w:rPr>
          <w:rFonts w:ascii="Arial" w:hAnsi="Arial" w:eastAsia="Calibri" w:cs="Arial"/>
          <w:b/>
          <w:color w:val="000000" w:themeColor="text1"/>
          <w:sz w:val="22"/>
          <w:lang w:val="es-ES_tradnl"/>
        </w:rPr>
        <w:t xml:space="preserve">. </w:t>
      </w:r>
      <w:r w:rsidRPr="001C75C1" w:rsidR="00DD5B04">
        <w:rPr>
          <w:rFonts w:ascii="Arial" w:hAnsi="Arial" w:eastAsia="Calibri" w:cs="Arial"/>
          <w:b/>
          <w:color w:val="000000" w:themeColor="text1"/>
          <w:sz w:val="22"/>
          <w:lang w:val="es-ES_tradnl"/>
        </w:rPr>
        <w:t>Respuest</w:t>
      </w:r>
      <w:r w:rsidRPr="001C75C1" w:rsidR="00BF0E64">
        <w:rPr>
          <w:rFonts w:ascii="Arial" w:hAnsi="Arial" w:eastAsia="Calibri" w:cs="Arial"/>
          <w:b/>
          <w:color w:val="000000" w:themeColor="text1"/>
          <w:sz w:val="22"/>
          <w:lang w:val="es-ES_tradnl"/>
        </w:rPr>
        <w:t>a</w:t>
      </w:r>
    </w:p>
    <w:p w:rsidRPr="001C75C1" w:rsidR="00C4581D" w:rsidP="00510DE9" w:rsidRDefault="00C4581D" w14:paraId="0B74D5B8" w14:textId="59C73EB8">
      <w:pPr>
        <w:tabs>
          <w:tab w:val="left" w:pos="0"/>
        </w:tabs>
        <w:jc w:val="both"/>
        <w:rPr>
          <w:rFonts w:ascii="Arial" w:hAnsi="Arial" w:eastAsia="Calibri" w:cs="Arial"/>
          <w:color w:val="000000" w:themeColor="text1"/>
          <w:sz w:val="22"/>
          <w:lang w:val="es-ES_tradnl"/>
        </w:rPr>
      </w:pPr>
    </w:p>
    <w:p w:rsidRPr="001C75C1" w:rsidR="00081741" w:rsidP="00081741" w:rsidRDefault="00081741" w14:paraId="371473EE" w14:textId="77777777">
      <w:pPr>
        <w:ind w:left="709" w:right="709"/>
        <w:jc w:val="both"/>
        <w:rPr>
          <w:rFonts w:ascii="Arial" w:hAnsi="Arial" w:eastAsia="Calibri" w:cs="Arial"/>
          <w:color w:val="000000" w:themeColor="text1"/>
          <w:sz w:val="21"/>
          <w:szCs w:val="21"/>
          <w:lang w:val="es-ES_tradnl"/>
        </w:rPr>
      </w:pPr>
      <w:r w:rsidRPr="001C75C1">
        <w:rPr>
          <w:rFonts w:ascii="Arial" w:hAnsi="Arial" w:eastAsia="Calibri" w:cs="Arial"/>
          <w:color w:val="000000" w:themeColor="text1"/>
          <w:sz w:val="21"/>
          <w:szCs w:val="21"/>
          <w:lang w:val="es-ES_tradnl"/>
        </w:rPr>
        <w:t>«Solicito de manera atenta se me indique cuál es el alcance que se debe dar al texto resaltado, en el sentido de determinar si esa participación mayoritaria corresponde necesariamente a una participación igual o superior al 51% de la composición accionaria, o si debe entenderse como la participación que implique el mayor número de acciones dentro de la composición accionaria, sin que necesariamente signifique que deba tener el 51% o más de la participación».</w:t>
      </w:r>
    </w:p>
    <w:p w:rsidRPr="001C75C1" w:rsidR="00CE5168" w:rsidP="00EC3BC1" w:rsidRDefault="00CE5168" w14:paraId="0F196703" w14:textId="77777777">
      <w:pPr>
        <w:ind w:left="709" w:right="709"/>
        <w:jc w:val="both"/>
        <w:rPr>
          <w:rFonts w:ascii="Arial" w:hAnsi="Arial" w:cs="Arial"/>
          <w:color w:val="000000" w:themeColor="text1"/>
          <w:sz w:val="21"/>
          <w:szCs w:val="21"/>
          <w:lang w:val="es-ES_tradnl"/>
        </w:rPr>
      </w:pPr>
    </w:p>
    <w:p w:rsidRPr="001C75C1" w:rsidR="007C1E39" w:rsidP="00601FE7" w:rsidRDefault="00AC5918" w14:paraId="2959C2FF" w14:textId="77777777">
      <w:pPr>
        <w:spacing w:before="120" w:line="276" w:lineRule="auto"/>
        <w:jc w:val="both"/>
        <w:rPr>
          <w:rFonts w:ascii="Arial" w:hAnsi="Arial" w:cs="Arial"/>
          <w:color w:val="000000" w:themeColor="text1"/>
          <w:sz w:val="22"/>
          <w:szCs w:val="22"/>
          <w:lang w:val="es-ES_tradnl"/>
        </w:rPr>
      </w:pPr>
      <w:r w:rsidRPr="001C75C1">
        <w:rPr>
          <w:rFonts w:ascii="Arial" w:hAnsi="Arial" w:eastAsia="Calibri" w:cs="Arial"/>
          <w:color w:val="000000" w:themeColor="text1"/>
          <w:sz w:val="22"/>
          <w:szCs w:val="22"/>
          <w:lang w:val="es-ES_tradnl"/>
        </w:rPr>
        <w:t>E</w:t>
      </w:r>
      <w:r w:rsidRPr="001C75C1">
        <w:rPr>
          <w:rFonts w:ascii="Arial" w:hAnsi="Arial" w:cs="Arial"/>
          <w:color w:val="000000" w:themeColor="text1"/>
          <w:sz w:val="22"/>
          <w:szCs w:val="22"/>
          <w:lang w:val="es-ES_tradnl"/>
        </w:rPr>
        <w:t xml:space="preserve">l artículo 35, numeral 2, de la Ley 2069 de 2020 utiliza un concepto jurídico indeterminado, cuando se refiere a la participación </w:t>
      </w:r>
      <w:r w:rsidRPr="001C75C1">
        <w:rPr>
          <w:rFonts w:ascii="Arial" w:hAnsi="Arial" w:cs="Arial"/>
          <w:i/>
          <w:iCs/>
          <w:color w:val="000000" w:themeColor="text1"/>
          <w:sz w:val="22"/>
          <w:szCs w:val="22"/>
          <w:lang w:val="es-ES_tradnl"/>
        </w:rPr>
        <w:t>mayoritaria</w:t>
      </w:r>
      <w:r w:rsidRPr="001C75C1">
        <w:rPr>
          <w:rFonts w:ascii="Arial" w:hAnsi="Arial" w:cs="Arial"/>
          <w:color w:val="000000" w:themeColor="text1"/>
          <w:sz w:val="22"/>
          <w:szCs w:val="22"/>
          <w:lang w:val="es-ES_tradnl"/>
        </w:rPr>
        <w:t xml:space="preserve"> de las mujeres cabeza de familia o mujeres víctimas de la violencia intrafamiliar en la persona jurídica o en el proponente plural. Sin embargo, esto lo aclaró el artículo 3 del Decreto 1860 de 2021, que adicionó el artículo 2.2.1.2.4.2.17. al Decreto 1082 de 2015, reglamentando así el artículo 35 de la Ley 2069 de 2020, frente al alcance de los factores de desempate.</w:t>
      </w:r>
      <w:r w:rsidRPr="001C75C1" w:rsidR="00601FE7">
        <w:rPr>
          <w:rFonts w:ascii="Arial" w:hAnsi="Arial" w:cs="Arial"/>
          <w:color w:val="000000" w:themeColor="text1"/>
          <w:sz w:val="22"/>
          <w:szCs w:val="22"/>
          <w:lang w:val="es-ES_tradnl"/>
        </w:rPr>
        <w:t xml:space="preserve"> </w:t>
      </w:r>
    </w:p>
    <w:p w:rsidRPr="001C75C1" w:rsidR="00AC5918" w:rsidP="007C1E39" w:rsidRDefault="00601FE7" w14:paraId="11EEDCD1" w14:textId="6C5A8599">
      <w:pPr>
        <w:spacing w:before="120" w:line="276" w:lineRule="auto"/>
        <w:ind w:firstLine="709"/>
        <w:jc w:val="both"/>
        <w:rPr>
          <w:rFonts w:ascii="Arial" w:hAnsi="Arial" w:cs="Arial"/>
          <w:sz w:val="22"/>
          <w:szCs w:val="22"/>
          <w:lang w:val="es-ES_tradnl"/>
        </w:rPr>
      </w:pPr>
      <w:r w:rsidRPr="001C75C1">
        <w:rPr>
          <w:rFonts w:ascii="Arial" w:hAnsi="Arial" w:cs="Arial"/>
          <w:color w:val="000000" w:themeColor="text1"/>
          <w:sz w:val="22"/>
          <w:szCs w:val="22"/>
          <w:lang w:val="es-ES_tradnl"/>
        </w:rPr>
        <w:t xml:space="preserve">Acorde con el artículo 2.2.1.2.4.2.17., </w:t>
      </w:r>
      <w:r w:rsidRPr="001C75C1">
        <w:rPr>
          <w:rFonts w:ascii="Arial" w:hAnsi="Arial" w:cs="Arial"/>
          <w:sz w:val="22"/>
          <w:szCs w:val="22"/>
          <w:lang w:val="es-ES_tradnl"/>
        </w:rPr>
        <w:t>s</w:t>
      </w:r>
      <w:r w:rsidRPr="001C75C1" w:rsidR="00AC5918">
        <w:rPr>
          <w:rFonts w:ascii="Arial" w:hAnsi="Arial" w:cs="Arial"/>
          <w:sz w:val="22"/>
          <w:szCs w:val="22"/>
          <w:lang w:val="es-ES_tradnl"/>
        </w:rPr>
        <w:t xml:space="preserve">e puede afirmar que por </w:t>
      </w:r>
      <w:r w:rsidRPr="001C75C1">
        <w:rPr>
          <w:rFonts w:ascii="Arial" w:hAnsi="Arial" w:cs="Arial"/>
          <w:sz w:val="22"/>
          <w:szCs w:val="22"/>
          <w:lang w:val="es-ES_tradnl"/>
        </w:rPr>
        <w:t>participación mayoritaria</w:t>
      </w:r>
      <w:r w:rsidRPr="001C75C1" w:rsidR="00AC5918">
        <w:rPr>
          <w:rFonts w:ascii="Arial" w:hAnsi="Arial" w:cs="Arial"/>
          <w:sz w:val="22"/>
          <w:szCs w:val="22"/>
          <w:lang w:val="es-ES_tradnl"/>
        </w:rPr>
        <w:t xml:space="preserve"> se entiende, verbigracia –pero no exclusivamente–, en las sociedades por acciones, la posición de un socio cuando tiene más del cincuenta por ciento (50%) de participación en la sociedad. Esto es lo que </w:t>
      </w:r>
      <w:r w:rsidRPr="001C75C1" w:rsidR="002E6BF3">
        <w:rPr>
          <w:rFonts w:ascii="Arial" w:hAnsi="Arial" w:cs="Arial"/>
          <w:sz w:val="22"/>
          <w:szCs w:val="22"/>
          <w:lang w:val="es-ES_tradnl"/>
        </w:rPr>
        <w:t xml:space="preserve">establece </w:t>
      </w:r>
      <w:r w:rsidRPr="001C75C1" w:rsidR="00AC5918">
        <w:rPr>
          <w:rFonts w:ascii="Arial" w:hAnsi="Arial" w:cs="Arial"/>
          <w:sz w:val="22"/>
          <w:szCs w:val="22"/>
          <w:lang w:val="es-ES_tradnl"/>
        </w:rPr>
        <w:t xml:space="preserve">el tercer inciso del artículo </w:t>
      </w:r>
      <w:r w:rsidRPr="001C75C1" w:rsidR="00455D73">
        <w:rPr>
          <w:rFonts w:ascii="Arial" w:hAnsi="Arial" w:cs="Arial"/>
          <w:sz w:val="22"/>
          <w:szCs w:val="22"/>
          <w:lang w:val="es-ES_tradnl"/>
        </w:rPr>
        <w:t>mencionado</w:t>
      </w:r>
      <w:r w:rsidRPr="001C75C1" w:rsidR="00AC5918">
        <w:rPr>
          <w:rFonts w:ascii="Arial" w:hAnsi="Arial" w:cs="Arial"/>
          <w:sz w:val="22"/>
          <w:szCs w:val="22"/>
          <w:lang w:val="es-ES_tradnl"/>
        </w:rPr>
        <w:t xml:space="preserve"> cuando dispone</w:t>
      </w:r>
      <w:r w:rsidRPr="001C75C1">
        <w:rPr>
          <w:rFonts w:ascii="Arial" w:hAnsi="Arial" w:cs="Arial"/>
          <w:sz w:val="22"/>
          <w:szCs w:val="22"/>
          <w:lang w:val="es-ES_tradnl"/>
        </w:rPr>
        <w:t xml:space="preserve"> que «</w:t>
      </w:r>
      <w:r w:rsidRPr="001C75C1" w:rsidR="00AC5918">
        <w:rPr>
          <w:rFonts w:ascii="Arial" w:hAnsi="Arial" w:cs="Arial"/>
          <w:color w:val="000000" w:themeColor="text1"/>
          <w:sz w:val="22"/>
          <w:szCs w:val="22"/>
        </w:rPr>
        <w:t xml:space="preserve">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w:t>
      </w:r>
      <w:r w:rsidRPr="001C75C1" w:rsidR="00AC5918">
        <w:rPr>
          <w:rFonts w:ascii="Arial" w:hAnsi="Arial" w:cs="Arial"/>
          <w:color w:val="000000" w:themeColor="text1"/>
          <w:sz w:val="22"/>
          <w:szCs w:val="22"/>
        </w:rPr>
        <w:lastRenderedPageBreak/>
        <w:t xml:space="preserve">de juramento, </w:t>
      </w:r>
      <w:r w:rsidRPr="001C75C1" w:rsidR="00AC5918">
        <w:rPr>
          <w:rFonts w:ascii="Arial" w:hAnsi="Arial" w:cs="Arial"/>
          <w:i/>
          <w:iCs/>
          <w:color w:val="000000" w:themeColor="text1"/>
          <w:sz w:val="22"/>
          <w:szCs w:val="22"/>
        </w:rPr>
        <w:t>que más del cincuenta por ciento (50 %) de la composición accionaria o cuota parte</w:t>
      </w:r>
      <w:r w:rsidRPr="001C75C1" w:rsidR="00AC5918">
        <w:rPr>
          <w:rFonts w:ascii="Arial" w:hAnsi="Arial" w:cs="Arial"/>
          <w:color w:val="000000" w:themeColor="text1"/>
          <w:sz w:val="22"/>
          <w:szCs w:val="22"/>
        </w:rPr>
        <w:t xml:space="preserve"> de la persona jurídica está constituida por mujeres cabeza de familia y/o mujeres víctimas de violencia intrafamiliar.</w:t>
      </w:r>
      <w:r w:rsidRPr="001C75C1">
        <w:rPr>
          <w:rFonts w:ascii="Arial" w:hAnsi="Arial" w:cs="Arial"/>
          <w:color w:val="000000" w:themeColor="text1"/>
          <w:sz w:val="22"/>
          <w:szCs w:val="22"/>
        </w:rPr>
        <w:t xml:space="preserve"> […]» </w:t>
      </w:r>
      <w:r w:rsidRPr="001C75C1" w:rsidR="00AC5918">
        <w:rPr>
          <w:rFonts w:ascii="Arial" w:hAnsi="Arial" w:cs="Arial"/>
          <w:color w:val="000000" w:themeColor="text1"/>
          <w:sz w:val="22"/>
          <w:szCs w:val="22"/>
        </w:rPr>
        <w:t>(Énfasis fuera de texto).</w:t>
      </w:r>
      <w:r w:rsidRPr="001C75C1" w:rsidR="002E6BF3">
        <w:rPr>
          <w:rFonts w:ascii="Arial" w:hAnsi="Arial" w:cs="Arial"/>
          <w:color w:val="000000" w:themeColor="text1"/>
          <w:sz w:val="22"/>
          <w:szCs w:val="22"/>
        </w:rPr>
        <w:t xml:space="preserve"> </w:t>
      </w:r>
      <w:r w:rsidRPr="001C75C1" w:rsidR="002E6BF3">
        <w:rPr>
          <w:rFonts w:ascii="Arial" w:hAnsi="Arial" w:cs="Arial"/>
          <w:sz w:val="22"/>
        </w:rPr>
        <w:t>De esta manera, la</w:t>
      </w:r>
      <w:r w:rsidRPr="001C75C1" w:rsidR="002E6BF3">
        <w:rPr>
          <w:rFonts w:ascii="Arial" w:hAnsi="Arial" w:cs="Arial"/>
          <w:sz w:val="22"/>
          <w:lang w:val="es-ES_tradnl"/>
        </w:rPr>
        <w:t xml:space="preserve"> expresión «mayoritariamente», contenida en el numeral 2 del artículo 35 de la Ley 2069 de 2020 exige que las mujeres cabeza de familia o mujeres víctimas de la violencia intrafamiliar cuenten –singular o conjuntamente– con una participación superior al (50%) en la sociedad, para que esta pueda ser considerada como mayoritaria.</w:t>
      </w:r>
    </w:p>
    <w:p w:rsidRPr="001C75C1" w:rsidR="00DE095E" w:rsidP="007C1E39" w:rsidRDefault="00DE095E" w14:paraId="24207BA3" w14:textId="77777777">
      <w:pPr>
        <w:spacing w:line="276" w:lineRule="auto"/>
        <w:jc w:val="both"/>
        <w:rPr>
          <w:rFonts w:ascii="Arial" w:hAnsi="Arial" w:cs="Arial"/>
          <w:color w:val="000000" w:themeColor="text1"/>
          <w:sz w:val="22"/>
          <w:lang w:val="es-ES_tradnl"/>
        </w:rPr>
      </w:pPr>
    </w:p>
    <w:p w:rsidRPr="001C75C1" w:rsidR="00DD5B04" w:rsidP="00297AB0" w:rsidRDefault="00DD5B04" w14:paraId="7B2C921D" w14:textId="2255A2B1">
      <w:pPr>
        <w:spacing w:line="276" w:lineRule="auto"/>
        <w:jc w:val="both"/>
        <w:rPr>
          <w:rFonts w:ascii="Arial" w:hAnsi="Arial" w:cs="Arial"/>
          <w:color w:val="000000" w:themeColor="text1"/>
          <w:sz w:val="22"/>
          <w:szCs w:val="22"/>
          <w:lang w:val="es-ES_tradnl"/>
        </w:rPr>
      </w:pPr>
      <w:r w:rsidRPr="001C75C1">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1C75C1"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1C75C1"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C75C1">
        <w:rPr>
          <w:rFonts w:ascii="Arial" w:hAnsi="Arial" w:cs="Arial"/>
          <w:color w:val="000000" w:themeColor="text1"/>
          <w:sz w:val="22"/>
          <w:szCs w:val="22"/>
          <w:lang w:val="es-ES_tradnl"/>
        </w:rPr>
        <w:t>Atentamente,</w:t>
      </w:r>
    </w:p>
    <w:p w:rsidRPr="001C75C1" w:rsidR="000B4C4E" w:rsidP="000B4C4E" w:rsidRDefault="000B4C4E" w14:paraId="0D1434B6"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1C75C1" w:rsidR="000B4C4E" w:rsidP="000B4C4E" w:rsidRDefault="000B4C4E" w14:paraId="5B36D559"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1C75C1" w:rsidR="000B4C4E" w:rsidP="0B9FEC3B" w:rsidRDefault="00FB7D3D" w14:paraId="61A3B01D" w14:textId="7EDCF769">
      <w:pPr>
        <w:pStyle w:val="NormalWeb"/>
        <w:spacing w:before="0" w:beforeAutospacing="off" w:after="0" w:afterAutospacing="off" w:line="276" w:lineRule="auto"/>
        <w:jc w:val="center"/>
      </w:pPr>
      <w:r w:rsidR="0B9FEC3B">
        <w:drawing>
          <wp:inline wp14:editId="72A41BF5" wp14:anchorId="36ACF414">
            <wp:extent cx="2714625" cy="1152525"/>
            <wp:effectExtent l="0" t="0" r="0" b="0"/>
            <wp:docPr id="1391354239"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6eb76d672d604362">
                      <a:extLst>
                        <a:ext xmlns:a="http://schemas.openxmlformats.org/drawingml/2006/main" uri="{28A0092B-C50C-407E-A947-70E740481C1C}">
                          <a14:useLocalDpi val="0"/>
                        </a:ext>
                      </a:extLst>
                    </a:blip>
                    <a:stretch>
                      <a:fillRect/>
                    </a:stretch>
                  </pic:blipFill>
                  <pic:spPr>
                    <a:xfrm>
                      <a:off x="0" y="0"/>
                      <a:ext cx="2714625" cy="1152525"/>
                    </a:xfrm>
                    <a:prstGeom prst="rect">
                      <a:avLst/>
                    </a:prstGeom>
                  </pic:spPr>
                </pic:pic>
              </a:graphicData>
            </a:graphic>
          </wp:inline>
        </w:drawing>
      </w:r>
    </w:p>
    <w:p w:rsidRPr="001C75C1" w:rsidR="000B4C4E" w:rsidP="000B4C4E" w:rsidRDefault="000B4C4E" w14:paraId="5FA8413E" w14:textId="77777777">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1C75C1" w:rsidR="000B4C4E" w:rsidTr="00F21FD8" w14:paraId="05479B1A" w14:textId="77777777">
        <w:trPr>
          <w:trHeight w:val="315"/>
        </w:trPr>
        <w:tc>
          <w:tcPr>
            <w:tcW w:w="812" w:type="dxa"/>
            <w:vAlign w:val="center"/>
            <w:hideMark/>
          </w:tcPr>
          <w:p w:rsidRPr="001C75C1" w:rsidR="000B4C4E" w:rsidP="00F21FD8" w:rsidRDefault="000B4C4E" w14:paraId="54DBD943"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1C75C1" w:rsidR="000B4C4E" w:rsidP="00F21FD8" w:rsidRDefault="000B4C4E" w14:paraId="112AD535"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Cristian Andrés Díaz Díez</w:t>
            </w:r>
          </w:p>
          <w:p w:rsidRPr="001C75C1" w:rsidR="000B4C4E" w:rsidP="00F21FD8" w:rsidRDefault="000B4C4E" w14:paraId="3341FB04"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Contratista de la Subdirección de Gestión Contractual</w:t>
            </w:r>
          </w:p>
        </w:tc>
      </w:tr>
      <w:tr w:rsidRPr="001C75C1" w:rsidR="000B4C4E" w:rsidTr="00F21FD8" w14:paraId="3CAB3781" w14:textId="77777777">
        <w:trPr>
          <w:trHeight w:val="330"/>
        </w:trPr>
        <w:tc>
          <w:tcPr>
            <w:tcW w:w="812" w:type="dxa"/>
            <w:vAlign w:val="center"/>
            <w:hideMark/>
          </w:tcPr>
          <w:p w:rsidRPr="001C75C1" w:rsidR="000B4C4E" w:rsidP="00F21FD8" w:rsidRDefault="000B4C4E" w14:paraId="2715F556"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1C75C1" w:rsidR="000B4C4E" w:rsidP="00F21FD8" w:rsidRDefault="000B4C4E" w14:paraId="1071A343"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Sebastián Ramírez Grisales</w:t>
            </w:r>
          </w:p>
          <w:p w:rsidRPr="001C75C1" w:rsidR="000B4C4E" w:rsidP="00F21FD8" w:rsidRDefault="000B4C4E" w14:paraId="7290EB99"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 xml:space="preserve">Contratista de la Subdirección de Gestión Contractual  </w:t>
            </w:r>
          </w:p>
        </w:tc>
      </w:tr>
      <w:tr w:rsidRPr="00D95E70" w:rsidR="000B4C4E" w:rsidTr="00F21FD8" w14:paraId="12904135" w14:textId="77777777">
        <w:trPr>
          <w:trHeight w:val="300"/>
        </w:trPr>
        <w:tc>
          <w:tcPr>
            <w:tcW w:w="812" w:type="dxa"/>
            <w:vAlign w:val="center"/>
            <w:hideMark/>
          </w:tcPr>
          <w:p w:rsidRPr="001C75C1" w:rsidR="000B4C4E" w:rsidP="00F21FD8" w:rsidRDefault="000B4C4E" w14:paraId="0F7D3180"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1C75C1" w:rsidR="000B4C4E" w:rsidP="00F21FD8" w:rsidRDefault="000B4C4E" w14:paraId="50E0A29D"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Jorge Augusto Tirado Navarro</w:t>
            </w:r>
          </w:p>
          <w:p w:rsidRPr="00D95E70" w:rsidR="000B4C4E" w:rsidP="00F21FD8" w:rsidRDefault="000B4C4E" w14:paraId="54CB33D4" w14:textId="77777777">
            <w:pPr>
              <w:jc w:val="both"/>
              <w:rPr>
                <w:rFonts w:ascii="Arial" w:hAnsi="Arial" w:cs="Arial"/>
                <w:color w:val="000000" w:themeColor="text1"/>
                <w:sz w:val="16"/>
                <w:szCs w:val="16"/>
                <w:lang w:val="es-ES_tradnl" w:eastAsia="es-ES"/>
              </w:rPr>
            </w:pPr>
            <w:r w:rsidRPr="001C75C1">
              <w:rPr>
                <w:rFonts w:ascii="Arial" w:hAnsi="Arial" w:cs="Arial"/>
                <w:color w:val="000000" w:themeColor="text1"/>
                <w:sz w:val="16"/>
                <w:szCs w:val="16"/>
                <w:lang w:val="es-ES_tradnl" w:eastAsia="es-ES"/>
              </w:rPr>
              <w:t>Subdirector de Gestión Contractual ANCP – CCE</w:t>
            </w:r>
          </w:p>
        </w:tc>
      </w:tr>
    </w:tbl>
    <w:p w:rsidRPr="00D95E70" w:rsidR="000B4C4E" w:rsidP="000B4C4E" w:rsidRDefault="000B4C4E" w14:paraId="43224507" w14:textId="77777777">
      <w:pPr>
        <w:rPr>
          <w:rFonts w:ascii="Arial" w:hAnsi="Arial" w:cs="Arial"/>
          <w:color w:val="000000" w:themeColor="text1"/>
          <w:lang w:val="es-ES_tradnl"/>
        </w:rPr>
      </w:pPr>
    </w:p>
    <w:p w:rsidRPr="00D95E70" w:rsidR="000B4C4E" w:rsidP="000B4C4E" w:rsidRDefault="000B4C4E" w14:paraId="14BEEEEB" w14:textId="77777777">
      <w:pPr>
        <w:tabs>
          <w:tab w:val="left" w:pos="3795"/>
        </w:tabs>
        <w:rPr>
          <w:rFonts w:ascii="Arial" w:hAnsi="Arial" w:cs="Arial"/>
          <w:color w:val="000000" w:themeColor="text1"/>
          <w:lang w:val="es-ES_tradnl"/>
        </w:rPr>
      </w:pPr>
      <w:r w:rsidRPr="00D95E70">
        <w:rPr>
          <w:rFonts w:ascii="Arial" w:hAnsi="Arial" w:cs="Arial"/>
          <w:color w:val="000000" w:themeColor="text1"/>
          <w:lang w:val="es-ES_tradnl"/>
        </w:rPr>
        <w:tab/>
      </w:r>
    </w:p>
    <w:p w:rsidRPr="00D95E70" w:rsidR="000B4C4E" w:rsidP="000B4C4E" w:rsidRDefault="000B4C4E" w14:paraId="7BE06AE2" w14:textId="77777777">
      <w:pPr>
        <w:jc w:val="both"/>
        <w:rPr>
          <w:rFonts w:ascii="Arial" w:hAnsi="Arial" w:cs="Arial"/>
          <w:lang w:val="es-ES_tradnl"/>
        </w:rPr>
      </w:pPr>
    </w:p>
    <w:p w:rsidRPr="00D95E70" w:rsidR="00746E08" w:rsidP="000B4C4E" w:rsidRDefault="00746E08" w14:paraId="35B56F46" w14:textId="77777777">
      <w:pPr>
        <w:pStyle w:val="NormalWeb"/>
        <w:spacing w:before="0" w:beforeAutospacing="0" w:after="0" w:afterAutospacing="0" w:line="276" w:lineRule="auto"/>
        <w:jc w:val="center"/>
        <w:rPr>
          <w:rFonts w:ascii="Arial" w:hAnsi="Arial" w:cs="Arial"/>
          <w:color w:val="000000" w:themeColor="text1"/>
          <w:lang w:val="es-ES_tradnl"/>
        </w:rPr>
      </w:pPr>
    </w:p>
    <w:sectPr w:rsidRPr="00D95E70"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5107" w:rsidRDefault="00495107" w14:paraId="7851C449" w14:textId="77777777">
      <w:r>
        <w:separator/>
      </w:r>
    </w:p>
  </w:endnote>
  <w:endnote w:type="continuationSeparator" w:id="0">
    <w:p w:rsidR="00495107" w:rsidRDefault="00495107" w14:paraId="10F76F41" w14:textId="77777777">
      <w:r>
        <w:continuationSeparator/>
      </w:r>
    </w:p>
  </w:endnote>
  <w:endnote w:type="continuationNotice" w:id="1">
    <w:p w:rsidR="00495107" w:rsidRDefault="00495107" w14:paraId="15874B6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D3D44" w:rsidP="00322937" w:rsidRDefault="003D3D44" w14:paraId="62F02A34" w14:textId="77777777">
    <w:pPr>
      <w:pStyle w:val="Sinespaciado"/>
      <w:jc w:val="right"/>
      <w:rPr>
        <w:rFonts w:ascii="Arial" w:hAnsi="Arial" w:cs="Arial"/>
        <w:sz w:val="18"/>
        <w:szCs w:val="18"/>
      </w:rPr>
    </w:pPr>
  </w:p>
  <w:p w:rsidRPr="008217B7" w:rsidR="003D3D44" w:rsidP="00FE42ED" w:rsidRDefault="003D3D44"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3D3D44" w:rsidP="00322937" w:rsidRDefault="003D3D44" w14:paraId="48FC6A04" w14:textId="5FD1A7C9">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3D3D44" w:rsidP="007B0854" w:rsidRDefault="003D3D44" w14:paraId="5D0E988C" w14:textId="77777777">
    <w:pPr>
      <w:pStyle w:val="Piedepgina"/>
      <w:jc w:val="center"/>
      <w:rPr>
        <w:lang w:val="es-ES"/>
      </w:rPr>
    </w:pPr>
  </w:p>
  <w:p w:rsidRPr="007B0854" w:rsidR="003D3D44" w:rsidP="007B0854" w:rsidRDefault="003D3D44"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5107" w:rsidRDefault="00495107" w14:paraId="4C8A43ED" w14:textId="77777777">
      <w:r>
        <w:separator/>
      </w:r>
    </w:p>
  </w:footnote>
  <w:footnote w:type="continuationSeparator" w:id="0">
    <w:p w:rsidR="00495107" w:rsidRDefault="00495107" w14:paraId="52540FD5" w14:textId="77777777">
      <w:r>
        <w:continuationSeparator/>
      </w:r>
    </w:p>
  </w:footnote>
  <w:footnote w:type="continuationNotice" w:id="1">
    <w:p w:rsidR="00495107" w:rsidRDefault="00495107" w14:paraId="064FEF80" w14:textId="77777777"/>
  </w:footnote>
  <w:footnote w:id="2">
    <w:p w:rsidRPr="00257AD6" w:rsidR="005508B2" w:rsidP="00714D20" w:rsidRDefault="005508B2" w14:paraId="20700D94" w14:textId="6D66BB23">
      <w:pPr>
        <w:pStyle w:val="Textonotapie"/>
        <w:ind w:firstLine="708"/>
        <w:jc w:val="both"/>
        <w:rPr>
          <w:rFonts w:ascii="Arial" w:hAnsi="Arial" w:cs="Arial"/>
          <w:sz w:val="19"/>
          <w:szCs w:val="19"/>
          <w:lang w:val="es-CO"/>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CO"/>
        </w:rPr>
        <w:t>La Agencia tam</w:t>
      </w:r>
      <w:r w:rsidRPr="00257AD6" w:rsidR="00C562CD">
        <w:rPr>
          <w:rFonts w:ascii="Arial" w:hAnsi="Arial" w:cs="Arial"/>
          <w:sz w:val="19"/>
          <w:szCs w:val="19"/>
          <w:lang w:val="es-CO"/>
        </w:rPr>
        <w:t>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w:t>
      </w:r>
      <w:r w:rsidRPr="00257AD6" w:rsidR="00714D20">
        <w:rPr>
          <w:rFonts w:ascii="Arial" w:hAnsi="Arial" w:cs="Arial"/>
          <w:sz w:val="19"/>
          <w:szCs w:val="19"/>
          <w:lang w:val="es-CO"/>
        </w:rPr>
        <w:t xml:space="preserve"> y</w:t>
      </w:r>
      <w:r w:rsidRPr="00257AD6" w:rsidR="00C562CD">
        <w:rPr>
          <w:rFonts w:ascii="Arial" w:hAnsi="Arial" w:cs="Arial"/>
          <w:sz w:val="19"/>
          <w:szCs w:val="19"/>
          <w:lang w:val="es-CO"/>
        </w:rPr>
        <w:t xml:space="preserve"> C-102 del 25 de marzo de 2020</w:t>
      </w:r>
      <w:r w:rsidRPr="00257AD6" w:rsidR="00714D20">
        <w:rPr>
          <w:rFonts w:ascii="Arial" w:hAnsi="Arial" w:cs="Arial"/>
          <w:sz w:val="19"/>
          <w:szCs w:val="19"/>
          <w:lang w:val="es-CO"/>
        </w:rPr>
        <w:t>.</w:t>
      </w:r>
    </w:p>
  </w:footnote>
  <w:footnote w:id="3">
    <w:p w:rsidRPr="00257AD6" w:rsidR="00B0749C" w:rsidP="007D7047" w:rsidRDefault="00B0749C" w14:paraId="5221EE23"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Consejo de Estado. Sección Tercera. Sentencia del 29 de octubre de 2.015. Consejera Ponente: Stella Conto Díaz Del Castillo. Expediente: 31.918.</w:t>
      </w:r>
    </w:p>
    <w:p w:rsidRPr="00257AD6" w:rsidR="00B0749C" w:rsidP="007D7047" w:rsidRDefault="00B0749C" w14:paraId="7AB991B3" w14:textId="77777777">
      <w:pPr>
        <w:pStyle w:val="Textonotapie"/>
        <w:ind w:firstLine="709"/>
        <w:jc w:val="both"/>
        <w:rPr>
          <w:rFonts w:ascii="Arial" w:hAnsi="Arial" w:cs="Arial"/>
          <w:sz w:val="19"/>
          <w:szCs w:val="19"/>
          <w:lang w:val="es-ES"/>
        </w:rPr>
      </w:pPr>
    </w:p>
  </w:footnote>
  <w:footnote w:id="4">
    <w:p w:rsidRPr="00257AD6" w:rsidR="00B0749C" w:rsidP="007D7047" w:rsidRDefault="00B0749C" w14:paraId="3C1769D4"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Corte Constitucional. Sentencia T-684A del 14 de septiembre de 2011. Magistrado Ponente: Mauricio González Cuervo.</w:t>
      </w:r>
    </w:p>
    <w:p w:rsidRPr="00257AD6" w:rsidR="00B0749C" w:rsidP="007D7047" w:rsidRDefault="00B0749C" w14:paraId="6943AFC6" w14:textId="77777777">
      <w:pPr>
        <w:pStyle w:val="Textonotapie"/>
        <w:ind w:firstLine="709"/>
        <w:jc w:val="both"/>
        <w:rPr>
          <w:rFonts w:ascii="Arial" w:hAnsi="Arial" w:cs="Arial"/>
          <w:sz w:val="19"/>
          <w:szCs w:val="19"/>
          <w:lang w:val="es-ES"/>
        </w:rPr>
      </w:pPr>
    </w:p>
  </w:footnote>
  <w:footnote w:id="5">
    <w:p w:rsidRPr="00257AD6" w:rsidR="00B0749C" w:rsidP="007D7047" w:rsidRDefault="00B0749C" w14:paraId="7950281F" w14:textId="79EA65AF">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 xml:space="preserve">Consejo de Estado. Sección Tercera. Sentencia del 6 de diciembre de 2.013. Consejera </w:t>
      </w:r>
      <w:proofErr w:type="spellStart"/>
      <w:r w:rsidRPr="00257AD6">
        <w:rPr>
          <w:rFonts w:ascii="Arial" w:hAnsi="Arial" w:cs="Arial"/>
          <w:sz w:val="19"/>
          <w:szCs w:val="19"/>
          <w:lang w:val="es-ES"/>
        </w:rPr>
        <w:t>Ponent</w:t>
      </w:r>
      <w:r w:rsidRPr="00257AD6" w:rsidR="00831E8B">
        <w:rPr>
          <w:rFonts w:ascii="Arial" w:hAnsi="Arial" w:cs="Arial"/>
          <w:sz w:val="19"/>
          <w:szCs w:val="19"/>
          <w:lang w:val="es-ES"/>
        </w:rPr>
        <w:t>g</w:t>
      </w:r>
      <w:r w:rsidRPr="00257AD6">
        <w:rPr>
          <w:rFonts w:ascii="Arial" w:hAnsi="Arial" w:cs="Arial"/>
          <w:sz w:val="19"/>
          <w:szCs w:val="19"/>
          <w:lang w:val="es-ES"/>
        </w:rPr>
        <w:t>e</w:t>
      </w:r>
      <w:proofErr w:type="spellEnd"/>
      <w:r w:rsidRPr="00257AD6">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rsidRPr="00257AD6" w:rsidR="009F2C5C" w:rsidP="007D7047" w:rsidRDefault="009F2C5C" w14:paraId="304BE11D" w14:textId="77777777">
      <w:pPr>
        <w:pStyle w:val="Textonotapie"/>
        <w:ind w:firstLine="709"/>
        <w:jc w:val="both"/>
        <w:rPr>
          <w:rFonts w:ascii="Arial" w:hAnsi="Arial" w:cs="Arial"/>
          <w:sz w:val="19"/>
          <w:szCs w:val="19"/>
          <w:lang w:val="es-CO"/>
        </w:rPr>
      </w:pPr>
    </w:p>
  </w:footnote>
  <w:footnote w:id="6">
    <w:p w:rsidRPr="00257AD6" w:rsidR="0000500B" w:rsidP="007D7047" w:rsidRDefault="0000500B" w14:paraId="7E5E2C24"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Artículos 2 al 29.</w:t>
      </w:r>
    </w:p>
    <w:p w:rsidRPr="00257AD6" w:rsidR="0000500B" w:rsidP="007D7047" w:rsidRDefault="0000500B" w14:paraId="7DD04EFF" w14:textId="77777777">
      <w:pPr>
        <w:pStyle w:val="Textonotapie"/>
        <w:ind w:firstLine="709"/>
        <w:jc w:val="both"/>
        <w:rPr>
          <w:rFonts w:ascii="Arial" w:hAnsi="Arial" w:cs="Arial"/>
          <w:sz w:val="19"/>
          <w:szCs w:val="19"/>
          <w:lang w:val="es-ES"/>
        </w:rPr>
      </w:pPr>
    </w:p>
  </w:footnote>
  <w:footnote w:id="7">
    <w:p w:rsidRPr="00257AD6" w:rsidR="0000500B" w:rsidP="007D7047" w:rsidRDefault="0000500B" w14:paraId="3B737876"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Artículos 30 al 36.</w:t>
      </w:r>
    </w:p>
    <w:p w:rsidRPr="00257AD6" w:rsidR="0000500B" w:rsidP="007D7047" w:rsidRDefault="0000500B" w14:paraId="57E10907" w14:textId="77777777">
      <w:pPr>
        <w:pStyle w:val="Textonotapie"/>
        <w:ind w:firstLine="709"/>
        <w:jc w:val="both"/>
        <w:rPr>
          <w:rFonts w:ascii="Arial" w:hAnsi="Arial" w:cs="Arial"/>
          <w:sz w:val="19"/>
          <w:szCs w:val="19"/>
          <w:lang w:val="es-ES"/>
        </w:rPr>
      </w:pPr>
    </w:p>
  </w:footnote>
  <w:footnote w:id="8">
    <w:p w:rsidRPr="00257AD6" w:rsidR="0000500B" w:rsidP="007D7047" w:rsidRDefault="0000500B" w14:paraId="6F243A4A"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Artículos 37 al 45.</w:t>
      </w:r>
    </w:p>
    <w:p w:rsidRPr="00257AD6" w:rsidR="0000500B" w:rsidP="007D7047" w:rsidRDefault="0000500B" w14:paraId="5BDD2689" w14:textId="77777777">
      <w:pPr>
        <w:pStyle w:val="Textonotapie"/>
        <w:ind w:firstLine="709"/>
        <w:jc w:val="both"/>
        <w:rPr>
          <w:rFonts w:ascii="Arial" w:hAnsi="Arial" w:cs="Arial"/>
          <w:sz w:val="19"/>
          <w:szCs w:val="19"/>
          <w:lang w:val="es-ES"/>
        </w:rPr>
      </w:pPr>
    </w:p>
  </w:footnote>
  <w:footnote w:id="9">
    <w:p w:rsidRPr="00257AD6" w:rsidR="0000500B" w:rsidP="007D7047" w:rsidRDefault="0000500B" w14:paraId="4E1C4723"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Artículos 46 al 73.</w:t>
      </w:r>
    </w:p>
    <w:p w:rsidRPr="00257AD6" w:rsidR="0000500B" w:rsidP="007D7047" w:rsidRDefault="0000500B" w14:paraId="2DE1DCBD" w14:textId="77777777">
      <w:pPr>
        <w:pStyle w:val="Textonotapie"/>
        <w:ind w:firstLine="709"/>
        <w:jc w:val="both"/>
        <w:rPr>
          <w:rFonts w:ascii="Arial" w:hAnsi="Arial" w:cs="Arial"/>
          <w:sz w:val="19"/>
          <w:szCs w:val="19"/>
          <w:lang w:val="es-ES"/>
        </w:rPr>
      </w:pPr>
    </w:p>
  </w:footnote>
  <w:footnote w:id="10">
    <w:p w:rsidRPr="00257AD6" w:rsidR="0000500B" w:rsidP="007D7047" w:rsidRDefault="0000500B" w14:paraId="4CDDFC07" w14:textId="77777777">
      <w:pPr>
        <w:pStyle w:val="Textonotapie"/>
        <w:ind w:firstLine="709"/>
        <w:jc w:val="both"/>
        <w:rPr>
          <w:rFonts w:ascii="Arial" w:hAnsi="Arial" w:cs="Arial"/>
          <w:sz w:val="19"/>
          <w:szCs w:val="19"/>
          <w:lang w:val="es-ES"/>
        </w:rPr>
      </w:pPr>
      <w:r w:rsidRPr="00257AD6">
        <w:rPr>
          <w:rStyle w:val="Refdenotaalpie"/>
          <w:rFonts w:ascii="Arial" w:hAnsi="Arial" w:cs="Arial"/>
        </w:rPr>
        <w:footnoteRef/>
      </w:r>
      <w:r w:rsidRPr="00257AD6">
        <w:rPr>
          <w:rFonts w:ascii="Arial" w:hAnsi="Arial" w:cs="Arial"/>
          <w:sz w:val="19"/>
          <w:szCs w:val="19"/>
        </w:rPr>
        <w:t xml:space="preserve"> </w:t>
      </w:r>
      <w:r w:rsidRPr="00257AD6">
        <w:rPr>
          <w:rFonts w:ascii="Arial" w:hAnsi="Arial" w:cs="Arial"/>
          <w:sz w:val="19"/>
          <w:szCs w:val="19"/>
          <w:lang w:val="es-ES"/>
        </w:rPr>
        <w:t>Artículos 74 al 83.</w:t>
      </w:r>
    </w:p>
    <w:p w:rsidRPr="00257AD6" w:rsidR="0000500B" w:rsidP="007D7047" w:rsidRDefault="0000500B" w14:paraId="7B1A6950" w14:textId="77777777">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D3D44" w:rsidRDefault="003D3D44"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C52488C8"/>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5"/>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6"/>
  </w:num>
  <w:num w:numId="19">
    <w:abstractNumId w:val="4"/>
  </w:num>
  <w:num w:numId="20">
    <w:abstractNumId w:val="25"/>
  </w:num>
  <w:num w:numId="21">
    <w:abstractNumId w:val="17"/>
  </w:num>
  <w:num w:numId="22">
    <w:abstractNumId w:val="7"/>
  </w:num>
  <w:num w:numId="23">
    <w:abstractNumId w:val="6"/>
  </w:num>
  <w:num w:numId="24">
    <w:abstractNumId w:val="23"/>
  </w:num>
  <w:num w:numId="25">
    <w:abstractNumId w:val="19"/>
  </w:num>
  <w:num w:numId="26">
    <w:abstractNumId w:val="26"/>
  </w:num>
  <w:num w:numId="27">
    <w:abstractNumId w:val="8"/>
  </w:num>
  <w:num w:numId="28">
    <w:abstractNumId w:val="3"/>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00B"/>
    <w:rsid w:val="000051AF"/>
    <w:rsid w:val="000051E0"/>
    <w:rsid w:val="000059D3"/>
    <w:rsid w:val="00005B6D"/>
    <w:rsid w:val="00005FC5"/>
    <w:rsid w:val="0000600A"/>
    <w:rsid w:val="00006081"/>
    <w:rsid w:val="0000656F"/>
    <w:rsid w:val="000073C0"/>
    <w:rsid w:val="00007564"/>
    <w:rsid w:val="00007750"/>
    <w:rsid w:val="000077FD"/>
    <w:rsid w:val="00007E37"/>
    <w:rsid w:val="0001061E"/>
    <w:rsid w:val="00010C40"/>
    <w:rsid w:val="000112B4"/>
    <w:rsid w:val="0001193D"/>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7F7"/>
    <w:rsid w:val="00017B65"/>
    <w:rsid w:val="00020158"/>
    <w:rsid w:val="000207E0"/>
    <w:rsid w:val="000209E2"/>
    <w:rsid w:val="00020F8F"/>
    <w:rsid w:val="00021A95"/>
    <w:rsid w:val="0002256F"/>
    <w:rsid w:val="00023746"/>
    <w:rsid w:val="00023DAE"/>
    <w:rsid w:val="00024896"/>
    <w:rsid w:val="00024DA6"/>
    <w:rsid w:val="00024E4E"/>
    <w:rsid w:val="00025217"/>
    <w:rsid w:val="00025254"/>
    <w:rsid w:val="00025D0A"/>
    <w:rsid w:val="000263F0"/>
    <w:rsid w:val="00026407"/>
    <w:rsid w:val="00026608"/>
    <w:rsid w:val="00026BBB"/>
    <w:rsid w:val="00027787"/>
    <w:rsid w:val="000278D2"/>
    <w:rsid w:val="0003095C"/>
    <w:rsid w:val="00030BD4"/>
    <w:rsid w:val="00031158"/>
    <w:rsid w:val="0003127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11"/>
    <w:rsid w:val="00047385"/>
    <w:rsid w:val="000473E8"/>
    <w:rsid w:val="00047F84"/>
    <w:rsid w:val="000504DE"/>
    <w:rsid w:val="000504E2"/>
    <w:rsid w:val="00051074"/>
    <w:rsid w:val="000526F0"/>
    <w:rsid w:val="0005273D"/>
    <w:rsid w:val="00052B79"/>
    <w:rsid w:val="00052E2F"/>
    <w:rsid w:val="00052EA0"/>
    <w:rsid w:val="000531F8"/>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471"/>
    <w:rsid w:val="00061D06"/>
    <w:rsid w:val="00062CDD"/>
    <w:rsid w:val="000635D9"/>
    <w:rsid w:val="000640AF"/>
    <w:rsid w:val="00064940"/>
    <w:rsid w:val="00064CAE"/>
    <w:rsid w:val="00064DB7"/>
    <w:rsid w:val="00064FA7"/>
    <w:rsid w:val="00065195"/>
    <w:rsid w:val="0006533E"/>
    <w:rsid w:val="0006536C"/>
    <w:rsid w:val="00065C8D"/>
    <w:rsid w:val="000669CB"/>
    <w:rsid w:val="00066A59"/>
    <w:rsid w:val="00066E52"/>
    <w:rsid w:val="00070A09"/>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741"/>
    <w:rsid w:val="00081D62"/>
    <w:rsid w:val="00082303"/>
    <w:rsid w:val="00082B74"/>
    <w:rsid w:val="00083099"/>
    <w:rsid w:val="00083452"/>
    <w:rsid w:val="00083535"/>
    <w:rsid w:val="00083B4A"/>
    <w:rsid w:val="00083EDC"/>
    <w:rsid w:val="000842BE"/>
    <w:rsid w:val="00084B5A"/>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0A6A"/>
    <w:rsid w:val="00091354"/>
    <w:rsid w:val="000914D6"/>
    <w:rsid w:val="00091569"/>
    <w:rsid w:val="00092CDB"/>
    <w:rsid w:val="00092DCA"/>
    <w:rsid w:val="00092F40"/>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2D7B"/>
    <w:rsid w:val="000A362F"/>
    <w:rsid w:val="000A3B49"/>
    <w:rsid w:val="000A47CD"/>
    <w:rsid w:val="000A47E6"/>
    <w:rsid w:val="000A52C0"/>
    <w:rsid w:val="000A5AAF"/>
    <w:rsid w:val="000A5E0E"/>
    <w:rsid w:val="000A5F97"/>
    <w:rsid w:val="000A63A0"/>
    <w:rsid w:val="000A648E"/>
    <w:rsid w:val="000A6DAD"/>
    <w:rsid w:val="000A738A"/>
    <w:rsid w:val="000A73BB"/>
    <w:rsid w:val="000A7A65"/>
    <w:rsid w:val="000A7EF4"/>
    <w:rsid w:val="000B0A15"/>
    <w:rsid w:val="000B103F"/>
    <w:rsid w:val="000B1437"/>
    <w:rsid w:val="000B1470"/>
    <w:rsid w:val="000B244D"/>
    <w:rsid w:val="000B2570"/>
    <w:rsid w:val="000B27DC"/>
    <w:rsid w:val="000B2991"/>
    <w:rsid w:val="000B2B86"/>
    <w:rsid w:val="000B3051"/>
    <w:rsid w:val="000B419B"/>
    <w:rsid w:val="000B4C4E"/>
    <w:rsid w:val="000B5781"/>
    <w:rsid w:val="000B5CB1"/>
    <w:rsid w:val="000B6C36"/>
    <w:rsid w:val="000B6D08"/>
    <w:rsid w:val="000C0185"/>
    <w:rsid w:val="000C0F81"/>
    <w:rsid w:val="000C128D"/>
    <w:rsid w:val="000C17A3"/>
    <w:rsid w:val="000C1D4B"/>
    <w:rsid w:val="000C1F42"/>
    <w:rsid w:val="000C2DC4"/>
    <w:rsid w:val="000C3260"/>
    <w:rsid w:val="000C3729"/>
    <w:rsid w:val="000C3B77"/>
    <w:rsid w:val="000C3F6D"/>
    <w:rsid w:val="000C49D9"/>
    <w:rsid w:val="000C4B90"/>
    <w:rsid w:val="000C4D09"/>
    <w:rsid w:val="000C4EA0"/>
    <w:rsid w:val="000C4F49"/>
    <w:rsid w:val="000C539B"/>
    <w:rsid w:val="000C582C"/>
    <w:rsid w:val="000C5861"/>
    <w:rsid w:val="000C5BDE"/>
    <w:rsid w:val="000C5C4C"/>
    <w:rsid w:val="000C639D"/>
    <w:rsid w:val="000C6946"/>
    <w:rsid w:val="000C6C31"/>
    <w:rsid w:val="000C6DBC"/>
    <w:rsid w:val="000C6F79"/>
    <w:rsid w:val="000C7476"/>
    <w:rsid w:val="000C7711"/>
    <w:rsid w:val="000C7AA2"/>
    <w:rsid w:val="000C7D4D"/>
    <w:rsid w:val="000D0462"/>
    <w:rsid w:val="000D053D"/>
    <w:rsid w:val="000D0ED2"/>
    <w:rsid w:val="000D1CEB"/>
    <w:rsid w:val="000D2563"/>
    <w:rsid w:val="000D25BF"/>
    <w:rsid w:val="000D299D"/>
    <w:rsid w:val="000D29EF"/>
    <w:rsid w:val="000D3282"/>
    <w:rsid w:val="000D3FDC"/>
    <w:rsid w:val="000D490B"/>
    <w:rsid w:val="000D4E38"/>
    <w:rsid w:val="000D4EBB"/>
    <w:rsid w:val="000D4EFA"/>
    <w:rsid w:val="000D50DB"/>
    <w:rsid w:val="000D5C8B"/>
    <w:rsid w:val="000D5EF9"/>
    <w:rsid w:val="000D6288"/>
    <w:rsid w:val="000D6B5E"/>
    <w:rsid w:val="000D7541"/>
    <w:rsid w:val="000D75E1"/>
    <w:rsid w:val="000D79F4"/>
    <w:rsid w:val="000E047D"/>
    <w:rsid w:val="000E0519"/>
    <w:rsid w:val="000E056A"/>
    <w:rsid w:val="000E0D5A"/>
    <w:rsid w:val="000E18DB"/>
    <w:rsid w:val="000E22CF"/>
    <w:rsid w:val="000E2977"/>
    <w:rsid w:val="000E2CC0"/>
    <w:rsid w:val="000E30AC"/>
    <w:rsid w:val="000E3B46"/>
    <w:rsid w:val="000E3E11"/>
    <w:rsid w:val="000E40A7"/>
    <w:rsid w:val="000E4596"/>
    <w:rsid w:val="000E48D2"/>
    <w:rsid w:val="000E5768"/>
    <w:rsid w:val="000E5843"/>
    <w:rsid w:val="000E5E20"/>
    <w:rsid w:val="000E6139"/>
    <w:rsid w:val="000E6BE1"/>
    <w:rsid w:val="000E6E63"/>
    <w:rsid w:val="000E7DC5"/>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9E8"/>
    <w:rsid w:val="000F5D2E"/>
    <w:rsid w:val="000F6578"/>
    <w:rsid w:val="000F70CF"/>
    <w:rsid w:val="000F7BF3"/>
    <w:rsid w:val="000F7D1B"/>
    <w:rsid w:val="000F7E8F"/>
    <w:rsid w:val="000F7FBB"/>
    <w:rsid w:val="001000FB"/>
    <w:rsid w:val="00100A9E"/>
    <w:rsid w:val="00100F6A"/>
    <w:rsid w:val="001021F3"/>
    <w:rsid w:val="00102605"/>
    <w:rsid w:val="00102686"/>
    <w:rsid w:val="00102745"/>
    <w:rsid w:val="00103348"/>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6F30"/>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049"/>
    <w:rsid w:val="00114631"/>
    <w:rsid w:val="00114A22"/>
    <w:rsid w:val="00114E9D"/>
    <w:rsid w:val="00115002"/>
    <w:rsid w:val="0011507B"/>
    <w:rsid w:val="0011627A"/>
    <w:rsid w:val="00116328"/>
    <w:rsid w:val="001163CF"/>
    <w:rsid w:val="001174C9"/>
    <w:rsid w:val="00117E69"/>
    <w:rsid w:val="00120409"/>
    <w:rsid w:val="001204D2"/>
    <w:rsid w:val="00120DA2"/>
    <w:rsid w:val="001210B5"/>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0C0"/>
    <w:rsid w:val="001378B9"/>
    <w:rsid w:val="00137FFA"/>
    <w:rsid w:val="00140109"/>
    <w:rsid w:val="00140157"/>
    <w:rsid w:val="0014029B"/>
    <w:rsid w:val="00140464"/>
    <w:rsid w:val="0014049C"/>
    <w:rsid w:val="001407A1"/>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20"/>
    <w:rsid w:val="0015053E"/>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10"/>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27F3"/>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2FF"/>
    <w:rsid w:val="001805C1"/>
    <w:rsid w:val="001807AC"/>
    <w:rsid w:val="001807B6"/>
    <w:rsid w:val="00180A2E"/>
    <w:rsid w:val="0018107C"/>
    <w:rsid w:val="001813AF"/>
    <w:rsid w:val="001829CD"/>
    <w:rsid w:val="00182BC4"/>
    <w:rsid w:val="00182F01"/>
    <w:rsid w:val="00183CAA"/>
    <w:rsid w:val="00183FCD"/>
    <w:rsid w:val="00184BDF"/>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331"/>
    <w:rsid w:val="001A476E"/>
    <w:rsid w:val="001A4A9B"/>
    <w:rsid w:val="001A4DAF"/>
    <w:rsid w:val="001A54CD"/>
    <w:rsid w:val="001A66DF"/>
    <w:rsid w:val="001A67D0"/>
    <w:rsid w:val="001A6863"/>
    <w:rsid w:val="001A7109"/>
    <w:rsid w:val="001A7591"/>
    <w:rsid w:val="001A75B1"/>
    <w:rsid w:val="001A7AA9"/>
    <w:rsid w:val="001A7B06"/>
    <w:rsid w:val="001A7EE8"/>
    <w:rsid w:val="001B0268"/>
    <w:rsid w:val="001B0366"/>
    <w:rsid w:val="001B0444"/>
    <w:rsid w:val="001B096B"/>
    <w:rsid w:val="001B0F9F"/>
    <w:rsid w:val="001B0FAA"/>
    <w:rsid w:val="001B123C"/>
    <w:rsid w:val="001B129B"/>
    <w:rsid w:val="001B1A0D"/>
    <w:rsid w:val="001B1BF1"/>
    <w:rsid w:val="001B1C97"/>
    <w:rsid w:val="001B2456"/>
    <w:rsid w:val="001B246B"/>
    <w:rsid w:val="001B255B"/>
    <w:rsid w:val="001B449C"/>
    <w:rsid w:val="001B4AA2"/>
    <w:rsid w:val="001B4ADE"/>
    <w:rsid w:val="001B4C14"/>
    <w:rsid w:val="001B5ABB"/>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5C1"/>
    <w:rsid w:val="001C7C7B"/>
    <w:rsid w:val="001D068D"/>
    <w:rsid w:val="001D0BDE"/>
    <w:rsid w:val="001D0D77"/>
    <w:rsid w:val="001D0E93"/>
    <w:rsid w:val="001D0EC9"/>
    <w:rsid w:val="001D1014"/>
    <w:rsid w:val="001D12D1"/>
    <w:rsid w:val="001D1435"/>
    <w:rsid w:val="001D15DF"/>
    <w:rsid w:val="001D30F3"/>
    <w:rsid w:val="001D31A0"/>
    <w:rsid w:val="001D338E"/>
    <w:rsid w:val="001D3864"/>
    <w:rsid w:val="001D3EAE"/>
    <w:rsid w:val="001D4F13"/>
    <w:rsid w:val="001D56E9"/>
    <w:rsid w:val="001D5922"/>
    <w:rsid w:val="001D5EE1"/>
    <w:rsid w:val="001D62D4"/>
    <w:rsid w:val="001D653E"/>
    <w:rsid w:val="001D6CDD"/>
    <w:rsid w:val="001D718C"/>
    <w:rsid w:val="001D796A"/>
    <w:rsid w:val="001D7A16"/>
    <w:rsid w:val="001D7A84"/>
    <w:rsid w:val="001D7C79"/>
    <w:rsid w:val="001E003B"/>
    <w:rsid w:val="001E1050"/>
    <w:rsid w:val="001E12FF"/>
    <w:rsid w:val="001E1CC4"/>
    <w:rsid w:val="001E1D38"/>
    <w:rsid w:val="001E2737"/>
    <w:rsid w:val="001E28A0"/>
    <w:rsid w:val="001E2ECF"/>
    <w:rsid w:val="001E3F3C"/>
    <w:rsid w:val="001E4258"/>
    <w:rsid w:val="001E44EA"/>
    <w:rsid w:val="001E5AEF"/>
    <w:rsid w:val="001E5B65"/>
    <w:rsid w:val="001E5D6A"/>
    <w:rsid w:val="001E6A94"/>
    <w:rsid w:val="001E70FB"/>
    <w:rsid w:val="001E780A"/>
    <w:rsid w:val="001F0C34"/>
    <w:rsid w:val="001F0FA0"/>
    <w:rsid w:val="001F1349"/>
    <w:rsid w:val="001F1863"/>
    <w:rsid w:val="001F2356"/>
    <w:rsid w:val="001F25CA"/>
    <w:rsid w:val="001F2A68"/>
    <w:rsid w:val="001F2F56"/>
    <w:rsid w:val="001F38F9"/>
    <w:rsid w:val="001F3E63"/>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BFF"/>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06EB3"/>
    <w:rsid w:val="0021090E"/>
    <w:rsid w:val="002110EB"/>
    <w:rsid w:val="00211338"/>
    <w:rsid w:val="00211388"/>
    <w:rsid w:val="0021148C"/>
    <w:rsid w:val="00211694"/>
    <w:rsid w:val="0021201A"/>
    <w:rsid w:val="002121B0"/>
    <w:rsid w:val="002122A5"/>
    <w:rsid w:val="00212DBE"/>
    <w:rsid w:val="00212F84"/>
    <w:rsid w:val="002138FE"/>
    <w:rsid w:val="00213A1F"/>
    <w:rsid w:val="00213C63"/>
    <w:rsid w:val="00214502"/>
    <w:rsid w:val="00214741"/>
    <w:rsid w:val="00214BB7"/>
    <w:rsid w:val="0021539A"/>
    <w:rsid w:val="00215852"/>
    <w:rsid w:val="002159CD"/>
    <w:rsid w:val="00215B8E"/>
    <w:rsid w:val="00216264"/>
    <w:rsid w:val="002176B6"/>
    <w:rsid w:val="0021792D"/>
    <w:rsid w:val="00217DB8"/>
    <w:rsid w:val="002202CE"/>
    <w:rsid w:val="0022032A"/>
    <w:rsid w:val="00221715"/>
    <w:rsid w:val="0022194E"/>
    <w:rsid w:val="002220B1"/>
    <w:rsid w:val="002221CE"/>
    <w:rsid w:val="00222BE8"/>
    <w:rsid w:val="00222F7B"/>
    <w:rsid w:val="00223102"/>
    <w:rsid w:val="002232CB"/>
    <w:rsid w:val="00224022"/>
    <w:rsid w:val="00224A66"/>
    <w:rsid w:val="00226055"/>
    <w:rsid w:val="0022613F"/>
    <w:rsid w:val="00226236"/>
    <w:rsid w:val="002269B2"/>
    <w:rsid w:val="002270C9"/>
    <w:rsid w:val="002274AD"/>
    <w:rsid w:val="00227A41"/>
    <w:rsid w:val="00227A8B"/>
    <w:rsid w:val="00227DB8"/>
    <w:rsid w:val="0023146B"/>
    <w:rsid w:val="00231548"/>
    <w:rsid w:val="002315A0"/>
    <w:rsid w:val="0023161C"/>
    <w:rsid w:val="00231748"/>
    <w:rsid w:val="00231AE0"/>
    <w:rsid w:val="00231BEE"/>
    <w:rsid w:val="00231EC7"/>
    <w:rsid w:val="0023246C"/>
    <w:rsid w:val="00232E08"/>
    <w:rsid w:val="00232E15"/>
    <w:rsid w:val="00233079"/>
    <w:rsid w:val="002335FE"/>
    <w:rsid w:val="00233607"/>
    <w:rsid w:val="0023382C"/>
    <w:rsid w:val="00233977"/>
    <w:rsid w:val="00233C58"/>
    <w:rsid w:val="00233C71"/>
    <w:rsid w:val="002345B6"/>
    <w:rsid w:val="002347A6"/>
    <w:rsid w:val="00234B84"/>
    <w:rsid w:val="00236016"/>
    <w:rsid w:val="002363AC"/>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5E6"/>
    <w:rsid w:val="0024489B"/>
    <w:rsid w:val="002450F5"/>
    <w:rsid w:val="00245718"/>
    <w:rsid w:val="00245E07"/>
    <w:rsid w:val="00245E42"/>
    <w:rsid w:val="00246AEC"/>
    <w:rsid w:val="00246D2A"/>
    <w:rsid w:val="00247712"/>
    <w:rsid w:val="00247874"/>
    <w:rsid w:val="00247E37"/>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E1A"/>
    <w:rsid w:val="00256E30"/>
    <w:rsid w:val="00256ECF"/>
    <w:rsid w:val="002573FB"/>
    <w:rsid w:val="00257730"/>
    <w:rsid w:val="00257999"/>
    <w:rsid w:val="00257AD6"/>
    <w:rsid w:val="002604AA"/>
    <w:rsid w:val="00260AF8"/>
    <w:rsid w:val="0026129B"/>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6D8"/>
    <w:rsid w:val="00265D28"/>
    <w:rsid w:val="002661F1"/>
    <w:rsid w:val="00266AC9"/>
    <w:rsid w:val="00266DB6"/>
    <w:rsid w:val="002674E8"/>
    <w:rsid w:val="002706A0"/>
    <w:rsid w:val="00270802"/>
    <w:rsid w:val="002711A4"/>
    <w:rsid w:val="00271ECB"/>
    <w:rsid w:val="00271F13"/>
    <w:rsid w:val="00271F33"/>
    <w:rsid w:val="0027278E"/>
    <w:rsid w:val="00273F2E"/>
    <w:rsid w:val="0027482E"/>
    <w:rsid w:val="00274842"/>
    <w:rsid w:val="00274DB5"/>
    <w:rsid w:val="00275423"/>
    <w:rsid w:val="00275BB1"/>
    <w:rsid w:val="00275C6F"/>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A01"/>
    <w:rsid w:val="00284CFC"/>
    <w:rsid w:val="00285832"/>
    <w:rsid w:val="00285969"/>
    <w:rsid w:val="00285D7C"/>
    <w:rsid w:val="00285E33"/>
    <w:rsid w:val="0028663B"/>
    <w:rsid w:val="00286878"/>
    <w:rsid w:val="00286CEC"/>
    <w:rsid w:val="002870F9"/>
    <w:rsid w:val="002871A9"/>
    <w:rsid w:val="00287505"/>
    <w:rsid w:val="00287D71"/>
    <w:rsid w:val="002900C0"/>
    <w:rsid w:val="00290781"/>
    <w:rsid w:val="00291608"/>
    <w:rsid w:val="00291784"/>
    <w:rsid w:val="002920DF"/>
    <w:rsid w:val="0029273C"/>
    <w:rsid w:val="002929BB"/>
    <w:rsid w:val="002940A1"/>
    <w:rsid w:val="00294368"/>
    <w:rsid w:val="00294514"/>
    <w:rsid w:val="00294B78"/>
    <w:rsid w:val="00295416"/>
    <w:rsid w:val="00295949"/>
    <w:rsid w:val="00295BAA"/>
    <w:rsid w:val="00296059"/>
    <w:rsid w:val="0029624A"/>
    <w:rsid w:val="002964D5"/>
    <w:rsid w:val="00296922"/>
    <w:rsid w:val="00297098"/>
    <w:rsid w:val="00297AB0"/>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5F4B"/>
    <w:rsid w:val="002A6AFB"/>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629"/>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57"/>
    <w:rsid w:val="002E48EC"/>
    <w:rsid w:val="002E4B44"/>
    <w:rsid w:val="002E4ECB"/>
    <w:rsid w:val="002E4EF3"/>
    <w:rsid w:val="002E4F23"/>
    <w:rsid w:val="002E635A"/>
    <w:rsid w:val="002E6686"/>
    <w:rsid w:val="002E6BF3"/>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692"/>
    <w:rsid w:val="00303771"/>
    <w:rsid w:val="003039A9"/>
    <w:rsid w:val="00303BAF"/>
    <w:rsid w:val="00303C19"/>
    <w:rsid w:val="003043A3"/>
    <w:rsid w:val="003044AA"/>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418A"/>
    <w:rsid w:val="00315141"/>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19F8"/>
    <w:rsid w:val="00332382"/>
    <w:rsid w:val="00332453"/>
    <w:rsid w:val="0033251B"/>
    <w:rsid w:val="00332932"/>
    <w:rsid w:val="00332E7C"/>
    <w:rsid w:val="00332F8C"/>
    <w:rsid w:val="00332FCC"/>
    <w:rsid w:val="00333196"/>
    <w:rsid w:val="00333A88"/>
    <w:rsid w:val="00335B15"/>
    <w:rsid w:val="00335B21"/>
    <w:rsid w:val="00335D3F"/>
    <w:rsid w:val="00336104"/>
    <w:rsid w:val="00336155"/>
    <w:rsid w:val="003364C1"/>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591E"/>
    <w:rsid w:val="0034680A"/>
    <w:rsid w:val="00346C62"/>
    <w:rsid w:val="00347202"/>
    <w:rsid w:val="00347346"/>
    <w:rsid w:val="003475B7"/>
    <w:rsid w:val="0034778E"/>
    <w:rsid w:val="00347A5A"/>
    <w:rsid w:val="003501E2"/>
    <w:rsid w:val="00350799"/>
    <w:rsid w:val="0035087D"/>
    <w:rsid w:val="00351E10"/>
    <w:rsid w:val="003528F1"/>
    <w:rsid w:val="00352A71"/>
    <w:rsid w:val="003533F4"/>
    <w:rsid w:val="003536F6"/>
    <w:rsid w:val="00353765"/>
    <w:rsid w:val="0035388E"/>
    <w:rsid w:val="00353DD5"/>
    <w:rsid w:val="00355131"/>
    <w:rsid w:val="00355AEB"/>
    <w:rsid w:val="00355C52"/>
    <w:rsid w:val="00355F74"/>
    <w:rsid w:val="003560DB"/>
    <w:rsid w:val="003564DB"/>
    <w:rsid w:val="00356A69"/>
    <w:rsid w:val="00356CD9"/>
    <w:rsid w:val="00356F87"/>
    <w:rsid w:val="00357DFE"/>
    <w:rsid w:val="00360CF3"/>
    <w:rsid w:val="00361A59"/>
    <w:rsid w:val="00363348"/>
    <w:rsid w:val="0036366B"/>
    <w:rsid w:val="00363857"/>
    <w:rsid w:val="00363D59"/>
    <w:rsid w:val="003640F7"/>
    <w:rsid w:val="00364315"/>
    <w:rsid w:val="0036456E"/>
    <w:rsid w:val="003651A8"/>
    <w:rsid w:val="00365D3A"/>
    <w:rsid w:val="00366314"/>
    <w:rsid w:val="003663C3"/>
    <w:rsid w:val="003664FF"/>
    <w:rsid w:val="00366BD2"/>
    <w:rsid w:val="003670B8"/>
    <w:rsid w:val="00367519"/>
    <w:rsid w:val="00367562"/>
    <w:rsid w:val="00367A7A"/>
    <w:rsid w:val="00370263"/>
    <w:rsid w:val="00370488"/>
    <w:rsid w:val="003704A3"/>
    <w:rsid w:val="003706F2"/>
    <w:rsid w:val="0037124F"/>
    <w:rsid w:val="00371840"/>
    <w:rsid w:val="00371A1B"/>
    <w:rsid w:val="003722A9"/>
    <w:rsid w:val="003722B3"/>
    <w:rsid w:val="00372456"/>
    <w:rsid w:val="003724CE"/>
    <w:rsid w:val="0037252E"/>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66B4"/>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3BBC"/>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289"/>
    <w:rsid w:val="00392F33"/>
    <w:rsid w:val="0039319C"/>
    <w:rsid w:val="00393577"/>
    <w:rsid w:val="00393CAE"/>
    <w:rsid w:val="00394194"/>
    <w:rsid w:val="0039458A"/>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4199"/>
    <w:rsid w:val="003A4987"/>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B700B"/>
    <w:rsid w:val="003C0D1F"/>
    <w:rsid w:val="003C116A"/>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1958"/>
    <w:rsid w:val="003D21C1"/>
    <w:rsid w:val="003D3B15"/>
    <w:rsid w:val="003D3B2E"/>
    <w:rsid w:val="003D3D44"/>
    <w:rsid w:val="003D4101"/>
    <w:rsid w:val="003D484D"/>
    <w:rsid w:val="003D49CB"/>
    <w:rsid w:val="003D522C"/>
    <w:rsid w:val="003D58ED"/>
    <w:rsid w:val="003D6937"/>
    <w:rsid w:val="003D6B8F"/>
    <w:rsid w:val="003D6DE0"/>
    <w:rsid w:val="003D7566"/>
    <w:rsid w:val="003D7836"/>
    <w:rsid w:val="003D7FB3"/>
    <w:rsid w:val="003E0224"/>
    <w:rsid w:val="003E09BB"/>
    <w:rsid w:val="003E0D76"/>
    <w:rsid w:val="003E159D"/>
    <w:rsid w:val="003E198A"/>
    <w:rsid w:val="003E20EA"/>
    <w:rsid w:val="003E210C"/>
    <w:rsid w:val="003E284B"/>
    <w:rsid w:val="003E290D"/>
    <w:rsid w:val="003E2A8F"/>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343"/>
    <w:rsid w:val="003F77C5"/>
    <w:rsid w:val="003F7E51"/>
    <w:rsid w:val="00400002"/>
    <w:rsid w:val="00400054"/>
    <w:rsid w:val="0040025E"/>
    <w:rsid w:val="004016A3"/>
    <w:rsid w:val="00401B31"/>
    <w:rsid w:val="0040202B"/>
    <w:rsid w:val="0040279A"/>
    <w:rsid w:val="00402DE1"/>
    <w:rsid w:val="00402EEB"/>
    <w:rsid w:val="004037C2"/>
    <w:rsid w:val="00403DF5"/>
    <w:rsid w:val="00404041"/>
    <w:rsid w:val="004047DF"/>
    <w:rsid w:val="00404B43"/>
    <w:rsid w:val="00404BB0"/>
    <w:rsid w:val="00404C61"/>
    <w:rsid w:val="00405487"/>
    <w:rsid w:val="0040576E"/>
    <w:rsid w:val="00405B8A"/>
    <w:rsid w:val="00405CE5"/>
    <w:rsid w:val="0040602B"/>
    <w:rsid w:val="004064D7"/>
    <w:rsid w:val="00406DF5"/>
    <w:rsid w:val="00406F35"/>
    <w:rsid w:val="004079F3"/>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DC6"/>
    <w:rsid w:val="00413FFA"/>
    <w:rsid w:val="00414229"/>
    <w:rsid w:val="00414246"/>
    <w:rsid w:val="004147A0"/>
    <w:rsid w:val="00414D9A"/>
    <w:rsid w:val="00415194"/>
    <w:rsid w:val="00415393"/>
    <w:rsid w:val="00415816"/>
    <w:rsid w:val="00415B88"/>
    <w:rsid w:val="00415D32"/>
    <w:rsid w:val="004160A2"/>
    <w:rsid w:val="0041640B"/>
    <w:rsid w:val="0041690A"/>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59B"/>
    <w:rsid w:val="0042288C"/>
    <w:rsid w:val="00422DCA"/>
    <w:rsid w:val="00423562"/>
    <w:rsid w:val="004236BF"/>
    <w:rsid w:val="00423BE1"/>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454"/>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8A9"/>
    <w:rsid w:val="004529C6"/>
    <w:rsid w:val="00452AE6"/>
    <w:rsid w:val="00452EAD"/>
    <w:rsid w:val="004533D1"/>
    <w:rsid w:val="004534D1"/>
    <w:rsid w:val="004537A6"/>
    <w:rsid w:val="00454548"/>
    <w:rsid w:val="00454598"/>
    <w:rsid w:val="00454717"/>
    <w:rsid w:val="00454AFE"/>
    <w:rsid w:val="00455004"/>
    <w:rsid w:val="00455047"/>
    <w:rsid w:val="00455111"/>
    <w:rsid w:val="00455354"/>
    <w:rsid w:val="0045558D"/>
    <w:rsid w:val="00455B70"/>
    <w:rsid w:val="00455BD3"/>
    <w:rsid w:val="00455D73"/>
    <w:rsid w:val="00455E1C"/>
    <w:rsid w:val="00455E24"/>
    <w:rsid w:val="00456970"/>
    <w:rsid w:val="00456BB1"/>
    <w:rsid w:val="00456CD4"/>
    <w:rsid w:val="00456DDB"/>
    <w:rsid w:val="0045700E"/>
    <w:rsid w:val="00457031"/>
    <w:rsid w:val="00460915"/>
    <w:rsid w:val="00460946"/>
    <w:rsid w:val="00460BDE"/>
    <w:rsid w:val="00460CCD"/>
    <w:rsid w:val="004614A9"/>
    <w:rsid w:val="00461E97"/>
    <w:rsid w:val="0046268F"/>
    <w:rsid w:val="0046284F"/>
    <w:rsid w:val="00462B10"/>
    <w:rsid w:val="00462C04"/>
    <w:rsid w:val="0046320A"/>
    <w:rsid w:val="004632E2"/>
    <w:rsid w:val="00463473"/>
    <w:rsid w:val="004638E2"/>
    <w:rsid w:val="00463B45"/>
    <w:rsid w:val="00464030"/>
    <w:rsid w:val="00464487"/>
    <w:rsid w:val="004647F8"/>
    <w:rsid w:val="004647FB"/>
    <w:rsid w:val="00464E4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2148"/>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44F"/>
    <w:rsid w:val="00484F0F"/>
    <w:rsid w:val="00484F40"/>
    <w:rsid w:val="0048540C"/>
    <w:rsid w:val="004861B4"/>
    <w:rsid w:val="00486BD0"/>
    <w:rsid w:val="00486D00"/>
    <w:rsid w:val="00487263"/>
    <w:rsid w:val="0048734F"/>
    <w:rsid w:val="00487532"/>
    <w:rsid w:val="00487B8C"/>
    <w:rsid w:val="00487F69"/>
    <w:rsid w:val="00487FE0"/>
    <w:rsid w:val="0049029D"/>
    <w:rsid w:val="0049030C"/>
    <w:rsid w:val="004903C0"/>
    <w:rsid w:val="0049114B"/>
    <w:rsid w:val="004912A8"/>
    <w:rsid w:val="004912B3"/>
    <w:rsid w:val="00491577"/>
    <w:rsid w:val="0049196A"/>
    <w:rsid w:val="0049196E"/>
    <w:rsid w:val="00491B54"/>
    <w:rsid w:val="0049241A"/>
    <w:rsid w:val="00492C1F"/>
    <w:rsid w:val="00492E4C"/>
    <w:rsid w:val="00493664"/>
    <w:rsid w:val="00493E04"/>
    <w:rsid w:val="004940E3"/>
    <w:rsid w:val="00494C65"/>
    <w:rsid w:val="00495107"/>
    <w:rsid w:val="004951A1"/>
    <w:rsid w:val="0049530F"/>
    <w:rsid w:val="004957D0"/>
    <w:rsid w:val="00496160"/>
    <w:rsid w:val="00496664"/>
    <w:rsid w:val="00496786"/>
    <w:rsid w:val="0049695B"/>
    <w:rsid w:val="00496B9C"/>
    <w:rsid w:val="00496D8F"/>
    <w:rsid w:val="00497463"/>
    <w:rsid w:val="00497610"/>
    <w:rsid w:val="004978F6"/>
    <w:rsid w:val="004A054C"/>
    <w:rsid w:val="004A08D1"/>
    <w:rsid w:val="004A16C1"/>
    <w:rsid w:val="004A1CE2"/>
    <w:rsid w:val="004A2823"/>
    <w:rsid w:val="004A2DDD"/>
    <w:rsid w:val="004A3044"/>
    <w:rsid w:val="004A33AC"/>
    <w:rsid w:val="004A34D2"/>
    <w:rsid w:val="004A3CF6"/>
    <w:rsid w:val="004A4301"/>
    <w:rsid w:val="004A4D93"/>
    <w:rsid w:val="004A58EE"/>
    <w:rsid w:val="004A59B7"/>
    <w:rsid w:val="004A6051"/>
    <w:rsid w:val="004A623B"/>
    <w:rsid w:val="004A6A04"/>
    <w:rsid w:val="004A6A52"/>
    <w:rsid w:val="004B0A44"/>
    <w:rsid w:val="004B0F0B"/>
    <w:rsid w:val="004B11B7"/>
    <w:rsid w:val="004B2111"/>
    <w:rsid w:val="004B2113"/>
    <w:rsid w:val="004B2197"/>
    <w:rsid w:val="004B28E0"/>
    <w:rsid w:val="004B298A"/>
    <w:rsid w:val="004B31C6"/>
    <w:rsid w:val="004B34C4"/>
    <w:rsid w:val="004B50CB"/>
    <w:rsid w:val="004B578D"/>
    <w:rsid w:val="004B5BE7"/>
    <w:rsid w:val="004B5E2D"/>
    <w:rsid w:val="004B6394"/>
    <w:rsid w:val="004B652A"/>
    <w:rsid w:val="004B66CD"/>
    <w:rsid w:val="004B6B5D"/>
    <w:rsid w:val="004B6C07"/>
    <w:rsid w:val="004B74D3"/>
    <w:rsid w:val="004B788E"/>
    <w:rsid w:val="004B7E5D"/>
    <w:rsid w:val="004C072C"/>
    <w:rsid w:val="004C1B39"/>
    <w:rsid w:val="004C2180"/>
    <w:rsid w:val="004C22F7"/>
    <w:rsid w:val="004C2B27"/>
    <w:rsid w:val="004C3219"/>
    <w:rsid w:val="004C38BD"/>
    <w:rsid w:val="004C3929"/>
    <w:rsid w:val="004C3BDA"/>
    <w:rsid w:val="004C47DF"/>
    <w:rsid w:val="004C4DED"/>
    <w:rsid w:val="004C5212"/>
    <w:rsid w:val="004C580A"/>
    <w:rsid w:val="004C5E63"/>
    <w:rsid w:val="004C5EF0"/>
    <w:rsid w:val="004C5FEC"/>
    <w:rsid w:val="004C63DB"/>
    <w:rsid w:val="004C64C9"/>
    <w:rsid w:val="004C7226"/>
    <w:rsid w:val="004C74C9"/>
    <w:rsid w:val="004C78C3"/>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0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E1A"/>
    <w:rsid w:val="004E1F1C"/>
    <w:rsid w:val="004E2A35"/>
    <w:rsid w:val="004E2ED3"/>
    <w:rsid w:val="004E40CE"/>
    <w:rsid w:val="004E4C2E"/>
    <w:rsid w:val="004E5736"/>
    <w:rsid w:val="004E58ED"/>
    <w:rsid w:val="004E5A3C"/>
    <w:rsid w:val="004E5AA8"/>
    <w:rsid w:val="004E5B36"/>
    <w:rsid w:val="004E5D5D"/>
    <w:rsid w:val="004E5E11"/>
    <w:rsid w:val="004E6045"/>
    <w:rsid w:val="004E6F43"/>
    <w:rsid w:val="004E702F"/>
    <w:rsid w:val="004E7200"/>
    <w:rsid w:val="004E7412"/>
    <w:rsid w:val="004E787E"/>
    <w:rsid w:val="004F0960"/>
    <w:rsid w:val="004F0A5C"/>
    <w:rsid w:val="004F0F12"/>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D3"/>
    <w:rsid w:val="005010EC"/>
    <w:rsid w:val="0050112F"/>
    <w:rsid w:val="0050160F"/>
    <w:rsid w:val="0050284E"/>
    <w:rsid w:val="00502993"/>
    <w:rsid w:val="00502AF3"/>
    <w:rsid w:val="00502FCD"/>
    <w:rsid w:val="0050306F"/>
    <w:rsid w:val="00504DF9"/>
    <w:rsid w:val="00505DCB"/>
    <w:rsid w:val="00505DE1"/>
    <w:rsid w:val="0050703E"/>
    <w:rsid w:val="005075CA"/>
    <w:rsid w:val="00507B06"/>
    <w:rsid w:val="00507BF1"/>
    <w:rsid w:val="005100E0"/>
    <w:rsid w:val="0051047A"/>
    <w:rsid w:val="0051074C"/>
    <w:rsid w:val="00510DE9"/>
    <w:rsid w:val="00510F21"/>
    <w:rsid w:val="005111E2"/>
    <w:rsid w:val="00511231"/>
    <w:rsid w:val="00512250"/>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73D"/>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5B4"/>
    <w:rsid w:val="00533CA9"/>
    <w:rsid w:val="00533D28"/>
    <w:rsid w:val="00534503"/>
    <w:rsid w:val="005346AD"/>
    <w:rsid w:val="005346BC"/>
    <w:rsid w:val="00534EFB"/>
    <w:rsid w:val="00534F60"/>
    <w:rsid w:val="005357F1"/>
    <w:rsid w:val="00536053"/>
    <w:rsid w:val="005365B2"/>
    <w:rsid w:val="005365FF"/>
    <w:rsid w:val="00536801"/>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7F8"/>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08B2"/>
    <w:rsid w:val="00551098"/>
    <w:rsid w:val="00551598"/>
    <w:rsid w:val="0055162B"/>
    <w:rsid w:val="00551BFF"/>
    <w:rsid w:val="00551C3A"/>
    <w:rsid w:val="00551D68"/>
    <w:rsid w:val="00551DFF"/>
    <w:rsid w:val="005525C9"/>
    <w:rsid w:val="00552B3E"/>
    <w:rsid w:val="00553027"/>
    <w:rsid w:val="00553730"/>
    <w:rsid w:val="00554D57"/>
    <w:rsid w:val="005551AA"/>
    <w:rsid w:val="0055583B"/>
    <w:rsid w:val="0055636A"/>
    <w:rsid w:val="0055642A"/>
    <w:rsid w:val="005564CA"/>
    <w:rsid w:val="00556827"/>
    <w:rsid w:val="005568DA"/>
    <w:rsid w:val="005568EA"/>
    <w:rsid w:val="00557140"/>
    <w:rsid w:val="00557984"/>
    <w:rsid w:val="00560677"/>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5F6E"/>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4AF"/>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565"/>
    <w:rsid w:val="005B19BD"/>
    <w:rsid w:val="005B1E45"/>
    <w:rsid w:val="005B21C4"/>
    <w:rsid w:val="005B2A28"/>
    <w:rsid w:val="005B2E64"/>
    <w:rsid w:val="005B3621"/>
    <w:rsid w:val="005B3CD9"/>
    <w:rsid w:val="005B48A8"/>
    <w:rsid w:val="005B4948"/>
    <w:rsid w:val="005B501D"/>
    <w:rsid w:val="005B54CC"/>
    <w:rsid w:val="005B660E"/>
    <w:rsid w:val="005B74AD"/>
    <w:rsid w:val="005B7B3E"/>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713"/>
    <w:rsid w:val="005C7E45"/>
    <w:rsid w:val="005C7F3E"/>
    <w:rsid w:val="005D06D3"/>
    <w:rsid w:val="005D09B1"/>
    <w:rsid w:val="005D0C3B"/>
    <w:rsid w:val="005D1051"/>
    <w:rsid w:val="005D1606"/>
    <w:rsid w:val="005D2044"/>
    <w:rsid w:val="005D2917"/>
    <w:rsid w:val="005D2EB2"/>
    <w:rsid w:val="005D2F48"/>
    <w:rsid w:val="005D399C"/>
    <w:rsid w:val="005D3B32"/>
    <w:rsid w:val="005D3BD0"/>
    <w:rsid w:val="005D4643"/>
    <w:rsid w:val="005D464B"/>
    <w:rsid w:val="005D466F"/>
    <w:rsid w:val="005D49F0"/>
    <w:rsid w:val="005D5125"/>
    <w:rsid w:val="005D51F7"/>
    <w:rsid w:val="005D51FA"/>
    <w:rsid w:val="005D53E8"/>
    <w:rsid w:val="005D5702"/>
    <w:rsid w:val="005D5A9D"/>
    <w:rsid w:val="005D6441"/>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E5BD6"/>
    <w:rsid w:val="005E5BEC"/>
    <w:rsid w:val="005E72A0"/>
    <w:rsid w:val="005F1793"/>
    <w:rsid w:val="005F1FA9"/>
    <w:rsid w:val="005F287D"/>
    <w:rsid w:val="005F305B"/>
    <w:rsid w:val="005F3081"/>
    <w:rsid w:val="005F3361"/>
    <w:rsid w:val="005F37FE"/>
    <w:rsid w:val="005F3B47"/>
    <w:rsid w:val="005F3B58"/>
    <w:rsid w:val="005F3E34"/>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897"/>
    <w:rsid w:val="00600B65"/>
    <w:rsid w:val="0060139A"/>
    <w:rsid w:val="006013C9"/>
    <w:rsid w:val="006014A1"/>
    <w:rsid w:val="00601C0D"/>
    <w:rsid w:val="00601FE7"/>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05"/>
    <w:rsid w:val="0062452A"/>
    <w:rsid w:val="006258D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561"/>
    <w:rsid w:val="00646A8B"/>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95B"/>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7E9C"/>
    <w:rsid w:val="00677F26"/>
    <w:rsid w:val="006800EE"/>
    <w:rsid w:val="006802A7"/>
    <w:rsid w:val="0068118C"/>
    <w:rsid w:val="006811C9"/>
    <w:rsid w:val="006812CE"/>
    <w:rsid w:val="006826C1"/>
    <w:rsid w:val="00682C89"/>
    <w:rsid w:val="006832B8"/>
    <w:rsid w:val="0068331A"/>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0E5E"/>
    <w:rsid w:val="006912E8"/>
    <w:rsid w:val="00691712"/>
    <w:rsid w:val="00691B25"/>
    <w:rsid w:val="00691DE9"/>
    <w:rsid w:val="00691EAA"/>
    <w:rsid w:val="00692245"/>
    <w:rsid w:val="00692FFA"/>
    <w:rsid w:val="006933D6"/>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D6A"/>
    <w:rsid w:val="006A2F9A"/>
    <w:rsid w:val="006A34E4"/>
    <w:rsid w:val="006A3A5A"/>
    <w:rsid w:val="006A4043"/>
    <w:rsid w:val="006A44CF"/>
    <w:rsid w:val="006A457D"/>
    <w:rsid w:val="006A4C06"/>
    <w:rsid w:val="006A4C33"/>
    <w:rsid w:val="006A55EE"/>
    <w:rsid w:val="006A575B"/>
    <w:rsid w:val="006A592F"/>
    <w:rsid w:val="006A59DE"/>
    <w:rsid w:val="006A6023"/>
    <w:rsid w:val="006A618F"/>
    <w:rsid w:val="006A64C6"/>
    <w:rsid w:val="006A6655"/>
    <w:rsid w:val="006A6BF9"/>
    <w:rsid w:val="006A70D3"/>
    <w:rsid w:val="006A7CB5"/>
    <w:rsid w:val="006A7FD0"/>
    <w:rsid w:val="006B00E4"/>
    <w:rsid w:val="006B025C"/>
    <w:rsid w:val="006B08ED"/>
    <w:rsid w:val="006B10EF"/>
    <w:rsid w:val="006B1E76"/>
    <w:rsid w:val="006B1ED3"/>
    <w:rsid w:val="006B2534"/>
    <w:rsid w:val="006B2CB2"/>
    <w:rsid w:val="006B308B"/>
    <w:rsid w:val="006B347D"/>
    <w:rsid w:val="006B3E19"/>
    <w:rsid w:val="006B4488"/>
    <w:rsid w:val="006B49FC"/>
    <w:rsid w:val="006B4F10"/>
    <w:rsid w:val="006B50C4"/>
    <w:rsid w:val="006B525D"/>
    <w:rsid w:val="006B53AE"/>
    <w:rsid w:val="006B58B4"/>
    <w:rsid w:val="006B61AB"/>
    <w:rsid w:val="006B67AC"/>
    <w:rsid w:val="006B6DB3"/>
    <w:rsid w:val="006B786A"/>
    <w:rsid w:val="006B793B"/>
    <w:rsid w:val="006B7A03"/>
    <w:rsid w:val="006B7A67"/>
    <w:rsid w:val="006B7D67"/>
    <w:rsid w:val="006B7E4E"/>
    <w:rsid w:val="006C003A"/>
    <w:rsid w:val="006C023B"/>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5A"/>
    <w:rsid w:val="006D1688"/>
    <w:rsid w:val="006D1DD3"/>
    <w:rsid w:val="006D1FF3"/>
    <w:rsid w:val="006D22A9"/>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D7DE7"/>
    <w:rsid w:val="006E0079"/>
    <w:rsid w:val="006E02C4"/>
    <w:rsid w:val="006E0572"/>
    <w:rsid w:val="006E05D8"/>
    <w:rsid w:val="006E08EE"/>
    <w:rsid w:val="006E155A"/>
    <w:rsid w:val="006E1D06"/>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C48"/>
    <w:rsid w:val="00704D4B"/>
    <w:rsid w:val="00704DFE"/>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835"/>
    <w:rsid w:val="00714D20"/>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60C"/>
    <w:rsid w:val="00727B1D"/>
    <w:rsid w:val="00727DDC"/>
    <w:rsid w:val="007302AE"/>
    <w:rsid w:val="00730CD6"/>
    <w:rsid w:val="00730F74"/>
    <w:rsid w:val="0073114B"/>
    <w:rsid w:val="00732151"/>
    <w:rsid w:val="00732842"/>
    <w:rsid w:val="00732C4B"/>
    <w:rsid w:val="007339EC"/>
    <w:rsid w:val="00733B26"/>
    <w:rsid w:val="007341F8"/>
    <w:rsid w:val="00734236"/>
    <w:rsid w:val="00734952"/>
    <w:rsid w:val="00734990"/>
    <w:rsid w:val="00734FF5"/>
    <w:rsid w:val="007351F2"/>
    <w:rsid w:val="007356B8"/>
    <w:rsid w:val="00735B78"/>
    <w:rsid w:val="00735DA7"/>
    <w:rsid w:val="007368B4"/>
    <w:rsid w:val="0073746D"/>
    <w:rsid w:val="007378E0"/>
    <w:rsid w:val="00737C51"/>
    <w:rsid w:val="00737D92"/>
    <w:rsid w:val="00740529"/>
    <w:rsid w:val="00740876"/>
    <w:rsid w:val="00740F0D"/>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6BA"/>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125D"/>
    <w:rsid w:val="007520F0"/>
    <w:rsid w:val="007522E8"/>
    <w:rsid w:val="00752A4F"/>
    <w:rsid w:val="00753BAC"/>
    <w:rsid w:val="00754A0B"/>
    <w:rsid w:val="00754DFE"/>
    <w:rsid w:val="007552DB"/>
    <w:rsid w:val="00755B08"/>
    <w:rsid w:val="00755DD0"/>
    <w:rsid w:val="0075647A"/>
    <w:rsid w:val="00756613"/>
    <w:rsid w:val="00756A2F"/>
    <w:rsid w:val="007573E1"/>
    <w:rsid w:val="0075749E"/>
    <w:rsid w:val="00757660"/>
    <w:rsid w:val="00757722"/>
    <w:rsid w:val="00757B2D"/>
    <w:rsid w:val="00757BAD"/>
    <w:rsid w:val="00757D62"/>
    <w:rsid w:val="00760021"/>
    <w:rsid w:val="00760561"/>
    <w:rsid w:val="00760867"/>
    <w:rsid w:val="00760E9E"/>
    <w:rsid w:val="00760EB6"/>
    <w:rsid w:val="007613CC"/>
    <w:rsid w:val="007616DB"/>
    <w:rsid w:val="00761AB7"/>
    <w:rsid w:val="00761CE6"/>
    <w:rsid w:val="0076228A"/>
    <w:rsid w:val="00762440"/>
    <w:rsid w:val="00762499"/>
    <w:rsid w:val="007629B7"/>
    <w:rsid w:val="00762E60"/>
    <w:rsid w:val="007634AD"/>
    <w:rsid w:val="0076445F"/>
    <w:rsid w:val="00764EC5"/>
    <w:rsid w:val="007651B3"/>
    <w:rsid w:val="00765F28"/>
    <w:rsid w:val="00766E2E"/>
    <w:rsid w:val="00766ECC"/>
    <w:rsid w:val="007672F3"/>
    <w:rsid w:val="007676EE"/>
    <w:rsid w:val="007677B5"/>
    <w:rsid w:val="007678B1"/>
    <w:rsid w:val="007708A8"/>
    <w:rsid w:val="00770D6E"/>
    <w:rsid w:val="0077184A"/>
    <w:rsid w:val="00772100"/>
    <w:rsid w:val="00772275"/>
    <w:rsid w:val="007734CC"/>
    <w:rsid w:val="007734E4"/>
    <w:rsid w:val="0077380D"/>
    <w:rsid w:val="007738CF"/>
    <w:rsid w:val="00773BC8"/>
    <w:rsid w:val="0077466F"/>
    <w:rsid w:val="0077507F"/>
    <w:rsid w:val="007752B7"/>
    <w:rsid w:val="00775597"/>
    <w:rsid w:val="007757DC"/>
    <w:rsid w:val="0077591D"/>
    <w:rsid w:val="007759A8"/>
    <w:rsid w:val="00775C27"/>
    <w:rsid w:val="00775D98"/>
    <w:rsid w:val="00775DEC"/>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1EE"/>
    <w:rsid w:val="0078328D"/>
    <w:rsid w:val="0078347A"/>
    <w:rsid w:val="007842D6"/>
    <w:rsid w:val="00784FC4"/>
    <w:rsid w:val="00785353"/>
    <w:rsid w:val="00785A12"/>
    <w:rsid w:val="00785BBB"/>
    <w:rsid w:val="00786937"/>
    <w:rsid w:val="00786B4D"/>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56C2"/>
    <w:rsid w:val="00795DA1"/>
    <w:rsid w:val="007963F6"/>
    <w:rsid w:val="007964CA"/>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39"/>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047"/>
    <w:rsid w:val="007D7CFC"/>
    <w:rsid w:val="007E021D"/>
    <w:rsid w:val="007E0812"/>
    <w:rsid w:val="007E18DF"/>
    <w:rsid w:val="007E2C36"/>
    <w:rsid w:val="007E2E07"/>
    <w:rsid w:val="007E3309"/>
    <w:rsid w:val="007E350D"/>
    <w:rsid w:val="007E3A0A"/>
    <w:rsid w:val="007E3ACA"/>
    <w:rsid w:val="007E496E"/>
    <w:rsid w:val="007E564D"/>
    <w:rsid w:val="007E5C4A"/>
    <w:rsid w:val="007E5F2E"/>
    <w:rsid w:val="007E60FB"/>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471"/>
    <w:rsid w:val="007F369E"/>
    <w:rsid w:val="007F3A8F"/>
    <w:rsid w:val="007F3AC1"/>
    <w:rsid w:val="007F3B1B"/>
    <w:rsid w:val="007F4976"/>
    <w:rsid w:val="007F4B92"/>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08ED"/>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AD6"/>
    <w:rsid w:val="00817063"/>
    <w:rsid w:val="0081766B"/>
    <w:rsid w:val="008178B7"/>
    <w:rsid w:val="008179A1"/>
    <w:rsid w:val="008179E1"/>
    <w:rsid w:val="00817D12"/>
    <w:rsid w:val="00820037"/>
    <w:rsid w:val="00820705"/>
    <w:rsid w:val="00820842"/>
    <w:rsid w:val="00820BA7"/>
    <w:rsid w:val="00820CBF"/>
    <w:rsid w:val="00820DBC"/>
    <w:rsid w:val="00820E59"/>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CC0"/>
    <w:rsid w:val="00830879"/>
    <w:rsid w:val="00830D29"/>
    <w:rsid w:val="00831026"/>
    <w:rsid w:val="0083119B"/>
    <w:rsid w:val="00831BAE"/>
    <w:rsid w:val="00831E8B"/>
    <w:rsid w:val="00832216"/>
    <w:rsid w:val="00832464"/>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7D3"/>
    <w:rsid w:val="00852C43"/>
    <w:rsid w:val="00852FDC"/>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36D"/>
    <w:rsid w:val="0086394E"/>
    <w:rsid w:val="00863A41"/>
    <w:rsid w:val="00863B02"/>
    <w:rsid w:val="00863F8A"/>
    <w:rsid w:val="00863FE3"/>
    <w:rsid w:val="00864241"/>
    <w:rsid w:val="0086468A"/>
    <w:rsid w:val="00864F5F"/>
    <w:rsid w:val="00864FA1"/>
    <w:rsid w:val="008650BE"/>
    <w:rsid w:val="00865AE0"/>
    <w:rsid w:val="0086633B"/>
    <w:rsid w:val="00866495"/>
    <w:rsid w:val="00866881"/>
    <w:rsid w:val="00866931"/>
    <w:rsid w:val="008673F2"/>
    <w:rsid w:val="00867512"/>
    <w:rsid w:val="008678A3"/>
    <w:rsid w:val="00867C13"/>
    <w:rsid w:val="00867C1D"/>
    <w:rsid w:val="0087033C"/>
    <w:rsid w:val="00870B93"/>
    <w:rsid w:val="00871064"/>
    <w:rsid w:val="008715ED"/>
    <w:rsid w:val="008717D8"/>
    <w:rsid w:val="00871E3C"/>
    <w:rsid w:val="008721FA"/>
    <w:rsid w:val="00872CC1"/>
    <w:rsid w:val="00872F97"/>
    <w:rsid w:val="00873731"/>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3E"/>
    <w:rsid w:val="0088106B"/>
    <w:rsid w:val="0088107D"/>
    <w:rsid w:val="00881475"/>
    <w:rsid w:val="00881E64"/>
    <w:rsid w:val="00882A31"/>
    <w:rsid w:val="00882AA7"/>
    <w:rsid w:val="00882D24"/>
    <w:rsid w:val="00882E39"/>
    <w:rsid w:val="0088321E"/>
    <w:rsid w:val="00884978"/>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35CF"/>
    <w:rsid w:val="00894233"/>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68D"/>
    <w:rsid w:val="008A7888"/>
    <w:rsid w:val="008A78D9"/>
    <w:rsid w:val="008A796E"/>
    <w:rsid w:val="008B020E"/>
    <w:rsid w:val="008B0783"/>
    <w:rsid w:val="008B0862"/>
    <w:rsid w:val="008B088C"/>
    <w:rsid w:val="008B0991"/>
    <w:rsid w:val="008B1303"/>
    <w:rsid w:val="008B1BF5"/>
    <w:rsid w:val="008B263F"/>
    <w:rsid w:val="008B2686"/>
    <w:rsid w:val="008B3045"/>
    <w:rsid w:val="008B3AFB"/>
    <w:rsid w:val="008B4215"/>
    <w:rsid w:val="008B44F6"/>
    <w:rsid w:val="008B47A6"/>
    <w:rsid w:val="008B5416"/>
    <w:rsid w:val="008B56B9"/>
    <w:rsid w:val="008B6416"/>
    <w:rsid w:val="008B672C"/>
    <w:rsid w:val="008B74F7"/>
    <w:rsid w:val="008B7D5C"/>
    <w:rsid w:val="008C065F"/>
    <w:rsid w:val="008C0743"/>
    <w:rsid w:val="008C0B4C"/>
    <w:rsid w:val="008C0D9F"/>
    <w:rsid w:val="008C1140"/>
    <w:rsid w:val="008C11F0"/>
    <w:rsid w:val="008C1DBA"/>
    <w:rsid w:val="008C24E7"/>
    <w:rsid w:val="008C2500"/>
    <w:rsid w:val="008C2CAC"/>
    <w:rsid w:val="008C2E00"/>
    <w:rsid w:val="008C3095"/>
    <w:rsid w:val="008C3B1E"/>
    <w:rsid w:val="008C3C57"/>
    <w:rsid w:val="008C3E2A"/>
    <w:rsid w:val="008C45BD"/>
    <w:rsid w:val="008C4B19"/>
    <w:rsid w:val="008C5152"/>
    <w:rsid w:val="008C515F"/>
    <w:rsid w:val="008C5207"/>
    <w:rsid w:val="008C606E"/>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5FA3"/>
    <w:rsid w:val="008E6226"/>
    <w:rsid w:val="008E6401"/>
    <w:rsid w:val="008E6598"/>
    <w:rsid w:val="008E67DF"/>
    <w:rsid w:val="008E6C60"/>
    <w:rsid w:val="008E6CC2"/>
    <w:rsid w:val="008E7214"/>
    <w:rsid w:val="008E7884"/>
    <w:rsid w:val="008E7D6E"/>
    <w:rsid w:val="008F1056"/>
    <w:rsid w:val="008F2E8D"/>
    <w:rsid w:val="008F32BA"/>
    <w:rsid w:val="008F361D"/>
    <w:rsid w:val="008F387B"/>
    <w:rsid w:val="008F3952"/>
    <w:rsid w:val="008F3B97"/>
    <w:rsid w:val="008F3DD9"/>
    <w:rsid w:val="008F4814"/>
    <w:rsid w:val="008F4DA6"/>
    <w:rsid w:val="008F538E"/>
    <w:rsid w:val="008F59C9"/>
    <w:rsid w:val="008F5A20"/>
    <w:rsid w:val="008F5ABA"/>
    <w:rsid w:val="008F6642"/>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A6E"/>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20B"/>
    <w:rsid w:val="00931215"/>
    <w:rsid w:val="00931365"/>
    <w:rsid w:val="00931451"/>
    <w:rsid w:val="009314FA"/>
    <w:rsid w:val="0093194F"/>
    <w:rsid w:val="00931BF3"/>
    <w:rsid w:val="00931C55"/>
    <w:rsid w:val="00933333"/>
    <w:rsid w:val="0093349A"/>
    <w:rsid w:val="009338BA"/>
    <w:rsid w:val="00933B54"/>
    <w:rsid w:val="00933FCB"/>
    <w:rsid w:val="009342B6"/>
    <w:rsid w:val="00934537"/>
    <w:rsid w:val="00934865"/>
    <w:rsid w:val="00934CEC"/>
    <w:rsid w:val="00934E69"/>
    <w:rsid w:val="00935504"/>
    <w:rsid w:val="00935CCA"/>
    <w:rsid w:val="00935E70"/>
    <w:rsid w:val="0093609A"/>
    <w:rsid w:val="0093644A"/>
    <w:rsid w:val="00936C41"/>
    <w:rsid w:val="00937401"/>
    <w:rsid w:val="009375AD"/>
    <w:rsid w:val="009376FB"/>
    <w:rsid w:val="00937D6B"/>
    <w:rsid w:val="00937F58"/>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ADD"/>
    <w:rsid w:val="00951E57"/>
    <w:rsid w:val="00952505"/>
    <w:rsid w:val="00953018"/>
    <w:rsid w:val="009533E2"/>
    <w:rsid w:val="00953554"/>
    <w:rsid w:val="0095385A"/>
    <w:rsid w:val="00953F49"/>
    <w:rsid w:val="00955021"/>
    <w:rsid w:val="00955216"/>
    <w:rsid w:val="009564AC"/>
    <w:rsid w:val="0095780A"/>
    <w:rsid w:val="009578C3"/>
    <w:rsid w:val="009579E4"/>
    <w:rsid w:val="00957AA4"/>
    <w:rsid w:val="00957ACB"/>
    <w:rsid w:val="00957CC5"/>
    <w:rsid w:val="00957F27"/>
    <w:rsid w:val="00960156"/>
    <w:rsid w:val="00960198"/>
    <w:rsid w:val="0096071D"/>
    <w:rsid w:val="00960BDB"/>
    <w:rsid w:val="00960D2E"/>
    <w:rsid w:val="0096105C"/>
    <w:rsid w:val="0096147D"/>
    <w:rsid w:val="00961A54"/>
    <w:rsid w:val="00961A9D"/>
    <w:rsid w:val="00961D53"/>
    <w:rsid w:val="00961E5F"/>
    <w:rsid w:val="009625C6"/>
    <w:rsid w:val="009627F8"/>
    <w:rsid w:val="009629B5"/>
    <w:rsid w:val="00962A50"/>
    <w:rsid w:val="0096331E"/>
    <w:rsid w:val="0096409A"/>
    <w:rsid w:val="00964138"/>
    <w:rsid w:val="0096470D"/>
    <w:rsid w:val="009648D6"/>
    <w:rsid w:val="00964B3F"/>
    <w:rsid w:val="00964C98"/>
    <w:rsid w:val="00965DAF"/>
    <w:rsid w:val="00965DF2"/>
    <w:rsid w:val="009661D7"/>
    <w:rsid w:val="00966246"/>
    <w:rsid w:val="009710E5"/>
    <w:rsid w:val="00971441"/>
    <w:rsid w:val="009715D4"/>
    <w:rsid w:val="0097179A"/>
    <w:rsid w:val="0097224B"/>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4C2C"/>
    <w:rsid w:val="00985102"/>
    <w:rsid w:val="009854BC"/>
    <w:rsid w:val="00985CE1"/>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43"/>
    <w:rsid w:val="009A5D99"/>
    <w:rsid w:val="009A5E8A"/>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C0C1B"/>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2A7"/>
    <w:rsid w:val="009D05DA"/>
    <w:rsid w:val="009D07AE"/>
    <w:rsid w:val="009D0DD7"/>
    <w:rsid w:val="009D11F6"/>
    <w:rsid w:val="009D1780"/>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084"/>
    <w:rsid w:val="009E2391"/>
    <w:rsid w:val="009E2771"/>
    <w:rsid w:val="009E2EF9"/>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2C5C"/>
    <w:rsid w:val="009F369D"/>
    <w:rsid w:val="009F36FE"/>
    <w:rsid w:val="009F3924"/>
    <w:rsid w:val="009F452A"/>
    <w:rsid w:val="009F4990"/>
    <w:rsid w:val="009F4F25"/>
    <w:rsid w:val="009F59C2"/>
    <w:rsid w:val="009F5A5A"/>
    <w:rsid w:val="009F7235"/>
    <w:rsid w:val="009F7263"/>
    <w:rsid w:val="009F76EA"/>
    <w:rsid w:val="009F78EB"/>
    <w:rsid w:val="009F7E7D"/>
    <w:rsid w:val="009F7F32"/>
    <w:rsid w:val="009F7FEB"/>
    <w:rsid w:val="00A003D5"/>
    <w:rsid w:val="00A005CD"/>
    <w:rsid w:val="00A0156A"/>
    <w:rsid w:val="00A01852"/>
    <w:rsid w:val="00A0188B"/>
    <w:rsid w:val="00A01D27"/>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171"/>
    <w:rsid w:val="00A102BF"/>
    <w:rsid w:val="00A1036D"/>
    <w:rsid w:val="00A1069F"/>
    <w:rsid w:val="00A107F8"/>
    <w:rsid w:val="00A10AAD"/>
    <w:rsid w:val="00A10ACA"/>
    <w:rsid w:val="00A10D08"/>
    <w:rsid w:val="00A11215"/>
    <w:rsid w:val="00A11E78"/>
    <w:rsid w:val="00A12355"/>
    <w:rsid w:val="00A127D2"/>
    <w:rsid w:val="00A12C0C"/>
    <w:rsid w:val="00A13CF5"/>
    <w:rsid w:val="00A143EC"/>
    <w:rsid w:val="00A149E8"/>
    <w:rsid w:val="00A149F3"/>
    <w:rsid w:val="00A1500F"/>
    <w:rsid w:val="00A15621"/>
    <w:rsid w:val="00A15670"/>
    <w:rsid w:val="00A157A0"/>
    <w:rsid w:val="00A1585B"/>
    <w:rsid w:val="00A15AA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46EE"/>
    <w:rsid w:val="00A25B0F"/>
    <w:rsid w:val="00A25BBB"/>
    <w:rsid w:val="00A270CE"/>
    <w:rsid w:val="00A27207"/>
    <w:rsid w:val="00A27FB6"/>
    <w:rsid w:val="00A30121"/>
    <w:rsid w:val="00A30368"/>
    <w:rsid w:val="00A3043A"/>
    <w:rsid w:val="00A30E02"/>
    <w:rsid w:val="00A30F6A"/>
    <w:rsid w:val="00A31C3E"/>
    <w:rsid w:val="00A31E2B"/>
    <w:rsid w:val="00A32D39"/>
    <w:rsid w:val="00A33239"/>
    <w:rsid w:val="00A33662"/>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A62"/>
    <w:rsid w:val="00A56BBF"/>
    <w:rsid w:val="00A56DE7"/>
    <w:rsid w:val="00A579F1"/>
    <w:rsid w:val="00A57DDD"/>
    <w:rsid w:val="00A57EB2"/>
    <w:rsid w:val="00A6009E"/>
    <w:rsid w:val="00A60265"/>
    <w:rsid w:val="00A60B1F"/>
    <w:rsid w:val="00A60B4A"/>
    <w:rsid w:val="00A611CC"/>
    <w:rsid w:val="00A613E5"/>
    <w:rsid w:val="00A6160B"/>
    <w:rsid w:val="00A6195E"/>
    <w:rsid w:val="00A61993"/>
    <w:rsid w:val="00A61C60"/>
    <w:rsid w:val="00A62589"/>
    <w:rsid w:val="00A62AD0"/>
    <w:rsid w:val="00A62C3A"/>
    <w:rsid w:val="00A6319C"/>
    <w:rsid w:val="00A63812"/>
    <w:rsid w:val="00A63DF7"/>
    <w:rsid w:val="00A6454D"/>
    <w:rsid w:val="00A645A3"/>
    <w:rsid w:val="00A64F18"/>
    <w:rsid w:val="00A64F2F"/>
    <w:rsid w:val="00A65505"/>
    <w:rsid w:val="00A65AA4"/>
    <w:rsid w:val="00A65C5E"/>
    <w:rsid w:val="00A6611E"/>
    <w:rsid w:val="00A6634D"/>
    <w:rsid w:val="00A668BA"/>
    <w:rsid w:val="00A66FA7"/>
    <w:rsid w:val="00A67E16"/>
    <w:rsid w:val="00A67E2C"/>
    <w:rsid w:val="00A67EB1"/>
    <w:rsid w:val="00A700E4"/>
    <w:rsid w:val="00A703CC"/>
    <w:rsid w:val="00A7074F"/>
    <w:rsid w:val="00A70C5C"/>
    <w:rsid w:val="00A710A2"/>
    <w:rsid w:val="00A71859"/>
    <w:rsid w:val="00A719D1"/>
    <w:rsid w:val="00A71EA7"/>
    <w:rsid w:val="00A730AD"/>
    <w:rsid w:val="00A73855"/>
    <w:rsid w:val="00A73D64"/>
    <w:rsid w:val="00A74216"/>
    <w:rsid w:val="00A7434D"/>
    <w:rsid w:val="00A744B4"/>
    <w:rsid w:val="00A751E3"/>
    <w:rsid w:val="00A7524A"/>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E"/>
    <w:rsid w:val="00A83BEF"/>
    <w:rsid w:val="00A84443"/>
    <w:rsid w:val="00A8487F"/>
    <w:rsid w:val="00A849A3"/>
    <w:rsid w:val="00A84A0E"/>
    <w:rsid w:val="00A861C8"/>
    <w:rsid w:val="00A863CA"/>
    <w:rsid w:val="00A86817"/>
    <w:rsid w:val="00A86E0B"/>
    <w:rsid w:val="00A874BB"/>
    <w:rsid w:val="00A87CE5"/>
    <w:rsid w:val="00A90C54"/>
    <w:rsid w:val="00A90F12"/>
    <w:rsid w:val="00A915BD"/>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58E"/>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1FB2"/>
    <w:rsid w:val="00AB2000"/>
    <w:rsid w:val="00AB2216"/>
    <w:rsid w:val="00AB2898"/>
    <w:rsid w:val="00AB3202"/>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C02AA"/>
    <w:rsid w:val="00AC0537"/>
    <w:rsid w:val="00AC07E3"/>
    <w:rsid w:val="00AC0A84"/>
    <w:rsid w:val="00AC1508"/>
    <w:rsid w:val="00AC15E4"/>
    <w:rsid w:val="00AC1957"/>
    <w:rsid w:val="00AC24CE"/>
    <w:rsid w:val="00AC2A0B"/>
    <w:rsid w:val="00AC2BEE"/>
    <w:rsid w:val="00AC2E53"/>
    <w:rsid w:val="00AC35E4"/>
    <w:rsid w:val="00AC39C5"/>
    <w:rsid w:val="00AC484F"/>
    <w:rsid w:val="00AC4B20"/>
    <w:rsid w:val="00AC4BE9"/>
    <w:rsid w:val="00AC56F2"/>
    <w:rsid w:val="00AC5918"/>
    <w:rsid w:val="00AC71C3"/>
    <w:rsid w:val="00AC7212"/>
    <w:rsid w:val="00AC749A"/>
    <w:rsid w:val="00AC7862"/>
    <w:rsid w:val="00AC7B88"/>
    <w:rsid w:val="00AD0547"/>
    <w:rsid w:val="00AD09F7"/>
    <w:rsid w:val="00AD11E3"/>
    <w:rsid w:val="00AD1EFA"/>
    <w:rsid w:val="00AD2072"/>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E0F6B"/>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AE9"/>
    <w:rsid w:val="00AE6DC5"/>
    <w:rsid w:val="00AE7686"/>
    <w:rsid w:val="00AE78BE"/>
    <w:rsid w:val="00AE799A"/>
    <w:rsid w:val="00AF041E"/>
    <w:rsid w:val="00AF0E81"/>
    <w:rsid w:val="00AF117A"/>
    <w:rsid w:val="00AF16CA"/>
    <w:rsid w:val="00AF186E"/>
    <w:rsid w:val="00AF19DF"/>
    <w:rsid w:val="00AF1D41"/>
    <w:rsid w:val="00AF26CF"/>
    <w:rsid w:val="00AF344D"/>
    <w:rsid w:val="00AF374A"/>
    <w:rsid w:val="00AF3806"/>
    <w:rsid w:val="00AF39B3"/>
    <w:rsid w:val="00AF3C61"/>
    <w:rsid w:val="00AF3E1D"/>
    <w:rsid w:val="00AF4402"/>
    <w:rsid w:val="00AF450F"/>
    <w:rsid w:val="00AF4639"/>
    <w:rsid w:val="00AF4BCA"/>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0421"/>
    <w:rsid w:val="00B01078"/>
    <w:rsid w:val="00B011A7"/>
    <w:rsid w:val="00B011A9"/>
    <w:rsid w:val="00B01BAF"/>
    <w:rsid w:val="00B01C36"/>
    <w:rsid w:val="00B020EB"/>
    <w:rsid w:val="00B024ED"/>
    <w:rsid w:val="00B026B8"/>
    <w:rsid w:val="00B02EB3"/>
    <w:rsid w:val="00B02FCB"/>
    <w:rsid w:val="00B033F8"/>
    <w:rsid w:val="00B03B87"/>
    <w:rsid w:val="00B03C1E"/>
    <w:rsid w:val="00B04400"/>
    <w:rsid w:val="00B04835"/>
    <w:rsid w:val="00B0515B"/>
    <w:rsid w:val="00B05A55"/>
    <w:rsid w:val="00B05DE1"/>
    <w:rsid w:val="00B06595"/>
    <w:rsid w:val="00B06798"/>
    <w:rsid w:val="00B0749C"/>
    <w:rsid w:val="00B10109"/>
    <w:rsid w:val="00B10720"/>
    <w:rsid w:val="00B10776"/>
    <w:rsid w:val="00B1085E"/>
    <w:rsid w:val="00B10FD1"/>
    <w:rsid w:val="00B119AE"/>
    <w:rsid w:val="00B1219D"/>
    <w:rsid w:val="00B12469"/>
    <w:rsid w:val="00B12735"/>
    <w:rsid w:val="00B12F44"/>
    <w:rsid w:val="00B13C48"/>
    <w:rsid w:val="00B13E35"/>
    <w:rsid w:val="00B13EC0"/>
    <w:rsid w:val="00B14102"/>
    <w:rsid w:val="00B144EA"/>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875"/>
    <w:rsid w:val="00B27BB5"/>
    <w:rsid w:val="00B3008D"/>
    <w:rsid w:val="00B30A94"/>
    <w:rsid w:val="00B30E11"/>
    <w:rsid w:val="00B30EAE"/>
    <w:rsid w:val="00B30EEB"/>
    <w:rsid w:val="00B31423"/>
    <w:rsid w:val="00B319B1"/>
    <w:rsid w:val="00B321C1"/>
    <w:rsid w:val="00B323E0"/>
    <w:rsid w:val="00B32DC0"/>
    <w:rsid w:val="00B330FD"/>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3449"/>
    <w:rsid w:val="00B4364A"/>
    <w:rsid w:val="00B4387A"/>
    <w:rsid w:val="00B43AFE"/>
    <w:rsid w:val="00B43DA1"/>
    <w:rsid w:val="00B43EAC"/>
    <w:rsid w:val="00B43F98"/>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15E"/>
    <w:rsid w:val="00B525CB"/>
    <w:rsid w:val="00B52697"/>
    <w:rsid w:val="00B52AE8"/>
    <w:rsid w:val="00B52FA2"/>
    <w:rsid w:val="00B54D8F"/>
    <w:rsid w:val="00B55857"/>
    <w:rsid w:val="00B55C69"/>
    <w:rsid w:val="00B56851"/>
    <w:rsid w:val="00B569D4"/>
    <w:rsid w:val="00B56BA8"/>
    <w:rsid w:val="00B56D4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3A32"/>
    <w:rsid w:val="00B851E4"/>
    <w:rsid w:val="00B854CE"/>
    <w:rsid w:val="00B85681"/>
    <w:rsid w:val="00B857EB"/>
    <w:rsid w:val="00B86162"/>
    <w:rsid w:val="00B86877"/>
    <w:rsid w:val="00B8695D"/>
    <w:rsid w:val="00B86A0C"/>
    <w:rsid w:val="00B86E66"/>
    <w:rsid w:val="00B873BA"/>
    <w:rsid w:val="00B8746F"/>
    <w:rsid w:val="00B8760D"/>
    <w:rsid w:val="00B87706"/>
    <w:rsid w:val="00B87CE0"/>
    <w:rsid w:val="00B90A49"/>
    <w:rsid w:val="00B90A73"/>
    <w:rsid w:val="00B90ABE"/>
    <w:rsid w:val="00B90AF5"/>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8C1"/>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9AB"/>
    <w:rsid w:val="00BC3FF9"/>
    <w:rsid w:val="00BC4112"/>
    <w:rsid w:val="00BC4834"/>
    <w:rsid w:val="00BC4A97"/>
    <w:rsid w:val="00BC4E15"/>
    <w:rsid w:val="00BC520E"/>
    <w:rsid w:val="00BC5A25"/>
    <w:rsid w:val="00BC5FDD"/>
    <w:rsid w:val="00BC68B4"/>
    <w:rsid w:val="00BC69D0"/>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5B"/>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116"/>
    <w:rsid w:val="00BE3442"/>
    <w:rsid w:val="00BE37CD"/>
    <w:rsid w:val="00BE42D6"/>
    <w:rsid w:val="00BE47B2"/>
    <w:rsid w:val="00BE48C7"/>
    <w:rsid w:val="00BE4C4F"/>
    <w:rsid w:val="00BE4F66"/>
    <w:rsid w:val="00BE522D"/>
    <w:rsid w:val="00BE5238"/>
    <w:rsid w:val="00BE6074"/>
    <w:rsid w:val="00BE60CE"/>
    <w:rsid w:val="00BE6860"/>
    <w:rsid w:val="00BE6938"/>
    <w:rsid w:val="00BE6EDD"/>
    <w:rsid w:val="00BE7257"/>
    <w:rsid w:val="00BE7302"/>
    <w:rsid w:val="00BF020D"/>
    <w:rsid w:val="00BF0609"/>
    <w:rsid w:val="00BF0E64"/>
    <w:rsid w:val="00BF0EE8"/>
    <w:rsid w:val="00BF131B"/>
    <w:rsid w:val="00BF1C07"/>
    <w:rsid w:val="00BF1DD2"/>
    <w:rsid w:val="00BF22BF"/>
    <w:rsid w:val="00BF23A3"/>
    <w:rsid w:val="00BF2A7E"/>
    <w:rsid w:val="00BF3331"/>
    <w:rsid w:val="00BF3521"/>
    <w:rsid w:val="00BF3A45"/>
    <w:rsid w:val="00BF436F"/>
    <w:rsid w:val="00BF4484"/>
    <w:rsid w:val="00BF519C"/>
    <w:rsid w:val="00BF5C05"/>
    <w:rsid w:val="00BF5CB4"/>
    <w:rsid w:val="00BF6327"/>
    <w:rsid w:val="00BF6FC6"/>
    <w:rsid w:val="00BF7562"/>
    <w:rsid w:val="00BF77A5"/>
    <w:rsid w:val="00BF7C52"/>
    <w:rsid w:val="00BF7D44"/>
    <w:rsid w:val="00BF7F99"/>
    <w:rsid w:val="00C005C5"/>
    <w:rsid w:val="00C00713"/>
    <w:rsid w:val="00C009A0"/>
    <w:rsid w:val="00C00FC7"/>
    <w:rsid w:val="00C01E3D"/>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7DD"/>
    <w:rsid w:val="00C238F4"/>
    <w:rsid w:val="00C23A99"/>
    <w:rsid w:val="00C23FBF"/>
    <w:rsid w:val="00C245EE"/>
    <w:rsid w:val="00C24AE1"/>
    <w:rsid w:val="00C24B8D"/>
    <w:rsid w:val="00C24BD7"/>
    <w:rsid w:val="00C24EF2"/>
    <w:rsid w:val="00C24FD5"/>
    <w:rsid w:val="00C25813"/>
    <w:rsid w:val="00C26BAB"/>
    <w:rsid w:val="00C26D76"/>
    <w:rsid w:val="00C27143"/>
    <w:rsid w:val="00C272CE"/>
    <w:rsid w:val="00C27490"/>
    <w:rsid w:val="00C27712"/>
    <w:rsid w:val="00C27D37"/>
    <w:rsid w:val="00C30038"/>
    <w:rsid w:val="00C30658"/>
    <w:rsid w:val="00C309E8"/>
    <w:rsid w:val="00C32017"/>
    <w:rsid w:val="00C32571"/>
    <w:rsid w:val="00C325CD"/>
    <w:rsid w:val="00C3322E"/>
    <w:rsid w:val="00C33548"/>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04A"/>
    <w:rsid w:val="00C419E3"/>
    <w:rsid w:val="00C419F4"/>
    <w:rsid w:val="00C41E6A"/>
    <w:rsid w:val="00C42247"/>
    <w:rsid w:val="00C439BE"/>
    <w:rsid w:val="00C44622"/>
    <w:rsid w:val="00C4494B"/>
    <w:rsid w:val="00C4539B"/>
    <w:rsid w:val="00C45466"/>
    <w:rsid w:val="00C455C1"/>
    <w:rsid w:val="00C4581D"/>
    <w:rsid w:val="00C4654F"/>
    <w:rsid w:val="00C47120"/>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2CD"/>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9F2"/>
    <w:rsid w:val="00C62BBB"/>
    <w:rsid w:val="00C62C63"/>
    <w:rsid w:val="00C6305F"/>
    <w:rsid w:val="00C6325B"/>
    <w:rsid w:val="00C63BD7"/>
    <w:rsid w:val="00C63E99"/>
    <w:rsid w:val="00C64924"/>
    <w:rsid w:val="00C649B8"/>
    <w:rsid w:val="00C64A64"/>
    <w:rsid w:val="00C65151"/>
    <w:rsid w:val="00C657F4"/>
    <w:rsid w:val="00C6598D"/>
    <w:rsid w:val="00C660FE"/>
    <w:rsid w:val="00C66119"/>
    <w:rsid w:val="00C66292"/>
    <w:rsid w:val="00C6636F"/>
    <w:rsid w:val="00C66D0A"/>
    <w:rsid w:val="00C66F21"/>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403A"/>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A0031"/>
    <w:rsid w:val="00CA0413"/>
    <w:rsid w:val="00CA043A"/>
    <w:rsid w:val="00CA0E51"/>
    <w:rsid w:val="00CA1691"/>
    <w:rsid w:val="00CA257C"/>
    <w:rsid w:val="00CA2738"/>
    <w:rsid w:val="00CA2D2E"/>
    <w:rsid w:val="00CA2F26"/>
    <w:rsid w:val="00CA339E"/>
    <w:rsid w:val="00CA3C3A"/>
    <w:rsid w:val="00CA41E7"/>
    <w:rsid w:val="00CA4A99"/>
    <w:rsid w:val="00CA5520"/>
    <w:rsid w:val="00CA5812"/>
    <w:rsid w:val="00CA5BD4"/>
    <w:rsid w:val="00CA5C14"/>
    <w:rsid w:val="00CA5C62"/>
    <w:rsid w:val="00CA7500"/>
    <w:rsid w:val="00CA76FC"/>
    <w:rsid w:val="00CA7E7B"/>
    <w:rsid w:val="00CB0028"/>
    <w:rsid w:val="00CB0236"/>
    <w:rsid w:val="00CB0DC1"/>
    <w:rsid w:val="00CB1278"/>
    <w:rsid w:val="00CB144F"/>
    <w:rsid w:val="00CB1969"/>
    <w:rsid w:val="00CB19E3"/>
    <w:rsid w:val="00CB1DC1"/>
    <w:rsid w:val="00CB29D5"/>
    <w:rsid w:val="00CB2C3A"/>
    <w:rsid w:val="00CB2D38"/>
    <w:rsid w:val="00CB4137"/>
    <w:rsid w:val="00CB4A29"/>
    <w:rsid w:val="00CB4BF5"/>
    <w:rsid w:val="00CB52D0"/>
    <w:rsid w:val="00CB5302"/>
    <w:rsid w:val="00CB5578"/>
    <w:rsid w:val="00CB5671"/>
    <w:rsid w:val="00CB591C"/>
    <w:rsid w:val="00CB5943"/>
    <w:rsid w:val="00CB61B3"/>
    <w:rsid w:val="00CB6F83"/>
    <w:rsid w:val="00CB72AE"/>
    <w:rsid w:val="00CB764A"/>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070B"/>
    <w:rsid w:val="00CE1030"/>
    <w:rsid w:val="00CE1CD4"/>
    <w:rsid w:val="00CE1E29"/>
    <w:rsid w:val="00CE207C"/>
    <w:rsid w:val="00CE2761"/>
    <w:rsid w:val="00CE28FC"/>
    <w:rsid w:val="00CE2ED5"/>
    <w:rsid w:val="00CE314E"/>
    <w:rsid w:val="00CE3D5C"/>
    <w:rsid w:val="00CE3E09"/>
    <w:rsid w:val="00CE3E14"/>
    <w:rsid w:val="00CE44C7"/>
    <w:rsid w:val="00CE4DF7"/>
    <w:rsid w:val="00CE5168"/>
    <w:rsid w:val="00CE53CC"/>
    <w:rsid w:val="00CE559D"/>
    <w:rsid w:val="00CE6103"/>
    <w:rsid w:val="00CE65A7"/>
    <w:rsid w:val="00CE68FE"/>
    <w:rsid w:val="00CE69CC"/>
    <w:rsid w:val="00CE6EC4"/>
    <w:rsid w:val="00CE7F26"/>
    <w:rsid w:val="00CF06C4"/>
    <w:rsid w:val="00CF0A8D"/>
    <w:rsid w:val="00CF1226"/>
    <w:rsid w:val="00CF16CF"/>
    <w:rsid w:val="00CF1ABB"/>
    <w:rsid w:val="00CF1E1D"/>
    <w:rsid w:val="00CF23A0"/>
    <w:rsid w:val="00CF24FE"/>
    <w:rsid w:val="00CF287F"/>
    <w:rsid w:val="00CF35D0"/>
    <w:rsid w:val="00CF3B57"/>
    <w:rsid w:val="00CF3DD5"/>
    <w:rsid w:val="00CF42D1"/>
    <w:rsid w:val="00CF441E"/>
    <w:rsid w:val="00CF481B"/>
    <w:rsid w:val="00CF4AF7"/>
    <w:rsid w:val="00CF4D20"/>
    <w:rsid w:val="00CF6295"/>
    <w:rsid w:val="00CF6507"/>
    <w:rsid w:val="00CF70C2"/>
    <w:rsid w:val="00CF73F8"/>
    <w:rsid w:val="00CF75C1"/>
    <w:rsid w:val="00CF7928"/>
    <w:rsid w:val="00CF7CA2"/>
    <w:rsid w:val="00D00471"/>
    <w:rsid w:val="00D00684"/>
    <w:rsid w:val="00D00911"/>
    <w:rsid w:val="00D00A8E"/>
    <w:rsid w:val="00D00DE0"/>
    <w:rsid w:val="00D00F79"/>
    <w:rsid w:val="00D012BF"/>
    <w:rsid w:val="00D01760"/>
    <w:rsid w:val="00D02380"/>
    <w:rsid w:val="00D030BD"/>
    <w:rsid w:val="00D0368E"/>
    <w:rsid w:val="00D0393E"/>
    <w:rsid w:val="00D03AC3"/>
    <w:rsid w:val="00D03D2D"/>
    <w:rsid w:val="00D03E7B"/>
    <w:rsid w:val="00D0401A"/>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1060D"/>
    <w:rsid w:val="00D10E7C"/>
    <w:rsid w:val="00D10EE5"/>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B7"/>
    <w:rsid w:val="00D223E8"/>
    <w:rsid w:val="00D224E1"/>
    <w:rsid w:val="00D227ED"/>
    <w:rsid w:val="00D22DC8"/>
    <w:rsid w:val="00D22F86"/>
    <w:rsid w:val="00D24626"/>
    <w:rsid w:val="00D2477B"/>
    <w:rsid w:val="00D247F4"/>
    <w:rsid w:val="00D24BBC"/>
    <w:rsid w:val="00D24FE1"/>
    <w:rsid w:val="00D2522A"/>
    <w:rsid w:val="00D2531C"/>
    <w:rsid w:val="00D2553E"/>
    <w:rsid w:val="00D25CFA"/>
    <w:rsid w:val="00D25F7C"/>
    <w:rsid w:val="00D26853"/>
    <w:rsid w:val="00D2737C"/>
    <w:rsid w:val="00D2742F"/>
    <w:rsid w:val="00D2754F"/>
    <w:rsid w:val="00D277C5"/>
    <w:rsid w:val="00D279D9"/>
    <w:rsid w:val="00D30596"/>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49D"/>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50113"/>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0DD"/>
    <w:rsid w:val="00D6276C"/>
    <w:rsid w:val="00D62BE6"/>
    <w:rsid w:val="00D63766"/>
    <w:rsid w:val="00D63912"/>
    <w:rsid w:val="00D63923"/>
    <w:rsid w:val="00D6451B"/>
    <w:rsid w:val="00D64B57"/>
    <w:rsid w:val="00D651A1"/>
    <w:rsid w:val="00D658FC"/>
    <w:rsid w:val="00D65DEA"/>
    <w:rsid w:val="00D66579"/>
    <w:rsid w:val="00D672E1"/>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0CD"/>
    <w:rsid w:val="00D73249"/>
    <w:rsid w:val="00D73419"/>
    <w:rsid w:val="00D73CA9"/>
    <w:rsid w:val="00D74DB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34D"/>
    <w:rsid w:val="00D82B57"/>
    <w:rsid w:val="00D82CE5"/>
    <w:rsid w:val="00D830CF"/>
    <w:rsid w:val="00D8318E"/>
    <w:rsid w:val="00D831E3"/>
    <w:rsid w:val="00D8342C"/>
    <w:rsid w:val="00D852EE"/>
    <w:rsid w:val="00D85494"/>
    <w:rsid w:val="00D85501"/>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DFB"/>
    <w:rsid w:val="00D95E03"/>
    <w:rsid w:val="00D95E70"/>
    <w:rsid w:val="00D962C1"/>
    <w:rsid w:val="00D96594"/>
    <w:rsid w:val="00D967CB"/>
    <w:rsid w:val="00D968D4"/>
    <w:rsid w:val="00D96EE0"/>
    <w:rsid w:val="00D97871"/>
    <w:rsid w:val="00D97ACE"/>
    <w:rsid w:val="00D97BD1"/>
    <w:rsid w:val="00D97D05"/>
    <w:rsid w:val="00D97DAD"/>
    <w:rsid w:val="00DA06B8"/>
    <w:rsid w:val="00DA14A9"/>
    <w:rsid w:val="00DA2164"/>
    <w:rsid w:val="00DA2471"/>
    <w:rsid w:val="00DA2616"/>
    <w:rsid w:val="00DA2862"/>
    <w:rsid w:val="00DA286D"/>
    <w:rsid w:val="00DA2969"/>
    <w:rsid w:val="00DA29B7"/>
    <w:rsid w:val="00DA337C"/>
    <w:rsid w:val="00DA385C"/>
    <w:rsid w:val="00DA39B1"/>
    <w:rsid w:val="00DA4842"/>
    <w:rsid w:val="00DA4F7B"/>
    <w:rsid w:val="00DA5989"/>
    <w:rsid w:val="00DA5AB1"/>
    <w:rsid w:val="00DA5F94"/>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5CA4"/>
    <w:rsid w:val="00DB629E"/>
    <w:rsid w:val="00DB6381"/>
    <w:rsid w:val="00DB6A01"/>
    <w:rsid w:val="00DB6E46"/>
    <w:rsid w:val="00DB7117"/>
    <w:rsid w:val="00DB7484"/>
    <w:rsid w:val="00DB7760"/>
    <w:rsid w:val="00DB7DD4"/>
    <w:rsid w:val="00DC00B4"/>
    <w:rsid w:val="00DC0954"/>
    <w:rsid w:val="00DC0DF8"/>
    <w:rsid w:val="00DC15BA"/>
    <w:rsid w:val="00DC17C0"/>
    <w:rsid w:val="00DC18CD"/>
    <w:rsid w:val="00DC1A68"/>
    <w:rsid w:val="00DC1E82"/>
    <w:rsid w:val="00DC29F6"/>
    <w:rsid w:val="00DC30B8"/>
    <w:rsid w:val="00DC3786"/>
    <w:rsid w:val="00DC3EAB"/>
    <w:rsid w:val="00DC3FCF"/>
    <w:rsid w:val="00DC478F"/>
    <w:rsid w:val="00DC537E"/>
    <w:rsid w:val="00DC62E5"/>
    <w:rsid w:val="00DC669F"/>
    <w:rsid w:val="00DC6A2B"/>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095E"/>
    <w:rsid w:val="00DE1410"/>
    <w:rsid w:val="00DE14A6"/>
    <w:rsid w:val="00DE20C6"/>
    <w:rsid w:val="00DE3119"/>
    <w:rsid w:val="00DE3E3B"/>
    <w:rsid w:val="00DE3FB3"/>
    <w:rsid w:val="00DE3FF0"/>
    <w:rsid w:val="00DE40B0"/>
    <w:rsid w:val="00DE4105"/>
    <w:rsid w:val="00DE41C4"/>
    <w:rsid w:val="00DE5189"/>
    <w:rsid w:val="00DE7108"/>
    <w:rsid w:val="00DE73C5"/>
    <w:rsid w:val="00DE78D1"/>
    <w:rsid w:val="00DE78FF"/>
    <w:rsid w:val="00DF0263"/>
    <w:rsid w:val="00DF084C"/>
    <w:rsid w:val="00DF0D9C"/>
    <w:rsid w:val="00DF0EB4"/>
    <w:rsid w:val="00DF158B"/>
    <w:rsid w:val="00DF193C"/>
    <w:rsid w:val="00DF1D63"/>
    <w:rsid w:val="00DF1E36"/>
    <w:rsid w:val="00DF236B"/>
    <w:rsid w:val="00DF2919"/>
    <w:rsid w:val="00DF2A91"/>
    <w:rsid w:val="00DF3889"/>
    <w:rsid w:val="00DF39E3"/>
    <w:rsid w:val="00DF3CC9"/>
    <w:rsid w:val="00DF3F66"/>
    <w:rsid w:val="00DF4021"/>
    <w:rsid w:val="00DF4436"/>
    <w:rsid w:val="00DF4451"/>
    <w:rsid w:val="00DF49FF"/>
    <w:rsid w:val="00DF4FFB"/>
    <w:rsid w:val="00DF5015"/>
    <w:rsid w:val="00DF5236"/>
    <w:rsid w:val="00DF5508"/>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DD9"/>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393E"/>
    <w:rsid w:val="00E1397F"/>
    <w:rsid w:val="00E13AB8"/>
    <w:rsid w:val="00E1482E"/>
    <w:rsid w:val="00E14B0F"/>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2B1"/>
    <w:rsid w:val="00E275D9"/>
    <w:rsid w:val="00E27720"/>
    <w:rsid w:val="00E27801"/>
    <w:rsid w:val="00E27802"/>
    <w:rsid w:val="00E27988"/>
    <w:rsid w:val="00E3044A"/>
    <w:rsid w:val="00E30E49"/>
    <w:rsid w:val="00E314A5"/>
    <w:rsid w:val="00E3174A"/>
    <w:rsid w:val="00E31A4A"/>
    <w:rsid w:val="00E31B8B"/>
    <w:rsid w:val="00E3223E"/>
    <w:rsid w:val="00E32AE4"/>
    <w:rsid w:val="00E3344A"/>
    <w:rsid w:val="00E33B29"/>
    <w:rsid w:val="00E33B62"/>
    <w:rsid w:val="00E3403D"/>
    <w:rsid w:val="00E344BD"/>
    <w:rsid w:val="00E34964"/>
    <w:rsid w:val="00E34E6C"/>
    <w:rsid w:val="00E353E2"/>
    <w:rsid w:val="00E36345"/>
    <w:rsid w:val="00E368BD"/>
    <w:rsid w:val="00E36C86"/>
    <w:rsid w:val="00E36CEB"/>
    <w:rsid w:val="00E36D6F"/>
    <w:rsid w:val="00E37387"/>
    <w:rsid w:val="00E37595"/>
    <w:rsid w:val="00E37A28"/>
    <w:rsid w:val="00E40430"/>
    <w:rsid w:val="00E40690"/>
    <w:rsid w:val="00E40AEB"/>
    <w:rsid w:val="00E40B4D"/>
    <w:rsid w:val="00E410AD"/>
    <w:rsid w:val="00E4143A"/>
    <w:rsid w:val="00E424C8"/>
    <w:rsid w:val="00E4251D"/>
    <w:rsid w:val="00E43D00"/>
    <w:rsid w:val="00E443B4"/>
    <w:rsid w:val="00E445E4"/>
    <w:rsid w:val="00E457CB"/>
    <w:rsid w:val="00E45D47"/>
    <w:rsid w:val="00E45D70"/>
    <w:rsid w:val="00E45DE4"/>
    <w:rsid w:val="00E45E63"/>
    <w:rsid w:val="00E462F0"/>
    <w:rsid w:val="00E466F8"/>
    <w:rsid w:val="00E46BBC"/>
    <w:rsid w:val="00E4759C"/>
    <w:rsid w:val="00E50A7B"/>
    <w:rsid w:val="00E50B0B"/>
    <w:rsid w:val="00E510FE"/>
    <w:rsid w:val="00E51129"/>
    <w:rsid w:val="00E516C7"/>
    <w:rsid w:val="00E51E25"/>
    <w:rsid w:val="00E5205B"/>
    <w:rsid w:val="00E521AE"/>
    <w:rsid w:val="00E52212"/>
    <w:rsid w:val="00E52639"/>
    <w:rsid w:val="00E529A3"/>
    <w:rsid w:val="00E52CE7"/>
    <w:rsid w:val="00E5375E"/>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304"/>
    <w:rsid w:val="00E6453E"/>
    <w:rsid w:val="00E64700"/>
    <w:rsid w:val="00E64854"/>
    <w:rsid w:val="00E65074"/>
    <w:rsid w:val="00E6526E"/>
    <w:rsid w:val="00E654CD"/>
    <w:rsid w:val="00E65E70"/>
    <w:rsid w:val="00E66087"/>
    <w:rsid w:val="00E66A24"/>
    <w:rsid w:val="00E66D79"/>
    <w:rsid w:val="00E66FF9"/>
    <w:rsid w:val="00E6706F"/>
    <w:rsid w:val="00E67587"/>
    <w:rsid w:val="00E67856"/>
    <w:rsid w:val="00E679C8"/>
    <w:rsid w:val="00E701D9"/>
    <w:rsid w:val="00E70314"/>
    <w:rsid w:val="00E724E7"/>
    <w:rsid w:val="00E72B41"/>
    <w:rsid w:val="00E7336C"/>
    <w:rsid w:val="00E7347B"/>
    <w:rsid w:val="00E73792"/>
    <w:rsid w:val="00E73B62"/>
    <w:rsid w:val="00E73D03"/>
    <w:rsid w:val="00E74040"/>
    <w:rsid w:val="00E7471C"/>
    <w:rsid w:val="00E7498A"/>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754"/>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BE9"/>
    <w:rsid w:val="00E92E62"/>
    <w:rsid w:val="00E93804"/>
    <w:rsid w:val="00E9429D"/>
    <w:rsid w:val="00E94F0F"/>
    <w:rsid w:val="00E95434"/>
    <w:rsid w:val="00E96315"/>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227B"/>
    <w:rsid w:val="00EB2D83"/>
    <w:rsid w:val="00EB2E97"/>
    <w:rsid w:val="00EB3416"/>
    <w:rsid w:val="00EB48E9"/>
    <w:rsid w:val="00EB4AE1"/>
    <w:rsid w:val="00EB52F4"/>
    <w:rsid w:val="00EB53B9"/>
    <w:rsid w:val="00EB5694"/>
    <w:rsid w:val="00EB5779"/>
    <w:rsid w:val="00EB5D2F"/>
    <w:rsid w:val="00EB66C3"/>
    <w:rsid w:val="00EB67F1"/>
    <w:rsid w:val="00EB72CD"/>
    <w:rsid w:val="00EB749A"/>
    <w:rsid w:val="00EB76B6"/>
    <w:rsid w:val="00EB7D8A"/>
    <w:rsid w:val="00EC05E2"/>
    <w:rsid w:val="00EC08AC"/>
    <w:rsid w:val="00EC09AB"/>
    <w:rsid w:val="00EC0B18"/>
    <w:rsid w:val="00EC0E84"/>
    <w:rsid w:val="00EC16E2"/>
    <w:rsid w:val="00EC1BA3"/>
    <w:rsid w:val="00EC1CE7"/>
    <w:rsid w:val="00EC26F1"/>
    <w:rsid w:val="00EC2989"/>
    <w:rsid w:val="00EC3135"/>
    <w:rsid w:val="00EC3BC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173"/>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6FDE"/>
    <w:rsid w:val="00ED7177"/>
    <w:rsid w:val="00ED72E9"/>
    <w:rsid w:val="00ED732E"/>
    <w:rsid w:val="00ED77F0"/>
    <w:rsid w:val="00ED7C60"/>
    <w:rsid w:val="00ED7FBC"/>
    <w:rsid w:val="00EE0253"/>
    <w:rsid w:val="00EE0297"/>
    <w:rsid w:val="00EE0915"/>
    <w:rsid w:val="00EE1258"/>
    <w:rsid w:val="00EE13DA"/>
    <w:rsid w:val="00EE1668"/>
    <w:rsid w:val="00EE1EDB"/>
    <w:rsid w:val="00EE2255"/>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680"/>
    <w:rsid w:val="00F02744"/>
    <w:rsid w:val="00F02BFD"/>
    <w:rsid w:val="00F02D25"/>
    <w:rsid w:val="00F03C3D"/>
    <w:rsid w:val="00F0435D"/>
    <w:rsid w:val="00F04580"/>
    <w:rsid w:val="00F04888"/>
    <w:rsid w:val="00F04A37"/>
    <w:rsid w:val="00F04C44"/>
    <w:rsid w:val="00F04ECA"/>
    <w:rsid w:val="00F04F8B"/>
    <w:rsid w:val="00F05724"/>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1EE5"/>
    <w:rsid w:val="00F12256"/>
    <w:rsid w:val="00F12262"/>
    <w:rsid w:val="00F12564"/>
    <w:rsid w:val="00F12AF8"/>
    <w:rsid w:val="00F12C52"/>
    <w:rsid w:val="00F13E62"/>
    <w:rsid w:val="00F148B7"/>
    <w:rsid w:val="00F14943"/>
    <w:rsid w:val="00F14EA9"/>
    <w:rsid w:val="00F15505"/>
    <w:rsid w:val="00F15BFF"/>
    <w:rsid w:val="00F168A8"/>
    <w:rsid w:val="00F16D7C"/>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70C"/>
    <w:rsid w:val="00F363A4"/>
    <w:rsid w:val="00F36765"/>
    <w:rsid w:val="00F368FF"/>
    <w:rsid w:val="00F36A09"/>
    <w:rsid w:val="00F37068"/>
    <w:rsid w:val="00F378A2"/>
    <w:rsid w:val="00F37D3C"/>
    <w:rsid w:val="00F37DDE"/>
    <w:rsid w:val="00F37E5F"/>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069"/>
    <w:rsid w:val="00F451D4"/>
    <w:rsid w:val="00F45921"/>
    <w:rsid w:val="00F45B14"/>
    <w:rsid w:val="00F45B91"/>
    <w:rsid w:val="00F45E78"/>
    <w:rsid w:val="00F46639"/>
    <w:rsid w:val="00F46DBB"/>
    <w:rsid w:val="00F46EC3"/>
    <w:rsid w:val="00F476FD"/>
    <w:rsid w:val="00F47716"/>
    <w:rsid w:val="00F50183"/>
    <w:rsid w:val="00F50D92"/>
    <w:rsid w:val="00F5160A"/>
    <w:rsid w:val="00F51765"/>
    <w:rsid w:val="00F51A51"/>
    <w:rsid w:val="00F51BC6"/>
    <w:rsid w:val="00F51CB4"/>
    <w:rsid w:val="00F52236"/>
    <w:rsid w:val="00F52324"/>
    <w:rsid w:val="00F52950"/>
    <w:rsid w:val="00F52C9D"/>
    <w:rsid w:val="00F533F1"/>
    <w:rsid w:val="00F53A40"/>
    <w:rsid w:val="00F5417E"/>
    <w:rsid w:val="00F55679"/>
    <w:rsid w:val="00F56091"/>
    <w:rsid w:val="00F561E3"/>
    <w:rsid w:val="00F565E6"/>
    <w:rsid w:val="00F56AFA"/>
    <w:rsid w:val="00F56FEA"/>
    <w:rsid w:val="00F56FFA"/>
    <w:rsid w:val="00F575E2"/>
    <w:rsid w:val="00F579FF"/>
    <w:rsid w:val="00F600E0"/>
    <w:rsid w:val="00F605EC"/>
    <w:rsid w:val="00F60A75"/>
    <w:rsid w:val="00F60F60"/>
    <w:rsid w:val="00F612CE"/>
    <w:rsid w:val="00F6133C"/>
    <w:rsid w:val="00F623D7"/>
    <w:rsid w:val="00F624A7"/>
    <w:rsid w:val="00F62AB6"/>
    <w:rsid w:val="00F63CAC"/>
    <w:rsid w:val="00F64933"/>
    <w:rsid w:val="00F64DBA"/>
    <w:rsid w:val="00F65A3C"/>
    <w:rsid w:val="00F65CF6"/>
    <w:rsid w:val="00F65D0E"/>
    <w:rsid w:val="00F66282"/>
    <w:rsid w:val="00F6639E"/>
    <w:rsid w:val="00F670E9"/>
    <w:rsid w:val="00F6792A"/>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6C11"/>
    <w:rsid w:val="00F77021"/>
    <w:rsid w:val="00F7724A"/>
    <w:rsid w:val="00F77E61"/>
    <w:rsid w:val="00F77E9A"/>
    <w:rsid w:val="00F80221"/>
    <w:rsid w:val="00F8037F"/>
    <w:rsid w:val="00F80C81"/>
    <w:rsid w:val="00F81229"/>
    <w:rsid w:val="00F81265"/>
    <w:rsid w:val="00F815AC"/>
    <w:rsid w:val="00F8187D"/>
    <w:rsid w:val="00F82784"/>
    <w:rsid w:val="00F82912"/>
    <w:rsid w:val="00F83A43"/>
    <w:rsid w:val="00F83B33"/>
    <w:rsid w:val="00F83CAE"/>
    <w:rsid w:val="00F840BF"/>
    <w:rsid w:val="00F8427A"/>
    <w:rsid w:val="00F843DF"/>
    <w:rsid w:val="00F84899"/>
    <w:rsid w:val="00F85585"/>
    <w:rsid w:val="00F8570C"/>
    <w:rsid w:val="00F859F0"/>
    <w:rsid w:val="00F85CC1"/>
    <w:rsid w:val="00F85F51"/>
    <w:rsid w:val="00F8661E"/>
    <w:rsid w:val="00F86B5D"/>
    <w:rsid w:val="00F86BC0"/>
    <w:rsid w:val="00F875E1"/>
    <w:rsid w:val="00F87634"/>
    <w:rsid w:val="00F87C13"/>
    <w:rsid w:val="00F87C5A"/>
    <w:rsid w:val="00F87E29"/>
    <w:rsid w:val="00F87F18"/>
    <w:rsid w:val="00F87F68"/>
    <w:rsid w:val="00F90178"/>
    <w:rsid w:val="00F90C4D"/>
    <w:rsid w:val="00F9167D"/>
    <w:rsid w:val="00F917AC"/>
    <w:rsid w:val="00F91CB2"/>
    <w:rsid w:val="00F91E38"/>
    <w:rsid w:val="00F9232A"/>
    <w:rsid w:val="00F927E8"/>
    <w:rsid w:val="00F9289C"/>
    <w:rsid w:val="00F9374A"/>
    <w:rsid w:val="00F9375C"/>
    <w:rsid w:val="00F93973"/>
    <w:rsid w:val="00F93DBC"/>
    <w:rsid w:val="00F93E41"/>
    <w:rsid w:val="00F93F18"/>
    <w:rsid w:val="00F94046"/>
    <w:rsid w:val="00F94206"/>
    <w:rsid w:val="00F94644"/>
    <w:rsid w:val="00F952E4"/>
    <w:rsid w:val="00F9537B"/>
    <w:rsid w:val="00F9576A"/>
    <w:rsid w:val="00F963FC"/>
    <w:rsid w:val="00F97CF1"/>
    <w:rsid w:val="00F97DC9"/>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A7C5F"/>
    <w:rsid w:val="00FA7C8E"/>
    <w:rsid w:val="00FA7C9A"/>
    <w:rsid w:val="00FB033F"/>
    <w:rsid w:val="00FB04B3"/>
    <w:rsid w:val="00FB12E3"/>
    <w:rsid w:val="00FB1570"/>
    <w:rsid w:val="00FB193B"/>
    <w:rsid w:val="00FB1FBC"/>
    <w:rsid w:val="00FB27B7"/>
    <w:rsid w:val="00FB28F1"/>
    <w:rsid w:val="00FB35E3"/>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B7D3D"/>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ADA"/>
    <w:rsid w:val="00FC7BE7"/>
    <w:rsid w:val="00FC7D25"/>
    <w:rsid w:val="00FC7DAC"/>
    <w:rsid w:val="00FD005D"/>
    <w:rsid w:val="00FD023A"/>
    <w:rsid w:val="00FD0360"/>
    <w:rsid w:val="00FD04AE"/>
    <w:rsid w:val="00FD0DFA"/>
    <w:rsid w:val="00FD128D"/>
    <w:rsid w:val="00FD1890"/>
    <w:rsid w:val="00FD1994"/>
    <w:rsid w:val="00FD1E2E"/>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141E"/>
    <w:rsid w:val="00FE144E"/>
    <w:rsid w:val="00FE1768"/>
    <w:rsid w:val="00FE24F4"/>
    <w:rsid w:val="00FE2560"/>
    <w:rsid w:val="00FE29AD"/>
    <w:rsid w:val="00FE35D0"/>
    <w:rsid w:val="00FE42ED"/>
    <w:rsid w:val="00FE4E06"/>
    <w:rsid w:val="00FE55A7"/>
    <w:rsid w:val="00FE5C5A"/>
    <w:rsid w:val="00FE6432"/>
    <w:rsid w:val="00FE655D"/>
    <w:rsid w:val="00FE66E4"/>
    <w:rsid w:val="00FE72A0"/>
    <w:rsid w:val="00FE76F7"/>
    <w:rsid w:val="00FE76F9"/>
    <w:rsid w:val="00FF0050"/>
    <w:rsid w:val="00FF0075"/>
    <w:rsid w:val="00FF045F"/>
    <w:rsid w:val="00FF0FA2"/>
    <w:rsid w:val="00FF13D4"/>
    <w:rsid w:val="00FF1D1B"/>
    <w:rsid w:val="00FF2053"/>
    <w:rsid w:val="00FF38ED"/>
    <w:rsid w:val="00FF3B37"/>
    <w:rsid w:val="00FF3C0B"/>
    <w:rsid w:val="00FF3CC7"/>
    <w:rsid w:val="00FF3D6F"/>
    <w:rsid w:val="00FF4489"/>
    <w:rsid w:val="00FF47A2"/>
    <w:rsid w:val="00FF4BD8"/>
    <w:rsid w:val="00FF4D11"/>
    <w:rsid w:val="00FF5214"/>
    <w:rsid w:val="00FF596E"/>
    <w:rsid w:val="00FF5B59"/>
    <w:rsid w:val="00FF5BFD"/>
    <w:rsid w:val="00FF6095"/>
    <w:rsid w:val="00FF62FE"/>
    <w:rsid w:val="00FF6553"/>
    <w:rsid w:val="00FF7086"/>
    <w:rsid w:val="00FF7A39"/>
    <w:rsid w:val="0B9FEC3B"/>
    <w:rsid w:val="6163D46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90AF5"/>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 w:type="paragraph" w:styleId="Cuadrculamedia1-nfasis21" w:customStyle="1">
    <w:name w:val="Cuadrícula media 1 - Énfasis 21"/>
    <w:basedOn w:val="Normal"/>
    <w:uiPriority w:val="34"/>
    <w:qFormat/>
    <w:rsid w:val="003F155A"/>
    <w:pPr>
      <w:spacing w:after="160" w:line="259" w:lineRule="auto"/>
      <w:ind w:left="720"/>
      <w:contextualSpacing/>
    </w:pPr>
    <w:rPr>
      <w:rFonts w:ascii="Calibri" w:hAnsi="Calibri" w:eastAsia="Calibri"/>
      <w:sz w:val="22"/>
      <w:szCs w:val="22"/>
      <w:lang w:eastAsia="en-US"/>
    </w:rPr>
  </w:style>
  <w:style w:type="paragraph" w:styleId="Normal11pt" w:customStyle="1">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conformatoprevioCar" w:customStyle="1">
    <w:name w:val="HTML con formato previo Car"/>
    <w:basedOn w:val="Fuentedeprrafopredeter"/>
    <w:link w:val="HTMLconformatoprevio"/>
    <w:uiPriority w:val="99"/>
    <w:semiHidden/>
    <w:rsid w:val="006F64B5"/>
    <w:rPr>
      <w:rFonts w:ascii="Courier New" w:hAnsi="Courier New" w:eastAsia="Times New Roman" w:cs="Courier New"/>
      <w:sz w:val="20"/>
      <w:szCs w:val="20"/>
      <w:lang w:eastAsia="es-ES_tradnl"/>
    </w:rPr>
  </w:style>
  <w:style w:type="character" w:styleId="Refdenotaalfinal">
    <w:name w:val="endnote reference"/>
    <w:basedOn w:val="Fuentedeprrafopredeter"/>
    <w:uiPriority w:val="99"/>
    <w:semiHidden/>
    <w:unhideWhenUsed/>
    <w:rsid w:val="004912B3"/>
    <w:rPr>
      <w:vertAlign w:val="superscript"/>
    </w:rPr>
  </w:style>
  <w:style w:type="paragraph" w:styleId="Revisin">
    <w:name w:val="Revision"/>
    <w:hidden/>
    <w:uiPriority w:val="99"/>
    <w:semiHidden/>
    <w:rsid w:val="006D165A"/>
    <w:pPr>
      <w:spacing w:after="0" w:line="240" w:lineRule="auto"/>
    </w:pPr>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27319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2083250">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2305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532772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2951409">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569300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2743152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02724">
      <w:bodyDiv w:val="1"/>
      <w:marLeft w:val="0"/>
      <w:marRight w:val="0"/>
      <w:marTop w:val="0"/>
      <w:marBottom w:val="0"/>
      <w:divBdr>
        <w:top w:val="none" w:sz="0" w:space="0" w:color="auto"/>
        <w:left w:val="none" w:sz="0" w:space="0" w:color="auto"/>
        <w:bottom w:val="none" w:sz="0" w:space="0" w:color="auto"/>
        <w:right w:val="none" w:sz="0" w:space="0" w:color="auto"/>
      </w:divBdr>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604105">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49612195">
      <w:bodyDiv w:val="1"/>
      <w:marLeft w:val="0"/>
      <w:marRight w:val="0"/>
      <w:marTop w:val="0"/>
      <w:marBottom w:val="0"/>
      <w:divBdr>
        <w:top w:val="none" w:sz="0" w:space="0" w:color="auto"/>
        <w:left w:val="none" w:sz="0" w:space="0" w:color="auto"/>
        <w:bottom w:val="none" w:sz="0" w:space="0" w:color="auto"/>
        <w:right w:val="none" w:sz="0" w:space="0" w:color="auto"/>
      </w:divBdr>
      <w:divsChild>
        <w:div w:id="769012334">
          <w:marLeft w:val="0"/>
          <w:marRight w:val="0"/>
          <w:marTop w:val="0"/>
          <w:marBottom w:val="0"/>
          <w:divBdr>
            <w:top w:val="none" w:sz="0" w:space="0" w:color="auto"/>
            <w:left w:val="none" w:sz="0" w:space="0" w:color="auto"/>
            <w:bottom w:val="none" w:sz="0" w:space="0" w:color="auto"/>
            <w:right w:val="none" w:sz="0" w:space="0" w:color="auto"/>
          </w:divBdr>
          <w:divsChild>
            <w:div w:id="553351835">
              <w:marLeft w:val="0"/>
              <w:marRight w:val="0"/>
              <w:marTop w:val="0"/>
              <w:marBottom w:val="0"/>
              <w:divBdr>
                <w:top w:val="none" w:sz="0" w:space="0" w:color="auto"/>
                <w:left w:val="none" w:sz="0" w:space="0" w:color="auto"/>
                <w:bottom w:val="none" w:sz="0" w:space="0" w:color="auto"/>
                <w:right w:val="none" w:sz="0" w:space="0" w:color="auto"/>
              </w:divBdr>
              <w:divsChild>
                <w:div w:id="1933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130673">
          <w:marLeft w:val="0"/>
          <w:marRight w:val="0"/>
          <w:marTop w:val="0"/>
          <w:marBottom w:val="0"/>
          <w:divBdr>
            <w:top w:val="none" w:sz="0" w:space="0" w:color="auto"/>
            <w:left w:val="none" w:sz="0" w:space="0" w:color="auto"/>
            <w:bottom w:val="none" w:sz="0" w:space="0" w:color="auto"/>
            <w:right w:val="none" w:sz="0" w:space="0" w:color="auto"/>
          </w:divBdr>
          <w:divsChild>
            <w:div w:id="909005811">
              <w:marLeft w:val="0"/>
              <w:marRight w:val="0"/>
              <w:marTop w:val="0"/>
              <w:marBottom w:val="0"/>
              <w:divBdr>
                <w:top w:val="none" w:sz="0" w:space="0" w:color="auto"/>
                <w:left w:val="none" w:sz="0" w:space="0" w:color="auto"/>
                <w:bottom w:val="none" w:sz="0" w:space="0" w:color="auto"/>
                <w:right w:val="none" w:sz="0" w:space="0" w:color="auto"/>
              </w:divBdr>
              <w:divsChild>
                <w:div w:id="10293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08174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6538989">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4380757">
      <w:bodyDiv w:val="1"/>
      <w:marLeft w:val="0"/>
      <w:marRight w:val="0"/>
      <w:marTop w:val="0"/>
      <w:marBottom w:val="0"/>
      <w:divBdr>
        <w:top w:val="none" w:sz="0" w:space="0" w:color="auto"/>
        <w:left w:val="none" w:sz="0" w:space="0" w:color="auto"/>
        <w:bottom w:val="none" w:sz="0" w:space="0" w:color="auto"/>
        <w:right w:val="none" w:sz="0" w:space="0" w:color="auto"/>
      </w:divBdr>
      <w:divsChild>
        <w:div w:id="1773741020">
          <w:marLeft w:val="0"/>
          <w:marRight w:val="0"/>
          <w:marTop w:val="0"/>
          <w:marBottom w:val="0"/>
          <w:divBdr>
            <w:top w:val="none" w:sz="0" w:space="0" w:color="auto"/>
            <w:left w:val="none" w:sz="0" w:space="0" w:color="auto"/>
            <w:bottom w:val="none" w:sz="0" w:space="0" w:color="auto"/>
            <w:right w:val="none" w:sz="0" w:space="0" w:color="auto"/>
          </w:divBdr>
        </w:div>
      </w:divsChild>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4163111">
      <w:bodyDiv w:val="1"/>
      <w:marLeft w:val="0"/>
      <w:marRight w:val="0"/>
      <w:marTop w:val="0"/>
      <w:marBottom w:val="0"/>
      <w:divBdr>
        <w:top w:val="none" w:sz="0" w:space="0" w:color="auto"/>
        <w:left w:val="none" w:sz="0" w:space="0" w:color="auto"/>
        <w:bottom w:val="none" w:sz="0" w:space="0" w:color="auto"/>
        <w:right w:val="none" w:sz="0" w:space="0" w:color="auto"/>
      </w:divBdr>
      <w:divsChild>
        <w:div w:id="442268762">
          <w:marLeft w:val="0"/>
          <w:marRight w:val="0"/>
          <w:marTop w:val="0"/>
          <w:marBottom w:val="0"/>
          <w:divBdr>
            <w:top w:val="none" w:sz="0" w:space="0" w:color="auto"/>
            <w:left w:val="none" w:sz="0" w:space="0" w:color="auto"/>
            <w:bottom w:val="none" w:sz="0" w:space="0" w:color="auto"/>
            <w:right w:val="none" w:sz="0" w:space="0" w:color="auto"/>
          </w:divBdr>
          <w:divsChild>
            <w:div w:id="249394915">
              <w:marLeft w:val="0"/>
              <w:marRight w:val="0"/>
              <w:marTop w:val="0"/>
              <w:marBottom w:val="0"/>
              <w:divBdr>
                <w:top w:val="none" w:sz="0" w:space="0" w:color="auto"/>
                <w:left w:val="none" w:sz="0" w:space="0" w:color="auto"/>
                <w:bottom w:val="none" w:sz="0" w:space="0" w:color="auto"/>
                <w:right w:val="none" w:sz="0" w:space="0" w:color="auto"/>
              </w:divBdr>
              <w:divsChild>
                <w:div w:id="6763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2429496">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5477556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5009050">
      <w:bodyDiv w:val="1"/>
      <w:marLeft w:val="0"/>
      <w:marRight w:val="0"/>
      <w:marTop w:val="0"/>
      <w:marBottom w:val="0"/>
      <w:divBdr>
        <w:top w:val="none" w:sz="0" w:space="0" w:color="auto"/>
        <w:left w:val="none" w:sz="0" w:space="0" w:color="auto"/>
        <w:bottom w:val="none" w:sz="0" w:space="0" w:color="auto"/>
        <w:right w:val="none" w:sz="0" w:space="0" w:color="auto"/>
      </w:divBdr>
      <w:divsChild>
        <w:div w:id="391272046">
          <w:marLeft w:val="0"/>
          <w:marRight w:val="0"/>
          <w:marTop w:val="0"/>
          <w:marBottom w:val="0"/>
          <w:divBdr>
            <w:top w:val="none" w:sz="0" w:space="0" w:color="auto"/>
            <w:left w:val="none" w:sz="0" w:space="0" w:color="auto"/>
            <w:bottom w:val="none" w:sz="0" w:space="0" w:color="auto"/>
            <w:right w:val="none" w:sz="0" w:space="0" w:color="auto"/>
          </w:divBdr>
          <w:divsChild>
            <w:div w:id="28797870">
              <w:marLeft w:val="0"/>
              <w:marRight w:val="0"/>
              <w:marTop w:val="0"/>
              <w:marBottom w:val="0"/>
              <w:divBdr>
                <w:top w:val="none" w:sz="0" w:space="0" w:color="auto"/>
                <w:left w:val="none" w:sz="0" w:space="0" w:color="auto"/>
                <w:bottom w:val="none" w:sz="0" w:space="0" w:color="auto"/>
                <w:right w:val="none" w:sz="0" w:space="0" w:color="auto"/>
              </w:divBdr>
              <w:divsChild>
                <w:div w:id="9305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8771283">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3070907">
      <w:bodyDiv w:val="1"/>
      <w:marLeft w:val="0"/>
      <w:marRight w:val="0"/>
      <w:marTop w:val="0"/>
      <w:marBottom w:val="0"/>
      <w:divBdr>
        <w:top w:val="none" w:sz="0" w:space="0" w:color="auto"/>
        <w:left w:val="none" w:sz="0" w:space="0" w:color="auto"/>
        <w:bottom w:val="none" w:sz="0" w:space="0" w:color="auto"/>
        <w:right w:val="none" w:sz="0" w:space="0" w:color="auto"/>
      </w:divBdr>
    </w:div>
    <w:div w:id="1625236667">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76146">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9071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239229">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1645719">
      <w:bodyDiv w:val="1"/>
      <w:marLeft w:val="0"/>
      <w:marRight w:val="0"/>
      <w:marTop w:val="0"/>
      <w:marBottom w:val="0"/>
      <w:divBdr>
        <w:top w:val="none" w:sz="0" w:space="0" w:color="auto"/>
        <w:left w:val="none" w:sz="0" w:space="0" w:color="auto"/>
        <w:bottom w:val="none" w:sz="0" w:space="0" w:color="auto"/>
        <w:right w:val="none" w:sz="0" w:space="0" w:color="auto"/>
      </w:divBdr>
      <w:divsChild>
        <w:div w:id="2043360423">
          <w:marLeft w:val="0"/>
          <w:marRight w:val="0"/>
          <w:marTop w:val="0"/>
          <w:marBottom w:val="0"/>
          <w:divBdr>
            <w:top w:val="none" w:sz="0" w:space="0" w:color="auto"/>
            <w:left w:val="none" w:sz="0" w:space="0" w:color="auto"/>
            <w:bottom w:val="none" w:sz="0" w:space="0" w:color="auto"/>
            <w:right w:val="none" w:sz="0" w:space="0" w:color="auto"/>
          </w:divBdr>
          <w:divsChild>
            <w:div w:id="1639845949">
              <w:marLeft w:val="0"/>
              <w:marRight w:val="0"/>
              <w:marTop w:val="0"/>
              <w:marBottom w:val="0"/>
              <w:divBdr>
                <w:top w:val="none" w:sz="0" w:space="0" w:color="auto"/>
                <w:left w:val="none" w:sz="0" w:space="0" w:color="auto"/>
                <w:bottom w:val="none" w:sz="0" w:space="0" w:color="auto"/>
                <w:right w:val="none" w:sz="0" w:space="0" w:color="auto"/>
              </w:divBdr>
              <w:divsChild>
                <w:div w:id="131472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55870">
      <w:bodyDiv w:val="1"/>
      <w:marLeft w:val="0"/>
      <w:marRight w:val="0"/>
      <w:marTop w:val="0"/>
      <w:marBottom w:val="0"/>
      <w:divBdr>
        <w:top w:val="none" w:sz="0" w:space="0" w:color="auto"/>
        <w:left w:val="none" w:sz="0" w:space="0" w:color="auto"/>
        <w:bottom w:val="none" w:sz="0" w:space="0" w:color="auto"/>
        <w:right w:val="none" w:sz="0" w:space="0" w:color="auto"/>
      </w:divBdr>
      <w:divsChild>
        <w:div w:id="214782564">
          <w:marLeft w:val="0"/>
          <w:marRight w:val="0"/>
          <w:marTop w:val="0"/>
          <w:marBottom w:val="0"/>
          <w:divBdr>
            <w:top w:val="none" w:sz="0" w:space="0" w:color="auto"/>
            <w:left w:val="none" w:sz="0" w:space="0" w:color="auto"/>
            <w:bottom w:val="none" w:sz="0" w:space="0" w:color="auto"/>
            <w:right w:val="none" w:sz="0" w:space="0" w:color="auto"/>
          </w:divBdr>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65215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6eb76d672d604362"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46AD42D-83BE-4135-9BC3-FB7134B3F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Liliana Patricia Sanguino Arenas</lastModifiedBy>
  <revision>9</revision>
  <lastPrinted>2020-01-30T15:05:00.0000000Z</lastPrinted>
  <dcterms:created xsi:type="dcterms:W3CDTF">2022-03-08T01:55:00.0000000Z</dcterms:created>
  <dcterms:modified xsi:type="dcterms:W3CDTF">2022-03-29T03:30:36.5224506Z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