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9AD9B" w14:textId="77777777" w:rsidR="007F2458" w:rsidRPr="00C429A6" w:rsidRDefault="007F2458" w:rsidP="007F2458">
      <w:pPr>
        <w:jc w:val="right"/>
        <w:rPr>
          <w:rFonts w:ascii="Arial" w:hAnsi="Arial" w:cs="Arial"/>
          <w:b/>
          <w:color w:val="000000" w:themeColor="text1"/>
          <w:sz w:val="16"/>
          <w:szCs w:val="16"/>
          <w:lang w:eastAsia="es-ES"/>
        </w:rPr>
      </w:pPr>
      <w:bookmarkStart w:id="0" w:name="_Hlk28946138"/>
      <w:bookmarkStart w:id="1" w:name="_Hlk29548183"/>
      <w:r w:rsidRPr="00C429A6">
        <w:rPr>
          <w:rFonts w:ascii="Arial" w:hAnsi="Arial" w:cs="Arial"/>
          <w:b/>
          <w:color w:val="000000" w:themeColor="text1"/>
          <w:sz w:val="16"/>
          <w:szCs w:val="16"/>
          <w:lang w:eastAsia="es-ES"/>
        </w:rPr>
        <w:tab/>
        <w:t>CCE-DES-FM-17</w:t>
      </w:r>
    </w:p>
    <w:p w14:paraId="2605E32F" w14:textId="77777777" w:rsidR="007F2458" w:rsidRPr="00FC6F24" w:rsidRDefault="007F2458" w:rsidP="007F2458">
      <w:pPr>
        <w:spacing w:line="276" w:lineRule="auto"/>
        <w:jc w:val="both"/>
        <w:rPr>
          <w:rFonts w:ascii="Arial" w:eastAsia="Calibri" w:hAnsi="Arial" w:cs="Arial"/>
          <w:b/>
          <w:color w:val="000000" w:themeColor="text1"/>
          <w:sz w:val="16"/>
          <w:szCs w:val="16"/>
        </w:rPr>
      </w:pPr>
    </w:p>
    <w:p w14:paraId="4AE94DAD" w14:textId="14723846" w:rsidR="007F2458" w:rsidRPr="0003281E" w:rsidRDefault="007F2458" w:rsidP="467D0CD7">
      <w:pPr>
        <w:jc w:val="both"/>
        <w:rPr>
          <w:rFonts w:ascii="Arial" w:eastAsia="Calibri" w:hAnsi="Arial" w:cs="Arial"/>
          <w:b/>
          <w:bCs/>
          <w:color w:val="000000" w:themeColor="text1"/>
          <w:sz w:val="22"/>
        </w:rPr>
      </w:pPr>
      <w:r w:rsidRPr="467D0CD7">
        <w:rPr>
          <w:rFonts w:ascii="Arial" w:eastAsia="Calibri" w:hAnsi="Arial" w:cs="Arial"/>
          <w:b/>
          <w:bCs/>
          <w:color w:val="000000" w:themeColor="text1"/>
          <w:sz w:val="22"/>
        </w:rPr>
        <w:t>MIPYME</w:t>
      </w:r>
      <w:r w:rsidR="70159E55" w:rsidRPr="467D0CD7">
        <w:rPr>
          <w:rFonts w:ascii="Arial" w:eastAsia="Calibri" w:hAnsi="Arial" w:cs="Arial"/>
          <w:b/>
          <w:bCs/>
          <w:color w:val="000000" w:themeColor="text1"/>
          <w:sz w:val="22"/>
        </w:rPr>
        <w:t>S</w:t>
      </w:r>
      <w:r w:rsidRPr="467D0CD7">
        <w:rPr>
          <w:rFonts w:ascii="Arial" w:eastAsia="Calibri" w:hAnsi="Arial" w:cs="Arial"/>
          <w:b/>
          <w:bCs/>
          <w:color w:val="000000" w:themeColor="text1"/>
          <w:sz w:val="22"/>
        </w:rPr>
        <w:t xml:space="preserve"> </w:t>
      </w:r>
      <w:r w:rsidR="0003281E" w:rsidRPr="467D0CD7">
        <w:rPr>
          <w:rFonts w:ascii="Arial" w:eastAsia="Calibri" w:hAnsi="Arial" w:cs="Arial"/>
          <w:b/>
          <w:bCs/>
          <w:color w:val="000000" w:themeColor="text1"/>
          <w:sz w:val="22"/>
        </w:rPr>
        <w:t>–</w:t>
      </w:r>
      <w:r w:rsidRPr="467D0CD7">
        <w:rPr>
          <w:rFonts w:ascii="Arial" w:eastAsia="Calibri" w:hAnsi="Arial" w:cs="Arial"/>
          <w:b/>
          <w:bCs/>
          <w:color w:val="000000" w:themeColor="text1"/>
          <w:sz w:val="22"/>
        </w:rPr>
        <w:t xml:space="preserve"> Noción </w:t>
      </w:r>
      <w:r w:rsidR="468A9221" w:rsidRPr="467D0CD7">
        <w:rPr>
          <w:rFonts w:ascii="Arial" w:eastAsia="Calibri" w:hAnsi="Arial" w:cs="Arial"/>
          <w:b/>
          <w:bCs/>
          <w:color w:val="000000" w:themeColor="text1"/>
          <w:sz w:val="22"/>
        </w:rPr>
        <w:t>–</w:t>
      </w:r>
      <w:r w:rsidRPr="467D0CD7">
        <w:rPr>
          <w:rFonts w:ascii="Arial" w:eastAsia="Calibri" w:hAnsi="Arial" w:cs="Arial"/>
          <w:b/>
          <w:bCs/>
          <w:color w:val="000000" w:themeColor="text1"/>
          <w:sz w:val="22"/>
        </w:rPr>
        <w:t xml:space="preserve"> </w:t>
      </w:r>
      <w:r w:rsidR="192182E6" w:rsidRPr="467D0CD7">
        <w:rPr>
          <w:rFonts w:ascii="Arial" w:eastAsia="Calibri" w:hAnsi="Arial" w:cs="Arial"/>
          <w:b/>
          <w:bCs/>
          <w:color w:val="000000" w:themeColor="text1"/>
          <w:sz w:val="22"/>
        </w:rPr>
        <w:t>A</w:t>
      </w:r>
      <w:r w:rsidRPr="467D0CD7">
        <w:rPr>
          <w:rFonts w:ascii="Arial" w:eastAsia="Calibri" w:hAnsi="Arial" w:cs="Arial"/>
          <w:b/>
          <w:bCs/>
          <w:color w:val="000000" w:themeColor="text1"/>
          <w:sz w:val="22"/>
        </w:rPr>
        <w:t>lcance</w:t>
      </w:r>
      <w:r w:rsidRPr="467D0CD7">
        <w:rPr>
          <w:rFonts w:ascii="Arial" w:eastAsia="Calibri" w:hAnsi="Arial" w:cs="Arial"/>
          <w:color w:val="000000" w:themeColor="text1"/>
          <w:sz w:val="22"/>
        </w:rPr>
        <w:t xml:space="preserve"> </w:t>
      </w:r>
    </w:p>
    <w:p w14:paraId="7355CA40" w14:textId="77777777" w:rsidR="007F2458" w:rsidRPr="0003281E" w:rsidRDefault="007F2458" w:rsidP="0003281E">
      <w:pPr>
        <w:jc w:val="both"/>
        <w:rPr>
          <w:rFonts w:ascii="Arial" w:eastAsia="Calibri" w:hAnsi="Arial" w:cs="Arial"/>
          <w:bCs/>
          <w:color w:val="000000" w:themeColor="text1"/>
          <w:sz w:val="20"/>
          <w:szCs w:val="20"/>
        </w:rPr>
      </w:pPr>
    </w:p>
    <w:p w14:paraId="4E08BC6C" w14:textId="219B3D4D" w:rsidR="00C24C36" w:rsidRDefault="00B868BC" w:rsidP="3E781966">
      <w:pPr>
        <w:spacing w:after="120"/>
        <w:jc w:val="both"/>
        <w:rPr>
          <w:rFonts w:ascii="Arial" w:eastAsia="Calibri" w:hAnsi="Arial" w:cs="Arial"/>
          <w:color w:val="000000" w:themeColor="text1"/>
          <w:sz w:val="20"/>
          <w:szCs w:val="20"/>
        </w:rPr>
      </w:pPr>
      <w:r w:rsidRPr="3E781966">
        <w:rPr>
          <w:rFonts w:ascii="Arial" w:eastAsia="Calibri" w:hAnsi="Arial" w:cs="Arial"/>
          <w:color w:val="000000" w:themeColor="text1"/>
          <w:sz w:val="20"/>
          <w:szCs w:val="20"/>
        </w:rPr>
        <w:t xml:space="preserve">[…] </w:t>
      </w:r>
      <w:r w:rsidR="0410FEE7" w:rsidRPr="3E781966">
        <w:rPr>
          <w:rFonts w:ascii="Arial" w:eastAsia="Calibri" w:hAnsi="Arial" w:cs="Arial"/>
          <w:color w:val="000000" w:themeColor="text1"/>
          <w:sz w:val="20"/>
          <w:szCs w:val="20"/>
        </w:rPr>
        <w:t>P</w:t>
      </w:r>
      <w:r w:rsidR="007F2458" w:rsidRPr="3E781966">
        <w:rPr>
          <w:rFonts w:ascii="Arial" w:eastAsia="Calibri" w:hAnsi="Arial" w:cs="Arial"/>
          <w:color w:val="000000" w:themeColor="text1"/>
          <w:sz w:val="20"/>
          <w:szCs w:val="20"/>
        </w:rPr>
        <w:t xml:space="preserve">equeña y Mediana Empresa ─Mipyme─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14:paraId="3D3CE260" w14:textId="005B6A46" w:rsidR="007F2458" w:rsidRPr="00C429A6" w:rsidRDefault="007F2458" w:rsidP="0003281E">
      <w:pPr>
        <w:jc w:val="both"/>
        <w:rPr>
          <w:rFonts w:ascii="Arial" w:eastAsia="Calibri" w:hAnsi="Arial" w:cs="Arial"/>
          <w:bCs/>
          <w:color w:val="000000" w:themeColor="text1"/>
          <w:sz w:val="20"/>
          <w:szCs w:val="20"/>
        </w:rPr>
      </w:pPr>
      <w:r w:rsidRPr="00C429A6">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63C550B8" w14:textId="77777777" w:rsidR="007F2458" w:rsidRPr="0003281E" w:rsidRDefault="007F2458" w:rsidP="0003281E">
      <w:pPr>
        <w:jc w:val="both"/>
        <w:rPr>
          <w:rFonts w:ascii="Arial" w:eastAsia="Calibri" w:hAnsi="Arial" w:cs="Arial"/>
          <w:b/>
          <w:color w:val="000000" w:themeColor="text1"/>
          <w:sz w:val="20"/>
          <w:szCs w:val="20"/>
        </w:rPr>
      </w:pPr>
    </w:p>
    <w:p w14:paraId="23B68680" w14:textId="66C000A6"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MIPYMES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Incentivos contractuales  </w:t>
      </w:r>
    </w:p>
    <w:p w14:paraId="2C52A64E" w14:textId="77777777" w:rsidR="007F2458" w:rsidRPr="0003281E" w:rsidRDefault="007F2458" w:rsidP="0003281E">
      <w:pPr>
        <w:jc w:val="both"/>
        <w:rPr>
          <w:rFonts w:ascii="Arial" w:eastAsia="Calibri" w:hAnsi="Arial" w:cs="Arial"/>
          <w:b/>
          <w:color w:val="000000" w:themeColor="text1"/>
          <w:sz w:val="20"/>
          <w:szCs w:val="20"/>
        </w:rPr>
      </w:pPr>
    </w:p>
    <w:p w14:paraId="79C2D4F3" w14:textId="77777777" w:rsidR="007F2458" w:rsidRPr="00C429A6" w:rsidRDefault="007F2458" w:rsidP="0003281E">
      <w:pPr>
        <w:jc w:val="both"/>
        <w:rPr>
          <w:rFonts w:ascii="Arial" w:hAnsi="Arial" w:cs="Arial"/>
          <w:color w:val="000000" w:themeColor="text1"/>
          <w:sz w:val="20"/>
          <w:szCs w:val="20"/>
          <w:lang w:val="es-ES"/>
        </w:rPr>
      </w:pPr>
      <w:r w:rsidRPr="00C429A6">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C429A6">
        <w:rPr>
          <w:rFonts w:ascii="Arial" w:hAnsi="Arial" w:cs="Arial"/>
          <w:color w:val="000000" w:themeColor="text1"/>
          <w:sz w:val="20"/>
          <w:szCs w:val="20"/>
        </w:rPr>
        <w:t>modificado por el artículo 32 de la Ley 1450 de 2011─,</w:t>
      </w:r>
      <w:r w:rsidRPr="00C429A6">
        <w:rPr>
          <w:rFonts w:ascii="Arial" w:hAnsi="Arial" w:cs="Arial"/>
          <w:color w:val="000000" w:themeColor="text1"/>
          <w:sz w:val="20"/>
          <w:szCs w:val="20"/>
          <w:lang w:val="es-ES"/>
        </w:rPr>
        <w:t xml:space="preserve"> adoptando medidas para incentivar la contratación pública, dentro de las que se pueden resaltar la «limitación territorial» a Mipymes y las «convocatorias limitadas a Mipymes», contenidas, respectivamente, en los artículos 2.2.1.2.4.2.3.  y 2.2.1.2.4.2.2. del Decreto 1082 de 2015.</w:t>
      </w:r>
    </w:p>
    <w:p w14:paraId="42706D95" w14:textId="77777777" w:rsidR="007F2458" w:rsidRPr="0003281E" w:rsidRDefault="007F2458" w:rsidP="0003281E">
      <w:pPr>
        <w:jc w:val="both"/>
        <w:rPr>
          <w:rFonts w:ascii="Arial" w:hAnsi="Arial" w:cs="Arial"/>
          <w:color w:val="000000" w:themeColor="text1"/>
          <w:sz w:val="20"/>
          <w:szCs w:val="20"/>
          <w:lang w:val="es-ES"/>
        </w:rPr>
      </w:pPr>
    </w:p>
    <w:p w14:paraId="6E28B7FB" w14:textId="20E9088F"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MIPYMES NACIONALES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Inexistencia de Mipymes </w:t>
      </w:r>
      <w:r w:rsidR="0099059D" w:rsidRPr="0003281E">
        <w:rPr>
          <w:rFonts w:ascii="Arial" w:eastAsia="Calibri" w:hAnsi="Arial" w:cs="Arial"/>
          <w:b/>
          <w:bCs/>
          <w:color w:val="000000" w:themeColor="text1"/>
          <w:sz w:val="22"/>
        </w:rPr>
        <w:t>–</w:t>
      </w:r>
      <w:r w:rsidR="0099059D">
        <w:rPr>
          <w:rFonts w:ascii="Arial" w:eastAsia="Calibri" w:hAnsi="Arial" w:cs="Arial"/>
          <w:b/>
          <w:bCs/>
          <w:color w:val="000000" w:themeColor="text1"/>
          <w:sz w:val="22"/>
        </w:rPr>
        <w:t xml:space="preserve"> Orden </w:t>
      </w:r>
      <w:r w:rsidRPr="00C429A6">
        <w:rPr>
          <w:rFonts w:ascii="Arial" w:eastAsia="Calibri" w:hAnsi="Arial" w:cs="Arial"/>
          <w:b/>
          <w:color w:val="000000" w:themeColor="text1"/>
          <w:sz w:val="22"/>
        </w:rPr>
        <w:t>territorial</w:t>
      </w:r>
    </w:p>
    <w:p w14:paraId="2B2703A2" w14:textId="77777777" w:rsidR="007F2458" w:rsidRPr="0003281E" w:rsidRDefault="007F2458" w:rsidP="0003281E">
      <w:pPr>
        <w:jc w:val="both"/>
        <w:rPr>
          <w:rFonts w:ascii="Arial" w:eastAsia="Calibri" w:hAnsi="Arial" w:cs="Arial"/>
          <w:b/>
          <w:color w:val="000000" w:themeColor="text1"/>
          <w:sz w:val="20"/>
          <w:szCs w:val="20"/>
        </w:rPr>
      </w:pPr>
    </w:p>
    <w:p w14:paraId="12C3239D" w14:textId="77777777" w:rsidR="007F2458" w:rsidRPr="00C429A6" w:rsidRDefault="007F2458" w:rsidP="0003281E">
      <w:pPr>
        <w:jc w:val="both"/>
        <w:rPr>
          <w:rFonts w:ascii="Arial" w:hAnsi="Arial" w:cs="Arial"/>
          <w:color w:val="000000" w:themeColor="text1"/>
          <w:sz w:val="20"/>
          <w:szCs w:val="20"/>
          <w:lang w:val="es-ES"/>
        </w:rPr>
      </w:pPr>
      <w:r w:rsidRPr="00C429A6">
        <w:rPr>
          <w:rFonts w:ascii="Arial" w:hAnsi="Arial" w:cs="Arial"/>
          <w:color w:val="000000" w:themeColor="text1"/>
          <w:sz w:val="20"/>
          <w:szCs w:val="20"/>
          <w:lang w:val="es-ES"/>
        </w:rPr>
        <w:t>Los artículos 2.2.1.2.4.2.3. y 2.2.1.2.4.2.2. del Decreto 1082 de 2015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6339F5A1" w14:textId="77777777" w:rsidR="007F2458" w:rsidRPr="0003281E" w:rsidRDefault="007F2458" w:rsidP="0003281E">
      <w:pPr>
        <w:jc w:val="both"/>
        <w:rPr>
          <w:rFonts w:ascii="Arial" w:hAnsi="Arial" w:cs="Arial"/>
          <w:color w:val="000000" w:themeColor="text1"/>
          <w:sz w:val="20"/>
          <w:szCs w:val="20"/>
          <w:lang w:val="es-ES"/>
        </w:rPr>
      </w:pPr>
    </w:p>
    <w:p w14:paraId="41911926" w14:textId="64F741D9"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CONVOCATORIAS LIMITADAS A MIPYMES NACIONALES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Requisitos</w:t>
      </w:r>
    </w:p>
    <w:p w14:paraId="767EA3B6" w14:textId="77777777" w:rsidR="007F2458" w:rsidRPr="0003281E" w:rsidRDefault="007F2458" w:rsidP="0003281E">
      <w:pPr>
        <w:jc w:val="both"/>
        <w:rPr>
          <w:rFonts w:ascii="Arial" w:eastAsia="Calibri" w:hAnsi="Arial" w:cs="Arial"/>
          <w:b/>
          <w:color w:val="000000" w:themeColor="text1"/>
          <w:sz w:val="20"/>
          <w:szCs w:val="20"/>
        </w:rPr>
      </w:pPr>
    </w:p>
    <w:p w14:paraId="17BC71A2" w14:textId="77777777" w:rsidR="00A47EDF" w:rsidRDefault="007F2458" w:rsidP="00A47EDF">
      <w:pPr>
        <w:spacing w:after="120"/>
        <w:jc w:val="both"/>
        <w:rPr>
          <w:rFonts w:ascii="Arial" w:hAnsi="Arial" w:cs="Arial"/>
          <w:color w:val="000000" w:themeColor="text1"/>
          <w:sz w:val="20"/>
          <w:szCs w:val="20"/>
          <w:lang w:val="es-ES"/>
        </w:rPr>
      </w:pPr>
      <w:r w:rsidRPr="0C0163D8">
        <w:rPr>
          <w:rFonts w:ascii="Arial" w:hAnsi="Arial" w:cs="Arial"/>
          <w:color w:val="000000" w:themeColor="text1"/>
          <w:sz w:val="20"/>
          <w:szCs w:val="20"/>
          <w:lang w:val="es-ES"/>
        </w:rPr>
        <w:t xml:space="preserve">El artículo 2.2.1.2.4.2.2. del Decreto 1082 de 2015 establece los requisitos a acreditar en las «convocatorias limitadas a Mipymes». El numeral primero limita cuantitativamente los procesos contractuales en los que se puede hacer la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14:paraId="5829B6AE" w14:textId="01D88BE6" w:rsidR="10CC3BF8" w:rsidRDefault="10CC3BF8" w:rsidP="0C0163D8">
      <w:pPr>
        <w:spacing w:after="120"/>
        <w:jc w:val="both"/>
        <w:rPr>
          <w:rFonts w:ascii="Arial" w:hAnsi="Arial" w:cs="Arial"/>
          <w:color w:val="000000" w:themeColor="text1"/>
          <w:sz w:val="20"/>
          <w:szCs w:val="20"/>
          <w:lang w:val="es-ES"/>
        </w:rPr>
      </w:pPr>
      <w:r w:rsidRPr="0C0163D8">
        <w:rPr>
          <w:rFonts w:ascii="Arial" w:hAnsi="Arial" w:cs="Arial"/>
          <w:color w:val="000000" w:themeColor="text1"/>
          <w:sz w:val="20"/>
          <w:szCs w:val="20"/>
          <w:lang w:val="es-ES"/>
        </w:rPr>
        <w:t>[…]</w:t>
      </w:r>
    </w:p>
    <w:p w14:paraId="735B864F" w14:textId="55DCEEA7" w:rsidR="007F2458" w:rsidRPr="00C429A6" w:rsidRDefault="007F2458" w:rsidP="0003281E">
      <w:pPr>
        <w:jc w:val="both"/>
        <w:rPr>
          <w:rFonts w:ascii="Arial" w:hAnsi="Arial" w:cs="Arial"/>
          <w:color w:val="000000" w:themeColor="text1"/>
          <w:sz w:val="20"/>
          <w:szCs w:val="20"/>
          <w:lang w:val="es-ES"/>
        </w:rPr>
      </w:pPr>
      <w:r w:rsidRPr="00C429A6">
        <w:rPr>
          <w:rFonts w:ascii="Arial" w:hAnsi="Arial" w:cs="Arial"/>
          <w:color w:val="000000" w:themeColor="text1"/>
          <w:sz w:val="20"/>
          <w:szCs w:val="20"/>
          <w:lang w:val="es-ES"/>
        </w:rPr>
        <w:lastRenderedPageBreak/>
        <w:t xml:space="preserve">El numeral segundo establece dos exigencias: por un lado, que al menos tres Mipymes nacionales presenten la solicitud formal de limitar el proceso contractual a Mipymes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 También ha dicho que la entidad estatal también debe aceptar las ofertas consorcios o uniones temporales formados exclusivamente por Mipyme y promesas de sociedad futura suscritas por Mipyme. </w:t>
      </w:r>
    </w:p>
    <w:p w14:paraId="193C7505" w14:textId="77777777" w:rsidR="007F2458" w:rsidRPr="0003281E" w:rsidRDefault="007F2458" w:rsidP="0003281E">
      <w:pPr>
        <w:jc w:val="both"/>
        <w:rPr>
          <w:rFonts w:ascii="Arial" w:hAnsi="Arial" w:cs="Arial"/>
          <w:color w:val="000000" w:themeColor="text1"/>
          <w:sz w:val="20"/>
          <w:szCs w:val="20"/>
          <w:lang w:val="es-ES"/>
        </w:rPr>
      </w:pPr>
    </w:p>
    <w:p w14:paraId="3F61FF15" w14:textId="0CF12521"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CONVOCATORIAS LIMITADAS A MIPYMES NACIONALES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Limitación territorial</w:t>
      </w:r>
      <w:r w:rsidR="00DA6981">
        <w:rPr>
          <w:rFonts w:ascii="Arial" w:eastAsia="Calibri" w:hAnsi="Arial" w:cs="Arial"/>
          <w:b/>
          <w:color w:val="000000" w:themeColor="text1"/>
          <w:sz w:val="22"/>
        </w:rPr>
        <w:t xml:space="preserve"> </w:t>
      </w:r>
      <w:r w:rsidR="0099059D" w:rsidRPr="0003281E">
        <w:rPr>
          <w:rFonts w:ascii="Arial" w:eastAsia="Calibri" w:hAnsi="Arial" w:cs="Arial"/>
          <w:b/>
          <w:bCs/>
          <w:color w:val="000000" w:themeColor="text1"/>
          <w:sz w:val="22"/>
        </w:rPr>
        <w:t>–</w:t>
      </w:r>
      <w:r w:rsidR="0099059D">
        <w:rPr>
          <w:rFonts w:ascii="Arial" w:eastAsia="Calibri" w:hAnsi="Arial" w:cs="Arial"/>
          <w:b/>
          <w:bCs/>
          <w:color w:val="000000" w:themeColor="text1"/>
          <w:sz w:val="22"/>
        </w:rPr>
        <w:t xml:space="preserve"> </w:t>
      </w:r>
      <w:r w:rsidR="00DA6981" w:rsidRPr="00C429A6">
        <w:rPr>
          <w:rFonts w:ascii="Arial" w:eastAsia="Calibri" w:hAnsi="Arial" w:cs="Arial"/>
          <w:b/>
          <w:color w:val="000000" w:themeColor="text1"/>
          <w:sz w:val="22"/>
        </w:rPr>
        <w:t>Requisitos</w:t>
      </w:r>
    </w:p>
    <w:p w14:paraId="2D83A04C" w14:textId="77777777" w:rsidR="007F2458" w:rsidRPr="0003281E" w:rsidRDefault="007F2458" w:rsidP="0003281E">
      <w:pPr>
        <w:jc w:val="both"/>
        <w:rPr>
          <w:rFonts w:ascii="Arial" w:eastAsia="Calibri" w:hAnsi="Arial" w:cs="Arial"/>
          <w:b/>
          <w:color w:val="000000" w:themeColor="text1"/>
          <w:sz w:val="20"/>
          <w:szCs w:val="20"/>
        </w:rPr>
      </w:pPr>
    </w:p>
    <w:p w14:paraId="2DA94B04" w14:textId="77777777" w:rsidR="007F2458" w:rsidRPr="00C429A6" w:rsidRDefault="007F2458" w:rsidP="0003281E">
      <w:pPr>
        <w:jc w:val="both"/>
        <w:rPr>
          <w:rFonts w:ascii="Arial" w:hAnsi="Arial" w:cs="Arial"/>
          <w:color w:val="000000" w:themeColor="text1"/>
          <w:sz w:val="20"/>
          <w:szCs w:val="20"/>
          <w:lang w:val="es-ES"/>
        </w:rPr>
      </w:pPr>
      <w:r w:rsidRPr="00C429A6">
        <w:rPr>
          <w:rFonts w:ascii="Arial" w:hAnsi="Arial" w:cs="Arial"/>
          <w:color w:val="000000" w:themeColor="text1"/>
          <w:sz w:val="20"/>
          <w:szCs w:val="20"/>
          <w:lang w:val="es-ES"/>
        </w:rPr>
        <w:t>Esta entidad ha sostenido que es discrecional la decisión de limitar territorialmente una convocatoria de Mipymes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52AFB643" w14:textId="77777777" w:rsidR="007F2458" w:rsidRPr="0003281E" w:rsidRDefault="007F2458" w:rsidP="0003281E">
      <w:pPr>
        <w:jc w:val="both"/>
        <w:rPr>
          <w:rFonts w:ascii="Arial" w:eastAsia="Calibri" w:hAnsi="Arial" w:cs="Arial"/>
          <w:b/>
          <w:color w:val="000000" w:themeColor="text1"/>
          <w:sz w:val="20"/>
          <w:szCs w:val="20"/>
        </w:rPr>
      </w:pPr>
    </w:p>
    <w:p w14:paraId="39F01210" w14:textId="0827FCC2"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CONVOCATORIAS LIMITADAS A MIPYMES NACIONALES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Procedencia </w:t>
      </w:r>
      <w:r w:rsidR="0099059D" w:rsidRPr="0003281E">
        <w:rPr>
          <w:rFonts w:ascii="Arial" w:eastAsia="Calibri" w:hAnsi="Arial" w:cs="Arial"/>
          <w:b/>
          <w:bCs/>
          <w:color w:val="000000" w:themeColor="text1"/>
          <w:sz w:val="22"/>
        </w:rPr>
        <w:t>–</w:t>
      </w:r>
      <w:r w:rsidR="0099059D">
        <w:rPr>
          <w:rFonts w:ascii="Arial" w:eastAsia="Calibri" w:hAnsi="Arial" w:cs="Arial"/>
          <w:b/>
          <w:bCs/>
          <w:color w:val="000000" w:themeColor="text1"/>
          <w:sz w:val="22"/>
        </w:rPr>
        <w:t xml:space="preserve"> </w:t>
      </w:r>
      <w:r w:rsidRPr="00C429A6">
        <w:rPr>
          <w:rFonts w:ascii="Arial" w:eastAsia="Calibri" w:hAnsi="Arial" w:cs="Arial"/>
          <w:b/>
          <w:color w:val="000000" w:themeColor="text1"/>
          <w:sz w:val="22"/>
        </w:rPr>
        <w:t>«limitación territorial»</w:t>
      </w:r>
    </w:p>
    <w:p w14:paraId="49F1D4F7" w14:textId="77777777" w:rsidR="007F2458" w:rsidRPr="0003281E" w:rsidRDefault="007F2458" w:rsidP="0003281E">
      <w:pPr>
        <w:jc w:val="both"/>
        <w:rPr>
          <w:rFonts w:ascii="Arial" w:eastAsia="Calibri" w:hAnsi="Arial" w:cs="Arial"/>
          <w:b/>
          <w:color w:val="000000" w:themeColor="text1"/>
          <w:sz w:val="20"/>
          <w:szCs w:val="20"/>
        </w:rPr>
      </w:pPr>
    </w:p>
    <w:p w14:paraId="5D83E9CF" w14:textId="62B6FAE5" w:rsidR="007F2458" w:rsidRPr="00C429A6" w:rsidRDefault="009564A2" w:rsidP="0003281E">
      <w:pPr>
        <w:jc w:val="both"/>
        <w:rPr>
          <w:rFonts w:ascii="Arial" w:hAnsi="Arial" w:cs="Arial"/>
          <w:color w:val="000000" w:themeColor="text1"/>
          <w:sz w:val="20"/>
          <w:szCs w:val="20"/>
          <w:lang w:val="es-ES"/>
        </w:rPr>
      </w:pPr>
      <w:r w:rsidRPr="3E781966">
        <w:rPr>
          <w:rFonts w:ascii="Arial" w:hAnsi="Arial" w:cs="Arial"/>
          <w:color w:val="000000" w:themeColor="text1"/>
          <w:sz w:val="20"/>
          <w:szCs w:val="20"/>
          <w:lang w:val="es-ES"/>
        </w:rPr>
        <w:t xml:space="preserve">[…] </w:t>
      </w:r>
      <w:r w:rsidR="05951344" w:rsidRPr="3E781966">
        <w:rPr>
          <w:rFonts w:ascii="Arial" w:hAnsi="Arial" w:cs="Arial"/>
          <w:color w:val="000000" w:themeColor="text1"/>
          <w:sz w:val="20"/>
          <w:szCs w:val="20"/>
          <w:lang w:val="es-ES"/>
        </w:rPr>
        <w:t>l</w:t>
      </w:r>
      <w:r w:rsidR="007F2458" w:rsidRPr="3E781966">
        <w:rPr>
          <w:rFonts w:ascii="Arial" w:hAnsi="Arial" w:cs="Arial"/>
          <w:color w:val="000000" w:themeColor="text1"/>
          <w:sz w:val="20"/>
          <w:szCs w:val="20"/>
          <w:lang w:val="es-ES"/>
        </w:rPr>
        <w:t>a limitación a Mipymes nacionales a la que se refiere el artículo 2.2.1.2.4.2.2. del Decreto 1082 de 2015, opera de pleno derecho, pero no «limitación territorial» referida en el artículo 2.2.1.2.4.2.3. ibidem, pues esta es facultativa de la entidad. Las únicas exigencias son que la convocatoria esté limitada «a Mipyme nacionales domiciliadas en los departamentos o municipios en donde se va a ejecutar el contrato» y que la entidad justifique su decisión en los «estudios del sector».</w:t>
      </w:r>
    </w:p>
    <w:p w14:paraId="28ADA17D" w14:textId="77777777" w:rsidR="007F2458" w:rsidRPr="0003281E" w:rsidRDefault="007F2458" w:rsidP="0003281E">
      <w:pPr>
        <w:jc w:val="both"/>
        <w:rPr>
          <w:rFonts w:ascii="Arial" w:eastAsia="Calibri" w:hAnsi="Arial" w:cs="Arial"/>
          <w:b/>
          <w:color w:val="000000" w:themeColor="text1"/>
          <w:sz w:val="20"/>
          <w:szCs w:val="20"/>
        </w:rPr>
      </w:pPr>
    </w:p>
    <w:p w14:paraId="2818F27B" w14:textId="23A4B588" w:rsidR="007F2458" w:rsidRPr="00C429A6" w:rsidRDefault="007F2458" w:rsidP="0003281E">
      <w:pPr>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CONVOCATORIAS LIMITADAS A MIPYMES NACIONALES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Limitación territorial </w:t>
      </w:r>
      <w:r w:rsidR="0099059D" w:rsidRPr="0003281E">
        <w:rPr>
          <w:rFonts w:ascii="Arial" w:eastAsia="Calibri" w:hAnsi="Arial" w:cs="Arial"/>
          <w:b/>
          <w:bCs/>
          <w:color w:val="000000" w:themeColor="text1"/>
          <w:sz w:val="22"/>
        </w:rPr>
        <w:t>–</w:t>
      </w:r>
      <w:r w:rsidRPr="00C429A6">
        <w:rPr>
          <w:rFonts w:ascii="Arial" w:eastAsia="Calibri" w:hAnsi="Arial" w:cs="Arial"/>
          <w:b/>
          <w:color w:val="000000" w:themeColor="text1"/>
          <w:sz w:val="22"/>
        </w:rPr>
        <w:t xml:space="preserve"> Procedencia</w:t>
      </w:r>
    </w:p>
    <w:p w14:paraId="601B29C1" w14:textId="77777777" w:rsidR="007F2458" w:rsidRPr="0003281E" w:rsidRDefault="007F2458" w:rsidP="0003281E">
      <w:pPr>
        <w:jc w:val="both"/>
        <w:rPr>
          <w:rFonts w:ascii="Arial" w:eastAsia="Calibri" w:hAnsi="Arial" w:cs="Arial"/>
          <w:b/>
          <w:color w:val="000000" w:themeColor="text1"/>
          <w:sz w:val="20"/>
          <w:szCs w:val="20"/>
        </w:rPr>
      </w:pPr>
    </w:p>
    <w:p w14:paraId="0D1DBF7C" w14:textId="34E101A8" w:rsidR="007F2458" w:rsidRDefault="00920371" w:rsidP="3E781966">
      <w:pPr>
        <w:jc w:val="both"/>
        <w:rPr>
          <w:rFonts w:ascii="Arial" w:eastAsia="Calibri" w:hAnsi="Arial" w:cs="Arial"/>
          <w:color w:val="000000" w:themeColor="text1"/>
          <w:sz w:val="20"/>
          <w:szCs w:val="20"/>
        </w:rPr>
      </w:pPr>
      <w:r w:rsidRPr="3E781966">
        <w:rPr>
          <w:rFonts w:ascii="Arial" w:eastAsia="Calibri" w:hAnsi="Arial" w:cs="Arial"/>
          <w:color w:val="000000" w:themeColor="text1"/>
          <w:sz w:val="20"/>
          <w:szCs w:val="20"/>
        </w:rPr>
        <w:t xml:space="preserve">[…] </w:t>
      </w:r>
      <w:r w:rsidR="3C9A1C33" w:rsidRPr="3E781966">
        <w:rPr>
          <w:rFonts w:ascii="Arial" w:eastAsia="Calibri" w:hAnsi="Arial" w:cs="Arial"/>
          <w:color w:val="000000" w:themeColor="text1"/>
          <w:sz w:val="20"/>
          <w:szCs w:val="20"/>
        </w:rPr>
        <w:t>u</w:t>
      </w:r>
      <w:r w:rsidR="007F2458" w:rsidRPr="3E781966">
        <w:rPr>
          <w:rFonts w:ascii="Arial" w:eastAsia="Calibri" w:hAnsi="Arial" w:cs="Arial"/>
          <w:color w:val="000000" w:themeColor="text1"/>
          <w:sz w:val="20"/>
          <w:szCs w:val="20"/>
        </w:rPr>
        <w:t>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4B5750E8" w14:textId="77777777" w:rsidR="0013088D" w:rsidRPr="0013088D" w:rsidRDefault="0013088D" w:rsidP="0013088D">
      <w:pPr>
        <w:pStyle w:val="Default"/>
        <w:rPr>
          <w:sz w:val="20"/>
          <w:szCs w:val="20"/>
        </w:rPr>
      </w:pPr>
    </w:p>
    <w:p w14:paraId="58BAC097" w14:textId="77777777" w:rsidR="0013088D" w:rsidRPr="0013088D" w:rsidRDefault="0013088D" w:rsidP="0013088D">
      <w:pPr>
        <w:pStyle w:val="Default"/>
        <w:rPr>
          <w:sz w:val="20"/>
          <w:szCs w:val="20"/>
        </w:rPr>
      </w:pPr>
    </w:p>
    <w:p w14:paraId="1211A5F2" w14:textId="6FC7A2BB" w:rsidR="0013088D" w:rsidRPr="0013088D" w:rsidRDefault="0013088D" w:rsidP="0013088D">
      <w:pPr>
        <w:pStyle w:val="Default"/>
      </w:pPr>
      <w:r>
        <w:rPr>
          <w:sz w:val="22"/>
          <w:szCs w:val="22"/>
        </w:rPr>
        <w:t xml:space="preserve">Bogotá D.C., </w:t>
      </w:r>
      <w:r>
        <w:rPr>
          <w:b/>
          <w:bCs/>
          <w:sz w:val="22"/>
          <w:szCs w:val="22"/>
        </w:rPr>
        <w:t xml:space="preserve">25/02/2020 Hora 15:7:27s </w:t>
      </w:r>
    </w:p>
    <w:p w14:paraId="15FB8F02" w14:textId="4A17DDAD" w:rsidR="007F2458" w:rsidRPr="00FE496E" w:rsidRDefault="0013088D" w:rsidP="0013088D">
      <w:pPr>
        <w:spacing w:after="160" w:line="259" w:lineRule="auto"/>
        <w:jc w:val="right"/>
        <w:rPr>
          <w:rFonts w:ascii="Arial" w:hAnsi="Arial" w:cs="Arial"/>
          <w:b/>
          <w:color w:val="000000" w:themeColor="text1"/>
          <w:sz w:val="22"/>
        </w:rPr>
      </w:pPr>
      <w:r w:rsidRPr="00FE496E">
        <w:rPr>
          <w:rFonts w:ascii="Arial" w:hAnsi="Arial" w:cs="Arial"/>
          <w:b/>
          <w:bCs/>
          <w:sz w:val="22"/>
        </w:rPr>
        <w:t>N° Radicado: 2202013000001286</w:t>
      </w:r>
    </w:p>
    <w:p w14:paraId="6EAA0542" w14:textId="77777777" w:rsidR="007F2458" w:rsidRPr="00C429A6" w:rsidRDefault="007F2458" w:rsidP="007F2458">
      <w:pPr>
        <w:tabs>
          <w:tab w:val="left" w:pos="3374"/>
        </w:tabs>
        <w:rPr>
          <w:rFonts w:ascii="Arial" w:eastAsia="Calibri" w:hAnsi="Arial" w:cs="Arial"/>
          <w:color w:val="000000" w:themeColor="text1"/>
          <w:sz w:val="22"/>
        </w:rPr>
      </w:pPr>
      <w:r w:rsidRPr="00C429A6">
        <w:rPr>
          <w:rFonts w:ascii="Arial" w:eastAsia="Calibri" w:hAnsi="Arial" w:cs="Arial"/>
          <w:color w:val="000000" w:themeColor="text1"/>
          <w:sz w:val="22"/>
        </w:rPr>
        <w:tab/>
      </w:r>
    </w:p>
    <w:p w14:paraId="0B98A466" w14:textId="77777777" w:rsidR="007F2458" w:rsidRPr="00C429A6" w:rsidRDefault="007F2458" w:rsidP="007F2458">
      <w:pPr>
        <w:rPr>
          <w:rFonts w:ascii="Arial" w:eastAsia="Calibri" w:hAnsi="Arial" w:cs="Arial"/>
          <w:color w:val="000000" w:themeColor="text1"/>
          <w:sz w:val="22"/>
        </w:rPr>
      </w:pPr>
      <w:r w:rsidRPr="00C429A6">
        <w:rPr>
          <w:rFonts w:ascii="Arial" w:eastAsia="Calibri" w:hAnsi="Arial" w:cs="Arial"/>
          <w:color w:val="000000" w:themeColor="text1"/>
          <w:sz w:val="22"/>
        </w:rPr>
        <w:t>Señora</w:t>
      </w:r>
    </w:p>
    <w:p w14:paraId="79E7946C" w14:textId="77777777" w:rsidR="007F2458" w:rsidRPr="00C429A6" w:rsidRDefault="007F2458" w:rsidP="007F2458">
      <w:pPr>
        <w:rPr>
          <w:rFonts w:ascii="Arial" w:eastAsia="Calibri" w:hAnsi="Arial" w:cs="Arial"/>
          <w:b/>
          <w:color w:val="000000" w:themeColor="text1"/>
          <w:sz w:val="22"/>
        </w:rPr>
      </w:pPr>
      <w:r w:rsidRPr="00C429A6">
        <w:rPr>
          <w:rFonts w:ascii="Arial" w:eastAsia="Calibri" w:hAnsi="Arial" w:cs="Arial"/>
          <w:b/>
          <w:color w:val="000000" w:themeColor="text1"/>
          <w:sz w:val="22"/>
        </w:rPr>
        <w:t>Angie Chaparro Pardo Pardo</w:t>
      </w:r>
    </w:p>
    <w:p w14:paraId="4435FC5A" w14:textId="77777777" w:rsidR="007F2458" w:rsidRPr="00C429A6" w:rsidRDefault="007F2458" w:rsidP="007F2458">
      <w:pPr>
        <w:rPr>
          <w:rFonts w:ascii="Arial" w:eastAsia="Calibri" w:hAnsi="Arial" w:cs="Arial"/>
          <w:color w:val="000000" w:themeColor="text1"/>
          <w:sz w:val="22"/>
        </w:rPr>
      </w:pPr>
      <w:r w:rsidRPr="00C429A6">
        <w:rPr>
          <w:rFonts w:ascii="Arial" w:eastAsia="Calibri" w:hAnsi="Arial" w:cs="Arial"/>
          <w:color w:val="000000" w:themeColor="text1"/>
          <w:sz w:val="22"/>
        </w:rPr>
        <w:t>Bogotá</w:t>
      </w:r>
    </w:p>
    <w:p w14:paraId="661EF21E" w14:textId="77777777" w:rsidR="007F2458" w:rsidRPr="00C429A6" w:rsidRDefault="007F2458" w:rsidP="007F2458">
      <w:pPr>
        <w:rPr>
          <w:rFonts w:ascii="Arial" w:eastAsia="Calibri" w:hAnsi="Arial" w:cs="Arial"/>
          <w:color w:val="000000" w:themeColor="text1"/>
          <w:sz w:val="22"/>
        </w:rPr>
      </w:pPr>
    </w:p>
    <w:p w14:paraId="4C3B588B" w14:textId="77777777" w:rsidR="007F2458" w:rsidRPr="00C429A6" w:rsidRDefault="007F2458" w:rsidP="007F2458">
      <w:pPr>
        <w:rPr>
          <w:rFonts w:ascii="Arial" w:eastAsia="Calibri" w:hAnsi="Arial" w:cs="Arial"/>
          <w:color w:val="000000" w:themeColor="text1"/>
          <w:sz w:val="22"/>
        </w:rPr>
      </w:pPr>
    </w:p>
    <w:p w14:paraId="48465E79" w14:textId="77777777" w:rsidR="0013088D" w:rsidRDefault="0013088D" w:rsidP="007F2458">
      <w:pPr>
        <w:ind w:firstLine="2694"/>
        <w:rPr>
          <w:rFonts w:ascii="Arial" w:eastAsia="Calibri" w:hAnsi="Arial" w:cs="Arial"/>
          <w:b/>
          <w:color w:val="000000" w:themeColor="text1"/>
          <w:sz w:val="22"/>
        </w:rPr>
      </w:pPr>
    </w:p>
    <w:p w14:paraId="1BC098B3" w14:textId="48784044" w:rsidR="007F2458" w:rsidRPr="00C429A6" w:rsidRDefault="007F2458" w:rsidP="007F2458">
      <w:pPr>
        <w:ind w:firstLine="2694"/>
        <w:rPr>
          <w:rFonts w:ascii="Arial" w:eastAsia="Calibri" w:hAnsi="Arial" w:cs="Arial"/>
          <w:b/>
          <w:color w:val="000000" w:themeColor="text1"/>
          <w:sz w:val="22"/>
        </w:rPr>
      </w:pPr>
      <w:r w:rsidRPr="00C429A6">
        <w:rPr>
          <w:rFonts w:ascii="Arial" w:eastAsia="Calibri" w:hAnsi="Arial" w:cs="Arial"/>
          <w:b/>
          <w:color w:val="000000" w:themeColor="text1"/>
          <w:sz w:val="22"/>
        </w:rPr>
        <w:t>Concepto C ─ 058 de 2020</w:t>
      </w:r>
    </w:p>
    <w:p w14:paraId="46AEDA74" w14:textId="4EA325C4" w:rsidR="007F2458" w:rsidRDefault="007F2458" w:rsidP="007F2458">
      <w:pPr>
        <w:jc w:val="center"/>
        <w:rPr>
          <w:rFonts w:ascii="Arial" w:eastAsia="Calibri" w:hAnsi="Arial" w:cs="Arial"/>
          <w:b/>
          <w:color w:val="000000" w:themeColor="text1"/>
          <w:sz w:val="22"/>
        </w:rPr>
      </w:pPr>
    </w:p>
    <w:p w14:paraId="63ECB9ED" w14:textId="77777777" w:rsidR="0013088D" w:rsidRPr="00C429A6" w:rsidRDefault="0013088D" w:rsidP="007F2458">
      <w:pPr>
        <w:jc w:val="center"/>
        <w:rPr>
          <w:rFonts w:ascii="Arial" w:eastAsia="Calibri" w:hAnsi="Arial" w:cs="Arial"/>
          <w:b/>
          <w:color w:val="000000" w:themeColor="text1"/>
          <w:sz w:val="22"/>
        </w:rPr>
      </w:pPr>
    </w:p>
    <w:p w14:paraId="3CFF5C4C" w14:textId="77777777" w:rsidR="007F2458" w:rsidRPr="00C429A6" w:rsidRDefault="007F2458" w:rsidP="007F245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429A6" w:rsidRPr="00C429A6" w14:paraId="5AB68A88" w14:textId="77777777" w:rsidTr="004E4086">
        <w:tc>
          <w:tcPr>
            <w:tcW w:w="2689" w:type="dxa"/>
            <w:hideMark/>
          </w:tcPr>
          <w:p w14:paraId="2B84A661" w14:textId="77777777" w:rsidR="007F2458" w:rsidRPr="00C429A6" w:rsidRDefault="007F2458" w:rsidP="004E4086">
            <w:pPr>
              <w:rPr>
                <w:rFonts w:ascii="Arial" w:eastAsia="Calibri" w:hAnsi="Arial" w:cs="Arial"/>
                <w:color w:val="000000" w:themeColor="text1"/>
                <w:sz w:val="22"/>
              </w:rPr>
            </w:pPr>
            <w:r w:rsidRPr="00C429A6">
              <w:rPr>
                <w:rFonts w:ascii="Arial" w:eastAsia="Calibri" w:hAnsi="Arial" w:cs="Arial"/>
                <w:b/>
                <w:color w:val="000000" w:themeColor="text1"/>
                <w:sz w:val="22"/>
              </w:rPr>
              <w:t>Temas:</w:t>
            </w:r>
            <w:r w:rsidRPr="00C429A6">
              <w:rPr>
                <w:rFonts w:ascii="Arial" w:eastAsia="Calibri" w:hAnsi="Arial" w:cs="Arial"/>
                <w:color w:val="000000" w:themeColor="text1"/>
                <w:sz w:val="22"/>
              </w:rPr>
              <w:t xml:space="preserve">           </w:t>
            </w:r>
          </w:p>
          <w:p w14:paraId="1AEF97C1" w14:textId="77777777" w:rsidR="007F2458" w:rsidRPr="00C429A6" w:rsidRDefault="007F2458" w:rsidP="004E4086">
            <w:pPr>
              <w:rPr>
                <w:rFonts w:ascii="Arial" w:eastAsia="Calibri" w:hAnsi="Arial" w:cs="Arial"/>
                <w:color w:val="000000" w:themeColor="text1"/>
                <w:sz w:val="22"/>
              </w:rPr>
            </w:pPr>
            <w:r w:rsidRPr="00C429A6">
              <w:rPr>
                <w:rFonts w:ascii="Arial" w:eastAsia="Calibri" w:hAnsi="Arial" w:cs="Arial"/>
                <w:color w:val="000000" w:themeColor="text1"/>
                <w:sz w:val="22"/>
              </w:rPr>
              <w:t xml:space="preserve">                           </w:t>
            </w:r>
          </w:p>
        </w:tc>
        <w:tc>
          <w:tcPr>
            <w:tcW w:w="6237" w:type="dxa"/>
            <w:hideMark/>
          </w:tcPr>
          <w:p w14:paraId="3594C0E4" w14:textId="0E3C032D" w:rsidR="00157D04" w:rsidRPr="00157D04" w:rsidRDefault="007F2458" w:rsidP="00157D04">
            <w:pPr>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MIPYME ― Noción y alcance / </w:t>
            </w:r>
            <w:r w:rsidR="00157D04">
              <w:rPr>
                <w:rFonts w:ascii="Arial" w:eastAsia="Calibri" w:hAnsi="Arial" w:cs="Arial"/>
                <w:color w:val="000000" w:themeColor="text1"/>
                <w:sz w:val="22"/>
              </w:rPr>
              <w:t xml:space="preserve">MIPYME - </w:t>
            </w:r>
            <w:r w:rsidRPr="00C429A6">
              <w:rPr>
                <w:rFonts w:ascii="Arial" w:eastAsia="Calibri" w:hAnsi="Arial" w:cs="Arial"/>
                <w:color w:val="000000" w:themeColor="text1"/>
                <w:sz w:val="22"/>
              </w:rPr>
              <w:t>Incentivos contractuales – normativa. MIPYMES NACIONALES ― Inexistencia de Mipymes del orden territorial. CONVOCATORIAS LIMITADAS A MIPYMES – Requisitos</w:t>
            </w:r>
            <w:r w:rsidR="00157D04">
              <w:rPr>
                <w:rFonts w:ascii="Arial" w:eastAsia="Calibri" w:hAnsi="Arial" w:cs="Arial"/>
                <w:color w:val="000000" w:themeColor="text1"/>
                <w:sz w:val="22"/>
              </w:rPr>
              <w:t xml:space="preserve"> / </w:t>
            </w:r>
            <w:r w:rsidR="00157D04" w:rsidRPr="00157D04">
              <w:rPr>
                <w:rFonts w:ascii="Arial" w:eastAsia="Calibri" w:hAnsi="Arial" w:cs="Arial"/>
                <w:color w:val="000000" w:themeColor="text1"/>
                <w:sz w:val="22"/>
              </w:rPr>
              <w:t xml:space="preserve">CONVOCATORIAS LIMITADAS A MIPYMES NACIONALES – Procedencia – «limitación territorial» </w:t>
            </w:r>
            <w:r w:rsidR="00157D04">
              <w:rPr>
                <w:rFonts w:ascii="Arial" w:eastAsia="Calibri" w:hAnsi="Arial" w:cs="Arial"/>
                <w:color w:val="000000" w:themeColor="text1"/>
                <w:sz w:val="22"/>
              </w:rPr>
              <w:t xml:space="preserve">/ </w:t>
            </w:r>
            <w:r w:rsidR="00157D04" w:rsidRPr="00157D04">
              <w:rPr>
                <w:rFonts w:ascii="Arial" w:eastAsia="Calibri" w:hAnsi="Arial" w:cs="Arial"/>
                <w:color w:val="000000" w:themeColor="text1"/>
                <w:sz w:val="22"/>
              </w:rPr>
              <w:t>CONVOCATORIAS LIMITADAS A MIPYMES NACIONALES – Limitación territorial – Procedencia</w:t>
            </w:r>
          </w:p>
          <w:p w14:paraId="749D89A6" w14:textId="7477DE36" w:rsidR="007F2458" w:rsidRPr="00C429A6" w:rsidRDefault="007F2458" w:rsidP="004E4086">
            <w:pPr>
              <w:jc w:val="both"/>
              <w:rPr>
                <w:rFonts w:ascii="Arial" w:eastAsia="Calibri" w:hAnsi="Arial" w:cs="Arial"/>
                <w:color w:val="000000" w:themeColor="text1"/>
                <w:sz w:val="22"/>
              </w:rPr>
            </w:pPr>
          </w:p>
        </w:tc>
      </w:tr>
      <w:tr w:rsidR="007F2458" w:rsidRPr="00C429A6" w14:paraId="1A27A809" w14:textId="77777777" w:rsidTr="004E4086">
        <w:tc>
          <w:tcPr>
            <w:tcW w:w="2689" w:type="dxa"/>
          </w:tcPr>
          <w:p w14:paraId="27ED6C88" w14:textId="1AB69647" w:rsidR="007F2458" w:rsidRPr="00C429A6" w:rsidRDefault="00157D04" w:rsidP="004E4086">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7F2458" w:rsidRPr="00C429A6">
              <w:rPr>
                <w:rFonts w:ascii="Arial" w:eastAsia="Calibri" w:hAnsi="Arial" w:cs="Arial"/>
                <w:b/>
                <w:color w:val="000000" w:themeColor="text1"/>
                <w:sz w:val="22"/>
              </w:rPr>
              <w:t>Radicación:</w:t>
            </w:r>
            <w:r w:rsidR="007F2458" w:rsidRPr="00C429A6">
              <w:rPr>
                <w:rFonts w:ascii="Arial" w:eastAsia="Calibri" w:hAnsi="Arial" w:cs="Arial"/>
                <w:color w:val="000000" w:themeColor="text1"/>
                <w:sz w:val="22"/>
              </w:rPr>
              <w:t xml:space="preserve">                              </w:t>
            </w:r>
          </w:p>
        </w:tc>
        <w:tc>
          <w:tcPr>
            <w:tcW w:w="6237" w:type="dxa"/>
          </w:tcPr>
          <w:p w14:paraId="5A69712D" w14:textId="3496191B" w:rsidR="007F2458" w:rsidRPr="00C429A6" w:rsidRDefault="007F2458" w:rsidP="004E4086">
            <w:pPr>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Respuesta a consulta # </w:t>
            </w:r>
            <w:r w:rsidR="00D82080" w:rsidRPr="00C429A6">
              <w:rPr>
                <w:rFonts w:ascii="Arial" w:eastAsia="Calibri" w:hAnsi="Arial" w:cs="Arial"/>
                <w:color w:val="000000" w:themeColor="text1"/>
                <w:sz w:val="22"/>
              </w:rPr>
              <w:t>4202012000000314</w:t>
            </w:r>
            <w:r w:rsidR="00AB29DD" w:rsidRPr="00C429A6">
              <w:rPr>
                <w:rFonts w:ascii="Arial" w:eastAsia="Calibri" w:hAnsi="Arial" w:cs="Arial"/>
                <w:color w:val="000000" w:themeColor="text1"/>
                <w:sz w:val="22"/>
              </w:rPr>
              <w:t>.</w:t>
            </w:r>
          </w:p>
        </w:tc>
      </w:tr>
    </w:tbl>
    <w:p w14:paraId="7E662F31" w14:textId="0BA59E41" w:rsidR="007F2458" w:rsidRDefault="007F2458" w:rsidP="007F2458">
      <w:pPr>
        <w:rPr>
          <w:rFonts w:ascii="Arial" w:eastAsia="Calibri" w:hAnsi="Arial" w:cs="Arial"/>
          <w:color w:val="000000" w:themeColor="text1"/>
          <w:sz w:val="22"/>
        </w:rPr>
      </w:pPr>
    </w:p>
    <w:p w14:paraId="6BB4DF54" w14:textId="77777777" w:rsidR="0013088D" w:rsidRPr="00C429A6" w:rsidRDefault="0013088D" w:rsidP="007F2458">
      <w:pPr>
        <w:rPr>
          <w:rFonts w:ascii="Arial" w:eastAsia="Calibri" w:hAnsi="Arial" w:cs="Arial"/>
          <w:color w:val="000000" w:themeColor="text1"/>
          <w:sz w:val="22"/>
        </w:rPr>
      </w:pPr>
    </w:p>
    <w:p w14:paraId="312D6768" w14:textId="77777777" w:rsidR="00D82080" w:rsidRPr="00C429A6" w:rsidRDefault="00D82080" w:rsidP="007F2458">
      <w:pPr>
        <w:rPr>
          <w:rFonts w:ascii="Arial" w:eastAsia="Calibri" w:hAnsi="Arial" w:cs="Arial"/>
          <w:color w:val="000000" w:themeColor="text1"/>
          <w:sz w:val="22"/>
        </w:rPr>
      </w:pPr>
    </w:p>
    <w:p w14:paraId="35E4DD52" w14:textId="77777777" w:rsidR="007F2458" w:rsidRPr="00C429A6" w:rsidRDefault="007F2458" w:rsidP="007F2458">
      <w:pPr>
        <w:rPr>
          <w:rFonts w:ascii="Arial" w:eastAsia="Calibri" w:hAnsi="Arial" w:cs="Arial"/>
          <w:color w:val="000000" w:themeColor="text1"/>
          <w:sz w:val="22"/>
        </w:rPr>
      </w:pPr>
      <w:r w:rsidRPr="00C429A6">
        <w:rPr>
          <w:rFonts w:ascii="Arial" w:eastAsia="Calibri" w:hAnsi="Arial" w:cs="Arial"/>
          <w:color w:val="000000" w:themeColor="text1"/>
          <w:sz w:val="22"/>
        </w:rPr>
        <w:t>Estimada señora Pardo Pardo,</w:t>
      </w:r>
    </w:p>
    <w:p w14:paraId="280B52C8" w14:textId="77777777" w:rsidR="007F2458" w:rsidRPr="00C429A6" w:rsidRDefault="007F2458" w:rsidP="007F2458">
      <w:pPr>
        <w:rPr>
          <w:rFonts w:ascii="Arial" w:eastAsia="Calibri" w:hAnsi="Arial" w:cs="Arial"/>
          <w:color w:val="000000" w:themeColor="text1"/>
          <w:sz w:val="22"/>
        </w:rPr>
      </w:pPr>
    </w:p>
    <w:p w14:paraId="55737AC7" w14:textId="77777777" w:rsidR="007F2458" w:rsidRPr="00C429A6" w:rsidRDefault="007F2458" w:rsidP="007F2458">
      <w:pPr>
        <w:spacing w:line="276" w:lineRule="auto"/>
        <w:ind w:right="49"/>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La Agencia Nacional de Contratación Pública ―Colombia Compra Eficiente responde su consulta del 16 de enero de 2020, en ejercicio de la competencia otorgada por el numeral 8 del artículo 11 y el numeral 5 del artículo 3 del Decreto Ley 4170 de 2011. </w:t>
      </w:r>
    </w:p>
    <w:p w14:paraId="4A3A0001" w14:textId="77777777" w:rsidR="007F2458" w:rsidRPr="00C429A6" w:rsidRDefault="007F2458" w:rsidP="007F2458">
      <w:pPr>
        <w:spacing w:line="276" w:lineRule="auto"/>
        <w:jc w:val="both"/>
        <w:rPr>
          <w:rFonts w:ascii="Arial" w:eastAsia="Calibri" w:hAnsi="Arial" w:cs="Arial"/>
          <w:color w:val="000000" w:themeColor="text1"/>
          <w:sz w:val="22"/>
        </w:rPr>
      </w:pPr>
    </w:p>
    <w:p w14:paraId="2E1F0CCB" w14:textId="77777777" w:rsidR="007F2458" w:rsidRPr="00C429A6" w:rsidRDefault="007F2458" w:rsidP="007F2458">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C429A6">
        <w:rPr>
          <w:rFonts w:ascii="Arial" w:eastAsia="Calibri" w:hAnsi="Arial" w:cs="Arial"/>
          <w:b/>
          <w:color w:val="000000" w:themeColor="text1"/>
          <w:sz w:val="22"/>
        </w:rPr>
        <w:t xml:space="preserve">Problemas planteados </w:t>
      </w:r>
    </w:p>
    <w:p w14:paraId="783A86D5" w14:textId="77777777" w:rsidR="007F2458" w:rsidRPr="00C429A6" w:rsidRDefault="007F2458" w:rsidP="007F2458">
      <w:pPr>
        <w:tabs>
          <w:tab w:val="left" w:pos="426"/>
        </w:tabs>
        <w:spacing w:line="276" w:lineRule="auto"/>
        <w:jc w:val="both"/>
        <w:rPr>
          <w:rFonts w:ascii="Arial" w:eastAsia="Calibri" w:hAnsi="Arial" w:cs="Arial"/>
          <w:b/>
          <w:color w:val="000000" w:themeColor="text1"/>
          <w:sz w:val="22"/>
        </w:rPr>
      </w:pPr>
    </w:p>
    <w:p w14:paraId="78539755" w14:textId="77777777" w:rsidR="007F2458" w:rsidRPr="00C429A6" w:rsidRDefault="007F2458" w:rsidP="007F2458">
      <w:pPr>
        <w:tabs>
          <w:tab w:val="left" w:pos="426"/>
        </w:tabs>
        <w:spacing w:line="276" w:lineRule="auto"/>
        <w:jc w:val="both"/>
        <w:rPr>
          <w:rFonts w:ascii="Arial" w:eastAsia="Calibri" w:hAnsi="Arial" w:cs="Arial"/>
          <w:color w:val="000000" w:themeColor="text1"/>
          <w:sz w:val="22"/>
        </w:rPr>
      </w:pPr>
      <w:r w:rsidRPr="00C429A6">
        <w:rPr>
          <w:rFonts w:ascii="Arial" w:eastAsia="Calibri" w:hAnsi="Arial" w:cs="Arial"/>
          <w:color w:val="000000" w:themeColor="text1"/>
          <w:sz w:val="22"/>
        </w:rPr>
        <w:t>Usted realiza la siguiente pregunta: ¿«[…] cual (sic) es el valor del umbral de contratación para Mypimes (sic) del año 2020, toda vez que la pagina (sic) de Colombia compra no se encuentra actualizada»?</w:t>
      </w:r>
    </w:p>
    <w:p w14:paraId="39E17EC2" w14:textId="77777777" w:rsidR="007F2458" w:rsidRPr="00C429A6" w:rsidRDefault="007F2458" w:rsidP="007F2458">
      <w:pPr>
        <w:tabs>
          <w:tab w:val="left" w:pos="426"/>
        </w:tabs>
        <w:spacing w:line="276" w:lineRule="auto"/>
        <w:jc w:val="both"/>
        <w:rPr>
          <w:rFonts w:ascii="Arial" w:eastAsia="Calibri" w:hAnsi="Arial" w:cs="Arial"/>
          <w:color w:val="000000" w:themeColor="text1"/>
          <w:sz w:val="22"/>
        </w:rPr>
      </w:pPr>
    </w:p>
    <w:p w14:paraId="1AC89B17" w14:textId="77777777" w:rsidR="007F2458" w:rsidRPr="00C429A6" w:rsidRDefault="007F2458" w:rsidP="007F2458">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C429A6">
        <w:rPr>
          <w:rFonts w:ascii="Arial" w:eastAsia="Calibri" w:hAnsi="Arial" w:cs="Arial"/>
          <w:b/>
          <w:color w:val="000000" w:themeColor="text1"/>
          <w:sz w:val="22"/>
        </w:rPr>
        <w:t>Consideraciones</w:t>
      </w:r>
    </w:p>
    <w:bookmarkEnd w:id="0"/>
    <w:bookmarkEnd w:id="1"/>
    <w:p w14:paraId="1CF28731" w14:textId="77777777" w:rsidR="007F2458" w:rsidRPr="00C429A6" w:rsidRDefault="007F2458" w:rsidP="007F2458">
      <w:pPr>
        <w:spacing w:line="276" w:lineRule="auto"/>
        <w:jc w:val="both"/>
        <w:rPr>
          <w:rFonts w:ascii="Arial" w:hAnsi="Arial" w:cs="Arial"/>
          <w:color w:val="000000" w:themeColor="text1"/>
          <w:sz w:val="22"/>
          <w:lang w:val="es-ES"/>
        </w:rPr>
      </w:pPr>
    </w:p>
    <w:p w14:paraId="1F39215E" w14:textId="77777777" w:rsidR="007F2458" w:rsidRPr="00C429A6" w:rsidRDefault="007F2458" w:rsidP="007F2458">
      <w:pPr>
        <w:spacing w:line="276" w:lineRule="auto"/>
        <w:jc w:val="both"/>
        <w:rPr>
          <w:rFonts w:ascii="Arial" w:hAnsi="Arial" w:cs="Arial"/>
          <w:color w:val="000000" w:themeColor="text1"/>
          <w:sz w:val="22"/>
          <w:lang w:val="es-ES"/>
        </w:rPr>
      </w:pPr>
      <w:r w:rsidRPr="00C429A6">
        <w:rPr>
          <w:rFonts w:ascii="Arial" w:eastAsia="Calibri" w:hAnsi="Arial" w:cs="Arial"/>
          <w:color w:val="000000" w:themeColor="text1"/>
          <w:sz w:val="22"/>
        </w:rPr>
        <w:t xml:space="preserve">La Agencia Nacional de Contratación Pública ―Colombia Compra Eficiente se ha pronunciado sobre </w:t>
      </w:r>
      <w:r w:rsidRPr="00C429A6">
        <w:rPr>
          <w:rFonts w:ascii="Arial" w:hAnsi="Arial" w:cs="Arial"/>
          <w:color w:val="000000" w:themeColor="text1"/>
          <w:sz w:val="22"/>
          <w:lang w:val="es-ES"/>
        </w:rPr>
        <w:t>las limitaciones que regulan los artículos 2.2.1.2.4.2.2. y 2.2.1.2.4.2.3.  del Decreto 1082 de 2015, en el Concepto CU-021 del 21 de febrero de 2020, proferido dentro del radicado No. 4201912000008616, por lo que se reiteran dichas consideraciones. En tal sentido, para resolver su consulta es necesario realizar algunas consideraciones en relación con el alcance de la limitación que regulan tales normas.</w:t>
      </w:r>
    </w:p>
    <w:p w14:paraId="6DC1E052" w14:textId="77777777" w:rsidR="007F2458" w:rsidRPr="00C429A6" w:rsidRDefault="007F2458" w:rsidP="007F2458">
      <w:pPr>
        <w:spacing w:line="276" w:lineRule="auto"/>
        <w:jc w:val="both"/>
        <w:rPr>
          <w:rFonts w:ascii="Arial" w:hAnsi="Arial" w:cs="Arial"/>
          <w:color w:val="000000" w:themeColor="text1"/>
          <w:sz w:val="22"/>
          <w:lang w:val="es-ES"/>
        </w:rPr>
      </w:pPr>
    </w:p>
    <w:p w14:paraId="41C7AD70" w14:textId="77777777" w:rsidR="007F2458" w:rsidRPr="00C429A6" w:rsidRDefault="007F2458" w:rsidP="007F2458">
      <w:pPr>
        <w:spacing w:line="276" w:lineRule="auto"/>
        <w:jc w:val="both"/>
        <w:rPr>
          <w:rFonts w:ascii="Arial" w:hAnsi="Arial" w:cs="Arial"/>
          <w:color w:val="000000" w:themeColor="text1"/>
          <w:sz w:val="22"/>
        </w:rPr>
      </w:pPr>
      <w:r w:rsidRPr="00C429A6">
        <w:rPr>
          <w:rFonts w:ascii="Arial" w:hAnsi="Arial" w:cs="Arial"/>
          <w:color w:val="000000" w:themeColor="text1"/>
          <w:sz w:val="22"/>
          <w:lang w:val="es-ES"/>
        </w:rPr>
        <w:t xml:space="preserve">Según el artículo 2 de </w:t>
      </w:r>
      <w:r w:rsidRPr="00C429A6">
        <w:rPr>
          <w:rFonts w:ascii="Arial" w:hAnsi="Arial" w:cs="Arial"/>
          <w:color w:val="000000" w:themeColor="text1"/>
          <w:sz w:val="22"/>
        </w:rPr>
        <w:t>La Ley 905 de 2004</w:t>
      </w:r>
      <w:r w:rsidRPr="00C429A6">
        <w:rPr>
          <w:rStyle w:val="Refdenotaalpie"/>
          <w:rFonts w:ascii="Arial" w:hAnsi="Arial" w:cs="Arial"/>
          <w:color w:val="000000" w:themeColor="text1"/>
          <w:sz w:val="22"/>
        </w:rPr>
        <w:footnoteReference w:id="1"/>
      </w:r>
      <w:r w:rsidRPr="00C429A6">
        <w:rPr>
          <w:rFonts w:ascii="Arial" w:hAnsi="Arial" w:cs="Arial"/>
          <w:color w:val="000000" w:themeColor="text1"/>
          <w:sz w:val="22"/>
        </w:rPr>
        <w:t xml:space="preserve">, que modificó la Ley 590 de 2000, la Micro, Pequeña y Mediana Empresa ─Mipyme─ es una «unidad de explotación económica, </w:t>
      </w:r>
      <w:r w:rsidRPr="00C429A6">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24558113"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En ese sentido, la norma dispone que: i) la mediana empresa es aquella que tiene una planta de personal entre 51 y 200 trabajadores o activos totales por un valor entre 100.000 y 610.000 Unidades de valor Tributaria ─UVT─, ii) la pequeña empresa es aquella que tiene una planta de personal entre 11 y 50 trabajadores o activos totales por un valor entre 501 y 5000 salarios mínimos mensuales legales vigentes, y iii) la microempresa es aquella que tiene una planta de personal de 10 trabajadores o menos o activos totales por un valor inferior a 500 salarios mínimos legales mensuales</w:t>
      </w:r>
      <w:r w:rsidRPr="00C429A6">
        <w:rPr>
          <w:rFonts w:ascii="Arial" w:hAnsi="Arial" w:cs="Arial"/>
          <w:color w:val="000000" w:themeColor="text1"/>
          <w:sz w:val="22"/>
          <w:vertAlign w:val="superscript"/>
        </w:rPr>
        <w:footnoteReference w:id="2"/>
      </w:r>
      <w:r w:rsidRPr="00C429A6">
        <w:rPr>
          <w:rFonts w:ascii="Arial" w:hAnsi="Arial" w:cs="Arial"/>
          <w:color w:val="000000" w:themeColor="text1"/>
          <w:sz w:val="22"/>
        </w:rPr>
        <w:t>.</w:t>
      </w:r>
    </w:p>
    <w:p w14:paraId="7F457224"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C429A6">
        <w:rPr>
          <w:rStyle w:val="Refdenotaalpie"/>
          <w:rFonts w:ascii="Arial" w:hAnsi="Arial" w:cs="Arial"/>
          <w:color w:val="000000" w:themeColor="text1"/>
          <w:sz w:val="22"/>
        </w:rPr>
        <w:footnoteReference w:id="3"/>
      </w:r>
      <w:r w:rsidRPr="00C429A6">
        <w:rPr>
          <w:rFonts w:ascii="Arial" w:hAnsi="Arial" w:cs="Arial"/>
          <w:color w:val="000000" w:themeColor="text1"/>
          <w:sz w:val="22"/>
        </w:rPr>
        <w:t>.</w:t>
      </w:r>
    </w:p>
    <w:p w14:paraId="2638D0C8"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6CAE4C50"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lastRenderedPageBreak/>
        <w:t>Al respecto, el Consejo de Estado, Sala de lo Contencioso Administrativo, Sección Tercera, Subsección C, mediante sentencia con número de expediente 40.743, del 23 de mayo de 2012</w:t>
      </w:r>
      <w:r w:rsidRPr="00C429A6">
        <w:rPr>
          <w:rStyle w:val="Refdenotaalpie"/>
          <w:rFonts w:ascii="Arial" w:hAnsi="Arial" w:cs="Arial"/>
          <w:color w:val="000000" w:themeColor="text1"/>
          <w:sz w:val="22"/>
        </w:rPr>
        <w:footnoteReference w:id="4"/>
      </w:r>
      <w:r w:rsidRPr="00C429A6">
        <w:rPr>
          <w:rFonts w:ascii="Arial" w:hAnsi="Arial" w:cs="Arial"/>
          <w:color w:val="000000" w:themeColor="text1"/>
          <w:sz w:val="22"/>
        </w:rPr>
        <w:t>, con ponencia del Magistrado Enrique Gil Botero, 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75B29A16"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Junto con la promoción dispuesta en la Ley 590 de 2000 se encuentra el articulo 12 la Ley 1150 de 2007, modificado por el artículo 32 de la Ley 1450 de 2011, que estableció las convocatorias limitadas a Mipymes en contratación pública, en los siguientes términos:</w:t>
      </w:r>
    </w:p>
    <w:p w14:paraId="5FCE361A" w14:textId="77777777" w:rsidR="007F2458" w:rsidRPr="00C429A6" w:rsidRDefault="007F2458" w:rsidP="007F2458">
      <w:pPr>
        <w:jc w:val="both"/>
        <w:rPr>
          <w:rFonts w:ascii="Arial" w:hAnsi="Arial" w:cs="Arial"/>
          <w:color w:val="000000" w:themeColor="text1"/>
          <w:sz w:val="22"/>
        </w:rPr>
      </w:pPr>
    </w:p>
    <w:p w14:paraId="04FE63E2"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C429A6">
        <w:rPr>
          <w:rFonts w:ascii="Arial" w:hAnsi="Arial" w:cs="Arial"/>
          <w:color w:val="000000" w:themeColor="text1"/>
          <w:sz w:val="21"/>
          <w:szCs w:val="21"/>
          <w:u w:val="single"/>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C429A6">
        <w:rPr>
          <w:rFonts w:ascii="Arial" w:hAnsi="Arial" w:cs="Arial"/>
          <w:color w:val="000000" w:themeColor="text1"/>
          <w:sz w:val="21"/>
          <w:szCs w:val="21"/>
        </w:rPr>
        <w:t>.</w:t>
      </w:r>
    </w:p>
    <w:p w14:paraId="2E4A7FD0" w14:textId="77777777" w:rsidR="007F2458" w:rsidRPr="00C429A6" w:rsidRDefault="007F2458" w:rsidP="007F2458">
      <w:pPr>
        <w:ind w:left="709" w:right="709"/>
        <w:jc w:val="both"/>
        <w:rPr>
          <w:rFonts w:ascii="Arial" w:hAnsi="Arial" w:cs="Arial"/>
          <w:color w:val="000000" w:themeColor="text1"/>
          <w:sz w:val="21"/>
          <w:szCs w:val="21"/>
        </w:rPr>
      </w:pPr>
    </w:p>
    <w:p w14:paraId="7B161691"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Asimismo, el reglamento podrá establecer condiciones preferenciales en favor de la oferta de bienes y servicios producidos por las Mipymes, respetando los montos y las condiciones contenidas en los compromisos internacionales vigentes.</w:t>
      </w:r>
    </w:p>
    <w:p w14:paraId="196CA7DF" w14:textId="77777777" w:rsidR="007F2458" w:rsidRPr="00C429A6" w:rsidRDefault="007F2458" w:rsidP="007F2458">
      <w:pPr>
        <w:ind w:left="709" w:right="709"/>
        <w:jc w:val="both"/>
        <w:rPr>
          <w:rFonts w:ascii="Arial" w:hAnsi="Arial" w:cs="Arial"/>
          <w:color w:val="000000" w:themeColor="text1"/>
          <w:sz w:val="21"/>
          <w:szCs w:val="21"/>
        </w:rPr>
      </w:pPr>
    </w:p>
    <w:p w14:paraId="7870DEC4"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1D1EED5B" w14:textId="77777777" w:rsidR="007F2458" w:rsidRPr="00C429A6" w:rsidRDefault="007F2458" w:rsidP="007F2458">
      <w:pPr>
        <w:ind w:left="709" w:right="709"/>
        <w:jc w:val="both"/>
        <w:rPr>
          <w:rFonts w:ascii="Arial" w:hAnsi="Arial" w:cs="Arial"/>
          <w:color w:val="000000" w:themeColor="text1"/>
          <w:sz w:val="21"/>
          <w:szCs w:val="21"/>
        </w:rPr>
      </w:pPr>
    </w:p>
    <w:p w14:paraId="4684821E"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lastRenderedPageBreak/>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64808C5E" w14:textId="77777777" w:rsidR="007F2458" w:rsidRPr="00C429A6" w:rsidRDefault="007F2458" w:rsidP="007F2458">
      <w:pPr>
        <w:ind w:left="709" w:right="709"/>
        <w:jc w:val="both"/>
        <w:rPr>
          <w:rFonts w:ascii="Arial" w:hAnsi="Arial" w:cs="Arial"/>
          <w:color w:val="000000" w:themeColor="text1"/>
          <w:sz w:val="21"/>
          <w:szCs w:val="21"/>
        </w:rPr>
      </w:pPr>
    </w:p>
    <w:p w14:paraId="3295D953"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39BF2390" w14:textId="77777777" w:rsidR="007F2458" w:rsidRPr="00C429A6" w:rsidRDefault="007F2458" w:rsidP="007F2458">
      <w:pPr>
        <w:ind w:left="709" w:right="709"/>
        <w:jc w:val="both"/>
        <w:rPr>
          <w:rFonts w:ascii="Arial" w:hAnsi="Arial" w:cs="Arial"/>
          <w:color w:val="000000" w:themeColor="text1"/>
          <w:sz w:val="21"/>
          <w:szCs w:val="21"/>
        </w:rPr>
      </w:pPr>
    </w:p>
    <w:p w14:paraId="74C4200E"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30EA3A3" w14:textId="77777777" w:rsidR="007F2458" w:rsidRPr="00C429A6" w:rsidRDefault="007F2458" w:rsidP="007F2458">
      <w:pPr>
        <w:ind w:left="709" w:right="709"/>
        <w:jc w:val="both"/>
        <w:rPr>
          <w:rFonts w:ascii="Arial" w:hAnsi="Arial" w:cs="Arial"/>
          <w:color w:val="000000" w:themeColor="text1"/>
          <w:sz w:val="21"/>
          <w:szCs w:val="21"/>
        </w:rPr>
      </w:pPr>
    </w:p>
    <w:p w14:paraId="03A86315" w14:textId="77777777" w:rsidR="007F2458" w:rsidRPr="00C429A6" w:rsidRDefault="007F2458" w:rsidP="007F2458">
      <w:pPr>
        <w:ind w:left="709" w:right="709"/>
        <w:jc w:val="both"/>
        <w:rPr>
          <w:rFonts w:ascii="Arial" w:hAnsi="Arial" w:cs="Arial"/>
          <w:color w:val="000000" w:themeColor="text1"/>
          <w:sz w:val="21"/>
          <w:szCs w:val="21"/>
        </w:rPr>
      </w:pPr>
      <w:r w:rsidRPr="00C429A6">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14:paraId="6DEDDF50" w14:textId="77777777" w:rsidR="007F2458" w:rsidRPr="00C429A6" w:rsidRDefault="007F2458" w:rsidP="007F2458">
      <w:pPr>
        <w:jc w:val="both"/>
        <w:rPr>
          <w:rFonts w:ascii="Arial" w:hAnsi="Arial" w:cs="Arial"/>
          <w:color w:val="000000" w:themeColor="text1"/>
          <w:sz w:val="22"/>
        </w:rPr>
      </w:pPr>
    </w:p>
    <w:p w14:paraId="599CF33A"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hAnsi="Arial" w:cs="Arial"/>
          <w:color w:val="000000" w:themeColor="text1"/>
          <w:sz w:val="22"/>
        </w:rPr>
        <w:t>L</w:t>
      </w:r>
      <w:r w:rsidRPr="00C429A6">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752BD8F3"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Mipymes» y la </w:t>
      </w:r>
      <w:r w:rsidRPr="00C429A6">
        <w:rPr>
          <w:rFonts w:ascii="Arial" w:hAnsi="Arial" w:cs="Arial"/>
          <w:color w:val="000000" w:themeColor="text1"/>
          <w:sz w:val="22"/>
          <w:lang w:val="es-CO"/>
        </w:rPr>
        <w:t>«limitación territorial» a Mipymes</w:t>
      </w:r>
      <w:r w:rsidRPr="00C429A6">
        <w:rPr>
          <w:rFonts w:ascii="Arial" w:hAnsi="Arial" w:cs="Arial"/>
          <w:color w:val="000000" w:themeColor="text1"/>
          <w:sz w:val="22"/>
        </w:rPr>
        <w:t xml:space="preserve">, contenidas, respectivamente, en los artículos 2.2.1.2.4.2.2. y </w:t>
      </w:r>
      <w:r w:rsidRPr="00C429A6">
        <w:rPr>
          <w:rFonts w:ascii="Arial" w:hAnsi="Arial" w:cs="Arial"/>
          <w:color w:val="000000" w:themeColor="text1"/>
          <w:sz w:val="22"/>
          <w:lang w:val="es-CO"/>
        </w:rPr>
        <w:t xml:space="preserve">2.2.1.2.4.2.3. </w:t>
      </w:r>
      <w:r w:rsidRPr="00C429A6">
        <w:rPr>
          <w:rFonts w:ascii="Arial" w:hAnsi="Arial" w:cs="Arial"/>
          <w:color w:val="000000" w:themeColor="text1"/>
          <w:sz w:val="22"/>
        </w:rPr>
        <w:t>Este último dice lo siguiente:</w:t>
      </w:r>
    </w:p>
    <w:p w14:paraId="2E2EDD29" w14:textId="77777777" w:rsidR="007F2458" w:rsidRPr="00C429A6" w:rsidRDefault="007F2458" w:rsidP="007F2458">
      <w:pPr>
        <w:ind w:firstLine="709"/>
        <w:jc w:val="both"/>
        <w:rPr>
          <w:rFonts w:ascii="Arial" w:hAnsi="Arial" w:cs="Arial"/>
          <w:color w:val="000000" w:themeColor="text1"/>
          <w:sz w:val="22"/>
        </w:rPr>
      </w:pPr>
    </w:p>
    <w:p w14:paraId="56E74389" w14:textId="77777777" w:rsidR="007F2458" w:rsidRPr="00C429A6" w:rsidRDefault="007F2458" w:rsidP="007F2458">
      <w:pPr>
        <w:ind w:left="709" w:right="760"/>
        <w:jc w:val="both"/>
        <w:rPr>
          <w:rFonts w:ascii="Arial" w:hAnsi="Arial" w:cs="Arial"/>
          <w:color w:val="000000" w:themeColor="text1"/>
          <w:sz w:val="21"/>
          <w:szCs w:val="21"/>
        </w:rPr>
      </w:pPr>
      <w:r w:rsidRPr="00C429A6">
        <w:rPr>
          <w:rFonts w:ascii="Arial" w:hAnsi="Arial" w:cs="Arial"/>
          <w:color w:val="000000" w:themeColor="text1"/>
          <w:sz w:val="21"/>
          <w:szCs w:val="21"/>
          <w:lang w:val="es-CO"/>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0116D037" w14:textId="77777777" w:rsidR="007F2458" w:rsidRPr="00C429A6" w:rsidRDefault="007F2458" w:rsidP="007F2458">
      <w:pPr>
        <w:ind w:left="709" w:right="760"/>
        <w:jc w:val="both"/>
        <w:rPr>
          <w:rFonts w:ascii="Arial" w:hAnsi="Arial" w:cs="Arial"/>
          <w:color w:val="000000" w:themeColor="text1"/>
          <w:sz w:val="21"/>
          <w:szCs w:val="21"/>
        </w:rPr>
      </w:pPr>
    </w:p>
    <w:p w14:paraId="633E819B" w14:textId="77777777" w:rsidR="007F2458" w:rsidRPr="00C429A6" w:rsidRDefault="007F2458" w:rsidP="007F2458">
      <w:pPr>
        <w:ind w:left="709" w:right="760"/>
        <w:jc w:val="both"/>
        <w:rPr>
          <w:rFonts w:ascii="Arial" w:hAnsi="Arial" w:cs="Arial"/>
          <w:color w:val="000000" w:themeColor="text1"/>
          <w:sz w:val="22"/>
        </w:rPr>
      </w:pPr>
      <w:r w:rsidRPr="00C429A6">
        <w:rPr>
          <w:rFonts w:ascii="Arial" w:hAnsi="Arial" w:cs="Arial"/>
          <w:color w:val="000000" w:themeColor="text1"/>
          <w:sz w:val="22"/>
        </w:rPr>
        <w:t>El artículo 2.2.1.2.4.2.2., por su parte, es del siguiente tenor:</w:t>
      </w:r>
    </w:p>
    <w:p w14:paraId="6FFEF6EA" w14:textId="77777777" w:rsidR="007F2458" w:rsidRPr="00C429A6" w:rsidRDefault="007F2458" w:rsidP="007F2458">
      <w:pPr>
        <w:ind w:left="709" w:right="760"/>
        <w:jc w:val="both"/>
        <w:rPr>
          <w:rFonts w:ascii="Arial" w:hAnsi="Arial" w:cs="Arial"/>
          <w:color w:val="000000" w:themeColor="text1"/>
          <w:sz w:val="21"/>
          <w:szCs w:val="21"/>
        </w:rPr>
      </w:pPr>
    </w:p>
    <w:p w14:paraId="235371FC" w14:textId="77777777" w:rsidR="007F2458" w:rsidRPr="00C429A6" w:rsidRDefault="007F2458" w:rsidP="007F2458">
      <w:pPr>
        <w:ind w:left="709" w:right="760"/>
        <w:jc w:val="both"/>
        <w:rPr>
          <w:rFonts w:ascii="Arial" w:hAnsi="Arial" w:cs="Arial"/>
          <w:color w:val="000000" w:themeColor="text1"/>
          <w:sz w:val="21"/>
          <w:szCs w:val="21"/>
          <w:lang w:val="es-CO"/>
        </w:rPr>
      </w:pPr>
      <w:r w:rsidRPr="00C429A6">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14:paraId="53489781" w14:textId="77777777" w:rsidR="007F2458" w:rsidRPr="00C429A6" w:rsidRDefault="007F2458" w:rsidP="007F2458">
      <w:pPr>
        <w:ind w:left="709" w:right="760"/>
        <w:jc w:val="both"/>
        <w:rPr>
          <w:rFonts w:ascii="Arial" w:hAnsi="Arial" w:cs="Arial"/>
          <w:color w:val="000000" w:themeColor="text1"/>
          <w:sz w:val="21"/>
          <w:szCs w:val="21"/>
          <w:lang w:val="es-CO"/>
        </w:rPr>
      </w:pPr>
    </w:p>
    <w:p w14:paraId="22E90A3B" w14:textId="77777777" w:rsidR="007F2458" w:rsidRPr="00C429A6" w:rsidRDefault="007F2458" w:rsidP="007F2458">
      <w:pPr>
        <w:pStyle w:val="Prrafodelista"/>
        <w:numPr>
          <w:ilvl w:val="0"/>
          <w:numId w:val="2"/>
        </w:numPr>
        <w:ind w:left="709" w:right="760" w:firstLine="0"/>
        <w:jc w:val="both"/>
        <w:rPr>
          <w:rFonts w:ascii="Arial" w:hAnsi="Arial" w:cs="Arial"/>
          <w:color w:val="000000" w:themeColor="text1"/>
          <w:sz w:val="21"/>
          <w:szCs w:val="21"/>
          <w:lang w:val="es-CO"/>
        </w:rPr>
      </w:pPr>
      <w:r w:rsidRPr="00C429A6">
        <w:rPr>
          <w:rFonts w:ascii="Arial" w:hAnsi="Arial" w:cs="Arial"/>
          <w:color w:val="000000" w:themeColor="text1"/>
          <w:sz w:val="21"/>
          <w:szCs w:val="21"/>
          <w:lang w:val="es-CO"/>
        </w:rPr>
        <w:t xml:space="preserve">El valor del Proceso de Contratación es menor a ciento veinticinco mil dólares de los Estados Unidos de América (US$125.000), liquidados con la tasa de cambio que para el efecto determina cada dos años el Ministerio de Comercio, Industria y Turismo; </w:t>
      </w:r>
    </w:p>
    <w:p w14:paraId="613A2F28" w14:textId="77777777" w:rsidR="007F2458" w:rsidRPr="00C429A6" w:rsidRDefault="007F2458" w:rsidP="007F2458">
      <w:pPr>
        <w:pStyle w:val="Prrafodelista"/>
        <w:ind w:left="709" w:right="760"/>
        <w:jc w:val="both"/>
        <w:rPr>
          <w:rFonts w:ascii="Arial" w:hAnsi="Arial" w:cs="Arial"/>
          <w:color w:val="000000" w:themeColor="text1"/>
          <w:sz w:val="21"/>
          <w:szCs w:val="21"/>
          <w:lang w:val="es-CO"/>
        </w:rPr>
      </w:pPr>
    </w:p>
    <w:p w14:paraId="102FF471" w14:textId="77777777" w:rsidR="007F2458" w:rsidRPr="00C429A6" w:rsidRDefault="007F2458" w:rsidP="007F2458">
      <w:pPr>
        <w:pStyle w:val="Prrafodelista"/>
        <w:numPr>
          <w:ilvl w:val="0"/>
          <w:numId w:val="2"/>
        </w:numPr>
        <w:ind w:left="709" w:right="760" w:firstLine="0"/>
        <w:jc w:val="both"/>
        <w:rPr>
          <w:rFonts w:ascii="Arial" w:hAnsi="Arial" w:cs="Arial"/>
          <w:color w:val="000000" w:themeColor="text1"/>
          <w:sz w:val="21"/>
          <w:szCs w:val="21"/>
          <w:lang w:val="es-CO"/>
        </w:rPr>
      </w:pPr>
      <w:r w:rsidRPr="00C429A6">
        <w:rPr>
          <w:rFonts w:ascii="Arial" w:hAnsi="Arial" w:cs="Arial"/>
          <w:color w:val="000000" w:themeColor="text1"/>
          <w:sz w:val="21"/>
          <w:szCs w:val="21"/>
          <w:lang w:val="es-CO"/>
        </w:rPr>
        <w:t>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1AC13D8A" w14:textId="77777777" w:rsidR="007F2458" w:rsidRPr="00C429A6" w:rsidRDefault="007F2458" w:rsidP="007F2458">
      <w:pPr>
        <w:jc w:val="both"/>
        <w:rPr>
          <w:rFonts w:ascii="Arial" w:hAnsi="Arial" w:cs="Arial"/>
          <w:color w:val="000000" w:themeColor="text1"/>
          <w:sz w:val="20"/>
          <w:szCs w:val="20"/>
          <w:lang w:val="es-CO"/>
        </w:rPr>
      </w:pPr>
    </w:p>
    <w:p w14:paraId="02628A3D"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Pr="00C429A6">
        <w:rPr>
          <w:rFonts w:ascii="Arial" w:hAnsi="Arial" w:cs="Arial"/>
          <w:i/>
          <w:iCs/>
          <w:color w:val="000000" w:themeColor="text1"/>
          <w:sz w:val="22"/>
        </w:rPr>
        <w:t>infra</w:t>
      </w:r>
      <w:r w:rsidRPr="00C429A6">
        <w:rPr>
          <w:rFonts w:ascii="Arial" w:hAnsi="Arial" w:cs="Arial"/>
          <w:color w:val="000000" w:themeColor="text1"/>
          <w:sz w:val="22"/>
        </w:rPr>
        <w:t xml:space="preserve"> literal a» y, por el otro, la que establece la posibilidad de regular la convocatoria a Mipymes nacionales domiciliadas en los departamentos o municipios en donde se va a ejecutar el contrato «</w:t>
      </w:r>
      <w:r w:rsidRPr="00C429A6">
        <w:rPr>
          <w:rFonts w:ascii="Arial" w:hAnsi="Arial" w:cs="Arial"/>
          <w:i/>
          <w:iCs/>
          <w:color w:val="000000" w:themeColor="text1"/>
          <w:sz w:val="22"/>
        </w:rPr>
        <w:t xml:space="preserve">infra </w:t>
      </w:r>
      <w:r w:rsidRPr="00C429A6">
        <w:rPr>
          <w:rFonts w:ascii="Arial" w:hAnsi="Arial" w:cs="Arial"/>
          <w:color w:val="000000" w:themeColor="text1"/>
          <w:sz w:val="22"/>
        </w:rPr>
        <w:t xml:space="preserve">literal b». </w:t>
      </w:r>
    </w:p>
    <w:p w14:paraId="195DF4FE"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448C7BE8"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b/>
          <w:bCs/>
          <w:color w:val="000000" w:themeColor="text1"/>
          <w:sz w:val="22"/>
        </w:rPr>
        <w:t>a)</w:t>
      </w:r>
      <w:r w:rsidRPr="00C429A6">
        <w:rPr>
          <w:rFonts w:ascii="Arial" w:hAnsi="Arial" w:cs="Arial"/>
          <w:color w:val="000000" w:themeColor="text1"/>
          <w:sz w:val="22"/>
        </w:rPr>
        <w:t xml:space="preserve"> El artículo 2.2.1.2.4.2.2. del Decreto 1082 de 2015 establece los requisitos que se deben acreditar en las «convocatorias limitadas a Mipymes».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w:t>
      </w:r>
      <w:r w:rsidRPr="00C429A6">
        <w:rPr>
          <w:rFonts w:ascii="Arial" w:hAnsi="Arial" w:cs="Arial"/>
          <w:color w:val="000000" w:themeColor="text1"/>
          <w:sz w:val="22"/>
        </w:rPr>
        <w:lastRenderedPageBreak/>
        <w:t>norma no hace referencia a la tasa de cambio representativa del mercado ─TRM</w:t>
      </w:r>
      <w:r w:rsidRPr="00C429A6">
        <w:rPr>
          <w:rStyle w:val="Refdenotaalpie"/>
          <w:rFonts w:ascii="Arial" w:hAnsi="Arial" w:cs="Arial"/>
          <w:color w:val="000000" w:themeColor="text1"/>
          <w:sz w:val="22"/>
        </w:rPr>
        <w:footnoteReference w:id="5"/>
      </w:r>
      <w:r w:rsidRPr="00C429A6">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5C7A56A2" w14:textId="77777777" w:rsidR="007F2458" w:rsidRPr="00C429A6" w:rsidRDefault="007F2458" w:rsidP="007F2458">
      <w:pPr>
        <w:spacing w:before="120" w:line="276" w:lineRule="auto"/>
        <w:ind w:firstLine="709"/>
        <w:jc w:val="both"/>
        <w:rPr>
          <w:rFonts w:ascii="Arial" w:hAnsi="Arial" w:cs="Arial"/>
          <w:color w:val="000000" w:themeColor="text1"/>
          <w:sz w:val="22"/>
        </w:rPr>
      </w:pPr>
      <w:r w:rsidRPr="00C429A6">
        <w:rPr>
          <w:rFonts w:ascii="Arial" w:hAnsi="Arial" w:cs="Arial"/>
          <w:color w:val="000000" w:themeColor="text1"/>
          <w:sz w:val="22"/>
        </w:rPr>
        <w:t>Para establecer dicha tasa, el Ministerio toma en cuenta como parámetros, por un lado, el promedio de la TRM</w:t>
      </w:r>
      <w:r w:rsidRPr="00C429A6">
        <w:rPr>
          <w:rStyle w:val="Refdenotaalpie"/>
          <w:rFonts w:ascii="Arial" w:hAnsi="Arial" w:cs="Arial"/>
          <w:color w:val="000000" w:themeColor="text1"/>
          <w:sz w:val="22"/>
        </w:rPr>
        <w:footnoteReference w:id="6"/>
      </w:r>
      <w:r w:rsidRPr="00C429A6">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C429A6">
        <w:rPr>
          <w:rFonts w:ascii="Arial" w:hAnsi="Arial" w:cs="Arial"/>
          <w:color w:val="000000" w:themeColor="text1"/>
          <w:sz w:val="22"/>
          <w:lang w:val="es-CO"/>
        </w:rPr>
        <w:t xml:space="preserve">numeral 1º del artículo </w:t>
      </w:r>
      <w:r w:rsidRPr="00C429A6">
        <w:rPr>
          <w:rFonts w:ascii="Arial" w:hAnsi="Arial" w:cs="Arial"/>
          <w:color w:val="000000" w:themeColor="text1"/>
          <w:sz w:val="22"/>
        </w:rPr>
        <w:t>2.2.1.2.4.2.2.</w:t>
      </w:r>
      <w:r w:rsidRPr="00C429A6">
        <w:rPr>
          <w:rFonts w:ascii="Arial" w:hAnsi="Arial" w:cs="Arial"/>
          <w:color w:val="000000" w:themeColor="text1"/>
          <w:sz w:val="22"/>
          <w:lang w:val="es-CO"/>
        </w:rPr>
        <w:t xml:space="preserve"> del Decreto 1082 de 2015. Así lo ha hecho </w:t>
      </w:r>
      <w:r w:rsidRPr="00C429A6">
        <w:rPr>
          <w:rFonts w:ascii="Arial" w:hAnsi="Arial" w:cs="Arial"/>
          <w:color w:val="000000" w:themeColor="text1"/>
          <w:sz w:val="22"/>
        </w:rPr>
        <w:t>para los periodos 2015</w:t>
      </w:r>
      <w:r w:rsidRPr="00C429A6">
        <w:rPr>
          <w:rStyle w:val="Refdenotaalpie"/>
          <w:rFonts w:ascii="Arial" w:hAnsi="Arial" w:cs="Arial"/>
          <w:color w:val="000000" w:themeColor="text1"/>
          <w:sz w:val="22"/>
        </w:rPr>
        <w:footnoteReference w:id="7"/>
      </w:r>
      <w:r w:rsidRPr="00C429A6">
        <w:rPr>
          <w:rFonts w:ascii="Arial" w:hAnsi="Arial" w:cs="Arial"/>
          <w:color w:val="000000" w:themeColor="text1"/>
          <w:sz w:val="22"/>
        </w:rPr>
        <w:t>-2017, 2018-2019 y 2020-2021 (vigente)</w:t>
      </w:r>
      <w:r w:rsidRPr="00C429A6">
        <w:rPr>
          <w:rStyle w:val="Refdenotaalpie"/>
          <w:rFonts w:ascii="Arial" w:hAnsi="Arial" w:cs="Arial"/>
          <w:color w:val="000000" w:themeColor="text1"/>
          <w:sz w:val="22"/>
        </w:rPr>
        <w:footnoteReference w:id="8"/>
      </w:r>
      <w:r w:rsidRPr="00C429A6">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5C5A7F82" w14:textId="77777777" w:rsidR="007F2458" w:rsidRPr="00C429A6" w:rsidRDefault="007F2458" w:rsidP="007F2458">
      <w:pPr>
        <w:spacing w:before="120" w:line="276" w:lineRule="auto"/>
        <w:ind w:firstLine="708"/>
        <w:jc w:val="both"/>
        <w:rPr>
          <w:rFonts w:ascii="Arial" w:hAnsi="Arial" w:cs="Arial"/>
          <w:color w:val="000000" w:themeColor="text1"/>
          <w:sz w:val="22"/>
        </w:rPr>
      </w:pPr>
      <w:r w:rsidRPr="00C429A6">
        <w:rPr>
          <w:rFonts w:ascii="Arial" w:hAnsi="Arial" w:cs="Arial"/>
          <w:color w:val="000000" w:themeColor="text1"/>
          <w:sz w:val="22"/>
        </w:rPr>
        <w:t>El numeral segundo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w:t>
      </w:r>
      <w:r w:rsidRPr="00C429A6">
        <w:rPr>
          <w:rStyle w:val="Refdenotaalpie"/>
          <w:rFonts w:ascii="Arial" w:hAnsi="Arial" w:cs="Arial"/>
          <w:color w:val="000000" w:themeColor="text1"/>
          <w:sz w:val="22"/>
        </w:rPr>
        <w:footnoteReference w:id="9"/>
      </w:r>
      <w:r w:rsidRPr="00C429A6">
        <w:rPr>
          <w:rFonts w:ascii="Arial" w:hAnsi="Arial" w:cs="Arial"/>
          <w:color w:val="000000" w:themeColor="text1"/>
          <w:sz w:val="22"/>
        </w:rPr>
        <w:t>.</w:t>
      </w:r>
      <w:r w:rsidRPr="00C429A6">
        <w:rPr>
          <w:rFonts w:ascii="Arial" w:hAnsi="Arial" w:cs="Arial"/>
          <w:i/>
          <w:iCs/>
          <w:color w:val="000000" w:themeColor="text1"/>
          <w:sz w:val="22"/>
        </w:rPr>
        <w:t xml:space="preserve"> </w:t>
      </w:r>
      <w:r w:rsidRPr="00C429A6">
        <w:rPr>
          <w:rFonts w:ascii="Arial" w:hAnsi="Arial" w:cs="Arial"/>
          <w:color w:val="000000" w:themeColor="text1"/>
          <w:sz w:val="22"/>
        </w:rPr>
        <w:t>También ha dicho que la entidad estatal debe aceptar las ofertas de consorcios o uniones temporales formados exclusivamente por Mipyme y promesas de sociedad futura suscritas por Mipyme»</w:t>
      </w:r>
      <w:r w:rsidRPr="00C429A6">
        <w:rPr>
          <w:rStyle w:val="Refdenotaalpie"/>
          <w:rFonts w:ascii="Arial" w:hAnsi="Arial" w:cs="Arial"/>
          <w:color w:val="000000" w:themeColor="text1"/>
          <w:sz w:val="22"/>
        </w:rPr>
        <w:footnoteReference w:id="10"/>
      </w:r>
      <w:r w:rsidRPr="00C429A6">
        <w:rPr>
          <w:rFonts w:ascii="Arial" w:hAnsi="Arial" w:cs="Arial"/>
          <w:color w:val="000000" w:themeColor="text1"/>
          <w:sz w:val="22"/>
        </w:rPr>
        <w:t xml:space="preserve">. </w:t>
      </w:r>
    </w:p>
    <w:p w14:paraId="16DA8555"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hAnsi="Arial" w:cs="Arial"/>
          <w:color w:val="000000" w:themeColor="text1"/>
          <w:sz w:val="22"/>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C429A6">
        <w:rPr>
          <w:rFonts w:ascii="Arial" w:hAnsi="Arial" w:cs="Arial"/>
          <w:color w:val="000000" w:themeColor="text1"/>
          <w:sz w:val="22"/>
          <w:vertAlign w:val="superscript"/>
        </w:rPr>
        <w:footnoteReference w:id="11"/>
      </w:r>
      <w:r w:rsidRPr="00C429A6">
        <w:rPr>
          <w:rFonts w:ascii="Arial" w:hAnsi="Arial" w:cs="Arial"/>
          <w:color w:val="000000" w:themeColor="text1"/>
          <w:sz w:val="22"/>
        </w:rPr>
        <w:t xml:space="preserve">. </w:t>
      </w:r>
    </w:p>
    <w:p w14:paraId="5839BEF5" w14:textId="77777777" w:rsidR="007F2458" w:rsidRPr="00C429A6" w:rsidRDefault="007F2458" w:rsidP="007F2458">
      <w:pPr>
        <w:spacing w:before="120" w:line="276" w:lineRule="auto"/>
        <w:ind w:firstLine="708"/>
        <w:jc w:val="both"/>
        <w:rPr>
          <w:rFonts w:ascii="Arial" w:hAnsi="Arial" w:cs="Arial"/>
          <w:color w:val="000000" w:themeColor="text1"/>
          <w:sz w:val="22"/>
        </w:rPr>
      </w:pPr>
      <w:r w:rsidRPr="00C429A6">
        <w:rPr>
          <w:rFonts w:ascii="Arial" w:hAnsi="Arial" w:cs="Arial"/>
          <w:b/>
          <w:bCs/>
          <w:color w:val="000000" w:themeColor="text1"/>
          <w:sz w:val="22"/>
        </w:rPr>
        <w:lastRenderedPageBreak/>
        <w:t>b)</w:t>
      </w:r>
      <w:r w:rsidRPr="00C429A6">
        <w:rPr>
          <w:rFonts w:ascii="Arial" w:hAnsi="Arial" w:cs="Arial"/>
          <w:color w:val="000000" w:themeColor="text1"/>
          <w:sz w:val="22"/>
        </w:rPr>
        <w:t xml:space="preserve"> Cumplidos los dos requisitos del artículo 2.2.1.2.4.2.2. </w:t>
      </w:r>
      <w:r w:rsidRPr="00C429A6">
        <w:rPr>
          <w:rFonts w:ascii="Arial" w:hAnsi="Arial" w:cs="Arial"/>
          <w:i/>
          <w:iCs/>
          <w:color w:val="000000" w:themeColor="text1"/>
          <w:sz w:val="22"/>
        </w:rPr>
        <w:t>ibidem</w:t>
      </w:r>
      <w:r w:rsidRPr="00C429A6">
        <w:rPr>
          <w:rFonts w:ascii="Arial" w:hAnsi="Arial" w:cs="Arial"/>
          <w:color w:val="000000" w:themeColor="text1"/>
          <w:sz w:val="22"/>
        </w:rPr>
        <w:t>, la entidad puede ─no tiene que─ decidir si limita la convocatoria a las Mipymes nacionales domiciliadas en el municipio o departamento en el que se ejecutará el contrato</w:t>
      </w:r>
      <w:r w:rsidRPr="00C429A6">
        <w:rPr>
          <w:rFonts w:ascii="Arial" w:hAnsi="Arial" w:cs="Arial"/>
          <w:color w:val="000000" w:themeColor="text1"/>
          <w:sz w:val="22"/>
          <w:vertAlign w:val="superscript"/>
        </w:rPr>
        <w:footnoteReference w:id="12"/>
      </w:r>
      <w:r w:rsidRPr="00C429A6">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p>
    <w:p w14:paraId="3A5F95DF"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Colombia Compra Eficiente ha sostenido que es discrecional la decisión de limitar territorialmente una convocatoria de Mipymes, y ha precisado que, de todos modos, la decisión debe estar justificada en los correspondientes «estudios de sector». Así lo consideró en la consulta No. 216130003241, resuelta el 30 de junio de 2016. Igualmente, en la consulta resuelta en el radicado No. 2201813000008184, del 7 de septiembre de 2018, se dijo que, de acuerdo con el </w:t>
      </w:r>
      <w:r w:rsidRPr="00C429A6">
        <w:rPr>
          <w:rFonts w:ascii="Arial" w:hAnsi="Arial" w:cs="Arial"/>
          <w:color w:val="000000" w:themeColor="text1"/>
          <w:sz w:val="22"/>
        </w:rPr>
        <w:t>artículo 2.2.1.2.4.2.3. del Decreto 1082 de 2015,</w:t>
      </w:r>
      <w:r w:rsidRPr="00C429A6">
        <w:rPr>
          <w:rFonts w:ascii="Arial" w:eastAsia="Calibri" w:hAnsi="Arial" w:cs="Arial"/>
          <w:color w:val="000000" w:themeColor="text1"/>
          <w:sz w:val="22"/>
        </w:rPr>
        <w:t xml:space="preserve"> las Mipymes beneficiadas deben tener su domicilio principal en el municipio o departamento donde se ejecutará el contrato para poder participar en una convocatoria limitada territorialmente</w:t>
      </w:r>
      <w:r w:rsidRPr="00C429A6">
        <w:rPr>
          <w:rStyle w:val="Refdenotaalpie"/>
          <w:rFonts w:ascii="Arial" w:hAnsi="Arial" w:cs="Arial"/>
          <w:color w:val="000000" w:themeColor="text1"/>
          <w:sz w:val="22"/>
        </w:rPr>
        <w:footnoteReference w:id="13"/>
      </w:r>
      <w:r w:rsidRPr="00C429A6">
        <w:rPr>
          <w:rFonts w:ascii="Arial" w:hAnsi="Arial" w:cs="Arial"/>
          <w:color w:val="000000" w:themeColor="text1"/>
          <w:sz w:val="22"/>
        </w:rPr>
        <w:t>.</w:t>
      </w:r>
    </w:p>
    <w:p w14:paraId="00054FD3"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Mipymes territoriales la Entidad Estatal debe tener en cuenta que se cumplan necesariamente 3 supuestos». Los dos primeros, se dijo, están en el artículo 2.2.1.2.4.2.2 del Decreto 1082 de 2015, mientras que el tercero se encuentra en el artículo 2.2.1.2.4.2.3 </w:t>
      </w:r>
      <w:r w:rsidRPr="00C429A6">
        <w:rPr>
          <w:rFonts w:ascii="Arial" w:eastAsia="Calibri" w:hAnsi="Arial" w:cs="Arial"/>
          <w:i/>
          <w:iCs/>
          <w:color w:val="000000" w:themeColor="text1"/>
          <w:sz w:val="22"/>
        </w:rPr>
        <w:t>ibidem</w:t>
      </w:r>
      <w:r w:rsidRPr="00C429A6">
        <w:rPr>
          <w:rFonts w:ascii="Arial" w:eastAsia="Calibri" w:hAnsi="Arial" w:cs="Arial"/>
          <w:color w:val="000000" w:themeColor="text1"/>
          <w:sz w:val="22"/>
        </w:rPr>
        <w:t>. Este último, «debe entenderse en el sentido que si las Mipymes que manifiestan su interés en limitar la convocatoria son por lo menos tres Mipyme domiciliadas en el departamento o municipio, la limitación será territorial y no nacional». Este entendimiento de la norma, sin embargo, da lugar a dos interpretaciones sobre las que se deben hacer unas precisiones.</w:t>
      </w:r>
    </w:p>
    <w:p w14:paraId="66D413E3"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i/>
          <w:iCs/>
          <w:color w:val="000000" w:themeColor="text1"/>
          <w:sz w:val="22"/>
        </w:rPr>
        <w:t>Por un lado</w:t>
      </w:r>
      <w:r w:rsidRPr="00C429A6">
        <w:rPr>
          <w:rFonts w:ascii="Arial" w:eastAsia="Calibri" w:hAnsi="Arial" w:cs="Arial"/>
          <w:color w:val="000000" w:themeColor="text1"/>
          <w:sz w:val="22"/>
        </w:rPr>
        <w:t xml:space="preserve">, supone que la decisión de limitar territorialmente la convocatoria opera de pleno derecho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«limitación territorial» referida en el artículo 2.2.1.2.4.2.3. </w:t>
      </w:r>
      <w:r w:rsidRPr="00C429A6">
        <w:rPr>
          <w:rFonts w:ascii="Arial" w:eastAsia="Calibri" w:hAnsi="Arial" w:cs="Arial"/>
          <w:i/>
          <w:iCs/>
          <w:color w:val="000000" w:themeColor="text1"/>
          <w:sz w:val="22"/>
        </w:rPr>
        <w:t>ibídem</w:t>
      </w:r>
      <w:r w:rsidRPr="00C429A6">
        <w:rPr>
          <w:rFonts w:ascii="Arial" w:eastAsia="Calibri" w:hAnsi="Arial" w:cs="Arial"/>
          <w:color w:val="000000" w:themeColor="text1"/>
          <w:sz w:val="22"/>
        </w:rPr>
        <w:t xml:space="preserve">, pues esta, como ya se dijo, es facultativa para la entidad. Las únicas exigencias son que la convocatoria esté limitada a </w:t>
      </w:r>
      <w:r w:rsidRPr="00C429A6">
        <w:rPr>
          <w:rFonts w:ascii="Arial" w:eastAsia="Calibri" w:hAnsi="Arial" w:cs="Arial"/>
          <w:color w:val="000000" w:themeColor="text1"/>
          <w:sz w:val="22"/>
        </w:rPr>
        <w:lastRenderedPageBreak/>
        <w:t>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710BDB2F"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6EE47B1B"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i/>
          <w:iCs/>
          <w:color w:val="000000" w:themeColor="text1"/>
          <w:sz w:val="22"/>
        </w:rPr>
        <w:t>Por otro lado</w:t>
      </w:r>
      <w:r w:rsidRPr="00C429A6">
        <w:rPr>
          <w:rFonts w:ascii="Arial" w:eastAsia="Calibri" w:hAnsi="Arial" w:cs="Arial"/>
          <w:color w:val="000000" w:themeColor="text1"/>
          <w:sz w:val="22"/>
        </w:rPr>
        <w:t>, supone que la decisión de la entidad únicamente puede darse si la solicitud provino de tres o más Mipymes domiciliadas en el municipio o departamento en donde se va a ejecutar el contrato. Sin embargo,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4E539D57"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Puede pasar, por ejemplo, que tres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 En este último evento es irrelevante que las solicitantes tengan su domicilio en Bogotá o, incluso, que lo tuvieran en diferentes lugares del país. De todos modos, el municipio de Medellín solo podrá 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78C7E70C"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lastRenderedPageBreak/>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27F7AC66"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C429A6">
        <w:rPr>
          <w:rFonts w:ascii="Arial" w:eastAsia="Calibri" w:hAnsi="Arial" w:cs="Arial"/>
          <w:i/>
          <w:iCs/>
          <w:color w:val="000000" w:themeColor="text1"/>
          <w:sz w:val="22"/>
        </w:rPr>
        <w:t xml:space="preserve">motu propio </w:t>
      </w:r>
      <w:r w:rsidRPr="00C429A6">
        <w:rPr>
          <w:rFonts w:ascii="Arial" w:eastAsia="Calibri" w:hAnsi="Arial" w:cs="Arial"/>
          <w:color w:val="000000" w:themeColor="text1"/>
          <w:sz w:val="22"/>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639D9467" w14:textId="77777777" w:rsidR="007F2458" w:rsidRPr="00C429A6" w:rsidRDefault="007F2458" w:rsidP="007F2458">
      <w:pPr>
        <w:spacing w:before="120" w:line="276" w:lineRule="auto"/>
        <w:ind w:firstLine="709"/>
        <w:jc w:val="both"/>
        <w:rPr>
          <w:rFonts w:ascii="Arial" w:eastAsia="Calibri" w:hAnsi="Arial" w:cs="Arial"/>
          <w:color w:val="000000" w:themeColor="text1"/>
          <w:sz w:val="22"/>
        </w:rPr>
      </w:pPr>
      <w:r w:rsidRPr="00C429A6">
        <w:rPr>
          <w:rFonts w:ascii="Arial" w:eastAsia="Calibri" w:hAnsi="Arial" w:cs="Arial"/>
          <w:color w:val="000000" w:themeColor="text1"/>
          <w:sz w:val="22"/>
        </w:rPr>
        <w:t>En suma, e</w:t>
      </w:r>
      <w:r w:rsidRPr="00C429A6">
        <w:rPr>
          <w:rFonts w:ascii="Arial" w:hAnsi="Arial" w:cs="Arial"/>
          <w:color w:val="000000" w:themeColor="text1"/>
          <w:sz w:val="22"/>
        </w:rPr>
        <w:t xml:space="preserve">l Decreto 1082 de 2015 regula la limitación de convocatorias a Mipymes en dos normas distintas que deben leerse conjunta y armónicamente. Por un lado, el artículo </w:t>
      </w:r>
      <w:r w:rsidRPr="00C429A6">
        <w:rPr>
          <w:rFonts w:ascii="Arial" w:eastAsia="Calibri" w:hAnsi="Arial" w:cs="Arial"/>
          <w:color w:val="000000" w:themeColor="text1"/>
          <w:sz w:val="22"/>
        </w:rPr>
        <w:t xml:space="preserve">2.2.1.2.4.2.2. </w:t>
      </w:r>
      <w:r w:rsidRPr="00C429A6">
        <w:rPr>
          <w:rFonts w:ascii="Arial" w:hAnsi="Arial" w:cs="Arial"/>
          <w:color w:val="000000" w:themeColor="text1"/>
          <w:sz w:val="22"/>
        </w:rPr>
        <w:t xml:space="preserve">prevé los requisitos generales para que la entidad limite sus convocatorias a Mipymes nacionales. Por el otro, el artículo </w:t>
      </w:r>
      <w:r w:rsidRPr="00C429A6">
        <w:rPr>
          <w:rFonts w:ascii="Arial" w:eastAsia="Calibri" w:hAnsi="Arial" w:cs="Arial"/>
          <w:color w:val="000000" w:themeColor="text1"/>
          <w:sz w:val="22"/>
        </w:rPr>
        <w:t xml:space="preserve">2.2.1.2.4.2.3. </w:t>
      </w:r>
      <w:r w:rsidRPr="00C429A6">
        <w:rPr>
          <w:rFonts w:ascii="Arial" w:hAnsi="Arial" w:cs="Arial"/>
          <w:color w:val="000000" w:themeColor="text1"/>
          <w:sz w:val="22"/>
        </w:rPr>
        <w:t xml:space="preserve">establece la posibilidad de limitar la convocatoria a Mipymes nacionales domiciliadas en los departamentos o municipios en donde se va a ejecutar el contrato, por supuesto, siempre que la entidad así lo decida y sólo si se cumplen las exigencias del artículo </w:t>
      </w:r>
      <w:r w:rsidRPr="00C429A6">
        <w:rPr>
          <w:rFonts w:ascii="Arial" w:eastAsia="Calibri" w:hAnsi="Arial" w:cs="Arial"/>
          <w:color w:val="000000" w:themeColor="text1"/>
          <w:sz w:val="22"/>
        </w:rPr>
        <w:t>2.2.1.2.4.2.2.</w:t>
      </w:r>
    </w:p>
    <w:p w14:paraId="2F531AF8" w14:textId="77777777" w:rsidR="007F2458" w:rsidRPr="00C429A6" w:rsidRDefault="007F2458" w:rsidP="007F2458">
      <w:pPr>
        <w:spacing w:line="360" w:lineRule="auto"/>
        <w:jc w:val="both"/>
        <w:rPr>
          <w:rFonts w:ascii="Arial" w:eastAsia="Calibri" w:hAnsi="Arial" w:cs="Arial"/>
          <w:b/>
          <w:color w:val="000000" w:themeColor="text1"/>
          <w:sz w:val="22"/>
        </w:rPr>
      </w:pPr>
    </w:p>
    <w:p w14:paraId="223E76FC" w14:textId="77777777" w:rsidR="007F2458" w:rsidRPr="00C429A6" w:rsidRDefault="007F2458" w:rsidP="007F2458">
      <w:pPr>
        <w:pStyle w:val="Prrafodelista"/>
        <w:numPr>
          <w:ilvl w:val="0"/>
          <w:numId w:val="1"/>
        </w:numPr>
        <w:tabs>
          <w:tab w:val="left" w:pos="284"/>
        </w:tabs>
        <w:spacing w:line="276" w:lineRule="auto"/>
        <w:ind w:left="0" w:hanging="142"/>
        <w:jc w:val="both"/>
        <w:rPr>
          <w:rFonts w:ascii="Arial" w:eastAsia="Calibri" w:hAnsi="Arial" w:cs="Arial"/>
          <w:color w:val="000000" w:themeColor="text1"/>
          <w:sz w:val="22"/>
        </w:rPr>
      </w:pPr>
      <w:r w:rsidRPr="00C429A6">
        <w:rPr>
          <w:rFonts w:ascii="Arial" w:eastAsia="Calibri" w:hAnsi="Arial" w:cs="Arial"/>
          <w:b/>
          <w:color w:val="000000" w:themeColor="text1"/>
          <w:sz w:val="22"/>
        </w:rPr>
        <w:t>Respuestas</w:t>
      </w:r>
    </w:p>
    <w:p w14:paraId="516761AF" w14:textId="77777777" w:rsidR="007F2458" w:rsidRPr="00C429A6" w:rsidRDefault="007F2458" w:rsidP="007F2458">
      <w:pPr>
        <w:spacing w:line="276" w:lineRule="auto"/>
        <w:ind w:left="709" w:right="709"/>
        <w:jc w:val="both"/>
        <w:rPr>
          <w:rFonts w:ascii="Arial" w:eastAsia="Calibri" w:hAnsi="Arial" w:cs="Arial"/>
          <w:i/>
          <w:color w:val="000000" w:themeColor="text1"/>
          <w:sz w:val="22"/>
        </w:rPr>
      </w:pPr>
    </w:p>
    <w:p w14:paraId="061B6300" w14:textId="77777777" w:rsidR="007F2458" w:rsidRPr="00C429A6" w:rsidRDefault="007F2458" w:rsidP="007F2458">
      <w:pPr>
        <w:spacing w:after="200"/>
        <w:ind w:left="709" w:right="758"/>
        <w:jc w:val="both"/>
        <w:rPr>
          <w:rFonts w:ascii="Arial" w:eastAsia="Calibri" w:hAnsi="Arial" w:cs="Arial"/>
          <w:color w:val="000000" w:themeColor="text1"/>
          <w:sz w:val="22"/>
        </w:rPr>
      </w:pPr>
      <w:r w:rsidRPr="00C429A6">
        <w:rPr>
          <w:rFonts w:ascii="Arial" w:eastAsia="Calibri" w:hAnsi="Arial" w:cs="Arial"/>
          <w:color w:val="000000" w:themeColor="text1"/>
          <w:sz w:val="22"/>
        </w:rPr>
        <w:t>¿«[…] cual (sic) es el valor del umbral de contratación para Mypimes del año 2020, toda vez que la pagina (sic) de Colombia compra no se encuentra actualizada»?</w:t>
      </w:r>
    </w:p>
    <w:p w14:paraId="63B1A41B" w14:textId="77777777" w:rsidR="007F2458" w:rsidRPr="00C429A6" w:rsidRDefault="007F2458" w:rsidP="007F2458">
      <w:pPr>
        <w:rPr>
          <w:rFonts w:ascii="Arial" w:eastAsia="Calibri" w:hAnsi="Arial" w:cs="Arial"/>
          <w:color w:val="000000" w:themeColor="text1"/>
          <w:sz w:val="22"/>
        </w:rPr>
      </w:pPr>
    </w:p>
    <w:p w14:paraId="29421C8C" w14:textId="77777777" w:rsidR="002B73BD" w:rsidRPr="00C429A6" w:rsidRDefault="002B73BD" w:rsidP="002B73BD">
      <w:pPr>
        <w:spacing w:line="276" w:lineRule="auto"/>
        <w:jc w:val="both"/>
        <w:rPr>
          <w:rFonts w:ascii="Arial" w:eastAsia="Calibri" w:hAnsi="Arial" w:cs="Arial"/>
          <w:color w:val="000000" w:themeColor="text1"/>
          <w:sz w:val="22"/>
        </w:rPr>
      </w:pPr>
      <w:r w:rsidRPr="00C429A6">
        <w:rPr>
          <w:rFonts w:ascii="Arial" w:eastAsia="Calibri" w:hAnsi="Arial" w:cs="Arial"/>
          <w:color w:val="000000" w:themeColor="text1"/>
          <w:sz w:val="22"/>
        </w:rPr>
        <w:t xml:space="preserve">La competencia para establecer el umbral para las convocatorias limitadas a Mipymes es del Ministerio de Comercio, Industria y Turismo, en los términos del numeral 1º del artículo 2.2.1.2.4.2.2.  del Decreto 1082 de 2015. Colombia Compra Eficiente se restringe a publicar dicha información en su página web. Con todo, para efectos de su conocimiento, le informamos que el umbral vigente hasta el 31 de diciembre de 2021 es de $380’778.000, como lo puede consultar en el siguiente vínculo: </w:t>
      </w:r>
      <w:r w:rsidRPr="00C429A6">
        <w:rPr>
          <w:rFonts w:ascii="Arial" w:eastAsia="Calibri" w:hAnsi="Arial" w:cs="Arial"/>
          <w:color w:val="000000" w:themeColor="text1"/>
          <w:sz w:val="22"/>
        </w:rPr>
        <w:lastRenderedPageBreak/>
        <w:t>https://www.colombiacompra.gov.co/sites/cce_public/files/cce_documentos/umbrales_2020_-_2021.pdf.</w:t>
      </w:r>
    </w:p>
    <w:p w14:paraId="3CD44FF5" w14:textId="77777777" w:rsidR="007F2458" w:rsidRPr="00C429A6" w:rsidRDefault="007F2458" w:rsidP="007F2458">
      <w:pPr>
        <w:rPr>
          <w:rFonts w:ascii="Arial" w:hAnsi="Arial" w:cs="Arial"/>
          <w:color w:val="000000" w:themeColor="text1"/>
          <w:sz w:val="22"/>
        </w:rPr>
      </w:pPr>
    </w:p>
    <w:p w14:paraId="380C3EC0" w14:textId="77777777" w:rsidR="007F2458" w:rsidRPr="00C429A6" w:rsidRDefault="007F2458" w:rsidP="007F2458">
      <w:pPr>
        <w:ind w:firstLine="708"/>
        <w:jc w:val="both"/>
        <w:rPr>
          <w:rFonts w:ascii="Arial" w:eastAsia="Calibri" w:hAnsi="Arial" w:cs="Arial"/>
          <w:color w:val="000000" w:themeColor="text1"/>
          <w:sz w:val="22"/>
        </w:rPr>
      </w:pPr>
      <w:r w:rsidRPr="00C429A6">
        <w:rPr>
          <w:rFonts w:ascii="Arial" w:eastAsia="Calibri" w:hAnsi="Arial" w:cs="Arial"/>
          <w:color w:val="000000" w:themeColor="text1"/>
          <w:sz w:val="22"/>
        </w:rPr>
        <w:t>Este concepto tiene el alcance previsto en el artículo 28 del Código de Procedimiento Administrativo y de lo Contencioso Administrativo.</w:t>
      </w:r>
    </w:p>
    <w:p w14:paraId="48D00FEF" w14:textId="77777777" w:rsidR="007F2458" w:rsidRPr="00C429A6" w:rsidRDefault="007F2458" w:rsidP="007F2458">
      <w:pPr>
        <w:ind w:firstLine="708"/>
        <w:jc w:val="both"/>
        <w:rPr>
          <w:rFonts w:ascii="Arial" w:eastAsia="Calibri" w:hAnsi="Arial" w:cs="Arial"/>
          <w:color w:val="000000" w:themeColor="text1"/>
          <w:sz w:val="22"/>
        </w:rPr>
      </w:pPr>
    </w:p>
    <w:p w14:paraId="710028E6" w14:textId="77777777" w:rsidR="007F2458" w:rsidRPr="00C429A6" w:rsidRDefault="007F2458" w:rsidP="007F2458">
      <w:pPr>
        <w:rPr>
          <w:rFonts w:ascii="Arial" w:eastAsia="Times New Roman" w:hAnsi="Arial" w:cs="Arial"/>
          <w:color w:val="000000" w:themeColor="text1"/>
          <w:sz w:val="22"/>
          <w:lang w:eastAsia="es-CO"/>
        </w:rPr>
      </w:pPr>
      <w:r w:rsidRPr="00C429A6">
        <w:rPr>
          <w:rFonts w:ascii="Arial" w:eastAsia="Times New Roman" w:hAnsi="Arial" w:cs="Arial"/>
          <w:color w:val="000000" w:themeColor="text1"/>
          <w:sz w:val="22"/>
          <w:lang w:eastAsia="es-CO"/>
        </w:rPr>
        <w:t>Atentamente,</w:t>
      </w:r>
    </w:p>
    <w:p w14:paraId="2E2E0108" w14:textId="1D478871" w:rsidR="007F2458" w:rsidRPr="00C429A6" w:rsidRDefault="00FC6F24" w:rsidP="007F2458">
      <w:pPr>
        <w:jc w:val="center"/>
        <w:rPr>
          <w:rFonts w:ascii="Arial" w:eastAsia="Times New Roman" w:hAnsi="Arial" w:cs="Arial"/>
          <w:color w:val="000000" w:themeColor="text1"/>
          <w:sz w:val="18"/>
          <w:szCs w:val="20"/>
          <w:lang w:eastAsia="es-CO"/>
        </w:rPr>
      </w:pPr>
      <w:r>
        <w:rPr>
          <w:noProof/>
        </w:rPr>
        <w:drawing>
          <wp:inline distT="0" distB="0" distL="0" distR="0" wp14:anchorId="5C4A2127" wp14:editId="6D9EB5EC">
            <wp:extent cx="2773045" cy="988695"/>
            <wp:effectExtent l="0" t="0" r="0" b="0"/>
            <wp:docPr id="110993705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5EA64F3" w14:textId="77777777" w:rsidR="007F2458" w:rsidRPr="00C429A6" w:rsidRDefault="007F2458" w:rsidP="007F245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429A6" w:rsidRPr="00C429A6" w14:paraId="4C6D84E3" w14:textId="77777777" w:rsidTr="004E4086">
        <w:trPr>
          <w:trHeight w:val="315"/>
        </w:trPr>
        <w:tc>
          <w:tcPr>
            <w:tcW w:w="812" w:type="dxa"/>
            <w:vAlign w:val="center"/>
            <w:hideMark/>
          </w:tcPr>
          <w:p w14:paraId="7C2F9E55"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DA1DD6"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David Castellanos Carreño</w:t>
            </w:r>
          </w:p>
          <w:p w14:paraId="4FB7776E"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Contratista</w:t>
            </w:r>
          </w:p>
        </w:tc>
      </w:tr>
      <w:tr w:rsidR="00C429A6" w:rsidRPr="00C429A6" w14:paraId="35443D64" w14:textId="77777777" w:rsidTr="004E4086">
        <w:trPr>
          <w:trHeight w:val="330"/>
        </w:trPr>
        <w:tc>
          <w:tcPr>
            <w:tcW w:w="812" w:type="dxa"/>
            <w:vAlign w:val="center"/>
            <w:hideMark/>
          </w:tcPr>
          <w:p w14:paraId="208FCEB6"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F9D237"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Fabián Gonzalo Marín Cortés</w:t>
            </w:r>
          </w:p>
          <w:p w14:paraId="5602675D"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Subdirector de Gestión Contractual</w:t>
            </w:r>
          </w:p>
        </w:tc>
      </w:tr>
      <w:tr w:rsidR="007F2458" w:rsidRPr="00C429A6" w14:paraId="79B2137E" w14:textId="77777777" w:rsidTr="004E4086">
        <w:trPr>
          <w:trHeight w:val="300"/>
        </w:trPr>
        <w:tc>
          <w:tcPr>
            <w:tcW w:w="812" w:type="dxa"/>
            <w:vAlign w:val="center"/>
            <w:hideMark/>
          </w:tcPr>
          <w:p w14:paraId="15F400AB"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CA63B5"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Fabián Gonzalo Marín Cortés</w:t>
            </w:r>
          </w:p>
          <w:p w14:paraId="0B5FEA74" w14:textId="77777777" w:rsidR="007F2458" w:rsidRPr="00C429A6" w:rsidRDefault="007F2458" w:rsidP="004E4086">
            <w:pPr>
              <w:rPr>
                <w:rFonts w:ascii="Arial" w:eastAsia="Times New Roman" w:hAnsi="Arial" w:cs="Arial"/>
                <w:color w:val="000000" w:themeColor="text1"/>
                <w:sz w:val="16"/>
                <w:szCs w:val="16"/>
                <w:lang w:eastAsia="es-ES"/>
              </w:rPr>
            </w:pPr>
            <w:r w:rsidRPr="00C429A6">
              <w:rPr>
                <w:rFonts w:ascii="Arial" w:eastAsia="Times New Roman" w:hAnsi="Arial" w:cs="Arial"/>
                <w:color w:val="000000" w:themeColor="text1"/>
                <w:sz w:val="16"/>
                <w:szCs w:val="16"/>
                <w:lang w:eastAsia="es-ES"/>
              </w:rPr>
              <w:t>Subdirector de Gestión Contractual</w:t>
            </w:r>
          </w:p>
        </w:tc>
      </w:tr>
    </w:tbl>
    <w:p w14:paraId="3FA2C12F" w14:textId="77777777" w:rsidR="00EA6C85" w:rsidRPr="00C429A6" w:rsidRDefault="00EA6C85" w:rsidP="007F2458">
      <w:pPr>
        <w:rPr>
          <w:color w:val="000000" w:themeColor="text1"/>
        </w:rPr>
      </w:pPr>
    </w:p>
    <w:sectPr w:rsidR="00EA6C85" w:rsidRPr="00C429A6"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AAA77" w14:textId="77777777" w:rsidR="009B0B17" w:rsidRDefault="009B0B17" w:rsidP="007F2458">
      <w:r>
        <w:separator/>
      </w:r>
    </w:p>
  </w:endnote>
  <w:endnote w:type="continuationSeparator" w:id="0">
    <w:p w14:paraId="01492486" w14:textId="77777777" w:rsidR="009B0B17" w:rsidRDefault="009B0B17" w:rsidP="007F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1B929" w14:textId="77777777" w:rsidR="008217B7" w:rsidRDefault="00FE496E" w:rsidP="00322937">
    <w:pPr>
      <w:pStyle w:val="Sinespaciado"/>
      <w:jc w:val="right"/>
      <w:rPr>
        <w:rFonts w:ascii="Arial" w:hAnsi="Arial" w:cs="Arial"/>
        <w:sz w:val="18"/>
        <w:szCs w:val="18"/>
      </w:rPr>
    </w:pPr>
  </w:p>
  <w:p w14:paraId="33194EEF" w14:textId="77777777" w:rsidR="00FE42ED" w:rsidRPr="008217B7" w:rsidRDefault="00D820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CF5F62C" w14:textId="77777777" w:rsidR="009047C5" w:rsidRDefault="467D0CD7" w:rsidP="00322937">
    <w:pPr>
      <w:pStyle w:val="Piedepgina"/>
      <w:jc w:val="center"/>
      <w:rPr>
        <w:lang w:val="es-ES"/>
      </w:rPr>
    </w:pPr>
    <w:r>
      <w:rPr>
        <w:noProof/>
      </w:rPr>
      <w:drawing>
        <wp:inline distT="0" distB="0" distL="0" distR="0" wp14:anchorId="478CA601" wp14:editId="18BBCF6B">
          <wp:extent cx="3700130" cy="519139"/>
          <wp:effectExtent l="0" t="0" r="0" b="0"/>
          <wp:docPr id="2912081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2F1DD89" w14:textId="77777777" w:rsidR="00322937" w:rsidRDefault="00FE496E" w:rsidP="007B0854">
    <w:pPr>
      <w:pStyle w:val="Piedepgina"/>
      <w:jc w:val="center"/>
      <w:rPr>
        <w:lang w:val="es-ES"/>
      </w:rPr>
    </w:pPr>
  </w:p>
  <w:p w14:paraId="03CCABD0" w14:textId="0662E13D" w:rsidR="004A34D2" w:rsidRPr="007B0854" w:rsidRDefault="0013088D" w:rsidP="0013088D">
    <w:pPr>
      <w:pStyle w:val="Piedepgina"/>
      <w:tabs>
        <w:tab w:val="clear" w:pos="8838"/>
        <w:tab w:val="left" w:pos="4921"/>
      </w:tabs>
      <w:rPr>
        <w:lang w:val="es-ES"/>
      </w:rPr>
    </w:pPr>
    <w:r>
      <w:rPr>
        <w:lang w:val="es-ES"/>
      </w:rPr>
      <w:tab/>
    </w:r>
    <w:r>
      <w:rPr>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69EE4" w14:textId="77777777" w:rsidR="009B0B17" w:rsidRDefault="009B0B17" w:rsidP="007F2458">
      <w:r>
        <w:separator/>
      </w:r>
    </w:p>
  </w:footnote>
  <w:footnote w:type="continuationSeparator" w:id="0">
    <w:p w14:paraId="10A285D8" w14:textId="77777777" w:rsidR="009B0B17" w:rsidRDefault="009B0B17" w:rsidP="007F2458">
      <w:r>
        <w:continuationSeparator/>
      </w:r>
    </w:p>
  </w:footnote>
  <w:footnote w:id="1">
    <w:p w14:paraId="3BA188DD"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3F0C5D94" w14:textId="77777777" w:rsidR="007F2458" w:rsidRPr="00C429A6" w:rsidRDefault="007F2458" w:rsidP="007F2458">
      <w:pPr>
        <w:pStyle w:val="Textonotapie"/>
        <w:ind w:firstLine="708"/>
        <w:jc w:val="both"/>
        <w:rPr>
          <w:rFonts w:ascii="Arial" w:hAnsi="Arial" w:cs="Arial"/>
          <w:color w:val="000000" w:themeColor="text1"/>
          <w:sz w:val="19"/>
          <w:szCs w:val="19"/>
        </w:rPr>
      </w:pPr>
    </w:p>
    <w:p w14:paraId="586EC1B1"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 </w:t>
      </w:r>
    </w:p>
    <w:p w14:paraId="2C0995B8"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06C17556"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46BF0E47" w14:textId="77777777" w:rsidR="007F2458" w:rsidRPr="00C429A6" w:rsidRDefault="007F2458" w:rsidP="007F2458">
      <w:pPr>
        <w:pStyle w:val="Textonotapie"/>
        <w:jc w:val="both"/>
        <w:rPr>
          <w:rFonts w:ascii="Arial" w:hAnsi="Arial" w:cs="Arial"/>
          <w:color w:val="000000" w:themeColor="text1"/>
          <w:sz w:val="19"/>
          <w:szCs w:val="19"/>
          <w:lang w:val="es-ES"/>
        </w:rPr>
      </w:pPr>
    </w:p>
  </w:footnote>
  <w:footnote w:id="3">
    <w:p w14:paraId="2A938FD0"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A00E61E" w14:textId="77777777" w:rsidR="007F2458" w:rsidRPr="00C429A6" w:rsidRDefault="007F2458" w:rsidP="007F2458">
      <w:pPr>
        <w:pStyle w:val="Textonotapie"/>
        <w:ind w:firstLine="708"/>
        <w:jc w:val="both"/>
        <w:rPr>
          <w:rFonts w:ascii="Arial" w:hAnsi="Arial" w:cs="Arial"/>
          <w:color w:val="000000" w:themeColor="text1"/>
          <w:sz w:val="19"/>
          <w:szCs w:val="19"/>
        </w:rPr>
      </w:pPr>
    </w:p>
    <w:p w14:paraId="0F88F8A6" w14:textId="77777777" w:rsidR="007F2458" w:rsidRPr="00C429A6" w:rsidRDefault="007F2458" w:rsidP="007F2458">
      <w:pPr>
        <w:pStyle w:val="Textonotapie"/>
        <w:jc w:val="both"/>
        <w:rPr>
          <w:rFonts w:ascii="Arial" w:hAnsi="Arial" w:cs="Arial"/>
          <w:color w:val="000000" w:themeColor="text1"/>
          <w:sz w:val="19"/>
          <w:szCs w:val="19"/>
        </w:rPr>
      </w:pPr>
      <w:r w:rsidRPr="00C429A6">
        <w:rPr>
          <w:rFonts w:ascii="Arial" w:hAnsi="Arial" w:cs="Arial"/>
          <w:color w:val="000000" w:themeColor="text1"/>
          <w:sz w:val="19"/>
          <w:szCs w:val="19"/>
        </w:rPr>
        <w:tab/>
        <w:t>»4. Las entidades públicas del orden nacional, departamental y municipal preferirán en condiciones de igual precio, calidad y capacidad de suministros y servicio a las Mipymes nacionales».</w:t>
      </w:r>
    </w:p>
    <w:p w14:paraId="14B7B393" w14:textId="77777777" w:rsidR="007F2458" w:rsidRPr="00C429A6" w:rsidRDefault="007F2458" w:rsidP="007F2458">
      <w:pPr>
        <w:pStyle w:val="Textonotapie"/>
        <w:jc w:val="both"/>
        <w:rPr>
          <w:rFonts w:ascii="Arial" w:hAnsi="Arial" w:cs="Arial"/>
          <w:color w:val="000000" w:themeColor="text1"/>
          <w:sz w:val="19"/>
          <w:szCs w:val="19"/>
          <w:lang w:val="es-CO"/>
        </w:rPr>
      </w:pPr>
    </w:p>
  </w:footnote>
  <w:footnote w:id="4">
    <w:p w14:paraId="6670DBE0"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12B0198A"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 w:id="5">
    <w:p w14:paraId="08D06B99"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 :00 p.m.</w:t>
      </w:r>
    </w:p>
    <w:p w14:paraId="3EBC835B"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 w:id="6">
    <w:p w14:paraId="61080B6E"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La TRM diaria se puede consultar en </w:t>
      </w:r>
      <w:hyperlink r:id="rId1" w:history="1">
        <w:r w:rsidRPr="00C429A6">
          <w:rPr>
            <w:rStyle w:val="Hipervnculo"/>
            <w:rFonts w:ascii="Arial" w:hAnsi="Arial" w:cs="Arial"/>
            <w:color w:val="000000" w:themeColor="text1"/>
            <w:sz w:val="19"/>
            <w:szCs w:val="19"/>
          </w:rPr>
          <w:t>https://www.banrep.gov.co/es/estadisticas/trm</w:t>
        </w:r>
      </w:hyperlink>
      <w:r w:rsidRPr="00C429A6">
        <w:rPr>
          <w:rFonts w:ascii="Arial" w:hAnsi="Arial" w:cs="Arial"/>
          <w:color w:val="000000" w:themeColor="text1"/>
          <w:sz w:val="19"/>
          <w:szCs w:val="19"/>
        </w:rPr>
        <w:t>.</w:t>
      </w:r>
    </w:p>
    <w:p w14:paraId="0CAB5ED8"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 w:id="7">
    <w:p w14:paraId="25623CD1"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w:t>
      </w:r>
      <w:r w:rsidRPr="00C429A6">
        <w:rPr>
          <w:rFonts w:ascii="Arial" w:hAnsi="Arial" w:cs="Arial"/>
          <w:color w:val="000000" w:themeColor="text1"/>
          <w:sz w:val="19"/>
          <w:szCs w:val="19"/>
          <w:lang w:val="es-ES"/>
        </w:rPr>
        <w:t>Fecha de expedición del Decreto 1082.</w:t>
      </w:r>
    </w:p>
    <w:p w14:paraId="44C3E82E" w14:textId="77777777" w:rsidR="007F2458" w:rsidRPr="00C429A6" w:rsidRDefault="007F2458" w:rsidP="007F2458">
      <w:pPr>
        <w:pStyle w:val="Textonotapie"/>
        <w:jc w:val="both"/>
        <w:rPr>
          <w:rFonts w:ascii="Arial" w:hAnsi="Arial" w:cs="Arial"/>
          <w:color w:val="000000" w:themeColor="text1"/>
          <w:sz w:val="19"/>
          <w:szCs w:val="19"/>
          <w:lang w:val="es-ES"/>
        </w:rPr>
      </w:pPr>
    </w:p>
  </w:footnote>
  <w:footnote w:id="8">
    <w:p w14:paraId="2AAF06C7"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https://www.colombiacompra.gov.co/sites/cce_public/files/cce_documentos/umbrales_2020_-_2021.pdf</w:t>
      </w:r>
    </w:p>
  </w:footnote>
  <w:footnote w:id="9">
    <w:p w14:paraId="17A3C082"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Ibidem.</w:t>
      </w:r>
    </w:p>
    <w:p w14:paraId="001D0842"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 w:id="10">
    <w:p w14:paraId="74D274F6"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Concepto emitido en el radicado 4201913000005674, dictado el 27 de septiembre de 2019.</w:t>
      </w:r>
    </w:p>
    <w:p w14:paraId="48DDE8EB"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 w:id="11">
    <w:p w14:paraId="043D68A6" w14:textId="77777777" w:rsidR="007F2458" w:rsidRPr="00C429A6" w:rsidRDefault="007F2458" w:rsidP="007F2458">
      <w:pPr>
        <w:pStyle w:val="Textonotapie"/>
        <w:jc w:val="both"/>
        <w:rPr>
          <w:rFonts w:ascii="Arial" w:hAnsi="Arial" w:cs="Arial"/>
          <w:color w:val="000000" w:themeColor="text1"/>
          <w:sz w:val="19"/>
          <w:szCs w:val="19"/>
        </w:rPr>
      </w:pPr>
    </w:p>
    <w:p w14:paraId="42E463A6"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14:paraId="4ECFABC0" w14:textId="77777777" w:rsidR="007F2458" w:rsidRPr="00C429A6" w:rsidRDefault="007F2458" w:rsidP="007F2458">
      <w:pPr>
        <w:pStyle w:val="Textonotapie"/>
        <w:ind w:firstLine="708"/>
        <w:jc w:val="both"/>
        <w:rPr>
          <w:rFonts w:ascii="Arial" w:hAnsi="Arial" w:cs="Arial"/>
          <w:color w:val="000000" w:themeColor="text1"/>
          <w:sz w:val="19"/>
          <w:szCs w:val="19"/>
        </w:rPr>
      </w:pPr>
    </w:p>
    <w:p w14:paraId="0FFCB36E"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 </w:t>
      </w:r>
    </w:p>
  </w:footnote>
  <w:footnote w:id="13">
    <w:p w14:paraId="6C7C2BCB" w14:textId="77777777" w:rsidR="007F2458" w:rsidRPr="00C429A6" w:rsidRDefault="007F2458" w:rsidP="007F2458">
      <w:pPr>
        <w:pStyle w:val="Textonotapie"/>
        <w:ind w:firstLine="708"/>
        <w:jc w:val="both"/>
        <w:rPr>
          <w:rFonts w:ascii="Arial" w:hAnsi="Arial" w:cs="Arial"/>
          <w:color w:val="000000" w:themeColor="text1"/>
          <w:sz w:val="19"/>
          <w:szCs w:val="19"/>
        </w:rPr>
      </w:pPr>
      <w:r w:rsidRPr="00C429A6">
        <w:rPr>
          <w:rStyle w:val="Refdenotaalpie"/>
          <w:rFonts w:ascii="Arial" w:hAnsi="Arial" w:cs="Arial"/>
          <w:color w:val="000000" w:themeColor="text1"/>
          <w:sz w:val="19"/>
          <w:szCs w:val="19"/>
        </w:rPr>
        <w:footnoteRef/>
      </w:r>
      <w:r w:rsidRPr="00C429A6">
        <w:rPr>
          <w:rFonts w:ascii="Arial" w:hAnsi="Arial" w:cs="Arial"/>
          <w:color w:val="000000" w:themeColor="text1"/>
          <w:sz w:val="19"/>
          <w:szCs w:val="19"/>
        </w:rPr>
        <w:t xml:space="preserve"> Cfr. Concepto emitido en el radicado 4201913000005674, dictado el 27 de septiembre de 2019.</w:t>
      </w:r>
    </w:p>
    <w:p w14:paraId="72A90AB9" w14:textId="77777777" w:rsidR="007F2458" w:rsidRPr="00C429A6" w:rsidRDefault="007F2458" w:rsidP="007F2458">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395E0" w14:textId="77777777" w:rsidR="007B0854" w:rsidRDefault="00D82080">
    <w:pPr>
      <w:pStyle w:val="Encabezado"/>
    </w:pPr>
    <w:r>
      <w:rPr>
        <w:noProof/>
        <w:lang w:val="es-CO" w:eastAsia="es-CO"/>
      </w:rPr>
      <w:drawing>
        <wp:anchor distT="0" distB="0" distL="114300" distR="114300" simplePos="0" relativeHeight="251659264" behindDoc="1" locked="0" layoutInCell="1" allowOverlap="1" wp14:anchorId="71CF73E3" wp14:editId="3E9DD1F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CDCE35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458"/>
    <w:rsid w:val="0003281E"/>
    <w:rsid w:val="0013088D"/>
    <w:rsid w:val="00157D04"/>
    <w:rsid w:val="002B73BD"/>
    <w:rsid w:val="004B18B0"/>
    <w:rsid w:val="007F2458"/>
    <w:rsid w:val="00920371"/>
    <w:rsid w:val="009564A2"/>
    <w:rsid w:val="0099059D"/>
    <w:rsid w:val="009B0B17"/>
    <w:rsid w:val="00A47EDF"/>
    <w:rsid w:val="00AB29DD"/>
    <w:rsid w:val="00B868BC"/>
    <w:rsid w:val="00C24C36"/>
    <w:rsid w:val="00C429A6"/>
    <w:rsid w:val="00D82080"/>
    <w:rsid w:val="00DA6981"/>
    <w:rsid w:val="00EA6C85"/>
    <w:rsid w:val="00ED04A5"/>
    <w:rsid w:val="00FC6F24"/>
    <w:rsid w:val="00FE496E"/>
    <w:rsid w:val="0410FEE7"/>
    <w:rsid w:val="05951344"/>
    <w:rsid w:val="0C0163D8"/>
    <w:rsid w:val="10CC3BF8"/>
    <w:rsid w:val="192182E6"/>
    <w:rsid w:val="3C9A1C33"/>
    <w:rsid w:val="3E781966"/>
    <w:rsid w:val="467D0CD7"/>
    <w:rsid w:val="468A9221"/>
    <w:rsid w:val="70159E55"/>
    <w:rsid w:val="7A2A2BB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C4C72B"/>
  <w15:chartTrackingRefBased/>
  <w15:docId w15:val="{34DEED39-14A1-4C2F-AF11-6874DEF0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45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F2458"/>
    <w:pPr>
      <w:tabs>
        <w:tab w:val="center" w:pos="4419"/>
        <w:tab w:val="right" w:pos="8838"/>
      </w:tabs>
    </w:pPr>
  </w:style>
  <w:style w:type="character" w:customStyle="1" w:styleId="PiedepginaCar">
    <w:name w:val="Pie de página Car"/>
    <w:basedOn w:val="Fuentedeprrafopredeter"/>
    <w:link w:val="Piedepgina"/>
    <w:uiPriority w:val="99"/>
    <w:rsid w:val="007F2458"/>
    <w:rPr>
      <w:sz w:val="24"/>
      <w:lang w:val="es-MX"/>
    </w:rPr>
  </w:style>
  <w:style w:type="paragraph" w:styleId="Encabezado">
    <w:name w:val="header"/>
    <w:basedOn w:val="Normal"/>
    <w:link w:val="EncabezadoCar"/>
    <w:uiPriority w:val="99"/>
    <w:unhideWhenUsed/>
    <w:rsid w:val="007F2458"/>
    <w:pPr>
      <w:tabs>
        <w:tab w:val="center" w:pos="4252"/>
        <w:tab w:val="right" w:pos="8504"/>
      </w:tabs>
    </w:pPr>
  </w:style>
  <w:style w:type="character" w:customStyle="1" w:styleId="EncabezadoCar">
    <w:name w:val="Encabezado Car"/>
    <w:basedOn w:val="Fuentedeprrafopredeter"/>
    <w:link w:val="Encabezado"/>
    <w:uiPriority w:val="99"/>
    <w:rsid w:val="007F2458"/>
    <w:rPr>
      <w:sz w:val="24"/>
      <w:lang w:val="es-MX"/>
    </w:rPr>
  </w:style>
  <w:style w:type="table" w:styleId="Tablaconcuadrcula">
    <w:name w:val="Table Grid"/>
    <w:basedOn w:val="Tablanormal"/>
    <w:uiPriority w:val="39"/>
    <w:rsid w:val="007F2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F2458"/>
    <w:pPr>
      <w:ind w:left="720"/>
      <w:contextualSpacing/>
    </w:pPr>
  </w:style>
  <w:style w:type="paragraph" w:styleId="Sinespaciado">
    <w:name w:val="No Spacing"/>
    <w:uiPriority w:val="1"/>
    <w:qFormat/>
    <w:rsid w:val="007F245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F245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F2458"/>
    <w:rPr>
      <w:sz w:val="20"/>
      <w:szCs w:val="20"/>
    </w:rPr>
  </w:style>
  <w:style w:type="character" w:customStyle="1" w:styleId="TextonotapieCar1">
    <w:name w:val="Texto nota pie Car1"/>
    <w:basedOn w:val="Fuentedeprrafopredeter"/>
    <w:uiPriority w:val="99"/>
    <w:semiHidden/>
    <w:rsid w:val="007F245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2458"/>
    <w:rPr>
      <w:sz w:val="24"/>
      <w:lang w:val="es-MX"/>
    </w:rPr>
  </w:style>
  <w:style w:type="paragraph" w:customStyle="1" w:styleId="Capitulo1">
    <w:name w:val="Capitulo 1"/>
    <w:basedOn w:val="Normal"/>
    <w:qFormat/>
    <w:rsid w:val="007F2458"/>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F2458"/>
    <w:rPr>
      <w:vertAlign w:val="superscript"/>
    </w:rPr>
  </w:style>
  <w:style w:type="character" w:styleId="Hipervnculo">
    <w:name w:val="Hyperlink"/>
    <w:basedOn w:val="Fuentedeprrafopredeter"/>
    <w:uiPriority w:val="99"/>
    <w:unhideWhenUsed/>
    <w:rsid w:val="007F2458"/>
    <w:rPr>
      <w:color w:val="0563C1" w:themeColor="hyperlink"/>
      <w:u w:val="single"/>
    </w:rPr>
  </w:style>
  <w:style w:type="paragraph" w:customStyle="1" w:styleId="Default">
    <w:name w:val="Default"/>
    <w:rsid w:val="0013088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591125">
      <w:bodyDiv w:val="1"/>
      <w:marLeft w:val="0"/>
      <w:marRight w:val="0"/>
      <w:marTop w:val="0"/>
      <w:marBottom w:val="0"/>
      <w:divBdr>
        <w:top w:val="none" w:sz="0" w:space="0" w:color="auto"/>
        <w:left w:val="none" w:sz="0" w:space="0" w:color="auto"/>
        <w:bottom w:val="none" w:sz="0" w:space="0" w:color="auto"/>
        <w:right w:val="none" w:sz="0" w:space="0" w:color="auto"/>
      </w:divBdr>
    </w:div>
    <w:div w:id="434129899">
      <w:bodyDiv w:val="1"/>
      <w:marLeft w:val="0"/>
      <w:marRight w:val="0"/>
      <w:marTop w:val="0"/>
      <w:marBottom w:val="0"/>
      <w:divBdr>
        <w:top w:val="none" w:sz="0" w:space="0" w:color="auto"/>
        <w:left w:val="none" w:sz="0" w:space="0" w:color="auto"/>
        <w:bottom w:val="none" w:sz="0" w:space="0" w:color="auto"/>
        <w:right w:val="none" w:sz="0" w:space="0" w:color="auto"/>
      </w:divBdr>
    </w:div>
    <w:div w:id="939024591">
      <w:bodyDiv w:val="1"/>
      <w:marLeft w:val="0"/>
      <w:marRight w:val="0"/>
      <w:marTop w:val="0"/>
      <w:marBottom w:val="0"/>
      <w:divBdr>
        <w:top w:val="none" w:sz="0" w:space="0" w:color="auto"/>
        <w:left w:val="none" w:sz="0" w:space="0" w:color="auto"/>
        <w:bottom w:val="none" w:sz="0" w:space="0" w:color="auto"/>
        <w:right w:val="none" w:sz="0" w:space="0" w:color="auto"/>
      </w:divBdr>
    </w:div>
    <w:div w:id="1498379013">
      <w:bodyDiv w:val="1"/>
      <w:marLeft w:val="0"/>
      <w:marRight w:val="0"/>
      <w:marTop w:val="0"/>
      <w:marBottom w:val="0"/>
      <w:divBdr>
        <w:top w:val="none" w:sz="0" w:space="0" w:color="auto"/>
        <w:left w:val="none" w:sz="0" w:space="0" w:color="auto"/>
        <w:bottom w:val="none" w:sz="0" w:space="0" w:color="auto"/>
        <w:right w:val="none" w:sz="0" w:space="0" w:color="auto"/>
      </w:divBdr>
    </w:div>
    <w:div w:id="1962416291">
      <w:bodyDiv w:val="1"/>
      <w:marLeft w:val="0"/>
      <w:marRight w:val="0"/>
      <w:marTop w:val="0"/>
      <w:marBottom w:val="0"/>
      <w:divBdr>
        <w:top w:val="none" w:sz="0" w:space="0" w:color="auto"/>
        <w:left w:val="none" w:sz="0" w:space="0" w:color="auto"/>
        <w:bottom w:val="none" w:sz="0" w:space="0" w:color="auto"/>
        <w:right w:val="none" w:sz="0" w:space="0" w:color="auto"/>
      </w:divBdr>
    </w:div>
    <w:div w:id="205889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2B3D5-8CCD-4FCF-A737-03E587662193}">
  <ds:schemaRefs>
    <ds:schemaRef ds:uri="http://schemas.microsoft.com/sharepoint/v3/contenttype/forms"/>
  </ds:schemaRefs>
</ds:datastoreItem>
</file>

<file path=customXml/itemProps2.xml><?xml version="1.0" encoding="utf-8"?>
<ds:datastoreItem xmlns:ds="http://schemas.openxmlformats.org/officeDocument/2006/customXml" ds:itemID="{591C985D-C199-491E-9B0F-0468F3D2AC9F}">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C95F3476-F551-4688-9710-DCCDB4AE2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4437</Words>
  <Characters>24404</Characters>
  <Application>Microsoft Office Word</Application>
  <DocSecurity>0</DocSecurity>
  <Lines>203</Lines>
  <Paragraphs>57</Paragraphs>
  <ScaleCrop>false</ScaleCrop>
  <Company/>
  <LinksUpToDate>false</LinksUpToDate>
  <CharactersWithSpaces>28784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Cindy Natalia Sierra Benítez</cp:lastModifiedBy>
  <cp:revision>19</cp:revision>
  <dcterms:created xsi:type="dcterms:W3CDTF">2020-02-24T15:38:00Z</dcterms:created>
  <dcterms:modified xsi:type="dcterms:W3CDTF">2020-07-31T21:16:00Z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