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3E121" w14:textId="77777777" w:rsidR="00BA6B8A" w:rsidRPr="00642EA6" w:rsidRDefault="00BA6B8A" w:rsidP="00BA6B8A">
      <w:pPr>
        <w:spacing w:after="0" w:line="240" w:lineRule="auto"/>
        <w:jc w:val="both"/>
        <w:rPr>
          <w:rFonts w:ascii="Verdana" w:eastAsia="Aptos" w:hAnsi="Verdana" w:cs="Times New Roman"/>
          <w:b/>
          <w:bCs/>
          <w:kern w:val="2"/>
          <w14:ligatures w14:val="standardContextual"/>
        </w:rPr>
      </w:pPr>
      <w:r w:rsidRPr="00642EA6">
        <w:rPr>
          <w:rFonts w:ascii="Verdana" w:eastAsia="Aptos" w:hAnsi="Verdana" w:cs="Times New Roman"/>
          <w:b/>
          <w:bCs/>
          <w:kern w:val="2"/>
          <w14:ligatures w14:val="standardContextual"/>
        </w:rPr>
        <w:t>SOCIEDADES DE ECONOMÍA MIXTA – Naturaleza jurídica – Régimen de contratación</w:t>
      </w:r>
    </w:p>
    <w:p w14:paraId="27208C80" w14:textId="77777777" w:rsidR="00BA6B8A" w:rsidRPr="00642EA6" w:rsidRDefault="00BA6B8A" w:rsidP="00BA6B8A">
      <w:pPr>
        <w:spacing w:after="0" w:line="278" w:lineRule="auto"/>
        <w:jc w:val="both"/>
        <w:rPr>
          <w:rFonts w:ascii="Verdana" w:eastAsia="Aptos" w:hAnsi="Verdana" w:cs="Times New Roman"/>
          <w:b/>
          <w:bCs/>
          <w:kern w:val="2"/>
          <w:sz w:val="20"/>
          <w:szCs w:val="20"/>
          <w14:ligatures w14:val="standardContextual"/>
        </w:rPr>
      </w:pPr>
    </w:p>
    <w:p w14:paraId="26BAD85A" w14:textId="77777777" w:rsidR="00BA6B8A" w:rsidRPr="00642EA6" w:rsidRDefault="00BA6B8A" w:rsidP="00BA6B8A">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 Y el segundo destinado a regir el desarrollo de la actividad económica de cada sociedad.</w:t>
      </w:r>
      <w:r w:rsidRPr="00642EA6">
        <w:rPr>
          <w:rFonts w:ascii="Aptos" w:eastAsia="Aptos" w:hAnsi="Aptos" w:cs="Times New Roman"/>
          <w:kern w:val="2"/>
          <w:sz w:val="24"/>
          <w:szCs w:val="24"/>
          <w14:ligatures w14:val="standardContextual"/>
        </w:rPr>
        <w:t xml:space="preserve"> </w:t>
      </w:r>
      <w:r w:rsidRPr="00642EA6">
        <w:rPr>
          <w:rFonts w:ascii="Verdana" w:eastAsia="Aptos" w:hAnsi="Verdana" w:cs="Times New Roman"/>
          <w:kern w:val="2"/>
          <w:sz w:val="20"/>
          <w:szCs w:val="20"/>
          <w14:ligatures w14:val="standardContextual"/>
        </w:rPr>
        <w:t>De esta forma,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 . Esto significa que el legislador, en el año 1993, estableció que las sociedades de economía mixta donde el Estado tenga participación superior al cincuenta por ciento (50%) están sujetos al Estatuto General de Contratación de la Administración Pública, en adelante EGCAP.</w:t>
      </w:r>
    </w:p>
    <w:p w14:paraId="690AC3F8" w14:textId="77777777" w:rsidR="00BA6B8A" w:rsidRPr="00642EA6" w:rsidRDefault="00BA6B8A" w:rsidP="00BA6B8A">
      <w:pPr>
        <w:spacing w:after="0" w:line="278"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w:t>
      </w:r>
    </w:p>
    <w:p w14:paraId="5D0CE1AD" w14:textId="77777777" w:rsidR="00BA6B8A" w:rsidRPr="00642EA6" w:rsidRDefault="00BA6B8A" w:rsidP="00BA6B8A">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523A88DB" w14:textId="77777777" w:rsidR="00BA6B8A" w:rsidRPr="00642EA6" w:rsidRDefault="00BA6B8A" w:rsidP="00BA6B8A">
      <w:pPr>
        <w:spacing w:after="0" w:line="278" w:lineRule="auto"/>
        <w:jc w:val="both"/>
        <w:rPr>
          <w:rFonts w:ascii="Verdana" w:eastAsia="Aptos" w:hAnsi="Verdana" w:cs="Times New Roman"/>
          <w:kern w:val="2"/>
          <w:sz w:val="20"/>
          <w:szCs w:val="20"/>
          <w14:ligatures w14:val="standardContextual"/>
        </w:rPr>
      </w:pPr>
    </w:p>
    <w:p w14:paraId="2AA11FB0" w14:textId="77777777" w:rsidR="00BA6B8A" w:rsidRPr="00642EA6" w:rsidRDefault="00BA6B8A" w:rsidP="00BA6B8A">
      <w:pPr>
        <w:spacing w:after="0" w:line="240" w:lineRule="auto"/>
        <w:jc w:val="both"/>
        <w:rPr>
          <w:rFonts w:ascii="Verdana" w:eastAsia="Aptos" w:hAnsi="Verdana" w:cs="Times New Roman"/>
          <w:b/>
          <w:bCs/>
          <w:kern w:val="2"/>
          <w14:ligatures w14:val="standardContextual"/>
        </w:rPr>
      </w:pPr>
      <w:r w:rsidRPr="00642EA6">
        <w:rPr>
          <w:rFonts w:ascii="Verdana" w:eastAsia="Aptos" w:hAnsi="Verdana" w:cs="Times New Roman"/>
          <w:b/>
          <w:bCs/>
          <w:kern w:val="2"/>
          <w14:ligatures w14:val="standardContextual"/>
        </w:rPr>
        <w:t>ENTIDADES CON RÉGIMEN ESPECIAL DE CONTRATACIÓN – Deber de publicidad – SECOP II – Actividad contractual – Recursos públicos</w:t>
      </w:r>
    </w:p>
    <w:p w14:paraId="02496C85" w14:textId="77777777" w:rsidR="00BA6B8A" w:rsidRPr="00642EA6" w:rsidRDefault="00BA6B8A" w:rsidP="00BA6B8A">
      <w:pPr>
        <w:spacing w:after="0" w:line="278" w:lineRule="auto"/>
        <w:jc w:val="both"/>
        <w:rPr>
          <w:rFonts w:ascii="Verdana" w:eastAsia="Aptos" w:hAnsi="Verdana" w:cs="Times New Roman"/>
          <w:b/>
          <w:bCs/>
          <w:kern w:val="2"/>
          <w14:ligatures w14:val="standardContextual"/>
        </w:rPr>
      </w:pPr>
    </w:p>
    <w:p w14:paraId="55D4EC07" w14:textId="77777777" w:rsidR="00BA6B8A" w:rsidRPr="00642EA6" w:rsidRDefault="00BA6B8A" w:rsidP="00BA6B8A">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 mediante el cual se adiciona el artículo 13 a la Ley 1150 de 2007, asigna a dichas entidades la obligación de publicar los documentos relacionados con su actividad contractual en el SECOP II o la plataforma transaccional que haga sus veces.</w:t>
      </w:r>
    </w:p>
    <w:p w14:paraId="646FADD9" w14:textId="77777777" w:rsidR="00BA6B8A" w:rsidRPr="00642EA6" w:rsidRDefault="00BA6B8A" w:rsidP="00BA6B8A">
      <w:pPr>
        <w:spacing w:after="0" w:line="278"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w:t>
      </w:r>
    </w:p>
    <w:p w14:paraId="2B6D3E7E" w14:textId="77777777" w:rsidR="00BA6B8A" w:rsidRPr="00642EA6" w:rsidRDefault="00BA6B8A" w:rsidP="00BA6B8A">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xml:space="preserve">[…]debe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con </w:t>
      </w:r>
      <w:r w:rsidRPr="00642EA6">
        <w:rPr>
          <w:rFonts w:ascii="Verdana" w:eastAsia="Aptos" w:hAnsi="Verdana" w:cs="Times New Roman"/>
          <w:kern w:val="2"/>
          <w:sz w:val="20"/>
          <w:szCs w:val="20"/>
          <w14:ligatures w14:val="standardContextual"/>
        </w:rPr>
        <w:lastRenderedPageBreak/>
        <w:t>dineros públicos. Así las cosas, la Agencia Nacional de Contratación Pública – Colombia Compra Eficiente considera que la modificación introducida por el artículo 53 de la Ley 2195 de 2022 no afecta la interpretación adoptada hasta el momento, en el sentido de que la publicación de la información oficial de la contratación en el SECOP II debe realizarse si los negocios jurídicos adelantados fueron financiados con recursos públicos.</w:t>
      </w:r>
    </w:p>
    <w:p w14:paraId="19032764" w14:textId="77777777" w:rsidR="00BA6B8A" w:rsidRDefault="00BA6B8A" w:rsidP="00BA6B8A">
      <w:pPr>
        <w:spacing w:after="0" w:line="240" w:lineRule="auto"/>
        <w:rPr>
          <w:rFonts w:ascii="Verdana" w:eastAsia="Aptos" w:hAnsi="Verdana" w:cs="Times New Roman"/>
          <w:sz w:val="20"/>
          <w:szCs w:val="20"/>
        </w:rPr>
      </w:pPr>
    </w:p>
    <w:p w14:paraId="290AE2F9" w14:textId="77777777" w:rsidR="00BA6B8A" w:rsidRDefault="00BA6B8A" w:rsidP="00BA6B8A">
      <w:pPr>
        <w:spacing w:after="0" w:line="240" w:lineRule="auto"/>
        <w:jc w:val="both"/>
        <w:rPr>
          <w:rFonts w:ascii="Verdana" w:eastAsia="Aptos" w:hAnsi="Verdana" w:cs="Times New Roman"/>
          <w:b/>
          <w:bCs/>
          <w:kern w:val="2"/>
          <w14:ligatures w14:val="standardContextual"/>
        </w:rPr>
      </w:pPr>
      <w:r w:rsidRPr="00434D30">
        <w:rPr>
          <w:rFonts w:ascii="Verdana" w:eastAsia="Aptos" w:hAnsi="Verdana" w:cs="Times New Roman"/>
          <w:b/>
          <w:bCs/>
          <w:kern w:val="2"/>
          <w14:ligatures w14:val="standardContextual"/>
        </w:rPr>
        <w:t>SOCIEDADES DE ECONOMÍA MIXTA – Actividad contractual sin erogación de recursos públicos – Decisión facultativa de uso del SECOP II</w:t>
      </w:r>
    </w:p>
    <w:p w14:paraId="21B2346A" w14:textId="77777777" w:rsidR="00BA6B8A" w:rsidRDefault="00BA6B8A" w:rsidP="00BA6B8A">
      <w:pPr>
        <w:spacing w:after="0" w:line="240" w:lineRule="auto"/>
        <w:jc w:val="both"/>
        <w:rPr>
          <w:rFonts w:ascii="Verdana" w:eastAsia="Aptos" w:hAnsi="Verdana" w:cs="Times New Roman"/>
          <w:b/>
          <w:bCs/>
          <w:kern w:val="2"/>
          <w14:ligatures w14:val="standardContextual"/>
        </w:rPr>
      </w:pPr>
    </w:p>
    <w:p w14:paraId="4C9184B3" w14:textId="77777777" w:rsidR="00BA6B8A" w:rsidRPr="00434D30" w:rsidRDefault="00BA6B8A" w:rsidP="00BA6B8A">
      <w:pPr>
        <w:spacing w:after="0" w:line="240" w:lineRule="auto"/>
        <w:jc w:val="both"/>
        <w:rPr>
          <w:rFonts w:ascii="Verdana" w:eastAsia="Aptos" w:hAnsi="Verdana" w:cs="Times New Roman"/>
          <w:kern w:val="2"/>
          <w:sz w:val="20"/>
          <w:szCs w:val="20"/>
          <w14:ligatures w14:val="standardContextual"/>
        </w:rPr>
      </w:pPr>
      <w:r>
        <w:rPr>
          <w:rFonts w:ascii="Verdana" w:eastAsia="Aptos" w:hAnsi="Verdana" w:cs="Times New Roman"/>
          <w:kern w:val="2"/>
          <w:sz w:val="20"/>
          <w:szCs w:val="20"/>
          <w14:ligatures w14:val="standardContextual"/>
        </w:rPr>
        <w:t xml:space="preserve">[…] </w:t>
      </w:r>
      <w:r w:rsidRPr="00434D30">
        <w:rPr>
          <w:rFonts w:ascii="Verdana" w:eastAsia="Aptos" w:hAnsi="Verdana" w:cs="Times New Roman"/>
          <w:kern w:val="2"/>
          <w:sz w:val="20"/>
          <w:szCs w:val="20"/>
          <w14:ligatures w14:val="standardContextual"/>
        </w:rPr>
        <w:t xml:space="preserve">En ese orden, en virtud de que la obligación de publicidad establecida en dicha norma se prédica únicamente de la actividad contractual financiada con recursos públicos, resulta meramente potestativa o facultativa la decisión de realizar o no la publicación de la actividad contractual financiada con otro tipo de recursos en dicha plataforma. </w:t>
      </w:r>
    </w:p>
    <w:p w14:paraId="059C97BB" w14:textId="77777777" w:rsidR="00BA6B8A" w:rsidRDefault="00BA6B8A" w:rsidP="00BA6B8A">
      <w:pPr>
        <w:spacing w:after="0" w:line="240" w:lineRule="auto"/>
        <w:jc w:val="both"/>
        <w:rPr>
          <w:rFonts w:ascii="Verdana" w:eastAsia="Aptos" w:hAnsi="Verdana" w:cs="Times New Roman"/>
          <w:kern w:val="2"/>
          <w:sz w:val="20"/>
          <w:szCs w:val="20"/>
          <w14:ligatures w14:val="standardContextual"/>
        </w:rPr>
      </w:pPr>
    </w:p>
    <w:p w14:paraId="63758619" w14:textId="77777777" w:rsidR="00BA6B8A" w:rsidRPr="00434D30" w:rsidRDefault="00BA6B8A" w:rsidP="00BA6B8A">
      <w:pPr>
        <w:spacing w:after="0" w:line="240" w:lineRule="auto"/>
        <w:jc w:val="both"/>
        <w:rPr>
          <w:rFonts w:ascii="Verdana" w:eastAsia="Aptos" w:hAnsi="Verdana" w:cs="Times New Roman"/>
          <w:kern w:val="2"/>
          <w:sz w:val="20"/>
          <w:szCs w:val="20"/>
          <w14:ligatures w14:val="standardContextual"/>
        </w:rPr>
      </w:pPr>
      <w:r w:rsidRPr="00434D30">
        <w:rPr>
          <w:rFonts w:ascii="Verdana" w:eastAsia="Aptos" w:hAnsi="Verdana" w:cs="Times New Roman"/>
          <w:kern w:val="2"/>
          <w:sz w:val="20"/>
          <w:szCs w:val="20"/>
          <w14:ligatures w14:val="standardContextual"/>
        </w:rPr>
        <w:t>Por lo tanto, si la Sociedad de Economía Mixta decide adelantar la publicación haciendo uso de la plataforma SECOP II, aun cuando no tenga la obligación legal de hacerlo, podrá adelantarla siguiendo las recomendaciones y lineamientos establecidos en la Circular 002 de 2024 antes referenciada. En todo caso, corresponde a cada entidad de régimen especial de contratación dar cumplimiento al deber de publicación que les asiste en relación con su actividad contractual en cumplimiento del artículo 53 de la Ley 2195 de 2022.</w:t>
      </w:r>
    </w:p>
    <w:p w14:paraId="2EA64A85" w14:textId="77777777" w:rsidR="00BA6B8A" w:rsidRPr="00434D30" w:rsidRDefault="00BA6B8A" w:rsidP="00BA6B8A">
      <w:pPr>
        <w:spacing w:after="0" w:line="240" w:lineRule="auto"/>
        <w:jc w:val="both"/>
        <w:rPr>
          <w:rFonts w:ascii="Verdana" w:eastAsia="Aptos" w:hAnsi="Verdana" w:cs="Times New Roman"/>
          <w:b/>
          <w:bCs/>
          <w:kern w:val="2"/>
          <w:lang w:val="es-ES"/>
          <w14:ligatures w14:val="standardContextual"/>
        </w:rPr>
      </w:pPr>
    </w:p>
    <w:p w14:paraId="3C859733" w14:textId="77777777" w:rsidR="00BA6B8A" w:rsidRPr="00642EA6" w:rsidRDefault="00BA6B8A" w:rsidP="00BA6B8A">
      <w:pPr>
        <w:spacing w:after="0" w:line="240" w:lineRule="auto"/>
        <w:rPr>
          <w:rFonts w:ascii="Verdana" w:eastAsia="Aptos" w:hAnsi="Verdana" w:cs="Times New Roman"/>
          <w:sz w:val="20"/>
          <w:szCs w:val="20"/>
        </w:rPr>
      </w:pPr>
    </w:p>
    <w:p w14:paraId="6C0652EC" w14:textId="77777777" w:rsidR="00BA6B8A" w:rsidRPr="00642EA6" w:rsidRDefault="00BA6B8A" w:rsidP="00BA6B8A">
      <w:pPr>
        <w:spacing w:after="0" w:line="240" w:lineRule="auto"/>
        <w:rPr>
          <w:rFonts w:ascii="Verdana" w:eastAsia="Aptos" w:hAnsi="Verdana" w:cs="Times New Roman"/>
          <w:sz w:val="20"/>
          <w:szCs w:val="20"/>
        </w:rPr>
      </w:pPr>
    </w:p>
    <w:p w14:paraId="49A807F1" w14:textId="77777777" w:rsidR="00BA6B8A" w:rsidRPr="00642EA6" w:rsidRDefault="00BA6B8A" w:rsidP="00BA6B8A">
      <w:pPr>
        <w:spacing w:after="0" w:line="240" w:lineRule="auto"/>
        <w:rPr>
          <w:rFonts w:ascii="Verdana" w:eastAsia="Aptos" w:hAnsi="Verdana" w:cs="Times New Roman"/>
          <w:sz w:val="20"/>
          <w:szCs w:val="20"/>
        </w:rPr>
      </w:pPr>
    </w:p>
    <w:p w14:paraId="4E458B15" w14:textId="77777777" w:rsidR="00BA6B8A" w:rsidRPr="00642EA6" w:rsidRDefault="00BA6B8A" w:rsidP="00BA6B8A">
      <w:pPr>
        <w:spacing w:after="0" w:line="240" w:lineRule="auto"/>
        <w:rPr>
          <w:rFonts w:ascii="Verdana" w:eastAsia="Aptos" w:hAnsi="Verdana" w:cs="Times New Roman"/>
          <w:sz w:val="20"/>
          <w:szCs w:val="20"/>
        </w:rPr>
      </w:pPr>
    </w:p>
    <w:p w14:paraId="5CF578FF" w14:textId="77777777" w:rsidR="00BA6B8A" w:rsidRPr="00642EA6" w:rsidRDefault="00BA6B8A" w:rsidP="00BA6B8A">
      <w:pPr>
        <w:spacing w:after="0" w:line="240" w:lineRule="auto"/>
        <w:rPr>
          <w:rFonts w:ascii="Verdana" w:eastAsia="Aptos" w:hAnsi="Verdana" w:cs="Times New Roman"/>
          <w:sz w:val="20"/>
          <w:szCs w:val="20"/>
        </w:rPr>
      </w:pPr>
    </w:p>
    <w:p w14:paraId="502FBCB5" w14:textId="77777777" w:rsidR="00BA6B8A" w:rsidRPr="00642EA6" w:rsidRDefault="00BA6B8A" w:rsidP="00BA6B8A">
      <w:pPr>
        <w:spacing w:after="0" w:line="240" w:lineRule="auto"/>
        <w:rPr>
          <w:rFonts w:ascii="Verdana" w:eastAsia="Aptos" w:hAnsi="Verdana" w:cs="Times New Roman"/>
          <w:sz w:val="20"/>
          <w:szCs w:val="20"/>
        </w:rPr>
      </w:pPr>
    </w:p>
    <w:p w14:paraId="52673F13" w14:textId="77777777" w:rsidR="00BA6B8A" w:rsidRPr="00642EA6" w:rsidRDefault="00BA6B8A" w:rsidP="00BA6B8A">
      <w:pPr>
        <w:spacing w:after="0" w:line="240" w:lineRule="auto"/>
        <w:rPr>
          <w:rFonts w:ascii="Verdana" w:eastAsia="Aptos" w:hAnsi="Verdana" w:cs="Times New Roman"/>
          <w:sz w:val="20"/>
          <w:szCs w:val="20"/>
        </w:rPr>
      </w:pPr>
    </w:p>
    <w:p w14:paraId="5DEB9524" w14:textId="77777777" w:rsidR="00BA6B8A" w:rsidRPr="00642EA6" w:rsidRDefault="00BA6B8A" w:rsidP="00BA6B8A">
      <w:pPr>
        <w:spacing w:after="0" w:line="240" w:lineRule="auto"/>
        <w:rPr>
          <w:rFonts w:ascii="Verdana" w:eastAsia="Aptos" w:hAnsi="Verdana" w:cs="Times New Roman"/>
          <w:sz w:val="20"/>
          <w:szCs w:val="20"/>
        </w:rPr>
      </w:pPr>
    </w:p>
    <w:p w14:paraId="31C56CBB" w14:textId="77777777" w:rsidR="00BA6B8A" w:rsidRPr="00642EA6" w:rsidRDefault="00BA6B8A" w:rsidP="00BA6B8A">
      <w:pPr>
        <w:spacing w:after="0" w:line="240" w:lineRule="auto"/>
        <w:rPr>
          <w:rFonts w:ascii="Verdana" w:eastAsia="Aptos" w:hAnsi="Verdana" w:cs="Times New Roman"/>
          <w:sz w:val="20"/>
          <w:szCs w:val="20"/>
        </w:rPr>
      </w:pPr>
    </w:p>
    <w:p w14:paraId="7DE915ED" w14:textId="77777777" w:rsidR="00BA6B8A" w:rsidRPr="00642EA6" w:rsidRDefault="00BA6B8A" w:rsidP="00BA6B8A">
      <w:pPr>
        <w:spacing w:after="0" w:line="240" w:lineRule="auto"/>
        <w:rPr>
          <w:rFonts w:ascii="Verdana" w:eastAsia="Aptos" w:hAnsi="Verdana" w:cs="Times New Roman"/>
          <w:sz w:val="20"/>
          <w:szCs w:val="20"/>
        </w:rPr>
      </w:pPr>
    </w:p>
    <w:p w14:paraId="71FB16B0" w14:textId="77777777" w:rsidR="00BA6B8A" w:rsidRPr="00642EA6" w:rsidRDefault="00BA6B8A" w:rsidP="00BA6B8A">
      <w:pPr>
        <w:spacing w:after="0" w:line="240" w:lineRule="auto"/>
        <w:rPr>
          <w:rFonts w:ascii="Verdana" w:eastAsia="Aptos" w:hAnsi="Verdana" w:cs="Times New Roman"/>
          <w:sz w:val="20"/>
          <w:szCs w:val="20"/>
        </w:rPr>
      </w:pPr>
    </w:p>
    <w:p w14:paraId="48A245DD" w14:textId="77777777" w:rsidR="00BA6B8A" w:rsidRPr="00642EA6" w:rsidRDefault="00BA6B8A" w:rsidP="00BA6B8A">
      <w:pPr>
        <w:spacing w:after="0" w:line="240" w:lineRule="auto"/>
        <w:rPr>
          <w:rFonts w:ascii="Verdana" w:eastAsia="Aptos" w:hAnsi="Verdana" w:cs="Times New Roman"/>
          <w:sz w:val="20"/>
          <w:szCs w:val="20"/>
        </w:rPr>
      </w:pPr>
    </w:p>
    <w:p w14:paraId="145F06BB" w14:textId="77777777" w:rsidR="00BA6B8A" w:rsidRPr="00642EA6" w:rsidRDefault="00BA6B8A" w:rsidP="00BA6B8A">
      <w:pPr>
        <w:spacing w:after="0" w:line="240" w:lineRule="auto"/>
        <w:rPr>
          <w:rFonts w:ascii="Verdana" w:eastAsia="Aptos" w:hAnsi="Verdana" w:cs="Times New Roman"/>
          <w:sz w:val="20"/>
          <w:szCs w:val="20"/>
        </w:rPr>
      </w:pPr>
    </w:p>
    <w:p w14:paraId="1C91E670" w14:textId="77777777" w:rsidR="00BA6B8A" w:rsidRPr="00642EA6" w:rsidRDefault="00BA6B8A" w:rsidP="00BA6B8A">
      <w:pPr>
        <w:spacing w:after="0" w:line="240" w:lineRule="auto"/>
        <w:rPr>
          <w:rFonts w:ascii="Verdana" w:eastAsia="Aptos" w:hAnsi="Verdana" w:cs="Times New Roman"/>
          <w:sz w:val="20"/>
          <w:szCs w:val="20"/>
        </w:rPr>
      </w:pPr>
    </w:p>
    <w:p w14:paraId="24421A80" w14:textId="77777777" w:rsidR="00BA6B8A" w:rsidRPr="00642EA6" w:rsidRDefault="00BA6B8A" w:rsidP="00BA6B8A">
      <w:pPr>
        <w:spacing w:after="0" w:line="240" w:lineRule="auto"/>
        <w:rPr>
          <w:rFonts w:ascii="Verdana" w:eastAsia="Aptos" w:hAnsi="Verdana" w:cs="Times New Roman"/>
          <w:sz w:val="20"/>
          <w:szCs w:val="20"/>
        </w:rPr>
      </w:pPr>
    </w:p>
    <w:p w14:paraId="16FF62BD" w14:textId="77777777" w:rsidR="00BA6B8A" w:rsidRPr="00642EA6" w:rsidRDefault="00BA6B8A" w:rsidP="00BA6B8A">
      <w:pPr>
        <w:spacing w:after="0" w:line="240" w:lineRule="auto"/>
        <w:rPr>
          <w:rFonts w:ascii="Verdana" w:eastAsia="Aptos" w:hAnsi="Verdana" w:cs="Times New Roman"/>
          <w:sz w:val="20"/>
          <w:szCs w:val="20"/>
        </w:rPr>
      </w:pPr>
    </w:p>
    <w:p w14:paraId="5E7BB603" w14:textId="77777777" w:rsidR="00BA6B8A" w:rsidRPr="00642EA6" w:rsidRDefault="00BA6B8A" w:rsidP="00BA6B8A">
      <w:pPr>
        <w:spacing w:after="0" w:line="240" w:lineRule="auto"/>
        <w:rPr>
          <w:rFonts w:ascii="Verdana" w:eastAsia="Aptos" w:hAnsi="Verdana" w:cs="Times New Roman"/>
          <w:sz w:val="20"/>
          <w:szCs w:val="20"/>
        </w:rPr>
      </w:pPr>
    </w:p>
    <w:p w14:paraId="4B028AA0" w14:textId="77777777" w:rsidR="00BA6B8A" w:rsidRPr="00642EA6" w:rsidRDefault="00BA6B8A" w:rsidP="00BA6B8A">
      <w:pPr>
        <w:spacing w:after="0" w:line="240" w:lineRule="auto"/>
        <w:rPr>
          <w:rFonts w:ascii="Verdana" w:eastAsia="Aptos" w:hAnsi="Verdana" w:cs="Times New Roman"/>
          <w:sz w:val="20"/>
          <w:szCs w:val="20"/>
        </w:rPr>
      </w:pPr>
    </w:p>
    <w:p w14:paraId="3B8CE76E" w14:textId="77777777" w:rsidR="00BA6B8A" w:rsidRPr="00642EA6" w:rsidRDefault="00BA6B8A" w:rsidP="00BA6B8A">
      <w:pPr>
        <w:spacing w:after="0" w:line="240" w:lineRule="auto"/>
        <w:rPr>
          <w:rFonts w:ascii="Verdana" w:eastAsia="Aptos" w:hAnsi="Verdana" w:cs="Times New Roman"/>
          <w:sz w:val="20"/>
          <w:szCs w:val="20"/>
        </w:rPr>
      </w:pPr>
    </w:p>
    <w:p w14:paraId="27972F7E" w14:textId="77777777" w:rsidR="00BA6B8A" w:rsidRPr="00642EA6" w:rsidRDefault="00BA6B8A" w:rsidP="00BA6B8A">
      <w:pPr>
        <w:spacing w:after="0" w:line="240" w:lineRule="auto"/>
        <w:rPr>
          <w:rFonts w:ascii="Verdana" w:eastAsia="Aptos" w:hAnsi="Verdana" w:cs="Times New Roman"/>
          <w:sz w:val="20"/>
          <w:szCs w:val="20"/>
        </w:rPr>
      </w:pPr>
    </w:p>
    <w:p w14:paraId="6E05C804" w14:textId="77777777" w:rsidR="00BA6B8A" w:rsidRPr="00642EA6" w:rsidRDefault="00BA6B8A" w:rsidP="00BA6B8A">
      <w:pPr>
        <w:spacing w:after="0" w:line="240" w:lineRule="auto"/>
        <w:rPr>
          <w:rFonts w:ascii="Verdana" w:eastAsia="Aptos" w:hAnsi="Verdana" w:cs="Times New Roman"/>
          <w:sz w:val="20"/>
          <w:szCs w:val="20"/>
        </w:rPr>
      </w:pPr>
    </w:p>
    <w:p w14:paraId="6ED73A16" w14:textId="77777777" w:rsidR="00BA6B8A" w:rsidRPr="00642EA6" w:rsidRDefault="00BA6B8A" w:rsidP="00BA6B8A">
      <w:pPr>
        <w:spacing w:after="0" w:line="240" w:lineRule="auto"/>
        <w:rPr>
          <w:rFonts w:ascii="Verdana" w:eastAsia="Aptos" w:hAnsi="Verdana" w:cs="Times New Roman"/>
          <w:sz w:val="20"/>
          <w:szCs w:val="20"/>
        </w:rPr>
      </w:pPr>
    </w:p>
    <w:p w14:paraId="51DC48EA" w14:textId="77777777" w:rsidR="00BA6B8A" w:rsidRPr="00642EA6" w:rsidRDefault="00BA6B8A" w:rsidP="00BA6B8A">
      <w:pPr>
        <w:spacing w:after="0" w:line="240" w:lineRule="auto"/>
        <w:rPr>
          <w:rFonts w:ascii="Verdana" w:eastAsia="Aptos" w:hAnsi="Verdana" w:cs="Times New Roman"/>
          <w:sz w:val="20"/>
          <w:szCs w:val="20"/>
        </w:rPr>
      </w:pPr>
    </w:p>
    <w:p w14:paraId="0AE61AA5" w14:textId="77777777" w:rsidR="00BA6B8A" w:rsidRPr="00642EA6" w:rsidRDefault="00BA6B8A" w:rsidP="00BA6B8A">
      <w:pPr>
        <w:spacing w:after="0" w:line="240" w:lineRule="auto"/>
        <w:rPr>
          <w:rFonts w:ascii="Verdana" w:eastAsia="Aptos" w:hAnsi="Verdana" w:cs="Times New Roman"/>
          <w:sz w:val="20"/>
          <w:szCs w:val="20"/>
        </w:rPr>
      </w:pPr>
    </w:p>
    <w:p w14:paraId="3898D30E" w14:textId="77777777" w:rsidR="00BA6B8A" w:rsidRPr="00642EA6" w:rsidRDefault="00BA6B8A" w:rsidP="00BA6B8A">
      <w:pPr>
        <w:spacing w:after="0" w:line="240" w:lineRule="auto"/>
        <w:rPr>
          <w:rFonts w:ascii="Verdana" w:eastAsia="Aptos" w:hAnsi="Verdana" w:cs="Times New Roman"/>
          <w:sz w:val="20"/>
          <w:szCs w:val="20"/>
        </w:rPr>
      </w:pPr>
    </w:p>
    <w:p w14:paraId="59E592E1" w14:textId="77777777" w:rsidR="00BA6B8A" w:rsidRPr="00642EA6" w:rsidRDefault="00BA6B8A" w:rsidP="00BA6B8A">
      <w:pPr>
        <w:spacing w:after="0" w:line="240" w:lineRule="auto"/>
        <w:rPr>
          <w:rFonts w:ascii="Verdana" w:eastAsia="Geomanist Light" w:hAnsi="Verdana" w:cs="Arial"/>
          <w:lang w:val="es-MX"/>
        </w:rPr>
      </w:pPr>
      <w:r w:rsidRPr="00642EA6">
        <w:rPr>
          <w:rFonts w:ascii="Verdana" w:eastAsia="Geomanist Light" w:hAnsi="Verdana" w:cs="Arial"/>
          <w:lang w:val="es-MX"/>
        </w:rPr>
        <w:lastRenderedPageBreak/>
        <w:t>Bogotá D.C., [Día] de [</w:t>
      </w:r>
      <w:proofErr w:type="spellStart"/>
      <w:r w:rsidRPr="00642EA6">
        <w:rPr>
          <w:rFonts w:ascii="Verdana" w:eastAsia="Geomanist Light" w:hAnsi="Verdana" w:cs="Arial"/>
          <w:lang w:val="es-MX"/>
        </w:rPr>
        <w:t>Mes.NombreCapitalizado</w:t>
      </w:r>
      <w:proofErr w:type="spellEnd"/>
      <w:r w:rsidRPr="00642EA6">
        <w:rPr>
          <w:rFonts w:ascii="Verdana" w:eastAsia="Geomanist Light" w:hAnsi="Verdana" w:cs="Arial"/>
          <w:lang w:val="es-MX"/>
        </w:rPr>
        <w:t>] de [Año]</w:t>
      </w:r>
    </w:p>
    <w:p w14:paraId="5740B6ED" w14:textId="77777777" w:rsidR="00BA6B8A" w:rsidRDefault="00BA6B8A" w:rsidP="00BA6B8A">
      <w:pPr>
        <w:spacing w:after="0" w:line="240" w:lineRule="auto"/>
        <w:jc w:val="both"/>
        <w:rPr>
          <w:rFonts w:ascii="Verdana" w:eastAsia="Calibri" w:hAnsi="Verdana" w:cs="Arial"/>
          <w:lang w:val="es-ES"/>
        </w:rPr>
      </w:pPr>
    </w:p>
    <w:p w14:paraId="3769F639" w14:textId="40458682" w:rsidR="00CB6D3A" w:rsidRPr="00642EA6" w:rsidRDefault="005F2C11" w:rsidP="005F2C11">
      <w:pPr>
        <w:spacing w:after="0" w:line="240" w:lineRule="auto"/>
        <w:jc w:val="right"/>
        <w:rPr>
          <w:rFonts w:ascii="Verdana" w:eastAsia="Calibri" w:hAnsi="Verdana" w:cs="Arial"/>
          <w:lang w:val="es-ES"/>
        </w:rPr>
      </w:pPr>
      <w:r w:rsidRPr="005F2C11">
        <w:rPr>
          <w:rFonts w:ascii="Verdana" w:eastAsia="Calibri" w:hAnsi="Verdana" w:cs="Arial"/>
          <w:noProof/>
          <w:lang w:val="es-ES"/>
        </w:rPr>
        <w:drawing>
          <wp:inline distT="0" distB="0" distL="0" distR="0" wp14:anchorId="4645EE4F" wp14:editId="136FBE9D">
            <wp:extent cx="3035907" cy="900330"/>
            <wp:effectExtent l="0" t="0" r="0" b="0"/>
            <wp:docPr id="203188414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84148" name="Imagen 1" descr="Texto&#10;&#10;El contenido generado por IA puede ser incorrecto."/>
                    <pic:cNvPicPr/>
                  </pic:nvPicPr>
                  <pic:blipFill>
                    <a:blip r:embed="rId10"/>
                    <a:stretch>
                      <a:fillRect/>
                    </a:stretch>
                  </pic:blipFill>
                  <pic:spPr>
                    <a:xfrm>
                      <a:off x="0" y="0"/>
                      <a:ext cx="3053202" cy="905459"/>
                    </a:xfrm>
                    <a:prstGeom prst="rect">
                      <a:avLst/>
                    </a:prstGeom>
                  </pic:spPr>
                </pic:pic>
              </a:graphicData>
            </a:graphic>
          </wp:inline>
        </w:drawing>
      </w:r>
    </w:p>
    <w:p w14:paraId="68B67F3B" w14:textId="77777777" w:rsidR="00BA6B8A" w:rsidRPr="00642EA6" w:rsidRDefault="00BA6B8A" w:rsidP="00BA6B8A">
      <w:pPr>
        <w:spacing w:after="0" w:line="240" w:lineRule="auto"/>
        <w:jc w:val="right"/>
        <w:rPr>
          <w:rFonts w:ascii="Verdana" w:eastAsia="Calibri" w:hAnsi="Verdana" w:cs="Arial"/>
          <w:lang w:val="es-ES"/>
        </w:rPr>
      </w:pPr>
    </w:p>
    <w:p w14:paraId="3C3BF22B" w14:textId="5A3C743F" w:rsidR="00BA6B8A" w:rsidRPr="00642EA6" w:rsidRDefault="00BA6B8A" w:rsidP="00BA6B8A">
      <w:pPr>
        <w:spacing w:after="0" w:line="240" w:lineRule="auto"/>
        <w:jc w:val="both"/>
        <w:rPr>
          <w:rFonts w:ascii="Verdana" w:eastAsia="Calibri" w:hAnsi="Verdana" w:cs="Arial"/>
          <w:lang w:val="es-ES" w:eastAsia="es-ES"/>
        </w:rPr>
      </w:pPr>
      <w:r w:rsidRPr="00642EA6">
        <w:rPr>
          <w:rFonts w:ascii="Verdana" w:eastAsia="Calibri" w:hAnsi="Verdana" w:cs="Arial"/>
          <w:lang w:val="es-ES" w:eastAsia="es-ES"/>
        </w:rPr>
        <w:t>Señor</w:t>
      </w:r>
      <w:r w:rsidR="00350E8C">
        <w:rPr>
          <w:rFonts w:ascii="Verdana" w:eastAsia="Calibri" w:hAnsi="Verdana" w:cs="Arial"/>
          <w:lang w:val="es-ES" w:eastAsia="es-ES"/>
        </w:rPr>
        <w:t xml:space="preserve"> </w:t>
      </w:r>
    </w:p>
    <w:p w14:paraId="62C63F80" w14:textId="77777777" w:rsidR="00BA6B8A" w:rsidRDefault="00BA6B8A" w:rsidP="00BA6B8A">
      <w:pPr>
        <w:spacing w:after="0" w:line="240" w:lineRule="auto"/>
        <w:rPr>
          <w:rFonts w:ascii="Verdana" w:eastAsia="Calibri" w:hAnsi="Verdana" w:cs="Arial"/>
          <w:b/>
          <w:lang w:val="es-ES" w:eastAsia="es-ES"/>
        </w:rPr>
      </w:pPr>
      <w:r w:rsidRPr="5E219F05">
        <w:rPr>
          <w:rFonts w:ascii="Verdana" w:eastAsia="Calibri" w:hAnsi="Verdana" w:cs="Arial"/>
          <w:b/>
          <w:lang w:val="es-ES" w:eastAsia="es-ES"/>
        </w:rPr>
        <w:t xml:space="preserve">Juan </w:t>
      </w:r>
      <w:proofErr w:type="spellStart"/>
      <w:r w:rsidRPr="5E219F05">
        <w:rPr>
          <w:rFonts w:ascii="Verdana" w:eastAsia="Calibri" w:hAnsi="Verdana" w:cs="Arial"/>
          <w:b/>
          <w:lang w:val="es-ES" w:eastAsia="es-ES"/>
        </w:rPr>
        <w:t>Jose</w:t>
      </w:r>
      <w:proofErr w:type="spellEnd"/>
      <w:r w:rsidRPr="5E219F05">
        <w:rPr>
          <w:rFonts w:ascii="Verdana" w:eastAsia="Calibri" w:hAnsi="Verdana" w:cs="Arial"/>
          <w:b/>
          <w:lang w:val="es-ES" w:eastAsia="es-ES"/>
        </w:rPr>
        <w:t xml:space="preserve"> Ramírez </w:t>
      </w:r>
      <w:proofErr w:type="spellStart"/>
      <w:r w:rsidRPr="5E219F05">
        <w:rPr>
          <w:rFonts w:ascii="Verdana" w:eastAsia="Calibri" w:hAnsi="Verdana" w:cs="Arial"/>
          <w:b/>
          <w:lang w:val="es-ES" w:eastAsia="es-ES"/>
        </w:rPr>
        <w:t>Reatiga</w:t>
      </w:r>
      <w:proofErr w:type="spellEnd"/>
    </w:p>
    <w:p w14:paraId="6A7EF035" w14:textId="77777777" w:rsidR="00BA6B8A" w:rsidRPr="001F0C65" w:rsidRDefault="00BA6B8A" w:rsidP="00BA6B8A">
      <w:pPr>
        <w:spacing w:after="0" w:line="240" w:lineRule="auto"/>
        <w:rPr>
          <w:lang w:val="es-ES" w:eastAsia="es-ES"/>
        </w:rPr>
      </w:pPr>
      <w:hyperlink r:id="rId11" w:history="1">
        <w:r w:rsidRPr="001F0C65">
          <w:rPr>
            <w:rStyle w:val="Hipervnculo"/>
            <w:rFonts w:ascii="Verdana" w:eastAsia="Calibri" w:hAnsi="Verdana" w:cs="Arial"/>
            <w:lang w:eastAsia="es-ES_tradnl"/>
          </w:rPr>
          <w:t>oscaralape1@hotmail.com</w:t>
        </w:r>
      </w:hyperlink>
      <w:r>
        <w:rPr>
          <w:lang w:val="es-ES" w:eastAsia="es-ES"/>
        </w:rPr>
        <w:t xml:space="preserve"> </w:t>
      </w:r>
      <w:r w:rsidRPr="001F0C65">
        <w:rPr>
          <w:lang w:val="es-ES" w:eastAsia="es-ES"/>
        </w:rPr>
        <w:t xml:space="preserve"> </w:t>
      </w:r>
    </w:p>
    <w:p w14:paraId="22D211E0" w14:textId="77777777" w:rsidR="00BA6B8A" w:rsidRDefault="00BA6B8A" w:rsidP="00BA6B8A">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70047213" w14:textId="77777777" w:rsidR="00BA6B8A" w:rsidRPr="00642EA6" w:rsidRDefault="00BA6B8A" w:rsidP="00BA6B8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8"/>
        <w:gridCol w:w="4961"/>
      </w:tblGrid>
      <w:tr w:rsidR="00BA6B8A" w:rsidRPr="00642EA6" w14:paraId="17CB956A" w14:textId="77777777" w:rsidTr="009B7D49">
        <w:trPr>
          <w:trHeight w:val="342"/>
        </w:trPr>
        <w:tc>
          <w:tcPr>
            <w:tcW w:w="3828" w:type="dxa"/>
          </w:tcPr>
          <w:p w14:paraId="7599297A" w14:textId="77777777" w:rsidR="00BA6B8A" w:rsidRPr="00642EA6" w:rsidRDefault="00BA6B8A" w:rsidP="009B7D49">
            <w:pPr>
              <w:jc w:val="both"/>
              <w:rPr>
                <w:rFonts w:ascii="Verdana" w:eastAsia="Calibri" w:hAnsi="Verdana" w:cs="Arial"/>
                <w:b/>
                <w:bCs/>
                <w:lang w:val="es-ES_tradnl" w:eastAsia="es-ES_tradnl"/>
              </w:rPr>
            </w:pPr>
          </w:p>
        </w:tc>
        <w:tc>
          <w:tcPr>
            <w:tcW w:w="4961" w:type="dxa"/>
          </w:tcPr>
          <w:p w14:paraId="0FD920CA" w14:textId="77777777" w:rsidR="00BA6B8A" w:rsidRPr="00642EA6" w:rsidRDefault="00BA6B8A" w:rsidP="009B7D49">
            <w:pPr>
              <w:jc w:val="both"/>
              <w:rPr>
                <w:rFonts w:ascii="Verdana" w:eastAsia="Calibri" w:hAnsi="Verdana" w:cs="Arial"/>
                <w:b/>
                <w:bCs/>
                <w:lang w:val="es-ES" w:eastAsia="es-ES"/>
              </w:rPr>
            </w:pPr>
            <w:r w:rsidRPr="00642EA6">
              <w:rPr>
                <w:rFonts w:ascii="Verdana" w:eastAsia="Calibri" w:hAnsi="Verdana" w:cs="Arial"/>
                <w:b/>
                <w:bCs/>
                <w:lang w:val="es-ES" w:eastAsia="es-ES"/>
              </w:rPr>
              <w:t>Concepto C-</w:t>
            </w:r>
            <w:r>
              <w:rPr>
                <w:rFonts w:ascii="Verdana" w:eastAsia="Calibri" w:hAnsi="Verdana" w:cs="Arial"/>
                <w:b/>
                <w:bCs/>
                <w:lang w:val="es-ES" w:eastAsia="es-ES"/>
              </w:rPr>
              <w:t>058</w:t>
            </w:r>
            <w:r w:rsidRPr="00642EA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BA6B8A" w:rsidRPr="00642EA6" w14:paraId="1230AEA6" w14:textId="77777777" w:rsidTr="009B7D49">
        <w:trPr>
          <w:trHeight w:val="884"/>
        </w:trPr>
        <w:tc>
          <w:tcPr>
            <w:tcW w:w="3828" w:type="dxa"/>
          </w:tcPr>
          <w:p w14:paraId="782FC78A" w14:textId="77777777" w:rsidR="00BA6B8A" w:rsidRPr="00642EA6" w:rsidRDefault="00BA6B8A" w:rsidP="009B7D49">
            <w:pPr>
              <w:jc w:val="center"/>
              <w:rPr>
                <w:rFonts w:ascii="Verdana" w:eastAsia="Calibri" w:hAnsi="Verdana" w:cs="Arial"/>
                <w:lang w:val="es-ES_tradnl" w:eastAsia="es-ES_tradnl"/>
              </w:rPr>
            </w:pPr>
            <w:r w:rsidRPr="00642EA6">
              <w:rPr>
                <w:rFonts w:ascii="Verdana" w:eastAsia="Calibri" w:hAnsi="Verdana" w:cs="Arial"/>
                <w:b/>
                <w:lang w:val="es-ES_tradnl" w:eastAsia="es-ES_tradnl"/>
              </w:rPr>
              <w:t>Temas:</w:t>
            </w:r>
          </w:p>
        </w:tc>
        <w:tc>
          <w:tcPr>
            <w:tcW w:w="4961" w:type="dxa"/>
          </w:tcPr>
          <w:p w14:paraId="5C06F6A3" w14:textId="4059298C" w:rsidR="00BA6B8A" w:rsidRPr="00434D30" w:rsidRDefault="00BA6B8A" w:rsidP="009B7D49">
            <w:pPr>
              <w:jc w:val="both"/>
              <w:rPr>
                <w:rFonts w:ascii="Verdana" w:eastAsia="Calibri" w:hAnsi="Verdana" w:cs="Arial"/>
                <w:highlight w:val="yellow"/>
                <w:lang w:eastAsia="es-ES"/>
              </w:rPr>
            </w:pPr>
            <w:r w:rsidRPr="00642EA6">
              <w:rPr>
                <w:rFonts w:ascii="Verdana" w:eastAsia="Calibri" w:hAnsi="Verdana" w:cs="Arial"/>
                <w:lang w:val="es-ES" w:eastAsia="es-ES"/>
              </w:rPr>
              <w:t>SOCIEDADES DE ECONOMÍA MIXTA – Naturaleza jurídica – Régimen de contratación – Deber de publicidad – SECOP II – Actividad contractual – Recursos públicos</w:t>
            </w:r>
            <w:r>
              <w:rPr>
                <w:rFonts w:ascii="Verdana" w:eastAsia="Calibri" w:hAnsi="Verdana" w:cs="Arial"/>
                <w:lang w:val="es-ES" w:eastAsia="es-ES"/>
              </w:rPr>
              <w:t xml:space="preserve"> / </w:t>
            </w:r>
            <w:r w:rsidRPr="00434D30">
              <w:rPr>
                <w:rFonts w:ascii="Verdana" w:eastAsia="Aptos" w:hAnsi="Verdana" w:cs="Times New Roman"/>
                <w:kern w:val="2"/>
                <w14:ligatures w14:val="standardContextual"/>
              </w:rPr>
              <w:t>SOCIEDADES DE ECONOMÍA MIXTA – Actividad contractual sin erogación de recursos públicos – Decisión facultativa de uso del SECOP II</w:t>
            </w:r>
          </w:p>
        </w:tc>
      </w:tr>
      <w:tr w:rsidR="00BA6B8A" w:rsidRPr="00642EA6" w14:paraId="0AC57EE8" w14:textId="77777777" w:rsidTr="009B7D49">
        <w:tc>
          <w:tcPr>
            <w:tcW w:w="3828" w:type="dxa"/>
          </w:tcPr>
          <w:p w14:paraId="70A8CB34" w14:textId="77777777" w:rsidR="00BA6B8A" w:rsidRPr="00642EA6" w:rsidRDefault="00BA6B8A" w:rsidP="009B7D49">
            <w:pPr>
              <w:jc w:val="center"/>
              <w:rPr>
                <w:rFonts w:ascii="Verdana" w:eastAsia="Calibri" w:hAnsi="Verdana" w:cs="Arial"/>
                <w:b/>
                <w:lang w:val="es-ES_tradnl" w:eastAsia="es-ES_tradnl"/>
              </w:rPr>
            </w:pPr>
            <w:r w:rsidRPr="00642EA6">
              <w:rPr>
                <w:rFonts w:ascii="Verdana" w:eastAsia="Calibri" w:hAnsi="Verdana" w:cs="Arial"/>
                <w:b/>
                <w:lang w:val="es-ES_tradnl" w:eastAsia="es-ES_tradnl"/>
              </w:rPr>
              <w:t>Radicación:</w:t>
            </w:r>
          </w:p>
        </w:tc>
        <w:tc>
          <w:tcPr>
            <w:tcW w:w="4961" w:type="dxa"/>
          </w:tcPr>
          <w:p w14:paraId="16886CE0" w14:textId="77777777" w:rsidR="00BA6B8A" w:rsidRPr="00642EA6" w:rsidRDefault="00BA6B8A" w:rsidP="009B7D49">
            <w:pPr>
              <w:jc w:val="both"/>
              <w:rPr>
                <w:rFonts w:ascii="Verdana" w:eastAsia="Calibri" w:hAnsi="Verdana" w:cs="Arial"/>
                <w:lang w:val="es-ES_tradnl" w:eastAsia="es-ES_tradnl"/>
              </w:rPr>
            </w:pPr>
            <w:r w:rsidRPr="00642EA6">
              <w:rPr>
                <w:rFonts w:ascii="Verdana" w:eastAsia="Calibri" w:hAnsi="Verdana" w:cs="Arial"/>
                <w:lang w:val="es-ES_tradnl" w:eastAsia="es-ES_tradnl"/>
              </w:rPr>
              <w:t>Respuesta a consulta con radicado No.  </w:t>
            </w:r>
            <w:r w:rsidRPr="00441AA6">
              <w:rPr>
                <w:rFonts w:ascii="Verdana" w:eastAsia="Calibri" w:hAnsi="Verdana" w:cs="Arial"/>
                <w:lang w:val="es-ES_tradnl" w:eastAsia="es-ES_tradnl"/>
              </w:rPr>
              <w:t>P20250120000464</w:t>
            </w:r>
          </w:p>
        </w:tc>
      </w:tr>
    </w:tbl>
    <w:p w14:paraId="55A2403B" w14:textId="77777777" w:rsidR="00BA6B8A" w:rsidRPr="00642EA6" w:rsidRDefault="00BA6B8A" w:rsidP="00BA6B8A">
      <w:pPr>
        <w:spacing w:after="0" w:line="240" w:lineRule="auto"/>
        <w:jc w:val="both"/>
        <w:rPr>
          <w:rFonts w:ascii="Verdana" w:eastAsia="Calibri" w:hAnsi="Verdana" w:cs="Arial"/>
          <w:lang w:val="es-ES_tradnl" w:eastAsia="es-ES_tradnl"/>
        </w:rPr>
      </w:pPr>
    </w:p>
    <w:p w14:paraId="4C86E8E1" w14:textId="77777777" w:rsidR="00BA6B8A" w:rsidRPr="00642EA6" w:rsidRDefault="00BA6B8A" w:rsidP="00BA6B8A">
      <w:pPr>
        <w:spacing w:after="0" w:line="240" w:lineRule="auto"/>
        <w:jc w:val="both"/>
        <w:rPr>
          <w:rFonts w:ascii="Verdana" w:eastAsia="Calibri" w:hAnsi="Verdana" w:cs="Arial"/>
          <w:lang w:val="es-ES_tradnl" w:eastAsia="es-ES_tradnl"/>
        </w:rPr>
      </w:pPr>
    </w:p>
    <w:p w14:paraId="6EA0EA95" w14:textId="77777777" w:rsidR="00BA6B8A" w:rsidRPr="00642EA6" w:rsidRDefault="00BA6B8A" w:rsidP="00BA6B8A">
      <w:pPr>
        <w:spacing w:after="0" w:line="276" w:lineRule="auto"/>
        <w:jc w:val="both"/>
        <w:rPr>
          <w:rFonts w:ascii="Verdana" w:eastAsia="Calibri" w:hAnsi="Verdana" w:cs="Arial"/>
          <w:lang w:val="es-ES" w:eastAsia="es-ES"/>
        </w:rPr>
      </w:pPr>
      <w:r w:rsidRPr="00642EA6">
        <w:rPr>
          <w:rFonts w:ascii="Verdana" w:eastAsia="Calibri" w:hAnsi="Verdana" w:cs="Arial"/>
          <w:lang w:val="es-ES" w:eastAsia="es-ES"/>
        </w:rPr>
        <w:t>Estimado señor</w:t>
      </w:r>
      <w:r>
        <w:rPr>
          <w:rFonts w:ascii="Verdana" w:eastAsia="Calibri" w:hAnsi="Verdana" w:cs="Arial"/>
          <w:lang w:val="es-ES" w:eastAsia="es-ES"/>
        </w:rPr>
        <w:t xml:space="preserve"> </w:t>
      </w:r>
      <w:r w:rsidRPr="0080252D">
        <w:rPr>
          <w:rFonts w:ascii="Verdana" w:eastAsia="Calibri" w:hAnsi="Verdana" w:cs="Arial"/>
          <w:bCs/>
          <w:lang w:val="es-ES_tradnl" w:eastAsia="es-ES_tradnl"/>
        </w:rPr>
        <w:t xml:space="preserve">Ramírez </w:t>
      </w:r>
      <w:proofErr w:type="spellStart"/>
      <w:r w:rsidRPr="0080252D">
        <w:rPr>
          <w:rFonts w:ascii="Verdana" w:eastAsia="Calibri" w:hAnsi="Verdana" w:cs="Arial"/>
          <w:bCs/>
          <w:lang w:val="es-ES_tradnl" w:eastAsia="es-ES_tradnl"/>
        </w:rPr>
        <w:t>Reatiga</w:t>
      </w:r>
      <w:proofErr w:type="spellEnd"/>
      <w:r w:rsidRPr="00642EA6">
        <w:rPr>
          <w:rFonts w:ascii="Verdana" w:eastAsia="Calibri" w:hAnsi="Verdana" w:cs="Arial"/>
          <w:lang w:val="es-ES" w:eastAsia="es-ES"/>
        </w:rPr>
        <w:t xml:space="preserve">: </w:t>
      </w:r>
    </w:p>
    <w:p w14:paraId="2E545715" w14:textId="77777777" w:rsidR="00BA6B8A" w:rsidRPr="00642EA6" w:rsidRDefault="00BA6B8A" w:rsidP="00BA6B8A">
      <w:pPr>
        <w:tabs>
          <w:tab w:val="left" w:pos="3768"/>
        </w:tabs>
        <w:spacing w:after="0" w:line="276" w:lineRule="auto"/>
        <w:jc w:val="both"/>
        <w:rPr>
          <w:rFonts w:ascii="Verdana" w:eastAsia="Calibri" w:hAnsi="Verdana" w:cs="Arial"/>
          <w:lang w:val="es-ES" w:eastAsia="es-ES"/>
        </w:rPr>
      </w:pPr>
    </w:p>
    <w:p w14:paraId="749D8B54" w14:textId="77777777" w:rsidR="00BA6B8A" w:rsidRPr="00642EA6" w:rsidRDefault="00BA6B8A" w:rsidP="00BA6B8A">
      <w:pPr>
        <w:spacing w:after="0" w:line="276" w:lineRule="auto"/>
        <w:jc w:val="both"/>
        <w:rPr>
          <w:rFonts w:ascii="Verdana" w:eastAsia="Calibri" w:hAnsi="Verdana" w:cs="Arial"/>
          <w:lang w:val="es-ES" w:eastAsia="es-ES"/>
        </w:rPr>
      </w:pPr>
      <w:r w:rsidRPr="00642EA6">
        <w:rPr>
          <w:rFonts w:ascii="Verdana" w:eastAsia="Calibri" w:hAnsi="Verdana" w:cs="Arial"/>
          <w:lang w:val="es-ES" w:eastAsia="es-ES"/>
        </w:rPr>
        <w:t>En ejercicio de la competencia otorgada por los artículos 3, numeral 5º, y 11, numeral 8º, del Decreto Ley 4170 de 2011,</w:t>
      </w:r>
      <w:r w:rsidRPr="00642EA6">
        <w:rPr>
          <w:rFonts w:ascii="Verdana" w:eastAsia="Arial MT" w:hAnsi="Verdana" w:cs="Arial MT"/>
          <w:lang w:val="es-ES" w:eastAsia="es-ES"/>
        </w:rPr>
        <w:t xml:space="preserve"> </w:t>
      </w:r>
      <w:r w:rsidRPr="00642EA6">
        <w:rPr>
          <w:rFonts w:ascii="Verdana" w:eastAsia="Aptos" w:hAnsi="Verdana" w:cs="Arial"/>
        </w:rPr>
        <w:t xml:space="preserve">así como lo establecido en el artículo 4 de la Resolución 1707 de 2018 expedida por esta Entidad, </w:t>
      </w:r>
      <w:r w:rsidRPr="00642EA6">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del</w:t>
      </w:r>
      <w:r w:rsidRPr="00642EA6">
        <w:rPr>
          <w:rFonts w:ascii="Verdana" w:eastAsia="Calibri" w:hAnsi="Verdana" w:cs="Arial"/>
          <w:lang w:val="es-ES" w:eastAsia="es-ES"/>
        </w:rPr>
        <w:t xml:space="preserve"> </w:t>
      </w:r>
      <w:r>
        <w:rPr>
          <w:rFonts w:ascii="Verdana" w:eastAsia="Calibri" w:hAnsi="Verdana" w:cs="Arial"/>
          <w:lang w:val="es-ES" w:eastAsia="es-ES"/>
        </w:rPr>
        <w:t>20</w:t>
      </w:r>
      <w:r w:rsidRPr="00642EA6">
        <w:rPr>
          <w:rFonts w:ascii="Verdana" w:eastAsia="Calibri" w:hAnsi="Verdana" w:cs="Arial"/>
          <w:lang w:val="es-ES" w:eastAsia="es-ES"/>
        </w:rPr>
        <w:t xml:space="preserve"> de </w:t>
      </w:r>
      <w:r>
        <w:rPr>
          <w:rFonts w:ascii="Verdana" w:eastAsia="Calibri" w:hAnsi="Verdana" w:cs="Arial"/>
          <w:lang w:val="es-ES" w:eastAsia="es-ES"/>
        </w:rPr>
        <w:t>enero</w:t>
      </w:r>
      <w:r w:rsidRPr="00642EA6">
        <w:rPr>
          <w:rFonts w:ascii="Verdana" w:eastAsia="Calibri" w:hAnsi="Verdana" w:cs="Arial"/>
          <w:lang w:val="es-ES" w:eastAsia="es-ES"/>
        </w:rPr>
        <w:t xml:space="preserve"> de 202</w:t>
      </w:r>
      <w:r>
        <w:rPr>
          <w:rFonts w:ascii="Verdana" w:eastAsia="Calibri" w:hAnsi="Verdana" w:cs="Arial"/>
          <w:lang w:val="es-ES" w:eastAsia="es-ES"/>
        </w:rPr>
        <w:t>5</w:t>
      </w:r>
      <w:r w:rsidRPr="00642EA6">
        <w:rPr>
          <w:rFonts w:ascii="Verdana" w:eastAsia="Calibri" w:hAnsi="Verdana" w:cs="Arial"/>
          <w:lang w:val="es-ES" w:eastAsia="es-ES"/>
        </w:rPr>
        <w:t xml:space="preserve">, en la que realiza la siguiente consulta: </w:t>
      </w:r>
    </w:p>
    <w:p w14:paraId="5AF71963" w14:textId="77777777" w:rsidR="00BA6B8A" w:rsidRPr="00642EA6" w:rsidRDefault="00BA6B8A" w:rsidP="00BA6B8A">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5495DF2D" w14:textId="77777777" w:rsidR="00BA6B8A" w:rsidRDefault="00BA6B8A" w:rsidP="00BA6B8A">
      <w:pPr>
        <w:tabs>
          <w:tab w:val="left" w:pos="709"/>
        </w:tabs>
        <w:spacing w:after="0" w:line="240" w:lineRule="auto"/>
        <w:ind w:left="709" w:right="709"/>
        <w:jc w:val="both"/>
        <w:rPr>
          <w:rFonts w:ascii="Verdana" w:eastAsia="Calibri" w:hAnsi="Verdana" w:cs="Arial"/>
          <w:sz w:val="21"/>
          <w:szCs w:val="21"/>
          <w:lang w:val="es-MX"/>
        </w:rPr>
      </w:pPr>
      <w:r w:rsidRPr="00642EA6">
        <w:rPr>
          <w:rFonts w:ascii="Verdana" w:eastAsia="Calibri" w:hAnsi="Verdana" w:cs="Arial"/>
          <w:sz w:val="21"/>
          <w:szCs w:val="21"/>
          <w:lang w:val="es-MX"/>
        </w:rPr>
        <w:t>“</w:t>
      </w:r>
      <w:r>
        <w:rPr>
          <w:rFonts w:ascii="Verdana" w:eastAsia="Calibri" w:hAnsi="Verdana" w:cs="Arial"/>
          <w:sz w:val="21"/>
          <w:szCs w:val="21"/>
          <w:lang w:val="es-MX"/>
        </w:rPr>
        <w:t>1. […] CORABASTOS tiene o no la obligación de realizar publicaciones en el Sistema Electrónico para la Contratación Pública (SECOP) – INFORMATIVO.</w:t>
      </w:r>
    </w:p>
    <w:p w14:paraId="149FB6FD" w14:textId="77777777" w:rsidR="00BA6B8A" w:rsidRDefault="00BA6B8A" w:rsidP="00BA6B8A">
      <w:pPr>
        <w:tabs>
          <w:tab w:val="left" w:pos="709"/>
        </w:tabs>
        <w:spacing w:after="0" w:line="240" w:lineRule="auto"/>
        <w:ind w:left="709" w:right="709"/>
        <w:jc w:val="both"/>
        <w:rPr>
          <w:rFonts w:ascii="Verdana" w:eastAsia="Calibri" w:hAnsi="Verdana" w:cs="Arial"/>
          <w:sz w:val="21"/>
          <w:szCs w:val="21"/>
          <w:lang w:val="es-MX"/>
        </w:rPr>
      </w:pPr>
      <w:r>
        <w:rPr>
          <w:rFonts w:ascii="Verdana" w:eastAsia="Calibri" w:hAnsi="Verdana" w:cs="Arial"/>
          <w:sz w:val="21"/>
          <w:szCs w:val="21"/>
          <w:lang w:val="es-MX"/>
        </w:rPr>
        <w:t>2. En caso de que no exista tal obligación, se ratifique la exclusión, teniendo en cuenta el carácter privado de los recursos y bienes de la Corporación.</w:t>
      </w:r>
    </w:p>
    <w:p w14:paraId="4E3BC221" w14:textId="77777777" w:rsidR="00BA6B8A" w:rsidRPr="00642EA6" w:rsidRDefault="00BA6B8A" w:rsidP="00BA6B8A">
      <w:pPr>
        <w:tabs>
          <w:tab w:val="left" w:pos="709"/>
        </w:tabs>
        <w:spacing w:after="0" w:line="240" w:lineRule="auto"/>
        <w:ind w:left="709" w:right="709"/>
        <w:jc w:val="both"/>
        <w:rPr>
          <w:rFonts w:ascii="Verdana" w:eastAsia="Calibri" w:hAnsi="Verdana" w:cs="Arial"/>
          <w:sz w:val="21"/>
          <w:szCs w:val="21"/>
          <w:lang w:val="es-MX"/>
        </w:rPr>
      </w:pPr>
      <w:r>
        <w:rPr>
          <w:rFonts w:ascii="Verdana" w:eastAsia="Calibri" w:hAnsi="Verdana" w:cs="Arial"/>
          <w:sz w:val="21"/>
          <w:szCs w:val="21"/>
          <w:lang w:val="es-MX"/>
        </w:rPr>
        <w:t>3. En caso de que se determine que CORABASTOS está obligada a realizar publicaciones en el SECOP INFORMATIVO, se brinden las orientaciones e indicaciones pertinentes para cumplir con dicho deber.</w:t>
      </w:r>
      <w:r w:rsidRPr="00642EA6">
        <w:rPr>
          <w:rFonts w:ascii="Verdana" w:eastAsia="Calibri" w:hAnsi="Verdana" w:cs="Arial"/>
          <w:sz w:val="21"/>
          <w:szCs w:val="21"/>
          <w:lang w:val="es-MX"/>
        </w:rPr>
        <w:t>”</w:t>
      </w:r>
    </w:p>
    <w:p w14:paraId="65934AFF" w14:textId="77777777" w:rsidR="00BA6B8A" w:rsidRPr="00642EA6" w:rsidRDefault="00BA6B8A" w:rsidP="00BA6B8A">
      <w:pPr>
        <w:tabs>
          <w:tab w:val="left" w:pos="142"/>
          <w:tab w:val="left" w:pos="284"/>
        </w:tabs>
        <w:spacing w:line="276" w:lineRule="auto"/>
        <w:contextualSpacing/>
        <w:jc w:val="both"/>
        <w:rPr>
          <w:rFonts w:ascii="Verdana" w:eastAsia="Century Gothic" w:hAnsi="Verdana" w:cs="Century Gothic"/>
          <w:b/>
          <w:bCs/>
          <w:lang w:val="es-ES"/>
        </w:rPr>
      </w:pPr>
    </w:p>
    <w:p w14:paraId="5EB0FEC3" w14:textId="77777777" w:rsidR="00BA6B8A" w:rsidRPr="00642EA6" w:rsidRDefault="00BA6B8A" w:rsidP="00BA6B8A">
      <w:pPr>
        <w:spacing w:after="120" w:line="276" w:lineRule="auto"/>
        <w:ind w:firstLine="709"/>
        <w:jc w:val="both"/>
        <w:rPr>
          <w:rFonts w:ascii="Verdana" w:eastAsia="Calibri" w:hAnsi="Verdana" w:cs="Arial"/>
          <w:szCs w:val="24"/>
          <w:lang w:val="es-ES_tradnl" w:eastAsia="es-ES_tradnl"/>
        </w:rPr>
      </w:pPr>
      <w:r w:rsidRPr="00642EA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72A6EC8" w14:textId="77777777" w:rsidR="00BA6B8A" w:rsidRPr="00642EA6" w:rsidRDefault="00BA6B8A" w:rsidP="00BA6B8A">
      <w:pPr>
        <w:spacing w:after="0" w:line="276" w:lineRule="auto"/>
        <w:ind w:firstLine="709"/>
        <w:jc w:val="both"/>
        <w:rPr>
          <w:rFonts w:ascii="Verdana" w:eastAsia="Calibri" w:hAnsi="Verdana" w:cs="Arial"/>
          <w:lang w:val="es-ES" w:eastAsia="es-ES"/>
        </w:rPr>
      </w:pPr>
      <w:r w:rsidRPr="00642E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1E8D6BB" w14:textId="77777777" w:rsidR="00BA6B8A" w:rsidRPr="00642EA6" w:rsidRDefault="00BA6B8A" w:rsidP="00BA6B8A">
      <w:pPr>
        <w:spacing w:after="0" w:line="276" w:lineRule="auto"/>
        <w:ind w:firstLine="709"/>
        <w:jc w:val="both"/>
        <w:rPr>
          <w:rFonts w:ascii="Verdana" w:eastAsia="Calibri" w:hAnsi="Verdana" w:cs="Arial"/>
          <w:lang w:val="es-ES" w:eastAsia="es-ES"/>
        </w:rPr>
      </w:pPr>
    </w:p>
    <w:p w14:paraId="1C82A93D" w14:textId="77777777" w:rsidR="00BA6B8A" w:rsidRPr="00642EA6" w:rsidRDefault="00BA6B8A" w:rsidP="00BA6B8A">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42EA6">
        <w:rPr>
          <w:rFonts w:ascii="Verdana" w:eastAsia="Arial" w:hAnsi="Verdana" w:cs="Arial"/>
          <w:b/>
          <w:bCs/>
          <w:lang w:val="es-ES"/>
        </w:rPr>
        <w:t>1. Problema planteado:</w:t>
      </w:r>
    </w:p>
    <w:p w14:paraId="5BA352D0" w14:textId="77777777" w:rsidR="00BA6B8A" w:rsidRPr="00642EA6" w:rsidRDefault="00BA6B8A" w:rsidP="00BA6B8A">
      <w:pPr>
        <w:tabs>
          <w:tab w:val="left" w:pos="426"/>
        </w:tabs>
        <w:spacing w:after="0" w:line="276" w:lineRule="auto"/>
        <w:jc w:val="both"/>
        <w:rPr>
          <w:rFonts w:ascii="Verdana" w:eastAsia="Century Gothic" w:hAnsi="Verdana" w:cs="Century Gothic"/>
          <w:lang w:val="es-ES"/>
        </w:rPr>
      </w:pPr>
    </w:p>
    <w:p w14:paraId="23ACE49C" w14:textId="77777777" w:rsidR="00BA6B8A" w:rsidRPr="00642EA6" w:rsidRDefault="00BA6B8A" w:rsidP="00BA6B8A">
      <w:pPr>
        <w:spacing w:after="0" w:line="276" w:lineRule="auto"/>
        <w:jc w:val="both"/>
        <w:rPr>
          <w:rFonts w:ascii="Verdana" w:eastAsia="Century Gothic" w:hAnsi="Verdana" w:cs="Century Gothic"/>
        </w:rPr>
      </w:pPr>
      <w:r w:rsidRPr="00642EA6">
        <w:rPr>
          <w:rFonts w:ascii="Verdana" w:eastAsia="Century Gothic" w:hAnsi="Verdana" w:cs="Century Gothic"/>
        </w:rPr>
        <w:t>De acuerdo con el contenido de su solicitud, le informamos que la misma se resolverá desde el siguiente problema jurídico:</w:t>
      </w:r>
      <w:bookmarkStart w:id="0" w:name="_Hlk171070029"/>
      <w:r w:rsidRPr="00642EA6">
        <w:rPr>
          <w:rFonts w:ascii="Verdana" w:eastAsia="Century Gothic" w:hAnsi="Verdana" w:cs="Century Gothic"/>
        </w:rPr>
        <w:t xml:space="preserve"> </w:t>
      </w:r>
      <w:r>
        <w:rPr>
          <w:rFonts w:ascii="Verdana" w:eastAsia="Century Gothic" w:hAnsi="Verdana" w:cs="Century Gothic"/>
        </w:rPr>
        <w:t>¿Las Sociedades de Economía Mixta con participación mayoritaria privada y que se encuentran en competencia con el sector privado</w:t>
      </w:r>
      <w:r w:rsidRPr="00642EA6">
        <w:rPr>
          <w:rFonts w:ascii="Verdana" w:eastAsia="Aptos" w:hAnsi="Verdana" w:cs="Arial"/>
          <w:lang w:val="es-ES" w:eastAsia="es-MX"/>
        </w:rPr>
        <w:t>/o público, nacional o internacional, o en mercados regulados</w:t>
      </w:r>
      <w:r>
        <w:rPr>
          <w:rFonts w:ascii="Verdana" w:eastAsia="Aptos" w:hAnsi="Verdana" w:cs="Arial"/>
          <w:lang w:val="es-ES" w:eastAsia="es-MX"/>
        </w:rPr>
        <w:t>, están obligadas a publicar la actividad contractual adelantada con recursos propios</w:t>
      </w:r>
      <w:r w:rsidRPr="00642EA6">
        <w:rPr>
          <w:rFonts w:ascii="Verdana" w:eastAsia="Century Gothic" w:hAnsi="Verdana" w:cs="Century Gothic"/>
        </w:rPr>
        <w:t>?</w:t>
      </w:r>
    </w:p>
    <w:p w14:paraId="3ACAEF7E" w14:textId="77777777" w:rsidR="00BA6B8A" w:rsidRPr="00642EA6" w:rsidRDefault="00BA6B8A" w:rsidP="00BA6B8A">
      <w:pPr>
        <w:spacing w:after="0" w:line="276" w:lineRule="auto"/>
        <w:jc w:val="both"/>
        <w:rPr>
          <w:rFonts w:ascii="Verdana" w:eastAsia="Calibri" w:hAnsi="Verdana" w:cs="Arial"/>
          <w:lang w:val="es-ES"/>
        </w:rPr>
      </w:pPr>
    </w:p>
    <w:bookmarkEnd w:id="0"/>
    <w:p w14:paraId="16527ECE" w14:textId="77777777" w:rsidR="00BA6B8A" w:rsidRPr="00642EA6" w:rsidRDefault="00BA6B8A" w:rsidP="00BA6B8A">
      <w:pPr>
        <w:widowControl w:val="0"/>
        <w:autoSpaceDE w:val="0"/>
        <w:autoSpaceDN w:val="0"/>
        <w:spacing w:before="1" w:after="0" w:line="240" w:lineRule="auto"/>
        <w:jc w:val="both"/>
        <w:outlineLvl w:val="0"/>
        <w:rPr>
          <w:rFonts w:ascii="Verdana" w:eastAsia="Arial" w:hAnsi="Verdana" w:cs="Arial"/>
          <w:b/>
          <w:bCs/>
          <w:lang w:val="es-ES"/>
        </w:rPr>
      </w:pPr>
      <w:r w:rsidRPr="00642EA6">
        <w:rPr>
          <w:rFonts w:ascii="Verdana" w:eastAsia="Arial" w:hAnsi="Verdana" w:cs="Arial"/>
          <w:b/>
          <w:bCs/>
          <w:lang w:val="es-ES"/>
        </w:rPr>
        <w:t>2. Respuesta:</w:t>
      </w:r>
    </w:p>
    <w:p w14:paraId="75D769FE" w14:textId="77777777" w:rsidR="00BA6B8A" w:rsidRPr="00642EA6" w:rsidRDefault="00BA6B8A" w:rsidP="00BA6B8A">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A6B8A" w:rsidRPr="00642EA6" w14:paraId="74B024C1" w14:textId="77777777" w:rsidTr="009B7D49">
        <w:tc>
          <w:tcPr>
            <w:tcW w:w="8828" w:type="dxa"/>
            <w:shd w:val="clear" w:color="auto" w:fill="auto"/>
          </w:tcPr>
          <w:p w14:paraId="640A2836" w14:textId="77777777" w:rsidR="00BA6B8A" w:rsidRDefault="00BA6B8A" w:rsidP="009B7D49">
            <w:pPr>
              <w:spacing w:after="120" w:line="276" w:lineRule="auto"/>
              <w:jc w:val="both"/>
              <w:rPr>
                <w:rFonts w:ascii="Verdana" w:eastAsia="Calibri" w:hAnsi="Verdana" w:cs="Arial"/>
                <w:lang w:val="es-ES"/>
              </w:rPr>
            </w:pPr>
            <w:bookmarkStart w:id="1" w:name="_Hlk171067516"/>
            <w:r>
              <w:rPr>
                <w:rFonts w:ascii="Verdana" w:eastAsia="Calibri" w:hAnsi="Verdana" w:cs="Arial"/>
                <w:lang w:val="es-ES"/>
              </w:rPr>
              <w:t>De conformidad con el artículo 13 de la Ley 1150 de 2007, modificado por el artículo 53 de la Ley 2195 de 2022,</w:t>
            </w:r>
            <w:r w:rsidRPr="00642EA6">
              <w:rPr>
                <w:rFonts w:ascii="Verdana" w:eastAsia="Calibri" w:hAnsi="Verdana" w:cs="Arial"/>
                <w:lang w:val="es-ES"/>
              </w:rPr>
              <w:t xml:space="preserve"> las </w:t>
            </w:r>
            <w:r>
              <w:rPr>
                <w:rFonts w:ascii="Verdana" w:eastAsia="Calibri" w:hAnsi="Verdana" w:cs="Arial"/>
                <w:lang w:val="es-ES"/>
              </w:rPr>
              <w:t>S</w:t>
            </w:r>
            <w:r w:rsidRPr="00642EA6">
              <w:rPr>
                <w:rFonts w:ascii="Verdana" w:eastAsia="Calibri" w:hAnsi="Verdana" w:cs="Arial"/>
                <w:lang w:val="es-ES"/>
              </w:rPr>
              <w:t xml:space="preserve">ociedades de </w:t>
            </w:r>
            <w:r>
              <w:rPr>
                <w:rFonts w:ascii="Verdana" w:eastAsia="Calibri" w:hAnsi="Verdana" w:cs="Arial"/>
                <w:lang w:val="es-ES"/>
              </w:rPr>
              <w:t>E</w:t>
            </w:r>
            <w:r w:rsidRPr="00642EA6">
              <w:rPr>
                <w:rFonts w:ascii="Verdana" w:eastAsia="Calibri" w:hAnsi="Verdana" w:cs="Arial"/>
                <w:lang w:val="es-ES"/>
              </w:rPr>
              <w:t xml:space="preserve">conomía </w:t>
            </w:r>
            <w:r>
              <w:rPr>
                <w:rFonts w:ascii="Verdana" w:eastAsia="Calibri" w:hAnsi="Verdana" w:cs="Arial"/>
                <w:lang w:val="es-ES"/>
              </w:rPr>
              <w:t>M</w:t>
            </w:r>
            <w:r w:rsidRPr="00642EA6">
              <w:rPr>
                <w:rFonts w:ascii="Verdana" w:eastAsia="Calibri" w:hAnsi="Verdana" w:cs="Arial"/>
                <w:lang w:val="es-ES"/>
              </w:rPr>
              <w:t xml:space="preserve">ixta </w:t>
            </w:r>
            <w:r>
              <w:rPr>
                <w:rFonts w:ascii="Verdana" w:eastAsia="Calibri" w:hAnsi="Verdana" w:cs="Arial"/>
                <w:lang w:val="es-ES"/>
              </w:rPr>
              <w:t xml:space="preserve">se encuentran obligadas a realizar la publicación de la actividad contractual que se financie con recursos públicos a través del SECOP II. De otro lado, en virtud de que la obligación de publicidad establecida en dicha norma se prédica únicamente de la actividad contractual financiada con recursos públicos, resulta meramente potestativa o facultativa la decisión de realizar o no la </w:t>
            </w:r>
            <w:r>
              <w:rPr>
                <w:rFonts w:ascii="Verdana" w:eastAsia="Calibri" w:hAnsi="Verdana" w:cs="Arial"/>
                <w:lang w:val="es-ES"/>
              </w:rPr>
              <w:lastRenderedPageBreak/>
              <w:t>publicación de la actividad contractual financiada con otro tipo de recursos en dicha plataforma.</w:t>
            </w:r>
            <w:r w:rsidRPr="00642EA6">
              <w:rPr>
                <w:rFonts w:ascii="Verdana" w:eastAsia="Calibri" w:hAnsi="Verdana" w:cs="Arial"/>
                <w:lang w:val="es-ES"/>
              </w:rPr>
              <w:t xml:space="preserve"> </w:t>
            </w:r>
          </w:p>
          <w:p w14:paraId="74B59208" w14:textId="77777777" w:rsidR="00BA6B8A" w:rsidRPr="00642EA6" w:rsidRDefault="00BA6B8A" w:rsidP="009B7D49">
            <w:pPr>
              <w:spacing w:after="120" w:line="276" w:lineRule="auto"/>
              <w:jc w:val="both"/>
              <w:rPr>
                <w:rFonts w:ascii="Verdana" w:eastAsia="Calibri" w:hAnsi="Verdana" w:cs="Arial"/>
                <w:lang w:val="es-ES"/>
              </w:rPr>
            </w:pPr>
            <w:r>
              <w:rPr>
                <w:rFonts w:ascii="Verdana" w:eastAsia="Calibri" w:hAnsi="Verdana" w:cs="Arial"/>
                <w:lang w:val="es-ES"/>
              </w:rPr>
              <w:t xml:space="preserve">En consecuencia, si la Sociedad </w:t>
            </w:r>
            <w:r w:rsidRPr="00642EA6">
              <w:rPr>
                <w:rFonts w:ascii="Verdana" w:eastAsia="Calibri" w:hAnsi="Verdana" w:cs="Arial"/>
                <w:lang w:val="es-ES"/>
              </w:rPr>
              <w:t xml:space="preserve">de </w:t>
            </w:r>
            <w:r>
              <w:rPr>
                <w:rFonts w:ascii="Verdana" w:eastAsia="Calibri" w:hAnsi="Verdana" w:cs="Arial"/>
                <w:lang w:val="es-ES"/>
              </w:rPr>
              <w:t>E</w:t>
            </w:r>
            <w:r w:rsidRPr="00642EA6">
              <w:rPr>
                <w:rFonts w:ascii="Verdana" w:eastAsia="Calibri" w:hAnsi="Verdana" w:cs="Arial"/>
                <w:lang w:val="es-ES"/>
              </w:rPr>
              <w:t xml:space="preserve">conomía </w:t>
            </w:r>
            <w:r>
              <w:rPr>
                <w:rFonts w:ascii="Verdana" w:eastAsia="Calibri" w:hAnsi="Verdana" w:cs="Arial"/>
                <w:lang w:val="es-ES"/>
              </w:rPr>
              <w:t>M</w:t>
            </w:r>
            <w:r w:rsidRPr="00642EA6">
              <w:rPr>
                <w:rFonts w:ascii="Verdana" w:eastAsia="Calibri" w:hAnsi="Verdana" w:cs="Arial"/>
                <w:lang w:val="es-ES"/>
              </w:rPr>
              <w:t>ixta</w:t>
            </w:r>
            <w:r>
              <w:rPr>
                <w:rFonts w:ascii="Verdana" w:eastAsia="Calibri" w:hAnsi="Verdana" w:cs="Arial"/>
                <w:lang w:val="es-ES"/>
              </w:rPr>
              <w:t xml:space="preserve"> decide publicar el SECOP II como herramienta de publicidad para los contratos que se adelanten con recursos propios, </w:t>
            </w:r>
            <w:r w:rsidRPr="00851E6C">
              <w:rPr>
                <w:rFonts w:ascii="Verdana" w:eastAsia="Calibri" w:hAnsi="Verdana" w:cs="Arial"/>
              </w:rPr>
              <w:t>deberá crear el proceso de contratación en el SECOP II mediante el módulo “Contratación Régimen Especial (sin ofertas)”, cargar todos los documentos del proceso en la sección dispuesta para ello y publicar el proceso.</w:t>
            </w:r>
            <w:r>
              <w:rPr>
                <w:rFonts w:ascii="Verdana" w:eastAsia="Calibri" w:hAnsi="Verdana" w:cs="Arial"/>
              </w:rPr>
              <w:t xml:space="preserve"> </w:t>
            </w:r>
            <w:r w:rsidRPr="00D21363">
              <w:rPr>
                <w:rFonts w:ascii="Verdana" w:eastAsia="Calibri" w:hAnsi="Verdana" w:cs="Arial"/>
              </w:rPr>
              <w:t>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cierra el expediente y no permite la publicación posterior de ningún otro documento.</w:t>
            </w:r>
          </w:p>
        </w:tc>
      </w:tr>
      <w:bookmarkEnd w:id="1"/>
    </w:tbl>
    <w:p w14:paraId="247EF707" w14:textId="77777777" w:rsidR="00BA6B8A" w:rsidRPr="00642EA6" w:rsidRDefault="00BA6B8A" w:rsidP="00BA6B8A">
      <w:pPr>
        <w:spacing w:after="0"/>
        <w:rPr>
          <w:lang w:val="es-ES"/>
        </w:rPr>
      </w:pPr>
    </w:p>
    <w:p w14:paraId="35D78536" w14:textId="77777777" w:rsidR="00BA6B8A" w:rsidRPr="00642EA6" w:rsidRDefault="00BA6B8A" w:rsidP="00BA6B8A">
      <w:pPr>
        <w:widowControl w:val="0"/>
        <w:autoSpaceDE w:val="0"/>
        <w:autoSpaceDN w:val="0"/>
        <w:spacing w:before="1" w:after="0" w:line="240" w:lineRule="auto"/>
        <w:ind w:left="360" w:hanging="360"/>
        <w:outlineLvl w:val="0"/>
        <w:rPr>
          <w:rFonts w:ascii="Verdana" w:eastAsia="Arial" w:hAnsi="Verdana" w:cs="Arial"/>
          <w:b/>
          <w:bCs/>
          <w:lang w:val="es-ES"/>
        </w:rPr>
      </w:pPr>
      <w:r w:rsidRPr="00642EA6">
        <w:rPr>
          <w:rFonts w:ascii="Verdana" w:eastAsia="Arial" w:hAnsi="Verdana" w:cs="Arial"/>
          <w:b/>
          <w:bCs/>
          <w:lang w:val="es-ES"/>
        </w:rPr>
        <w:t>3. Razones de la respuesta</w:t>
      </w:r>
    </w:p>
    <w:p w14:paraId="281E2EE7" w14:textId="77777777" w:rsidR="00BA6B8A" w:rsidRPr="00642EA6" w:rsidRDefault="00BA6B8A" w:rsidP="00BA6B8A">
      <w:pPr>
        <w:spacing w:after="0" w:line="276" w:lineRule="auto"/>
        <w:jc w:val="both"/>
        <w:rPr>
          <w:rFonts w:ascii="Verdana" w:eastAsia="Calibri" w:hAnsi="Verdana" w:cs="Arial"/>
          <w:lang w:val="es-ES"/>
        </w:rPr>
      </w:pPr>
    </w:p>
    <w:p w14:paraId="28FA15EE" w14:textId="77777777" w:rsidR="00BA6B8A" w:rsidRPr="00642EA6" w:rsidRDefault="00BA6B8A" w:rsidP="00BA6B8A">
      <w:pPr>
        <w:spacing w:after="0" w:line="276" w:lineRule="auto"/>
        <w:jc w:val="both"/>
        <w:rPr>
          <w:rFonts w:ascii="Verdana" w:eastAsia="Calibri" w:hAnsi="Verdana" w:cs="Arial"/>
          <w:lang w:val="es-ES"/>
        </w:rPr>
      </w:pPr>
      <w:r w:rsidRPr="00642EA6">
        <w:rPr>
          <w:rFonts w:ascii="Verdana" w:eastAsia="Calibri" w:hAnsi="Verdana" w:cs="Arial"/>
          <w:lang w:val="es-ES"/>
        </w:rPr>
        <w:t xml:space="preserve">Las respuestas anteriores se sustentan en las siguientes consideraciones: </w:t>
      </w:r>
    </w:p>
    <w:p w14:paraId="1D282647" w14:textId="77777777" w:rsidR="00BA6B8A" w:rsidRPr="00642EA6" w:rsidRDefault="00BA6B8A" w:rsidP="00BA6B8A">
      <w:pPr>
        <w:spacing w:after="0" w:line="276" w:lineRule="auto"/>
        <w:contextualSpacing/>
        <w:jc w:val="both"/>
        <w:rPr>
          <w:rFonts w:ascii="Verdana" w:eastAsia="Calibri" w:hAnsi="Verdana" w:cs="Arial"/>
          <w:lang w:val="es-ES"/>
        </w:rPr>
      </w:pPr>
    </w:p>
    <w:p w14:paraId="28512AF7" w14:textId="77777777" w:rsidR="00BA6B8A" w:rsidRPr="00642EA6" w:rsidRDefault="00BA6B8A" w:rsidP="00BA6B8A">
      <w:pPr>
        <w:spacing w:line="276" w:lineRule="auto"/>
        <w:contextualSpacing/>
        <w:jc w:val="both"/>
        <w:rPr>
          <w:rFonts w:ascii="Verdana" w:eastAsia="Aptos" w:hAnsi="Verdana" w:cs="Arial"/>
          <w:lang w:val="es-ES_tradnl" w:eastAsia="es-MX"/>
        </w:rPr>
      </w:pPr>
      <w:bookmarkStart w:id="2" w:name="_Hlk173311098"/>
      <w:r w:rsidRPr="00642EA6">
        <w:rPr>
          <w:rFonts w:ascii="Verdana" w:eastAsia="Calibri" w:hAnsi="Verdana" w:cs="Arial"/>
          <w:shd w:val="clear" w:color="auto" w:fill="FFFFFF"/>
        </w:rPr>
        <w:t>De manera preliminar es pertinente indicar, que el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 De esta forma, los artículos 3</w:t>
      </w:r>
      <w:r w:rsidRPr="00642EA6">
        <w:rPr>
          <w:rFonts w:ascii="Verdana" w:eastAsia="Calibri" w:hAnsi="Verdana" w:cs="Arial"/>
          <w:color w:val="000000"/>
          <w:lang w:val="es-MX"/>
        </w:rPr>
        <w:t>8 y 68 ibidem</w:t>
      </w:r>
      <w:r w:rsidRPr="00642EA6">
        <w:rPr>
          <w:rFonts w:ascii="Verdana" w:eastAsia="Calibri" w:hAnsi="Verdana" w:cs="Arial"/>
          <w:i/>
          <w:iCs/>
          <w:color w:val="000000"/>
          <w:lang w:val="es-MX"/>
        </w:rPr>
        <w:t xml:space="preserve">, </w:t>
      </w:r>
      <w:r w:rsidRPr="00642EA6">
        <w:rPr>
          <w:rFonts w:ascii="Verdana" w:eastAsia="Calibri" w:hAnsi="Verdana" w:cs="Arial"/>
          <w:color w:val="000000"/>
          <w:lang w:val="es-MX"/>
        </w:rPr>
        <w:t>clasifican a las sociedades de economía mixta como entidades descentralizadas por servicios, con personería jurídica, autonomía administrativa y patrimonio propio</w:t>
      </w:r>
      <w:r w:rsidRPr="00642EA6">
        <w:rPr>
          <w:rFonts w:ascii="Aptos" w:eastAsia="Aptos" w:hAnsi="Aptos" w:cs="Times New Roman"/>
          <w:vertAlign w:val="superscript"/>
          <w:lang w:val="es-ES_tradnl" w:eastAsia="es-MX"/>
        </w:rPr>
        <w:footnoteReference w:id="1"/>
      </w:r>
      <w:r w:rsidRPr="00642EA6">
        <w:rPr>
          <w:rFonts w:ascii="Verdana" w:eastAsia="Aptos" w:hAnsi="Verdana" w:cs="Arial"/>
          <w:lang w:val="es-ES_tradnl" w:eastAsia="es-MX"/>
        </w:rPr>
        <w:t>, que pueden ser del orden nacional, departamental o municipal, según su órgano de creación</w:t>
      </w:r>
      <w:r w:rsidRPr="00642EA6">
        <w:rPr>
          <w:rFonts w:ascii="Aptos" w:eastAsia="Aptos" w:hAnsi="Aptos" w:cs="Times New Roman"/>
          <w:vertAlign w:val="superscript"/>
          <w:lang w:val="es-ES_tradnl" w:eastAsia="es-MX"/>
        </w:rPr>
        <w:footnoteReference w:id="2"/>
      </w:r>
      <w:r w:rsidRPr="00642EA6">
        <w:rPr>
          <w:rFonts w:ascii="Verdana" w:eastAsia="Aptos" w:hAnsi="Verdana" w:cs="Arial"/>
          <w:lang w:val="es-ES_tradnl" w:eastAsia="es-MX"/>
        </w:rPr>
        <w:t>.</w:t>
      </w:r>
    </w:p>
    <w:p w14:paraId="4CEA0FE9" w14:textId="77777777" w:rsidR="00BA6B8A" w:rsidRPr="00642EA6" w:rsidRDefault="00BA6B8A" w:rsidP="00BA6B8A">
      <w:pPr>
        <w:spacing w:line="276" w:lineRule="auto"/>
        <w:ind w:left="720"/>
        <w:contextualSpacing/>
        <w:jc w:val="both"/>
        <w:rPr>
          <w:rFonts w:ascii="Verdana" w:eastAsia="Aptos" w:hAnsi="Verdana" w:cs="Arial"/>
          <w:lang w:val="es-ES_tradnl" w:eastAsia="es-MX"/>
        </w:rPr>
      </w:pPr>
    </w:p>
    <w:p w14:paraId="4A7130BD" w14:textId="77777777" w:rsidR="00BA6B8A" w:rsidRPr="00642EA6" w:rsidRDefault="00BA6B8A" w:rsidP="00BA6B8A">
      <w:pPr>
        <w:spacing w:after="120" w:line="276" w:lineRule="auto"/>
        <w:ind w:firstLine="709"/>
        <w:jc w:val="both"/>
        <w:textAlignment w:val="baseline"/>
        <w:rPr>
          <w:rFonts w:ascii="Verdana" w:eastAsia="Aptos" w:hAnsi="Verdana" w:cs="Arial"/>
          <w:lang w:val="es-ES" w:eastAsia="es-MX"/>
        </w:rPr>
      </w:pPr>
      <w:r w:rsidRPr="4E3C208C">
        <w:rPr>
          <w:rFonts w:ascii="Verdana" w:eastAsia="Aptos" w:hAnsi="Verdana" w:cs="Arial"/>
          <w:lang w:val="es-ES" w:eastAsia="es-MX"/>
        </w:rPr>
        <w:t>En ese sentido,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 Y el segundo destinado a regir el desarrollo de la actividad económica de cada sociedad. De esta forma,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4E3C208C">
        <w:rPr>
          <w:rFonts w:ascii="Aptos" w:eastAsia="Aptos" w:hAnsi="Aptos" w:cs="Times New Roman"/>
          <w:vertAlign w:val="superscript"/>
          <w:lang w:val="es-ES" w:eastAsia="es-MX"/>
        </w:rPr>
        <w:footnoteReference w:id="3"/>
      </w:r>
      <w:r w:rsidRPr="4E3C208C">
        <w:rPr>
          <w:rFonts w:ascii="Verdana" w:eastAsia="Aptos" w:hAnsi="Verdana" w:cs="Arial"/>
          <w:lang w:val="es-ES" w:eastAsia="es-MX"/>
        </w:rPr>
        <w:t>. Esto significa que el legislador, en el año 1993, estableció que las sociedades de economía mixta donde el Estado tenga participación superior al cincuenta por ciento (50%) están sujetos al Estatuto General de Contratación de la Administración Pública, en adelante EGCAP.</w:t>
      </w:r>
    </w:p>
    <w:p w14:paraId="7367AD5B" w14:textId="77777777" w:rsidR="00BA6B8A" w:rsidRPr="00642EA6" w:rsidRDefault="00BA6B8A" w:rsidP="00BA6B8A">
      <w:pPr>
        <w:spacing w:before="120" w:after="120" w:line="276" w:lineRule="auto"/>
        <w:ind w:firstLine="709"/>
        <w:jc w:val="both"/>
        <w:textAlignment w:val="baseline"/>
        <w:rPr>
          <w:rFonts w:ascii="Verdana" w:eastAsia="Aptos" w:hAnsi="Verdana" w:cs="Arial"/>
          <w:lang w:val="es-ES_tradnl" w:eastAsia="es-MX"/>
        </w:rPr>
      </w:pPr>
      <w:r w:rsidRPr="00642EA6">
        <w:rPr>
          <w:rFonts w:ascii="Verdana" w:eastAsia="Aptos" w:hAnsi="Verdana" w:cs="Arial"/>
          <w:lang w:val="es-ES_tradnl" w:eastAsia="es-MX"/>
        </w:rPr>
        <w:t>En consecuencia,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642EA6">
        <w:rPr>
          <w:rFonts w:ascii="Aptos" w:eastAsia="Aptos" w:hAnsi="Aptos" w:cs="Times New Roman"/>
          <w:vertAlign w:val="superscript"/>
          <w:lang w:val="es-ES_tradnl" w:eastAsia="es-MX"/>
        </w:rPr>
        <w:footnoteReference w:id="4"/>
      </w:r>
      <w:r w:rsidRPr="00642EA6">
        <w:rPr>
          <w:rFonts w:ascii="Verdana" w:eastAsia="Aptos" w:hAnsi="Verdana" w:cs="Arial"/>
          <w:lang w:val="es-ES_tradnl" w:eastAsia="es-MX"/>
        </w:rPr>
        <w:t xml:space="preserve">. En otras palabras, el legislador estableció que las sociedades de economía mixta en las </w:t>
      </w:r>
      <w:r w:rsidRPr="00642EA6">
        <w:rPr>
          <w:rFonts w:ascii="Verdana" w:eastAsia="Aptos" w:hAnsi="Verdana" w:cs="Arial"/>
          <w:lang w:val="es-ES_tradnl" w:eastAsia="es-MX"/>
        </w:rPr>
        <w:lastRenderedPageBreak/>
        <w:t>que el Estado tenga participación superior al cincuenta por ciento (50%), cuando se encuentran en competencia con el sector privado o público, nacional o internacional o desarrollan su actividad en mercados regulados estarán sometidos al derecho privado.</w:t>
      </w:r>
    </w:p>
    <w:p w14:paraId="6B726F12" w14:textId="77777777" w:rsidR="00BA6B8A" w:rsidRPr="00642EA6" w:rsidRDefault="00BA6B8A" w:rsidP="00BA6B8A">
      <w:pPr>
        <w:spacing w:before="120" w:after="120" w:line="276" w:lineRule="auto"/>
        <w:ind w:firstLine="709"/>
        <w:jc w:val="both"/>
        <w:textAlignment w:val="baseline"/>
        <w:rPr>
          <w:rFonts w:ascii="Verdana" w:eastAsia="Aptos" w:hAnsi="Verdana" w:cs="Arial"/>
          <w:lang w:val="es-ES" w:eastAsia="es-MX"/>
        </w:rPr>
      </w:pPr>
      <w:r w:rsidRPr="00642EA6">
        <w:rPr>
          <w:rFonts w:ascii="Verdana" w:eastAsia="Aptos" w:hAnsi="Verdana" w:cs="Arial"/>
          <w:lang w:val="es-ES" w:eastAsia="es-MX"/>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14:paraId="201BFEDA" w14:textId="77777777" w:rsidR="00BA6B8A" w:rsidRPr="00642EA6" w:rsidRDefault="00BA6B8A" w:rsidP="00BA6B8A">
      <w:pPr>
        <w:tabs>
          <w:tab w:val="left" w:pos="709"/>
        </w:tabs>
        <w:spacing w:before="120" w:after="120" w:line="276" w:lineRule="auto"/>
        <w:jc w:val="both"/>
        <w:rPr>
          <w:rFonts w:ascii="Verdana" w:eastAsia="Calibri" w:hAnsi="Verdana" w:cs="Arial"/>
          <w:shd w:val="clear" w:color="auto" w:fill="FFFFFF"/>
        </w:rPr>
      </w:pPr>
      <w:r>
        <w:rPr>
          <w:rFonts w:ascii="Verdana" w:eastAsia="Aptos" w:hAnsi="Verdana" w:cs="Arial"/>
          <w:bCs/>
        </w:rPr>
        <w:tab/>
      </w:r>
      <w:r w:rsidRPr="00642EA6">
        <w:rPr>
          <w:rFonts w:ascii="Verdana" w:eastAsia="Aptos" w:hAnsi="Verdana" w:cs="Arial"/>
          <w:bCs/>
        </w:rPr>
        <w:t xml:space="preserve">Ahora bien, y con el fin de atender el objeto de su consulta, es preciso indicar que </w:t>
      </w:r>
      <w:r w:rsidRPr="00642EA6">
        <w:rPr>
          <w:rFonts w:ascii="Verdana" w:eastAsia="Calibri" w:hAnsi="Verdana" w:cs="Arial"/>
          <w:shd w:val="clear" w:color="auto" w:fill="FFFFFF"/>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Pr="00642EA6">
        <w:rPr>
          <w:rFonts w:ascii="Verdana" w:eastAsia="Calibri" w:hAnsi="Verdana" w:cs="Arial"/>
          <w:i/>
          <w:iCs/>
          <w:u w:val="single"/>
          <w:shd w:val="clear" w:color="auto" w:fill="FFFFFF"/>
        </w:rPr>
        <w:t>realizada con dineros públicos</w:t>
      </w:r>
      <w:r w:rsidRPr="00642EA6">
        <w:rPr>
          <w:rFonts w:ascii="Verdana" w:eastAsia="Calibri" w:hAnsi="Verdana" w:cs="Arial"/>
          <w:shd w:val="clear" w:color="auto" w:fill="FFFFFF"/>
        </w:rPr>
        <w:t>, para lo cual establecerá los patrones a que haya lugar y se encargará de su difusión a través de canales electrónicos</w:t>
      </w:r>
      <w:r>
        <w:rPr>
          <w:rFonts w:ascii="Verdana" w:eastAsia="Calibri" w:hAnsi="Verdana" w:cs="Arial"/>
          <w:shd w:val="clear" w:color="auto" w:fill="FFFFFF"/>
        </w:rPr>
        <w:t>”</w:t>
      </w:r>
      <w:r w:rsidRPr="00642EA6">
        <w:rPr>
          <w:rFonts w:ascii="Aptos" w:eastAsia="Aptos" w:hAnsi="Aptos" w:cs="Times New Roman"/>
          <w:color w:val="000000"/>
          <w:vertAlign w:val="superscript"/>
          <w:lang w:val="es-ES_tradnl"/>
        </w:rPr>
        <w:footnoteReference w:id="5"/>
      </w:r>
      <w:r w:rsidRPr="00642EA6">
        <w:rPr>
          <w:rFonts w:ascii="Verdana" w:eastAsia="Calibri" w:hAnsi="Verdana" w:cs="Arial"/>
          <w:color w:val="000000"/>
          <w:lang w:val="es-ES_tradnl"/>
        </w:rPr>
        <w:t>. [Énfasis fuera de texto]</w:t>
      </w:r>
    </w:p>
    <w:p w14:paraId="6D0CA7AA" w14:textId="77777777" w:rsidR="00BA6B8A" w:rsidRPr="00642EA6" w:rsidRDefault="00BA6B8A" w:rsidP="00BA6B8A">
      <w:pPr>
        <w:spacing w:before="120" w:after="120" w:line="276" w:lineRule="auto"/>
        <w:ind w:firstLine="709"/>
        <w:jc w:val="both"/>
        <w:rPr>
          <w:rFonts w:ascii="Verdana" w:eastAsia="Calibri" w:hAnsi="Verdana" w:cs="Arial"/>
          <w:color w:val="000000"/>
          <w:lang w:val="es-ES_tradnl"/>
        </w:rPr>
      </w:pPr>
      <w:r w:rsidRPr="00642EA6">
        <w:rPr>
          <w:rFonts w:ascii="Verdana" w:eastAsia="Calibri" w:hAnsi="Verdana" w:cs="Arial"/>
          <w:shd w:val="clear" w:color="auto" w:fill="FFFFFF"/>
        </w:rPr>
        <w:t xml:space="preserve">En ese sentido, la Ley 1712 de 2014 –ley estatutaria que regula la transparencia y el derecho de acceso a la información y a los documentos públicos–; identifica como principios que orientan el derecho de acceso a la </w:t>
      </w:r>
      <w:r w:rsidRPr="00642EA6">
        <w:rPr>
          <w:rFonts w:ascii="Verdana" w:eastAsia="Calibri" w:hAnsi="Verdana" w:cs="Arial"/>
          <w:shd w:val="clear" w:color="auto" w:fill="FFFFFF"/>
        </w:rPr>
        <w:lastRenderedPageBreak/>
        <w:t>información pública, el</w:t>
      </w:r>
      <w:r w:rsidRPr="00642EA6">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42EA6">
        <w:rPr>
          <w:rFonts w:ascii="Aptos" w:eastAsia="Aptos" w:hAnsi="Aptos" w:cs="Times New Roman"/>
          <w:color w:val="000000"/>
          <w:vertAlign w:val="superscript"/>
          <w:lang w:val="es-ES_tradnl"/>
        </w:rPr>
        <w:footnoteReference w:id="6"/>
      </w:r>
      <w:r w:rsidRPr="00642EA6">
        <w:rPr>
          <w:rFonts w:ascii="Verdana" w:eastAsia="Calibri" w:hAnsi="Verdana" w:cs="Arial"/>
          <w:color w:val="000000"/>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642EA6">
        <w:rPr>
          <w:rFonts w:ascii="Aptos" w:eastAsia="Aptos" w:hAnsi="Aptos" w:cs="Times New Roman"/>
          <w:color w:val="000000"/>
          <w:vertAlign w:val="superscript"/>
          <w:lang w:val="es-ES_tradnl"/>
        </w:rPr>
        <w:footnoteReference w:id="7"/>
      </w:r>
      <w:r w:rsidRPr="00642EA6">
        <w:rPr>
          <w:rFonts w:ascii="Verdana" w:eastAsia="Calibri" w:hAnsi="Verdana" w:cs="Arial"/>
          <w:color w:val="000000"/>
          <w:lang w:val="es-ES_tradnl"/>
        </w:rPr>
        <w:t>, deben publicar la información relativa a su contratación. Esta obligación fue desarrollada por el Decreto Único Reglamentario 1082 de 2015</w:t>
      </w:r>
      <w:r w:rsidRPr="00642EA6">
        <w:rPr>
          <w:rFonts w:ascii="Aptos" w:eastAsia="Aptos" w:hAnsi="Aptos" w:cs="Times New Roman"/>
          <w:color w:val="000000"/>
          <w:vertAlign w:val="superscript"/>
          <w:lang w:val="es-ES_tradnl"/>
        </w:rPr>
        <w:footnoteReference w:id="8"/>
      </w:r>
      <w:r w:rsidRPr="00642EA6">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198926FC" w14:textId="77777777" w:rsidR="00BA6B8A" w:rsidRPr="00642EA6" w:rsidRDefault="00BA6B8A" w:rsidP="00BA6B8A">
      <w:pPr>
        <w:spacing w:before="120" w:after="120" w:line="276" w:lineRule="auto"/>
        <w:ind w:firstLine="709"/>
        <w:jc w:val="both"/>
        <w:rPr>
          <w:rFonts w:ascii="Verdana" w:eastAsia="Times New Roman" w:hAnsi="Verdana" w:cs="Arial"/>
          <w:color w:val="000000"/>
          <w:szCs w:val="24"/>
          <w:lang w:val="es-ES_tradnl" w:eastAsia="es-ES_tradnl"/>
        </w:rPr>
      </w:pPr>
      <w:r w:rsidRPr="00642EA6">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642EA6">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642EA6">
        <w:rPr>
          <w:rFonts w:ascii="Aptos" w:eastAsia="Calibri" w:hAnsi="Aptos" w:cs="Times New Roman"/>
          <w:vertAlign w:val="superscript"/>
          <w:lang w:val="es-ES_tradnl" w:eastAsia="es-ES_tradnl"/>
        </w:rPr>
        <w:footnoteReference w:id="9"/>
      </w:r>
      <w:r w:rsidRPr="00642EA6">
        <w:rPr>
          <w:rFonts w:ascii="Verdana" w:eastAsia="Calibri" w:hAnsi="Verdana" w:cs="Arial"/>
          <w:color w:val="000000"/>
          <w:szCs w:val="24"/>
          <w:lang w:val="es-ES_tradnl" w:eastAsia="es-ES_tradnl"/>
        </w:rPr>
        <w:t>.</w:t>
      </w:r>
    </w:p>
    <w:p w14:paraId="3DA95FB3" w14:textId="77777777" w:rsidR="00BA6B8A" w:rsidRPr="00642EA6" w:rsidRDefault="00BA6B8A" w:rsidP="00BA6B8A">
      <w:pPr>
        <w:tabs>
          <w:tab w:val="left" w:pos="709"/>
        </w:tabs>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lastRenderedPageBreak/>
        <w:tab/>
      </w:r>
      <w:r w:rsidRPr="00642EA6">
        <w:rPr>
          <w:rFonts w:ascii="Verdana" w:eastAsia="Calibri"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w:t>
      </w:r>
      <w:r w:rsidRPr="00642EA6">
        <w:rPr>
          <w:rFonts w:ascii="Aptos" w:eastAsia="Aptos" w:hAnsi="Aptos" w:cs="Times New Roman"/>
          <w:shd w:val="clear" w:color="auto" w:fill="FFFFFF"/>
          <w:vertAlign w:val="superscript"/>
        </w:rPr>
        <w:footnoteReference w:id="10"/>
      </w:r>
      <w:r w:rsidRPr="00642EA6">
        <w:rPr>
          <w:rFonts w:ascii="Verdana" w:eastAsia="Calibri" w:hAnsi="Verdana" w:cs="Arial"/>
          <w:shd w:val="clear" w:color="auto" w:fill="FFFFFF"/>
        </w:rPr>
        <w:t>, mediante el cual se adiciona el artículo 13 a la Ley 1150 de 2007, asigna a dichas entidades la obligación de publicar los documentos relacionados con su actividad contractual en el SECOP II o la plataforma transaccional que haga sus veces.</w:t>
      </w:r>
    </w:p>
    <w:p w14:paraId="25C91AD0" w14:textId="77777777" w:rsidR="00BA6B8A" w:rsidRPr="00642EA6" w:rsidRDefault="00BA6B8A" w:rsidP="00BA6B8A">
      <w:pPr>
        <w:tabs>
          <w:tab w:val="left" w:pos="709"/>
        </w:tabs>
        <w:spacing w:before="120" w:after="120" w:line="276" w:lineRule="auto"/>
        <w:jc w:val="both"/>
        <w:rPr>
          <w:rFonts w:ascii="Verdana" w:eastAsia="Calibri" w:hAnsi="Verdana" w:cs="Arial"/>
          <w:lang w:val="es-ES_tradnl" w:eastAsia="es-ES_tradnl"/>
        </w:rPr>
      </w:pPr>
      <w:r>
        <w:rPr>
          <w:rFonts w:ascii="Verdana" w:eastAsia="Calibri" w:hAnsi="Verdana" w:cs="Arial"/>
          <w:bCs/>
          <w:lang w:val="es-MX"/>
        </w:rPr>
        <w:tab/>
      </w:r>
      <w:r w:rsidRPr="00642EA6">
        <w:rPr>
          <w:rFonts w:ascii="Verdana" w:eastAsia="Calibri" w:hAnsi="Verdana" w:cs="Arial"/>
          <w:bCs/>
          <w:lang w:val="es-MX"/>
        </w:rPr>
        <w:t>En ese orden, y atendiendo al objeto de la consulta, debe analizarse el alcance de esta obligación para determinar si esta aplica a toda la actividad contractual desarrollada por este tipo de entidades. De esta forma, se tiene que e</w:t>
      </w:r>
      <w:r w:rsidRPr="00642EA6">
        <w:rPr>
          <w:rFonts w:ascii="Verdana" w:eastAsia="Calibri" w:hAnsi="Verdana" w:cs="Arial"/>
          <w:lang w:val="es-ES_tradnl" w:eastAsia="es-ES_tradnl"/>
        </w:rPr>
        <w:t>l artículo 53 de la Ley 2195 de 2022 dispone que las entidades con regímenes especiales “deberán publicar los documentos relacionados con su actividad contractual en el Sistema Electrónico para la Contratación Pública (SECOP II) o la plataforma transaccional que haga sus veces”. Como puede observarse, la disposición objeto de estudio no señala de forma expresa si el deber de las entidades exceptuadas de publicar todos los documentos relacionados con su actividad contractual aplica para todos los contratos que se celebren o si, por el contrario, esta obligación sólo se impone respecto de aquellos contratos cuya fuente de financiación proviene de recursos públicos.</w:t>
      </w:r>
    </w:p>
    <w:p w14:paraId="2F166DAA" w14:textId="77777777" w:rsidR="00BA6B8A" w:rsidRPr="00642EA6" w:rsidRDefault="00BA6B8A" w:rsidP="00BA6B8A">
      <w:pPr>
        <w:tabs>
          <w:tab w:val="left" w:pos="0"/>
        </w:tabs>
        <w:spacing w:before="120" w:after="120" w:line="276" w:lineRule="auto"/>
        <w:jc w:val="both"/>
        <w:rPr>
          <w:rFonts w:ascii="Verdana" w:eastAsia="Calibri" w:hAnsi="Verdana" w:cs="Arial"/>
          <w:lang w:val="es-ES_tradnl" w:eastAsia="es-ES_tradnl"/>
        </w:rPr>
      </w:pPr>
      <w:r>
        <w:rPr>
          <w:rFonts w:ascii="Verdana" w:eastAsia="Calibri" w:hAnsi="Verdana" w:cs="Arial"/>
          <w:lang w:val="es-ES_tradnl" w:eastAsia="es-ES_tradnl"/>
        </w:rPr>
        <w:tab/>
      </w:r>
      <w:r w:rsidRPr="00642EA6">
        <w:rPr>
          <w:rFonts w:ascii="Verdana" w:eastAsia="Calibri" w:hAnsi="Verdana" w:cs="Arial"/>
          <w:lang w:val="es-ES_tradnl" w:eastAsia="es-ES_tradnl"/>
        </w:rPr>
        <w:t xml:space="preserve">De la lectura del artículo antes citado se pueden extraer al menos dos (2) posturas contrapuestas relacionadas con la interpretación que se realice de la </w:t>
      </w:r>
      <w:r w:rsidRPr="00642EA6">
        <w:rPr>
          <w:rFonts w:ascii="Verdana" w:eastAsia="Calibri" w:hAnsi="Verdana" w:cs="Arial"/>
          <w:lang w:val="es-ES_tradnl" w:eastAsia="es-ES_tradnl"/>
        </w:rPr>
        <w:lastRenderedPageBreak/>
        <w:t xml:space="preserve">norma. En primer lugar, una interpretación </w:t>
      </w:r>
      <w:r w:rsidRPr="00642EA6">
        <w:rPr>
          <w:rFonts w:ascii="Verdana" w:eastAsia="Calibri" w:hAnsi="Verdana" w:cs="Arial"/>
          <w:i/>
          <w:iCs/>
          <w:lang w:val="es-ES_tradnl" w:eastAsia="es-ES_tradnl"/>
        </w:rPr>
        <w:t xml:space="preserve">exegética </w:t>
      </w:r>
      <w:r w:rsidRPr="00642EA6">
        <w:rPr>
          <w:rFonts w:ascii="Verdana" w:eastAsia="Calibri" w:hAnsi="Verdana" w:cs="Arial"/>
          <w:lang w:val="es-ES_tradnl" w:eastAsia="es-ES_tradnl"/>
        </w:rPr>
        <w:t xml:space="preserve">de la disposición plantearía que, dado que el artículo 53 no señala que la obligación de publicar en el SECOP II recae solamente sobre la contratación que se realice con dineros públicos, se entiende que esta aplica para toda la actividad contractual que ejecute la entidad, indistintamente del origen de los recursos. En segundo lugar, una interpretación </w:t>
      </w:r>
      <w:r w:rsidRPr="00642EA6">
        <w:rPr>
          <w:rFonts w:ascii="Verdana" w:eastAsia="Calibri" w:hAnsi="Verdana" w:cs="Arial"/>
          <w:i/>
          <w:iCs/>
          <w:lang w:val="es-ES_tradnl" w:eastAsia="es-ES_tradnl"/>
        </w:rPr>
        <w:t xml:space="preserve">sistemática </w:t>
      </w:r>
      <w:r w:rsidRPr="00642EA6">
        <w:rPr>
          <w:rFonts w:ascii="Verdana" w:eastAsia="Calibri" w:hAnsi="Verdana" w:cs="Arial"/>
          <w:lang w:val="es-ES_tradnl"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642EA6">
        <w:rPr>
          <w:rFonts w:ascii="Verdana" w:eastAsia="Calibri" w:hAnsi="Verdana" w:cs="Arial"/>
          <w:i/>
          <w:iCs/>
          <w:lang w:val="es-ES_tradnl" w:eastAsia="es-ES_tradnl"/>
        </w:rPr>
        <w:t xml:space="preserve">dineros públicos, </w:t>
      </w:r>
      <w:r w:rsidRPr="00642EA6">
        <w:rPr>
          <w:rFonts w:ascii="Verdana" w:eastAsia="Calibri" w:hAnsi="Verdana" w:cs="Arial"/>
          <w:lang w:val="es-ES_tradnl"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II sólo la información relacionada con al activad contractual efectuada con recursos públicos.</w:t>
      </w:r>
    </w:p>
    <w:p w14:paraId="0A79CCE8" w14:textId="77777777" w:rsidR="00BA6B8A" w:rsidRPr="00642EA6" w:rsidRDefault="00BA6B8A" w:rsidP="00BA6B8A">
      <w:pPr>
        <w:spacing w:before="120" w:after="120" w:line="276" w:lineRule="auto"/>
        <w:ind w:firstLine="709"/>
        <w:jc w:val="both"/>
        <w:rPr>
          <w:rFonts w:ascii="Verdana" w:eastAsia="Calibri" w:hAnsi="Verdana" w:cs="Arial"/>
          <w:lang w:val="es-ES" w:eastAsia="es-ES"/>
        </w:rPr>
      </w:pPr>
      <w:r w:rsidRPr="4E3C208C">
        <w:rPr>
          <w:rFonts w:ascii="Verdana" w:eastAsia="Calibri" w:hAnsi="Verdana" w:cs="Arial"/>
          <w:lang w:val="es-ES" w:eastAsia="es-ES"/>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4E3C208C">
        <w:rPr>
          <w:rFonts w:ascii="Verdana" w:eastAsia="Calibri" w:hAnsi="Verdana" w:cs="Arial"/>
          <w:lang w:val="es-ES" w:eastAsia="es-ES"/>
        </w:rPr>
        <w:t>ii</w:t>
      </w:r>
      <w:proofErr w:type="spellEnd"/>
      <w:r w:rsidRPr="4E3C208C">
        <w:rPr>
          <w:rFonts w:ascii="Verdana" w:eastAsia="Calibri" w:hAnsi="Verdana" w:cs="Arial"/>
          <w:lang w:val="es-ES" w:eastAsia="es-ES"/>
        </w:rPr>
        <w:t xml:space="preserve">) el artículo 3, literal c) de la Ley 1150 de 2007, </w:t>
      </w:r>
      <w:proofErr w:type="spellStart"/>
      <w:r w:rsidRPr="4E3C208C">
        <w:rPr>
          <w:rFonts w:ascii="Verdana" w:eastAsia="Calibri" w:hAnsi="Verdana" w:cs="Arial"/>
          <w:lang w:val="es-ES" w:eastAsia="es-ES"/>
        </w:rPr>
        <w:t>iii</w:t>
      </w:r>
      <w:proofErr w:type="spellEnd"/>
      <w:r w:rsidRPr="4E3C208C">
        <w:rPr>
          <w:rFonts w:ascii="Verdana" w:eastAsia="Calibri" w:hAnsi="Verdana" w:cs="Arial"/>
          <w:lang w:val="es-ES" w:eastAsia="es-ES"/>
        </w:rPr>
        <w:t xml:space="preserve">) los artículos 3, 9, literal e) y 11, literal g), de la Ley 1712 de 2014, y </w:t>
      </w:r>
      <w:proofErr w:type="spellStart"/>
      <w:r w:rsidRPr="4E3C208C">
        <w:rPr>
          <w:rFonts w:ascii="Verdana" w:eastAsia="Calibri" w:hAnsi="Verdana" w:cs="Arial"/>
          <w:lang w:val="es-ES" w:eastAsia="es-ES"/>
        </w:rPr>
        <w:t>iv</w:t>
      </w:r>
      <w:proofErr w:type="spellEnd"/>
      <w:r w:rsidRPr="4E3C208C">
        <w:rPr>
          <w:rFonts w:ascii="Verdana" w:eastAsia="Calibri" w:hAnsi="Verdana" w:cs="Arial"/>
          <w:lang w:val="es-ES" w:eastAsia="es-ES"/>
        </w:rPr>
        <w:t>) los artículos 7 al 10 del Decreto 103 de 2015 –compilado en los artículos 2.1.1.1.1. al 2.1.1.6.1. del Decreto 1081 de 2015–.</w:t>
      </w:r>
    </w:p>
    <w:p w14:paraId="7DB691F5" w14:textId="77777777" w:rsidR="00BA6B8A" w:rsidRDefault="00BA6B8A" w:rsidP="00BA6B8A">
      <w:pPr>
        <w:spacing w:before="120" w:after="120" w:line="276" w:lineRule="auto"/>
        <w:ind w:firstLine="709"/>
        <w:jc w:val="both"/>
        <w:rPr>
          <w:rFonts w:ascii="Verdana" w:eastAsia="Calibri" w:hAnsi="Verdana" w:cs="Arial"/>
          <w:lang w:val="es-ES_tradnl" w:eastAsia="es-CO"/>
        </w:rPr>
      </w:pPr>
      <w:r w:rsidRPr="00642EA6">
        <w:rPr>
          <w:rFonts w:ascii="Verdana" w:eastAsia="Calibri" w:hAnsi="Verdana" w:cs="Arial"/>
          <w:noProof/>
          <w:lang w:val="es-ES_tradnl"/>
        </w:rPr>
        <w:t xml:space="preserve">Así las cosas, dado que el artículo 53 de la Ley 2195 de 2022 complementó las disposiciones ya establecidas en la Ley 1150 de 2007, la lectura que se haga de dicho artículo debe efectuarse de forma </w:t>
      </w:r>
      <w:r w:rsidRPr="00642EA6">
        <w:rPr>
          <w:rFonts w:ascii="Verdana" w:eastAsia="Calibri" w:hAnsi="Verdana" w:cs="Arial"/>
          <w:i/>
          <w:iCs/>
          <w:noProof/>
          <w:lang w:val="es-ES_tradnl"/>
        </w:rPr>
        <w:t xml:space="preserve">sistemática. </w:t>
      </w:r>
      <w:r w:rsidRPr="00642EA6">
        <w:rPr>
          <w:rFonts w:ascii="Verdana" w:eastAsia="Calibri" w:hAnsi="Verdana" w:cs="Arial"/>
          <w:noProof/>
          <w:lang w:val="es-ES_tradnl"/>
        </w:rPr>
        <w:t xml:space="preserve">En ese sentido, debe señalarse que la </w:t>
      </w:r>
      <w:r w:rsidRPr="00642EA6">
        <w:rPr>
          <w:rFonts w:ascii="Verdana" w:eastAsia="Calibri" w:hAnsi="Verdana" w:cs="Arial"/>
          <w:lang w:val="es-ES_tradnl" w:eastAsia="es-CO"/>
        </w:rPr>
        <w:t xml:space="preserve">contratación con cargo a recursos públicos es un concepto al que alude expresamente la Ley 1150 de 2007, incluso desde el mismo título, pues este indica que dicha ley es </w:t>
      </w:r>
      <w:r w:rsidRPr="00642EA6">
        <w:rPr>
          <w:rFonts w:ascii="Verdana" w:eastAsia="Calibri" w:hAnsi="Verdana" w:cs="Arial"/>
          <w:lang w:val="es-ES_tradnl"/>
        </w:rPr>
        <w:t>“</w:t>
      </w:r>
      <w:r w:rsidRPr="00642EA6">
        <w:rPr>
          <w:rFonts w:ascii="Verdana" w:eastAsia="Calibri" w:hAnsi="Verdana" w:cs="Arial"/>
        </w:rPr>
        <w:t>Por medio de la cual se introducen medidas para la eficiencia y la transparencia en la Ley </w:t>
      </w:r>
      <w:hyperlink r:id="rId12" w:anchor="1" w:history="1">
        <w:r w:rsidRPr="00642EA6">
          <w:rPr>
            <w:rFonts w:ascii="Verdana" w:eastAsia="Calibri" w:hAnsi="Verdana" w:cs="Arial"/>
          </w:rPr>
          <w:t>80</w:t>
        </w:r>
      </w:hyperlink>
      <w:r w:rsidRPr="00642EA6">
        <w:rPr>
          <w:rFonts w:ascii="Verdana" w:eastAsia="Calibri" w:hAnsi="Verdana" w:cs="Arial"/>
        </w:rPr>
        <w:t> de 1993 y se dictan otras disposiciones generales sobre la contratación con Recursos Públicos</w:t>
      </w:r>
      <w:r w:rsidRPr="00642EA6">
        <w:rPr>
          <w:rFonts w:ascii="Verdana" w:eastAsia="Calibri" w:hAnsi="Verdana" w:cs="Arial"/>
          <w:lang w:val="es-ES_tradnl"/>
        </w:rPr>
        <w:t>”</w:t>
      </w:r>
      <w:r w:rsidRPr="00642EA6">
        <w:rPr>
          <w:rFonts w:ascii="Verdana" w:eastAsia="Calibri" w:hAnsi="Verdana" w:cs="Arial"/>
        </w:rPr>
        <w:t>.</w:t>
      </w:r>
      <w:r w:rsidRPr="00642EA6">
        <w:rPr>
          <w:rFonts w:ascii="Verdana" w:eastAsia="Calibri" w:hAnsi="Verdana" w:cs="Arial"/>
          <w:lang w:val="es-ES_tradnl" w:eastAsia="es-CO"/>
        </w:rPr>
        <w:t xml:space="preserve"> Asimismo, la terminología contratación con cargo recursos públicos</w:t>
      </w:r>
      <w:r w:rsidRPr="00642EA6">
        <w:rPr>
          <w:rFonts w:ascii="Verdana" w:eastAsia="Calibri" w:hAnsi="Verdana" w:cs="Arial"/>
          <w:i/>
          <w:iCs/>
          <w:lang w:val="es-ES_tradnl" w:eastAsia="es-CO"/>
        </w:rPr>
        <w:t xml:space="preserve"> </w:t>
      </w:r>
      <w:r w:rsidRPr="00642EA6">
        <w:rPr>
          <w:rFonts w:ascii="Verdana" w:eastAsia="Calibri" w:hAnsi="Verdana" w:cs="Arial"/>
          <w:lang w:val="es-ES_tradnl" w:eastAsia="es-CO"/>
        </w:rPr>
        <w:t>se encuentra en el artículo primero, al definir el ámbito de aplicación de sus disposiciones</w:t>
      </w:r>
      <w:r w:rsidRPr="00642EA6">
        <w:rPr>
          <w:rFonts w:ascii="Aptos" w:eastAsia="Aptos" w:hAnsi="Aptos" w:cs="Times New Roman"/>
          <w:vertAlign w:val="superscript"/>
          <w:lang w:val="es-ES_tradnl" w:eastAsia="es-CO"/>
        </w:rPr>
        <w:footnoteReference w:id="11"/>
      </w:r>
      <w:r w:rsidRPr="00642EA6">
        <w:rPr>
          <w:rFonts w:ascii="Verdana" w:eastAsia="Calibri" w:hAnsi="Verdana" w:cs="Arial"/>
          <w:lang w:val="es-ES_tradnl" w:eastAsia="es-CO"/>
        </w:rPr>
        <w:t xml:space="preserve"> y en el literal c) del artículo 3 –del que surge el deber de publicar en el SECOP–, que </w:t>
      </w:r>
      <w:r w:rsidRPr="00642EA6">
        <w:rPr>
          <w:rFonts w:ascii="Verdana" w:eastAsia="Calibri" w:hAnsi="Verdana" w:cs="Arial"/>
          <w:lang w:val="es-ES_tradnl" w:eastAsia="es-CO"/>
        </w:rPr>
        <w:lastRenderedPageBreak/>
        <w:t xml:space="preserve">expresamente </w:t>
      </w:r>
      <w:r w:rsidRPr="00642EA6">
        <w:rPr>
          <w:rFonts w:ascii="Verdana" w:eastAsia="Calibri" w:hAnsi="Verdana" w:cs="Arial"/>
          <w:shd w:val="clear" w:color="auto" w:fill="FFFFFF"/>
          <w:lang w:val="es-ES"/>
        </w:rPr>
        <w:t xml:space="preserve">establece que ese aparte del artículo se aplica a la “contratación realizada con dineros públicos”. </w:t>
      </w:r>
      <w:r w:rsidRPr="00642EA6">
        <w:rPr>
          <w:rFonts w:ascii="Verdana" w:eastAsia="Calibri" w:hAnsi="Verdana"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600A4E40" w14:textId="77777777" w:rsidR="00BA6B8A" w:rsidRPr="00642EA6" w:rsidRDefault="00BA6B8A" w:rsidP="00BA6B8A">
      <w:pPr>
        <w:spacing w:after="0" w:line="276" w:lineRule="auto"/>
        <w:ind w:firstLine="708"/>
        <w:contextualSpacing/>
        <w:jc w:val="both"/>
        <w:rPr>
          <w:rFonts w:ascii="Verdana" w:eastAsia="Calibri" w:hAnsi="Verdana" w:cs="Arial"/>
        </w:rPr>
      </w:pPr>
      <w:r w:rsidRPr="00642EA6">
        <w:rPr>
          <w:rFonts w:ascii="Verdana" w:eastAsia="Calibri" w:hAnsi="Verdana" w:cs="Arial"/>
          <w:lang w:val="es-ES_tradnl" w:eastAsia="es-CO"/>
        </w:rPr>
        <w:t xml:space="preserve">Por otro lado, </w:t>
      </w:r>
      <w:r w:rsidRPr="00642EA6">
        <w:rPr>
          <w:rFonts w:ascii="Verdana" w:eastAsia="Calibri" w:hAnsi="Verdana" w:cs="Arial"/>
        </w:rPr>
        <w:t xml:space="preserve">el Decreto 103 de 2015, mediante el cual se reglamentó la Ley 1712 de 2014, y que fue compilado </w:t>
      </w:r>
      <w:r w:rsidRPr="00642EA6">
        <w:rPr>
          <w:rFonts w:ascii="Verdana" w:eastAsia="Calibri" w:hAnsi="Verdana" w:cs="Arial"/>
          <w:shd w:val="clear" w:color="auto" w:fill="FFFFFF"/>
        </w:rPr>
        <w:t xml:space="preserve">en los artículos 2.1.1.1.1. al 2.1.1.6.1. del Decreto 1081 de 2015–.  </w:t>
      </w:r>
      <w:r w:rsidRPr="00642EA6">
        <w:rPr>
          <w:rFonts w:ascii="Verdana" w:eastAsia="Calibri" w:hAnsi="Verdana" w:cs="Arial"/>
        </w:rPr>
        <w:t>señala:</w:t>
      </w:r>
    </w:p>
    <w:p w14:paraId="0668DCF9" w14:textId="77777777" w:rsidR="00BA6B8A" w:rsidRPr="00642EA6" w:rsidRDefault="00BA6B8A" w:rsidP="00BA6B8A">
      <w:pPr>
        <w:spacing w:after="0" w:line="276" w:lineRule="auto"/>
        <w:ind w:firstLine="784"/>
        <w:contextualSpacing/>
        <w:jc w:val="both"/>
        <w:rPr>
          <w:rFonts w:ascii="Verdana" w:eastAsia="Calibri" w:hAnsi="Verdana" w:cs="Arial"/>
        </w:rPr>
      </w:pPr>
    </w:p>
    <w:p w14:paraId="7FF1E943" w14:textId="77777777" w:rsidR="00BA6B8A" w:rsidRPr="00642EA6" w:rsidRDefault="00BA6B8A" w:rsidP="00BA6B8A">
      <w:pPr>
        <w:spacing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“Artículo 7°.</w:t>
      </w:r>
      <w:r w:rsidRPr="00642EA6">
        <w:rPr>
          <w:rFonts w:ascii="Verdana" w:eastAsia="Times New Roman" w:hAnsi="Verdana" w:cs="Arial"/>
          <w:i/>
          <w:iCs/>
          <w:sz w:val="21"/>
          <w:szCs w:val="21"/>
          <w:lang w:eastAsia="es-CO"/>
        </w:rPr>
        <w:t xml:space="preserve"> Publicación de la información contractual. </w:t>
      </w:r>
      <w:r w:rsidRPr="00642EA6">
        <w:rPr>
          <w:rFonts w:ascii="Verdana" w:eastAsia="Times New Roman" w:hAnsi="Verdana" w:cs="Arial"/>
          <w:sz w:val="21"/>
          <w:szCs w:val="21"/>
          <w:lang w:eastAsia="es-CO"/>
        </w:rPr>
        <w:t xml:space="preserve">De conformidad con el literal (c) del artículo 3° de la Ley 1150 de 2007, el sistema de información del Estado en el cual 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cumplir la obligación de publicar la información de su gestión contractual es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w:t>
      </w:r>
    </w:p>
    <w:p w14:paraId="7E8EA101" w14:textId="77777777" w:rsidR="00BA6B8A" w:rsidRPr="00642EA6" w:rsidRDefault="00BA6B8A" w:rsidP="00BA6B8A">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 xml:space="preserve">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publicar la información de su gestión contractual en el plazo previsto en el artículo 19 del Decreto 1510 de 2013, o el que lo modifique, sustituya o adicione. </w:t>
      </w:r>
    </w:p>
    <w:p w14:paraId="40C39255" w14:textId="77777777" w:rsidR="00BA6B8A" w:rsidRPr="00642EA6" w:rsidRDefault="00BA6B8A" w:rsidP="00BA6B8A">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Los sujetos obligados que contratan con recursos públicos y recursos privados, deben publicar la información de su gestión contractual con cargo a recursos públicos en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[Énfasis fuera del texto original]</w:t>
      </w:r>
    </w:p>
    <w:p w14:paraId="29D1A12B" w14:textId="77777777" w:rsidR="00BA6B8A" w:rsidRPr="00642EA6" w:rsidRDefault="00BA6B8A" w:rsidP="00BA6B8A">
      <w:pPr>
        <w:spacing w:after="0" w:line="276" w:lineRule="auto"/>
        <w:ind w:left="709" w:right="709" w:firstLine="150"/>
        <w:contextualSpacing/>
        <w:jc w:val="both"/>
        <w:rPr>
          <w:rFonts w:ascii="Verdana" w:eastAsia="Times New Roman" w:hAnsi="Verdana" w:cs="Arial"/>
          <w:lang w:eastAsia="es-CO"/>
        </w:rPr>
      </w:pPr>
    </w:p>
    <w:p w14:paraId="6A20C3BD" w14:textId="77777777" w:rsidR="00BA6B8A" w:rsidRPr="00642EA6" w:rsidRDefault="00BA6B8A" w:rsidP="00BA6B8A">
      <w:pPr>
        <w:spacing w:before="120" w:after="120" w:line="276" w:lineRule="auto"/>
        <w:ind w:firstLine="709"/>
        <w:jc w:val="both"/>
        <w:rPr>
          <w:rFonts w:ascii="Verdana" w:eastAsia="Calibri" w:hAnsi="Verdana" w:cs="Arial"/>
          <w:lang w:val="es-ES_tradnl" w:eastAsia="es-ES_tradnl"/>
        </w:rPr>
      </w:pPr>
      <w:bookmarkStart w:id="4" w:name="_Hlk110869205"/>
      <w:r w:rsidRPr="00642EA6">
        <w:rPr>
          <w:rFonts w:ascii="Verdana" w:eastAsia="Calibri" w:hAnsi="Verdana"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de la Ley 2195 de 2022 –al ampliar la obligación de las entidades con regímenes especiales de publicar su actividad contractual en el SECOP II– se refiere a aquella actividad contractual cuya fuente de financiación provenga de recursos públicos. </w:t>
      </w:r>
    </w:p>
    <w:bookmarkEnd w:id="4"/>
    <w:p w14:paraId="060210B1" w14:textId="77777777" w:rsidR="00BA6B8A" w:rsidRPr="00642EA6" w:rsidRDefault="00BA6B8A" w:rsidP="00BA6B8A">
      <w:pPr>
        <w:spacing w:after="0" w:line="276" w:lineRule="auto"/>
        <w:ind w:firstLine="708"/>
        <w:contextualSpacing/>
        <w:jc w:val="both"/>
        <w:rPr>
          <w:rFonts w:ascii="Verdana" w:eastAsia="Calibri" w:hAnsi="Verdana" w:cs="Arial"/>
          <w:lang w:val="es-ES"/>
        </w:rPr>
      </w:pPr>
      <w:r w:rsidRPr="00642EA6">
        <w:rPr>
          <w:rFonts w:ascii="Verdana" w:eastAsia="Calibri" w:hAnsi="Verdana" w:cs="Arial"/>
          <w:shd w:val="clear" w:color="auto" w:fill="FFFFFF"/>
          <w:lang w:val="es-ES"/>
        </w:rPr>
        <w:t xml:space="preserve">En consonancia con la interpretación antes expuesta, </w:t>
      </w:r>
      <w:r w:rsidRPr="00642EA6">
        <w:rPr>
          <w:rFonts w:ascii="Verdana" w:eastAsia="Calibri" w:hAnsi="Verdana" w:cs="Arial"/>
          <w:lang w:val="es-ES"/>
        </w:rPr>
        <w:t>la Circular 002 del 23 de agosto de 2024</w:t>
      </w:r>
      <w:r w:rsidRPr="00642EA6">
        <w:rPr>
          <w:rFonts w:ascii="Aptos" w:eastAsia="Aptos" w:hAnsi="Aptos" w:cs="Times New Roman"/>
          <w:vertAlign w:val="superscript"/>
          <w:lang w:val="es-ES"/>
        </w:rPr>
        <w:footnoteReference w:id="12"/>
      </w:r>
      <w:r w:rsidRPr="00642EA6">
        <w:rPr>
          <w:rFonts w:ascii="Verdana" w:eastAsia="Calibri" w:hAnsi="Verdana" w:cs="Arial"/>
          <w:lang w:val="es-ES"/>
        </w:rPr>
        <w:t xml:space="preserve">, expedida por la Agencia Nacional de Contratación Pública – Colombia Compra Eficiente, a través de la cual se dictan lineamientos para la </w:t>
      </w:r>
      <w:r w:rsidRPr="00642EA6">
        <w:rPr>
          <w:rFonts w:ascii="Verdana" w:eastAsia="Calibri" w:hAnsi="Verdana" w:cs="Arial"/>
          <w:lang w:val="es-ES"/>
        </w:rPr>
        <w:lastRenderedPageBreak/>
        <w:t>aplicación del artículo 53 de la Ley 2195 de 2022, en el literal d) –denominado “Procedencia de los recursos como punto de partida para la publicación en el SECOP II”–, señala:</w:t>
      </w:r>
    </w:p>
    <w:p w14:paraId="1847006A" w14:textId="77777777" w:rsidR="00BA6B8A" w:rsidRPr="00784503" w:rsidRDefault="00BA6B8A" w:rsidP="00BA6B8A">
      <w:pPr>
        <w:spacing w:after="0" w:line="276" w:lineRule="auto"/>
        <w:ind w:left="709" w:right="709"/>
        <w:jc w:val="both"/>
        <w:rPr>
          <w:rFonts w:ascii="Verdana" w:eastAsia="Calibri" w:hAnsi="Verdana" w:cs="Arial"/>
          <w:sz w:val="20"/>
          <w:szCs w:val="20"/>
          <w:lang w:val="es-ES_tradnl" w:eastAsia="es-ES_tradnl"/>
        </w:rPr>
      </w:pPr>
    </w:p>
    <w:p w14:paraId="76E79921" w14:textId="77777777" w:rsidR="00BA6B8A" w:rsidRPr="00784503" w:rsidRDefault="00BA6B8A" w:rsidP="00BA6B8A">
      <w:pPr>
        <w:spacing w:after="0" w:line="240" w:lineRule="auto"/>
        <w:ind w:left="709" w:right="709"/>
        <w:jc w:val="both"/>
        <w:rPr>
          <w:rFonts w:ascii="Verdana" w:eastAsia="Calibri" w:hAnsi="Verdana" w:cs="Arial"/>
          <w:sz w:val="20"/>
          <w:szCs w:val="20"/>
          <w:lang w:val="es-ES" w:eastAsia="es-ES"/>
        </w:rPr>
      </w:pPr>
      <w:r w:rsidRPr="00784503">
        <w:rPr>
          <w:rFonts w:ascii="Verdana" w:eastAsia="Calibri" w:hAnsi="Verdana" w:cs="Arial"/>
          <w:sz w:val="20"/>
          <w:szCs w:val="20"/>
          <w:lang w:val="es-ES" w:eastAsia="es-ES"/>
        </w:rPr>
        <w:t xml:space="preserve">“La obligación de publicar la actividad contractual siempre ha estado encaminada a que se publique aquella información relacionada con la ejecución de los dineros públicos. Por tal razón, puede concluirse, a la luz de las disposiciones que regulan la materia, que </w:t>
      </w:r>
      <w:proofErr w:type="spellStart"/>
      <w:r w:rsidRPr="00784503">
        <w:rPr>
          <w:rFonts w:ascii="Verdana" w:eastAsia="Calibri" w:hAnsi="Verdana" w:cs="Arial"/>
          <w:sz w:val="20"/>
          <w:szCs w:val="20"/>
          <w:lang w:val="es-ES" w:eastAsia="es-ES"/>
        </w:rPr>
        <w:t>e</w:t>
      </w:r>
      <w:proofErr w:type="spellEnd"/>
      <w:r w:rsidRPr="00784503">
        <w:rPr>
          <w:rFonts w:ascii="Verdana" w:eastAsia="Calibri" w:hAnsi="Verdana" w:cs="Arial"/>
          <w:sz w:val="20"/>
          <w:szCs w:val="20"/>
          <w:lang w:val="es-ES" w:eastAsia="es-ES"/>
        </w:rPr>
        <w:t xml:space="preserve"> el artículo 53 -al ampliar la obligación de las entidades con regímenes especiales de publicar su actividad contractual en el SECOP II- se refiere a aquella actividad contractual cuya fuente de financiación provenga de recursos públicos […]”</w:t>
      </w:r>
    </w:p>
    <w:p w14:paraId="2DEA70CA" w14:textId="77777777" w:rsidR="00BA6B8A" w:rsidRPr="00642EA6" w:rsidRDefault="00BA6B8A" w:rsidP="00BA6B8A">
      <w:pPr>
        <w:spacing w:after="0" w:line="276" w:lineRule="auto"/>
        <w:ind w:firstLine="709"/>
        <w:contextualSpacing/>
        <w:jc w:val="both"/>
        <w:rPr>
          <w:rFonts w:ascii="Verdana" w:eastAsia="Calibri" w:hAnsi="Verdana" w:cs="Arial"/>
          <w:lang w:val="es-ES_tradnl" w:eastAsia="es-ES_tradnl"/>
        </w:rPr>
      </w:pPr>
    </w:p>
    <w:p w14:paraId="15F5BB25" w14:textId="77777777" w:rsidR="00BA6B8A" w:rsidRDefault="00BA6B8A" w:rsidP="00BA6B8A">
      <w:pPr>
        <w:spacing w:after="120" w:line="276" w:lineRule="auto"/>
        <w:ind w:firstLine="708"/>
        <w:jc w:val="both"/>
        <w:rPr>
          <w:rFonts w:ascii="Verdana" w:eastAsia="Calibri" w:hAnsi="Verdana" w:cs="Arial"/>
          <w:lang w:val="es-ES"/>
        </w:rPr>
      </w:pPr>
      <w:r w:rsidRPr="00642EA6">
        <w:rPr>
          <w:rFonts w:ascii="Verdana" w:eastAsia="Calibri" w:hAnsi="Verdana" w:cs="Arial"/>
          <w:lang w:val="es-ES"/>
        </w:rPr>
        <w:t xml:space="preserve">De conformidad con lo anterior, 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w:t>
      </w:r>
      <w:r>
        <w:rPr>
          <w:rFonts w:ascii="Verdana" w:eastAsia="Calibri" w:hAnsi="Verdana" w:cs="Arial"/>
          <w:lang w:val="es-ES"/>
        </w:rPr>
        <w:t>financiada</w:t>
      </w:r>
      <w:r w:rsidRPr="00642EA6">
        <w:rPr>
          <w:rFonts w:ascii="Verdana" w:eastAsia="Calibri" w:hAnsi="Verdana" w:cs="Arial"/>
          <w:lang w:val="es-ES"/>
        </w:rPr>
        <w:t xml:space="preserve"> dineros públicos. </w:t>
      </w:r>
      <w:r>
        <w:rPr>
          <w:rFonts w:ascii="Verdana" w:eastAsia="Calibri" w:hAnsi="Verdana" w:cs="Arial"/>
          <w:shd w:val="clear" w:color="auto" w:fill="FFFFFF"/>
        </w:rPr>
        <w:t xml:space="preserve">En consideración a esto, resulta claro que la obligatoriedad de publicar la actividad contractual establecida en el artículo 13 de la Ley 1150 de 2007, adicionado por el artículo 53 de la Ley 2195 de 2022, se refiere a la contratación financiada con recursos públicos. </w:t>
      </w:r>
      <w:r>
        <w:rPr>
          <w:rFonts w:ascii="Verdana" w:eastAsia="Calibri" w:hAnsi="Verdana" w:cs="Arial"/>
          <w:lang w:val="es-ES"/>
        </w:rPr>
        <w:t>En ese orden, en virtud de que la obligación de publicidad establecida en dicha norma se prédica únicamente de la actividad contractual financiada con recursos públicos, resulta meramente potestativa o facultativa la decisión de realizar o no la publicación de la actividad contractual financiada con otro tipo de recursos en dicha plataforma.</w:t>
      </w:r>
      <w:r w:rsidRPr="00642EA6">
        <w:rPr>
          <w:rFonts w:ascii="Verdana" w:eastAsia="Calibri" w:hAnsi="Verdana" w:cs="Arial"/>
          <w:lang w:val="es-ES"/>
        </w:rPr>
        <w:t xml:space="preserve"> </w:t>
      </w:r>
    </w:p>
    <w:p w14:paraId="0F19320B" w14:textId="77777777" w:rsidR="00BA6B8A" w:rsidRDefault="00BA6B8A" w:rsidP="00BA6B8A">
      <w:pPr>
        <w:spacing w:after="0" w:line="276" w:lineRule="auto"/>
        <w:jc w:val="both"/>
        <w:rPr>
          <w:rFonts w:ascii="Verdana" w:eastAsia="Calibri" w:hAnsi="Verdana" w:cs="Arial"/>
          <w:lang w:val="es-ES"/>
        </w:rPr>
      </w:pPr>
      <w:r>
        <w:rPr>
          <w:rFonts w:ascii="Verdana" w:eastAsia="Calibri" w:hAnsi="Verdana" w:cs="Arial"/>
          <w:lang w:val="es-ES"/>
        </w:rPr>
        <w:tab/>
        <w:t xml:space="preserve">Por lo tanto, si la Sociedad de Economía Mixta decide adelantar la publicación haciendo uso de la plataforma SECOP II, aun cuando no tenga la obligación legal de hacerlo, podrá adelantarla siguiendo las recomendaciones y lineamientos establecidos en la Circular 002 de 2024 antes referenciada. </w:t>
      </w:r>
      <w:r w:rsidRPr="0058342E">
        <w:rPr>
          <w:rFonts w:ascii="Verdana" w:eastAsia="Calibri" w:hAnsi="Verdana" w:cs="Arial"/>
          <w:lang w:val="es-ES"/>
        </w:rPr>
        <w:t>En todo caso, corresponde a cada entidad de régimen especial de contratación dar cumplimiento al deber de publicación que les asiste en relación con su actividad contractual en cumplimiento del artículo 53 de la Ley 2195 de 2022.</w:t>
      </w:r>
    </w:p>
    <w:p w14:paraId="54A17AEE" w14:textId="77777777" w:rsidR="00BA6B8A" w:rsidRPr="00642EA6" w:rsidRDefault="00BA6B8A" w:rsidP="00BA6B8A">
      <w:pPr>
        <w:spacing w:after="0" w:line="276" w:lineRule="auto"/>
        <w:jc w:val="both"/>
        <w:rPr>
          <w:rFonts w:ascii="Verdana" w:eastAsia="Calibri" w:hAnsi="Verdana" w:cs="Arial"/>
          <w:lang w:val="es-ES"/>
        </w:rPr>
      </w:pPr>
      <w:r>
        <w:rPr>
          <w:rFonts w:ascii="Verdana" w:eastAsia="Aptos" w:hAnsi="Verdana" w:cs="Arial"/>
          <w:shd w:val="clear" w:color="auto" w:fill="FFFFFF"/>
        </w:rPr>
        <w:tab/>
      </w:r>
      <w:bookmarkEnd w:id="2"/>
    </w:p>
    <w:p w14:paraId="51F5D95F" w14:textId="77777777" w:rsidR="00BA6B8A" w:rsidRPr="00642EA6" w:rsidRDefault="00BA6B8A" w:rsidP="00BA6B8A">
      <w:pPr>
        <w:widowControl w:val="0"/>
        <w:autoSpaceDE w:val="0"/>
        <w:autoSpaceDN w:val="0"/>
        <w:spacing w:before="1" w:after="0" w:line="240" w:lineRule="auto"/>
        <w:outlineLvl w:val="0"/>
        <w:rPr>
          <w:rFonts w:ascii="Verdana" w:eastAsia="Arial" w:hAnsi="Verdana" w:cs="Arial"/>
          <w:b/>
          <w:bCs/>
          <w:lang w:val="es-ES"/>
        </w:rPr>
      </w:pPr>
      <w:r w:rsidRPr="00642EA6">
        <w:rPr>
          <w:rFonts w:ascii="Verdana" w:eastAsia="Arial" w:hAnsi="Verdana" w:cs="Arial"/>
          <w:b/>
          <w:bCs/>
          <w:lang w:val="es-ES"/>
        </w:rPr>
        <w:t>4.</w:t>
      </w:r>
      <w:r>
        <w:rPr>
          <w:rFonts w:ascii="Verdana" w:eastAsia="Arial" w:hAnsi="Verdana" w:cs="Arial"/>
          <w:b/>
          <w:bCs/>
          <w:lang w:val="es-ES"/>
        </w:rPr>
        <w:t xml:space="preserve"> </w:t>
      </w:r>
      <w:r w:rsidRPr="00642EA6">
        <w:rPr>
          <w:rFonts w:ascii="Verdana" w:eastAsia="Arial" w:hAnsi="Verdana" w:cs="Arial"/>
          <w:b/>
          <w:bCs/>
          <w:lang w:val="es-ES"/>
        </w:rPr>
        <w:t>Referencias normativas, jurisprudenciales y otras fuentes:</w:t>
      </w:r>
    </w:p>
    <w:p w14:paraId="5FA0F457" w14:textId="77777777" w:rsidR="00BA6B8A" w:rsidRPr="00642EA6" w:rsidRDefault="00BA6B8A" w:rsidP="00BA6B8A">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A6B8A" w:rsidRPr="00642EA6" w14:paraId="64D488AB" w14:textId="77777777" w:rsidTr="009B7D49">
        <w:trPr>
          <w:trHeight w:val="870"/>
        </w:trPr>
        <w:tc>
          <w:tcPr>
            <w:tcW w:w="8647" w:type="dxa"/>
          </w:tcPr>
          <w:p w14:paraId="3CCA9DD9" w14:textId="77777777" w:rsidR="00BA6B8A" w:rsidRPr="00642EA6" w:rsidRDefault="00BA6B8A" w:rsidP="00BA6B8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489 de 1998. Artículo 38, 68 y 97</w:t>
            </w:r>
          </w:p>
          <w:p w14:paraId="44166B6B" w14:textId="77777777" w:rsidR="00BA6B8A" w:rsidRPr="00642EA6" w:rsidRDefault="00BA6B8A" w:rsidP="00BA6B8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80 de 1993. Artículo 2, literal a)</w:t>
            </w:r>
          </w:p>
          <w:p w14:paraId="2B23BCB1" w14:textId="77777777" w:rsidR="00BA6B8A" w:rsidRPr="00642EA6" w:rsidRDefault="00BA6B8A" w:rsidP="00BA6B8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lastRenderedPageBreak/>
              <w:t>Ley 1150 de 2007. Artículo 13, literal c); Artículo 14</w:t>
            </w:r>
          </w:p>
          <w:p w14:paraId="150A9D75" w14:textId="77777777" w:rsidR="00BA6B8A" w:rsidRPr="00642EA6" w:rsidRDefault="00BA6B8A" w:rsidP="00BA6B8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1712 de 2014. Artículo 2; Artículo 9; Artículo 11, literal g)</w:t>
            </w:r>
          </w:p>
          <w:p w14:paraId="53474C19" w14:textId="77777777" w:rsidR="00BA6B8A" w:rsidRPr="00642EA6" w:rsidRDefault="00BA6B8A" w:rsidP="00BA6B8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2195 de 2022. Artículo 53</w:t>
            </w:r>
          </w:p>
          <w:p w14:paraId="713F3691" w14:textId="77777777" w:rsidR="00BA6B8A" w:rsidRPr="00642EA6" w:rsidRDefault="00BA6B8A" w:rsidP="00BA6B8A">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 xml:space="preserve">Decreto 1082 de 2015. Artículo </w:t>
            </w:r>
            <w:r w:rsidRPr="00642EA6">
              <w:rPr>
                <w:rFonts w:ascii="Verdana" w:eastAsia="Aptos" w:hAnsi="Verdana" w:cs="Arial"/>
                <w:color w:val="000000"/>
                <w:shd w:val="clear" w:color="auto" w:fill="FFFFFF"/>
              </w:rPr>
              <w:t>2.2.1.1.1.7.1</w:t>
            </w:r>
          </w:p>
          <w:p w14:paraId="211D5090" w14:textId="77777777" w:rsidR="00BA6B8A" w:rsidRPr="00642EA6" w:rsidRDefault="00BA6B8A" w:rsidP="00BA6B8A">
            <w:pPr>
              <w:widowControl w:val="0"/>
              <w:numPr>
                <w:ilvl w:val="0"/>
                <w:numId w:val="1"/>
              </w:numPr>
              <w:autoSpaceDE w:val="0"/>
              <w:autoSpaceDN w:val="0"/>
              <w:spacing w:line="276" w:lineRule="auto"/>
              <w:contextualSpacing/>
              <w:jc w:val="both"/>
              <w:rPr>
                <w:rFonts w:ascii="Verdana" w:eastAsia="Aptos" w:hAnsi="Verdana" w:cs="Arial"/>
              </w:rPr>
            </w:pPr>
            <w:r w:rsidRPr="00642EA6">
              <w:rPr>
                <w:rFonts w:ascii="Verdana" w:eastAsia="Calibri" w:hAnsi="Verdana" w:cs="Arial"/>
                <w:lang w:val="es-ES"/>
              </w:rPr>
              <w:t xml:space="preserve">Circular Externa Única, disponible </w:t>
            </w:r>
            <w:hyperlink r:id="rId13" w:history="1">
              <w:r w:rsidRPr="00642EA6">
                <w:rPr>
                  <w:rFonts w:ascii="Verdana" w:eastAsia="Calibri" w:hAnsi="Verdana" w:cs="Arial"/>
                  <w:color w:val="467886"/>
                  <w:u w:val="single"/>
                  <w:lang w:val="es-ES"/>
                </w:rPr>
                <w:t>aquí</w:t>
              </w:r>
            </w:hyperlink>
          </w:p>
          <w:p w14:paraId="7CA86FC3" w14:textId="77777777" w:rsidR="00BA6B8A" w:rsidRPr="00642EA6" w:rsidRDefault="00BA6B8A" w:rsidP="00BA6B8A">
            <w:pPr>
              <w:widowControl w:val="0"/>
              <w:numPr>
                <w:ilvl w:val="0"/>
                <w:numId w:val="1"/>
              </w:numPr>
              <w:autoSpaceDE w:val="0"/>
              <w:autoSpaceDN w:val="0"/>
              <w:spacing w:line="276" w:lineRule="auto"/>
              <w:contextualSpacing/>
              <w:jc w:val="both"/>
              <w:rPr>
                <w:rFonts w:ascii="Verdana" w:eastAsia="Aptos" w:hAnsi="Verdana" w:cs="Arial"/>
              </w:rPr>
            </w:pPr>
            <w:r w:rsidRPr="00642EA6">
              <w:rPr>
                <w:rFonts w:ascii="Verdana" w:eastAsia="Calibri" w:hAnsi="Verdana" w:cs="Arial"/>
                <w:lang w:val="es-ES"/>
              </w:rPr>
              <w:t xml:space="preserve">Circular Externa No. 002 del 23 de agosto de 2024, disponible </w:t>
            </w:r>
            <w:hyperlink r:id="rId14" w:history="1">
              <w:r w:rsidRPr="00642EA6">
                <w:rPr>
                  <w:rFonts w:ascii="Verdana" w:eastAsia="Calibri" w:hAnsi="Verdana" w:cs="Arial"/>
                  <w:color w:val="467886"/>
                  <w:u w:val="single"/>
                  <w:lang w:val="es-ES"/>
                </w:rPr>
                <w:t>aquí</w:t>
              </w:r>
            </w:hyperlink>
          </w:p>
        </w:tc>
      </w:tr>
    </w:tbl>
    <w:p w14:paraId="488BF9A3" w14:textId="77777777" w:rsidR="00BA6B8A" w:rsidRPr="00642EA6" w:rsidRDefault="00BA6B8A" w:rsidP="00BA6B8A">
      <w:pPr>
        <w:widowControl w:val="0"/>
        <w:autoSpaceDE w:val="0"/>
        <w:autoSpaceDN w:val="0"/>
        <w:spacing w:after="0" w:line="276" w:lineRule="auto"/>
        <w:jc w:val="both"/>
        <w:rPr>
          <w:rFonts w:ascii="Verdana" w:eastAsia="Aptos" w:hAnsi="Verdana" w:cs="Arial"/>
        </w:rPr>
      </w:pPr>
    </w:p>
    <w:p w14:paraId="3CF4C32C" w14:textId="77777777" w:rsidR="00BA6B8A" w:rsidRPr="00642EA6" w:rsidRDefault="00BA6B8A" w:rsidP="00BA6B8A">
      <w:pPr>
        <w:widowControl w:val="0"/>
        <w:autoSpaceDE w:val="0"/>
        <w:autoSpaceDN w:val="0"/>
        <w:spacing w:before="1" w:after="0" w:line="240" w:lineRule="auto"/>
        <w:outlineLvl w:val="0"/>
        <w:rPr>
          <w:rFonts w:ascii="Verdana" w:eastAsia="Arial" w:hAnsi="Verdana" w:cs="Arial"/>
          <w:b/>
          <w:bCs/>
          <w:lang w:val="es-ES"/>
        </w:rPr>
      </w:pPr>
      <w:r w:rsidRPr="00642EA6">
        <w:rPr>
          <w:rFonts w:ascii="Verdana" w:eastAsia="Arial" w:hAnsi="Verdana" w:cs="Arial"/>
          <w:b/>
          <w:bCs/>
          <w:lang w:val="es-ES"/>
        </w:rPr>
        <w:t>5. Doctrina de la Agencia Nacional de Contratación Pública:</w:t>
      </w:r>
    </w:p>
    <w:p w14:paraId="14F04A7A" w14:textId="77777777" w:rsidR="00BA6B8A" w:rsidRPr="00642EA6" w:rsidRDefault="00BA6B8A" w:rsidP="00BA6B8A">
      <w:pPr>
        <w:widowControl w:val="0"/>
        <w:autoSpaceDE w:val="0"/>
        <w:autoSpaceDN w:val="0"/>
        <w:spacing w:after="0" w:line="276" w:lineRule="auto"/>
        <w:jc w:val="both"/>
        <w:rPr>
          <w:rFonts w:ascii="Verdana" w:eastAsia="Aptos" w:hAnsi="Verdana" w:cs="Arial"/>
        </w:rPr>
      </w:pPr>
    </w:p>
    <w:p w14:paraId="6165D57A" w14:textId="77777777" w:rsidR="00BA6B8A" w:rsidRPr="00642EA6" w:rsidRDefault="00BA6B8A" w:rsidP="00BA6B8A">
      <w:pPr>
        <w:widowControl w:val="0"/>
        <w:autoSpaceDE w:val="0"/>
        <w:autoSpaceDN w:val="0"/>
        <w:spacing w:after="120" w:line="276" w:lineRule="auto"/>
        <w:jc w:val="both"/>
        <w:rPr>
          <w:rFonts w:ascii="Verdana" w:eastAsia="Aptos" w:hAnsi="Verdana" w:cs="Arial"/>
          <w:shd w:val="clear" w:color="auto" w:fill="FFFFFF"/>
          <w:lang w:val="es-ES"/>
        </w:rPr>
      </w:pPr>
      <w:r w:rsidRPr="00642EA6">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642EA6">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w:t>
      </w:r>
      <w:r>
        <w:rPr>
          <w:rFonts w:ascii="Verdana" w:eastAsia="Calibri" w:hAnsi="Verdana" w:cs="Arial"/>
          <w:lang w:val="es-ES_tradnl" w:eastAsia="es-MX"/>
        </w:rPr>
        <w:t>,</w:t>
      </w:r>
      <w:r w:rsidRPr="00642EA6">
        <w:rPr>
          <w:rFonts w:ascii="Verdana" w:eastAsia="Calibri" w:hAnsi="Verdana" w:cs="Arial"/>
          <w:lang w:val="es-ES_tradnl" w:eastAsia="es-MX"/>
        </w:rPr>
        <w:t xml:space="preserve"> C-071 del 28 de marzo de 2023</w:t>
      </w:r>
      <w:r>
        <w:rPr>
          <w:rFonts w:ascii="Verdana" w:eastAsia="Calibri" w:hAnsi="Verdana" w:cs="Arial"/>
          <w:lang w:val="es-ES_tradnl" w:eastAsia="es-MX"/>
        </w:rPr>
        <w:t>, C-540 del 7 de octubre de 2024 y C-661 del 7 de noviembre de 2024</w:t>
      </w:r>
      <w:r w:rsidRPr="00642EA6">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642EA6">
          <w:rPr>
            <w:rFonts w:ascii="Verdana" w:eastAsia="Aptos" w:hAnsi="Verdana" w:cs="Arial"/>
            <w:color w:val="467886"/>
            <w:u w:val="single"/>
            <w:shd w:val="clear" w:color="auto" w:fill="FFFFFF"/>
            <w:lang w:val="es-ES"/>
          </w:rPr>
          <w:t>https://relatoria.colombiacompra.gov.co/</w:t>
        </w:r>
      </w:hyperlink>
      <w:r w:rsidRPr="00642EA6">
        <w:rPr>
          <w:rFonts w:ascii="Verdana" w:eastAsia="Aptos" w:hAnsi="Verdana" w:cs="Arial"/>
          <w:shd w:val="clear" w:color="auto" w:fill="FFFFFF"/>
          <w:lang w:val="es-ES"/>
        </w:rPr>
        <w:t xml:space="preserve">. </w:t>
      </w:r>
    </w:p>
    <w:p w14:paraId="1ABB9B24" w14:textId="77777777" w:rsidR="00BA6B8A" w:rsidRDefault="00BA6B8A" w:rsidP="00BA6B8A">
      <w:pPr>
        <w:spacing w:after="0" w:line="240" w:lineRule="auto"/>
        <w:jc w:val="both"/>
        <w:rPr>
          <w:rFonts w:ascii="Verdana" w:eastAsia="Calibri" w:hAnsi="Verdana" w:cs="Arial"/>
          <w:lang w:val="es-ES" w:eastAsia="es-ES"/>
        </w:rPr>
      </w:pPr>
      <w:r>
        <w:rPr>
          <w:rFonts w:ascii="Verdana" w:eastAsia="Calibri" w:hAnsi="Verdana" w:cs="Arial"/>
          <w:lang w:eastAsia="es-ES"/>
        </w:rPr>
        <w:t>L</w:t>
      </w:r>
      <w:r w:rsidRPr="00944E10">
        <w:rPr>
          <w:rFonts w:ascii="Verdana" w:eastAsia="Calibri" w:hAnsi="Verdana" w:cs="Arial"/>
          <w:lang w:eastAsia="es-ES"/>
        </w:rPr>
        <w:t xml:space="preserve">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history="1">
        <w:r w:rsidRPr="00944E10">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2A3B642F" w14:textId="77777777" w:rsidR="00BA6B8A" w:rsidRPr="00944E10" w:rsidRDefault="00BA6B8A" w:rsidP="00BA6B8A">
      <w:pPr>
        <w:spacing w:after="0" w:line="240" w:lineRule="auto"/>
        <w:jc w:val="both"/>
        <w:rPr>
          <w:rFonts w:ascii="Verdana" w:eastAsia="Calibri" w:hAnsi="Verdana" w:cs="Arial"/>
          <w:lang w:eastAsia="es-ES"/>
        </w:rPr>
      </w:pPr>
    </w:p>
    <w:p w14:paraId="437F2A14" w14:textId="77777777" w:rsidR="00BA6B8A" w:rsidRDefault="00BA6B8A" w:rsidP="00BA6B8A">
      <w:pPr>
        <w:spacing w:after="0" w:line="240"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7" w:history="1">
        <w:r w:rsidRPr="00944E10">
          <w:rPr>
            <w:rStyle w:val="Hipervnculo"/>
            <w:rFonts w:ascii="Verdana" w:eastAsia="Calibri" w:hAnsi="Verdana" w:cs="Arial"/>
            <w:lang w:eastAsia="es-ES"/>
          </w:rPr>
          <w:t>Calendario | Colombia Compra Eficiente | Agencia Nacional de Contratación Pública</w:t>
        </w:r>
      </w:hyperlink>
    </w:p>
    <w:p w14:paraId="007E144A" w14:textId="77777777" w:rsidR="00BA6B8A" w:rsidRPr="00944E10" w:rsidRDefault="00BA6B8A" w:rsidP="00BA6B8A">
      <w:pPr>
        <w:spacing w:after="0" w:line="240" w:lineRule="auto"/>
        <w:jc w:val="both"/>
        <w:rPr>
          <w:rFonts w:ascii="Verdana" w:eastAsia="Calibri" w:hAnsi="Verdana" w:cs="Arial"/>
          <w:lang w:eastAsia="es-ES"/>
        </w:rPr>
      </w:pPr>
    </w:p>
    <w:p w14:paraId="7FDD183F" w14:textId="77777777" w:rsidR="00BA6B8A" w:rsidRPr="00944E10" w:rsidRDefault="00BA6B8A" w:rsidP="00BA6B8A">
      <w:pPr>
        <w:spacing w:after="0" w:line="240"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history="1">
        <w:r w:rsidRPr="00944E10">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5FF82006" w14:textId="77777777" w:rsidR="00BA6B8A" w:rsidRDefault="00BA6B8A" w:rsidP="00BA6B8A">
      <w:pPr>
        <w:spacing w:after="0" w:line="240" w:lineRule="auto"/>
        <w:jc w:val="both"/>
      </w:pPr>
    </w:p>
    <w:p w14:paraId="4CF16437" w14:textId="77777777" w:rsidR="00BA6B8A" w:rsidRPr="00504DD6" w:rsidRDefault="00BA6B8A" w:rsidP="00BA6B8A">
      <w:pPr>
        <w:spacing w:after="0" w:line="240"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9" w:history="1">
        <w:r w:rsidRPr="00B84822">
          <w:rPr>
            <w:rStyle w:val="Hipervnculo"/>
            <w:rFonts w:ascii="Verdana" w:eastAsia="Calibri" w:hAnsi="Verdana"/>
            <w:lang w:eastAsia="es-ES_tradnl"/>
          </w:rPr>
          <w:t>https://www.colombiacompra.gov.co/sites/cce_public/files/files_2020/boletin_de_realtoria_viii.pdf</w:t>
        </w:r>
      </w:hyperlink>
    </w:p>
    <w:p w14:paraId="639E6A3F" w14:textId="77777777" w:rsidR="00BA6B8A" w:rsidRPr="0017177C" w:rsidRDefault="00BA6B8A" w:rsidP="00BA6B8A">
      <w:pPr>
        <w:widowControl w:val="0"/>
        <w:autoSpaceDE w:val="0"/>
        <w:autoSpaceDN w:val="0"/>
        <w:spacing w:after="0" w:line="276" w:lineRule="auto"/>
        <w:jc w:val="both"/>
        <w:rPr>
          <w:rFonts w:ascii="Verdana" w:eastAsia="Aptos" w:hAnsi="Verdana" w:cs="Arial"/>
          <w:shd w:val="clear" w:color="auto" w:fill="FFFFFF"/>
        </w:rPr>
      </w:pPr>
    </w:p>
    <w:p w14:paraId="4F5ECBAD" w14:textId="77777777" w:rsidR="00BA6B8A" w:rsidRPr="0044528D" w:rsidRDefault="00BA6B8A" w:rsidP="00BA6B8A">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02B88F0F" w14:textId="77777777" w:rsidR="00BA6B8A" w:rsidRPr="0044528D" w:rsidRDefault="00BA6B8A" w:rsidP="00BA6B8A">
      <w:pPr>
        <w:spacing w:after="0" w:line="240" w:lineRule="auto"/>
        <w:jc w:val="both"/>
        <w:rPr>
          <w:rFonts w:ascii="Verdana" w:hAnsi="Verdana"/>
        </w:rPr>
      </w:pPr>
    </w:p>
    <w:p w14:paraId="7D54D271" w14:textId="77777777" w:rsidR="00BA6B8A" w:rsidRPr="0044528D" w:rsidRDefault="00BA6B8A" w:rsidP="00BA6B8A">
      <w:pPr>
        <w:spacing w:after="0" w:line="240" w:lineRule="auto"/>
        <w:jc w:val="both"/>
        <w:rPr>
          <w:rFonts w:ascii="Verdana" w:hAnsi="Verdana"/>
        </w:rPr>
      </w:pPr>
      <w:r w:rsidRPr="0044528D">
        <w:rPr>
          <w:rFonts w:ascii="Verdana" w:hAnsi="Verdana"/>
        </w:rPr>
        <w:t xml:space="preserve">Twitter: </w:t>
      </w:r>
      <w:r w:rsidRPr="00642EA6">
        <w:rPr>
          <w:rFonts w:ascii="Verdana" w:eastAsia="Aptos" w:hAnsi="Verdana" w:cs="Arial"/>
          <w:color w:val="467886"/>
          <w:u w:val="single"/>
          <w:shd w:val="clear" w:color="auto" w:fill="FFFFFF"/>
          <w:lang w:val="es-ES"/>
        </w:rPr>
        <w:t>@colombiacompra</w:t>
      </w:r>
      <w:r w:rsidRPr="00642EA6">
        <w:rPr>
          <w:rFonts w:ascii="Verdana" w:eastAsia="Aptos" w:hAnsi="Verdana" w:cs="Times New Roman"/>
          <w:color w:val="156082"/>
        </w:rPr>
        <w:t xml:space="preserve"> </w:t>
      </w:r>
    </w:p>
    <w:p w14:paraId="3A1A2866" w14:textId="77777777" w:rsidR="00BA6B8A" w:rsidRPr="0044528D" w:rsidRDefault="00BA6B8A" w:rsidP="00BA6B8A">
      <w:pPr>
        <w:spacing w:after="0" w:line="240" w:lineRule="auto"/>
        <w:jc w:val="both"/>
        <w:rPr>
          <w:rFonts w:ascii="Verdana" w:hAnsi="Verdana"/>
        </w:rPr>
      </w:pPr>
      <w:r w:rsidRPr="0044528D">
        <w:rPr>
          <w:rFonts w:ascii="Verdana" w:hAnsi="Verdana"/>
        </w:rPr>
        <w:t xml:space="preserve">Facebook: </w:t>
      </w:r>
      <w:proofErr w:type="spellStart"/>
      <w:r w:rsidRPr="00642EA6">
        <w:rPr>
          <w:rFonts w:ascii="Verdana" w:eastAsia="Aptos" w:hAnsi="Verdana" w:cs="Arial"/>
          <w:color w:val="467886"/>
          <w:u w:val="single"/>
          <w:shd w:val="clear" w:color="auto" w:fill="FFFFFF"/>
          <w:lang w:val="es-ES"/>
        </w:rPr>
        <w:t>ColombiaCompraEficiente</w:t>
      </w:r>
      <w:proofErr w:type="spellEnd"/>
    </w:p>
    <w:p w14:paraId="188C9877" w14:textId="77777777" w:rsidR="00BA6B8A" w:rsidRPr="0044528D" w:rsidRDefault="00BA6B8A" w:rsidP="00BA6B8A">
      <w:pPr>
        <w:spacing w:after="0" w:line="240" w:lineRule="auto"/>
        <w:jc w:val="both"/>
        <w:rPr>
          <w:rFonts w:ascii="Verdana" w:hAnsi="Verdana"/>
        </w:rPr>
      </w:pPr>
      <w:r w:rsidRPr="0044528D">
        <w:rPr>
          <w:rFonts w:ascii="Verdana" w:hAnsi="Verdana"/>
        </w:rPr>
        <w:t xml:space="preserve">LinkedIn: </w:t>
      </w:r>
      <w:r w:rsidRPr="00642EA6">
        <w:rPr>
          <w:rFonts w:ascii="Verdana" w:eastAsia="Aptos" w:hAnsi="Verdana" w:cs="Arial"/>
          <w:color w:val="467886"/>
          <w:u w:val="single"/>
          <w:shd w:val="clear" w:color="auto" w:fill="FFFFFF"/>
          <w:lang w:val="es-ES"/>
        </w:rPr>
        <w:t>Agencia Nacional de Contratación Pública - Colombia Compra Eficiente</w:t>
      </w:r>
      <w:r w:rsidRPr="00642EA6">
        <w:rPr>
          <w:rFonts w:ascii="Verdana" w:eastAsia="Aptos" w:hAnsi="Verdana" w:cs="Times New Roman"/>
          <w:color w:val="156082"/>
        </w:rPr>
        <w:t xml:space="preserve"> </w:t>
      </w:r>
      <w:r w:rsidRPr="0044528D">
        <w:rPr>
          <w:rFonts w:ascii="Verdana" w:hAnsi="Verdana"/>
        </w:rPr>
        <w:t xml:space="preserve">Instagram: </w:t>
      </w:r>
      <w:r w:rsidRPr="00642EA6">
        <w:rPr>
          <w:rFonts w:ascii="Verdana" w:eastAsia="Aptos" w:hAnsi="Verdana" w:cs="Arial"/>
          <w:color w:val="467886"/>
          <w:u w:val="single"/>
          <w:shd w:val="clear" w:color="auto" w:fill="FFFFFF"/>
          <w:lang w:val="es-ES"/>
        </w:rPr>
        <w:t>@colombiacompraeficiente_cce</w:t>
      </w:r>
    </w:p>
    <w:p w14:paraId="64C1C4AD" w14:textId="77777777" w:rsidR="00BA6B8A" w:rsidRPr="0044528D" w:rsidRDefault="00BA6B8A" w:rsidP="00BA6B8A">
      <w:pPr>
        <w:widowControl w:val="0"/>
        <w:autoSpaceDE w:val="0"/>
        <w:autoSpaceDN w:val="0"/>
        <w:spacing w:after="0" w:line="276" w:lineRule="auto"/>
        <w:jc w:val="both"/>
        <w:rPr>
          <w:rFonts w:ascii="Verdana" w:hAnsi="Verdana"/>
        </w:rPr>
      </w:pPr>
    </w:p>
    <w:p w14:paraId="78A30A91" w14:textId="77777777" w:rsidR="00BA6B8A" w:rsidRPr="00642EA6" w:rsidRDefault="00BA6B8A" w:rsidP="00BA6B8A">
      <w:pPr>
        <w:widowControl w:val="0"/>
        <w:autoSpaceDE w:val="0"/>
        <w:autoSpaceDN w:val="0"/>
        <w:spacing w:after="0" w:line="276" w:lineRule="auto"/>
        <w:jc w:val="both"/>
        <w:rPr>
          <w:rFonts w:ascii="Verdana" w:eastAsia="Aptos" w:hAnsi="Verdana" w:cs="Arial"/>
          <w:lang w:val="es-ES_tradnl"/>
        </w:rPr>
      </w:pPr>
      <w:r w:rsidRPr="00642EA6">
        <w:rPr>
          <w:rFonts w:ascii="Verdana" w:eastAsia="Aptos" w:hAnsi="Verdana" w:cs="Arial"/>
        </w:rPr>
        <w:t xml:space="preserve">Este concepto tiene el alcance previsto en el artículo 28 del Código de Procedimiento Administrativo y de lo Contencioso Administrativo </w:t>
      </w:r>
      <w:r w:rsidRPr="00642EA6">
        <w:rPr>
          <w:rFonts w:ascii="Verdana" w:eastAsia="Aptos" w:hAnsi="Verdana" w:cs="Arial"/>
          <w:lang w:val="es-ES_tradnl"/>
        </w:rPr>
        <w:t>y las expresiones aquí utilizadas con mayúscula inicial deben ser entendidas con el significado que les otorga el artículo 2.2.1.1.1.3.1. del Decreto 1082 de 2015.</w:t>
      </w:r>
    </w:p>
    <w:p w14:paraId="21D96832" w14:textId="77777777" w:rsidR="00BA6B8A" w:rsidRPr="00642EA6" w:rsidRDefault="00BA6B8A" w:rsidP="00BA6B8A">
      <w:pPr>
        <w:widowControl w:val="0"/>
        <w:autoSpaceDE w:val="0"/>
        <w:autoSpaceDN w:val="0"/>
        <w:spacing w:after="0" w:line="276" w:lineRule="auto"/>
        <w:jc w:val="both"/>
        <w:rPr>
          <w:rFonts w:ascii="Verdana" w:eastAsia="Aptos" w:hAnsi="Verdana" w:cs="Arial"/>
        </w:rPr>
      </w:pPr>
    </w:p>
    <w:p w14:paraId="2C7F0209" w14:textId="77777777" w:rsidR="00BA6B8A" w:rsidRPr="00642EA6" w:rsidRDefault="00BA6B8A" w:rsidP="00BA6B8A">
      <w:pPr>
        <w:spacing w:after="0" w:line="240" w:lineRule="auto"/>
        <w:rPr>
          <w:rFonts w:ascii="Verdana" w:eastAsia="Aptos" w:hAnsi="Verdana" w:cs="Arial"/>
          <w:lang w:eastAsia="es-CO"/>
        </w:rPr>
      </w:pPr>
      <w:r w:rsidRPr="00642EA6">
        <w:rPr>
          <w:rFonts w:ascii="Verdana" w:eastAsia="Times New Roman" w:hAnsi="Verdana" w:cs="Arial"/>
          <w:lang w:eastAsia="es-CO"/>
        </w:rPr>
        <w:t>Atentamente,</w:t>
      </w:r>
      <w:r w:rsidRPr="00642EA6">
        <w:rPr>
          <w:rFonts w:ascii="Verdana" w:eastAsia="Aptos" w:hAnsi="Verdana" w:cs="Arial"/>
          <w:lang w:eastAsia="es-CO"/>
        </w:rPr>
        <w:t xml:space="preserve"> </w:t>
      </w:r>
    </w:p>
    <w:p w14:paraId="1F7DCBC5" w14:textId="0B09AD27" w:rsidR="00BA6B8A" w:rsidRPr="00642EA6" w:rsidRDefault="005F2C11" w:rsidP="00BA6B8A">
      <w:pPr>
        <w:spacing w:line="276" w:lineRule="auto"/>
        <w:jc w:val="center"/>
        <w:rPr>
          <w:rFonts w:ascii="Verdana" w:eastAsia="Aptos" w:hAnsi="Verdana" w:cs="Arial"/>
          <w:lang w:val="es-ES_tradnl" w:eastAsia="es-CO"/>
        </w:rPr>
      </w:pPr>
      <w:r w:rsidRPr="004D5C25">
        <w:rPr>
          <w:rFonts w:ascii="Century Gothic" w:hAnsi="Century Gothic"/>
          <w:noProof/>
        </w:rPr>
        <w:lastRenderedPageBreak/>
        <w:drawing>
          <wp:inline distT="0" distB="0" distL="0" distR="0" wp14:anchorId="0D4471D6" wp14:editId="15CFC8D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r w:rsidR="00BA6B8A" w:rsidRPr="00183226">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BA6B8A" w:rsidRPr="00642EA6" w14:paraId="4C72C75B" w14:textId="77777777" w:rsidTr="009B7D49">
        <w:trPr>
          <w:trHeight w:val="286"/>
        </w:trPr>
        <w:tc>
          <w:tcPr>
            <w:tcW w:w="901" w:type="dxa"/>
            <w:vAlign w:val="center"/>
            <w:hideMark/>
          </w:tcPr>
          <w:p w14:paraId="37FEF665"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B3F5283" w14:textId="77777777" w:rsidR="00BA6B8A" w:rsidRPr="00642EA6" w:rsidRDefault="00BA6B8A" w:rsidP="009B7D49">
            <w:pPr>
              <w:rPr>
                <w:rFonts w:ascii="Verdana" w:eastAsia="Aptos" w:hAnsi="Verdana" w:cs="Arial"/>
                <w:sz w:val="14"/>
                <w:szCs w:val="14"/>
                <w:lang w:eastAsia="es-ES"/>
              </w:rPr>
            </w:pPr>
            <w:r>
              <w:rPr>
                <w:rFonts w:ascii="Verdana" w:eastAsia="Aptos" w:hAnsi="Verdana" w:cs="Arial"/>
                <w:sz w:val="14"/>
                <w:szCs w:val="14"/>
                <w:lang w:eastAsia="es-ES"/>
              </w:rPr>
              <w:t>Sergio Enrique Caballero Lesmes</w:t>
            </w:r>
          </w:p>
          <w:p w14:paraId="574D52EA"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Analista T2–0</w:t>
            </w:r>
            <w:r>
              <w:rPr>
                <w:rFonts w:ascii="Verdana" w:eastAsia="Aptos" w:hAnsi="Verdana" w:cs="Arial"/>
                <w:sz w:val="14"/>
                <w:szCs w:val="14"/>
                <w:lang w:eastAsia="es-ES"/>
              </w:rPr>
              <w:t>1</w:t>
            </w:r>
            <w:r w:rsidRPr="00642EA6">
              <w:rPr>
                <w:rFonts w:ascii="Verdana" w:eastAsia="Aptos" w:hAnsi="Verdana" w:cs="Arial"/>
                <w:sz w:val="14"/>
                <w:szCs w:val="14"/>
                <w:lang w:eastAsia="es-ES"/>
              </w:rPr>
              <w:t xml:space="preserve"> de la Subdirección de Gestión Contractual</w:t>
            </w:r>
          </w:p>
        </w:tc>
      </w:tr>
      <w:tr w:rsidR="00BA6B8A" w:rsidRPr="00642EA6" w14:paraId="758D0EFF" w14:textId="77777777" w:rsidTr="009B7D49">
        <w:trPr>
          <w:trHeight w:val="299"/>
        </w:trPr>
        <w:tc>
          <w:tcPr>
            <w:tcW w:w="901" w:type="dxa"/>
            <w:vAlign w:val="center"/>
          </w:tcPr>
          <w:p w14:paraId="6A56BA8F"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C3FEB40"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Alejandro Sarmiento Cantillo</w:t>
            </w:r>
          </w:p>
          <w:p w14:paraId="5B30ADEC"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Gestor T1 - 15 de la Subdirección de Gestión Contractual</w:t>
            </w:r>
          </w:p>
        </w:tc>
      </w:tr>
      <w:tr w:rsidR="00BA6B8A" w:rsidRPr="00642EA6" w14:paraId="611EBAD9" w14:textId="77777777" w:rsidTr="009B7D49">
        <w:trPr>
          <w:trHeight w:val="272"/>
        </w:trPr>
        <w:tc>
          <w:tcPr>
            <w:tcW w:w="901" w:type="dxa"/>
            <w:vAlign w:val="center"/>
            <w:hideMark/>
          </w:tcPr>
          <w:p w14:paraId="3F854BCA"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7B967A9"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 xml:space="preserve">Carolina Quintero </w:t>
            </w:r>
            <w:proofErr w:type="spellStart"/>
            <w:r w:rsidRPr="00642EA6">
              <w:rPr>
                <w:rFonts w:ascii="Verdana" w:eastAsia="Aptos" w:hAnsi="Verdana" w:cs="Arial"/>
                <w:sz w:val="14"/>
                <w:szCs w:val="14"/>
                <w:lang w:eastAsia="es-ES"/>
              </w:rPr>
              <w:t>Gacharná</w:t>
            </w:r>
            <w:proofErr w:type="spellEnd"/>
          </w:p>
          <w:p w14:paraId="1ECAB216" w14:textId="77777777" w:rsidR="00BA6B8A" w:rsidRPr="00642EA6" w:rsidRDefault="00BA6B8A" w:rsidP="009B7D49">
            <w:pPr>
              <w:rPr>
                <w:rFonts w:ascii="Verdana" w:eastAsia="Aptos" w:hAnsi="Verdana" w:cs="Arial"/>
                <w:sz w:val="14"/>
                <w:szCs w:val="14"/>
                <w:lang w:eastAsia="es-ES"/>
              </w:rPr>
            </w:pPr>
            <w:r w:rsidRPr="00642EA6">
              <w:rPr>
                <w:rFonts w:ascii="Verdana" w:eastAsia="Aptos" w:hAnsi="Verdana" w:cs="Arial"/>
                <w:sz w:val="14"/>
                <w:szCs w:val="14"/>
                <w:lang w:eastAsia="es-ES"/>
              </w:rPr>
              <w:t>Subdirectora de Gestión Contractual ANCP – CCE</w:t>
            </w:r>
          </w:p>
        </w:tc>
      </w:tr>
    </w:tbl>
    <w:p w14:paraId="72F31442" w14:textId="77777777" w:rsidR="00BA6B8A" w:rsidRPr="00642EA6" w:rsidRDefault="00BA6B8A" w:rsidP="00BA6B8A">
      <w:pPr>
        <w:spacing w:after="0" w:line="240" w:lineRule="auto"/>
        <w:rPr>
          <w:rFonts w:ascii="Verdana" w:eastAsia="Times New Roman" w:hAnsi="Verdana" w:cs="Arial"/>
          <w:sz w:val="24"/>
          <w:szCs w:val="24"/>
          <w:lang w:eastAsia="es-ES"/>
        </w:rPr>
      </w:pPr>
    </w:p>
    <w:p w14:paraId="725D2AB9" w14:textId="77777777" w:rsidR="00BA6B8A" w:rsidRPr="00642EA6" w:rsidRDefault="00BA6B8A" w:rsidP="00BA6B8A">
      <w:pPr>
        <w:rPr>
          <w:rFonts w:ascii="Verdana" w:eastAsia="Aptos" w:hAnsi="Verdana" w:cs="Times New Roman"/>
        </w:rPr>
      </w:pPr>
    </w:p>
    <w:p w14:paraId="7B3CFA0F" w14:textId="77777777" w:rsidR="00BA6B8A" w:rsidRPr="00642EA6" w:rsidRDefault="00BA6B8A" w:rsidP="00BA6B8A">
      <w:pPr>
        <w:rPr>
          <w:rFonts w:ascii="Verdana" w:eastAsia="Aptos" w:hAnsi="Verdana" w:cs="Times New Roman"/>
        </w:rPr>
      </w:pPr>
    </w:p>
    <w:p w14:paraId="6D51FF37" w14:textId="77777777" w:rsidR="00BA6B8A" w:rsidRPr="00642EA6" w:rsidRDefault="00BA6B8A" w:rsidP="00BA6B8A">
      <w:pPr>
        <w:rPr>
          <w:rFonts w:ascii="Verdana" w:eastAsia="Aptos" w:hAnsi="Verdana" w:cs="Times New Roman"/>
        </w:rPr>
      </w:pPr>
    </w:p>
    <w:p w14:paraId="7DB8E53A" w14:textId="77777777" w:rsidR="00BA6B8A" w:rsidRPr="00642EA6" w:rsidRDefault="00BA6B8A" w:rsidP="00BA6B8A">
      <w:pPr>
        <w:rPr>
          <w:rFonts w:ascii="Verdana" w:eastAsia="Aptos" w:hAnsi="Verdana" w:cs="Times New Roman"/>
        </w:rPr>
      </w:pPr>
    </w:p>
    <w:p w14:paraId="393ED2D7" w14:textId="77777777" w:rsidR="00BA6B8A" w:rsidRPr="00642EA6" w:rsidRDefault="00BA6B8A" w:rsidP="00BA6B8A">
      <w:pPr>
        <w:rPr>
          <w:rFonts w:ascii="Verdana" w:eastAsia="Aptos" w:hAnsi="Verdana" w:cs="Times New Roman"/>
        </w:rPr>
      </w:pPr>
    </w:p>
    <w:p w14:paraId="3A2B43D1" w14:textId="77777777" w:rsidR="00BA6B8A" w:rsidRPr="00642EA6" w:rsidRDefault="00BA6B8A" w:rsidP="00BA6B8A">
      <w:pPr>
        <w:rPr>
          <w:rFonts w:ascii="Verdana" w:eastAsia="Aptos" w:hAnsi="Verdana" w:cs="Times New Roman"/>
        </w:rPr>
      </w:pPr>
    </w:p>
    <w:p w14:paraId="28D58E3B" w14:textId="77777777" w:rsidR="00BA6B8A" w:rsidRPr="00642EA6" w:rsidRDefault="00BA6B8A" w:rsidP="00BA6B8A"/>
    <w:p w14:paraId="23BE3717" w14:textId="77777777" w:rsidR="00BA6B8A" w:rsidRDefault="00BA6B8A" w:rsidP="00BA6B8A"/>
    <w:p w14:paraId="53543609" w14:textId="77777777" w:rsidR="00BA6B8A" w:rsidRPr="00C64905" w:rsidRDefault="00BA6B8A" w:rsidP="00BA6B8A"/>
    <w:p w14:paraId="078CEAA2" w14:textId="77777777" w:rsidR="00274079" w:rsidRDefault="00274079"/>
    <w:sectPr w:rsidR="00274079" w:rsidSect="00BA6B8A">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EF5C" w14:textId="77777777" w:rsidR="003A24F1" w:rsidRDefault="003A24F1" w:rsidP="00BA6B8A">
      <w:pPr>
        <w:spacing w:after="0" w:line="240" w:lineRule="auto"/>
      </w:pPr>
      <w:r>
        <w:separator/>
      </w:r>
    </w:p>
  </w:endnote>
  <w:endnote w:type="continuationSeparator" w:id="0">
    <w:p w14:paraId="213128E3" w14:textId="77777777" w:rsidR="003A24F1" w:rsidRDefault="003A24F1" w:rsidP="00BA6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5779" w14:textId="77777777" w:rsidR="00BA6B8A" w:rsidRDefault="00BA6B8A">
    <w:pPr>
      <w:pStyle w:val="Piedepgina"/>
    </w:pPr>
  </w:p>
  <w:p w14:paraId="0A51B2F9" w14:textId="77777777" w:rsidR="00BA6B8A" w:rsidRPr="00174B77" w:rsidRDefault="00BA6B8A"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B4BB127" w14:textId="77777777" w:rsidR="00BA6B8A" w:rsidRDefault="00BA6B8A"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1D815F0" w14:textId="77777777" w:rsidR="00BA6B8A" w:rsidRPr="00E41027" w:rsidRDefault="00BA6B8A" w:rsidP="00D520D8">
    <w:pPr>
      <w:spacing w:after="0"/>
      <w:jc w:val="both"/>
      <w:rPr>
        <w:rFonts w:ascii="Verdana" w:hAnsi="Verdana"/>
        <w:sz w:val="18"/>
        <w:szCs w:val="18"/>
      </w:rPr>
    </w:pPr>
    <w:r w:rsidRPr="00E41027">
      <w:rPr>
        <w:rFonts w:ascii="Verdana" w:hAnsi="Verdana"/>
        <w:sz w:val="18"/>
        <w:szCs w:val="18"/>
      </w:rPr>
      <w:t>Mesa de servicio: (+57) 601 7456788</w:t>
    </w:r>
  </w:p>
  <w:p w14:paraId="79CE59E5" w14:textId="77777777" w:rsidR="00BA6B8A" w:rsidRDefault="00BA6B8A"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9CB94" w14:textId="77777777" w:rsidR="003A24F1" w:rsidRDefault="003A24F1" w:rsidP="00BA6B8A">
      <w:pPr>
        <w:spacing w:after="0" w:line="240" w:lineRule="auto"/>
      </w:pPr>
      <w:r>
        <w:separator/>
      </w:r>
    </w:p>
  </w:footnote>
  <w:footnote w:type="continuationSeparator" w:id="0">
    <w:p w14:paraId="5D91F715" w14:textId="77777777" w:rsidR="003A24F1" w:rsidRDefault="003A24F1" w:rsidP="00BA6B8A">
      <w:pPr>
        <w:spacing w:after="0" w:line="240" w:lineRule="auto"/>
      </w:pPr>
      <w:r>
        <w:continuationSeparator/>
      </w:r>
    </w:p>
  </w:footnote>
  <w:footnote w:id="1">
    <w:p w14:paraId="6163F124" w14:textId="77777777" w:rsidR="00BA6B8A" w:rsidRPr="005C10BE" w:rsidRDefault="00BA6B8A" w:rsidP="00BA6B8A">
      <w:pPr>
        <w:pStyle w:val="paragraph"/>
        <w:spacing w:before="0" w:beforeAutospacing="0" w:after="0" w:afterAutospacing="0"/>
        <w:ind w:firstLine="709"/>
        <w:jc w:val="both"/>
        <w:textAlignment w:val="baseline"/>
        <w:rPr>
          <w:rFonts w:ascii="Verdana" w:hAnsi="Verdana" w:cs="Arial"/>
          <w:color w:val="000000"/>
          <w:sz w:val="16"/>
          <w:szCs w:val="16"/>
        </w:rPr>
      </w:pPr>
      <w:r w:rsidRPr="005C10BE">
        <w:rPr>
          <w:rStyle w:val="Refdenotaalpie"/>
          <w:rFonts w:ascii="Verdana" w:eastAsia="Yu Gothic Light" w:hAnsi="Verdana" w:cs="Arial"/>
          <w:color w:val="000000"/>
          <w:sz w:val="16"/>
          <w:szCs w:val="16"/>
        </w:rPr>
        <w:footnoteRef/>
      </w:r>
      <w:r w:rsidRPr="005C10BE">
        <w:rPr>
          <w:rFonts w:ascii="Verdana" w:hAnsi="Verdana" w:cs="Arial"/>
          <w:color w:val="000000"/>
          <w:sz w:val="16"/>
          <w:szCs w:val="16"/>
        </w:rPr>
        <w:t xml:space="preserve"> </w:t>
      </w:r>
      <w:r w:rsidRPr="005C10BE">
        <w:rPr>
          <w:rFonts w:ascii="Verdana" w:hAnsi="Verdana" w:cs="Arial"/>
          <w:color w:val="000000"/>
          <w:sz w:val="16"/>
          <w:szCs w:val="16"/>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5C10BE">
        <w:rPr>
          <w:rFonts w:ascii="Verdana" w:hAnsi="Verdana" w:cs="Arial"/>
          <w:color w:val="000000"/>
          <w:sz w:val="16"/>
          <w:szCs w:val="16"/>
        </w:rPr>
        <w:t>  </w:t>
      </w:r>
    </w:p>
  </w:footnote>
  <w:footnote w:id="2">
    <w:p w14:paraId="5226E518" w14:textId="77777777" w:rsidR="00BA6B8A" w:rsidRPr="005C10BE" w:rsidRDefault="00BA6B8A" w:rsidP="00BA6B8A">
      <w:pPr>
        <w:spacing w:after="0"/>
        <w:ind w:firstLine="709"/>
        <w:jc w:val="both"/>
        <w:rPr>
          <w:rFonts w:ascii="Verdana" w:hAnsi="Verdana" w:cs="Arial"/>
          <w:color w:val="000000"/>
          <w:sz w:val="16"/>
          <w:szCs w:val="16"/>
          <w:lang w:val="es-ES" w:eastAsia="es-MX"/>
        </w:rPr>
      </w:pPr>
    </w:p>
    <w:p w14:paraId="392F9C97" w14:textId="77777777" w:rsidR="00BA6B8A" w:rsidRPr="005C10BE" w:rsidRDefault="00BA6B8A" w:rsidP="00BA6B8A">
      <w:pPr>
        <w:spacing w:after="0"/>
        <w:ind w:firstLine="709"/>
        <w:jc w:val="both"/>
        <w:rPr>
          <w:rFonts w:ascii="Verdana" w:hAnsi="Verdana" w:cs="Arial"/>
          <w:sz w:val="16"/>
          <w:szCs w:val="16"/>
          <w:lang w:val="es-ES"/>
        </w:rPr>
      </w:pPr>
      <w:r w:rsidRPr="005C10BE">
        <w:rPr>
          <w:rStyle w:val="Refdenotaalpie"/>
          <w:rFonts w:ascii="Verdana" w:hAnsi="Verdana" w:cs="Arial"/>
          <w:color w:val="000000"/>
          <w:sz w:val="16"/>
          <w:szCs w:val="16"/>
        </w:rPr>
        <w:footnoteRef/>
      </w:r>
      <w:r>
        <w:rPr>
          <w:rFonts w:ascii="Verdana" w:hAnsi="Verdana" w:cs="Arial"/>
          <w:color w:val="000000"/>
          <w:sz w:val="16"/>
          <w:szCs w:val="16"/>
          <w:lang w:val="es-ES" w:eastAsia="es-MX"/>
        </w:rPr>
        <w:t xml:space="preserve"> </w:t>
      </w:r>
      <w:r w:rsidRPr="005C10BE">
        <w:rPr>
          <w:rFonts w:ascii="Verdana" w:hAnsi="Verdana" w:cs="Arial"/>
          <w:color w:val="000000"/>
          <w:sz w:val="16"/>
          <w:szCs w:val="16"/>
          <w:lang w:val="es-ES" w:eastAsia="es-MX"/>
        </w:rPr>
        <w:t>Así lo establece la Constitución Política, en el artículo 150, numeral 7, así como en el artículo 300, numeral 7 y en el artículo 313, numeral 6.</w:t>
      </w:r>
    </w:p>
  </w:footnote>
  <w:footnote w:id="3">
    <w:p w14:paraId="729722A5" w14:textId="77777777" w:rsidR="00BA6B8A" w:rsidRPr="005C10BE" w:rsidRDefault="00BA6B8A" w:rsidP="00BA6B8A">
      <w:pPr>
        <w:pStyle w:val="Textonotapie"/>
        <w:ind w:firstLine="708"/>
        <w:jc w:val="both"/>
        <w:rPr>
          <w:rFonts w:ascii="Verdana" w:hAnsi="Verdana" w:cs="Arial"/>
          <w:sz w:val="16"/>
          <w:szCs w:val="16"/>
        </w:rPr>
      </w:pPr>
      <w:r w:rsidRPr="005C10BE">
        <w:rPr>
          <w:rStyle w:val="Refdenotaalpie"/>
          <w:rFonts w:ascii="Verdana" w:hAnsi="Verdana" w:cs="Arial"/>
          <w:sz w:val="16"/>
          <w:szCs w:val="16"/>
        </w:rPr>
        <w:footnoteRef/>
      </w:r>
      <w:r w:rsidRPr="005C10BE">
        <w:rPr>
          <w:rFonts w:ascii="Verdana" w:hAnsi="Verdana" w:cs="Arial"/>
          <w:sz w:val="16"/>
          <w:szCs w:val="16"/>
        </w:rPr>
        <w:t xml:space="preserve"> Ley 80 de 1993, artículo 2, literal a):</w:t>
      </w:r>
      <w:bookmarkStart w:id="3" w:name="2"/>
      <w:r w:rsidRPr="005C10BE">
        <w:rPr>
          <w:rFonts w:ascii="Verdana" w:hAnsi="Verdana" w:cs="Arial"/>
          <w:sz w:val="16"/>
          <w:szCs w:val="16"/>
        </w:rPr>
        <w:t xml:space="preserve"> “Artículo 2o. de la definición de entidades, servidores y servicios públicos. </w:t>
      </w:r>
      <w:bookmarkEnd w:id="3"/>
      <w:r w:rsidRPr="005C10BE">
        <w:rPr>
          <w:rFonts w:ascii="Verdana" w:hAnsi="Verdana" w:cs="Arial"/>
          <w:sz w:val="16"/>
          <w:szCs w:val="16"/>
        </w:rPr>
        <w:t>Para los solos efectos de esta ley:</w:t>
      </w:r>
    </w:p>
    <w:p w14:paraId="2B191352" w14:textId="77777777" w:rsidR="00BA6B8A" w:rsidRPr="005C10BE" w:rsidRDefault="00BA6B8A" w:rsidP="00BA6B8A">
      <w:pPr>
        <w:pStyle w:val="Textonotapie"/>
        <w:ind w:firstLine="708"/>
        <w:jc w:val="both"/>
        <w:rPr>
          <w:rFonts w:ascii="Verdana" w:hAnsi="Verdana" w:cs="Arial"/>
          <w:sz w:val="16"/>
          <w:szCs w:val="16"/>
        </w:rPr>
      </w:pPr>
      <w:r w:rsidRPr="005C10BE">
        <w:rPr>
          <w:rFonts w:ascii="Verdana" w:hAnsi="Verdana" w:cs="Arial"/>
          <w:sz w:val="16"/>
          <w:szCs w:val="16"/>
        </w:rPr>
        <w:t>1o. Se denominan entidades estatales:</w:t>
      </w:r>
    </w:p>
    <w:p w14:paraId="7C070288" w14:textId="77777777" w:rsidR="00BA6B8A" w:rsidRPr="005C10BE" w:rsidRDefault="00BA6B8A" w:rsidP="00BA6B8A">
      <w:pPr>
        <w:pStyle w:val="Textonotapie"/>
        <w:ind w:firstLine="708"/>
        <w:jc w:val="both"/>
        <w:rPr>
          <w:rFonts w:ascii="Verdana" w:hAnsi="Verdana" w:cs="Arial"/>
          <w:sz w:val="16"/>
          <w:szCs w:val="16"/>
        </w:rPr>
      </w:pPr>
      <w:r w:rsidRPr="005C10BE">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3F92221" w14:textId="77777777" w:rsidR="00BA6B8A" w:rsidRPr="005C10BE" w:rsidRDefault="00BA6B8A" w:rsidP="00BA6B8A">
      <w:pPr>
        <w:pStyle w:val="Textonotapie"/>
        <w:ind w:firstLine="708"/>
        <w:jc w:val="both"/>
        <w:rPr>
          <w:rFonts w:ascii="Verdana" w:hAnsi="Verdana" w:cs="Arial"/>
          <w:sz w:val="16"/>
          <w:szCs w:val="16"/>
        </w:rPr>
      </w:pPr>
      <w:r w:rsidRPr="005C10BE">
        <w:rPr>
          <w:rFonts w:ascii="Verdana" w:hAnsi="Verdana" w:cs="Arial"/>
          <w:sz w:val="16"/>
          <w:szCs w:val="16"/>
        </w:rPr>
        <w:t>[…]”.</w:t>
      </w:r>
    </w:p>
  </w:footnote>
  <w:footnote w:id="4">
    <w:p w14:paraId="779F163D" w14:textId="77777777" w:rsidR="00BA6B8A" w:rsidRPr="005C10BE" w:rsidRDefault="00BA6B8A" w:rsidP="00BA6B8A">
      <w:pPr>
        <w:pStyle w:val="Textonotapie"/>
        <w:ind w:firstLine="708"/>
        <w:jc w:val="both"/>
        <w:rPr>
          <w:rFonts w:ascii="Verdana" w:hAnsi="Verdana" w:cs="Arial"/>
          <w:sz w:val="16"/>
          <w:szCs w:val="16"/>
        </w:rPr>
      </w:pPr>
    </w:p>
    <w:p w14:paraId="2D252297" w14:textId="77777777" w:rsidR="00BA6B8A" w:rsidRPr="005C10BE" w:rsidRDefault="00BA6B8A" w:rsidP="00BA6B8A">
      <w:pPr>
        <w:pStyle w:val="Textonotapie"/>
        <w:ind w:firstLine="708"/>
        <w:jc w:val="both"/>
        <w:rPr>
          <w:rFonts w:ascii="Verdana" w:hAnsi="Verdana" w:cs="Arial"/>
          <w:sz w:val="16"/>
          <w:szCs w:val="16"/>
        </w:rPr>
      </w:pPr>
      <w:r w:rsidRPr="005C10BE">
        <w:rPr>
          <w:rStyle w:val="Refdenotaalpie"/>
          <w:rFonts w:ascii="Verdana" w:hAnsi="Verdana" w:cs="Arial"/>
          <w:sz w:val="16"/>
          <w:szCs w:val="16"/>
        </w:rPr>
        <w:footnoteRef/>
      </w:r>
      <w:r w:rsidRPr="005C10BE">
        <w:rPr>
          <w:rFonts w:ascii="Verdana" w:hAnsi="Verdana" w:cs="Arial"/>
          <w:sz w:val="16"/>
          <w:szCs w:val="16"/>
        </w:rPr>
        <w:t xml:space="preserve"> Ley 1150 de 2007,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5">
    <w:p w14:paraId="04ACBB39" w14:textId="77777777" w:rsidR="00BA6B8A" w:rsidRDefault="00BA6B8A" w:rsidP="00BA6B8A">
      <w:pPr>
        <w:pStyle w:val="Textonotapie"/>
        <w:ind w:firstLine="709"/>
        <w:jc w:val="both"/>
        <w:rPr>
          <w:rFonts w:ascii="Verdana" w:hAnsi="Verdana" w:cs="Arial"/>
          <w:color w:val="000000"/>
          <w:sz w:val="16"/>
          <w:szCs w:val="16"/>
        </w:rPr>
      </w:pPr>
    </w:p>
    <w:p w14:paraId="71972E4E" w14:textId="77777777" w:rsidR="00BA6B8A" w:rsidRPr="005C10BE" w:rsidRDefault="00BA6B8A" w:rsidP="00BA6B8A">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FD853CE" w14:textId="77777777" w:rsidR="00BA6B8A" w:rsidRPr="005C10BE" w:rsidRDefault="00BA6B8A" w:rsidP="00BA6B8A">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Lo anterior, sin perjuicio de las publicaciones previstas en el numeral 3 del artículo 30 de la Ley 80 de 1993.</w:t>
      </w:r>
    </w:p>
    <w:p w14:paraId="3913EE36" w14:textId="77777777" w:rsidR="00BA6B8A" w:rsidRPr="005C10BE" w:rsidRDefault="00BA6B8A" w:rsidP="00BA6B8A">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4CA6686E" w14:textId="77777777" w:rsidR="00BA6B8A" w:rsidRPr="005C10BE" w:rsidRDefault="00BA6B8A" w:rsidP="00BA6B8A">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w:t>
      </w:r>
    </w:p>
    <w:p w14:paraId="2701237F" w14:textId="77777777" w:rsidR="00BA6B8A" w:rsidRPr="005C10BE" w:rsidRDefault="00BA6B8A" w:rsidP="00BA6B8A">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71BB8950" w14:textId="77777777" w:rsidR="00BA6B8A" w:rsidRPr="005C10BE" w:rsidRDefault="00BA6B8A" w:rsidP="00BA6B8A">
      <w:pPr>
        <w:pStyle w:val="Textonotapie"/>
        <w:ind w:firstLine="709"/>
        <w:jc w:val="both"/>
        <w:rPr>
          <w:rFonts w:ascii="Verdana" w:hAnsi="Verdana" w:cs="Arial"/>
          <w:color w:val="000000"/>
          <w:sz w:val="16"/>
          <w:szCs w:val="16"/>
          <w:lang w:val="es-CO"/>
        </w:rPr>
      </w:pPr>
    </w:p>
  </w:footnote>
  <w:footnote w:id="6">
    <w:p w14:paraId="428FBB85" w14:textId="77777777" w:rsidR="00BA6B8A" w:rsidRPr="005C10BE" w:rsidRDefault="00BA6B8A" w:rsidP="00BA6B8A">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F19C817" w14:textId="77777777" w:rsidR="00BA6B8A" w:rsidRPr="005C10BE" w:rsidRDefault="00BA6B8A" w:rsidP="00BA6B8A">
      <w:pPr>
        <w:pStyle w:val="Textonotapie"/>
        <w:ind w:firstLine="709"/>
        <w:jc w:val="both"/>
        <w:rPr>
          <w:rFonts w:ascii="Verdana" w:hAnsi="Verdana" w:cs="Arial"/>
          <w:color w:val="000000"/>
          <w:sz w:val="16"/>
          <w:szCs w:val="16"/>
          <w:lang w:val="es-CO"/>
        </w:rPr>
      </w:pPr>
    </w:p>
  </w:footnote>
  <w:footnote w:id="7">
    <w:p w14:paraId="3B1DEDFA" w14:textId="77777777" w:rsidR="00BA6B8A" w:rsidRPr="005C10BE" w:rsidRDefault="00BA6B8A" w:rsidP="00BA6B8A">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063F5E93" w14:textId="77777777" w:rsidR="00BA6B8A" w:rsidRPr="005C10BE" w:rsidRDefault="00BA6B8A" w:rsidP="00BA6B8A">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481BDD35" w14:textId="77777777" w:rsidR="00BA6B8A" w:rsidRPr="005C10BE" w:rsidRDefault="00BA6B8A" w:rsidP="00BA6B8A">
      <w:pPr>
        <w:pStyle w:val="Textonotapie"/>
        <w:ind w:firstLine="709"/>
        <w:jc w:val="both"/>
        <w:rPr>
          <w:rFonts w:ascii="Verdana" w:hAnsi="Verdana" w:cs="Arial"/>
          <w:color w:val="000000"/>
          <w:sz w:val="16"/>
          <w:szCs w:val="16"/>
          <w:lang w:val="es-CO"/>
        </w:rPr>
      </w:pPr>
    </w:p>
  </w:footnote>
  <w:footnote w:id="8">
    <w:p w14:paraId="70020FBF" w14:textId="77777777" w:rsidR="00BA6B8A" w:rsidRPr="005C10BE" w:rsidRDefault="00BA6B8A" w:rsidP="00BA6B8A">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22F5E5" w14:textId="77777777" w:rsidR="00BA6B8A" w:rsidRPr="005C10BE" w:rsidRDefault="00BA6B8A" w:rsidP="00BA6B8A">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4A400E0F" w14:textId="77777777" w:rsidR="00BA6B8A" w:rsidRPr="005C10BE" w:rsidRDefault="00BA6B8A" w:rsidP="00BA6B8A">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6683450" w14:textId="77777777" w:rsidR="00BA6B8A" w:rsidRPr="005C10BE" w:rsidRDefault="00BA6B8A" w:rsidP="00BA6B8A">
      <w:pPr>
        <w:pStyle w:val="Textonotapie"/>
        <w:ind w:firstLine="709"/>
        <w:jc w:val="both"/>
        <w:rPr>
          <w:rFonts w:ascii="Verdana" w:eastAsia="Times New Roman" w:hAnsi="Verdana" w:cs="Arial"/>
          <w:color w:val="000000"/>
          <w:sz w:val="16"/>
          <w:szCs w:val="16"/>
          <w:lang w:val="es-ES" w:eastAsia="es-ES"/>
        </w:rPr>
      </w:pPr>
    </w:p>
  </w:footnote>
  <w:footnote w:id="9">
    <w:p w14:paraId="36AB92E4" w14:textId="77777777" w:rsidR="00BA6B8A" w:rsidRPr="005C10BE" w:rsidRDefault="00BA6B8A" w:rsidP="00BA6B8A">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C</w:t>
      </w:r>
      <w:r w:rsidRPr="005C10BE">
        <w:rPr>
          <w:rFonts w:ascii="Verdana" w:eastAsia="Times New Roman" w:hAnsi="Verdana" w:cs="Arial"/>
          <w:color w:val="000000"/>
          <w:sz w:val="16"/>
          <w:szCs w:val="16"/>
          <w:lang w:val="es-ES" w:eastAsia="es-ES"/>
        </w:rPr>
        <w:t>orte Constitucional. Sentencia C‒274 de 9 de mayo de 2013. M.P. Mar</w:t>
      </w:r>
      <w:r w:rsidRPr="005C10BE">
        <w:rPr>
          <w:rFonts w:ascii="Verdana" w:eastAsia="Times New Roman" w:hAnsi="Verdana" w:cs="Century Gothic"/>
          <w:color w:val="000000"/>
          <w:sz w:val="16"/>
          <w:szCs w:val="16"/>
          <w:lang w:val="es-ES" w:eastAsia="es-ES"/>
        </w:rPr>
        <w:t>í</w:t>
      </w:r>
      <w:r w:rsidRPr="005C10BE">
        <w:rPr>
          <w:rFonts w:ascii="Verdana" w:eastAsia="Times New Roman" w:hAnsi="Verdana" w:cs="Arial"/>
          <w:color w:val="000000"/>
          <w:sz w:val="16"/>
          <w:szCs w:val="16"/>
          <w:lang w:val="es-ES" w:eastAsia="es-ES"/>
        </w:rPr>
        <w:t xml:space="preserve">a Victoria Calle Correa. </w:t>
      </w:r>
    </w:p>
    <w:p w14:paraId="6F2F06A6" w14:textId="77777777" w:rsidR="00BA6B8A" w:rsidRPr="005C10BE" w:rsidRDefault="00BA6B8A" w:rsidP="00BA6B8A">
      <w:pPr>
        <w:pStyle w:val="Textonotapie"/>
        <w:ind w:firstLine="709"/>
        <w:jc w:val="both"/>
        <w:rPr>
          <w:rFonts w:ascii="Verdana" w:hAnsi="Verdana" w:cs="Arial"/>
          <w:color w:val="000000"/>
          <w:sz w:val="16"/>
          <w:szCs w:val="16"/>
          <w:lang w:val="es-CO"/>
        </w:rPr>
      </w:pPr>
    </w:p>
  </w:footnote>
  <w:footnote w:id="10">
    <w:p w14:paraId="7A1EF5A1" w14:textId="77777777" w:rsidR="00BA6B8A" w:rsidRPr="005C10BE" w:rsidRDefault="00BA6B8A" w:rsidP="00BA6B8A">
      <w:pPr>
        <w:pStyle w:val="Textonotapie"/>
        <w:ind w:firstLine="708"/>
        <w:jc w:val="both"/>
        <w:rPr>
          <w:rFonts w:ascii="Verdana" w:hAnsi="Verdana"/>
          <w:sz w:val="16"/>
          <w:szCs w:val="16"/>
        </w:rPr>
      </w:pPr>
      <w:r w:rsidRPr="005C10BE">
        <w:rPr>
          <w:rStyle w:val="Refdenotaalpie"/>
          <w:rFonts w:ascii="Verdana" w:hAnsi="Verdana"/>
          <w:sz w:val="16"/>
          <w:szCs w:val="16"/>
        </w:rPr>
        <w:footnoteRef/>
      </w:r>
      <w:r w:rsidRPr="005C10BE">
        <w:rPr>
          <w:rFonts w:ascii="Verdana" w:hAnsi="Verdana"/>
          <w:sz w:val="16"/>
          <w:szCs w:val="16"/>
        </w:rPr>
        <w:t xml:space="preserve"> Adiciónese los siguientes incisos al artículo 13 de la Ley 1150 de 2007, el cual quedará así:</w:t>
      </w:r>
    </w:p>
    <w:p w14:paraId="10C20DEA" w14:textId="77777777" w:rsidR="00BA6B8A" w:rsidRPr="005C10BE" w:rsidRDefault="00BA6B8A" w:rsidP="00BA6B8A">
      <w:pPr>
        <w:pStyle w:val="Textonotapie"/>
        <w:ind w:firstLine="708"/>
        <w:jc w:val="both"/>
        <w:rPr>
          <w:rFonts w:ascii="Verdana" w:hAnsi="Verdana"/>
          <w:sz w:val="16"/>
          <w:szCs w:val="16"/>
        </w:rPr>
      </w:pPr>
    </w:p>
    <w:p w14:paraId="7F9C7730" w14:textId="77777777" w:rsidR="00BA6B8A" w:rsidRPr="005C10BE" w:rsidRDefault="00BA6B8A" w:rsidP="00BA6B8A">
      <w:pPr>
        <w:pStyle w:val="Textonotapie"/>
        <w:ind w:firstLine="708"/>
        <w:jc w:val="both"/>
        <w:rPr>
          <w:rFonts w:ascii="Verdana" w:hAnsi="Verdana"/>
          <w:sz w:val="16"/>
          <w:szCs w:val="16"/>
        </w:rPr>
      </w:pPr>
      <w:r w:rsidRPr="005C10BE">
        <w:rPr>
          <w:rFonts w:ascii="Verdana" w:hAnsi="Verdana"/>
          <w:sz w:val="16"/>
          <w:szCs w:val="16"/>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0955A95" w14:textId="77777777" w:rsidR="00BA6B8A" w:rsidRPr="005C10BE" w:rsidRDefault="00BA6B8A" w:rsidP="00BA6B8A">
      <w:pPr>
        <w:pStyle w:val="Textonotapie"/>
        <w:ind w:firstLine="708"/>
        <w:jc w:val="both"/>
        <w:rPr>
          <w:rFonts w:ascii="Verdana" w:hAnsi="Verdana"/>
          <w:sz w:val="16"/>
          <w:szCs w:val="16"/>
        </w:rPr>
      </w:pPr>
    </w:p>
    <w:p w14:paraId="6CC0E091" w14:textId="77777777" w:rsidR="00BA6B8A" w:rsidRPr="005C10BE" w:rsidRDefault="00BA6B8A" w:rsidP="00BA6B8A">
      <w:pPr>
        <w:pStyle w:val="Textonotapie"/>
        <w:ind w:firstLine="708"/>
        <w:jc w:val="both"/>
        <w:rPr>
          <w:rFonts w:ascii="Verdana" w:hAnsi="Verdana"/>
          <w:sz w:val="16"/>
          <w:szCs w:val="16"/>
        </w:rPr>
      </w:pPr>
      <w:r w:rsidRPr="005C10BE">
        <w:rPr>
          <w:rFonts w:ascii="Verdana" w:hAnsi="Verdana"/>
          <w:sz w:val="16"/>
          <w:szCs w:val="16"/>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3E73FDBB" w14:textId="77777777" w:rsidR="00BA6B8A" w:rsidRPr="005C10BE" w:rsidRDefault="00BA6B8A" w:rsidP="00BA6B8A">
      <w:pPr>
        <w:pStyle w:val="Textonotapie"/>
        <w:ind w:firstLine="708"/>
        <w:jc w:val="both"/>
        <w:rPr>
          <w:rFonts w:ascii="Verdana" w:hAnsi="Verdana"/>
          <w:sz w:val="16"/>
          <w:szCs w:val="16"/>
        </w:rPr>
      </w:pPr>
    </w:p>
    <w:p w14:paraId="02D9CDDF" w14:textId="77777777" w:rsidR="00BA6B8A" w:rsidRPr="005C10BE" w:rsidRDefault="00BA6B8A" w:rsidP="00BA6B8A">
      <w:pPr>
        <w:pStyle w:val="Textonotapie"/>
        <w:ind w:firstLine="708"/>
        <w:jc w:val="both"/>
        <w:rPr>
          <w:rFonts w:ascii="Verdana" w:hAnsi="Verdana"/>
          <w:sz w:val="16"/>
          <w:szCs w:val="16"/>
          <w:lang w:val="es-CO"/>
        </w:rPr>
      </w:pPr>
      <w:r w:rsidRPr="005C10BE">
        <w:rPr>
          <w:rFonts w:ascii="Verdana" w:hAnsi="Verdana"/>
          <w:sz w:val="16"/>
          <w:szCs w:val="16"/>
        </w:rPr>
        <w:t>A partir de la entrada en vigencia de la presente Ley, se establecerá un periodo de transición de seis (6) meses, para que las entidades den cumplimiento efectivo a lo aquí establecido.</w:t>
      </w:r>
    </w:p>
  </w:footnote>
  <w:footnote w:id="11">
    <w:p w14:paraId="78BB9CCE" w14:textId="77777777" w:rsidR="00BA6B8A" w:rsidRPr="005C10BE" w:rsidRDefault="00BA6B8A" w:rsidP="00BA6B8A">
      <w:pPr>
        <w:pStyle w:val="Textonotapie"/>
        <w:ind w:firstLine="708"/>
        <w:contextualSpacing/>
        <w:jc w:val="both"/>
        <w:rPr>
          <w:rFonts w:ascii="Verdana" w:hAnsi="Verdana" w:cs="Arial"/>
          <w:sz w:val="16"/>
          <w:szCs w:val="16"/>
        </w:rPr>
      </w:pPr>
    </w:p>
    <w:p w14:paraId="507B7EE7" w14:textId="77777777" w:rsidR="00BA6B8A" w:rsidRPr="005C10BE" w:rsidRDefault="00BA6B8A" w:rsidP="00BA6B8A">
      <w:pPr>
        <w:pStyle w:val="Textonotapie"/>
        <w:ind w:firstLine="708"/>
        <w:contextualSpacing/>
        <w:jc w:val="both"/>
        <w:rPr>
          <w:rFonts w:ascii="Verdana" w:hAnsi="Verdana" w:cs="Arial"/>
          <w:sz w:val="16"/>
          <w:szCs w:val="16"/>
          <w:lang w:val="es-CO"/>
        </w:rPr>
      </w:pPr>
      <w:r w:rsidRPr="005C10BE">
        <w:rPr>
          <w:rStyle w:val="Refdenotaalpie"/>
          <w:rFonts w:ascii="Verdana" w:hAnsi="Verdana" w:cs="Arial"/>
          <w:sz w:val="16"/>
          <w:szCs w:val="16"/>
        </w:rPr>
        <w:footnoteRef/>
      </w:r>
      <w:r w:rsidRPr="005C10BE">
        <w:rPr>
          <w:rFonts w:ascii="Verdana" w:hAnsi="Verdana" w:cs="Arial"/>
          <w:sz w:val="16"/>
          <w:szCs w:val="16"/>
        </w:rPr>
        <w:t xml:space="preserve"> Ley 1150 de 2007. “Artículo 1. Objeto. La presente ley tiene por objeto introducir modificaciones en la Ley 80 de 1993, así como dictar otras disposiciones generales aplicables a toda contratación con recursos públicos”.</w:t>
      </w:r>
    </w:p>
  </w:footnote>
  <w:footnote w:id="12">
    <w:p w14:paraId="2CC03C43" w14:textId="77777777" w:rsidR="00BA6B8A" w:rsidRPr="005C10BE" w:rsidRDefault="00BA6B8A" w:rsidP="00BA6B8A">
      <w:pPr>
        <w:autoSpaceDE w:val="0"/>
        <w:autoSpaceDN w:val="0"/>
        <w:adjustRightInd w:val="0"/>
        <w:spacing w:after="0" w:line="240" w:lineRule="auto"/>
        <w:ind w:firstLine="708"/>
        <w:contextualSpacing/>
        <w:jc w:val="both"/>
        <w:rPr>
          <w:rFonts w:ascii="Verdana" w:eastAsia="Calibri" w:hAnsi="Verdana" w:cs="Arial"/>
          <w:sz w:val="16"/>
          <w:szCs w:val="16"/>
          <w:lang w:val="es-ES" w:eastAsia="es-ES_tradnl"/>
        </w:rPr>
      </w:pPr>
      <w:r w:rsidRPr="005C10BE">
        <w:rPr>
          <w:rStyle w:val="Refdenotaalpie"/>
          <w:rFonts w:ascii="Verdana" w:hAnsi="Verdana" w:cs="Arial"/>
          <w:sz w:val="16"/>
          <w:szCs w:val="16"/>
        </w:rPr>
        <w:footnoteRef/>
      </w:r>
      <w:r w:rsidRPr="005C10BE">
        <w:rPr>
          <w:rFonts w:ascii="Verdana" w:hAnsi="Verdana" w:cs="Arial"/>
          <w:sz w:val="16"/>
          <w:szCs w:val="16"/>
        </w:rPr>
        <w:t xml:space="preserve"> Disponible en el siguiente enlace: </w:t>
      </w:r>
      <w:hyperlink r:id="rId1" w:history="1">
        <w:r w:rsidRPr="005C10BE">
          <w:rPr>
            <w:rStyle w:val="Hipervnculo"/>
            <w:rFonts w:ascii="Verdana" w:hAnsi="Verdana" w:cs="Arial"/>
            <w:sz w:val="16"/>
            <w:szCs w:val="16"/>
          </w:rPr>
          <w:t>https://www.colombiacompra.gov.co/sites/cce_public/files/cce_circulares/doc-20240823-wa0021.pdf</w:t>
        </w:r>
      </w:hyperlink>
      <w:r w:rsidRPr="005C10BE">
        <w:rPr>
          <w:rFonts w:ascii="Verdana" w:hAnsi="Verdana" w:cs="Arial"/>
          <w:sz w:val="16"/>
          <w:szCs w:val="16"/>
        </w:rPr>
        <w:t xml:space="preserve"> </w:t>
      </w:r>
    </w:p>
    <w:p w14:paraId="65D48FBC" w14:textId="77777777" w:rsidR="00BA6B8A" w:rsidRPr="005C10BE" w:rsidRDefault="00BA6B8A" w:rsidP="00BA6B8A">
      <w:pPr>
        <w:autoSpaceDE w:val="0"/>
        <w:autoSpaceDN w:val="0"/>
        <w:adjustRightInd w:val="0"/>
        <w:spacing w:after="0" w:line="240" w:lineRule="auto"/>
        <w:ind w:firstLine="708"/>
        <w:contextualSpacing/>
        <w:jc w:val="both"/>
        <w:rPr>
          <w:rFonts w:ascii="Verdana" w:eastAsia="Times New Roman" w:hAnsi="Verdana" w:cs="Arial"/>
          <w:sz w:val="16"/>
          <w:szCs w:val="16"/>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AFE62" w14:textId="77777777" w:rsidR="00BA6B8A" w:rsidRDefault="00BA6B8A">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4C30E93" wp14:editId="2A130C86">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7D43278" wp14:editId="62A0EB8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31DBC56" w14:textId="77777777" w:rsidR="00BA6B8A" w:rsidRDefault="00BA6B8A">
    <w:pPr>
      <w:pStyle w:val="Encabezado"/>
    </w:pPr>
  </w:p>
  <w:p w14:paraId="46CEF4B3" w14:textId="77777777" w:rsidR="00BA6B8A" w:rsidRDefault="00BA6B8A" w:rsidP="004A305D">
    <w:pPr>
      <w:spacing w:after="0"/>
      <w:rPr>
        <w:rFonts w:ascii="Verdana" w:hAnsi="Verdana"/>
        <w:b/>
        <w:bCs/>
      </w:rPr>
    </w:pPr>
  </w:p>
  <w:p w14:paraId="0C8E5F7B" w14:textId="77777777" w:rsidR="00BA6B8A" w:rsidRPr="004A305D" w:rsidRDefault="00BA6B8A" w:rsidP="00B01B1A">
    <w:pPr>
      <w:spacing w:after="0" w:line="120" w:lineRule="auto"/>
      <w:rPr>
        <w:rFonts w:ascii="Century Gothic" w:eastAsia="Geo" w:hAnsi="Century Gothic" w:cs="Geo"/>
        <w:sz w:val="16"/>
        <w:szCs w:val="16"/>
        <w:lang w:eastAsia="es-CO"/>
      </w:rPr>
    </w:pPr>
  </w:p>
  <w:p w14:paraId="4CF1AD1A" w14:textId="77777777" w:rsidR="00BA6B8A" w:rsidRDefault="00BA6B8A"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8A"/>
    <w:rsid w:val="00223187"/>
    <w:rsid w:val="00274079"/>
    <w:rsid w:val="00350E8C"/>
    <w:rsid w:val="003A24F1"/>
    <w:rsid w:val="005F2C11"/>
    <w:rsid w:val="008C452B"/>
    <w:rsid w:val="00BA6B8A"/>
    <w:rsid w:val="00CB6D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4608"/>
  <w15:chartTrackingRefBased/>
  <w15:docId w15:val="{96B7B6C8-DE6D-40D7-A6B9-0BB25944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B8A"/>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6B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6B8A"/>
    <w:rPr>
      <w:kern w:val="0"/>
      <w14:ligatures w14:val="none"/>
    </w:rPr>
  </w:style>
  <w:style w:type="paragraph" w:styleId="Piedepgina">
    <w:name w:val="footer"/>
    <w:basedOn w:val="Normal"/>
    <w:link w:val="PiedepginaCar"/>
    <w:uiPriority w:val="99"/>
    <w:unhideWhenUsed/>
    <w:rsid w:val="00BA6B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6B8A"/>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A6B8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BA6B8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A6B8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A6B8A"/>
    <w:rPr>
      <w:vertAlign w:val="superscript"/>
    </w:rPr>
  </w:style>
  <w:style w:type="table" w:styleId="Tablaconcuadrcula">
    <w:name w:val="Table Grid"/>
    <w:basedOn w:val="Tablanormal"/>
    <w:uiPriority w:val="39"/>
    <w:qFormat/>
    <w:rsid w:val="00BA6B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A6B8A"/>
    <w:rPr>
      <w:color w:val="0000FF"/>
      <w:u w:val="single"/>
    </w:rPr>
  </w:style>
  <w:style w:type="paragraph" w:customStyle="1" w:styleId="paragraph">
    <w:name w:val="paragraph"/>
    <w:basedOn w:val="Normal"/>
    <w:rsid w:val="00BA6B8A"/>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A6B8A"/>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BA6B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hrome-extension://efaidnbmnnnibpcajpcglclefindmkaj/https:/www.colombiacompra.gov.co/sites/cce_public/files/cce_circulares/circular_externa_unica_version_3_vf49.pdf"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caralape1@hot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colombiacompra.gov.co/sites/cce_public/files/files_2020/boletin_de_realtoria_viii.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chrome-extension://efaidnbmnnnibpcajpcglclefindmkaj/https:/colombiacompra.gov.co/sites/cce_public/files/cce_circulares/doc-20240823-wa0021.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doc-20240823-wa0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F01270-97BC-4167-9D3F-3982BA397B7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9D175FA-B894-4A19-8276-D7A2A1F55113}">
  <ds:schemaRefs>
    <ds:schemaRef ds:uri="http://schemas.microsoft.com/sharepoint/v3/contenttype/forms"/>
  </ds:schemaRefs>
</ds:datastoreItem>
</file>

<file path=customXml/itemProps3.xml><?xml version="1.0" encoding="utf-8"?>
<ds:datastoreItem xmlns:ds="http://schemas.openxmlformats.org/officeDocument/2006/customXml" ds:itemID="{597C44B2-4899-4D77-97B4-AF75C7E67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4926</Words>
  <Characters>27096</Characters>
  <Application>Microsoft Office Word</Application>
  <DocSecurity>0</DocSecurity>
  <Lines>225</Lines>
  <Paragraphs>63</Paragraphs>
  <ScaleCrop>false</ScaleCrop>
  <Company/>
  <LinksUpToDate>false</LinksUpToDate>
  <CharactersWithSpaces>31959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5</cp:revision>
  <dcterms:created xsi:type="dcterms:W3CDTF">2025-02-21T21:24:00Z</dcterms:created>
  <dcterms:modified xsi:type="dcterms:W3CDTF">2025-03-04T00:07:00Z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