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E9D933" w14:textId="76C7CEF4" w:rsidR="00D27C73" w:rsidRPr="00135ED6" w:rsidRDefault="00D27C73" w:rsidP="00135ED6">
      <w:pPr>
        <w:spacing w:line="240" w:lineRule="auto"/>
        <w:jc w:val="both"/>
        <w:rPr>
          <w:rFonts w:ascii="Arial" w:eastAsia="Arial" w:hAnsi="Arial" w:cs="Arial"/>
          <w:b/>
          <w:sz w:val="20"/>
          <w:szCs w:val="20"/>
        </w:rPr>
      </w:pPr>
      <w:r w:rsidRPr="0005311C">
        <w:rPr>
          <w:rFonts w:ascii="Arial" w:eastAsia="Arial" w:hAnsi="Arial" w:cs="Arial"/>
          <w:b/>
          <w:sz w:val="20"/>
          <w:szCs w:val="20"/>
        </w:rPr>
        <w:t>REDUCCIÓN DE PUNTAJE</w:t>
      </w:r>
      <w:r w:rsidRPr="00135ED6">
        <w:rPr>
          <w:rFonts w:ascii="Arial" w:eastAsia="Arial" w:hAnsi="Arial" w:cs="Arial"/>
          <w:b/>
          <w:sz w:val="20"/>
          <w:szCs w:val="20"/>
        </w:rPr>
        <w:t xml:space="preserve"> – Multa – Cláusula Penal – Ley 2195 de 2022 – </w:t>
      </w:r>
      <w:r w:rsidRPr="00EA4D93">
        <w:rPr>
          <w:rFonts w:ascii="Arial" w:eastAsia="Arial" w:hAnsi="Arial" w:cs="Arial"/>
          <w:b/>
          <w:sz w:val="20"/>
          <w:szCs w:val="20"/>
        </w:rPr>
        <w:t>Artículo 58</w:t>
      </w:r>
      <w:r w:rsidRPr="00135ED6">
        <w:rPr>
          <w:rFonts w:ascii="Arial" w:eastAsia="Arial" w:hAnsi="Arial" w:cs="Arial"/>
          <w:b/>
          <w:sz w:val="20"/>
          <w:szCs w:val="20"/>
        </w:rPr>
        <w:t xml:space="preserve"> – Ámbito de aplicación </w:t>
      </w:r>
    </w:p>
    <w:p w14:paraId="16820270" w14:textId="32C58AC3" w:rsidR="00D27C73" w:rsidRPr="00135ED6" w:rsidRDefault="00D27C73" w:rsidP="00135ED6">
      <w:pPr>
        <w:spacing w:line="240" w:lineRule="auto"/>
        <w:jc w:val="both"/>
        <w:rPr>
          <w:rFonts w:ascii="Arial" w:eastAsia="Arial" w:hAnsi="Arial" w:cs="Arial"/>
          <w:b/>
          <w:sz w:val="20"/>
          <w:szCs w:val="20"/>
        </w:rPr>
      </w:pPr>
      <w:r w:rsidRPr="00135ED6">
        <w:rPr>
          <w:rFonts w:ascii="Arial" w:eastAsia="Arial" w:hAnsi="Arial" w:cs="Arial"/>
          <w:sz w:val="20"/>
          <w:szCs w:val="20"/>
        </w:rPr>
        <w:t>La Ley 2195 de 2022,</w:t>
      </w:r>
      <w:r w:rsidRPr="00135ED6">
        <w:rPr>
          <w:rFonts w:ascii="Arial" w:eastAsia="Calibri" w:hAnsi="Arial" w:cs="Arial"/>
          <w:bCs/>
          <w:sz w:val="20"/>
          <w:szCs w:val="20"/>
          <w:lang w:val="es-ES_tradnl"/>
        </w:rPr>
        <w:t xml:space="preserve"> “</w:t>
      </w:r>
      <w:r w:rsidRPr="00135ED6">
        <w:rPr>
          <w:rFonts w:ascii="Arial" w:eastAsia="Calibri" w:hAnsi="Arial" w:cs="Arial"/>
          <w:bCs/>
          <w:i/>
          <w:iCs/>
          <w:sz w:val="20"/>
          <w:szCs w:val="20"/>
          <w:lang w:val="es-ES_tradnl"/>
        </w:rPr>
        <w:t>Por medio de la cual se adoptan medidas en materia de transparencia, prevención y lucha contra la corrupción y se dictan otras disposiciones</w:t>
      </w:r>
      <w:r w:rsidRPr="00135ED6">
        <w:rPr>
          <w:rFonts w:ascii="Arial" w:eastAsia="Calibri" w:hAnsi="Arial" w:cs="Arial"/>
          <w:bCs/>
          <w:sz w:val="20"/>
          <w:szCs w:val="20"/>
          <w:lang w:val="es-ES_tradnl"/>
        </w:rPr>
        <w:t xml:space="preserve">”, </w:t>
      </w:r>
      <w:r w:rsidRPr="00135ED6">
        <w:rPr>
          <w:rFonts w:ascii="Arial" w:eastAsia="Arial" w:hAnsi="Arial" w:cs="Arial"/>
          <w:sz w:val="20"/>
          <w:szCs w:val="20"/>
          <w:lang w:val="es-ES_tradnl"/>
        </w:rPr>
        <w:t xml:space="preserve">dispuso en su artículo 58 lo concerniente a </w:t>
      </w:r>
      <w:r w:rsidRPr="00135ED6">
        <w:rPr>
          <w:rFonts w:ascii="Arial" w:eastAsia="Arial" w:hAnsi="Arial" w:cs="Arial"/>
          <w:sz w:val="20"/>
          <w:szCs w:val="20"/>
        </w:rPr>
        <w:t>la reducción de puntaje por incumplimiento de contratos. Según su trámite legislativo, con su incorporación se “[...] busca que la competencia por el mercado de los contratos públicos tenga como variable los antecedentes contractuales de los proponentes, generándose incentivos para la calidad en los servicios y bienes provistos”. Por ello, esta disposición se refiere a la reducción de puntaje durante la evaluación de las ofertas al proponente que se le haya impuesto una o más multas o cláusulas penales.</w:t>
      </w:r>
    </w:p>
    <w:p w14:paraId="4DFE4FCE" w14:textId="77777777" w:rsidR="00D27C73" w:rsidRPr="00135ED6" w:rsidRDefault="00D27C73" w:rsidP="00135ED6">
      <w:pPr>
        <w:spacing w:line="240" w:lineRule="auto"/>
        <w:jc w:val="both"/>
        <w:rPr>
          <w:rFonts w:ascii="Arial" w:eastAsia="Arial" w:hAnsi="Arial" w:cs="Arial"/>
          <w:b/>
          <w:sz w:val="20"/>
          <w:szCs w:val="20"/>
        </w:rPr>
      </w:pPr>
      <w:r w:rsidRPr="00135ED6">
        <w:rPr>
          <w:rFonts w:ascii="Arial" w:eastAsia="Arial" w:hAnsi="Arial" w:cs="Arial"/>
          <w:b/>
          <w:sz w:val="20"/>
          <w:szCs w:val="20"/>
        </w:rPr>
        <w:t xml:space="preserve">REDUCCIÓN DE PUNTAJE – </w:t>
      </w:r>
      <w:r w:rsidRPr="00EA4632">
        <w:rPr>
          <w:rFonts w:ascii="Arial" w:eastAsia="Arial" w:hAnsi="Arial" w:cs="Arial"/>
          <w:b/>
          <w:sz w:val="20"/>
          <w:szCs w:val="20"/>
        </w:rPr>
        <w:t>Ley 2195 de 2022</w:t>
      </w:r>
      <w:r w:rsidRPr="00135ED6">
        <w:rPr>
          <w:rFonts w:ascii="Arial" w:eastAsia="Arial" w:hAnsi="Arial" w:cs="Arial"/>
          <w:b/>
          <w:sz w:val="20"/>
          <w:szCs w:val="20"/>
        </w:rPr>
        <w:t xml:space="preserve"> – Artículo 58 - Porcentaje - Sujetos pasivos </w:t>
      </w:r>
    </w:p>
    <w:p w14:paraId="765E78DD" w14:textId="77777777" w:rsidR="0049536D" w:rsidRPr="00135ED6" w:rsidRDefault="00D27C73" w:rsidP="00135ED6">
      <w:pPr>
        <w:spacing w:line="240" w:lineRule="auto"/>
        <w:jc w:val="both"/>
        <w:rPr>
          <w:rFonts w:ascii="Arial" w:eastAsia="Arial" w:hAnsi="Arial" w:cs="Arial"/>
          <w:sz w:val="20"/>
          <w:szCs w:val="20"/>
        </w:rPr>
      </w:pPr>
      <w:proofErr w:type="spellStart"/>
      <w:r w:rsidRPr="00135ED6">
        <w:rPr>
          <w:rFonts w:ascii="Arial" w:eastAsia="Arial" w:hAnsi="Arial" w:cs="Arial"/>
          <w:i/>
          <w:iCs/>
          <w:sz w:val="20"/>
          <w:szCs w:val="20"/>
        </w:rPr>
        <w:t>iii</w:t>
      </w:r>
      <w:proofErr w:type="spellEnd"/>
      <w:r w:rsidRPr="00135ED6">
        <w:rPr>
          <w:rFonts w:ascii="Arial" w:eastAsia="Arial" w:hAnsi="Arial" w:cs="Arial"/>
          <w:i/>
          <w:iCs/>
          <w:sz w:val="20"/>
          <w:szCs w:val="20"/>
        </w:rPr>
        <w:t>)</w:t>
      </w:r>
      <w:r w:rsidRPr="00135ED6">
        <w:rPr>
          <w:rFonts w:ascii="Arial" w:eastAsia="Arial" w:hAnsi="Arial" w:cs="Arial"/>
          <w:sz w:val="20"/>
          <w:szCs w:val="20"/>
        </w:rPr>
        <w:t xml:space="preserve"> La reducción del puntaje ordenada por la norma debe practicarse durante la evaluación de las ofertas en la etapa precontractual y debe ser equivalente al dos por ciento (2%) del total de los puntos establecidos en el proceso. Es importante precisar que, el artículo no utiliza la preposición </w:t>
      </w:r>
      <w:r w:rsidRPr="00135ED6">
        <w:rPr>
          <w:rFonts w:ascii="Arial" w:eastAsia="Arial" w:hAnsi="Arial" w:cs="Arial"/>
          <w:i/>
          <w:sz w:val="20"/>
          <w:szCs w:val="20"/>
        </w:rPr>
        <w:t>hasta</w:t>
      </w:r>
      <w:r w:rsidRPr="00135ED6">
        <w:rPr>
          <w:rFonts w:ascii="Arial" w:eastAsia="Arial" w:hAnsi="Arial" w:cs="Arial"/>
          <w:sz w:val="20"/>
          <w:szCs w:val="20"/>
        </w:rPr>
        <w:t xml:space="preserve">, ni dice que debe ser, </w:t>
      </w:r>
      <w:r w:rsidRPr="00135ED6">
        <w:rPr>
          <w:rFonts w:ascii="Arial" w:eastAsia="Arial" w:hAnsi="Arial" w:cs="Arial"/>
          <w:i/>
          <w:sz w:val="20"/>
          <w:szCs w:val="20"/>
        </w:rPr>
        <w:t>como mínimo</w:t>
      </w:r>
      <w:r w:rsidRPr="00135ED6">
        <w:rPr>
          <w:rFonts w:ascii="Arial" w:eastAsia="Arial" w:hAnsi="Arial" w:cs="Arial"/>
          <w:sz w:val="20"/>
          <w:szCs w:val="20"/>
        </w:rPr>
        <w:t xml:space="preserve">, una reducción del dos por ciento (2%) de los puntos, sino que establece que ha de ser, exactamente, por este porcentaje, por lo que las entidades no pueden fijar un porcentaje menor al señalado. </w:t>
      </w:r>
      <w:proofErr w:type="spellStart"/>
      <w:r w:rsidRPr="00135ED6">
        <w:rPr>
          <w:rFonts w:ascii="Arial" w:eastAsia="Arial" w:hAnsi="Arial" w:cs="Arial"/>
          <w:i/>
          <w:iCs/>
          <w:sz w:val="20"/>
          <w:szCs w:val="20"/>
        </w:rPr>
        <w:t>iv</w:t>
      </w:r>
      <w:proofErr w:type="spellEnd"/>
      <w:r w:rsidRPr="00135ED6">
        <w:rPr>
          <w:rFonts w:ascii="Arial" w:eastAsia="Arial" w:hAnsi="Arial" w:cs="Arial"/>
          <w:i/>
          <w:iCs/>
          <w:sz w:val="20"/>
          <w:szCs w:val="20"/>
        </w:rPr>
        <w:t>)</w:t>
      </w:r>
      <w:r w:rsidRPr="00135ED6">
        <w:rPr>
          <w:rFonts w:ascii="Arial" w:eastAsia="Arial" w:hAnsi="Arial" w:cs="Arial"/>
          <w:sz w:val="20"/>
          <w:szCs w:val="20"/>
        </w:rPr>
        <w:t xml:space="preserve"> Los sujetos pasivos –es decir, los afectados por lo dispuesto en el artículo– son los proponentes –incluidos los consorcios y uniones temporales, por la situación de alguno de sus integrantes– a quienes “[…] se les haya impuesto una o más multas o cláusulas penales durante el último año, contado a partir de la fecha prevista para la presentación de las ofertas, sin importar la cuantía y sin perjuicio de las demás consecuencias derivadas del incumplimiento”. </w:t>
      </w:r>
    </w:p>
    <w:p w14:paraId="502D1C73" w14:textId="6DA94776" w:rsidR="004F62DD" w:rsidRPr="00135ED6" w:rsidRDefault="004F62DD" w:rsidP="00135ED6">
      <w:pPr>
        <w:spacing w:line="240" w:lineRule="auto"/>
        <w:jc w:val="both"/>
        <w:rPr>
          <w:rFonts w:ascii="Arial" w:eastAsia="Arial" w:hAnsi="Arial" w:cs="Arial"/>
          <w:sz w:val="20"/>
          <w:szCs w:val="20"/>
        </w:rPr>
      </w:pPr>
      <w:r w:rsidRPr="00135ED6">
        <w:rPr>
          <w:rFonts w:ascii="Arial" w:eastAsia="Arial" w:hAnsi="Arial" w:cs="Arial"/>
          <w:sz w:val="20"/>
          <w:szCs w:val="20"/>
        </w:rPr>
        <w:t>[…]</w:t>
      </w:r>
    </w:p>
    <w:p w14:paraId="153A27D1" w14:textId="6908CE82" w:rsidR="00D27C73" w:rsidRPr="007547EB" w:rsidRDefault="00D27C73" w:rsidP="00135ED6">
      <w:pPr>
        <w:spacing w:line="240" w:lineRule="auto"/>
        <w:jc w:val="both"/>
        <w:rPr>
          <w:rFonts w:ascii="Arial" w:eastAsia="Arial" w:hAnsi="Arial" w:cs="Arial"/>
          <w:sz w:val="20"/>
          <w:szCs w:val="20"/>
        </w:rPr>
      </w:pPr>
      <w:r w:rsidRPr="00135ED6">
        <w:rPr>
          <w:rFonts w:ascii="Arial" w:eastAsia="Arial" w:hAnsi="Arial" w:cs="Arial"/>
          <w:sz w:val="20"/>
          <w:szCs w:val="20"/>
        </w:rPr>
        <w:t xml:space="preserve">Así pues, la reducción del puntaje exigido por el artículo 58 de la Ley 2195 de 2022 no se aplica en aquellos eventos en los cuales una Entidad Estatal realiza un requerimiento a un contratista, sin imponer una multa o cláusula penal pecuniaria, como podría suceder en algunos supuestos de declaratoria de siniestros donde la efectividad de las garantías no siempre está condicionada por el incumplimiento, por ejemplo en la garantía de estabilidad y calidad de la obra, como </w:t>
      </w:r>
      <w:r w:rsidRPr="007547EB">
        <w:rPr>
          <w:rFonts w:ascii="Arial" w:eastAsia="Arial" w:hAnsi="Arial" w:cs="Arial"/>
          <w:sz w:val="20"/>
          <w:szCs w:val="20"/>
        </w:rPr>
        <w:t>se expondrá más adelante.</w:t>
      </w:r>
    </w:p>
    <w:p w14:paraId="2138087C" w14:textId="77777777" w:rsidR="004F62DD" w:rsidRPr="00135ED6" w:rsidRDefault="00D27C73" w:rsidP="00135ED6">
      <w:pPr>
        <w:spacing w:line="240" w:lineRule="auto"/>
        <w:jc w:val="both"/>
        <w:rPr>
          <w:rFonts w:ascii="Arial" w:eastAsia="Arial" w:hAnsi="Arial" w:cs="Arial"/>
          <w:b/>
          <w:sz w:val="20"/>
          <w:szCs w:val="20"/>
        </w:rPr>
      </w:pPr>
      <w:r w:rsidRPr="007547EB">
        <w:rPr>
          <w:rFonts w:ascii="Arial" w:eastAsia="Arial" w:hAnsi="Arial" w:cs="Arial"/>
          <w:b/>
          <w:sz w:val="20"/>
          <w:szCs w:val="20"/>
        </w:rPr>
        <w:t xml:space="preserve">REDUCCIÓN DE PUNTAJE – Ley 2195 de 2022 – Artículo 58 – Parágrafo 1° – </w:t>
      </w:r>
      <w:r w:rsidRPr="00E32177">
        <w:rPr>
          <w:rFonts w:ascii="Arial" w:eastAsia="Arial" w:hAnsi="Arial" w:cs="Arial"/>
          <w:b/>
          <w:sz w:val="20"/>
          <w:szCs w:val="20"/>
        </w:rPr>
        <w:t>Presentación demanda</w:t>
      </w:r>
    </w:p>
    <w:p w14:paraId="4BE4C742" w14:textId="6830A7E6" w:rsidR="009240B5" w:rsidRPr="00135ED6" w:rsidRDefault="009240B5" w:rsidP="00135ED6">
      <w:pPr>
        <w:spacing w:line="240" w:lineRule="auto"/>
        <w:jc w:val="both"/>
        <w:rPr>
          <w:rFonts w:ascii="Arial" w:eastAsia="Arial" w:hAnsi="Arial" w:cs="Arial"/>
          <w:sz w:val="20"/>
          <w:szCs w:val="20"/>
        </w:rPr>
      </w:pPr>
      <w:r w:rsidRPr="00135ED6">
        <w:rPr>
          <w:rFonts w:ascii="Arial" w:eastAsia="Arial" w:hAnsi="Arial" w:cs="Arial"/>
          <w:sz w:val="20"/>
          <w:szCs w:val="20"/>
        </w:rPr>
        <w:t xml:space="preserve">Si el afectado por la imposición de una o más </w:t>
      </w:r>
      <w:r w:rsidRPr="00135ED6">
        <w:rPr>
          <w:rFonts w:ascii="Arial" w:eastAsia="Arial" w:hAnsi="Arial" w:cs="Arial"/>
          <w:i/>
          <w:sz w:val="20"/>
          <w:szCs w:val="20"/>
        </w:rPr>
        <w:t>multas</w:t>
      </w:r>
      <w:r w:rsidR="004F62DD" w:rsidRPr="00135ED6">
        <w:rPr>
          <w:rFonts w:ascii="Arial" w:eastAsia="Arial" w:hAnsi="Arial" w:cs="Arial"/>
          <w:sz w:val="20"/>
          <w:szCs w:val="20"/>
          <w:vertAlign w:val="superscript"/>
        </w:rPr>
        <w:t xml:space="preserve"> </w:t>
      </w:r>
      <w:r w:rsidRPr="00135ED6">
        <w:rPr>
          <w:rFonts w:ascii="Arial" w:eastAsia="Arial" w:hAnsi="Arial" w:cs="Arial"/>
          <w:sz w:val="20"/>
          <w:szCs w:val="20"/>
        </w:rPr>
        <w:t>demanda la decisión correspondiente, no podrá aplicarse la reducción del puntaje consagrada en el artículo 58 bajo análisis. Esto en atención a lo establecido en el parágrafo 1, el cual indica: “La reducción del puntaje no se aplicará en caso de que los actos administrativos que hayan impuesto las multas sean objeto de medios de control jurisdiccional a través de las acciones previstas en la Ley 1437 de 2011 o las normas que la modifiquen, adicionen o sustituyan”; por ejemplo, si la persona acude al medio de control de controversias contractuales, una de cuyas pretensiones puede ser “[…] que se declare la nulidad de los actos administrativos contractuales”, según lo dispone el artículo 141 de la Ley 1437 de 2011. Valga aclarar que, el artículo 58 no exige que el demandante haya solicitado la medida cautelar de suspensión provisional del acto administrativo. Aunque no exista dicha medida, si se constata que el acto administrativo fue objeto de demanda ante la jurisdicción contenciosa administrativa, la Entidad Estatal no puede aplicar la reducción del puntaje prevista en el referido artículo.</w:t>
      </w:r>
    </w:p>
    <w:p w14:paraId="22BD1E8C" w14:textId="77777777" w:rsidR="009240B5" w:rsidRPr="00135ED6" w:rsidRDefault="009240B5" w:rsidP="00135ED6">
      <w:pPr>
        <w:spacing w:line="240" w:lineRule="auto"/>
        <w:jc w:val="both"/>
        <w:rPr>
          <w:rFonts w:ascii="Arial" w:eastAsia="Arial" w:hAnsi="Arial" w:cs="Arial"/>
          <w:sz w:val="20"/>
          <w:szCs w:val="20"/>
        </w:rPr>
      </w:pPr>
      <w:r w:rsidRPr="00135ED6">
        <w:rPr>
          <w:rFonts w:ascii="Arial" w:eastAsia="Arial" w:hAnsi="Arial" w:cs="Arial"/>
          <w:sz w:val="20"/>
          <w:szCs w:val="20"/>
        </w:rPr>
        <w:t xml:space="preserve"> Es importante resaltar que esta Agencia ha indicado que la excepción prevista en el parágrafo frente a la reducción de puntaje solo se estableció en relación con las multas, mas no frente a las cláusulas penales impuestas al contratista, de lo cual se concluye que el legislador optó por realizar una distinción en su tratamiento. Asimismo, es importante reiterar que, para efectos de la aplicación de la excepción, únicamente se tendrán en cuenta los medios de control jurisdiccionales establecidos en la referida Ley, </w:t>
      </w:r>
      <w:r w:rsidRPr="00135ED6">
        <w:rPr>
          <w:rFonts w:ascii="Arial" w:eastAsia="Arial" w:hAnsi="Arial" w:cs="Arial"/>
          <w:sz w:val="20"/>
          <w:szCs w:val="20"/>
        </w:rPr>
        <w:lastRenderedPageBreak/>
        <w:t xml:space="preserve">verbigracia nulidad, nulidad y restablecimiento del derecho, controversias contractuales, etc., lo que descartaría otra acción judicial diferente a estas, como, por ejemplo, la acción de tutela. Lo anterior, sin perjuicio de las decisiones particulares que adopte un juez en procesos diferentes a los regulados por la Ley 1437 de 2011 y que pudieran tener incidencia frente a los actos administrativos que impusieron multas, en el desarrollo de tales procesos judiciales. </w:t>
      </w:r>
    </w:p>
    <w:p w14:paraId="349A621A" w14:textId="77777777" w:rsidR="00D27C73" w:rsidRPr="00135ED6" w:rsidRDefault="00D27C73" w:rsidP="00135ED6">
      <w:pPr>
        <w:spacing w:line="240" w:lineRule="auto"/>
        <w:jc w:val="both"/>
        <w:rPr>
          <w:rFonts w:ascii="Arial" w:eastAsia="Calibri" w:hAnsi="Arial" w:cs="Arial"/>
          <w:b/>
          <w:sz w:val="20"/>
          <w:szCs w:val="20"/>
          <w:lang w:val="es-ES_tradnl"/>
        </w:rPr>
      </w:pPr>
      <w:r w:rsidRPr="00135ED6">
        <w:rPr>
          <w:rFonts w:ascii="Arial" w:eastAsia="Calibri" w:hAnsi="Arial" w:cs="Arial"/>
          <w:b/>
          <w:sz w:val="20"/>
          <w:szCs w:val="20"/>
          <w:lang w:val="es-ES_tradnl"/>
        </w:rPr>
        <w:t xml:space="preserve">SANCIONES CONTRACTUALES – Clases – Consagración legal </w:t>
      </w:r>
    </w:p>
    <w:p w14:paraId="074BE0F7" w14:textId="77777777" w:rsidR="004F62DD" w:rsidRPr="00135ED6" w:rsidRDefault="004F62DD" w:rsidP="00135ED6">
      <w:pPr>
        <w:spacing w:line="240" w:lineRule="auto"/>
        <w:jc w:val="both"/>
        <w:rPr>
          <w:rFonts w:ascii="Arial" w:hAnsi="Arial" w:cs="Arial"/>
          <w:iCs/>
          <w:color w:val="000000" w:themeColor="text1"/>
          <w:sz w:val="20"/>
          <w:szCs w:val="20"/>
          <w:lang w:val="es-ES_tradnl"/>
        </w:rPr>
      </w:pPr>
      <w:r w:rsidRPr="00135ED6">
        <w:rPr>
          <w:rFonts w:ascii="Arial" w:hAnsi="Arial" w:cs="Arial"/>
          <w:iCs/>
          <w:color w:val="000000" w:themeColor="text1"/>
          <w:sz w:val="20"/>
          <w:szCs w:val="20"/>
          <w:lang w:val="es-ES_tradnl"/>
        </w:rPr>
        <w:t xml:space="preserve">Durante la ejecución de los contratos, las entidades estatales sometidas al Estatuto General de Contratación de la Administración Pública usualmente cuentan con distintas potestades exorbitantes o excepcionales, con base en las cuales ejercen la dirección general del contrato. Entre dichas potestades se encuentran i) las cláusulas excepcionales del artículo 14 de la Ley 80 de 1993, concepto que incluye la terminación unilateral, la interpretación unilateral, la modificación unilateral, la caducidad y la reversión. Dichas prerrogativas se desarrollan en los artículos 15 a 19 </w:t>
      </w:r>
      <w:r w:rsidRPr="00135ED6">
        <w:rPr>
          <w:rFonts w:ascii="Arial" w:hAnsi="Arial" w:cs="Arial"/>
          <w:i/>
          <w:color w:val="000000" w:themeColor="text1"/>
          <w:sz w:val="20"/>
          <w:szCs w:val="20"/>
          <w:lang w:val="es-ES_tradnl"/>
        </w:rPr>
        <w:t>ibidem</w:t>
      </w:r>
      <w:r w:rsidRPr="00135ED6">
        <w:rPr>
          <w:rFonts w:ascii="Arial" w:hAnsi="Arial" w:cs="Arial"/>
          <w:iCs/>
          <w:color w:val="000000" w:themeColor="text1"/>
          <w:sz w:val="20"/>
          <w:szCs w:val="20"/>
          <w:lang w:val="es-ES_tradnl"/>
        </w:rPr>
        <w:t xml:space="preserve">. </w:t>
      </w:r>
      <w:proofErr w:type="spellStart"/>
      <w:r w:rsidRPr="00135ED6">
        <w:rPr>
          <w:rFonts w:ascii="Arial" w:hAnsi="Arial" w:cs="Arial"/>
          <w:iCs/>
          <w:color w:val="000000" w:themeColor="text1"/>
          <w:sz w:val="20"/>
          <w:szCs w:val="20"/>
          <w:lang w:val="es-ES_tradnl"/>
        </w:rPr>
        <w:t>ii</w:t>
      </w:r>
      <w:proofErr w:type="spellEnd"/>
      <w:r w:rsidRPr="00135ED6">
        <w:rPr>
          <w:rFonts w:ascii="Arial" w:hAnsi="Arial" w:cs="Arial"/>
          <w:iCs/>
          <w:color w:val="000000" w:themeColor="text1"/>
          <w:sz w:val="20"/>
          <w:szCs w:val="20"/>
          <w:lang w:val="es-ES_tradnl"/>
        </w:rPr>
        <w:t xml:space="preserve">) En algunas disposiciones también se establecen otras potestades exorbitantes, como la liquidación unilateral y la declaratoria unilateral del siniestro –artículos 7 y 11 de la Ley 1150 de 2007– última que se tratará en los siguientes capítulos de este concepto. </w:t>
      </w:r>
    </w:p>
    <w:p w14:paraId="05021051" w14:textId="77777777" w:rsidR="004F62DD" w:rsidRPr="00135ED6" w:rsidRDefault="004F62DD" w:rsidP="00135ED6">
      <w:pPr>
        <w:spacing w:line="240" w:lineRule="auto"/>
        <w:jc w:val="both"/>
        <w:rPr>
          <w:rFonts w:ascii="Arial" w:hAnsi="Arial" w:cs="Arial"/>
          <w:iCs/>
          <w:color w:val="000000" w:themeColor="text1"/>
          <w:sz w:val="20"/>
          <w:szCs w:val="20"/>
          <w:lang w:val="es-ES_tradnl"/>
        </w:rPr>
      </w:pPr>
      <w:r w:rsidRPr="00135ED6">
        <w:rPr>
          <w:rFonts w:ascii="Arial" w:hAnsi="Arial" w:cs="Arial"/>
          <w:iCs/>
          <w:color w:val="000000" w:themeColor="text1"/>
          <w:sz w:val="20"/>
          <w:szCs w:val="20"/>
          <w:lang w:val="es-ES_tradnl"/>
        </w:rPr>
        <w:t xml:space="preserve">Dentro de las potestades unilaterales también se encuentran </w:t>
      </w:r>
      <w:proofErr w:type="spellStart"/>
      <w:r w:rsidRPr="00135ED6">
        <w:rPr>
          <w:rFonts w:ascii="Arial" w:hAnsi="Arial" w:cs="Arial"/>
          <w:iCs/>
          <w:color w:val="000000" w:themeColor="text1"/>
          <w:sz w:val="20"/>
          <w:szCs w:val="20"/>
          <w:lang w:val="es-ES_tradnl"/>
        </w:rPr>
        <w:t>iii</w:t>
      </w:r>
      <w:proofErr w:type="spellEnd"/>
      <w:r w:rsidRPr="00135ED6">
        <w:rPr>
          <w:rFonts w:ascii="Arial" w:hAnsi="Arial" w:cs="Arial"/>
          <w:iCs/>
          <w:color w:val="000000" w:themeColor="text1"/>
          <w:sz w:val="20"/>
          <w:szCs w:val="20"/>
          <w:lang w:val="es-ES_tradnl"/>
        </w:rPr>
        <w:t xml:space="preserve">) las cláusulas excepcionales de </w:t>
      </w:r>
      <w:r w:rsidRPr="00135ED6">
        <w:rPr>
          <w:rFonts w:ascii="Arial" w:hAnsi="Arial" w:cs="Arial"/>
          <w:i/>
          <w:color w:val="000000" w:themeColor="text1"/>
          <w:sz w:val="20"/>
          <w:szCs w:val="20"/>
          <w:lang w:val="es-ES_tradnl"/>
        </w:rPr>
        <w:t>imposición unilateral</w:t>
      </w:r>
      <w:r w:rsidRPr="00135ED6">
        <w:rPr>
          <w:rFonts w:ascii="Arial" w:hAnsi="Arial" w:cs="Arial"/>
          <w:iCs/>
          <w:color w:val="000000" w:themeColor="text1"/>
          <w:sz w:val="20"/>
          <w:szCs w:val="20"/>
          <w:lang w:val="es-ES_tradnl"/>
        </w:rPr>
        <w:t xml:space="preserve"> de las cláusulas penales y de multas –artículo 17 de la Ley 1150 de 2007–, aclarando que su exorbitancia se refiere a su imposición unilateral, no a su pacto, que es posible en virtud de las normas civiles y comerciales.</w:t>
      </w:r>
    </w:p>
    <w:p w14:paraId="70E24C7E" w14:textId="77777777" w:rsidR="00D27C73" w:rsidRPr="00135ED6" w:rsidRDefault="00D27C73" w:rsidP="00135ED6">
      <w:pPr>
        <w:spacing w:line="240" w:lineRule="auto"/>
        <w:jc w:val="both"/>
        <w:rPr>
          <w:rFonts w:ascii="Arial" w:eastAsia="Calibri" w:hAnsi="Arial" w:cs="Arial"/>
          <w:b/>
          <w:sz w:val="20"/>
          <w:szCs w:val="20"/>
          <w:lang w:val="es-ES_tradnl"/>
        </w:rPr>
      </w:pPr>
      <w:r w:rsidRPr="00135ED6">
        <w:rPr>
          <w:rFonts w:ascii="Arial" w:eastAsia="Calibri" w:hAnsi="Arial" w:cs="Arial"/>
          <w:b/>
          <w:sz w:val="20"/>
          <w:szCs w:val="20"/>
          <w:lang w:val="es-ES_tradnl"/>
        </w:rPr>
        <w:t xml:space="preserve">PROCEDIMIENTO SANCIONATORIO – Ley 1474 de 2011 – Artículo 86 </w:t>
      </w:r>
    </w:p>
    <w:p w14:paraId="3E18EE98" w14:textId="77777777" w:rsidR="004F62DD" w:rsidRPr="00135ED6" w:rsidRDefault="004F62DD" w:rsidP="00135ED6">
      <w:pPr>
        <w:spacing w:line="240" w:lineRule="auto"/>
        <w:jc w:val="both"/>
        <w:rPr>
          <w:rFonts w:ascii="Arial" w:hAnsi="Arial" w:cs="Arial"/>
          <w:iCs/>
          <w:color w:val="000000" w:themeColor="text1"/>
          <w:sz w:val="20"/>
          <w:szCs w:val="20"/>
          <w:lang w:val="es-ES_tradnl"/>
        </w:rPr>
      </w:pPr>
      <w:r w:rsidRPr="00135ED6">
        <w:rPr>
          <w:rFonts w:ascii="Arial" w:hAnsi="Arial" w:cs="Arial"/>
          <w:iCs/>
          <w:color w:val="000000" w:themeColor="text1"/>
          <w:sz w:val="20"/>
          <w:szCs w:val="20"/>
          <w:lang w:val="es-ES_tradnl"/>
        </w:rPr>
        <w:t xml:space="preserve">El artículo 86 de la Ley 1474 de 2011 establece las reglas de procedimiento, mediante las cuales se materializan los derechos y garantías derivadas del debido proceso, para su aplicación concreta en materia sancionatoria contractual. De conformidad con esta disposición normativa, las “entidades sometidas al Estatuto General de Contratación de la Administración Pública podrán declarar el incumplimiento […]. Para tal efecto observarán […]” el procedimiento que en tal enunciado normativo se regula. En ese sentido, la </w:t>
      </w:r>
      <w:r w:rsidRPr="00135ED6">
        <w:rPr>
          <w:rFonts w:ascii="Arial" w:eastAsia="Arial" w:hAnsi="Arial" w:cs="Arial"/>
          <w:sz w:val="20"/>
          <w:szCs w:val="20"/>
        </w:rPr>
        <w:t xml:space="preserve">imposición de una o más </w:t>
      </w:r>
      <w:r w:rsidRPr="00135ED6">
        <w:rPr>
          <w:rFonts w:ascii="Arial" w:eastAsia="Arial" w:hAnsi="Arial" w:cs="Arial"/>
          <w:iCs/>
          <w:sz w:val="20"/>
          <w:szCs w:val="20"/>
        </w:rPr>
        <w:t xml:space="preserve">multas de que trata el artículo 58 de la Ley 2195 de 2022, para la reducción de puntaje de los proponentes deberá realizarse </w:t>
      </w:r>
      <w:r w:rsidRPr="00135ED6">
        <w:rPr>
          <w:rFonts w:ascii="Arial" w:eastAsia="Arial" w:hAnsi="Arial" w:cs="Arial"/>
          <w:sz w:val="20"/>
          <w:szCs w:val="20"/>
        </w:rPr>
        <w:t>a través de acto administrativo que se origine en virtud de este procedimiento.</w:t>
      </w:r>
    </w:p>
    <w:p w14:paraId="5D85FFE7" w14:textId="6FE013F0" w:rsidR="004F62DD" w:rsidRPr="00135ED6" w:rsidRDefault="004F62DD" w:rsidP="00135ED6">
      <w:pPr>
        <w:spacing w:line="240" w:lineRule="auto"/>
        <w:jc w:val="both"/>
        <w:rPr>
          <w:rFonts w:ascii="Arial" w:hAnsi="Arial" w:cs="Arial"/>
          <w:iCs/>
          <w:color w:val="000000" w:themeColor="text1"/>
          <w:sz w:val="20"/>
          <w:szCs w:val="20"/>
          <w:lang w:val="es-ES_tradnl"/>
        </w:rPr>
      </w:pPr>
      <w:r w:rsidRPr="00135ED6">
        <w:rPr>
          <w:rFonts w:ascii="Arial" w:hAnsi="Arial" w:cs="Arial"/>
          <w:iCs/>
          <w:color w:val="000000" w:themeColor="text1"/>
          <w:sz w:val="20"/>
          <w:szCs w:val="20"/>
          <w:lang w:val="es-ES_tradnl"/>
        </w:rPr>
        <w:t xml:space="preserve">Cabe destacar que esta norma no se circunscribe a ciertos tipos de incumplimiento. En consecuencia, la declaratoria de cualquier incumplimiento, sea total o parcial, o independientemente de su gravedad, debe hacerse con plena observancia de las reglas procedimentales establecidas en el artículo 86 de la Ley 1474 de 2011. Esto es así como consecuencia del “principio general de interpretación jurídica según el cual donde la norma no distingue, no le corresponde distinguir al intérprete”. A la misma conclusión se llega si se tiene en consideración la necesidad de respetar el debido proceso en “todas las actuaciones administrativas” como lo ordena el artículo 29 superior. </w:t>
      </w:r>
    </w:p>
    <w:p w14:paraId="02BB1D97" w14:textId="77777777" w:rsidR="00D27C73" w:rsidRPr="00135ED6" w:rsidRDefault="00D27C73" w:rsidP="00135ED6">
      <w:pPr>
        <w:spacing w:line="240" w:lineRule="auto"/>
        <w:jc w:val="both"/>
        <w:rPr>
          <w:rFonts w:ascii="Arial" w:eastAsia="Calibri" w:hAnsi="Arial" w:cs="Arial"/>
          <w:b/>
          <w:sz w:val="20"/>
          <w:szCs w:val="20"/>
          <w:lang w:val="es-ES_tradnl"/>
        </w:rPr>
      </w:pPr>
      <w:r w:rsidRPr="00C02A85">
        <w:rPr>
          <w:rFonts w:ascii="Arial" w:eastAsia="Calibri" w:hAnsi="Arial" w:cs="Arial"/>
          <w:b/>
          <w:sz w:val="20"/>
          <w:szCs w:val="20"/>
          <w:lang w:val="es-ES_tradnl"/>
        </w:rPr>
        <w:t>GARANTÍAS</w:t>
      </w:r>
      <w:r w:rsidRPr="00135ED6">
        <w:rPr>
          <w:rFonts w:ascii="Arial" w:eastAsia="Calibri" w:hAnsi="Arial" w:cs="Arial"/>
          <w:b/>
          <w:sz w:val="20"/>
          <w:szCs w:val="20"/>
          <w:lang w:val="es-ES_tradnl"/>
        </w:rPr>
        <w:t xml:space="preserve"> – Contratación estatal – Finalidad </w:t>
      </w:r>
    </w:p>
    <w:p w14:paraId="58450A82" w14:textId="77777777" w:rsidR="009240B5" w:rsidRPr="00135ED6" w:rsidRDefault="009240B5" w:rsidP="00135ED6">
      <w:pPr>
        <w:spacing w:line="240" w:lineRule="auto"/>
        <w:jc w:val="both"/>
        <w:rPr>
          <w:rFonts w:ascii="Arial" w:eastAsia="Calibri" w:hAnsi="Arial" w:cs="Arial"/>
          <w:color w:val="000000" w:themeColor="text1"/>
          <w:sz w:val="20"/>
          <w:szCs w:val="20"/>
          <w:lang w:val="es-ES_tradnl"/>
        </w:rPr>
      </w:pPr>
      <w:r w:rsidRPr="00135ED6">
        <w:rPr>
          <w:rFonts w:ascii="Arial" w:eastAsia="Calibri" w:hAnsi="Arial" w:cs="Arial"/>
          <w:color w:val="000000" w:themeColor="text1"/>
          <w:sz w:val="20"/>
          <w:szCs w:val="20"/>
          <w:lang w:val="es-ES_tradnl"/>
        </w:rPr>
        <w:t>Como se indicó, el artículo 7 de la Ley 1150 de 2007 dispone que los contratistas tienen la obligación de constituirla para el cumplimiento de las obligaciones surgidas del contrato, pudiendo consistir en pólizas expedidas por compañías aseguradoras, garantías bancarias u otros mecanismos permitidos por la ley y el reglamento. Asimismo, dispuso que “El acaecimiento del siniestro que amparan las garantías será comunicado por la entidad pública al respectivo asegurador mediante la notificación del acto administrativo que así lo declare.”</w:t>
      </w:r>
    </w:p>
    <w:p w14:paraId="7A398BD1" w14:textId="77777777" w:rsidR="00D27C73" w:rsidRPr="00135ED6" w:rsidRDefault="00D27C73" w:rsidP="00135ED6">
      <w:pPr>
        <w:spacing w:line="240" w:lineRule="auto"/>
        <w:jc w:val="both"/>
        <w:rPr>
          <w:rFonts w:ascii="Arial" w:eastAsia="Calibri" w:hAnsi="Arial" w:cs="Arial"/>
          <w:b/>
          <w:sz w:val="20"/>
          <w:szCs w:val="20"/>
          <w:lang w:val="es-ES_tradnl"/>
        </w:rPr>
      </w:pPr>
      <w:r w:rsidRPr="00135ED6">
        <w:rPr>
          <w:rFonts w:ascii="Arial" w:eastAsia="Calibri" w:hAnsi="Arial" w:cs="Arial"/>
          <w:b/>
          <w:sz w:val="20"/>
          <w:szCs w:val="20"/>
          <w:lang w:val="es-ES_tradnl"/>
        </w:rPr>
        <w:t xml:space="preserve">GARANTÍAS – </w:t>
      </w:r>
      <w:r w:rsidRPr="008545B7">
        <w:rPr>
          <w:rFonts w:ascii="Arial" w:eastAsia="Calibri" w:hAnsi="Arial" w:cs="Arial"/>
          <w:b/>
          <w:sz w:val="20"/>
          <w:szCs w:val="20"/>
          <w:lang w:val="es-ES_tradnl"/>
        </w:rPr>
        <w:t>Siniestro</w:t>
      </w:r>
      <w:r w:rsidRPr="00135ED6">
        <w:rPr>
          <w:rFonts w:ascii="Arial" w:eastAsia="Calibri" w:hAnsi="Arial" w:cs="Arial"/>
          <w:b/>
          <w:sz w:val="20"/>
          <w:szCs w:val="20"/>
          <w:lang w:val="es-ES_tradnl"/>
        </w:rPr>
        <w:t xml:space="preserve"> – Declaratoria unilateral </w:t>
      </w:r>
    </w:p>
    <w:p w14:paraId="5A55ACFB" w14:textId="0269D182" w:rsidR="009240B5" w:rsidRPr="00135ED6" w:rsidRDefault="009240B5" w:rsidP="00135ED6">
      <w:pPr>
        <w:spacing w:line="240" w:lineRule="auto"/>
        <w:jc w:val="both"/>
        <w:rPr>
          <w:rFonts w:ascii="Arial" w:eastAsia="Calibri" w:hAnsi="Arial" w:cs="Arial"/>
          <w:color w:val="000000" w:themeColor="text1"/>
          <w:sz w:val="20"/>
          <w:szCs w:val="20"/>
          <w:lang w:val="es-ES_tradnl"/>
        </w:rPr>
      </w:pPr>
      <w:r w:rsidRPr="00135ED6">
        <w:rPr>
          <w:rFonts w:ascii="Arial" w:eastAsia="Calibri" w:hAnsi="Arial" w:cs="Arial"/>
          <w:color w:val="000000" w:themeColor="text1"/>
          <w:sz w:val="20"/>
          <w:szCs w:val="20"/>
          <w:lang w:val="es-ES_tradnl"/>
        </w:rPr>
        <w:lastRenderedPageBreak/>
        <w:t xml:space="preserve">En lo que respecta al procedimiento para declarar el siniestro en los contratos estatales regulados por el Estatuto General de Contratación de la Administración Pública, la jurisprudencia explica que, al declarar el siniestro, la Administración no ejerce una potestad sancionadora. En esta medida, no se trata de una pena de carácter legal o convencional, porque no pretende terminar anormalmente el contrato –caducidad–, ni estima anticipadamente los perjuicios derivados del incumplimiento –cláusula penal–, como tampoco son medios coercitivos de apremio –multas–. Todo lo contrario, su función es salvaguardar el interés público y proteger patrimonialmente a la Administración frente a los eventuales incumplimientos imputables al contratista. </w:t>
      </w:r>
    </w:p>
    <w:p w14:paraId="23DA0FCC" w14:textId="30970A52" w:rsidR="009240B5" w:rsidRPr="00135ED6" w:rsidRDefault="009240B5" w:rsidP="00135ED6">
      <w:pPr>
        <w:spacing w:line="240" w:lineRule="auto"/>
        <w:jc w:val="both"/>
        <w:rPr>
          <w:rFonts w:ascii="Arial" w:eastAsia="Calibri" w:hAnsi="Arial" w:cs="Arial"/>
          <w:color w:val="000000" w:themeColor="text1"/>
          <w:sz w:val="20"/>
          <w:szCs w:val="20"/>
          <w:lang w:val="es-ES_tradnl"/>
        </w:rPr>
      </w:pPr>
      <w:r w:rsidRPr="00135ED6">
        <w:rPr>
          <w:rFonts w:ascii="Arial" w:eastAsia="Calibri" w:hAnsi="Arial" w:cs="Arial"/>
          <w:color w:val="000000" w:themeColor="text1"/>
          <w:sz w:val="20"/>
          <w:szCs w:val="20"/>
          <w:lang w:val="es-ES_tradnl"/>
        </w:rPr>
        <w:t>Por ello, impuesta cualquier sanción contractual –multa, cláusula penal o caducidad–, la entidad –previa citación de la aseguradora– está facultada para afectar el amparo de cumplimiento, siniestrando la póliza conforme al procedimiento del artículo 86 de la Ley 1474 de 2011. Dicho trámite se establece para declarar el incumplimiento, cuantificando los perjuicios del mismo, imponer las multas y sanciones pactadas en el contrato, y hacer efectiva la cláusula penal. En esta medida, dicha norma no aplica para declarar el siniestro del amparo de estabilidad y calidad de la obra, el cual supone que el contratista ejecutó las actividades pactadas y que la entidad las recibió a satisfacción, encontrando posteriormente vicios que afectan su calidad y obligan al saneamiento.</w:t>
      </w:r>
    </w:p>
    <w:p w14:paraId="5B59A630" w14:textId="097C2239" w:rsidR="00D27C73" w:rsidRPr="00135ED6" w:rsidRDefault="00D27C73" w:rsidP="00135ED6">
      <w:pPr>
        <w:spacing w:line="240" w:lineRule="auto"/>
        <w:jc w:val="both"/>
        <w:rPr>
          <w:rFonts w:ascii="Arial" w:eastAsia="Calibri" w:hAnsi="Arial" w:cs="Arial"/>
          <w:b/>
          <w:color w:val="000000" w:themeColor="text1"/>
          <w:sz w:val="20"/>
          <w:szCs w:val="20"/>
          <w:lang w:val="es-ES_tradnl"/>
        </w:rPr>
      </w:pPr>
      <w:r w:rsidRPr="008545B7">
        <w:rPr>
          <w:rFonts w:ascii="Arial" w:eastAsia="Calibri" w:hAnsi="Arial" w:cs="Arial"/>
          <w:b/>
          <w:sz w:val="20"/>
          <w:szCs w:val="20"/>
          <w:lang w:val="es-ES_tradnl"/>
        </w:rPr>
        <w:t>SINIESTRO</w:t>
      </w:r>
      <w:r w:rsidRPr="008545B7">
        <w:rPr>
          <w:rFonts w:ascii="Arial" w:eastAsia="Calibri" w:hAnsi="Arial" w:cs="Arial"/>
          <w:b/>
          <w:color w:val="000000" w:themeColor="text1"/>
          <w:sz w:val="20"/>
          <w:szCs w:val="20"/>
          <w:lang w:val="es-MX"/>
        </w:rPr>
        <w:t>–</w:t>
      </w:r>
      <w:r w:rsidRPr="00135ED6">
        <w:rPr>
          <w:rFonts w:ascii="Arial" w:eastAsia="Calibri" w:hAnsi="Arial" w:cs="Arial"/>
          <w:b/>
          <w:color w:val="000000" w:themeColor="text1"/>
          <w:sz w:val="20"/>
          <w:szCs w:val="20"/>
          <w:lang w:val="es-ES_tradnl"/>
        </w:rPr>
        <w:t xml:space="preserve"> Amparo de estabilidad de la obra </w:t>
      </w:r>
      <w:r w:rsidRPr="00135ED6">
        <w:rPr>
          <w:rFonts w:ascii="Arial" w:eastAsia="Calibri" w:hAnsi="Arial" w:cs="Arial"/>
          <w:b/>
          <w:color w:val="000000" w:themeColor="text1"/>
          <w:sz w:val="20"/>
          <w:szCs w:val="20"/>
          <w:lang w:val="es-MX"/>
        </w:rPr>
        <w:t>–</w:t>
      </w:r>
      <w:r w:rsidRPr="00135ED6">
        <w:rPr>
          <w:rFonts w:ascii="Arial" w:eastAsia="Calibri" w:hAnsi="Arial" w:cs="Arial"/>
          <w:b/>
          <w:color w:val="000000" w:themeColor="text1"/>
          <w:sz w:val="20"/>
          <w:szCs w:val="20"/>
          <w:lang w:val="es-ES_tradnl"/>
        </w:rPr>
        <w:t xml:space="preserve"> Procedimiento</w:t>
      </w:r>
    </w:p>
    <w:p w14:paraId="150DF886" w14:textId="2D73B812" w:rsidR="009240B5" w:rsidRPr="00135ED6" w:rsidRDefault="009240B5" w:rsidP="00135ED6">
      <w:pPr>
        <w:spacing w:line="240" w:lineRule="auto"/>
        <w:jc w:val="both"/>
        <w:rPr>
          <w:rFonts w:ascii="Arial" w:eastAsia="Calibri" w:hAnsi="Arial" w:cs="Arial"/>
          <w:color w:val="000000" w:themeColor="text1"/>
          <w:sz w:val="20"/>
          <w:szCs w:val="20"/>
          <w:lang w:val="es-ES_tradnl"/>
        </w:rPr>
      </w:pPr>
      <w:r w:rsidRPr="00135ED6">
        <w:rPr>
          <w:rFonts w:ascii="Arial" w:eastAsia="Calibri" w:hAnsi="Arial" w:cs="Arial"/>
          <w:color w:val="000000" w:themeColor="text1"/>
          <w:sz w:val="20"/>
          <w:szCs w:val="20"/>
          <w:lang w:val="es-ES_tradnl"/>
        </w:rPr>
        <w:t>En este contexto, la postura de esta Subdirección ha sido reiterativa en indicar que como no aplica el artículo 86 de la Ley 1474, y en la medida que el artículo 29 prohíbe decisiones de plano, se considera que el trámite de la declaratoria del siniestro de estabilidad y calidad de la obra se rige por el procedimiento administrativo general dispuesto en los artículos 34 y siguientes de la Ley 1437 de 2011. Dicha norma prescribe que “Las actuaciones administrativas se sujetarán al procedimiento administrativo común y principal que se establece en este Código, sin perjuicio de los procedimientos administrativos regulados por leyes especiales […]”, disposición aplicable a los temas contractuales por la remisión del inciso primero del artículo 77 de la Ley 80 de 1993. Para estos efectos, la Ley 1437 de 2011exige que cuando las entidades procedan de oficio la actuación comience con un escrito que debe comunicarse al interesado para que ejerza el derecho de defensa, en virtud de lo estipulado en el inciso 2 de su artículo 35. Lo anterior, sin perjuicio de informar a terceros cuando la Administración advierta la posibilidad de que otras personas resulten afectadas con la decisión en cumplimiento de lo previsto en el artículo 37 de la norma en cita. Dicho procedimiento concreta el respeto a las formalidades propias de cada juicio de que trata el artículo 29 superior, garantizando que el contratista y la aseguradora sean escuchados antes de que la entidad declare el siniestro de la garantía.</w:t>
      </w:r>
    </w:p>
    <w:p w14:paraId="45DFCD0A" w14:textId="39B05BDE" w:rsidR="00D27C73" w:rsidRDefault="00D27C73" w:rsidP="00135ED6">
      <w:pPr>
        <w:spacing w:line="240" w:lineRule="auto"/>
        <w:rPr>
          <w:rFonts w:ascii="Arial" w:eastAsia="Calibri" w:hAnsi="Arial" w:cs="Arial"/>
          <w:color w:val="000000" w:themeColor="text1"/>
          <w:lang w:val="es-ES_tradnl"/>
        </w:rPr>
      </w:pPr>
      <w:r w:rsidRPr="00135ED6">
        <w:rPr>
          <w:rFonts w:ascii="Arial" w:eastAsia="Calibri" w:hAnsi="Arial" w:cs="Arial"/>
          <w:color w:val="000000" w:themeColor="text1"/>
          <w:sz w:val="20"/>
          <w:szCs w:val="20"/>
          <w:lang w:val="es-ES_tradnl"/>
        </w:rPr>
        <w:br w:type="page"/>
      </w:r>
    </w:p>
    <w:p w14:paraId="0727C25D" w14:textId="6BB6B564" w:rsidR="001B5DC9" w:rsidRPr="0097215F" w:rsidRDefault="00D27C73" w:rsidP="005F44BC">
      <w:pPr>
        <w:spacing w:line="276" w:lineRule="auto"/>
        <w:jc w:val="both"/>
        <w:rPr>
          <w:rFonts w:ascii="Arial" w:eastAsia="Arial" w:hAnsi="Arial" w:cs="Arial"/>
        </w:rPr>
      </w:pPr>
      <w:r w:rsidRPr="00D27C73">
        <w:rPr>
          <w:rFonts w:ascii="Arial" w:eastAsia="Arial" w:hAnsi="Arial" w:cs="Arial"/>
          <w:b/>
          <w:noProof/>
        </w:rPr>
        <w:lastRenderedPageBreak/>
        <w:drawing>
          <wp:anchor distT="0" distB="0" distL="114300" distR="114300" simplePos="0" relativeHeight="251658240" behindDoc="1" locked="0" layoutInCell="1" allowOverlap="1" wp14:anchorId="2ED06AF4" wp14:editId="753B2379">
            <wp:simplePos x="0" y="0"/>
            <wp:positionH relativeFrom="column">
              <wp:posOffset>3245749</wp:posOffset>
            </wp:positionH>
            <wp:positionV relativeFrom="paragraph">
              <wp:posOffset>6998</wp:posOffset>
            </wp:positionV>
            <wp:extent cx="2959252" cy="876345"/>
            <wp:effectExtent l="0" t="0" r="0" b="0"/>
            <wp:wrapNone/>
            <wp:docPr id="51051877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0518770" name=""/>
                    <pic:cNvPicPr/>
                  </pic:nvPicPr>
                  <pic:blipFill>
                    <a:blip r:embed="rId11">
                      <a:extLst>
                        <a:ext uri="{28A0092B-C50C-407E-A947-70E740481C1C}">
                          <a14:useLocalDpi xmlns:a14="http://schemas.microsoft.com/office/drawing/2010/main" val="0"/>
                        </a:ext>
                      </a:extLst>
                    </a:blip>
                    <a:stretch>
                      <a:fillRect/>
                    </a:stretch>
                  </pic:blipFill>
                  <pic:spPr>
                    <a:xfrm>
                      <a:off x="0" y="0"/>
                      <a:ext cx="2959252" cy="876345"/>
                    </a:xfrm>
                    <a:prstGeom prst="rect">
                      <a:avLst/>
                    </a:prstGeom>
                  </pic:spPr>
                </pic:pic>
              </a:graphicData>
            </a:graphic>
          </wp:anchor>
        </w:drawing>
      </w:r>
      <w:r w:rsidR="1CC63BF5" w:rsidRPr="0097215F">
        <w:rPr>
          <w:rFonts w:ascii="Arial" w:eastAsia="Geomanist Light" w:hAnsi="Arial" w:cs="Arial"/>
          <w:color w:val="000000" w:themeColor="text1"/>
          <w:lang w:val="es-MX"/>
        </w:rPr>
        <w:t>Bogotá D.C.,</w:t>
      </w:r>
      <w:bookmarkStart w:id="0" w:name="_Hlk34951122"/>
      <w:r>
        <w:rPr>
          <w:rFonts w:ascii="Arial" w:eastAsia="Geomanist Light" w:hAnsi="Arial" w:cs="Arial"/>
          <w:color w:val="000000" w:themeColor="text1"/>
          <w:lang w:val="es-MX"/>
        </w:rPr>
        <w:t xml:space="preserve"> 18 de abril de 2023</w:t>
      </w:r>
    </w:p>
    <w:p w14:paraId="0E8D7EF2" w14:textId="024F4AF6" w:rsidR="00FE4DE7" w:rsidRPr="0097215F" w:rsidRDefault="00FE4DE7" w:rsidP="005F44BC">
      <w:pPr>
        <w:spacing w:line="276" w:lineRule="auto"/>
        <w:contextualSpacing/>
        <w:jc w:val="both"/>
        <w:rPr>
          <w:rFonts w:ascii="Arial" w:eastAsia="Arial" w:hAnsi="Arial" w:cs="Arial"/>
          <w:b/>
        </w:rPr>
      </w:pPr>
    </w:p>
    <w:p w14:paraId="28DD9941" w14:textId="77777777" w:rsidR="006800A4" w:rsidRPr="0097215F" w:rsidRDefault="006800A4" w:rsidP="005F44BC">
      <w:pPr>
        <w:spacing w:line="276" w:lineRule="auto"/>
        <w:contextualSpacing/>
        <w:jc w:val="both"/>
        <w:rPr>
          <w:rFonts w:ascii="Arial" w:eastAsia="Arial" w:hAnsi="Arial" w:cs="Arial"/>
          <w:b/>
        </w:rPr>
      </w:pPr>
    </w:p>
    <w:p w14:paraId="60347F6E" w14:textId="52227273" w:rsidR="001B5DC9" w:rsidRPr="0097215F" w:rsidRDefault="001B5DC9" w:rsidP="005F44BC">
      <w:pPr>
        <w:spacing w:line="276" w:lineRule="auto"/>
        <w:contextualSpacing/>
        <w:jc w:val="both"/>
        <w:rPr>
          <w:rFonts w:ascii="Arial" w:eastAsia="Arial" w:hAnsi="Arial" w:cs="Arial"/>
        </w:rPr>
      </w:pPr>
      <w:r w:rsidRPr="0097215F">
        <w:rPr>
          <w:rFonts w:ascii="Arial" w:eastAsia="Arial" w:hAnsi="Arial" w:cs="Arial"/>
        </w:rPr>
        <w:t>Señor</w:t>
      </w:r>
    </w:p>
    <w:p w14:paraId="5909823D" w14:textId="3FB4E08C" w:rsidR="001B5DC9" w:rsidRPr="0097215F" w:rsidRDefault="006800A4" w:rsidP="005F44BC">
      <w:pPr>
        <w:spacing w:line="276" w:lineRule="auto"/>
        <w:contextualSpacing/>
        <w:jc w:val="both"/>
        <w:rPr>
          <w:rFonts w:ascii="Arial" w:eastAsia="Times New Roman" w:hAnsi="Arial" w:cs="Arial"/>
          <w:b/>
          <w:bCs/>
        </w:rPr>
      </w:pPr>
      <w:r w:rsidRPr="0097215F">
        <w:rPr>
          <w:rFonts w:ascii="Arial" w:eastAsia="Times New Roman" w:hAnsi="Arial" w:cs="Arial"/>
          <w:b/>
          <w:bCs/>
        </w:rPr>
        <w:t>Luis Fernando Moreno Rubio</w:t>
      </w:r>
    </w:p>
    <w:p w14:paraId="5CD651D9" w14:textId="2B11185D" w:rsidR="001B5DC9" w:rsidRPr="0097215F" w:rsidRDefault="006800A4" w:rsidP="005F44BC">
      <w:pPr>
        <w:spacing w:line="276" w:lineRule="auto"/>
        <w:contextualSpacing/>
        <w:jc w:val="both"/>
        <w:rPr>
          <w:rFonts w:ascii="Arial" w:eastAsia="Times New Roman" w:hAnsi="Arial" w:cs="Arial"/>
          <w:b/>
          <w:bCs/>
        </w:rPr>
      </w:pPr>
      <w:r w:rsidRPr="0097215F">
        <w:rPr>
          <w:rFonts w:ascii="Arial" w:eastAsia="Times New Roman" w:hAnsi="Arial" w:cs="Arial"/>
          <w:b/>
          <w:bCs/>
        </w:rPr>
        <w:t>VIASCOL SAS</w:t>
      </w:r>
    </w:p>
    <w:p w14:paraId="250EDD0E" w14:textId="4A3A3E41" w:rsidR="001B5DC9" w:rsidRPr="0097215F" w:rsidRDefault="006800A4" w:rsidP="005F44BC">
      <w:pPr>
        <w:spacing w:line="276" w:lineRule="auto"/>
        <w:contextualSpacing/>
        <w:jc w:val="both"/>
        <w:rPr>
          <w:rFonts w:ascii="Arial" w:eastAsia="Arial" w:hAnsi="Arial" w:cs="Arial"/>
        </w:rPr>
      </w:pPr>
      <w:r w:rsidRPr="0097215F">
        <w:rPr>
          <w:rFonts w:ascii="Arial" w:eastAsia="Arial" w:hAnsi="Arial" w:cs="Arial"/>
        </w:rPr>
        <w:t>Bogotá, D.C.</w:t>
      </w:r>
    </w:p>
    <w:p w14:paraId="46433927" w14:textId="77777777" w:rsidR="001B5DC9" w:rsidRPr="0097215F" w:rsidRDefault="001B5DC9" w:rsidP="005F44BC">
      <w:pPr>
        <w:spacing w:line="276" w:lineRule="auto"/>
        <w:contextualSpacing/>
        <w:jc w:val="both"/>
        <w:rPr>
          <w:rFonts w:ascii="Arial" w:eastAsia="Arial" w:hAnsi="Arial" w:cs="Arial"/>
        </w:rPr>
      </w:pPr>
    </w:p>
    <w:p w14:paraId="0A824501" w14:textId="77777777" w:rsidR="001B5DC9" w:rsidRPr="0097215F" w:rsidRDefault="001B5DC9" w:rsidP="005F44BC">
      <w:pPr>
        <w:spacing w:line="276" w:lineRule="auto"/>
        <w:contextualSpacing/>
        <w:jc w:val="both"/>
        <w:rPr>
          <w:rFonts w:ascii="Arial" w:eastAsia="Arial" w:hAnsi="Arial" w:cs="Arial"/>
        </w:rPr>
      </w:pPr>
    </w:p>
    <w:p w14:paraId="429DF7BA" w14:textId="539BD7F0" w:rsidR="001B5DC9" w:rsidRPr="0097215F" w:rsidRDefault="001B5DC9" w:rsidP="005F44BC">
      <w:pPr>
        <w:spacing w:line="240" w:lineRule="auto"/>
        <w:contextualSpacing/>
        <w:jc w:val="both"/>
        <w:rPr>
          <w:rFonts w:ascii="Arial" w:eastAsia="Arial" w:hAnsi="Arial" w:cs="Arial"/>
          <w:b/>
        </w:rPr>
      </w:pPr>
      <w:r w:rsidRPr="0097215F">
        <w:rPr>
          <w:rFonts w:ascii="Arial" w:eastAsia="Arial" w:hAnsi="Arial" w:cs="Arial"/>
          <w:b/>
        </w:rPr>
        <w:t xml:space="preserve">                                            </w:t>
      </w:r>
      <w:r w:rsidRPr="0097215F">
        <w:rPr>
          <w:rFonts w:ascii="Arial" w:eastAsia="Arial" w:hAnsi="Arial" w:cs="Arial"/>
          <w:b/>
        </w:rPr>
        <w:tab/>
        <w:t xml:space="preserve">Concepto C- </w:t>
      </w:r>
      <w:r w:rsidR="005242C0" w:rsidRPr="0097215F">
        <w:rPr>
          <w:rFonts w:ascii="Arial" w:eastAsia="Arial" w:hAnsi="Arial" w:cs="Arial"/>
          <w:b/>
        </w:rPr>
        <w:t>060</w:t>
      </w:r>
      <w:r w:rsidRPr="0097215F">
        <w:rPr>
          <w:rFonts w:ascii="Arial" w:eastAsia="Arial" w:hAnsi="Arial" w:cs="Arial"/>
          <w:b/>
        </w:rPr>
        <w:t xml:space="preserve"> de 202</w:t>
      </w:r>
      <w:r w:rsidR="005242C0" w:rsidRPr="0097215F">
        <w:rPr>
          <w:rFonts w:ascii="Arial" w:eastAsia="Arial" w:hAnsi="Arial" w:cs="Arial"/>
          <w:b/>
        </w:rPr>
        <w:t>3</w:t>
      </w:r>
    </w:p>
    <w:p w14:paraId="41357589" w14:textId="77777777" w:rsidR="001B5DC9" w:rsidRPr="0097215F" w:rsidRDefault="001B5DC9" w:rsidP="005F44BC">
      <w:pPr>
        <w:spacing w:line="240" w:lineRule="auto"/>
        <w:contextualSpacing/>
        <w:jc w:val="both"/>
        <w:rPr>
          <w:rFonts w:ascii="Arial" w:eastAsia="Arial" w:hAnsi="Arial" w:cs="Arial"/>
        </w:rPr>
      </w:pPr>
    </w:p>
    <w:tbl>
      <w:tblPr>
        <w:tblW w:w="8926" w:type="dxa"/>
        <w:tblBorders>
          <w:top w:val="nil"/>
          <w:left w:val="nil"/>
          <w:bottom w:val="nil"/>
          <w:right w:val="nil"/>
          <w:insideH w:val="nil"/>
          <w:insideV w:val="nil"/>
        </w:tblBorders>
        <w:tblLayout w:type="fixed"/>
        <w:tblLook w:val="0400" w:firstRow="0" w:lastRow="0" w:firstColumn="0" w:lastColumn="0" w:noHBand="0" w:noVBand="1"/>
      </w:tblPr>
      <w:tblGrid>
        <w:gridCol w:w="2689"/>
        <w:gridCol w:w="6237"/>
      </w:tblGrid>
      <w:tr w:rsidR="001B5DC9" w:rsidRPr="0097215F" w14:paraId="5BDB35F4" w14:textId="77777777" w:rsidTr="009A6C54">
        <w:tc>
          <w:tcPr>
            <w:tcW w:w="2689" w:type="dxa"/>
          </w:tcPr>
          <w:p w14:paraId="3AEACFE1" w14:textId="77777777" w:rsidR="001B5DC9" w:rsidRPr="0097215F" w:rsidRDefault="001B5DC9" w:rsidP="005F44BC">
            <w:pPr>
              <w:spacing w:line="240" w:lineRule="auto"/>
              <w:contextualSpacing/>
              <w:jc w:val="both"/>
              <w:rPr>
                <w:rFonts w:ascii="Arial" w:eastAsia="Arial" w:hAnsi="Arial" w:cs="Arial"/>
              </w:rPr>
            </w:pPr>
            <w:r w:rsidRPr="0097215F">
              <w:rPr>
                <w:rFonts w:ascii="Arial" w:eastAsia="Arial" w:hAnsi="Arial" w:cs="Arial"/>
                <w:b/>
              </w:rPr>
              <w:t>Temas:</w:t>
            </w:r>
            <w:r w:rsidRPr="0097215F">
              <w:rPr>
                <w:rFonts w:ascii="Arial" w:eastAsia="Arial" w:hAnsi="Arial" w:cs="Arial"/>
              </w:rPr>
              <w:t xml:space="preserve">                                      </w:t>
            </w:r>
          </w:p>
        </w:tc>
        <w:tc>
          <w:tcPr>
            <w:tcW w:w="6237" w:type="dxa"/>
          </w:tcPr>
          <w:p w14:paraId="6F2E3CB1" w14:textId="24FD840A" w:rsidR="001B5DC9" w:rsidRPr="004669CB" w:rsidRDefault="001B5DC9" w:rsidP="005F44BC">
            <w:pPr>
              <w:pBdr>
                <w:top w:val="nil"/>
                <w:left w:val="nil"/>
                <w:bottom w:val="nil"/>
                <w:right w:val="nil"/>
                <w:between w:val="nil"/>
              </w:pBdr>
              <w:spacing w:line="240" w:lineRule="auto"/>
              <w:contextualSpacing/>
              <w:jc w:val="both"/>
              <w:rPr>
                <w:rFonts w:ascii="Arial" w:eastAsia="Arial" w:hAnsi="Arial" w:cs="Arial"/>
              </w:rPr>
            </w:pPr>
            <w:r w:rsidRPr="004669CB">
              <w:rPr>
                <w:rFonts w:ascii="Arial" w:eastAsia="Arial" w:hAnsi="Arial" w:cs="Arial"/>
                <w:bCs/>
              </w:rPr>
              <w:t>REDUCCIÓN DE PUNTAJE – Multa – Cláusula Penal – Ley 2195 de 2022 – Artículo 58 – Ámbito de aplicación / REDUCCIÓN DE PUNTAJE –</w:t>
            </w:r>
            <w:r w:rsidR="003735F0" w:rsidRPr="004669CB">
              <w:rPr>
                <w:rFonts w:ascii="Arial" w:eastAsia="Arial" w:hAnsi="Arial" w:cs="Arial"/>
                <w:bCs/>
              </w:rPr>
              <w:t xml:space="preserve"> Ley 2195 de 2022 – Artículo 58 </w:t>
            </w:r>
            <w:r w:rsidRPr="004669CB">
              <w:rPr>
                <w:rFonts w:ascii="Arial" w:eastAsia="Arial" w:hAnsi="Arial" w:cs="Arial"/>
                <w:bCs/>
              </w:rPr>
              <w:t xml:space="preserve">Porcentaje </w:t>
            </w:r>
            <w:r w:rsidR="008E3BB1" w:rsidRPr="004669CB">
              <w:rPr>
                <w:rFonts w:ascii="Arial" w:eastAsia="Arial" w:hAnsi="Arial" w:cs="Arial"/>
                <w:bCs/>
              </w:rPr>
              <w:t xml:space="preserve">- </w:t>
            </w:r>
            <w:r w:rsidRPr="004669CB">
              <w:rPr>
                <w:rFonts w:ascii="Arial" w:eastAsia="Arial" w:hAnsi="Arial" w:cs="Arial"/>
                <w:bCs/>
              </w:rPr>
              <w:t>Sujetos pasivos / REDUCCIÓN DE PUNTAJE – Ley 2195 de 2022 – Artículo 58 – Parágrafo 1° – Presentación demanda</w:t>
            </w:r>
            <w:r w:rsidR="001077C0" w:rsidRPr="004669CB">
              <w:rPr>
                <w:rFonts w:ascii="Arial" w:eastAsia="Arial" w:hAnsi="Arial" w:cs="Arial"/>
                <w:bCs/>
              </w:rPr>
              <w:t xml:space="preserve">/ </w:t>
            </w:r>
            <w:r w:rsidR="004D718F" w:rsidRPr="004669CB">
              <w:rPr>
                <w:rFonts w:ascii="Arial" w:eastAsia="Calibri" w:hAnsi="Arial" w:cs="Arial"/>
                <w:lang w:val="es-ES_tradnl"/>
              </w:rPr>
              <w:t>SANCIONES CONTRACTUALES – Clases – Consagración legal / PROCEDIMIENTO SANCIONATORIO – Ley 1474 de 2011 – Artículo 86 / GARANTÍAS – Contratación estatal – Finalidad / GARANTÍAS – Siniestro – Declaratoria unilateral / SINIESTRO</w:t>
            </w:r>
            <w:r w:rsidR="009E212E" w:rsidRPr="004669CB">
              <w:rPr>
                <w:rFonts w:ascii="Arial" w:eastAsia="Calibri" w:hAnsi="Arial" w:cs="Arial"/>
                <w:color w:val="000000" w:themeColor="text1"/>
                <w:lang w:val="es-MX"/>
              </w:rPr>
              <w:t>–</w:t>
            </w:r>
            <w:r w:rsidR="009E212E" w:rsidRPr="004669CB">
              <w:rPr>
                <w:rFonts w:ascii="Arial" w:eastAsia="Calibri" w:hAnsi="Arial" w:cs="Arial"/>
                <w:color w:val="000000" w:themeColor="text1"/>
                <w:lang w:val="es-ES_tradnl"/>
              </w:rPr>
              <w:t xml:space="preserve"> Amparo de estabilidad de la obra </w:t>
            </w:r>
            <w:r w:rsidR="009E212E" w:rsidRPr="004669CB">
              <w:rPr>
                <w:rFonts w:ascii="Arial" w:eastAsia="Calibri" w:hAnsi="Arial" w:cs="Arial"/>
                <w:color w:val="000000" w:themeColor="text1"/>
                <w:lang w:val="es-MX"/>
              </w:rPr>
              <w:t>–</w:t>
            </w:r>
            <w:r w:rsidR="009E212E" w:rsidRPr="004669CB">
              <w:rPr>
                <w:rFonts w:ascii="Arial" w:eastAsia="Calibri" w:hAnsi="Arial" w:cs="Arial"/>
                <w:color w:val="000000" w:themeColor="text1"/>
                <w:lang w:val="es-ES_tradnl"/>
              </w:rPr>
              <w:t xml:space="preserve"> Procedimiento</w:t>
            </w:r>
          </w:p>
        </w:tc>
      </w:tr>
      <w:tr w:rsidR="001B5DC9" w:rsidRPr="0097215F" w14:paraId="7A3716A5" w14:textId="77777777" w:rsidTr="009A6C54">
        <w:tc>
          <w:tcPr>
            <w:tcW w:w="2689" w:type="dxa"/>
          </w:tcPr>
          <w:p w14:paraId="03B1C1F6" w14:textId="77777777" w:rsidR="001B5DC9" w:rsidRPr="0097215F" w:rsidRDefault="001B5DC9" w:rsidP="005F44BC">
            <w:pPr>
              <w:spacing w:line="240" w:lineRule="auto"/>
              <w:contextualSpacing/>
              <w:jc w:val="both"/>
              <w:rPr>
                <w:rFonts w:ascii="Arial" w:eastAsia="Arial" w:hAnsi="Arial" w:cs="Arial"/>
                <w:b/>
              </w:rPr>
            </w:pPr>
            <w:r w:rsidRPr="0097215F">
              <w:rPr>
                <w:rFonts w:ascii="Arial" w:eastAsia="Arial" w:hAnsi="Arial" w:cs="Arial"/>
                <w:b/>
              </w:rPr>
              <w:t>Radicación:</w:t>
            </w:r>
            <w:r w:rsidRPr="0097215F">
              <w:rPr>
                <w:rFonts w:ascii="Arial" w:eastAsia="Arial" w:hAnsi="Arial" w:cs="Arial"/>
              </w:rPr>
              <w:t xml:space="preserve">                              </w:t>
            </w:r>
          </w:p>
        </w:tc>
        <w:tc>
          <w:tcPr>
            <w:tcW w:w="6237" w:type="dxa"/>
          </w:tcPr>
          <w:p w14:paraId="556AB88F" w14:textId="32B2A530" w:rsidR="001B5DC9" w:rsidRPr="0097215F" w:rsidRDefault="001B5DC9" w:rsidP="005F44BC">
            <w:pPr>
              <w:spacing w:line="240" w:lineRule="auto"/>
              <w:contextualSpacing/>
              <w:jc w:val="both"/>
              <w:rPr>
                <w:rFonts w:ascii="Arial" w:eastAsia="Arial" w:hAnsi="Arial" w:cs="Arial"/>
              </w:rPr>
            </w:pPr>
            <w:r w:rsidRPr="0097215F">
              <w:rPr>
                <w:rFonts w:ascii="Arial" w:eastAsia="Arial" w:hAnsi="Arial" w:cs="Arial"/>
              </w:rPr>
              <w:t xml:space="preserve">Respuesta a consulta </w:t>
            </w:r>
            <w:r w:rsidR="00BA23E2">
              <w:rPr>
                <w:rFonts w:ascii="Arial" w:eastAsia="Arial" w:hAnsi="Arial" w:cs="Arial"/>
              </w:rPr>
              <w:t xml:space="preserve">No. </w:t>
            </w:r>
            <w:r w:rsidRPr="0097215F">
              <w:rPr>
                <w:rFonts w:ascii="Arial" w:eastAsia="Arial" w:hAnsi="Arial" w:cs="Arial"/>
              </w:rPr>
              <w:t>P202</w:t>
            </w:r>
            <w:r w:rsidR="00BA23E2">
              <w:rPr>
                <w:rFonts w:ascii="Arial" w:eastAsia="Arial" w:hAnsi="Arial" w:cs="Arial"/>
              </w:rPr>
              <w:t>30302001921</w:t>
            </w:r>
          </w:p>
        </w:tc>
      </w:tr>
    </w:tbl>
    <w:p w14:paraId="2E6CA9D5" w14:textId="77777777" w:rsidR="001B5DC9" w:rsidRPr="0097215F" w:rsidRDefault="001B5DC9" w:rsidP="005F44BC">
      <w:pPr>
        <w:spacing w:line="276" w:lineRule="auto"/>
        <w:contextualSpacing/>
        <w:jc w:val="both"/>
        <w:rPr>
          <w:rFonts w:ascii="Arial" w:eastAsia="Arial" w:hAnsi="Arial" w:cs="Arial"/>
        </w:rPr>
      </w:pPr>
    </w:p>
    <w:p w14:paraId="19BC2DD1" w14:textId="77777777" w:rsidR="001B5DC9" w:rsidRPr="0097215F" w:rsidRDefault="001B5DC9" w:rsidP="005F44BC">
      <w:pPr>
        <w:spacing w:line="276" w:lineRule="auto"/>
        <w:contextualSpacing/>
        <w:jc w:val="both"/>
        <w:rPr>
          <w:rFonts w:ascii="Arial" w:eastAsia="Arial" w:hAnsi="Arial" w:cs="Arial"/>
        </w:rPr>
      </w:pPr>
    </w:p>
    <w:p w14:paraId="633671CE" w14:textId="59EC2F3E" w:rsidR="001B5DC9" w:rsidRPr="0097215F" w:rsidRDefault="001B5DC9" w:rsidP="005F44BC">
      <w:pPr>
        <w:spacing w:line="276" w:lineRule="auto"/>
        <w:jc w:val="both"/>
        <w:rPr>
          <w:rFonts w:ascii="Arial" w:eastAsia="Arial" w:hAnsi="Arial" w:cs="Arial"/>
        </w:rPr>
      </w:pPr>
      <w:r w:rsidRPr="0097215F">
        <w:rPr>
          <w:rFonts w:ascii="Arial" w:eastAsia="Arial" w:hAnsi="Arial" w:cs="Arial"/>
        </w:rPr>
        <w:t xml:space="preserve">Estimado señor </w:t>
      </w:r>
      <w:r w:rsidR="00D32DB8">
        <w:rPr>
          <w:rFonts w:ascii="Arial" w:eastAsia="Arial" w:hAnsi="Arial" w:cs="Arial"/>
        </w:rPr>
        <w:t>Moreno,</w:t>
      </w:r>
    </w:p>
    <w:p w14:paraId="624CD86D" w14:textId="29DD77BD" w:rsidR="001B5DC9" w:rsidRPr="0097215F" w:rsidRDefault="001B5DC9" w:rsidP="005F44BC">
      <w:pPr>
        <w:spacing w:line="276" w:lineRule="auto"/>
        <w:contextualSpacing/>
        <w:jc w:val="both"/>
        <w:rPr>
          <w:rFonts w:ascii="Arial" w:eastAsia="Arial" w:hAnsi="Arial" w:cs="Arial"/>
        </w:rPr>
      </w:pPr>
      <w:r w:rsidRPr="0097215F">
        <w:rPr>
          <w:rFonts w:ascii="Arial" w:eastAsia="Arial" w:hAnsi="Arial" w:cs="Arial"/>
        </w:rPr>
        <w:t xml:space="preserve">En ejercicio de la competencia otorgada por el numeral 8 del artículo 11 y el numeral 5 del artículo 3 del Decreto Ley 4170 de 2011, la Agencia Nacional de Contratación Pública ― Colombia Compra Eficiente responde su consulta del 2 de </w:t>
      </w:r>
      <w:r w:rsidR="002B24AB">
        <w:rPr>
          <w:rFonts w:ascii="Arial" w:eastAsia="Arial" w:hAnsi="Arial" w:cs="Arial"/>
        </w:rPr>
        <w:t>enero</w:t>
      </w:r>
      <w:r w:rsidRPr="0097215F">
        <w:rPr>
          <w:rFonts w:ascii="Arial" w:eastAsia="Arial" w:hAnsi="Arial" w:cs="Arial"/>
        </w:rPr>
        <w:t xml:space="preserve"> del 202</w:t>
      </w:r>
      <w:r w:rsidR="002B24AB">
        <w:rPr>
          <w:rFonts w:ascii="Arial" w:eastAsia="Arial" w:hAnsi="Arial" w:cs="Arial"/>
        </w:rPr>
        <w:t>3</w:t>
      </w:r>
      <w:r w:rsidRPr="0097215F">
        <w:rPr>
          <w:rFonts w:ascii="Arial" w:eastAsia="Arial" w:hAnsi="Arial" w:cs="Arial"/>
        </w:rPr>
        <w:t>.</w:t>
      </w:r>
    </w:p>
    <w:p w14:paraId="3917B021" w14:textId="77777777" w:rsidR="001B5DC9" w:rsidRPr="0097215F" w:rsidRDefault="001B5DC9" w:rsidP="005F44BC">
      <w:pPr>
        <w:spacing w:line="276" w:lineRule="auto"/>
        <w:contextualSpacing/>
        <w:jc w:val="both"/>
        <w:rPr>
          <w:rFonts w:ascii="Arial" w:eastAsia="Arial" w:hAnsi="Arial" w:cs="Arial"/>
          <w:b/>
        </w:rPr>
      </w:pPr>
    </w:p>
    <w:p w14:paraId="5CCCB65B" w14:textId="77777777" w:rsidR="001B5DC9" w:rsidRPr="0097215F" w:rsidRDefault="001B5DC9" w:rsidP="005F44BC">
      <w:pPr>
        <w:numPr>
          <w:ilvl w:val="0"/>
          <w:numId w:val="4"/>
        </w:numPr>
        <w:pBdr>
          <w:top w:val="nil"/>
          <w:left w:val="nil"/>
          <w:bottom w:val="nil"/>
          <w:right w:val="nil"/>
          <w:between w:val="nil"/>
        </w:pBdr>
        <w:tabs>
          <w:tab w:val="left" w:pos="0"/>
          <w:tab w:val="left" w:pos="142"/>
          <w:tab w:val="left" w:pos="284"/>
        </w:tabs>
        <w:spacing w:line="276" w:lineRule="auto"/>
        <w:ind w:left="0" w:firstLine="0"/>
        <w:contextualSpacing/>
        <w:jc w:val="both"/>
        <w:rPr>
          <w:rFonts w:ascii="Arial" w:eastAsia="Arial" w:hAnsi="Arial" w:cs="Arial"/>
        </w:rPr>
      </w:pPr>
      <w:r w:rsidRPr="0097215F">
        <w:rPr>
          <w:rFonts w:ascii="Arial" w:eastAsia="Arial" w:hAnsi="Arial" w:cs="Arial"/>
          <w:b/>
        </w:rPr>
        <w:t xml:space="preserve">Problemas planteados </w:t>
      </w:r>
    </w:p>
    <w:p w14:paraId="347CAF21" w14:textId="77777777" w:rsidR="001B5DC9" w:rsidRPr="0097215F" w:rsidRDefault="001B5DC9" w:rsidP="005F44BC">
      <w:pPr>
        <w:tabs>
          <w:tab w:val="left" w:pos="426"/>
        </w:tabs>
        <w:spacing w:line="276" w:lineRule="auto"/>
        <w:contextualSpacing/>
        <w:jc w:val="both"/>
        <w:rPr>
          <w:rFonts w:ascii="Arial" w:eastAsia="Arial" w:hAnsi="Arial" w:cs="Arial"/>
          <w:b/>
        </w:rPr>
      </w:pPr>
    </w:p>
    <w:p w14:paraId="2E57584F" w14:textId="224F68FB" w:rsidR="001B5DC9" w:rsidRDefault="001B5DC9" w:rsidP="004669CB">
      <w:pPr>
        <w:spacing w:line="276" w:lineRule="auto"/>
        <w:contextualSpacing/>
        <w:jc w:val="both"/>
        <w:rPr>
          <w:rFonts w:ascii="Arial" w:eastAsia="Arial" w:hAnsi="Arial" w:cs="Arial"/>
        </w:rPr>
      </w:pPr>
      <w:r w:rsidRPr="0097215F">
        <w:rPr>
          <w:rFonts w:ascii="Arial" w:eastAsia="Arial" w:hAnsi="Arial" w:cs="Arial"/>
        </w:rPr>
        <w:t>Respecto de</w:t>
      </w:r>
      <w:r w:rsidR="00A17883">
        <w:rPr>
          <w:rFonts w:ascii="Arial" w:eastAsia="Arial" w:hAnsi="Arial" w:cs="Arial"/>
        </w:rPr>
        <w:t xml:space="preserve"> la reducción de puntaje</w:t>
      </w:r>
      <w:r w:rsidR="009D0123">
        <w:rPr>
          <w:rFonts w:ascii="Arial" w:eastAsia="Arial" w:hAnsi="Arial" w:cs="Arial"/>
        </w:rPr>
        <w:t xml:space="preserve"> dispuesto en el </w:t>
      </w:r>
      <w:r w:rsidRPr="0097215F">
        <w:rPr>
          <w:rFonts w:ascii="Arial" w:eastAsia="Arial" w:hAnsi="Arial" w:cs="Arial"/>
        </w:rPr>
        <w:t>artículo 58 de la Ley 2195 de 2022</w:t>
      </w:r>
      <w:r w:rsidR="009D0123">
        <w:rPr>
          <w:rFonts w:ascii="Arial" w:eastAsia="Arial" w:hAnsi="Arial" w:cs="Arial"/>
        </w:rPr>
        <w:t xml:space="preserve"> e incorporado </w:t>
      </w:r>
      <w:r w:rsidR="00580F7E">
        <w:rPr>
          <w:rFonts w:ascii="Arial" w:eastAsia="Arial" w:hAnsi="Arial" w:cs="Arial"/>
        </w:rPr>
        <w:t>en los pliego tipo como regla dentro del capítulo IV “CRITERIOS DE EVALUACIÓN, ASIGNACIÓN DE PUNTAJE Y CRITERIOS DE DESEMPATE”,</w:t>
      </w:r>
      <w:r w:rsidR="009D0123">
        <w:rPr>
          <w:rFonts w:ascii="Arial" w:eastAsia="Arial" w:hAnsi="Arial" w:cs="Arial"/>
        </w:rPr>
        <w:t xml:space="preserve"> </w:t>
      </w:r>
      <w:r w:rsidRPr="0097215F">
        <w:rPr>
          <w:rFonts w:ascii="Arial" w:eastAsia="Arial" w:hAnsi="Arial" w:cs="Arial"/>
        </w:rPr>
        <w:t>usted realiza las siguientes preguntas:</w:t>
      </w:r>
    </w:p>
    <w:p w14:paraId="23635C1D" w14:textId="77777777" w:rsidR="004669CB" w:rsidRPr="0097215F" w:rsidRDefault="004669CB" w:rsidP="004669CB">
      <w:pPr>
        <w:spacing w:line="276" w:lineRule="auto"/>
        <w:contextualSpacing/>
        <w:jc w:val="both"/>
        <w:rPr>
          <w:rFonts w:ascii="Arial" w:eastAsia="Arial" w:hAnsi="Arial" w:cs="Arial"/>
        </w:rPr>
      </w:pPr>
    </w:p>
    <w:p w14:paraId="28DB6B7E" w14:textId="6CE1DA2E" w:rsidR="001B5DC9" w:rsidRDefault="00580F7E" w:rsidP="004669CB">
      <w:pPr>
        <w:spacing w:after="0" w:line="240" w:lineRule="auto"/>
        <w:ind w:left="709" w:right="709"/>
        <w:contextualSpacing/>
        <w:jc w:val="both"/>
        <w:rPr>
          <w:rFonts w:ascii="Arial" w:eastAsia="Arial" w:hAnsi="Arial" w:cs="Arial"/>
          <w:sz w:val="21"/>
          <w:szCs w:val="21"/>
        </w:rPr>
      </w:pPr>
      <w:r w:rsidRPr="005F44BC">
        <w:rPr>
          <w:rFonts w:ascii="Arial" w:eastAsia="Arial" w:hAnsi="Arial" w:cs="Arial"/>
          <w:sz w:val="21"/>
          <w:szCs w:val="21"/>
        </w:rPr>
        <w:t>“[C]</w:t>
      </w:r>
      <w:proofErr w:type="spellStart"/>
      <w:r w:rsidR="00AA204A" w:rsidRPr="005F44BC">
        <w:rPr>
          <w:rFonts w:ascii="Arial" w:hAnsi="Arial" w:cs="Arial"/>
          <w:sz w:val="21"/>
          <w:szCs w:val="21"/>
        </w:rPr>
        <w:t>uando</w:t>
      </w:r>
      <w:proofErr w:type="spellEnd"/>
      <w:r w:rsidR="00AA204A" w:rsidRPr="005F44BC">
        <w:rPr>
          <w:rFonts w:ascii="Arial" w:hAnsi="Arial" w:cs="Arial"/>
          <w:sz w:val="21"/>
          <w:szCs w:val="21"/>
        </w:rPr>
        <w:t xml:space="preserve"> a un contrato de obra que ya se </w:t>
      </w:r>
      <w:proofErr w:type="spellStart"/>
      <w:r w:rsidR="00AA204A" w:rsidRPr="005F44BC">
        <w:rPr>
          <w:rFonts w:ascii="Arial" w:hAnsi="Arial" w:cs="Arial"/>
          <w:sz w:val="21"/>
          <w:szCs w:val="21"/>
        </w:rPr>
        <w:t>termino</w:t>
      </w:r>
      <w:proofErr w:type="spellEnd"/>
      <w:r w:rsidR="00AA204A" w:rsidRPr="005F44BC">
        <w:rPr>
          <w:rFonts w:ascii="Arial" w:hAnsi="Arial" w:cs="Arial"/>
          <w:sz w:val="21"/>
          <w:szCs w:val="21"/>
        </w:rPr>
        <w:t xml:space="preserve"> y líquido le hacen</w:t>
      </w:r>
      <w:r w:rsidR="00AA204A" w:rsidRPr="005F44BC">
        <w:rPr>
          <w:sz w:val="21"/>
          <w:szCs w:val="21"/>
        </w:rPr>
        <w:br/>
      </w:r>
      <w:r w:rsidR="00AA204A" w:rsidRPr="005F44BC">
        <w:rPr>
          <w:rFonts w:ascii="Arial" w:hAnsi="Arial" w:cs="Arial"/>
          <w:sz w:val="21"/>
          <w:szCs w:val="21"/>
        </w:rPr>
        <w:t>efectiva la póliza de estabilidad, le aplica esa reducción de puntaje indicada</w:t>
      </w:r>
      <w:r w:rsidR="00AA204A" w:rsidRPr="005F44BC">
        <w:rPr>
          <w:sz w:val="21"/>
          <w:szCs w:val="21"/>
        </w:rPr>
        <w:br/>
      </w:r>
      <w:r w:rsidR="00AA204A" w:rsidRPr="005F44BC">
        <w:rPr>
          <w:rFonts w:ascii="Arial" w:hAnsi="Arial" w:cs="Arial"/>
          <w:sz w:val="21"/>
          <w:szCs w:val="21"/>
        </w:rPr>
        <w:t>anteriormente en los pliegos tipo? es decir, la estabilidad se encuentra contemplada</w:t>
      </w:r>
      <w:r w:rsidRPr="005F44BC">
        <w:rPr>
          <w:rFonts w:ascii="Arial" w:hAnsi="Arial" w:cs="Arial"/>
          <w:sz w:val="21"/>
          <w:szCs w:val="21"/>
        </w:rPr>
        <w:t xml:space="preserve"> </w:t>
      </w:r>
      <w:r w:rsidR="00AA204A" w:rsidRPr="005F44BC">
        <w:rPr>
          <w:rFonts w:ascii="Arial" w:hAnsi="Arial" w:cs="Arial"/>
          <w:sz w:val="21"/>
          <w:szCs w:val="21"/>
        </w:rPr>
        <w:t>dentro de las multas a las que hacen referencia los pliegos?</w:t>
      </w:r>
      <w:r w:rsidRPr="005F44BC">
        <w:rPr>
          <w:rFonts w:ascii="Arial" w:eastAsia="Arial" w:hAnsi="Arial" w:cs="Arial"/>
          <w:sz w:val="21"/>
          <w:szCs w:val="21"/>
        </w:rPr>
        <w:t>”</w:t>
      </w:r>
      <w:r w:rsidR="001B5DC9" w:rsidRPr="005F44BC">
        <w:rPr>
          <w:rFonts w:ascii="Arial" w:eastAsia="Arial" w:hAnsi="Arial" w:cs="Arial"/>
          <w:sz w:val="21"/>
          <w:szCs w:val="21"/>
        </w:rPr>
        <w:t xml:space="preserve"> (SIC). </w:t>
      </w:r>
    </w:p>
    <w:p w14:paraId="41F5F551" w14:textId="77777777" w:rsidR="005F44BC" w:rsidRPr="005F44BC" w:rsidRDefault="005F44BC" w:rsidP="005F44BC">
      <w:pPr>
        <w:spacing w:line="276" w:lineRule="auto"/>
        <w:ind w:left="709" w:right="709"/>
        <w:contextualSpacing/>
        <w:jc w:val="both"/>
        <w:rPr>
          <w:rFonts w:ascii="Arial" w:eastAsia="Times New Roman" w:hAnsi="Arial" w:cs="Arial"/>
          <w:sz w:val="21"/>
          <w:szCs w:val="21"/>
        </w:rPr>
      </w:pPr>
    </w:p>
    <w:p w14:paraId="0F2CB352" w14:textId="77777777" w:rsidR="001B5DC9" w:rsidRPr="0097215F" w:rsidRDefault="001B5DC9" w:rsidP="005F44BC">
      <w:pPr>
        <w:numPr>
          <w:ilvl w:val="0"/>
          <w:numId w:val="4"/>
        </w:numPr>
        <w:pBdr>
          <w:top w:val="nil"/>
          <w:left w:val="nil"/>
          <w:bottom w:val="nil"/>
          <w:right w:val="nil"/>
          <w:between w:val="nil"/>
        </w:pBdr>
        <w:tabs>
          <w:tab w:val="left" w:pos="0"/>
          <w:tab w:val="left" w:pos="284"/>
        </w:tabs>
        <w:spacing w:line="276" w:lineRule="auto"/>
        <w:ind w:left="0" w:firstLine="0"/>
        <w:contextualSpacing/>
        <w:jc w:val="both"/>
        <w:rPr>
          <w:rFonts w:ascii="Arial" w:eastAsia="Arial" w:hAnsi="Arial" w:cs="Arial"/>
        </w:rPr>
      </w:pPr>
      <w:r w:rsidRPr="0097215F">
        <w:rPr>
          <w:rFonts w:ascii="Arial" w:eastAsia="Arial" w:hAnsi="Arial" w:cs="Arial"/>
          <w:b/>
        </w:rPr>
        <w:t>Consideraciones</w:t>
      </w:r>
    </w:p>
    <w:p w14:paraId="433050D6" w14:textId="77777777" w:rsidR="00F33A8E" w:rsidRDefault="00F33A8E" w:rsidP="005F44BC">
      <w:pPr>
        <w:spacing w:line="276" w:lineRule="auto"/>
        <w:contextualSpacing/>
        <w:jc w:val="both"/>
        <w:rPr>
          <w:rFonts w:ascii="Arial" w:eastAsia="Calibri" w:hAnsi="Arial" w:cs="Arial"/>
          <w:color w:val="000000" w:themeColor="text1"/>
        </w:rPr>
      </w:pPr>
    </w:p>
    <w:p w14:paraId="22195335" w14:textId="5609796D" w:rsidR="003604CF" w:rsidRPr="004B5531" w:rsidRDefault="00F33A8E" w:rsidP="005F44BC">
      <w:pPr>
        <w:spacing w:line="276" w:lineRule="auto"/>
        <w:contextualSpacing/>
        <w:jc w:val="both"/>
        <w:rPr>
          <w:rFonts w:ascii="Arial" w:eastAsia="Calibri" w:hAnsi="Arial" w:cs="Arial"/>
          <w:color w:val="000000" w:themeColor="text1"/>
          <w:lang w:val="es-ES_tradnl"/>
        </w:rPr>
      </w:pPr>
      <w:r w:rsidRPr="00504597">
        <w:rPr>
          <w:rFonts w:ascii="Arial" w:eastAsia="Calibri" w:hAnsi="Arial" w:cs="Arial"/>
          <w:color w:val="000000" w:themeColor="text1"/>
        </w:rPr>
        <w:t xml:space="preserve">Para responder </w:t>
      </w:r>
      <w:r>
        <w:rPr>
          <w:rFonts w:ascii="Arial" w:eastAsia="Calibri" w:hAnsi="Arial" w:cs="Arial"/>
          <w:color w:val="000000" w:themeColor="text1"/>
        </w:rPr>
        <w:t>los problemas planteados,</w:t>
      </w:r>
      <w:r w:rsidRPr="00504597">
        <w:rPr>
          <w:rFonts w:ascii="Arial" w:eastAsia="Calibri" w:hAnsi="Arial" w:cs="Arial"/>
          <w:color w:val="000000" w:themeColor="text1"/>
        </w:rPr>
        <w:t xml:space="preserve"> </w:t>
      </w:r>
      <w:r w:rsidRPr="00504597">
        <w:rPr>
          <w:rFonts w:ascii="Arial" w:eastAsia="Calibri" w:hAnsi="Arial" w:cs="Arial"/>
          <w:color w:val="000000" w:themeColor="text1"/>
          <w:lang w:val="es-ES"/>
        </w:rPr>
        <w:t xml:space="preserve">se </w:t>
      </w:r>
      <w:r>
        <w:rPr>
          <w:rFonts w:ascii="Arial" w:eastAsia="Calibri" w:hAnsi="Arial" w:cs="Arial"/>
          <w:color w:val="000000" w:themeColor="text1"/>
          <w:lang w:val="es-ES"/>
        </w:rPr>
        <w:t>abordarán</w:t>
      </w:r>
      <w:r w:rsidRPr="00504597">
        <w:rPr>
          <w:rFonts w:ascii="Arial" w:eastAsia="Calibri" w:hAnsi="Arial" w:cs="Arial"/>
          <w:color w:val="000000" w:themeColor="text1"/>
          <w:lang w:val="es-ES"/>
        </w:rPr>
        <w:t xml:space="preserve"> los siguientes temas</w:t>
      </w:r>
      <w:r>
        <w:rPr>
          <w:rFonts w:ascii="Arial" w:eastAsia="Calibri" w:hAnsi="Arial" w:cs="Arial"/>
          <w:color w:val="000000" w:themeColor="text1"/>
          <w:lang w:val="es-ES"/>
        </w:rPr>
        <w:t>: i) a</w:t>
      </w:r>
      <w:r w:rsidRPr="00F33A8E">
        <w:rPr>
          <w:rFonts w:ascii="Arial" w:eastAsia="Calibri" w:hAnsi="Arial" w:cs="Arial"/>
          <w:color w:val="000000" w:themeColor="text1"/>
          <w:lang w:val="es-ES"/>
        </w:rPr>
        <w:t>lcance del artículo 58 de la Ley 2195 de 2022: reducción de puntaje por incumplimiento de contratos estatales</w:t>
      </w:r>
      <w:r>
        <w:rPr>
          <w:rFonts w:ascii="Arial" w:eastAsia="Calibri" w:hAnsi="Arial" w:cs="Arial"/>
          <w:color w:val="000000" w:themeColor="text1"/>
          <w:lang w:val="es-ES"/>
        </w:rPr>
        <w:t xml:space="preserve">; </w:t>
      </w:r>
      <w:proofErr w:type="spellStart"/>
      <w:r>
        <w:rPr>
          <w:rFonts w:ascii="Arial" w:eastAsia="Calibri" w:hAnsi="Arial" w:cs="Arial"/>
          <w:color w:val="000000" w:themeColor="text1"/>
          <w:lang w:val="es-ES"/>
        </w:rPr>
        <w:t>ii</w:t>
      </w:r>
      <w:proofErr w:type="spellEnd"/>
      <w:r>
        <w:rPr>
          <w:rFonts w:ascii="Arial" w:eastAsia="Calibri" w:hAnsi="Arial" w:cs="Arial"/>
          <w:color w:val="000000" w:themeColor="text1"/>
          <w:lang w:val="es-ES"/>
        </w:rPr>
        <w:t xml:space="preserve">) </w:t>
      </w:r>
      <w:r w:rsidR="00B51236">
        <w:rPr>
          <w:rFonts w:ascii="Arial" w:eastAsia="Calibri" w:hAnsi="Arial" w:cs="Arial"/>
          <w:color w:val="000000" w:themeColor="text1"/>
          <w:lang w:val="es-ES"/>
        </w:rPr>
        <w:t>p</w:t>
      </w:r>
      <w:r w:rsidRPr="00F33A8E">
        <w:rPr>
          <w:rFonts w:ascii="Arial" w:eastAsia="Calibri" w:hAnsi="Arial" w:cs="Arial"/>
          <w:color w:val="000000" w:themeColor="text1"/>
          <w:lang w:val="es-ES"/>
        </w:rPr>
        <w:t>rocedimiento administrativo sancionatorio contractual</w:t>
      </w:r>
      <w:r w:rsidR="00A7361E">
        <w:rPr>
          <w:rFonts w:ascii="Arial" w:eastAsia="Calibri" w:hAnsi="Arial" w:cs="Arial"/>
          <w:color w:val="000000" w:themeColor="text1"/>
          <w:lang w:val="es-ES"/>
        </w:rPr>
        <w:t xml:space="preserve"> - a</w:t>
      </w:r>
      <w:r w:rsidRPr="00F33A8E">
        <w:rPr>
          <w:rFonts w:ascii="Arial" w:eastAsia="Calibri" w:hAnsi="Arial" w:cs="Arial"/>
          <w:color w:val="000000" w:themeColor="text1"/>
          <w:lang w:val="es-ES"/>
        </w:rPr>
        <w:t>rtículo 86 de la Ley 1474 de 2011</w:t>
      </w:r>
      <w:r w:rsidR="00950C37">
        <w:rPr>
          <w:rFonts w:ascii="Arial" w:eastAsia="Calibri" w:hAnsi="Arial" w:cs="Arial"/>
          <w:color w:val="000000" w:themeColor="text1"/>
          <w:lang w:val="es-ES"/>
        </w:rPr>
        <w:t xml:space="preserve">; </w:t>
      </w:r>
      <w:proofErr w:type="spellStart"/>
      <w:r w:rsidR="00950C37">
        <w:rPr>
          <w:rFonts w:ascii="Arial" w:eastAsia="Calibri" w:hAnsi="Arial" w:cs="Arial"/>
          <w:color w:val="000000" w:themeColor="text1"/>
          <w:lang w:val="es-ES"/>
        </w:rPr>
        <w:t>iii</w:t>
      </w:r>
      <w:proofErr w:type="spellEnd"/>
      <w:r w:rsidR="00950C37">
        <w:rPr>
          <w:rFonts w:ascii="Arial" w:eastAsia="Calibri" w:hAnsi="Arial" w:cs="Arial"/>
          <w:color w:val="000000" w:themeColor="text1"/>
          <w:lang w:val="es-ES"/>
        </w:rPr>
        <w:t xml:space="preserve">) </w:t>
      </w:r>
      <w:r w:rsidR="003604CF" w:rsidRPr="003604CF">
        <w:rPr>
          <w:rFonts w:ascii="Arial" w:hAnsi="Arial" w:cs="Arial"/>
          <w:lang w:val="es-ES_tradnl"/>
        </w:rPr>
        <w:t>g</w:t>
      </w:r>
      <w:r w:rsidR="003821B4" w:rsidRPr="003604CF">
        <w:rPr>
          <w:rFonts w:ascii="Arial" w:hAnsi="Arial" w:cs="Arial"/>
          <w:lang w:val="es-ES_tradnl"/>
        </w:rPr>
        <w:t>arantías en la contratación estatal</w:t>
      </w:r>
      <w:r w:rsidR="00632E47" w:rsidRPr="003604CF">
        <w:rPr>
          <w:rFonts w:ascii="Arial" w:hAnsi="Arial" w:cs="Arial"/>
          <w:lang w:val="es-ES_tradnl"/>
        </w:rPr>
        <w:t xml:space="preserve">: </w:t>
      </w:r>
      <w:r w:rsidR="003821B4" w:rsidRPr="003604CF">
        <w:rPr>
          <w:rFonts w:ascii="Arial" w:hAnsi="Arial" w:cs="Arial"/>
          <w:lang w:val="es-ES_tradnl"/>
        </w:rPr>
        <w:t>estabilidad y calidad de la obra</w:t>
      </w:r>
      <w:r w:rsidR="003821B4" w:rsidRPr="003604CF">
        <w:rPr>
          <w:rFonts w:ascii="Arial" w:eastAsia="Calibri" w:hAnsi="Arial" w:cs="Arial"/>
          <w:color w:val="000000" w:themeColor="text1"/>
          <w:lang w:val="es-ES_tradnl"/>
        </w:rPr>
        <w:t>;</w:t>
      </w:r>
      <w:r w:rsidR="003821B4">
        <w:rPr>
          <w:rFonts w:ascii="Arial" w:eastAsia="Calibri" w:hAnsi="Arial" w:cs="Arial"/>
          <w:b/>
          <w:bCs/>
          <w:color w:val="000000" w:themeColor="text1"/>
          <w:lang w:val="es-ES_tradnl"/>
        </w:rPr>
        <w:t xml:space="preserve"> </w:t>
      </w:r>
      <w:r w:rsidR="003821B4" w:rsidRPr="003224C3">
        <w:rPr>
          <w:rFonts w:ascii="Arial" w:eastAsia="Calibri" w:hAnsi="Arial" w:cs="Arial"/>
          <w:color w:val="000000" w:themeColor="text1"/>
          <w:lang w:val="es-ES_tradnl"/>
        </w:rPr>
        <w:t xml:space="preserve">y </w:t>
      </w:r>
      <w:proofErr w:type="spellStart"/>
      <w:r w:rsidR="003821B4" w:rsidRPr="003224C3">
        <w:rPr>
          <w:rFonts w:ascii="Arial" w:eastAsia="Calibri" w:hAnsi="Arial" w:cs="Arial"/>
          <w:color w:val="000000" w:themeColor="text1"/>
          <w:lang w:val="es-ES_tradnl"/>
        </w:rPr>
        <w:t>iv</w:t>
      </w:r>
      <w:proofErr w:type="spellEnd"/>
      <w:r w:rsidR="003821B4" w:rsidRPr="003224C3">
        <w:rPr>
          <w:rFonts w:ascii="Arial" w:eastAsia="Calibri" w:hAnsi="Arial" w:cs="Arial"/>
          <w:color w:val="000000" w:themeColor="text1"/>
          <w:lang w:val="es-ES_tradnl"/>
        </w:rPr>
        <w:t>)</w:t>
      </w:r>
      <w:r w:rsidR="00EC535D" w:rsidRPr="003224C3">
        <w:rPr>
          <w:rFonts w:ascii="Arial" w:eastAsia="Calibri" w:hAnsi="Arial" w:cs="Arial"/>
          <w:color w:val="000000" w:themeColor="text1"/>
          <w:lang w:val="es-ES_tradnl"/>
        </w:rPr>
        <w:t xml:space="preserve"> </w:t>
      </w:r>
      <w:r w:rsidR="004B5531" w:rsidRPr="004B5531">
        <w:rPr>
          <w:rFonts w:ascii="Arial" w:eastAsia="Calibri" w:hAnsi="Arial" w:cs="Arial"/>
          <w:color w:val="000000" w:themeColor="text1"/>
          <w:lang w:val="es-ES_tradnl"/>
        </w:rPr>
        <w:t>p</w:t>
      </w:r>
      <w:r w:rsidR="009A2C18" w:rsidRPr="004B5531">
        <w:rPr>
          <w:rFonts w:ascii="Arial" w:eastAsia="Calibri" w:hAnsi="Arial" w:cs="Arial"/>
          <w:color w:val="000000" w:themeColor="text1"/>
          <w:lang w:val="es-ES_tradnl"/>
        </w:rPr>
        <w:t>rocedimiento para declarar el siniestro en los contratos estatales regulados por el Estatuto General de Contratación de la Administración Pública</w:t>
      </w:r>
      <w:r w:rsidR="004B5531" w:rsidRPr="004B5531">
        <w:rPr>
          <w:rFonts w:ascii="Arial" w:eastAsia="Calibri" w:hAnsi="Arial" w:cs="Arial"/>
          <w:color w:val="000000" w:themeColor="text1"/>
          <w:lang w:val="es-ES_tradnl"/>
        </w:rPr>
        <w:t xml:space="preserve"> - </w:t>
      </w:r>
      <w:r w:rsidR="0001793B" w:rsidRPr="004B5531">
        <w:rPr>
          <w:rFonts w:ascii="Arial" w:eastAsia="Calibri" w:hAnsi="Arial" w:cs="Arial"/>
          <w:color w:val="000000" w:themeColor="text1"/>
          <w:lang w:val="es-ES_tradnl"/>
        </w:rPr>
        <w:t>debido proceso administrativo.</w:t>
      </w:r>
    </w:p>
    <w:p w14:paraId="782B8FE5" w14:textId="77777777" w:rsidR="0001793B" w:rsidRPr="0097215F" w:rsidRDefault="0001793B" w:rsidP="005F44BC">
      <w:pPr>
        <w:spacing w:line="276" w:lineRule="auto"/>
        <w:contextualSpacing/>
        <w:jc w:val="both"/>
        <w:rPr>
          <w:rFonts w:ascii="Arial" w:eastAsia="Arial" w:hAnsi="Arial" w:cs="Arial"/>
        </w:rPr>
      </w:pPr>
    </w:p>
    <w:p w14:paraId="3BA74FF3" w14:textId="77777777" w:rsidR="006E389F" w:rsidRDefault="001B5DC9" w:rsidP="004E2934">
      <w:pPr>
        <w:spacing w:line="276" w:lineRule="auto"/>
        <w:ind w:firstLine="708"/>
        <w:jc w:val="both"/>
        <w:rPr>
          <w:rFonts w:ascii="Arial" w:eastAsia="Arial" w:hAnsi="Arial" w:cs="Arial"/>
        </w:rPr>
      </w:pPr>
      <w:r w:rsidRPr="0097215F">
        <w:rPr>
          <w:rFonts w:ascii="Arial" w:eastAsia="Arial" w:hAnsi="Arial" w:cs="Arial"/>
        </w:rPr>
        <w:t>La Agencia Nacional de Contratación Pública – Colombia Compra Eficiente, en los conceptos C-147 del 17 de marzo de 2020, C-219 del 29 de abril de 2020, C-434 del 29 de julio de 2020, C-569 del 31 de agosto de 2020, C-641 del 4 de noviembre de 2020, C-060 del 8 de marzo de 2021</w:t>
      </w:r>
      <w:r w:rsidR="00E11901">
        <w:rPr>
          <w:rFonts w:ascii="Arial" w:eastAsia="Arial" w:hAnsi="Arial" w:cs="Arial"/>
        </w:rPr>
        <w:t xml:space="preserve">, </w:t>
      </w:r>
      <w:r w:rsidRPr="0097215F">
        <w:rPr>
          <w:rFonts w:ascii="Arial" w:eastAsia="Arial" w:hAnsi="Arial" w:cs="Arial"/>
        </w:rPr>
        <w:t>C-528 del 5 de abril de 2021</w:t>
      </w:r>
      <w:r w:rsidR="005A6FF1">
        <w:rPr>
          <w:rFonts w:ascii="Arial" w:eastAsia="Arial" w:hAnsi="Arial" w:cs="Arial"/>
        </w:rPr>
        <w:t xml:space="preserve">, </w:t>
      </w:r>
      <w:r w:rsidR="00B74DFD">
        <w:rPr>
          <w:rFonts w:ascii="Arial" w:eastAsia="Arial" w:hAnsi="Arial" w:cs="Arial"/>
        </w:rPr>
        <w:t>C-</w:t>
      </w:r>
      <w:r w:rsidR="00860940">
        <w:rPr>
          <w:rFonts w:ascii="Arial" w:eastAsia="Arial" w:hAnsi="Arial" w:cs="Arial"/>
        </w:rPr>
        <w:t>40 de 2 de marzo de 2022, C-866 de 20 de diciembre de 2022, C-890 de 13 de febrero de 2023, entre otros,</w:t>
      </w:r>
      <w:r w:rsidRPr="0097215F">
        <w:rPr>
          <w:rFonts w:ascii="Arial" w:eastAsia="Arial" w:hAnsi="Arial" w:cs="Arial"/>
        </w:rPr>
        <w:t xml:space="preserve"> estudió la potestad sancionatoria de las entidades estatales y el procedimiento administrativo que deben efectuar para declarar el incumplimiento y aplicar las sanciones correspondientes, destacando la necesidad de garantizar el debido proceso. Asimismo, en los conceptos C-035 y C-040 del 2 de marzo de 2022, C-061 del 8 de marzo de 2022, C-088 del 22 de marzo de 2022, C-120 del 22 de marzo de 2022, C-125 del 24 de marzo de 2022, C-143 del 31 de marzo de 2022, C-162 del 5 de abril de 2022, C-193 del 12 de abril de 2022, C-194 del 12 de abril de 2022, C-208 del 27 de abril de 2022, C-085 del 29 de abril de 2022, C-265 del 4 de mayo de 2022, C-278 del 9 de mayo de 2022</w:t>
      </w:r>
      <w:r w:rsidR="00467BC0">
        <w:rPr>
          <w:rFonts w:ascii="Arial" w:eastAsia="Arial" w:hAnsi="Arial" w:cs="Arial"/>
        </w:rPr>
        <w:t xml:space="preserve"> y C-563 de 8 de septiembre de 2022</w:t>
      </w:r>
      <w:r w:rsidRPr="0097215F">
        <w:rPr>
          <w:rFonts w:ascii="Arial" w:eastAsia="Arial" w:hAnsi="Arial" w:cs="Arial"/>
        </w:rPr>
        <w:t xml:space="preserve"> analizó el alcance del artículo 58 de la Ley 2195 de 2022</w:t>
      </w:r>
      <w:r w:rsidR="006E389F">
        <w:rPr>
          <w:rFonts w:ascii="Arial" w:eastAsia="Arial" w:hAnsi="Arial" w:cs="Arial"/>
        </w:rPr>
        <w:t>.</w:t>
      </w:r>
    </w:p>
    <w:p w14:paraId="1E5A8900" w14:textId="5F86F242" w:rsidR="001B5DC9" w:rsidRPr="0097215F" w:rsidRDefault="006E389F" w:rsidP="004E2934">
      <w:pPr>
        <w:spacing w:line="276" w:lineRule="auto"/>
        <w:ind w:firstLine="708"/>
        <w:jc w:val="both"/>
        <w:rPr>
          <w:rFonts w:ascii="Arial" w:eastAsia="Arial" w:hAnsi="Arial" w:cs="Arial"/>
        </w:rPr>
      </w:pPr>
      <w:r>
        <w:rPr>
          <w:rFonts w:ascii="Arial" w:eastAsia="Arial" w:hAnsi="Arial" w:cs="Arial"/>
        </w:rPr>
        <w:t xml:space="preserve">Por su parte, </w:t>
      </w:r>
      <w:r w:rsidR="00837981">
        <w:rPr>
          <w:rFonts w:ascii="Arial" w:eastAsia="Calibri" w:hAnsi="Arial" w:cs="Arial"/>
          <w:color w:val="000000" w:themeColor="text1"/>
        </w:rPr>
        <w:t xml:space="preserve">en </w:t>
      </w:r>
      <w:r w:rsidR="00D650D4">
        <w:rPr>
          <w:rFonts w:ascii="Arial" w:eastAsia="Calibri" w:hAnsi="Arial" w:cs="Arial"/>
          <w:color w:val="000000" w:themeColor="text1"/>
        </w:rPr>
        <w:t>los con</w:t>
      </w:r>
      <w:r w:rsidR="00837981">
        <w:rPr>
          <w:rFonts w:ascii="Arial" w:eastAsia="Calibri" w:hAnsi="Arial" w:cs="Arial"/>
          <w:color w:val="000000" w:themeColor="text1"/>
        </w:rPr>
        <w:t>cepto</w:t>
      </w:r>
      <w:r w:rsidR="00D650D4">
        <w:rPr>
          <w:rFonts w:ascii="Arial" w:eastAsia="Calibri" w:hAnsi="Arial" w:cs="Arial"/>
          <w:color w:val="000000" w:themeColor="text1"/>
        </w:rPr>
        <w:t>s</w:t>
      </w:r>
      <w:r w:rsidR="00837981">
        <w:rPr>
          <w:rFonts w:ascii="Arial" w:eastAsia="Calibri" w:hAnsi="Arial" w:cs="Arial"/>
          <w:color w:val="000000" w:themeColor="text1"/>
        </w:rPr>
        <w:t xml:space="preserve"> C-001 del 23 de abril de 2020 y C- 080 </w:t>
      </w:r>
      <w:r w:rsidR="00C86A71">
        <w:rPr>
          <w:rFonts w:ascii="Arial" w:eastAsia="Calibri" w:hAnsi="Arial" w:cs="Arial"/>
          <w:color w:val="000000" w:themeColor="text1"/>
        </w:rPr>
        <w:t>de 8 de abril de 2021</w:t>
      </w:r>
      <w:r w:rsidR="00D650D4">
        <w:rPr>
          <w:rFonts w:ascii="Arial" w:eastAsia="Calibri" w:hAnsi="Arial" w:cs="Arial"/>
          <w:color w:val="000000" w:themeColor="text1"/>
        </w:rPr>
        <w:t xml:space="preserve"> esta Agencia </w:t>
      </w:r>
      <w:r w:rsidR="00837981">
        <w:rPr>
          <w:rFonts w:ascii="Arial" w:eastAsia="Calibri" w:hAnsi="Arial" w:cs="Arial"/>
          <w:color w:val="000000" w:themeColor="text1"/>
        </w:rPr>
        <w:t>explicó el procedimiento aplicable para el siniestro del amparo de estabilidad de la obra</w:t>
      </w:r>
      <w:r w:rsidR="00CD7727">
        <w:rPr>
          <w:rStyle w:val="Refdenotaalpie"/>
          <w:rFonts w:ascii="Arial" w:eastAsia="Arial" w:hAnsi="Arial" w:cs="Arial"/>
        </w:rPr>
        <w:footnoteReference w:id="2"/>
      </w:r>
      <w:r w:rsidR="001B5DC9" w:rsidRPr="0097215F">
        <w:rPr>
          <w:rFonts w:ascii="Arial" w:eastAsia="Arial" w:hAnsi="Arial" w:cs="Arial"/>
        </w:rPr>
        <w:t>. Las ideas expuestas en dichas oportunidades se reiteran a continuación</w:t>
      </w:r>
      <w:r w:rsidR="00C7141A">
        <w:rPr>
          <w:rFonts w:ascii="Arial" w:eastAsia="Arial" w:hAnsi="Arial" w:cs="Arial"/>
        </w:rPr>
        <w:t xml:space="preserve"> y se complementan en lo pertinente</w:t>
      </w:r>
      <w:r w:rsidR="001B5DC9" w:rsidRPr="0097215F">
        <w:rPr>
          <w:rFonts w:ascii="Arial" w:eastAsia="Arial" w:hAnsi="Arial" w:cs="Arial"/>
        </w:rPr>
        <w:t>.</w:t>
      </w:r>
    </w:p>
    <w:p w14:paraId="372953BB" w14:textId="4095DA83" w:rsidR="001B5DC9" w:rsidRPr="0097215F" w:rsidRDefault="001B5DC9" w:rsidP="005F44BC">
      <w:pPr>
        <w:spacing w:line="276" w:lineRule="auto"/>
        <w:contextualSpacing/>
        <w:jc w:val="both"/>
        <w:rPr>
          <w:rFonts w:ascii="Arial" w:eastAsia="Arial" w:hAnsi="Arial" w:cs="Arial"/>
          <w:b/>
        </w:rPr>
      </w:pPr>
      <w:bookmarkStart w:id="1" w:name="30j0zll" w:colFirst="0" w:colLast="0"/>
      <w:bookmarkEnd w:id="1"/>
      <w:r w:rsidRPr="0097215F">
        <w:rPr>
          <w:rFonts w:ascii="Arial" w:eastAsia="Arial" w:hAnsi="Arial" w:cs="Arial"/>
          <w:b/>
        </w:rPr>
        <w:t xml:space="preserve">2.1. </w:t>
      </w:r>
      <w:bookmarkStart w:id="2" w:name="_Hlk132663939"/>
      <w:r w:rsidRPr="0097215F">
        <w:rPr>
          <w:rFonts w:ascii="Arial" w:eastAsia="Arial" w:hAnsi="Arial" w:cs="Arial"/>
          <w:b/>
        </w:rPr>
        <w:t>Alcance del artículo 58 de la Ley 2195 de 2022: reducción de puntaje por incumplimiento de contratos estatales</w:t>
      </w:r>
      <w:bookmarkEnd w:id="2"/>
      <w:r w:rsidR="00B33243">
        <w:rPr>
          <w:rFonts w:ascii="Arial" w:eastAsia="Arial" w:hAnsi="Arial" w:cs="Arial"/>
          <w:b/>
        </w:rPr>
        <w:t xml:space="preserve"> – reiteración de línea.</w:t>
      </w:r>
    </w:p>
    <w:p w14:paraId="477E0114" w14:textId="77777777" w:rsidR="001B5DC9" w:rsidRPr="0097215F" w:rsidRDefault="001B5DC9" w:rsidP="005F44BC">
      <w:pPr>
        <w:spacing w:line="276" w:lineRule="auto"/>
        <w:contextualSpacing/>
        <w:jc w:val="both"/>
        <w:rPr>
          <w:rFonts w:ascii="Arial" w:eastAsia="Arial" w:hAnsi="Arial" w:cs="Arial"/>
        </w:rPr>
      </w:pPr>
    </w:p>
    <w:p w14:paraId="319A9CA5" w14:textId="6DC664D8" w:rsidR="001B5DC9" w:rsidRPr="0097215F" w:rsidRDefault="00514392" w:rsidP="009D29E0">
      <w:pPr>
        <w:spacing w:line="276" w:lineRule="auto"/>
        <w:jc w:val="both"/>
        <w:rPr>
          <w:rFonts w:ascii="Arial" w:eastAsia="Arial" w:hAnsi="Arial" w:cs="Arial"/>
        </w:rPr>
      </w:pPr>
      <w:r>
        <w:rPr>
          <w:rFonts w:ascii="Arial" w:eastAsia="Arial" w:hAnsi="Arial" w:cs="Arial"/>
        </w:rPr>
        <w:t xml:space="preserve">La </w:t>
      </w:r>
      <w:r w:rsidR="001B5DC9" w:rsidRPr="0097215F">
        <w:rPr>
          <w:rFonts w:ascii="Arial" w:eastAsia="Arial" w:hAnsi="Arial" w:cs="Arial"/>
        </w:rPr>
        <w:t>Ley 2195 de 2022,</w:t>
      </w:r>
      <w:r w:rsidR="0047677A">
        <w:rPr>
          <w:rFonts w:ascii="Arial" w:eastAsia="Calibri" w:hAnsi="Arial" w:cs="Arial"/>
          <w:bCs/>
          <w:lang w:val="es-ES_tradnl"/>
        </w:rPr>
        <w:t xml:space="preserve"> </w:t>
      </w:r>
      <w:r w:rsidR="00580F7E">
        <w:rPr>
          <w:rFonts w:ascii="Arial" w:eastAsia="Calibri" w:hAnsi="Arial" w:cs="Arial"/>
          <w:bCs/>
          <w:lang w:val="es-ES_tradnl"/>
        </w:rPr>
        <w:t>“</w:t>
      </w:r>
      <w:r w:rsidR="001B5DC9" w:rsidRPr="00442108">
        <w:rPr>
          <w:rFonts w:ascii="Arial" w:eastAsia="Calibri" w:hAnsi="Arial" w:cs="Arial"/>
          <w:bCs/>
          <w:i/>
          <w:iCs/>
          <w:lang w:val="es-ES_tradnl"/>
        </w:rPr>
        <w:t>Por medio de la cual se adoptan medidas en materia de transparencia, prevención y lucha contra la corrupción y se dictan otras disposiciones</w:t>
      </w:r>
      <w:r w:rsidR="00580F7E">
        <w:rPr>
          <w:rFonts w:ascii="Arial" w:eastAsia="Calibri" w:hAnsi="Arial" w:cs="Arial"/>
          <w:bCs/>
          <w:lang w:val="es-ES_tradnl"/>
        </w:rPr>
        <w:t>”</w:t>
      </w:r>
      <w:r w:rsidR="00442108">
        <w:rPr>
          <w:rFonts w:ascii="Arial" w:eastAsia="Calibri" w:hAnsi="Arial" w:cs="Arial"/>
          <w:bCs/>
          <w:lang w:val="es-ES_tradnl"/>
        </w:rPr>
        <w:t>,</w:t>
      </w:r>
      <w:r w:rsidR="00997143">
        <w:rPr>
          <w:rFonts w:ascii="Arial" w:eastAsia="Calibri" w:hAnsi="Arial" w:cs="Arial"/>
          <w:bCs/>
          <w:lang w:val="es-ES_tradnl"/>
        </w:rPr>
        <w:t xml:space="preserve"> </w:t>
      </w:r>
      <w:r w:rsidR="0047677A">
        <w:rPr>
          <w:rFonts w:ascii="Arial" w:eastAsia="Arial" w:hAnsi="Arial" w:cs="Arial"/>
          <w:lang w:val="es-ES_tradnl"/>
        </w:rPr>
        <w:t xml:space="preserve">dispuso en su artículo 58 lo concerniente a </w:t>
      </w:r>
      <w:r w:rsidR="001B5DC9" w:rsidRPr="0097215F">
        <w:rPr>
          <w:rFonts w:ascii="Arial" w:eastAsia="Arial" w:hAnsi="Arial" w:cs="Arial"/>
        </w:rPr>
        <w:t>la reducción de puntaje por incumplimiento de contratos</w:t>
      </w:r>
      <w:r w:rsidR="00442108">
        <w:rPr>
          <w:rFonts w:ascii="Arial" w:eastAsia="Arial" w:hAnsi="Arial" w:cs="Arial"/>
        </w:rPr>
        <w:t>. S</w:t>
      </w:r>
      <w:r w:rsidR="009D29E0">
        <w:rPr>
          <w:rFonts w:ascii="Arial" w:eastAsia="Arial" w:hAnsi="Arial" w:cs="Arial"/>
        </w:rPr>
        <w:t>egún su t</w:t>
      </w:r>
      <w:r w:rsidR="001B5DC9" w:rsidRPr="0097215F">
        <w:rPr>
          <w:rFonts w:ascii="Arial" w:eastAsia="Arial" w:hAnsi="Arial" w:cs="Arial"/>
        </w:rPr>
        <w:t xml:space="preserve">rámite legislativo, </w:t>
      </w:r>
      <w:r w:rsidR="009D29E0">
        <w:rPr>
          <w:rFonts w:ascii="Arial" w:eastAsia="Arial" w:hAnsi="Arial" w:cs="Arial"/>
        </w:rPr>
        <w:t>con su incorporación se</w:t>
      </w:r>
      <w:r w:rsidR="001B5DC9" w:rsidRPr="0097215F">
        <w:rPr>
          <w:rFonts w:ascii="Arial" w:eastAsia="Arial" w:hAnsi="Arial" w:cs="Arial"/>
        </w:rPr>
        <w:t xml:space="preserve"> </w:t>
      </w:r>
      <w:r w:rsidR="00580F7E">
        <w:rPr>
          <w:rFonts w:ascii="Arial" w:eastAsia="Arial" w:hAnsi="Arial" w:cs="Arial"/>
        </w:rPr>
        <w:t>“</w:t>
      </w:r>
      <w:r w:rsidR="001B5DC9" w:rsidRPr="0097215F">
        <w:rPr>
          <w:rFonts w:ascii="Arial" w:eastAsia="Arial" w:hAnsi="Arial" w:cs="Arial"/>
        </w:rPr>
        <w:t xml:space="preserve">[...] busca que la competencia por el mercado de los contratos públicos tenga como variable los antecedentes contractuales de los proponentes, generándose </w:t>
      </w:r>
      <w:r w:rsidR="001B5DC9" w:rsidRPr="0097215F">
        <w:rPr>
          <w:rFonts w:ascii="Arial" w:eastAsia="Arial" w:hAnsi="Arial" w:cs="Arial"/>
        </w:rPr>
        <w:lastRenderedPageBreak/>
        <w:t>incentivos para la calidad en los servicios y bienes provistos</w:t>
      </w:r>
      <w:r w:rsidR="00580F7E">
        <w:rPr>
          <w:rFonts w:ascii="Arial" w:eastAsia="Arial" w:hAnsi="Arial" w:cs="Arial"/>
        </w:rPr>
        <w:t>”</w:t>
      </w:r>
      <w:r w:rsidR="001B5DC9" w:rsidRPr="0097215F">
        <w:rPr>
          <w:rFonts w:ascii="Arial" w:eastAsia="Arial" w:hAnsi="Arial" w:cs="Arial"/>
          <w:vertAlign w:val="superscript"/>
        </w:rPr>
        <w:footnoteReference w:id="3"/>
      </w:r>
      <w:r w:rsidR="001B5DC9" w:rsidRPr="0097215F">
        <w:rPr>
          <w:rFonts w:ascii="Arial" w:eastAsia="Arial" w:hAnsi="Arial" w:cs="Arial"/>
        </w:rPr>
        <w:t>. Por ello, esta disposición se refiere a la reducción de puntaje durante la evaluación de las ofertas al proponente que se le haya impuesto una o más multas o cláusulas penales, prescribiendo lo siguiente:</w:t>
      </w:r>
    </w:p>
    <w:p w14:paraId="06F1904E" w14:textId="6349F23C" w:rsidR="001B5DC9" w:rsidRPr="009C5E41" w:rsidRDefault="00BC7B96" w:rsidP="009C5E41">
      <w:pPr>
        <w:spacing w:line="240" w:lineRule="auto"/>
        <w:ind w:left="709" w:right="709"/>
        <w:contextualSpacing/>
        <w:jc w:val="both"/>
        <w:rPr>
          <w:rFonts w:ascii="Arial" w:eastAsia="Arial" w:hAnsi="Arial" w:cs="Arial"/>
          <w:sz w:val="21"/>
          <w:szCs w:val="21"/>
        </w:rPr>
      </w:pPr>
      <w:r w:rsidRPr="009C5E41">
        <w:rPr>
          <w:rFonts w:ascii="Arial" w:eastAsia="Arial" w:hAnsi="Arial" w:cs="Arial"/>
          <w:sz w:val="21"/>
          <w:szCs w:val="21"/>
        </w:rPr>
        <w:t>“</w:t>
      </w:r>
      <w:r w:rsidR="009C5E41" w:rsidRPr="009C5E41">
        <w:rPr>
          <w:rFonts w:ascii="Arial" w:eastAsia="Arial" w:hAnsi="Arial" w:cs="Arial"/>
          <w:sz w:val="21"/>
          <w:szCs w:val="21"/>
        </w:rPr>
        <w:t xml:space="preserve">Artículo 58. Reducción de puntaje por incumplimiento de contratos. </w:t>
      </w:r>
      <w:r w:rsidR="001B5DC9" w:rsidRPr="009C5E41">
        <w:rPr>
          <w:rFonts w:ascii="Arial" w:eastAsia="Arial" w:hAnsi="Arial" w:cs="Arial"/>
          <w:sz w:val="21"/>
          <w:szCs w:val="21"/>
        </w:rPr>
        <w:t xml:space="preserve">Las entidades estatales sometidas al Estatuto General de Contratación de la Administración Pública que adelanten cualquier Proceso de Contratación, exceptuando los supuestos establecidos en el literal a) del numeral 2 del artículo 2 de la Ley 1150 de 2007, en los de mínima cuantía y en aquellos donde únicamente se pondere el menor precio ofrecido, deberán reducir durante la evaluación de las ofertas en la etapa precontractual el dos por ciento (2%) del total de los puntos establecidos en el proceso a los proponentes que se les haya impuesto una o más multas o cláusulas penales durante el último año, contado a partir de la fecha prevista para la presentación de las ofertas, sin importar la cuantía y sin perjuicio de las demás consecuencias derivadas del incumplimiento. </w:t>
      </w:r>
    </w:p>
    <w:p w14:paraId="7C39C56B" w14:textId="77777777" w:rsidR="001B5DC9" w:rsidRPr="009C5E41" w:rsidRDefault="001B5DC9" w:rsidP="009C5E41">
      <w:pPr>
        <w:spacing w:line="240" w:lineRule="auto"/>
        <w:ind w:left="709" w:right="709"/>
        <w:contextualSpacing/>
        <w:jc w:val="both"/>
        <w:rPr>
          <w:rFonts w:ascii="Arial" w:eastAsia="Arial" w:hAnsi="Arial" w:cs="Arial"/>
          <w:sz w:val="21"/>
          <w:szCs w:val="21"/>
        </w:rPr>
      </w:pPr>
    </w:p>
    <w:p w14:paraId="4F5785D8" w14:textId="77777777" w:rsidR="001B5DC9" w:rsidRPr="009C5E41" w:rsidRDefault="001B5DC9" w:rsidP="009C5E41">
      <w:pPr>
        <w:spacing w:line="240" w:lineRule="auto"/>
        <w:ind w:left="709" w:right="709"/>
        <w:contextualSpacing/>
        <w:jc w:val="both"/>
        <w:rPr>
          <w:rFonts w:ascii="Arial" w:eastAsia="Arial" w:hAnsi="Arial" w:cs="Arial"/>
          <w:sz w:val="21"/>
          <w:szCs w:val="21"/>
        </w:rPr>
      </w:pPr>
      <w:r w:rsidRPr="009C5E41">
        <w:rPr>
          <w:rFonts w:ascii="Arial" w:eastAsia="Arial" w:hAnsi="Arial" w:cs="Arial"/>
          <w:sz w:val="21"/>
          <w:szCs w:val="21"/>
        </w:rPr>
        <w:t xml:space="preserve">Esta reducción también afecta a los consorcios y uniones temporales si alguno de sus integrantes se encuentra en la situación anterior. </w:t>
      </w:r>
    </w:p>
    <w:p w14:paraId="6BB67F91" w14:textId="77777777" w:rsidR="001B5DC9" w:rsidRPr="009C5E41" w:rsidRDefault="001B5DC9" w:rsidP="009C5E41">
      <w:pPr>
        <w:spacing w:line="240" w:lineRule="auto"/>
        <w:ind w:left="709" w:right="709"/>
        <w:contextualSpacing/>
        <w:jc w:val="both"/>
        <w:rPr>
          <w:rFonts w:ascii="Arial" w:eastAsia="Arial" w:hAnsi="Arial" w:cs="Arial"/>
          <w:sz w:val="21"/>
          <w:szCs w:val="21"/>
        </w:rPr>
      </w:pPr>
    </w:p>
    <w:p w14:paraId="5348BE2F" w14:textId="77777777" w:rsidR="001B5DC9" w:rsidRPr="009C5E41" w:rsidRDefault="001B5DC9" w:rsidP="009C5E41">
      <w:pPr>
        <w:spacing w:line="240" w:lineRule="auto"/>
        <w:ind w:left="709" w:right="709"/>
        <w:contextualSpacing/>
        <w:jc w:val="both"/>
        <w:rPr>
          <w:rFonts w:ascii="Arial" w:eastAsia="Arial" w:hAnsi="Arial" w:cs="Arial"/>
          <w:sz w:val="21"/>
          <w:szCs w:val="21"/>
        </w:rPr>
      </w:pPr>
      <w:r w:rsidRPr="009C5E41">
        <w:rPr>
          <w:rFonts w:ascii="Arial" w:eastAsia="Arial" w:hAnsi="Arial" w:cs="Arial"/>
          <w:sz w:val="21"/>
          <w:szCs w:val="21"/>
        </w:rPr>
        <w:t xml:space="preserve">Parágrafo primero. La reducción del puntaje no se aplicará en caso de que los actos administrativos que hayan impuesto las multas sean objeto de medios de control jurisdiccional a través de las acciones previstas en la Ley 1437 de 2011 o las normas que la modifiquen, adicionen o sustituyan. </w:t>
      </w:r>
    </w:p>
    <w:p w14:paraId="28B4E91E" w14:textId="77777777" w:rsidR="001B5DC9" w:rsidRPr="009C5E41" w:rsidRDefault="001B5DC9" w:rsidP="009C5E41">
      <w:pPr>
        <w:spacing w:line="240" w:lineRule="auto"/>
        <w:ind w:left="709" w:right="709"/>
        <w:contextualSpacing/>
        <w:jc w:val="both"/>
        <w:rPr>
          <w:rFonts w:ascii="Arial" w:eastAsia="Arial" w:hAnsi="Arial" w:cs="Arial"/>
          <w:sz w:val="21"/>
          <w:szCs w:val="21"/>
        </w:rPr>
      </w:pPr>
    </w:p>
    <w:p w14:paraId="3F5FE7C9" w14:textId="1641E4A4" w:rsidR="001B5DC9" w:rsidRPr="009C5E41" w:rsidRDefault="001B5DC9" w:rsidP="009C5E41">
      <w:pPr>
        <w:spacing w:line="240" w:lineRule="auto"/>
        <w:ind w:left="709" w:right="709"/>
        <w:contextualSpacing/>
        <w:jc w:val="both"/>
        <w:rPr>
          <w:rFonts w:ascii="Arial" w:eastAsia="Arial" w:hAnsi="Arial" w:cs="Arial"/>
          <w:sz w:val="21"/>
          <w:szCs w:val="21"/>
        </w:rPr>
      </w:pPr>
      <w:r w:rsidRPr="009C5E41">
        <w:rPr>
          <w:rFonts w:ascii="Arial" w:eastAsia="Arial" w:hAnsi="Arial" w:cs="Arial"/>
          <w:sz w:val="21"/>
          <w:szCs w:val="21"/>
        </w:rPr>
        <w:t>Parágrafo segundo. La reducción de puntaje por incumplimiento de contratos se aplicará sin perjuicio de lo contenido en el artículo 6 de la Ley 2020 de 2020.</w:t>
      </w:r>
      <w:r w:rsidR="00BC7B96" w:rsidRPr="009C5E41">
        <w:rPr>
          <w:rFonts w:ascii="Arial" w:eastAsia="Arial" w:hAnsi="Arial" w:cs="Arial"/>
          <w:sz w:val="21"/>
          <w:szCs w:val="21"/>
        </w:rPr>
        <w:t>”</w:t>
      </w:r>
    </w:p>
    <w:p w14:paraId="5D4BD339" w14:textId="77777777" w:rsidR="001B5DC9" w:rsidRPr="0097215F" w:rsidRDefault="001B5DC9" w:rsidP="005F44BC">
      <w:pPr>
        <w:spacing w:line="276" w:lineRule="auto"/>
        <w:ind w:left="709" w:right="709"/>
        <w:contextualSpacing/>
        <w:jc w:val="both"/>
        <w:rPr>
          <w:rFonts w:ascii="Arial" w:eastAsia="Arial" w:hAnsi="Arial" w:cs="Arial"/>
        </w:rPr>
      </w:pPr>
    </w:p>
    <w:p w14:paraId="40F31D4E" w14:textId="49726BB3" w:rsidR="001B5DC9" w:rsidRPr="0097215F" w:rsidRDefault="001B5DC9" w:rsidP="005F44BC">
      <w:pPr>
        <w:spacing w:line="276" w:lineRule="auto"/>
        <w:ind w:firstLine="709"/>
        <w:jc w:val="both"/>
        <w:rPr>
          <w:rFonts w:ascii="Arial" w:eastAsia="Arial" w:hAnsi="Arial" w:cs="Arial"/>
        </w:rPr>
      </w:pPr>
      <w:r w:rsidRPr="0097215F">
        <w:rPr>
          <w:rFonts w:ascii="Arial" w:eastAsia="Arial" w:hAnsi="Arial" w:cs="Arial"/>
        </w:rPr>
        <w:t xml:space="preserve">Como puede advertirse, esta disposición contiene varias las reglas para su efectiva aplicación, las cuales </w:t>
      </w:r>
      <w:r w:rsidR="00FE31E4">
        <w:rPr>
          <w:rFonts w:ascii="Arial" w:eastAsia="Arial" w:hAnsi="Arial" w:cs="Arial"/>
        </w:rPr>
        <w:t xml:space="preserve">han sido desarrolladas por esta Agencia en conceptos anteriores, los cuales </w:t>
      </w:r>
      <w:r w:rsidRPr="0097215F">
        <w:rPr>
          <w:rFonts w:ascii="Arial" w:eastAsia="Arial" w:hAnsi="Arial" w:cs="Arial"/>
        </w:rPr>
        <w:t xml:space="preserve">se proceden a </w:t>
      </w:r>
      <w:r w:rsidR="00FE31E4">
        <w:rPr>
          <w:rFonts w:ascii="Arial" w:eastAsia="Arial" w:hAnsi="Arial" w:cs="Arial"/>
        </w:rPr>
        <w:t xml:space="preserve">reiterar y </w:t>
      </w:r>
      <w:r w:rsidRPr="0097215F">
        <w:rPr>
          <w:rFonts w:ascii="Arial" w:eastAsia="Arial" w:hAnsi="Arial" w:cs="Arial"/>
        </w:rPr>
        <w:t>explicar a continuación:</w:t>
      </w:r>
    </w:p>
    <w:p w14:paraId="49B80CE1" w14:textId="77777777" w:rsidR="001B5DC9" w:rsidRPr="0097215F" w:rsidRDefault="001B5DC9" w:rsidP="005F44BC">
      <w:pPr>
        <w:spacing w:line="276" w:lineRule="auto"/>
        <w:ind w:firstLine="709"/>
        <w:jc w:val="both"/>
        <w:rPr>
          <w:rFonts w:ascii="Arial" w:eastAsia="Arial" w:hAnsi="Arial" w:cs="Arial"/>
        </w:rPr>
      </w:pPr>
      <w:r w:rsidRPr="0097215F">
        <w:rPr>
          <w:rFonts w:ascii="Arial" w:eastAsia="Arial" w:hAnsi="Arial" w:cs="Arial"/>
          <w:i/>
          <w:iCs/>
        </w:rPr>
        <w:t>i)</w:t>
      </w:r>
      <w:r w:rsidRPr="0097215F">
        <w:rPr>
          <w:rFonts w:ascii="Arial" w:eastAsia="Arial" w:hAnsi="Arial" w:cs="Arial"/>
        </w:rPr>
        <w:t xml:space="preserve"> </w:t>
      </w:r>
      <w:bookmarkStart w:id="3" w:name="_Hlk113469941"/>
      <w:r w:rsidRPr="0097215F">
        <w:rPr>
          <w:rFonts w:ascii="Arial" w:eastAsia="Arial" w:hAnsi="Arial" w:cs="Arial"/>
        </w:rPr>
        <w:t>Las entidades estatales sometidas al Estatuto General de Contratación de la Administración Pública –no las entidades exceptuadas de este o que tienen un régimen especial de contratación– deberán, por regla general, aplicar la reducción del puntaje establecido en el citado artículo 58, en los procedimientos de selección que adelanten.</w:t>
      </w:r>
      <w:bookmarkEnd w:id="3"/>
    </w:p>
    <w:p w14:paraId="34D301E2" w14:textId="6B0E28D0" w:rsidR="001B5DC9" w:rsidRPr="0097215F" w:rsidRDefault="001B5DC9" w:rsidP="005F44BC">
      <w:pPr>
        <w:spacing w:line="276" w:lineRule="auto"/>
        <w:ind w:firstLine="709"/>
        <w:jc w:val="both"/>
        <w:rPr>
          <w:rFonts w:ascii="Arial" w:eastAsia="Arial" w:hAnsi="Arial" w:cs="Arial"/>
        </w:rPr>
      </w:pPr>
      <w:proofErr w:type="spellStart"/>
      <w:r w:rsidRPr="0097215F">
        <w:rPr>
          <w:rFonts w:ascii="Arial" w:eastAsia="Arial" w:hAnsi="Arial" w:cs="Arial"/>
          <w:i/>
          <w:iCs/>
        </w:rPr>
        <w:t>ii</w:t>
      </w:r>
      <w:proofErr w:type="spellEnd"/>
      <w:r w:rsidRPr="0097215F">
        <w:rPr>
          <w:rFonts w:ascii="Arial" w:eastAsia="Arial" w:hAnsi="Arial" w:cs="Arial"/>
          <w:i/>
          <w:iCs/>
        </w:rPr>
        <w:t>)</w:t>
      </w:r>
      <w:r w:rsidRPr="0097215F">
        <w:rPr>
          <w:rFonts w:ascii="Arial" w:eastAsia="Arial" w:hAnsi="Arial" w:cs="Arial"/>
        </w:rPr>
        <w:t xml:space="preserve"> Sin embargo, el deber de reducción del puntaje, para las entidades sometidas al Estatuto General de Contratación de la Administración Pública, previsto en el artículo que se viene comentando, tiene algunas excepciones. Los supuestos en los que no opera dicha disminución son los consagrados en el primer inciso del artículo 58, esto es, los </w:t>
      </w:r>
      <w:r w:rsidR="00580F7E">
        <w:rPr>
          <w:rFonts w:ascii="Arial" w:eastAsia="Arial" w:hAnsi="Arial" w:cs="Arial"/>
        </w:rPr>
        <w:t>“</w:t>
      </w:r>
      <w:r w:rsidRPr="0097215F">
        <w:rPr>
          <w:rFonts w:ascii="Arial" w:eastAsia="Arial" w:hAnsi="Arial" w:cs="Arial"/>
        </w:rPr>
        <w:t xml:space="preserve">establecidos en </w:t>
      </w:r>
      <w:r w:rsidRPr="0097215F">
        <w:rPr>
          <w:rFonts w:ascii="Arial" w:eastAsia="Arial" w:hAnsi="Arial" w:cs="Arial"/>
        </w:rPr>
        <w:lastRenderedPageBreak/>
        <w:t>el literal a) del numeral 2 del artículo 2 de la Ley 1150 de 2007</w:t>
      </w:r>
      <w:r w:rsidRPr="0097215F">
        <w:rPr>
          <w:rFonts w:ascii="Arial" w:eastAsia="Arial" w:hAnsi="Arial" w:cs="Arial"/>
          <w:vertAlign w:val="superscript"/>
        </w:rPr>
        <w:footnoteReference w:id="4"/>
      </w:r>
      <w:r w:rsidRPr="0097215F">
        <w:rPr>
          <w:rFonts w:ascii="Arial" w:eastAsia="Arial" w:hAnsi="Arial" w:cs="Arial"/>
        </w:rPr>
        <w:t>, en los de mínima cuantía y en aquellos donde únicamente se pondere el menor precio ofrecido</w:t>
      </w:r>
      <w:r w:rsidR="00580F7E">
        <w:rPr>
          <w:rFonts w:ascii="Arial" w:eastAsia="Arial" w:hAnsi="Arial" w:cs="Arial"/>
        </w:rPr>
        <w:t>”</w:t>
      </w:r>
      <w:r w:rsidRPr="0097215F">
        <w:rPr>
          <w:rFonts w:ascii="Arial" w:eastAsia="Arial" w:hAnsi="Arial" w:cs="Arial"/>
        </w:rPr>
        <w:t>.</w:t>
      </w:r>
    </w:p>
    <w:p w14:paraId="1DFC1564" w14:textId="77777777" w:rsidR="001B5DC9" w:rsidRPr="0097215F" w:rsidRDefault="001B5DC9" w:rsidP="005F44BC">
      <w:pPr>
        <w:spacing w:line="276" w:lineRule="auto"/>
        <w:ind w:firstLine="709"/>
        <w:jc w:val="both"/>
        <w:rPr>
          <w:rFonts w:ascii="Arial" w:eastAsia="Arial" w:hAnsi="Arial" w:cs="Arial"/>
        </w:rPr>
      </w:pPr>
      <w:proofErr w:type="spellStart"/>
      <w:r w:rsidRPr="0097215F">
        <w:rPr>
          <w:rFonts w:ascii="Arial" w:eastAsia="Arial" w:hAnsi="Arial" w:cs="Arial"/>
          <w:i/>
          <w:iCs/>
        </w:rPr>
        <w:t>iii</w:t>
      </w:r>
      <w:proofErr w:type="spellEnd"/>
      <w:r w:rsidRPr="0097215F">
        <w:rPr>
          <w:rFonts w:ascii="Arial" w:eastAsia="Arial" w:hAnsi="Arial" w:cs="Arial"/>
          <w:i/>
          <w:iCs/>
        </w:rPr>
        <w:t>)</w:t>
      </w:r>
      <w:r w:rsidRPr="0097215F">
        <w:rPr>
          <w:rFonts w:ascii="Arial" w:eastAsia="Arial" w:hAnsi="Arial" w:cs="Arial"/>
        </w:rPr>
        <w:t xml:space="preserve"> </w:t>
      </w:r>
      <w:bookmarkStart w:id="4" w:name="_Hlk113470006"/>
      <w:r w:rsidRPr="0097215F">
        <w:rPr>
          <w:rFonts w:ascii="Arial" w:eastAsia="Arial" w:hAnsi="Arial" w:cs="Arial"/>
        </w:rPr>
        <w:t xml:space="preserve">La reducción del puntaje ordenada por la norma debe practicarse durante la evaluación de las ofertas en la etapa precontractual y debe ser equivalente al dos por ciento (2%) del total de los puntos establecidos en el proceso. Es importante precisar que, el artículo no utiliza la preposición </w:t>
      </w:r>
      <w:r w:rsidRPr="0097215F">
        <w:rPr>
          <w:rFonts w:ascii="Arial" w:eastAsia="Arial" w:hAnsi="Arial" w:cs="Arial"/>
          <w:i/>
        </w:rPr>
        <w:t>hasta</w:t>
      </w:r>
      <w:r w:rsidRPr="0097215F">
        <w:rPr>
          <w:rFonts w:ascii="Arial" w:eastAsia="Arial" w:hAnsi="Arial" w:cs="Arial"/>
        </w:rPr>
        <w:t xml:space="preserve">, ni dice que debe ser, </w:t>
      </w:r>
      <w:r w:rsidRPr="0097215F">
        <w:rPr>
          <w:rFonts w:ascii="Arial" w:eastAsia="Arial" w:hAnsi="Arial" w:cs="Arial"/>
          <w:i/>
        </w:rPr>
        <w:t>como mínimo</w:t>
      </w:r>
      <w:r w:rsidRPr="0097215F">
        <w:rPr>
          <w:rFonts w:ascii="Arial" w:eastAsia="Arial" w:hAnsi="Arial" w:cs="Arial"/>
        </w:rPr>
        <w:t xml:space="preserve">, una reducción del dos por ciento (2%) de los puntos, sino que establece que ha de ser, exactamente, por este porcentaje, por lo que las entidades no pueden fijar un porcentaje menor al señalado. </w:t>
      </w:r>
    </w:p>
    <w:bookmarkEnd w:id="4"/>
    <w:p w14:paraId="6ACD7272" w14:textId="6B063222" w:rsidR="001B5DC9" w:rsidRPr="0097215F" w:rsidRDefault="001B5DC9" w:rsidP="005F44BC">
      <w:pPr>
        <w:spacing w:line="276" w:lineRule="auto"/>
        <w:ind w:firstLine="709"/>
        <w:jc w:val="both"/>
        <w:rPr>
          <w:rFonts w:ascii="Arial" w:eastAsia="Arial" w:hAnsi="Arial" w:cs="Arial"/>
        </w:rPr>
      </w:pPr>
      <w:proofErr w:type="spellStart"/>
      <w:r w:rsidRPr="0097215F">
        <w:rPr>
          <w:rFonts w:ascii="Arial" w:eastAsia="Arial" w:hAnsi="Arial" w:cs="Arial"/>
          <w:i/>
          <w:iCs/>
        </w:rPr>
        <w:t>iv</w:t>
      </w:r>
      <w:proofErr w:type="spellEnd"/>
      <w:r w:rsidRPr="0097215F">
        <w:rPr>
          <w:rFonts w:ascii="Arial" w:eastAsia="Arial" w:hAnsi="Arial" w:cs="Arial"/>
          <w:i/>
          <w:iCs/>
        </w:rPr>
        <w:t>)</w:t>
      </w:r>
      <w:r w:rsidRPr="0097215F">
        <w:rPr>
          <w:rFonts w:ascii="Arial" w:eastAsia="Arial" w:hAnsi="Arial" w:cs="Arial"/>
        </w:rPr>
        <w:t xml:space="preserve"> </w:t>
      </w:r>
      <w:bookmarkStart w:id="5" w:name="_Hlk113470026"/>
      <w:r w:rsidRPr="0097215F">
        <w:rPr>
          <w:rFonts w:ascii="Arial" w:eastAsia="Arial" w:hAnsi="Arial" w:cs="Arial"/>
        </w:rPr>
        <w:t xml:space="preserve">Los sujetos pasivos –es decir, los afectados por lo dispuesto en el artículo– son los proponentes –incluidos los consorcios y uniones temporales, por la situación de alguno de sus integrantes– a quienes </w:t>
      </w:r>
      <w:r w:rsidR="00580F7E">
        <w:rPr>
          <w:rFonts w:ascii="Arial" w:eastAsia="Arial" w:hAnsi="Arial" w:cs="Arial"/>
        </w:rPr>
        <w:t>“</w:t>
      </w:r>
      <w:r w:rsidRPr="0097215F">
        <w:rPr>
          <w:rFonts w:ascii="Arial" w:eastAsia="Arial" w:hAnsi="Arial" w:cs="Arial"/>
        </w:rPr>
        <w:t>[…] se les haya impuesto una o más multas o cláusulas penales durante el último año, contado a partir de la fecha prevista para la presentación de las ofertas, sin importar la cuantía y sin perjuicio de las demás consecuencias derivadas del incumplimiento</w:t>
      </w:r>
      <w:r w:rsidR="00580F7E">
        <w:rPr>
          <w:rFonts w:ascii="Arial" w:eastAsia="Arial" w:hAnsi="Arial" w:cs="Arial"/>
        </w:rPr>
        <w:t>”</w:t>
      </w:r>
      <w:r w:rsidRPr="0097215F">
        <w:rPr>
          <w:rFonts w:ascii="Arial" w:eastAsia="Arial" w:hAnsi="Arial" w:cs="Arial"/>
        </w:rPr>
        <w:t xml:space="preserve">. Por ende, para desentrañar el sentido de este enunciado normativo debe acudirse al artículo 17 de la Ley 1150 de 2007, que regula la potestad de las entidades estatales sometidas al Estatuto General de Contratación de la Administración Pública de declarar el incumplimiento contractual, para decretar multas o hacer efectivas cláusulas penales pecuniarias. Así pues, la reducción del puntaje exigido por el artículo 58 de la Ley 2195 de 2022 no se aplica en aquellos eventos en los cuales una </w:t>
      </w:r>
      <w:r w:rsidR="0060294B">
        <w:rPr>
          <w:rFonts w:ascii="Arial" w:eastAsia="Arial" w:hAnsi="Arial" w:cs="Arial"/>
        </w:rPr>
        <w:t>Entidad Estatal</w:t>
      </w:r>
      <w:r w:rsidRPr="0097215F">
        <w:rPr>
          <w:rFonts w:ascii="Arial" w:eastAsia="Arial" w:hAnsi="Arial" w:cs="Arial"/>
        </w:rPr>
        <w:t xml:space="preserve"> realiza un requerimiento a un contratista, sin imponer una multa o cláusula penal pecuniaria, como podría suceder en algunos supuestos de declaratoria de siniestros</w:t>
      </w:r>
      <w:r w:rsidR="009A7829">
        <w:rPr>
          <w:rFonts w:ascii="Arial" w:eastAsia="Arial" w:hAnsi="Arial" w:cs="Arial"/>
        </w:rPr>
        <w:t xml:space="preserve"> donde</w:t>
      </w:r>
      <w:r w:rsidRPr="0097215F">
        <w:rPr>
          <w:rFonts w:ascii="Arial" w:eastAsia="Arial" w:hAnsi="Arial" w:cs="Arial"/>
        </w:rPr>
        <w:t xml:space="preserve"> la efectividad de las garantías no siempre está condicionada por el incumplimiento</w:t>
      </w:r>
      <w:bookmarkEnd w:id="5"/>
      <w:r w:rsidR="009A7829">
        <w:rPr>
          <w:rFonts w:ascii="Arial" w:eastAsia="Arial" w:hAnsi="Arial" w:cs="Arial"/>
        </w:rPr>
        <w:t xml:space="preserve">, </w:t>
      </w:r>
      <w:r w:rsidR="00250C5C">
        <w:rPr>
          <w:rFonts w:ascii="Arial" w:eastAsia="Arial" w:hAnsi="Arial" w:cs="Arial"/>
        </w:rPr>
        <w:t>por ejemplo en</w:t>
      </w:r>
      <w:r w:rsidR="009A7829">
        <w:rPr>
          <w:rFonts w:ascii="Arial" w:eastAsia="Arial" w:hAnsi="Arial" w:cs="Arial"/>
        </w:rPr>
        <w:t xml:space="preserve"> la garantía de estabilidad</w:t>
      </w:r>
      <w:r w:rsidR="00250C5C">
        <w:rPr>
          <w:rFonts w:ascii="Arial" w:eastAsia="Arial" w:hAnsi="Arial" w:cs="Arial"/>
        </w:rPr>
        <w:t xml:space="preserve"> y calidad de la obra, como se expondrá más adelante.</w:t>
      </w:r>
    </w:p>
    <w:p w14:paraId="66AC6670" w14:textId="07516741" w:rsidR="001B5DC9" w:rsidRPr="0097215F" w:rsidRDefault="001B5DC9" w:rsidP="005F44BC">
      <w:pPr>
        <w:spacing w:line="276" w:lineRule="auto"/>
        <w:ind w:firstLine="709"/>
        <w:jc w:val="both"/>
        <w:rPr>
          <w:rFonts w:ascii="Arial" w:eastAsia="Arial" w:hAnsi="Arial" w:cs="Arial"/>
        </w:rPr>
      </w:pPr>
      <w:r w:rsidRPr="0097215F">
        <w:rPr>
          <w:rFonts w:ascii="Arial" w:eastAsia="Arial" w:hAnsi="Arial" w:cs="Arial"/>
          <w:i/>
          <w:iCs/>
        </w:rPr>
        <w:t>v)</w:t>
      </w:r>
      <w:r w:rsidRPr="0097215F">
        <w:rPr>
          <w:rFonts w:ascii="Arial" w:eastAsia="Arial" w:hAnsi="Arial" w:cs="Arial"/>
        </w:rPr>
        <w:t xml:space="preserve"> En cuanto al período durante el cual debe examinarse la imposición de las multas o cláusulas penales, el artículo 58 dice que es </w:t>
      </w:r>
      <w:r w:rsidR="00580F7E">
        <w:rPr>
          <w:rFonts w:ascii="Arial" w:eastAsia="Arial" w:hAnsi="Arial" w:cs="Arial"/>
        </w:rPr>
        <w:t>“</w:t>
      </w:r>
      <w:r w:rsidRPr="0097215F">
        <w:rPr>
          <w:rFonts w:ascii="Arial" w:eastAsia="Arial" w:hAnsi="Arial" w:cs="Arial"/>
        </w:rPr>
        <w:t>[…] durante el último año, contado a partir de la fecha prevista para la presentación de las ofertas</w:t>
      </w:r>
      <w:r w:rsidR="00580F7E">
        <w:rPr>
          <w:rFonts w:ascii="Arial" w:eastAsia="Arial" w:hAnsi="Arial" w:cs="Arial"/>
        </w:rPr>
        <w:t>”</w:t>
      </w:r>
      <w:r w:rsidRPr="0097215F">
        <w:rPr>
          <w:rFonts w:ascii="Arial" w:eastAsia="Arial" w:hAnsi="Arial" w:cs="Arial"/>
        </w:rPr>
        <w:t xml:space="preserve">. O sea que la </w:t>
      </w:r>
      <w:r w:rsidR="0060294B">
        <w:rPr>
          <w:rFonts w:ascii="Arial" w:eastAsia="Arial" w:hAnsi="Arial" w:cs="Arial"/>
        </w:rPr>
        <w:t>Entidad Estatal</w:t>
      </w:r>
      <w:r w:rsidRPr="0097215F">
        <w:rPr>
          <w:rFonts w:ascii="Arial" w:eastAsia="Arial" w:hAnsi="Arial" w:cs="Arial"/>
        </w:rPr>
        <w:t xml:space="preserve"> que está adelantando el procedimiento de selección debe verificar si en el último año anterior al cierre del proceso –fecha prevista para la presentación de las ofertas– el proponente fue sancionado con multa o cláusula penal pecuniaria. Esta situación se debe verificar en el Registro Único de Proponentes –RUP–, de conformidad con lo establecido en el numeral 6.2 del artículo 6 de la Ley 1150 de 2007, según el cual </w:t>
      </w:r>
      <w:r w:rsidR="00580F7E">
        <w:rPr>
          <w:rFonts w:ascii="Arial" w:eastAsia="Arial" w:hAnsi="Arial" w:cs="Arial"/>
        </w:rPr>
        <w:t>“</w:t>
      </w:r>
      <w:r w:rsidRPr="0097215F">
        <w:rPr>
          <w:rFonts w:ascii="Arial" w:eastAsia="Arial" w:hAnsi="Arial" w:cs="Arial"/>
        </w:rPr>
        <w:t xml:space="preserve">Las entidades estatales enviarán mensualmente a la Cámara de Comercio de su domicilio, la información concerniente a los contratos, su cuantía, cumplimiento, </w:t>
      </w:r>
      <w:r w:rsidRPr="0097215F">
        <w:rPr>
          <w:rFonts w:ascii="Arial" w:eastAsia="Arial" w:hAnsi="Arial" w:cs="Arial"/>
          <w:i/>
        </w:rPr>
        <w:lastRenderedPageBreak/>
        <w:t>multas y sanciones</w:t>
      </w:r>
      <w:r w:rsidRPr="0097215F">
        <w:rPr>
          <w:rFonts w:ascii="Arial" w:eastAsia="Arial" w:hAnsi="Arial" w:cs="Arial"/>
        </w:rPr>
        <w:t xml:space="preserve"> relacionadas con los contratos que hayan sido adjudicados, los que se encuentren en ejecución y los ejecutados</w:t>
      </w:r>
      <w:r w:rsidR="00580F7E">
        <w:rPr>
          <w:rFonts w:ascii="Arial" w:eastAsia="Arial" w:hAnsi="Arial" w:cs="Arial"/>
        </w:rPr>
        <w:t>”</w:t>
      </w:r>
      <w:r w:rsidRPr="0097215F">
        <w:rPr>
          <w:rFonts w:ascii="Arial" w:eastAsia="Arial" w:hAnsi="Arial" w:cs="Arial"/>
        </w:rPr>
        <w:t xml:space="preserve"> (énfasis fuera de texto).</w:t>
      </w:r>
    </w:p>
    <w:p w14:paraId="42990233" w14:textId="764BA309" w:rsidR="00F92BDE" w:rsidRDefault="001B5DC9" w:rsidP="005F44BC">
      <w:pPr>
        <w:spacing w:line="276" w:lineRule="auto"/>
        <w:ind w:firstLine="709"/>
        <w:jc w:val="both"/>
        <w:rPr>
          <w:rFonts w:ascii="Arial" w:eastAsia="Arial" w:hAnsi="Arial" w:cs="Arial"/>
        </w:rPr>
      </w:pPr>
      <w:bookmarkStart w:id="6" w:name="_1fob9te" w:colFirst="0" w:colLast="0"/>
      <w:bookmarkEnd w:id="6"/>
      <w:r w:rsidRPr="0097215F">
        <w:rPr>
          <w:rFonts w:ascii="Arial" w:eastAsia="Arial" w:hAnsi="Arial" w:cs="Arial"/>
          <w:i/>
          <w:iCs/>
        </w:rPr>
        <w:t>vi)</w:t>
      </w:r>
      <w:r w:rsidRPr="0097215F">
        <w:rPr>
          <w:rFonts w:ascii="Arial" w:eastAsia="Arial" w:hAnsi="Arial" w:cs="Arial"/>
        </w:rPr>
        <w:t xml:space="preserve"> </w:t>
      </w:r>
      <w:bookmarkStart w:id="7" w:name="_Hlk113470052"/>
      <w:r w:rsidRPr="0097215F">
        <w:rPr>
          <w:rFonts w:ascii="Arial" w:eastAsia="Arial" w:hAnsi="Arial" w:cs="Arial"/>
        </w:rPr>
        <w:t xml:space="preserve">Si el afectado por la imposición de una o más </w:t>
      </w:r>
      <w:r w:rsidRPr="0097215F">
        <w:rPr>
          <w:rFonts w:ascii="Arial" w:eastAsia="Arial" w:hAnsi="Arial" w:cs="Arial"/>
          <w:i/>
        </w:rPr>
        <w:t>multas</w:t>
      </w:r>
      <w:r w:rsidRPr="0097215F">
        <w:rPr>
          <w:rFonts w:ascii="Arial" w:eastAsia="Arial" w:hAnsi="Arial" w:cs="Arial"/>
          <w:vertAlign w:val="superscript"/>
        </w:rPr>
        <w:footnoteReference w:id="5"/>
      </w:r>
      <w:r w:rsidRPr="0097215F">
        <w:rPr>
          <w:rFonts w:ascii="Arial" w:eastAsia="Arial" w:hAnsi="Arial" w:cs="Arial"/>
        </w:rPr>
        <w:t xml:space="preserve"> demanda la decisión correspondiente, no podrá aplicarse la reducción del puntaje consagrada en el artículo 58 bajo análisis. Esto en atención a lo establecido en el parágrafo 1, el cual indica: </w:t>
      </w:r>
      <w:r w:rsidR="00580F7E">
        <w:rPr>
          <w:rFonts w:ascii="Arial" w:eastAsia="Arial" w:hAnsi="Arial" w:cs="Arial"/>
        </w:rPr>
        <w:t>“</w:t>
      </w:r>
      <w:r w:rsidRPr="0097215F">
        <w:rPr>
          <w:rFonts w:ascii="Arial" w:eastAsia="Arial" w:hAnsi="Arial" w:cs="Arial"/>
        </w:rPr>
        <w:t>La reducción del puntaje no se aplicará en caso de que los actos administrativos que hayan impuesto las multas sean objeto de medios de control jurisdiccional a través de las acciones previstas en la Ley 1437 de 2011 o las normas que la modifiquen, adicionen o sustituyan</w:t>
      </w:r>
      <w:r w:rsidR="00580F7E">
        <w:rPr>
          <w:rFonts w:ascii="Arial" w:eastAsia="Arial" w:hAnsi="Arial" w:cs="Arial"/>
        </w:rPr>
        <w:t>”</w:t>
      </w:r>
      <w:r w:rsidRPr="0097215F">
        <w:rPr>
          <w:rFonts w:ascii="Arial" w:eastAsia="Arial" w:hAnsi="Arial" w:cs="Arial"/>
        </w:rPr>
        <w:t xml:space="preserve">; por ejemplo, si la persona acude al medio de control de controversias contractuales, una de cuyas pretensiones puede ser </w:t>
      </w:r>
      <w:r w:rsidR="00580F7E">
        <w:rPr>
          <w:rFonts w:ascii="Arial" w:eastAsia="Arial" w:hAnsi="Arial" w:cs="Arial"/>
        </w:rPr>
        <w:t>“</w:t>
      </w:r>
      <w:r w:rsidRPr="0097215F">
        <w:rPr>
          <w:rFonts w:ascii="Arial" w:eastAsia="Arial" w:hAnsi="Arial" w:cs="Arial"/>
        </w:rPr>
        <w:t>[…] que se declare la nulidad de los actos administrativos contractuales</w:t>
      </w:r>
      <w:r w:rsidR="00580F7E">
        <w:rPr>
          <w:rFonts w:ascii="Arial" w:eastAsia="Arial" w:hAnsi="Arial" w:cs="Arial"/>
        </w:rPr>
        <w:t>”</w:t>
      </w:r>
      <w:r w:rsidRPr="0097215F">
        <w:rPr>
          <w:rFonts w:ascii="Arial" w:eastAsia="Arial" w:hAnsi="Arial" w:cs="Arial"/>
        </w:rPr>
        <w:t xml:space="preserve">, según lo dispone el artículo 141 de la Ley 1437 de 2011. Valga aclarar que, el artículo 58 no exige que el demandante haya solicitado la medida cautelar de suspensión provisional del acto administrativo. Aunque no exista dicha medida, si se constata que el acto administrativo fue objeto de demanda ante la jurisdicción contenciosa administrativa, la </w:t>
      </w:r>
      <w:r w:rsidR="0060294B">
        <w:rPr>
          <w:rFonts w:ascii="Arial" w:eastAsia="Arial" w:hAnsi="Arial" w:cs="Arial"/>
        </w:rPr>
        <w:t>Entidad Estatal</w:t>
      </w:r>
      <w:r w:rsidRPr="0097215F">
        <w:rPr>
          <w:rFonts w:ascii="Arial" w:eastAsia="Arial" w:hAnsi="Arial" w:cs="Arial"/>
        </w:rPr>
        <w:t xml:space="preserve"> no puede aplicar la reducción del puntaje prevista en el referido artículo.</w:t>
      </w:r>
    </w:p>
    <w:p w14:paraId="4C964F99" w14:textId="624291C4" w:rsidR="001B5DC9" w:rsidRPr="0097215F" w:rsidRDefault="001B5DC9" w:rsidP="00B81190">
      <w:pPr>
        <w:spacing w:line="276" w:lineRule="auto"/>
        <w:ind w:firstLine="709"/>
        <w:jc w:val="both"/>
        <w:rPr>
          <w:rFonts w:ascii="Arial" w:eastAsia="Arial" w:hAnsi="Arial" w:cs="Arial"/>
        </w:rPr>
      </w:pPr>
      <w:r w:rsidRPr="0097215F">
        <w:rPr>
          <w:rFonts w:ascii="Arial" w:eastAsia="Arial" w:hAnsi="Arial" w:cs="Arial"/>
        </w:rPr>
        <w:t xml:space="preserve"> Es importante </w:t>
      </w:r>
      <w:r w:rsidR="00B81190">
        <w:rPr>
          <w:rFonts w:ascii="Arial" w:eastAsia="Arial" w:hAnsi="Arial" w:cs="Arial"/>
        </w:rPr>
        <w:t xml:space="preserve">resaltar que esta Agencia </w:t>
      </w:r>
      <w:r w:rsidR="00547633">
        <w:rPr>
          <w:rFonts w:ascii="Arial" w:eastAsia="Arial" w:hAnsi="Arial" w:cs="Arial"/>
        </w:rPr>
        <w:t>h</w:t>
      </w:r>
      <w:r w:rsidR="00B81190">
        <w:rPr>
          <w:rFonts w:ascii="Arial" w:eastAsia="Arial" w:hAnsi="Arial" w:cs="Arial"/>
        </w:rPr>
        <w:t xml:space="preserve">a indicado que </w:t>
      </w:r>
      <w:r w:rsidRPr="0097215F">
        <w:rPr>
          <w:rFonts w:ascii="Arial" w:eastAsia="Arial" w:hAnsi="Arial" w:cs="Arial"/>
        </w:rPr>
        <w:t>la excepción prevista en el parágrafo frente a la reducción de puntaje solo se estableció en relación con las multas, mas no frente a las cláusulas penales impuestas al contratista, de lo cual se concluye que el legislador optó por realizar una distinción en su tratamiento</w:t>
      </w:r>
      <w:bookmarkEnd w:id="7"/>
      <w:r w:rsidR="00A271CC">
        <w:rPr>
          <w:rFonts w:ascii="Arial" w:eastAsia="Arial" w:hAnsi="Arial" w:cs="Arial"/>
        </w:rPr>
        <w:t>. Asimismo</w:t>
      </w:r>
      <w:r w:rsidR="00B81190">
        <w:rPr>
          <w:rFonts w:ascii="Arial" w:eastAsia="Arial" w:hAnsi="Arial" w:cs="Arial"/>
        </w:rPr>
        <w:t xml:space="preserve">, es importante reiterar </w:t>
      </w:r>
      <w:r w:rsidR="007447AA">
        <w:rPr>
          <w:rFonts w:ascii="Arial" w:eastAsia="Arial" w:hAnsi="Arial" w:cs="Arial"/>
        </w:rPr>
        <w:t>que,</w:t>
      </w:r>
      <w:r w:rsidR="00B81190">
        <w:rPr>
          <w:rFonts w:ascii="Arial" w:eastAsia="Arial" w:hAnsi="Arial" w:cs="Arial"/>
        </w:rPr>
        <w:t xml:space="preserve"> </w:t>
      </w:r>
      <w:r w:rsidRPr="0097215F">
        <w:rPr>
          <w:rFonts w:ascii="Arial" w:eastAsia="Arial" w:hAnsi="Arial" w:cs="Arial"/>
        </w:rPr>
        <w:t xml:space="preserve">para efectos de la aplicación de la excepción, únicamente se tendrán en cuenta los medios de control jurisdiccionales establecidos en la referida Ley, verbigracia nulidad, nulidad y restablecimiento del derecho, controversias contractuales, etc., lo que descartaría otra acción judicial diferente a estas, como, por ejemplo, la acción de tutela. Lo anterior, sin perjuicio de las decisiones particulares que adopte un juez en procesos diferentes a los regulados por la Ley 1437 de 2011 y que pudieran tener incidencia frente a los actos administrativos que impusieron multas, en el desarrollo de tales procesos judiciales. </w:t>
      </w:r>
    </w:p>
    <w:p w14:paraId="3D7874A7" w14:textId="4A28D7DF" w:rsidR="001B5DC9" w:rsidRPr="0097215F" w:rsidRDefault="001B5DC9" w:rsidP="005F44BC">
      <w:pPr>
        <w:spacing w:line="276" w:lineRule="auto"/>
        <w:ind w:firstLine="709"/>
        <w:jc w:val="both"/>
        <w:rPr>
          <w:rFonts w:ascii="Arial" w:eastAsia="Arial" w:hAnsi="Arial" w:cs="Arial"/>
        </w:rPr>
      </w:pPr>
      <w:r w:rsidRPr="0097215F">
        <w:rPr>
          <w:rFonts w:ascii="Arial" w:eastAsia="Arial" w:hAnsi="Arial" w:cs="Arial"/>
        </w:rPr>
        <w:t xml:space="preserve">De acuerdo con lo anterior, la aplicación de la excepción a la reducción de puntaje establecida en el parágrafo 1 del artículo 58 exige que el acto administrativo que impuso la multa efectivamente haya sido sometido a control de legalidad ante la jurisdicción contencioso administrativa, lo que implica que se haya presentado una demanda y se encuentre en trámite el proceso judicial respectivo, sin perjuicio de los requisitos previos que deban cumplirse para ello. Esto además se sustenta en lo dispuesto en el artículo 179 del del Código de Procedimiento Administrativo y de lo Contencioso Administrativo, en el cual se establecen las tres etapas a </w:t>
      </w:r>
      <w:r w:rsidRPr="0097215F">
        <w:rPr>
          <w:rFonts w:ascii="Arial" w:eastAsia="Arial" w:hAnsi="Arial" w:cs="Arial"/>
        </w:rPr>
        <w:lastRenderedPageBreak/>
        <w:t>través de las cuales se deben dirimir los litigios, la primera de las cuales inicia con la presentación de la demanda.</w:t>
      </w:r>
      <w:r w:rsidRPr="0097215F">
        <w:rPr>
          <w:rStyle w:val="Refdenotaalpie"/>
          <w:rFonts w:ascii="Arial" w:eastAsia="Arial" w:hAnsi="Arial" w:cs="Arial"/>
        </w:rPr>
        <w:footnoteReference w:id="6"/>
      </w:r>
      <w:r w:rsidRPr="0097215F">
        <w:rPr>
          <w:rFonts w:ascii="Arial" w:eastAsia="Arial" w:hAnsi="Arial" w:cs="Arial"/>
        </w:rPr>
        <w:t xml:space="preserve">. </w:t>
      </w:r>
      <w:bookmarkStart w:id="10" w:name="_2et92p0" w:colFirst="0" w:colLast="0"/>
      <w:bookmarkEnd w:id="10"/>
      <w:r w:rsidRPr="0097215F">
        <w:rPr>
          <w:rFonts w:ascii="Arial" w:eastAsia="Arial" w:hAnsi="Arial" w:cs="Arial"/>
        </w:rPr>
        <w:t xml:space="preserve">En este sentido, la Ley 1437 de 2011 reconoce como punto de partida del proceso contencioso administrativo la presentación de la demanda, la cual pone en marcha el aparato jurisdiccional. Como lo expresa la doctrina, la demanda </w:t>
      </w:r>
      <w:r w:rsidR="00580F7E">
        <w:rPr>
          <w:rFonts w:ascii="Arial" w:eastAsia="Arial" w:hAnsi="Arial" w:cs="Arial"/>
        </w:rPr>
        <w:t>“</w:t>
      </w:r>
      <w:r w:rsidRPr="0097215F">
        <w:rPr>
          <w:rFonts w:ascii="Arial" w:eastAsia="Arial" w:hAnsi="Arial" w:cs="Arial"/>
        </w:rPr>
        <w:t>es el acto procesal mediante el cual se formula la pretensión; en otras palabras: la demanda es el vehículo que utiliza el demandante para introducir sus pretensiones y poner en marcha el aparato jurisdiccional en ejercicio del derecho de acción</w:t>
      </w:r>
      <w:r w:rsidR="00580F7E">
        <w:rPr>
          <w:rFonts w:ascii="Arial" w:eastAsia="Arial" w:hAnsi="Arial" w:cs="Arial"/>
        </w:rPr>
        <w:t>”</w:t>
      </w:r>
      <w:r w:rsidRPr="0097215F">
        <w:rPr>
          <w:rFonts w:ascii="Arial" w:eastAsia="Arial" w:hAnsi="Arial" w:cs="Arial"/>
          <w:vertAlign w:val="superscript"/>
        </w:rPr>
        <w:footnoteReference w:id="7"/>
      </w:r>
      <w:r w:rsidRPr="0097215F">
        <w:rPr>
          <w:rFonts w:ascii="Arial" w:eastAsia="Arial" w:hAnsi="Arial" w:cs="Arial"/>
        </w:rPr>
        <w:t xml:space="preserve">. </w:t>
      </w:r>
    </w:p>
    <w:p w14:paraId="511FFCDD" w14:textId="77777777" w:rsidR="001B5DC9" w:rsidRPr="0097215F" w:rsidRDefault="001B5DC9" w:rsidP="005F44BC">
      <w:pPr>
        <w:spacing w:line="276" w:lineRule="auto"/>
        <w:ind w:firstLine="709"/>
        <w:jc w:val="both"/>
        <w:rPr>
          <w:rFonts w:ascii="Arial" w:eastAsia="Arial" w:hAnsi="Arial" w:cs="Arial"/>
        </w:rPr>
      </w:pPr>
      <w:bookmarkStart w:id="11" w:name="_Hlk113470149"/>
      <w:r w:rsidRPr="0097215F">
        <w:rPr>
          <w:rFonts w:ascii="Arial" w:eastAsia="Arial" w:hAnsi="Arial" w:cs="Arial"/>
        </w:rPr>
        <w:t xml:space="preserve">Por consiguiente, debe entenderse que para que aplique la excepción del artículo 58 de la Ley 2195 de 2022 el acto administrativo que impuso la multa debe haber sido objeto de demanda ante la jurisdicción contenciosa administrativa, pues desde este momento se da inicio al proceso contencioso administrativo, en los términos del artículo 179 del Código de Procedimiento Administrativo y de lo Contencioso Administrativo y se ha puesto en marcha el aparato jurisdiccional. En tal sentido, para efectos del parágrafo del artículo 58 de la Ley 2195 de 2022, es viable colegir que desde la presentación de la demanda el acto administrativo es objeto del medio de control jurisdiccional respectivo, por lo que no es necesario que la misma se encuentre admitida para la aplicación de la excepción prevista en el parágrafo 1° de la disposición en estudio. </w:t>
      </w:r>
    </w:p>
    <w:bookmarkEnd w:id="11"/>
    <w:p w14:paraId="6E10ED74" w14:textId="484902D5" w:rsidR="001B5DC9" w:rsidRPr="0097215F" w:rsidRDefault="001B5DC9" w:rsidP="005F44BC">
      <w:pPr>
        <w:spacing w:line="276" w:lineRule="auto"/>
        <w:ind w:firstLine="709"/>
        <w:jc w:val="both"/>
        <w:rPr>
          <w:rFonts w:ascii="Arial" w:eastAsia="Arial" w:hAnsi="Arial" w:cs="Arial"/>
        </w:rPr>
      </w:pPr>
      <w:r w:rsidRPr="0097215F">
        <w:rPr>
          <w:rFonts w:ascii="Arial" w:eastAsia="Arial" w:hAnsi="Arial" w:cs="Arial"/>
        </w:rPr>
        <w:t xml:space="preserve">Ahora bien, el parágrafo 1° del artículo 58 de la Ley 2195 de 2022 no requiere, para desplegar su efecto favorable sobre el proponente, que se haya notificado el auto admisorio de la demanda, ni a la entidad que decretó la sanción o las sanciones, ni a la </w:t>
      </w:r>
      <w:r w:rsidR="0060294B">
        <w:rPr>
          <w:rFonts w:ascii="Arial" w:eastAsia="Arial" w:hAnsi="Arial" w:cs="Arial"/>
        </w:rPr>
        <w:t>Entidad Estatal</w:t>
      </w:r>
      <w:r w:rsidRPr="0097215F">
        <w:rPr>
          <w:rFonts w:ascii="Arial" w:eastAsia="Arial" w:hAnsi="Arial" w:cs="Arial"/>
        </w:rPr>
        <w:t xml:space="preserve"> que busca reducirle el puntaje, pues esta no se encuentra legitimada en la causa por pasiva en dicho proceso contencioso-administrativo, al no ser la parte demandada. Lo que tal parágrafo establece es que la reducción de los puntos no se aplicará si los actos que impusieron las multas fueron objeto de los medios de control a través de las </w:t>
      </w:r>
      <w:r w:rsidR="00580F7E">
        <w:rPr>
          <w:rFonts w:ascii="Arial" w:eastAsia="Arial" w:hAnsi="Arial" w:cs="Arial"/>
        </w:rPr>
        <w:t>“</w:t>
      </w:r>
      <w:r w:rsidRPr="0097215F">
        <w:rPr>
          <w:rFonts w:ascii="Arial" w:eastAsia="Arial" w:hAnsi="Arial" w:cs="Arial"/>
        </w:rPr>
        <w:t>acciones</w:t>
      </w:r>
      <w:r w:rsidR="00580F7E">
        <w:rPr>
          <w:rFonts w:ascii="Arial" w:eastAsia="Arial" w:hAnsi="Arial" w:cs="Arial"/>
        </w:rPr>
        <w:t>”</w:t>
      </w:r>
      <w:r w:rsidRPr="0097215F">
        <w:rPr>
          <w:rFonts w:ascii="Arial" w:eastAsia="Arial" w:hAnsi="Arial" w:cs="Arial"/>
        </w:rPr>
        <w:t xml:space="preserve"> correspondientes. Así pues, en el </w:t>
      </w:r>
      <w:r w:rsidRPr="0097215F">
        <w:rPr>
          <w:rFonts w:ascii="Arial" w:eastAsia="Arial" w:hAnsi="Arial" w:cs="Arial"/>
        </w:rPr>
        <w:lastRenderedPageBreak/>
        <w:t xml:space="preserve">evento en el cual el acto administrativo haya sido demandado y aún no se haya notificado el auto admisorio correspondiente, pero el proponente le demuestre a la </w:t>
      </w:r>
      <w:r w:rsidR="0060294B">
        <w:rPr>
          <w:rFonts w:ascii="Arial" w:eastAsia="Arial" w:hAnsi="Arial" w:cs="Arial"/>
        </w:rPr>
        <w:t>Entidad Estatal</w:t>
      </w:r>
      <w:r w:rsidRPr="0097215F">
        <w:rPr>
          <w:rFonts w:ascii="Arial" w:eastAsia="Arial" w:hAnsi="Arial" w:cs="Arial"/>
        </w:rPr>
        <w:t xml:space="preserve"> que ha ejercido su derecho de acción mediante la interposición de la demanda no cabrá la reducción del puntaje.</w:t>
      </w:r>
    </w:p>
    <w:p w14:paraId="00E56910" w14:textId="1DF44F52" w:rsidR="001B5DC9" w:rsidRPr="0097215F" w:rsidRDefault="001B5DC9" w:rsidP="005F44BC">
      <w:pPr>
        <w:spacing w:line="276" w:lineRule="auto"/>
        <w:ind w:firstLine="709"/>
        <w:jc w:val="both"/>
        <w:rPr>
          <w:rFonts w:ascii="Arial" w:eastAsia="Arial" w:hAnsi="Arial" w:cs="Arial"/>
        </w:rPr>
      </w:pPr>
      <w:r w:rsidRPr="0097215F">
        <w:rPr>
          <w:rFonts w:ascii="Arial" w:eastAsia="Arial" w:hAnsi="Arial" w:cs="Arial"/>
        </w:rPr>
        <w:t xml:space="preserve">En todo caso, esta Agencia considera que si el proponente quiere beneficiarse por el efecto del parágrafo 1 del artículo 58 de la Ley 2195 de 2022 debe haber presentado la demanda antes del cierre del procedimiento de selección. Aunque dicho enunciado normativo no lo señala expresamente, aquel debe interpretarse en armonía con el inciso segundo del parágrafo 1° del artículo 5 de la Ley 1150 de 2007, que impide a los proponentes </w:t>
      </w:r>
      <w:r w:rsidR="00580F7E">
        <w:rPr>
          <w:rFonts w:ascii="Arial" w:eastAsia="Arial" w:hAnsi="Arial" w:cs="Arial"/>
        </w:rPr>
        <w:t>“</w:t>
      </w:r>
      <w:r w:rsidRPr="0097215F">
        <w:rPr>
          <w:rFonts w:ascii="Arial" w:eastAsia="Arial" w:hAnsi="Arial" w:cs="Arial"/>
        </w:rPr>
        <w:t>acreditar circunstancias ocurridas con posterioridad al cierre del proceso</w:t>
      </w:r>
      <w:r w:rsidR="00580F7E">
        <w:rPr>
          <w:rFonts w:ascii="Arial" w:eastAsia="Arial" w:hAnsi="Arial" w:cs="Arial"/>
        </w:rPr>
        <w:t>”</w:t>
      </w:r>
      <w:r w:rsidRPr="0097215F">
        <w:rPr>
          <w:rFonts w:ascii="Arial" w:eastAsia="Arial" w:hAnsi="Arial" w:cs="Arial"/>
        </w:rPr>
        <w:t xml:space="preserve">, norma que no circunscribe dicha prohibición a los requisitos habilitantes, sino que lo expresa de manera genérica, debiéndose aplicar, por ende, tanto a los requisitos que no otorgan puntaje, como a los de calificación. Además, permitir que un proponente acredite que, </w:t>
      </w:r>
      <w:r w:rsidRPr="0097215F">
        <w:rPr>
          <w:rFonts w:ascii="Arial" w:eastAsia="Arial" w:hAnsi="Arial" w:cs="Arial"/>
          <w:i/>
        </w:rPr>
        <w:t>después del cierre del procedimiento</w:t>
      </w:r>
      <w:r w:rsidRPr="0097215F">
        <w:rPr>
          <w:rFonts w:ascii="Arial" w:eastAsia="Arial" w:hAnsi="Arial" w:cs="Arial"/>
        </w:rPr>
        <w:t>,</w:t>
      </w:r>
      <w:r w:rsidRPr="0097215F">
        <w:rPr>
          <w:rFonts w:ascii="Arial" w:eastAsia="Arial" w:hAnsi="Arial" w:cs="Arial"/>
          <w:i/>
        </w:rPr>
        <w:t xml:space="preserve"> </w:t>
      </w:r>
      <w:r w:rsidRPr="0097215F">
        <w:rPr>
          <w:rFonts w:ascii="Arial" w:eastAsia="Arial" w:hAnsi="Arial" w:cs="Arial"/>
        </w:rPr>
        <w:t>ha demandado los actos que le impusieron las sanciones sería violatorio del derecho fundamental a la igualdad</w:t>
      </w:r>
      <w:r w:rsidRPr="0097215F">
        <w:rPr>
          <w:rFonts w:ascii="Arial" w:eastAsia="Arial" w:hAnsi="Arial" w:cs="Arial"/>
          <w:vertAlign w:val="superscript"/>
        </w:rPr>
        <w:footnoteReference w:id="8"/>
      </w:r>
      <w:r w:rsidRPr="0097215F">
        <w:rPr>
          <w:rFonts w:ascii="Arial" w:eastAsia="Arial" w:hAnsi="Arial" w:cs="Arial"/>
        </w:rPr>
        <w:t xml:space="preserve"> de los demás </w:t>
      </w:r>
      <w:r w:rsidRPr="0097215F">
        <w:rPr>
          <w:rFonts w:ascii="Arial" w:eastAsia="Arial" w:hAnsi="Arial" w:cs="Arial"/>
        </w:rPr>
        <w:lastRenderedPageBreak/>
        <w:t xml:space="preserve">proponentes, porque implicaría un </w:t>
      </w:r>
      <w:r w:rsidRPr="0097215F">
        <w:rPr>
          <w:rFonts w:ascii="Arial" w:eastAsia="Arial" w:hAnsi="Arial" w:cs="Arial"/>
          <w:i/>
        </w:rPr>
        <w:t>mejoramiento</w:t>
      </w:r>
      <w:r w:rsidRPr="0097215F">
        <w:rPr>
          <w:rFonts w:ascii="Arial" w:eastAsia="Arial" w:hAnsi="Arial" w:cs="Arial"/>
        </w:rPr>
        <w:t xml:space="preserve"> de la oferta</w:t>
      </w:r>
      <w:r w:rsidRPr="0097215F">
        <w:rPr>
          <w:rFonts w:ascii="Arial" w:eastAsia="Arial" w:hAnsi="Arial" w:cs="Arial"/>
          <w:vertAlign w:val="superscript"/>
        </w:rPr>
        <w:footnoteReference w:id="9"/>
      </w:r>
      <w:r w:rsidRPr="0097215F">
        <w:rPr>
          <w:rFonts w:ascii="Arial" w:eastAsia="Arial" w:hAnsi="Arial" w:cs="Arial"/>
        </w:rPr>
        <w:t xml:space="preserve"> por parte de quien se afectaría por la reducción del puntaje.   </w:t>
      </w:r>
    </w:p>
    <w:p w14:paraId="7BFC2DCD" w14:textId="00649546" w:rsidR="001B5DC9" w:rsidRPr="0097215F" w:rsidRDefault="001B5DC9" w:rsidP="005F44BC">
      <w:pPr>
        <w:spacing w:line="276" w:lineRule="auto"/>
        <w:ind w:firstLine="709"/>
        <w:jc w:val="both"/>
        <w:rPr>
          <w:rFonts w:ascii="Arial" w:eastAsia="Arial" w:hAnsi="Arial" w:cs="Arial"/>
        </w:rPr>
      </w:pPr>
      <w:proofErr w:type="spellStart"/>
      <w:r w:rsidRPr="0097215F">
        <w:rPr>
          <w:rFonts w:ascii="Arial" w:eastAsia="Arial" w:hAnsi="Arial" w:cs="Arial"/>
          <w:i/>
          <w:iCs/>
        </w:rPr>
        <w:t>vii</w:t>
      </w:r>
      <w:proofErr w:type="spellEnd"/>
      <w:r w:rsidRPr="0097215F">
        <w:rPr>
          <w:rFonts w:ascii="Arial" w:eastAsia="Arial" w:hAnsi="Arial" w:cs="Arial"/>
          <w:i/>
          <w:iCs/>
        </w:rPr>
        <w:t>)</w:t>
      </w:r>
      <w:r w:rsidRPr="0097215F">
        <w:rPr>
          <w:rFonts w:ascii="Arial" w:eastAsia="Arial" w:hAnsi="Arial" w:cs="Arial"/>
        </w:rPr>
        <w:t xml:space="preserve"> La reducción del puntaje que exige efectuar el artículo 58 de la Ley 2195 de 2022, como lo expresa su parágrafo 2, debe aplicarse </w:t>
      </w:r>
      <w:r w:rsidR="00580F7E">
        <w:rPr>
          <w:rFonts w:ascii="Arial" w:eastAsia="Arial" w:hAnsi="Arial" w:cs="Arial"/>
        </w:rPr>
        <w:t>“</w:t>
      </w:r>
      <w:r w:rsidRPr="0097215F">
        <w:rPr>
          <w:rFonts w:ascii="Arial" w:eastAsia="Arial" w:hAnsi="Arial" w:cs="Arial"/>
        </w:rPr>
        <w:t>sin perjuicio de lo contenido en el artículo 6 de la Ley 2020 de 2020</w:t>
      </w:r>
      <w:r w:rsidR="00580F7E">
        <w:rPr>
          <w:rFonts w:ascii="Arial" w:eastAsia="Arial" w:hAnsi="Arial" w:cs="Arial"/>
        </w:rPr>
        <w:t>”</w:t>
      </w:r>
      <w:r w:rsidRPr="0097215F">
        <w:rPr>
          <w:rFonts w:ascii="Arial" w:eastAsia="Arial" w:hAnsi="Arial" w:cs="Arial"/>
          <w:vertAlign w:val="superscript"/>
        </w:rPr>
        <w:footnoteReference w:id="10"/>
      </w:r>
      <w:r w:rsidRPr="0097215F">
        <w:rPr>
          <w:rFonts w:ascii="Arial" w:eastAsia="Arial" w:hAnsi="Arial" w:cs="Arial"/>
        </w:rPr>
        <w:t>. Esto significa que la disminución del puntaje no riñe con la verificación de las anotaciones contenidas en el Registro Nacional de Obras Civiles Inconclusas.</w:t>
      </w:r>
    </w:p>
    <w:p w14:paraId="7CA00F23" w14:textId="4588B756" w:rsidR="00676472" w:rsidRPr="0097215F" w:rsidRDefault="001B5DC9" w:rsidP="006907F4">
      <w:pPr>
        <w:spacing w:line="276" w:lineRule="auto"/>
        <w:ind w:firstLine="709"/>
        <w:jc w:val="both"/>
        <w:rPr>
          <w:rFonts w:ascii="Arial" w:eastAsia="Arial" w:hAnsi="Arial" w:cs="Arial"/>
        </w:rPr>
      </w:pPr>
      <w:proofErr w:type="spellStart"/>
      <w:r w:rsidRPr="0097215F">
        <w:rPr>
          <w:rFonts w:ascii="Arial" w:eastAsia="Arial" w:hAnsi="Arial" w:cs="Arial"/>
          <w:i/>
          <w:iCs/>
        </w:rPr>
        <w:t>vii</w:t>
      </w:r>
      <w:proofErr w:type="spellEnd"/>
      <w:r w:rsidRPr="0097215F">
        <w:rPr>
          <w:rFonts w:ascii="Arial" w:eastAsia="Arial" w:hAnsi="Arial" w:cs="Arial"/>
          <w:i/>
          <w:iCs/>
        </w:rPr>
        <w:t xml:space="preserve">) </w:t>
      </w:r>
      <w:r w:rsidRPr="0097215F">
        <w:rPr>
          <w:rFonts w:ascii="Arial" w:eastAsia="Arial" w:hAnsi="Arial" w:cs="Arial"/>
        </w:rPr>
        <w:t xml:space="preserve">Aunque el artículo 58 de la Ley 2195 de 2022 guarda silencio sobre el </w:t>
      </w:r>
      <w:r w:rsidRPr="0097215F">
        <w:rPr>
          <w:rFonts w:ascii="Arial" w:eastAsia="Arial" w:hAnsi="Arial" w:cs="Arial"/>
          <w:i/>
        </w:rPr>
        <w:t>debido proceso</w:t>
      </w:r>
      <w:r w:rsidRPr="0097215F">
        <w:rPr>
          <w:rFonts w:ascii="Arial" w:eastAsia="Arial" w:hAnsi="Arial" w:cs="Arial"/>
        </w:rPr>
        <w:t xml:space="preserve"> que habrá de garantizársele al proponente cuando la </w:t>
      </w:r>
      <w:r w:rsidR="0060294B">
        <w:rPr>
          <w:rFonts w:ascii="Arial" w:eastAsia="Arial" w:hAnsi="Arial" w:cs="Arial"/>
        </w:rPr>
        <w:t>Entidad Estatal</w:t>
      </w:r>
      <w:r w:rsidRPr="0097215F">
        <w:rPr>
          <w:rFonts w:ascii="Arial" w:eastAsia="Arial" w:hAnsi="Arial" w:cs="Arial"/>
        </w:rPr>
        <w:t xml:space="preserve"> pretenda reducirle el puntaje, dicha norma debe interpretarse en armonía con el primer inciso del artículo 29 de la Constitución Política, el cual dispone que </w:t>
      </w:r>
      <w:r w:rsidR="00580F7E">
        <w:rPr>
          <w:rFonts w:ascii="Arial" w:eastAsia="Arial" w:hAnsi="Arial" w:cs="Arial"/>
        </w:rPr>
        <w:t>“</w:t>
      </w:r>
      <w:r w:rsidRPr="0097215F">
        <w:rPr>
          <w:rFonts w:ascii="Arial" w:eastAsia="Arial" w:hAnsi="Arial" w:cs="Arial"/>
        </w:rPr>
        <w:t xml:space="preserve">El debido proceso se aplicará a toda clase de actuaciones judiciales </w:t>
      </w:r>
      <w:r w:rsidRPr="0097215F">
        <w:rPr>
          <w:rFonts w:ascii="Arial" w:eastAsia="Arial" w:hAnsi="Arial" w:cs="Arial"/>
          <w:i/>
        </w:rPr>
        <w:t>y administrativas</w:t>
      </w:r>
      <w:r w:rsidR="00580F7E">
        <w:rPr>
          <w:rFonts w:ascii="Arial" w:eastAsia="Arial" w:hAnsi="Arial" w:cs="Arial"/>
        </w:rPr>
        <w:t>”</w:t>
      </w:r>
      <w:r w:rsidRPr="0097215F">
        <w:rPr>
          <w:rFonts w:ascii="Arial" w:eastAsia="Arial" w:hAnsi="Arial" w:cs="Arial"/>
        </w:rPr>
        <w:t xml:space="preserve"> (énfasis fuera de texto). Es decir, el operador jurídico debe realizar una interpretación </w:t>
      </w:r>
      <w:r w:rsidRPr="0097215F">
        <w:rPr>
          <w:rFonts w:ascii="Arial" w:eastAsia="Arial" w:hAnsi="Arial" w:cs="Arial"/>
          <w:i/>
        </w:rPr>
        <w:t>conforme</w:t>
      </w:r>
      <w:r w:rsidRPr="0097215F">
        <w:rPr>
          <w:rFonts w:ascii="Arial" w:eastAsia="Arial" w:hAnsi="Arial" w:cs="Arial"/>
        </w:rPr>
        <w:t xml:space="preserve"> con la Constitución, atendiendo a su carácter supremo</w:t>
      </w:r>
      <w:r w:rsidRPr="0097215F">
        <w:rPr>
          <w:rFonts w:ascii="Arial" w:eastAsia="Arial" w:hAnsi="Arial" w:cs="Arial"/>
          <w:vertAlign w:val="superscript"/>
        </w:rPr>
        <w:footnoteReference w:id="11"/>
      </w:r>
      <w:r w:rsidRPr="0097215F">
        <w:rPr>
          <w:rFonts w:ascii="Arial" w:eastAsia="Arial" w:hAnsi="Arial" w:cs="Arial"/>
        </w:rPr>
        <w:t xml:space="preserve">. Por ello, la Agencia considera que la reducción del puntaje regulada en el artículo 58 de la Ley 2195 de 2022 no debería aplicarse de plano, sino que debe estar precedida de la verificación de los presupuestos contenidos en la norma en comento para efectos de reducir el puntaje. </w:t>
      </w:r>
    </w:p>
    <w:p w14:paraId="498CFA84" w14:textId="6BE8DDC6" w:rsidR="0097215F" w:rsidRPr="0097215F" w:rsidRDefault="0097215F" w:rsidP="005F44BC">
      <w:pPr>
        <w:spacing w:line="276" w:lineRule="auto"/>
        <w:jc w:val="both"/>
        <w:rPr>
          <w:rFonts w:ascii="Arial" w:hAnsi="Arial" w:cs="Arial"/>
          <w:b/>
          <w:bCs/>
          <w:iCs/>
          <w:color w:val="000000" w:themeColor="text1"/>
          <w:lang w:val="es-ES_tradnl"/>
        </w:rPr>
      </w:pPr>
      <w:r w:rsidRPr="0097215F">
        <w:rPr>
          <w:rFonts w:ascii="Arial" w:hAnsi="Arial" w:cs="Arial"/>
          <w:b/>
          <w:bCs/>
          <w:iCs/>
          <w:color w:val="000000" w:themeColor="text1"/>
          <w:lang w:val="es-ES_tradnl"/>
        </w:rPr>
        <w:lastRenderedPageBreak/>
        <w:t>2.</w:t>
      </w:r>
      <w:r w:rsidR="005E2C6E">
        <w:rPr>
          <w:rFonts w:ascii="Arial" w:hAnsi="Arial" w:cs="Arial"/>
          <w:b/>
          <w:bCs/>
          <w:iCs/>
          <w:color w:val="000000" w:themeColor="text1"/>
          <w:lang w:val="es-ES_tradnl"/>
        </w:rPr>
        <w:t>2</w:t>
      </w:r>
      <w:r w:rsidRPr="0097215F">
        <w:rPr>
          <w:rFonts w:ascii="Arial" w:hAnsi="Arial" w:cs="Arial"/>
          <w:b/>
          <w:bCs/>
          <w:iCs/>
          <w:color w:val="000000" w:themeColor="text1"/>
          <w:lang w:val="es-ES_tradnl"/>
        </w:rPr>
        <w:t xml:space="preserve">. </w:t>
      </w:r>
      <w:bookmarkStart w:id="12" w:name="_Hlk132664018"/>
      <w:r w:rsidRPr="0097215F">
        <w:rPr>
          <w:rFonts w:ascii="Arial" w:hAnsi="Arial" w:cs="Arial"/>
          <w:b/>
          <w:bCs/>
          <w:iCs/>
          <w:color w:val="000000" w:themeColor="text1"/>
          <w:lang w:val="es-ES_tradnl"/>
        </w:rPr>
        <w:t>Procedimiento administrativo sancionatorio contractual. Artículo 86 de la Ley 1474 de 2011</w:t>
      </w:r>
      <w:bookmarkEnd w:id="12"/>
      <w:r w:rsidR="00B33243">
        <w:rPr>
          <w:rFonts w:ascii="Arial" w:hAnsi="Arial" w:cs="Arial"/>
          <w:b/>
          <w:bCs/>
          <w:iCs/>
          <w:color w:val="000000" w:themeColor="text1"/>
          <w:lang w:val="es-ES_tradnl"/>
        </w:rPr>
        <w:t xml:space="preserve"> </w:t>
      </w:r>
    </w:p>
    <w:p w14:paraId="78BDA96C" w14:textId="3477E74B" w:rsidR="008F2C81" w:rsidRDefault="0097215F" w:rsidP="005F44BC">
      <w:pPr>
        <w:spacing w:line="276" w:lineRule="auto"/>
        <w:jc w:val="both"/>
        <w:rPr>
          <w:rFonts w:ascii="Arial" w:hAnsi="Arial" w:cs="Arial"/>
          <w:iCs/>
          <w:color w:val="000000" w:themeColor="text1"/>
          <w:lang w:val="es-ES_tradnl"/>
        </w:rPr>
      </w:pPr>
      <w:r w:rsidRPr="0097215F">
        <w:rPr>
          <w:rFonts w:ascii="Arial" w:hAnsi="Arial" w:cs="Arial"/>
          <w:iCs/>
          <w:color w:val="000000" w:themeColor="text1"/>
          <w:lang w:val="es-ES_tradnl"/>
        </w:rPr>
        <w:t xml:space="preserve">Durante la ejecución de los contratos, las entidades estatales sometidas al Estatuto General de Contratación de la Administración Pública usualmente cuentan con distintas potestades exorbitantes o excepcionales, con base en las cuales ejercen la dirección general del contrato. Entre dichas potestades se encuentran i) las cláusulas excepcionales del artículo 14 de la Ley 80 de 1993, concepto que incluye la terminación unilateral, la interpretación unilateral, la modificación unilateral, la caducidad y la reversión. Dichas prerrogativas se desarrollan en los artículos 15 a 19 </w:t>
      </w:r>
      <w:r w:rsidRPr="0097215F">
        <w:rPr>
          <w:rFonts w:ascii="Arial" w:hAnsi="Arial" w:cs="Arial"/>
          <w:i/>
          <w:color w:val="000000" w:themeColor="text1"/>
          <w:lang w:val="es-ES_tradnl"/>
        </w:rPr>
        <w:t>ibidem</w:t>
      </w:r>
      <w:r w:rsidRPr="0097215F">
        <w:rPr>
          <w:rFonts w:ascii="Arial" w:hAnsi="Arial" w:cs="Arial"/>
          <w:iCs/>
          <w:color w:val="000000" w:themeColor="text1"/>
          <w:lang w:val="es-ES_tradnl"/>
        </w:rPr>
        <w:t xml:space="preserve">. </w:t>
      </w:r>
      <w:proofErr w:type="spellStart"/>
      <w:r w:rsidRPr="0097215F">
        <w:rPr>
          <w:rFonts w:ascii="Arial" w:hAnsi="Arial" w:cs="Arial"/>
          <w:iCs/>
          <w:color w:val="000000" w:themeColor="text1"/>
          <w:lang w:val="es-ES_tradnl"/>
        </w:rPr>
        <w:t>ii</w:t>
      </w:r>
      <w:proofErr w:type="spellEnd"/>
      <w:r w:rsidRPr="0097215F">
        <w:rPr>
          <w:rFonts w:ascii="Arial" w:hAnsi="Arial" w:cs="Arial"/>
          <w:iCs/>
          <w:color w:val="000000" w:themeColor="text1"/>
          <w:lang w:val="es-ES_tradnl"/>
        </w:rPr>
        <w:t>) En algunas disposiciones también se establecen otras potestades exorbitantes, como la liquidación unilateral y la declaratoria unilateral del siniestro –artículos 7 y 11 de la Ley 1150 de 2007–</w:t>
      </w:r>
      <w:r w:rsidR="008244A5">
        <w:rPr>
          <w:rFonts w:ascii="Arial" w:hAnsi="Arial" w:cs="Arial"/>
          <w:iCs/>
          <w:color w:val="000000" w:themeColor="text1"/>
          <w:lang w:val="es-ES_tradnl"/>
        </w:rPr>
        <w:t xml:space="preserve"> </w:t>
      </w:r>
      <w:r w:rsidR="00EC4B89">
        <w:rPr>
          <w:rFonts w:ascii="Arial" w:hAnsi="Arial" w:cs="Arial"/>
          <w:iCs/>
          <w:color w:val="000000" w:themeColor="text1"/>
          <w:lang w:val="es-ES_tradnl"/>
        </w:rPr>
        <w:t xml:space="preserve">última </w:t>
      </w:r>
      <w:r w:rsidR="008244A5">
        <w:rPr>
          <w:rFonts w:ascii="Arial" w:hAnsi="Arial" w:cs="Arial"/>
          <w:iCs/>
          <w:color w:val="000000" w:themeColor="text1"/>
          <w:lang w:val="es-ES_tradnl"/>
        </w:rPr>
        <w:t xml:space="preserve">que se tratará en </w:t>
      </w:r>
      <w:r w:rsidR="00B40AE7">
        <w:rPr>
          <w:rFonts w:ascii="Arial" w:hAnsi="Arial" w:cs="Arial"/>
          <w:iCs/>
          <w:color w:val="000000" w:themeColor="text1"/>
          <w:lang w:val="es-ES_tradnl"/>
        </w:rPr>
        <w:t xml:space="preserve">los </w:t>
      </w:r>
      <w:r w:rsidR="008244A5">
        <w:rPr>
          <w:rFonts w:ascii="Arial" w:hAnsi="Arial" w:cs="Arial"/>
          <w:iCs/>
          <w:color w:val="000000" w:themeColor="text1"/>
          <w:lang w:val="es-ES_tradnl"/>
        </w:rPr>
        <w:t>siguiente</w:t>
      </w:r>
      <w:r w:rsidR="00B40AE7">
        <w:rPr>
          <w:rFonts w:ascii="Arial" w:hAnsi="Arial" w:cs="Arial"/>
          <w:iCs/>
          <w:color w:val="000000" w:themeColor="text1"/>
          <w:lang w:val="es-ES_tradnl"/>
        </w:rPr>
        <w:t>s</w:t>
      </w:r>
      <w:r w:rsidR="008244A5">
        <w:rPr>
          <w:rFonts w:ascii="Arial" w:hAnsi="Arial" w:cs="Arial"/>
          <w:iCs/>
          <w:color w:val="000000" w:themeColor="text1"/>
          <w:lang w:val="es-ES_tradnl"/>
        </w:rPr>
        <w:t xml:space="preserve"> </w:t>
      </w:r>
      <w:r w:rsidR="00B40AE7">
        <w:rPr>
          <w:rFonts w:ascii="Arial" w:hAnsi="Arial" w:cs="Arial"/>
          <w:iCs/>
          <w:color w:val="000000" w:themeColor="text1"/>
          <w:lang w:val="es-ES_tradnl"/>
        </w:rPr>
        <w:t>capítulos de este concepto</w:t>
      </w:r>
      <w:r w:rsidRPr="0097215F">
        <w:rPr>
          <w:rFonts w:ascii="Arial" w:hAnsi="Arial" w:cs="Arial"/>
          <w:iCs/>
          <w:color w:val="000000" w:themeColor="text1"/>
          <w:lang w:val="es-ES_tradnl"/>
        </w:rPr>
        <w:t xml:space="preserve">. </w:t>
      </w:r>
    </w:p>
    <w:p w14:paraId="282284F0" w14:textId="44C94736" w:rsidR="0097215F" w:rsidRPr="0097215F" w:rsidRDefault="0097215F" w:rsidP="008F2C81">
      <w:pPr>
        <w:spacing w:line="276" w:lineRule="auto"/>
        <w:ind w:firstLine="708"/>
        <w:jc w:val="both"/>
        <w:rPr>
          <w:rFonts w:ascii="Arial" w:hAnsi="Arial" w:cs="Arial"/>
          <w:iCs/>
          <w:color w:val="000000" w:themeColor="text1"/>
          <w:lang w:val="es-ES_tradnl"/>
        </w:rPr>
      </w:pPr>
      <w:r w:rsidRPr="0097215F">
        <w:rPr>
          <w:rFonts w:ascii="Arial" w:hAnsi="Arial" w:cs="Arial"/>
          <w:iCs/>
          <w:color w:val="000000" w:themeColor="text1"/>
          <w:lang w:val="es-ES_tradnl"/>
        </w:rPr>
        <w:t xml:space="preserve">Dentro de las potestades unilaterales también se encuentran </w:t>
      </w:r>
      <w:proofErr w:type="spellStart"/>
      <w:r w:rsidRPr="0097215F">
        <w:rPr>
          <w:rFonts w:ascii="Arial" w:hAnsi="Arial" w:cs="Arial"/>
          <w:iCs/>
          <w:color w:val="000000" w:themeColor="text1"/>
          <w:lang w:val="es-ES_tradnl"/>
        </w:rPr>
        <w:t>iii</w:t>
      </w:r>
      <w:proofErr w:type="spellEnd"/>
      <w:r w:rsidRPr="0097215F">
        <w:rPr>
          <w:rFonts w:ascii="Arial" w:hAnsi="Arial" w:cs="Arial"/>
          <w:iCs/>
          <w:color w:val="000000" w:themeColor="text1"/>
          <w:lang w:val="es-ES_tradnl"/>
        </w:rPr>
        <w:t xml:space="preserve">) las cláusulas excepcionales de </w:t>
      </w:r>
      <w:r w:rsidRPr="0097215F">
        <w:rPr>
          <w:rFonts w:ascii="Arial" w:hAnsi="Arial" w:cs="Arial"/>
          <w:i/>
          <w:color w:val="000000" w:themeColor="text1"/>
          <w:lang w:val="es-ES_tradnl"/>
        </w:rPr>
        <w:t>imposición unilateral</w:t>
      </w:r>
      <w:r w:rsidRPr="0097215F">
        <w:rPr>
          <w:rFonts w:ascii="Arial" w:hAnsi="Arial" w:cs="Arial"/>
          <w:iCs/>
          <w:color w:val="000000" w:themeColor="text1"/>
          <w:lang w:val="es-ES_tradnl"/>
        </w:rPr>
        <w:t xml:space="preserve"> de las cláusulas penales y de multas –artículo 17 de la Ley 1150 de 2007–, aclarando que su exorbitancia se refiere a su imposición unilateral, no a su pacto, que es posible en virtud de las normas civiles y comerciales.</w:t>
      </w:r>
    </w:p>
    <w:p w14:paraId="4F52AEB3" w14:textId="0C21E88A" w:rsidR="0097215F" w:rsidRPr="0097215F" w:rsidRDefault="0097215F" w:rsidP="005F44BC">
      <w:pPr>
        <w:spacing w:line="276" w:lineRule="auto"/>
        <w:ind w:firstLine="709"/>
        <w:jc w:val="both"/>
        <w:rPr>
          <w:rFonts w:ascii="Arial" w:hAnsi="Arial" w:cs="Arial"/>
          <w:iCs/>
          <w:color w:val="000000" w:themeColor="text1"/>
          <w:lang w:val="es-ES_tradnl"/>
        </w:rPr>
      </w:pPr>
      <w:r w:rsidRPr="0097215F">
        <w:rPr>
          <w:rFonts w:ascii="Arial" w:hAnsi="Arial" w:cs="Arial"/>
          <w:iCs/>
          <w:color w:val="000000" w:themeColor="text1"/>
          <w:lang w:val="es-ES_tradnl"/>
        </w:rPr>
        <w:t xml:space="preserve">El artículo 86 de la Ley 1474 de 2011 establece las reglas de procedimiento, mediante las cuales se materializan los derechos y garantías derivadas del debido proceso, para su aplicación concreta en materia sancionatoria contractual. De conformidad con esta disposición normativa, las </w:t>
      </w:r>
      <w:r w:rsidR="00580F7E">
        <w:rPr>
          <w:rFonts w:ascii="Arial" w:hAnsi="Arial" w:cs="Arial"/>
          <w:iCs/>
          <w:color w:val="000000" w:themeColor="text1"/>
          <w:lang w:val="es-ES_tradnl"/>
        </w:rPr>
        <w:t>“</w:t>
      </w:r>
      <w:r w:rsidRPr="0097215F">
        <w:rPr>
          <w:rFonts w:ascii="Arial" w:hAnsi="Arial" w:cs="Arial"/>
          <w:iCs/>
          <w:color w:val="000000" w:themeColor="text1"/>
          <w:lang w:val="es-ES_tradnl"/>
        </w:rPr>
        <w:t>entidades sometidas al Estatuto General de Contratación de la Administración Pública podrán declarar el incumplimiento […]. Para tal efecto observarán […]</w:t>
      </w:r>
      <w:r w:rsidR="00580F7E">
        <w:rPr>
          <w:rFonts w:ascii="Arial" w:hAnsi="Arial" w:cs="Arial"/>
          <w:iCs/>
          <w:color w:val="000000" w:themeColor="text1"/>
          <w:lang w:val="es-ES_tradnl"/>
        </w:rPr>
        <w:t>”</w:t>
      </w:r>
      <w:r w:rsidRPr="0097215F">
        <w:rPr>
          <w:rFonts w:ascii="Arial" w:hAnsi="Arial" w:cs="Arial"/>
          <w:iCs/>
          <w:color w:val="000000" w:themeColor="text1"/>
          <w:lang w:val="es-ES_tradnl"/>
        </w:rPr>
        <w:t xml:space="preserve"> el procedimiento que en tal enunciado normativo se regula. </w:t>
      </w:r>
      <w:r w:rsidR="00D01298">
        <w:rPr>
          <w:rFonts w:ascii="Arial" w:hAnsi="Arial" w:cs="Arial"/>
          <w:iCs/>
          <w:color w:val="000000" w:themeColor="text1"/>
          <w:lang w:val="es-ES_tradnl"/>
        </w:rPr>
        <w:t xml:space="preserve">En ese sentido, </w:t>
      </w:r>
      <w:r w:rsidR="00162FF3">
        <w:rPr>
          <w:rFonts w:ascii="Arial" w:hAnsi="Arial" w:cs="Arial"/>
          <w:iCs/>
          <w:color w:val="000000" w:themeColor="text1"/>
          <w:lang w:val="es-ES_tradnl"/>
        </w:rPr>
        <w:t xml:space="preserve">la </w:t>
      </w:r>
      <w:r w:rsidR="00D01298" w:rsidRPr="0097215F">
        <w:rPr>
          <w:rFonts w:ascii="Arial" w:eastAsia="Arial" w:hAnsi="Arial" w:cs="Arial"/>
        </w:rPr>
        <w:t xml:space="preserve">imposición de una o más </w:t>
      </w:r>
      <w:r w:rsidR="00162FF3">
        <w:rPr>
          <w:rFonts w:ascii="Arial" w:eastAsia="Arial" w:hAnsi="Arial" w:cs="Arial"/>
          <w:iCs/>
        </w:rPr>
        <w:t>multas de que trata el artículo 58 de la Ley 2195 de 202</w:t>
      </w:r>
      <w:r w:rsidR="00C516C0">
        <w:rPr>
          <w:rFonts w:ascii="Arial" w:eastAsia="Arial" w:hAnsi="Arial" w:cs="Arial"/>
          <w:iCs/>
        </w:rPr>
        <w:t>2</w:t>
      </w:r>
      <w:r w:rsidR="00752555">
        <w:rPr>
          <w:rFonts w:ascii="Arial" w:eastAsia="Arial" w:hAnsi="Arial" w:cs="Arial"/>
          <w:iCs/>
        </w:rPr>
        <w:t xml:space="preserve">, para la reducción de puntaje de los proponentes deberá realizarse </w:t>
      </w:r>
      <w:r w:rsidR="002F1C89">
        <w:rPr>
          <w:rFonts w:ascii="Arial" w:eastAsia="Arial" w:hAnsi="Arial" w:cs="Arial"/>
        </w:rPr>
        <w:t>a través de acto administrativo que se origine en virtud de este procedimiento</w:t>
      </w:r>
      <w:r w:rsidR="00F17B9D">
        <w:rPr>
          <w:rFonts w:ascii="Arial" w:eastAsia="Arial" w:hAnsi="Arial" w:cs="Arial"/>
        </w:rPr>
        <w:t>.</w:t>
      </w:r>
    </w:p>
    <w:p w14:paraId="3204D5C1" w14:textId="6732B2AA" w:rsidR="0097215F" w:rsidRPr="0097215F" w:rsidRDefault="0097215F" w:rsidP="005F44BC">
      <w:pPr>
        <w:spacing w:line="276" w:lineRule="auto"/>
        <w:ind w:firstLine="709"/>
        <w:jc w:val="both"/>
        <w:rPr>
          <w:rFonts w:ascii="Arial" w:hAnsi="Arial" w:cs="Arial"/>
          <w:iCs/>
          <w:color w:val="000000" w:themeColor="text1"/>
          <w:lang w:val="es-ES_tradnl"/>
        </w:rPr>
      </w:pPr>
      <w:r w:rsidRPr="0097215F">
        <w:rPr>
          <w:rFonts w:ascii="Arial" w:hAnsi="Arial" w:cs="Arial"/>
          <w:iCs/>
          <w:color w:val="000000" w:themeColor="text1"/>
          <w:lang w:val="es-ES_tradnl"/>
        </w:rPr>
        <w:t xml:space="preserve">Cabe destacar que esta norma no se circunscribe a ciertos tipos de incumplimiento. En consecuencia, la declaratoria de cualquier incumplimiento, sea total o parcial, o independientemente de su gravedad, debe hacerse con plena observancia de las reglas procedimentales establecidas en el artículo 86 de la Ley 1474 de 2011. Esto es así como consecuencia del </w:t>
      </w:r>
      <w:r w:rsidR="00580F7E">
        <w:rPr>
          <w:rFonts w:ascii="Arial" w:hAnsi="Arial" w:cs="Arial"/>
          <w:iCs/>
          <w:color w:val="000000" w:themeColor="text1"/>
          <w:lang w:val="es-ES_tradnl"/>
        </w:rPr>
        <w:t>“</w:t>
      </w:r>
      <w:r w:rsidRPr="0097215F">
        <w:rPr>
          <w:rFonts w:ascii="Arial" w:hAnsi="Arial" w:cs="Arial"/>
          <w:iCs/>
          <w:color w:val="000000" w:themeColor="text1"/>
          <w:lang w:val="es-ES_tradnl"/>
        </w:rPr>
        <w:t>principio general de interpretación jurídica según el cual donde la norma no distingue, no le corresponde distinguir al intérprete</w:t>
      </w:r>
      <w:r w:rsidR="00580F7E">
        <w:rPr>
          <w:rFonts w:ascii="Arial" w:hAnsi="Arial" w:cs="Arial"/>
          <w:iCs/>
          <w:color w:val="000000" w:themeColor="text1"/>
          <w:lang w:val="es-ES_tradnl"/>
        </w:rPr>
        <w:t>”</w:t>
      </w:r>
      <w:r w:rsidRPr="0097215F">
        <w:rPr>
          <w:rFonts w:ascii="Arial" w:hAnsi="Arial" w:cs="Arial"/>
          <w:vertAlign w:val="superscript"/>
          <w:lang w:val="es-ES_tradnl"/>
        </w:rPr>
        <w:footnoteReference w:id="12"/>
      </w:r>
      <w:r w:rsidRPr="0097215F">
        <w:rPr>
          <w:rFonts w:ascii="Arial" w:hAnsi="Arial" w:cs="Arial"/>
          <w:iCs/>
          <w:color w:val="000000" w:themeColor="text1"/>
          <w:lang w:val="es-ES_tradnl"/>
        </w:rPr>
        <w:t xml:space="preserve">. A la misma conclusión se llega si se tiene en consideración la necesidad de respetar el debido proceso en </w:t>
      </w:r>
      <w:r w:rsidR="00580F7E">
        <w:rPr>
          <w:rFonts w:ascii="Arial" w:hAnsi="Arial" w:cs="Arial"/>
          <w:iCs/>
          <w:color w:val="000000" w:themeColor="text1"/>
          <w:lang w:val="es-ES_tradnl"/>
        </w:rPr>
        <w:t>“</w:t>
      </w:r>
      <w:r w:rsidRPr="0097215F">
        <w:rPr>
          <w:rFonts w:ascii="Arial" w:hAnsi="Arial" w:cs="Arial"/>
          <w:iCs/>
          <w:color w:val="000000" w:themeColor="text1"/>
          <w:lang w:val="es-ES_tradnl"/>
        </w:rPr>
        <w:t>todas las actuaciones administrativas</w:t>
      </w:r>
      <w:r w:rsidR="00580F7E">
        <w:rPr>
          <w:rFonts w:ascii="Arial" w:hAnsi="Arial" w:cs="Arial"/>
          <w:iCs/>
          <w:color w:val="000000" w:themeColor="text1"/>
          <w:lang w:val="es-ES_tradnl"/>
        </w:rPr>
        <w:t>”</w:t>
      </w:r>
      <w:r w:rsidRPr="0097215F">
        <w:rPr>
          <w:rFonts w:ascii="Arial" w:hAnsi="Arial" w:cs="Arial"/>
          <w:iCs/>
          <w:color w:val="000000" w:themeColor="text1"/>
          <w:lang w:val="es-ES_tradnl"/>
        </w:rPr>
        <w:t xml:space="preserve"> como lo ordena el artículo 29 superior. </w:t>
      </w:r>
    </w:p>
    <w:p w14:paraId="053F50F5" w14:textId="072BF766" w:rsidR="0097215F" w:rsidRPr="0097215F" w:rsidRDefault="004E27BA" w:rsidP="005E2C6E">
      <w:pPr>
        <w:spacing w:line="276" w:lineRule="auto"/>
        <w:ind w:firstLine="709"/>
        <w:jc w:val="both"/>
        <w:rPr>
          <w:rFonts w:ascii="Arial" w:eastAsia="Calibri" w:hAnsi="Arial" w:cs="Arial"/>
          <w:b/>
          <w:bCs/>
          <w:color w:val="000000" w:themeColor="text1"/>
          <w:lang w:val="es-ES_tradnl"/>
        </w:rPr>
      </w:pPr>
      <w:r>
        <w:rPr>
          <w:rFonts w:ascii="Arial" w:hAnsi="Arial" w:cs="Arial"/>
          <w:iCs/>
          <w:color w:val="000000" w:themeColor="text1"/>
          <w:lang w:val="es-ES_tradnl"/>
        </w:rPr>
        <w:t>Vale</w:t>
      </w:r>
      <w:r w:rsidR="0097215F" w:rsidRPr="0097215F">
        <w:rPr>
          <w:rFonts w:ascii="Arial" w:hAnsi="Arial" w:cs="Arial"/>
          <w:iCs/>
          <w:color w:val="000000" w:themeColor="text1"/>
          <w:lang w:val="es-ES_tradnl"/>
        </w:rPr>
        <w:t xml:space="preserve"> la pena aclarar que e</w:t>
      </w:r>
      <w:r w:rsidR="0097215F" w:rsidRPr="0097215F">
        <w:rPr>
          <w:rFonts w:ascii="Arial" w:eastAsia="Calibri" w:hAnsi="Arial" w:cs="Arial"/>
          <w:color w:val="000000" w:themeColor="text1"/>
          <w:lang w:val="es-ES_tradnl"/>
        </w:rPr>
        <w:t xml:space="preserve">l artículo 86 de la Ley 1474 de 2011 regula un procedimiento administrativo sancionatorio dirigido a sujetos específicos: las entidades sometidas al Estatuto </w:t>
      </w:r>
      <w:r w:rsidR="0097215F" w:rsidRPr="0097215F">
        <w:rPr>
          <w:rFonts w:ascii="Arial" w:eastAsia="Calibri" w:hAnsi="Arial" w:cs="Arial"/>
          <w:color w:val="000000" w:themeColor="text1"/>
          <w:lang w:val="es-ES_tradnl"/>
        </w:rPr>
        <w:lastRenderedPageBreak/>
        <w:t>General de Contratación de la Administración Pública</w:t>
      </w:r>
      <w:r w:rsidR="0097215F" w:rsidRPr="0097215F">
        <w:rPr>
          <w:rStyle w:val="Refdenotaalpie"/>
          <w:rFonts w:ascii="Arial" w:eastAsia="Calibri" w:hAnsi="Arial" w:cs="Arial"/>
          <w:color w:val="000000" w:themeColor="text1"/>
          <w:lang w:val="es-ES_tradnl"/>
        </w:rPr>
        <w:footnoteReference w:id="13"/>
      </w:r>
      <w:r w:rsidR="0097215F" w:rsidRPr="0097215F">
        <w:rPr>
          <w:rFonts w:ascii="Arial" w:eastAsia="Calibri" w:hAnsi="Arial" w:cs="Arial"/>
          <w:color w:val="000000" w:themeColor="text1"/>
          <w:lang w:val="es-ES_tradnl"/>
        </w:rPr>
        <w:t xml:space="preserve">. De ahí que las entidades de </w:t>
      </w:r>
      <w:r w:rsidR="0097215F" w:rsidRPr="0097215F">
        <w:rPr>
          <w:rFonts w:ascii="Arial" w:eastAsia="Calibri" w:hAnsi="Arial" w:cs="Arial"/>
          <w:i/>
          <w:iCs/>
          <w:color w:val="000000" w:themeColor="text1"/>
          <w:lang w:val="es-ES_tradnl"/>
        </w:rPr>
        <w:t>régimen especial</w:t>
      </w:r>
      <w:r w:rsidR="0097215F" w:rsidRPr="0097215F">
        <w:rPr>
          <w:rStyle w:val="Refdenotaalpie"/>
          <w:rFonts w:ascii="Arial" w:eastAsia="Calibri" w:hAnsi="Arial" w:cs="Arial"/>
          <w:color w:val="000000" w:themeColor="text1"/>
          <w:lang w:val="es-ES_tradnl"/>
        </w:rPr>
        <w:footnoteReference w:id="14"/>
      </w:r>
      <w:r w:rsidR="0097215F" w:rsidRPr="0097215F">
        <w:rPr>
          <w:rFonts w:ascii="Arial" w:eastAsia="Calibri" w:hAnsi="Arial" w:cs="Arial"/>
          <w:color w:val="000000" w:themeColor="text1"/>
          <w:lang w:val="es-ES_tradnl"/>
        </w:rPr>
        <w:t xml:space="preserve"> en materia contractual no pueden aplicar el procedimiento administrativo sancionatorio regulado en el artículo 86 de la Ley 1474 de 2011, al no ser entidades sometidas al Estatuto General de Contratación de la Administración Pública, sino, por el contrario, entidades exceptuadas de este</w:t>
      </w:r>
      <w:r w:rsidR="0097215F" w:rsidRPr="0097215F">
        <w:rPr>
          <w:rStyle w:val="Refdenotaalpie"/>
          <w:rFonts w:ascii="Arial" w:eastAsia="Calibri" w:hAnsi="Arial" w:cs="Arial"/>
          <w:color w:val="000000" w:themeColor="text1"/>
          <w:lang w:val="es-ES_tradnl"/>
        </w:rPr>
        <w:footnoteReference w:id="15"/>
      </w:r>
      <w:r w:rsidR="0097215F" w:rsidRPr="0097215F">
        <w:rPr>
          <w:rFonts w:ascii="Arial" w:eastAsia="Calibri" w:hAnsi="Arial" w:cs="Arial"/>
          <w:color w:val="000000" w:themeColor="text1"/>
          <w:lang w:val="es-ES_tradnl"/>
        </w:rPr>
        <w:t xml:space="preserve">. </w:t>
      </w:r>
    </w:p>
    <w:p w14:paraId="5A048534" w14:textId="2DD69146" w:rsidR="009A2C18" w:rsidRPr="00CB776B" w:rsidRDefault="0097215F" w:rsidP="009A2C18">
      <w:pPr>
        <w:tabs>
          <w:tab w:val="left" w:pos="0"/>
        </w:tabs>
        <w:jc w:val="both"/>
        <w:rPr>
          <w:rFonts w:ascii="Arial" w:eastAsia="Calibri" w:hAnsi="Arial" w:cs="Arial"/>
          <w:b/>
          <w:bCs/>
          <w:color w:val="000000"/>
          <w:lang w:eastAsia="en-GB"/>
        </w:rPr>
      </w:pPr>
      <w:r w:rsidRPr="0097215F">
        <w:rPr>
          <w:rFonts w:ascii="Arial" w:eastAsia="Calibri" w:hAnsi="Arial" w:cs="Arial"/>
          <w:b/>
          <w:bCs/>
          <w:color w:val="000000" w:themeColor="text1"/>
          <w:lang w:val="es-ES_tradnl"/>
        </w:rPr>
        <w:t>2.</w:t>
      </w:r>
      <w:r w:rsidR="005E2C6E">
        <w:rPr>
          <w:rFonts w:ascii="Arial" w:eastAsia="Calibri" w:hAnsi="Arial" w:cs="Arial"/>
          <w:b/>
          <w:bCs/>
          <w:color w:val="000000" w:themeColor="text1"/>
          <w:lang w:val="es-ES_tradnl"/>
        </w:rPr>
        <w:t>3</w:t>
      </w:r>
      <w:r w:rsidRPr="0097215F">
        <w:rPr>
          <w:rFonts w:ascii="Arial" w:eastAsia="Calibri" w:hAnsi="Arial" w:cs="Arial"/>
          <w:b/>
          <w:bCs/>
          <w:color w:val="000000" w:themeColor="text1"/>
          <w:lang w:val="es-ES_tradnl"/>
        </w:rPr>
        <w:t xml:space="preserve">. </w:t>
      </w:r>
      <w:bookmarkStart w:id="13" w:name="_Hlk35869057"/>
      <w:r w:rsidR="009A2C18" w:rsidRPr="00CB776B">
        <w:rPr>
          <w:rFonts w:ascii="Arial" w:eastAsia="Calibri" w:hAnsi="Arial" w:cs="Arial"/>
          <w:b/>
          <w:bCs/>
          <w:color w:val="000000"/>
          <w:lang w:eastAsia="en-GB"/>
        </w:rPr>
        <w:t>2.1.</w:t>
      </w:r>
      <w:r w:rsidR="009A2C18" w:rsidRPr="00C577CA">
        <w:rPr>
          <w:rFonts w:ascii="Arial" w:hAnsi="Arial" w:cs="Arial"/>
          <w:b/>
          <w:bCs/>
          <w:lang w:val="es-ES_tradnl"/>
        </w:rPr>
        <w:t xml:space="preserve"> Garantías </w:t>
      </w:r>
      <w:r w:rsidR="009A2C18">
        <w:rPr>
          <w:rFonts w:ascii="Arial" w:hAnsi="Arial" w:cs="Arial"/>
          <w:b/>
          <w:bCs/>
          <w:lang w:val="es-ES_tradnl"/>
        </w:rPr>
        <w:t>en la contratación estatal: estabilidad y calidad de la obra</w:t>
      </w:r>
    </w:p>
    <w:p w14:paraId="418CCF4B" w14:textId="77777777" w:rsidR="009A2C18" w:rsidRDefault="009A2C18" w:rsidP="009A2C18">
      <w:pPr>
        <w:spacing w:before="120" w:line="276" w:lineRule="auto"/>
        <w:jc w:val="both"/>
        <w:rPr>
          <w:rFonts w:ascii="Arial" w:eastAsia="Calibri" w:hAnsi="Arial" w:cs="Arial"/>
          <w:color w:val="000000" w:themeColor="text1"/>
          <w:lang w:val="es-ES_tradnl"/>
        </w:rPr>
      </w:pPr>
      <w:r>
        <w:rPr>
          <w:rFonts w:ascii="Arial" w:eastAsia="Calibri" w:hAnsi="Arial" w:cs="Arial"/>
          <w:color w:val="000000" w:themeColor="text1"/>
          <w:lang w:val="es-ES_tradnl"/>
        </w:rPr>
        <w:t xml:space="preserve">Por regla general, </w:t>
      </w:r>
      <w:r>
        <w:rPr>
          <w:rFonts w:ascii="Arial" w:eastAsia="Calibri" w:hAnsi="Arial" w:cs="Arial"/>
          <w:color w:val="000000" w:themeColor="text1"/>
          <w:lang w:val="es-ES"/>
        </w:rPr>
        <w:t>para seleccionar los contratistas y para ejecutar los contratos se requiere la constitución de garantías</w:t>
      </w:r>
      <w:r>
        <w:rPr>
          <w:rFonts w:ascii="Arial" w:eastAsia="Calibri" w:hAnsi="Arial" w:cs="Arial"/>
          <w:color w:val="000000" w:themeColor="text1"/>
          <w:lang w:val="es-ES_tradnl"/>
        </w:rPr>
        <w:t>. Por ello, e</w:t>
      </w:r>
      <w:r w:rsidRPr="00C577CA">
        <w:rPr>
          <w:rFonts w:ascii="Arial" w:eastAsia="Calibri" w:hAnsi="Arial" w:cs="Arial"/>
          <w:color w:val="000000" w:themeColor="text1"/>
          <w:lang w:val="es-ES_tradnl"/>
        </w:rPr>
        <w:t>l artículo 7 de la Ley 1150 de 2007 dispone que los contratistas tien</w:t>
      </w:r>
      <w:r>
        <w:rPr>
          <w:rFonts w:ascii="Arial" w:eastAsia="Calibri" w:hAnsi="Arial" w:cs="Arial"/>
          <w:color w:val="000000" w:themeColor="text1"/>
          <w:lang w:val="es-ES_tradnl"/>
        </w:rPr>
        <w:t>en la obligación de constituir garantías</w:t>
      </w:r>
      <w:r w:rsidRPr="00C577CA">
        <w:rPr>
          <w:rFonts w:ascii="Arial" w:eastAsia="Calibri" w:hAnsi="Arial" w:cs="Arial"/>
          <w:color w:val="000000" w:themeColor="text1"/>
          <w:lang w:val="es-ES_tradnl"/>
        </w:rPr>
        <w:t xml:space="preserve"> para el cumplimiento de las obligaciones surgidas del contrato, </w:t>
      </w:r>
      <w:r>
        <w:rPr>
          <w:rFonts w:ascii="Arial" w:eastAsia="Calibri" w:hAnsi="Arial" w:cs="Arial"/>
          <w:color w:val="000000" w:themeColor="text1"/>
          <w:lang w:val="es-ES_tradnl"/>
        </w:rPr>
        <w:t xml:space="preserve">y los proponentes por el ofrecimiento realizado, </w:t>
      </w:r>
      <w:r w:rsidRPr="00C577CA">
        <w:rPr>
          <w:rFonts w:ascii="Arial" w:eastAsia="Calibri" w:hAnsi="Arial" w:cs="Arial"/>
          <w:color w:val="000000" w:themeColor="text1"/>
          <w:lang w:val="es-ES_tradnl"/>
        </w:rPr>
        <w:t>pudiendo consistir en pólizas expedidas por compañías aseguradoras, garantías bancarias u otros mecanismos permitidos por la ley y el reglamento. Esta norm</w:t>
      </w:r>
      <w:r>
        <w:rPr>
          <w:rFonts w:ascii="Arial" w:eastAsia="Calibri" w:hAnsi="Arial" w:cs="Arial"/>
          <w:color w:val="000000" w:themeColor="text1"/>
          <w:lang w:val="es-ES_tradnl"/>
        </w:rPr>
        <w:t>a señala lo siguiente:</w:t>
      </w:r>
    </w:p>
    <w:p w14:paraId="65176E97" w14:textId="32CA79CB" w:rsidR="009A2C18" w:rsidRPr="00C577CA" w:rsidRDefault="00245170" w:rsidP="00245170">
      <w:pPr>
        <w:spacing w:line="240" w:lineRule="auto"/>
        <w:ind w:left="709" w:right="709"/>
        <w:jc w:val="both"/>
        <w:rPr>
          <w:rFonts w:ascii="Arial" w:eastAsia="Calibri" w:hAnsi="Arial" w:cs="Arial"/>
          <w:color w:val="000000" w:themeColor="text1"/>
          <w:sz w:val="21"/>
          <w:szCs w:val="21"/>
          <w:lang w:val="es-ES_tradnl"/>
        </w:rPr>
      </w:pPr>
      <w:r>
        <w:rPr>
          <w:rFonts w:ascii="Arial" w:eastAsia="Calibri" w:hAnsi="Arial" w:cs="Arial"/>
          <w:color w:val="000000" w:themeColor="text1"/>
          <w:sz w:val="21"/>
          <w:szCs w:val="21"/>
          <w:lang w:val="es-ES_tradnl"/>
        </w:rPr>
        <w:t>“</w:t>
      </w:r>
      <w:r w:rsidR="009A2C18" w:rsidRPr="00C577CA">
        <w:rPr>
          <w:rFonts w:ascii="Arial" w:eastAsia="Calibri" w:hAnsi="Arial" w:cs="Arial"/>
          <w:color w:val="000000" w:themeColor="text1"/>
          <w:sz w:val="21"/>
          <w:szCs w:val="21"/>
          <w:lang w:val="es-ES_tradnl"/>
        </w:rPr>
        <w:t xml:space="preserve">Los contratistas prestarán garantía única para el cumplimiento de las obligaciones surgidas del contrato. Los proponentes prestarán garantía de seriedad de los ofrecimientos hechos. </w:t>
      </w:r>
    </w:p>
    <w:p w14:paraId="4EFA8FB7" w14:textId="77777777" w:rsidR="009A2C18" w:rsidRPr="00C577CA" w:rsidRDefault="009A2C18" w:rsidP="00245170">
      <w:pPr>
        <w:spacing w:before="120" w:line="240" w:lineRule="auto"/>
        <w:ind w:left="709" w:right="709"/>
        <w:jc w:val="both"/>
        <w:rPr>
          <w:rFonts w:ascii="Arial" w:eastAsia="Calibri" w:hAnsi="Arial" w:cs="Arial"/>
          <w:color w:val="000000" w:themeColor="text1"/>
          <w:sz w:val="21"/>
          <w:szCs w:val="21"/>
          <w:lang w:val="es-ES_tradnl"/>
        </w:rPr>
      </w:pPr>
      <w:r w:rsidRPr="00C577CA">
        <w:rPr>
          <w:rFonts w:ascii="Arial" w:eastAsia="Calibri" w:hAnsi="Arial" w:cs="Arial"/>
          <w:color w:val="000000" w:themeColor="text1"/>
          <w:sz w:val="21"/>
          <w:szCs w:val="21"/>
          <w:lang w:val="es-ES_tradnl"/>
        </w:rPr>
        <w:t xml:space="preserve">Las garantías consistirán en pólizas expedidas por compañías de seguros legalmente autorizadas para funcionar en Colombia, en garantías bancarias y en general, en los demás mecanismos de cobertura del riesgo autorizados por el reglamento para el efecto. Tratándose de pólizas, las mismas no expirarán por falta de pago de la prima o por revocatoria unilateral. El Gobierno Nacional señalará las condiciones generales que deberán ser incluidas en las pólizas de cumplimiento de los contratos estatales. </w:t>
      </w:r>
    </w:p>
    <w:p w14:paraId="7D6838CB" w14:textId="77777777" w:rsidR="009A2C18" w:rsidRPr="00C577CA" w:rsidRDefault="009A2C18" w:rsidP="00245170">
      <w:pPr>
        <w:spacing w:before="120" w:line="240" w:lineRule="auto"/>
        <w:ind w:left="709" w:right="709"/>
        <w:jc w:val="both"/>
        <w:rPr>
          <w:rFonts w:ascii="Arial" w:eastAsia="Calibri" w:hAnsi="Arial" w:cs="Arial"/>
          <w:color w:val="000000" w:themeColor="text1"/>
          <w:sz w:val="21"/>
          <w:szCs w:val="21"/>
          <w:lang w:val="es-ES_tradnl"/>
        </w:rPr>
      </w:pPr>
      <w:r w:rsidRPr="00C577CA">
        <w:rPr>
          <w:rFonts w:ascii="Arial" w:eastAsia="Calibri" w:hAnsi="Arial" w:cs="Arial"/>
          <w:color w:val="000000" w:themeColor="text1"/>
          <w:sz w:val="21"/>
          <w:szCs w:val="21"/>
          <w:lang w:val="es-ES_tradnl"/>
        </w:rPr>
        <w:t xml:space="preserve">El Gobierno Nacional señalará los criterios que seguirán las entidades para la exigencia de garantías, las clases y niveles de amparo de los riesgos de los contratos, así como los casos en que por las características y complejidad del contrato a celebrar, la garantía pueda ser dividida teniendo en cuenta las etapas o riesgos relativos a la ejecución del respectivo contrato. </w:t>
      </w:r>
    </w:p>
    <w:p w14:paraId="2257B15E" w14:textId="77777777" w:rsidR="009A2C18" w:rsidRPr="00C577CA" w:rsidRDefault="009A2C18" w:rsidP="00245170">
      <w:pPr>
        <w:spacing w:before="120" w:line="240" w:lineRule="auto"/>
        <w:ind w:left="709" w:right="709"/>
        <w:jc w:val="both"/>
        <w:rPr>
          <w:rFonts w:ascii="Arial" w:eastAsia="Calibri" w:hAnsi="Arial" w:cs="Arial"/>
          <w:color w:val="000000" w:themeColor="text1"/>
          <w:sz w:val="21"/>
          <w:szCs w:val="21"/>
          <w:lang w:val="es-ES_tradnl"/>
        </w:rPr>
      </w:pPr>
      <w:r w:rsidRPr="00C577CA">
        <w:rPr>
          <w:rFonts w:ascii="Arial" w:eastAsia="Calibri" w:hAnsi="Arial" w:cs="Arial"/>
          <w:color w:val="000000" w:themeColor="text1"/>
          <w:sz w:val="21"/>
          <w:szCs w:val="21"/>
          <w:lang w:val="es-ES_tradnl"/>
        </w:rPr>
        <w:t xml:space="preserve">El acaecimiento del siniestro que amparan las garantías será comunicado por la entidad pública al respectivo asegurador mediante la notificación del acto administrativo que así lo declare. </w:t>
      </w:r>
    </w:p>
    <w:p w14:paraId="193C331A" w14:textId="59C68285" w:rsidR="009A2C18" w:rsidRDefault="009A2C18" w:rsidP="00245170">
      <w:pPr>
        <w:spacing w:before="120" w:line="240" w:lineRule="auto"/>
        <w:ind w:left="709" w:right="709"/>
        <w:jc w:val="both"/>
        <w:rPr>
          <w:rFonts w:ascii="Arial" w:eastAsia="Calibri" w:hAnsi="Arial" w:cs="Arial"/>
          <w:color w:val="000000" w:themeColor="text1"/>
          <w:sz w:val="21"/>
          <w:szCs w:val="21"/>
          <w:lang w:val="es-ES_tradnl"/>
        </w:rPr>
      </w:pPr>
      <w:r w:rsidRPr="00C577CA">
        <w:rPr>
          <w:rFonts w:ascii="Arial" w:eastAsia="Calibri" w:hAnsi="Arial" w:cs="Arial"/>
          <w:color w:val="000000" w:themeColor="text1"/>
          <w:sz w:val="21"/>
          <w:szCs w:val="21"/>
          <w:lang w:val="es-ES_tradnl"/>
        </w:rPr>
        <w:lastRenderedPageBreak/>
        <w:t>Las garantías no serán obligatorias en los contratos de empréstito, en los interadministrativos, en los de seguro y en los contratos cuyo valor sea inferior al 10% de la menor cuantía a que se refiere esta ley, caso en el cual corresponderá a la entidad determinar la necesidad de exigirla, atendiendo a la naturaleza del objeto del contrato y a la forma de pago, así como en los demás que señale el reglamento.</w:t>
      </w:r>
      <w:r w:rsidR="00245170">
        <w:rPr>
          <w:rFonts w:ascii="Arial" w:eastAsia="Calibri" w:hAnsi="Arial" w:cs="Arial"/>
          <w:color w:val="000000" w:themeColor="text1"/>
          <w:sz w:val="21"/>
          <w:szCs w:val="21"/>
          <w:lang w:val="es-ES_tradnl"/>
        </w:rPr>
        <w:t>”</w:t>
      </w:r>
    </w:p>
    <w:p w14:paraId="349B9EF4" w14:textId="77777777" w:rsidR="009A2C18" w:rsidRDefault="009A2C18" w:rsidP="009A2C18">
      <w:pPr>
        <w:spacing w:line="276" w:lineRule="auto"/>
        <w:ind w:firstLine="708"/>
        <w:jc w:val="both"/>
        <w:rPr>
          <w:rFonts w:ascii="Arial" w:eastAsia="Calibri" w:hAnsi="Arial" w:cs="Arial"/>
          <w:color w:val="000000" w:themeColor="text1"/>
          <w:lang w:val="es-ES_tradnl"/>
        </w:rPr>
      </w:pPr>
      <w:r w:rsidRPr="00C577CA">
        <w:rPr>
          <w:rFonts w:ascii="Arial" w:eastAsia="Calibri" w:hAnsi="Arial" w:cs="Arial"/>
          <w:color w:val="000000" w:themeColor="text1"/>
          <w:lang w:val="es-ES_tradnl"/>
        </w:rPr>
        <w:t>Las condiciones</w:t>
      </w:r>
      <w:r>
        <w:rPr>
          <w:rFonts w:ascii="Arial" w:eastAsia="Calibri" w:hAnsi="Arial" w:cs="Arial"/>
          <w:color w:val="000000" w:themeColor="text1"/>
          <w:lang w:val="es-ES_tradnl"/>
        </w:rPr>
        <w:t xml:space="preserve"> para el cumplimiento de esta </w:t>
      </w:r>
      <w:r w:rsidRPr="00C577CA">
        <w:rPr>
          <w:rFonts w:ascii="Arial" w:eastAsia="Calibri" w:hAnsi="Arial" w:cs="Arial"/>
          <w:color w:val="000000" w:themeColor="text1"/>
          <w:lang w:val="es-ES_tradnl"/>
        </w:rPr>
        <w:t>obligación fueron reglamentadas por el Decreto 1082 de 2015, el cual se refiere en los artículos 2.2.1.2.3.1.1. y 2.2.1.2.3.1.19 a las clases de garantías permitidas, la indivisibilidad de las mismas, los riesgos objeto de cobertura, la vigencia y valores mínimos, entre otros aspectos que debe cumplir las garantías constituidas, ya sea a través de pólizas de seguro, garantías bancarias o patrimonios autónomos.</w:t>
      </w:r>
      <w:r>
        <w:rPr>
          <w:rFonts w:ascii="Arial" w:eastAsia="Calibri" w:hAnsi="Arial" w:cs="Arial"/>
          <w:color w:val="000000" w:themeColor="text1"/>
          <w:lang w:val="es-ES_tradnl"/>
        </w:rPr>
        <w:t xml:space="preserve"> </w:t>
      </w:r>
    </w:p>
    <w:p w14:paraId="512DB9C7" w14:textId="53918A54" w:rsidR="009A2C18" w:rsidRDefault="009A2C18" w:rsidP="009A2C18">
      <w:pPr>
        <w:spacing w:before="120" w:line="276" w:lineRule="auto"/>
        <w:ind w:firstLine="708"/>
        <w:jc w:val="both"/>
        <w:rPr>
          <w:rFonts w:ascii="Arial" w:eastAsia="Calibri" w:hAnsi="Arial" w:cs="Arial"/>
          <w:color w:val="000000" w:themeColor="text1"/>
          <w:lang w:val="es-ES_tradnl"/>
        </w:rPr>
      </w:pPr>
      <w:r>
        <w:rPr>
          <w:rFonts w:ascii="Arial" w:eastAsia="Calibri" w:hAnsi="Arial" w:cs="Arial"/>
          <w:color w:val="000000" w:themeColor="text1"/>
          <w:lang w:val="es-ES"/>
        </w:rPr>
        <w:t>Los artículos 2.2.1.2.3.1.6 y 2.2.1.2.3.1.9 del Decreto 1082 de 2015 establecen las condiciones que debe cumplir</w:t>
      </w:r>
      <w:r w:rsidRPr="00D17B53">
        <w:rPr>
          <w:rFonts w:ascii="Arial" w:eastAsia="Calibri" w:hAnsi="Arial" w:cs="Arial"/>
          <w:color w:val="000000" w:themeColor="text1"/>
          <w:lang w:val="es-ES"/>
        </w:rPr>
        <w:t xml:space="preserve"> </w:t>
      </w:r>
      <w:r>
        <w:rPr>
          <w:rFonts w:ascii="Arial" w:eastAsia="Calibri" w:hAnsi="Arial" w:cs="Arial"/>
          <w:color w:val="000000" w:themeColor="text1"/>
          <w:lang w:val="es-ES"/>
        </w:rPr>
        <w:t xml:space="preserve">la garantía de los riesgos derivados del incumplimiento de la oferta. </w:t>
      </w:r>
      <w:r>
        <w:rPr>
          <w:rFonts w:ascii="Arial" w:eastAsia="Calibri" w:hAnsi="Arial" w:cs="Arial"/>
          <w:color w:val="000000" w:themeColor="text1"/>
          <w:lang w:val="es-ES_tradnl"/>
        </w:rPr>
        <w:t>Igualmente</w:t>
      </w:r>
      <w:r w:rsidRPr="00C577CA">
        <w:rPr>
          <w:rFonts w:ascii="Arial" w:eastAsia="Calibri" w:hAnsi="Arial" w:cs="Arial"/>
          <w:color w:val="000000" w:themeColor="text1"/>
          <w:lang w:val="es-ES_tradnl"/>
        </w:rPr>
        <w:t xml:space="preserve">, el artículo 2.2.1.3.1.7 prescribe que la garantía de cumplimiento debe cubrir: i) el buen manejo y correcta inversión del anticipo; </w:t>
      </w:r>
      <w:proofErr w:type="spellStart"/>
      <w:r w:rsidRPr="00C577CA">
        <w:rPr>
          <w:rFonts w:ascii="Arial" w:eastAsia="Calibri" w:hAnsi="Arial" w:cs="Arial"/>
          <w:color w:val="000000" w:themeColor="text1"/>
          <w:lang w:val="es-ES_tradnl"/>
        </w:rPr>
        <w:t>ii</w:t>
      </w:r>
      <w:proofErr w:type="spellEnd"/>
      <w:r w:rsidRPr="00C577CA">
        <w:rPr>
          <w:rFonts w:ascii="Arial" w:eastAsia="Calibri" w:hAnsi="Arial" w:cs="Arial"/>
          <w:color w:val="000000" w:themeColor="text1"/>
          <w:lang w:val="es-ES_tradnl"/>
        </w:rPr>
        <w:t xml:space="preserve">) la devolución del pago anticipado; </w:t>
      </w:r>
      <w:proofErr w:type="spellStart"/>
      <w:r w:rsidRPr="00C577CA">
        <w:rPr>
          <w:rFonts w:ascii="Arial" w:eastAsia="Calibri" w:hAnsi="Arial" w:cs="Arial"/>
          <w:color w:val="000000" w:themeColor="text1"/>
          <w:lang w:val="es-ES_tradnl"/>
        </w:rPr>
        <w:t>iii</w:t>
      </w:r>
      <w:proofErr w:type="spellEnd"/>
      <w:r w:rsidRPr="00C577CA">
        <w:rPr>
          <w:rFonts w:ascii="Arial" w:eastAsia="Calibri" w:hAnsi="Arial" w:cs="Arial"/>
          <w:color w:val="000000" w:themeColor="text1"/>
          <w:lang w:val="es-ES_tradnl"/>
        </w:rPr>
        <w:t xml:space="preserve">) el cumplimiento del contrato; </w:t>
      </w:r>
      <w:proofErr w:type="spellStart"/>
      <w:r w:rsidRPr="00C577CA">
        <w:rPr>
          <w:rFonts w:ascii="Arial" w:eastAsia="Calibri" w:hAnsi="Arial" w:cs="Arial"/>
          <w:color w:val="000000" w:themeColor="text1"/>
          <w:lang w:val="es-ES_tradnl"/>
        </w:rPr>
        <w:t>iv</w:t>
      </w:r>
      <w:proofErr w:type="spellEnd"/>
      <w:r w:rsidRPr="00C577CA">
        <w:rPr>
          <w:rFonts w:ascii="Arial" w:eastAsia="Calibri" w:hAnsi="Arial" w:cs="Arial"/>
          <w:color w:val="000000" w:themeColor="text1"/>
          <w:lang w:val="es-ES_tradnl"/>
        </w:rPr>
        <w:t xml:space="preserve">) el pago de salarios, prestaciones sociales legales e indemnizaciones laborales; v) la estabilidad y calidad de la obra; vi) la calidad del servicio; </w:t>
      </w:r>
      <w:proofErr w:type="spellStart"/>
      <w:r w:rsidRPr="00C577CA">
        <w:rPr>
          <w:rFonts w:ascii="Arial" w:eastAsia="Calibri" w:hAnsi="Arial" w:cs="Arial"/>
          <w:color w:val="000000" w:themeColor="text1"/>
          <w:lang w:val="es-ES_tradnl"/>
        </w:rPr>
        <w:t>vii</w:t>
      </w:r>
      <w:proofErr w:type="spellEnd"/>
      <w:r w:rsidRPr="00C577CA">
        <w:rPr>
          <w:rFonts w:ascii="Arial" w:eastAsia="Calibri" w:hAnsi="Arial" w:cs="Arial"/>
          <w:color w:val="000000" w:themeColor="text1"/>
          <w:lang w:val="es-ES_tradnl"/>
        </w:rPr>
        <w:t xml:space="preserve">) la calidad y correcto funcionamiento de los bienes; y </w:t>
      </w:r>
      <w:proofErr w:type="spellStart"/>
      <w:r w:rsidRPr="00C577CA">
        <w:rPr>
          <w:rFonts w:ascii="Arial" w:eastAsia="Calibri" w:hAnsi="Arial" w:cs="Arial"/>
          <w:color w:val="000000" w:themeColor="text1"/>
          <w:lang w:val="es-ES_tradnl"/>
        </w:rPr>
        <w:t>viii</w:t>
      </w:r>
      <w:proofErr w:type="spellEnd"/>
      <w:r w:rsidRPr="00C577CA">
        <w:rPr>
          <w:rFonts w:ascii="Arial" w:eastAsia="Calibri" w:hAnsi="Arial" w:cs="Arial"/>
          <w:color w:val="000000" w:themeColor="text1"/>
          <w:lang w:val="es-ES_tradnl"/>
        </w:rPr>
        <w:t xml:space="preserve">) los demás incumplimientos de las obligaciones que la </w:t>
      </w:r>
      <w:r w:rsidR="0060294B">
        <w:rPr>
          <w:rFonts w:ascii="Arial" w:eastAsia="Calibri" w:hAnsi="Arial" w:cs="Arial"/>
          <w:color w:val="000000" w:themeColor="text1"/>
          <w:lang w:val="es-ES_tradnl"/>
        </w:rPr>
        <w:t>Entidad Estatal</w:t>
      </w:r>
      <w:r w:rsidRPr="00C577CA">
        <w:rPr>
          <w:rFonts w:ascii="Arial" w:eastAsia="Calibri" w:hAnsi="Arial" w:cs="Arial"/>
          <w:color w:val="000000" w:themeColor="text1"/>
          <w:lang w:val="es-ES_tradnl"/>
        </w:rPr>
        <w:t xml:space="preserve"> considere deben ser amparados.</w:t>
      </w:r>
    </w:p>
    <w:p w14:paraId="6DEAA2B7" w14:textId="42A641A2" w:rsidR="009A2C18" w:rsidRDefault="00F747CC" w:rsidP="00F747CC">
      <w:pPr>
        <w:spacing w:before="120" w:line="276" w:lineRule="auto"/>
        <w:ind w:firstLine="708"/>
        <w:jc w:val="both"/>
        <w:rPr>
          <w:rFonts w:ascii="Arial" w:eastAsia="Calibri" w:hAnsi="Arial" w:cs="Arial"/>
          <w:color w:val="000000" w:themeColor="text1"/>
          <w:lang w:val="es-ES_tradnl"/>
        </w:rPr>
      </w:pPr>
      <w:bookmarkStart w:id="14" w:name="_Hlk49524986"/>
      <w:bookmarkStart w:id="15" w:name="_Hlk47893233"/>
      <w:r>
        <w:rPr>
          <w:rFonts w:ascii="Arial" w:eastAsia="Calibri" w:hAnsi="Arial" w:cs="Arial"/>
          <w:color w:val="000000" w:themeColor="text1"/>
          <w:lang w:val="es-ES_tradnl"/>
        </w:rPr>
        <w:t xml:space="preserve">Sobre el caso de su consulta, </w:t>
      </w:r>
      <w:bookmarkEnd w:id="14"/>
      <w:bookmarkEnd w:id="15"/>
      <w:r>
        <w:rPr>
          <w:rFonts w:ascii="Arial" w:eastAsia="Calibri" w:hAnsi="Arial" w:cs="Arial"/>
          <w:color w:val="000000" w:themeColor="text1"/>
          <w:lang w:val="es-ES_tradnl"/>
        </w:rPr>
        <w:t xml:space="preserve">el </w:t>
      </w:r>
      <w:r w:rsidR="009A2C18" w:rsidRPr="00AD2808">
        <w:rPr>
          <w:rFonts w:ascii="Arial" w:eastAsia="Calibri" w:hAnsi="Arial" w:cs="Arial"/>
          <w:color w:val="000000" w:themeColor="text1"/>
          <w:lang w:val="es-ES"/>
        </w:rPr>
        <w:t>amparo de estabilidad y calidad de la obra, sin perjuicio de la</w:t>
      </w:r>
      <w:r w:rsidR="009A2C18" w:rsidRPr="0017145A">
        <w:rPr>
          <w:rFonts w:ascii="Arial" w:eastAsia="Calibri" w:hAnsi="Arial" w:cs="Arial"/>
          <w:color w:val="000000" w:themeColor="text1"/>
          <w:lang w:val="es-ES_tradnl"/>
        </w:rPr>
        <w:t xml:space="preserve"> garantía decenal de que trata el artículo 2060.3 del Código Civil</w:t>
      </w:r>
      <w:r w:rsidR="009A2C18" w:rsidRPr="0017145A">
        <w:rPr>
          <w:rFonts w:ascii="Arial" w:eastAsia="Calibri" w:hAnsi="Arial" w:cs="Arial"/>
          <w:color w:val="000000" w:themeColor="text1"/>
          <w:vertAlign w:val="superscript"/>
          <w:lang w:val="es-ES_tradnl"/>
        </w:rPr>
        <w:footnoteReference w:id="16"/>
      </w:r>
      <w:r w:rsidR="009A2C18" w:rsidRPr="0017145A">
        <w:rPr>
          <w:rFonts w:ascii="Arial" w:eastAsia="Calibri" w:hAnsi="Arial" w:cs="Arial"/>
          <w:color w:val="000000" w:themeColor="text1"/>
          <w:lang w:val="es-ES_tradnl"/>
        </w:rPr>
        <w:t xml:space="preserve">, el numeral 5 del artículo 2.2.1.3.1.7 del Decreto 1082 de 2015 dispone que </w:t>
      </w:r>
      <w:r w:rsidR="009A2C18">
        <w:rPr>
          <w:rFonts w:ascii="Arial" w:eastAsia="Calibri" w:hAnsi="Arial" w:cs="Arial"/>
          <w:color w:val="000000" w:themeColor="text1"/>
          <w:lang w:val="es-ES_tradnl"/>
        </w:rPr>
        <w:t>“</w:t>
      </w:r>
      <w:r w:rsidR="009A2C18" w:rsidRPr="0017145A">
        <w:rPr>
          <w:color w:val="000000" w:themeColor="text1"/>
          <w:lang w:val="es-MX"/>
        </w:rPr>
        <w:t xml:space="preserve">[…] </w:t>
      </w:r>
      <w:r w:rsidR="009A2C18" w:rsidRPr="0017145A">
        <w:rPr>
          <w:rFonts w:ascii="Arial" w:eastAsia="Calibri" w:hAnsi="Arial" w:cs="Arial"/>
          <w:color w:val="000000" w:themeColor="text1"/>
          <w:lang w:val="es-ES_tradnl"/>
        </w:rPr>
        <w:t xml:space="preserve">cubre a la </w:t>
      </w:r>
      <w:r w:rsidR="0060294B">
        <w:rPr>
          <w:rFonts w:ascii="Arial" w:eastAsia="Calibri" w:hAnsi="Arial" w:cs="Arial"/>
          <w:color w:val="000000" w:themeColor="text1"/>
          <w:lang w:val="es-ES_tradnl"/>
        </w:rPr>
        <w:t>Entidad Estatal</w:t>
      </w:r>
      <w:r w:rsidR="009A2C18" w:rsidRPr="0017145A">
        <w:rPr>
          <w:rFonts w:ascii="Arial" w:eastAsia="Calibri" w:hAnsi="Arial" w:cs="Arial"/>
          <w:color w:val="000000" w:themeColor="text1"/>
          <w:lang w:val="es-ES_tradnl"/>
        </w:rPr>
        <w:t xml:space="preserve"> de los perjuicios ocasionados por cualquier tipo de daño o deterioro, imputable al contratista, sufrido por la obra entregada a satisfacción</w:t>
      </w:r>
      <w:r w:rsidR="009A2C18">
        <w:rPr>
          <w:rFonts w:ascii="Arial" w:eastAsia="Calibri" w:hAnsi="Arial" w:cs="Arial"/>
          <w:color w:val="000000" w:themeColor="text1"/>
          <w:lang w:val="es-ES_tradnl"/>
        </w:rPr>
        <w:t>”</w:t>
      </w:r>
      <w:r w:rsidR="009A2C18" w:rsidRPr="0017145A">
        <w:rPr>
          <w:rFonts w:ascii="Arial" w:eastAsia="Calibri" w:hAnsi="Arial" w:cs="Arial"/>
          <w:color w:val="000000" w:themeColor="text1"/>
          <w:lang w:val="es-ES_tradnl"/>
        </w:rPr>
        <w:t xml:space="preserve">. </w:t>
      </w:r>
    </w:p>
    <w:p w14:paraId="62E09349" w14:textId="7E3D8FC5" w:rsidR="00DB4B5C" w:rsidRDefault="009A2C18" w:rsidP="009A2C18">
      <w:pPr>
        <w:spacing w:before="120" w:line="276" w:lineRule="auto"/>
        <w:ind w:firstLine="708"/>
        <w:jc w:val="both"/>
        <w:rPr>
          <w:rFonts w:ascii="Arial" w:eastAsia="Calibri" w:hAnsi="Arial" w:cs="Arial"/>
          <w:color w:val="000000" w:themeColor="text1"/>
          <w:lang w:val="es-ES_tradnl"/>
        </w:rPr>
      </w:pPr>
      <w:r w:rsidRPr="0017145A">
        <w:rPr>
          <w:rFonts w:ascii="Arial" w:eastAsia="Calibri" w:hAnsi="Arial" w:cs="Arial"/>
          <w:color w:val="000000" w:themeColor="text1"/>
          <w:lang w:val="es-ES_tradnl"/>
        </w:rPr>
        <w:t xml:space="preserve">Por otra parte, el artículo 2.2.1.2.3.1.14 prescribe que </w:t>
      </w:r>
      <w:r>
        <w:rPr>
          <w:rFonts w:ascii="Arial" w:eastAsia="Calibri" w:hAnsi="Arial" w:cs="Arial"/>
          <w:color w:val="000000" w:themeColor="text1"/>
          <w:lang w:val="es-ES_tradnl"/>
        </w:rPr>
        <w:t>“</w:t>
      </w:r>
      <w:r w:rsidRPr="0017145A">
        <w:rPr>
          <w:rFonts w:ascii="Arial" w:eastAsia="Calibri" w:hAnsi="Arial" w:cs="Arial"/>
          <w:color w:val="000000" w:themeColor="text1"/>
          <w:lang w:val="es-ES_tradnl"/>
        </w:rPr>
        <w:t xml:space="preserve">Esta garantía debe estar vigente por un término no inferior a cinco (5) años contados a partir de la fecha en la cual la </w:t>
      </w:r>
      <w:r w:rsidR="0060294B">
        <w:rPr>
          <w:rFonts w:ascii="Arial" w:eastAsia="Calibri" w:hAnsi="Arial" w:cs="Arial"/>
          <w:color w:val="000000" w:themeColor="text1"/>
          <w:lang w:val="es-ES_tradnl"/>
        </w:rPr>
        <w:t>Entidad Estatal</w:t>
      </w:r>
      <w:r w:rsidRPr="0017145A">
        <w:rPr>
          <w:rFonts w:ascii="Arial" w:eastAsia="Calibri" w:hAnsi="Arial" w:cs="Arial"/>
          <w:color w:val="000000" w:themeColor="text1"/>
          <w:lang w:val="es-ES_tradnl"/>
        </w:rPr>
        <w:t xml:space="preserve"> recibe a satisfacción la obra. La </w:t>
      </w:r>
      <w:r w:rsidR="0060294B">
        <w:rPr>
          <w:rFonts w:ascii="Arial" w:eastAsia="Calibri" w:hAnsi="Arial" w:cs="Arial"/>
          <w:color w:val="000000" w:themeColor="text1"/>
          <w:lang w:val="es-ES_tradnl"/>
        </w:rPr>
        <w:t>Entidad Estatal</w:t>
      </w:r>
      <w:r w:rsidRPr="0017145A">
        <w:rPr>
          <w:rFonts w:ascii="Arial" w:eastAsia="Calibri" w:hAnsi="Arial" w:cs="Arial"/>
          <w:color w:val="000000" w:themeColor="text1"/>
          <w:lang w:val="es-ES_tradnl"/>
        </w:rPr>
        <w:t xml:space="preserve"> debe determinar el valor de esta garantía en los pliegos de condiciones de la Contratación, de acuerdo con el objeto, el valor, la naturaleza y las obligaciones contenidas en el contrato</w:t>
      </w:r>
      <w:r>
        <w:rPr>
          <w:rFonts w:ascii="Arial" w:eastAsia="Calibri" w:hAnsi="Arial" w:cs="Arial"/>
          <w:color w:val="000000" w:themeColor="text1"/>
          <w:lang w:val="es-ES_tradnl"/>
        </w:rPr>
        <w:t>”</w:t>
      </w:r>
      <w:r w:rsidRPr="0017145A">
        <w:rPr>
          <w:rFonts w:ascii="Arial" w:eastAsia="Calibri" w:hAnsi="Arial" w:cs="Arial"/>
          <w:color w:val="000000" w:themeColor="text1"/>
          <w:lang w:val="es-ES_tradnl"/>
        </w:rPr>
        <w:t xml:space="preserve">, agregando que </w:t>
      </w:r>
      <w:r>
        <w:rPr>
          <w:rFonts w:ascii="Arial" w:eastAsia="Calibri" w:hAnsi="Arial" w:cs="Arial"/>
          <w:color w:val="000000" w:themeColor="text1"/>
          <w:lang w:val="es-ES_tradnl"/>
        </w:rPr>
        <w:t>“</w:t>
      </w:r>
      <w:r w:rsidRPr="0017145A">
        <w:rPr>
          <w:rFonts w:ascii="Arial" w:eastAsia="Calibri" w:hAnsi="Arial" w:cs="Arial"/>
          <w:color w:val="000000" w:themeColor="text1"/>
          <w:lang w:val="es-ES_tradnl"/>
        </w:rPr>
        <w:t xml:space="preserve">La </w:t>
      </w:r>
      <w:r w:rsidR="0060294B">
        <w:rPr>
          <w:rFonts w:ascii="Arial" w:eastAsia="Calibri" w:hAnsi="Arial" w:cs="Arial"/>
          <w:color w:val="000000" w:themeColor="text1"/>
          <w:lang w:val="es-ES_tradnl"/>
        </w:rPr>
        <w:t>Entidad Estatal</w:t>
      </w:r>
      <w:r w:rsidRPr="0017145A">
        <w:rPr>
          <w:rFonts w:ascii="Arial" w:eastAsia="Calibri" w:hAnsi="Arial" w:cs="Arial"/>
          <w:color w:val="000000" w:themeColor="text1"/>
          <w:lang w:val="es-ES_tradnl"/>
        </w:rPr>
        <w:t xml:space="preserve"> puede aceptar que esta garantía tenga una vigencia inferior a cinco (5) años previa justificación técnica de un experto en la materia objeto del contrato</w:t>
      </w:r>
      <w:r>
        <w:rPr>
          <w:rFonts w:ascii="Arial" w:eastAsia="Calibri" w:hAnsi="Arial" w:cs="Arial"/>
          <w:color w:val="000000" w:themeColor="text1"/>
          <w:lang w:val="es-ES_tradnl"/>
        </w:rPr>
        <w:t>”</w:t>
      </w:r>
      <w:r w:rsidRPr="0017145A">
        <w:rPr>
          <w:rFonts w:ascii="Arial" w:eastAsia="Calibri" w:hAnsi="Arial" w:cs="Arial"/>
          <w:color w:val="000000" w:themeColor="text1"/>
          <w:lang w:val="es-ES_tradnl"/>
        </w:rPr>
        <w:t xml:space="preserve">. </w:t>
      </w:r>
    </w:p>
    <w:p w14:paraId="5D71324D" w14:textId="1DE436FE" w:rsidR="009A2C18" w:rsidRPr="00DD6657" w:rsidRDefault="009A2C18" w:rsidP="009A2C18">
      <w:pPr>
        <w:spacing w:before="120" w:line="276" w:lineRule="auto"/>
        <w:ind w:firstLine="708"/>
        <w:jc w:val="both"/>
        <w:rPr>
          <w:rFonts w:ascii="Arial" w:eastAsia="Calibri" w:hAnsi="Arial" w:cs="Arial"/>
          <w:color w:val="000000" w:themeColor="text1"/>
          <w:lang w:val="es-ES_tradnl"/>
        </w:rPr>
      </w:pPr>
      <w:r w:rsidRPr="0017145A">
        <w:rPr>
          <w:rFonts w:ascii="Arial" w:eastAsia="Calibri" w:hAnsi="Arial" w:cs="Arial"/>
          <w:color w:val="000000" w:themeColor="text1"/>
          <w:lang w:val="es-ES_tradnl"/>
        </w:rPr>
        <w:lastRenderedPageBreak/>
        <w:t>De esta manera, la garantía cubre la ocurrencia de vicios, mala calidad, defectos, deficiencias técnicas o fallas que la Administración no detecte al momento de recibir la obra o que descubre con posterioridad a la finalización del contrato, afectando el cumplimiento de los objetivos que animaron la suscripción</w:t>
      </w:r>
      <w:r w:rsidR="00DB4B5C">
        <w:rPr>
          <w:rFonts w:ascii="Arial" w:eastAsia="Calibri" w:hAnsi="Arial" w:cs="Arial"/>
          <w:color w:val="000000" w:themeColor="text1"/>
          <w:lang w:val="es-ES_tradnl"/>
        </w:rPr>
        <w:t xml:space="preserve">. De esta manera, el siniestro de esta garantía </w:t>
      </w:r>
      <w:r w:rsidR="007A7236">
        <w:rPr>
          <w:rFonts w:ascii="Arial" w:eastAsia="Calibri" w:hAnsi="Arial" w:cs="Arial"/>
          <w:color w:val="000000" w:themeColor="text1"/>
          <w:lang w:val="es-ES_tradnl"/>
        </w:rPr>
        <w:t>no concurre con la imposición de multas</w:t>
      </w:r>
      <w:r w:rsidR="00DB4B5C">
        <w:rPr>
          <w:rFonts w:ascii="Arial" w:eastAsia="Calibri" w:hAnsi="Arial" w:cs="Arial"/>
          <w:color w:val="000000" w:themeColor="text1"/>
          <w:lang w:val="es-ES_tradnl"/>
        </w:rPr>
        <w:t xml:space="preserve">, y en todo caso, no necesariamente concurre con </w:t>
      </w:r>
      <w:r w:rsidR="00D27097">
        <w:rPr>
          <w:rFonts w:ascii="Arial" w:eastAsia="Calibri" w:hAnsi="Arial" w:cs="Arial"/>
          <w:color w:val="000000" w:themeColor="text1"/>
          <w:lang w:val="es-ES_tradnl"/>
        </w:rPr>
        <w:t>la declaratoria de incumplimiento y imposición de clausula penal.</w:t>
      </w:r>
    </w:p>
    <w:p w14:paraId="4980C09C" w14:textId="278E129D" w:rsidR="0097215F" w:rsidRPr="0097215F" w:rsidRDefault="009A2C18" w:rsidP="005F44BC">
      <w:pPr>
        <w:spacing w:line="276" w:lineRule="auto"/>
        <w:jc w:val="both"/>
        <w:rPr>
          <w:rFonts w:ascii="Arial" w:eastAsia="Calibri" w:hAnsi="Arial" w:cs="Arial"/>
          <w:b/>
          <w:bCs/>
          <w:color w:val="000000" w:themeColor="text1"/>
          <w:lang w:val="es-ES_tradnl"/>
        </w:rPr>
      </w:pPr>
      <w:r>
        <w:rPr>
          <w:rFonts w:ascii="Arial" w:eastAsia="Calibri" w:hAnsi="Arial" w:cs="Arial"/>
          <w:b/>
          <w:bCs/>
          <w:color w:val="000000" w:themeColor="text1"/>
          <w:lang w:val="es-ES_tradnl"/>
        </w:rPr>
        <w:t xml:space="preserve">2.4. </w:t>
      </w:r>
      <w:r w:rsidR="0097215F" w:rsidRPr="0097215F">
        <w:rPr>
          <w:rFonts w:ascii="Arial" w:eastAsia="Calibri" w:hAnsi="Arial" w:cs="Arial"/>
          <w:b/>
          <w:bCs/>
          <w:color w:val="000000" w:themeColor="text1"/>
          <w:lang w:val="es-ES_tradnl"/>
        </w:rPr>
        <w:t xml:space="preserve">Procedimiento </w:t>
      </w:r>
      <w:bookmarkStart w:id="16" w:name="_Hlk132672404"/>
      <w:r w:rsidR="0097215F" w:rsidRPr="0097215F">
        <w:rPr>
          <w:rFonts w:ascii="Arial" w:eastAsia="Calibri" w:hAnsi="Arial" w:cs="Arial"/>
          <w:b/>
          <w:bCs/>
          <w:color w:val="000000" w:themeColor="text1"/>
          <w:lang w:val="es-ES_tradnl"/>
        </w:rPr>
        <w:t>para declarar el siniestro en los contratos estatales regulados por el Estatuto General de Contratación de la Administración Pública</w:t>
      </w:r>
      <w:bookmarkEnd w:id="16"/>
      <w:r w:rsidR="00B33243">
        <w:rPr>
          <w:rFonts w:ascii="Arial" w:eastAsia="Calibri" w:hAnsi="Arial" w:cs="Arial"/>
          <w:b/>
          <w:bCs/>
          <w:color w:val="000000" w:themeColor="text1"/>
          <w:lang w:val="es-ES_tradnl"/>
        </w:rPr>
        <w:t>- debido proceso</w:t>
      </w:r>
      <w:r w:rsidR="004F39E3">
        <w:rPr>
          <w:rFonts w:ascii="Arial" w:eastAsia="Calibri" w:hAnsi="Arial" w:cs="Arial"/>
          <w:b/>
          <w:bCs/>
          <w:color w:val="000000" w:themeColor="text1"/>
          <w:lang w:val="es-ES_tradnl"/>
        </w:rPr>
        <w:t xml:space="preserve"> administrativo.</w:t>
      </w:r>
    </w:p>
    <w:p w14:paraId="00CFE4E5" w14:textId="6C23B2FC" w:rsidR="0097215F" w:rsidRPr="00921444" w:rsidRDefault="00CB50AA" w:rsidP="00921444">
      <w:pPr>
        <w:spacing w:line="276" w:lineRule="auto"/>
        <w:jc w:val="both"/>
        <w:rPr>
          <w:rFonts w:ascii="Arial" w:eastAsia="Calibri" w:hAnsi="Arial" w:cs="Arial"/>
          <w:color w:val="000000" w:themeColor="text1"/>
          <w:lang w:val="es-ES_tradnl"/>
        </w:rPr>
      </w:pPr>
      <w:bookmarkStart w:id="17" w:name="_Hlk35876968"/>
      <w:bookmarkEnd w:id="13"/>
      <w:r>
        <w:rPr>
          <w:rFonts w:ascii="Arial" w:eastAsia="Calibri" w:hAnsi="Arial" w:cs="Arial"/>
          <w:color w:val="000000" w:themeColor="text1"/>
          <w:lang w:val="es-ES_tradnl"/>
        </w:rPr>
        <w:t xml:space="preserve">Como se indicó, </w:t>
      </w:r>
      <w:r w:rsidR="0097215F" w:rsidRPr="0097215F">
        <w:rPr>
          <w:rFonts w:ascii="Arial" w:eastAsia="Calibri" w:hAnsi="Arial" w:cs="Arial"/>
          <w:color w:val="000000" w:themeColor="text1"/>
          <w:lang w:val="es-ES_tradnl"/>
        </w:rPr>
        <w:t xml:space="preserve">el artículo 7 de la Ley 1150 de 2007 dispone que los contratistas tienen la obligación de constituirla para el cumplimiento de las obligaciones surgidas del contrato, pudiendo consistir en pólizas expedidas por compañías aseguradoras, garantías bancarias u otros mecanismos permitidos por la ley y el reglamento. </w:t>
      </w:r>
      <w:r w:rsidR="00522629">
        <w:rPr>
          <w:rFonts w:ascii="Arial" w:eastAsia="Calibri" w:hAnsi="Arial" w:cs="Arial"/>
          <w:color w:val="000000" w:themeColor="text1"/>
          <w:lang w:val="es-ES_tradnl"/>
        </w:rPr>
        <w:t>Asimismo, dispuso</w:t>
      </w:r>
      <w:r w:rsidR="0097215F" w:rsidRPr="0097215F">
        <w:rPr>
          <w:rFonts w:ascii="Arial" w:eastAsia="Calibri" w:hAnsi="Arial" w:cs="Arial"/>
          <w:color w:val="000000" w:themeColor="text1"/>
          <w:lang w:val="es-ES_tradnl"/>
        </w:rPr>
        <w:t xml:space="preserve"> </w:t>
      </w:r>
      <w:r w:rsidR="00921444">
        <w:rPr>
          <w:rFonts w:ascii="Arial" w:eastAsia="Calibri" w:hAnsi="Arial" w:cs="Arial"/>
          <w:color w:val="000000" w:themeColor="text1"/>
          <w:lang w:val="es-ES_tradnl"/>
        </w:rPr>
        <w:t xml:space="preserve">que </w:t>
      </w:r>
      <w:r w:rsidR="00921444" w:rsidRPr="00921444">
        <w:rPr>
          <w:rFonts w:ascii="Arial" w:eastAsia="Calibri" w:hAnsi="Arial" w:cs="Arial"/>
          <w:color w:val="000000" w:themeColor="text1"/>
          <w:lang w:val="es-ES_tradnl"/>
        </w:rPr>
        <w:t>“</w:t>
      </w:r>
      <w:r w:rsidR="0097215F" w:rsidRPr="00921444">
        <w:rPr>
          <w:rFonts w:ascii="Arial" w:eastAsia="Calibri" w:hAnsi="Arial" w:cs="Arial"/>
          <w:color w:val="000000" w:themeColor="text1"/>
          <w:lang w:val="es-ES_tradnl"/>
        </w:rPr>
        <w:t>El acaecimiento del siniestro que amparan las garantías será comunicado por la entidad pública al respectivo asegurador mediante la notificación del acto administrativo que así lo declare.</w:t>
      </w:r>
      <w:r w:rsidR="00921444">
        <w:rPr>
          <w:rFonts w:ascii="Arial" w:eastAsia="Calibri" w:hAnsi="Arial" w:cs="Arial"/>
          <w:color w:val="000000" w:themeColor="text1"/>
          <w:lang w:val="es-ES_tradnl"/>
        </w:rPr>
        <w:t>”</w:t>
      </w:r>
    </w:p>
    <w:bookmarkEnd w:id="17"/>
    <w:p w14:paraId="78F2792E" w14:textId="24C401A7" w:rsidR="0097215F" w:rsidRPr="0097215F" w:rsidRDefault="0097215F" w:rsidP="005F44BC">
      <w:pPr>
        <w:spacing w:line="276" w:lineRule="auto"/>
        <w:ind w:firstLine="708"/>
        <w:jc w:val="both"/>
        <w:rPr>
          <w:rFonts w:ascii="Arial" w:eastAsia="Calibri" w:hAnsi="Arial" w:cs="Arial"/>
          <w:color w:val="000000" w:themeColor="text1"/>
          <w:lang w:val="es-ES_tradnl"/>
        </w:rPr>
      </w:pPr>
      <w:r w:rsidRPr="0097215F">
        <w:rPr>
          <w:rFonts w:ascii="Arial" w:eastAsia="Calibri" w:hAnsi="Arial" w:cs="Arial"/>
          <w:color w:val="000000" w:themeColor="text1"/>
          <w:lang w:val="es-ES_tradnl"/>
        </w:rPr>
        <w:t xml:space="preserve">En lo que respecta </w:t>
      </w:r>
      <w:r w:rsidRPr="00BA7F93">
        <w:rPr>
          <w:rFonts w:ascii="Arial" w:eastAsia="Calibri" w:hAnsi="Arial" w:cs="Arial"/>
          <w:color w:val="000000" w:themeColor="text1"/>
          <w:lang w:val="es-ES_tradnl"/>
        </w:rPr>
        <w:t>al procedimiento</w:t>
      </w:r>
      <w:r w:rsidR="00522629" w:rsidRPr="00BA7F93">
        <w:rPr>
          <w:rFonts w:ascii="Arial" w:eastAsia="Calibri" w:hAnsi="Arial" w:cs="Arial"/>
          <w:color w:val="000000" w:themeColor="text1"/>
          <w:lang w:val="es-ES_tradnl"/>
        </w:rPr>
        <w:t xml:space="preserve"> para declarar el siniestro en los contratos estatales regulados por el Estatuto General de Contratación de la Administración Pública</w:t>
      </w:r>
      <w:r w:rsidRPr="0097215F">
        <w:rPr>
          <w:rFonts w:ascii="Arial" w:eastAsia="Calibri" w:hAnsi="Arial" w:cs="Arial"/>
          <w:color w:val="000000" w:themeColor="text1"/>
          <w:lang w:val="es-ES_tradnl"/>
        </w:rPr>
        <w:t>, la jurisprudencia explica que, al declarar el siniestro, la Administración no ejerce una potestad sancionadora</w:t>
      </w:r>
      <w:r w:rsidRPr="0097215F">
        <w:rPr>
          <w:rStyle w:val="Refdenotaalpie"/>
          <w:rFonts w:ascii="Arial" w:eastAsia="Calibri" w:hAnsi="Arial" w:cs="Arial"/>
          <w:color w:val="000000" w:themeColor="text1"/>
          <w:lang w:val="es-ES_tradnl"/>
        </w:rPr>
        <w:footnoteReference w:id="17"/>
      </w:r>
      <w:r w:rsidRPr="0097215F">
        <w:rPr>
          <w:rFonts w:ascii="Arial" w:eastAsia="Calibri" w:hAnsi="Arial" w:cs="Arial"/>
          <w:color w:val="000000" w:themeColor="text1"/>
          <w:lang w:val="es-ES_tradnl"/>
        </w:rPr>
        <w:t xml:space="preserve">. En esta medida, no se trata de una pena de carácter legal o convencional, porque no pretende terminar anormalmente el contrato –caducidad–, ni estima anticipadamente los perjuicios derivados del incumplimiento –cláusula penal–, como tampoco son medios coercitivos de apremio –multas–. Todo lo contrario, su función es salvaguardar el interés público y proteger patrimonialmente a la Administración frente a los eventuales incumplimientos imputables al contratista. </w:t>
      </w:r>
    </w:p>
    <w:p w14:paraId="091FDCFD" w14:textId="54541206" w:rsidR="0097215F" w:rsidRPr="0097215F" w:rsidRDefault="0097215F" w:rsidP="005F44BC">
      <w:pPr>
        <w:spacing w:line="276" w:lineRule="auto"/>
        <w:ind w:firstLine="708"/>
        <w:jc w:val="both"/>
        <w:rPr>
          <w:rFonts w:ascii="Arial" w:eastAsia="Calibri" w:hAnsi="Arial" w:cs="Arial"/>
          <w:color w:val="000000" w:themeColor="text1"/>
          <w:lang w:val="es-ES_tradnl"/>
        </w:rPr>
      </w:pPr>
      <w:r w:rsidRPr="0097215F">
        <w:rPr>
          <w:rFonts w:ascii="Arial" w:eastAsia="Calibri" w:hAnsi="Arial" w:cs="Arial"/>
          <w:color w:val="000000" w:themeColor="text1"/>
          <w:lang w:val="es-ES_tradnl"/>
        </w:rPr>
        <w:t xml:space="preserve">Por ello, impuesta cualquier sanción contractual –multa, cláusula penal o caducidad–, la entidad –previa citación de la aseguradora– está facultada para afectar el amparo de cumplimiento, siniestrando la póliza conforme al procedimiento del artículo 86 de la Ley 1474 de 2011. Dicho trámite se establece para declarar el incumplimiento, cuantificando los perjuicios del mismo, imponer las multas y sanciones pactadas en el contrato, y hacer efectiva la cláusula penal. En esta medida, dicha norma no aplica para declarar el siniestro del amparo de estabilidad </w:t>
      </w:r>
      <w:r w:rsidR="0026555D">
        <w:rPr>
          <w:rFonts w:ascii="Arial" w:eastAsia="Calibri" w:hAnsi="Arial" w:cs="Arial"/>
          <w:color w:val="000000" w:themeColor="text1"/>
          <w:lang w:val="es-ES_tradnl"/>
        </w:rPr>
        <w:t xml:space="preserve">y calidad </w:t>
      </w:r>
      <w:r w:rsidRPr="0097215F">
        <w:rPr>
          <w:rFonts w:ascii="Arial" w:eastAsia="Calibri" w:hAnsi="Arial" w:cs="Arial"/>
          <w:color w:val="000000" w:themeColor="text1"/>
          <w:lang w:val="es-ES_tradnl"/>
        </w:rPr>
        <w:t xml:space="preserve">de la obra, el cual supone que el contratista ejecutó las actividades pactadas y que la </w:t>
      </w:r>
      <w:r w:rsidRPr="0097215F">
        <w:rPr>
          <w:rFonts w:ascii="Arial" w:eastAsia="Calibri" w:hAnsi="Arial" w:cs="Arial"/>
          <w:color w:val="000000" w:themeColor="text1"/>
          <w:lang w:val="es-ES_tradnl"/>
        </w:rPr>
        <w:lastRenderedPageBreak/>
        <w:t>entidad las recibió a satisfacción, encontrando posteriormente vicios que afectan su calidad y obligan al saneamiento</w:t>
      </w:r>
      <w:r w:rsidRPr="0097215F">
        <w:rPr>
          <w:rStyle w:val="Refdenotaalpie"/>
          <w:rFonts w:ascii="Arial" w:eastAsia="Calibri" w:hAnsi="Arial" w:cs="Arial"/>
          <w:color w:val="000000" w:themeColor="text1"/>
          <w:lang w:val="es-ES_tradnl"/>
        </w:rPr>
        <w:footnoteReference w:id="18"/>
      </w:r>
      <w:r w:rsidRPr="0097215F">
        <w:rPr>
          <w:rFonts w:ascii="Arial" w:eastAsia="Calibri" w:hAnsi="Arial" w:cs="Arial"/>
          <w:color w:val="000000" w:themeColor="text1"/>
          <w:lang w:val="es-ES_tradnl"/>
        </w:rPr>
        <w:t>.</w:t>
      </w:r>
    </w:p>
    <w:p w14:paraId="266D9261" w14:textId="6264C7F5" w:rsidR="0097215F" w:rsidRPr="0097215F" w:rsidRDefault="0097215F" w:rsidP="005F44BC">
      <w:pPr>
        <w:spacing w:line="276" w:lineRule="auto"/>
        <w:ind w:firstLine="708"/>
        <w:jc w:val="both"/>
        <w:rPr>
          <w:rFonts w:ascii="Arial" w:eastAsia="Calibri" w:hAnsi="Arial" w:cs="Arial"/>
          <w:color w:val="000000" w:themeColor="text1"/>
          <w:lang w:val="es-ES_tradnl"/>
        </w:rPr>
      </w:pPr>
      <w:r w:rsidRPr="0097215F">
        <w:rPr>
          <w:rFonts w:ascii="Arial" w:eastAsia="Calibri" w:hAnsi="Arial" w:cs="Arial"/>
          <w:color w:val="000000" w:themeColor="text1"/>
          <w:lang w:val="es-ES_tradnl"/>
        </w:rPr>
        <w:t xml:space="preserve">En todo caso, el artículo 29 de la Constitución Política de 1991 dispone que el debido proceso rige en todas las actuaciones judiciales y administrativas. En concordancia, el numeral 1 del artículo 3 de la Ley 1437 prescribe que </w:t>
      </w:r>
      <w:r w:rsidR="00580F7E">
        <w:rPr>
          <w:rFonts w:ascii="Arial" w:eastAsia="Calibri" w:hAnsi="Arial" w:cs="Arial"/>
          <w:color w:val="000000" w:themeColor="text1"/>
          <w:lang w:val="es-ES_tradnl"/>
        </w:rPr>
        <w:t>“</w:t>
      </w:r>
      <w:r w:rsidRPr="0097215F">
        <w:rPr>
          <w:rFonts w:ascii="Arial" w:eastAsia="Calibri" w:hAnsi="Arial" w:cs="Arial"/>
          <w:color w:val="000000" w:themeColor="text1"/>
          <w:lang w:val="es-ES_tradnl"/>
        </w:rPr>
        <w:t>En virtud del principio del debido proceso, las actuaciones administrativas se adelantarán de conformidad con las normas de procedimiento y competencia establecidas en la Constitución y la ley, con plena garantía de los derechos de representación, defensa y contradicción […]</w:t>
      </w:r>
      <w:r w:rsidR="00580F7E">
        <w:rPr>
          <w:rFonts w:ascii="Arial" w:eastAsia="Calibri" w:hAnsi="Arial" w:cs="Arial"/>
          <w:color w:val="000000" w:themeColor="text1"/>
          <w:lang w:val="es-ES_tradnl"/>
        </w:rPr>
        <w:t>”</w:t>
      </w:r>
      <w:r w:rsidRPr="0097215F">
        <w:rPr>
          <w:rFonts w:ascii="Arial" w:eastAsia="Calibri" w:hAnsi="Arial" w:cs="Arial"/>
          <w:color w:val="000000" w:themeColor="text1"/>
          <w:lang w:val="es-ES_tradnl"/>
        </w:rPr>
        <w:t xml:space="preserve">. Por tanto, sin perjuicio de los recursos y los medios de control procedentes, este derecho fundamental permite que tanto el contratista como la aseguradora conozcan la actuación, ejerciendo el derecho de audiencia y defensa antes de que la Administración afecte la póliza. La jurisprudencia mayoritaria del Consejo de Estado acoge esta idea al explicar que, si bien las entidades tienen competencia para declarar el siniestro, esta prerrogativa no limita el debido proceso, razón por la cual: </w:t>
      </w:r>
    </w:p>
    <w:p w14:paraId="0122257D" w14:textId="576A2A8A" w:rsidR="0097215F" w:rsidRPr="00933E49" w:rsidRDefault="00933E49" w:rsidP="00933E49">
      <w:pPr>
        <w:spacing w:line="240" w:lineRule="auto"/>
        <w:ind w:left="709" w:right="760"/>
        <w:jc w:val="both"/>
        <w:rPr>
          <w:rFonts w:ascii="Arial" w:eastAsia="Calibri" w:hAnsi="Arial" w:cs="Arial"/>
          <w:color w:val="000000" w:themeColor="text1"/>
          <w:sz w:val="21"/>
          <w:szCs w:val="21"/>
          <w:lang w:val="es-ES_tradnl"/>
        </w:rPr>
      </w:pPr>
      <w:r w:rsidRPr="00933E49">
        <w:rPr>
          <w:rFonts w:ascii="Arial" w:eastAsia="Calibri" w:hAnsi="Arial" w:cs="Arial"/>
          <w:color w:val="000000" w:themeColor="text1"/>
          <w:sz w:val="21"/>
          <w:szCs w:val="21"/>
          <w:lang w:val="es-ES_tradnl"/>
        </w:rPr>
        <w:t>“</w:t>
      </w:r>
      <w:r w:rsidR="0097215F" w:rsidRPr="00933E49">
        <w:rPr>
          <w:rFonts w:ascii="Arial" w:eastAsia="Calibri" w:hAnsi="Arial" w:cs="Arial"/>
          <w:color w:val="000000" w:themeColor="text1"/>
          <w:sz w:val="21"/>
          <w:szCs w:val="21"/>
          <w:lang w:val="es-ES_tradnl"/>
        </w:rPr>
        <w:t xml:space="preserve">[…] tampoco es exclusiva de los procedimientos sancionatorios contractuales, sino de los demás trámites administrativos que se surten al interior de la actividad contractual, que también deben garantizar un procedimiento previo que racionalice las decisiones que se adoptan a través suyo. Los más representativos son los procesos de selección de contratistas, cuyas etapas y requisitos son de estricta observancia, tanto para la administración como para los participantes, en señal de respeto al principio de legalidad como a este derecho que integra el debido proceso. </w:t>
      </w:r>
    </w:p>
    <w:p w14:paraId="1604DADE" w14:textId="33549F1D" w:rsidR="0097215F" w:rsidRPr="00933E49" w:rsidRDefault="0097215F" w:rsidP="00933E49">
      <w:pPr>
        <w:spacing w:line="240" w:lineRule="auto"/>
        <w:ind w:left="709" w:right="709"/>
        <w:jc w:val="both"/>
        <w:rPr>
          <w:rFonts w:ascii="Arial" w:eastAsia="Calibri" w:hAnsi="Arial" w:cs="Arial"/>
          <w:color w:val="000000" w:themeColor="text1"/>
          <w:sz w:val="21"/>
          <w:szCs w:val="21"/>
          <w:lang w:val="es-ES_tradnl"/>
        </w:rPr>
      </w:pPr>
      <w:r w:rsidRPr="00933E49">
        <w:rPr>
          <w:rFonts w:ascii="Arial" w:eastAsia="Calibri" w:hAnsi="Arial" w:cs="Arial"/>
          <w:color w:val="000000" w:themeColor="text1"/>
          <w:sz w:val="21"/>
          <w:szCs w:val="21"/>
          <w:lang w:val="es-ES_tradnl"/>
        </w:rPr>
        <w:t xml:space="preserve">El artículo 17 de la ley 1.150 exaltó aún más esta garantía, al disponer sobre la imposición de las sanciones que </w:t>
      </w:r>
      <w:r w:rsidR="00580F7E" w:rsidRPr="00933E49">
        <w:rPr>
          <w:rFonts w:ascii="Arial" w:eastAsia="Calibri" w:hAnsi="Arial" w:cs="Arial"/>
          <w:color w:val="000000" w:themeColor="text1"/>
          <w:sz w:val="21"/>
          <w:szCs w:val="21"/>
          <w:lang w:val="es-ES_tradnl"/>
        </w:rPr>
        <w:t>“</w:t>
      </w:r>
      <w:r w:rsidRPr="00933E49">
        <w:rPr>
          <w:rFonts w:ascii="Arial" w:eastAsia="Calibri" w:hAnsi="Arial" w:cs="Arial"/>
          <w:color w:val="000000" w:themeColor="text1"/>
          <w:sz w:val="21"/>
          <w:szCs w:val="21"/>
          <w:lang w:val="es-ES_tradnl"/>
        </w:rPr>
        <w:t>Esta decisión deberá estar precedida de audiencia del afectado que deberá tener un procedimiento mínimo que garantice el derecho al debido proceso del contratista</w:t>
      </w:r>
      <w:r w:rsidR="00580F7E" w:rsidRPr="00933E49">
        <w:rPr>
          <w:rFonts w:ascii="Arial" w:eastAsia="Calibri" w:hAnsi="Arial" w:cs="Arial"/>
          <w:color w:val="000000" w:themeColor="text1"/>
          <w:sz w:val="21"/>
          <w:szCs w:val="21"/>
          <w:lang w:val="es-ES_tradnl"/>
        </w:rPr>
        <w:t>”</w:t>
      </w:r>
      <w:r w:rsidRPr="00933E49">
        <w:rPr>
          <w:rFonts w:ascii="Arial" w:eastAsia="Calibri" w:hAnsi="Arial" w:cs="Arial"/>
          <w:color w:val="000000" w:themeColor="text1"/>
          <w:sz w:val="21"/>
          <w:szCs w:val="21"/>
          <w:lang w:val="es-ES_tradnl"/>
        </w:rPr>
        <w:t xml:space="preserve">. Sobra insistir en que este derecho no sólo es predicable de las sanciones de multa o cláusula penal, sino de cualquiera otra, por aplicación analógica de esta disposición –analogía in </w:t>
      </w:r>
      <w:proofErr w:type="spellStart"/>
      <w:r w:rsidRPr="00933E49">
        <w:rPr>
          <w:rFonts w:ascii="Arial" w:eastAsia="Calibri" w:hAnsi="Arial" w:cs="Arial"/>
          <w:i/>
          <w:iCs/>
          <w:color w:val="000000" w:themeColor="text1"/>
          <w:sz w:val="21"/>
          <w:szCs w:val="21"/>
          <w:lang w:val="es-ES_tradnl"/>
        </w:rPr>
        <w:t>bonam</w:t>
      </w:r>
      <w:proofErr w:type="spellEnd"/>
      <w:r w:rsidRPr="00933E49">
        <w:rPr>
          <w:rFonts w:ascii="Arial" w:eastAsia="Calibri" w:hAnsi="Arial" w:cs="Arial"/>
          <w:i/>
          <w:iCs/>
          <w:color w:val="000000" w:themeColor="text1"/>
          <w:sz w:val="21"/>
          <w:szCs w:val="21"/>
          <w:lang w:val="es-ES_tradnl"/>
        </w:rPr>
        <w:t xml:space="preserve"> </w:t>
      </w:r>
      <w:proofErr w:type="spellStart"/>
      <w:r w:rsidRPr="00933E49">
        <w:rPr>
          <w:rFonts w:ascii="Arial" w:eastAsia="Calibri" w:hAnsi="Arial" w:cs="Arial"/>
          <w:i/>
          <w:iCs/>
          <w:color w:val="000000" w:themeColor="text1"/>
          <w:sz w:val="21"/>
          <w:szCs w:val="21"/>
          <w:lang w:val="es-ES_tradnl"/>
        </w:rPr>
        <w:t>partem</w:t>
      </w:r>
      <w:proofErr w:type="spellEnd"/>
      <w:r w:rsidRPr="00933E49">
        <w:rPr>
          <w:rFonts w:ascii="Arial" w:eastAsia="Calibri" w:hAnsi="Arial" w:cs="Arial"/>
          <w:color w:val="000000" w:themeColor="text1"/>
          <w:sz w:val="21"/>
          <w:szCs w:val="21"/>
          <w:lang w:val="es-ES_tradnl"/>
        </w:rPr>
        <w:t xml:space="preserve">- y por aplicación directa del art. 29 CP. En otras palabras, para la Sala no cabe duda </w:t>
      </w:r>
      <w:proofErr w:type="gramStart"/>
      <w:r w:rsidRPr="00933E49">
        <w:rPr>
          <w:rFonts w:ascii="Arial" w:eastAsia="Calibri" w:hAnsi="Arial" w:cs="Arial"/>
          <w:color w:val="000000" w:themeColor="text1"/>
          <w:sz w:val="21"/>
          <w:szCs w:val="21"/>
          <w:lang w:val="es-ES_tradnl"/>
        </w:rPr>
        <w:t>que</w:t>
      </w:r>
      <w:proofErr w:type="gramEnd"/>
      <w:r w:rsidRPr="00933E49">
        <w:rPr>
          <w:rFonts w:ascii="Arial" w:eastAsia="Calibri" w:hAnsi="Arial" w:cs="Arial"/>
          <w:color w:val="000000" w:themeColor="text1"/>
          <w:sz w:val="21"/>
          <w:szCs w:val="21"/>
          <w:lang w:val="es-ES_tradnl"/>
        </w:rPr>
        <w:t xml:space="preserve"> también cuando se ejercen los poderes exorbitantes, como la terminación, modificación o interpretación unilateral, caducidad, reversión, así como cuando se declara un siniestro, y en general cuando se adopta cualquier otra decisión unilateral de </w:t>
      </w:r>
      <w:r w:rsidRPr="00933E49">
        <w:rPr>
          <w:rFonts w:ascii="Arial" w:eastAsia="Calibri" w:hAnsi="Arial" w:cs="Arial"/>
          <w:color w:val="000000" w:themeColor="text1"/>
          <w:sz w:val="21"/>
          <w:szCs w:val="21"/>
          <w:lang w:val="es-ES_tradnl"/>
        </w:rPr>
        <w:lastRenderedPageBreak/>
        <w:t>naturaleza contractual, es necesario que la administración observe el debido proceso a lo largo del procedimiento correspondiente</w:t>
      </w:r>
      <w:r w:rsidRPr="00933E49">
        <w:rPr>
          <w:rStyle w:val="Refdenotaalpie"/>
          <w:rFonts w:ascii="Arial" w:eastAsia="Calibri" w:hAnsi="Arial" w:cs="Arial"/>
          <w:color w:val="000000" w:themeColor="text1"/>
          <w:sz w:val="21"/>
          <w:szCs w:val="21"/>
          <w:lang w:val="es-ES_tradnl"/>
        </w:rPr>
        <w:footnoteReference w:id="19"/>
      </w:r>
      <w:r w:rsidR="00933E49" w:rsidRPr="00933E49">
        <w:rPr>
          <w:rFonts w:ascii="Arial" w:eastAsia="Calibri" w:hAnsi="Arial" w:cs="Arial"/>
          <w:color w:val="000000" w:themeColor="text1"/>
          <w:sz w:val="21"/>
          <w:szCs w:val="21"/>
          <w:lang w:val="es-ES_tradnl"/>
        </w:rPr>
        <w:t>”</w:t>
      </w:r>
      <w:r w:rsidRPr="00933E49">
        <w:rPr>
          <w:rFonts w:ascii="Arial" w:eastAsia="Calibri" w:hAnsi="Arial" w:cs="Arial"/>
          <w:color w:val="000000" w:themeColor="text1"/>
          <w:sz w:val="21"/>
          <w:szCs w:val="21"/>
          <w:lang w:val="es-ES_tradnl"/>
        </w:rPr>
        <w:t>.</w:t>
      </w:r>
    </w:p>
    <w:p w14:paraId="55E241EE" w14:textId="646C0A0F" w:rsidR="0097215F" w:rsidRPr="0097215F" w:rsidRDefault="0097215F" w:rsidP="005F44BC">
      <w:pPr>
        <w:spacing w:line="276" w:lineRule="auto"/>
        <w:ind w:firstLine="709"/>
        <w:jc w:val="both"/>
        <w:rPr>
          <w:rFonts w:ascii="Arial" w:eastAsia="Calibri" w:hAnsi="Arial" w:cs="Arial"/>
          <w:color w:val="000000" w:themeColor="text1"/>
          <w:lang w:val="es-ES_tradnl"/>
        </w:rPr>
      </w:pPr>
      <w:r w:rsidRPr="0097215F">
        <w:rPr>
          <w:rFonts w:ascii="Arial" w:eastAsia="Calibri" w:hAnsi="Arial" w:cs="Arial"/>
          <w:color w:val="000000" w:themeColor="text1"/>
          <w:lang w:val="es-ES_tradnl"/>
        </w:rPr>
        <w:t xml:space="preserve">En este contexto, </w:t>
      </w:r>
      <w:bookmarkStart w:id="18" w:name="_Hlk37703813"/>
      <w:r w:rsidR="002B5173">
        <w:rPr>
          <w:rFonts w:ascii="Arial" w:eastAsia="Calibri" w:hAnsi="Arial" w:cs="Arial"/>
          <w:color w:val="000000" w:themeColor="text1"/>
          <w:lang w:val="es-ES_tradnl"/>
        </w:rPr>
        <w:t>la</w:t>
      </w:r>
      <w:r w:rsidR="00C94980">
        <w:rPr>
          <w:rFonts w:ascii="Arial" w:eastAsia="Calibri" w:hAnsi="Arial" w:cs="Arial"/>
          <w:color w:val="000000" w:themeColor="text1"/>
          <w:lang w:val="es-ES_tradnl"/>
        </w:rPr>
        <w:t xml:space="preserve"> postura de esta Subdirección ha sido reiterativa en indicar que </w:t>
      </w:r>
      <w:r w:rsidRPr="0097215F">
        <w:rPr>
          <w:rFonts w:ascii="Arial" w:eastAsia="Calibri" w:hAnsi="Arial" w:cs="Arial"/>
          <w:color w:val="000000" w:themeColor="text1"/>
          <w:lang w:val="es-ES_tradnl"/>
        </w:rPr>
        <w:t xml:space="preserve">como no aplica el artículo 86 de la Ley 1474, y en la medida que el artículo 29 prohíbe decisiones de plano, </w:t>
      </w:r>
      <w:r w:rsidR="00C94980">
        <w:rPr>
          <w:rFonts w:ascii="Arial" w:eastAsia="Calibri" w:hAnsi="Arial" w:cs="Arial"/>
          <w:color w:val="000000" w:themeColor="text1"/>
          <w:lang w:val="es-ES_tradnl"/>
        </w:rPr>
        <w:t>se</w:t>
      </w:r>
      <w:r w:rsidRPr="0097215F">
        <w:rPr>
          <w:rFonts w:ascii="Arial" w:eastAsia="Calibri" w:hAnsi="Arial" w:cs="Arial"/>
          <w:color w:val="000000" w:themeColor="text1"/>
          <w:lang w:val="es-ES_tradnl"/>
        </w:rPr>
        <w:t xml:space="preserve"> considera que el trámite de la declaratoria del siniestro de estabilidad y calidad de la obra </w:t>
      </w:r>
      <w:bookmarkStart w:id="19" w:name="_Hlk37701904"/>
      <w:r w:rsidRPr="0097215F">
        <w:rPr>
          <w:rFonts w:ascii="Arial" w:eastAsia="Calibri" w:hAnsi="Arial" w:cs="Arial"/>
          <w:color w:val="000000" w:themeColor="text1"/>
          <w:lang w:val="es-ES_tradnl"/>
        </w:rPr>
        <w:t>se rige por el procedimiento administrativo general dispuesto en los artículos 34 y siguientes de la Ley 1437 de 2011</w:t>
      </w:r>
      <w:bookmarkEnd w:id="19"/>
      <w:r w:rsidRPr="0097215F">
        <w:rPr>
          <w:rFonts w:ascii="Arial" w:eastAsia="Calibri" w:hAnsi="Arial" w:cs="Arial"/>
          <w:color w:val="000000" w:themeColor="text1"/>
          <w:lang w:val="es-ES_tradnl"/>
        </w:rPr>
        <w:t xml:space="preserve">. Dicha norma prescribe que </w:t>
      </w:r>
      <w:r w:rsidR="00580F7E">
        <w:rPr>
          <w:rFonts w:ascii="Arial" w:eastAsia="Calibri" w:hAnsi="Arial" w:cs="Arial"/>
          <w:color w:val="000000" w:themeColor="text1"/>
          <w:lang w:val="es-ES_tradnl"/>
        </w:rPr>
        <w:t>“</w:t>
      </w:r>
      <w:r w:rsidRPr="0097215F">
        <w:rPr>
          <w:rFonts w:ascii="Arial" w:eastAsia="Calibri" w:hAnsi="Arial" w:cs="Arial"/>
          <w:color w:val="000000" w:themeColor="text1"/>
          <w:lang w:val="es-ES_tradnl"/>
        </w:rPr>
        <w:t>Las actuaciones administrativas se sujetarán al procedimiento administrativo común y principal que se establece en este Código, sin perjuicio de los procedimientos administrativos regulados por leyes especiales […]</w:t>
      </w:r>
      <w:r w:rsidR="00580F7E">
        <w:rPr>
          <w:rFonts w:ascii="Arial" w:eastAsia="Calibri" w:hAnsi="Arial" w:cs="Arial"/>
          <w:color w:val="000000" w:themeColor="text1"/>
          <w:lang w:val="es-ES_tradnl"/>
        </w:rPr>
        <w:t>”</w:t>
      </w:r>
      <w:r w:rsidRPr="0097215F">
        <w:rPr>
          <w:rFonts w:ascii="Arial" w:eastAsia="Calibri" w:hAnsi="Arial" w:cs="Arial"/>
          <w:color w:val="000000" w:themeColor="text1"/>
          <w:lang w:val="es-ES_tradnl"/>
        </w:rPr>
        <w:t>, disposición aplicable a los temas contractuales por la remisión del inciso primero del artículo 77 de la Ley 80 de 1993</w:t>
      </w:r>
      <w:r w:rsidRPr="0097215F">
        <w:rPr>
          <w:rStyle w:val="Refdenotaalpie"/>
          <w:rFonts w:ascii="Arial" w:eastAsia="Calibri" w:hAnsi="Arial" w:cs="Arial"/>
          <w:color w:val="000000" w:themeColor="text1"/>
          <w:lang w:val="es-ES_tradnl"/>
        </w:rPr>
        <w:footnoteReference w:id="20"/>
      </w:r>
      <w:r w:rsidRPr="0097215F">
        <w:rPr>
          <w:rFonts w:ascii="Arial" w:eastAsia="Calibri" w:hAnsi="Arial" w:cs="Arial"/>
          <w:color w:val="000000" w:themeColor="text1"/>
          <w:lang w:val="es-ES_tradnl"/>
        </w:rPr>
        <w:t xml:space="preserve">. Para estos efectos, </w:t>
      </w:r>
      <w:r w:rsidR="00C9342B" w:rsidRPr="0097215F">
        <w:rPr>
          <w:rFonts w:ascii="Arial" w:eastAsia="Calibri" w:hAnsi="Arial" w:cs="Arial"/>
          <w:color w:val="000000" w:themeColor="text1"/>
          <w:lang w:val="es-ES_tradnl"/>
        </w:rPr>
        <w:t>la Ley 1437 de 2011</w:t>
      </w:r>
      <w:r w:rsidRPr="0097215F">
        <w:rPr>
          <w:rFonts w:ascii="Arial" w:eastAsia="Calibri" w:hAnsi="Arial" w:cs="Arial"/>
          <w:color w:val="000000" w:themeColor="text1"/>
          <w:lang w:val="es-ES_tradnl"/>
        </w:rPr>
        <w:t>exige que cuando las entidades procedan de oficio la actuación comience con un escrito que debe comunicarse al interesado para que ejerza el derecho de defensa</w:t>
      </w:r>
      <w:r w:rsidR="00F27447">
        <w:rPr>
          <w:rFonts w:ascii="Arial" w:eastAsia="Calibri" w:hAnsi="Arial" w:cs="Arial"/>
          <w:color w:val="000000" w:themeColor="text1"/>
          <w:lang w:val="es-ES_tradnl"/>
        </w:rPr>
        <w:t xml:space="preserve">, en virtud de lo estipulado en el inciso 2 de su artículo </w:t>
      </w:r>
      <w:r w:rsidRPr="0097215F">
        <w:rPr>
          <w:rFonts w:ascii="Arial" w:eastAsia="Calibri" w:hAnsi="Arial" w:cs="Arial"/>
          <w:color w:val="000000" w:themeColor="text1"/>
          <w:lang w:val="es-ES_tradnl"/>
        </w:rPr>
        <w:t>35</w:t>
      </w:r>
      <w:r w:rsidR="00F27447">
        <w:rPr>
          <w:rFonts w:ascii="Arial" w:eastAsia="Calibri" w:hAnsi="Arial" w:cs="Arial"/>
          <w:color w:val="000000" w:themeColor="text1"/>
          <w:lang w:val="es-ES_tradnl"/>
        </w:rPr>
        <w:t xml:space="preserve">. </w:t>
      </w:r>
      <w:r w:rsidRPr="0097215F">
        <w:rPr>
          <w:rFonts w:ascii="Arial" w:eastAsia="Calibri" w:hAnsi="Arial" w:cs="Arial"/>
          <w:color w:val="000000" w:themeColor="text1"/>
          <w:lang w:val="es-ES_tradnl"/>
        </w:rPr>
        <w:t>Lo anterior, sin perjuicio de informar a terceros cuando la Administración advierta la posibilidad de que otras personas resulten afectadas con la decisión</w:t>
      </w:r>
      <w:r w:rsidR="00EB43DF">
        <w:rPr>
          <w:rFonts w:ascii="Arial" w:eastAsia="Calibri" w:hAnsi="Arial" w:cs="Arial"/>
          <w:color w:val="000000" w:themeColor="text1"/>
          <w:lang w:val="es-ES_tradnl"/>
        </w:rPr>
        <w:t xml:space="preserve"> en cumplimiento de lo previsto en el artículo </w:t>
      </w:r>
      <w:r w:rsidRPr="0097215F">
        <w:rPr>
          <w:rFonts w:ascii="Arial" w:eastAsia="Calibri" w:hAnsi="Arial" w:cs="Arial"/>
          <w:color w:val="000000" w:themeColor="text1"/>
          <w:lang w:val="es-ES_tradnl"/>
        </w:rPr>
        <w:t>37</w:t>
      </w:r>
      <w:r w:rsidR="00EB43DF">
        <w:rPr>
          <w:rFonts w:ascii="Arial" w:eastAsia="Calibri" w:hAnsi="Arial" w:cs="Arial"/>
          <w:color w:val="000000" w:themeColor="text1"/>
          <w:lang w:val="es-ES_tradnl"/>
        </w:rPr>
        <w:t xml:space="preserve"> de la norma en cita</w:t>
      </w:r>
      <w:r w:rsidRPr="0097215F">
        <w:rPr>
          <w:rFonts w:ascii="Arial" w:eastAsia="Calibri" w:hAnsi="Arial" w:cs="Arial"/>
          <w:color w:val="000000" w:themeColor="text1"/>
          <w:lang w:val="es-ES_tradnl"/>
        </w:rPr>
        <w:t>. Dicho procedimiento concreta el respeto a las formalidades propias de cada juicio de que trata el artículo 29 superior, garantizando que el contratista y la aseguradora sean escuchados antes de que la entidad declare el siniestro de la garantía.</w:t>
      </w:r>
    </w:p>
    <w:bookmarkEnd w:id="18"/>
    <w:p w14:paraId="6408318F" w14:textId="204F03D3" w:rsidR="0097215F" w:rsidRPr="0097215F" w:rsidRDefault="0097215F" w:rsidP="005F44BC">
      <w:pPr>
        <w:spacing w:line="276" w:lineRule="auto"/>
        <w:ind w:firstLine="708"/>
        <w:jc w:val="both"/>
        <w:rPr>
          <w:rFonts w:ascii="Arial" w:eastAsia="Calibri" w:hAnsi="Arial" w:cs="Arial"/>
          <w:color w:val="000000" w:themeColor="text1"/>
          <w:lang w:val="es-ES_tradnl"/>
        </w:rPr>
      </w:pPr>
      <w:r w:rsidRPr="0097215F">
        <w:rPr>
          <w:rFonts w:ascii="Arial" w:eastAsia="Calibri" w:hAnsi="Arial" w:cs="Arial"/>
          <w:color w:val="000000" w:themeColor="text1"/>
          <w:lang w:val="es-ES_tradnl"/>
        </w:rPr>
        <w:t xml:space="preserve">En lo que respecta a la </w:t>
      </w:r>
      <w:r w:rsidRPr="0097215F">
        <w:rPr>
          <w:rFonts w:ascii="Arial" w:eastAsia="Calibri" w:hAnsi="Arial" w:cs="Arial"/>
          <w:i/>
          <w:iCs/>
          <w:color w:val="000000" w:themeColor="text1"/>
          <w:lang w:val="es-ES_tradnl"/>
        </w:rPr>
        <w:t>competencia temporal</w:t>
      </w:r>
      <w:r w:rsidRPr="0097215F">
        <w:rPr>
          <w:rFonts w:ascii="Arial" w:eastAsia="Calibri" w:hAnsi="Arial" w:cs="Arial"/>
          <w:color w:val="000000" w:themeColor="text1"/>
          <w:lang w:val="es-ES_tradnl"/>
        </w:rPr>
        <w:t xml:space="preserve">, la Administración no dispone de un término ilimitado para ejercer sus prerrogativas. </w:t>
      </w:r>
      <w:bookmarkStart w:id="20" w:name="_Hlk37703948"/>
      <w:r w:rsidRPr="0097215F">
        <w:rPr>
          <w:rFonts w:ascii="Arial" w:eastAsia="Calibri" w:hAnsi="Arial" w:cs="Arial"/>
          <w:color w:val="000000" w:themeColor="text1"/>
          <w:lang w:val="es-ES_tradnl"/>
        </w:rPr>
        <w:t xml:space="preserve">Ahora bien, podría pensarse que tanto el </w:t>
      </w:r>
      <w:r w:rsidR="00580F7E">
        <w:rPr>
          <w:rFonts w:ascii="Arial" w:eastAsia="Calibri" w:hAnsi="Arial" w:cs="Arial"/>
          <w:color w:val="000000" w:themeColor="text1"/>
          <w:lang w:val="es-ES_tradnl"/>
        </w:rPr>
        <w:t>“</w:t>
      </w:r>
      <w:r w:rsidRPr="0097215F">
        <w:rPr>
          <w:rFonts w:ascii="Arial" w:eastAsia="Calibri" w:hAnsi="Arial" w:cs="Arial"/>
          <w:color w:val="000000" w:themeColor="text1"/>
          <w:lang w:val="es-ES_tradnl"/>
        </w:rPr>
        <w:t>siniestro</w:t>
      </w:r>
      <w:r w:rsidR="00580F7E">
        <w:rPr>
          <w:rFonts w:ascii="Arial" w:eastAsia="Calibri" w:hAnsi="Arial" w:cs="Arial"/>
          <w:color w:val="000000" w:themeColor="text1"/>
          <w:lang w:val="es-ES_tradnl"/>
        </w:rPr>
        <w:t>”</w:t>
      </w:r>
      <w:r w:rsidRPr="0097215F">
        <w:rPr>
          <w:rFonts w:ascii="Arial" w:eastAsia="Calibri" w:hAnsi="Arial" w:cs="Arial"/>
          <w:color w:val="000000" w:themeColor="text1"/>
          <w:lang w:val="es-ES_tradnl"/>
        </w:rPr>
        <w:t xml:space="preserve"> como la </w:t>
      </w:r>
      <w:r w:rsidR="00580F7E">
        <w:rPr>
          <w:rFonts w:ascii="Arial" w:eastAsia="Calibri" w:hAnsi="Arial" w:cs="Arial"/>
          <w:color w:val="000000" w:themeColor="text1"/>
          <w:lang w:val="es-ES_tradnl"/>
        </w:rPr>
        <w:t>“</w:t>
      </w:r>
      <w:r w:rsidRPr="0097215F">
        <w:rPr>
          <w:rFonts w:ascii="Arial" w:eastAsia="Calibri" w:hAnsi="Arial" w:cs="Arial"/>
          <w:color w:val="000000" w:themeColor="text1"/>
          <w:lang w:val="es-ES_tradnl"/>
        </w:rPr>
        <w:t>declaratoria</w:t>
      </w:r>
      <w:r w:rsidR="00580F7E">
        <w:rPr>
          <w:rFonts w:ascii="Arial" w:eastAsia="Calibri" w:hAnsi="Arial" w:cs="Arial"/>
          <w:color w:val="000000" w:themeColor="text1"/>
          <w:lang w:val="es-ES_tradnl"/>
        </w:rPr>
        <w:t>”</w:t>
      </w:r>
      <w:r w:rsidRPr="0097215F">
        <w:rPr>
          <w:rFonts w:ascii="Arial" w:eastAsia="Calibri" w:hAnsi="Arial" w:cs="Arial"/>
          <w:color w:val="000000" w:themeColor="text1"/>
          <w:lang w:val="es-ES_tradnl"/>
        </w:rPr>
        <w:t xml:space="preserve"> deben ocurrir dentro del mismo plazo. Sin embargo, esta impresión es equivocada, en la medida que el </w:t>
      </w:r>
      <w:r w:rsidR="00580F7E">
        <w:rPr>
          <w:rFonts w:ascii="Arial" w:eastAsia="Calibri" w:hAnsi="Arial" w:cs="Arial"/>
          <w:color w:val="000000" w:themeColor="text1"/>
          <w:lang w:val="es-ES_tradnl"/>
        </w:rPr>
        <w:t>“</w:t>
      </w:r>
      <w:r w:rsidRPr="0097215F">
        <w:rPr>
          <w:rFonts w:ascii="Arial" w:eastAsia="Calibri" w:hAnsi="Arial" w:cs="Arial"/>
          <w:color w:val="000000" w:themeColor="text1"/>
          <w:lang w:val="es-ES_tradnl"/>
        </w:rPr>
        <w:t>siniestro</w:t>
      </w:r>
      <w:r w:rsidR="00580F7E">
        <w:rPr>
          <w:rFonts w:ascii="Arial" w:eastAsia="Calibri" w:hAnsi="Arial" w:cs="Arial"/>
          <w:color w:val="000000" w:themeColor="text1"/>
          <w:lang w:val="es-ES_tradnl"/>
        </w:rPr>
        <w:t>”</w:t>
      </w:r>
      <w:r w:rsidRPr="0097215F">
        <w:rPr>
          <w:rFonts w:ascii="Arial" w:eastAsia="Calibri" w:hAnsi="Arial" w:cs="Arial"/>
          <w:color w:val="000000" w:themeColor="text1"/>
          <w:lang w:val="es-ES_tradnl"/>
        </w:rPr>
        <w:t>, entendido como la realización del riesgo asegurado, es el único que se debe dar dentro de dicha vigencia. Mientras tanto, el acto administrativo que declara su ocurrencia debe expedirse antes de la prescripción del contrato de seguro</w:t>
      </w:r>
      <w:r w:rsidRPr="0097215F">
        <w:rPr>
          <w:rStyle w:val="Refdenotaalpie"/>
          <w:rFonts w:ascii="Arial" w:eastAsia="Calibri" w:hAnsi="Arial" w:cs="Arial"/>
          <w:color w:val="000000" w:themeColor="text1"/>
          <w:lang w:val="es-ES_tradnl"/>
        </w:rPr>
        <w:footnoteReference w:id="21"/>
      </w:r>
      <w:r w:rsidRPr="0097215F">
        <w:rPr>
          <w:rFonts w:ascii="Arial" w:eastAsia="Calibri" w:hAnsi="Arial" w:cs="Arial"/>
          <w:color w:val="000000" w:themeColor="text1"/>
          <w:lang w:val="es-ES_tradnl"/>
        </w:rPr>
        <w:t xml:space="preserve">. En otras </w:t>
      </w:r>
      <w:r w:rsidRPr="0097215F">
        <w:rPr>
          <w:rFonts w:ascii="Arial" w:eastAsia="Calibri" w:hAnsi="Arial" w:cs="Arial"/>
          <w:color w:val="000000" w:themeColor="text1"/>
          <w:lang w:val="es-ES_tradnl"/>
        </w:rPr>
        <w:lastRenderedPageBreak/>
        <w:t>palabras, aunque la vigencia de la garantía está relacionada con la ocurrencia del siniestro, es independiente del plazo que tiene la Administración para hacerla efectiva, máxime cuando se limita a declarar una situación prexistente</w:t>
      </w:r>
      <w:bookmarkEnd w:id="20"/>
      <w:r w:rsidRPr="0097215F">
        <w:rPr>
          <w:rStyle w:val="Refdenotaalpie"/>
          <w:rFonts w:ascii="Arial" w:eastAsia="Calibri" w:hAnsi="Arial" w:cs="Arial"/>
          <w:color w:val="000000" w:themeColor="text1"/>
          <w:lang w:val="es-ES_tradnl"/>
        </w:rPr>
        <w:footnoteReference w:id="22"/>
      </w:r>
      <w:r w:rsidRPr="0097215F">
        <w:rPr>
          <w:rFonts w:ascii="Arial" w:eastAsia="Calibri" w:hAnsi="Arial" w:cs="Arial"/>
          <w:color w:val="000000" w:themeColor="text1"/>
          <w:lang w:val="es-ES_tradnl"/>
        </w:rPr>
        <w:t>. Sobre el tema, la jurisprudencia explica que:</w:t>
      </w:r>
    </w:p>
    <w:p w14:paraId="33EF4D9B" w14:textId="77777777" w:rsidR="0097215F" w:rsidRPr="00534E81" w:rsidRDefault="0097215F" w:rsidP="00534E81">
      <w:pPr>
        <w:spacing w:line="240" w:lineRule="auto"/>
        <w:ind w:left="709" w:right="709"/>
        <w:jc w:val="both"/>
        <w:rPr>
          <w:rFonts w:ascii="Arial" w:eastAsia="Calibri" w:hAnsi="Arial" w:cs="Arial"/>
          <w:color w:val="000000" w:themeColor="text1"/>
          <w:sz w:val="21"/>
          <w:szCs w:val="21"/>
          <w:lang w:val="es-ES_tradnl"/>
        </w:rPr>
      </w:pPr>
      <w:bookmarkStart w:id="21" w:name="_Hlk38541092"/>
      <w:r w:rsidRPr="00534E81">
        <w:rPr>
          <w:rFonts w:ascii="Arial" w:eastAsia="Calibri" w:hAnsi="Arial" w:cs="Arial"/>
          <w:color w:val="000000" w:themeColor="text1"/>
          <w:sz w:val="21"/>
          <w:szCs w:val="21"/>
          <w:lang w:val="es-ES_tradnl"/>
        </w:rPr>
        <w:t>[…] la Administración tiene como termino máximo para declarar el siniestro, el de dos años después de haber tenido conocimiento de la ocurrencia de los hechos constitutivos del mismo, de tal suerte que expedido el acto administrativo que lo declara y ejecutoriado el mismo, mediante el agotamiento de la vía gubernativa, empezará a correr el término de los dos años que la ley ha previsto para el ejercicio de la acción contractual. Lo anterior no significa que el acto administrativo que declara el siniestro deba encontrarse en firme dentro de los dos años siguientes al conocimiento del hecho por parte de la Administración, sino basta con que haya sido declarado por ella dentro de este término; lo contrario significaría limitar la competencia de la Administración para expedir el acto</w:t>
      </w:r>
      <w:r w:rsidRPr="00534E81">
        <w:rPr>
          <w:rStyle w:val="Refdenotaalpie"/>
          <w:rFonts w:ascii="Arial" w:eastAsia="Calibri" w:hAnsi="Arial" w:cs="Arial"/>
          <w:color w:val="000000" w:themeColor="text1"/>
          <w:sz w:val="21"/>
          <w:szCs w:val="21"/>
          <w:lang w:val="es-ES_tradnl"/>
        </w:rPr>
        <w:footnoteReference w:id="23"/>
      </w:r>
      <w:r w:rsidRPr="00534E81">
        <w:rPr>
          <w:rFonts w:ascii="Arial" w:eastAsia="Calibri" w:hAnsi="Arial" w:cs="Arial"/>
          <w:color w:val="000000" w:themeColor="text1"/>
          <w:sz w:val="21"/>
          <w:szCs w:val="21"/>
          <w:lang w:val="es-ES_tradnl"/>
        </w:rPr>
        <w:t>.</w:t>
      </w:r>
    </w:p>
    <w:p w14:paraId="36D408A2" w14:textId="6BF78185" w:rsidR="0097215F" w:rsidRPr="0097215F" w:rsidRDefault="0097215F" w:rsidP="005F44BC">
      <w:pPr>
        <w:spacing w:line="276" w:lineRule="auto"/>
        <w:ind w:firstLine="708"/>
        <w:jc w:val="both"/>
        <w:rPr>
          <w:rFonts w:ascii="Arial" w:eastAsia="Calibri" w:hAnsi="Arial" w:cs="Arial"/>
          <w:color w:val="000000" w:themeColor="text1"/>
          <w:lang w:val="es-ES_tradnl"/>
        </w:rPr>
      </w:pPr>
      <w:bookmarkStart w:id="22" w:name="_Hlk38557917"/>
      <w:bookmarkStart w:id="23" w:name="_Hlk37703986"/>
      <w:bookmarkEnd w:id="21"/>
      <w:r w:rsidRPr="0097215F">
        <w:rPr>
          <w:rFonts w:ascii="Arial" w:eastAsia="Calibri" w:hAnsi="Arial" w:cs="Arial"/>
          <w:color w:val="000000" w:themeColor="text1"/>
          <w:lang w:val="es-ES_tradnl"/>
        </w:rPr>
        <w:t xml:space="preserve">Así las cosas, el </w:t>
      </w:r>
      <w:r w:rsidR="00580F7E">
        <w:rPr>
          <w:rFonts w:ascii="Arial" w:eastAsia="Calibri" w:hAnsi="Arial" w:cs="Arial"/>
          <w:color w:val="000000" w:themeColor="text1"/>
          <w:lang w:val="es-ES_tradnl"/>
        </w:rPr>
        <w:t>“</w:t>
      </w:r>
      <w:r w:rsidRPr="0097215F">
        <w:rPr>
          <w:rFonts w:ascii="Arial" w:eastAsia="Calibri" w:hAnsi="Arial" w:cs="Arial"/>
          <w:color w:val="000000" w:themeColor="text1"/>
          <w:lang w:val="es-ES_tradnl"/>
        </w:rPr>
        <w:t>siniestro</w:t>
      </w:r>
      <w:r w:rsidR="00580F7E">
        <w:rPr>
          <w:rFonts w:ascii="Arial" w:eastAsia="Calibri" w:hAnsi="Arial" w:cs="Arial"/>
          <w:color w:val="000000" w:themeColor="text1"/>
          <w:lang w:val="es-ES_tradnl"/>
        </w:rPr>
        <w:t>”</w:t>
      </w:r>
      <w:r w:rsidRPr="0097215F">
        <w:rPr>
          <w:rFonts w:ascii="Arial" w:eastAsia="Calibri" w:hAnsi="Arial" w:cs="Arial"/>
          <w:color w:val="000000" w:themeColor="text1"/>
          <w:lang w:val="es-ES_tradnl"/>
        </w:rPr>
        <w:t xml:space="preserve"> debe ocurrir durante la vigencia del seguro, aunque su </w:t>
      </w:r>
      <w:r w:rsidR="00580F7E">
        <w:rPr>
          <w:rFonts w:ascii="Arial" w:eastAsia="Calibri" w:hAnsi="Arial" w:cs="Arial"/>
          <w:color w:val="000000" w:themeColor="text1"/>
          <w:lang w:val="es-ES_tradnl"/>
        </w:rPr>
        <w:t>“</w:t>
      </w:r>
      <w:r w:rsidRPr="0097215F">
        <w:rPr>
          <w:rFonts w:ascii="Arial" w:eastAsia="Calibri" w:hAnsi="Arial" w:cs="Arial"/>
          <w:color w:val="000000" w:themeColor="text1"/>
          <w:lang w:val="es-ES_tradnl"/>
        </w:rPr>
        <w:t>declaratoria</w:t>
      </w:r>
      <w:r w:rsidR="00580F7E">
        <w:rPr>
          <w:rFonts w:ascii="Arial" w:eastAsia="Calibri" w:hAnsi="Arial" w:cs="Arial"/>
          <w:color w:val="000000" w:themeColor="text1"/>
          <w:lang w:val="es-ES_tradnl"/>
        </w:rPr>
        <w:t>”</w:t>
      </w:r>
      <w:r w:rsidRPr="0097215F">
        <w:rPr>
          <w:rFonts w:ascii="Arial" w:eastAsia="Calibri" w:hAnsi="Arial" w:cs="Arial"/>
          <w:color w:val="000000" w:themeColor="text1"/>
          <w:lang w:val="es-ES_tradnl"/>
        </w:rPr>
        <w:t xml:space="preserve"> se produzca después del vencimiento de la garantía. Lo importante es que el acto administrativo se expida antes de la prescripción del contrato de seguro. Para estos efectos, es necesario precisar que el citado artículo 1081 del Código de Comercio consagra un término de dos años (2) para la prescripción ordinaria y uno de cinco (5) años para la extraordinaria. La primera empieza desde el momento en que el interesado conozca o deba conocer del hecho que da base a la acción, mientras que la extraordinaria –por ser objetiva– correrá contra toda clase de personas sin consideración alguna del citado conocimiento, desde el momento en que nace el respectivo derecho. Dichos términos corren paralelamente, lo cual implica que no puede acogerse indistintamente alguno de ellos, pues el primero que se agote produce el efecto extintivo</w:t>
      </w:r>
      <w:r w:rsidRPr="0097215F">
        <w:rPr>
          <w:rStyle w:val="Refdenotaalpie"/>
          <w:rFonts w:ascii="Arial" w:eastAsia="Calibri" w:hAnsi="Arial" w:cs="Arial"/>
          <w:color w:val="000000" w:themeColor="text1"/>
          <w:lang w:val="es-ES_tradnl"/>
        </w:rPr>
        <w:footnoteReference w:id="24"/>
      </w:r>
      <w:r w:rsidRPr="0097215F">
        <w:rPr>
          <w:rFonts w:ascii="Arial" w:eastAsia="Calibri" w:hAnsi="Arial" w:cs="Arial"/>
          <w:color w:val="000000" w:themeColor="text1"/>
          <w:lang w:val="es-ES_tradnl"/>
        </w:rPr>
        <w:t>. En esta medida, vencido alguno de estos plazos, la Administración pierde competencia para declarar el siniestro.</w:t>
      </w:r>
    </w:p>
    <w:p w14:paraId="7F5C0BFC" w14:textId="13705385" w:rsidR="0097215F" w:rsidRPr="0097215F" w:rsidRDefault="0097215F" w:rsidP="005F44BC">
      <w:pPr>
        <w:spacing w:line="276" w:lineRule="auto"/>
        <w:ind w:firstLine="709"/>
        <w:jc w:val="both"/>
        <w:rPr>
          <w:rFonts w:ascii="Arial" w:eastAsia="Calibri" w:hAnsi="Arial" w:cs="Arial"/>
          <w:color w:val="000000" w:themeColor="text1"/>
          <w:lang w:val="es-ES_tradnl"/>
        </w:rPr>
      </w:pPr>
      <w:r w:rsidRPr="0097215F">
        <w:rPr>
          <w:rFonts w:ascii="Arial" w:eastAsia="Calibri" w:hAnsi="Arial" w:cs="Arial"/>
          <w:color w:val="000000" w:themeColor="text1"/>
          <w:lang w:val="es-ES_tradnl"/>
        </w:rPr>
        <w:lastRenderedPageBreak/>
        <w:t xml:space="preserve">Por tanto, las entidades estatales que se rigen por el Estatuto General de Contratación de la Administración Pública cuentan con la prerrogativa, reconocida en el artículo 7 de la Ley 1150 de 2007, de declarar la ocurrencia del siniestro mediante un acto administrativo. Es esto lo que dispone el inciso cuarto de dicho artículo, al establecer que </w:t>
      </w:r>
      <w:r w:rsidR="00580F7E">
        <w:rPr>
          <w:rFonts w:ascii="Arial" w:eastAsia="Calibri" w:hAnsi="Arial" w:cs="Arial"/>
          <w:color w:val="000000" w:themeColor="text1"/>
          <w:lang w:val="es-ES_tradnl"/>
        </w:rPr>
        <w:t>“</w:t>
      </w:r>
      <w:r w:rsidRPr="0097215F">
        <w:rPr>
          <w:rFonts w:ascii="Arial" w:eastAsia="Calibri" w:hAnsi="Arial" w:cs="Arial"/>
          <w:color w:val="000000" w:themeColor="text1"/>
          <w:lang w:val="es-ES_tradnl"/>
        </w:rPr>
        <w:t>El acaecimiento del siniestro que amparan las garantías será comunicado por la entidad pública al respectivo asegurador mediante la notificación del acto administrativo que así lo declare</w:t>
      </w:r>
      <w:r w:rsidR="00580F7E">
        <w:rPr>
          <w:rFonts w:ascii="Arial" w:eastAsia="Calibri" w:hAnsi="Arial" w:cs="Arial"/>
          <w:color w:val="000000" w:themeColor="text1"/>
          <w:lang w:val="es-ES_tradnl"/>
        </w:rPr>
        <w:t>”</w:t>
      </w:r>
      <w:r w:rsidRPr="0097215F">
        <w:rPr>
          <w:rFonts w:ascii="Arial" w:eastAsia="Calibri" w:hAnsi="Arial" w:cs="Arial"/>
          <w:color w:val="000000" w:themeColor="text1"/>
          <w:lang w:val="es-ES_tradnl"/>
        </w:rPr>
        <w:t>. Así lo ratifica el artículo 2.2.1.2.3.1.19. del Decreto 1082 de 2015, que dispone lo siguiente sobre la efectividad de las garantías:</w:t>
      </w:r>
    </w:p>
    <w:p w14:paraId="2CAB4030" w14:textId="08ADCD10" w:rsidR="0097215F" w:rsidRPr="00550772" w:rsidRDefault="00A9660D" w:rsidP="00550772">
      <w:pPr>
        <w:spacing w:line="240" w:lineRule="auto"/>
        <w:ind w:left="709" w:right="709"/>
        <w:jc w:val="both"/>
        <w:rPr>
          <w:rFonts w:ascii="Arial" w:eastAsia="Calibri" w:hAnsi="Arial" w:cs="Arial"/>
          <w:color w:val="000000" w:themeColor="text1"/>
          <w:sz w:val="21"/>
          <w:szCs w:val="21"/>
          <w:lang w:val="es-ES_tradnl"/>
        </w:rPr>
      </w:pPr>
      <w:r w:rsidRPr="00550772">
        <w:rPr>
          <w:rFonts w:ascii="Arial" w:eastAsia="Calibri" w:hAnsi="Arial" w:cs="Arial"/>
          <w:color w:val="000000" w:themeColor="text1"/>
          <w:sz w:val="21"/>
          <w:szCs w:val="21"/>
          <w:lang w:val="es-ES_tradnl"/>
        </w:rPr>
        <w:t>“</w:t>
      </w:r>
      <w:r w:rsidR="0097215F" w:rsidRPr="00550772">
        <w:rPr>
          <w:rFonts w:ascii="Arial" w:eastAsia="Calibri" w:hAnsi="Arial" w:cs="Arial"/>
          <w:color w:val="000000" w:themeColor="text1"/>
          <w:sz w:val="21"/>
          <w:szCs w:val="21"/>
          <w:lang w:val="es-ES_tradnl"/>
        </w:rPr>
        <w:t xml:space="preserve">La </w:t>
      </w:r>
      <w:r w:rsidR="0060294B">
        <w:rPr>
          <w:rFonts w:ascii="Arial" w:eastAsia="Calibri" w:hAnsi="Arial" w:cs="Arial"/>
          <w:color w:val="000000" w:themeColor="text1"/>
          <w:sz w:val="21"/>
          <w:szCs w:val="21"/>
          <w:lang w:val="es-ES_tradnl"/>
        </w:rPr>
        <w:t>Entidad Estatal</w:t>
      </w:r>
      <w:r w:rsidR="0097215F" w:rsidRPr="00550772">
        <w:rPr>
          <w:rFonts w:ascii="Arial" w:eastAsia="Calibri" w:hAnsi="Arial" w:cs="Arial"/>
          <w:color w:val="000000" w:themeColor="text1"/>
          <w:sz w:val="21"/>
          <w:szCs w:val="21"/>
          <w:lang w:val="es-ES_tradnl"/>
        </w:rPr>
        <w:t xml:space="preserve"> debe hacer efectivas las garantías previstas en este capítulo así:</w:t>
      </w:r>
    </w:p>
    <w:p w14:paraId="28C87638" w14:textId="4063DAB4" w:rsidR="0097215F" w:rsidRPr="00550772" w:rsidRDefault="0097215F" w:rsidP="00550772">
      <w:pPr>
        <w:spacing w:line="240" w:lineRule="auto"/>
        <w:ind w:left="709" w:right="709"/>
        <w:jc w:val="both"/>
        <w:rPr>
          <w:rFonts w:ascii="Arial" w:eastAsia="Calibri" w:hAnsi="Arial" w:cs="Arial"/>
          <w:color w:val="000000" w:themeColor="text1"/>
          <w:sz w:val="21"/>
          <w:szCs w:val="21"/>
          <w:lang w:val="es-ES_tradnl"/>
        </w:rPr>
      </w:pPr>
      <w:r w:rsidRPr="00550772">
        <w:rPr>
          <w:rFonts w:ascii="Arial" w:eastAsia="Calibri" w:hAnsi="Arial" w:cs="Arial"/>
          <w:color w:val="000000" w:themeColor="text1"/>
          <w:sz w:val="21"/>
          <w:szCs w:val="21"/>
          <w:lang w:val="es-ES_tradnl"/>
        </w:rPr>
        <w:t xml:space="preserve">1. Por medio del acto administrativo en el cual la </w:t>
      </w:r>
      <w:r w:rsidR="0060294B">
        <w:rPr>
          <w:rFonts w:ascii="Arial" w:eastAsia="Calibri" w:hAnsi="Arial" w:cs="Arial"/>
          <w:color w:val="000000" w:themeColor="text1"/>
          <w:sz w:val="21"/>
          <w:szCs w:val="21"/>
          <w:lang w:val="es-ES_tradnl"/>
        </w:rPr>
        <w:t>Entidad Estatal</w:t>
      </w:r>
      <w:r w:rsidRPr="00550772">
        <w:rPr>
          <w:rFonts w:ascii="Arial" w:eastAsia="Calibri" w:hAnsi="Arial" w:cs="Arial"/>
          <w:color w:val="000000" w:themeColor="text1"/>
          <w:sz w:val="21"/>
          <w:szCs w:val="21"/>
          <w:lang w:val="es-ES_tradnl"/>
        </w:rPr>
        <w:t xml:space="preserve"> declare la caducidad del contrato y ordene el pago al contratista y al garante, bien sea de la cláusula penal o de los perjuicios que ha cuantificado. El acto administrativo de caducidad constituye el siniestro.</w:t>
      </w:r>
    </w:p>
    <w:p w14:paraId="27A76711" w14:textId="4CD02A45" w:rsidR="0097215F" w:rsidRPr="00550772" w:rsidRDefault="0097215F" w:rsidP="00550772">
      <w:pPr>
        <w:spacing w:line="240" w:lineRule="auto"/>
        <w:ind w:left="709" w:right="709"/>
        <w:jc w:val="both"/>
        <w:rPr>
          <w:rFonts w:ascii="Arial" w:eastAsia="Calibri" w:hAnsi="Arial" w:cs="Arial"/>
          <w:color w:val="000000" w:themeColor="text1"/>
          <w:sz w:val="21"/>
          <w:szCs w:val="21"/>
          <w:lang w:val="es-ES_tradnl"/>
        </w:rPr>
      </w:pPr>
      <w:r w:rsidRPr="00550772">
        <w:rPr>
          <w:rFonts w:ascii="Arial" w:eastAsia="Calibri" w:hAnsi="Arial" w:cs="Arial"/>
          <w:color w:val="000000" w:themeColor="text1"/>
          <w:sz w:val="21"/>
          <w:szCs w:val="21"/>
          <w:lang w:val="es-ES_tradnl"/>
        </w:rPr>
        <w:t xml:space="preserve">2. Por medio del acto administrativo en el cual la </w:t>
      </w:r>
      <w:r w:rsidR="0060294B">
        <w:rPr>
          <w:rFonts w:ascii="Arial" w:eastAsia="Calibri" w:hAnsi="Arial" w:cs="Arial"/>
          <w:color w:val="000000" w:themeColor="text1"/>
          <w:sz w:val="21"/>
          <w:szCs w:val="21"/>
          <w:lang w:val="es-ES_tradnl"/>
        </w:rPr>
        <w:t>Entidad Estatal</w:t>
      </w:r>
      <w:r w:rsidRPr="00550772">
        <w:rPr>
          <w:rFonts w:ascii="Arial" w:eastAsia="Calibri" w:hAnsi="Arial" w:cs="Arial"/>
          <w:color w:val="000000" w:themeColor="text1"/>
          <w:sz w:val="21"/>
          <w:szCs w:val="21"/>
          <w:lang w:val="es-ES_tradnl"/>
        </w:rPr>
        <w:t xml:space="preserve"> impone multas, debe ordenar el pago al contratista y al garante. El acto administrativo correspondiente constituye el siniestro.</w:t>
      </w:r>
    </w:p>
    <w:p w14:paraId="48EB9327" w14:textId="3A934468" w:rsidR="0097215F" w:rsidRPr="00550772" w:rsidRDefault="0097215F" w:rsidP="00550772">
      <w:pPr>
        <w:spacing w:line="240" w:lineRule="auto"/>
        <w:ind w:left="709" w:right="709"/>
        <w:jc w:val="both"/>
        <w:rPr>
          <w:rFonts w:ascii="Arial" w:eastAsia="Calibri" w:hAnsi="Arial" w:cs="Arial"/>
          <w:color w:val="000000" w:themeColor="text1"/>
          <w:sz w:val="21"/>
          <w:szCs w:val="21"/>
          <w:lang w:val="es-ES_tradnl"/>
        </w:rPr>
      </w:pPr>
      <w:r w:rsidRPr="00550772">
        <w:rPr>
          <w:rFonts w:ascii="Arial" w:eastAsia="Calibri" w:hAnsi="Arial" w:cs="Arial"/>
          <w:color w:val="000000" w:themeColor="text1"/>
          <w:sz w:val="21"/>
          <w:szCs w:val="21"/>
          <w:lang w:val="es-ES_tradnl"/>
        </w:rPr>
        <w:t xml:space="preserve">3. Por medio del acto administrativo en el cual la </w:t>
      </w:r>
      <w:r w:rsidR="0060294B">
        <w:rPr>
          <w:rFonts w:ascii="Arial" w:eastAsia="Calibri" w:hAnsi="Arial" w:cs="Arial"/>
          <w:color w:val="000000" w:themeColor="text1"/>
          <w:sz w:val="21"/>
          <w:szCs w:val="21"/>
          <w:lang w:val="es-ES_tradnl"/>
        </w:rPr>
        <w:t>Entidad Estatal</w:t>
      </w:r>
      <w:r w:rsidRPr="00550772">
        <w:rPr>
          <w:rFonts w:ascii="Arial" w:eastAsia="Calibri" w:hAnsi="Arial" w:cs="Arial"/>
          <w:color w:val="000000" w:themeColor="text1"/>
          <w:sz w:val="21"/>
          <w:szCs w:val="21"/>
          <w:lang w:val="es-ES_tradnl"/>
        </w:rPr>
        <w:t xml:space="preserve"> declare el incumpli­miento, puede hacer efectiva la cláusula penal, si está pactada en el contrato, y ordenar su pago al contratista y al garante. El acto administrativo correspondiente es la reclamación para la compañía de seguros.</w:t>
      </w:r>
    </w:p>
    <w:p w14:paraId="5E60B423" w14:textId="50F860DB" w:rsidR="0097215F" w:rsidRPr="0097215F" w:rsidRDefault="0097215F" w:rsidP="005F44BC">
      <w:pPr>
        <w:spacing w:line="276" w:lineRule="auto"/>
        <w:ind w:firstLine="709"/>
        <w:jc w:val="both"/>
        <w:rPr>
          <w:rFonts w:ascii="Arial" w:eastAsia="Calibri" w:hAnsi="Arial" w:cs="Arial"/>
          <w:color w:val="000000" w:themeColor="text1"/>
          <w:lang w:val="es-ES_tradnl"/>
        </w:rPr>
      </w:pPr>
      <w:r w:rsidRPr="0097215F">
        <w:rPr>
          <w:rFonts w:ascii="Arial" w:eastAsia="Calibri" w:hAnsi="Arial" w:cs="Arial"/>
          <w:color w:val="000000" w:themeColor="text1"/>
          <w:lang w:val="es-ES_tradnl"/>
        </w:rPr>
        <w:t xml:space="preserve">Así, las entidades estatales indicadas en el artículo 2 de la Ley 80 de 1993 cuentan con el beneficio de la decisión previa, que es expresión de la </w:t>
      </w:r>
      <w:proofErr w:type="spellStart"/>
      <w:r w:rsidRPr="0097215F">
        <w:rPr>
          <w:rFonts w:ascii="Arial" w:eastAsia="Calibri" w:hAnsi="Arial" w:cs="Arial"/>
          <w:color w:val="000000" w:themeColor="text1"/>
          <w:lang w:val="es-ES_tradnl"/>
        </w:rPr>
        <w:t>auto-tutela</w:t>
      </w:r>
      <w:proofErr w:type="spellEnd"/>
      <w:r w:rsidRPr="0097215F">
        <w:rPr>
          <w:rFonts w:ascii="Arial" w:eastAsia="Calibri" w:hAnsi="Arial" w:cs="Arial"/>
          <w:color w:val="000000" w:themeColor="text1"/>
          <w:lang w:val="es-ES_tradnl"/>
        </w:rPr>
        <w:t xml:space="preserve"> declarativa, para verificar la ocurrencia del siniestro –es decir, para constatar la materialización del riesgo asegurado– y para expedir el acto administrativo que establezca: i) que el siniestro efectivamente ocurrió y </w:t>
      </w:r>
      <w:proofErr w:type="spellStart"/>
      <w:r w:rsidRPr="0097215F">
        <w:rPr>
          <w:rFonts w:ascii="Arial" w:eastAsia="Calibri" w:hAnsi="Arial" w:cs="Arial"/>
          <w:color w:val="000000" w:themeColor="text1"/>
          <w:lang w:val="es-ES_tradnl"/>
        </w:rPr>
        <w:t>ii</w:t>
      </w:r>
      <w:proofErr w:type="spellEnd"/>
      <w:r w:rsidRPr="0097215F">
        <w:rPr>
          <w:rFonts w:ascii="Arial" w:eastAsia="Calibri" w:hAnsi="Arial" w:cs="Arial"/>
          <w:color w:val="000000" w:themeColor="text1"/>
          <w:lang w:val="es-ES_tradnl"/>
        </w:rPr>
        <w:t xml:space="preserve">) que, por ende, el garante debe reconocerle a la </w:t>
      </w:r>
      <w:r w:rsidR="0060294B">
        <w:rPr>
          <w:rFonts w:ascii="Arial" w:eastAsia="Calibri" w:hAnsi="Arial" w:cs="Arial"/>
          <w:color w:val="000000" w:themeColor="text1"/>
          <w:lang w:val="es-ES_tradnl"/>
        </w:rPr>
        <w:t>Entidad Estatal</w:t>
      </w:r>
      <w:r w:rsidRPr="0097215F">
        <w:rPr>
          <w:rFonts w:ascii="Arial" w:eastAsia="Calibri" w:hAnsi="Arial" w:cs="Arial"/>
          <w:color w:val="000000" w:themeColor="text1"/>
          <w:lang w:val="es-ES_tradnl"/>
        </w:rPr>
        <w:t xml:space="preserve"> el valor amparado en el instrumento de cobertura del riesgo. En tal sentido, la notificación del acto administrativo que declara el siniestro contiene la orden proferida por la </w:t>
      </w:r>
      <w:r w:rsidR="0060294B">
        <w:rPr>
          <w:rFonts w:ascii="Arial" w:eastAsia="Calibri" w:hAnsi="Arial" w:cs="Arial"/>
          <w:color w:val="000000" w:themeColor="text1"/>
          <w:lang w:val="es-ES_tradnl"/>
        </w:rPr>
        <w:t>Entidad Estatal</w:t>
      </w:r>
      <w:r w:rsidRPr="0097215F">
        <w:rPr>
          <w:rFonts w:ascii="Arial" w:eastAsia="Calibri" w:hAnsi="Arial" w:cs="Arial"/>
          <w:color w:val="000000" w:themeColor="text1"/>
          <w:lang w:val="es-ES_tradnl"/>
        </w:rPr>
        <w:t>, dirigida al garante, para que este reconozca el valor amparado y afectado por dicha declaratoria. No es una reclamación que queda sujeta a la discrecionalidad del garante, sino una obligación que este debe cumplir una vez el acto administrativo quede en firme, en los términos del artículo 87 de la Ley 1437 de 2011.</w:t>
      </w:r>
    </w:p>
    <w:p w14:paraId="3EEB913C" w14:textId="5756F2ED" w:rsidR="0097215F" w:rsidRPr="0097215F" w:rsidRDefault="0097215F" w:rsidP="005F44BC">
      <w:pPr>
        <w:spacing w:line="276" w:lineRule="auto"/>
        <w:ind w:firstLine="709"/>
        <w:jc w:val="both"/>
        <w:rPr>
          <w:rFonts w:ascii="Arial" w:eastAsia="Calibri" w:hAnsi="Arial" w:cs="Arial"/>
          <w:color w:val="000000" w:themeColor="text1"/>
          <w:lang w:val="es-ES_tradnl"/>
        </w:rPr>
      </w:pPr>
      <w:r w:rsidRPr="0097215F">
        <w:rPr>
          <w:rFonts w:ascii="Arial" w:eastAsia="Calibri" w:hAnsi="Arial" w:cs="Arial"/>
          <w:color w:val="000000" w:themeColor="text1"/>
          <w:lang w:val="es-ES_tradnl"/>
        </w:rPr>
        <w:lastRenderedPageBreak/>
        <w:t xml:space="preserve">Ahora bien, lo anterior no significa que el garante carezca de la oportunidad de ejercer su derecho de defensa ante la </w:t>
      </w:r>
      <w:r w:rsidR="0060294B">
        <w:rPr>
          <w:rFonts w:ascii="Arial" w:eastAsia="Calibri" w:hAnsi="Arial" w:cs="Arial"/>
          <w:color w:val="000000" w:themeColor="text1"/>
          <w:lang w:val="es-ES_tradnl"/>
        </w:rPr>
        <w:t>Entidad Estatal</w:t>
      </w:r>
      <w:r w:rsidRPr="0097215F">
        <w:rPr>
          <w:rFonts w:ascii="Arial" w:eastAsia="Calibri" w:hAnsi="Arial" w:cs="Arial"/>
          <w:color w:val="000000" w:themeColor="text1"/>
          <w:lang w:val="es-ES_tradnl"/>
        </w:rPr>
        <w:t xml:space="preserve">, pues tanto el artículo 29 de la Constitución, como el artículo 3, numeral 1 de la Ley 1437 de 2011, establece que en todo tipo de actuación administrativa debe salvaguardarse el debido proceso. Solo que la forma de oponerse a la declaratoria del siniestro varía según el tipo de procedimiento y de supuesto fáctico o jurídico constitutivo de la causa del siniestro. </w:t>
      </w:r>
    </w:p>
    <w:p w14:paraId="6E2F8190" w14:textId="776D2597" w:rsidR="0097215F" w:rsidRPr="0097215F" w:rsidRDefault="0097215F" w:rsidP="005F44BC">
      <w:pPr>
        <w:spacing w:line="276" w:lineRule="auto"/>
        <w:ind w:firstLine="709"/>
        <w:jc w:val="both"/>
        <w:rPr>
          <w:rFonts w:ascii="Arial" w:eastAsia="Calibri" w:hAnsi="Arial" w:cs="Arial"/>
          <w:color w:val="000000" w:themeColor="text1"/>
          <w:lang w:val="es-ES_tradnl"/>
        </w:rPr>
      </w:pPr>
      <w:r w:rsidRPr="0097215F">
        <w:rPr>
          <w:rFonts w:ascii="Arial" w:eastAsia="Calibri" w:hAnsi="Arial" w:cs="Arial"/>
          <w:color w:val="000000" w:themeColor="text1"/>
          <w:lang w:val="es-ES_tradnl"/>
        </w:rPr>
        <w:t xml:space="preserve">Como se indicó en las consideraciones previas, si el siniestro se basa en la declaratoria del incumplimiento o en la efectividad de una medida sancionatoria –multa, cláusula penal pecuniaria o caducidad–, la </w:t>
      </w:r>
      <w:r w:rsidR="0060294B">
        <w:rPr>
          <w:rFonts w:ascii="Arial" w:eastAsia="Calibri" w:hAnsi="Arial" w:cs="Arial"/>
          <w:color w:val="000000" w:themeColor="text1"/>
          <w:lang w:val="es-ES_tradnl"/>
        </w:rPr>
        <w:t>Entidad Estatal</w:t>
      </w:r>
      <w:r w:rsidRPr="0097215F">
        <w:rPr>
          <w:rFonts w:ascii="Arial" w:eastAsia="Calibri" w:hAnsi="Arial" w:cs="Arial"/>
          <w:color w:val="000000" w:themeColor="text1"/>
          <w:lang w:val="es-ES_tradnl"/>
        </w:rPr>
        <w:t xml:space="preserve"> debe adelantar el procedimiento administrativo sancionatorio consagrado en el artículo 86 de la Ley 1474 de 2011 y remitir la citación al garante –compañía aseguradora, bancaria o fiduciaria–, para que pueda hacer parte del trámite. Si, como resultado del desarrollo de este procedimiento, la </w:t>
      </w:r>
      <w:r w:rsidR="0060294B">
        <w:rPr>
          <w:rFonts w:ascii="Arial" w:eastAsia="Calibri" w:hAnsi="Arial" w:cs="Arial"/>
          <w:color w:val="000000" w:themeColor="text1"/>
          <w:lang w:val="es-ES_tradnl"/>
        </w:rPr>
        <w:t>Entidad Estatal</w:t>
      </w:r>
      <w:r w:rsidRPr="0097215F">
        <w:rPr>
          <w:rFonts w:ascii="Arial" w:eastAsia="Calibri" w:hAnsi="Arial" w:cs="Arial"/>
          <w:color w:val="000000" w:themeColor="text1"/>
          <w:lang w:val="es-ES_tradnl"/>
        </w:rPr>
        <w:t xml:space="preserve"> declara el incumplimiento e impone la caducidad, la multa o la cláusula penal pecuniaria, este acto administrativo que decreta la sanción constituye, al mismo tiempo, el acto que declara el siniestro. Por consiguiente, se le debe notificar al garante y </w:t>
      </w:r>
      <w:r w:rsidR="00580F7E">
        <w:rPr>
          <w:rFonts w:ascii="Arial" w:eastAsia="Calibri" w:hAnsi="Arial" w:cs="Arial"/>
          <w:color w:val="000000" w:themeColor="text1"/>
          <w:lang w:val="es-ES_tradnl"/>
        </w:rPr>
        <w:t>“</w:t>
      </w:r>
      <w:r w:rsidRPr="0097215F">
        <w:rPr>
          <w:rFonts w:ascii="Arial" w:eastAsia="Calibri" w:hAnsi="Arial" w:cs="Arial"/>
          <w:color w:val="000000" w:themeColor="text1"/>
          <w:lang w:val="es-ES_tradnl"/>
        </w:rPr>
        <w:t>hace las veces</w:t>
      </w:r>
      <w:r w:rsidR="00580F7E">
        <w:rPr>
          <w:rFonts w:ascii="Arial" w:eastAsia="Calibri" w:hAnsi="Arial" w:cs="Arial"/>
          <w:color w:val="000000" w:themeColor="text1"/>
          <w:lang w:val="es-ES_tradnl"/>
        </w:rPr>
        <w:t>”</w:t>
      </w:r>
      <w:r w:rsidRPr="0097215F">
        <w:rPr>
          <w:rFonts w:ascii="Arial" w:eastAsia="Calibri" w:hAnsi="Arial" w:cs="Arial"/>
          <w:color w:val="000000" w:themeColor="text1"/>
          <w:lang w:val="es-ES_tradnl"/>
        </w:rPr>
        <w:t xml:space="preserve"> del aviso de ocurrencia del siniestro previsto en el artículo 1075 del Código de Comercio, sin ser igual, porque, a diferencia de la reclamación que realiza un particular a una compañía aseguradora para que le reconozca el valor asegurado en una póliza, la </w:t>
      </w:r>
      <w:r w:rsidR="0060294B">
        <w:rPr>
          <w:rFonts w:ascii="Arial" w:eastAsia="Calibri" w:hAnsi="Arial" w:cs="Arial"/>
          <w:color w:val="000000" w:themeColor="text1"/>
          <w:lang w:val="es-ES_tradnl"/>
        </w:rPr>
        <w:t>Entidad Estatal</w:t>
      </w:r>
      <w:r w:rsidRPr="0097215F">
        <w:rPr>
          <w:rFonts w:ascii="Arial" w:eastAsia="Calibri" w:hAnsi="Arial" w:cs="Arial"/>
          <w:color w:val="000000" w:themeColor="text1"/>
          <w:lang w:val="es-ES_tradnl"/>
        </w:rPr>
        <w:t xml:space="preserve"> le comunica una orden de pago que está revestida de presunción de legalidad y de ejecutoriedad. El garante podría interponer el recurso de reposición al que se refiere el artículo 86, literal c) de la Ley 1474 de 2011, pero, si se confirma la decisión o si no la impugna, el acto administrativo adquiere firmeza y se torna obligatorio.</w:t>
      </w:r>
    </w:p>
    <w:p w14:paraId="2F8A5831" w14:textId="77777777" w:rsidR="0097215F" w:rsidRPr="0097215F" w:rsidRDefault="0097215F" w:rsidP="005F44BC">
      <w:pPr>
        <w:spacing w:line="276" w:lineRule="auto"/>
        <w:ind w:firstLine="709"/>
        <w:jc w:val="both"/>
        <w:rPr>
          <w:rFonts w:ascii="Arial" w:eastAsia="Calibri" w:hAnsi="Arial" w:cs="Arial"/>
          <w:color w:val="000000" w:themeColor="text1"/>
          <w:lang w:val="es-ES_tradnl"/>
        </w:rPr>
      </w:pPr>
      <w:r w:rsidRPr="0097215F">
        <w:rPr>
          <w:rFonts w:ascii="Arial" w:eastAsia="Calibri" w:hAnsi="Arial" w:cs="Arial"/>
          <w:color w:val="000000" w:themeColor="text1"/>
          <w:lang w:val="es-ES_tradnl"/>
        </w:rPr>
        <w:t>En cambio, cuando la causa de la declaratoria del siniestro no es sancionatoria, se debe efectuar el procedimiento administrativo común, tal como se explicó, por ejemplo, frente al amparo de calidad y estabilidad de la obra.</w:t>
      </w:r>
      <w:bookmarkEnd w:id="22"/>
      <w:bookmarkEnd w:id="23"/>
      <w:r w:rsidRPr="0097215F">
        <w:rPr>
          <w:rFonts w:ascii="Arial" w:eastAsia="Calibri" w:hAnsi="Arial" w:cs="Arial"/>
          <w:color w:val="000000" w:themeColor="text1"/>
          <w:lang w:val="es-ES_tradnl"/>
        </w:rPr>
        <w:t xml:space="preserve"> Con fundamento en estas consideraciones se contestarán las inquietudes formuladas. </w:t>
      </w:r>
    </w:p>
    <w:p w14:paraId="2F7C483F" w14:textId="21176E50" w:rsidR="00B90014" w:rsidRDefault="004669CB" w:rsidP="004669CB">
      <w:pPr>
        <w:tabs>
          <w:tab w:val="left" w:pos="709"/>
        </w:tabs>
        <w:spacing w:before="120" w:line="276" w:lineRule="auto"/>
        <w:jc w:val="both"/>
        <w:rPr>
          <w:rFonts w:ascii="Arial" w:hAnsi="Arial" w:cs="Arial"/>
          <w:b/>
          <w:bCs/>
          <w:iCs/>
          <w:color w:val="000000" w:themeColor="text1"/>
          <w:lang w:val="es-ES_tradnl"/>
        </w:rPr>
      </w:pPr>
      <w:r w:rsidRPr="004669CB">
        <w:rPr>
          <w:rFonts w:ascii="Arial" w:hAnsi="Arial" w:cs="Arial"/>
          <w:b/>
          <w:bCs/>
          <w:iCs/>
          <w:color w:val="000000" w:themeColor="text1"/>
          <w:lang w:val="es-ES_tradnl"/>
        </w:rPr>
        <w:t>3.Respuesta:</w:t>
      </w:r>
    </w:p>
    <w:p w14:paraId="562C115E" w14:textId="77777777" w:rsidR="00B90014" w:rsidRDefault="00B90014" w:rsidP="00B90014">
      <w:pPr>
        <w:spacing w:line="276" w:lineRule="auto"/>
        <w:contextualSpacing/>
        <w:jc w:val="both"/>
        <w:rPr>
          <w:rFonts w:ascii="Arial" w:eastAsia="Arial" w:hAnsi="Arial" w:cs="Arial"/>
        </w:rPr>
      </w:pPr>
      <w:r w:rsidRPr="0097215F">
        <w:rPr>
          <w:rFonts w:ascii="Arial" w:eastAsia="Arial" w:hAnsi="Arial" w:cs="Arial"/>
        </w:rPr>
        <w:t>Respecto de</w:t>
      </w:r>
      <w:r>
        <w:rPr>
          <w:rFonts w:ascii="Arial" w:eastAsia="Arial" w:hAnsi="Arial" w:cs="Arial"/>
        </w:rPr>
        <w:t xml:space="preserve"> la reducción de puntaje dispuesto en el </w:t>
      </w:r>
      <w:r w:rsidRPr="0097215F">
        <w:rPr>
          <w:rFonts w:ascii="Arial" w:eastAsia="Arial" w:hAnsi="Arial" w:cs="Arial"/>
        </w:rPr>
        <w:t>artículo 58 de la Ley 2195 de 2022</w:t>
      </w:r>
      <w:r>
        <w:rPr>
          <w:rFonts w:ascii="Arial" w:eastAsia="Arial" w:hAnsi="Arial" w:cs="Arial"/>
        </w:rPr>
        <w:t xml:space="preserve"> e incorporado en los pliego tipo como regla dentro del capítulo IV “CRITERIOS DE EVALUACIÓN, ASIGNACIÓN DE PUNTAJE Y CRITERIOS DE DESEMPATE”, </w:t>
      </w:r>
      <w:r w:rsidRPr="0097215F">
        <w:rPr>
          <w:rFonts w:ascii="Arial" w:eastAsia="Arial" w:hAnsi="Arial" w:cs="Arial"/>
        </w:rPr>
        <w:t>usted realiza las siguientes preguntas:</w:t>
      </w:r>
    </w:p>
    <w:p w14:paraId="73A3399B" w14:textId="77777777" w:rsidR="00B90014" w:rsidRPr="0097215F" w:rsidRDefault="00B90014" w:rsidP="00B90014">
      <w:pPr>
        <w:spacing w:line="276" w:lineRule="auto"/>
        <w:contextualSpacing/>
        <w:jc w:val="both"/>
        <w:rPr>
          <w:rFonts w:ascii="Arial" w:eastAsia="Arial" w:hAnsi="Arial" w:cs="Arial"/>
        </w:rPr>
      </w:pPr>
    </w:p>
    <w:p w14:paraId="0A4B6468" w14:textId="77777777" w:rsidR="004155FC" w:rsidRDefault="004155FC" w:rsidP="004155FC">
      <w:pPr>
        <w:spacing w:after="0" w:line="240" w:lineRule="auto"/>
        <w:ind w:left="709" w:right="709"/>
        <w:contextualSpacing/>
        <w:jc w:val="both"/>
        <w:rPr>
          <w:rFonts w:ascii="Arial" w:eastAsia="Arial" w:hAnsi="Arial" w:cs="Arial"/>
          <w:sz w:val="21"/>
          <w:szCs w:val="21"/>
        </w:rPr>
      </w:pPr>
      <w:r w:rsidRPr="005F44BC">
        <w:rPr>
          <w:rFonts w:ascii="Arial" w:eastAsia="Arial" w:hAnsi="Arial" w:cs="Arial"/>
          <w:sz w:val="21"/>
          <w:szCs w:val="21"/>
        </w:rPr>
        <w:t>“[C]</w:t>
      </w:r>
      <w:proofErr w:type="spellStart"/>
      <w:r w:rsidRPr="005F44BC">
        <w:rPr>
          <w:rFonts w:ascii="Arial" w:hAnsi="Arial" w:cs="Arial"/>
          <w:sz w:val="21"/>
          <w:szCs w:val="21"/>
        </w:rPr>
        <w:t>uando</w:t>
      </w:r>
      <w:proofErr w:type="spellEnd"/>
      <w:r w:rsidRPr="005F44BC">
        <w:rPr>
          <w:rFonts w:ascii="Arial" w:hAnsi="Arial" w:cs="Arial"/>
          <w:sz w:val="21"/>
          <w:szCs w:val="21"/>
        </w:rPr>
        <w:t xml:space="preserve"> a un contrato de obra que ya se </w:t>
      </w:r>
      <w:proofErr w:type="spellStart"/>
      <w:r w:rsidRPr="005F44BC">
        <w:rPr>
          <w:rFonts w:ascii="Arial" w:hAnsi="Arial" w:cs="Arial"/>
          <w:sz w:val="21"/>
          <w:szCs w:val="21"/>
        </w:rPr>
        <w:t>termino</w:t>
      </w:r>
      <w:proofErr w:type="spellEnd"/>
      <w:r w:rsidRPr="005F44BC">
        <w:rPr>
          <w:rFonts w:ascii="Arial" w:hAnsi="Arial" w:cs="Arial"/>
          <w:sz w:val="21"/>
          <w:szCs w:val="21"/>
        </w:rPr>
        <w:t xml:space="preserve"> y líquido le hacen</w:t>
      </w:r>
      <w:r w:rsidRPr="005F44BC">
        <w:rPr>
          <w:sz w:val="21"/>
          <w:szCs w:val="21"/>
        </w:rPr>
        <w:br/>
      </w:r>
      <w:r w:rsidRPr="005F44BC">
        <w:rPr>
          <w:rFonts w:ascii="Arial" w:hAnsi="Arial" w:cs="Arial"/>
          <w:sz w:val="21"/>
          <w:szCs w:val="21"/>
        </w:rPr>
        <w:t>efectiva la póliza de estabilidad, le aplica esa reducción de puntaje indicada</w:t>
      </w:r>
      <w:r w:rsidRPr="005F44BC">
        <w:rPr>
          <w:sz w:val="21"/>
          <w:szCs w:val="21"/>
        </w:rPr>
        <w:br/>
      </w:r>
      <w:r w:rsidRPr="005F44BC">
        <w:rPr>
          <w:rFonts w:ascii="Arial" w:hAnsi="Arial" w:cs="Arial"/>
          <w:sz w:val="21"/>
          <w:szCs w:val="21"/>
        </w:rPr>
        <w:t>anteriormente en los pliegos tipo? es decir, la estabilidad se encuentra contemplada dentro de las multas a las que hacen referencia los pliegos?</w:t>
      </w:r>
      <w:r w:rsidRPr="005F44BC">
        <w:rPr>
          <w:rFonts w:ascii="Arial" w:eastAsia="Arial" w:hAnsi="Arial" w:cs="Arial"/>
          <w:sz w:val="21"/>
          <w:szCs w:val="21"/>
        </w:rPr>
        <w:t xml:space="preserve">” (SIC). </w:t>
      </w:r>
    </w:p>
    <w:p w14:paraId="6B9FBD86" w14:textId="77777777" w:rsidR="002F1A4A" w:rsidRDefault="002F1A4A" w:rsidP="002F1A4A">
      <w:pPr>
        <w:spacing w:line="276" w:lineRule="auto"/>
        <w:jc w:val="both"/>
        <w:rPr>
          <w:rFonts w:ascii="Arial" w:eastAsia="Arial" w:hAnsi="Arial" w:cs="Arial"/>
        </w:rPr>
      </w:pPr>
    </w:p>
    <w:p w14:paraId="25E38476" w14:textId="6FC152BA" w:rsidR="002F1A4A" w:rsidRPr="0097215F" w:rsidRDefault="002F1A4A" w:rsidP="00E55051">
      <w:pPr>
        <w:spacing w:line="276" w:lineRule="auto"/>
        <w:jc w:val="both"/>
        <w:rPr>
          <w:rFonts w:ascii="Arial" w:eastAsia="Arial" w:hAnsi="Arial" w:cs="Arial"/>
        </w:rPr>
      </w:pPr>
      <w:r>
        <w:rPr>
          <w:rFonts w:ascii="Arial" w:eastAsia="Arial" w:hAnsi="Arial" w:cs="Arial"/>
        </w:rPr>
        <w:lastRenderedPageBreak/>
        <w:t xml:space="preserve">Conforme a lo expuesto se tiene que </w:t>
      </w:r>
      <w:r w:rsidR="00B90014">
        <w:rPr>
          <w:rFonts w:ascii="Arial" w:eastAsia="Arial" w:hAnsi="Arial" w:cs="Arial"/>
        </w:rPr>
        <w:t>l</w:t>
      </w:r>
      <w:r w:rsidRPr="0097215F">
        <w:rPr>
          <w:rFonts w:ascii="Arial" w:eastAsia="Arial" w:hAnsi="Arial" w:cs="Arial"/>
        </w:rPr>
        <w:t>os sujetos pasivos</w:t>
      </w:r>
      <w:r w:rsidR="00B90014">
        <w:rPr>
          <w:rFonts w:ascii="Arial" w:eastAsia="Arial" w:hAnsi="Arial" w:cs="Arial"/>
        </w:rPr>
        <w:t xml:space="preserve"> del art</w:t>
      </w:r>
      <w:r w:rsidR="001F5CCC">
        <w:rPr>
          <w:rFonts w:ascii="Arial" w:eastAsia="Arial" w:hAnsi="Arial" w:cs="Arial"/>
        </w:rPr>
        <w:t>ículo 58 de la L</w:t>
      </w:r>
      <w:r w:rsidR="007035B8">
        <w:rPr>
          <w:rFonts w:ascii="Arial" w:eastAsia="Arial" w:hAnsi="Arial" w:cs="Arial"/>
        </w:rPr>
        <w:t>ey</w:t>
      </w:r>
      <w:r w:rsidR="001F5CCC">
        <w:rPr>
          <w:rFonts w:ascii="Arial" w:eastAsia="Arial" w:hAnsi="Arial" w:cs="Arial"/>
        </w:rPr>
        <w:t xml:space="preserve"> 2195 de </w:t>
      </w:r>
      <w:r w:rsidR="007035B8">
        <w:rPr>
          <w:rFonts w:ascii="Arial" w:eastAsia="Arial" w:hAnsi="Arial" w:cs="Arial"/>
        </w:rPr>
        <w:t xml:space="preserve">2022, </w:t>
      </w:r>
      <w:r w:rsidRPr="0097215F">
        <w:rPr>
          <w:rFonts w:ascii="Arial" w:eastAsia="Arial" w:hAnsi="Arial" w:cs="Arial"/>
        </w:rPr>
        <w:t>son los proponentes –incluidos los consorcios y uniones temporales</w:t>
      </w:r>
      <w:r w:rsidR="000E4BE9">
        <w:rPr>
          <w:rFonts w:ascii="Arial" w:eastAsia="Arial" w:hAnsi="Arial" w:cs="Arial"/>
        </w:rPr>
        <w:t>-</w:t>
      </w:r>
      <w:r w:rsidRPr="0097215F">
        <w:rPr>
          <w:rFonts w:ascii="Arial" w:eastAsia="Arial" w:hAnsi="Arial" w:cs="Arial"/>
        </w:rPr>
        <w:t xml:space="preserve"> a </w:t>
      </w:r>
      <w:r w:rsidR="000E4BE9" w:rsidRPr="0097215F">
        <w:rPr>
          <w:rFonts w:ascii="Arial" w:eastAsia="Arial" w:hAnsi="Arial" w:cs="Arial"/>
        </w:rPr>
        <w:t>quienes se</w:t>
      </w:r>
      <w:r w:rsidRPr="0097215F">
        <w:rPr>
          <w:rFonts w:ascii="Arial" w:eastAsia="Arial" w:hAnsi="Arial" w:cs="Arial"/>
        </w:rPr>
        <w:t xml:space="preserve"> les haya impuesto una o más multas o cláusulas penales durante el último año, contado a partir de la fecha prevista para la presentación de las ofertas</w:t>
      </w:r>
      <w:r w:rsidR="000E4BE9">
        <w:rPr>
          <w:rFonts w:ascii="Arial" w:eastAsia="Arial" w:hAnsi="Arial" w:cs="Arial"/>
        </w:rPr>
        <w:t xml:space="preserve">. </w:t>
      </w:r>
      <w:r w:rsidRPr="0097215F">
        <w:rPr>
          <w:rFonts w:ascii="Arial" w:eastAsia="Arial" w:hAnsi="Arial" w:cs="Arial"/>
        </w:rPr>
        <w:t xml:space="preserve">Así pues, la reducción del puntaje exigido por el artículo 58 de la Ley 2195 de 2022 no se aplica en aquellos eventos en los cuales una </w:t>
      </w:r>
      <w:r w:rsidR="0060294B">
        <w:rPr>
          <w:rFonts w:ascii="Arial" w:eastAsia="Arial" w:hAnsi="Arial" w:cs="Arial"/>
        </w:rPr>
        <w:t>Entidad Estatal</w:t>
      </w:r>
      <w:r w:rsidRPr="0097215F">
        <w:rPr>
          <w:rFonts w:ascii="Arial" w:eastAsia="Arial" w:hAnsi="Arial" w:cs="Arial"/>
        </w:rPr>
        <w:t xml:space="preserve"> </w:t>
      </w:r>
      <w:r w:rsidR="001A2451">
        <w:rPr>
          <w:rFonts w:ascii="Arial" w:eastAsia="Arial" w:hAnsi="Arial" w:cs="Arial"/>
        </w:rPr>
        <w:t>declaró un siniestro</w:t>
      </w:r>
      <w:r w:rsidR="00CB134E">
        <w:rPr>
          <w:rFonts w:ascii="Arial" w:eastAsia="Arial" w:hAnsi="Arial" w:cs="Arial"/>
        </w:rPr>
        <w:t xml:space="preserve"> con el fin de hacer efectiva una garantía</w:t>
      </w:r>
      <w:r w:rsidRPr="0097215F">
        <w:rPr>
          <w:rFonts w:ascii="Arial" w:eastAsia="Arial" w:hAnsi="Arial" w:cs="Arial"/>
        </w:rPr>
        <w:t xml:space="preserve">, sin imponer una multa o cláusula penal pecuniaria, como </w:t>
      </w:r>
      <w:r w:rsidR="00E55051">
        <w:rPr>
          <w:rFonts w:ascii="Arial" w:eastAsia="Arial" w:hAnsi="Arial" w:cs="Arial"/>
        </w:rPr>
        <w:t>ejercicio de su potestad sancionatoria</w:t>
      </w:r>
      <w:r w:rsidR="00CB134E">
        <w:rPr>
          <w:rFonts w:ascii="Arial" w:eastAsia="Arial" w:hAnsi="Arial" w:cs="Arial"/>
        </w:rPr>
        <w:t>.</w:t>
      </w:r>
    </w:p>
    <w:p w14:paraId="570401FA" w14:textId="4BE506B8" w:rsidR="00DC7658" w:rsidRPr="000C7211" w:rsidRDefault="00D26989" w:rsidP="005C0E68">
      <w:pPr>
        <w:tabs>
          <w:tab w:val="left" w:pos="709"/>
        </w:tabs>
        <w:spacing w:before="120" w:line="276" w:lineRule="auto"/>
        <w:jc w:val="both"/>
        <w:rPr>
          <w:rFonts w:ascii="Arial" w:eastAsia="Calibri" w:hAnsi="Arial" w:cs="Arial"/>
          <w:color w:val="000000" w:themeColor="text1"/>
          <w:lang w:val="es-ES_tradnl"/>
        </w:rPr>
      </w:pPr>
      <w:r>
        <w:rPr>
          <w:rFonts w:ascii="Arial" w:eastAsia="Calibri" w:hAnsi="Arial" w:cs="Arial"/>
          <w:color w:val="000000" w:themeColor="text1"/>
        </w:rPr>
        <w:tab/>
      </w:r>
      <w:r w:rsidR="00B72350">
        <w:rPr>
          <w:rFonts w:ascii="Arial" w:eastAsia="Calibri" w:hAnsi="Arial" w:cs="Arial"/>
          <w:color w:val="000000" w:themeColor="text1"/>
        </w:rPr>
        <w:t>De esta manera</w:t>
      </w:r>
      <w:r>
        <w:rPr>
          <w:rFonts w:ascii="Arial" w:eastAsia="Calibri" w:hAnsi="Arial" w:cs="Arial"/>
          <w:color w:val="000000" w:themeColor="text1"/>
        </w:rPr>
        <w:t>, p</w:t>
      </w:r>
      <w:r w:rsidR="0037652E">
        <w:rPr>
          <w:rFonts w:ascii="Arial" w:eastAsia="Calibri" w:hAnsi="Arial" w:cs="Arial"/>
          <w:color w:val="000000" w:themeColor="text1"/>
        </w:rPr>
        <w:t xml:space="preserve">ara </w:t>
      </w:r>
      <w:r w:rsidR="00F5047C">
        <w:rPr>
          <w:rFonts w:ascii="Arial" w:eastAsia="Calibri" w:hAnsi="Arial" w:cs="Arial"/>
          <w:color w:val="000000" w:themeColor="text1"/>
        </w:rPr>
        <w:t>esta Agencia</w:t>
      </w:r>
      <w:r w:rsidR="0037652E">
        <w:rPr>
          <w:rFonts w:ascii="Arial" w:eastAsia="Calibri" w:hAnsi="Arial" w:cs="Arial"/>
          <w:color w:val="000000" w:themeColor="text1"/>
        </w:rPr>
        <w:t xml:space="preserve"> e</w:t>
      </w:r>
      <w:r w:rsidR="00DC7658" w:rsidRPr="000C7211">
        <w:rPr>
          <w:rFonts w:ascii="Arial" w:eastAsia="Calibri" w:hAnsi="Arial" w:cs="Arial"/>
          <w:color w:val="000000" w:themeColor="text1"/>
          <w:lang w:val="es-ES_tradnl"/>
        </w:rPr>
        <w:t>l declarar el siniestro</w:t>
      </w:r>
      <w:r w:rsidR="00DC7658">
        <w:rPr>
          <w:rFonts w:ascii="Arial" w:eastAsia="Calibri" w:hAnsi="Arial" w:cs="Arial"/>
          <w:color w:val="000000" w:themeColor="text1"/>
          <w:lang w:val="es-ES_tradnl"/>
        </w:rPr>
        <w:t xml:space="preserve"> del amparo de estabilidad y calidad de la obra</w:t>
      </w:r>
      <w:r w:rsidR="00DC7658" w:rsidRPr="000C7211">
        <w:rPr>
          <w:rFonts w:ascii="Arial" w:eastAsia="Calibri" w:hAnsi="Arial" w:cs="Arial"/>
          <w:color w:val="000000" w:themeColor="text1"/>
          <w:lang w:val="es-ES_tradnl"/>
        </w:rPr>
        <w:t>, la Administración no ejerce una potestad sancionadora</w:t>
      </w:r>
      <w:r w:rsidR="00B10B52">
        <w:rPr>
          <w:rFonts w:ascii="Arial" w:eastAsia="Calibri" w:hAnsi="Arial" w:cs="Arial"/>
          <w:color w:val="000000" w:themeColor="text1"/>
          <w:lang w:val="es-ES_tradnl"/>
        </w:rPr>
        <w:t xml:space="preserve">, ya que </w:t>
      </w:r>
      <w:r w:rsidR="00DC7658" w:rsidRPr="000C7211">
        <w:rPr>
          <w:rFonts w:ascii="Arial" w:eastAsia="Calibri" w:hAnsi="Arial" w:cs="Arial"/>
          <w:color w:val="000000" w:themeColor="text1"/>
          <w:lang w:val="es-ES_tradnl"/>
        </w:rPr>
        <w:t>no se trata de una pena de carácter legal o convencional, porque no pretende terminar anormalmente del contrato –caducidad–, ni estima anticipadamente los perjuicios derivados del incumplimiento –cláusula penal–, como tampoco son medios coercitivos de apremio –multas–. Todo lo contrario</w:t>
      </w:r>
      <w:r w:rsidR="00286E3B">
        <w:rPr>
          <w:rFonts w:ascii="Arial" w:eastAsia="Calibri" w:hAnsi="Arial" w:cs="Arial"/>
          <w:color w:val="000000" w:themeColor="text1"/>
          <w:lang w:val="es-ES_tradnl"/>
        </w:rPr>
        <w:t xml:space="preserve">, </w:t>
      </w:r>
      <w:r w:rsidR="00DC7658" w:rsidRPr="000C7211">
        <w:rPr>
          <w:rFonts w:ascii="Arial" w:eastAsia="Calibri" w:hAnsi="Arial" w:cs="Arial"/>
          <w:color w:val="000000" w:themeColor="text1"/>
          <w:lang w:val="es-ES_tradnl"/>
        </w:rPr>
        <w:t>supone que el contratista ejecutó las actividades pactadas y que la entidad las recibió a satisfacción, encontrando posteriormente vicios que afectan su calidad y obligan al saneamiento</w:t>
      </w:r>
      <w:r w:rsidR="00286E3B">
        <w:rPr>
          <w:rFonts w:ascii="Arial" w:eastAsia="Calibri" w:hAnsi="Arial" w:cs="Arial"/>
          <w:color w:val="000000" w:themeColor="text1"/>
          <w:lang w:val="es-ES_tradnl"/>
        </w:rPr>
        <w:t xml:space="preserve">, con el fin de </w:t>
      </w:r>
      <w:r w:rsidR="00286E3B" w:rsidRPr="000C7211">
        <w:rPr>
          <w:rFonts w:ascii="Arial" w:eastAsia="Calibri" w:hAnsi="Arial" w:cs="Arial"/>
          <w:color w:val="000000" w:themeColor="text1"/>
          <w:lang w:val="es-ES_tradnl"/>
        </w:rPr>
        <w:t>salvaguardar el interés público y proteger patrimonialmente a la Ad</w:t>
      </w:r>
      <w:r w:rsidR="00286E3B">
        <w:rPr>
          <w:rFonts w:ascii="Arial" w:eastAsia="Calibri" w:hAnsi="Arial" w:cs="Arial"/>
          <w:color w:val="000000" w:themeColor="text1"/>
          <w:lang w:val="es-ES_tradnl"/>
        </w:rPr>
        <w:t xml:space="preserve">ministración </w:t>
      </w:r>
      <w:r w:rsidR="00DC7658" w:rsidRPr="000C7211">
        <w:rPr>
          <w:rFonts w:ascii="Arial" w:eastAsia="Calibri" w:hAnsi="Arial" w:cs="Arial"/>
          <w:color w:val="000000" w:themeColor="text1"/>
          <w:vertAlign w:val="superscript"/>
          <w:lang w:val="es-ES_tradnl"/>
        </w:rPr>
        <w:footnoteReference w:id="25"/>
      </w:r>
      <w:r w:rsidR="00DC7658" w:rsidRPr="000C7211">
        <w:rPr>
          <w:rFonts w:ascii="Arial" w:eastAsia="Calibri" w:hAnsi="Arial" w:cs="Arial"/>
          <w:color w:val="000000" w:themeColor="text1"/>
          <w:lang w:val="es-ES_tradnl"/>
        </w:rPr>
        <w:t>.</w:t>
      </w:r>
    </w:p>
    <w:p w14:paraId="21EB44B4" w14:textId="6240304B" w:rsidR="005B1147" w:rsidRDefault="00DC7658" w:rsidP="005B1147">
      <w:pPr>
        <w:ind w:firstLine="708"/>
        <w:jc w:val="both"/>
      </w:pPr>
      <w:r w:rsidRPr="000C7211">
        <w:rPr>
          <w:rFonts w:ascii="Arial" w:eastAsia="Calibri" w:hAnsi="Arial" w:cs="Arial"/>
          <w:color w:val="000000" w:themeColor="text1"/>
          <w:lang w:val="es-ES_tradnl"/>
        </w:rPr>
        <w:t>En este contexto, como no aplica el artículo 86 de la Ley 1474, la Subdirección de Gestión Contractual considera que el trámite de la declaratoria del siniestro de estabilidad y calidad de la obra se rige por el procedimiento administrativo general dispuesto en los artículos 34 y siguientes de la Ley 1437 de 2011</w:t>
      </w:r>
      <w:r w:rsidR="00E45466">
        <w:rPr>
          <w:rFonts w:ascii="Arial" w:eastAsia="Calibri" w:hAnsi="Arial" w:cs="Arial"/>
          <w:color w:val="000000" w:themeColor="text1"/>
          <w:lang w:val="es-ES_tradnl"/>
        </w:rPr>
        <w:t>,</w:t>
      </w:r>
      <w:r w:rsidR="00F5047C">
        <w:rPr>
          <w:rFonts w:ascii="Arial" w:eastAsia="Calibri" w:hAnsi="Arial" w:cs="Arial"/>
          <w:color w:val="000000" w:themeColor="text1"/>
          <w:lang w:val="es-ES_tradnl"/>
        </w:rPr>
        <w:t xml:space="preserve"> por lo tanto, </w:t>
      </w:r>
      <w:r w:rsidR="005B1147">
        <w:rPr>
          <w:rFonts w:ascii="Arial" w:eastAsia="Calibri" w:hAnsi="Arial" w:cs="Arial"/>
          <w:color w:val="000000" w:themeColor="text1"/>
          <w:lang w:val="es-ES_tradnl"/>
        </w:rPr>
        <w:t xml:space="preserve">las anotaciones que al respecto poseen los proponentes </w:t>
      </w:r>
      <w:r w:rsidR="005B1147">
        <w:rPr>
          <w:rFonts w:ascii="Arial" w:eastAsia="Arial" w:hAnsi="Arial" w:cs="Arial"/>
        </w:rPr>
        <w:t xml:space="preserve">en el </w:t>
      </w:r>
      <w:r w:rsidR="005B1147" w:rsidRPr="0097215F">
        <w:rPr>
          <w:rFonts w:ascii="Arial" w:eastAsia="Arial" w:hAnsi="Arial" w:cs="Arial"/>
        </w:rPr>
        <w:t>RUP</w:t>
      </w:r>
      <w:r w:rsidR="005B1147">
        <w:rPr>
          <w:rFonts w:ascii="Arial" w:eastAsia="Arial" w:hAnsi="Arial" w:cs="Arial"/>
        </w:rPr>
        <w:t xml:space="preserve">, deberán ser verificadas por la Entidad Estatal, con el fin de determinar si </w:t>
      </w:r>
      <w:r w:rsidR="005D4DA3">
        <w:rPr>
          <w:rFonts w:ascii="Arial" w:eastAsia="Arial" w:hAnsi="Arial" w:cs="Arial"/>
        </w:rPr>
        <w:t xml:space="preserve">aquellos proponentes </w:t>
      </w:r>
      <w:r w:rsidR="005B1147">
        <w:rPr>
          <w:rFonts w:ascii="Arial" w:eastAsia="Arial" w:hAnsi="Arial" w:cs="Arial"/>
        </w:rPr>
        <w:t>son sujetos pasivos de la r</w:t>
      </w:r>
      <w:r w:rsidR="005B1147" w:rsidRPr="0097215F">
        <w:rPr>
          <w:rFonts w:ascii="Arial" w:eastAsia="Arial" w:hAnsi="Arial" w:cs="Arial"/>
        </w:rPr>
        <w:t xml:space="preserve">educción del puntaje </w:t>
      </w:r>
      <w:r w:rsidR="009D0FB7">
        <w:rPr>
          <w:rFonts w:ascii="Arial" w:eastAsia="Arial" w:hAnsi="Arial" w:cs="Arial"/>
        </w:rPr>
        <w:t xml:space="preserve">prevista </w:t>
      </w:r>
      <w:r w:rsidR="006C7E5E">
        <w:rPr>
          <w:rFonts w:ascii="Arial" w:eastAsia="Arial" w:hAnsi="Arial" w:cs="Arial"/>
        </w:rPr>
        <w:t>en el artículo 58 de la Ley 2195</w:t>
      </w:r>
      <w:r w:rsidR="00AB61A0">
        <w:rPr>
          <w:rFonts w:ascii="Arial" w:eastAsia="Arial" w:hAnsi="Arial" w:cs="Arial"/>
        </w:rPr>
        <w:t xml:space="preserve"> </w:t>
      </w:r>
      <w:r w:rsidR="006C7E5E">
        <w:rPr>
          <w:rFonts w:ascii="Arial" w:eastAsia="Arial" w:hAnsi="Arial" w:cs="Arial"/>
        </w:rPr>
        <w:t>de 2022</w:t>
      </w:r>
      <w:r w:rsidR="005362A4">
        <w:rPr>
          <w:rFonts w:ascii="Arial" w:eastAsia="Arial" w:hAnsi="Arial" w:cs="Arial"/>
        </w:rPr>
        <w:t xml:space="preserve">, </w:t>
      </w:r>
      <w:r w:rsidR="001C11E9">
        <w:rPr>
          <w:rFonts w:ascii="Arial" w:eastAsia="Arial" w:hAnsi="Arial" w:cs="Arial"/>
        </w:rPr>
        <w:t>ya que</w:t>
      </w:r>
      <w:r w:rsidR="00E53452">
        <w:rPr>
          <w:rFonts w:ascii="Arial" w:eastAsia="Arial" w:hAnsi="Arial" w:cs="Arial"/>
        </w:rPr>
        <w:t xml:space="preserve"> el acto administrativo que </w:t>
      </w:r>
      <w:r w:rsidR="00E53452" w:rsidRPr="000C7211">
        <w:rPr>
          <w:rFonts w:ascii="Arial" w:eastAsia="Calibri" w:hAnsi="Arial" w:cs="Arial"/>
          <w:color w:val="000000" w:themeColor="text1"/>
          <w:lang w:val="es-ES_tradnl"/>
        </w:rPr>
        <w:t>declar</w:t>
      </w:r>
      <w:r w:rsidR="00E53452">
        <w:rPr>
          <w:rFonts w:ascii="Arial" w:eastAsia="Calibri" w:hAnsi="Arial" w:cs="Arial"/>
          <w:color w:val="000000" w:themeColor="text1"/>
          <w:lang w:val="es-ES_tradnl"/>
        </w:rPr>
        <w:t>a</w:t>
      </w:r>
      <w:r w:rsidR="00E53452" w:rsidRPr="000C7211">
        <w:rPr>
          <w:rFonts w:ascii="Arial" w:eastAsia="Calibri" w:hAnsi="Arial" w:cs="Arial"/>
          <w:color w:val="000000" w:themeColor="text1"/>
          <w:lang w:val="es-ES_tradnl"/>
        </w:rPr>
        <w:t xml:space="preserve"> del siniestro de estabilidad y calidad de la obra</w:t>
      </w:r>
      <w:r w:rsidR="001C11E9">
        <w:rPr>
          <w:rFonts w:ascii="Arial" w:eastAsia="Arial" w:hAnsi="Arial" w:cs="Arial"/>
        </w:rPr>
        <w:t xml:space="preserve">, </w:t>
      </w:r>
      <w:r w:rsidR="001C11E9" w:rsidRPr="00771E02">
        <w:rPr>
          <w:rFonts w:ascii="Arial" w:eastAsia="Arial" w:hAnsi="Arial" w:cs="Arial"/>
          <w:i/>
          <w:iCs/>
        </w:rPr>
        <w:t>per se</w:t>
      </w:r>
      <w:r w:rsidR="001C11E9">
        <w:rPr>
          <w:rFonts w:ascii="Arial" w:eastAsia="Arial" w:hAnsi="Arial" w:cs="Arial"/>
        </w:rPr>
        <w:t xml:space="preserve">, no implica que </w:t>
      </w:r>
      <w:r w:rsidR="001C11E9" w:rsidRPr="0097215F">
        <w:rPr>
          <w:rFonts w:ascii="Arial" w:eastAsia="Arial" w:hAnsi="Arial" w:cs="Arial"/>
        </w:rPr>
        <w:t>haya impuesto una o más multas o cláusulas penales</w:t>
      </w:r>
      <w:r w:rsidR="00C761F8">
        <w:rPr>
          <w:rFonts w:ascii="Arial" w:eastAsia="Arial" w:hAnsi="Arial" w:cs="Arial"/>
        </w:rPr>
        <w:t xml:space="preserve"> a</w:t>
      </w:r>
      <w:r w:rsidR="00134595">
        <w:rPr>
          <w:rFonts w:ascii="Arial" w:eastAsia="Arial" w:hAnsi="Arial" w:cs="Arial"/>
        </w:rPr>
        <w:t xml:space="preserve"> un</w:t>
      </w:r>
      <w:r w:rsidR="00C761F8">
        <w:rPr>
          <w:rFonts w:ascii="Arial" w:eastAsia="Arial" w:hAnsi="Arial" w:cs="Arial"/>
        </w:rPr>
        <w:t xml:space="preserve"> contratista</w:t>
      </w:r>
      <w:r w:rsidR="00134595">
        <w:rPr>
          <w:rFonts w:ascii="Arial" w:eastAsia="Arial" w:hAnsi="Arial" w:cs="Arial"/>
        </w:rPr>
        <w:t xml:space="preserve">, por lo que </w:t>
      </w:r>
      <w:r w:rsidR="00BD7439">
        <w:rPr>
          <w:rFonts w:ascii="Arial" w:eastAsia="Arial" w:hAnsi="Arial" w:cs="Arial"/>
        </w:rPr>
        <w:t xml:space="preserve">la reducción de puntaje </w:t>
      </w:r>
      <w:r w:rsidR="00134595">
        <w:rPr>
          <w:rFonts w:ascii="Arial" w:eastAsia="Arial" w:hAnsi="Arial" w:cs="Arial"/>
        </w:rPr>
        <w:t>en casa caso</w:t>
      </w:r>
      <w:r w:rsidR="00BD7439">
        <w:rPr>
          <w:rFonts w:ascii="Arial" w:eastAsia="Arial" w:hAnsi="Arial" w:cs="Arial"/>
        </w:rPr>
        <w:t xml:space="preserve"> dependerá del análisis que al respecto realice </w:t>
      </w:r>
      <w:r w:rsidR="00483583">
        <w:rPr>
          <w:rFonts w:ascii="Arial" w:eastAsia="Arial" w:hAnsi="Arial" w:cs="Arial"/>
        </w:rPr>
        <w:t>l</w:t>
      </w:r>
      <w:r w:rsidR="00134595">
        <w:rPr>
          <w:rFonts w:ascii="Arial" w:eastAsia="Arial" w:hAnsi="Arial" w:cs="Arial"/>
        </w:rPr>
        <w:t>as entidad</w:t>
      </w:r>
      <w:r w:rsidR="001E11F2">
        <w:rPr>
          <w:rFonts w:ascii="Arial" w:eastAsia="Arial" w:hAnsi="Arial" w:cs="Arial"/>
        </w:rPr>
        <w:t xml:space="preserve">es estatales </w:t>
      </w:r>
      <w:r w:rsidR="00E42DA8">
        <w:rPr>
          <w:rFonts w:ascii="Arial" w:eastAsia="Arial" w:hAnsi="Arial" w:cs="Arial"/>
        </w:rPr>
        <w:t xml:space="preserve">de </w:t>
      </w:r>
      <w:r w:rsidR="00113966">
        <w:rPr>
          <w:rFonts w:ascii="Arial" w:eastAsia="Arial" w:hAnsi="Arial" w:cs="Arial"/>
        </w:rPr>
        <w:t xml:space="preserve">los </w:t>
      </w:r>
      <w:r w:rsidR="00E42DA8">
        <w:rPr>
          <w:rFonts w:ascii="Arial" w:eastAsia="Arial" w:hAnsi="Arial" w:cs="Arial"/>
        </w:rPr>
        <w:t>acto</w:t>
      </w:r>
      <w:r w:rsidR="00113966">
        <w:rPr>
          <w:rFonts w:ascii="Arial" w:eastAsia="Arial" w:hAnsi="Arial" w:cs="Arial"/>
        </w:rPr>
        <w:t>s</w:t>
      </w:r>
      <w:r w:rsidR="00E42DA8">
        <w:rPr>
          <w:rFonts w:ascii="Arial" w:eastAsia="Arial" w:hAnsi="Arial" w:cs="Arial"/>
        </w:rPr>
        <w:t xml:space="preserve"> </w:t>
      </w:r>
      <w:r w:rsidR="0011649F">
        <w:rPr>
          <w:rFonts w:ascii="Arial" w:eastAsia="Arial" w:hAnsi="Arial" w:cs="Arial"/>
        </w:rPr>
        <w:t>admi</w:t>
      </w:r>
      <w:r w:rsidR="00483583">
        <w:rPr>
          <w:rFonts w:ascii="Arial" w:eastAsia="Arial" w:hAnsi="Arial" w:cs="Arial"/>
        </w:rPr>
        <w:t>nist</w:t>
      </w:r>
      <w:r w:rsidR="0011649F">
        <w:rPr>
          <w:rFonts w:ascii="Arial" w:eastAsia="Arial" w:hAnsi="Arial" w:cs="Arial"/>
        </w:rPr>
        <w:t>rativo</w:t>
      </w:r>
      <w:r w:rsidR="00113966">
        <w:rPr>
          <w:rFonts w:ascii="Arial" w:eastAsia="Arial" w:hAnsi="Arial" w:cs="Arial"/>
        </w:rPr>
        <w:t>s</w:t>
      </w:r>
      <w:r w:rsidR="0011649F">
        <w:rPr>
          <w:rFonts w:ascii="Arial" w:eastAsia="Arial" w:hAnsi="Arial" w:cs="Arial"/>
        </w:rPr>
        <w:t xml:space="preserve"> que </w:t>
      </w:r>
      <w:r w:rsidR="001E11F2">
        <w:rPr>
          <w:rFonts w:ascii="Arial" w:eastAsia="Arial" w:hAnsi="Arial" w:cs="Arial"/>
        </w:rPr>
        <w:t>originaron</w:t>
      </w:r>
      <w:r w:rsidR="0011649F">
        <w:rPr>
          <w:rFonts w:ascii="Arial" w:eastAsia="Arial" w:hAnsi="Arial" w:cs="Arial"/>
        </w:rPr>
        <w:t xml:space="preserve"> las anotaciones en el RUP</w:t>
      </w:r>
      <w:r w:rsidR="008E42F5">
        <w:rPr>
          <w:rFonts w:ascii="Arial" w:eastAsia="Arial" w:hAnsi="Arial" w:cs="Arial"/>
        </w:rPr>
        <w:t>.</w:t>
      </w:r>
    </w:p>
    <w:p w14:paraId="2B027BC4" w14:textId="77777777" w:rsidR="002002DB" w:rsidRPr="00714C91" w:rsidRDefault="002002DB" w:rsidP="002002DB">
      <w:pPr>
        <w:spacing w:before="120" w:after="120"/>
        <w:jc w:val="both"/>
        <w:rPr>
          <w:rFonts w:ascii="Arial" w:hAnsi="Arial" w:cs="Arial"/>
          <w:lang w:val="es-ES"/>
        </w:rPr>
      </w:pPr>
      <w:r w:rsidRPr="009A5830">
        <w:rPr>
          <w:rFonts w:ascii="Arial" w:hAnsi="Arial" w:cs="Arial"/>
        </w:rPr>
        <w:t>Este concepto tiene el alcance previsto en el artículo 28 del</w:t>
      </w:r>
      <w:r w:rsidRPr="579267AC">
        <w:rPr>
          <w:rFonts w:ascii="Arial" w:eastAsia="Times New Roman" w:hAnsi="Arial" w:cs="Arial"/>
          <w:lang w:val="es-ES" w:eastAsia="es-ES"/>
        </w:rPr>
        <w:t xml:space="preserve"> Código de Procedimiento Administrativo y de lo Contencioso Administrativo </w:t>
      </w:r>
      <w:r w:rsidRPr="579267AC">
        <w:rPr>
          <w:rFonts w:ascii="Arial" w:hAnsi="Arial" w:cs="Arial"/>
          <w:color w:val="000000" w:themeColor="text1"/>
          <w:lang w:val="es-ES"/>
        </w:rPr>
        <w:t xml:space="preserve">y </w:t>
      </w:r>
      <w:r w:rsidRPr="00714C91">
        <w:rPr>
          <w:rFonts w:ascii="Arial" w:hAnsi="Arial" w:cs="Arial"/>
          <w:color w:val="000000" w:themeColor="text1"/>
        </w:rPr>
        <w:t>las expresiones aquí utilizadas con mayúscula inicial deben ser entendidas con el significado que les otorga el artículo 2.2.1.1.1.3.1. del Decreto 1082 de 2015</w:t>
      </w:r>
      <w:r w:rsidRPr="579267AC">
        <w:rPr>
          <w:rFonts w:ascii="Arial" w:hAnsi="Arial" w:cs="Arial"/>
          <w:color w:val="000000" w:themeColor="text1"/>
          <w:lang w:val="es-ES"/>
        </w:rPr>
        <w:t>.</w:t>
      </w:r>
    </w:p>
    <w:p w14:paraId="1952E1AD" w14:textId="77777777" w:rsidR="002002DB" w:rsidRPr="000F4A3A" w:rsidRDefault="002002DB" w:rsidP="002002DB">
      <w:pPr>
        <w:tabs>
          <w:tab w:val="left" w:pos="426"/>
        </w:tabs>
        <w:spacing w:line="276" w:lineRule="auto"/>
        <w:jc w:val="both"/>
        <w:rPr>
          <w:rFonts w:ascii="Arial" w:eastAsia="Times New Roman" w:hAnsi="Arial" w:cs="Arial"/>
          <w:color w:val="000000" w:themeColor="text1"/>
        </w:rPr>
      </w:pPr>
      <w:r w:rsidRPr="000F4A3A">
        <w:rPr>
          <w:rFonts w:ascii="Arial" w:eastAsia="Times New Roman" w:hAnsi="Arial" w:cs="Arial"/>
          <w:color w:val="000000" w:themeColor="text1"/>
        </w:rPr>
        <w:t>Atentamente,</w:t>
      </w:r>
    </w:p>
    <w:p w14:paraId="1BA86AAA" w14:textId="54FD0272" w:rsidR="002002DB" w:rsidRPr="00CB70D9" w:rsidRDefault="00D27C73" w:rsidP="002002DB">
      <w:pPr>
        <w:jc w:val="center"/>
        <w:rPr>
          <w:rFonts w:ascii="Arial" w:eastAsia="Times New Roman" w:hAnsi="Arial" w:cs="Arial"/>
          <w:lang w:eastAsia="es-CO"/>
        </w:rPr>
      </w:pPr>
      <w:r>
        <w:rPr>
          <w:rFonts w:ascii="Arial" w:hAnsi="Arial" w:cs="Arial"/>
          <w:noProof/>
          <w:lang w:val="es-ES_tradnl"/>
        </w:rPr>
        <w:lastRenderedPageBreak/>
        <w:drawing>
          <wp:inline distT="0" distB="0" distL="0" distR="0" wp14:anchorId="0953A031" wp14:editId="683523EE">
            <wp:extent cx="3150870" cy="1209675"/>
            <wp:effectExtent l="0" t="0" r="0" b="9525"/>
            <wp:docPr id="1066337258"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exto&#10;&#10;Descripción generada automáticament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150870" cy="1209675"/>
                    </a:xfrm>
                    <a:prstGeom prst="rect">
                      <a:avLst/>
                    </a:prstGeom>
                    <a:noFill/>
                    <a:ln>
                      <a:noFill/>
                    </a:ln>
                  </pic:spPr>
                </pic:pic>
              </a:graphicData>
            </a:graphic>
          </wp:inline>
        </w:drawing>
      </w:r>
    </w:p>
    <w:tbl>
      <w:tblPr>
        <w:tblW w:w="575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17"/>
        <w:gridCol w:w="4937"/>
      </w:tblGrid>
      <w:tr w:rsidR="002002DB" w:rsidRPr="003F5F71" w14:paraId="2A0AA424" w14:textId="77777777" w:rsidTr="009A6C54">
        <w:trPr>
          <w:trHeight w:val="409"/>
        </w:trPr>
        <w:tc>
          <w:tcPr>
            <w:tcW w:w="817" w:type="dxa"/>
            <w:tcBorders>
              <w:top w:val="nil"/>
              <w:left w:val="nil"/>
              <w:bottom w:val="nil"/>
              <w:right w:val="nil"/>
            </w:tcBorders>
            <w:vAlign w:val="center"/>
            <w:hideMark/>
          </w:tcPr>
          <w:p w14:paraId="2710B3CE" w14:textId="77777777" w:rsidR="002002DB" w:rsidRPr="009C1F1A" w:rsidRDefault="002002DB" w:rsidP="009A6C54">
            <w:pPr>
              <w:spacing w:after="0" w:line="240" w:lineRule="auto"/>
              <w:jc w:val="both"/>
              <w:rPr>
                <w:rFonts w:ascii="Arial" w:hAnsi="Arial" w:cs="Arial"/>
                <w:sz w:val="16"/>
                <w:szCs w:val="16"/>
              </w:rPr>
            </w:pPr>
            <w:r w:rsidRPr="009C1F1A">
              <w:rPr>
                <w:rFonts w:ascii="Arial" w:hAnsi="Arial" w:cs="Arial"/>
                <w:sz w:val="16"/>
                <w:szCs w:val="16"/>
              </w:rPr>
              <w:t>Elaboró: </w:t>
            </w:r>
          </w:p>
        </w:tc>
        <w:tc>
          <w:tcPr>
            <w:tcW w:w="4937" w:type="dxa"/>
            <w:tcBorders>
              <w:top w:val="nil"/>
              <w:left w:val="nil"/>
              <w:bottom w:val="dotted" w:sz="6" w:space="0" w:color="7F7F7F" w:themeColor="text1" w:themeTint="80"/>
              <w:right w:val="nil"/>
            </w:tcBorders>
            <w:vAlign w:val="center"/>
            <w:hideMark/>
          </w:tcPr>
          <w:p w14:paraId="46CEBA94" w14:textId="77777777" w:rsidR="002002DB" w:rsidRPr="009C1F1A" w:rsidRDefault="002002DB" w:rsidP="009A6C54">
            <w:pPr>
              <w:spacing w:after="0" w:line="240" w:lineRule="auto"/>
              <w:jc w:val="both"/>
              <w:rPr>
                <w:rFonts w:ascii="Arial" w:hAnsi="Arial" w:cs="Arial"/>
                <w:sz w:val="16"/>
                <w:szCs w:val="16"/>
              </w:rPr>
            </w:pPr>
            <w:r>
              <w:rPr>
                <w:rFonts w:ascii="Arial" w:hAnsi="Arial" w:cs="Arial"/>
                <w:sz w:val="16"/>
                <w:szCs w:val="16"/>
              </w:rPr>
              <w:t>Any Alejandra Tovar Castillo</w:t>
            </w:r>
          </w:p>
          <w:p w14:paraId="03D8AA51" w14:textId="77777777" w:rsidR="002002DB" w:rsidRPr="009C1F1A" w:rsidRDefault="002002DB" w:rsidP="009A6C54">
            <w:pPr>
              <w:spacing w:after="0" w:line="240" w:lineRule="auto"/>
              <w:jc w:val="both"/>
              <w:rPr>
                <w:rFonts w:ascii="Arial" w:hAnsi="Arial" w:cs="Arial"/>
                <w:sz w:val="16"/>
                <w:szCs w:val="16"/>
              </w:rPr>
            </w:pPr>
            <w:r w:rsidRPr="009C1F1A">
              <w:rPr>
                <w:rFonts w:ascii="Arial" w:hAnsi="Arial" w:cs="Arial"/>
                <w:sz w:val="16"/>
                <w:szCs w:val="16"/>
              </w:rPr>
              <w:t>Contratista de la Subdirección de Gestión Contractual</w:t>
            </w:r>
          </w:p>
        </w:tc>
      </w:tr>
      <w:tr w:rsidR="002002DB" w:rsidRPr="003F5F71" w14:paraId="51212582" w14:textId="77777777" w:rsidTr="009A6C54">
        <w:trPr>
          <w:trHeight w:val="409"/>
        </w:trPr>
        <w:tc>
          <w:tcPr>
            <w:tcW w:w="817" w:type="dxa"/>
            <w:tcBorders>
              <w:top w:val="nil"/>
              <w:left w:val="nil"/>
              <w:right w:val="nil"/>
            </w:tcBorders>
            <w:vAlign w:val="center"/>
          </w:tcPr>
          <w:p w14:paraId="7547D430" w14:textId="77777777" w:rsidR="002002DB" w:rsidRPr="1CF3ADA9" w:rsidRDefault="002002DB" w:rsidP="009A6C54">
            <w:pPr>
              <w:spacing w:after="0"/>
              <w:jc w:val="both"/>
              <w:rPr>
                <w:rFonts w:ascii="Arial" w:hAnsi="Arial" w:cs="Arial"/>
                <w:sz w:val="16"/>
                <w:szCs w:val="16"/>
              </w:rPr>
            </w:pPr>
            <w:r w:rsidRPr="1CF3ADA9">
              <w:rPr>
                <w:rFonts w:ascii="Arial" w:hAnsi="Arial" w:cs="Arial"/>
                <w:sz w:val="16"/>
                <w:szCs w:val="16"/>
              </w:rPr>
              <w:t>Revisó</w:t>
            </w:r>
          </w:p>
        </w:tc>
        <w:tc>
          <w:tcPr>
            <w:tcW w:w="4937" w:type="dxa"/>
            <w:tcBorders>
              <w:top w:val="dotted" w:sz="6" w:space="0" w:color="7F7F7F" w:themeColor="text1" w:themeTint="80"/>
              <w:left w:val="nil"/>
              <w:bottom w:val="dotted" w:sz="6" w:space="0" w:color="7F7F7F" w:themeColor="text1" w:themeTint="80"/>
              <w:right w:val="nil"/>
            </w:tcBorders>
            <w:vAlign w:val="center"/>
          </w:tcPr>
          <w:p w14:paraId="5FA430D8" w14:textId="77777777" w:rsidR="002002DB" w:rsidRPr="009C1F1A" w:rsidRDefault="002002DB" w:rsidP="009A6C54">
            <w:pPr>
              <w:spacing w:after="0" w:line="240" w:lineRule="auto"/>
              <w:jc w:val="both"/>
              <w:rPr>
                <w:rFonts w:ascii="Arial" w:hAnsi="Arial" w:cs="Arial"/>
                <w:sz w:val="16"/>
                <w:szCs w:val="16"/>
              </w:rPr>
            </w:pPr>
            <w:r>
              <w:rPr>
                <w:rFonts w:ascii="Arial" w:hAnsi="Arial" w:cs="Arial"/>
                <w:sz w:val="16"/>
                <w:szCs w:val="16"/>
              </w:rPr>
              <w:t>Alejandro Sarmiento Cantillo</w:t>
            </w:r>
          </w:p>
          <w:p w14:paraId="38F2AE9A" w14:textId="77777777" w:rsidR="002002DB" w:rsidRPr="009C1F1A" w:rsidRDefault="002002DB" w:rsidP="009A6C54">
            <w:pPr>
              <w:spacing w:after="0" w:line="240" w:lineRule="auto"/>
              <w:jc w:val="both"/>
              <w:rPr>
                <w:rFonts w:ascii="Arial" w:hAnsi="Arial" w:cs="Arial"/>
                <w:sz w:val="16"/>
                <w:szCs w:val="16"/>
              </w:rPr>
            </w:pPr>
            <w:r w:rsidRPr="009C1F1A">
              <w:rPr>
                <w:rFonts w:ascii="Arial" w:hAnsi="Arial" w:cs="Arial"/>
                <w:sz w:val="16"/>
                <w:szCs w:val="16"/>
              </w:rPr>
              <w:t>Gestor T1 ‒ 15 de la Subdirección de Gestión Contractual</w:t>
            </w:r>
          </w:p>
        </w:tc>
      </w:tr>
      <w:tr w:rsidR="002002DB" w:rsidRPr="003F5F71" w14:paraId="7FDBBE47" w14:textId="77777777" w:rsidTr="009A6C54">
        <w:trPr>
          <w:trHeight w:val="389"/>
        </w:trPr>
        <w:tc>
          <w:tcPr>
            <w:tcW w:w="817" w:type="dxa"/>
            <w:tcBorders>
              <w:top w:val="nil"/>
              <w:left w:val="nil"/>
              <w:bottom w:val="nil"/>
              <w:right w:val="nil"/>
            </w:tcBorders>
            <w:vAlign w:val="center"/>
            <w:hideMark/>
          </w:tcPr>
          <w:p w14:paraId="7FA8C4B7" w14:textId="77777777" w:rsidR="002002DB" w:rsidRPr="009C1F1A" w:rsidRDefault="002002DB" w:rsidP="009A6C54">
            <w:pPr>
              <w:spacing w:after="0" w:line="240" w:lineRule="auto"/>
              <w:jc w:val="both"/>
              <w:rPr>
                <w:rFonts w:ascii="Arial" w:hAnsi="Arial" w:cs="Arial"/>
                <w:sz w:val="16"/>
                <w:szCs w:val="16"/>
              </w:rPr>
            </w:pPr>
            <w:r w:rsidRPr="009C1F1A">
              <w:rPr>
                <w:rFonts w:ascii="Arial" w:hAnsi="Arial" w:cs="Arial"/>
                <w:sz w:val="16"/>
                <w:szCs w:val="16"/>
              </w:rPr>
              <w:t>Aprobó: </w:t>
            </w:r>
          </w:p>
        </w:tc>
        <w:tc>
          <w:tcPr>
            <w:tcW w:w="4937" w:type="dxa"/>
            <w:tcBorders>
              <w:top w:val="dotted" w:sz="6" w:space="0" w:color="7F7F7F" w:themeColor="text1" w:themeTint="80"/>
              <w:left w:val="nil"/>
              <w:bottom w:val="dotted" w:sz="6" w:space="0" w:color="7F7F7F" w:themeColor="text1" w:themeTint="80"/>
              <w:right w:val="nil"/>
            </w:tcBorders>
            <w:vAlign w:val="center"/>
            <w:hideMark/>
          </w:tcPr>
          <w:p w14:paraId="088F8E2E" w14:textId="77777777" w:rsidR="002002DB" w:rsidRPr="009C1F1A" w:rsidRDefault="002002DB" w:rsidP="009A6C54">
            <w:pPr>
              <w:spacing w:after="0" w:line="240" w:lineRule="auto"/>
              <w:jc w:val="both"/>
              <w:rPr>
                <w:rFonts w:ascii="Arial" w:hAnsi="Arial" w:cs="Arial"/>
                <w:sz w:val="16"/>
                <w:szCs w:val="16"/>
              </w:rPr>
            </w:pPr>
            <w:r w:rsidRPr="009C1F1A">
              <w:rPr>
                <w:rFonts w:ascii="Arial" w:hAnsi="Arial" w:cs="Arial"/>
                <w:sz w:val="16"/>
                <w:szCs w:val="16"/>
              </w:rPr>
              <w:t xml:space="preserve">Nohelia del Carmen </w:t>
            </w:r>
            <w:proofErr w:type="spellStart"/>
            <w:r w:rsidRPr="009C1F1A">
              <w:rPr>
                <w:rFonts w:ascii="Arial" w:hAnsi="Arial" w:cs="Arial"/>
                <w:sz w:val="16"/>
                <w:szCs w:val="16"/>
              </w:rPr>
              <w:t>Zawady</w:t>
            </w:r>
            <w:proofErr w:type="spellEnd"/>
            <w:r w:rsidRPr="009C1F1A">
              <w:rPr>
                <w:rFonts w:ascii="Arial" w:hAnsi="Arial" w:cs="Arial"/>
                <w:sz w:val="16"/>
                <w:szCs w:val="16"/>
              </w:rPr>
              <w:t xml:space="preserve"> Palacio</w:t>
            </w:r>
          </w:p>
          <w:p w14:paraId="064E2B32" w14:textId="77777777" w:rsidR="002002DB" w:rsidRPr="009C1F1A" w:rsidRDefault="002002DB" w:rsidP="009A6C54">
            <w:pPr>
              <w:spacing w:after="0" w:line="240" w:lineRule="auto"/>
              <w:jc w:val="both"/>
              <w:rPr>
                <w:rFonts w:ascii="Arial" w:hAnsi="Arial" w:cs="Arial"/>
                <w:sz w:val="16"/>
                <w:szCs w:val="16"/>
              </w:rPr>
            </w:pPr>
            <w:r w:rsidRPr="009C1F1A">
              <w:rPr>
                <w:rFonts w:ascii="Arial" w:hAnsi="Arial" w:cs="Arial"/>
                <w:sz w:val="16"/>
                <w:szCs w:val="16"/>
              </w:rPr>
              <w:t>Subdirectora de Gestión Contractual ANCP - CCE</w:t>
            </w:r>
          </w:p>
        </w:tc>
      </w:tr>
      <w:bookmarkEnd w:id="0"/>
    </w:tbl>
    <w:p w14:paraId="1EB67039" w14:textId="42EF8BEB" w:rsidR="00676472" w:rsidRPr="00A9660D" w:rsidRDefault="00676472" w:rsidP="00A9660D">
      <w:pPr>
        <w:widowControl w:val="0"/>
        <w:autoSpaceDE w:val="0"/>
        <w:autoSpaceDN w:val="0"/>
        <w:spacing w:before="120" w:line="276" w:lineRule="auto"/>
        <w:ind w:firstLine="709"/>
        <w:jc w:val="both"/>
        <w:rPr>
          <w:rFonts w:ascii="Arial" w:eastAsia="Arial" w:hAnsi="Arial" w:cs="Arial"/>
          <w:lang w:val="es-ES"/>
        </w:rPr>
      </w:pPr>
    </w:p>
    <w:sectPr w:rsidR="00676472" w:rsidRPr="00A9660D" w:rsidSect="0039439C">
      <w:headerReference w:type="default" r:id="rId13"/>
      <w:footerReference w:type="default" r:id="rId14"/>
      <w:pgSz w:w="12240" w:h="15840" w:code="1"/>
      <w:pgMar w:top="1418" w:right="1418" w:bottom="1418" w:left="1418" w:header="850" w:footer="397" w:gutter="0"/>
      <w:pgBorders w:offsetFrom="page">
        <w:top w:val="dotted" w:sz="4" w:space="24" w:color="auto"/>
        <w:left w:val="dotted" w:sz="4" w:space="24" w:color="auto"/>
        <w:bottom w:val="dotted" w:sz="4" w:space="24" w:color="auto"/>
        <w:right w:val="dotted"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11ED2A" w14:textId="77777777" w:rsidR="00EE3B76" w:rsidRDefault="00EE3B76" w:rsidP="004A1847">
      <w:pPr>
        <w:spacing w:after="0" w:line="240" w:lineRule="auto"/>
      </w:pPr>
      <w:r>
        <w:separator/>
      </w:r>
    </w:p>
  </w:endnote>
  <w:endnote w:type="continuationSeparator" w:id="0">
    <w:p w14:paraId="001AEB83" w14:textId="77777777" w:rsidR="00EE3B76" w:rsidRDefault="00EE3B76" w:rsidP="004A1847">
      <w:pPr>
        <w:spacing w:after="0" w:line="240" w:lineRule="auto"/>
      </w:pPr>
      <w:r>
        <w:continuationSeparator/>
      </w:r>
    </w:p>
  </w:endnote>
  <w:endnote w:type="continuationNotice" w:id="1">
    <w:p w14:paraId="0A7B53F5" w14:textId="77777777" w:rsidR="00EE3B76" w:rsidRDefault="00EE3B7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Arial Nova">
    <w:charset w:val="00"/>
    <w:family w:val="swiss"/>
    <w:pitch w:val="variable"/>
    <w:sig w:usb0="0000028F" w:usb1="00000002" w:usb2="00000000" w:usb3="00000000" w:csb0="0000019F" w:csb1="00000000"/>
  </w:font>
  <w:font w:name="Geo">
    <w:altName w:val="Calibri"/>
    <w:charset w:val="00"/>
    <w:family w:val="auto"/>
    <w:pitch w:val="variable"/>
    <w:sig w:usb0="8000002F" w:usb1="40000048" w:usb2="00000000" w:usb3="00000000" w:csb0="00000001" w:csb1="00000000"/>
  </w:font>
  <w:font w:name="Geomanist Bold">
    <w:altName w:val="Calibri"/>
    <w:panose1 w:val="00000000000000000000"/>
    <w:charset w:val="00"/>
    <w:family w:val="modern"/>
    <w:notTrueType/>
    <w:pitch w:val="variable"/>
    <w:sig w:usb0="A000002F" w:usb1="1000004A" w:usb2="00000000" w:usb3="00000000" w:csb0="0000019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911A32" w14:textId="460CCDF7" w:rsidR="004A1847" w:rsidRDefault="004A1847" w:rsidP="008614E5">
    <w:pPr>
      <w:pStyle w:val="Piedepgina"/>
    </w:pPr>
    <w:r>
      <w:rPr>
        <w:noProof/>
      </w:rPr>
      <w:drawing>
        <wp:inline distT="0" distB="0" distL="0" distR="0" wp14:anchorId="1F77499E" wp14:editId="160C643E">
          <wp:extent cx="5742143" cy="892175"/>
          <wp:effectExtent l="0" t="0" r="0" b="3175"/>
          <wp:docPr id="4" name="Imagen 4" descr="Interfaz de usuario gráfica, Texto,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Interfaz de usuario gráfica, Texto, Correo electrónic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5792894" cy="900060"/>
                  </a:xfrm>
                  <a:prstGeom prst="rect">
                    <a:avLst/>
                  </a:prstGeom>
                </pic:spPr>
              </pic:pic>
            </a:graphicData>
          </a:graphic>
        </wp:inline>
      </w:drawing>
    </w:r>
  </w:p>
  <w:tbl>
    <w:tblPr>
      <w:tblStyle w:val="Tablaconcuadrcula"/>
      <w:tblW w:w="920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8"/>
      <w:gridCol w:w="678"/>
      <w:gridCol w:w="844"/>
      <w:gridCol w:w="1784"/>
      <w:gridCol w:w="720"/>
      <w:gridCol w:w="2818"/>
      <w:gridCol w:w="1527"/>
    </w:tblGrid>
    <w:tr w:rsidR="008614E5" w:rsidRPr="00080DA3" w14:paraId="0534DA7F" w14:textId="77777777" w:rsidTr="00A07532">
      <w:trPr>
        <w:trHeight w:val="198"/>
        <w:jc w:val="center"/>
      </w:trPr>
      <w:tc>
        <w:tcPr>
          <w:tcW w:w="838"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4B28DD0E" w14:textId="403BB573"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Versión:</w:t>
          </w:r>
        </w:p>
      </w:tc>
      <w:tc>
        <w:tcPr>
          <w:tcW w:w="678"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79B52F09" w14:textId="22188FC9"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0</w:t>
          </w:r>
          <w:r w:rsidR="00C9405D">
            <w:rPr>
              <w:rFonts w:ascii="Geomanist Light" w:hAnsi="Geomanist Light"/>
              <w:sz w:val="18"/>
              <w:szCs w:val="18"/>
            </w:rPr>
            <w:t>2</w:t>
          </w:r>
        </w:p>
      </w:tc>
      <w:tc>
        <w:tcPr>
          <w:tcW w:w="844"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36DA5B04" w14:textId="372D5633"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Código:</w:t>
          </w:r>
        </w:p>
      </w:tc>
      <w:tc>
        <w:tcPr>
          <w:tcW w:w="1784"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vAlign w:val="center"/>
        </w:tcPr>
        <w:p w14:paraId="71E26DE9" w14:textId="227155A8" w:rsidR="006219F8" w:rsidRPr="004B6B0E" w:rsidRDefault="00906B3C" w:rsidP="00A07532">
          <w:pPr>
            <w:pBdr>
              <w:top w:val="nil"/>
              <w:left w:val="nil"/>
              <w:bottom w:val="nil"/>
              <w:right w:val="nil"/>
              <w:between w:val="nil"/>
            </w:pBdr>
            <w:tabs>
              <w:tab w:val="center" w:pos="4419"/>
              <w:tab w:val="right" w:pos="8838"/>
              <w:tab w:val="center" w:pos="5400"/>
            </w:tabs>
            <w:jc w:val="center"/>
            <w:rPr>
              <w:rFonts w:ascii="Geomanist Bold" w:eastAsia="Geo" w:hAnsi="Geomanist Bold" w:cs="Geo"/>
              <w:b/>
              <w:color w:val="002060"/>
              <w:lang w:eastAsia="es-CO"/>
            </w:rPr>
          </w:pPr>
          <w:r w:rsidRPr="0000650B">
            <w:rPr>
              <w:rFonts w:ascii="Geomanist Light" w:eastAsia="Geo" w:hAnsi="Geomanist Light" w:cs="Geo"/>
              <w:b/>
              <w:color w:val="000000"/>
              <w:sz w:val="18"/>
              <w:szCs w:val="18"/>
              <w:lang w:eastAsia="es-CO"/>
            </w:rPr>
            <w:t>CCE-</w:t>
          </w:r>
          <w:r>
            <w:rPr>
              <w:rFonts w:ascii="Geomanist Light" w:eastAsia="Geo" w:hAnsi="Geomanist Light" w:cs="Geo"/>
              <w:b/>
              <w:color w:val="000000"/>
              <w:sz w:val="18"/>
              <w:szCs w:val="18"/>
              <w:lang w:eastAsia="es-CO"/>
            </w:rPr>
            <w:t>PQRSD</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FM</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0</w:t>
          </w:r>
          <w:r w:rsidR="004B6B0E">
            <w:rPr>
              <w:rFonts w:ascii="Geomanist Light" w:eastAsia="Geo" w:hAnsi="Geomanist Light" w:cs="Geo"/>
              <w:b/>
              <w:color w:val="000000"/>
              <w:sz w:val="18"/>
              <w:szCs w:val="18"/>
              <w:lang w:eastAsia="es-CO"/>
            </w:rPr>
            <w:t>8</w:t>
          </w:r>
        </w:p>
      </w:tc>
      <w:tc>
        <w:tcPr>
          <w:tcW w:w="720"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169F6C19" w14:textId="77777777"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Fecha:</w:t>
          </w:r>
        </w:p>
      </w:tc>
      <w:tc>
        <w:tcPr>
          <w:tcW w:w="2818"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7D02B6A6" w14:textId="04459FA8" w:rsidR="00A07532" w:rsidRPr="00080DA3" w:rsidRDefault="00906B3C" w:rsidP="00A07532">
          <w:pPr>
            <w:pStyle w:val="Piedepgina"/>
            <w:jc w:val="center"/>
            <w:rPr>
              <w:rFonts w:ascii="Geomanist Light" w:hAnsi="Geomanist Light"/>
              <w:sz w:val="18"/>
              <w:szCs w:val="18"/>
            </w:rPr>
          </w:pPr>
          <w:r>
            <w:rPr>
              <w:rFonts w:ascii="Geomanist Light" w:hAnsi="Geomanist Light"/>
              <w:sz w:val="18"/>
              <w:szCs w:val="18"/>
            </w:rPr>
            <w:t>2</w:t>
          </w:r>
          <w:r w:rsidR="00C9405D">
            <w:rPr>
              <w:rFonts w:ascii="Geomanist Light" w:hAnsi="Geomanist Light"/>
              <w:sz w:val="18"/>
              <w:szCs w:val="18"/>
            </w:rPr>
            <w:t>8</w:t>
          </w:r>
          <w:r w:rsidR="006219F8" w:rsidRPr="00080DA3">
            <w:rPr>
              <w:rFonts w:ascii="Geomanist Light" w:hAnsi="Geomanist Light"/>
              <w:sz w:val="18"/>
              <w:szCs w:val="18"/>
            </w:rPr>
            <w:t xml:space="preserve"> de </w:t>
          </w:r>
          <w:r w:rsidR="00C9405D">
            <w:rPr>
              <w:rFonts w:ascii="Geomanist Light" w:hAnsi="Geomanist Light"/>
              <w:sz w:val="18"/>
              <w:szCs w:val="18"/>
            </w:rPr>
            <w:t>septiembre</w:t>
          </w:r>
          <w:r w:rsidR="006219F8" w:rsidRPr="00080DA3">
            <w:rPr>
              <w:rFonts w:ascii="Geomanist Light" w:hAnsi="Geomanist Light"/>
              <w:sz w:val="18"/>
              <w:szCs w:val="18"/>
            </w:rPr>
            <w:t xml:space="preserve"> de 202</w:t>
          </w:r>
          <w:r w:rsidR="000A683E">
            <w:rPr>
              <w:rFonts w:ascii="Geomanist Light" w:hAnsi="Geomanist Light"/>
              <w:sz w:val="18"/>
              <w:szCs w:val="18"/>
            </w:rPr>
            <w:t>2</w:t>
          </w:r>
        </w:p>
      </w:tc>
      <w:tc>
        <w:tcPr>
          <w:tcW w:w="1527"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6C25E7A7" w14:textId="74CFB824"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 xml:space="preserve">Página </w:t>
          </w:r>
          <w:r w:rsidRPr="00080DA3">
            <w:rPr>
              <w:rFonts w:ascii="Geomanist Light" w:hAnsi="Geomanist Light"/>
              <w:b/>
              <w:bCs/>
              <w:sz w:val="18"/>
              <w:szCs w:val="18"/>
            </w:rPr>
            <w:fldChar w:fldCharType="begin"/>
          </w:r>
          <w:r w:rsidRPr="00080DA3">
            <w:rPr>
              <w:rFonts w:ascii="Geomanist Light" w:hAnsi="Geomanist Light"/>
              <w:b/>
              <w:bCs/>
              <w:sz w:val="18"/>
              <w:szCs w:val="18"/>
            </w:rPr>
            <w:instrText>PAGE  \* Arabic  \* MERGEFORMAT</w:instrText>
          </w:r>
          <w:r w:rsidRPr="00080DA3">
            <w:rPr>
              <w:rFonts w:ascii="Geomanist Light" w:hAnsi="Geomanist Light"/>
              <w:b/>
              <w:bCs/>
              <w:sz w:val="18"/>
              <w:szCs w:val="18"/>
            </w:rPr>
            <w:fldChar w:fldCharType="separate"/>
          </w:r>
          <w:r w:rsidRPr="00080DA3">
            <w:rPr>
              <w:rFonts w:ascii="Geomanist Light" w:hAnsi="Geomanist Light"/>
              <w:b/>
              <w:bCs/>
              <w:sz w:val="18"/>
              <w:szCs w:val="18"/>
            </w:rPr>
            <w:t>1</w:t>
          </w:r>
          <w:r w:rsidRPr="00080DA3">
            <w:rPr>
              <w:rFonts w:ascii="Geomanist Light" w:hAnsi="Geomanist Light"/>
              <w:b/>
              <w:bCs/>
              <w:sz w:val="18"/>
              <w:szCs w:val="18"/>
            </w:rPr>
            <w:fldChar w:fldCharType="end"/>
          </w:r>
          <w:r w:rsidRPr="00080DA3">
            <w:rPr>
              <w:rFonts w:ascii="Geomanist Light" w:hAnsi="Geomanist Light"/>
              <w:sz w:val="18"/>
              <w:szCs w:val="18"/>
            </w:rPr>
            <w:t xml:space="preserve"> de </w:t>
          </w:r>
          <w:r w:rsidRPr="00080DA3">
            <w:rPr>
              <w:rFonts w:ascii="Geomanist Light" w:hAnsi="Geomanist Light"/>
              <w:b/>
              <w:bCs/>
              <w:sz w:val="18"/>
              <w:szCs w:val="18"/>
            </w:rPr>
            <w:fldChar w:fldCharType="begin"/>
          </w:r>
          <w:r w:rsidRPr="00080DA3">
            <w:rPr>
              <w:rFonts w:ascii="Geomanist Light" w:hAnsi="Geomanist Light"/>
              <w:b/>
              <w:bCs/>
              <w:sz w:val="18"/>
              <w:szCs w:val="18"/>
            </w:rPr>
            <w:instrText>NUMPAGES  \* Arabic  \* MERGEFORMAT</w:instrText>
          </w:r>
          <w:r w:rsidRPr="00080DA3">
            <w:rPr>
              <w:rFonts w:ascii="Geomanist Light" w:hAnsi="Geomanist Light"/>
              <w:b/>
              <w:bCs/>
              <w:sz w:val="18"/>
              <w:szCs w:val="18"/>
            </w:rPr>
            <w:fldChar w:fldCharType="separate"/>
          </w:r>
          <w:r w:rsidRPr="00080DA3">
            <w:rPr>
              <w:rFonts w:ascii="Geomanist Light" w:hAnsi="Geomanist Light"/>
              <w:b/>
              <w:bCs/>
              <w:sz w:val="18"/>
              <w:szCs w:val="18"/>
            </w:rPr>
            <w:t>2</w:t>
          </w:r>
          <w:r w:rsidRPr="00080DA3">
            <w:rPr>
              <w:rFonts w:ascii="Geomanist Light" w:hAnsi="Geomanist Light"/>
              <w:b/>
              <w:bCs/>
              <w:sz w:val="18"/>
              <w:szCs w:val="18"/>
            </w:rPr>
            <w:fldChar w:fldCharType="end"/>
          </w:r>
        </w:p>
      </w:tc>
    </w:tr>
  </w:tbl>
  <w:p w14:paraId="744661F5" w14:textId="77777777" w:rsidR="006219F8" w:rsidRDefault="006219F8" w:rsidP="00A07532">
    <w:pPr>
      <w:pStyle w:val="Piedepgin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689CAB" w14:textId="77777777" w:rsidR="00EE3B76" w:rsidRDefault="00EE3B76" w:rsidP="004A1847">
      <w:pPr>
        <w:spacing w:after="0" w:line="240" w:lineRule="auto"/>
      </w:pPr>
      <w:r>
        <w:separator/>
      </w:r>
    </w:p>
  </w:footnote>
  <w:footnote w:type="continuationSeparator" w:id="0">
    <w:p w14:paraId="5A58F590" w14:textId="77777777" w:rsidR="00EE3B76" w:rsidRDefault="00EE3B76" w:rsidP="004A1847">
      <w:pPr>
        <w:spacing w:after="0" w:line="240" w:lineRule="auto"/>
      </w:pPr>
      <w:r>
        <w:continuationSeparator/>
      </w:r>
    </w:p>
  </w:footnote>
  <w:footnote w:type="continuationNotice" w:id="1">
    <w:p w14:paraId="7C4889D3" w14:textId="77777777" w:rsidR="00EE3B76" w:rsidRDefault="00EE3B76">
      <w:pPr>
        <w:spacing w:after="0" w:line="240" w:lineRule="auto"/>
      </w:pPr>
    </w:p>
  </w:footnote>
  <w:footnote w:id="2">
    <w:p w14:paraId="441DBFDD" w14:textId="42163B50" w:rsidR="00CD7727" w:rsidRPr="00CD7727" w:rsidRDefault="00CD7727" w:rsidP="00CD7727">
      <w:pPr>
        <w:pStyle w:val="Textonotapie"/>
        <w:ind w:firstLine="708"/>
      </w:pPr>
      <w:r>
        <w:rPr>
          <w:rStyle w:val="Refdenotaalpie"/>
        </w:rPr>
        <w:footnoteRef/>
      </w:r>
      <w:r>
        <w:t xml:space="preserve"> </w:t>
      </w:r>
      <w:r w:rsidRPr="00A70BAA">
        <w:rPr>
          <w:rFonts w:ascii="Arial" w:hAnsi="Arial" w:cs="Arial"/>
          <w:sz w:val="18"/>
          <w:szCs w:val="18"/>
        </w:rPr>
        <w:t xml:space="preserve">Los conceptos referenciados, así como otros expedidos por la Subdirección se encuentran disponibles para consulta pública en el portal de relatoría de la Agencia, al cual se puede acceder a través del siguiente enlace: </w:t>
      </w:r>
      <w:hyperlink r:id="rId1" w:history="1">
        <w:r w:rsidRPr="00A70BAA">
          <w:rPr>
            <w:rStyle w:val="Hipervnculo"/>
            <w:rFonts w:ascii="Arial" w:hAnsi="Arial" w:cs="Arial"/>
            <w:sz w:val="18"/>
            <w:szCs w:val="18"/>
          </w:rPr>
          <w:t>https://relatoria.colombiacompra.gov.co/busqueda/conceptos</w:t>
        </w:r>
      </w:hyperlink>
      <w:r w:rsidRPr="00A70BAA">
        <w:rPr>
          <w:rStyle w:val="Hipervnculo"/>
          <w:rFonts w:ascii="Arial" w:hAnsi="Arial" w:cs="Arial"/>
          <w:sz w:val="18"/>
          <w:szCs w:val="18"/>
        </w:rPr>
        <w:t xml:space="preserve">. </w:t>
      </w:r>
      <w:r w:rsidRPr="00A70BAA">
        <w:rPr>
          <w:rFonts w:ascii="Arial" w:hAnsi="Arial" w:cs="Arial"/>
          <w:sz w:val="18"/>
          <w:szCs w:val="18"/>
          <w:shd w:val="clear" w:color="auto" w:fill="E6E6E6"/>
        </w:rPr>
        <w:t xml:space="preserve"> </w:t>
      </w:r>
    </w:p>
  </w:footnote>
  <w:footnote w:id="3">
    <w:p w14:paraId="517F1347" w14:textId="77777777" w:rsidR="001B5DC9" w:rsidRDefault="001B5DC9" w:rsidP="001B5DC9">
      <w:pPr>
        <w:pBdr>
          <w:top w:val="nil"/>
          <w:left w:val="nil"/>
          <w:bottom w:val="nil"/>
          <w:right w:val="nil"/>
          <w:between w:val="nil"/>
        </w:pBdr>
        <w:ind w:firstLine="709"/>
        <w:contextualSpacing/>
        <w:jc w:val="both"/>
        <w:rPr>
          <w:rFonts w:ascii="Arial" w:eastAsia="Arial" w:hAnsi="Arial" w:cs="Arial"/>
          <w:color w:val="000000"/>
          <w:sz w:val="19"/>
          <w:szCs w:val="19"/>
        </w:rPr>
      </w:pPr>
      <w:r w:rsidRPr="0045469E">
        <w:rPr>
          <w:rFonts w:ascii="Arial" w:hAnsi="Arial" w:cs="Arial"/>
          <w:sz w:val="19"/>
          <w:szCs w:val="19"/>
          <w:vertAlign w:val="superscript"/>
        </w:rPr>
        <w:footnoteRef/>
      </w:r>
      <w:r w:rsidRPr="0045469E">
        <w:rPr>
          <w:rFonts w:ascii="Arial" w:eastAsia="Arial" w:hAnsi="Arial" w:cs="Arial"/>
          <w:color w:val="000000"/>
          <w:sz w:val="19"/>
          <w:szCs w:val="19"/>
        </w:rPr>
        <w:t xml:space="preserve"> Informe de Ponencia para primer debate del proyecto de Ley Número 369 de 2021 Cámara – 341 de 2020 Senado. Gaceta del Congreso de la República No. 1677 del 23 de noviembre de 2021. Disponible en: </w:t>
      </w:r>
      <w:hyperlink r:id="rId2">
        <w:r w:rsidRPr="0045469E">
          <w:rPr>
            <w:rFonts w:ascii="Arial" w:eastAsia="Arial" w:hAnsi="Arial" w:cs="Arial"/>
            <w:color w:val="000000"/>
            <w:sz w:val="19"/>
            <w:szCs w:val="19"/>
          </w:rPr>
          <w:t>http://www.secretariasenado.gov.co/legibus/legibus/gacetas/2021/GC_1677_2021.pdf</w:t>
        </w:r>
      </w:hyperlink>
      <w:r w:rsidRPr="0045469E">
        <w:rPr>
          <w:rFonts w:ascii="Arial" w:eastAsia="Arial" w:hAnsi="Arial" w:cs="Arial"/>
          <w:color w:val="000000"/>
          <w:sz w:val="19"/>
          <w:szCs w:val="19"/>
        </w:rPr>
        <w:t xml:space="preserve"> </w:t>
      </w:r>
    </w:p>
    <w:p w14:paraId="13136D67" w14:textId="77777777" w:rsidR="001B5DC9" w:rsidRPr="0045469E" w:rsidRDefault="001B5DC9" w:rsidP="001B5DC9">
      <w:pPr>
        <w:pBdr>
          <w:top w:val="nil"/>
          <w:left w:val="nil"/>
          <w:bottom w:val="nil"/>
          <w:right w:val="nil"/>
          <w:between w:val="nil"/>
        </w:pBdr>
        <w:ind w:firstLine="709"/>
        <w:contextualSpacing/>
        <w:jc w:val="both"/>
        <w:rPr>
          <w:rFonts w:ascii="Arial" w:eastAsia="Arial" w:hAnsi="Arial" w:cs="Arial"/>
          <w:color w:val="000000"/>
          <w:sz w:val="19"/>
          <w:szCs w:val="19"/>
        </w:rPr>
      </w:pPr>
    </w:p>
  </w:footnote>
  <w:footnote w:id="4">
    <w:p w14:paraId="6B58BD64" w14:textId="5CD81A3B" w:rsidR="001B5DC9" w:rsidRPr="0045469E" w:rsidRDefault="001B5DC9" w:rsidP="001B5DC9">
      <w:pPr>
        <w:pBdr>
          <w:top w:val="nil"/>
          <w:left w:val="nil"/>
          <w:bottom w:val="nil"/>
          <w:right w:val="nil"/>
          <w:between w:val="nil"/>
        </w:pBdr>
        <w:ind w:firstLine="709"/>
        <w:contextualSpacing/>
        <w:jc w:val="both"/>
        <w:rPr>
          <w:rFonts w:ascii="Arial" w:eastAsia="Arial" w:hAnsi="Arial" w:cs="Arial"/>
          <w:color w:val="000000"/>
          <w:sz w:val="19"/>
          <w:szCs w:val="19"/>
        </w:rPr>
      </w:pPr>
      <w:r w:rsidRPr="0045469E">
        <w:rPr>
          <w:rFonts w:ascii="Arial" w:hAnsi="Arial" w:cs="Arial"/>
          <w:sz w:val="19"/>
          <w:szCs w:val="19"/>
          <w:vertAlign w:val="superscript"/>
        </w:rPr>
        <w:footnoteRef/>
      </w:r>
      <w:r w:rsidRPr="0045469E">
        <w:rPr>
          <w:rFonts w:ascii="Arial" w:eastAsia="Arial" w:hAnsi="Arial" w:cs="Arial"/>
          <w:color w:val="000000"/>
          <w:sz w:val="19"/>
          <w:szCs w:val="19"/>
        </w:rPr>
        <w:t xml:space="preserve"> Es decir, </w:t>
      </w:r>
      <w:r w:rsidR="00580F7E">
        <w:rPr>
          <w:rFonts w:ascii="Arial" w:eastAsia="Arial" w:hAnsi="Arial" w:cs="Arial"/>
          <w:color w:val="000000"/>
          <w:sz w:val="19"/>
          <w:szCs w:val="19"/>
        </w:rPr>
        <w:t>“</w:t>
      </w:r>
      <w:r w:rsidRPr="0045469E">
        <w:rPr>
          <w:rFonts w:ascii="Arial" w:eastAsia="Arial" w:hAnsi="Arial" w:cs="Arial"/>
          <w:color w:val="000000"/>
          <w:sz w:val="19"/>
          <w:szCs w:val="19"/>
        </w:rPr>
        <w:t>La adquisición o suministro de bienes y servicios de características técnicas uniformes y de común utilización por parte de las entidades, que corresponden a aquellos que poseen las mismas especificaciones técnicas, con independencia de su diseño o de sus características descriptivas, y comparten patrones de desempeño y calidad objetivamente definidos</w:t>
      </w:r>
      <w:r w:rsidR="00580F7E">
        <w:rPr>
          <w:rFonts w:ascii="Arial" w:eastAsia="Arial" w:hAnsi="Arial" w:cs="Arial"/>
          <w:color w:val="000000"/>
          <w:sz w:val="19"/>
          <w:szCs w:val="19"/>
        </w:rPr>
        <w:t>”</w:t>
      </w:r>
      <w:r w:rsidRPr="0045469E">
        <w:rPr>
          <w:rFonts w:ascii="Arial" w:eastAsia="Arial" w:hAnsi="Arial" w:cs="Arial"/>
          <w:color w:val="000000"/>
          <w:sz w:val="19"/>
          <w:szCs w:val="19"/>
        </w:rPr>
        <w:t>.</w:t>
      </w:r>
    </w:p>
    <w:p w14:paraId="46668F47" w14:textId="77777777" w:rsidR="001B5DC9" w:rsidRPr="0045469E" w:rsidRDefault="001B5DC9" w:rsidP="001B5DC9">
      <w:pPr>
        <w:pBdr>
          <w:top w:val="nil"/>
          <w:left w:val="nil"/>
          <w:bottom w:val="nil"/>
          <w:right w:val="nil"/>
          <w:between w:val="nil"/>
        </w:pBdr>
        <w:ind w:firstLine="709"/>
        <w:contextualSpacing/>
        <w:jc w:val="both"/>
        <w:rPr>
          <w:rFonts w:ascii="Arial" w:eastAsia="Arial" w:hAnsi="Arial" w:cs="Arial"/>
          <w:color w:val="000000"/>
          <w:sz w:val="19"/>
          <w:szCs w:val="19"/>
        </w:rPr>
      </w:pPr>
    </w:p>
  </w:footnote>
  <w:footnote w:id="5">
    <w:p w14:paraId="67936AA3" w14:textId="77777777" w:rsidR="001B5DC9" w:rsidRDefault="001B5DC9" w:rsidP="001B5DC9">
      <w:pPr>
        <w:pBdr>
          <w:top w:val="nil"/>
          <w:left w:val="nil"/>
          <w:bottom w:val="nil"/>
          <w:right w:val="nil"/>
          <w:between w:val="nil"/>
        </w:pBdr>
        <w:ind w:firstLine="709"/>
        <w:contextualSpacing/>
        <w:jc w:val="both"/>
        <w:rPr>
          <w:rFonts w:ascii="Arial" w:eastAsia="Arial" w:hAnsi="Arial" w:cs="Arial"/>
          <w:color w:val="000000"/>
          <w:sz w:val="19"/>
          <w:szCs w:val="19"/>
        </w:rPr>
      </w:pPr>
      <w:r w:rsidRPr="0045469E">
        <w:rPr>
          <w:rFonts w:ascii="Arial" w:hAnsi="Arial" w:cs="Arial"/>
          <w:sz w:val="19"/>
          <w:szCs w:val="19"/>
          <w:vertAlign w:val="superscript"/>
        </w:rPr>
        <w:footnoteRef/>
      </w:r>
      <w:r w:rsidRPr="0045469E">
        <w:rPr>
          <w:rFonts w:ascii="Arial" w:eastAsia="Arial" w:hAnsi="Arial" w:cs="Arial"/>
          <w:color w:val="000000"/>
          <w:sz w:val="19"/>
          <w:szCs w:val="19"/>
        </w:rPr>
        <w:t xml:space="preserve"> Debe advertirse que el parágrafo 1 del artículo 58 se refiere solo a las </w:t>
      </w:r>
      <w:r w:rsidRPr="0045469E">
        <w:rPr>
          <w:rFonts w:ascii="Arial" w:eastAsia="Arial" w:hAnsi="Arial" w:cs="Arial"/>
          <w:i/>
          <w:color w:val="000000"/>
          <w:sz w:val="19"/>
          <w:szCs w:val="19"/>
        </w:rPr>
        <w:t>multas</w:t>
      </w:r>
      <w:r w:rsidRPr="0045469E">
        <w:rPr>
          <w:rFonts w:ascii="Arial" w:eastAsia="Arial" w:hAnsi="Arial" w:cs="Arial"/>
          <w:color w:val="000000"/>
          <w:sz w:val="19"/>
          <w:szCs w:val="19"/>
        </w:rPr>
        <w:t xml:space="preserve">; no a las cláusulas penales. Por tal razón, la posibilidad de eximirse de la reducción del puntaje solo procede por haber demandado los actos administrativos que imponen la </w:t>
      </w:r>
      <w:r w:rsidRPr="0045469E">
        <w:rPr>
          <w:rFonts w:ascii="Arial" w:eastAsia="Arial" w:hAnsi="Arial" w:cs="Arial"/>
          <w:i/>
          <w:color w:val="000000"/>
          <w:sz w:val="19"/>
          <w:szCs w:val="19"/>
        </w:rPr>
        <w:t>multas</w:t>
      </w:r>
      <w:r w:rsidRPr="0045469E">
        <w:rPr>
          <w:rFonts w:ascii="Arial" w:eastAsia="Arial" w:hAnsi="Arial" w:cs="Arial"/>
          <w:color w:val="000000"/>
          <w:sz w:val="19"/>
          <w:szCs w:val="19"/>
        </w:rPr>
        <w:t>.</w:t>
      </w:r>
    </w:p>
    <w:p w14:paraId="1D6ED2DF" w14:textId="77777777" w:rsidR="001B5DC9" w:rsidRPr="0045469E" w:rsidRDefault="001B5DC9" w:rsidP="001B5DC9">
      <w:pPr>
        <w:pBdr>
          <w:top w:val="nil"/>
          <w:left w:val="nil"/>
          <w:bottom w:val="nil"/>
          <w:right w:val="nil"/>
          <w:between w:val="nil"/>
        </w:pBdr>
        <w:ind w:firstLine="709"/>
        <w:contextualSpacing/>
        <w:jc w:val="both"/>
        <w:rPr>
          <w:rFonts w:ascii="Arial" w:eastAsia="Arial" w:hAnsi="Arial" w:cs="Arial"/>
          <w:color w:val="000000"/>
          <w:sz w:val="19"/>
          <w:szCs w:val="19"/>
        </w:rPr>
      </w:pPr>
    </w:p>
    <w:bookmarkStart w:id="8" w:name="3znysh7" w:colFirst="0" w:colLast="0"/>
    <w:bookmarkEnd w:id="8"/>
  </w:footnote>
  <w:footnote w:id="6">
    <w:p w14:paraId="3D06243C" w14:textId="016613A9" w:rsidR="001B5DC9" w:rsidRPr="00677982" w:rsidRDefault="001B5DC9" w:rsidP="001B5DC9">
      <w:pPr>
        <w:pStyle w:val="Textonotapie"/>
        <w:ind w:firstLine="708"/>
        <w:jc w:val="both"/>
        <w:rPr>
          <w:rFonts w:ascii="Arial" w:hAnsi="Arial" w:cs="Arial"/>
          <w:sz w:val="19"/>
          <w:szCs w:val="19"/>
        </w:rPr>
      </w:pPr>
      <w:bookmarkStart w:id="9" w:name="3znysh7" w:colFirst="0" w:colLast="0"/>
      <w:bookmarkEnd w:id="9"/>
      <w:r w:rsidRPr="00677982">
        <w:rPr>
          <w:rStyle w:val="Refdenotaalpie"/>
          <w:rFonts w:ascii="Arial" w:hAnsi="Arial" w:cs="Arial"/>
          <w:sz w:val="19"/>
          <w:szCs w:val="19"/>
        </w:rPr>
        <w:footnoteRef/>
      </w:r>
      <w:r w:rsidRPr="00677982">
        <w:rPr>
          <w:rFonts w:ascii="Arial" w:hAnsi="Arial" w:cs="Arial"/>
          <w:sz w:val="19"/>
          <w:szCs w:val="19"/>
        </w:rPr>
        <w:t xml:space="preserve"> </w:t>
      </w:r>
      <w:r w:rsidR="00580F7E">
        <w:rPr>
          <w:rFonts w:ascii="Arial" w:hAnsi="Arial" w:cs="Arial"/>
          <w:sz w:val="19"/>
          <w:szCs w:val="19"/>
        </w:rPr>
        <w:t>“</w:t>
      </w:r>
      <w:r w:rsidRPr="00677982">
        <w:rPr>
          <w:rFonts w:ascii="Arial" w:hAnsi="Arial" w:cs="Arial"/>
          <w:sz w:val="19"/>
          <w:szCs w:val="19"/>
        </w:rPr>
        <w:t xml:space="preserve">Artículo 179. </w:t>
      </w:r>
      <w:r w:rsidRPr="0045469E">
        <w:rPr>
          <w:rFonts w:ascii="Arial" w:hAnsi="Arial" w:cs="Arial"/>
          <w:sz w:val="19"/>
          <w:szCs w:val="19"/>
        </w:rPr>
        <w:t>Etapas</w:t>
      </w:r>
      <w:r w:rsidRPr="00677982">
        <w:rPr>
          <w:rFonts w:ascii="Arial" w:hAnsi="Arial" w:cs="Arial"/>
          <w:sz w:val="19"/>
          <w:szCs w:val="19"/>
        </w:rPr>
        <w:t>. El proceso para adelantar y decidir todos los litigios respecto de los cuales este código u otras leyes no señalen un trámite o procedimiento especial, en primera y en única instancia, se desarrollará en las siguientes etapas:</w:t>
      </w:r>
    </w:p>
    <w:p w14:paraId="2FA8E6F4" w14:textId="775899BA" w:rsidR="001B5DC9" w:rsidRPr="00677982" w:rsidRDefault="00580F7E" w:rsidP="001B5DC9">
      <w:pPr>
        <w:pStyle w:val="Textonotapie"/>
        <w:ind w:firstLine="708"/>
        <w:jc w:val="both"/>
        <w:rPr>
          <w:rFonts w:ascii="Arial" w:hAnsi="Arial" w:cs="Arial"/>
          <w:sz w:val="19"/>
          <w:szCs w:val="19"/>
        </w:rPr>
      </w:pPr>
      <w:r>
        <w:rPr>
          <w:rFonts w:ascii="Arial" w:hAnsi="Arial" w:cs="Arial"/>
          <w:sz w:val="19"/>
          <w:szCs w:val="19"/>
        </w:rPr>
        <w:t>“</w:t>
      </w:r>
      <w:r w:rsidR="001B5DC9" w:rsidRPr="00677982">
        <w:rPr>
          <w:rFonts w:ascii="Arial" w:hAnsi="Arial" w:cs="Arial"/>
          <w:sz w:val="19"/>
          <w:szCs w:val="19"/>
        </w:rPr>
        <w:t>1. La primera, desde la presentación de la demanda hasta la audiencia inicial.</w:t>
      </w:r>
    </w:p>
    <w:p w14:paraId="7DB0F601" w14:textId="4A92107E" w:rsidR="001B5DC9" w:rsidRPr="00677982" w:rsidRDefault="00580F7E" w:rsidP="001B5DC9">
      <w:pPr>
        <w:pStyle w:val="Textonotapie"/>
        <w:ind w:firstLine="708"/>
        <w:jc w:val="both"/>
        <w:rPr>
          <w:rFonts w:ascii="Arial" w:hAnsi="Arial" w:cs="Arial"/>
          <w:sz w:val="19"/>
          <w:szCs w:val="19"/>
        </w:rPr>
      </w:pPr>
      <w:r>
        <w:rPr>
          <w:rFonts w:ascii="Arial" w:hAnsi="Arial" w:cs="Arial"/>
          <w:sz w:val="19"/>
          <w:szCs w:val="19"/>
        </w:rPr>
        <w:t>“</w:t>
      </w:r>
      <w:r w:rsidR="001B5DC9" w:rsidRPr="00677982">
        <w:rPr>
          <w:rFonts w:ascii="Arial" w:hAnsi="Arial" w:cs="Arial"/>
          <w:sz w:val="19"/>
          <w:szCs w:val="19"/>
        </w:rPr>
        <w:t>2. La segunda, desde la finalización de la anterior hasta la culminación de la audiencia de pruebas, y</w:t>
      </w:r>
    </w:p>
    <w:p w14:paraId="08DA7CA0" w14:textId="7E3F33F4" w:rsidR="001B5DC9" w:rsidRPr="00677982" w:rsidRDefault="00580F7E" w:rsidP="001B5DC9">
      <w:pPr>
        <w:pStyle w:val="Textonotapie"/>
        <w:ind w:firstLine="708"/>
        <w:jc w:val="both"/>
        <w:rPr>
          <w:rFonts w:ascii="Arial" w:hAnsi="Arial" w:cs="Arial"/>
          <w:sz w:val="19"/>
          <w:szCs w:val="19"/>
        </w:rPr>
      </w:pPr>
      <w:r>
        <w:rPr>
          <w:rFonts w:ascii="Arial" w:hAnsi="Arial" w:cs="Arial"/>
          <w:sz w:val="19"/>
          <w:szCs w:val="19"/>
        </w:rPr>
        <w:t>“</w:t>
      </w:r>
      <w:r w:rsidR="001B5DC9" w:rsidRPr="00677982">
        <w:rPr>
          <w:rFonts w:ascii="Arial" w:hAnsi="Arial" w:cs="Arial"/>
          <w:sz w:val="19"/>
          <w:szCs w:val="19"/>
        </w:rPr>
        <w:t>3. La tercera, desde la terminación de la anterior, hasta la notificación de la sentencia. Esta etapa comprende la audiencia de alegaciones y juzgamiento.</w:t>
      </w:r>
    </w:p>
    <w:p w14:paraId="40EBCE22" w14:textId="2C19B3B3" w:rsidR="001B5DC9" w:rsidRPr="00677982" w:rsidRDefault="00580F7E" w:rsidP="001B5DC9">
      <w:pPr>
        <w:pStyle w:val="Textonotapie"/>
        <w:ind w:firstLine="708"/>
        <w:jc w:val="both"/>
        <w:rPr>
          <w:rFonts w:ascii="Arial" w:hAnsi="Arial" w:cs="Arial"/>
          <w:sz w:val="19"/>
          <w:szCs w:val="19"/>
        </w:rPr>
      </w:pPr>
      <w:r>
        <w:rPr>
          <w:rFonts w:ascii="Arial" w:hAnsi="Arial" w:cs="Arial"/>
          <w:sz w:val="19"/>
          <w:szCs w:val="19"/>
        </w:rPr>
        <w:t>“</w:t>
      </w:r>
      <w:r w:rsidR="001B5DC9" w:rsidRPr="00677982">
        <w:rPr>
          <w:rFonts w:ascii="Arial" w:hAnsi="Arial" w:cs="Arial"/>
          <w:sz w:val="19"/>
          <w:szCs w:val="19"/>
        </w:rPr>
        <w:t>Cuando se trate de asuntos de puro derecho o no fuere necesario practicar pruebas, el juez prescindirá de la audiencia de pruebas y podrá dictar la sentencia oral dentro de la audiencia inicial, dando previamente a las partes la posibilidad de presentar alegatos de conclusión.</w:t>
      </w:r>
    </w:p>
    <w:p w14:paraId="314FB72F" w14:textId="135739BE" w:rsidR="001B5DC9" w:rsidRPr="00677982" w:rsidRDefault="00580F7E" w:rsidP="001B5DC9">
      <w:pPr>
        <w:pStyle w:val="Textonotapie"/>
        <w:ind w:firstLine="708"/>
        <w:jc w:val="both"/>
        <w:rPr>
          <w:rFonts w:ascii="Arial" w:hAnsi="Arial" w:cs="Arial"/>
          <w:sz w:val="19"/>
          <w:szCs w:val="19"/>
        </w:rPr>
      </w:pPr>
      <w:r>
        <w:rPr>
          <w:rFonts w:ascii="Arial" w:hAnsi="Arial" w:cs="Arial"/>
          <w:sz w:val="19"/>
          <w:szCs w:val="19"/>
        </w:rPr>
        <w:t>“</w:t>
      </w:r>
      <w:r w:rsidR="001B5DC9" w:rsidRPr="00677982">
        <w:rPr>
          <w:rFonts w:ascii="Arial" w:hAnsi="Arial" w:cs="Arial"/>
          <w:sz w:val="19"/>
          <w:szCs w:val="19"/>
        </w:rPr>
        <w:t>También podrá dictar sentencia oral, en los casos señalados, en las demás audiencias, previa alegación de las partes</w:t>
      </w:r>
      <w:r>
        <w:rPr>
          <w:rFonts w:ascii="Arial" w:hAnsi="Arial" w:cs="Arial"/>
          <w:sz w:val="19"/>
          <w:szCs w:val="19"/>
        </w:rPr>
        <w:t>”</w:t>
      </w:r>
      <w:r w:rsidR="001B5DC9" w:rsidRPr="00677982">
        <w:rPr>
          <w:rFonts w:ascii="Arial" w:hAnsi="Arial" w:cs="Arial"/>
          <w:sz w:val="19"/>
          <w:szCs w:val="19"/>
        </w:rPr>
        <w:t>.</w:t>
      </w:r>
    </w:p>
    <w:p w14:paraId="5A334ED4" w14:textId="48E1341D" w:rsidR="001B5DC9" w:rsidRDefault="00580F7E" w:rsidP="001B5DC9">
      <w:pPr>
        <w:pStyle w:val="Textonotapie"/>
        <w:ind w:firstLine="708"/>
        <w:jc w:val="both"/>
        <w:rPr>
          <w:rFonts w:ascii="Arial" w:hAnsi="Arial" w:cs="Arial"/>
          <w:sz w:val="19"/>
          <w:szCs w:val="19"/>
        </w:rPr>
      </w:pPr>
      <w:r>
        <w:rPr>
          <w:rFonts w:ascii="Arial" w:hAnsi="Arial" w:cs="Arial"/>
          <w:sz w:val="19"/>
          <w:szCs w:val="19"/>
        </w:rPr>
        <w:t>“</w:t>
      </w:r>
      <w:r w:rsidR="001B5DC9" w:rsidRPr="00677982">
        <w:rPr>
          <w:rFonts w:ascii="Arial" w:hAnsi="Arial" w:cs="Arial"/>
          <w:sz w:val="19"/>
          <w:szCs w:val="19"/>
        </w:rPr>
        <w:t>Lo anterior, sin perjuicio de lo indicado en el artículo 182A sobre sentencia anticipada. Cuando se profiera sentencia oral, en la respectiva acta se consignará su parte resolutiva</w:t>
      </w:r>
      <w:r>
        <w:rPr>
          <w:rFonts w:ascii="Arial" w:hAnsi="Arial" w:cs="Arial"/>
          <w:sz w:val="19"/>
          <w:szCs w:val="19"/>
        </w:rPr>
        <w:t>”</w:t>
      </w:r>
      <w:r w:rsidR="001B5DC9" w:rsidRPr="00677982">
        <w:rPr>
          <w:rFonts w:ascii="Arial" w:hAnsi="Arial" w:cs="Arial"/>
          <w:sz w:val="19"/>
          <w:szCs w:val="19"/>
        </w:rPr>
        <w:t xml:space="preserve">. </w:t>
      </w:r>
    </w:p>
    <w:p w14:paraId="7D64032A" w14:textId="77777777" w:rsidR="001B5DC9" w:rsidRPr="00677982" w:rsidRDefault="001B5DC9" w:rsidP="001B5DC9">
      <w:pPr>
        <w:pStyle w:val="Textonotapie"/>
        <w:ind w:firstLine="708"/>
        <w:jc w:val="both"/>
        <w:rPr>
          <w:rFonts w:ascii="Arial" w:hAnsi="Arial" w:cs="Arial"/>
          <w:sz w:val="19"/>
          <w:szCs w:val="19"/>
        </w:rPr>
      </w:pPr>
    </w:p>
  </w:footnote>
  <w:footnote w:id="7">
    <w:p w14:paraId="00DA4E89" w14:textId="77777777" w:rsidR="001B5DC9" w:rsidRPr="0045469E" w:rsidRDefault="001B5DC9" w:rsidP="001B5DC9">
      <w:pPr>
        <w:pBdr>
          <w:top w:val="nil"/>
          <w:left w:val="nil"/>
          <w:bottom w:val="nil"/>
          <w:right w:val="nil"/>
          <w:between w:val="nil"/>
        </w:pBdr>
        <w:ind w:firstLine="709"/>
        <w:contextualSpacing/>
        <w:jc w:val="both"/>
        <w:rPr>
          <w:rFonts w:ascii="Arial" w:eastAsia="Arial" w:hAnsi="Arial" w:cs="Arial"/>
          <w:color w:val="000000"/>
          <w:sz w:val="19"/>
          <w:szCs w:val="19"/>
        </w:rPr>
      </w:pPr>
      <w:r w:rsidRPr="0045469E">
        <w:rPr>
          <w:rFonts w:ascii="Arial" w:hAnsi="Arial" w:cs="Arial"/>
          <w:sz w:val="19"/>
          <w:szCs w:val="19"/>
          <w:vertAlign w:val="superscript"/>
        </w:rPr>
        <w:footnoteRef/>
      </w:r>
      <w:r w:rsidRPr="0045469E">
        <w:rPr>
          <w:rFonts w:ascii="Arial" w:eastAsia="Calibri" w:hAnsi="Arial" w:cs="Arial"/>
          <w:color w:val="000000"/>
          <w:sz w:val="19"/>
          <w:szCs w:val="19"/>
        </w:rPr>
        <w:t xml:space="preserve"> </w:t>
      </w:r>
      <w:r w:rsidRPr="0045469E">
        <w:rPr>
          <w:rFonts w:ascii="Arial" w:eastAsia="Arial" w:hAnsi="Arial" w:cs="Arial"/>
          <w:color w:val="000000"/>
          <w:sz w:val="19"/>
          <w:szCs w:val="19"/>
        </w:rPr>
        <w:t>SANABRÍA SANTOS, Henry. Derecho Procesal Civil General. Universidad Externado de Colombia. Primera edición. Junio de 2021. Pág. 439</w:t>
      </w:r>
    </w:p>
    <w:p w14:paraId="52037D04" w14:textId="77777777" w:rsidR="001B5DC9" w:rsidRPr="0045469E" w:rsidRDefault="001B5DC9" w:rsidP="001B5DC9">
      <w:pPr>
        <w:pBdr>
          <w:top w:val="nil"/>
          <w:left w:val="nil"/>
          <w:bottom w:val="nil"/>
          <w:right w:val="nil"/>
          <w:between w:val="nil"/>
        </w:pBdr>
        <w:ind w:firstLine="709"/>
        <w:contextualSpacing/>
        <w:jc w:val="both"/>
        <w:rPr>
          <w:rFonts w:ascii="Arial" w:eastAsia="Calibri" w:hAnsi="Arial" w:cs="Arial"/>
          <w:color w:val="000000"/>
          <w:sz w:val="19"/>
          <w:szCs w:val="19"/>
        </w:rPr>
      </w:pPr>
    </w:p>
  </w:footnote>
  <w:footnote w:id="8">
    <w:p w14:paraId="279A7753" w14:textId="5EBBAACF" w:rsidR="001B5DC9" w:rsidRPr="0045469E" w:rsidRDefault="001B5DC9" w:rsidP="001B5DC9">
      <w:pPr>
        <w:pBdr>
          <w:top w:val="nil"/>
          <w:left w:val="nil"/>
          <w:bottom w:val="nil"/>
          <w:right w:val="nil"/>
          <w:between w:val="nil"/>
        </w:pBdr>
        <w:ind w:firstLine="709"/>
        <w:contextualSpacing/>
        <w:jc w:val="both"/>
        <w:rPr>
          <w:rFonts w:ascii="Arial" w:eastAsia="Arial" w:hAnsi="Arial" w:cs="Arial"/>
          <w:color w:val="000000"/>
          <w:sz w:val="19"/>
          <w:szCs w:val="19"/>
        </w:rPr>
      </w:pPr>
      <w:r w:rsidRPr="0045469E">
        <w:rPr>
          <w:rFonts w:ascii="Arial" w:hAnsi="Arial" w:cs="Arial"/>
          <w:sz w:val="19"/>
          <w:szCs w:val="19"/>
          <w:vertAlign w:val="superscript"/>
        </w:rPr>
        <w:footnoteRef/>
      </w:r>
      <w:r w:rsidRPr="0045469E">
        <w:rPr>
          <w:rFonts w:ascii="Arial" w:eastAsia="Arial" w:hAnsi="Arial" w:cs="Arial"/>
          <w:color w:val="000000"/>
          <w:sz w:val="19"/>
          <w:szCs w:val="19"/>
        </w:rPr>
        <w:t xml:space="preserve"> La igualdad es un principio de la función administrativa, que, en tal sentido, debe aplicarse en materia contractual, de conformidad con los artículos 13 y 209 de la Constitución. La primera de dichas disposiciones establece que </w:t>
      </w:r>
      <w:r w:rsidR="00580F7E">
        <w:rPr>
          <w:rFonts w:ascii="Arial" w:eastAsia="Arial" w:hAnsi="Arial" w:cs="Arial"/>
          <w:color w:val="000000"/>
          <w:sz w:val="19"/>
          <w:szCs w:val="19"/>
        </w:rPr>
        <w:t>“</w:t>
      </w:r>
      <w:r w:rsidRPr="0045469E">
        <w:rPr>
          <w:rFonts w:ascii="Arial" w:eastAsia="Arial" w:hAnsi="Arial" w:cs="Arial"/>
          <w:color w:val="000000"/>
          <w:sz w:val="19"/>
          <w:szCs w:val="19"/>
        </w:rPr>
        <w:t>Todas las personas nacen libres e iguales ante la ley, recibirán la misma protección y trato de las autoridades y gozarán de los mismos derechos, libertades y oportunidades sin ninguna discriminación por razones de sexo, raza, origen nacional o familiar, lengua, religión, opinión política o filosófica</w:t>
      </w:r>
      <w:r w:rsidR="00580F7E">
        <w:rPr>
          <w:rFonts w:ascii="Arial" w:eastAsia="Arial" w:hAnsi="Arial" w:cs="Arial"/>
          <w:color w:val="000000"/>
          <w:sz w:val="19"/>
          <w:szCs w:val="19"/>
        </w:rPr>
        <w:t>”</w:t>
      </w:r>
      <w:r w:rsidRPr="0045469E">
        <w:rPr>
          <w:rFonts w:ascii="Arial" w:eastAsia="Arial" w:hAnsi="Arial" w:cs="Arial"/>
          <w:color w:val="000000"/>
          <w:sz w:val="19"/>
          <w:szCs w:val="19"/>
        </w:rPr>
        <w:t xml:space="preserve">. Así lo ha entendido el Consejo de Estado: </w:t>
      </w:r>
      <w:r w:rsidR="00580F7E">
        <w:rPr>
          <w:rFonts w:ascii="Arial" w:eastAsia="Arial" w:hAnsi="Arial" w:cs="Arial"/>
          <w:color w:val="000000"/>
          <w:sz w:val="19"/>
          <w:szCs w:val="19"/>
        </w:rPr>
        <w:t>“</w:t>
      </w:r>
      <w:r w:rsidRPr="0045469E">
        <w:rPr>
          <w:rFonts w:ascii="Arial" w:eastAsia="Arial" w:hAnsi="Arial" w:cs="Arial"/>
          <w:color w:val="000000"/>
          <w:sz w:val="19"/>
          <w:szCs w:val="19"/>
        </w:rPr>
        <w:t xml:space="preserve">El principio de igualdad ha sido recogido por la casi la totalidad de las Constituciones modernas y la colombiana no es una excepción. Este postulado se encuentra en el preámbulo de nuestra Constitución como eje </w:t>
      </w:r>
      <w:r w:rsidRPr="0045469E">
        <w:rPr>
          <w:rFonts w:ascii="Arial" w:eastAsia="Arial" w:hAnsi="Arial" w:cs="Arial"/>
          <w:color w:val="000000"/>
          <w:sz w:val="19"/>
          <w:szCs w:val="19"/>
        </w:rPr>
        <w:t>fundametal del Estado; también está previsto en el artículo 13 como principio y derecho fundamental; y finalmente, está regulado en el artículo 209 como principio que debe regir el ejercicio de la función administrativa.</w:t>
      </w:r>
    </w:p>
    <w:p w14:paraId="6BE07F4B" w14:textId="30C26AFD" w:rsidR="001B5DC9" w:rsidRPr="0045469E" w:rsidRDefault="00580F7E" w:rsidP="001B5DC9">
      <w:pPr>
        <w:pBdr>
          <w:top w:val="nil"/>
          <w:left w:val="nil"/>
          <w:bottom w:val="nil"/>
          <w:right w:val="nil"/>
          <w:between w:val="nil"/>
        </w:pBdr>
        <w:ind w:firstLine="709"/>
        <w:contextualSpacing/>
        <w:jc w:val="both"/>
        <w:rPr>
          <w:rFonts w:ascii="Arial" w:eastAsia="Arial" w:hAnsi="Arial" w:cs="Arial"/>
          <w:color w:val="000000"/>
          <w:sz w:val="19"/>
          <w:szCs w:val="19"/>
        </w:rPr>
      </w:pPr>
      <w:r>
        <w:rPr>
          <w:rFonts w:ascii="Arial" w:eastAsia="Arial" w:hAnsi="Arial" w:cs="Arial"/>
          <w:color w:val="000000"/>
          <w:sz w:val="19"/>
          <w:szCs w:val="19"/>
        </w:rPr>
        <w:t>“</w:t>
      </w:r>
      <w:r w:rsidR="001B5DC9" w:rsidRPr="0045469E">
        <w:rPr>
          <w:rFonts w:ascii="Arial" w:eastAsia="Arial" w:hAnsi="Arial" w:cs="Arial"/>
          <w:color w:val="000000"/>
          <w:sz w:val="19"/>
          <w:szCs w:val="19"/>
        </w:rPr>
        <w:t>[…]</w:t>
      </w:r>
    </w:p>
    <w:p w14:paraId="1E805FC7" w14:textId="69BC07B7" w:rsidR="001B5DC9" w:rsidRPr="0045469E" w:rsidRDefault="00580F7E" w:rsidP="001B5DC9">
      <w:pPr>
        <w:pBdr>
          <w:top w:val="nil"/>
          <w:left w:val="nil"/>
          <w:bottom w:val="nil"/>
          <w:right w:val="nil"/>
          <w:between w:val="nil"/>
        </w:pBdr>
        <w:ind w:firstLine="709"/>
        <w:contextualSpacing/>
        <w:jc w:val="both"/>
        <w:rPr>
          <w:rFonts w:ascii="Arial" w:eastAsia="Arial" w:hAnsi="Arial" w:cs="Arial"/>
          <w:color w:val="000000"/>
          <w:sz w:val="19"/>
          <w:szCs w:val="19"/>
        </w:rPr>
      </w:pPr>
      <w:r>
        <w:rPr>
          <w:rFonts w:ascii="Arial" w:eastAsia="Arial" w:hAnsi="Arial" w:cs="Arial"/>
          <w:color w:val="000000"/>
          <w:sz w:val="19"/>
          <w:szCs w:val="19"/>
        </w:rPr>
        <w:t>“</w:t>
      </w:r>
      <w:r w:rsidR="001B5DC9" w:rsidRPr="0045469E">
        <w:rPr>
          <w:rFonts w:ascii="Arial" w:eastAsia="Arial" w:hAnsi="Arial" w:cs="Arial"/>
          <w:color w:val="000000"/>
          <w:sz w:val="19"/>
          <w:szCs w:val="19"/>
        </w:rPr>
        <w:t xml:space="preserve">Al estudiar el principio de igualdad en materia de contratación estatal se observa que este encuentra varias manifestaciones en la Ley 80 de 1993 (artículos 24 y 30) y en la Ley 1150 de 2007 (artículo 5) toda vez </w:t>
      </w:r>
      <w:r w:rsidR="001B5DC9" w:rsidRPr="0045469E">
        <w:rPr>
          <w:rFonts w:ascii="Arial" w:eastAsia="Arial" w:hAnsi="Arial" w:cs="Arial"/>
          <w:color w:val="000000"/>
          <w:sz w:val="19"/>
          <w:szCs w:val="19"/>
        </w:rPr>
        <w:t>que para la selección del contratista, cualquiera que sea el procedimiento que la Administración utilice para ello, todos los participantes deben estar en condiciones de igualdad.</w:t>
      </w:r>
    </w:p>
    <w:p w14:paraId="3DE70EC3" w14:textId="0793C749" w:rsidR="001B5DC9" w:rsidRPr="0045469E" w:rsidRDefault="00580F7E" w:rsidP="001B5DC9">
      <w:pPr>
        <w:pBdr>
          <w:top w:val="nil"/>
          <w:left w:val="nil"/>
          <w:bottom w:val="nil"/>
          <w:right w:val="nil"/>
          <w:between w:val="nil"/>
        </w:pBdr>
        <w:ind w:firstLine="709"/>
        <w:contextualSpacing/>
        <w:jc w:val="both"/>
        <w:rPr>
          <w:rFonts w:ascii="Arial" w:eastAsia="Arial" w:hAnsi="Arial" w:cs="Arial"/>
          <w:color w:val="000000"/>
          <w:sz w:val="19"/>
          <w:szCs w:val="19"/>
        </w:rPr>
      </w:pPr>
      <w:r>
        <w:rPr>
          <w:rFonts w:ascii="Arial" w:eastAsia="Arial" w:hAnsi="Arial" w:cs="Arial"/>
          <w:color w:val="000000"/>
          <w:sz w:val="19"/>
          <w:szCs w:val="19"/>
        </w:rPr>
        <w:t>“</w:t>
      </w:r>
      <w:r w:rsidR="001B5DC9" w:rsidRPr="0045469E">
        <w:rPr>
          <w:rFonts w:ascii="Arial" w:eastAsia="Arial" w:hAnsi="Arial" w:cs="Arial"/>
          <w:color w:val="000000"/>
          <w:sz w:val="19"/>
          <w:szCs w:val="19"/>
        </w:rPr>
        <w:t>Así, sin duda, se advierte que se trata de un principio con un contenido bastante amplio. Es decir, se estaría haciendo referencia al deber de la Administración y al derecho de quienes pretender contratar con el Estado a que: i) la adjudicación de los contratos de realice a la mejor propuesta; ii) el Estado garantice la mayor concurrencia de ofertas; iii) ninguno de los oferentes sufra una discriminación no justificada; iv) todos los participantes tengan el mismo plazo para presentar sus ofertas; v) las mismas se somentan por igual a los términos señalados por la Administración; vi) y el Estado justifique con criterios objetivos cúal fue la mejor propuesta; entre otros.</w:t>
      </w:r>
    </w:p>
    <w:p w14:paraId="642E34E4" w14:textId="7EFE4F3E" w:rsidR="001B5DC9" w:rsidRPr="0045469E" w:rsidRDefault="00580F7E" w:rsidP="001B5DC9">
      <w:pPr>
        <w:pBdr>
          <w:top w:val="nil"/>
          <w:left w:val="nil"/>
          <w:bottom w:val="nil"/>
          <w:right w:val="nil"/>
          <w:between w:val="nil"/>
        </w:pBdr>
        <w:ind w:firstLine="709"/>
        <w:contextualSpacing/>
        <w:jc w:val="both"/>
        <w:rPr>
          <w:rFonts w:ascii="Arial" w:eastAsia="Arial" w:hAnsi="Arial" w:cs="Arial"/>
          <w:color w:val="000000"/>
          <w:sz w:val="19"/>
          <w:szCs w:val="19"/>
        </w:rPr>
      </w:pPr>
      <w:r>
        <w:rPr>
          <w:rFonts w:ascii="Arial" w:eastAsia="Arial" w:hAnsi="Arial" w:cs="Arial"/>
          <w:color w:val="000000"/>
          <w:sz w:val="19"/>
          <w:szCs w:val="19"/>
        </w:rPr>
        <w:t>“</w:t>
      </w:r>
      <w:r w:rsidR="001B5DC9" w:rsidRPr="0045469E">
        <w:rPr>
          <w:rFonts w:ascii="Arial" w:eastAsia="Arial" w:hAnsi="Arial" w:cs="Arial"/>
          <w:color w:val="000000"/>
          <w:sz w:val="19"/>
          <w:szCs w:val="19"/>
        </w:rPr>
        <w:t>Como se observa, resulta imposible señalar mediante una lista cerrada el contenido del principio de igualdad en la contratación estatal y esto sólo puede hacerse de modo ejemplificativo; sin embargo, lo cierto es que este principio es de vital importancia pues los demás principios que rigen dicha actividad, como por ejemplo, la selección objetiva, la transparencia, la publicidad, la legalidad, la libre concurrencia, entre otros, buscan garantizarlo</w:t>
      </w:r>
      <w:r>
        <w:rPr>
          <w:rFonts w:ascii="Arial" w:eastAsia="Arial" w:hAnsi="Arial" w:cs="Arial"/>
          <w:color w:val="000000"/>
          <w:sz w:val="19"/>
          <w:szCs w:val="19"/>
        </w:rPr>
        <w:t>”</w:t>
      </w:r>
      <w:r w:rsidR="001B5DC9" w:rsidRPr="0045469E">
        <w:rPr>
          <w:rFonts w:ascii="Arial" w:eastAsia="Arial" w:hAnsi="Arial" w:cs="Arial"/>
          <w:color w:val="000000"/>
          <w:sz w:val="19"/>
          <w:szCs w:val="19"/>
        </w:rPr>
        <w:t xml:space="preserve"> (Consejo de Estado. Sección Tercera. Subsección C. Sentencia del 29 de agosto de 2013. Consejero Ponente: Jaime Orlando Santofimio Gamboa. Expediente: 39005).</w:t>
      </w:r>
    </w:p>
    <w:p w14:paraId="5BAFF7CD" w14:textId="77777777" w:rsidR="001B5DC9" w:rsidRPr="0045469E" w:rsidRDefault="001B5DC9" w:rsidP="001B5DC9">
      <w:pPr>
        <w:pBdr>
          <w:top w:val="nil"/>
          <w:left w:val="nil"/>
          <w:bottom w:val="nil"/>
          <w:right w:val="nil"/>
          <w:between w:val="nil"/>
        </w:pBdr>
        <w:ind w:firstLine="709"/>
        <w:contextualSpacing/>
        <w:jc w:val="both"/>
        <w:rPr>
          <w:rFonts w:ascii="Arial" w:eastAsia="Arial" w:hAnsi="Arial" w:cs="Arial"/>
          <w:color w:val="000000"/>
          <w:sz w:val="19"/>
          <w:szCs w:val="19"/>
        </w:rPr>
      </w:pPr>
    </w:p>
  </w:footnote>
  <w:footnote w:id="9">
    <w:p w14:paraId="08C25FAC" w14:textId="45007F9E" w:rsidR="001B5DC9" w:rsidRPr="0045469E" w:rsidRDefault="001B5DC9" w:rsidP="001B5DC9">
      <w:pPr>
        <w:pBdr>
          <w:top w:val="nil"/>
          <w:left w:val="nil"/>
          <w:bottom w:val="nil"/>
          <w:right w:val="nil"/>
          <w:between w:val="nil"/>
        </w:pBdr>
        <w:ind w:firstLine="709"/>
        <w:contextualSpacing/>
        <w:jc w:val="both"/>
        <w:rPr>
          <w:rFonts w:ascii="Arial" w:eastAsia="Arial" w:hAnsi="Arial" w:cs="Arial"/>
          <w:color w:val="000000"/>
          <w:sz w:val="19"/>
          <w:szCs w:val="19"/>
        </w:rPr>
      </w:pPr>
      <w:r w:rsidRPr="0045469E">
        <w:rPr>
          <w:rFonts w:ascii="Arial" w:hAnsi="Arial" w:cs="Arial"/>
          <w:sz w:val="19"/>
          <w:szCs w:val="19"/>
          <w:vertAlign w:val="superscript"/>
        </w:rPr>
        <w:footnoteRef/>
      </w:r>
      <w:r w:rsidRPr="0045469E">
        <w:rPr>
          <w:rFonts w:ascii="Arial" w:eastAsia="Arial" w:hAnsi="Arial" w:cs="Arial"/>
          <w:color w:val="000000"/>
          <w:sz w:val="19"/>
          <w:szCs w:val="19"/>
        </w:rPr>
        <w:t xml:space="preserve"> El artículo 30, numeral 8, de la Ley 80 de 1993, refiriéndose a la licitación, prohíbe a los oferentes </w:t>
      </w:r>
      <w:r w:rsidR="00580F7E">
        <w:rPr>
          <w:rFonts w:ascii="Arial" w:eastAsia="Arial" w:hAnsi="Arial" w:cs="Arial"/>
          <w:color w:val="000000"/>
          <w:sz w:val="19"/>
          <w:szCs w:val="19"/>
        </w:rPr>
        <w:t>“</w:t>
      </w:r>
      <w:r w:rsidRPr="0045469E">
        <w:rPr>
          <w:rFonts w:ascii="Arial" w:eastAsia="Arial" w:hAnsi="Arial" w:cs="Arial"/>
          <w:color w:val="000000"/>
          <w:sz w:val="19"/>
          <w:szCs w:val="19"/>
        </w:rPr>
        <w:t>completar, adicionar, modificar o mejorar sus propuestas</w:t>
      </w:r>
      <w:r w:rsidR="00580F7E">
        <w:rPr>
          <w:rFonts w:ascii="Arial" w:eastAsia="Arial" w:hAnsi="Arial" w:cs="Arial"/>
          <w:color w:val="000000"/>
          <w:sz w:val="19"/>
          <w:szCs w:val="19"/>
        </w:rPr>
        <w:t>”</w:t>
      </w:r>
      <w:r w:rsidRPr="0045469E">
        <w:rPr>
          <w:rFonts w:ascii="Arial" w:eastAsia="Arial" w:hAnsi="Arial" w:cs="Arial"/>
          <w:color w:val="000000"/>
          <w:sz w:val="19"/>
          <w:szCs w:val="19"/>
        </w:rPr>
        <w:t>.</w:t>
      </w:r>
    </w:p>
    <w:p w14:paraId="23DD080D" w14:textId="77777777" w:rsidR="001B5DC9" w:rsidRPr="0045469E" w:rsidRDefault="001B5DC9" w:rsidP="001B5DC9">
      <w:pPr>
        <w:pBdr>
          <w:top w:val="nil"/>
          <w:left w:val="nil"/>
          <w:bottom w:val="nil"/>
          <w:right w:val="nil"/>
          <w:between w:val="nil"/>
        </w:pBdr>
        <w:ind w:firstLine="709"/>
        <w:contextualSpacing/>
        <w:jc w:val="both"/>
        <w:rPr>
          <w:rFonts w:ascii="Arial" w:eastAsia="Arial" w:hAnsi="Arial" w:cs="Arial"/>
          <w:color w:val="000000"/>
          <w:sz w:val="19"/>
          <w:szCs w:val="19"/>
        </w:rPr>
      </w:pPr>
    </w:p>
  </w:footnote>
  <w:footnote w:id="10">
    <w:p w14:paraId="718AA7E5" w14:textId="30BF49FF" w:rsidR="001B5DC9" w:rsidRPr="0045469E" w:rsidRDefault="001B5DC9" w:rsidP="001B5DC9">
      <w:pPr>
        <w:pBdr>
          <w:top w:val="nil"/>
          <w:left w:val="nil"/>
          <w:bottom w:val="nil"/>
          <w:right w:val="nil"/>
          <w:between w:val="nil"/>
        </w:pBdr>
        <w:ind w:firstLine="709"/>
        <w:contextualSpacing/>
        <w:jc w:val="both"/>
        <w:rPr>
          <w:rFonts w:ascii="Arial" w:eastAsia="Arial" w:hAnsi="Arial" w:cs="Arial"/>
          <w:color w:val="000000"/>
          <w:sz w:val="19"/>
          <w:szCs w:val="19"/>
        </w:rPr>
      </w:pPr>
      <w:r w:rsidRPr="0045469E">
        <w:rPr>
          <w:rFonts w:ascii="Arial" w:hAnsi="Arial" w:cs="Arial"/>
          <w:sz w:val="19"/>
          <w:szCs w:val="19"/>
          <w:vertAlign w:val="superscript"/>
        </w:rPr>
        <w:footnoteRef/>
      </w:r>
      <w:r w:rsidRPr="0045469E">
        <w:rPr>
          <w:rFonts w:ascii="Arial" w:eastAsia="Arial" w:hAnsi="Arial" w:cs="Arial"/>
          <w:color w:val="000000"/>
          <w:sz w:val="19"/>
          <w:szCs w:val="19"/>
        </w:rPr>
        <w:t xml:space="preserve"> Esta norma dispone: </w:t>
      </w:r>
      <w:r w:rsidR="00580F7E">
        <w:rPr>
          <w:rFonts w:ascii="Arial" w:eastAsia="Arial" w:hAnsi="Arial" w:cs="Arial"/>
          <w:color w:val="000000"/>
          <w:sz w:val="19"/>
          <w:szCs w:val="19"/>
        </w:rPr>
        <w:t>“</w:t>
      </w:r>
      <w:r w:rsidRPr="0045469E">
        <w:rPr>
          <w:rFonts w:ascii="Arial" w:eastAsia="Arial" w:hAnsi="Arial" w:cs="Arial"/>
          <w:color w:val="000000"/>
          <w:sz w:val="19"/>
          <w:szCs w:val="19"/>
        </w:rPr>
        <w:t>En los procesos de contratación de obras públicas que adelanten las entidades estatales contratantes, sin importar la cuantía, deberán consultar y analizar las anotaciones vigentes que presenten las personas naturales o jurídicas, nacionales o extranjeras domiciliadas o con sucursal en Colombia, en el Registro Nacional de Obras Civiles Inconclusas</w:t>
      </w:r>
      <w:r w:rsidR="00580F7E">
        <w:rPr>
          <w:rFonts w:ascii="Arial" w:eastAsia="Arial" w:hAnsi="Arial" w:cs="Arial"/>
          <w:color w:val="000000"/>
          <w:sz w:val="19"/>
          <w:szCs w:val="19"/>
        </w:rPr>
        <w:t>”</w:t>
      </w:r>
      <w:r w:rsidRPr="0045469E">
        <w:rPr>
          <w:rFonts w:ascii="Arial" w:eastAsia="Arial" w:hAnsi="Arial" w:cs="Arial"/>
          <w:color w:val="000000"/>
          <w:sz w:val="19"/>
          <w:szCs w:val="19"/>
        </w:rPr>
        <w:t>.</w:t>
      </w:r>
    </w:p>
    <w:p w14:paraId="6F57FFD6" w14:textId="26DFCB6A" w:rsidR="001B5DC9" w:rsidRPr="0045469E" w:rsidRDefault="00580F7E" w:rsidP="001B5DC9">
      <w:pPr>
        <w:pBdr>
          <w:top w:val="nil"/>
          <w:left w:val="nil"/>
          <w:bottom w:val="nil"/>
          <w:right w:val="nil"/>
          <w:between w:val="nil"/>
        </w:pBdr>
        <w:ind w:firstLine="709"/>
        <w:contextualSpacing/>
        <w:jc w:val="both"/>
        <w:rPr>
          <w:rFonts w:ascii="Arial" w:eastAsia="Arial" w:hAnsi="Arial" w:cs="Arial"/>
          <w:color w:val="000000"/>
          <w:sz w:val="19"/>
          <w:szCs w:val="19"/>
        </w:rPr>
      </w:pPr>
      <w:r>
        <w:rPr>
          <w:rFonts w:ascii="Arial" w:eastAsia="Arial" w:hAnsi="Arial" w:cs="Arial"/>
          <w:color w:val="000000"/>
          <w:sz w:val="19"/>
          <w:szCs w:val="19"/>
        </w:rPr>
        <w:t>“</w:t>
      </w:r>
      <w:r w:rsidR="001B5DC9" w:rsidRPr="0045469E">
        <w:rPr>
          <w:rFonts w:ascii="Arial" w:eastAsia="Arial" w:hAnsi="Arial" w:cs="Arial"/>
          <w:color w:val="000000"/>
          <w:sz w:val="19"/>
          <w:szCs w:val="19"/>
        </w:rPr>
        <w:t>Durante los procesos de selección objetiva para contratistas de obra o interventores, se tendrán en cuenta las anotaciones vigentes en el Registro Nacional de Obras Civiles Inconclusas al momento de evaluar los factores de ponderación de calidad, establecidos en el literal a) del artículo 5o de la Ley 1150 de 2007 o la norma que la modifique.</w:t>
      </w:r>
    </w:p>
    <w:p w14:paraId="1DFEBA7E" w14:textId="015F9E5F" w:rsidR="001B5DC9" w:rsidRPr="0045469E" w:rsidRDefault="00580F7E" w:rsidP="001B5DC9">
      <w:pPr>
        <w:pBdr>
          <w:top w:val="nil"/>
          <w:left w:val="nil"/>
          <w:bottom w:val="nil"/>
          <w:right w:val="nil"/>
          <w:between w:val="nil"/>
        </w:pBdr>
        <w:ind w:firstLine="709"/>
        <w:contextualSpacing/>
        <w:jc w:val="both"/>
        <w:rPr>
          <w:rFonts w:ascii="Arial" w:eastAsia="Arial" w:hAnsi="Arial" w:cs="Arial"/>
          <w:color w:val="000000"/>
          <w:sz w:val="19"/>
          <w:szCs w:val="19"/>
        </w:rPr>
      </w:pPr>
      <w:r>
        <w:rPr>
          <w:rFonts w:ascii="Arial" w:eastAsia="Arial" w:hAnsi="Arial" w:cs="Arial"/>
          <w:color w:val="000000"/>
          <w:sz w:val="19"/>
          <w:szCs w:val="19"/>
        </w:rPr>
        <w:t>“</w:t>
      </w:r>
      <w:r w:rsidR="001B5DC9" w:rsidRPr="0045469E">
        <w:rPr>
          <w:rFonts w:ascii="Arial" w:eastAsia="Arial" w:hAnsi="Arial" w:cs="Arial"/>
          <w:color w:val="000000"/>
          <w:sz w:val="19"/>
          <w:szCs w:val="19"/>
        </w:rPr>
        <w:t>Cualquier controversia o solicitud que surja en relación con los reportes eje información que suministre la entidad contratante, serán resueltos por esta, atendiendo los principios y disposiciones establecidos en la normatividad vigente</w:t>
      </w:r>
      <w:r>
        <w:rPr>
          <w:rFonts w:ascii="Arial" w:eastAsia="Arial" w:hAnsi="Arial" w:cs="Arial"/>
          <w:color w:val="000000"/>
          <w:sz w:val="19"/>
          <w:szCs w:val="19"/>
        </w:rPr>
        <w:t>”</w:t>
      </w:r>
      <w:r w:rsidR="001B5DC9" w:rsidRPr="0045469E">
        <w:rPr>
          <w:rFonts w:ascii="Arial" w:eastAsia="Arial" w:hAnsi="Arial" w:cs="Arial"/>
          <w:color w:val="000000"/>
          <w:sz w:val="19"/>
          <w:szCs w:val="19"/>
        </w:rPr>
        <w:t>.</w:t>
      </w:r>
    </w:p>
    <w:p w14:paraId="50453017" w14:textId="77777777" w:rsidR="001B5DC9" w:rsidRPr="0045469E" w:rsidRDefault="001B5DC9" w:rsidP="001B5DC9">
      <w:pPr>
        <w:pBdr>
          <w:top w:val="nil"/>
          <w:left w:val="nil"/>
          <w:bottom w:val="nil"/>
          <w:right w:val="nil"/>
          <w:between w:val="nil"/>
        </w:pBdr>
        <w:ind w:firstLine="709"/>
        <w:contextualSpacing/>
        <w:jc w:val="both"/>
        <w:rPr>
          <w:rFonts w:ascii="Arial" w:eastAsia="Arial" w:hAnsi="Arial" w:cs="Arial"/>
          <w:color w:val="000000"/>
          <w:sz w:val="19"/>
          <w:szCs w:val="19"/>
        </w:rPr>
      </w:pPr>
    </w:p>
  </w:footnote>
  <w:footnote w:id="11">
    <w:p w14:paraId="0952C4AA" w14:textId="1BEE5278" w:rsidR="001B5DC9" w:rsidRPr="0045469E" w:rsidRDefault="001B5DC9" w:rsidP="001B5DC9">
      <w:pPr>
        <w:ind w:firstLine="709"/>
        <w:contextualSpacing/>
        <w:jc w:val="both"/>
        <w:rPr>
          <w:rFonts w:ascii="Arial" w:eastAsia="Arial" w:hAnsi="Arial" w:cs="Arial"/>
          <w:sz w:val="19"/>
          <w:szCs w:val="19"/>
        </w:rPr>
      </w:pPr>
      <w:r w:rsidRPr="0045469E">
        <w:rPr>
          <w:rFonts w:ascii="Arial" w:hAnsi="Arial" w:cs="Arial"/>
          <w:sz w:val="19"/>
          <w:szCs w:val="19"/>
          <w:vertAlign w:val="superscript"/>
        </w:rPr>
        <w:footnoteRef/>
      </w:r>
      <w:r w:rsidRPr="0045469E">
        <w:rPr>
          <w:rFonts w:ascii="Arial" w:eastAsia="Arial" w:hAnsi="Arial" w:cs="Arial"/>
          <w:sz w:val="19"/>
          <w:szCs w:val="19"/>
        </w:rPr>
        <w:t xml:space="preserve"> El </w:t>
      </w:r>
      <w:r w:rsidRPr="0045469E">
        <w:rPr>
          <w:rFonts w:ascii="Arial" w:eastAsia="Arial" w:hAnsi="Arial" w:cs="Arial"/>
          <w:i/>
          <w:sz w:val="19"/>
          <w:szCs w:val="19"/>
        </w:rPr>
        <w:t>principio de interpretación conforme</w:t>
      </w:r>
      <w:r w:rsidRPr="0045469E">
        <w:rPr>
          <w:rFonts w:ascii="Arial" w:eastAsia="Arial" w:hAnsi="Arial" w:cs="Arial"/>
          <w:sz w:val="19"/>
          <w:szCs w:val="19"/>
        </w:rPr>
        <w:t xml:space="preserve"> con la Constitución –en tanto </w:t>
      </w:r>
      <w:r w:rsidR="00580F7E">
        <w:rPr>
          <w:rFonts w:ascii="Arial" w:eastAsia="Arial" w:hAnsi="Arial" w:cs="Arial"/>
          <w:sz w:val="19"/>
          <w:szCs w:val="19"/>
        </w:rPr>
        <w:t>“</w:t>
      </w:r>
      <w:r w:rsidRPr="0045469E">
        <w:rPr>
          <w:rFonts w:ascii="Arial" w:eastAsia="Arial" w:hAnsi="Arial" w:cs="Arial"/>
          <w:sz w:val="19"/>
          <w:szCs w:val="19"/>
        </w:rPr>
        <w:t>norma de normas</w:t>
      </w:r>
      <w:r w:rsidR="00580F7E">
        <w:rPr>
          <w:rFonts w:ascii="Arial" w:eastAsia="Arial" w:hAnsi="Arial" w:cs="Arial"/>
          <w:sz w:val="19"/>
          <w:szCs w:val="19"/>
        </w:rPr>
        <w:t>”</w:t>
      </w:r>
      <w:r w:rsidRPr="0045469E">
        <w:rPr>
          <w:rFonts w:ascii="Arial" w:eastAsia="Arial" w:hAnsi="Arial" w:cs="Arial"/>
          <w:sz w:val="19"/>
          <w:szCs w:val="19"/>
        </w:rPr>
        <w:t xml:space="preserve">, en los términos del artículo 4 de aquella– fue explicado por la Corte Constitucional, entre otras, en la Sentencia C-054 de 2016 –expedida con ponencia de Luis Ernesto Vargas Silva–. Al respecto, el alto tribunal sostuvo que </w:t>
      </w:r>
      <w:r w:rsidR="00580F7E">
        <w:rPr>
          <w:rFonts w:ascii="Arial" w:eastAsia="Arial" w:hAnsi="Arial" w:cs="Arial"/>
          <w:sz w:val="19"/>
          <w:szCs w:val="19"/>
        </w:rPr>
        <w:t>“</w:t>
      </w:r>
      <w:r w:rsidRPr="0045469E">
        <w:rPr>
          <w:rFonts w:ascii="Arial" w:eastAsia="Arial" w:hAnsi="Arial" w:cs="Arial"/>
          <w:sz w:val="19"/>
          <w:szCs w:val="19"/>
        </w:rPr>
        <w:t>[…] el vínculo entre el origen de los métodos de interpretación y el contractualismo liberal no resta utilidad a aquellos en el marco del Estado Social y Democrático de Derecho. Esto debido a que de acuerdo con el principio de interpretación conforme, […], las normas legales, entre ellas las previstas en el Código Civil y que definen dichos métodos hermenéuticos, deben ser armonizadas con los derechos, principios y valores constitucionales</w:t>
      </w:r>
      <w:r w:rsidR="00580F7E">
        <w:rPr>
          <w:rFonts w:ascii="Arial" w:eastAsia="Arial" w:hAnsi="Arial" w:cs="Arial"/>
          <w:sz w:val="19"/>
          <w:szCs w:val="19"/>
        </w:rPr>
        <w:t>”</w:t>
      </w:r>
      <w:r w:rsidRPr="0045469E">
        <w:rPr>
          <w:rFonts w:ascii="Arial" w:eastAsia="Arial" w:hAnsi="Arial" w:cs="Arial"/>
          <w:sz w:val="19"/>
          <w:szCs w:val="19"/>
        </w:rPr>
        <w:t>.</w:t>
      </w:r>
    </w:p>
    <w:p w14:paraId="474F6D39" w14:textId="77777777" w:rsidR="001B5DC9" w:rsidRPr="0045469E" w:rsidRDefault="001B5DC9" w:rsidP="001B5DC9">
      <w:pPr>
        <w:pBdr>
          <w:top w:val="nil"/>
          <w:left w:val="nil"/>
          <w:bottom w:val="nil"/>
          <w:right w:val="nil"/>
          <w:between w:val="nil"/>
        </w:pBdr>
        <w:ind w:firstLine="709"/>
        <w:contextualSpacing/>
        <w:jc w:val="both"/>
        <w:rPr>
          <w:rFonts w:ascii="Arial" w:eastAsia="Arial" w:hAnsi="Arial" w:cs="Arial"/>
          <w:color w:val="000000"/>
          <w:sz w:val="19"/>
          <w:szCs w:val="19"/>
        </w:rPr>
      </w:pPr>
    </w:p>
  </w:footnote>
  <w:footnote w:id="12">
    <w:p w14:paraId="3CAD6818" w14:textId="77777777" w:rsidR="0097215F" w:rsidRPr="000D5EF9" w:rsidRDefault="0097215F" w:rsidP="0097215F">
      <w:pPr>
        <w:pStyle w:val="Textonotapie"/>
        <w:ind w:firstLine="709"/>
        <w:jc w:val="both"/>
        <w:rPr>
          <w:rFonts w:ascii="Arial" w:hAnsi="Arial" w:cs="Arial"/>
          <w:sz w:val="19"/>
          <w:szCs w:val="19"/>
        </w:rPr>
      </w:pPr>
      <w:r w:rsidRPr="000D5EF9">
        <w:rPr>
          <w:rStyle w:val="Refdenotaalpie"/>
          <w:rFonts w:ascii="Arial" w:hAnsi="Arial" w:cs="Arial"/>
          <w:sz w:val="19"/>
          <w:szCs w:val="19"/>
        </w:rPr>
        <w:footnoteRef/>
      </w:r>
      <w:r w:rsidRPr="000D5EF9">
        <w:rPr>
          <w:rFonts w:ascii="Arial" w:hAnsi="Arial" w:cs="Arial"/>
          <w:sz w:val="19"/>
          <w:szCs w:val="19"/>
        </w:rPr>
        <w:t xml:space="preserve"> Corte Constitucional. Sentencia C-317 de 2012. M.P. María Victoria Calle Correa. </w:t>
      </w:r>
    </w:p>
    <w:p w14:paraId="637F45F2" w14:textId="77777777" w:rsidR="0097215F" w:rsidRPr="000D5EF9" w:rsidRDefault="0097215F" w:rsidP="0097215F">
      <w:pPr>
        <w:pStyle w:val="Textonotapie"/>
        <w:ind w:firstLine="709"/>
        <w:jc w:val="both"/>
        <w:rPr>
          <w:rFonts w:ascii="Arial" w:hAnsi="Arial" w:cs="Arial"/>
          <w:sz w:val="19"/>
          <w:szCs w:val="19"/>
        </w:rPr>
      </w:pPr>
    </w:p>
  </w:footnote>
  <w:footnote w:id="13">
    <w:p w14:paraId="24AB3DF7" w14:textId="23F3E21E" w:rsidR="0097215F" w:rsidRPr="000D5EF9" w:rsidRDefault="0097215F" w:rsidP="0097215F">
      <w:pPr>
        <w:pStyle w:val="Textonotapie"/>
        <w:ind w:firstLine="709"/>
        <w:jc w:val="both"/>
        <w:rPr>
          <w:rFonts w:ascii="Arial" w:hAnsi="Arial" w:cs="Arial"/>
          <w:color w:val="000000" w:themeColor="text1"/>
          <w:sz w:val="19"/>
          <w:szCs w:val="19"/>
        </w:rPr>
      </w:pPr>
      <w:r w:rsidRPr="000D5EF9">
        <w:rPr>
          <w:rStyle w:val="Refdenotaalpie"/>
          <w:rFonts w:ascii="Arial" w:hAnsi="Arial" w:cs="Arial"/>
          <w:color w:val="000000" w:themeColor="text1"/>
          <w:sz w:val="19"/>
          <w:szCs w:val="19"/>
        </w:rPr>
        <w:footnoteRef/>
      </w:r>
      <w:r w:rsidRPr="000D5EF9">
        <w:rPr>
          <w:rFonts w:ascii="Arial" w:hAnsi="Arial" w:cs="Arial"/>
          <w:color w:val="000000" w:themeColor="text1"/>
          <w:sz w:val="19"/>
          <w:szCs w:val="19"/>
        </w:rPr>
        <w:t xml:space="preserve"> Así se desprende del primer inciso de aquel artículo, que dice: </w:t>
      </w:r>
      <w:r w:rsidR="00580F7E">
        <w:rPr>
          <w:rFonts w:ascii="Arial" w:hAnsi="Arial" w:cs="Arial"/>
          <w:color w:val="000000" w:themeColor="text1"/>
          <w:sz w:val="19"/>
          <w:szCs w:val="19"/>
        </w:rPr>
        <w:t>“</w:t>
      </w:r>
      <w:r w:rsidRPr="000D5EF9">
        <w:rPr>
          <w:rFonts w:ascii="Arial" w:hAnsi="Arial" w:cs="Arial"/>
          <w:color w:val="000000" w:themeColor="text1"/>
          <w:sz w:val="19"/>
          <w:szCs w:val="19"/>
        </w:rPr>
        <w:t>Las entidades sometidas al Estatuto General de Contratación de la Administración Pública podrán declarar el incumplimiento, cuantificando los perjuicios del mismo, imponer las multas y sanciones pactadas en el contrato, y hacer efectiva la cláusula penal. Para tal efecto observarán el siguiente procedimiento […]</w:t>
      </w:r>
      <w:r w:rsidR="00580F7E">
        <w:rPr>
          <w:rFonts w:ascii="Arial" w:hAnsi="Arial" w:cs="Arial"/>
          <w:color w:val="000000" w:themeColor="text1"/>
          <w:sz w:val="19"/>
          <w:szCs w:val="19"/>
        </w:rPr>
        <w:t>”</w:t>
      </w:r>
      <w:r w:rsidRPr="000D5EF9">
        <w:rPr>
          <w:rFonts w:ascii="Arial" w:hAnsi="Arial" w:cs="Arial"/>
          <w:color w:val="000000" w:themeColor="text1"/>
          <w:sz w:val="19"/>
          <w:szCs w:val="19"/>
        </w:rPr>
        <w:t>.</w:t>
      </w:r>
    </w:p>
    <w:p w14:paraId="5874F988" w14:textId="77777777" w:rsidR="0097215F" w:rsidRPr="000D5EF9" w:rsidRDefault="0097215F" w:rsidP="0097215F">
      <w:pPr>
        <w:pStyle w:val="Textonotapie"/>
        <w:ind w:firstLine="709"/>
        <w:jc w:val="both"/>
        <w:rPr>
          <w:rFonts w:ascii="Arial" w:hAnsi="Arial" w:cs="Arial"/>
          <w:color w:val="000000" w:themeColor="text1"/>
          <w:sz w:val="19"/>
          <w:szCs w:val="19"/>
        </w:rPr>
      </w:pPr>
    </w:p>
  </w:footnote>
  <w:footnote w:id="14">
    <w:p w14:paraId="1A95B737" w14:textId="77777777" w:rsidR="0097215F" w:rsidRPr="000D5EF9" w:rsidRDefault="0097215F" w:rsidP="0097215F">
      <w:pPr>
        <w:pStyle w:val="Textonotapie"/>
        <w:ind w:firstLine="709"/>
        <w:jc w:val="both"/>
        <w:rPr>
          <w:rFonts w:ascii="Arial" w:hAnsi="Arial" w:cs="Arial"/>
          <w:color w:val="000000" w:themeColor="text1"/>
          <w:sz w:val="19"/>
          <w:szCs w:val="19"/>
        </w:rPr>
      </w:pPr>
      <w:r w:rsidRPr="000D5EF9">
        <w:rPr>
          <w:rStyle w:val="Refdenotaalpie"/>
          <w:rFonts w:ascii="Arial" w:hAnsi="Arial" w:cs="Arial"/>
          <w:sz w:val="19"/>
          <w:szCs w:val="19"/>
        </w:rPr>
        <w:footnoteRef/>
      </w:r>
      <w:r w:rsidRPr="000D5EF9">
        <w:rPr>
          <w:rFonts w:ascii="Arial" w:hAnsi="Arial" w:cs="Arial"/>
          <w:sz w:val="19"/>
          <w:szCs w:val="19"/>
        </w:rPr>
        <w:t xml:space="preserve"> </w:t>
      </w:r>
      <w:r w:rsidRPr="000D5EF9">
        <w:rPr>
          <w:rFonts w:ascii="Arial" w:hAnsi="Arial" w:cs="Arial"/>
          <w:color w:val="000000" w:themeColor="text1"/>
          <w:sz w:val="19"/>
          <w:szCs w:val="19"/>
        </w:rPr>
        <w:t xml:space="preserve">Se entiende por entidades de </w:t>
      </w:r>
      <w:r w:rsidRPr="000D5EF9">
        <w:rPr>
          <w:rFonts w:ascii="Arial" w:hAnsi="Arial" w:cs="Arial"/>
          <w:i/>
          <w:iCs/>
          <w:color w:val="000000" w:themeColor="text1"/>
          <w:sz w:val="19"/>
          <w:szCs w:val="19"/>
        </w:rPr>
        <w:t xml:space="preserve">régimen especial </w:t>
      </w:r>
      <w:r w:rsidRPr="000D5EF9">
        <w:rPr>
          <w:rFonts w:ascii="Arial" w:hAnsi="Arial" w:cs="Arial"/>
          <w:color w:val="000000" w:themeColor="text1"/>
          <w:sz w:val="19"/>
          <w:szCs w:val="19"/>
        </w:rPr>
        <w:t>aquellas que tienen un régimen contractual distinto al Estatuto General de Contratación de la Administración Pública, y que por regla general se rigen por el derecho privado.</w:t>
      </w:r>
    </w:p>
    <w:p w14:paraId="7CA28687" w14:textId="77777777" w:rsidR="0097215F" w:rsidRPr="000D5EF9" w:rsidRDefault="0097215F" w:rsidP="0097215F">
      <w:pPr>
        <w:pStyle w:val="Textonotapie"/>
        <w:ind w:firstLine="709"/>
        <w:jc w:val="both"/>
        <w:rPr>
          <w:rFonts w:ascii="Arial" w:hAnsi="Arial" w:cs="Arial"/>
          <w:sz w:val="19"/>
          <w:szCs w:val="19"/>
          <w:lang w:val="es-CO"/>
        </w:rPr>
      </w:pPr>
    </w:p>
  </w:footnote>
  <w:footnote w:id="15">
    <w:p w14:paraId="020FE92D" w14:textId="77777777" w:rsidR="0097215F" w:rsidRPr="000D5EF9" w:rsidRDefault="0097215F" w:rsidP="0097215F">
      <w:pPr>
        <w:pStyle w:val="Textonotapie"/>
        <w:ind w:firstLine="709"/>
        <w:jc w:val="both"/>
        <w:rPr>
          <w:rFonts w:ascii="Arial" w:hAnsi="Arial" w:cs="Arial"/>
          <w:sz w:val="19"/>
          <w:szCs w:val="19"/>
          <w:lang w:val="es-CO"/>
        </w:rPr>
      </w:pPr>
      <w:r w:rsidRPr="000D5EF9">
        <w:rPr>
          <w:rStyle w:val="Refdenotaalpie"/>
          <w:rFonts w:ascii="Arial" w:hAnsi="Arial" w:cs="Arial"/>
          <w:sz w:val="19"/>
          <w:szCs w:val="19"/>
        </w:rPr>
        <w:footnoteRef/>
      </w:r>
      <w:r w:rsidRPr="000D5EF9">
        <w:rPr>
          <w:rFonts w:ascii="Arial" w:hAnsi="Arial" w:cs="Arial"/>
          <w:sz w:val="19"/>
          <w:szCs w:val="19"/>
        </w:rPr>
        <w:t xml:space="preserve"> </w:t>
      </w:r>
      <w:r w:rsidRPr="000D5EF9">
        <w:rPr>
          <w:rFonts w:ascii="Arial" w:hAnsi="Arial" w:cs="Arial"/>
          <w:color w:val="000000" w:themeColor="text1"/>
          <w:sz w:val="19"/>
          <w:szCs w:val="19"/>
        </w:rPr>
        <w:t>Esto se ha señalado en distintos conceptos de esta Subdirección, como el C-219 del 29 de abril de 2020, el C-280 del 6 de julio de 2020 y el C–434 del 29 de julio de 2020.</w:t>
      </w:r>
    </w:p>
  </w:footnote>
  <w:footnote w:id="16">
    <w:p w14:paraId="4C0F4535" w14:textId="77777777" w:rsidR="009A2C18" w:rsidRPr="003766A0" w:rsidRDefault="009A2C18" w:rsidP="009A2C18">
      <w:pPr>
        <w:pStyle w:val="Textonotapie"/>
        <w:ind w:firstLine="708"/>
        <w:jc w:val="both"/>
        <w:rPr>
          <w:rFonts w:ascii="Arial" w:eastAsia="Calibri" w:hAnsi="Arial" w:cs="Arial"/>
          <w:color w:val="000000" w:themeColor="text1"/>
          <w:sz w:val="19"/>
          <w:szCs w:val="19"/>
          <w:lang w:val="es-ES_tradnl"/>
        </w:rPr>
      </w:pPr>
      <w:r w:rsidRPr="003766A0">
        <w:rPr>
          <w:rStyle w:val="Refdenotaalpie"/>
          <w:color w:val="000000" w:themeColor="text1"/>
        </w:rPr>
        <w:footnoteRef/>
      </w:r>
      <w:r w:rsidRPr="003766A0">
        <w:rPr>
          <w:color w:val="000000" w:themeColor="text1"/>
        </w:rPr>
        <w:t xml:space="preserve"> </w:t>
      </w:r>
      <w:r w:rsidRPr="003766A0">
        <w:rPr>
          <w:rFonts w:ascii="Arial" w:eastAsia="Calibri" w:hAnsi="Arial" w:cs="Arial"/>
          <w:color w:val="000000" w:themeColor="text1"/>
          <w:sz w:val="19"/>
          <w:szCs w:val="19"/>
          <w:lang w:val="es-ES_tradnl"/>
        </w:rPr>
        <w:t xml:space="preserve">Esta norma dispone que </w:t>
      </w:r>
      <w:r>
        <w:rPr>
          <w:rFonts w:ascii="Arial" w:eastAsia="Calibri" w:hAnsi="Arial" w:cs="Arial"/>
          <w:color w:val="000000" w:themeColor="text1"/>
          <w:sz w:val="19"/>
          <w:szCs w:val="19"/>
          <w:lang w:val="es-ES_tradnl"/>
        </w:rPr>
        <w:t>“</w:t>
      </w:r>
      <w:r w:rsidRPr="003766A0">
        <w:rPr>
          <w:rFonts w:ascii="Arial" w:eastAsia="Calibri" w:hAnsi="Arial" w:cs="Arial"/>
          <w:color w:val="000000" w:themeColor="text1"/>
          <w:sz w:val="19"/>
          <w:szCs w:val="19"/>
          <w:lang w:val="es-ES_tradnl"/>
        </w:rPr>
        <w:t xml:space="preserve">Los contratos para construcción de edificios, celebrados con un empresario que se encarga de toda la obra por un precio único prefijado, se sujetan además a las reglas siguientes: </w:t>
      </w:r>
    </w:p>
    <w:p w14:paraId="00DED1E8" w14:textId="77777777" w:rsidR="009A2C18" w:rsidRPr="003766A0" w:rsidRDefault="009A2C18" w:rsidP="009A2C18">
      <w:pPr>
        <w:pStyle w:val="Textonotapie"/>
        <w:ind w:firstLine="708"/>
        <w:jc w:val="both"/>
        <w:rPr>
          <w:rFonts w:ascii="Arial" w:eastAsia="Calibri" w:hAnsi="Arial" w:cs="Arial"/>
          <w:color w:val="000000" w:themeColor="text1"/>
          <w:sz w:val="19"/>
          <w:szCs w:val="19"/>
          <w:lang w:val="es-ES_tradnl"/>
        </w:rPr>
      </w:pPr>
      <w:r w:rsidRPr="003766A0">
        <w:rPr>
          <w:rFonts w:ascii="Arial" w:eastAsia="Calibri" w:hAnsi="Arial" w:cs="Arial"/>
          <w:color w:val="000000" w:themeColor="text1"/>
          <w:sz w:val="19"/>
          <w:szCs w:val="19"/>
          <w:lang w:val="es-ES_tradnl"/>
        </w:rPr>
        <w:t xml:space="preserve">[…] </w:t>
      </w:r>
    </w:p>
    <w:p w14:paraId="7F2767FA" w14:textId="77777777" w:rsidR="009A2C18" w:rsidRPr="003766A0" w:rsidRDefault="009A2C18" w:rsidP="009A2C18">
      <w:pPr>
        <w:pStyle w:val="Textonotapie"/>
        <w:ind w:firstLine="708"/>
        <w:jc w:val="both"/>
        <w:rPr>
          <w:color w:val="000000" w:themeColor="text1"/>
        </w:rPr>
      </w:pPr>
      <w:r>
        <w:rPr>
          <w:rFonts w:ascii="Arial" w:eastAsia="Calibri" w:hAnsi="Arial" w:cs="Arial"/>
          <w:color w:val="000000" w:themeColor="text1"/>
          <w:sz w:val="19"/>
          <w:szCs w:val="19"/>
          <w:lang w:val="es-ES_tradnl"/>
        </w:rPr>
        <w:t>“</w:t>
      </w:r>
      <w:r w:rsidRPr="003766A0">
        <w:rPr>
          <w:rFonts w:ascii="Arial" w:eastAsia="Calibri" w:hAnsi="Arial" w:cs="Arial"/>
          <w:color w:val="000000" w:themeColor="text1"/>
          <w:sz w:val="19"/>
          <w:szCs w:val="19"/>
          <w:lang w:val="es-ES_tradnl"/>
        </w:rPr>
        <w:t xml:space="preserve">3. Si el edificio perece o amenaza ruina, en todo o parte, en los diez años subsiguientes a su entrega, por vicio de la construcción, o por vicio del suelo que el empresario o las personas empleadas por él hayan debido conocer </w:t>
      </w:r>
      <w:r w:rsidRPr="003766A0">
        <w:rPr>
          <w:rFonts w:ascii="Arial" w:eastAsia="Calibri" w:hAnsi="Arial" w:cs="Arial"/>
          <w:color w:val="000000" w:themeColor="text1"/>
          <w:sz w:val="19"/>
          <w:szCs w:val="19"/>
          <w:lang w:val="es-ES_tradnl"/>
        </w:rPr>
        <w:t>en razón de su oficio, o por vicio de los materiales, será responsable el empresario; si los materiales han sido suministrados por el dueño, no habrá lugar a la responsabilidad del empresario sino en conformidad al artículo 2041,2057 inciso final […]</w:t>
      </w:r>
      <w:r>
        <w:rPr>
          <w:rFonts w:ascii="Arial" w:eastAsia="Calibri" w:hAnsi="Arial" w:cs="Arial"/>
          <w:color w:val="000000" w:themeColor="text1"/>
          <w:sz w:val="19"/>
          <w:szCs w:val="19"/>
          <w:lang w:val="es-ES_tradnl"/>
        </w:rPr>
        <w:t>”</w:t>
      </w:r>
      <w:r w:rsidRPr="003766A0">
        <w:rPr>
          <w:rFonts w:ascii="Arial" w:eastAsia="Calibri" w:hAnsi="Arial" w:cs="Arial"/>
          <w:color w:val="000000" w:themeColor="text1"/>
          <w:sz w:val="19"/>
          <w:szCs w:val="19"/>
          <w:lang w:val="es-ES_tradnl"/>
        </w:rPr>
        <w:t>.</w:t>
      </w:r>
    </w:p>
    <w:p w14:paraId="25CCD297" w14:textId="77777777" w:rsidR="009A2C18" w:rsidRPr="003766A0" w:rsidRDefault="009A2C18" w:rsidP="009A2C18">
      <w:pPr>
        <w:pStyle w:val="Textonotapie"/>
        <w:ind w:firstLine="708"/>
        <w:jc w:val="both"/>
        <w:rPr>
          <w:color w:val="000000" w:themeColor="text1"/>
          <w:lang w:val="es-ES"/>
        </w:rPr>
      </w:pPr>
    </w:p>
  </w:footnote>
  <w:footnote w:id="17">
    <w:p w14:paraId="42B4DA3E" w14:textId="77777777" w:rsidR="0097215F" w:rsidRPr="000D5EF9" w:rsidRDefault="0097215F" w:rsidP="0097215F">
      <w:pPr>
        <w:pStyle w:val="Textonotapie"/>
        <w:ind w:firstLine="709"/>
        <w:jc w:val="both"/>
        <w:rPr>
          <w:rFonts w:ascii="Arial" w:eastAsia="Calibri" w:hAnsi="Arial" w:cs="Arial"/>
          <w:color w:val="000000" w:themeColor="text1"/>
          <w:sz w:val="19"/>
          <w:szCs w:val="19"/>
          <w:lang w:val="es-ES_tradnl"/>
        </w:rPr>
      </w:pPr>
      <w:r w:rsidRPr="000D5EF9">
        <w:rPr>
          <w:rStyle w:val="Refdenotaalpie"/>
          <w:rFonts w:ascii="Arial" w:hAnsi="Arial" w:cs="Arial"/>
          <w:color w:val="000000" w:themeColor="text1"/>
          <w:sz w:val="19"/>
          <w:szCs w:val="19"/>
        </w:rPr>
        <w:footnoteRef/>
      </w:r>
      <w:r w:rsidRPr="000D5EF9">
        <w:rPr>
          <w:rFonts w:ascii="Arial" w:hAnsi="Arial" w:cs="Arial"/>
          <w:color w:val="000000" w:themeColor="text1"/>
          <w:sz w:val="19"/>
          <w:szCs w:val="19"/>
        </w:rPr>
        <w:t xml:space="preserve"> </w:t>
      </w:r>
      <w:r w:rsidRPr="000D5EF9">
        <w:rPr>
          <w:rFonts w:ascii="Arial" w:eastAsia="Calibri" w:hAnsi="Arial" w:cs="Arial"/>
          <w:color w:val="000000" w:themeColor="text1"/>
          <w:sz w:val="19"/>
          <w:szCs w:val="19"/>
          <w:lang w:val="es-ES_tradnl"/>
        </w:rPr>
        <w:t>Cfr.</w:t>
      </w:r>
      <w:r w:rsidRPr="000D5EF9">
        <w:rPr>
          <w:rFonts w:ascii="Arial" w:hAnsi="Arial" w:cs="Arial"/>
          <w:color w:val="000000" w:themeColor="text1"/>
          <w:sz w:val="19"/>
          <w:szCs w:val="19"/>
        </w:rPr>
        <w:t xml:space="preserve"> </w:t>
      </w:r>
      <w:r w:rsidRPr="000D5EF9">
        <w:rPr>
          <w:rFonts w:ascii="Arial" w:eastAsia="Calibri" w:hAnsi="Arial" w:cs="Arial"/>
          <w:color w:val="000000" w:themeColor="text1"/>
          <w:sz w:val="19"/>
          <w:szCs w:val="19"/>
          <w:lang w:val="es-ES_tradnl"/>
        </w:rPr>
        <w:t xml:space="preserve">CONSEJO DE ESTADO. Sección Tercera. Subsección B. Sentencia del 30 de noviembre de 2016. Rad. 29.368. C.P. Ramiro Pazos Guerrero; Subsección B. Sentencia del 5 de diciembre de 2016. Rad. 35.057. C.P. Ramiro Pazos Guerrero; Subsección A. Sentencia del 27 de noviembre de 2013. Rad. 25.742. C.P. Mauricio Fajardo Gómez; Subsección C. Sentencia del 7 de junio de 2012. Rad. 22.899. C.P. Olga </w:t>
      </w:r>
      <w:r w:rsidRPr="000D5EF9">
        <w:rPr>
          <w:rFonts w:ascii="Arial" w:eastAsia="Calibri" w:hAnsi="Arial" w:cs="Arial"/>
          <w:color w:val="000000" w:themeColor="text1"/>
          <w:sz w:val="19"/>
          <w:szCs w:val="19"/>
          <w:lang w:val="es-ES_tradnl"/>
        </w:rPr>
        <w:t>Melida Valle de De La Hoz, entre otras.</w:t>
      </w:r>
    </w:p>
    <w:p w14:paraId="2F2558D6" w14:textId="77777777" w:rsidR="0097215F" w:rsidRPr="000D5EF9" w:rsidRDefault="0097215F" w:rsidP="0097215F">
      <w:pPr>
        <w:pStyle w:val="Textonotapie"/>
        <w:ind w:firstLine="709"/>
        <w:jc w:val="both"/>
        <w:rPr>
          <w:rFonts w:ascii="Arial" w:hAnsi="Arial" w:cs="Arial"/>
          <w:color w:val="000000" w:themeColor="text1"/>
          <w:sz w:val="19"/>
          <w:szCs w:val="19"/>
        </w:rPr>
      </w:pPr>
    </w:p>
  </w:footnote>
  <w:footnote w:id="18">
    <w:p w14:paraId="46CDDB30" w14:textId="06780C23" w:rsidR="0097215F" w:rsidRPr="000D5EF9" w:rsidRDefault="0097215F" w:rsidP="0097215F">
      <w:pPr>
        <w:pStyle w:val="Textonotapie"/>
        <w:ind w:firstLine="709"/>
        <w:jc w:val="both"/>
        <w:rPr>
          <w:rFonts w:ascii="Arial" w:hAnsi="Arial" w:cs="Arial"/>
          <w:color w:val="000000" w:themeColor="text1"/>
          <w:sz w:val="19"/>
          <w:szCs w:val="19"/>
        </w:rPr>
      </w:pPr>
      <w:r w:rsidRPr="000D5EF9">
        <w:rPr>
          <w:rStyle w:val="Refdenotaalpie"/>
          <w:rFonts w:ascii="Arial" w:hAnsi="Arial" w:cs="Arial"/>
          <w:color w:val="000000" w:themeColor="text1"/>
          <w:sz w:val="19"/>
          <w:szCs w:val="19"/>
        </w:rPr>
        <w:footnoteRef/>
      </w:r>
      <w:r w:rsidRPr="000D5EF9">
        <w:rPr>
          <w:rFonts w:ascii="Arial" w:hAnsi="Arial" w:cs="Arial"/>
          <w:color w:val="000000" w:themeColor="text1"/>
          <w:sz w:val="19"/>
          <w:szCs w:val="19"/>
        </w:rPr>
        <w:t xml:space="preserve"> </w:t>
      </w:r>
      <w:r w:rsidRPr="000D5EF9">
        <w:rPr>
          <w:rFonts w:ascii="Arial" w:eastAsia="Calibri" w:hAnsi="Arial" w:cs="Arial"/>
          <w:color w:val="000000" w:themeColor="text1"/>
          <w:sz w:val="19"/>
          <w:szCs w:val="19"/>
          <w:lang w:val="es-ES_tradnl"/>
        </w:rPr>
        <w:t xml:space="preserve">En esta medida, recibida la obra, no es posible alegar la inejecución de las obligaciones a cargo del contratista, pues la recepción </w:t>
      </w:r>
      <w:r w:rsidR="00580F7E">
        <w:rPr>
          <w:rFonts w:ascii="Arial" w:eastAsia="Calibri" w:hAnsi="Arial" w:cs="Arial"/>
          <w:color w:val="000000" w:themeColor="text1"/>
          <w:sz w:val="19"/>
          <w:szCs w:val="19"/>
          <w:lang w:val="es-ES_tradnl"/>
        </w:rPr>
        <w:t>“</w:t>
      </w:r>
      <w:r w:rsidRPr="000D5EF9">
        <w:rPr>
          <w:rFonts w:ascii="Arial" w:eastAsia="Calibri" w:hAnsi="Arial" w:cs="Arial"/>
          <w:color w:val="000000" w:themeColor="text1"/>
          <w:sz w:val="19"/>
          <w:szCs w:val="19"/>
          <w:lang w:val="es-ES_tradnl"/>
        </w:rPr>
        <w:t>[…] es un acto jurídico y patrimonial, por el cual “el comitente acepta la entrega de la obra ejecutada” y “declara extinguida la obligación de hacer que debía cumplir el constructor”. Esta extinción, en la medida en que el comitente no manifieste reservas acerca de su alcance, implica la conformidad total y definitiva con la obra o con su producto, incluso en relación con el plazo de ejecución. Es la culminación del contrato desde el punto de vista del objeto perseguido por el comitente al celebrarlo. Es también la consumación plena de las obligaciones asumidas por el constructor</w:t>
      </w:r>
      <w:r w:rsidR="00580F7E">
        <w:rPr>
          <w:rFonts w:ascii="Arial" w:eastAsia="Calibri" w:hAnsi="Arial" w:cs="Arial"/>
          <w:color w:val="000000" w:themeColor="text1"/>
          <w:sz w:val="19"/>
          <w:szCs w:val="19"/>
          <w:lang w:val="es-ES_tradnl"/>
        </w:rPr>
        <w:t>”</w:t>
      </w:r>
      <w:r w:rsidRPr="000D5EF9">
        <w:rPr>
          <w:rFonts w:ascii="Arial" w:eastAsia="Calibri" w:hAnsi="Arial" w:cs="Arial"/>
          <w:color w:val="000000" w:themeColor="text1"/>
          <w:sz w:val="19"/>
          <w:szCs w:val="19"/>
          <w:lang w:val="es-ES_tradnl"/>
        </w:rPr>
        <w:t xml:space="preserve"> (PODETTI, Humberto. El contrato de construcción. Buenos Aires: Editorial Astrea, 2004, p. 446).</w:t>
      </w:r>
      <w:r w:rsidRPr="000D5EF9">
        <w:rPr>
          <w:rFonts w:ascii="Arial" w:hAnsi="Arial" w:cs="Arial"/>
          <w:color w:val="000000" w:themeColor="text1"/>
          <w:sz w:val="19"/>
          <w:szCs w:val="19"/>
        </w:rPr>
        <w:t xml:space="preserve">   </w:t>
      </w:r>
    </w:p>
    <w:p w14:paraId="625EAB49" w14:textId="77777777" w:rsidR="0097215F" w:rsidRPr="000D5EF9" w:rsidRDefault="0097215F" w:rsidP="0097215F">
      <w:pPr>
        <w:pStyle w:val="Textonotapie"/>
        <w:ind w:firstLine="709"/>
        <w:jc w:val="both"/>
        <w:rPr>
          <w:rFonts w:ascii="Arial" w:hAnsi="Arial" w:cs="Arial"/>
          <w:color w:val="000000" w:themeColor="text1"/>
          <w:sz w:val="19"/>
          <w:szCs w:val="19"/>
          <w:lang w:val="es-ES"/>
        </w:rPr>
      </w:pPr>
      <w:r w:rsidRPr="000D5EF9">
        <w:rPr>
          <w:rFonts w:ascii="Arial" w:hAnsi="Arial" w:cs="Arial"/>
          <w:color w:val="000000" w:themeColor="text1"/>
          <w:sz w:val="19"/>
          <w:szCs w:val="19"/>
        </w:rPr>
        <w:t xml:space="preserve">  </w:t>
      </w:r>
    </w:p>
  </w:footnote>
  <w:footnote w:id="19">
    <w:p w14:paraId="64DDEA1B" w14:textId="77777777" w:rsidR="0097215F" w:rsidRPr="000D5EF9" w:rsidRDefault="0097215F" w:rsidP="0097215F">
      <w:pPr>
        <w:pStyle w:val="Textonotapie"/>
        <w:ind w:firstLine="709"/>
        <w:jc w:val="both"/>
        <w:rPr>
          <w:rFonts w:ascii="Arial" w:eastAsia="Calibri" w:hAnsi="Arial" w:cs="Arial"/>
          <w:color w:val="000000" w:themeColor="text1"/>
          <w:sz w:val="19"/>
          <w:szCs w:val="19"/>
          <w:lang w:val="es-ES_tradnl"/>
        </w:rPr>
      </w:pPr>
      <w:r w:rsidRPr="000D5EF9">
        <w:rPr>
          <w:rStyle w:val="Refdenotaalpie"/>
          <w:rFonts w:ascii="Arial" w:hAnsi="Arial" w:cs="Arial"/>
          <w:color w:val="000000" w:themeColor="text1"/>
          <w:sz w:val="19"/>
          <w:szCs w:val="19"/>
        </w:rPr>
        <w:footnoteRef/>
      </w:r>
      <w:r w:rsidRPr="000D5EF9">
        <w:rPr>
          <w:rFonts w:ascii="Arial" w:hAnsi="Arial" w:cs="Arial"/>
          <w:color w:val="000000" w:themeColor="text1"/>
          <w:sz w:val="19"/>
          <w:szCs w:val="19"/>
        </w:rPr>
        <w:t xml:space="preserve"> </w:t>
      </w:r>
      <w:r w:rsidRPr="000D5EF9">
        <w:rPr>
          <w:rFonts w:ascii="Arial" w:eastAsia="Calibri" w:hAnsi="Arial" w:cs="Arial"/>
          <w:color w:val="000000" w:themeColor="text1"/>
          <w:sz w:val="19"/>
          <w:szCs w:val="19"/>
          <w:lang w:val="es-ES_tradnl"/>
        </w:rPr>
        <w:t>CONSEJO DE ESTADO. Sección Tercera. Sentencia del 23 de junio de 2010. Rad. 16.367. C.P. Enrique Gil Botero. En el mismo sentido, Subsección C. Sentencia del 30 de marzo de 2011. Rad. 20.917. C.P. Enrique Gil Botero, Subsección A. Sentencia del 29 de mayo de 2014. Rad. 27.721. C.P. Hernán Andrade Rincón, Subsección B. Sentencia del 7 de septiembre de 2015. Rad. 45.907. C.P. Jaime Orlando Santofimio Gamboa. Posición contraria, Subsección B. Sentencia del 26 de agosto de 2019. Rad. 44.170. C.P. Alberto Montaña Plata.</w:t>
      </w:r>
    </w:p>
    <w:p w14:paraId="306AFECD" w14:textId="77777777" w:rsidR="0097215F" w:rsidRPr="000D5EF9" w:rsidRDefault="0097215F" w:rsidP="0097215F">
      <w:pPr>
        <w:pStyle w:val="Textonotapie"/>
        <w:ind w:firstLine="709"/>
        <w:jc w:val="both"/>
        <w:rPr>
          <w:rFonts w:ascii="Arial" w:hAnsi="Arial" w:cs="Arial"/>
          <w:color w:val="000000" w:themeColor="text1"/>
          <w:sz w:val="19"/>
          <w:szCs w:val="19"/>
          <w:lang w:val="es-ES"/>
        </w:rPr>
      </w:pPr>
    </w:p>
  </w:footnote>
  <w:footnote w:id="20">
    <w:p w14:paraId="13BDD505" w14:textId="4271CD2E" w:rsidR="0097215F" w:rsidRPr="000D5EF9" w:rsidRDefault="0097215F" w:rsidP="0097215F">
      <w:pPr>
        <w:pStyle w:val="Textonotapie"/>
        <w:ind w:firstLine="709"/>
        <w:jc w:val="both"/>
        <w:rPr>
          <w:rFonts w:ascii="Arial" w:eastAsia="Calibri" w:hAnsi="Arial" w:cs="Arial"/>
          <w:color w:val="000000" w:themeColor="text1"/>
          <w:sz w:val="19"/>
          <w:szCs w:val="19"/>
          <w:lang w:val="es-ES_tradnl"/>
        </w:rPr>
      </w:pPr>
      <w:r w:rsidRPr="000D5EF9">
        <w:rPr>
          <w:rStyle w:val="Refdenotaalpie"/>
          <w:rFonts w:ascii="Arial" w:hAnsi="Arial" w:cs="Arial"/>
          <w:color w:val="000000" w:themeColor="text1"/>
          <w:sz w:val="19"/>
          <w:szCs w:val="19"/>
        </w:rPr>
        <w:footnoteRef/>
      </w:r>
      <w:r w:rsidRPr="000D5EF9">
        <w:rPr>
          <w:rFonts w:ascii="Arial" w:hAnsi="Arial" w:cs="Arial"/>
          <w:color w:val="000000" w:themeColor="text1"/>
          <w:sz w:val="19"/>
          <w:szCs w:val="19"/>
        </w:rPr>
        <w:t xml:space="preserve"> </w:t>
      </w:r>
      <w:r w:rsidRPr="000D5EF9">
        <w:rPr>
          <w:rFonts w:ascii="Arial" w:eastAsia="Calibri" w:hAnsi="Arial" w:cs="Arial"/>
          <w:color w:val="000000" w:themeColor="text1"/>
          <w:sz w:val="19"/>
          <w:szCs w:val="19"/>
          <w:lang w:val="es-ES_tradnl"/>
        </w:rPr>
        <w:t xml:space="preserve">Allí se dispone lo siguiente: </w:t>
      </w:r>
      <w:r w:rsidR="00580F7E">
        <w:rPr>
          <w:rFonts w:ascii="Arial" w:eastAsia="Calibri" w:hAnsi="Arial" w:cs="Arial"/>
          <w:color w:val="000000" w:themeColor="text1"/>
          <w:sz w:val="19"/>
          <w:szCs w:val="19"/>
          <w:lang w:val="es-ES_tradnl"/>
        </w:rPr>
        <w:t>“</w:t>
      </w:r>
      <w:r w:rsidRPr="000D5EF9">
        <w:rPr>
          <w:rFonts w:ascii="Arial" w:eastAsia="Calibri" w:hAnsi="Arial" w:cs="Arial"/>
          <w:color w:val="000000" w:themeColor="text1"/>
          <w:sz w:val="19"/>
          <w:szCs w:val="19"/>
          <w:lang w:val="es-ES_tradnl"/>
        </w:rPr>
        <w:t xml:space="preserve">Artículo 77. En cuanto sean compatibles con la finalidad y los principios de esta ley, las normas que rigen los procedimientos y actuaciones en la función </w:t>
      </w:r>
      <w:r w:rsidRPr="000D5EF9">
        <w:rPr>
          <w:rFonts w:ascii="Arial" w:eastAsia="Calibri" w:hAnsi="Arial" w:cs="Arial"/>
          <w:color w:val="000000" w:themeColor="text1"/>
          <w:sz w:val="19"/>
          <w:szCs w:val="19"/>
          <w:lang w:val="es-ES_tradnl"/>
        </w:rPr>
        <w:t>administrativa, serán aplicables en las actuaciones contractuales. A falta de estas, regirán las disposiciones del Código de Procedimiento Civil</w:t>
      </w:r>
      <w:r w:rsidR="00580F7E">
        <w:rPr>
          <w:rFonts w:ascii="Arial" w:eastAsia="Calibri" w:hAnsi="Arial" w:cs="Arial"/>
          <w:color w:val="000000" w:themeColor="text1"/>
          <w:sz w:val="19"/>
          <w:szCs w:val="19"/>
          <w:lang w:val="es-ES_tradnl"/>
        </w:rPr>
        <w:t>”</w:t>
      </w:r>
      <w:r w:rsidRPr="000D5EF9">
        <w:rPr>
          <w:rFonts w:ascii="Arial" w:eastAsia="Calibri" w:hAnsi="Arial" w:cs="Arial"/>
          <w:color w:val="000000" w:themeColor="text1"/>
          <w:sz w:val="19"/>
          <w:szCs w:val="19"/>
          <w:lang w:val="es-ES_tradnl"/>
        </w:rPr>
        <w:t>.</w:t>
      </w:r>
    </w:p>
    <w:p w14:paraId="74A1CC6C" w14:textId="77777777" w:rsidR="0097215F" w:rsidRPr="000D5EF9" w:rsidRDefault="0097215F" w:rsidP="0097215F">
      <w:pPr>
        <w:pStyle w:val="Textonotapie"/>
        <w:ind w:firstLine="709"/>
        <w:jc w:val="both"/>
        <w:rPr>
          <w:rFonts w:ascii="Arial" w:eastAsia="Calibri" w:hAnsi="Arial" w:cs="Arial"/>
          <w:color w:val="000000" w:themeColor="text1"/>
          <w:sz w:val="19"/>
          <w:szCs w:val="19"/>
          <w:lang w:val="es-ES_tradnl"/>
        </w:rPr>
      </w:pPr>
    </w:p>
  </w:footnote>
  <w:footnote w:id="21">
    <w:p w14:paraId="7E2C407E" w14:textId="045CD511" w:rsidR="0097215F" w:rsidRPr="000D5EF9" w:rsidRDefault="0097215F" w:rsidP="0097215F">
      <w:pPr>
        <w:pStyle w:val="Textonotapie"/>
        <w:ind w:firstLine="709"/>
        <w:jc w:val="both"/>
        <w:rPr>
          <w:rFonts w:ascii="Arial" w:eastAsia="Calibri" w:hAnsi="Arial" w:cs="Arial"/>
          <w:color w:val="000000" w:themeColor="text1"/>
          <w:sz w:val="19"/>
          <w:szCs w:val="19"/>
          <w:lang w:val="es-ES_tradnl"/>
        </w:rPr>
      </w:pPr>
      <w:r w:rsidRPr="000D5EF9">
        <w:rPr>
          <w:rStyle w:val="Refdenotaalpie"/>
          <w:rFonts w:ascii="Arial" w:hAnsi="Arial" w:cs="Arial"/>
          <w:color w:val="000000" w:themeColor="text1"/>
          <w:sz w:val="19"/>
          <w:szCs w:val="19"/>
        </w:rPr>
        <w:footnoteRef/>
      </w:r>
      <w:r w:rsidRPr="000D5EF9">
        <w:rPr>
          <w:rFonts w:ascii="Arial" w:hAnsi="Arial" w:cs="Arial"/>
          <w:color w:val="000000" w:themeColor="text1"/>
          <w:sz w:val="19"/>
          <w:szCs w:val="19"/>
        </w:rPr>
        <w:t xml:space="preserve"> </w:t>
      </w:r>
      <w:r w:rsidRPr="000D5EF9">
        <w:rPr>
          <w:rFonts w:ascii="Arial" w:eastAsia="Calibri" w:hAnsi="Arial" w:cs="Arial"/>
          <w:color w:val="000000" w:themeColor="text1"/>
          <w:sz w:val="19"/>
          <w:szCs w:val="19"/>
          <w:lang w:val="es-ES_tradnl"/>
        </w:rPr>
        <w:t xml:space="preserve">Para estos efectos, el artículo 1081 del Código de Comercio dispone que </w:t>
      </w:r>
      <w:r w:rsidR="00580F7E">
        <w:rPr>
          <w:rFonts w:ascii="Arial" w:eastAsia="Calibri" w:hAnsi="Arial" w:cs="Arial"/>
          <w:color w:val="000000" w:themeColor="text1"/>
          <w:sz w:val="19"/>
          <w:szCs w:val="19"/>
          <w:lang w:val="es-ES_tradnl"/>
        </w:rPr>
        <w:t>“</w:t>
      </w:r>
      <w:r w:rsidRPr="000D5EF9">
        <w:rPr>
          <w:rFonts w:ascii="Arial" w:eastAsia="Calibri" w:hAnsi="Arial" w:cs="Arial"/>
          <w:color w:val="000000" w:themeColor="text1"/>
          <w:sz w:val="19"/>
          <w:szCs w:val="19"/>
          <w:lang w:val="es-ES_tradnl"/>
        </w:rPr>
        <w:t>La prescripción de las acciones que se derivan del contrato de seguro o de las disposiciones que lo rigen podrá ser ordinaria o extraordinaria.</w:t>
      </w:r>
    </w:p>
    <w:p w14:paraId="02B32C52" w14:textId="04FDA0D5" w:rsidR="0097215F" w:rsidRPr="000D5EF9" w:rsidRDefault="00580F7E" w:rsidP="0097215F">
      <w:pPr>
        <w:pStyle w:val="Textonotapie"/>
        <w:ind w:firstLine="709"/>
        <w:jc w:val="both"/>
        <w:rPr>
          <w:rFonts w:ascii="Arial" w:eastAsia="Calibri" w:hAnsi="Arial" w:cs="Arial"/>
          <w:color w:val="000000" w:themeColor="text1"/>
          <w:sz w:val="19"/>
          <w:szCs w:val="19"/>
          <w:lang w:val="es-ES_tradnl"/>
        </w:rPr>
      </w:pPr>
      <w:r>
        <w:rPr>
          <w:rFonts w:ascii="Arial" w:eastAsia="Calibri" w:hAnsi="Arial" w:cs="Arial"/>
          <w:color w:val="000000" w:themeColor="text1"/>
          <w:sz w:val="19"/>
          <w:szCs w:val="19"/>
          <w:lang w:val="es-ES_tradnl"/>
        </w:rPr>
        <w:t>“</w:t>
      </w:r>
      <w:r w:rsidR="0097215F" w:rsidRPr="000D5EF9">
        <w:rPr>
          <w:rFonts w:ascii="Arial" w:eastAsia="Calibri" w:hAnsi="Arial" w:cs="Arial"/>
          <w:color w:val="000000" w:themeColor="text1"/>
          <w:sz w:val="19"/>
          <w:szCs w:val="19"/>
          <w:lang w:val="es-ES_tradnl"/>
        </w:rPr>
        <w:t>La prescripción ordinaria será de dos años y empezará a correr desde el momento en que el interesado haya tenido o debido tener conocimiento del hecho que da base a la acción.</w:t>
      </w:r>
    </w:p>
    <w:p w14:paraId="2EB7F3B9" w14:textId="23089585" w:rsidR="0097215F" w:rsidRPr="000D5EF9" w:rsidRDefault="00580F7E" w:rsidP="0097215F">
      <w:pPr>
        <w:pStyle w:val="Textonotapie"/>
        <w:ind w:firstLine="709"/>
        <w:jc w:val="both"/>
        <w:rPr>
          <w:rFonts w:ascii="Arial" w:eastAsia="Calibri" w:hAnsi="Arial" w:cs="Arial"/>
          <w:color w:val="000000" w:themeColor="text1"/>
          <w:sz w:val="19"/>
          <w:szCs w:val="19"/>
          <w:lang w:val="es-ES_tradnl"/>
        </w:rPr>
      </w:pPr>
      <w:r>
        <w:rPr>
          <w:rFonts w:ascii="Arial" w:eastAsia="Calibri" w:hAnsi="Arial" w:cs="Arial"/>
          <w:color w:val="000000" w:themeColor="text1"/>
          <w:sz w:val="19"/>
          <w:szCs w:val="19"/>
          <w:lang w:val="es-ES_tradnl"/>
        </w:rPr>
        <w:t>“</w:t>
      </w:r>
      <w:r w:rsidR="0097215F" w:rsidRPr="000D5EF9">
        <w:rPr>
          <w:rFonts w:ascii="Arial" w:eastAsia="Calibri" w:hAnsi="Arial" w:cs="Arial"/>
          <w:color w:val="000000" w:themeColor="text1"/>
          <w:sz w:val="19"/>
          <w:szCs w:val="19"/>
          <w:lang w:val="es-ES_tradnl"/>
        </w:rPr>
        <w:t>La prescripción extraordinaria será de cinco años, correrá contra toda clase de personas y empezará a contarse desde el momento en que nace el respectivo derecho.</w:t>
      </w:r>
    </w:p>
    <w:p w14:paraId="620DC0F2" w14:textId="2EFFA5A4" w:rsidR="0097215F" w:rsidRPr="000D5EF9" w:rsidRDefault="00580F7E" w:rsidP="0097215F">
      <w:pPr>
        <w:pStyle w:val="Textonotapie"/>
        <w:ind w:firstLine="709"/>
        <w:jc w:val="both"/>
        <w:rPr>
          <w:rFonts w:ascii="Arial" w:eastAsia="Calibri" w:hAnsi="Arial" w:cs="Arial"/>
          <w:color w:val="000000" w:themeColor="text1"/>
          <w:sz w:val="19"/>
          <w:szCs w:val="19"/>
          <w:lang w:val="es-ES_tradnl"/>
        </w:rPr>
      </w:pPr>
      <w:r>
        <w:rPr>
          <w:rFonts w:ascii="Arial" w:eastAsia="Calibri" w:hAnsi="Arial" w:cs="Arial"/>
          <w:color w:val="000000" w:themeColor="text1"/>
          <w:sz w:val="19"/>
          <w:szCs w:val="19"/>
          <w:lang w:val="es-ES_tradnl"/>
        </w:rPr>
        <w:t>“</w:t>
      </w:r>
      <w:r w:rsidR="0097215F" w:rsidRPr="000D5EF9">
        <w:rPr>
          <w:rFonts w:ascii="Arial" w:eastAsia="Calibri" w:hAnsi="Arial" w:cs="Arial"/>
          <w:color w:val="000000" w:themeColor="text1"/>
          <w:sz w:val="19"/>
          <w:szCs w:val="19"/>
          <w:lang w:val="es-ES_tradnl"/>
        </w:rPr>
        <w:t>Estos términos no pueden ser modificados por las partes</w:t>
      </w:r>
      <w:r>
        <w:rPr>
          <w:rFonts w:ascii="Arial" w:eastAsia="Calibri" w:hAnsi="Arial" w:cs="Arial"/>
          <w:color w:val="000000" w:themeColor="text1"/>
          <w:sz w:val="19"/>
          <w:szCs w:val="19"/>
          <w:lang w:val="es-ES_tradnl"/>
        </w:rPr>
        <w:t>”</w:t>
      </w:r>
      <w:r w:rsidR="0097215F" w:rsidRPr="000D5EF9">
        <w:rPr>
          <w:rFonts w:ascii="Arial" w:eastAsia="Calibri" w:hAnsi="Arial" w:cs="Arial"/>
          <w:color w:val="000000" w:themeColor="text1"/>
          <w:sz w:val="19"/>
          <w:szCs w:val="19"/>
          <w:lang w:val="es-ES_tradnl"/>
        </w:rPr>
        <w:t>.</w:t>
      </w:r>
    </w:p>
    <w:p w14:paraId="44AFF25C" w14:textId="77777777" w:rsidR="0097215F" w:rsidRPr="000D5EF9" w:rsidRDefault="0097215F" w:rsidP="0097215F">
      <w:pPr>
        <w:pStyle w:val="Textonotapie"/>
        <w:ind w:firstLine="709"/>
        <w:jc w:val="both"/>
        <w:rPr>
          <w:rFonts w:ascii="Arial" w:eastAsia="Calibri" w:hAnsi="Arial" w:cs="Arial"/>
          <w:color w:val="000000" w:themeColor="text1"/>
          <w:sz w:val="19"/>
          <w:szCs w:val="19"/>
          <w:lang w:val="es-ES_tradnl"/>
        </w:rPr>
      </w:pPr>
    </w:p>
  </w:footnote>
  <w:footnote w:id="22">
    <w:p w14:paraId="2CF18339" w14:textId="1644A04A" w:rsidR="0097215F" w:rsidRPr="000D5EF9" w:rsidRDefault="0097215F" w:rsidP="0097215F">
      <w:pPr>
        <w:pStyle w:val="Textonotapie"/>
        <w:ind w:firstLine="709"/>
        <w:jc w:val="both"/>
        <w:rPr>
          <w:rFonts w:ascii="Arial" w:eastAsia="Calibri" w:hAnsi="Arial" w:cs="Arial"/>
          <w:color w:val="000000" w:themeColor="text1"/>
          <w:sz w:val="19"/>
          <w:szCs w:val="19"/>
          <w:lang w:val="es-ES_tradnl"/>
        </w:rPr>
      </w:pPr>
      <w:r w:rsidRPr="000D5EF9">
        <w:rPr>
          <w:rStyle w:val="Refdenotaalpie"/>
          <w:rFonts w:ascii="Arial" w:hAnsi="Arial" w:cs="Arial"/>
          <w:color w:val="000000" w:themeColor="text1"/>
          <w:sz w:val="19"/>
          <w:szCs w:val="19"/>
        </w:rPr>
        <w:footnoteRef/>
      </w:r>
      <w:r w:rsidRPr="000D5EF9">
        <w:rPr>
          <w:rFonts w:ascii="Arial" w:hAnsi="Arial" w:cs="Arial"/>
          <w:color w:val="000000" w:themeColor="text1"/>
          <w:sz w:val="19"/>
          <w:szCs w:val="19"/>
        </w:rPr>
        <w:t xml:space="preserve"> </w:t>
      </w:r>
      <w:r w:rsidRPr="000D5EF9">
        <w:rPr>
          <w:rFonts w:ascii="Arial" w:eastAsia="Calibri" w:hAnsi="Arial" w:cs="Arial"/>
          <w:color w:val="000000" w:themeColor="text1"/>
          <w:sz w:val="19"/>
          <w:szCs w:val="19"/>
          <w:lang w:val="es-ES_tradnl"/>
        </w:rPr>
        <w:t xml:space="preserve">No en vano, </w:t>
      </w:r>
      <w:r w:rsidR="00580F7E">
        <w:rPr>
          <w:rFonts w:ascii="Arial" w:eastAsia="Calibri" w:hAnsi="Arial" w:cs="Arial"/>
          <w:color w:val="000000" w:themeColor="text1"/>
          <w:sz w:val="19"/>
          <w:szCs w:val="19"/>
          <w:lang w:val="es-ES_tradnl"/>
        </w:rPr>
        <w:t>“</w:t>
      </w:r>
      <w:r w:rsidRPr="000D5EF9">
        <w:rPr>
          <w:rFonts w:ascii="Arial" w:eastAsia="Calibri" w:hAnsi="Arial" w:cs="Arial"/>
          <w:color w:val="000000" w:themeColor="text1"/>
          <w:sz w:val="19"/>
          <w:szCs w:val="19"/>
          <w:lang w:val="es-ES_tradnl"/>
        </w:rPr>
        <w:t>Cuando la administración declara la existencia del siniestro u ocurrencia del riesgo asegurado, concluye que se dio u ocurrieron antecedentes precavidos en el contrato de seguro del que es beneficiario; no significa que el acto jurídico que declara la existencia del siniestro hace que en la vida jurídica el siniestro se dé en ese momento; lo que ocurre es, que previo a proferir ese acto jurídico, el riesgo asegurado ha acaecido; la ocurrencia del siniestro es en lógica, anterior al acto que reconoce su ocurrencia</w:t>
      </w:r>
      <w:r w:rsidR="00580F7E">
        <w:rPr>
          <w:rFonts w:ascii="Arial" w:eastAsia="Calibri" w:hAnsi="Arial" w:cs="Arial"/>
          <w:color w:val="000000" w:themeColor="text1"/>
          <w:sz w:val="19"/>
          <w:szCs w:val="19"/>
          <w:lang w:val="es-ES_tradnl"/>
        </w:rPr>
        <w:t>”</w:t>
      </w:r>
      <w:r w:rsidRPr="000D5EF9">
        <w:rPr>
          <w:rFonts w:ascii="Arial" w:eastAsia="Calibri" w:hAnsi="Arial" w:cs="Arial"/>
          <w:color w:val="000000" w:themeColor="text1"/>
          <w:sz w:val="19"/>
          <w:szCs w:val="19"/>
          <w:lang w:val="es-ES_tradnl"/>
        </w:rPr>
        <w:t xml:space="preserve"> (CONSEJO DE ESTADO. Sección Tercera. Subsección A. Sentencia del 22 de mayo de 2013. Rad. 24.810. C.P. Olga Mélida Valle de </w:t>
      </w:r>
      <w:r w:rsidRPr="000D5EF9">
        <w:rPr>
          <w:rFonts w:ascii="Arial" w:eastAsia="Calibri" w:hAnsi="Arial" w:cs="Arial"/>
          <w:color w:val="000000" w:themeColor="text1"/>
          <w:sz w:val="19"/>
          <w:szCs w:val="19"/>
          <w:lang w:val="es-ES_tradnl"/>
        </w:rPr>
        <w:t>De La Hoz).</w:t>
      </w:r>
    </w:p>
    <w:p w14:paraId="4843E657" w14:textId="77777777" w:rsidR="0097215F" w:rsidRPr="000D5EF9" w:rsidRDefault="0097215F" w:rsidP="0097215F">
      <w:pPr>
        <w:pStyle w:val="Textonotapie"/>
        <w:ind w:firstLine="709"/>
        <w:jc w:val="both"/>
        <w:rPr>
          <w:rFonts w:ascii="Arial" w:eastAsia="Calibri" w:hAnsi="Arial" w:cs="Arial"/>
          <w:color w:val="000000" w:themeColor="text1"/>
          <w:sz w:val="19"/>
          <w:szCs w:val="19"/>
          <w:lang w:val="es-ES_tradnl"/>
        </w:rPr>
      </w:pPr>
    </w:p>
  </w:footnote>
  <w:footnote w:id="23">
    <w:p w14:paraId="6FE88021" w14:textId="77777777" w:rsidR="0097215F" w:rsidRPr="000D5EF9" w:rsidRDefault="0097215F" w:rsidP="0097215F">
      <w:pPr>
        <w:pStyle w:val="Textonotapie"/>
        <w:ind w:firstLine="709"/>
        <w:jc w:val="both"/>
        <w:rPr>
          <w:rFonts w:ascii="Arial" w:eastAsia="Calibri" w:hAnsi="Arial" w:cs="Arial"/>
          <w:color w:val="000000" w:themeColor="text1"/>
          <w:sz w:val="19"/>
          <w:szCs w:val="19"/>
          <w:lang w:val="es-ES_tradnl"/>
        </w:rPr>
      </w:pPr>
      <w:r w:rsidRPr="000D5EF9">
        <w:rPr>
          <w:rStyle w:val="Refdenotaalpie"/>
          <w:rFonts w:ascii="Arial" w:hAnsi="Arial" w:cs="Arial"/>
          <w:color w:val="000000" w:themeColor="text1"/>
          <w:sz w:val="19"/>
          <w:szCs w:val="19"/>
        </w:rPr>
        <w:footnoteRef/>
      </w:r>
      <w:r w:rsidRPr="000D5EF9">
        <w:rPr>
          <w:rFonts w:ascii="Arial" w:hAnsi="Arial" w:cs="Arial"/>
          <w:color w:val="000000" w:themeColor="text1"/>
          <w:sz w:val="19"/>
          <w:szCs w:val="19"/>
        </w:rPr>
        <w:t xml:space="preserve"> </w:t>
      </w:r>
      <w:r w:rsidRPr="000D5EF9">
        <w:rPr>
          <w:rFonts w:ascii="Arial" w:eastAsia="Calibri" w:hAnsi="Arial" w:cs="Arial"/>
          <w:color w:val="000000" w:themeColor="text1"/>
          <w:sz w:val="19"/>
          <w:szCs w:val="19"/>
          <w:lang w:val="es-ES_tradnl"/>
        </w:rPr>
        <w:t>CONSEJO DE ESTADO. Sección Tercera. Sentencia del 22 de abril de 2009. Rad. 14.667. C.P. Myriam Guerrero De Escobar.</w:t>
      </w:r>
    </w:p>
    <w:p w14:paraId="45885ABD" w14:textId="77777777" w:rsidR="0097215F" w:rsidRPr="000D5EF9" w:rsidRDefault="0097215F" w:rsidP="0097215F">
      <w:pPr>
        <w:pStyle w:val="Textonotapie"/>
        <w:ind w:firstLine="709"/>
        <w:jc w:val="both"/>
        <w:rPr>
          <w:rFonts w:ascii="Arial" w:hAnsi="Arial" w:cs="Arial"/>
          <w:color w:val="000000" w:themeColor="text1"/>
          <w:sz w:val="19"/>
          <w:szCs w:val="19"/>
          <w:lang w:val="es-ES"/>
        </w:rPr>
      </w:pPr>
    </w:p>
  </w:footnote>
  <w:footnote w:id="24">
    <w:p w14:paraId="1B0DDC1B" w14:textId="00C81C95" w:rsidR="0097215F" w:rsidRPr="000D5EF9" w:rsidRDefault="0097215F" w:rsidP="0097215F">
      <w:pPr>
        <w:pStyle w:val="Textonotapie"/>
        <w:ind w:firstLine="709"/>
        <w:jc w:val="both"/>
        <w:rPr>
          <w:rFonts w:ascii="Arial" w:eastAsia="Calibri" w:hAnsi="Arial" w:cs="Arial"/>
          <w:color w:val="000000" w:themeColor="text1"/>
          <w:sz w:val="19"/>
          <w:szCs w:val="19"/>
          <w:lang w:val="es-ES_tradnl"/>
        </w:rPr>
      </w:pPr>
      <w:r w:rsidRPr="000D5EF9">
        <w:rPr>
          <w:rStyle w:val="Refdenotaalpie"/>
          <w:rFonts w:ascii="Arial" w:hAnsi="Arial" w:cs="Arial"/>
          <w:color w:val="000000" w:themeColor="text1"/>
          <w:sz w:val="19"/>
          <w:szCs w:val="19"/>
        </w:rPr>
        <w:footnoteRef/>
      </w:r>
      <w:r w:rsidRPr="000D5EF9">
        <w:rPr>
          <w:rFonts w:ascii="Arial" w:hAnsi="Arial" w:cs="Arial"/>
          <w:color w:val="000000" w:themeColor="text1"/>
          <w:sz w:val="19"/>
          <w:szCs w:val="19"/>
        </w:rPr>
        <w:t xml:space="preserve"> </w:t>
      </w:r>
      <w:r w:rsidRPr="000D5EF9">
        <w:rPr>
          <w:rFonts w:ascii="Arial" w:eastAsia="Calibri" w:hAnsi="Arial" w:cs="Arial"/>
          <w:color w:val="000000" w:themeColor="text1"/>
          <w:sz w:val="19"/>
          <w:szCs w:val="19"/>
          <w:lang w:val="es-ES_tradnl"/>
        </w:rPr>
        <w:t xml:space="preserve">Al respecto, la jurisprudencia explica lo siguiente: </w:t>
      </w:r>
      <w:r w:rsidR="00580F7E">
        <w:rPr>
          <w:rFonts w:ascii="Arial" w:eastAsia="Calibri" w:hAnsi="Arial" w:cs="Arial"/>
          <w:color w:val="000000" w:themeColor="text1"/>
          <w:sz w:val="19"/>
          <w:szCs w:val="19"/>
          <w:lang w:val="es-ES_tradnl"/>
        </w:rPr>
        <w:t>“</w:t>
      </w:r>
      <w:r w:rsidRPr="000D5EF9">
        <w:rPr>
          <w:rFonts w:ascii="Arial" w:eastAsia="Calibri" w:hAnsi="Arial" w:cs="Arial"/>
          <w:color w:val="000000" w:themeColor="text1"/>
          <w:sz w:val="19"/>
          <w:szCs w:val="19"/>
          <w:lang w:val="es-ES_tradnl"/>
        </w:rPr>
        <w:t xml:space="preserve">[…] la prescripción ordinaria y la extraordinaria corren por igual contra todos los interesados. La ordinaria cuando ellos son personas capaces, a partir del momento en que han tenido conocimiento del siniestro o han podido conocerlo, y su término es de dos años; no corre contra el interesado cuando éste es persona incapaz, según los artículos 2530 y 2541 del C.C., ni tampoco contra el que no ha conocido ni podido conocer el siniestro. </w:t>
      </w:r>
    </w:p>
    <w:p w14:paraId="7DC1AA4F" w14:textId="260B0CDD" w:rsidR="0097215F" w:rsidRPr="000D5EF9" w:rsidRDefault="00580F7E" w:rsidP="0097215F">
      <w:pPr>
        <w:pStyle w:val="Textonotapie"/>
        <w:ind w:firstLine="709"/>
        <w:jc w:val="both"/>
        <w:rPr>
          <w:rFonts w:ascii="Arial" w:eastAsia="Calibri" w:hAnsi="Arial" w:cs="Arial"/>
          <w:color w:val="000000" w:themeColor="text1"/>
          <w:sz w:val="19"/>
          <w:szCs w:val="19"/>
          <w:lang w:val="es-ES_tradnl"/>
        </w:rPr>
      </w:pPr>
      <w:r>
        <w:rPr>
          <w:rFonts w:ascii="Arial" w:eastAsia="Calibri" w:hAnsi="Arial" w:cs="Arial"/>
          <w:color w:val="000000" w:themeColor="text1"/>
          <w:sz w:val="19"/>
          <w:szCs w:val="19"/>
          <w:lang w:val="es-ES_tradnl"/>
        </w:rPr>
        <w:t>“</w:t>
      </w:r>
      <w:r w:rsidR="0097215F" w:rsidRPr="000D5EF9">
        <w:rPr>
          <w:rFonts w:ascii="Arial" w:eastAsia="Calibri" w:hAnsi="Arial" w:cs="Arial"/>
          <w:color w:val="000000" w:themeColor="text1"/>
          <w:sz w:val="19"/>
          <w:szCs w:val="19"/>
          <w:lang w:val="es-ES_tradnl"/>
        </w:rPr>
        <w:t>Pero contra estas personas si corre la prescripción extraordinaria, a partir del momento en que nace el derecho, o sea desde la fecha del siniestro. Por tanto, las correspondientes acciones prescriben en contra del respectivo interesado así: a) cuando se consuma el término de dos años de la prescripción ordinaria, a partir del conocimiento real o presunto del siniestro; y b) en todo caso, cuando transcurren cinco años a partir del siniestro, a menos que se haya consumado antes la prescripción ordinaria; la extraordinaria –se repite– corre aún contra personas incapaces o aquellas que no tuvieron ni pudieron tener conocimiento del hecho que da origen a la acción</w:t>
      </w:r>
      <w:r>
        <w:rPr>
          <w:rFonts w:ascii="Arial" w:eastAsia="Calibri" w:hAnsi="Arial" w:cs="Arial"/>
          <w:color w:val="000000" w:themeColor="text1"/>
          <w:sz w:val="19"/>
          <w:szCs w:val="19"/>
          <w:lang w:val="es-ES_tradnl"/>
        </w:rPr>
        <w:t>”</w:t>
      </w:r>
      <w:r w:rsidR="0097215F" w:rsidRPr="000D5EF9">
        <w:rPr>
          <w:rFonts w:ascii="Arial" w:eastAsia="Calibri" w:hAnsi="Arial" w:cs="Arial"/>
          <w:color w:val="000000" w:themeColor="text1"/>
          <w:sz w:val="19"/>
          <w:szCs w:val="19"/>
          <w:lang w:val="es-ES_tradnl"/>
        </w:rPr>
        <w:t xml:space="preserve"> (CORTE SUPREMA DE JUSTICIA. Sala de Casación Civil. Sentencia del 7 de julio de 1977. M.P. José María Esguerra Samper. Publicada en la Gaceta Judicial. Tomo CLV. </w:t>
      </w:r>
      <w:r w:rsidR="0097215F" w:rsidRPr="000D5EF9">
        <w:rPr>
          <w:rFonts w:ascii="Arial" w:eastAsia="Calibri" w:hAnsi="Arial" w:cs="Arial"/>
          <w:color w:val="000000" w:themeColor="text1"/>
          <w:sz w:val="19"/>
          <w:szCs w:val="19"/>
          <w:lang w:val="es-ES_tradnl"/>
        </w:rPr>
        <w:t xml:space="preserve">Nº 2396. p. 153). </w:t>
      </w:r>
    </w:p>
  </w:footnote>
  <w:footnote w:id="25">
    <w:p w14:paraId="7D037C67" w14:textId="31CE0C77" w:rsidR="00DC7658" w:rsidRPr="00D27C73" w:rsidRDefault="00DC7658" w:rsidP="00D27C73">
      <w:pPr>
        <w:pStyle w:val="Textonotapie"/>
        <w:ind w:firstLine="708"/>
        <w:jc w:val="both"/>
        <w:rPr>
          <w:color w:val="000000" w:themeColor="text1"/>
        </w:rPr>
      </w:pPr>
      <w:r w:rsidRPr="003766A0">
        <w:rPr>
          <w:rStyle w:val="Refdenotaalpie"/>
          <w:color w:val="000000" w:themeColor="text1"/>
        </w:rPr>
        <w:footnoteRef/>
      </w:r>
      <w:r w:rsidRPr="003766A0">
        <w:rPr>
          <w:color w:val="000000" w:themeColor="text1"/>
        </w:rPr>
        <w:t xml:space="preserve"> </w:t>
      </w:r>
      <w:r w:rsidRPr="003766A0">
        <w:rPr>
          <w:rFonts w:ascii="Arial" w:eastAsia="Calibri" w:hAnsi="Arial" w:cs="Arial"/>
          <w:color w:val="000000" w:themeColor="text1"/>
          <w:sz w:val="19"/>
          <w:szCs w:val="19"/>
          <w:lang w:val="es-ES_tradnl"/>
        </w:rPr>
        <w:t xml:space="preserve">En esta medida, recibida la obra, no es posible alegar la inejecución de las obligaciones a cargo del contratista, pues la recepción </w:t>
      </w:r>
      <w:r w:rsidR="00580F7E">
        <w:rPr>
          <w:rFonts w:ascii="Arial" w:eastAsia="Calibri" w:hAnsi="Arial" w:cs="Arial"/>
          <w:color w:val="000000" w:themeColor="text1"/>
          <w:sz w:val="19"/>
          <w:szCs w:val="19"/>
          <w:lang w:val="es-ES_tradnl"/>
        </w:rPr>
        <w:t>“</w:t>
      </w:r>
      <w:r w:rsidRPr="003766A0">
        <w:rPr>
          <w:rFonts w:ascii="Arial" w:eastAsia="Calibri" w:hAnsi="Arial" w:cs="Arial"/>
          <w:color w:val="000000" w:themeColor="text1"/>
          <w:sz w:val="19"/>
          <w:szCs w:val="19"/>
          <w:lang w:val="es-ES_tradnl"/>
        </w:rPr>
        <w:t>[…] es un acto jurídico y patrimonial, por el cual “el comitente acepta la entrega de la obra ejecutada” y “declara extinguida la obligación de hacer que debía cumplir el constructor”. Esta extinción, en la medida en que el comitente no manifieste reservas acerca de su alcance, implica la conformidad total y definitiva con la obra o con su producto, incluso en relación con el plazo de ejecución. Es la culminación del contrato desde el punto de vista del objeto perseguido por el comitente al celebrarlo. Es también la consumación plena de las obligaciones asumidas por el constructor</w:t>
      </w:r>
      <w:r w:rsidR="00580F7E">
        <w:rPr>
          <w:rFonts w:ascii="Arial" w:eastAsia="Calibri" w:hAnsi="Arial" w:cs="Arial"/>
          <w:color w:val="000000" w:themeColor="text1"/>
          <w:sz w:val="19"/>
          <w:szCs w:val="19"/>
          <w:lang w:val="es-ES_tradnl"/>
        </w:rPr>
        <w:t>”</w:t>
      </w:r>
      <w:r w:rsidRPr="003766A0">
        <w:rPr>
          <w:rFonts w:ascii="Arial" w:eastAsia="Calibri" w:hAnsi="Arial" w:cs="Arial"/>
          <w:color w:val="000000" w:themeColor="text1"/>
          <w:sz w:val="19"/>
          <w:szCs w:val="19"/>
          <w:lang w:val="es-ES_tradnl"/>
        </w:rPr>
        <w:t xml:space="preserve"> (PODETTI, Humberto. El contrato de construcción. Buenos Aires: Editorial Astrea, 2004, p. 446).</w:t>
      </w:r>
      <w:r w:rsidRPr="003766A0">
        <w:rPr>
          <w:color w:val="000000" w:themeColor="text1"/>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51F6A5" w14:textId="0DD925F5" w:rsidR="00906B3C" w:rsidRPr="007566FE" w:rsidRDefault="00906B3C" w:rsidP="008614E5">
    <w:pPr>
      <w:spacing w:after="0"/>
      <w:rPr>
        <w:rFonts w:ascii="Geomanist Light" w:hAnsi="Geomanist Light"/>
        <w:color w:val="002060"/>
        <w:sz w:val="16"/>
        <w:szCs w:val="16"/>
      </w:rPr>
    </w:pPr>
    <w:r w:rsidRPr="007566FE">
      <w:rPr>
        <w:rFonts w:ascii="Geomanist Light" w:eastAsia="Arial Nova" w:hAnsi="Geomanist Light" w:cs="Arial Nova"/>
        <w:noProof/>
        <w:sz w:val="16"/>
        <w:szCs w:val="16"/>
        <w:lang w:eastAsia="es-CO"/>
      </w:rPr>
      <w:drawing>
        <wp:anchor distT="0" distB="0" distL="0" distR="0" simplePos="0" relativeHeight="251658240" behindDoc="1" locked="0" layoutInCell="1" hidden="0" allowOverlap="1" wp14:anchorId="30C7B261" wp14:editId="79A0A4A2">
          <wp:simplePos x="0" y="0"/>
          <wp:positionH relativeFrom="margin">
            <wp:align>right</wp:align>
          </wp:positionH>
          <wp:positionV relativeFrom="paragraph">
            <wp:posOffset>-80564</wp:posOffset>
          </wp:positionV>
          <wp:extent cx="1657350" cy="676275"/>
          <wp:effectExtent l="0" t="0" r="0" b="9525"/>
          <wp:wrapNone/>
          <wp:docPr id="25" name="image3.png" descr="Icono&#10;&#10;Descripción generada automáticamente"/>
          <wp:cNvGraphicFramePr/>
          <a:graphic xmlns:a="http://schemas.openxmlformats.org/drawingml/2006/main">
            <a:graphicData uri="http://schemas.openxmlformats.org/drawingml/2006/picture">
              <pic:pic xmlns:pic="http://schemas.openxmlformats.org/drawingml/2006/picture">
                <pic:nvPicPr>
                  <pic:cNvPr id="0" name="image3.png" descr="Icono&#10;&#10;Descripción generada automáticamente"/>
                  <pic:cNvPicPr preferRelativeResize="0"/>
                </pic:nvPicPr>
                <pic:blipFill>
                  <a:blip r:embed="rId1"/>
                  <a:srcRect/>
                  <a:stretch>
                    <a:fillRect/>
                  </a:stretch>
                </pic:blipFill>
                <pic:spPr>
                  <a:xfrm>
                    <a:off x="0" y="0"/>
                    <a:ext cx="1657350" cy="676275"/>
                  </a:xfrm>
                  <a:prstGeom prst="rect">
                    <a:avLst/>
                  </a:prstGeom>
                  <a:ln/>
                </pic:spPr>
              </pic:pic>
            </a:graphicData>
          </a:graphic>
          <wp14:sizeRelH relativeFrom="margin">
            <wp14:pctWidth>0</wp14:pctWidth>
          </wp14:sizeRelH>
          <wp14:sizeRelV relativeFrom="margin">
            <wp14:pctHeight>0</wp14:pctHeight>
          </wp14:sizeRelV>
        </wp:anchor>
      </w:drawing>
    </w:r>
    <w:r w:rsidR="00B01ED6" w:rsidRPr="007566FE">
      <w:rPr>
        <w:rFonts w:ascii="Geomanist Light" w:hAnsi="Geomanist Light"/>
        <w:color w:val="002060"/>
        <w:sz w:val="16"/>
        <w:szCs w:val="16"/>
      </w:rPr>
      <w:t>FORMATO PQRSD</w:t>
    </w:r>
  </w:p>
  <w:p w14:paraId="077278A1" w14:textId="2CAB5B77" w:rsidR="007566FE" w:rsidRPr="007566FE" w:rsidRDefault="007566FE" w:rsidP="00793403">
    <w:pPr>
      <w:pBdr>
        <w:top w:val="nil"/>
        <w:left w:val="nil"/>
        <w:bottom w:val="nil"/>
        <w:right w:val="nil"/>
        <w:between w:val="nil"/>
      </w:pBdr>
      <w:tabs>
        <w:tab w:val="center" w:pos="4419"/>
        <w:tab w:val="right" w:pos="8838"/>
        <w:tab w:val="center" w:pos="5400"/>
      </w:tabs>
      <w:spacing w:after="0"/>
      <w:rPr>
        <w:rFonts w:ascii="Geomanist Light" w:eastAsia="Geo" w:hAnsi="Geomanist Light" w:cs="Geo"/>
        <w:b/>
        <w:color w:val="002060"/>
        <w:sz w:val="16"/>
        <w:szCs w:val="16"/>
        <w:lang w:eastAsia="es-CO"/>
      </w:rPr>
    </w:pPr>
    <w:r w:rsidRPr="007566FE">
      <w:rPr>
        <w:rFonts w:ascii="Geomanist Light" w:eastAsia="Geo" w:hAnsi="Geomanist Light" w:cs="Geo"/>
        <w:b/>
        <w:color w:val="000000"/>
        <w:sz w:val="16"/>
        <w:szCs w:val="16"/>
        <w:lang w:eastAsia="es-CO"/>
      </w:rPr>
      <w:t xml:space="preserve">Código: </w:t>
    </w:r>
    <w:r w:rsidRPr="007566FE">
      <w:rPr>
        <w:rFonts w:ascii="Geomanist Light" w:eastAsia="Geo" w:hAnsi="Geomanist Light" w:cs="Geo"/>
        <w:bCs/>
        <w:color w:val="000000"/>
        <w:sz w:val="16"/>
        <w:szCs w:val="16"/>
        <w:lang w:eastAsia="es-CO"/>
      </w:rPr>
      <w:t>CCE-PQRSD-FM-08</w:t>
    </w:r>
  </w:p>
  <w:p w14:paraId="74FC5262" w14:textId="51A6AFCE" w:rsidR="00793403" w:rsidRDefault="00793403" w:rsidP="008614E5">
    <w:pPr>
      <w:spacing w:after="0"/>
      <w:rPr>
        <w:rFonts w:ascii="Geomanist Light" w:eastAsia="Geo" w:hAnsi="Geomanist Light" w:cs="Geo"/>
        <w:sz w:val="16"/>
        <w:szCs w:val="16"/>
        <w:lang w:eastAsia="es-CO"/>
      </w:rPr>
    </w:pPr>
    <w:r w:rsidRPr="00367110">
      <w:rPr>
        <w:rFonts w:eastAsia="Arial Nova" w:cs="Arial Nova"/>
        <w:noProof/>
        <w:color w:val="000000"/>
        <w:lang w:eastAsia="es-CO"/>
      </w:rPr>
      <w:drawing>
        <wp:anchor distT="0" distB="0" distL="114300" distR="114300" simplePos="0" relativeHeight="251658241" behindDoc="1" locked="0" layoutInCell="1" allowOverlap="1" wp14:anchorId="0E3A0652" wp14:editId="21BFF5E2">
          <wp:simplePos x="0" y="0"/>
          <wp:positionH relativeFrom="margin">
            <wp:align>left</wp:align>
          </wp:positionH>
          <wp:positionV relativeFrom="paragraph">
            <wp:posOffset>141605</wp:posOffset>
          </wp:positionV>
          <wp:extent cx="3238500" cy="76200"/>
          <wp:effectExtent l="0" t="0" r="0" b="0"/>
          <wp:wrapNone/>
          <wp:docPr id="2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extLst>
                      <a:ext uri="{28A0092B-C50C-407E-A947-70E740481C1C}">
                        <a14:useLocalDpi xmlns:a14="http://schemas.microsoft.com/office/drawing/2010/main" val="0"/>
                      </a:ext>
                    </a:extLst>
                  </a:blip>
                  <a:srcRect/>
                  <a:stretch>
                    <a:fillRect/>
                  </a:stretch>
                </pic:blipFill>
                <pic:spPr>
                  <a:xfrm>
                    <a:off x="0" y="0"/>
                    <a:ext cx="3238500" cy="76200"/>
                  </a:xfrm>
                  <a:prstGeom prst="rect">
                    <a:avLst/>
                  </a:prstGeom>
                  <a:ln/>
                </pic:spPr>
              </pic:pic>
            </a:graphicData>
          </a:graphic>
          <wp14:sizeRelH relativeFrom="margin">
            <wp14:pctWidth>0</wp14:pctWidth>
          </wp14:sizeRelH>
          <wp14:sizeRelV relativeFrom="margin">
            <wp14:pctHeight>0</wp14:pctHeight>
          </wp14:sizeRelV>
        </wp:anchor>
      </w:drawing>
    </w:r>
    <w:r w:rsidR="007566FE" w:rsidRPr="007566FE">
      <w:rPr>
        <w:rFonts w:ascii="Geomanist Light" w:eastAsia="Geo" w:hAnsi="Geomanist Light" w:cs="Geo"/>
        <w:b/>
        <w:color w:val="000000"/>
        <w:sz w:val="16"/>
        <w:szCs w:val="16"/>
        <w:lang w:eastAsia="es-CO"/>
      </w:rPr>
      <w:t>Versión</w:t>
    </w:r>
    <w:r w:rsidR="007566FE" w:rsidRPr="007566FE">
      <w:rPr>
        <w:rFonts w:ascii="Geomanist Light" w:eastAsia="Arial Nova" w:hAnsi="Geomanist Light" w:cs="Arial Nova"/>
        <w:b/>
        <w:color w:val="000000"/>
        <w:sz w:val="16"/>
        <w:szCs w:val="16"/>
        <w:lang w:eastAsia="es-CO"/>
      </w:rPr>
      <w:t xml:space="preserve">: </w:t>
    </w:r>
    <w:r w:rsidR="007566FE" w:rsidRPr="007566FE">
      <w:rPr>
        <w:rFonts w:ascii="Geomanist Light" w:eastAsia="Geo" w:hAnsi="Geomanist Light" w:cs="Geo"/>
        <w:sz w:val="16"/>
        <w:szCs w:val="16"/>
        <w:lang w:eastAsia="es-CO"/>
      </w:rPr>
      <w:t>0</w:t>
    </w:r>
    <w:r w:rsidR="00C9405D">
      <w:rPr>
        <w:rFonts w:ascii="Geomanist Light" w:eastAsia="Geo" w:hAnsi="Geomanist Light" w:cs="Geo"/>
        <w:sz w:val="16"/>
        <w:szCs w:val="16"/>
        <w:lang w:eastAsia="es-CO"/>
      </w:rPr>
      <w:t>2</w:t>
    </w:r>
    <w:r w:rsidR="007566FE" w:rsidRPr="007566FE">
      <w:rPr>
        <w:rFonts w:ascii="Geomanist Light" w:eastAsia="Geo" w:hAnsi="Geomanist Light" w:cs="Geo"/>
        <w:sz w:val="16"/>
        <w:szCs w:val="16"/>
        <w:lang w:eastAsia="es-CO"/>
      </w:rPr>
      <w:t xml:space="preserve"> DEL </w:t>
    </w:r>
    <w:r w:rsidR="00C9405D">
      <w:rPr>
        <w:rFonts w:ascii="Geomanist Light" w:eastAsia="Geo" w:hAnsi="Geomanist Light" w:cs="Geo"/>
        <w:sz w:val="16"/>
        <w:szCs w:val="16"/>
        <w:lang w:eastAsia="es-CO"/>
      </w:rPr>
      <w:t>28</w:t>
    </w:r>
    <w:r w:rsidR="007566FE" w:rsidRPr="007566FE">
      <w:rPr>
        <w:rFonts w:ascii="Geomanist Light" w:eastAsia="Geo" w:hAnsi="Geomanist Light" w:cs="Geo"/>
        <w:sz w:val="16"/>
        <w:szCs w:val="16"/>
        <w:lang w:eastAsia="es-CO"/>
      </w:rPr>
      <w:t xml:space="preserve"> DE </w:t>
    </w:r>
    <w:r w:rsidR="00C9405D">
      <w:rPr>
        <w:rFonts w:ascii="Geomanist Light" w:eastAsia="Geo" w:hAnsi="Geomanist Light" w:cs="Geo"/>
        <w:sz w:val="16"/>
        <w:szCs w:val="16"/>
        <w:lang w:eastAsia="es-CO"/>
      </w:rPr>
      <w:t>SEPTIEMBRE</w:t>
    </w:r>
    <w:r w:rsidR="007566FE" w:rsidRPr="007566FE">
      <w:rPr>
        <w:rFonts w:ascii="Geomanist Light" w:eastAsia="Geo" w:hAnsi="Geomanist Light" w:cs="Geo"/>
        <w:sz w:val="16"/>
        <w:szCs w:val="16"/>
        <w:lang w:eastAsia="es-CO"/>
      </w:rPr>
      <w:t xml:space="preserve"> DE 2022</w:t>
    </w:r>
  </w:p>
  <w:p w14:paraId="60144E94" w14:textId="49B57718" w:rsidR="00793403" w:rsidRPr="007566FE" w:rsidRDefault="00793403" w:rsidP="008614E5">
    <w:pPr>
      <w:spacing w:after="0"/>
      <w:rPr>
        <w:rFonts w:ascii="Geomanist Light" w:hAnsi="Geomanist Light"/>
        <w:color w:val="002060"/>
        <w:sz w:val="16"/>
        <w:szCs w:val="16"/>
      </w:rPr>
    </w:pPr>
  </w:p>
  <w:p w14:paraId="1D9AD711" w14:textId="5827BD16" w:rsidR="004A1847" w:rsidRPr="00906B3C" w:rsidRDefault="004A1847" w:rsidP="00906B3C">
    <w:pPr>
      <w:pStyle w:val="Encabezado"/>
      <w:tabs>
        <w:tab w:val="clear" w:pos="4419"/>
        <w:tab w:val="clear" w:pos="8838"/>
      </w:tabs>
      <w:ind w:left="3545" w:firstLine="709"/>
      <w:rPr>
        <w:b/>
        <w:bCs/>
        <w:color w:val="A5A5A5" w:themeColor="accent3"/>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11691187"/>
    <w:multiLevelType w:val="hybridMultilevel"/>
    <w:tmpl w:val="C5B6807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589102F8"/>
    <w:multiLevelType w:val="hybridMultilevel"/>
    <w:tmpl w:val="13E22D70"/>
    <w:lvl w:ilvl="0" w:tplc="B84854D0">
      <w:start w:val="1"/>
      <w:numFmt w:val="bullet"/>
      <w:lvlText w:val="-"/>
      <w:lvlJc w:val="left"/>
      <w:pPr>
        <w:ind w:left="1069" w:hanging="360"/>
      </w:pPr>
      <w:rPr>
        <w:rFonts w:ascii="Arial" w:eastAsia="Calibri" w:hAnsi="Arial" w:cs="Arial" w:hint="default"/>
      </w:rPr>
    </w:lvl>
    <w:lvl w:ilvl="1" w:tplc="240A0003" w:tentative="1">
      <w:start w:val="1"/>
      <w:numFmt w:val="bullet"/>
      <w:lvlText w:val="o"/>
      <w:lvlJc w:val="left"/>
      <w:pPr>
        <w:ind w:left="1789" w:hanging="360"/>
      </w:pPr>
      <w:rPr>
        <w:rFonts w:ascii="Courier New" w:hAnsi="Courier New" w:cs="Courier New" w:hint="default"/>
      </w:rPr>
    </w:lvl>
    <w:lvl w:ilvl="2" w:tplc="240A0005" w:tentative="1">
      <w:start w:val="1"/>
      <w:numFmt w:val="bullet"/>
      <w:lvlText w:val=""/>
      <w:lvlJc w:val="left"/>
      <w:pPr>
        <w:ind w:left="2509" w:hanging="360"/>
      </w:pPr>
      <w:rPr>
        <w:rFonts w:ascii="Wingdings" w:hAnsi="Wingdings" w:hint="default"/>
      </w:rPr>
    </w:lvl>
    <w:lvl w:ilvl="3" w:tplc="240A0001" w:tentative="1">
      <w:start w:val="1"/>
      <w:numFmt w:val="bullet"/>
      <w:lvlText w:val=""/>
      <w:lvlJc w:val="left"/>
      <w:pPr>
        <w:ind w:left="3229" w:hanging="360"/>
      </w:pPr>
      <w:rPr>
        <w:rFonts w:ascii="Symbol" w:hAnsi="Symbol" w:hint="default"/>
      </w:rPr>
    </w:lvl>
    <w:lvl w:ilvl="4" w:tplc="240A0003" w:tentative="1">
      <w:start w:val="1"/>
      <w:numFmt w:val="bullet"/>
      <w:lvlText w:val="o"/>
      <w:lvlJc w:val="left"/>
      <w:pPr>
        <w:ind w:left="3949" w:hanging="360"/>
      </w:pPr>
      <w:rPr>
        <w:rFonts w:ascii="Courier New" w:hAnsi="Courier New" w:cs="Courier New" w:hint="default"/>
      </w:rPr>
    </w:lvl>
    <w:lvl w:ilvl="5" w:tplc="240A0005" w:tentative="1">
      <w:start w:val="1"/>
      <w:numFmt w:val="bullet"/>
      <w:lvlText w:val=""/>
      <w:lvlJc w:val="left"/>
      <w:pPr>
        <w:ind w:left="4669" w:hanging="360"/>
      </w:pPr>
      <w:rPr>
        <w:rFonts w:ascii="Wingdings" w:hAnsi="Wingdings" w:hint="default"/>
      </w:rPr>
    </w:lvl>
    <w:lvl w:ilvl="6" w:tplc="240A0001" w:tentative="1">
      <w:start w:val="1"/>
      <w:numFmt w:val="bullet"/>
      <w:lvlText w:val=""/>
      <w:lvlJc w:val="left"/>
      <w:pPr>
        <w:ind w:left="5389" w:hanging="360"/>
      </w:pPr>
      <w:rPr>
        <w:rFonts w:ascii="Symbol" w:hAnsi="Symbol" w:hint="default"/>
      </w:rPr>
    </w:lvl>
    <w:lvl w:ilvl="7" w:tplc="240A0003" w:tentative="1">
      <w:start w:val="1"/>
      <w:numFmt w:val="bullet"/>
      <w:lvlText w:val="o"/>
      <w:lvlJc w:val="left"/>
      <w:pPr>
        <w:ind w:left="6109" w:hanging="360"/>
      </w:pPr>
      <w:rPr>
        <w:rFonts w:ascii="Courier New" w:hAnsi="Courier New" w:cs="Courier New" w:hint="default"/>
      </w:rPr>
    </w:lvl>
    <w:lvl w:ilvl="8" w:tplc="240A0005" w:tentative="1">
      <w:start w:val="1"/>
      <w:numFmt w:val="bullet"/>
      <w:lvlText w:val=""/>
      <w:lvlJc w:val="left"/>
      <w:pPr>
        <w:ind w:left="6829" w:hanging="360"/>
      </w:pPr>
      <w:rPr>
        <w:rFonts w:ascii="Wingdings" w:hAnsi="Wingdings" w:hint="default"/>
      </w:rPr>
    </w:lvl>
  </w:abstractNum>
  <w:abstractNum w:abstractNumId="5" w15:restartNumberingAfterBreak="0">
    <w:nsid w:val="58B55F05"/>
    <w:multiLevelType w:val="multilevel"/>
    <w:tmpl w:val="12AC8F7E"/>
    <w:lvl w:ilvl="0">
      <w:start w:val="1"/>
      <w:numFmt w:val="decimal"/>
      <w:lvlText w:val="%1."/>
      <w:lvlJc w:val="left"/>
      <w:pPr>
        <w:ind w:left="6601" w:hanging="360"/>
      </w:pPr>
      <w:rPr>
        <w:b/>
        <w:color w:val="000000"/>
      </w:rPr>
    </w:lvl>
    <w:lvl w:ilvl="1">
      <w:start w:val="2"/>
      <w:numFmt w:val="decimal"/>
      <w:lvlText w:val="%1.%2"/>
      <w:lvlJc w:val="left"/>
      <w:pPr>
        <w:ind w:left="6241" w:hanging="360"/>
      </w:pPr>
    </w:lvl>
    <w:lvl w:ilvl="2">
      <w:start w:val="1"/>
      <w:numFmt w:val="decimal"/>
      <w:lvlText w:val="%1.%2.%3"/>
      <w:lvlJc w:val="left"/>
      <w:pPr>
        <w:ind w:left="6961" w:hanging="720"/>
      </w:pPr>
    </w:lvl>
    <w:lvl w:ilvl="3">
      <w:start w:val="1"/>
      <w:numFmt w:val="decimal"/>
      <w:lvlText w:val="%1.%2.%3.%4"/>
      <w:lvlJc w:val="left"/>
      <w:pPr>
        <w:ind w:left="6961" w:hanging="720"/>
      </w:pPr>
    </w:lvl>
    <w:lvl w:ilvl="4">
      <w:start w:val="1"/>
      <w:numFmt w:val="decimal"/>
      <w:lvlText w:val="%1.%2.%3.%4.%5"/>
      <w:lvlJc w:val="left"/>
      <w:pPr>
        <w:ind w:left="7321" w:hanging="1080"/>
      </w:pPr>
    </w:lvl>
    <w:lvl w:ilvl="5">
      <w:start w:val="1"/>
      <w:numFmt w:val="decimal"/>
      <w:lvlText w:val="%1.%2.%3.%4.%5.%6"/>
      <w:lvlJc w:val="left"/>
      <w:pPr>
        <w:ind w:left="7321" w:hanging="1080"/>
      </w:pPr>
    </w:lvl>
    <w:lvl w:ilvl="6">
      <w:start w:val="1"/>
      <w:numFmt w:val="decimal"/>
      <w:lvlText w:val="%1.%2.%3.%4.%5.%6.%7"/>
      <w:lvlJc w:val="left"/>
      <w:pPr>
        <w:ind w:left="7681" w:hanging="1440"/>
      </w:pPr>
    </w:lvl>
    <w:lvl w:ilvl="7">
      <w:start w:val="1"/>
      <w:numFmt w:val="decimal"/>
      <w:lvlText w:val="%1.%2.%3.%4.%5.%6.%7.%8"/>
      <w:lvlJc w:val="left"/>
      <w:pPr>
        <w:ind w:left="7681" w:hanging="1440"/>
      </w:pPr>
    </w:lvl>
    <w:lvl w:ilvl="8">
      <w:start w:val="1"/>
      <w:numFmt w:val="decimal"/>
      <w:lvlText w:val="%1.%2.%3.%4.%5.%6.%7.%8.%9"/>
      <w:lvlJc w:val="left"/>
      <w:pPr>
        <w:ind w:left="8041" w:hanging="1800"/>
      </w:pPr>
    </w:lvl>
  </w:abstractNum>
  <w:num w:numId="1" w16cid:durableId="500395951">
    <w:abstractNumId w:val="3"/>
  </w:num>
  <w:num w:numId="2" w16cid:durableId="1408454564">
    <w:abstractNumId w:val="1"/>
  </w:num>
  <w:num w:numId="3" w16cid:durableId="1897622572">
    <w:abstractNumId w:val="2"/>
  </w:num>
  <w:num w:numId="4" w16cid:durableId="598954516">
    <w:abstractNumId w:val="5"/>
  </w:num>
  <w:num w:numId="5" w16cid:durableId="626856545">
    <w:abstractNumId w:val="0"/>
  </w:num>
  <w:num w:numId="6" w16cid:durableId="7217007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793B"/>
    <w:rsid w:val="0002166C"/>
    <w:rsid w:val="0005311C"/>
    <w:rsid w:val="00083334"/>
    <w:rsid w:val="000956CF"/>
    <w:rsid w:val="000A683E"/>
    <w:rsid w:val="000C0EF2"/>
    <w:rsid w:val="000C706B"/>
    <w:rsid w:val="000E4BE9"/>
    <w:rsid w:val="001077C0"/>
    <w:rsid w:val="00113966"/>
    <w:rsid w:val="0011595A"/>
    <w:rsid w:val="0011649F"/>
    <w:rsid w:val="001220C5"/>
    <w:rsid w:val="001267F7"/>
    <w:rsid w:val="00127233"/>
    <w:rsid w:val="00130999"/>
    <w:rsid w:val="00134595"/>
    <w:rsid w:val="00135ED6"/>
    <w:rsid w:val="00162FF3"/>
    <w:rsid w:val="00164D81"/>
    <w:rsid w:val="00167670"/>
    <w:rsid w:val="00183113"/>
    <w:rsid w:val="001A1011"/>
    <w:rsid w:val="001A2451"/>
    <w:rsid w:val="001A48D0"/>
    <w:rsid w:val="001B5DC9"/>
    <w:rsid w:val="001C11E9"/>
    <w:rsid w:val="001C5441"/>
    <w:rsid w:val="001E11F2"/>
    <w:rsid w:val="001E5F5F"/>
    <w:rsid w:val="001F5CCC"/>
    <w:rsid w:val="002002DB"/>
    <w:rsid w:val="00245170"/>
    <w:rsid w:val="00250C5C"/>
    <w:rsid w:val="002653C1"/>
    <w:rsid w:val="0026555D"/>
    <w:rsid w:val="0026611D"/>
    <w:rsid w:val="00286E3B"/>
    <w:rsid w:val="002951A0"/>
    <w:rsid w:val="002A64FD"/>
    <w:rsid w:val="002B24AB"/>
    <w:rsid w:val="002B4135"/>
    <w:rsid w:val="002B5173"/>
    <w:rsid w:val="002C5C9A"/>
    <w:rsid w:val="002F0839"/>
    <w:rsid w:val="002F1A4A"/>
    <w:rsid w:val="002F1C89"/>
    <w:rsid w:val="002F4AC9"/>
    <w:rsid w:val="00301469"/>
    <w:rsid w:val="00306EE1"/>
    <w:rsid w:val="00310B9B"/>
    <w:rsid w:val="003224C3"/>
    <w:rsid w:val="00336382"/>
    <w:rsid w:val="00352230"/>
    <w:rsid w:val="003604CF"/>
    <w:rsid w:val="0036461C"/>
    <w:rsid w:val="00367884"/>
    <w:rsid w:val="003735F0"/>
    <w:rsid w:val="0037652E"/>
    <w:rsid w:val="003821B4"/>
    <w:rsid w:val="0039439C"/>
    <w:rsid w:val="003B69E7"/>
    <w:rsid w:val="003C013B"/>
    <w:rsid w:val="003D0F4D"/>
    <w:rsid w:val="003F58A1"/>
    <w:rsid w:val="00410DD6"/>
    <w:rsid w:val="004134C9"/>
    <w:rsid w:val="004155FC"/>
    <w:rsid w:val="004273BB"/>
    <w:rsid w:val="0043138C"/>
    <w:rsid w:val="00442108"/>
    <w:rsid w:val="00462A59"/>
    <w:rsid w:val="004669CB"/>
    <w:rsid w:val="00467BC0"/>
    <w:rsid w:val="0047192E"/>
    <w:rsid w:val="0047677A"/>
    <w:rsid w:val="00483583"/>
    <w:rsid w:val="0049536D"/>
    <w:rsid w:val="004A1847"/>
    <w:rsid w:val="004B5531"/>
    <w:rsid w:val="004B6B0E"/>
    <w:rsid w:val="004D25B3"/>
    <w:rsid w:val="004D718F"/>
    <w:rsid w:val="004E27BA"/>
    <w:rsid w:val="004E2934"/>
    <w:rsid w:val="004F39E3"/>
    <w:rsid w:val="004F62DD"/>
    <w:rsid w:val="00511405"/>
    <w:rsid w:val="00514392"/>
    <w:rsid w:val="00522629"/>
    <w:rsid w:val="005242C0"/>
    <w:rsid w:val="00526E9D"/>
    <w:rsid w:val="00534E81"/>
    <w:rsid w:val="005362A4"/>
    <w:rsid w:val="00547633"/>
    <w:rsid w:val="00547856"/>
    <w:rsid w:val="00547A74"/>
    <w:rsid w:val="00550772"/>
    <w:rsid w:val="005566E8"/>
    <w:rsid w:val="005746AB"/>
    <w:rsid w:val="00577111"/>
    <w:rsid w:val="00580F7E"/>
    <w:rsid w:val="00586FB8"/>
    <w:rsid w:val="0059357F"/>
    <w:rsid w:val="005A0F6A"/>
    <w:rsid w:val="005A1130"/>
    <w:rsid w:val="005A6FF1"/>
    <w:rsid w:val="005B1147"/>
    <w:rsid w:val="005C0E68"/>
    <w:rsid w:val="005D4DA3"/>
    <w:rsid w:val="005D65C8"/>
    <w:rsid w:val="005E0366"/>
    <w:rsid w:val="005E2C6E"/>
    <w:rsid w:val="005F44BC"/>
    <w:rsid w:val="005F7E2F"/>
    <w:rsid w:val="0060294B"/>
    <w:rsid w:val="00620CA3"/>
    <w:rsid w:val="006219F8"/>
    <w:rsid w:val="006232E6"/>
    <w:rsid w:val="00632E47"/>
    <w:rsid w:val="00657659"/>
    <w:rsid w:val="00676472"/>
    <w:rsid w:val="006800A4"/>
    <w:rsid w:val="00681FDB"/>
    <w:rsid w:val="006907F4"/>
    <w:rsid w:val="006A7DAD"/>
    <w:rsid w:val="006C1210"/>
    <w:rsid w:val="006C5588"/>
    <w:rsid w:val="006C7E5E"/>
    <w:rsid w:val="006D70BA"/>
    <w:rsid w:val="006E389F"/>
    <w:rsid w:val="007035B8"/>
    <w:rsid w:val="007447AA"/>
    <w:rsid w:val="00752555"/>
    <w:rsid w:val="007547EB"/>
    <w:rsid w:val="007566FE"/>
    <w:rsid w:val="0076726F"/>
    <w:rsid w:val="0077144B"/>
    <w:rsid w:val="00771E02"/>
    <w:rsid w:val="00793403"/>
    <w:rsid w:val="007A7236"/>
    <w:rsid w:val="007C0CDF"/>
    <w:rsid w:val="007D2BE7"/>
    <w:rsid w:val="007E2A2F"/>
    <w:rsid w:val="007F2B7C"/>
    <w:rsid w:val="00811651"/>
    <w:rsid w:val="00820F5B"/>
    <w:rsid w:val="008244A5"/>
    <w:rsid w:val="00833452"/>
    <w:rsid w:val="00837981"/>
    <w:rsid w:val="008545B7"/>
    <w:rsid w:val="00857E62"/>
    <w:rsid w:val="00860940"/>
    <w:rsid w:val="008614E5"/>
    <w:rsid w:val="008678EB"/>
    <w:rsid w:val="00875894"/>
    <w:rsid w:val="00881C10"/>
    <w:rsid w:val="00890411"/>
    <w:rsid w:val="008D5C70"/>
    <w:rsid w:val="008D7950"/>
    <w:rsid w:val="008E3BB1"/>
    <w:rsid w:val="008E42F5"/>
    <w:rsid w:val="008F2C81"/>
    <w:rsid w:val="009025AF"/>
    <w:rsid w:val="00904F23"/>
    <w:rsid w:val="00906B3C"/>
    <w:rsid w:val="00921444"/>
    <w:rsid w:val="009240B5"/>
    <w:rsid w:val="00933E49"/>
    <w:rsid w:val="00950C37"/>
    <w:rsid w:val="0095342C"/>
    <w:rsid w:val="009619B0"/>
    <w:rsid w:val="0097215F"/>
    <w:rsid w:val="00997143"/>
    <w:rsid w:val="009A2C18"/>
    <w:rsid w:val="009A7829"/>
    <w:rsid w:val="009C5E41"/>
    <w:rsid w:val="009D0123"/>
    <w:rsid w:val="009D0FB7"/>
    <w:rsid w:val="009D29E0"/>
    <w:rsid w:val="009E212E"/>
    <w:rsid w:val="009F33F2"/>
    <w:rsid w:val="009F6C77"/>
    <w:rsid w:val="00A07532"/>
    <w:rsid w:val="00A07B3B"/>
    <w:rsid w:val="00A1085C"/>
    <w:rsid w:val="00A15F67"/>
    <w:rsid w:val="00A17883"/>
    <w:rsid w:val="00A20E9A"/>
    <w:rsid w:val="00A271CC"/>
    <w:rsid w:val="00A309E2"/>
    <w:rsid w:val="00A3296A"/>
    <w:rsid w:val="00A7361E"/>
    <w:rsid w:val="00A8066E"/>
    <w:rsid w:val="00A9660D"/>
    <w:rsid w:val="00AA204A"/>
    <w:rsid w:val="00AA4B8A"/>
    <w:rsid w:val="00AA6BF7"/>
    <w:rsid w:val="00AB61A0"/>
    <w:rsid w:val="00AE095B"/>
    <w:rsid w:val="00B01ED6"/>
    <w:rsid w:val="00B06D09"/>
    <w:rsid w:val="00B10B52"/>
    <w:rsid w:val="00B33243"/>
    <w:rsid w:val="00B40AE7"/>
    <w:rsid w:val="00B51236"/>
    <w:rsid w:val="00B63D54"/>
    <w:rsid w:val="00B72350"/>
    <w:rsid w:val="00B74DFD"/>
    <w:rsid w:val="00B771A9"/>
    <w:rsid w:val="00B809BB"/>
    <w:rsid w:val="00B81190"/>
    <w:rsid w:val="00B8248A"/>
    <w:rsid w:val="00B90014"/>
    <w:rsid w:val="00BA23E2"/>
    <w:rsid w:val="00BA7F93"/>
    <w:rsid w:val="00BB7726"/>
    <w:rsid w:val="00BC7B96"/>
    <w:rsid w:val="00BD7439"/>
    <w:rsid w:val="00C02A85"/>
    <w:rsid w:val="00C2329E"/>
    <w:rsid w:val="00C30461"/>
    <w:rsid w:val="00C50E44"/>
    <w:rsid w:val="00C516C0"/>
    <w:rsid w:val="00C7141A"/>
    <w:rsid w:val="00C754BE"/>
    <w:rsid w:val="00C761F8"/>
    <w:rsid w:val="00C86A71"/>
    <w:rsid w:val="00C87572"/>
    <w:rsid w:val="00C92DFA"/>
    <w:rsid w:val="00C9342B"/>
    <w:rsid w:val="00C9405D"/>
    <w:rsid w:val="00C94980"/>
    <w:rsid w:val="00CB134E"/>
    <w:rsid w:val="00CB50AA"/>
    <w:rsid w:val="00CC1B26"/>
    <w:rsid w:val="00CD284F"/>
    <w:rsid w:val="00CD67DE"/>
    <w:rsid w:val="00CD7727"/>
    <w:rsid w:val="00CF23AA"/>
    <w:rsid w:val="00D01298"/>
    <w:rsid w:val="00D01921"/>
    <w:rsid w:val="00D15108"/>
    <w:rsid w:val="00D26989"/>
    <w:rsid w:val="00D27097"/>
    <w:rsid w:val="00D27C73"/>
    <w:rsid w:val="00D32DB8"/>
    <w:rsid w:val="00D61634"/>
    <w:rsid w:val="00D650D4"/>
    <w:rsid w:val="00D752B7"/>
    <w:rsid w:val="00D93BB2"/>
    <w:rsid w:val="00DA1854"/>
    <w:rsid w:val="00DB0887"/>
    <w:rsid w:val="00DB4B5C"/>
    <w:rsid w:val="00DC7658"/>
    <w:rsid w:val="00DC7730"/>
    <w:rsid w:val="00DF1E43"/>
    <w:rsid w:val="00E1147B"/>
    <w:rsid w:val="00E11901"/>
    <w:rsid w:val="00E20894"/>
    <w:rsid w:val="00E25CB0"/>
    <w:rsid w:val="00E26B7C"/>
    <w:rsid w:val="00E32177"/>
    <w:rsid w:val="00E42DA8"/>
    <w:rsid w:val="00E45466"/>
    <w:rsid w:val="00E53452"/>
    <w:rsid w:val="00E55051"/>
    <w:rsid w:val="00EA3003"/>
    <w:rsid w:val="00EA4632"/>
    <w:rsid w:val="00EA4D93"/>
    <w:rsid w:val="00EB2382"/>
    <w:rsid w:val="00EB3C91"/>
    <w:rsid w:val="00EB43DF"/>
    <w:rsid w:val="00EB66DA"/>
    <w:rsid w:val="00EC4B89"/>
    <w:rsid w:val="00EC535D"/>
    <w:rsid w:val="00ED45C7"/>
    <w:rsid w:val="00EE3B76"/>
    <w:rsid w:val="00F15157"/>
    <w:rsid w:val="00F17B9D"/>
    <w:rsid w:val="00F27447"/>
    <w:rsid w:val="00F33A8E"/>
    <w:rsid w:val="00F5047C"/>
    <w:rsid w:val="00F605F2"/>
    <w:rsid w:val="00F747CC"/>
    <w:rsid w:val="00F76AFC"/>
    <w:rsid w:val="00F8319B"/>
    <w:rsid w:val="00F92BDE"/>
    <w:rsid w:val="00FA5516"/>
    <w:rsid w:val="00FD6F73"/>
    <w:rsid w:val="00FE31E4"/>
    <w:rsid w:val="00FE4DE7"/>
    <w:rsid w:val="1CC63BF5"/>
    <w:rsid w:val="2F9951DC"/>
    <w:rsid w:val="3EA2D60F"/>
    <w:rsid w:val="6B8BD3AC"/>
    <w:rsid w:val="777950C3"/>
    <w:rsid w:val="7C03503F"/>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B86F6845-4A3F-4B91-BFF0-E9544203EC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19F8"/>
  </w:style>
  <w:style w:type="paragraph" w:styleId="Ttulo1">
    <w:name w:val="heading 1"/>
    <w:basedOn w:val="Normal"/>
    <w:link w:val="Ttulo1Car"/>
    <w:uiPriority w:val="9"/>
    <w:qFormat/>
    <w:rsid w:val="00904F23"/>
    <w:pPr>
      <w:widowControl w:val="0"/>
      <w:autoSpaceDE w:val="0"/>
      <w:autoSpaceDN w:val="0"/>
      <w:spacing w:before="1" w:after="0" w:line="240" w:lineRule="auto"/>
      <w:ind w:left="1181" w:hanging="360"/>
      <w:outlineLvl w:val="0"/>
    </w:pPr>
    <w:rPr>
      <w:rFonts w:ascii="Arial" w:eastAsia="Arial" w:hAnsi="Arial" w:cs="Arial"/>
      <w:b/>
      <w:bCs/>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F"/>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59"/>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Ttulo1Car">
    <w:name w:val="Título 1 Car"/>
    <w:basedOn w:val="Fuentedeprrafopredeter"/>
    <w:link w:val="Ttulo1"/>
    <w:uiPriority w:val="9"/>
    <w:rsid w:val="00904F23"/>
    <w:rPr>
      <w:rFonts w:ascii="Arial" w:eastAsia="Arial" w:hAnsi="Arial" w:cs="Arial"/>
      <w:b/>
      <w:bCs/>
      <w:lang w:val="es-ES"/>
    </w:rPr>
  </w:style>
  <w:style w:type="character" w:styleId="Refdecomentario">
    <w:name w:val="annotation reference"/>
    <w:basedOn w:val="Fuentedeprrafopredeter"/>
    <w:uiPriority w:val="99"/>
    <w:semiHidden/>
    <w:unhideWhenUsed/>
    <w:rsid w:val="00511405"/>
    <w:rPr>
      <w:sz w:val="16"/>
      <w:szCs w:val="16"/>
    </w:rPr>
  </w:style>
  <w:style w:type="paragraph" w:styleId="Textocomentario">
    <w:name w:val="annotation text"/>
    <w:basedOn w:val="Normal"/>
    <w:link w:val="TextocomentarioCar"/>
    <w:uiPriority w:val="99"/>
    <w:unhideWhenUsed/>
    <w:rsid w:val="00511405"/>
    <w:pPr>
      <w:spacing w:line="240" w:lineRule="auto"/>
    </w:pPr>
    <w:rPr>
      <w:sz w:val="20"/>
      <w:szCs w:val="20"/>
    </w:rPr>
  </w:style>
  <w:style w:type="character" w:customStyle="1" w:styleId="TextocomentarioCar">
    <w:name w:val="Texto comentario Car"/>
    <w:basedOn w:val="Fuentedeprrafopredeter"/>
    <w:link w:val="Textocomentario"/>
    <w:uiPriority w:val="99"/>
    <w:rsid w:val="00511405"/>
    <w:rPr>
      <w:sz w:val="20"/>
      <w:szCs w:val="20"/>
    </w:rPr>
  </w:style>
  <w:style w:type="paragraph" w:styleId="Revisin">
    <w:name w:val="Revision"/>
    <w:hidden/>
    <w:uiPriority w:val="99"/>
    <w:semiHidden/>
    <w:rsid w:val="00511405"/>
    <w:pPr>
      <w:spacing w:after="0" w:line="240" w:lineRule="auto"/>
    </w:pPr>
  </w:style>
  <w:style w:type="paragraph" w:styleId="Asuntodelcomentario">
    <w:name w:val="annotation subject"/>
    <w:basedOn w:val="Textocomentario"/>
    <w:next w:val="Textocomentario"/>
    <w:link w:val="AsuntodelcomentarioCar"/>
    <w:uiPriority w:val="99"/>
    <w:semiHidden/>
    <w:unhideWhenUsed/>
    <w:rsid w:val="00511405"/>
    <w:rPr>
      <w:b/>
      <w:bCs/>
    </w:rPr>
  </w:style>
  <w:style w:type="character" w:customStyle="1" w:styleId="AsuntodelcomentarioCar">
    <w:name w:val="Asunto del comentario Car"/>
    <w:basedOn w:val="TextocomentarioCar"/>
    <w:link w:val="Asuntodelcomentario"/>
    <w:uiPriority w:val="99"/>
    <w:semiHidden/>
    <w:rsid w:val="00511405"/>
    <w:rPr>
      <w:b/>
      <w:bCs/>
      <w:sz w:val="20"/>
      <w:szCs w:val="20"/>
    </w:rPr>
  </w:style>
  <w:style w:type="paragraph" w:customStyle="1" w:styleId="Appelnotedebasde">
    <w:name w:val="Appel note de bas de..."/>
    <w:basedOn w:val="Normal"/>
    <w:link w:val="Refdenotaalpie"/>
    <w:uiPriority w:val="99"/>
    <w:rsid w:val="001B5DC9"/>
    <w:pPr>
      <w:spacing w:line="240" w:lineRule="exact"/>
    </w:pPr>
    <w:rPr>
      <w:vertAlign w:val="superscript"/>
    </w:rPr>
  </w:style>
  <w:style w:type="table" w:customStyle="1" w:styleId="Tablaconcuadrcula1">
    <w:name w:val="Tabla con cuadrícula1"/>
    <w:basedOn w:val="Tablanormal"/>
    <w:next w:val="Tablaconcuadrcula"/>
    <w:uiPriority w:val="59"/>
    <w:rsid w:val="001B5DC9"/>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676472"/>
    <w:rPr>
      <w:color w:val="0563C1" w:themeColor="hyperlink"/>
      <w:u w:val="single"/>
    </w:rPr>
  </w:style>
  <w:style w:type="paragraph" w:styleId="NormalWeb">
    <w:name w:val="Normal (Web)"/>
    <w:basedOn w:val="Normal"/>
    <w:link w:val="NormalWebCar"/>
    <w:uiPriority w:val="99"/>
    <w:unhideWhenUsed/>
    <w:rsid w:val="00676472"/>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676472"/>
    <w:rPr>
      <w:rFonts w:ascii="Geomanist Light" w:hAnsi="Geomanist Light"/>
      <w:lang w:val="es-ES"/>
    </w:rPr>
  </w:style>
  <w:style w:type="character" w:styleId="nfasis">
    <w:name w:val="Emphasis"/>
    <w:basedOn w:val="Fuentedeprrafopredeter"/>
    <w:uiPriority w:val="20"/>
    <w:qFormat/>
    <w:rsid w:val="00676472"/>
    <w:rPr>
      <w:i/>
      <w:iCs/>
    </w:rPr>
  </w:style>
  <w:style w:type="character" w:customStyle="1" w:styleId="NormalWebCar">
    <w:name w:val="Normal (Web) Car"/>
    <w:link w:val="NormalWeb"/>
    <w:uiPriority w:val="99"/>
    <w:rsid w:val="00676472"/>
    <w:rPr>
      <w:rFonts w:ascii="Times New Roman" w:eastAsia="Times New Roman" w:hAnsi="Times New Roman" w:cs="Times New Roman"/>
      <w:sz w:val="24"/>
      <w:szCs w:val="24"/>
      <w:lang w:eastAsia="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5.jpg"/></Relationships>
</file>

<file path=word/_rels/footnotes.xml.rels><?xml version="1.0" encoding="UTF-8" standalone="yes"?>
<Relationships xmlns="http://schemas.openxmlformats.org/package/2006/relationships"><Relationship Id="rId2" Type="http://schemas.openxmlformats.org/officeDocument/2006/relationships/hyperlink" Target="http://www.secretariasenado.gov.co/legibus/legibus/gacetas/2021/GC_1677_2021.pdf" TargetMode="External"/><Relationship Id="rId1" Type="http://schemas.openxmlformats.org/officeDocument/2006/relationships/hyperlink" Target="https://relatoria.colombiacompra.gov.co/busqueda/conceptos"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6fefc81145b88c108162955c226470b5">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23856a95c4658442fdcd06593afacd42"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F124271-6C48-4BEC-850E-1A95B73A002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a6cb9e4b-f1d1-4245-83ec-6cad768d538a"/>
    <ds:schemaRef ds:uri="9d85dbaf-23eb-4e57-a637-93dcacc8b1a1"/>
  </ds:schemaRefs>
</ds:datastoreItem>
</file>

<file path=customXml/itemProps3.xml><?xml version="1.0" encoding="utf-8"?>
<ds:datastoreItem xmlns:ds="http://schemas.openxmlformats.org/officeDocument/2006/customXml" ds:itemID="{B5E10408-6D00-45E5-BB1C-D6466F72693E}">
  <ds:schemaRefs>
    <ds:schemaRef ds:uri="http://schemas.openxmlformats.org/officeDocument/2006/bibliography"/>
  </ds:schemaRefs>
</ds:datastoreItem>
</file>

<file path=customXml/itemProps4.xml><?xml version="1.0" encoding="utf-8"?>
<ds:datastoreItem xmlns:ds="http://schemas.openxmlformats.org/officeDocument/2006/customXml" ds:itemID="{19B0637E-D058-473B-8FE7-AA861F69C79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71</TotalTime>
  <Pages>22</Pages>
  <Words>8343</Words>
  <Characters>45892</Characters>
  <Application>Microsoft Office Word</Application>
  <DocSecurity>0</DocSecurity>
  <Lines>382</Lines>
  <Paragraphs>108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54127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Ana Maria Velez Arteaga</cp:lastModifiedBy>
  <cp:revision>12</cp:revision>
  <dcterms:created xsi:type="dcterms:W3CDTF">2023-05-24T01:07:00Z</dcterms:created>
  <dcterms:modified xsi:type="dcterms:W3CDTF">2023-05-24T02:17:00Z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