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EF221" w14:textId="77777777" w:rsidR="00954313" w:rsidRPr="00747B16" w:rsidRDefault="00954313" w:rsidP="00954313">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747B16">
        <w:rPr>
          <w:rFonts w:ascii="Arial" w:hAnsi="Arial" w:cs="Arial"/>
          <w:b/>
          <w:color w:val="000000" w:themeColor="text1"/>
          <w:sz w:val="20"/>
          <w:szCs w:val="20"/>
          <w:lang w:val="es-ES_tradnl" w:eastAsia="es-ES"/>
        </w:rPr>
        <w:tab/>
      </w:r>
      <w:r w:rsidRPr="00747B16">
        <w:rPr>
          <w:rFonts w:ascii="Arial" w:hAnsi="Arial" w:cs="Arial"/>
          <w:b/>
          <w:color w:val="000000" w:themeColor="text1"/>
          <w:sz w:val="16"/>
          <w:szCs w:val="16"/>
          <w:lang w:val="es-ES_tradnl" w:eastAsia="es-ES"/>
        </w:rPr>
        <w:t>CCE-DES-FM-17</w:t>
      </w:r>
    </w:p>
    <w:p w14:paraId="301BCE55" w14:textId="77777777" w:rsidR="00954313" w:rsidRPr="009E34DD" w:rsidRDefault="00954313" w:rsidP="00954313">
      <w:pPr>
        <w:jc w:val="both"/>
        <w:rPr>
          <w:rFonts w:ascii="Arial" w:eastAsia="Calibri" w:hAnsi="Arial" w:cs="Arial"/>
          <w:b/>
          <w:color w:val="000000" w:themeColor="text1"/>
          <w:sz w:val="16"/>
          <w:szCs w:val="16"/>
          <w:lang w:val="es-ES_tradnl"/>
        </w:rPr>
      </w:pPr>
    </w:p>
    <w:p w14:paraId="35C74D66" w14:textId="456EC154" w:rsidR="00954313" w:rsidRPr="00747B16" w:rsidRDefault="00954313" w:rsidP="798A939A">
      <w:pPr>
        <w:jc w:val="both"/>
        <w:rPr>
          <w:rFonts w:ascii="Arial" w:eastAsia="Calibri" w:hAnsi="Arial" w:cs="Arial"/>
          <w:color w:val="000000" w:themeColor="text1"/>
          <w:sz w:val="22"/>
        </w:rPr>
      </w:pPr>
      <w:r w:rsidRPr="798A939A">
        <w:rPr>
          <w:rFonts w:ascii="Arial" w:eastAsia="Calibri" w:hAnsi="Arial" w:cs="Arial"/>
          <w:b/>
          <w:bCs/>
          <w:color w:val="000000" w:themeColor="text1"/>
          <w:sz w:val="22"/>
        </w:rPr>
        <w:t xml:space="preserve">SECOP </w:t>
      </w:r>
      <w:r w:rsidR="00F77852" w:rsidRPr="798A939A">
        <w:rPr>
          <w:rFonts w:ascii="Arial" w:eastAsia="Calibri" w:hAnsi="Arial" w:cs="Arial"/>
          <w:b/>
          <w:bCs/>
          <w:color w:val="000000" w:themeColor="text1"/>
          <w:sz w:val="22"/>
        </w:rPr>
        <w:t>–</w:t>
      </w:r>
      <w:r w:rsidR="00732F1B" w:rsidRPr="798A939A">
        <w:rPr>
          <w:rFonts w:ascii="Arial" w:eastAsia="Calibri" w:hAnsi="Arial" w:cs="Arial"/>
          <w:b/>
          <w:bCs/>
          <w:color w:val="000000" w:themeColor="text1"/>
          <w:sz w:val="20"/>
          <w:szCs w:val="20"/>
        </w:rPr>
        <w:t xml:space="preserve"> </w:t>
      </w:r>
      <w:r w:rsidRPr="798A939A">
        <w:rPr>
          <w:rFonts w:ascii="Arial" w:eastAsia="Calibri" w:hAnsi="Arial" w:cs="Arial"/>
          <w:b/>
          <w:bCs/>
          <w:color w:val="000000" w:themeColor="text1"/>
          <w:sz w:val="22"/>
        </w:rPr>
        <w:t xml:space="preserve">Publicidad </w:t>
      </w:r>
      <w:r w:rsidR="00F77852" w:rsidRPr="798A939A">
        <w:rPr>
          <w:rFonts w:ascii="Arial" w:eastAsia="Calibri" w:hAnsi="Arial" w:cs="Arial"/>
          <w:b/>
          <w:bCs/>
          <w:color w:val="000000" w:themeColor="text1"/>
          <w:sz w:val="22"/>
        </w:rPr>
        <w:t>–</w:t>
      </w:r>
      <w:r w:rsidRPr="798A939A">
        <w:rPr>
          <w:rFonts w:ascii="Arial" w:eastAsia="Calibri" w:hAnsi="Arial" w:cs="Arial"/>
          <w:b/>
          <w:bCs/>
          <w:color w:val="000000" w:themeColor="text1"/>
          <w:sz w:val="22"/>
        </w:rPr>
        <w:t xml:space="preserve"> Entidades </w:t>
      </w:r>
      <w:r w:rsidR="0045655C">
        <w:rPr>
          <w:rFonts w:ascii="Arial" w:eastAsia="Calibri" w:hAnsi="Arial" w:cs="Arial"/>
          <w:b/>
          <w:bCs/>
          <w:color w:val="000000" w:themeColor="text1"/>
          <w:sz w:val="22"/>
        </w:rPr>
        <w:t>con</w:t>
      </w:r>
      <w:r w:rsidRPr="798A939A">
        <w:rPr>
          <w:rFonts w:ascii="Arial" w:eastAsia="Calibri" w:hAnsi="Arial" w:cs="Arial"/>
          <w:b/>
          <w:bCs/>
          <w:color w:val="000000" w:themeColor="text1"/>
          <w:sz w:val="22"/>
        </w:rPr>
        <w:t xml:space="preserve"> régimen especial </w:t>
      </w:r>
      <w:r w:rsidR="00F77852" w:rsidRPr="798A939A">
        <w:rPr>
          <w:rFonts w:ascii="Arial" w:eastAsia="Calibri" w:hAnsi="Arial" w:cs="Arial"/>
          <w:b/>
          <w:bCs/>
          <w:color w:val="000000" w:themeColor="text1"/>
          <w:sz w:val="22"/>
        </w:rPr>
        <w:t>–</w:t>
      </w:r>
      <w:r w:rsidR="00732F1B" w:rsidRPr="798A939A">
        <w:rPr>
          <w:rFonts w:ascii="Arial" w:eastAsia="Calibri" w:hAnsi="Arial" w:cs="Arial"/>
          <w:b/>
          <w:bCs/>
          <w:color w:val="000000" w:themeColor="text1"/>
          <w:sz w:val="20"/>
          <w:szCs w:val="20"/>
        </w:rPr>
        <w:t xml:space="preserve"> </w:t>
      </w:r>
      <w:r w:rsidRPr="798A939A">
        <w:rPr>
          <w:rFonts w:ascii="Arial" w:eastAsia="Calibri" w:hAnsi="Arial" w:cs="Arial"/>
          <w:b/>
          <w:bCs/>
          <w:color w:val="000000" w:themeColor="text1"/>
          <w:sz w:val="22"/>
        </w:rPr>
        <w:t xml:space="preserve">Reiteración </w:t>
      </w:r>
      <w:r w:rsidR="1BBEDC1C" w:rsidRPr="798A939A">
        <w:rPr>
          <w:rFonts w:ascii="Arial" w:eastAsia="Calibri" w:hAnsi="Arial" w:cs="Arial"/>
          <w:b/>
          <w:bCs/>
          <w:color w:val="000000" w:themeColor="text1"/>
          <w:sz w:val="22"/>
        </w:rPr>
        <w:t>–</w:t>
      </w:r>
      <w:r w:rsidRPr="798A939A">
        <w:rPr>
          <w:rFonts w:ascii="Arial" w:eastAsia="Calibri" w:hAnsi="Arial" w:cs="Arial"/>
          <w:b/>
          <w:bCs/>
          <w:color w:val="000000" w:themeColor="text1"/>
          <w:sz w:val="22"/>
        </w:rPr>
        <w:t xml:space="preserve"> Concepto unificado </w:t>
      </w:r>
      <w:r w:rsidR="1CBDCB5F" w:rsidRPr="798A939A">
        <w:rPr>
          <w:rFonts w:ascii="Arial" w:eastAsia="Calibri" w:hAnsi="Arial" w:cs="Arial"/>
          <w:b/>
          <w:bCs/>
          <w:color w:val="000000" w:themeColor="text1"/>
          <w:sz w:val="22"/>
        </w:rPr>
        <w:t>–</w:t>
      </w:r>
      <w:r w:rsidR="1CBDCB5F" w:rsidRPr="798A939A">
        <w:rPr>
          <w:rFonts w:ascii="Arial" w:eastAsia="Calibri" w:hAnsi="Arial" w:cs="Arial"/>
          <w:b/>
          <w:bCs/>
          <w:color w:val="000000" w:themeColor="text1"/>
          <w:sz w:val="20"/>
          <w:szCs w:val="20"/>
        </w:rPr>
        <w:t xml:space="preserve"> </w:t>
      </w:r>
      <w:r w:rsidRPr="798A939A">
        <w:rPr>
          <w:rFonts w:ascii="Arial" w:eastAsia="Calibri" w:hAnsi="Arial" w:cs="Arial"/>
          <w:b/>
          <w:bCs/>
          <w:color w:val="000000" w:themeColor="text1"/>
          <w:sz w:val="22"/>
        </w:rPr>
        <w:t>CU-003 de 2020</w:t>
      </w:r>
    </w:p>
    <w:p w14:paraId="39F11693" w14:textId="77777777" w:rsidR="00954313" w:rsidRPr="00747B16" w:rsidRDefault="00954313" w:rsidP="00747B16">
      <w:pPr>
        <w:jc w:val="both"/>
        <w:rPr>
          <w:rFonts w:ascii="Arial" w:hAnsi="Arial" w:cs="Arial"/>
          <w:color w:val="000000" w:themeColor="text1"/>
          <w:sz w:val="22"/>
        </w:rPr>
      </w:pPr>
    </w:p>
    <w:p w14:paraId="70FBDB0B" w14:textId="6D9CF555" w:rsidR="00954313" w:rsidRPr="00747B16" w:rsidRDefault="2588EB18" w:rsidP="00747B16">
      <w:pPr>
        <w:jc w:val="both"/>
        <w:rPr>
          <w:rFonts w:ascii="Arial" w:eastAsia="Calibri" w:hAnsi="Arial" w:cs="Arial"/>
          <w:color w:val="000000" w:themeColor="text1"/>
          <w:sz w:val="20"/>
          <w:szCs w:val="20"/>
          <w:lang w:val="es-ES"/>
        </w:rPr>
      </w:pPr>
      <w:r w:rsidRPr="64671FB5">
        <w:rPr>
          <w:rFonts w:ascii="Arial" w:eastAsia="Calibri" w:hAnsi="Arial" w:cs="Arial"/>
          <w:color w:val="000000" w:themeColor="text1"/>
          <w:sz w:val="20"/>
          <w:szCs w:val="20"/>
        </w:rPr>
        <w:t xml:space="preserve">[...] </w:t>
      </w:r>
      <w:r w:rsidR="00954313" w:rsidRPr="64671FB5">
        <w:rPr>
          <w:rFonts w:ascii="Arial" w:eastAsia="Calibri" w:hAnsi="Arial"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090F2671" w14:textId="77777777" w:rsidR="00954313" w:rsidRPr="00747B16" w:rsidRDefault="00954313" w:rsidP="00747B16">
      <w:pPr>
        <w:pStyle w:val="Prrafodelista"/>
        <w:ind w:left="0"/>
        <w:jc w:val="both"/>
        <w:rPr>
          <w:rFonts w:ascii="Arial" w:eastAsia="Calibri" w:hAnsi="Arial" w:cs="Arial"/>
          <w:color w:val="000000" w:themeColor="text1"/>
          <w:sz w:val="20"/>
          <w:szCs w:val="20"/>
        </w:rPr>
      </w:pPr>
    </w:p>
    <w:p w14:paraId="254270D4" w14:textId="6E4F9125" w:rsidR="00954313" w:rsidRPr="00747B16" w:rsidRDefault="00954313" w:rsidP="00747B16">
      <w:pPr>
        <w:pStyle w:val="Prrafodelista"/>
        <w:ind w:left="0"/>
        <w:jc w:val="both"/>
        <w:rPr>
          <w:rFonts w:ascii="Arial" w:eastAsia="Calibri" w:hAnsi="Arial" w:cs="Arial"/>
          <w:b/>
          <w:color w:val="000000" w:themeColor="text1"/>
          <w:sz w:val="22"/>
          <w:szCs w:val="20"/>
        </w:rPr>
      </w:pPr>
      <w:r w:rsidRPr="00747B16">
        <w:rPr>
          <w:rFonts w:ascii="Arial" w:eastAsia="Calibri" w:hAnsi="Arial" w:cs="Arial"/>
          <w:b/>
          <w:color w:val="000000" w:themeColor="text1"/>
          <w:sz w:val="22"/>
          <w:szCs w:val="20"/>
        </w:rPr>
        <w:t xml:space="preserve">SECOP </w:t>
      </w:r>
      <w:r w:rsidR="00F77852">
        <w:rPr>
          <w:rFonts w:ascii="Arial" w:eastAsia="Calibri" w:hAnsi="Arial" w:cs="Arial"/>
          <w:b/>
          <w:bCs/>
          <w:color w:val="000000" w:themeColor="text1"/>
          <w:sz w:val="22"/>
        </w:rPr>
        <w:t>–</w:t>
      </w:r>
      <w:r w:rsidRPr="00747B16">
        <w:rPr>
          <w:rFonts w:ascii="Arial" w:eastAsia="Calibri" w:hAnsi="Arial" w:cs="Arial"/>
          <w:b/>
          <w:color w:val="000000" w:themeColor="text1"/>
          <w:sz w:val="22"/>
          <w:szCs w:val="20"/>
        </w:rPr>
        <w:t xml:space="preserve"> Publicidad </w:t>
      </w:r>
      <w:r w:rsidRPr="00747B16">
        <w:rPr>
          <w:rFonts w:ascii="Arial" w:eastAsia="Calibri" w:hAnsi="Arial" w:cs="Arial"/>
          <w:b/>
          <w:color w:val="000000" w:themeColor="text1"/>
          <w:sz w:val="22"/>
          <w:szCs w:val="20"/>
        </w:rPr>
        <w:softHyphen/>
      </w:r>
      <w:r w:rsidR="00F77852">
        <w:rPr>
          <w:rFonts w:ascii="Arial" w:eastAsia="Calibri" w:hAnsi="Arial" w:cs="Arial"/>
          <w:b/>
          <w:bCs/>
          <w:color w:val="000000" w:themeColor="text1"/>
          <w:sz w:val="22"/>
        </w:rPr>
        <w:t xml:space="preserve">– </w:t>
      </w:r>
      <w:r w:rsidRPr="00747B16">
        <w:rPr>
          <w:rFonts w:ascii="Arial" w:eastAsia="Calibri" w:hAnsi="Arial" w:cs="Arial"/>
          <w:b/>
          <w:color w:val="000000" w:themeColor="text1"/>
          <w:sz w:val="22"/>
          <w:szCs w:val="20"/>
        </w:rPr>
        <w:t xml:space="preserve">Documentos </w:t>
      </w:r>
    </w:p>
    <w:p w14:paraId="00EF3C34" w14:textId="77777777" w:rsidR="00954313" w:rsidRPr="00747B16" w:rsidRDefault="00954313" w:rsidP="00747B16">
      <w:pPr>
        <w:pStyle w:val="Prrafodelista"/>
        <w:ind w:left="0"/>
        <w:jc w:val="both"/>
        <w:rPr>
          <w:rFonts w:ascii="Arial" w:eastAsia="Calibri" w:hAnsi="Arial" w:cs="Arial"/>
          <w:color w:val="000000" w:themeColor="text1"/>
          <w:sz w:val="20"/>
          <w:szCs w:val="20"/>
        </w:rPr>
      </w:pPr>
    </w:p>
    <w:p w14:paraId="03FBC02C" w14:textId="6A9A0A34" w:rsidR="006833DF" w:rsidRPr="00A112A0" w:rsidRDefault="006833DF" w:rsidP="00A112A0">
      <w:pPr>
        <w:spacing w:after="120"/>
        <w:jc w:val="both"/>
        <w:rPr>
          <w:rFonts w:ascii="Arial" w:eastAsia="Calibri" w:hAnsi="Arial" w:cs="Arial"/>
          <w:bCs/>
          <w:color w:val="000000" w:themeColor="text1"/>
          <w:sz w:val="20"/>
          <w:szCs w:val="20"/>
        </w:rPr>
      </w:pPr>
      <w:r>
        <w:rPr>
          <w:rFonts w:ascii="Arial" w:eastAsia="Calibri" w:hAnsi="Arial" w:cs="Arial"/>
          <w:color w:val="000000" w:themeColor="text1"/>
          <w:sz w:val="20"/>
          <w:szCs w:val="20"/>
        </w:rPr>
        <w:t xml:space="preserve">[…] </w:t>
      </w:r>
      <w:r w:rsidR="00F77852">
        <w:rPr>
          <w:rFonts w:ascii="Arial" w:eastAsia="Calibri" w:hAnsi="Arial" w:cs="Arial"/>
          <w:color w:val="000000" w:themeColor="text1"/>
          <w:sz w:val="20"/>
          <w:szCs w:val="20"/>
        </w:rPr>
        <w:t>e</w:t>
      </w:r>
      <w:r w:rsidR="00954313" w:rsidRPr="00747B16">
        <w:rPr>
          <w:rFonts w:ascii="Arial" w:eastAsia="Calibri" w:hAnsi="Arial" w:cs="Arial"/>
          <w:color w:val="000000" w:themeColor="text1"/>
          <w:sz w:val="20"/>
          <w:szCs w:val="20"/>
        </w:rPr>
        <w:t xml:space="preserve">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w:t>
      </w:r>
      <w:proofErr w:type="spellStart"/>
      <w:r w:rsidR="00954313" w:rsidRPr="00747B16">
        <w:rPr>
          <w:rFonts w:ascii="Arial" w:eastAsia="Calibri" w:hAnsi="Arial" w:cs="Arial"/>
          <w:color w:val="000000" w:themeColor="text1"/>
          <w:sz w:val="20"/>
          <w:szCs w:val="20"/>
        </w:rPr>
        <w:t>ii</w:t>
      </w:r>
      <w:proofErr w:type="spellEnd"/>
      <w:r w:rsidR="00954313" w:rsidRPr="00747B16">
        <w:rPr>
          <w:rFonts w:ascii="Arial" w:eastAsia="Calibri" w:hAnsi="Arial" w:cs="Arial"/>
          <w:color w:val="000000" w:themeColor="text1"/>
          <w:sz w:val="20"/>
          <w:szCs w:val="20"/>
        </w:rPr>
        <w:t>) en relación con los procedimientos, lineamientos y políticas en materia de adquisición se deberán publicar</w:t>
      </w:r>
      <w:r w:rsidR="00954313" w:rsidRPr="00A112A0">
        <w:rPr>
          <w:rFonts w:ascii="Arial" w:eastAsia="Calibri" w:hAnsi="Arial" w:cs="Arial"/>
          <w:bCs/>
          <w:color w:val="000000" w:themeColor="text1"/>
          <w:sz w:val="20"/>
          <w:szCs w:val="20"/>
        </w:rPr>
        <w:t xml:space="preserve"> los documentos previstos en el manual de contratación de la entidad y, finalmente, </w:t>
      </w:r>
      <w:proofErr w:type="spellStart"/>
      <w:r w:rsidR="00954313" w:rsidRPr="00A112A0">
        <w:rPr>
          <w:rFonts w:ascii="Arial" w:eastAsia="Calibri" w:hAnsi="Arial" w:cs="Arial"/>
          <w:bCs/>
          <w:color w:val="000000" w:themeColor="text1"/>
          <w:sz w:val="20"/>
          <w:szCs w:val="20"/>
        </w:rPr>
        <w:t>iii</w:t>
      </w:r>
      <w:proofErr w:type="spellEnd"/>
      <w:r w:rsidR="00954313" w:rsidRPr="00A112A0">
        <w:rPr>
          <w:rFonts w:ascii="Arial" w:eastAsia="Calibri" w:hAnsi="Arial" w:cs="Arial"/>
          <w:bCs/>
          <w:color w:val="000000" w:themeColor="text1"/>
          <w:sz w:val="20"/>
          <w:szCs w:val="20"/>
        </w:rPr>
        <w:t xml:space="preserve">) el plan anual de adquisiciones. </w:t>
      </w:r>
    </w:p>
    <w:p w14:paraId="74E5396E" w14:textId="06D712E0" w:rsidR="00954313" w:rsidRPr="00747B16" w:rsidRDefault="00954313" w:rsidP="00E758EE">
      <w:pPr>
        <w:jc w:val="both"/>
        <w:rPr>
          <w:rFonts w:ascii="Arial" w:eastAsia="Calibri" w:hAnsi="Arial" w:cs="Arial"/>
          <w:color w:val="000000" w:themeColor="text1"/>
          <w:sz w:val="20"/>
          <w:szCs w:val="20"/>
        </w:rPr>
      </w:pPr>
      <w:r w:rsidRPr="00A112A0">
        <w:rPr>
          <w:rFonts w:ascii="Arial" w:eastAsia="Calibri" w:hAnsi="Arial" w:cs="Arial"/>
          <w:bCs/>
          <w:color w:val="000000" w:themeColor="text1"/>
          <w:sz w:val="20"/>
          <w:szCs w:val="20"/>
        </w:rPr>
        <w:t>Frente al segundo grupo de documentos, debido a que estas entidades están sometidas al derecho privado, y por lo tanto no celebran</w:t>
      </w:r>
      <w:r w:rsidRPr="00747B16">
        <w:rPr>
          <w:rFonts w:ascii="Arial" w:eastAsia="Calibri" w:hAnsi="Arial" w:cs="Arial"/>
          <w:color w:val="000000" w:themeColor="text1"/>
          <w:sz w:val="20"/>
          <w:szCs w:val="20"/>
        </w:rPr>
        <w:t xml:space="preserve"> sus procesos de contratación con las modalidades de contratación previstas en la Ley 80 de 1993; cada una definirá en su manual de contratación el procedimiento para la contratación de sus bienes y servicios. </w:t>
      </w:r>
    </w:p>
    <w:p w14:paraId="18D9270D" w14:textId="77777777" w:rsidR="00954313" w:rsidRPr="00747B16" w:rsidRDefault="00954313" w:rsidP="00E758EE">
      <w:pPr>
        <w:jc w:val="both"/>
        <w:rPr>
          <w:rFonts w:ascii="Arial" w:eastAsia="Calibri" w:hAnsi="Arial" w:cs="Arial"/>
          <w:b/>
          <w:bCs/>
          <w:color w:val="000000" w:themeColor="text1"/>
          <w:sz w:val="20"/>
          <w:szCs w:val="20"/>
          <w:lang w:val="es-ES_tradnl"/>
        </w:rPr>
      </w:pPr>
    </w:p>
    <w:p w14:paraId="5DBBE6ED" w14:textId="0F49E512" w:rsidR="00954313" w:rsidRPr="00747B16" w:rsidRDefault="00954313" w:rsidP="00E758EE">
      <w:pPr>
        <w:pStyle w:val="Prrafodelista"/>
        <w:ind w:left="0"/>
        <w:jc w:val="both"/>
        <w:rPr>
          <w:rFonts w:ascii="Arial" w:eastAsia="Calibri" w:hAnsi="Arial" w:cs="Arial"/>
          <w:b/>
          <w:color w:val="000000" w:themeColor="text1"/>
          <w:sz w:val="22"/>
          <w:szCs w:val="20"/>
        </w:rPr>
      </w:pPr>
      <w:r w:rsidRPr="00747B16">
        <w:rPr>
          <w:rFonts w:ascii="Arial" w:eastAsia="Calibri" w:hAnsi="Arial" w:cs="Arial"/>
          <w:b/>
          <w:color w:val="000000" w:themeColor="text1"/>
          <w:sz w:val="22"/>
          <w:szCs w:val="20"/>
        </w:rPr>
        <w:t xml:space="preserve">SECOP </w:t>
      </w:r>
      <w:r w:rsidR="00F77852">
        <w:rPr>
          <w:rFonts w:ascii="Arial" w:eastAsia="Calibri" w:hAnsi="Arial" w:cs="Arial"/>
          <w:b/>
          <w:bCs/>
          <w:color w:val="000000" w:themeColor="text1"/>
          <w:sz w:val="22"/>
        </w:rPr>
        <w:t>–</w:t>
      </w:r>
      <w:r w:rsidRPr="00747B16">
        <w:rPr>
          <w:rFonts w:ascii="Arial" w:eastAsia="Calibri" w:hAnsi="Arial" w:cs="Arial"/>
          <w:b/>
          <w:color w:val="000000" w:themeColor="text1"/>
          <w:sz w:val="22"/>
          <w:szCs w:val="20"/>
        </w:rPr>
        <w:t xml:space="preserve"> Publicidad </w:t>
      </w:r>
      <w:r w:rsidRPr="00747B16">
        <w:rPr>
          <w:rFonts w:ascii="Arial" w:eastAsia="Calibri" w:hAnsi="Arial" w:cs="Arial"/>
          <w:b/>
          <w:color w:val="000000" w:themeColor="text1"/>
          <w:sz w:val="22"/>
          <w:szCs w:val="20"/>
        </w:rPr>
        <w:softHyphen/>
      </w:r>
      <w:r w:rsidR="00F77852">
        <w:rPr>
          <w:rFonts w:ascii="Arial" w:eastAsia="Calibri" w:hAnsi="Arial" w:cs="Arial"/>
          <w:b/>
          <w:bCs/>
          <w:color w:val="000000" w:themeColor="text1"/>
          <w:sz w:val="22"/>
        </w:rPr>
        <w:t>–</w:t>
      </w:r>
      <w:r w:rsidRPr="00747B16">
        <w:rPr>
          <w:rFonts w:ascii="Arial" w:eastAsia="Calibri" w:hAnsi="Arial" w:cs="Arial"/>
          <w:b/>
          <w:color w:val="000000" w:themeColor="text1"/>
          <w:sz w:val="22"/>
          <w:szCs w:val="20"/>
        </w:rPr>
        <w:t xml:space="preserve"> Oportunidad </w:t>
      </w:r>
      <w:r w:rsidR="00F77852">
        <w:rPr>
          <w:rFonts w:ascii="Arial" w:eastAsia="Calibri" w:hAnsi="Arial" w:cs="Arial"/>
          <w:b/>
          <w:bCs/>
          <w:color w:val="000000" w:themeColor="text1"/>
          <w:sz w:val="22"/>
        </w:rPr>
        <w:t xml:space="preserve">– </w:t>
      </w:r>
      <w:r w:rsidRPr="00747B16">
        <w:rPr>
          <w:rFonts w:ascii="Arial" w:eastAsia="Calibri" w:hAnsi="Arial" w:cs="Arial"/>
          <w:b/>
          <w:color w:val="000000" w:themeColor="text1"/>
          <w:sz w:val="22"/>
          <w:szCs w:val="20"/>
        </w:rPr>
        <w:t>3 días</w:t>
      </w:r>
    </w:p>
    <w:p w14:paraId="0C96FDB3" w14:textId="77777777" w:rsidR="00954313" w:rsidRPr="00747B16" w:rsidRDefault="00954313" w:rsidP="00747B16">
      <w:pPr>
        <w:pStyle w:val="Prrafodelista"/>
        <w:ind w:left="0"/>
        <w:jc w:val="both"/>
        <w:rPr>
          <w:rFonts w:ascii="Arial" w:eastAsia="Calibri" w:hAnsi="Arial" w:cs="Arial"/>
          <w:color w:val="000000" w:themeColor="text1"/>
          <w:sz w:val="20"/>
          <w:szCs w:val="20"/>
        </w:rPr>
      </w:pPr>
    </w:p>
    <w:p w14:paraId="32F80E23" w14:textId="77777777" w:rsidR="00A112A0" w:rsidRDefault="00954313" w:rsidP="0050776A">
      <w:pPr>
        <w:spacing w:after="120"/>
        <w:jc w:val="both"/>
        <w:rPr>
          <w:rFonts w:ascii="Arial" w:eastAsia="Calibri" w:hAnsi="Arial" w:cs="Arial"/>
          <w:color w:val="000000" w:themeColor="text1"/>
          <w:sz w:val="20"/>
          <w:szCs w:val="20"/>
        </w:rPr>
      </w:pPr>
      <w:r w:rsidRPr="00747B16">
        <w:rPr>
          <w:rFonts w:ascii="Arial" w:eastAsia="Calibri" w:hAnsi="Arial" w:cs="Arial"/>
          <w:color w:val="000000" w:themeColor="text1"/>
          <w:sz w:val="20"/>
          <w:szCs w:val="20"/>
        </w:rPr>
        <w:t>Por su parte, el artículo 2.2.1.1.1.3.1. del Decreto 1082 de 2015 dice que los «Documentos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2647BD62" w14:textId="77777777" w:rsidR="00A112A0" w:rsidRDefault="00954313" w:rsidP="0050776A">
      <w:pPr>
        <w:spacing w:after="120"/>
        <w:jc w:val="both"/>
        <w:rPr>
          <w:rFonts w:ascii="Arial" w:eastAsia="Calibri" w:hAnsi="Arial" w:cs="Arial"/>
          <w:color w:val="000000" w:themeColor="text1"/>
          <w:sz w:val="20"/>
          <w:szCs w:val="20"/>
        </w:rPr>
      </w:pPr>
      <w:r w:rsidRPr="00747B16">
        <w:rPr>
          <w:rFonts w:ascii="Arial" w:eastAsia="Calibri" w:hAnsi="Arial" w:cs="Arial"/>
          <w:color w:val="000000" w:themeColor="text1"/>
          <w:sz w:val="20"/>
          <w:szCs w:val="20"/>
        </w:rPr>
        <w:t>A su vez, el artículo 2.2.1.2.1.4.3. del mismo Decreto establece excepciones a la publicidad de los estudios y documentos previos, indicando: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w:t>
      </w:r>
      <w:r w:rsidR="00D427EB" w:rsidRPr="00747B16">
        <w:rPr>
          <w:rFonts w:ascii="Arial" w:eastAsia="Calibri" w:hAnsi="Arial" w:cs="Arial"/>
          <w:color w:val="000000" w:themeColor="text1"/>
          <w:sz w:val="20"/>
          <w:szCs w:val="20"/>
        </w:rPr>
        <w:t xml:space="preserve">ue se refiere el 2.2.1.2.1.4.6 </w:t>
      </w:r>
      <w:r w:rsidRPr="00747B16">
        <w:rPr>
          <w:rFonts w:ascii="Arial" w:eastAsia="Calibri" w:hAnsi="Arial" w:cs="Arial"/>
          <w:color w:val="000000" w:themeColor="text1"/>
          <w:sz w:val="20"/>
          <w:szCs w:val="20"/>
        </w:rPr>
        <w:t xml:space="preserve">del presente decreto». </w:t>
      </w:r>
    </w:p>
    <w:p w14:paraId="178F6936" w14:textId="3666F167" w:rsidR="00954313" w:rsidRPr="00747B16" w:rsidRDefault="00954313" w:rsidP="0050776A">
      <w:pPr>
        <w:spacing w:after="120"/>
        <w:jc w:val="both"/>
        <w:rPr>
          <w:rFonts w:ascii="Arial" w:eastAsia="Calibri" w:hAnsi="Arial" w:cs="Arial"/>
          <w:color w:val="000000" w:themeColor="text1"/>
          <w:sz w:val="20"/>
          <w:szCs w:val="20"/>
        </w:rPr>
      </w:pPr>
      <w:r w:rsidRPr="798A939A">
        <w:rPr>
          <w:rFonts w:ascii="Arial" w:eastAsia="Calibri" w:hAnsi="Arial" w:cs="Arial"/>
          <w:color w:val="000000" w:themeColor="text1"/>
          <w:sz w:val="20"/>
          <w:szCs w:val="20"/>
        </w:rPr>
        <w:t>Como puede observarse, el gobierno nacional estableció algunas excepciones a la publicidad de los documentos del proceso en el SECOP durante los tres (3) días siguientes a su expedición en la modalidad de contratación directa; lo que permite concluir que aquellos casos que no estén exceptuados en forma explícita de dicho deber ingresan dentro de la regla general. Con fundamento en esta idea, cabe precisar que en la contratación directa los documentos del proceso también deben ser publicados en la oportunidad indicada, teniendo en cuenta la causal de que se trate. Verbigracia, para la celebración de contratos de prestación de servicios profesionales, de apoyo a la gestión o para la realización de actividades artísticas que solo pueden encomendarse a determinadas personas naturales no se requiere expedir previamente el acto administrativo de justifica</w:t>
      </w:r>
      <w:r w:rsidR="00D427EB" w:rsidRPr="798A939A">
        <w:rPr>
          <w:rFonts w:ascii="Arial" w:eastAsia="Calibri" w:hAnsi="Arial" w:cs="Arial"/>
          <w:color w:val="000000" w:themeColor="text1"/>
          <w:sz w:val="20"/>
          <w:szCs w:val="20"/>
        </w:rPr>
        <w:t>ción de la contratación directa</w:t>
      </w:r>
      <w:r w:rsidRPr="798A939A">
        <w:rPr>
          <w:rFonts w:ascii="Arial" w:eastAsia="Calibri" w:hAnsi="Arial" w:cs="Arial"/>
          <w:color w:val="000000" w:themeColor="text1"/>
          <w:sz w:val="20"/>
          <w:szCs w:val="20"/>
        </w:rPr>
        <w:t>. Por lo tanto, en este supuesto, por sustracción de materia, no hay que publicar dicho documento en el SECOP. Algo similar sucede en la contratación de urgencia manifiesta, en la cual no se requiere de la elaboración de estudios y documentos previos, de manera que, obviamente, estos no se publican.</w:t>
      </w:r>
    </w:p>
    <w:p w14:paraId="59A6BF68" w14:textId="77777777" w:rsidR="0050776A" w:rsidRDefault="0050776A" w:rsidP="0050776A">
      <w:pPr>
        <w:pStyle w:val="Default"/>
        <w:rPr>
          <w:sz w:val="22"/>
          <w:szCs w:val="22"/>
        </w:rPr>
      </w:pPr>
      <w:r>
        <w:rPr>
          <w:sz w:val="22"/>
          <w:szCs w:val="22"/>
        </w:rPr>
        <w:lastRenderedPageBreak/>
        <w:t xml:space="preserve">Bogotá D.C., </w:t>
      </w:r>
      <w:r>
        <w:rPr>
          <w:b/>
          <w:bCs/>
          <w:sz w:val="22"/>
          <w:szCs w:val="22"/>
        </w:rPr>
        <w:t xml:space="preserve">03/03/2020 Hora 9:20:53s </w:t>
      </w:r>
    </w:p>
    <w:p w14:paraId="28C890D3" w14:textId="77777777" w:rsidR="0050776A" w:rsidRPr="0007192D" w:rsidRDefault="0050776A" w:rsidP="0050776A">
      <w:pPr>
        <w:tabs>
          <w:tab w:val="left" w:pos="3374"/>
        </w:tabs>
        <w:spacing w:line="276" w:lineRule="auto"/>
        <w:jc w:val="right"/>
        <w:rPr>
          <w:rFonts w:ascii="Arial" w:hAnsi="Arial" w:cs="Arial"/>
          <w:b/>
          <w:bCs/>
          <w:sz w:val="22"/>
        </w:rPr>
      </w:pPr>
      <w:proofErr w:type="spellStart"/>
      <w:r w:rsidRPr="0007192D">
        <w:rPr>
          <w:rFonts w:ascii="Arial" w:hAnsi="Arial" w:cs="Arial"/>
          <w:b/>
          <w:bCs/>
          <w:sz w:val="22"/>
        </w:rPr>
        <w:t>N°</w:t>
      </w:r>
      <w:proofErr w:type="spellEnd"/>
      <w:r w:rsidRPr="0007192D">
        <w:rPr>
          <w:rFonts w:ascii="Arial" w:hAnsi="Arial" w:cs="Arial"/>
          <w:b/>
          <w:bCs/>
          <w:sz w:val="22"/>
        </w:rPr>
        <w:t xml:space="preserve"> Radicado: 2202013000001531</w:t>
      </w:r>
    </w:p>
    <w:p w14:paraId="2E2772E4" w14:textId="33679B96" w:rsidR="00954313" w:rsidRPr="00747B16" w:rsidRDefault="00954313" w:rsidP="0050776A">
      <w:pPr>
        <w:tabs>
          <w:tab w:val="left" w:pos="3374"/>
        </w:tabs>
        <w:spacing w:line="276" w:lineRule="auto"/>
        <w:jc w:val="right"/>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ab/>
      </w:r>
    </w:p>
    <w:p w14:paraId="3A6F612E" w14:textId="77777777" w:rsidR="00954313" w:rsidRPr="00747B16" w:rsidRDefault="00954313" w:rsidP="00954313">
      <w:pPr>
        <w:spacing w:line="276" w:lineRule="auto"/>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Señora</w:t>
      </w:r>
    </w:p>
    <w:p w14:paraId="5DEFFF12" w14:textId="77777777" w:rsidR="00954313" w:rsidRPr="00747B16" w:rsidRDefault="00954313" w:rsidP="00954313">
      <w:pPr>
        <w:spacing w:line="276" w:lineRule="auto"/>
        <w:rPr>
          <w:rFonts w:ascii="Arial" w:eastAsia="Calibri" w:hAnsi="Arial" w:cs="Arial"/>
          <w:b/>
          <w:color w:val="000000" w:themeColor="text1"/>
          <w:sz w:val="22"/>
          <w:lang w:val="es-ES_tradnl"/>
        </w:rPr>
      </w:pPr>
      <w:r w:rsidRPr="00747B16">
        <w:rPr>
          <w:rFonts w:ascii="Arial" w:eastAsia="Calibri" w:hAnsi="Arial" w:cs="Arial"/>
          <w:b/>
          <w:color w:val="000000" w:themeColor="text1"/>
          <w:sz w:val="22"/>
          <w:lang w:val="es-ES_tradnl"/>
        </w:rPr>
        <w:t>María Cristina Collazos</w:t>
      </w:r>
    </w:p>
    <w:p w14:paraId="5B193BD1" w14:textId="77777777" w:rsidR="00954313" w:rsidRPr="00747B16" w:rsidRDefault="00954313" w:rsidP="00954313">
      <w:pPr>
        <w:spacing w:line="276" w:lineRule="auto"/>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Ciudad</w:t>
      </w:r>
    </w:p>
    <w:p w14:paraId="72189870" w14:textId="77777777" w:rsidR="00954313" w:rsidRPr="00747B16" w:rsidRDefault="00954313" w:rsidP="00954313">
      <w:pPr>
        <w:spacing w:line="276" w:lineRule="auto"/>
        <w:jc w:val="center"/>
        <w:rPr>
          <w:rFonts w:ascii="Arial" w:eastAsia="Calibri" w:hAnsi="Arial" w:cs="Arial"/>
          <w:b/>
          <w:color w:val="000000" w:themeColor="text1"/>
          <w:sz w:val="22"/>
          <w:lang w:val="es-ES_tradnl"/>
        </w:rPr>
      </w:pPr>
      <w:r w:rsidRPr="00747B16">
        <w:rPr>
          <w:rFonts w:ascii="Arial" w:eastAsia="Calibri" w:hAnsi="Arial" w:cs="Arial"/>
          <w:b/>
          <w:color w:val="000000" w:themeColor="text1"/>
          <w:sz w:val="22"/>
          <w:lang w:val="es-ES_tradnl"/>
        </w:rPr>
        <w:t>Concepto C ─ 061 de 2020</w:t>
      </w:r>
    </w:p>
    <w:p w14:paraId="349D06E3" w14:textId="77777777" w:rsidR="00954313" w:rsidRPr="00747B16" w:rsidRDefault="00954313" w:rsidP="00954313">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47B16" w:rsidRPr="00747B16" w14:paraId="43ED6290" w14:textId="77777777" w:rsidTr="00C60A71">
        <w:tc>
          <w:tcPr>
            <w:tcW w:w="2689" w:type="dxa"/>
            <w:hideMark/>
          </w:tcPr>
          <w:p w14:paraId="071DF23C" w14:textId="77777777" w:rsidR="00954313" w:rsidRPr="00747B16" w:rsidRDefault="00954313" w:rsidP="00C60A71">
            <w:pPr>
              <w:spacing w:line="276" w:lineRule="auto"/>
              <w:rPr>
                <w:rFonts w:ascii="Arial" w:eastAsia="Calibri" w:hAnsi="Arial" w:cs="Arial"/>
                <w:color w:val="000000" w:themeColor="text1"/>
                <w:sz w:val="22"/>
                <w:lang w:val="es-ES_tradnl"/>
              </w:rPr>
            </w:pPr>
            <w:r w:rsidRPr="00747B16">
              <w:rPr>
                <w:rFonts w:ascii="Arial" w:eastAsia="Calibri" w:hAnsi="Arial" w:cs="Arial"/>
                <w:b/>
                <w:color w:val="000000" w:themeColor="text1"/>
                <w:sz w:val="22"/>
                <w:lang w:val="es-ES_tradnl"/>
              </w:rPr>
              <w:t>Temas:</w:t>
            </w:r>
            <w:r w:rsidRPr="00747B16">
              <w:rPr>
                <w:rFonts w:ascii="Arial" w:eastAsia="Calibri" w:hAnsi="Arial" w:cs="Arial"/>
                <w:color w:val="000000" w:themeColor="text1"/>
                <w:sz w:val="22"/>
                <w:lang w:val="es-ES_tradnl"/>
              </w:rPr>
              <w:t xml:space="preserve">           </w:t>
            </w:r>
          </w:p>
          <w:p w14:paraId="22E28B04" w14:textId="77777777" w:rsidR="00954313" w:rsidRPr="00747B16" w:rsidRDefault="00954313" w:rsidP="00C60A71">
            <w:pPr>
              <w:spacing w:line="276" w:lineRule="auto"/>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 xml:space="preserve">                           </w:t>
            </w:r>
          </w:p>
        </w:tc>
        <w:tc>
          <w:tcPr>
            <w:tcW w:w="6237" w:type="dxa"/>
            <w:hideMark/>
          </w:tcPr>
          <w:p w14:paraId="67FBDA2A" w14:textId="77777777" w:rsidR="00954313" w:rsidRPr="00747B16" w:rsidRDefault="00954313" w:rsidP="00C60A71">
            <w:pPr>
              <w:spacing w:line="276" w:lineRule="auto"/>
              <w:jc w:val="both"/>
              <w:rPr>
                <w:rFonts w:ascii="Arial" w:eastAsia="Calibri" w:hAnsi="Arial" w:cs="Arial"/>
                <w:color w:val="000000" w:themeColor="text1"/>
                <w:sz w:val="22"/>
              </w:rPr>
            </w:pPr>
            <w:r w:rsidRPr="00747B16">
              <w:rPr>
                <w:rFonts w:ascii="Arial" w:eastAsia="Calibri" w:hAnsi="Arial" w:cs="Arial"/>
                <w:color w:val="000000" w:themeColor="text1"/>
                <w:sz w:val="22"/>
                <w:lang w:val="es-ES_tradnl"/>
              </w:rPr>
              <w:t>SECOP – Publicidad – Entidades de régimen especial – Reiteración de Concepto unificado CU-003 de 2020 / SECOP – Publicidad – Documentos / SECOP – Publicidad – Oportunidad – 3 días</w:t>
            </w:r>
          </w:p>
        </w:tc>
      </w:tr>
      <w:tr w:rsidR="00954313" w:rsidRPr="00747B16" w14:paraId="0412661E" w14:textId="77777777" w:rsidTr="00C60A71">
        <w:tc>
          <w:tcPr>
            <w:tcW w:w="2689" w:type="dxa"/>
          </w:tcPr>
          <w:p w14:paraId="04EAF7F9" w14:textId="77777777" w:rsidR="00954313" w:rsidRPr="00747B16" w:rsidRDefault="00954313" w:rsidP="00C60A71">
            <w:pPr>
              <w:spacing w:line="276" w:lineRule="auto"/>
              <w:rPr>
                <w:rFonts w:ascii="Arial" w:eastAsia="Calibri" w:hAnsi="Arial" w:cs="Arial"/>
                <w:b/>
                <w:color w:val="000000" w:themeColor="text1"/>
                <w:sz w:val="22"/>
                <w:lang w:val="es-ES_tradnl"/>
              </w:rPr>
            </w:pPr>
            <w:r w:rsidRPr="00747B16">
              <w:rPr>
                <w:rFonts w:ascii="Arial" w:eastAsia="Calibri" w:hAnsi="Arial" w:cs="Arial"/>
                <w:b/>
                <w:color w:val="000000" w:themeColor="text1"/>
                <w:sz w:val="22"/>
                <w:lang w:val="es-ES_tradnl"/>
              </w:rPr>
              <w:t>Radicación:</w:t>
            </w:r>
            <w:r w:rsidRPr="00747B16">
              <w:rPr>
                <w:rFonts w:ascii="Arial" w:eastAsia="Calibri" w:hAnsi="Arial" w:cs="Arial"/>
                <w:color w:val="000000" w:themeColor="text1"/>
                <w:sz w:val="22"/>
                <w:lang w:val="es-ES_tradnl"/>
              </w:rPr>
              <w:t xml:space="preserve">                              </w:t>
            </w:r>
          </w:p>
        </w:tc>
        <w:tc>
          <w:tcPr>
            <w:tcW w:w="6237" w:type="dxa"/>
          </w:tcPr>
          <w:p w14:paraId="4537ADC6" w14:textId="77777777" w:rsidR="00954313" w:rsidRPr="00747B16" w:rsidRDefault="00954313" w:rsidP="00C60A71">
            <w:pPr>
              <w:spacing w:line="276" w:lineRule="auto"/>
              <w:jc w:val="both"/>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 xml:space="preserve">Respuesta a consulta # </w:t>
            </w:r>
            <w:r w:rsidRPr="00747B16">
              <w:rPr>
                <w:rFonts w:ascii="Arial" w:hAnsi="Arial" w:cs="Arial"/>
                <w:color w:val="000000" w:themeColor="text1"/>
                <w:sz w:val="22"/>
                <w:lang w:val="es-ES_tradnl"/>
              </w:rPr>
              <w:t>4202012000000402</w:t>
            </w:r>
          </w:p>
        </w:tc>
      </w:tr>
    </w:tbl>
    <w:p w14:paraId="5D27EFD5" w14:textId="77777777" w:rsidR="00954313" w:rsidRPr="00747B16" w:rsidRDefault="00954313" w:rsidP="00954313">
      <w:pPr>
        <w:spacing w:line="276" w:lineRule="auto"/>
        <w:rPr>
          <w:rFonts w:ascii="Arial" w:eastAsia="Calibri" w:hAnsi="Arial" w:cs="Arial"/>
          <w:color w:val="000000" w:themeColor="text1"/>
          <w:sz w:val="22"/>
          <w:lang w:val="es-ES_tradnl"/>
        </w:rPr>
      </w:pPr>
    </w:p>
    <w:p w14:paraId="6028B151" w14:textId="77777777" w:rsidR="00954313" w:rsidRPr="00747B16" w:rsidRDefault="00954313" w:rsidP="00954313">
      <w:pPr>
        <w:spacing w:line="276" w:lineRule="auto"/>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Estimada señora Collazos,</w:t>
      </w:r>
    </w:p>
    <w:p w14:paraId="142762B2" w14:textId="77777777" w:rsidR="00954313" w:rsidRPr="00747B16" w:rsidRDefault="00954313" w:rsidP="00954313">
      <w:pPr>
        <w:spacing w:line="276" w:lineRule="auto"/>
        <w:rPr>
          <w:rFonts w:ascii="Arial" w:eastAsia="Calibri" w:hAnsi="Arial" w:cs="Arial"/>
          <w:color w:val="000000" w:themeColor="text1"/>
          <w:sz w:val="22"/>
          <w:lang w:val="es-ES_tradnl"/>
        </w:rPr>
      </w:pPr>
    </w:p>
    <w:p w14:paraId="4601FA37" w14:textId="77777777" w:rsidR="00954313" w:rsidRPr="00747B16" w:rsidRDefault="00954313" w:rsidP="00954313">
      <w:pPr>
        <w:tabs>
          <w:tab w:val="left" w:pos="426"/>
        </w:tabs>
        <w:spacing w:line="276" w:lineRule="auto"/>
        <w:jc w:val="both"/>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La Agencia Nacional de Contratación Pública ― Colombia Compra Eficiente responde su consulta del 21 de enero de 2020, en ejercicio de la competencia otorgada por el numeral 8 del artículo 11 y el numeral 5 del artículo 3 del Decreto Ley 4170 de 2011.</w:t>
      </w:r>
    </w:p>
    <w:p w14:paraId="54E8E89F" w14:textId="77777777" w:rsidR="00954313" w:rsidRPr="00E758EE" w:rsidRDefault="00954313" w:rsidP="00954313">
      <w:pPr>
        <w:tabs>
          <w:tab w:val="left" w:pos="426"/>
        </w:tabs>
        <w:spacing w:line="276" w:lineRule="auto"/>
        <w:jc w:val="both"/>
        <w:rPr>
          <w:rFonts w:ascii="Arial" w:eastAsia="Calibri" w:hAnsi="Arial" w:cs="Arial"/>
          <w:color w:val="000000" w:themeColor="text1"/>
          <w:sz w:val="20"/>
          <w:szCs w:val="20"/>
          <w:lang w:val="es-ES_tradnl"/>
        </w:rPr>
      </w:pPr>
    </w:p>
    <w:p w14:paraId="0630F109" w14:textId="77777777" w:rsidR="00954313" w:rsidRPr="00747B16" w:rsidRDefault="00954313" w:rsidP="00954313">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747B16">
        <w:rPr>
          <w:rFonts w:ascii="Arial" w:eastAsia="Calibri" w:hAnsi="Arial" w:cs="Arial"/>
          <w:b/>
          <w:color w:val="000000" w:themeColor="text1"/>
          <w:sz w:val="22"/>
          <w:lang w:val="es-ES_tradnl"/>
        </w:rPr>
        <w:t xml:space="preserve">Problemas planteados </w:t>
      </w:r>
    </w:p>
    <w:p w14:paraId="1E9B8E82" w14:textId="77777777" w:rsidR="00954313" w:rsidRPr="00E758EE" w:rsidRDefault="00954313" w:rsidP="00954313">
      <w:pPr>
        <w:tabs>
          <w:tab w:val="left" w:pos="426"/>
        </w:tabs>
        <w:spacing w:line="276" w:lineRule="auto"/>
        <w:jc w:val="both"/>
        <w:rPr>
          <w:rFonts w:ascii="Arial" w:eastAsia="Calibri" w:hAnsi="Arial" w:cs="Arial"/>
          <w:b/>
          <w:color w:val="000000" w:themeColor="text1"/>
          <w:sz w:val="20"/>
          <w:szCs w:val="20"/>
          <w:lang w:val="es-ES_tradnl"/>
        </w:rPr>
      </w:pPr>
    </w:p>
    <w:p w14:paraId="50B6D975" w14:textId="77777777" w:rsidR="00954313" w:rsidRPr="00747B16" w:rsidRDefault="00954313" w:rsidP="00954313">
      <w:pPr>
        <w:tabs>
          <w:tab w:val="left" w:pos="426"/>
        </w:tabs>
        <w:spacing w:line="276" w:lineRule="auto"/>
        <w:jc w:val="both"/>
        <w:rPr>
          <w:rFonts w:ascii="Arial" w:eastAsia="Calibri" w:hAnsi="Arial" w:cs="Arial"/>
          <w:color w:val="000000" w:themeColor="text1"/>
          <w:sz w:val="22"/>
        </w:rPr>
      </w:pPr>
      <w:r w:rsidRPr="00747B16">
        <w:rPr>
          <w:rFonts w:ascii="Arial" w:eastAsia="Calibri" w:hAnsi="Arial" w:cs="Arial"/>
          <w:color w:val="000000" w:themeColor="text1"/>
          <w:sz w:val="22"/>
          <w:lang w:val="es-ES_tradnl"/>
        </w:rPr>
        <w:t xml:space="preserve">Usted realiza las siguientes preguntas, relacionadas con el deber de publicación de los documentos del proceso en el SECOP: i) «¿en una contratación directa es necesario publicar los estudios previos dentro de los tres (3) días siguientes a su aprobación, antes de culminar el proceso de contratación o sea realizar el respectivo contrato?», o </w:t>
      </w:r>
      <w:proofErr w:type="spellStart"/>
      <w:r w:rsidRPr="00747B16">
        <w:rPr>
          <w:rFonts w:ascii="Arial" w:eastAsia="Calibri" w:hAnsi="Arial" w:cs="Arial"/>
          <w:color w:val="000000" w:themeColor="text1"/>
          <w:sz w:val="22"/>
          <w:lang w:val="es-ES_tradnl"/>
        </w:rPr>
        <w:t>ii</w:t>
      </w:r>
      <w:proofErr w:type="spellEnd"/>
      <w:r w:rsidRPr="00747B16">
        <w:rPr>
          <w:rFonts w:ascii="Arial" w:eastAsia="Calibri" w:hAnsi="Arial" w:cs="Arial"/>
          <w:color w:val="000000" w:themeColor="text1"/>
          <w:sz w:val="22"/>
          <w:lang w:val="es-ES_tradnl"/>
        </w:rPr>
        <w:t>) «¿A lo que hace referencia la norma es que en tratándose de contratación directa, la publicación debe realizarse una vez se haya realizado el contrato, dentro de los tres (3) días siguientes a la firma o legalización del contrato, publicando todos los documentos del proceso contractual?».</w:t>
      </w:r>
    </w:p>
    <w:p w14:paraId="555A7B48" w14:textId="77777777" w:rsidR="00954313" w:rsidRPr="00E758EE" w:rsidRDefault="00954313" w:rsidP="00954313">
      <w:pPr>
        <w:tabs>
          <w:tab w:val="left" w:pos="426"/>
        </w:tabs>
        <w:spacing w:line="276" w:lineRule="auto"/>
        <w:jc w:val="both"/>
        <w:rPr>
          <w:rFonts w:ascii="Arial" w:eastAsia="Calibri" w:hAnsi="Arial" w:cs="Arial"/>
          <w:color w:val="000000" w:themeColor="text1"/>
          <w:sz w:val="20"/>
          <w:szCs w:val="20"/>
          <w:lang w:val="es-ES_tradnl"/>
        </w:rPr>
      </w:pPr>
    </w:p>
    <w:p w14:paraId="0C02A4BC" w14:textId="77777777" w:rsidR="00954313" w:rsidRPr="00747B16" w:rsidRDefault="00954313" w:rsidP="00954313">
      <w:pPr>
        <w:tabs>
          <w:tab w:val="left" w:pos="426"/>
        </w:tabs>
        <w:spacing w:line="276" w:lineRule="auto"/>
        <w:jc w:val="both"/>
        <w:rPr>
          <w:rFonts w:ascii="Arial" w:eastAsia="Calibri" w:hAnsi="Arial" w:cs="Arial"/>
          <w:b/>
          <w:color w:val="000000" w:themeColor="text1"/>
          <w:sz w:val="22"/>
          <w:lang w:val="es-ES_tradnl"/>
        </w:rPr>
      </w:pPr>
      <w:r w:rsidRPr="00747B16">
        <w:rPr>
          <w:rFonts w:ascii="Arial" w:eastAsia="Calibri" w:hAnsi="Arial" w:cs="Arial"/>
          <w:b/>
          <w:color w:val="000000" w:themeColor="text1"/>
          <w:sz w:val="22"/>
          <w:lang w:val="es-ES_tradnl"/>
        </w:rPr>
        <w:t>2. Consideraciones</w:t>
      </w:r>
    </w:p>
    <w:bookmarkEnd w:id="0"/>
    <w:bookmarkEnd w:id="1"/>
    <w:p w14:paraId="5C76689B" w14:textId="77777777" w:rsidR="00954313" w:rsidRPr="00E758EE" w:rsidRDefault="00954313" w:rsidP="00954313">
      <w:pPr>
        <w:spacing w:line="276" w:lineRule="auto"/>
        <w:jc w:val="both"/>
        <w:rPr>
          <w:rFonts w:ascii="Arial" w:hAnsi="Arial" w:cs="Arial"/>
          <w:color w:val="000000" w:themeColor="text1"/>
          <w:sz w:val="20"/>
          <w:szCs w:val="20"/>
          <w:lang w:val="es-ES_tradnl"/>
        </w:rPr>
      </w:pPr>
    </w:p>
    <w:p w14:paraId="4597F7DF" w14:textId="77777777" w:rsidR="00954313" w:rsidRPr="00747B16" w:rsidRDefault="00954313" w:rsidP="00954313">
      <w:pPr>
        <w:spacing w:line="276" w:lineRule="auto"/>
        <w:jc w:val="both"/>
        <w:rPr>
          <w:rFonts w:ascii="Arial" w:eastAsia="Calibri" w:hAnsi="Arial" w:cs="Arial"/>
          <w:color w:val="000000" w:themeColor="text1"/>
          <w:sz w:val="22"/>
        </w:rPr>
      </w:pPr>
      <w:r w:rsidRPr="00747B16">
        <w:rPr>
          <w:rFonts w:ascii="Arial" w:hAnsi="Arial" w:cs="Arial"/>
          <w:color w:val="000000" w:themeColor="text1"/>
          <w:sz w:val="22"/>
          <w:lang w:val="es-ES_tradnl"/>
        </w:rPr>
        <w:t xml:space="preserve">Para resolver esta consulta se hará un análisis de los siguientes temas: i) </w:t>
      </w:r>
      <w:r w:rsidRPr="00747B16">
        <w:rPr>
          <w:rFonts w:ascii="Arial" w:eastAsia="Calibri" w:hAnsi="Arial" w:cs="Arial"/>
          <w:color w:val="000000" w:themeColor="text1"/>
          <w:sz w:val="22"/>
        </w:rPr>
        <w:t xml:space="preserve">el SECOP, como plataforma que las entidades deben utilizar para publicar la actividad contractual y </w:t>
      </w:r>
      <w:proofErr w:type="spellStart"/>
      <w:r w:rsidRPr="00747B16">
        <w:rPr>
          <w:rFonts w:ascii="Arial" w:eastAsia="Calibri" w:hAnsi="Arial" w:cs="Arial"/>
          <w:color w:val="000000" w:themeColor="text1"/>
          <w:sz w:val="22"/>
        </w:rPr>
        <w:t>ii</w:t>
      </w:r>
      <w:proofErr w:type="spellEnd"/>
      <w:r w:rsidRPr="00747B16">
        <w:rPr>
          <w:rFonts w:ascii="Arial" w:eastAsia="Calibri" w:hAnsi="Arial" w:cs="Arial"/>
          <w:color w:val="000000" w:themeColor="text1"/>
          <w:sz w:val="22"/>
        </w:rPr>
        <w:t>) documentos contractuales que deben publicarse, así como el momento de su publicación.</w:t>
      </w:r>
    </w:p>
    <w:p w14:paraId="720CFFA0" w14:textId="6EAB0FEF" w:rsidR="00954313" w:rsidRPr="00747B16" w:rsidRDefault="00954313" w:rsidP="00954313">
      <w:pPr>
        <w:spacing w:line="276" w:lineRule="auto"/>
        <w:jc w:val="both"/>
        <w:rPr>
          <w:rFonts w:ascii="Arial" w:hAnsi="Arial" w:cs="Arial"/>
          <w:color w:val="000000" w:themeColor="text1"/>
          <w:sz w:val="22"/>
          <w:lang w:val="es-ES_tradnl"/>
        </w:rPr>
      </w:pPr>
      <w:r w:rsidRPr="00747B16">
        <w:rPr>
          <w:rFonts w:ascii="Arial" w:eastAsia="Calibri" w:hAnsi="Arial" w:cs="Arial"/>
          <w:color w:val="000000" w:themeColor="text1"/>
          <w:sz w:val="22"/>
        </w:rPr>
        <w:t>En este concepto se reiter</w:t>
      </w:r>
      <w:r w:rsidR="004172A0" w:rsidRPr="00747B16">
        <w:rPr>
          <w:rFonts w:ascii="Arial" w:eastAsia="Calibri" w:hAnsi="Arial" w:cs="Arial"/>
          <w:color w:val="000000" w:themeColor="text1"/>
          <w:sz w:val="22"/>
        </w:rPr>
        <w:t>ar</w:t>
      </w:r>
      <w:r w:rsidRPr="00747B16">
        <w:rPr>
          <w:rFonts w:ascii="Arial" w:eastAsia="Calibri" w:hAnsi="Arial" w:cs="Arial"/>
          <w:color w:val="000000" w:themeColor="text1"/>
          <w:sz w:val="22"/>
        </w:rPr>
        <w:t xml:space="preserve">án las tesis expuestas en los conceptos expedidos para responder las consultas con radicado No. 4201912000008073 del 2 de diciembre de 2019, No. 420201200000029 del 3 de enero de 2020 y No. </w:t>
      </w:r>
      <w:r w:rsidRPr="00747B16">
        <w:rPr>
          <w:rFonts w:ascii="Arial" w:hAnsi="Arial" w:cs="Arial"/>
          <w:color w:val="000000" w:themeColor="text1"/>
          <w:sz w:val="22"/>
          <w:lang w:val="es-ES_tradnl"/>
        </w:rPr>
        <w:t xml:space="preserve">4202012000000944 del 10 de febrero de 2020. </w:t>
      </w:r>
    </w:p>
    <w:p w14:paraId="77B78041" w14:textId="77777777" w:rsidR="00954313" w:rsidRPr="00747B16" w:rsidRDefault="00954313" w:rsidP="00954313">
      <w:pPr>
        <w:spacing w:before="120" w:line="276" w:lineRule="auto"/>
        <w:ind w:firstLine="709"/>
        <w:jc w:val="both"/>
        <w:rPr>
          <w:rFonts w:ascii="Arial" w:eastAsia="Calibri" w:hAnsi="Arial" w:cs="Arial"/>
          <w:bCs/>
          <w:color w:val="000000" w:themeColor="text1"/>
          <w:sz w:val="22"/>
        </w:rPr>
      </w:pPr>
      <w:r w:rsidRPr="00747B16">
        <w:rPr>
          <w:rFonts w:ascii="Arial" w:eastAsia="Calibri" w:hAnsi="Arial" w:cs="Arial"/>
          <w:bCs/>
          <w:color w:val="000000" w:themeColor="text1"/>
          <w:sz w:val="22"/>
        </w:rPr>
        <w:t xml:space="preserve">La Agencia Nacional de Contratación Pública estudió por primera vez este tema en la consulta No. 4201913000005397 del 9 de agosto de 2019 y reiteró la posición en las </w:t>
      </w:r>
      <w:r w:rsidRPr="00747B16">
        <w:rPr>
          <w:rFonts w:ascii="Arial" w:eastAsia="Calibri" w:hAnsi="Arial" w:cs="Arial"/>
          <w:bCs/>
          <w:color w:val="000000" w:themeColor="text1"/>
          <w:sz w:val="22"/>
        </w:rPr>
        <w:lastRenderedPageBreak/>
        <w:t xml:space="preserve">siguientes consultas: 4201912000006611 del 25 de septiembre de 2019, 4201913000006847 del 4 de octubre de 2019, 4201912000007762 del 18 de noviembre de 2019 y 4201912000007828 del 13 de noviembre de 2019. Finalmente, en Concepto unificado C-003 de 2020 sostuvo la idea que se reitera a continuación: </w:t>
      </w:r>
    </w:p>
    <w:p w14:paraId="55C02371" w14:textId="77777777" w:rsidR="00954313" w:rsidRPr="00E758EE" w:rsidRDefault="00954313" w:rsidP="00954313">
      <w:pPr>
        <w:spacing w:line="276" w:lineRule="auto"/>
        <w:jc w:val="both"/>
        <w:rPr>
          <w:rFonts w:ascii="Arial" w:hAnsi="Arial" w:cs="Arial"/>
          <w:color w:val="000000" w:themeColor="text1"/>
          <w:sz w:val="20"/>
          <w:szCs w:val="20"/>
          <w:lang w:val="es-ES"/>
        </w:rPr>
      </w:pPr>
    </w:p>
    <w:p w14:paraId="471C7A32" w14:textId="77777777" w:rsidR="00954313" w:rsidRPr="00747B16" w:rsidRDefault="00954313" w:rsidP="00954313">
      <w:pPr>
        <w:tabs>
          <w:tab w:val="left" w:pos="426"/>
        </w:tabs>
        <w:spacing w:line="276" w:lineRule="auto"/>
        <w:jc w:val="both"/>
        <w:rPr>
          <w:rFonts w:ascii="Arial" w:eastAsia="Calibri" w:hAnsi="Arial" w:cs="Arial"/>
          <w:b/>
          <w:color w:val="000000" w:themeColor="text1"/>
          <w:sz w:val="22"/>
        </w:rPr>
      </w:pPr>
      <w:r w:rsidRPr="00747B16">
        <w:rPr>
          <w:rFonts w:ascii="Arial" w:eastAsia="Calibri" w:hAnsi="Arial" w:cs="Arial"/>
          <w:b/>
          <w:color w:val="000000" w:themeColor="text1"/>
          <w:sz w:val="22"/>
        </w:rPr>
        <w:t>2.1. Publicidad de la actividad contractual en el Sistema Electrónico de Contratación Pública –SECOP–</w:t>
      </w:r>
    </w:p>
    <w:p w14:paraId="2A88A955" w14:textId="77777777" w:rsidR="00954313" w:rsidRPr="00E758EE" w:rsidRDefault="00954313" w:rsidP="00954313">
      <w:pPr>
        <w:pStyle w:val="Prrafodelista"/>
        <w:spacing w:line="276" w:lineRule="auto"/>
        <w:ind w:left="0" w:firstLine="709"/>
        <w:jc w:val="both"/>
        <w:rPr>
          <w:rFonts w:ascii="Arial" w:eastAsia="Calibri" w:hAnsi="Arial" w:cs="Arial"/>
          <w:b/>
          <w:color w:val="000000" w:themeColor="text1"/>
          <w:sz w:val="20"/>
          <w:szCs w:val="20"/>
        </w:rPr>
      </w:pPr>
    </w:p>
    <w:p w14:paraId="57D4DB33" w14:textId="77777777" w:rsidR="00954313" w:rsidRPr="00747B16" w:rsidRDefault="00954313" w:rsidP="00954313">
      <w:pPr>
        <w:spacing w:line="276" w:lineRule="auto"/>
        <w:ind w:firstLine="709"/>
        <w:jc w:val="both"/>
        <w:rPr>
          <w:rFonts w:ascii="Arial" w:eastAsia="Calibri" w:hAnsi="Arial" w:cs="Arial"/>
          <w:color w:val="000000" w:themeColor="text1"/>
          <w:sz w:val="22"/>
        </w:rPr>
      </w:pPr>
      <w:r w:rsidRPr="00747B16">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conocimiento tener la posibilidad de exigir que se cumplan conforme a la ley: </w:t>
      </w:r>
    </w:p>
    <w:p w14:paraId="1BEA0BA5" w14:textId="77777777" w:rsidR="00954313" w:rsidRPr="00747B16" w:rsidRDefault="00954313" w:rsidP="00954313">
      <w:pPr>
        <w:ind w:firstLine="709"/>
        <w:jc w:val="both"/>
        <w:rPr>
          <w:rFonts w:ascii="Arial" w:eastAsia="Calibri" w:hAnsi="Arial" w:cs="Arial"/>
          <w:color w:val="000000" w:themeColor="text1"/>
          <w:sz w:val="22"/>
        </w:rPr>
      </w:pPr>
    </w:p>
    <w:p w14:paraId="7CCD83CB" w14:textId="77777777" w:rsidR="00954313" w:rsidRPr="00747B16" w:rsidRDefault="00954313" w:rsidP="00954313">
      <w:pPr>
        <w:tabs>
          <w:tab w:val="left" w:pos="3885"/>
        </w:tabs>
        <w:ind w:left="709" w:right="709"/>
        <w:jc w:val="both"/>
        <w:rPr>
          <w:rFonts w:ascii="Arial" w:hAnsi="Arial" w:cs="Arial"/>
          <w:color w:val="000000" w:themeColor="text1"/>
          <w:sz w:val="21"/>
          <w:szCs w:val="21"/>
          <w:lang w:val="es-ES"/>
        </w:rPr>
      </w:pPr>
      <w:r w:rsidRPr="00747B16">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345EE31" w14:textId="77777777" w:rsidR="00954313" w:rsidRPr="00747B16" w:rsidRDefault="00954313" w:rsidP="00954313">
      <w:pPr>
        <w:tabs>
          <w:tab w:val="left" w:pos="3885"/>
        </w:tabs>
        <w:ind w:left="709" w:right="709"/>
        <w:jc w:val="both"/>
        <w:rPr>
          <w:rFonts w:ascii="Arial" w:hAnsi="Arial" w:cs="Arial"/>
          <w:color w:val="000000" w:themeColor="text1"/>
          <w:sz w:val="21"/>
          <w:szCs w:val="21"/>
          <w:lang w:val="es-ES"/>
        </w:rPr>
      </w:pPr>
    </w:p>
    <w:p w14:paraId="5CCFB9EC" w14:textId="77777777" w:rsidR="00954313" w:rsidRPr="00747B16" w:rsidRDefault="00954313" w:rsidP="00954313">
      <w:pPr>
        <w:tabs>
          <w:tab w:val="left" w:pos="3885"/>
          <w:tab w:val="left" w:pos="8222"/>
        </w:tabs>
        <w:ind w:left="709" w:right="709"/>
        <w:jc w:val="both"/>
        <w:rPr>
          <w:rFonts w:ascii="Arial" w:hAnsi="Arial" w:cs="Arial"/>
          <w:color w:val="000000" w:themeColor="text1"/>
          <w:sz w:val="22"/>
          <w:lang w:val="es-ES"/>
        </w:rPr>
      </w:pPr>
      <w:r w:rsidRPr="00747B16">
        <w:rPr>
          <w:rFonts w:ascii="Arial" w:hAnsi="Arial" w:cs="Arial"/>
          <w:color w:val="000000" w:themeColor="text1"/>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747B16">
        <w:rPr>
          <w:rFonts w:ascii="Arial" w:hAnsi="Arial" w:cs="Arial"/>
          <w:color w:val="000000" w:themeColor="text1"/>
          <w:sz w:val="21"/>
          <w:szCs w:val="21"/>
          <w:lang w:val="es-ES"/>
        </w:rPr>
        <w:t>autoridades públicas</w:t>
      </w:r>
      <w:proofErr w:type="gramEnd"/>
      <w:r w:rsidRPr="00747B16">
        <w:rPr>
          <w:rFonts w:ascii="Arial" w:hAnsi="Arial" w:cs="Arial"/>
          <w:color w:val="000000" w:themeColor="text1"/>
          <w:sz w:val="21"/>
          <w:szCs w:val="21"/>
          <w:lang w:val="es-ES"/>
        </w:rPr>
        <w:t xml:space="preserve"> y, a través de ese conocimiento, a exigir que ellas se surtan conforme a la ley</w:t>
      </w:r>
      <w:r w:rsidRPr="00747B16">
        <w:rPr>
          <w:rStyle w:val="Refdenotaalpie"/>
          <w:rFonts w:ascii="Arial" w:eastAsia="Calibri" w:hAnsi="Arial" w:cs="Arial"/>
          <w:color w:val="000000" w:themeColor="text1"/>
          <w:sz w:val="21"/>
          <w:szCs w:val="21"/>
        </w:rPr>
        <w:footnoteReference w:id="2"/>
      </w:r>
      <w:r w:rsidRPr="00747B16">
        <w:rPr>
          <w:rFonts w:ascii="Arial" w:eastAsia="Calibri" w:hAnsi="Arial" w:cs="Arial"/>
          <w:color w:val="000000" w:themeColor="text1"/>
          <w:sz w:val="21"/>
          <w:szCs w:val="21"/>
        </w:rPr>
        <w:t>.</w:t>
      </w:r>
    </w:p>
    <w:p w14:paraId="281C70C5" w14:textId="77777777" w:rsidR="00954313" w:rsidRPr="00747B16" w:rsidRDefault="00954313" w:rsidP="00954313">
      <w:pPr>
        <w:spacing w:line="276" w:lineRule="auto"/>
        <w:ind w:right="709"/>
        <w:jc w:val="both"/>
        <w:rPr>
          <w:rFonts w:ascii="Arial" w:eastAsia="Calibri" w:hAnsi="Arial" w:cs="Arial"/>
          <w:color w:val="000000" w:themeColor="text1"/>
          <w:sz w:val="22"/>
        </w:rPr>
      </w:pPr>
    </w:p>
    <w:p w14:paraId="661F0DD4" w14:textId="77777777" w:rsidR="00954313" w:rsidRPr="00747B16" w:rsidRDefault="00954313" w:rsidP="00954313">
      <w:pPr>
        <w:spacing w:line="276" w:lineRule="auto"/>
        <w:ind w:firstLine="709"/>
        <w:jc w:val="both"/>
        <w:rPr>
          <w:rFonts w:ascii="Arial" w:eastAsia="Calibri" w:hAnsi="Arial" w:cs="Arial"/>
          <w:color w:val="000000" w:themeColor="text1"/>
          <w:sz w:val="22"/>
        </w:rPr>
      </w:pPr>
      <w:r w:rsidRPr="00747B16">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50627D2B" w14:textId="77777777" w:rsidR="00954313" w:rsidRPr="00747B16" w:rsidRDefault="00954313" w:rsidP="00954313">
      <w:pPr>
        <w:spacing w:before="120" w:after="120" w:line="276" w:lineRule="auto"/>
        <w:ind w:firstLine="709"/>
        <w:jc w:val="both"/>
        <w:rPr>
          <w:rFonts w:ascii="Arial" w:eastAsia="Calibri" w:hAnsi="Arial" w:cs="Arial"/>
          <w:color w:val="000000" w:themeColor="text1"/>
          <w:sz w:val="22"/>
        </w:rPr>
      </w:pPr>
      <w:r w:rsidRPr="00747B16">
        <w:rPr>
          <w:rFonts w:ascii="Arial" w:eastAsia="Calibri" w:hAnsi="Arial" w:cs="Arial"/>
          <w:color w:val="000000" w:themeColor="text1"/>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747B16">
        <w:rPr>
          <w:rStyle w:val="Refdenotaalpie"/>
          <w:rFonts w:ascii="Arial" w:eastAsia="Calibri" w:hAnsi="Arial" w:cs="Arial"/>
          <w:color w:val="000000" w:themeColor="text1"/>
          <w:sz w:val="22"/>
        </w:rPr>
        <w:footnoteReference w:id="3"/>
      </w:r>
      <w:r w:rsidRPr="00747B16">
        <w:rPr>
          <w:rFonts w:ascii="Arial" w:eastAsia="Calibri" w:hAnsi="Arial" w:cs="Arial"/>
          <w:color w:val="000000" w:themeColor="text1"/>
          <w:sz w:val="22"/>
        </w:rPr>
        <w:t xml:space="preserve">. </w:t>
      </w:r>
    </w:p>
    <w:p w14:paraId="6D68BDD3" w14:textId="77777777" w:rsidR="00954313" w:rsidRPr="00747B16" w:rsidRDefault="00954313" w:rsidP="00954313">
      <w:pPr>
        <w:spacing w:before="120" w:after="120" w:line="276" w:lineRule="auto"/>
        <w:ind w:firstLine="709"/>
        <w:jc w:val="both"/>
        <w:rPr>
          <w:rFonts w:ascii="Arial" w:eastAsia="Calibri" w:hAnsi="Arial" w:cs="Arial"/>
          <w:color w:val="000000" w:themeColor="text1"/>
          <w:sz w:val="22"/>
        </w:rPr>
      </w:pPr>
      <w:r w:rsidRPr="00747B16">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47B16">
        <w:rPr>
          <w:rStyle w:val="Refdenotaalpie"/>
          <w:rFonts w:ascii="Arial" w:hAnsi="Arial" w:cs="Arial"/>
          <w:color w:val="000000" w:themeColor="text1"/>
          <w:sz w:val="22"/>
        </w:rPr>
        <w:footnoteReference w:id="4"/>
      </w:r>
      <w:r w:rsidRPr="00747B16">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6647345F" w14:textId="77777777" w:rsidR="00954313" w:rsidRPr="00747B16" w:rsidRDefault="00954313" w:rsidP="00954313">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747B16">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747B16">
        <w:rPr>
          <w:rStyle w:val="Refdenotaalpie"/>
          <w:rFonts w:ascii="Arial" w:eastAsiaTheme="minorHAnsi" w:hAnsi="Arial" w:cs="Arial"/>
          <w:color w:val="000000" w:themeColor="text1"/>
          <w:sz w:val="22"/>
          <w:szCs w:val="22"/>
          <w:lang w:val="es-MX" w:eastAsia="en-US"/>
        </w:rPr>
        <w:footnoteReference w:id="5"/>
      </w:r>
      <w:r w:rsidRPr="00747B16">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747B16">
        <w:rPr>
          <w:rStyle w:val="Refdenotaalpie"/>
          <w:rFonts w:ascii="Arial" w:eastAsiaTheme="minorHAnsi" w:hAnsi="Arial" w:cs="Arial"/>
          <w:color w:val="000000" w:themeColor="text1"/>
          <w:sz w:val="22"/>
          <w:szCs w:val="22"/>
          <w:lang w:val="es-MX" w:eastAsia="en-US"/>
        </w:rPr>
        <w:footnoteReference w:id="6"/>
      </w:r>
      <w:r w:rsidRPr="00747B16">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747B16">
        <w:rPr>
          <w:rFonts w:ascii="Arial" w:eastAsiaTheme="minorHAnsi" w:hAnsi="Arial" w:cs="Arial"/>
          <w:color w:val="000000" w:themeColor="text1"/>
          <w:sz w:val="22"/>
          <w:szCs w:val="22"/>
          <w:lang w:val="es-MX" w:eastAsia="en-US"/>
        </w:rPr>
        <w:softHyphen/>
        <w:t xml:space="preserve"> </w:t>
      </w:r>
      <w:r w:rsidRPr="00747B16">
        <w:rPr>
          <w:rFonts w:ascii="Arial" w:eastAsiaTheme="minorHAnsi" w:hAnsi="Arial" w:cs="Arial"/>
          <w:color w:val="000000" w:themeColor="text1"/>
          <w:sz w:val="22"/>
          <w:szCs w:val="22"/>
          <w:lang w:val="es-MX" w:eastAsia="en-US"/>
        </w:rPr>
        <w:softHyphen/>
        <w:t>SECOP.</w:t>
      </w:r>
    </w:p>
    <w:p w14:paraId="54B10FEE" w14:textId="77777777" w:rsidR="00954313" w:rsidRPr="00747B16" w:rsidRDefault="00954313" w:rsidP="00954313">
      <w:pPr>
        <w:spacing w:before="120" w:after="120" w:line="276" w:lineRule="auto"/>
        <w:ind w:firstLine="709"/>
        <w:jc w:val="both"/>
        <w:rPr>
          <w:rFonts w:ascii="Arial" w:hAnsi="Arial" w:cs="Arial"/>
          <w:color w:val="000000" w:themeColor="text1"/>
          <w:sz w:val="22"/>
          <w:lang w:val="es-ES"/>
        </w:rPr>
      </w:pPr>
      <w:r w:rsidRPr="00747B16">
        <w:rPr>
          <w:rFonts w:ascii="Arial" w:hAnsi="Arial" w:cs="Arial"/>
          <w:color w:val="000000" w:themeColor="text1"/>
          <w:sz w:val="22"/>
        </w:rPr>
        <w:t xml:space="preserve">Asimismo, de </w:t>
      </w:r>
      <w:r w:rsidRPr="00747B16">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7BCFB20" w14:textId="77777777" w:rsidR="00954313" w:rsidRPr="00747B16" w:rsidRDefault="00954313" w:rsidP="00954313">
      <w:pPr>
        <w:spacing w:before="120" w:after="120" w:line="276" w:lineRule="auto"/>
        <w:ind w:firstLine="709"/>
        <w:jc w:val="both"/>
        <w:rPr>
          <w:rFonts w:ascii="Arial" w:eastAsia="Calibri" w:hAnsi="Arial" w:cs="Arial"/>
          <w:color w:val="000000" w:themeColor="text1"/>
          <w:sz w:val="22"/>
        </w:rPr>
      </w:pPr>
      <w:r w:rsidRPr="00747B16">
        <w:rPr>
          <w:rFonts w:ascii="Arial" w:eastAsia="Calibri" w:hAnsi="Arial" w:cs="Arial"/>
          <w:color w:val="000000" w:themeColor="text1"/>
          <w:sz w:val="22"/>
        </w:rPr>
        <w:t xml:space="preserve">El derecho de acceso a la información pública o de interés público permite a toda persona, sin necesidad de acreditar calidad, interés o condición particular, conocer la </w:t>
      </w:r>
      <w:r w:rsidRPr="00747B16">
        <w:rPr>
          <w:rFonts w:ascii="Arial" w:eastAsia="Calibri" w:hAnsi="Arial" w:cs="Arial"/>
          <w:color w:val="000000" w:themeColor="text1"/>
          <w:sz w:val="22"/>
        </w:rPr>
        <w:lastRenderedPageBreak/>
        <w:t>existencia de información pública, acceder a la misma y difundirla o publicarla, según su interés</w:t>
      </w:r>
      <w:r w:rsidRPr="00747B16">
        <w:rPr>
          <w:rStyle w:val="Refdenotaalpie"/>
          <w:rFonts w:ascii="Arial" w:eastAsia="Calibri" w:hAnsi="Arial" w:cs="Arial"/>
          <w:color w:val="000000" w:themeColor="text1"/>
          <w:sz w:val="22"/>
        </w:rPr>
        <w:footnoteReference w:id="7"/>
      </w:r>
      <w:r w:rsidRPr="00747B16">
        <w:rPr>
          <w:rFonts w:ascii="Arial" w:eastAsia="Calibri" w:hAnsi="Arial" w:cs="Arial"/>
          <w:color w:val="000000" w:themeColor="text1"/>
          <w:sz w:val="22"/>
        </w:rPr>
        <w:t>.</w:t>
      </w:r>
    </w:p>
    <w:p w14:paraId="17FAB00D" w14:textId="77777777" w:rsidR="00954313" w:rsidRPr="00747B16" w:rsidRDefault="00954313" w:rsidP="00954313">
      <w:pPr>
        <w:spacing w:before="120" w:after="120" w:line="276" w:lineRule="auto"/>
        <w:ind w:firstLine="709"/>
        <w:jc w:val="both"/>
        <w:rPr>
          <w:rFonts w:ascii="Arial" w:hAnsi="Arial" w:cs="Arial"/>
          <w:color w:val="000000" w:themeColor="text1"/>
          <w:sz w:val="22"/>
          <w:lang w:val="es-ES"/>
        </w:rPr>
      </w:pPr>
      <w:r w:rsidRPr="00747B16">
        <w:rPr>
          <w:rFonts w:ascii="Arial" w:hAnsi="Arial" w:cs="Arial"/>
          <w:color w:val="000000" w:themeColor="text1"/>
          <w:sz w:val="22"/>
          <w:lang w:val="es-ES"/>
        </w:rPr>
        <w:t>Para el año 2013, la Agencia Nacional de Contratación Pública ─ Colombia Compra Eficiente, mediante la Circular Externa No 1 del</w:t>
      </w:r>
      <w:r w:rsidRPr="00747B16">
        <w:rPr>
          <w:color w:val="000000" w:themeColor="text1"/>
          <w:sz w:val="22"/>
        </w:rPr>
        <w:t xml:space="preserve"> </w:t>
      </w:r>
      <w:r w:rsidRPr="00747B16">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747B16">
        <w:rPr>
          <w:rStyle w:val="Refdenotaalpie"/>
          <w:rFonts w:ascii="Arial" w:hAnsi="Arial" w:cs="Arial"/>
          <w:color w:val="000000" w:themeColor="text1"/>
          <w:sz w:val="22"/>
          <w:lang w:val="es-ES"/>
        </w:rPr>
        <w:footnoteReference w:id="8"/>
      </w:r>
      <w:r w:rsidRPr="00747B16">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0740A9C2" w14:textId="77777777" w:rsidR="00954313" w:rsidRPr="00747B16" w:rsidRDefault="00954313" w:rsidP="00954313">
      <w:pPr>
        <w:spacing w:line="276" w:lineRule="auto"/>
        <w:ind w:firstLine="709"/>
        <w:jc w:val="both"/>
        <w:rPr>
          <w:rFonts w:ascii="Arial" w:hAnsi="Arial" w:cs="Arial"/>
          <w:color w:val="000000" w:themeColor="text1"/>
          <w:sz w:val="22"/>
          <w:lang w:val="es-ES"/>
        </w:rPr>
      </w:pPr>
      <w:r w:rsidRPr="00747B16">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6BD3272" w14:textId="77777777" w:rsidR="00954313" w:rsidRPr="00747B16" w:rsidRDefault="00954313" w:rsidP="00954313">
      <w:pPr>
        <w:spacing w:line="276" w:lineRule="auto"/>
        <w:jc w:val="both"/>
        <w:rPr>
          <w:rFonts w:ascii="Arial" w:hAnsi="Arial" w:cs="Arial"/>
          <w:color w:val="000000" w:themeColor="text1"/>
          <w:sz w:val="22"/>
          <w:lang w:val="es-ES"/>
        </w:rPr>
      </w:pPr>
    </w:p>
    <w:p w14:paraId="33451762" w14:textId="77777777" w:rsidR="00954313" w:rsidRPr="00747B16" w:rsidRDefault="00954313" w:rsidP="00954313">
      <w:pPr>
        <w:tabs>
          <w:tab w:val="left" w:pos="3885"/>
        </w:tabs>
        <w:ind w:left="709" w:right="709"/>
        <w:jc w:val="both"/>
        <w:rPr>
          <w:rFonts w:ascii="Arial" w:hAnsi="Arial" w:cs="Arial"/>
          <w:color w:val="000000" w:themeColor="text1"/>
          <w:sz w:val="21"/>
          <w:szCs w:val="21"/>
          <w:lang w:val="es-ES"/>
        </w:rPr>
      </w:pPr>
      <w:r w:rsidRPr="00747B16">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7C9EC784" w14:textId="77777777" w:rsidR="00954313" w:rsidRPr="00747B16" w:rsidRDefault="00954313" w:rsidP="00954313">
      <w:pPr>
        <w:tabs>
          <w:tab w:val="left" w:pos="3885"/>
        </w:tabs>
        <w:ind w:left="709" w:right="709"/>
        <w:jc w:val="both"/>
        <w:rPr>
          <w:rFonts w:ascii="Arial" w:hAnsi="Arial" w:cs="Arial"/>
          <w:color w:val="000000" w:themeColor="text1"/>
          <w:sz w:val="21"/>
          <w:szCs w:val="21"/>
          <w:lang w:val="es-ES"/>
        </w:rPr>
      </w:pPr>
    </w:p>
    <w:p w14:paraId="725906A4" w14:textId="77777777" w:rsidR="00954313" w:rsidRPr="00747B16" w:rsidRDefault="00954313" w:rsidP="00954313">
      <w:pPr>
        <w:tabs>
          <w:tab w:val="left" w:pos="3885"/>
        </w:tabs>
        <w:ind w:left="709" w:right="709"/>
        <w:jc w:val="both"/>
        <w:rPr>
          <w:rFonts w:ascii="Arial" w:hAnsi="Arial" w:cs="Arial"/>
          <w:color w:val="000000" w:themeColor="text1"/>
          <w:sz w:val="21"/>
          <w:szCs w:val="21"/>
          <w:lang w:val="es-ES"/>
        </w:rPr>
      </w:pPr>
      <w:r w:rsidRPr="00747B16">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747B16">
        <w:rPr>
          <w:rFonts w:ascii="Arial" w:hAnsi="Arial" w:cs="Arial"/>
          <w:color w:val="000000" w:themeColor="text1"/>
          <w:sz w:val="21"/>
          <w:szCs w:val="21"/>
          <w:lang w:val="es-ES"/>
        </w:rPr>
        <w:t>en razón de</w:t>
      </w:r>
      <w:proofErr w:type="gramEnd"/>
      <w:r w:rsidRPr="00747B16">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5C60ACCD" w14:textId="77777777" w:rsidR="00954313" w:rsidRPr="00747B16" w:rsidRDefault="00954313" w:rsidP="00954313">
      <w:pPr>
        <w:tabs>
          <w:tab w:val="left" w:pos="3885"/>
        </w:tabs>
        <w:ind w:left="709" w:right="709"/>
        <w:jc w:val="both"/>
        <w:rPr>
          <w:rFonts w:ascii="Arial" w:hAnsi="Arial" w:cs="Arial"/>
          <w:color w:val="000000" w:themeColor="text1"/>
          <w:sz w:val="21"/>
          <w:szCs w:val="21"/>
          <w:lang w:val="es-ES"/>
        </w:rPr>
      </w:pPr>
      <w:r w:rsidRPr="00747B16">
        <w:rPr>
          <w:rFonts w:ascii="Arial" w:hAnsi="Arial" w:cs="Arial"/>
          <w:color w:val="000000" w:themeColor="text1"/>
          <w:sz w:val="21"/>
          <w:szCs w:val="21"/>
          <w:lang w:val="es-ES"/>
        </w:rPr>
        <w:t>[…]</w:t>
      </w:r>
    </w:p>
    <w:p w14:paraId="03D20B9E" w14:textId="77777777" w:rsidR="00954313" w:rsidRPr="00747B16" w:rsidRDefault="00954313" w:rsidP="00954313">
      <w:pPr>
        <w:tabs>
          <w:tab w:val="left" w:pos="3885"/>
        </w:tabs>
        <w:ind w:left="709" w:right="709"/>
        <w:jc w:val="both"/>
        <w:rPr>
          <w:rFonts w:ascii="Arial" w:hAnsi="Arial" w:cs="Arial"/>
          <w:color w:val="000000" w:themeColor="text1"/>
          <w:sz w:val="21"/>
          <w:szCs w:val="21"/>
          <w:lang w:val="es-ES"/>
        </w:rPr>
      </w:pPr>
    </w:p>
    <w:p w14:paraId="2C146964" w14:textId="77777777" w:rsidR="00954313" w:rsidRPr="00747B16" w:rsidRDefault="00954313" w:rsidP="00954313">
      <w:pPr>
        <w:tabs>
          <w:tab w:val="left" w:pos="3885"/>
        </w:tabs>
        <w:ind w:left="709" w:right="709"/>
        <w:jc w:val="both"/>
        <w:rPr>
          <w:rFonts w:ascii="Arial" w:hAnsi="Arial" w:cs="Arial"/>
          <w:color w:val="000000" w:themeColor="text1"/>
          <w:sz w:val="21"/>
          <w:szCs w:val="21"/>
          <w:lang w:val="es-ES"/>
        </w:rPr>
      </w:pPr>
      <w:r w:rsidRPr="00747B16">
        <w:rPr>
          <w:rFonts w:ascii="Arial" w:hAnsi="Arial" w:cs="Arial"/>
          <w:color w:val="000000" w:themeColor="text1"/>
          <w:sz w:val="21"/>
          <w:szCs w:val="21"/>
          <w:lang w:val="es-ES"/>
        </w:rPr>
        <w:t xml:space="preserve">Así, lo que resulta también razonable afirmar es que el aludido deber de informar ya se encontraba bien dispuesto y definido desde el precepto legal de 2007, </w:t>
      </w:r>
      <w:r w:rsidRPr="00747B16">
        <w:rPr>
          <w:rFonts w:ascii="Arial" w:hAnsi="Arial" w:cs="Arial"/>
          <w:color w:val="000000" w:themeColor="text1"/>
          <w:sz w:val="21"/>
          <w:szCs w:val="21"/>
          <w:lang w:val="es-ES"/>
        </w:rPr>
        <w:lastRenderedPageBreak/>
        <w:t>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747B16">
        <w:rPr>
          <w:rStyle w:val="Refdenotaalpie"/>
          <w:rFonts w:ascii="Arial" w:hAnsi="Arial" w:cs="Arial"/>
          <w:color w:val="000000" w:themeColor="text1"/>
          <w:sz w:val="21"/>
          <w:szCs w:val="21"/>
        </w:rPr>
        <w:footnoteReference w:id="9"/>
      </w:r>
      <w:r w:rsidRPr="00747B16">
        <w:rPr>
          <w:rStyle w:val="Refdenotaalpie"/>
          <w:rFonts w:ascii="Arial" w:hAnsi="Arial" w:cs="Arial"/>
          <w:color w:val="000000" w:themeColor="text1"/>
          <w:sz w:val="21"/>
          <w:szCs w:val="21"/>
        </w:rPr>
        <w:t>.</w:t>
      </w:r>
    </w:p>
    <w:p w14:paraId="261BF5A0" w14:textId="77777777" w:rsidR="00954313" w:rsidRPr="00747B16" w:rsidRDefault="00954313" w:rsidP="00954313">
      <w:pPr>
        <w:tabs>
          <w:tab w:val="left" w:pos="3885"/>
        </w:tabs>
        <w:spacing w:line="276" w:lineRule="auto"/>
        <w:ind w:left="709" w:right="709"/>
        <w:jc w:val="both"/>
        <w:rPr>
          <w:rFonts w:ascii="Arial" w:eastAsia="Calibri" w:hAnsi="Arial" w:cs="Arial"/>
          <w:color w:val="000000" w:themeColor="text1"/>
          <w:sz w:val="22"/>
        </w:rPr>
      </w:pPr>
    </w:p>
    <w:p w14:paraId="19AABBDE" w14:textId="77777777" w:rsidR="00954313" w:rsidRPr="00747B16" w:rsidRDefault="00954313" w:rsidP="00954313">
      <w:pPr>
        <w:spacing w:line="276" w:lineRule="auto"/>
        <w:ind w:firstLine="708"/>
        <w:jc w:val="both"/>
        <w:rPr>
          <w:rFonts w:ascii="Arial" w:hAnsi="Arial" w:cs="Arial"/>
          <w:color w:val="000000" w:themeColor="text1"/>
          <w:sz w:val="22"/>
          <w:lang w:val="es-ES"/>
        </w:rPr>
      </w:pPr>
      <w:r w:rsidRPr="00747B16">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45F5E4BA" w14:textId="77777777" w:rsidR="00954313" w:rsidRPr="00747B16" w:rsidRDefault="00954313" w:rsidP="00954313">
      <w:pPr>
        <w:ind w:leftChars="709" w:left="1702" w:right="709" w:firstLine="2"/>
        <w:jc w:val="both"/>
        <w:rPr>
          <w:rFonts w:ascii="Arial" w:hAnsi="Arial" w:cs="Arial"/>
          <w:color w:val="000000" w:themeColor="text1"/>
          <w:sz w:val="21"/>
          <w:szCs w:val="21"/>
          <w:lang w:val="es-ES"/>
        </w:rPr>
      </w:pPr>
    </w:p>
    <w:p w14:paraId="05548C70" w14:textId="77777777" w:rsidR="00954313" w:rsidRPr="00747B16" w:rsidRDefault="00954313" w:rsidP="00954313">
      <w:pPr>
        <w:ind w:leftChars="295" w:left="708" w:right="709"/>
        <w:jc w:val="both"/>
        <w:rPr>
          <w:rFonts w:ascii="Arial" w:hAnsi="Arial" w:cs="Arial"/>
          <w:color w:val="000000" w:themeColor="text1"/>
          <w:sz w:val="21"/>
          <w:szCs w:val="21"/>
          <w:lang w:val="es-ES"/>
        </w:rPr>
      </w:pPr>
      <w:r w:rsidRPr="00747B16">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179C6880" w14:textId="77777777" w:rsidR="00954313" w:rsidRPr="00747B16" w:rsidRDefault="00954313" w:rsidP="00954313">
      <w:pPr>
        <w:spacing w:line="276" w:lineRule="auto"/>
        <w:ind w:leftChars="709" w:left="1702" w:right="709"/>
        <w:jc w:val="both"/>
        <w:rPr>
          <w:rFonts w:ascii="Arial" w:hAnsi="Arial" w:cs="Arial"/>
          <w:color w:val="000000" w:themeColor="text1"/>
          <w:sz w:val="21"/>
          <w:szCs w:val="21"/>
          <w:lang w:val="es-ES"/>
        </w:rPr>
      </w:pPr>
    </w:p>
    <w:p w14:paraId="6661B8BC" w14:textId="77777777" w:rsidR="00954313" w:rsidRPr="00747B16" w:rsidRDefault="00954313" w:rsidP="00954313">
      <w:pPr>
        <w:spacing w:line="276" w:lineRule="auto"/>
        <w:ind w:firstLine="708"/>
        <w:jc w:val="both"/>
        <w:rPr>
          <w:rFonts w:ascii="Arial" w:hAnsi="Arial" w:cs="Arial"/>
          <w:color w:val="000000" w:themeColor="text1"/>
          <w:sz w:val="22"/>
          <w:lang w:val="es-ES"/>
        </w:rPr>
      </w:pPr>
      <w:r w:rsidRPr="00747B16">
        <w:rPr>
          <w:rFonts w:ascii="Arial" w:hAnsi="Arial" w:cs="Arial"/>
          <w:color w:val="000000" w:themeColor="text1"/>
          <w:sz w:val="22"/>
          <w:lang w:val="es-ES"/>
        </w:rPr>
        <w:t>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4DF8F404" w14:textId="77777777" w:rsidR="00954313" w:rsidRPr="00E758EE" w:rsidRDefault="00954313" w:rsidP="00954313">
      <w:pPr>
        <w:spacing w:line="276" w:lineRule="auto"/>
        <w:jc w:val="both"/>
        <w:rPr>
          <w:rFonts w:ascii="Arial" w:hAnsi="Arial" w:cs="Arial"/>
          <w:color w:val="000000" w:themeColor="text1"/>
          <w:sz w:val="20"/>
          <w:szCs w:val="20"/>
          <w:lang w:val="es-ES"/>
        </w:rPr>
      </w:pPr>
    </w:p>
    <w:p w14:paraId="62B6109F" w14:textId="77777777" w:rsidR="00954313" w:rsidRPr="00747B16" w:rsidRDefault="00954313" w:rsidP="00E758EE">
      <w:pPr>
        <w:spacing w:line="276" w:lineRule="auto"/>
        <w:jc w:val="both"/>
        <w:rPr>
          <w:rFonts w:ascii="Arial" w:hAnsi="Arial" w:cs="Arial"/>
          <w:b/>
          <w:bCs/>
          <w:color w:val="000000" w:themeColor="text1"/>
          <w:sz w:val="22"/>
          <w:lang w:val="es-ES"/>
        </w:rPr>
      </w:pPr>
      <w:r w:rsidRPr="00747B16">
        <w:rPr>
          <w:rFonts w:ascii="Arial" w:hAnsi="Arial" w:cs="Arial"/>
          <w:b/>
          <w:bCs/>
          <w:color w:val="000000" w:themeColor="text1"/>
          <w:sz w:val="22"/>
          <w:lang w:val="es-ES"/>
        </w:rPr>
        <w:t>2.2. Documentos del proceso que deben publicarse en el SECOP. El caso de la contratación directa</w:t>
      </w:r>
    </w:p>
    <w:p w14:paraId="7A90C659" w14:textId="77777777" w:rsidR="00E758EE" w:rsidRPr="00E758EE" w:rsidRDefault="00E758EE" w:rsidP="00E758EE">
      <w:pPr>
        <w:spacing w:line="276" w:lineRule="auto"/>
        <w:jc w:val="both"/>
        <w:rPr>
          <w:rFonts w:ascii="Arial" w:hAnsi="Arial" w:cs="Arial"/>
          <w:color w:val="000000" w:themeColor="text1"/>
          <w:sz w:val="20"/>
          <w:szCs w:val="20"/>
          <w:lang w:val="es-ES"/>
        </w:rPr>
      </w:pPr>
    </w:p>
    <w:p w14:paraId="4779657E" w14:textId="0FB053F0" w:rsidR="00954313" w:rsidRPr="00747B16" w:rsidRDefault="00954313" w:rsidP="00E758EE">
      <w:pPr>
        <w:spacing w:line="276" w:lineRule="auto"/>
        <w:jc w:val="both"/>
        <w:rPr>
          <w:rFonts w:ascii="Arial" w:hAnsi="Arial" w:cs="Arial"/>
          <w:color w:val="000000" w:themeColor="text1"/>
          <w:sz w:val="22"/>
          <w:lang w:val="es-ES"/>
        </w:rPr>
      </w:pPr>
      <w:r w:rsidRPr="00747B16">
        <w:rPr>
          <w:rFonts w:ascii="Arial" w:hAnsi="Arial" w:cs="Arial"/>
          <w:color w:val="000000" w:themeColor="text1"/>
          <w:sz w:val="22"/>
          <w:lang w:val="es-ES"/>
        </w:rPr>
        <w:t>Teniendo en cuenta que la consulta versa sobre la publicidad de los documentos del proceso en la modalidad de contratación directa, se analizará la forma como las disposiciones normativas que regulan el tema se aplican en dicho caso.</w:t>
      </w:r>
    </w:p>
    <w:p w14:paraId="17376606" w14:textId="77777777" w:rsidR="00954313" w:rsidRPr="00747B16" w:rsidRDefault="00954313" w:rsidP="00954313">
      <w:pPr>
        <w:spacing w:before="120" w:after="120" w:line="276" w:lineRule="auto"/>
        <w:ind w:firstLine="709"/>
        <w:jc w:val="both"/>
        <w:rPr>
          <w:rFonts w:ascii="Arial" w:hAnsi="Arial" w:cs="Arial"/>
          <w:color w:val="000000" w:themeColor="text1"/>
          <w:sz w:val="22"/>
          <w:lang w:val="es-ES"/>
        </w:rPr>
      </w:pPr>
      <w:r w:rsidRPr="00747B16">
        <w:rPr>
          <w:rFonts w:ascii="Arial" w:hAnsi="Arial" w:cs="Arial"/>
          <w:color w:val="000000" w:themeColor="text1"/>
          <w:sz w:val="22"/>
          <w:lang w:val="es-ES"/>
        </w:rPr>
        <w:t xml:space="preserve">Como se indicó, el artículo 2.2.1.1.1.7.1. del Decreto 1082 de 2015 establece: «La Entidad Estatal está obligada a publicar en el SECOP los Documentos del Proceso y los actos administrativos del Proceso de Contratación, dentro de los tres (3) días siguientes a su expedición. La oferta que debe ser publicada es la del adjudicatario del Proceso de </w:t>
      </w:r>
      <w:r w:rsidRPr="00747B16">
        <w:rPr>
          <w:rFonts w:ascii="Arial" w:hAnsi="Arial" w:cs="Arial"/>
          <w:color w:val="000000" w:themeColor="text1"/>
          <w:sz w:val="22"/>
          <w:lang w:val="es-ES"/>
        </w:rPr>
        <w:lastRenderedPageBreak/>
        <w:t>Contratación. Los documentos de las operaciones que se realicen en bolsa de productos no tienen que ser publicados en el SECOP».</w:t>
      </w:r>
    </w:p>
    <w:p w14:paraId="4351A016" w14:textId="77777777" w:rsidR="00954313" w:rsidRPr="00747B16" w:rsidRDefault="00954313" w:rsidP="00954313">
      <w:pPr>
        <w:spacing w:before="120" w:after="120" w:line="276" w:lineRule="auto"/>
        <w:ind w:firstLine="709"/>
        <w:jc w:val="both"/>
        <w:rPr>
          <w:rFonts w:ascii="Arial" w:hAnsi="Arial" w:cs="Arial"/>
          <w:color w:val="000000" w:themeColor="text1"/>
          <w:sz w:val="22"/>
          <w:lang w:val="es-ES"/>
        </w:rPr>
      </w:pPr>
      <w:r w:rsidRPr="00747B16">
        <w:rPr>
          <w:rFonts w:ascii="Arial" w:hAnsi="Arial" w:cs="Arial"/>
          <w:color w:val="000000" w:themeColor="text1"/>
          <w:sz w:val="22"/>
          <w:lang w:val="es-ES"/>
        </w:rPr>
        <w:t>Por su parte, el artículo 2.2.1.1.1.3.1. del Decreto 1082 de 2015 dice que los «Documentos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2D7756C4" w14:textId="77777777" w:rsidR="00954313" w:rsidRPr="00747B16" w:rsidRDefault="00954313" w:rsidP="00954313">
      <w:pPr>
        <w:spacing w:before="120" w:after="120" w:line="276" w:lineRule="auto"/>
        <w:ind w:firstLine="709"/>
        <w:jc w:val="both"/>
        <w:rPr>
          <w:rFonts w:ascii="Arial" w:hAnsi="Arial" w:cs="Arial"/>
          <w:color w:val="000000" w:themeColor="text1"/>
          <w:sz w:val="22"/>
          <w:lang w:val="es-ES"/>
        </w:rPr>
      </w:pPr>
      <w:r w:rsidRPr="00747B16">
        <w:rPr>
          <w:rFonts w:ascii="Arial" w:hAnsi="Arial" w:cs="Arial"/>
          <w:color w:val="000000" w:themeColor="text1"/>
          <w:sz w:val="22"/>
          <w:lang w:val="es-ES"/>
        </w:rPr>
        <w:t>A su vez, el artículo 2.2.1.2.1.4.3. del mismo Decreto establece excepciones a la publicidad de los estudios y documentos previos, indicando: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w:t>
      </w:r>
      <w:r w:rsidRPr="00747B16">
        <w:rPr>
          <w:rStyle w:val="Refdenotaalpie"/>
          <w:rFonts w:ascii="Arial" w:hAnsi="Arial" w:cs="Arial"/>
          <w:color w:val="000000" w:themeColor="text1"/>
          <w:sz w:val="22"/>
          <w:lang w:val="es-ES"/>
        </w:rPr>
        <w:footnoteReference w:id="10"/>
      </w:r>
      <w:r w:rsidRPr="00747B16">
        <w:rPr>
          <w:rFonts w:ascii="Arial" w:hAnsi="Arial" w:cs="Arial"/>
          <w:color w:val="000000" w:themeColor="text1"/>
          <w:sz w:val="22"/>
          <w:lang w:val="es-ES"/>
        </w:rPr>
        <w:t xml:space="preserve"> del presente decreto».</w:t>
      </w:r>
    </w:p>
    <w:p w14:paraId="564870D2" w14:textId="77777777" w:rsidR="00954313" w:rsidRPr="00747B16" w:rsidRDefault="00954313" w:rsidP="00954313">
      <w:pPr>
        <w:spacing w:before="120" w:after="120" w:line="276" w:lineRule="auto"/>
        <w:ind w:firstLine="709"/>
        <w:jc w:val="both"/>
        <w:rPr>
          <w:rFonts w:ascii="Arial" w:hAnsi="Arial" w:cs="Arial"/>
          <w:color w:val="000000" w:themeColor="text1"/>
          <w:sz w:val="22"/>
          <w:lang w:val="es-ES"/>
        </w:rPr>
      </w:pPr>
      <w:r w:rsidRPr="00747B16">
        <w:rPr>
          <w:rFonts w:ascii="Arial" w:hAnsi="Arial" w:cs="Arial"/>
          <w:color w:val="000000" w:themeColor="text1"/>
          <w:sz w:val="22"/>
          <w:lang w:val="es-ES"/>
        </w:rPr>
        <w:t>Como puede observarse, el gobierno nacional estableció algunas excepciones a la publicidad de los documentos del proceso en el SECOP durante los tres (3) días siguientes a su expedición en la modalidad de contratación directa; lo que permite concluir que aquellos casos que no estén exceptuados en forma explícita de dicho deber ingresan dentro de la regla general. Con fundamento en esta idea, cabe precisar que en la contratación directa los documentos del proceso también deben ser publicados en la oportunidad indicada, teniendo en cuenta la causal de que se trate. Verbigracia, para la celebración de contratos de prestación de servicios profesionales, de apoyo a la gestión o para la realización de actividades artísticas que solo pueden encomendarse a determinadas personas naturales no se requiere expedir previamente el acto administrativo de justificación de la contratación directa</w:t>
      </w:r>
      <w:r w:rsidRPr="00747B16">
        <w:rPr>
          <w:rStyle w:val="Refdenotaalpie"/>
          <w:rFonts w:ascii="Arial" w:hAnsi="Arial" w:cs="Arial"/>
          <w:color w:val="000000" w:themeColor="text1"/>
          <w:sz w:val="22"/>
          <w:lang w:val="es-ES"/>
        </w:rPr>
        <w:footnoteReference w:id="11"/>
      </w:r>
      <w:r w:rsidRPr="00747B16">
        <w:rPr>
          <w:rFonts w:ascii="Arial" w:hAnsi="Arial" w:cs="Arial"/>
          <w:color w:val="000000" w:themeColor="text1"/>
          <w:sz w:val="22"/>
          <w:lang w:val="es-ES"/>
        </w:rPr>
        <w:t>. Por lo tanto, en este supuesto, por sustracción de materia, no hay que publicar dicho documento en el SECOP. Algo similar sucede en la contratación de urgencia manifiesta, en la cual no se requiere de la elaboración de estudios y documentos previos</w:t>
      </w:r>
      <w:r w:rsidRPr="00747B16">
        <w:rPr>
          <w:rStyle w:val="Refdenotaalpie"/>
          <w:rFonts w:ascii="Arial" w:hAnsi="Arial" w:cs="Arial"/>
          <w:color w:val="000000" w:themeColor="text1"/>
          <w:sz w:val="22"/>
          <w:lang w:val="es-ES"/>
        </w:rPr>
        <w:footnoteReference w:id="12"/>
      </w:r>
      <w:r w:rsidRPr="00747B16">
        <w:rPr>
          <w:rFonts w:ascii="Arial" w:hAnsi="Arial" w:cs="Arial"/>
          <w:color w:val="000000" w:themeColor="text1"/>
          <w:sz w:val="22"/>
          <w:lang w:val="es-ES"/>
        </w:rPr>
        <w:t>, de manera que, obviamente, estos no se publican.</w:t>
      </w:r>
    </w:p>
    <w:p w14:paraId="341D1D67" w14:textId="77777777" w:rsidR="00954313" w:rsidRPr="00747B16" w:rsidRDefault="00954313" w:rsidP="00954313">
      <w:pPr>
        <w:spacing w:line="276" w:lineRule="auto"/>
        <w:ind w:firstLine="709"/>
        <w:jc w:val="both"/>
        <w:rPr>
          <w:rFonts w:ascii="Arial" w:hAnsi="Arial" w:cs="Arial"/>
          <w:color w:val="000000" w:themeColor="text1"/>
          <w:sz w:val="22"/>
        </w:rPr>
      </w:pPr>
      <w:r w:rsidRPr="00747B16">
        <w:rPr>
          <w:rFonts w:ascii="Arial" w:hAnsi="Arial" w:cs="Arial"/>
          <w:color w:val="000000" w:themeColor="text1"/>
          <w:sz w:val="22"/>
          <w:lang w:val="es-ES"/>
        </w:rPr>
        <w:t>En los demás casos de contratación directa los estudios previos, una vez expedidos, deben publicarse en el SECOP dentro de los tres (3) días siguientes.</w:t>
      </w:r>
    </w:p>
    <w:p w14:paraId="5BFDCE96" w14:textId="77777777" w:rsidR="00954313" w:rsidRPr="00747B16" w:rsidRDefault="00954313" w:rsidP="00954313">
      <w:pPr>
        <w:spacing w:line="276" w:lineRule="auto"/>
        <w:jc w:val="both"/>
        <w:rPr>
          <w:rFonts w:ascii="Arial" w:hAnsi="Arial" w:cs="Arial"/>
          <w:color w:val="000000" w:themeColor="text1"/>
          <w:sz w:val="22"/>
        </w:rPr>
      </w:pPr>
    </w:p>
    <w:p w14:paraId="32EB25FD" w14:textId="77777777" w:rsidR="00954313" w:rsidRPr="00747B16" w:rsidRDefault="00954313" w:rsidP="00954313">
      <w:pPr>
        <w:pStyle w:val="Prrafodelista"/>
        <w:tabs>
          <w:tab w:val="left" w:pos="284"/>
        </w:tabs>
        <w:spacing w:line="276" w:lineRule="auto"/>
        <w:ind w:left="0"/>
        <w:jc w:val="both"/>
        <w:rPr>
          <w:rFonts w:ascii="Arial" w:eastAsia="Calibri" w:hAnsi="Arial" w:cs="Arial"/>
          <w:color w:val="000000" w:themeColor="text1"/>
          <w:sz w:val="22"/>
          <w:lang w:val="es-ES_tradnl"/>
        </w:rPr>
      </w:pPr>
      <w:r w:rsidRPr="00747B16">
        <w:rPr>
          <w:rFonts w:ascii="Arial" w:eastAsia="Calibri" w:hAnsi="Arial" w:cs="Arial"/>
          <w:b/>
          <w:color w:val="000000" w:themeColor="text1"/>
          <w:sz w:val="22"/>
          <w:lang w:val="es-ES_tradnl"/>
        </w:rPr>
        <w:t>3. Respuestas</w:t>
      </w:r>
    </w:p>
    <w:p w14:paraId="021D180E" w14:textId="77777777" w:rsidR="00954313" w:rsidRPr="00747B16" w:rsidRDefault="00954313" w:rsidP="00954313">
      <w:pPr>
        <w:spacing w:line="276" w:lineRule="auto"/>
        <w:ind w:left="709" w:right="709"/>
        <w:jc w:val="both"/>
        <w:rPr>
          <w:rFonts w:ascii="Arial" w:eastAsia="Calibri" w:hAnsi="Arial" w:cs="Arial"/>
          <w:i/>
          <w:color w:val="000000" w:themeColor="text1"/>
          <w:sz w:val="22"/>
          <w:lang w:val="es-ES_tradnl"/>
        </w:rPr>
      </w:pPr>
    </w:p>
    <w:p w14:paraId="31308CF4" w14:textId="77777777" w:rsidR="00954313" w:rsidRPr="00747B16" w:rsidRDefault="00954313" w:rsidP="00954313">
      <w:pPr>
        <w:spacing w:line="276" w:lineRule="auto"/>
        <w:ind w:left="708" w:right="709"/>
        <w:jc w:val="both"/>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lastRenderedPageBreak/>
        <w:t>i) «¿en una contratación directa es necesario publicar los estudios previos dentro de los tres (3) días siguientes a su aprobación, antes de culminar el proceso de contratación o sea realizar el respectivo contrato?».</w:t>
      </w:r>
    </w:p>
    <w:p w14:paraId="2E9C4B81" w14:textId="77777777" w:rsidR="00954313" w:rsidRPr="00747B16" w:rsidRDefault="00954313" w:rsidP="00954313">
      <w:pPr>
        <w:spacing w:line="276" w:lineRule="auto"/>
        <w:jc w:val="both"/>
        <w:rPr>
          <w:rFonts w:ascii="Arial" w:eastAsia="Calibri" w:hAnsi="Arial" w:cs="Arial"/>
          <w:color w:val="000000" w:themeColor="text1"/>
          <w:sz w:val="22"/>
          <w:lang w:val="es-ES_tradnl"/>
        </w:rPr>
      </w:pPr>
    </w:p>
    <w:p w14:paraId="3D095CB2" w14:textId="77777777" w:rsidR="00954313" w:rsidRPr="00747B16" w:rsidRDefault="00954313" w:rsidP="00954313">
      <w:pPr>
        <w:spacing w:line="276" w:lineRule="auto"/>
        <w:jc w:val="both"/>
        <w:rPr>
          <w:rFonts w:ascii="Arial" w:hAnsi="Arial" w:cs="Arial"/>
          <w:color w:val="000000" w:themeColor="text1"/>
          <w:sz w:val="22"/>
          <w:lang w:val="es-ES"/>
        </w:rPr>
      </w:pPr>
      <w:r w:rsidRPr="00747B16">
        <w:rPr>
          <w:rFonts w:ascii="Arial" w:eastAsia="Calibri" w:hAnsi="Arial" w:cs="Arial"/>
          <w:color w:val="000000" w:themeColor="text1"/>
          <w:sz w:val="22"/>
          <w:lang w:val="es-ES_tradnl"/>
        </w:rPr>
        <w:t xml:space="preserve">Todo depende de la causal de contratación directa, pues, como se vio, si bien la regla general es que sí deben publicar dentro de los tres (3) días siguientes a su expedición, el reglamento establece algunas excepciones, tratándose de: </w:t>
      </w:r>
      <w:r w:rsidRPr="00747B16">
        <w:rPr>
          <w:rFonts w:ascii="Arial" w:hAnsi="Arial" w:cs="Arial"/>
          <w:color w:val="000000" w:themeColor="text1"/>
          <w:sz w:val="22"/>
          <w:lang w:val="es-ES"/>
        </w:rPr>
        <w:t xml:space="preserve">i) la contratación de empréstitos, </w:t>
      </w:r>
      <w:proofErr w:type="spellStart"/>
      <w:r w:rsidRPr="00747B16">
        <w:rPr>
          <w:rFonts w:ascii="Arial" w:hAnsi="Arial" w:cs="Arial"/>
          <w:color w:val="000000" w:themeColor="text1"/>
          <w:sz w:val="22"/>
          <w:lang w:val="es-ES"/>
        </w:rPr>
        <w:t>ii</w:t>
      </w:r>
      <w:proofErr w:type="spellEnd"/>
      <w:r w:rsidRPr="00747B16">
        <w:rPr>
          <w:rFonts w:ascii="Arial" w:hAnsi="Arial" w:cs="Arial"/>
          <w:color w:val="000000" w:themeColor="text1"/>
          <w:sz w:val="22"/>
          <w:lang w:val="es-ES"/>
        </w:rPr>
        <w:t xml:space="preserve">) los contratos interadministrativos que celebre el Ministerio de Hacienda y Crédito Público con el Banco de la República, </w:t>
      </w:r>
      <w:proofErr w:type="spellStart"/>
      <w:r w:rsidRPr="00747B16">
        <w:rPr>
          <w:rFonts w:ascii="Arial" w:hAnsi="Arial" w:cs="Arial"/>
          <w:color w:val="000000" w:themeColor="text1"/>
          <w:sz w:val="22"/>
          <w:lang w:val="es-ES"/>
        </w:rPr>
        <w:t>iii</w:t>
      </w:r>
      <w:proofErr w:type="spellEnd"/>
      <w:r w:rsidRPr="00747B16">
        <w:rPr>
          <w:rFonts w:ascii="Arial" w:hAnsi="Arial" w:cs="Arial"/>
          <w:color w:val="000000" w:themeColor="text1"/>
          <w:sz w:val="22"/>
          <w:lang w:val="es-ES"/>
        </w:rPr>
        <w:t xml:space="preserve">) los contratos de bienes y servicios en el Sector Defensa, la Dirección Nacional de Inteligencia y la Unidad Nacional de Protección que necesiten reserva para su adquisición y </w:t>
      </w:r>
      <w:proofErr w:type="spellStart"/>
      <w:r w:rsidRPr="00747B16">
        <w:rPr>
          <w:rFonts w:ascii="Arial" w:hAnsi="Arial" w:cs="Arial"/>
          <w:color w:val="000000" w:themeColor="text1"/>
          <w:sz w:val="22"/>
          <w:lang w:val="es-ES"/>
        </w:rPr>
        <w:t>iv</w:t>
      </w:r>
      <w:proofErr w:type="spellEnd"/>
      <w:r w:rsidRPr="00747B16">
        <w:rPr>
          <w:rFonts w:ascii="Arial" w:hAnsi="Arial" w:cs="Arial"/>
          <w:color w:val="000000" w:themeColor="text1"/>
          <w:sz w:val="22"/>
          <w:lang w:val="es-ES"/>
        </w:rPr>
        <w:t>) los contratos celebrados por urgencia manifiesta.</w:t>
      </w:r>
    </w:p>
    <w:p w14:paraId="2B35E16C" w14:textId="77777777" w:rsidR="00954313" w:rsidRPr="00E758EE" w:rsidRDefault="00954313" w:rsidP="00954313">
      <w:pPr>
        <w:spacing w:line="276" w:lineRule="auto"/>
        <w:jc w:val="both"/>
        <w:rPr>
          <w:rFonts w:ascii="Arial" w:eastAsia="Calibri" w:hAnsi="Arial" w:cs="Arial"/>
          <w:color w:val="000000" w:themeColor="text1"/>
          <w:sz w:val="16"/>
          <w:szCs w:val="16"/>
          <w:lang w:val="es-ES_tradnl"/>
        </w:rPr>
      </w:pPr>
    </w:p>
    <w:p w14:paraId="4D15AE05" w14:textId="77777777" w:rsidR="00954313" w:rsidRPr="00747B16" w:rsidRDefault="00954313" w:rsidP="00954313">
      <w:pPr>
        <w:spacing w:line="276" w:lineRule="auto"/>
        <w:ind w:left="708" w:right="709"/>
        <w:jc w:val="both"/>
        <w:rPr>
          <w:rFonts w:ascii="Arial" w:eastAsia="Calibri" w:hAnsi="Arial" w:cs="Arial"/>
          <w:color w:val="000000" w:themeColor="text1"/>
          <w:sz w:val="22"/>
          <w:lang w:val="es-ES_tradnl"/>
        </w:rPr>
      </w:pPr>
      <w:proofErr w:type="spellStart"/>
      <w:r w:rsidRPr="00747B16">
        <w:rPr>
          <w:rFonts w:ascii="Arial" w:eastAsia="Calibri" w:hAnsi="Arial" w:cs="Arial"/>
          <w:color w:val="000000" w:themeColor="text1"/>
          <w:sz w:val="22"/>
          <w:lang w:val="es-ES_tradnl"/>
        </w:rPr>
        <w:t>ii</w:t>
      </w:r>
      <w:proofErr w:type="spellEnd"/>
      <w:r w:rsidRPr="00747B16">
        <w:rPr>
          <w:rFonts w:ascii="Arial" w:eastAsia="Calibri" w:hAnsi="Arial" w:cs="Arial"/>
          <w:color w:val="000000" w:themeColor="text1"/>
          <w:sz w:val="22"/>
          <w:lang w:val="es-ES_tradnl"/>
        </w:rPr>
        <w:t>) «¿A lo que hace referencia la norma es que en tratándose de contratación directa, la publicación debe realizarse una vez se haya realizado el contrato, dentro de los tres (3) días siguientes a la firma o legalización del contrato, publicando todos los documentos del proceso contractual?».</w:t>
      </w:r>
    </w:p>
    <w:p w14:paraId="53C1E216" w14:textId="77777777" w:rsidR="00954313" w:rsidRPr="00E758EE" w:rsidRDefault="00954313" w:rsidP="00954313">
      <w:pPr>
        <w:spacing w:line="276" w:lineRule="auto"/>
        <w:ind w:left="708" w:right="709"/>
        <w:jc w:val="both"/>
        <w:rPr>
          <w:rFonts w:ascii="Arial" w:eastAsia="Calibri" w:hAnsi="Arial" w:cs="Arial"/>
          <w:color w:val="000000" w:themeColor="text1"/>
          <w:sz w:val="16"/>
          <w:szCs w:val="16"/>
          <w:lang w:val="es-ES_tradnl"/>
        </w:rPr>
      </w:pPr>
    </w:p>
    <w:p w14:paraId="500B51E3" w14:textId="77777777" w:rsidR="00954313" w:rsidRPr="00747B16" w:rsidRDefault="00954313" w:rsidP="00954313">
      <w:pPr>
        <w:spacing w:line="276" w:lineRule="auto"/>
        <w:jc w:val="both"/>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 xml:space="preserve">El artículo </w:t>
      </w:r>
      <w:r w:rsidRPr="00747B16">
        <w:rPr>
          <w:rFonts w:ascii="Arial" w:hAnsi="Arial" w:cs="Arial"/>
          <w:color w:val="000000" w:themeColor="text1"/>
          <w:sz w:val="22"/>
          <w:lang w:val="es-ES"/>
        </w:rPr>
        <w:t>2.2.1.1.1.7.1. del Decreto 1082 de 2015 es claro al establecer que «La Entidad Estatal está obligada a publicar en el SECOP los Documentos del Proceso y los actos administrativos del Proceso de Contratación, dentro de los tres (3) días siguientes a su expedición». Como antes del contrato se expiden otros documentos del proceso, como el acto administrativo de justificación de la contratación directa o los estudios previos –aunque esto varía según la causal de contratación directa, como se explicó–, dichos documentos se deben publicar dentro del término de los tres (3) días siguientes, sin que la entidad pueda esperar para hacerlo a que se celebre el contrato en un momento posterior a dicho plazo.</w:t>
      </w:r>
    </w:p>
    <w:p w14:paraId="5D5160E2" w14:textId="77777777" w:rsidR="00954313" w:rsidRPr="00E758EE" w:rsidRDefault="00954313" w:rsidP="00954313">
      <w:pPr>
        <w:spacing w:line="276" w:lineRule="auto"/>
        <w:jc w:val="both"/>
        <w:rPr>
          <w:rFonts w:ascii="Arial" w:eastAsia="Calibri" w:hAnsi="Arial" w:cs="Arial"/>
          <w:color w:val="000000" w:themeColor="text1"/>
          <w:sz w:val="16"/>
          <w:szCs w:val="16"/>
          <w:lang w:val="es-ES_tradnl"/>
        </w:rPr>
      </w:pPr>
    </w:p>
    <w:p w14:paraId="15FE9BC4" w14:textId="77777777" w:rsidR="00954313" w:rsidRPr="00747B16" w:rsidRDefault="00954313" w:rsidP="00954313">
      <w:pPr>
        <w:spacing w:line="276" w:lineRule="auto"/>
        <w:jc w:val="both"/>
        <w:rPr>
          <w:rFonts w:ascii="Arial" w:eastAsia="Calibri" w:hAnsi="Arial" w:cs="Arial"/>
          <w:color w:val="000000" w:themeColor="text1"/>
          <w:sz w:val="22"/>
          <w:lang w:val="es-ES_tradnl"/>
        </w:rPr>
      </w:pPr>
      <w:r w:rsidRPr="00747B16">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63AA63A0" w14:textId="77777777" w:rsidR="00954313" w:rsidRPr="00E758EE" w:rsidRDefault="00954313" w:rsidP="00954313">
      <w:pPr>
        <w:spacing w:line="276" w:lineRule="auto"/>
        <w:jc w:val="both"/>
        <w:rPr>
          <w:rFonts w:ascii="Arial" w:eastAsia="Calibri" w:hAnsi="Arial" w:cs="Arial"/>
          <w:color w:val="000000" w:themeColor="text1"/>
          <w:sz w:val="16"/>
          <w:szCs w:val="16"/>
          <w:lang w:val="es-ES_tradnl"/>
        </w:rPr>
      </w:pPr>
    </w:p>
    <w:p w14:paraId="1ABCDE86" w14:textId="77777777" w:rsidR="00954313" w:rsidRPr="00747B16" w:rsidRDefault="00954313" w:rsidP="00954313">
      <w:pPr>
        <w:spacing w:line="276" w:lineRule="auto"/>
        <w:jc w:val="both"/>
        <w:rPr>
          <w:rFonts w:ascii="Arial" w:eastAsia="Calibri" w:hAnsi="Arial" w:cs="Arial"/>
          <w:color w:val="000000" w:themeColor="text1"/>
          <w:sz w:val="22"/>
          <w:lang w:val="es-ES_tradnl"/>
        </w:rPr>
      </w:pPr>
      <w:r w:rsidRPr="00747B16">
        <w:rPr>
          <w:noProof/>
          <w:color w:val="000000" w:themeColor="text1"/>
          <w:lang w:eastAsia="es-CO"/>
        </w:rPr>
        <mc:AlternateContent>
          <mc:Choice Requires="wps">
            <w:drawing>
              <wp:anchor distT="0" distB="0" distL="114300" distR="114300" simplePos="0" relativeHeight="251658240" behindDoc="0" locked="0" layoutInCell="1" allowOverlap="1" wp14:anchorId="59DAAA15" wp14:editId="34BBCA4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E4806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AB175A6" w14:textId="77777777" w:rsidR="00954313" w:rsidRPr="00747B16" w:rsidRDefault="00954313" w:rsidP="00954313">
      <w:pPr>
        <w:spacing w:line="276" w:lineRule="auto"/>
        <w:rPr>
          <w:rFonts w:ascii="Arial" w:hAnsi="Arial" w:cs="Arial"/>
          <w:color w:val="000000" w:themeColor="text1"/>
          <w:sz w:val="22"/>
          <w:lang w:val="es-ES_tradnl" w:eastAsia="es-CO"/>
        </w:rPr>
      </w:pPr>
      <w:r w:rsidRPr="00747B16">
        <w:rPr>
          <w:rFonts w:ascii="Arial" w:hAnsi="Arial" w:cs="Arial"/>
          <w:color w:val="000000" w:themeColor="text1"/>
          <w:sz w:val="22"/>
          <w:lang w:val="es-ES_tradnl" w:eastAsia="es-CO"/>
        </w:rPr>
        <w:t>Atentamente,</w:t>
      </w:r>
    </w:p>
    <w:p w14:paraId="64FB3945" w14:textId="501EDD42" w:rsidR="00954313" w:rsidRPr="00747B16" w:rsidRDefault="00E758EE" w:rsidP="00954313">
      <w:pPr>
        <w:spacing w:line="276" w:lineRule="auto"/>
        <w:jc w:val="center"/>
        <w:rPr>
          <w:rFonts w:ascii="Arial" w:hAnsi="Arial" w:cs="Arial"/>
          <w:color w:val="000000" w:themeColor="text1"/>
          <w:sz w:val="18"/>
          <w:szCs w:val="20"/>
          <w:lang w:val="es-ES_tradnl" w:eastAsia="es-CO"/>
        </w:rPr>
      </w:pPr>
      <w:r>
        <w:rPr>
          <w:noProof/>
        </w:rPr>
        <w:drawing>
          <wp:inline distT="0" distB="0" distL="0" distR="0" wp14:anchorId="4B1B1C3F" wp14:editId="11119796">
            <wp:extent cx="2773045" cy="988695"/>
            <wp:effectExtent l="0" t="0" r="0" b="0"/>
            <wp:docPr id="1974052755"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47B16" w:rsidRPr="00747B16" w14:paraId="3E557641" w14:textId="77777777" w:rsidTr="00C60A71">
        <w:trPr>
          <w:trHeight w:val="315"/>
        </w:trPr>
        <w:tc>
          <w:tcPr>
            <w:tcW w:w="812" w:type="dxa"/>
            <w:vAlign w:val="center"/>
            <w:hideMark/>
          </w:tcPr>
          <w:p w14:paraId="14D0EF59" w14:textId="77777777" w:rsidR="00954313" w:rsidRPr="00747B16" w:rsidRDefault="00954313" w:rsidP="00C60A71">
            <w:pPr>
              <w:spacing w:line="276" w:lineRule="auto"/>
              <w:rPr>
                <w:rFonts w:ascii="Arial" w:hAnsi="Arial" w:cs="Arial"/>
                <w:color w:val="000000" w:themeColor="text1"/>
                <w:sz w:val="16"/>
                <w:szCs w:val="16"/>
                <w:lang w:val="es-ES_tradnl" w:eastAsia="es-ES"/>
              </w:rPr>
            </w:pPr>
            <w:r w:rsidRPr="00747B1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E7AF6A9" w14:textId="77777777" w:rsidR="00954313" w:rsidRPr="00747B16" w:rsidRDefault="00954313" w:rsidP="00C60A71">
            <w:pPr>
              <w:spacing w:line="276" w:lineRule="auto"/>
              <w:rPr>
                <w:rFonts w:ascii="Arial" w:hAnsi="Arial" w:cs="Arial"/>
                <w:color w:val="000000" w:themeColor="text1"/>
                <w:sz w:val="16"/>
                <w:szCs w:val="16"/>
                <w:lang w:val="es-ES_tradnl" w:eastAsia="es-ES"/>
              </w:rPr>
            </w:pPr>
            <w:r w:rsidRPr="00747B16">
              <w:rPr>
                <w:rFonts w:ascii="Arial" w:hAnsi="Arial" w:cs="Arial"/>
                <w:color w:val="000000" w:themeColor="text1"/>
                <w:sz w:val="16"/>
                <w:szCs w:val="16"/>
                <w:lang w:val="es-ES_tradnl" w:eastAsia="es-ES"/>
              </w:rPr>
              <w:t>Cristian Andrés Díaz Díez</w:t>
            </w:r>
          </w:p>
        </w:tc>
      </w:tr>
      <w:tr w:rsidR="00747B16" w:rsidRPr="00747B16" w14:paraId="54C76F3C" w14:textId="77777777" w:rsidTr="00C60A71">
        <w:trPr>
          <w:trHeight w:val="330"/>
        </w:trPr>
        <w:tc>
          <w:tcPr>
            <w:tcW w:w="812" w:type="dxa"/>
            <w:vAlign w:val="center"/>
            <w:hideMark/>
          </w:tcPr>
          <w:p w14:paraId="6FA672AD" w14:textId="77777777" w:rsidR="00954313" w:rsidRPr="00747B16" w:rsidRDefault="00954313" w:rsidP="00C60A71">
            <w:pPr>
              <w:spacing w:line="276" w:lineRule="auto"/>
              <w:rPr>
                <w:rFonts w:ascii="Arial" w:hAnsi="Arial" w:cs="Arial"/>
                <w:color w:val="000000" w:themeColor="text1"/>
                <w:sz w:val="16"/>
                <w:szCs w:val="16"/>
                <w:lang w:val="es-ES_tradnl" w:eastAsia="es-ES"/>
              </w:rPr>
            </w:pPr>
            <w:r w:rsidRPr="00747B1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8A5999" w14:textId="77777777" w:rsidR="00954313" w:rsidRPr="00747B16" w:rsidRDefault="00954313" w:rsidP="00C60A71">
            <w:pPr>
              <w:spacing w:line="276" w:lineRule="auto"/>
              <w:rPr>
                <w:rFonts w:ascii="Arial" w:hAnsi="Arial" w:cs="Arial"/>
                <w:color w:val="000000" w:themeColor="text1"/>
                <w:sz w:val="16"/>
                <w:szCs w:val="16"/>
                <w:lang w:val="es-ES_tradnl" w:eastAsia="es-ES"/>
              </w:rPr>
            </w:pPr>
            <w:r w:rsidRPr="00747B16">
              <w:rPr>
                <w:rFonts w:ascii="Arial" w:hAnsi="Arial" w:cs="Arial"/>
                <w:color w:val="000000" w:themeColor="text1"/>
                <w:sz w:val="16"/>
                <w:szCs w:val="16"/>
                <w:lang w:val="es-ES_tradnl" w:eastAsia="es-ES"/>
              </w:rPr>
              <w:t>Fabián Gonzalo Marín Cortés</w:t>
            </w:r>
          </w:p>
          <w:p w14:paraId="599C1B12" w14:textId="77777777" w:rsidR="00954313" w:rsidRPr="00747B16" w:rsidRDefault="00954313" w:rsidP="00C60A71">
            <w:pPr>
              <w:spacing w:line="276" w:lineRule="auto"/>
              <w:rPr>
                <w:rFonts w:ascii="Arial" w:hAnsi="Arial" w:cs="Arial"/>
                <w:color w:val="000000" w:themeColor="text1"/>
                <w:sz w:val="16"/>
                <w:szCs w:val="16"/>
                <w:lang w:val="es-ES_tradnl" w:eastAsia="es-ES"/>
              </w:rPr>
            </w:pPr>
            <w:r w:rsidRPr="00747B16">
              <w:rPr>
                <w:rFonts w:ascii="Arial" w:hAnsi="Arial" w:cs="Arial"/>
                <w:color w:val="000000" w:themeColor="text1"/>
                <w:sz w:val="16"/>
                <w:szCs w:val="16"/>
                <w:lang w:val="es-ES_tradnl" w:eastAsia="es-ES"/>
              </w:rPr>
              <w:t>Subdirector de Gestión Contractual</w:t>
            </w:r>
          </w:p>
        </w:tc>
      </w:tr>
      <w:tr w:rsidR="00954313" w:rsidRPr="00747B16" w14:paraId="1DF8F7AE" w14:textId="77777777" w:rsidTr="00C60A71">
        <w:trPr>
          <w:trHeight w:val="300"/>
        </w:trPr>
        <w:tc>
          <w:tcPr>
            <w:tcW w:w="812" w:type="dxa"/>
            <w:vAlign w:val="center"/>
            <w:hideMark/>
          </w:tcPr>
          <w:p w14:paraId="020327A5" w14:textId="77777777" w:rsidR="00954313" w:rsidRPr="00747B16" w:rsidRDefault="00954313" w:rsidP="00C60A71">
            <w:pPr>
              <w:spacing w:line="276" w:lineRule="auto"/>
              <w:rPr>
                <w:rFonts w:ascii="Arial" w:hAnsi="Arial" w:cs="Arial"/>
                <w:color w:val="000000" w:themeColor="text1"/>
                <w:sz w:val="16"/>
                <w:szCs w:val="16"/>
                <w:lang w:val="es-ES_tradnl" w:eastAsia="es-ES"/>
              </w:rPr>
            </w:pPr>
            <w:r w:rsidRPr="00747B1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14860F" w14:textId="77777777" w:rsidR="00954313" w:rsidRPr="00747B16" w:rsidRDefault="00954313" w:rsidP="00C60A71">
            <w:pPr>
              <w:spacing w:line="276" w:lineRule="auto"/>
              <w:rPr>
                <w:rFonts w:ascii="Arial" w:hAnsi="Arial" w:cs="Arial"/>
                <w:color w:val="000000" w:themeColor="text1"/>
                <w:sz w:val="16"/>
                <w:szCs w:val="16"/>
                <w:lang w:val="es-ES_tradnl" w:eastAsia="es-ES"/>
              </w:rPr>
            </w:pPr>
            <w:r w:rsidRPr="00747B16">
              <w:rPr>
                <w:rFonts w:ascii="Arial" w:hAnsi="Arial" w:cs="Arial"/>
                <w:color w:val="000000" w:themeColor="text1"/>
                <w:sz w:val="16"/>
                <w:szCs w:val="16"/>
                <w:lang w:val="es-ES_tradnl" w:eastAsia="es-ES"/>
              </w:rPr>
              <w:t>Fabián Gonzalo Marín Cortés</w:t>
            </w:r>
          </w:p>
          <w:p w14:paraId="0467D23C" w14:textId="77777777" w:rsidR="00954313" w:rsidRPr="00747B16" w:rsidRDefault="00954313" w:rsidP="00C60A71">
            <w:pPr>
              <w:spacing w:line="276" w:lineRule="auto"/>
              <w:rPr>
                <w:rFonts w:ascii="Arial" w:hAnsi="Arial" w:cs="Arial"/>
                <w:color w:val="000000" w:themeColor="text1"/>
                <w:sz w:val="16"/>
                <w:szCs w:val="16"/>
                <w:lang w:val="es-ES_tradnl" w:eastAsia="es-ES"/>
              </w:rPr>
            </w:pPr>
            <w:r w:rsidRPr="00747B16">
              <w:rPr>
                <w:rFonts w:ascii="Arial" w:hAnsi="Arial" w:cs="Arial"/>
                <w:color w:val="000000" w:themeColor="text1"/>
                <w:sz w:val="16"/>
                <w:szCs w:val="16"/>
                <w:lang w:val="es-ES_tradnl" w:eastAsia="es-ES"/>
              </w:rPr>
              <w:t>Subdirector de Gestión Contractual</w:t>
            </w:r>
          </w:p>
        </w:tc>
      </w:tr>
      <w:bookmarkEnd w:id="2"/>
    </w:tbl>
    <w:p w14:paraId="7EBF297E" w14:textId="77777777" w:rsidR="007B0854" w:rsidRPr="00747B16" w:rsidRDefault="007B0854" w:rsidP="00954313">
      <w:pPr>
        <w:rPr>
          <w:color w:val="000000" w:themeColor="text1"/>
          <w:lang w:val="es-ES_tradnl"/>
        </w:rPr>
      </w:pPr>
    </w:p>
    <w:sectPr w:rsidR="007B0854" w:rsidRPr="00747B16"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BE5445" w14:textId="77777777" w:rsidR="006D7D75" w:rsidRDefault="006D7D75">
      <w:r>
        <w:separator/>
      </w:r>
    </w:p>
  </w:endnote>
  <w:endnote w:type="continuationSeparator" w:id="0">
    <w:p w14:paraId="79320058" w14:textId="77777777" w:rsidR="006D7D75" w:rsidRDefault="006D7D75">
      <w:r>
        <w:continuationSeparator/>
      </w:r>
    </w:p>
  </w:endnote>
  <w:endnote w:type="continuationNotice" w:id="1">
    <w:p w14:paraId="6A772874" w14:textId="77777777" w:rsidR="006D7D75" w:rsidRDefault="006D7D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4A14" w14:textId="3588C888"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D427EB">
      <w:rPr>
        <w:rFonts w:ascii="Arial" w:hAnsi="Arial" w:cs="Arial"/>
        <w:noProof/>
        <w:sz w:val="18"/>
        <w:szCs w:val="18"/>
      </w:rPr>
      <w:t>2</w:t>
    </w:r>
    <w:r w:rsidRPr="00D04413">
      <w:rPr>
        <w:rFonts w:ascii="Arial" w:hAnsi="Arial" w:cs="Arial"/>
        <w:sz w:val="18"/>
        <w:szCs w:val="18"/>
      </w:rPr>
      <w:fldChar w:fldCharType="end"/>
    </w:r>
  </w:p>
  <w:p w14:paraId="48FC6A04" w14:textId="0E0B8C38" w:rsidR="009047C5" w:rsidRDefault="798A939A" w:rsidP="007B0854">
    <w:pPr>
      <w:pStyle w:val="Piedepgina"/>
      <w:jc w:val="center"/>
      <w:rPr>
        <w:lang w:val="es-ES"/>
      </w:rPr>
    </w:pPr>
    <w:r>
      <w:rPr>
        <w:noProof/>
      </w:rPr>
      <w:drawing>
        <wp:inline distT="0" distB="0" distL="0" distR="0" wp14:anchorId="608B196D" wp14:editId="72767477">
          <wp:extent cx="4241994" cy="595165"/>
          <wp:effectExtent l="0" t="0" r="6350" b="0"/>
          <wp:docPr id="633665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D7C7D" w14:textId="77777777" w:rsidR="006D7D75" w:rsidRDefault="006D7D75">
      <w:r>
        <w:separator/>
      </w:r>
    </w:p>
  </w:footnote>
  <w:footnote w:type="continuationSeparator" w:id="0">
    <w:p w14:paraId="1683D982" w14:textId="77777777" w:rsidR="006D7D75" w:rsidRDefault="006D7D75">
      <w:r>
        <w:continuationSeparator/>
      </w:r>
    </w:p>
  </w:footnote>
  <w:footnote w:type="continuationNotice" w:id="1">
    <w:p w14:paraId="2C497551" w14:textId="77777777" w:rsidR="006D7D75" w:rsidRDefault="006D7D75"/>
  </w:footnote>
  <w:footnote w:id="2">
    <w:p w14:paraId="2812BADF"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Corte Constitucional. Sentencia C-341 del 4 de junio de 2014. M.P. Mauricio González Cuervo.</w:t>
      </w:r>
    </w:p>
    <w:p w14:paraId="7197CF35"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 w:id="3">
    <w:p w14:paraId="67F5080E"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E42FF31"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Fonts w:ascii="Arial" w:hAnsi="Arial" w:cs="Arial"/>
          <w:color w:val="000000" w:themeColor="text1"/>
          <w:sz w:val="19"/>
          <w:szCs w:val="19"/>
        </w:rPr>
        <w:t>»Lo anterior, sin perjuicio de las publicaciones previstas en el numeral 3 del artículo 30 de la Ley 80 de 1993.</w:t>
      </w:r>
    </w:p>
    <w:p w14:paraId="2B44C92D"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08E69D0A"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Fonts w:ascii="Arial" w:hAnsi="Arial" w:cs="Arial"/>
          <w:color w:val="000000" w:themeColor="text1"/>
          <w:sz w:val="19"/>
          <w:szCs w:val="19"/>
        </w:rPr>
        <w:t>[…]</w:t>
      </w:r>
    </w:p>
    <w:p w14:paraId="12234C5F"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6F3593C7"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 w:id="4">
    <w:p w14:paraId="75732D21"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E97444C"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 w:id="5">
    <w:p w14:paraId="6C23F471"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A659547"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661C92F1"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 w:id="6">
    <w:p w14:paraId="713E12B2"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Fonts w:ascii="Arial" w:hAnsi="Arial" w:cs="Arial"/>
          <w:color w:val="000000" w:themeColor="text1"/>
          <w:sz w:val="19"/>
          <w:szCs w:val="19"/>
          <w:vertAlign w:val="superscript"/>
          <w:lang w:val="es-ES" w:eastAsia="es-ES"/>
        </w:rPr>
        <w:footnoteRef/>
      </w:r>
      <w:r w:rsidRPr="00747B16">
        <w:rPr>
          <w:rFonts w:ascii="Arial" w:hAnsi="Arial" w:cs="Arial"/>
          <w:color w:val="000000" w:themeColor="text1"/>
          <w:sz w:val="19"/>
          <w:szCs w:val="19"/>
          <w:vertAlign w:val="superscript"/>
          <w:lang w:val="es-ES" w:eastAsia="es-ES"/>
        </w:rPr>
        <w:t xml:space="preserve"> </w:t>
      </w:r>
      <w:r w:rsidRPr="00747B16">
        <w:rPr>
          <w:rFonts w:ascii="Arial" w:hAnsi="Arial" w:cs="Arial"/>
          <w:color w:val="000000" w:themeColor="text1"/>
          <w:sz w:val="19"/>
          <w:szCs w:val="19"/>
          <w:lang w:val="es-ES" w:eastAsia="es-ES"/>
        </w:rPr>
        <w:t>«</w:t>
      </w:r>
      <w:r w:rsidRPr="00747B16">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5602D1F" w14:textId="77777777" w:rsidR="00954313" w:rsidRPr="00747B16" w:rsidRDefault="00954313" w:rsidP="00954313">
      <w:pPr>
        <w:pStyle w:val="Textonotapie"/>
        <w:ind w:firstLine="709"/>
        <w:jc w:val="both"/>
        <w:rPr>
          <w:rFonts w:ascii="Arial" w:hAnsi="Arial" w:cs="Arial"/>
          <w:color w:val="000000" w:themeColor="text1"/>
          <w:sz w:val="19"/>
          <w:szCs w:val="19"/>
          <w:lang w:val="es-ES" w:eastAsia="es-ES"/>
        </w:rPr>
      </w:pPr>
      <w:r w:rsidRPr="00747B16">
        <w:rPr>
          <w:rFonts w:ascii="Arial" w:hAnsi="Arial" w:cs="Arial"/>
          <w:color w:val="000000" w:themeColor="text1"/>
          <w:sz w:val="19"/>
          <w:szCs w:val="19"/>
        </w:rPr>
        <w:t>[…].</w:t>
      </w:r>
    </w:p>
    <w:p w14:paraId="05B00536" w14:textId="77777777" w:rsidR="00954313" w:rsidRPr="00747B16" w:rsidRDefault="00954313" w:rsidP="00954313">
      <w:pPr>
        <w:pStyle w:val="Textonotapie"/>
        <w:ind w:firstLine="709"/>
        <w:jc w:val="both"/>
        <w:rPr>
          <w:rFonts w:ascii="Arial" w:hAnsi="Arial" w:cs="Arial"/>
          <w:color w:val="000000" w:themeColor="text1"/>
          <w:sz w:val="19"/>
          <w:szCs w:val="19"/>
          <w:lang w:val="es-ES" w:eastAsia="es-ES"/>
        </w:rPr>
      </w:pPr>
      <w:r w:rsidRPr="00747B16">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4CC4A156" w14:textId="77777777" w:rsidR="00954313" w:rsidRPr="00747B16" w:rsidRDefault="00954313" w:rsidP="00954313">
      <w:pPr>
        <w:pStyle w:val="Textonotapie"/>
        <w:ind w:firstLine="709"/>
        <w:jc w:val="both"/>
        <w:rPr>
          <w:rFonts w:ascii="Arial" w:hAnsi="Arial" w:cs="Arial"/>
          <w:color w:val="000000" w:themeColor="text1"/>
          <w:sz w:val="19"/>
          <w:szCs w:val="19"/>
          <w:lang w:val="es-ES" w:eastAsia="es-ES"/>
        </w:rPr>
      </w:pPr>
    </w:p>
  </w:footnote>
  <w:footnote w:id="7">
    <w:p w14:paraId="2E6E4D57"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C</w:t>
      </w:r>
      <w:r w:rsidRPr="00747B16">
        <w:rPr>
          <w:rFonts w:ascii="Arial" w:hAnsi="Arial" w:cs="Arial"/>
          <w:color w:val="000000" w:themeColor="text1"/>
          <w:sz w:val="19"/>
          <w:szCs w:val="19"/>
          <w:lang w:val="es-ES" w:eastAsia="es-ES"/>
        </w:rPr>
        <w:t xml:space="preserve">orte Constitucional. Sentencia C-274 de 9 de mayo de 2013. M.P. María Victoria Calle Correa. </w:t>
      </w:r>
    </w:p>
    <w:p w14:paraId="5899C810"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 w:id="8">
    <w:p w14:paraId="1E9CF644"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06A04A20"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 w:id="9">
    <w:p w14:paraId="4E4862AC" w14:textId="77777777" w:rsidR="00954313" w:rsidRPr="00747B16" w:rsidRDefault="00954313" w:rsidP="00954313">
      <w:pPr>
        <w:pStyle w:val="Textonotapie"/>
        <w:ind w:firstLine="709"/>
        <w:jc w:val="both"/>
        <w:rPr>
          <w:rFonts w:ascii="Arial" w:hAnsi="Arial" w:cs="Arial"/>
          <w:color w:val="000000" w:themeColor="text1"/>
          <w:sz w:val="19"/>
          <w:szCs w:val="19"/>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Consejo de Estado. Sección Tercera. Subsección C. Auto del 14 de agosto de 2017. Exp. 58.820. C.P. Jaime Orlando Santofimio Gamboa. </w:t>
      </w:r>
    </w:p>
    <w:p w14:paraId="49FE5167"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 w:id="10">
    <w:p w14:paraId="3C85ABFE" w14:textId="77777777" w:rsidR="00954313" w:rsidRPr="00747B16" w:rsidRDefault="00954313" w:rsidP="00954313">
      <w:pPr>
        <w:pStyle w:val="Textonotapie"/>
        <w:ind w:firstLine="709"/>
        <w:jc w:val="both"/>
        <w:rPr>
          <w:rFonts w:ascii="Arial" w:hAnsi="Arial" w:cs="Arial"/>
          <w:color w:val="000000" w:themeColor="text1"/>
          <w:sz w:val="19"/>
          <w:szCs w:val="19"/>
          <w:lang w:val="es-ES"/>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w:t>
      </w:r>
      <w:r w:rsidRPr="00747B16">
        <w:rPr>
          <w:rFonts w:ascii="Arial" w:hAnsi="Arial" w:cs="Arial"/>
          <w:color w:val="000000" w:themeColor="text1"/>
          <w:sz w:val="19"/>
          <w:szCs w:val="19"/>
          <w:lang w:val="es-ES"/>
        </w:rPr>
        <w:t>Es decir, Contratación de Bienes y Servicios en el Sector Defensa, la Dirección Nacional de Inteligencia y la Unidad Nacional de Protección que necesiten reserva para su adquisición</w:t>
      </w:r>
    </w:p>
    <w:p w14:paraId="6F24055D"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 w:id="11">
    <w:p w14:paraId="53EEB5AC" w14:textId="77777777" w:rsidR="00954313" w:rsidRPr="00747B16" w:rsidRDefault="00954313" w:rsidP="00954313">
      <w:pPr>
        <w:pStyle w:val="Textonotapie"/>
        <w:ind w:firstLine="709"/>
        <w:jc w:val="both"/>
        <w:rPr>
          <w:rFonts w:ascii="Arial" w:hAnsi="Arial" w:cs="Arial"/>
          <w:color w:val="000000" w:themeColor="text1"/>
          <w:sz w:val="19"/>
          <w:szCs w:val="19"/>
          <w:lang w:val="es-ES"/>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w:t>
      </w:r>
      <w:r w:rsidRPr="00747B16">
        <w:rPr>
          <w:rFonts w:ascii="Arial" w:hAnsi="Arial" w:cs="Arial"/>
          <w:color w:val="000000" w:themeColor="text1"/>
          <w:sz w:val="19"/>
          <w:szCs w:val="19"/>
          <w:lang w:val="es-ES"/>
        </w:rPr>
        <w:t>Artículo 2.2.1.2.1.4.1. del Decreto 1082 de 2015.</w:t>
      </w:r>
    </w:p>
    <w:p w14:paraId="07BC6F1D" w14:textId="77777777" w:rsidR="00954313" w:rsidRPr="00747B16" w:rsidRDefault="00954313" w:rsidP="00954313">
      <w:pPr>
        <w:pStyle w:val="Textonotapie"/>
        <w:ind w:firstLine="709"/>
        <w:jc w:val="both"/>
        <w:rPr>
          <w:rFonts w:ascii="Arial" w:hAnsi="Arial" w:cs="Arial"/>
          <w:color w:val="000000" w:themeColor="text1"/>
          <w:sz w:val="19"/>
          <w:szCs w:val="19"/>
          <w:lang w:val="es-ES"/>
        </w:rPr>
      </w:pPr>
    </w:p>
  </w:footnote>
  <w:footnote w:id="12">
    <w:p w14:paraId="62FF6707" w14:textId="77777777" w:rsidR="00954313" w:rsidRPr="00747B16" w:rsidRDefault="00954313" w:rsidP="00954313">
      <w:pPr>
        <w:ind w:firstLine="709"/>
        <w:jc w:val="both"/>
        <w:rPr>
          <w:rFonts w:ascii="Arial" w:hAnsi="Arial" w:cs="Arial"/>
          <w:color w:val="000000" w:themeColor="text1"/>
          <w:sz w:val="19"/>
          <w:szCs w:val="19"/>
          <w:lang w:val="es-ES"/>
        </w:rPr>
      </w:pPr>
      <w:r w:rsidRPr="00747B16">
        <w:rPr>
          <w:rStyle w:val="Refdenotaalpie"/>
          <w:rFonts w:ascii="Arial" w:hAnsi="Arial" w:cs="Arial"/>
          <w:color w:val="000000" w:themeColor="text1"/>
          <w:sz w:val="19"/>
          <w:szCs w:val="19"/>
        </w:rPr>
        <w:footnoteRef/>
      </w:r>
      <w:r w:rsidRPr="00747B16">
        <w:rPr>
          <w:rFonts w:ascii="Arial" w:hAnsi="Arial" w:cs="Arial"/>
          <w:color w:val="000000" w:themeColor="text1"/>
          <w:sz w:val="19"/>
          <w:szCs w:val="19"/>
        </w:rPr>
        <w:t xml:space="preserve"> </w:t>
      </w:r>
      <w:r w:rsidRPr="00747B16">
        <w:rPr>
          <w:rFonts w:ascii="Arial" w:hAnsi="Arial" w:cs="Arial"/>
          <w:color w:val="000000" w:themeColor="text1"/>
          <w:sz w:val="19"/>
          <w:szCs w:val="19"/>
          <w:lang w:val="es-ES"/>
        </w:rPr>
        <w:t>«Artículo 2.2.1.2.1.4.2. Declaración de urgencia manifiesta. Si la causal de contratación directa es la urgencia manifiesta, el acto administrativo que la declare hará las veces del acto ad­ministrativo de justificación, y en este caso la Entidad Estatal no está obligada a elaborar estudios y documentos previos» (Decreto 1082 de 2015).</w:t>
      </w:r>
    </w:p>
    <w:p w14:paraId="7B2059EC" w14:textId="77777777" w:rsidR="00954313" w:rsidRPr="00747B16" w:rsidRDefault="00954313" w:rsidP="00954313">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1C2468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7192D"/>
    <w:rsid w:val="00091E89"/>
    <w:rsid w:val="000942EB"/>
    <w:rsid w:val="000B103F"/>
    <w:rsid w:val="000C2912"/>
    <w:rsid w:val="000F14E8"/>
    <w:rsid w:val="00103915"/>
    <w:rsid w:val="00122B23"/>
    <w:rsid w:val="00137FFA"/>
    <w:rsid w:val="001A5DC0"/>
    <w:rsid w:val="00234B84"/>
    <w:rsid w:val="002A6CB1"/>
    <w:rsid w:val="003033BA"/>
    <w:rsid w:val="00343A30"/>
    <w:rsid w:val="0034680A"/>
    <w:rsid w:val="00386456"/>
    <w:rsid w:val="003A581E"/>
    <w:rsid w:val="004172A0"/>
    <w:rsid w:val="00423DD2"/>
    <w:rsid w:val="004422D6"/>
    <w:rsid w:val="0045655C"/>
    <w:rsid w:val="004A34D2"/>
    <w:rsid w:val="0050776A"/>
    <w:rsid w:val="0051074C"/>
    <w:rsid w:val="00513AF2"/>
    <w:rsid w:val="0054413A"/>
    <w:rsid w:val="005564CA"/>
    <w:rsid w:val="00655371"/>
    <w:rsid w:val="006833DF"/>
    <w:rsid w:val="00697665"/>
    <w:rsid w:val="006A7FD0"/>
    <w:rsid w:val="006D7687"/>
    <w:rsid w:val="006D7D75"/>
    <w:rsid w:val="006E0572"/>
    <w:rsid w:val="00705631"/>
    <w:rsid w:val="00732F1B"/>
    <w:rsid w:val="00742DD2"/>
    <w:rsid w:val="00747B16"/>
    <w:rsid w:val="0075647A"/>
    <w:rsid w:val="007634AD"/>
    <w:rsid w:val="0078122E"/>
    <w:rsid w:val="007B0854"/>
    <w:rsid w:val="007F72CB"/>
    <w:rsid w:val="0083119B"/>
    <w:rsid w:val="00836EAB"/>
    <w:rsid w:val="0085092D"/>
    <w:rsid w:val="008C08A2"/>
    <w:rsid w:val="008E1C15"/>
    <w:rsid w:val="00903686"/>
    <w:rsid w:val="009047C5"/>
    <w:rsid w:val="0095385A"/>
    <w:rsid w:val="00954313"/>
    <w:rsid w:val="009874F6"/>
    <w:rsid w:val="009E34DD"/>
    <w:rsid w:val="00A112A0"/>
    <w:rsid w:val="00A24560"/>
    <w:rsid w:val="00A34538"/>
    <w:rsid w:val="00AA442B"/>
    <w:rsid w:val="00B053F2"/>
    <w:rsid w:val="00B22E22"/>
    <w:rsid w:val="00B525CB"/>
    <w:rsid w:val="00B61F92"/>
    <w:rsid w:val="00B63CB2"/>
    <w:rsid w:val="00B86482"/>
    <w:rsid w:val="00BD78FE"/>
    <w:rsid w:val="00C60A71"/>
    <w:rsid w:val="00C73BCA"/>
    <w:rsid w:val="00CC00CD"/>
    <w:rsid w:val="00D00F2C"/>
    <w:rsid w:val="00D16E39"/>
    <w:rsid w:val="00D427EB"/>
    <w:rsid w:val="00D72E9D"/>
    <w:rsid w:val="00D82CE5"/>
    <w:rsid w:val="00DA5AB1"/>
    <w:rsid w:val="00DC62E5"/>
    <w:rsid w:val="00DD735D"/>
    <w:rsid w:val="00DE3119"/>
    <w:rsid w:val="00DF236B"/>
    <w:rsid w:val="00E13AB8"/>
    <w:rsid w:val="00E33B62"/>
    <w:rsid w:val="00E758EE"/>
    <w:rsid w:val="00E93E63"/>
    <w:rsid w:val="00E96436"/>
    <w:rsid w:val="00F77852"/>
    <w:rsid w:val="00F84899"/>
    <w:rsid w:val="00F859F0"/>
    <w:rsid w:val="00FE141E"/>
    <w:rsid w:val="1BBEDC1C"/>
    <w:rsid w:val="1CBDCB5F"/>
    <w:rsid w:val="2588EB18"/>
    <w:rsid w:val="64671FB5"/>
    <w:rsid w:val="798A939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7B39CD1C-F630-4334-BE0C-00461D69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954313"/>
    <w:rPr>
      <w:rFonts w:ascii="Times New Roman" w:eastAsia="Times New Roman" w:hAnsi="Times New Roman" w:cs="Times New Roman"/>
      <w:sz w:val="24"/>
      <w:szCs w:val="24"/>
      <w:lang w:eastAsia="es-CO"/>
    </w:rPr>
  </w:style>
  <w:style w:type="paragraph" w:customStyle="1" w:styleId="Default">
    <w:name w:val="Default"/>
    <w:rsid w:val="0050776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085A6-D25E-43AE-B4DB-9AB3D40D8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79D4D2-2611-472C-93C9-E55457BB57C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F6432AB-A36F-4EF1-B0C5-91148B0F6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8</Pages>
  <Words>3017</Words>
  <Characters>16596</Characters>
  <Application>Microsoft Office Word</Application>
  <DocSecurity>0</DocSecurity>
  <Lines>138</Lines>
  <Paragraphs>39</Paragraphs>
  <ScaleCrop>false</ScaleCrop>
  <Company/>
  <LinksUpToDate>false</LinksUpToDate>
  <CharactersWithSpaces>19574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2</cp:revision>
  <dcterms:created xsi:type="dcterms:W3CDTF">2020-08-20T20:50:00Z</dcterms:created>
  <dcterms:modified xsi:type="dcterms:W3CDTF">2020-08-20T20:50:00Z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