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189B3" w14:textId="77777777" w:rsidR="00B44E5F" w:rsidRPr="00AF1555" w:rsidRDefault="00B44E5F" w:rsidP="00B44E5F">
      <w:pPr>
        <w:tabs>
          <w:tab w:val="left" w:pos="709"/>
        </w:tabs>
        <w:spacing w:after="0" w:line="240" w:lineRule="auto"/>
        <w:jc w:val="both"/>
        <w:rPr>
          <w:rFonts w:ascii="Verdana" w:eastAsia="Calibri" w:hAnsi="Verdana" w:cs="Arial"/>
          <w:bCs/>
          <w:sz w:val="20"/>
          <w:szCs w:val="20"/>
          <w:lang w:val="es-ES_tradnl" w:eastAsia="es-ES_tradnl"/>
        </w:rPr>
      </w:pPr>
    </w:p>
    <w:p w14:paraId="412C4E33" w14:textId="77777777" w:rsidR="00B44E5F" w:rsidRPr="00CD3E53" w:rsidRDefault="00B44E5F" w:rsidP="00B44E5F">
      <w:pPr>
        <w:jc w:val="both"/>
        <w:rPr>
          <w:rFonts w:ascii="Verdana" w:hAnsi="Verdana" w:cs="Arial"/>
          <w:b/>
          <w:color w:val="000000" w:themeColor="text1"/>
          <w:lang w:val="es-ES_tradnl"/>
        </w:rPr>
      </w:pPr>
      <w:r w:rsidRPr="00CD3E53">
        <w:rPr>
          <w:rFonts w:ascii="Verdana" w:hAnsi="Verdana" w:cs="Arial"/>
          <w:b/>
          <w:color w:val="000000" w:themeColor="text1"/>
          <w:lang w:val="es-ES_tradnl"/>
        </w:rPr>
        <w:t xml:space="preserve">LEY DE GARANTÍAS ELECTORALES ‒ Finalidad </w:t>
      </w:r>
    </w:p>
    <w:p w14:paraId="5BC0E0E1" w14:textId="77777777" w:rsidR="00B44E5F" w:rsidRPr="00BF0E07" w:rsidRDefault="00B44E5F" w:rsidP="00B44E5F">
      <w:pPr>
        <w:tabs>
          <w:tab w:val="left" w:pos="426"/>
        </w:tabs>
        <w:spacing w:after="120" w:line="276" w:lineRule="auto"/>
        <w:jc w:val="both"/>
        <w:rPr>
          <w:rFonts w:ascii="Verdana" w:eastAsia="Calibri" w:hAnsi="Verdana" w:cs="Arial"/>
          <w:sz w:val="20"/>
          <w:szCs w:val="20"/>
          <w:lang w:val="es-ES_tradnl"/>
        </w:rPr>
      </w:pPr>
      <w:r w:rsidRPr="00BF0E07">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BF0E07">
        <w:rPr>
          <w:rFonts w:ascii="Verdana" w:eastAsia="Calibri" w:hAnsi="Verdana" w:cs="Arial"/>
          <w:sz w:val="20"/>
          <w:szCs w:val="20"/>
          <w:lang w:val="es-ES_tradnl"/>
        </w:rPr>
        <w:t xml:space="preserve"> </w:t>
      </w:r>
    </w:p>
    <w:p w14:paraId="117FF63A" w14:textId="77777777" w:rsidR="00B44E5F" w:rsidRPr="00CD3E53" w:rsidRDefault="00B44E5F" w:rsidP="00B44E5F">
      <w:pPr>
        <w:jc w:val="both"/>
        <w:rPr>
          <w:rFonts w:ascii="Verdana" w:hAnsi="Verdana" w:cs="Arial"/>
          <w:b/>
          <w:color w:val="000000" w:themeColor="text1"/>
          <w:lang w:val="es-ES_tradnl"/>
        </w:rPr>
      </w:pPr>
      <w:r w:rsidRPr="00CD3E53">
        <w:rPr>
          <w:rFonts w:ascii="Verdana" w:hAnsi="Verdana" w:cs="Arial"/>
          <w:b/>
          <w:color w:val="000000" w:themeColor="text1"/>
          <w:lang w:val="es-ES_tradnl"/>
        </w:rPr>
        <w:t xml:space="preserve">LEY DE GARANTÍAS ELECTORALES ‒ Tipos de restricciones </w:t>
      </w:r>
    </w:p>
    <w:p w14:paraId="7515C46B" w14:textId="77777777" w:rsidR="00B44E5F" w:rsidRPr="00BF0E07" w:rsidRDefault="00B44E5F" w:rsidP="00B44E5F">
      <w:pPr>
        <w:jc w:val="both"/>
        <w:rPr>
          <w:rFonts w:ascii="Verdana" w:eastAsia="Arial" w:hAnsi="Verdana" w:cs="Arial"/>
          <w:sz w:val="20"/>
          <w:szCs w:val="20"/>
          <w:lang w:val="es-ES" w:eastAsia="es-ES"/>
        </w:rPr>
      </w:pPr>
      <w:r w:rsidRPr="00BF0E07">
        <w:rPr>
          <w:rFonts w:ascii="Verdana" w:eastAsia="Times New Roman" w:hAnsi="Verdana" w:cs="Open Sans"/>
          <w:sz w:val="20"/>
          <w:szCs w:val="20"/>
          <w:lang w:eastAsia="es-CO"/>
        </w:rPr>
        <w:t>Como se puede observar, el artículo 33 de la Ley 996 de 2005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5F1D234C" w14:textId="77777777" w:rsidR="00B44E5F" w:rsidRPr="00CD3E53" w:rsidRDefault="00B44E5F" w:rsidP="00B44E5F">
      <w:pPr>
        <w:jc w:val="both"/>
        <w:rPr>
          <w:rFonts w:ascii="Verdana" w:hAnsi="Verdana" w:cs="Arial"/>
          <w:b/>
          <w:bCs/>
          <w:color w:val="000000" w:themeColor="text1"/>
          <w:lang w:val="es-ES_tradnl"/>
        </w:rPr>
      </w:pPr>
      <w:r w:rsidRPr="00CD3E53">
        <w:rPr>
          <w:rFonts w:ascii="Verdana" w:eastAsia="Arial" w:hAnsi="Verdana" w:cs="Arial"/>
          <w:b/>
          <w:bCs/>
        </w:rPr>
        <w:t xml:space="preserve">UNIVERSIDADES PÚBLICAS – Naturaleza jurídica </w:t>
      </w:r>
    </w:p>
    <w:p w14:paraId="7BE00022" w14:textId="77777777" w:rsidR="00B44E5F" w:rsidRPr="00BF0E07" w:rsidRDefault="00B44E5F" w:rsidP="00B44E5F">
      <w:pPr>
        <w:spacing w:after="0" w:line="240" w:lineRule="auto"/>
        <w:jc w:val="both"/>
        <w:rPr>
          <w:rFonts w:ascii="Verdana" w:hAnsi="Verdana"/>
          <w:sz w:val="20"/>
          <w:szCs w:val="20"/>
        </w:rPr>
      </w:pPr>
      <w:r w:rsidRPr="00BF0E07">
        <w:rPr>
          <w:rFonts w:ascii="Verdana" w:hAnsi="Verdana" w:cs="Arial"/>
          <w:sz w:val="20"/>
          <w:szCs w:val="20"/>
          <w:lang w:val="es-MX"/>
        </w:rPr>
        <w:t>Para empezar, en la Ley 30 de 1992 se regularon aspectos como la naturaleza jurídica de las universidades estatales y oficiales, la forma de organizarse y el régimen de contratación aplicable. Así mismo, en el artículo 57 se consignó que e</w:t>
      </w:r>
      <w:r w:rsidRPr="00BF0E07">
        <w:rPr>
          <w:rFonts w:ascii="Verdana" w:hAnsi="Verdana" w:cs="Arial"/>
          <w:sz w:val="20"/>
          <w:szCs w:val="20"/>
        </w:rPr>
        <w:t xml:space="preserve">l carácter especial del régimen de las universidades estatales u oficiales comprende, entre otros aspectos, el régimen de contratación. En concordancia con esto, el artículo 93 estableció que los contratos que </w:t>
      </w:r>
      <w:r w:rsidRPr="00BF0E07">
        <w:rPr>
          <w:rFonts w:ascii="Verdana" w:hAnsi="Verdana" w:cs="Arial"/>
          <w:sz w:val="20"/>
          <w:szCs w:val="20"/>
          <w:lang w:val="es-MX"/>
        </w:rPr>
        <w:t>celebren las universidades estatales u oficiales se regirán por las normas del derecho privado.</w:t>
      </w:r>
    </w:p>
    <w:p w14:paraId="17233F49" w14:textId="77777777" w:rsidR="00B44E5F" w:rsidRDefault="00B44E5F" w:rsidP="00BE6A2A">
      <w:pPr>
        <w:spacing w:after="0" w:line="240" w:lineRule="auto"/>
        <w:rPr>
          <w:rFonts w:ascii="Verdana" w:eastAsia="Geomanist Light" w:hAnsi="Verdana" w:cs="Arial"/>
        </w:rPr>
      </w:pPr>
    </w:p>
    <w:p w14:paraId="26E58DE7" w14:textId="77777777" w:rsidR="00B44E5F" w:rsidRDefault="00B44E5F" w:rsidP="00BE6A2A">
      <w:pPr>
        <w:spacing w:after="0" w:line="240" w:lineRule="auto"/>
        <w:rPr>
          <w:rFonts w:ascii="Verdana" w:eastAsia="Geomanist Light" w:hAnsi="Verdana" w:cs="Arial"/>
        </w:rPr>
      </w:pPr>
    </w:p>
    <w:p w14:paraId="3D6F73C3" w14:textId="77777777" w:rsidR="00B44E5F" w:rsidRDefault="00B44E5F" w:rsidP="00BE6A2A">
      <w:pPr>
        <w:spacing w:after="0" w:line="240" w:lineRule="auto"/>
        <w:rPr>
          <w:rFonts w:ascii="Verdana" w:eastAsia="Geomanist Light" w:hAnsi="Verdana" w:cs="Arial"/>
        </w:rPr>
      </w:pPr>
    </w:p>
    <w:p w14:paraId="07983000" w14:textId="77777777" w:rsidR="00B44E5F" w:rsidRDefault="00B44E5F" w:rsidP="00BE6A2A">
      <w:pPr>
        <w:spacing w:after="0" w:line="240" w:lineRule="auto"/>
        <w:rPr>
          <w:rFonts w:ascii="Verdana" w:eastAsia="Geomanist Light" w:hAnsi="Verdana" w:cs="Arial"/>
        </w:rPr>
      </w:pPr>
    </w:p>
    <w:p w14:paraId="754CB931" w14:textId="77777777" w:rsidR="00B44E5F" w:rsidRDefault="00B44E5F" w:rsidP="00BE6A2A">
      <w:pPr>
        <w:spacing w:after="0" w:line="240" w:lineRule="auto"/>
        <w:rPr>
          <w:rFonts w:ascii="Verdana" w:eastAsia="Geomanist Light" w:hAnsi="Verdana" w:cs="Arial"/>
        </w:rPr>
      </w:pPr>
    </w:p>
    <w:p w14:paraId="3CA0A21C" w14:textId="77777777" w:rsidR="00B44E5F" w:rsidRDefault="00B44E5F" w:rsidP="00BE6A2A">
      <w:pPr>
        <w:spacing w:after="0" w:line="240" w:lineRule="auto"/>
        <w:rPr>
          <w:rFonts w:ascii="Verdana" w:eastAsia="Geomanist Light" w:hAnsi="Verdana" w:cs="Arial"/>
        </w:rPr>
      </w:pPr>
    </w:p>
    <w:p w14:paraId="42E8FB94" w14:textId="77777777" w:rsidR="00BF0E07" w:rsidRDefault="00BF0E07" w:rsidP="4CDEFEAC">
      <w:pPr>
        <w:spacing w:after="0" w:line="240" w:lineRule="auto"/>
        <w:rPr>
          <w:rFonts w:ascii="Verdana" w:eastAsia="Geomanist Light" w:hAnsi="Verdana" w:cs="Arial"/>
        </w:rPr>
      </w:pPr>
    </w:p>
    <w:p w14:paraId="77C219E2" w14:textId="77777777" w:rsidR="00BF0E07" w:rsidRDefault="00BF0E07" w:rsidP="4CDEFEAC">
      <w:pPr>
        <w:spacing w:after="0" w:line="240" w:lineRule="auto"/>
        <w:rPr>
          <w:rFonts w:ascii="Verdana" w:eastAsia="Geomanist Light" w:hAnsi="Verdana" w:cs="Arial"/>
        </w:rPr>
      </w:pPr>
    </w:p>
    <w:p w14:paraId="6C18BBA1" w14:textId="77777777" w:rsidR="00BF0E07" w:rsidRDefault="00BF0E07" w:rsidP="4CDEFEAC">
      <w:pPr>
        <w:spacing w:after="0" w:line="240" w:lineRule="auto"/>
        <w:rPr>
          <w:rFonts w:ascii="Verdana" w:eastAsia="Geomanist Light" w:hAnsi="Verdana" w:cs="Arial"/>
        </w:rPr>
      </w:pPr>
    </w:p>
    <w:p w14:paraId="20DDCB0D" w14:textId="77777777" w:rsidR="00BF0E07" w:rsidRDefault="00BF0E07" w:rsidP="4CDEFEAC">
      <w:pPr>
        <w:spacing w:after="0" w:line="240" w:lineRule="auto"/>
        <w:rPr>
          <w:rFonts w:ascii="Verdana" w:eastAsia="Geomanist Light" w:hAnsi="Verdana" w:cs="Arial"/>
        </w:rPr>
      </w:pPr>
    </w:p>
    <w:p w14:paraId="1F083BF3" w14:textId="77777777" w:rsidR="00BF0E07" w:rsidRDefault="00BF0E07" w:rsidP="4CDEFEAC">
      <w:pPr>
        <w:spacing w:after="0" w:line="240" w:lineRule="auto"/>
        <w:rPr>
          <w:rFonts w:ascii="Verdana" w:eastAsia="Geomanist Light" w:hAnsi="Verdana" w:cs="Arial"/>
        </w:rPr>
      </w:pPr>
    </w:p>
    <w:p w14:paraId="530FE1BD" w14:textId="77C36BB7" w:rsidR="00BE6A2A" w:rsidRPr="00960F72" w:rsidRDefault="0EC5322E" w:rsidP="4CDEFEAC">
      <w:pPr>
        <w:spacing w:after="0" w:line="240" w:lineRule="auto"/>
        <w:rPr>
          <w:rFonts w:ascii="Verdana" w:eastAsia="Geomanist Light" w:hAnsi="Verdana" w:cs="Arial"/>
        </w:rPr>
      </w:pPr>
      <w:r w:rsidRPr="4CDEFEAC">
        <w:rPr>
          <w:rFonts w:ascii="Verdana" w:eastAsia="Geomanist Light" w:hAnsi="Verdana" w:cs="Arial"/>
        </w:rPr>
        <w:lastRenderedPageBreak/>
        <w:t xml:space="preserve">Bogotá D.C., 23 de </w:t>
      </w:r>
      <w:proofErr w:type="gramStart"/>
      <w:r w:rsidRPr="4CDEFEAC">
        <w:rPr>
          <w:rFonts w:ascii="Verdana" w:eastAsia="Geomanist Light" w:hAnsi="Verdana" w:cs="Arial"/>
        </w:rPr>
        <w:t>Febrero</w:t>
      </w:r>
      <w:proofErr w:type="gramEnd"/>
      <w:r w:rsidRPr="4CDEFEAC">
        <w:rPr>
          <w:rFonts w:ascii="Verdana" w:eastAsia="Geomanist Light" w:hAnsi="Verdana" w:cs="Arial"/>
        </w:rPr>
        <w:t xml:space="preserve"> de 2026</w:t>
      </w:r>
    </w:p>
    <w:p w14:paraId="2353F1F8" w14:textId="07F06ADB" w:rsidR="00BE6A2A" w:rsidRDefault="00170618" w:rsidP="00BE6A2A">
      <w:pPr>
        <w:spacing w:after="0" w:line="240" w:lineRule="auto"/>
        <w:rPr>
          <w:rFonts w:ascii="Verdana" w:eastAsia="Calibri" w:hAnsi="Verdana" w:cs="Arial"/>
          <w:b/>
          <w:bCs/>
          <w:lang w:eastAsia="es-ES_tradnl"/>
        </w:rPr>
      </w:pPr>
      <w:r w:rsidRPr="00170618">
        <w:rPr>
          <w:rStyle w:val="Hipervnculo"/>
          <w:rFonts w:ascii="Verdana" w:eastAsia="Calibri" w:hAnsi="Verdana" w:cs="Arial"/>
          <w:noProof/>
          <w:lang w:eastAsia="es-ES_tradnl"/>
        </w:rPr>
        <w:drawing>
          <wp:anchor distT="0" distB="0" distL="114300" distR="114300" simplePos="0" relativeHeight="251658240" behindDoc="1" locked="0" layoutInCell="1" allowOverlap="1" wp14:anchorId="2FAA54F3" wp14:editId="611244CF">
            <wp:simplePos x="0" y="0"/>
            <wp:positionH relativeFrom="column">
              <wp:posOffset>3270885</wp:posOffset>
            </wp:positionH>
            <wp:positionV relativeFrom="paragraph">
              <wp:posOffset>58420</wp:posOffset>
            </wp:positionV>
            <wp:extent cx="3195955" cy="1021080"/>
            <wp:effectExtent l="0" t="0" r="4445" b="7620"/>
            <wp:wrapSquare wrapText="bothSides"/>
            <wp:docPr id="57322067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20678"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5955" cy="1021080"/>
                    </a:xfrm>
                    <a:prstGeom prst="rect">
                      <a:avLst/>
                    </a:prstGeom>
                  </pic:spPr>
                </pic:pic>
              </a:graphicData>
            </a:graphic>
            <wp14:sizeRelH relativeFrom="page">
              <wp14:pctWidth>0</wp14:pctWidth>
            </wp14:sizeRelH>
            <wp14:sizeRelV relativeFrom="page">
              <wp14:pctHeight>0</wp14:pctHeight>
            </wp14:sizeRelV>
          </wp:anchor>
        </w:drawing>
      </w:r>
    </w:p>
    <w:p w14:paraId="6676768E" w14:textId="1DD0AF58" w:rsidR="00BE6A2A" w:rsidRDefault="00BE6A2A" w:rsidP="00BE6A2A">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69AF2004" w14:textId="6D42A6AA" w:rsidR="00BE6A2A" w:rsidRPr="00765616" w:rsidRDefault="00BE6A2A" w:rsidP="00BE6A2A">
      <w:pPr>
        <w:spacing w:after="0" w:line="240" w:lineRule="auto"/>
        <w:rPr>
          <w:rFonts w:ascii="Verdana" w:eastAsia="Calibri" w:hAnsi="Verdana" w:cs="Arial"/>
          <w:b/>
          <w:bCs/>
          <w:lang w:eastAsia="es-ES_tradnl"/>
        </w:rPr>
      </w:pPr>
      <w:r>
        <w:rPr>
          <w:rFonts w:ascii="Verdana" w:eastAsia="Calibri" w:hAnsi="Verdana" w:cs="Arial"/>
          <w:b/>
          <w:bCs/>
          <w:lang w:eastAsia="es-ES_tradnl"/>
        </w:rPr>
        <w:t>Javier Mauricio Mendoza Paredes</w:t>
      </w:r>
    </w:p>
    <w:p w14:paraId="7E6C3202" w14:textId="0DA2779E" w:rsidR="00BE6A2A" w:rsidRPr="00765616" w:rsidRDefault="00BE6A2A" w:rsidP="00BE6A2A">
      <w:pPr>
        <w:spacing w:after="0" w:line="240" w:lineRule="auto"/>
        <w:rPr>
          <w:rFonts w:ascii="Verdana" w:eastAsia="Calibri" w:hAnsi="Verdana" w:cs="Arial"/>
          <w:lang w:eastAsia="es-ES_tradnl"/>
        </w:rPr>
      </w:pPr>
      <w:r>
        <w:rPr>
          <w:rFonts w:ascii="Verdana" w:eastAsia="Calibri" w:hAnsi="Verdana" w:cs="Arial"/>
          <w:lang w:eastAsia="es-ES_tradnl"/>
        </w:rPr>
        <w:t>Director Administrativo</w:t>
      </w:r>
    </w:p>
    <w:p w14:paraId="17C780E6" w14:textId="62A4632F" w:rsidR="00BE6A2A" w:rsidRDefault="00BE6A2A" w:rsidP="00BE6A2A">
      <w:pPr>
        <w:spacing w:after="0" w:line="240" w:lineRule="auto"/>
        <w:rPr>
          <w:rFonts w:ascii="Verdana" w:eastAsia="Calibri" w:hAnsi="Verdana" w:cs="Arial"/>
          <w:lang w:eastAsia="es-ES_tradnl"/>
        </w:rPr>
      </w:pPr>
      <w:r w:rsidRPr="00765616">
        <w:rPr>
          <w:rFonts w:ascii="Verdana" w:eastAsia="Calibri" w:hAnsi="Verdana" w:cs="Arial"/>
          <w:lang w:eastAsia="es-ES_tradnl"/>
        </w:rPr>
        <w:t>Unidades Tecnológicas de Santander</w:t>
      </w:r>
    </w:p>
    <w:p w14:paraId="5BA8A8EE" w14:textId="0586301D" w:rsidR="00BE6A2A" w:rsidRPr="00765616" w:rsidRDefault="00BE6A2A" w:rsidP="00BE6A2A">
      <w:pPr>
        <w:spacing w:after="0" w:line="240" w:lineRule="auto"/>
        <w:rPr>
          <w:rFonts w:ascii="Verdana" w:eastAsia="Calibri" w:hAnsi="Verdana" w:cs="Arial"/>
          <w:lang w:eastAsia="es-ES_tradnl"/>
        </w:rPr>
      </w:pPr>
      <w:hyperlink r:id="rId11" w:history="1">
        <w:r w:rsidRPr="00523FA8">
          <w:rPr>
            <w:rStyle w:val="Hipervnculo"/>
            <w:rFonts w:ascii="Verdana" w:eastAsia="Calibri" w:hAnsi="Verdana" w:cs="Arial"/>
            <w:lang w:eastAsia="es-ES_tradnl"/>
          </w:rPr>
          <w:t>die@correo.uts.edu.co</w:t>
        </w:r>
      </w:hyperlink>
      <w:r w:rsidR="00170618" w:rsidRPr="00170618">
        <w:rPr>
          <w:noProof/>
          <w14:ligatures w14:val="standardContextual"/>
        </w:rPr>
        <w:t xml:space="preserve"> </w:t>
      </w:r>
    </w:p>
    <w:p w14:paraId="7065A732" w14:textId="77777777" w:rsidR="00BE6A2A" w:rsidRPr="007211E4" w:rsidRDefault="00BE6A2A" w:rsidP="00BE6A2A">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06CC2938" w14:textId="77777777" w:rsidR="00BE6A2A" w:rsidRPr="00514983" w:rsidRDefault="00BE6A2A" w:rsidP="00BE6A2A">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E6A2A" w:rsidRPr="00960F72" w14:paraId="727187E7" w14:textId="77777777">
        <w:trPr>
          <w:trHeight w:val="190"/>
        </w:trPr>
        <w:tc>
          <w:tcPr>
            <w:tcW w:w="2689" w:type="dxa"/>
          </w:tcPr>
          <w:p w14:paraId="61560D27" w14:textId="77777777" w:rsidR="00BE6A2A" w:rsidRPr="00960F72" w:rsidRDefault="00BE6A2A">
            <w:pPr>
              <w:jc w:val="both"/>
              <w:rPr>
                <w:rFonts w:ascii="Verdana" w:eastAsia="Calibri" w:hAnsi="Verdana" w:cs="Arial"/>
                <w:b/>
                <w:bCs/>
                <w:lang w:eastAsia="es-ES_tradnl"/>
              </w:rPr>
            </w:pPr>
          </w:p>
        </w:tc>
        <w:tc>
          <w:tcPr>
            <w:tcW w:w="6100" w:type="dxa"/>
          </w:tcPr>
          <w:p w14:paraId="3D4379C5" w14:textId="7D24C914" w:rsidR="00BE6A2A" w:rsidRPr="00960F72" w:rsidRDefault="00BE6A2A">
            <w:pPr>
              <w:jc w:val="both"/>
              <w:rPr>
                <w:rFonts w:ascii="Verdana" w:eastAsia="Calibri" w:hAnsi="Verdana" w:cs="Arial"/>
                <w:b/>
                <w:bCs/>
                <w:lang w:eastAsia="es-ES"/>
              </w:rPr>
            </w:pPr>
            <w:r w:rsidRPr="00960F72">
              <w:rPr>
                <w:rFonts w:ascii="Verdana" w:eastAsia="Calibri" w:hAnsi="Verdana" w:cs="Arial"/>
                <w:b/>
                <w:bCs/>
                <w:lang w:eastAsia="es-ES"/>
              </w:rPr>
              <w:t>Concepto C-</w:t>
            </w:r>
            <w:r>
              <w:rPr>
                <w:rFonts w:ascii="Verdana" w:eastAsia="Calibri" w:hAnsi="Verdana" w:cs="Arial"/>
                <w:b/>
                <w:bCs/>
                <w:lang w:eastAsia="es-ES"/>
              </w:rPr>
              <w:t>063</w:t>
            </w:r>
            <w:r w:rsidRPr="00960F72">
              <w:rPr>
                <w:rFonts w:ascii="Verdana" w:eastAsia="Calibri" w:hAnsi="Verdana" w:cs="Arial"/>
                <w:b/>
                <w:bCs/>
                <w:lang w:eastAsia="es-ES"/>
              </w:rPr>
              <w:t xml:space="preserve"> de 202</w:t>
            </w:r>
            <w:r>
              <w:rPr>
                <w:rFonts w:ascii="Verdana" w:eastAsia="Calibri" w:hAnsi="Verdana" w:cs="Arial"/>
                <w:b/>
                <w:bCs/>
                <w:lang w:eastAsia="es-ES"/>
              </w:rPr>
              <w:t>6</w:t>
            </w:r>
          </w:p>
          <w:p w14:paraId="60A343EB" w14:textId="77777777" w:rsidR="00BE6A2A" w:rsidRPr="00960F72" w:rsidRDefault="00BE6A2A">
            <w:pPr>
              <w:jc w:val="both"/>
              <w:rPr>
                <w:rFonts w:ascii="Verdana" w:eastAsia="Calibri" w:hAnsi="Verdana" w:cs="Arial"/>
                <w:b/>
                <w:bCs/>
                <w:lang w:eastAsia="es-ES"/>
              </w:rPr>
            </w:pPr>
          </w:p>
        </w:tc>
      </w:tr>
      <w:tr w:rsidR="00BE6A2A" w:rsidRPr="00960F72" w14:paraId="47D9F4A0" w14:textId="77777777">
        <w:trPr>
          <w:trHeight w:val="884"/>
        </w:trPr>
        <w:tc>
          <w:tcPr>
            <w:tcW w:w="2689" w:type="dxa"/>
          </w:tcPr>
          <w:p w14:paraId="08779A97" w14:textId="77777777" w:rsidR="00BE6A2A" w:rsidRPr="00960F72" w:rsidRDefault="00BE6A2A">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4DDA7995" w14:textId="77777777" w:rsidR="00170618" w:rsidRDefault="00BE6A2A" w:rsidP="00170618">
            <w:pPr>
              <w:jc w:val="both"/>
              <w:rPr>
                <w:rFonts w:ascii="Verdana" w:eastAsia="Arial" w:hAnsi="Verdana" w:cs="Arial"/>
              </w:rPr>
            </w:pPr>
            <w:r w:rsidRPr="00597293">
              <w:rPr>
                <w:rFonts w:ascii="Verdana" w:hAnsi="Verdana" w:cs="Arial"/>
                <w:bCs/>
                <w:color w:val="000000" w:themeColor="text1"/>
                <w:lang w:val="es-ES_tradnl"/>
              </w:rPr>
              <w:t xml:space="preserve">LEY DE GARANTÍAS ELECTORALES ‒ Finalidad / LEY DE GARANTÍAS ELECTORALES ‒ Tipos de restricciones </w:t>
            </w:r>
            <w:r w:rsidRPr="00597293">
              <w:rPr>
                <w:rFonts w:ascii="Verdana" w:eastAsia="Arial" w:hAnsi="Verdana" w:cs="Arial"/>
                <w:lang w:val="es-ES" w:eastAsia="es-ES"/>
              </w:rPr>
              <w:t xml:space="preserve">/ </w:t>
            </w:r>
            <w:r w:rsidRPr="00597293">
              <w:rPr>
                <w:rFonts w:ascii="Verdana" w:eastAsia="Arial" w:hAnsi="Verdana" w:cs="Arial"/>
              </w:rPr>
              <w:t>UNIVERSIDADES PÚBLICAS – Naturaleza juríd</w:t>
            </w:r>
            <w:r w:rsidR="00170618">
              <w:rPr>
                <w:rFonts w:ascii="Verdana" w:eastAsia="Arial" w:hAnsi="Verdana" w:cs="Arial"/>
              </w:rPr>
              <w:t>ica</w:t>
            </w:r>
          </w:p>
          <w:p w14:paraId="43A263C2" w14:textId="38025DEF" w:rsidR="00BE6A2A" w:rsidRPr="00170618" w:rsidRDefault="00BE6A2A" w:rsidP="00170618">
            <w:pPr>
              <w:jc w:val="both"/>
              <w:rPr>
                <w:rFonts w:ascii="Verdana" w:hAnsi="Verdana" w:cs="Arial"/>
                <w:bCs/>
                <w:color w:val="000000" w:themeColor="text1"/>
                <w:lang w:val="es-ES_tradnl"/>
              </w:rPr>
            </w:pP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p>
        </w:tc>
      </w:tr>
      <w:tr w:rsidR="00BE6A2A" w:rsidRPr="00960F72" w14:paraId="18A55306" w14:textId="77777777">
        <w:tc>
          <w:tcPr>
            <w:tcW w:w="2689" w:type="dxa"/>
          </w:tcPr>
          <w:p w14:paraId="0F8A6E3A" w14:textId="77777777" w:rsidR="00BE6A2A" w:rsidRPr="00960F72" w:rsidRDefault="00BE6A2A">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4CB36137" w14:textId="77777777" w:rsidR="00BE6A2A" w:rsidRPr="00960F72" w:rsidRDefault="00BE6A2A">
            <w:pPr>
              <w:jc w:val="both"/>
              <w:rPr>
                <w:rFonts w:ascii="Verdana" w:eastAsia="Calibri" w:hAnsi="Verdana" w:cs="Arial"/>
                <w:lang w:eastAsia="es-ES_tradnl"/>
              </w:rPr>
            </w:pPr>
            <w:r w:rsidRPr="00960F72">
              <w:rPr>
                <w:rFonts w:ascii="Verdana" w:eastAsia="Calibri" w:hAnsi="Verdana" w:cs="Arial"/>
                <w:lang w:eastAsia="es-ES_tradnl"/>
              </w:rPr>
              <w:t>Respuesta a consulta con radicado No.</w:t>
            </w:r>
            <w:r w:rsidRPr="003C2C84">
              <w:rPr>
                <w:rFonts w:ascii="Segoe UI" w:hAnsi="Segoe UI" w:cs="Segoe UI"/>
                <w:color w:val="2B2B2B"/>
                <w:sz w:val="27"/>
                <w:szCs w:val="27"/>
                <w:shd w:val="clear" w:color="auto" w:fill="FFFFFF"/>
              </w:rPr>
              <w:t xml:space="preserve"> </w:t>
            </w:r>
            <w:r w:rsidRPr="00FE553C">
              <w:rPr>
                <w:rFonts w:ascii="Verdana" w:hAnsi="Verdana" w:cs="Segoe UI"/>
                <w:color w:val="2B2B2B"/>
                <w:shd w:val="clear" w:color="auto" w:fill="FFFFFF"/>
              </w:rPr>
              <w:t>1_2026_01_19_000524</w:t>
            </w:r>
          </w:p>
        </w:tc>
      </w:tr>
    </w:tbl>
    <w:p w14:paraId="196ED111" w14:textId="77777777" w:rsidR="00BE6A2A" w:rsidRPr="00960F72" w:rsidRDefault="00BE6A2A" w:rsidP="00BE6A2A">
      <w:pPr>
        <w:spacing w:after="0" w:line="240" w:lineRule="auto"/>
        <w:jc w:val="both"/>
        <w:rPr>
          <w:rFonts w:ascii="Verdana" w:eastAsia="Calibri" w:hAnsi="Verdana" w:cs="Arial"/>
          <w:lang w:eastAsia="es-ES_tradnl"/>
        </w:rPr>
      </w:pPr>
    </w:p>
    <w:p w14:paraId="4B574261" w14:textId="77777777" w:rsidR="00BE6A2A" w:rsidRPr="00960F72" w:rsidRDefault="00BE6A2A" w:rsidP="00BE6A2A">
      <w:pPr>
        <w:spacing w:after="0" w:line="276" w:lineRule="auto"/>
        <w:jc w:val="both"/>
        <w:rPr>
          <w:rFonts w:ascii="Verdana" w:eastAsia="Calibri" w:hAnsi="Verdana" w:cs="Arial"/>
          <w:lang w:eastAsia="es-ES"/>
        </w:rPr>
      </w:pPr>
      <w:r>
        <w:rPr>
          <w:rFonts w:ascii="Verdana" w:eastAsia="Calibri" w:hAnsi="Verdana" w:cs="Arial"/>
          <w:lang w:eastAsia="es-ES"/>
        </w:rPr>
        <w:t>Estimado señor Mendoza:</w:t>
      </w:r>
    </w:p>
    <w:p w14:paraId="6D9A6ED5" w14:textId="77777777" w:rsidR="00BE6A2A" w:rsidRPr="00960F72" w:rsidRDefault="00BE6A2A" w:rsidP="00BE6A2A">
      <w:pPr>
        <w:tabs>
          <w:tab w:val="left" w:pos="3768"/>
        </w:tabs>
        <w:spacing w:after="0" w:line="276" w:lineRule="auto"/>
        <w:jc w:val="both"/>
        <w:rPr>
          <w:rFonts w:ascii="Verdana" w:eastAsia="Calibri" w:hAnsi="Verdana" w:cs="Arial"/>
          <w:lang w:eastAsia="es-ES"/>
        </w:rPr>
      </w:pPr>
    </w:p>
    <w:p w14:paraId="589ADB49" w14:textId="77777777" w:rsidR="00BE6A2A" w:rsidRPr="00960F72" w:rsidRDefault="00BE6A2A" w:rsidP="00BE6A2A">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19 </w:t>
      </w:r>
      <w:r w:rsidRPr="00960F72">
        <w:rPr>
          <w:rFonts w:ascii="Verdana" w:eastAsia="Calibri" w:hAnsi="Verdana" w:cs="Arial"/>
          <w:lang w:eastAsia="es-ES"/>
        </w:rPr>
        <w:t xml:space="preserve">de </w:t>
      </w:r>
      <w:r>
        <w:rPr>
          <w:rFonts w:ascii="Verdana" w:eastAsia="Calibri" w:hAnsi="Verdana" w:cs="Arial"/>
          <w:lang w:eastAsia="es-ES"/>
        </w:rPr>
        <w:t>enero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47DB6DBD" w14:textId="77777777" w:rsidR="00BE6A2A" w:rsidRPr="00960F72" w:rsidRDefault="00BE6A2A" w:rsidP="00BE6A2A">
      <w:pPr>
        <w:spacing w:after="0" w:line="276" w:lineRule="auto"/>
        <w:jc w:val="both"/>
        <w:rPr>
          <w:rFonts w:ascii="Verdana" w:eastAsia="Calibri" w:hAnsi="Verdana" w:cs="Arial"/>
          <w:lang w:eastAsia="es-ES"/>
        </w:rPr>
      </w:pPr>
    </w:p>
    <w:p w14:paraId="480DCCEB" w14:textId="77777777" w:rsidR="00BE6A2A" w:rsidRPr="00765616" w:rsidRDefault="00BE6A2A" w:rsidP="00BE6A2A">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 1. </w:t>
      </w:r>
      <w:r w:rsidRPr="00765616">
        <w:rPr>
          <w:rFonts w:ascii="Verdana" w:eastAsia="Calibri" w:hAnsi="Verdana" w:cs="Arial"/>
          <w:sz w:val="20"/>
          <w:szCs w:val="20"/>
          <w:lang w:eastAsia="es-ES"/>
        </w:rPr>
        <w:t>¿Es jurídicamente procedente realizar, durante la Ley de Garantías, pagos misionales</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asociados a investigación y extensión, tales como inscripciones a congresos, pagos por</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producción científica y tasas ante la SIC, cuando estos se efectúan contra factura o documento</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equivalente y no mediante contrato estatal?</w:t>
      </w:r>
    </w:p>
    <w:p w14:paraId="547B245E" w14:textId="77777777" w:rsidR="00BE6A2A" w:rsidRPr="00765616" w:rsidRDefault="00BE6A2A" w:rsidP="00BE6A2A">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3. </w:t>
      </w:r>
      <w:r w:rsidRPr="00765616">
        <w:rPr>
          <w:rFonts w:ascii="Verdana" w:eastAsia="Calibri" w:hAnsi="Verdana" w:cs="Arial"/>
          <w:sz w:val="20"/>
          <w:szCs w:val="20"/>
          <w:lang w:eastAsia="es-ES"/>
        </w:rPr>
        <w:t>¿Puede considerarse que este tipo de pagos no constituyen contratación estatal en los</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términos de la Ley 80 de 1993, sino ejecución normal del gasto misional previamente</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aprobado en el presupuesto institucional?</w:t>
      </w:r>
      <w:r>
        <w:rPr>
          <w:rFonts w:ascii="Verdana" w:eastAsia="Calibri" w:hAnsi="Verdana" w:cs="Arial"/>
          <w:sz w:val="20"/>
          <w:szCs w:val="20"/>
          <w:lang w:eastAsia="es-ES"/>
        </w:rPr>
        <w:t xml:space="preserve"> </w:t>
      </w:r>
      <w:proofErr w:type="gramStart"/>
      <w:r w:rsidRPr="00765616">
        <w:rPr>
          <w:rFonts w:ascii="Verdana" w:eastAsia="Calibri" w:hAnsi="Verdana" w:cs="Arial"/>
          <w:sz w:val="20"/>
          <w:szCs w:val="20"/>
          <w:lang w:eastAsia="es-ES"/>
        </w:rPr>
        <w:t>Qué mecanismos jurídicos o administrativos recomienda CCE para garantizar la continuidad</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de la función investigativa y de extensión de las IES públicas durante la Ley de Garantías, sin</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vulnerar sus restricciones?</w:t>
      </w:r>
      <w:proofErr w:type="gramEnd"/>
      <w:r w:rsidRPr="00765616">
        <w:rPr>
          <w:rFonts w:ascii="Verdana" w:eastAsia="Calibri" w:hAnsi="Verdana" w:cs="Arial"/>
          <w:sz w:val="20"/>
          <w:szCs w:val="20"/>
          <w:lang w:eastAsia="es-ES"/>
        </w:rPr>
        <w:t xml:space="preserve"> </w:t>
      </w:r>
    </w:p>
    <w:p w14:paraId="132F118D" w14:textId="77777777" w:rsidR="00BE6A2A" w:rsidRPr="003C2C84" w:rsidRDefault="00BE6A2A" w:rsidP="00BE6A2A">
      <w:pPr>
        <w:spacing w:after="0" w:line="276" w:lineRule="auto"/>
        <w:ind w:left="709" w:right="709"/>
        <w:jc w:val="both"/>
        <w:rPr>
          <w:rFonts w:ascii="Verdana" w:eastAsia="Calibri" w:hAnsi="Verdana" w:cs="Arial"/>
          <w:sz w:val="20"/>
          <w:szCs w:val="20"/>
          <w:lang w:eastAsia="es-ES"/>
        </w:rPr>
      </w:pPr>
      <w:r w:rsidRPr="00765616">
        <w:rPr>
          <w:rFonts w:ascii="Verdana" w:eastAsia="Calibri" w:hAnsi="Verdana" w:cs="Arial"/>
          <w:sz w:val="20"/>
          <w:szCs w:val="20"/>
          <w:lang w:eastAsia="es-ES"/>
        </w:rPr>
        <w:t>4. ¿Existe alguna distinción relevante entre universidades e instituciones tecnológicas para</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 xml:space="preserve">efectos de la aplicación de estas restricciones, o debe </w:t>
      </w:r>
      <w:r w:rsidRPr="00765616">
        <w:rPr>
          <w:rFonts w:ascii="Verdana" w:eastAsia="Calibri" w:hAnsi="Verdana" w:cs="Arial"/>
          <w:sz w:val="20"/>
          <w:szCs w:val="20"/>
          <w:lang w:eastAsia="es-ES"/>
        </w:rPr>
        <w:lastRenderedPageBreak/>
        <w:t>primar la función misional y el principio</w:t>
      </w:r>
      <w:r>
        <w:rPr>
          <w:rFonts w:ascii="Verdana" w:eastAsia="Calibri" w:hAnsi="Verdana" w:cs="Arial"/>
          <w:sz w:val="20"/>
          <w:szCs w:val="20"/>
          <w:lang w:eastAsia="es-ES"/>
        </w:rPr>
        <w:t xml:space="preserve"> </w:t>
      </w:r>
      <w:r w:rsidRPr="00765616">
        <w:rPr>
          <w:rFonts w:ascii="Verdana" w:eastAsia="Calibri" w:hAnsi="Verdana" w:cs="Arial"/>
          <w:sz w:val="20"/>
          <w:szCs w:val="20"/>
          <w:lang w:eastAsia="es-ES"/>
        </w:rPr>
        <w:t>de continuidad del servicio público educativo?</w:t>
      </w:r>
      <w:r>
        <w:rPr>
          <w:rFonts w:ascii="Verdana" w:eastAsia="Calibri" w:hAnsi="Verdana" w:cs="Arial"/>
          <w:sz w:val="20"/>
          <w:szCs w:val="20"/>
          <w:lang w:eastAsia="es-ES"/>
        </w:rPr>
        <w:t>”</w:t>
      </w:r>
    </w:p>
    <w:p w14:paraId="0FC11B2D" w14:textId="77777777" w:rsidR="00BE6A2A" w:rsidRPr="00755387" w:rsidRDefault="00BE6A2A" w:rsidP="00BE6A2A">
      <w:pPr>
        <w:spacing w:after="0" w:line="276" w:lineRule="auto"/>
        <w:ind w:right="709"/>
        <w:jc w:val="both"/>
        <w:rPr>
          <w:rFonts w:ascii="Verdana" w:eastAsia="Calibri" w:hAnsi="Verdana" w:cs="Arial"/>
          <w:lang w:eastAsia="es-ES"/>
        </w:rPr>
      </w:pPr>
    </w:p>
    <w:p w14:paraId="7E3C55BA" w14:textId="77777777" w:rsidR="00BE6A2A" w:rsidRPr="00960F72" w:rsidRDefault="00BE6A2A" w:rsidP="00BE6A2A">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BB1AC3D" w14:textId="77777777" w:rsidR="00BE6A2A" w:rsidRPr="00960F72" w:rsidRDefault="00BE6A2A" w:rsidP="00BE6A2A">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1A29A11D" w14:textId="77777777" w:rsidR="00BE6A2A" w:rsidRDefault="00BE6A2A" w:rsidP="00BE6A2A">
      <w:pPr>
        <w:spacing w:after="0" w:line="276" w:lineRule="auto"/>
        <w:ind w:firstLine="709"/>
        <w:jc w:val="both"/>
        <w:rPr>
          <w:rFonts w:ascii="Verdana" w:eastAsia="Calibri" w:hAnsi="Verdana" w:cs="Arial"/>
          <w:lang w:eastAsia="es-ES"/>
        </w:rPr>
      </w:pPr>
    </w:p>
    <w:p w14:paraId="4A16A03D" w14:textId="77777777" w:rsidR="00BE6A2A" w:rsidRPr="00960F72" w:rsidRDefault="00BE6A2A" w:rsidP="00BE6A2A">
      <w:pPr>
        <w:spacing w:after="0" w:line="276" w:lineRule="auto"/>
        <w:jc w:val="both"/>
        <w:rPr>
          <w:rFonts w:ascii="Verdana" w:eastAsia="Calibri" w:hAnsi="Verdana" w:cs="Arial"/>
          <w:lang w:eastAsia="es-ES"/>
        </w:rPr>
      </w:pPr>
    </w:p>
    <w:p w14:paraId="610E21AB" w14:textId="77777777" w:rsidR="00BE6A2A" w:rsidRPr="00960F72" w:rsidRDefault="00BE6A2A" w:rsidP="00BE6A2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Problema planteado:</w:t>
      </w:r>
    </w:p>
    <w:p w14:paraId="762E9155" w14:textId="77777777" w:rsidR="00BE6A2A" w:rsidRPr="00960F72" w:rsidRDefault="00BE6A2A" w:rsidP="00BE6A2A">
      <w:pPr>
        <w:tabs>
          <w:tab w:val="left" w:pos="426"/>
        </w:tabs>
        <w:spacing w:after="0" w:line="276" w:lineRule="auto"/>
        <w:jc w:val="both"/>
        <w:rPr>
          <w:rFonts w:ascii="Verdana" w:eastAsia="Century Gothic" w:hAnsi="Verdana" w:cs="Century Gothic"/>
        </w:rPr>
      </w:pPr>
    </w:p>
    <w:p w14:paraId="738A5F83" w14:textId="77777777" w:rsidR="00BE6A2A" w:rsidRDefault="00BE6A2A" w:rsidP="00BE6A2A">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557EE6">
        <w:rPr>
          <w:rFonts w:ascii="Verdana" w:eastAsia="Century Gothic" w:hAnsi="Verdana" w:cs="Century Gothic"/>
        </w:rPr>
        <w:t>¿Es procedente, durante la Ley de Garantías, que las instituciones de educación superior públicas efectúen pagos misionales de investigación y extensión, como ejecución del gasto previamente presupuestado, y qué mecanismos permiten asegurar la continuidad de estas funciones sin vulnerar dichas restricciones?</w:t>
      </w:r>
    </w:p>
    <w:p w14:paraId="1E7F2BB0" w14:textId="77777777" w:rsidR="00BE6A2A" w:rsidRPr="00960F72" w:rsidRDefault="00BE6A2A" w:rsidP="00BE6A2A">
      <w:pPr>
        <w:spacing w:after="0" w:line="276" w:lineRule="auto"/>
        <w:jc w:val="both"/>
        <w:rPr>
          <w:rFonts w:ascii="Verdana" w:eastAsia="Century Gothic" w:hAnsi="Verdana" w:cs="Century Gothic"/>
        </w:rPr>
      </w:pPr>
    </w:p>
    <w:p w14:paraId="0FBBC599" w14:textId="77777777" w:rsidR="00BE6A2A" w:rsidRDefault="00BE6A2A" w:rsidP="00BE6A2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Respuesta:</w:t>
      </w:r>
    </w:p>
    <w:p w14:paraId="31983D13" w14:textId="77777777" w:rsidR="00BE6A2A" w:rsidRPr="00027E7B" w:rsidRDefault="00BE6A2A" w:rsidP="00BE6A2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6A2A" w:rsidRPr="00960F72" w14:paraId="1FFDEBA3" w14:textId="77777777">
        <w:tc>
          <w:tcPr>
            <w:tcW w:w="8828" w:type="dxa"/>
          </w:tcPr>
          <w:p w14:paraId="386BC81C" w14:textId="77777777" w:rsidR="00BE6A2A" w:rsidRDefault="00BE6A2A">
            <w:pPr>
              <w:spacing w:after="120" w:line="276" w:lineRule="auto"/>
              <w:jc w:val="both"/>
              <w:rPr>
                <w:rFonts w:ascii="Verdana" w:eastAsia="Times New Roman" w:hAnsi="Verdana" w:cs="Open Sans"/>
                <w:lang w:eastAsia="es-CO"/>
              </w:rPr>
            </w:pPr>
            <w:r>
              <w:rPr>
                <w:rFonts w:ascii="Verdana" w:eastAsia="Times New Roman" w:hAnsi="Verdana" w:cs="Open Sans"/>
                <w:lang w:eastAsia="es-CO"/>
              </w:rPr>
              <w:t xml:space="preserve">En atención al problema jurídico planteado debe señalarse que la Ley de Garantías Electorales, en materia de contratación estatal dispone dos tipos de </w:t>
            </w:r>
            <w:r>
              <w:rPr>
                <w:rFonts w:ascii="Verdana" w:eastAsia="Times New Roman" w:hAnsi="Verdana" w:cs="Open Sans"/>
                <w:lang w:eastAsia="es-CO"/>
              </w:rPr>
              <w:lastRenderedPageBreak/>
              <w:t xml:space="preserve">restricciones. </w:t>
            </w:r>
            <w:r w:rsidRPr="00DE5508">
              <w:rPr>
                <w:rFonts w:ascii="Verdana" w:eastAsia="Times New Roman" w:hAnsi="Verdana" w:cs="Open Sans"/>
                <w:lang w:eastAsia="es-CO"/>
              </w:rPr>
              <w:t xml:space="preserve">El artículo 33 de la Ley 996 de 2205 prohíbe la contratación directa por parte de todos los entes estatales durante los cuatro </w:t>
            </w:r>
            <w:r>
              <w:rPr>
                <w:rFonts w:ascii="Verdana" w:eastAsia="Times New Roman" w:hAnsi="Verdana" w:cs="Open Sans"/>
                <w:lang w:eastAsia="es-CO"/>
              </w:rPr>
              <w:t>(4)</w:t>
            </w:r>
            <w:r w:rsidRPr="00DE5508">
              <w:rPr>
                <w:rFonts w:ascii="Verdana" w:eastAsia="Times New Roman" w:hAnsi="Verdana" w:cs="Open Sans"/>
                <w:lang w:eastAsia="es-CO"/>
              </w:rPr>
              <w:t xml:space="preserve">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w:t>
            </w:r>
            <w:r w:rsidRPr="485EFC16">
              <w:rPr>
                <w:rFonts w:ascii="Verdana" w:eastAsia="Times New Roman" w:hAnsi="Verdana" w:cs="Open Sans"/>
                <w:lang w:eastAsia="es-CO"/>
              </w:rPr>
              <w:t>se refiere a</w:t>
            </w:r>
            <w:r w:rsidRPr="00DE5508">
              <w:rPr>
                <w:rFonts w:ascii="Verdana" w:eastAsia="Times New Roman" w:hAnsi="Verdana" w:cs="Open Sans"/>
                <w:lang w:eastAsia="es-CO"/>
              </w:rPr>
              <w:t xml:space="preserve"> cualquier sistema de selección o procedimiento de contratación utilizado por las entidades estatales que no incluya la convocatoria pública en alguna de sus etapas, ni permita la participación de una pluralidad de oferentes. </w:t>
            </w:r>
          </w:p>
          <w:p w14:paraId="19E8BB95" w14:textId="77777777" w:rsidR="00BE6A2A" w:rsidRDefault="00BE6A2A">
            <w:pPr>
              <w:spacing w:after="120" w:line="276" w:lineRule="auto"/>
              <w:ind w:firstLine="708"/>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1070FBB4" w14:textId="77777777" w:rsidR="00BE6A2A" w:rsidRDefault="00BE6A2A">
            <w:pPr>
              <w:pStyle w:val="Prrafodelista"/>
              <w:spacing w:after="120" w:line="276" w:lineRule="auto"/>
              <w:ind w:left="0" w:firstLine="709"/>
              <w:jc w:val="both"/>
              <w:rPr>
                <w:rFonts w:ascii="Verdana" w:eastAsia="Times New Roman" w:hAnsi="Verdana" w:cs="Open Sans"/>
                <w:lang w:eastAsia="es-CO"/>
              </w:rPr>
            </w:pPr>
            <w:r w:rsidRPr="00072C23">
              <w:rPr>
                <w:rFonts w:ascii="Verdana" w:eastAsia="Arial" w:hAnsi="Verdana" w:cs="Arial"/>
                <w:color w:val="000000" w:themeColor="text1"/>
                <w:lang w:eastAsia="es-MX"/>
              </w:rPr>
              <w:t xml:space="preserve">En este contexto, </w:t>
            </w:r>
            <w:r>
              <w:rPr>
                <w:rFonts w:ascii="Verdana" w:eastAsia="Arial" w:hAnsi="Verdana" w:cs="Arial"/>
                <w:lang w:eastAsia="es-MX"/>
              </w:rPr>
              <w:t xml:space="preserve">dado que las universidades públicas son entidades públicas de carácter autónomo con régimen especial, les aplica la restricción establecida en el artículo 33 de la Ley 996 de 2005, que </w:t>
            </w:r>
            <w:r w:rsidRPr="00B3605D">
              <w:rPr>
                <w:rFonts w:ascii="Verdana" w:eastAsia="Times New Roman" w:hAnsi="Verdana" w:cs="Open Sans"/>
                <w:lang w:eastAsia="es-CO"/>
              </w:rPr>
              <w:t xml:space="preserve">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w:t>
            </w:r>
            <w:r>
              <w:rPr>
                <w:rFonts w:ascii="Verdana" w:eastAsia="Times New Roman" w:hAnsi="Verdana" w:cs="Open Sans"/>
                <w:lang w:eastAsia="es-CO"/>
              </w:rPr>
              <w:t xml:space="preserve"> </w:t>
            </w:r>
          </w:p>
          <w:p w14:paraId="5974E12F" w14:textId="77777777" w:rsidR="00BE6A2A" w:rsidRDefault="00BE6A2A">
            <w:pPr>
              <w:spacing w:after="120" w:line="276" w:lineRule="auto"/>
              <w:ind w:firstLine="709"/>
              <w:jc w:val="both"/>
              <w:rPr>
                <w:rFonts w:ascii="Verdana" w:eastAsia="Times New Roman" w:hAnsi="Verdana" w:cs="Open Sans"/>
                <w:lang w:eastAsia="es-CO"/>
              </w:rPr>
            </w:pPr>
            <w:r>
              <w:rPr>
                <w:rFonts w:ascii="Verdana" w:eastAsia="Times New Roman" w:hAnsi="Verdana" w:cs="Arial"/>
                <w:lang w:val="es-MX" w:eastAsia="es-CO"/>
              </w:rPr>
              <w:t>E</w:t>
            </w:r>
            <w:r w:rsidRPr="00E2397D">
              <w:rPr>
                <w:rFonts w:ascii="Verdana" w:eastAsia="Times New Roman" w:hAnsi="Verdana" w:cs="Arial"/>
                <w:lang w:val="es-MX" w:eastAsia="es-CO"/>
              </w:rPr>
              <w:t xml:space="preserv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r>
              <w:rPr>
                <w:rFonts w:ascii="Verdana" w:eastAsia="Times New Roman" w:hAnsi="Verdana" w:cs="Arial"/>
                <w:lang w:val="es-MX" w:eastAsia="es-CO"/>
              </w:rPr>
              <w:t xml:space="preserve">Así las cosas, </w:t>
            </w:r>
            <w:r>
              <w:rPr>
                <w:rFonts w:ascii="Verdana" w:eastAsia="Times New Roman" w:hAnsi="Verdana" w:cs="Open Sans"/>
                <w:lang w:eastAsia="es-CO"/>
              </w:rPr>
              <w:t xml:space="preserve">por el </w:t>
            </w:r>
            <w:r>
              <w:rPr>
                <w:rFonts w:ascii="Verdana" w:eastAsia="Times New Roman" w:hAnsi="Verdana" w:cs="Open Sans"/>
                <w:lang w:eastAsia="es-CO"/>
              </w:rPr>
              <w:lastRenderedPageBreak/>
              <w:t xml:space="preserve">contrario, a estas entidades no les aplica la restricción contenida en el parágrafo del artículo 38 de la Ley 996 de 2005, dado que esta solo es aplicable a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del orden municipal, departamental o distrital</w:t>
            </w:r>
            <w:r>
              <w:rPr>
                <w:rFonts w:ascii="Verdana" w:eastAsia="Times New Roman" w:hAnsi="Verdana" w:cs="Open Sans"/>
                <w:lang w:eastAsia="es-CO"/>
              </w:rPr>
              <w:t>.</w:t>
            </w:r>
          </w:p>
          <w:p w14:paraId="73EFBC23" w14:textId="77777777" w:rsidR="00BE6A2A" w:rsidRPr="00CF3131" w:rsidRDefault="00BE6A2A">
            <w:pPr>
              <w:pStyle w:val="Prrafodelista"/>
              <w:spacing w:after="120" w:line="276" w:lineRule="auto"/>
              <w:ind w:left="0" w:firstLine="709"/>
              <w:jc w:val="both"/>
              <w:rPr>
                <w:rFonts w:ascii="Verdana" w:hAnsi="Verdana" w:cs="BCDHEE+Verdana"/>
                <w:color w:val="000000"/>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w:t>
            </w:r>
            <w:r w:rsidRPr="00DE5508">
              <w:rPr>
                <w:rFonts w:ascii="Verdana" w:hAnsi="Verdana" w:cs="BCDHEE+Verdana"/>
                <w:color w:val="000000"/>
              </w:rPr>
              <w:t xml:space="preserve"> </w:t>
            </w:r>
            <w:r>
              <w:rPr>
                <w:rFonts w:ascii="Verdana" w:hAnsi="Verdana" w:cs="BCDHEE+Verdana"/>
                <w:color w:val="000000"/>
              </w:rPr>
              <w:t>(</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Pr>
                <w:rFonts w:ascii="Verdana" w:hAnsi="Verdana" w:cs="BCDHEE+Verdana"/>
                <w:color w:val="000000"/>
              </w:rPr>
              <w:t>.</w:t>
            </w:r>
          </w:p>
          <w:p w14:paraId="4F11726A" w14:textId="77777777" w:rsidR="00BE6A2A" w:rsidRPr="0065275E" w:rsidRDefault="00BE6A2A">
            <w:pPr>
              <w:spacing w:after="120" w:line="276" w:lineRule="auto"/>
              <w:ind w:firstLine="709"/>
              <w:jc w:val="both"/>
              <w:rPr>
                <w:rFonts w:ascii="Verdana" w:hAnsi="Verdana" w:cs="BCDHEE+Verdana"/>
                <w:color w:val="000000"/>
              </w:rPr>
            </w:pPr>
            <w:r w:rsidRPr="00C03F24">
              <w:rPr>
                <w:rFonts w:ascii="Verdana" w:hAnsi="Verdana" w:cs="BCDHEE+Verdana"/>
                <w:color w:val="000000"/>
              </w:rPr>
              <w:t xml:space="preserve">       Ahora bien, los pagos asociados a inscripciones en congresos, producción científica y tasas ante autoridades administrativas, en la medida en que se encuentren vinculados al desarrollo de actividades misionales en el ámbito de la ciencia, la tecnología y la innovación (CT&amp;I), podrían entenderse comprendidos dentro del régimen jurídico aplicable a este tipo de actividades. En efecto, la normativa vigente —en particular la Ley 1150 de 2007 y la Ley 1286 de 2009— dispone que los contratos cuyo objeto consista en el desarrollo de actividades científicas y tecnológicas se adelanten, por regla general, bajo la modalidad de contratación directa. Desde esta perspectiva, la eventual celebración de nuevos contratos o negocios jurídicos orientados al desarrollo de dichas actividades durante la vigencia de la Ley de Garantías quedaría sometida a las restricciones previstas en el artículo 33 de dicha ley, lo que conduce a considerar que su celebración durante el periodo de restricción electoral se encuentra limitada Teniendo en cuenta la explicación precedente, se señala que los convenios especiales de cooperación para el desarrollo de actividades de ciencia, tecnología e innovación que están prohibidos contratar durante los cuatro (4) meses previos a las elecciones de presidente son aquellos que se celebren de manera directa, es decir, a través de una modalidad de contratación que no implique pluralidad de oferentes. </w:t>
            </w:r>
          </w:p>
          <w:p w14:paraId="6B5F3555" w14:textId="77777777" w:rsidR="00BE6A2A" w:rsidRPr="0090052A" w:rsidRDefault="00BE6A2A">
            <w:pPr>
              <w:spacing w:after="120" w:line="276" w:lineRule="auto"/>
              <w:jc w:val="both"/>
              <w:rPr>
                <w:rFonts w:ascii="Verdana" w:hAnsi="Verdana" w:cs="BCDHEE+Verdana"/>
                <w:color w:val="000000"/>
                <w:lang w:val="es-MX"/>
              </w:rPr>
            </w:pPr>
            <w:r>
              <w:rPr>
                <w:rFonts w:ascii="Verdana" w:eastAsia="Times New Roman" w:hAnsi="Verdana" w:cs="Arial"/>
                <w:lang w:val="es-MX" w:eastAsia="es-CO"/>
              </w:rPr>
              <w:t xml:space="preserve">      </w:t>
            </w:r>
            <w:r w:rsidRPr="0090052A">
              <w:rPr>
                <w:rFonts w:ascii="Verdana" w:eastAsia="Times New Roman" w:hAnsi="Verdana" w:cs="Arial"/>
                <w:lang w:val="es-MX" w:eastAsia="es-CO"/>
              </w:rPr>
              <w:t>Finalmente,</w:t>
            </w:r>
            <w:r>
              <w:rPr>
                <w:rFonts w:ascii="Verdana" w:eastAsia="Times New Roman" w:hAnsi="Verdana" w:cs="Arial"/>
                <w:lang w:val="es-MX" w:eastAsia="es-CO"/>
              </w:rPr>
              <w:t xml:space="preserve"> l</w:t>
            </w:r>
            <w:r w:rsidRPr="0090052A">
              <w:rPr>
                <w:rFonts w:ascii="Verdana" w:eastAsia="Times New Roman" w:hAnsi="Verdana" w:cs="Arial"/>
                <w:lang w:val="es-MX" w:eastAsia="es-CO"/>
              </w:rPr>
              <w:t xml:space="preserve">a prohibición de la Ley de Garantías recae sobre la celebración de nuevos contratos, no sobre la ejecución de pagos de obligaciones adquiridas con anterioridad al inicio del periodo restrictivo. El </w:t>
            </w:r>
            <w:r w:rsidRPr="0090052A">
              <w:rPr>
                <w:rFonts w:ascii="Verdana" w:eastAsia="Times New Roman" w:hAnsi="Verdana" w:cs="Arial"/>
                <w:lang w:val="es-MX" w:eastAsia="es-CO"/>
              </w:rPr>
              <w:lastRenderedPageBreak/>
              <w:t>concepto de "celebrar" se refiere al perfeccionamiento del contrato, que ocurre cuando hay acuerdo sobre el objeto y la contraprestación, y este se eleva a escrito. No se refiere a los actos de ejecución, como los pago</w:t>
            </w:r>
            <w:r>
              <w:rPr>
                <w:rFonts w:ascii="Verdana" w:eastAsia="Times New Roman" w:hAnsi="Verdana" w:cs="Arial"/>
                <w:lang w:val="es-MX" w:eastAsia="es-CO"/>
              </w:rPr>
              <w:t>s</w:t>
            </w:r>
            <w:r w:rsidRPr="0090052A">
              <w:rPr>
                <w:rFonts w:ascii="Verdana" w:eastAsia="Times New Roman" w:hAnsi="Verdana" w:cs="Arial"/>
                <w:lang w:val="es-MX" w:eastAsia="es-CO"/>
              </w:rPr>
              <w:t>, por ello</w:t>
            </w:r>
            <w:r>
              <w:rPr>
                <w:rFonts w:ascii="Verdana" w:eastAsia="Times New Roman" w:hAnsi="Verdana" w:cs="Arial"/>
                <w:lang w:val="es-MX" w:eastAsia="es-CO"/>
              </w:rPr>
              <w:t>,</w:t>
            </w:r>
            <w:r w:rsidRPr="0090052A">
              <w:rPr>
                <w:rFonts w:ascii="Verdana" w:eastAsia="Times New Roman" w:hAnsi="Verdana" w:cs="Arial"/>
                <w:lang w:val="es-MX" w:eastAsia="es-CO"/>
              </w:rPr>
              <w:t xml:space="preserve"> </w:t>
            </w:r>
            <w:r>
              <w:rPr>
                <w:rFonts w:ascii="Verdana" w:eastAsia="Times New Roman" w:hAnsi="Verdana" w:cs="Arial"/>
                <w:lang w:val="es-MX" w:eastAsia="es-CO"/>
              </w:rPr>
              <w:t>s</w:t>
            </w:r>
            <w:r w:rsidRPr="0090052A">
              <w:rPr>
                <w:rFonts w:ascii="Verdana" w:eastAsia="Times New Roman" w:hAnsi="Verdana" w:cs="Arial"/>
                <w:lang w:eastAsia="es-CO"/>
              </w:rPr>
              <w:t>i la obligación de pago (inscripción, publicación, tasa) se generó antes del inicio de la Ley de Garantías, el pago durante dicho periodo es procedente y legal, pues corresponde a la ejecución de un compromiso ya adquirido, si la decisión de contratar el servicio</w:t>
            </w:r>
            <w:r>
              <w:rPr>
                <w:rFonts w:ascii="Verdana" w:eastAsia="Times New Roman" w:hAnsi="Verdana" w:cs="Arial"/>
                <w:lang w:eastAsia="es-CO"/>
              </w:rPr>
              <w:t xml:space="preserve"> </w:t>
            </w:r>
            <w:r w:rsidRPr="0090052A">
              <w:rPr>
                <w:rFonts w:ascii="Verdana" w:eastAsia="Times New Roman" w:hAnsi="Verdana" w:cs="Arial"/>
                <w:lang w:eastAsia="es-CO"/>
              </w:rPr>
              <w:t xml:space="preserve">se toma durante la vigencia de la Ley de Garantías, se estaría celebrando un nuevo contrato directo, lo cual está prohibido. </w:t>
            </w:r>
          </w:p>
          <w:p w14:paraId="3E8DDC24" w14:textId="77777777" w:rsidR="00BE6A2A" w:rsidRPr="00DE5508" w:rsidRDefault="00BE6A2A">
            <w:pPr>
              <w:pStyle w:val="Prrafodelista"/>
              <w:spacing w:after="120" w:line="276" w:lineRule="auto"/>
              <w:ind w:left="0" w:firstLine="709"/>
              <w:jc w:val="both"/>
              <w:rPr>
                <w:rFonts w:ascii="Verdana" w:eastAsia="Times New Roman" w:hAnsi="Verdana" w:cs="Arial"/>
                <w:lang w:val="es-MX" w:eastAsia="es-CO"/>
              </w:rPr>
            </w:pP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3431809" w14:textId="77777777" w:rsidR="00BE6A2A" w:rsidRPr="00EB66F0" w:rsidRDefault="00BE6A2A">
            <w:pPr>
              <w:spacing w:line="276" w:lineRule="auto"/>
              <w:jc w:val="both"/>
              <w:rPr>
                <w:rFonts w:ascii="Verdana" w:hAnsi="Verdana" w:cs="Arial"/>
                <w:lang w:eastAsia="es-ES"/>
              </w:rPr>
            </w:pPr>
          </w:p>
        </w:tc>
      </w:tr>
    </w:tbl>
    <w:p w14:paraId="6B4581F0" w14:textId="77777777" w:rsidR="00BE6A2A" w:rsidRPr="00960F72" w:rsidRDefault="00BE6A2A" w:rsidP="00BE6A2A">
      <w:pPr>
        <w:tabs>
          <w:tab w:val="left" w:pos="142"/>
          <w:tab w:val="left" w:pos="284"/>
        </w:tabs>
        <w:spacing w:after="0" w:line="276" w:lineRule="auto"/>
        <w:jc w:val="both"/>
        <w:rPr>
          <w:rFonts w:ascii="Verdana" w:eastAsia="Century Gothic" w:hAnsi="Verdana" w:cs="Century Gothic"/>
          <w:b/>
          <w:bCs/>
        </w:rPr>
      </w:pPr>
    </w:p>
    <w:p w14:paraId="6496B717" w14:textId="77777777" w:rsidR="00BE6A2A" w:rsidRDefault="00BE6A2A" w:rsidP="00BE6A2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Razones de la respuesta:</w:t>
      </w:r>
    </w:p>
    <w:p w14:paraId="04FAE492" w14:textId="77777777" w:rsidR="00BE6A2A" w:rsidRDefault="00BE6A2A" w:rsidP="00BE6A2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81F6824" w14:textId="77777777" w:rsidR="00BE6A2A" w:rsidRDefault="00BE6A2A" w:rsidP="00BE6A2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7EB0245" w14:textId="77777777" w:rsidR="00BE6A2A" w:rsidRPr="000C6D8F" w:rsidRDefault="00BE6A2A" w:rsidP="00BE6A2A">
      <w:pPr>
        <w:spacing w:after="0" w:line="276" w:lineRule="auto"/>
        <w:jc w:val="both"/>
        <w:rPr>
          <w:rFonts w:ascii="Verdana" w:eastAsia="Calibri" w:hAnsi="Verdana" w:cs="Arial"/>
          <w:lang w:val="es-ES"/>
        </w:rPr>
      </w:pPr>
    </w:p>
    <w:p w14:paraId="6DC2FF0F" w14:textId="77777777" w:rsidR="00BE6A2A" w:rsidRDefault="00BE6A2A" w:rsidP="00BE6A2A">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1"/>
      </w:r>
      <w:r w:rsidRPr="00E2397D">
        <w:rPr>
          <w:rFonts w:ascii="Verdana" w:eastAsia="Times New Roman" w:hAnsi="Verdana" w:cs="Arial"/>
          <w:lang w:val="es-MX" w:eastAsia="es-CO"/>
        </w:rPr>
        <w:t xml:space="preserve">. En esta medida, introduce limitaciones para realizar nombramientos, postulaciones, contrataciones o </w:t>
      </w:r>
      <w:r w:rsidRPr="00E2397D">
        <w:rPr>
          <w:rFonts w:ascii="Verdana" w:eastAsia="Times New Roman" w:hAnsi="Verdana" w:cs="Arial"/>
          <w:lang w:val="es-MX" w:eastAsia="es-CO"/>
        </w:rPr>
        <w:lastRenderedPageBreak/>
        <w:t>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6CBFD529" w14:textId="77777777" w:rsidR="00BE6A2A" w:rsidRPr="006B14B5" w:rsidRDefault="00BE6A2A" w:rsidP="00BE6A2A">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66189B2" w14:textId="77777777" w:rsidR="00BE6A2A" w:rsidRPr="00E2397D" w:rsidRDefault="00BE6A2A" w:rsidP="00BE6A2A">
      <w:pPr>
        <w:spacing w:after="0" w:line="276" w:lineRule="auto"/>
        <w:ind w:right="709"/>
        <w:contextualSpacing/>
        <w:jc w:val="both"/>
        <w:rPr>
          <w:rFonts w:ascii="Verdana" w:eastAsia="Times New Roman" w:hAnsi="Verdana" w:cs="Arial"/>
          <w:lang w:val="es-ES" w:eastAsia="es-CO"/>
        </w:rPr>
      </w:pPr>
    </w:p>
    <w:p w14:paraId="36EC389F" w14:textId="77777777" w:rsidR="00BE6A2A" w:rsidRPr="00E2397D" w:rsidRDefault="00BE6A2A" w:rsidP="00BE6A2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F450621" w14:textId="77777777" w:rsidR="00BE6A2A" w:rsidRPr="00E2397D" w:rsidRDefault="00BE6A2A" w:rsidP="00BE6A2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3608D5B6" w14:textId="77777777" w:rsidR="00BE6A2A" w:rsidRPr="00E2397D" w:rsidRDefault="00BE6A2A" w:rsidP="00BE6A2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2"/>
      </w:r>
    </w:p>
    <w:p w14:paraId="0BFB8A07" w14:textId="77777777" w:rsidR="00BE6A2A" w:rsidRPr="00E2397D" w:rsidRDefault="00BE6A2A" w:rsidP="00BE6A2A">
      <w:pPr>
        <w:spacing w:after="0" w:line="276" w:lineRule="auto"/>
        <w:ind w:firstLine="709"/>
        <w:jc w:val="both"/>
        <w:rPr>
          <w:rFonts w:ascii="Verdana" w:eastAsia="Times New Roman" w:hAnsi="Verdana" w:cs="Arial"/>
          <w:lang w:val="es-MX" w:eastAsia="es-CO"/>
        </w:rPr>
      </w:pPr>
    </w:p>
    <w:p w14:paraId="4BEAD907" w14:textId="77777777" w:rsidR="00BE6A2A" w:rsidRPr="00E2397D" w:rsidRDefault="00BE6A2A" w:rsidP="00BE6A2A">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0B94BB03" w14:textId="77777777" w:rsidR="00BE6A2A" w:rsidRPr="00886C02" w:rsidRDefault="00BE6A2A" w:rsidP="00BE6A2A">
      <w:pPr>
        <w:spacing w:after="0" w:line="276" w:lineRule="auto"/>
        <w:ind w:firstLine="709"/>
        <w:jc w:val="both"/>
        <w:rPr>
          <w:rFonts w:ascii="Verdana" w:eastAsia="Times New Roman" w:hAnsi="Verdana" w:cs="Arial"/>
          <w:lang w:val="es-MX" w:eastAsia="es-CO"/>
        </w:rPr>
      </w:pPr>
    </w:p>
    <w:p w14:paraId="63D710EB" w14:textId="77777777" w:rsidR="00BE6A2A" w:rsidRPr="00E2397D" w:rsidRDefault="00BE6A2A" w:rsidP="00BE6A2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w:t>
      </w:r>
      <w:r w:rsidRPr="00E2397D">
        <w:rPr>
          <w:rFonts w:ascii="Verdana" w:eastAsia="Times New Roman" w:hAnsi="Verdana" w:cs="Arial"/>
          <w:sz w:val="20"/>
          <w:szCs w:val="20"/>
          <w:lang w:val="es-MX" w:eastAsia="es-CO"/>
        </w:rPr>
        <w:lastRenderedPageBreak/>
        <w:t>disponibles ni pueden ser derogadas, modificadas, ampliadas o adicionadas por acuerdo o convenio o acto unilateral.</w:t>
      </w:r>
    </w:p>
    <w:p w14:paraId="4CB0F55E" w14:textId="77777777" w:rsidR="00BE6A2A" w:rsidRPr="00E2397D" w:rsidRDefault="00BE6A2A" w:rsidP="00BE6A2A">
      <w:pPr>
        <w:spacing w:after="0" w:line="240" w:lineRule="auto"/>
        <w:ind w:right="709"/>
        <w:contextualSpacing/>
        <w:jc w:val="both"/>
        <w:rPr>
          <w:rFonts w:ascii="Verdana" w:eastAsia="Times New Roman" w:hAnsi="Verdana" w:cs="Arial"/>
          <w:lang w:val="es-MX" w:eastAsia="es-CO"/>
        </w:rPr>
      </w:pPr>
    </w:p>
    <w:p w14:paraId="3BC1E380" w14:textId="77777777" w:rsidR="00BE6A2A" w:rsidRPr="00E2397D" w:rsidRDefault="00BE6A2A" w:rsidP="00BE6A2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3"/>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w:t>
      </w:r>
    </w:p>
    <w:p w14:paraId="184182DD" w14:textId="77777777" w:rsidR="00BE6A2A" w:rsidRPr="00E2397D" w:rsidRDefault="00BE6A2A" w:rsidP="00BE6A2A">
      <w:pPr>
        <w:spacing w:after="0" w:line="276" w:lineRule="auto"/>
        <w:jc w:val="both"/>
        <w:rPr>
          <w:rFonts w:ascii="Verdana" w:eastAsia="Calibri" w:hAnsi="Verdana" w:cs="Arial"/>
          <w:bCs/>
          <w:lang w:val="es-ES_tradnl"/>
        </w:rPr>
      </w:pPr>
    </w:p>
    <w:p w14:paraId="24461833" w14:textId="77777777" w:rsidR="00BE6A2A" w:rsidRPr="00B3605D" w:rsidRDefault="00BE6A2A" w:rsidP="00BE6A2A">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01B340B" w14:textId="77777777" w:rsidR="00BE6A2A" w:rsidRDefault="00BE6A2A" w:rsidP="00BE6A2A">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1EA869D5" w14:textId="77777777" w:rsidR="00BE6A2A" w:rsidRDefault="00BE6A2A" w:rsidP="00BE6A2A">
      <w:pPr>
        <w:spacing w:after="0" w:line="276" w:lineRule="auto"/>
        <w:ind w:firstLine="709"/>
        <w:jc w:val="both"/>
        <w:rPr>
          <w:rFonts w:ascii="Verdana" w:eastAsia="Arial" w:hAnsi="Verdana" w:cs="Arial"/>
          <w:lang w:val="es-ES" w:eastAsia="es-ES" w:bidi="es-ES"/>
        </w:rPr>
      </w:pPr>
    </w:p>
    <w:p w14:paraId="3DF0D012" w14:textId="77777777" w:rsidR="00BE6A2A" w:rsidRPr="00A545DE" w:rsidRDefault="00BE6A2A" w:rsidP="00BE6A2A">
      <w:pPr>
        <w:pStyle w:val="Prrafodelista"/>
        <w:numPr>
          <w:ilvl w:val="0"/>
          <w:numId w:val="4"/>
        </w:numPr>
        <w:spacing w:after="0" w:line="276" w:lineRule="auto"/>
        <w:jc w:val="both"/>
        <w:rPr>
          <w:rFonts w:ascii="Verdana" w:eastAsia="Arial" w:hAnsi="Verdana" w:cs="Arial"/>
          <w:lang w:eastAsia="es-ES" w:bidi="es-ES"/>
        </w:rPr>
      </w:pPr>
      <w:r>
        <w:rPr>
          <w:rFonts w:ascii="Verdana" w:eastAsia="Arial" w:hAnsi="Verdana" w:cs="Arial"/>
          <w:lang w:eastAsia="es-ES" w:bidi="es-ES"/>
        </w:rPr>
        <w:t xml:space="preserve">Restricciones elecciones presidenciales </w:t>
      </w:r>
    </w:p>
    <w:p w14:paraId="5A6B0526" w14:textId="77777777" w:rsidR="00BE6A2A" w:rsidRPr="00A545DE" w:rsidRDefault="00BE6A2A" w:rsidP="00BE6A2A">
      <w:pPr>
        <w:pStyle w:val="Prrafodelista"/>
        <w:spacing w:after="0" w:line="276" w:lineRule="auto"/>
        <w:ind w:left="1080"/>
        <w:jc w:val="both"/>
        <w:rPr>
          <w:rFonts w:ascii="Verdana" w:eastAsia="Arial" w:hAnsi="Verdana" w:cs="Arial"/>
          <w:lang w:eastAsia="es-ES" w:bidi="es-ES"/>
        </w:rPr>
      </w:pPr>
    </w:p>
    <w:p w14:paraId="56B16F00" w14:textId="77777777" w:rsidR="00BE6A2A" w:rsidRPr="00FC54ED" w:rsidRDefault="00BE6A2A" w:rsidP="00BE6A2A">
      <w:pPr>
        <w:spacing w:after="0" w:line="240" w:lineRule="auto"/>
        <w:ind w:left="709" w:right="703"/>
        <w:jc w:val="both"/>
        <w:rPr>
          <w:rFonts w:ascii="Verdana" w:eastAsia="Times New Roman" w:hAnsi="Verdana" w:cs="Open Sans"/>
          <w:sz w:val="20"/>
          <w:szCs w:val="20"/>
          <w:lang w:eastAsia="es-CO"/>
        </w:rPr>
      </w:pPr>
      <w:bookmarkStart w:id="0"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0"/>
      <w:r w:rsidRPr="00FC54ED">
        <w:rPr>
          <w:rFonts w:ascii="Verdana" w:eastAsia="Times New Roman" w:hAnsi="Verdana" w:cs="Open Sans"/>
          <w:sz w:val="20"/>
          <w:szCs w:val="20"/>
          <w:lang w:eastAsia="es-CO"/>
        </w:rPr>
        <w:t xml:space="preserve">  Durante los cuatro (4) meses anteriores a la elección </w:t>
      </w:r>
      <w:r w:rsidRPr="00FC54ED">
        <w:rPr>
          <w:rFonts w:ascii="Verdana" w:eastAsia="Times New Roman" w:hAnsi="Verdana" w:cs="Open Sans"/>
          <w:sz w:val="20"/>
          <w:szCs w:val="20"/>
          <w:lang w:eastAsia="es-CO"/>
        </w:rPr>
        <w:lastRenderedPageBreak/>
        <w:t>presidencial y hasta la realización de la elección en la segunda vuelta, si fuere el caso, queda prohibida la contratación directa por parte de todos los entes del Estado.</w:t>
      </w:r>
    </w:p>
    <w:p w14:paraId="6FFC37ED" w14:textId="77777777" w:rsidR="00BE6A2A" w:rsidRPr="00FC54ED" w:rsidRDefault="00BE6A2A" w:rsidP="00BE6A2A">
      <w:pPr>
        <w:spacing w:after="0" w:line="240" w:lineRule="auto"/>
        <w:ind w:left="708" w:right="703"/>
        <w:jc w:val="both"/>
        <w:rPr>
          <w:rFonts w:ascii="Verdana" w:eastAsia="Times New Roman" w:hAnsi="Verdana" w:cs="Open Sans"/>
          <w:sz w:val="20"/>
          <w:szCs w:val="20"/>
          <w:lang w:eastAsia="es-CO"/>
        </w:rPr>
      </w:pPr>
    </w:p>
    <w:p w14:paraId="39FA72A3" w14:textId="77777777" w:rsidR="00BE6A2A" w:rsidRPr="00B3605D" w:rsidRDefault="00BE6A2A" w:rsidP="00BE6A2A">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580CB4A6" w14:textId="77777777" w:rsidR="00BE6A2A" w:rsidRDefault="00BE6A2A" w:rsidP="00BE6A2A">
      <w:pPr>
        <w:spacing w:after="0" w:line="276" w:lineRule="auto"/>
        <w:ind w:right="618" w:firstLine="708"/>
        <w:jc w:val="both"/>
        <w:rPr>
          <w:rFonts w:ascii="Verdana" w:eastAsia="Times New Roman" w:hAnsi="Verdana" w:cs="Open Sans"/>
          <w:lang w:eastAsia="es-CO"/>
        </w:rPr>
      </w:pPr>
    </w:p>
    <w:p w14:paraId="7A7B318C" w14:textId="77777777" w:rsidR="00BE6A2A" w:rsidRDefault="00BE6A2A" w:rsidP="00BE6A2A">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Como se puede observar, el artículo 33 de la Ley 996 de 2</w:t>
      </w:r>
      <w:r>
        <w:rPr>
          <w:rFonts w:ascii="Verdana" w:eastAsia="Times New Roman" w:hAnsi="Verdana" w:cs="Open Sans"/>
          <w:lang w:eastAsia="es-CO"/>
        </w:rPr>
        <w:t>0</w:t>
      </w:r>
      <w:r w:rsidRPr="00B3605D">
        <w:rPr>
          <w:rFonts w:ascii="Verdana" w:eastAsia="Times New Roman" w:hAnsi="Verdana" w:cs="Open Sans"/>
          <w:lang w:eastAsia="es-CO"/>
        </w:rPr>
        <w:t xml:space="preserve">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6"/>
      </w:r>
      <w:r>
        <w:rPr>
          <w:rFonts w:ascii="Verdana" w:eastAsia="Times New Roman" w:hAnsi="Verdana" w:cs="Open Sans"/>
          <w:lang w:eastAsia="es-CO"/>
        </w:rPr>
        <w:t>.</w:t>
      </w:r>
    </w:p>
    <w:p w14:paraId="6328C19E" w14:textId="77777777" w:rsidR="00BE6A2A" w:rsidRDefault="00BE6A2A" w:rsidP="00BE6A2A">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2D98AAAF" w14:textId="77777777" w:rsidR="00BE6A2A" w:rsidRDefault="00BE6A2A" w:rsidP="00BE6A2A">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 xml:space="preserve">sin que exista un proceso abierto y competitivo. Por tanto, </w:t>
      </w:r>
      <w:r w:rsidRPr="006A640E">
        <w:rPr>
          <w:rFonts w:ascii="Verdana" w:eastAsia="Times New Roman" w:hAnsi="Verdana" w:cs="Open Sans"/>
          <w:lang w:eastAsia="es-CO"/>
        </w:rPr>
        <w:lastRenderedPageBreak/>
        <w:t>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54D8BEB6" w14:textId="77777777" w:rsidR="00BE6A2A" w:rsidRDefault="00BE6A2A" w:rsidP="00BE6A2A">
      <w:pPr>
        <w:spacing w:after="0" w:line="276" w:lineRule="auto"/>
        <w:ind w:firstLine="708"/>
        <w:jc w:val="both"/>
        <w:rPr>
          <w:rFonts w:ascii="Verdana" w:hAnsi="Verdana"/>
        </w:rPr>
      </w:pPr>
      <w:r w:rsidRPr="006A640E">
        <w:rPr>
          <w:rFonts w:ascii="Verdana" w:hAnsi="Verdana"/>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A191C5E" w14:textId="77777777" w:rsidR="00BE6A2A" w:rsidRDefault="00BE6A2A" w:rsidP="00BE6A2A">
      <w:pPr>
        <w:spacing w:after="0" w:line="276" w:lineRule="auto"/>
        <w:ind w:firstLine="708"/>
        <w:jc w:val="both"/>
        <w:rPr>
          <w:rFonts w:ascii="Verdana" w:hAnsi="Verdana"/>
        </w:rPr>
      </w:pPr>
    </w:p>
    <w:p w14:paraId="50620A3B" w14:textId="77777777" w:rsidR="00BE6A2A" w:rsidRPr="00A545DE" w:rsidRDefault="00BE6A2A" w:rsidP="00BE6A2A">
      <w:pPr>
        <w:pStyle w:val="Prrafodelista"/>
        <w:numPr>
          <w:ilvl w:val="0"/>
          <w:numId w:val="4"/>
        </w:numPr>
        <w:spacing w:after="0" w:line="276" w:lineRule="auto"/>
        <w:contextualSpacing w:val="0"/>
        <w:jc w:val="both"/>
        <w:rPr>
          <w:rFonts w:ascii="Verdana" w:eastAsia="Times New Roman" w:hAnsi="Verdana" w:cs="Open Sans"/>
          <w:lang w:eastAsia="es-CO"/>
        </w:rPr>
      </w:pPr>
      <w:r>
        <w:rPr>
          <w:rFonts w:ascii="Verdana" w:eastAsia="Times New Roman" w:hAnsi="Verdana" w:cs="Open Sans"/>
          <w:lang w:eastAsia="es-CO"/>
        </w:rPr>
        <w:t xml:space="preserve">Restricciones demás elecciones </w:t>
      </w:r>
    </w:p>
    <w:p w14:paraId="5C2F493B" w14:textId="77777777" w:rsidR="00BE6A2A" w:rsidRDefault="00BE6A2A" w:rsidP="00BE6A2A">
      <w:pPr>
        <w:spacing w:after="0" w:line="270" w:lineRule="atLeast"/>
        <w:jc w:val="both"/>
        <w:rPr>
          <w:rFonts w:ascii="Verdana" w:eastAsia="Times New Roman" w:hAnsi="Verdana" w:cs="Open Sans"/>
          <w:lang w:eastAsia="es-CO"/>
        </w:rPr>
      </w:pPr>
    </w:p>
    <w:p w14:paraId="1D19476F" w14:textId="77777777" w:rsidR="00BE6A2A" w:rsidRPr="00D61E29" w:rsidRDefault="00BE6A2A" w:rsidP="00BE6A2A">
      <w:pPr>
        <w:spacing w:after="0" w:line="270" w:lineRule="atLeast"/>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6DD62F7C" w14:textId="77777777" w:rsidR="00BE6A2A" w:rsidRDefault="00BE6A2A" w:rsidP="00BE6A2A">
      <w:pPr>
        <w:pStyle w:val="NormalWeb"/>
        <w:spacing w:before="0" w:beforeAutospacing="0" w:after="0" w:afterAutospacing="0" w:line="270" w:lineRule="atLeast"/>
        <w:ind w:left="709" w:right="616"/>
        <w:jc w:val="both"/>
        <w:rPr>
          <w:rStyle w:val="baj"/>
          <w:rFonts w:ascii="Verdana" w:hAnsi="Verdana" w:cs="Open Sans"/>
          <w:b/>
          <w:bCs/>
          <w:sz w:val="20"/>
          <w:szCs w:val="20"/>
        </w:rPr>
      </w:pPr>
    </w:p>
    <w:p w14:paraId="4CE890CC" w14:textId="77777777" w:rsidR="00BE6A2A" w:rsidRPr="00D61E29" w:rsidRDefault="00BE6A2A" w:rsidP="00BE6A2A">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1107B98E" w14:textId="77777777" w:rsidR="00BE6A2A" w:rsidRPr="00D61E29" w:rsidRDefault="00BE6A2A" w:rsidP="00BE6A2A">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w:t>
      </w:r>
      <w:proofErr w:type="gramStart"/>
      <w:r w:rsidRPr="00D61E29">
        <w:rPr>
          <w:rFonts w:ascii="Verdana" w:hAnsi="Verdana" w:cs="Open Sans"/>
          <w:sz w:val="20"/>
          <w:szCs w:val="20"/>
        </w:rPr>
        <w:t>dar inicio a</w:t>
      </w:r>
      <w:proofErr w:type="gramEnd"/>
      <w:r w:rsidRPr="00D61E29">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w:t>
      </w:r>
      <w:r w:rsidRPr="00D61E29">
        <w:rPr>
          <w:rFonts w:ascii="Verdana" w:hAnsi="Verdana" w:cs="Open Sans"/>
          <w:sz w:val="20"/>
          <w:szCs w:val="20"/>
        </w:rPr>
        <w:lastRenderedPageBreak/>
        <w:t>alcaldías y concejos municipales o distritales. Tampoco podrán hacerlo cuando participen voceros de los candidatos.</w:t>
      </w:r>
    </w:p>
    <w:p w14:paraId="70662F16" w14:textId="77777777" w:rsidR="00BE6A2A" w:rsidRPr="00D61E29" w:rsidRDefault="00BE6A2A" w:rsidP="00BE6A2A">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1B29492B" w14:textId="77777777" w:rsidR="00BE6A2A" w:rsidRPr="00D61E29" w:rsidRDefault="00BE6A2A" w:rsidP="00BE6A2A">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p>
    <w:p w14:paraId="19E8B8EF" w14:textId="77777777" w:rsidR="00BE6A2A" w:rsidRDefault="00BE6A2A" w:rsidP="00BE6A2A">
      <w:pPr>
        <w:widowControl w:val="0"/>
        <w:autoSpaceDE w:val="0"/>
        <w:autoSpaceDN w:val="0"/>
        <w:spacing w:after="0" w:line="276" w:lineRule="auto"/>
        <w:ind w:right="113"/>
        <w:contextualSpacing/>
        <w:jc w:val="both"/>
      </w:pPr>
    </w:p>
    <w:p w14:paraId="100B7927" w14:textId="77777777" w:rsidR="00BE6A2A" w:rsidRDefault="00BE6A2A" w:rsidP="00BE6A2A">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w:t>
      </w:r>
      <w:bookmarkStart w:id="1"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1"/>
    </w:p>
    <w:p w14:paraId="233375DB" w14:textId="77777777" w:rsidR="00BE6A2A" w:rsidRPr="00D61E29" w:rsidRDefault="00BE6A2A" w:rsidP="00BE6A2A">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083D1E3D" w14:textId="77777777" w:rsidR="00BE6A2A" w:rsidRPr="00D61E29" w:rsidRDefault="00BE6A2A" w:rsidP="00BE6A2A">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BBDCF2C" w14:textId="77777777" w:rsidR="00BE6A2A" w:rsidRPr="00D61E29" w:rsidRDefault="00BE6A2A" w:rsidP="00BE6A2A">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w:t>
      </w:r>
      <w:r w:rsidRPr="00D61E29">
        <w:rPr>
          <w:rFonts w:ascii="Verdana" w:eastAsia="Arial" w:hAnsi="Verdana" w:cs="Arial"/>
          <w:sz w:val="20"/>
          <w:szCs w:val="20"/>
          <w:lang w:eastAsia="es-ES" w:bidi="es-ES"/>
        </w:rPr>
        <w:lastRenderedPageBreak/>
        <w:t xml:space="preserve">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7"/>
      </w:r>
    </w:p>
    <w:p w14:paraId="2BC189A0" w14:textId="77777777" w:rsidR="00BE6A2A" w:rsidRPr="00D61E29" w:rsidRDefault="00BE6A2A" w:rsidP="00BE6A2A">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3AC99345" w14:textId="77777777" w:rsidR="00BE6A2A" w:rsidRPr="00B3605D" w:rsidRDefault="00BE6A2A" w:rsidP="00BE6A2A">
      <w:pPr>
        <w:tabs>
          <w:tab w:val="left" w:pos="8080"/>
        </w:tabs>
        <w:spacing w:after="0" w:line="276" w:lineRule="auto"/>
        <w:ind w:firstLine="709"/>
        <w:jc w:val="both"/>
        <w:rPr>
          <w:rFonts w:ascii="Verdana" w:hAnsi="Verdana"/>
        </w:rPr>
      </w:pPr>
      <w:r>
        <w:rPr>
          <w:rFonts w:ascii="Verdana" w:eastAsia="Times New Roman" w:hAnsi="Verdana" w:cs="Arial"/>
          <w:lang w:val="es-ES" w:eastAsia="es-ES_tradnl"/>
        </w:rPr>
        <w:t xml:space="preserve">Adicionalmente, en relación con las modificaciones contractuales </w:t>
      </w:r>
      <w:r w:rsidRPr="00B3605D">
        <w:rPr>
          <w:rFonts w:ascii="Verdana" w:eastAsia="Times New Roman" w:hAnsi="Verdana" w:cs="Open Sans"/>
          <w:lang w:eastAsia="es-CO"/>
        </w:rPr>
        <w:t>se resalta el numeral 16.5 de la Circular Externa Única</w:t>
      </w:r>
      <w:r w:rsidRPr="00B3605D">
        <w:rPr>
          <w:rStyle w:val="Refdenotaalpie"/>
          <w:rFonts w:ascii="Verdana" w:eastAsia="Times New Roman" w:hAnsi="Verdana" w:cs="Open Sans"/>
          <w:lang w:eastAsia="es-CO"/>
        </w:rPr>
        <w:footnoteReference w:id="8"/>
      </w:r>
      <w:r w:rsidRPr="00B3605D">
        <w:rPr>
          <w:rFonts w:ascii="Verdana" w:eastAsia="Times New Roman" w:hAnsi="Verdana" w:cs="Open Sans"/>
          <w:lang w:eastAsia="es-CO"/>
        </w:rPr>
        <w:t xml:space="preserve"> de la </w:t>
      </w:r>
      <w:r w:rsidRPr="00B3605D">
        <w:rPr>
          <w:rFonts w:ascii="Verdana" w:hAnsi="Verdana"/>
        </w:rPr>
        <w:t>Agencia Nacional de Contratación Pública -Colombia Compra Eficiente, como sigue:</w:t>
      </w:r>
    </w:p>
    <w:p w14:paraId="6223973B" w14:textId="77777777" w:rsidR="00BE6A2A" w:rsidRPr="00C05384" w:rsidRDefault="00BE6A2A" w:rsidP="00BE6A2A">
      <w:pPr>
        <w:spacing w:after="0" w:line="276" w:lineRule="auto"/>
        <w:ind w:left="708" w:right="616"/>
        <w:jc w:val="both"/>
        <w:rPr>
          <w:rFonts w:ascii="Verdana" w:hAnsi="Verdana"/>
        </w:rPr>
      </w:pPr>
    </w:p>
    <w:p w14:paraId="0A6D921F" w14:textId="77777777" w:rsidR="00BE6A2A" w:rsidRPr="00B3605D" w:rsidRDefault="00BE6A2A" w:rsidP="00BE6A2A">
      <w:pPr>
        <w:spacing w:after="0" w:line="240" w:lineRule="auto"/>
        <w:ind w:left="709" w:right="709"/>
        <w:jc w:val="both"/>
        <w:rPr>
          <w:rFonts w:ascii="Verdana" w:hAnsi="Verdana"/>
          <w:sz w:val="20"/>
          <w:szCs w:val="20"/>
        </w:rPr>
      </w:pPr>
      <w:r w:rsidRPr="00B3605D">
        <w:rPr>
          <w:rFonts w:ascii="Verdana" w:hAnsi="Verdana"/>
          <w:sz w:val="20"/>
          <w:szCs w:val="20"/>
        </w:rPr>
        <w:t xml:space="preserve">La Ley de Garantías no establece restricciones para las prórrogas, modificaciones o adiciones, y la cesión de los contratos suscritos antes del periodo electoral, siempre que tales prórrogas, modificaciones, adiciones y cesiones cumplan los principios de planeación, transparencia y responsabilidad. </w:t>
      </w:r>
    </w:p>
    <w:p w14:paraId="288B6104" w14:textId="77777777" w:rsidR="00BE6A2A" w:rsidRPr="00B3605D" w:rsidRDefault="00BE6A2A" w:rsidP="00BE6A2A">
      <w:pPr>
        <w:spacing w:after="0" w:line="240" w:lineRule="auto"/>
        <w:ind w:left="709" w:right="709"/>
        <w:jc w:val="both"/>
        <w:rPr>
          <w:rFonts w:ascii="Verdana" w:hAnsi="Verdana"/>
          <w:sz w:val="20"/>
          <w:szCs w:val="20"/>
        </w:rPr>
      </w:pPr>
    </w:p>
    <w:p w14:paraId="0615A14F" w14:textId="77777777" w:rsidR="00BE6A2A" w:rsidRDefault="00BE6A2A" w:rsidP="00BE6A2A">
      <w:pPr>
        <w:spacing w:after="0" w:line="240" w:lineRule="auto"/>
        <w:ind w:left="709" w:right="709"/>
        <w:jc w:val="both"/>
        <w:rPr>
          <w:rFonts w:ascii="Verdana" w:hAnsi="Verdana"/>
          <w:sz w:val="20"/>
          <w:szCs w:val="20"/>
        </w:rPr>
      </w:pPr>
      <w:r w:rsidRPr="00B3605D">
        <w:rPr>
          <w:rFonts w:ascii="Verdana" w:hAnsi="Verdana"/>
          <w:sz w:val="20"/>
          <w:szCs w:val="20"/>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06DA18C9" w14:textId="77777777" w:rsidR="00BE6A2A" w:rsidRPr="00FC54ED" w:rsidRDefault="00BE6A2A" w:rsidP="00BE6A2A">
      <w:pPr>
        <w:spacing w:after="0" w:line="240" w:lineRule="auto"/>
        <w:ind w:left="709" w:right="709"/>
        <w:jc w:val="both"/>
        <w:rPr>
          <w:rFonts w:ascii="Verdana" w:eastAsia="Times New Roman" w:hAnsi="Verdana" w:cs="Open Sans"/>
          <w:sz w:val="20"/>
          <w:szCs w:val="20"/>
          <w:lang w:eastAsia="es-CO"/>
        </w:rPr>
      </w:pPr>
    </w:p>
    <w:p w14:paraId="77F59CA0" w14:textId="77777777" w:rsidR="00BE6A2A" w:rsidRDefault="00BE6A2A" w:rsidP="00BE6A2A">
      <w:pPr>
        <w:spacing w:after="120" w:line="276" w:lineRule="auto"/>
        <w:ind w:firstLine="709"/>
        <w:jc w:val="both"/>
        <w:rPr>
          <w:rFonts w:ascii="Verdana" w:eastAsia="Times New Roman" w:hAnsi="Verdana" w:cs="Arial"/>
          <w:bCs/>
          <w:lang w:val="es-MX" w:eastAsia="es-CO"/>
        </w:rPr>
      </w:pPr>
      <w:r w:rsidRPr="00B3605D">
        <w:rPr>
          <w:rFonts w:ascii="Verdana" w:eastAsia="Arial" w:hAnsi="Verdana" w:cs="Arial"/>
          <w:lang w:val="es-ES" w:eastAsia="es-ES" w:bidi="es-ES"/>
        </w:rPr>
        <w:t xml:space="preserve">En conclusión, </w:t>
      </w:r>
      <w:r w:rsidRPr="00B3605D">
        <w:rPr>
          <w:rFonts w:ascii="Verdana" w:eastAsia="Times New Roman" w:hAnsi="Verdana" w:cs="Arial"/>
          <w:bCs/>
          <w:lang w:val="es-MX" w:eastAsia="es-CO"/>
        </w:rPr>
        <w:t xml:space="preserve">como en otras oportunidades </w:t>
      </w:r>
      <w:r w:rsidRPr="00894384">
        <w:rPr>
          <w:rFonts w:ascii="Verdana" w:eastAsia="Times New Roman" w:hAnsi="Verdana" w:cs="Arial"/>
          <w:bCs/>
          <w:lang w:val="es-MX" w:eastAsia="es-CO"/>
        </w:rPr>
        <w:t>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w:t>
      </w:r>
      <w:r>
        <w:rPr>
          <w:rFonts w:ascii="Verdana" w:eastAsia="Times New Roman" w:hAnsi="Verdana" w:cs="Arial"/>
          <w:bCs/>
          <w:lang w:val="es-MX" w:eastAsia="es-CO"/>
        </w:rPr>
        <w:t xml:space="preserve"> las disposiciones que rigen dichas actuaciones así como</w:t>
      </w:r>
      <w:r w:rsidRPr="00894384">
        <w:rPr>
          <w:rFonts w:ascii="Verdana" w:eastAsia="Times New Roman" w:hAnsi="Verdana" w:cs="Arial"/>
          <w:bCs/>
          <w:lang w:val="es-MX" w:eastAsia="es-CO"/>
        </w:rPr>
        <w:t xml:space="preserve"> los principios de planeación, transparencia y responsabilidad. </w:t>
      </w:r>
    </w:p>
    <w:p w14:paraId="24869C84" w14:textId="77777777" w:rsidR="00BE6A2A" w:rsidRPr="00FC0D32" w:rsidRDefault="00BE6A2A" w:rsidP="00BE6A2A">
      <w:pPr>
        <w:spacing w:after="120" w:line="276" w:lineRule="auto"/>
        <w:ind w:firstLine="709"/>
        <w:jc w:val="both"/>
        <w:rPr>
          <w:rFonts w:ascii="Verdana" w:hAnsi="Verdana" w:cs="Arial"/>
          <w:lang w:val="es-MX"/>
        </w:rPr>
      </w:pPr>
      <w:r w:rsidRPr="00072C23">
        <w:rPr>
          <w:rFonts w:ascii="Verdana" w:eastAsia="Calibri" w:hAnsi="Verdana" w:cs="Arial"/>
        </w:rPr>
        <w:t xml:space="preserve">Precisado lo anterior, en relación con el problema jurídico planteado, </w:t>
      </w:r>
      <w:bookmarkStart w:id="2" w:name="_Hlk100224224"/>
      <w:r>
        <w:rPr>
          <w:rFonts w:ascii="Verdana" w:eastAsia="Calibri" w:hAnsi="Verdana" w:cs="Arial"/>
        </w:rPr>
        <w:t xml:space="preserve">a continuación, se analiza la naturaleza jurídica de las universidades públicas para determinar la aplicación de las restricciones antes mencionadas. </w:t>
      </w:r>
      <w:r w:rsidRPr="00B47B8B">
        <w:rPr>
          <w:rFonts w:ascii="Verdana" w:hAnsi="Verdana" w:cs="Arial"/>
          <w:lang w:val="es-MX"/>
        </w:rPr>
        <w:t xml:space="preserve">Para empezar, en la Ley 30 de 1992 se </w:t>
      </w:r>
      <w:r w:rsidRPr="00FC0D32">
        <w:rPr>
          <w:rFonts w:ascii="Verdana" w:hAnsi="Verdana" w:cs="Arial"/>
          <w:lang w:val="es-MX"/>
        </w:rPr>
        <w:t>regularon aspectos como la naturaleza jurídica de las universidades estatales y oficiales, la forma de organizarse y el régimen de contratación aplicable. Así mismo, en el artículo 57 se consignó que e</w:t>
      </w:r>
      <w:r w:rsidRPr="00FC0D32">
        <w:rPr>
          <w:rFonts w:ascii="Verdana" w:hAnsi="Verdana" w:cs="Arial"/>
        </w:rPr>
        <w:t xml:space="preserve">l carácter especial del régimen de las universidades estatales u oficiales comprende, entre </w:t>
      </w:r>
      <w:r w:rsidRPr="00FC0D32">
        <w:rPr>
          <w:rFonts w:ascii="Verdana" w:hAnsi="Verdana" w:cs="Arial"/>
        </w:rPr>
        <w:lastRenderedPageBreak/>
        <w:t>otros aspectos, el régimen de contratación</w:t>
      </w:r>
      <w:r w:rsidRPr="00FC0D32">
        <w:rPr>
          <w:rStyle w:val="Refdenotaalpie"/>
          <w:rFonts w:ascii="Verdana" w:hAnsi="Verdana" w:cs="Arial"/>
        </w:rPr>
        <w:footnoteReference w:id="9"/>
      </w:r>
      <w:r w:rsidRPr="00FC0D32">
        <w:rPr>
          <w:rFonts w:ascii="Verdana" w:hAnsi="Verdana" w:cs="Arial"/>
        </w:rPr>
        <w:t xml:space="preserve">. En concordancia con esto, el artículo 93 estableció que los contratos que </w:t>
      </w:r>
      <w:r w:rsidRPr="00FC0D32">
        <w:rPr>
          <w:rFonts w:ascii="Verdana" w:hAnsi="Verdana" w:cs="Arial"/>
          <w:lang w:val="es-MX"/>
        </w:rPr>
        <w:t>celebren las universidades estatales u oficiales se regirán por las normas del derecho privado</w:t>
      </w:r>
      <w:r w:rsidRPr="00FC0D32">
        <w:rPr>
          <w:rStyle w:val="Refdenotaalpie"/>
          <w:rFonts w:ascii="Verdana" w:hAnsi="Verdana" w:cs="Arial"/>
          <w:lang w:val="es-MX"/>
        </w:rPr>
        <w:footnoteReference w:id="10"/>
      </w:r>
      <w:r w:rsidRPr="00FC0D32">
        <w:rPr>
          <w:rFonts w:ascii="Verdana" w:hAnsi="Verdana" w:cs="Arial"/>
          <w:lang w:val="es-MX"/>
        </w:rPr>
        <w:t xml:space="preserve">. </w:t>
      </w:r>
    </w:p>
    <w:p w14:paraId="5B2F2721" w14:textId="77777777" w:rsidR="00BE6A2A" w:rsidRPr="00FC0D32" w:rsidRDefault="00BE6A2A" w:rsidP="00BE6A2A">
      <w:pPr>
        <w:widowControl w:val="0"/>
        <w:autoSpaceDE w:val="0"/>
        <w:autoSpaceDN w:val="0"/>
        <w:spacing w:before="120" w:after="0" w:line="276" w:lineRule="auto"/>
        <w:ind w:right="102" w:firstLine="708"/>
        <w:jc w:val="both"/>
        <w:rPr>
          <w:rFonts w:ascii="Verdana" w:eastAsia="Arial" w:hAnsi="Verdana" w:cs="Arial"/>
          <w:lang w:val="es-ES"/>
        </w:rPr>
      </w:pPr>
      <w:r w:rsidRPr="00FC0D32">
        <w:rPr>
          <w:rFonts w:ascii="Verdana" w:eastAsia="Arial" w:hAnsi="Verdana" w:cs="Arial"/>
          <w:lang w:val="es-ES"/>
        </w:rPr>
        <w:t>De otro lado, la Ley 489 de 1998, al desarrollar la estructura y organización de la Administración Pública, establece que los entes universitarios hacen parte integral de esta, catalogándolos como entidades públicas de carácter autónomo a las que aplica un régimen especial</w:t>
      </w:r>
      <w:r w:rsidRPr="00FC0D32">
        <w:rPr>
          <w:rStyle w:val="Refdenotaalpie"/>
          <w:rFonts w:ascii="Verdana" w:eastAsia="Arial" w:hAnsi="Verdana" w:cs="Arial"/>
          <w:lang w:val="es-ES"/>
        </w:rPr>
        <w:footnoteReference w:id="11"/>
      </w:r>
      <w:r w:rsidRPr="00FC0D32">
        <w:rPr>
          <w:rFonts w:ascii="Verdana" w:eastAsia="Arial" w:hAnsi="Verdana" w:cs="Arial"/>
          <w:lang w:val="es-ES"/>
        </w:rPr>
        <w:t>.  Al respecto, en la sentencia C-1019 de 2012, la Corte Constitucional señaló:</w:t>
      </w:r>
    </w:p>
    <w:p w14:paraId="3AFCF927" w14:textId="77777777" w:rsidR="00BE6A2A" w:rsidRPr="00FC0D32" w:rsidRDefault="00BE6A2A" w:rsidP="00BE6A2A">
      <w:pPr>
        <w:widowControl w:val="0"/>
        <w:autoSpaceDE w:val="0"/>
        <w:autoSpaceDN w:val="0"/>
        <w:spacing w:after="0" w:line="276" w:lineRule="auto"/>
        <w:ind w:right="102" w:firstLine="708"/>
        <w:jc w:val="both"/>
        <w:rPr>
          <w:rFonts w:ascii="Verdana" w:eastAsia="Arial" w:hAnsi="Verdana" w:cs="Arial"/>
          <w:lang w:val="es-ES"/>
        </w:rPr>
      </w:pPr>
    </w:p>
    <w:p w14:paraId="15EF10AE" w14:textId="77777777" w:rsidR="00BE6A2A" w:rsidRPr="00FC0D32" w:rsidRDefault="00BE6A2A" w:rsidP="00BE6A2A">
      <w:pPr>
        <w:widowControl w:val="0"/>
        <w:autoSpaceDE w:val="0"/>
        <w:autoSpaceDN w:val="0"/>
        <w:spacing w:after="0" w:line="240" w:lineRule="auto"/>
        <w:ind w:left="709" w:right="709"/>
        <w:jc w:val="both"/>
        <w:rPr>
          <w:rFonts w:ascii="Verdana" w:eastAsia="Arial" w:hAnsi="Verdana" w:cs="Arial"/>
          <w:sz w:val="20"/>
          <w:szCs w:val="20"/>
          <w:lang w:val="es-ES"/>
        </w:rPr>
      </w:pPr>
      <w:r>
        <w:rPr>
          <w:rFonts w:ascii="Verdana" w:eastAsia="Arial" w:hAnsi="Verdana" w:cs="Arial"/>
          <w:sz w:val="20"/>
          <w:szCs w:val="20"/>
          <w:lang w:val="es-ES"/>
        </w:rPr>
        <w:t>“</w:t>
      </w:r>
      <w:r w:rsidRPr="00FC0D32">
        <w:rPr>
          <w:rFonts w:ascii="Verdana" w:eastAsia="Arial" w:hAnsi="Verdana" w:cs="Arial"/>
          <w:sz w:val="20"/>
          <w:szCs w:val="20"/>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FC0D32">
        <w:rPr>
          <w:rFonts w:ascii="Verdana" w:eastAsia="Arial" w:hAnsi="Verdana" w:cs="Arial"/>
          <w:spacing w:val="49"/>
          <w:sz w:val="20"/>
          <w:szCs w:val="20"/>
          <w:lang w:val="es-ES"/>
        </w:rPr>
        <w:t xml:space="preserve"> </w:t>
      </w:r>
      <w:r w:rsidRPr="00FC0D32">
        <w:rPr>
          <w:rFonts w:ascii="Verdana" w:eastAsia="Arial" w:hAnsi="Verdana" w:cs="Arial"/>
          <w:sz w:val="20"/>
          <w:szCs w:val="20"/>
          <w:lang w:val="es-ES"/>
        </w:rPr>
        <w:t>exige el cumplimiento de la obligación de colaboración armónica consagrado en el artículo 113 de la C.P. para el cumplimiento de las funciones del Estado.</w:t>
      </w:r>
    </w:p>
    <w:p w14:paraId="0F5FAFF1" w14:textId="77777777" w:rsidR="00BE6A2A" w:rsidRPr="00FC0D32" w:rsidRDefault="00BE6A2A" w:rsidP="00BE6A2A">
      <w:pPr>
        <w:widowControl w:val="0"/>
        <w:autoSpaceDE w:val="0"/>
        <w:autoSpaceDN w:val="0"/>
        <w:spacing w:after="0" w:line="240" w:lineRule="auto"/>
        <w:ind w:left="709" w:right="709"/>
        <w:jc w:val="both"/>
        <w:rPr>
          <w:rFonts w:ascii="Verdana" w:eastAsia="Arial" w:hAnsi="Verdana" w:cs="Arial"/>
          <w:sz w:val="20"/>
          <w:szCs w:val="20"/>
          <w:lang w:val="es-ES"/>
        </w:rPr>
      </w:pPr>
      <w:r w:rsidRPr="00FC0D32">
        <w:rPr>
          <w:rFonts w:ascii="Verdana" w:eastAsia="Arial" w:hAnsi="Verdana" w:cs="Arial"/>
          <w:sz w:val="20"/>
          <w:szCs w:val="20"/>
          <w:lang w:val="es-ES"/>
        </w:rPr>
        <w:t xml:space="preserve">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w:t>
      </w:r>
      <w:r w:rsidRPr="00FC0D32">
        <w:rPr>
          <w:rFonts w:ascii="Verdana" w:eastAsia="Arial" w:hAnsi="Verdana" w:cs="Arial"/>
          <w:sz w:val="20"/>
          <w:szCs w:val="20"/>
          <w:lang w:val="es-ES"/>
        </w:rPr>
        <w:lastRenderedPageBreak/>
        <w:t>ninguna de las ramas del poder ni pueden formar parte de la administración nacional” De esta manera se pretende preservar a las universidades públicas y oficiales, de las injerencias e interferencias arbitrarias e indebidas del poder</w:t>
      </w:r>
      <w:r w:rsidRPr="00FC0D32">
        <w:rPr>
          <w:rFonts w:ascii="Verdana" w:eastAsia="Arial" w:hAnsi="Verdana" w:cs="Arial"/>
          <w:spacing w:val="-6"/>
          <w:sz w:val="20"/>
          <w:szCs w:val="20"/>
          <w:lang w:val="es-ES"/>
        </w:rPr>
        <w:t xml:space="preserve"> </w:t>
      </w:r>
      <w:r w:rsidRPr="00FC0D32">
        <w:rPr>
          <w:rFonts w:ascii="Verdana" w:eastAsia="Arial" w:hAnsi="Verdana" w:cs="Arial"/>
          <w:sz w:val="20"/>
          <w:szCs w:val="20"/>
          <w:lang w:val="es-ES"/>
        </w:rPr>
        <w:t>político</w:t>
      </w:r>
      <w:r>
        <w:rPr>
          <w:rFonts w:ascii="Verdana" w:eastAsia="Arial" w:hAnsi="Verdana" w:cs="Arial"/>
          <w:sz w:val="20"/>
          <w:szCs w:val="20"/>
          <w:lang w:val="es-ES"/>
        </w:rPr>
        <w:t>”</w:t>
      </w:r>
      <w:r w:rsidRPr="00FC0D32">
        <w:rPr>
          <w:rFonts w:ascii="Verdana" w:eastAsia="Arial" w:hAnsi="Verdana" w:cs="Arial"/>
          <w:sz w:val="20"/>
          <w:szCs w:val="20"/>
          <w:lang w:val="es-ES"/>
        </w:rPr>
        <w:t>.</w:t>
      </w:r>
    </w:p>
    <w:p w14:paraId="64ED6406" w14:textId="77777777" w:rsidR="00BE6A2A" w:rsidRDefault="00BE6A2A" w:rsidP="00BE6A2A">
      <w:pPr>
        <w:widowControl w:val="0"/>
        <w:autoSpaceDE w:val="0"/>
        <w:autoSpaceDN w:val="0"/>
        <w:spacing w:line="276" w:lineRule="auto"/>
        <w:ind w:left="181" w:right="108" w:firstLine="527"/>
        <w:jc w:val="both"/>
        <w:rPr>
          <w:rFonts w:ascii="Verdana" w:eastAsia="Arial" w:hAnsi="Verdana" w:cs="Arial"/>
          <w:lang w:val="es-ES"/>
        </w:rPr>
      </w:pPr>
    </w:p>
    <w:p w14:paraId="02233238" w14:textId="77777777" w:rsidR="00BE6A2A" w:rsidRPr="00FC0D32" w:rsidRDefault="00BE6A2A" w:rsidP="00BE6A2A">
      <w:pPr>
        <w:widowControl w:val="0"/>
        <w:autoSpaceDE w:val="0"/>
        <w:autoSpaceDN w:val="0"/>
        <w:spacing w:line="276" w:lineRule="auto"/>
        <w:ind w:left="181" w:right="108" w:firstLine="527"/>
        <w:jc w:val="both"/>
        <w:rPr>
          <w:rFonts w:ascii="Verdana" w:eastAsia="Arial" w:hAnsi="Verdana" w:cs="Arial"/>
          <w:lang w:val="es-ES"/>
        </w:rPr>
      </w:pPr>
      <w:r w:rsidRPr="00FC0D32">
        <w:rPr>
          <w:rFonts w:ascii="Verdana" w:eastAsia="Arial" w:hAnsi="Verdana" w:cs="Arial"/>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FC0D32">
        <w:rPr>
          <w:rStyle w:val="Refdenotaalpie"/>
          <w:rFonts w:ascii="Verdana" w:eastAsia="Arial" w:hAnsi="Verdana" w:cs="Arial"/>
          <w:lang w:val="es-ES"/>
        </w:rPr>
        <w:footnoteReference w:id="12"/>
      </w:r>
      <w:r w:rsidRPr="00FC0D32">
        <w:rPr>
          <w:rFonts w:ascii="Verdana" w:eastAsia="Arial" w:hAnsi="Verdana" w:cs="Arial"/>
          <w:lang w:val="es-ES"/>
        </w:rPr>
        <w:t>:</w:t>
      </w:r>
    </w:p>
    <w:p w14:paraId="1B4A415F" w14:textId="77777777" w:rsidR="00BE6A2A" w:rsidRPr="00FC0D32" w:rsidRDefault="00BE6A2A" w:rsidP="00BE6A2A">
      <w:pPr>
        <w:widowControl w:val="0"/>
        <w:autoSpaceDE w:val="0"/>
        <w:autoSpaceDN w:val="0"/>
        <w:spacing w:after="0" w:line="240" w:lineRule="auto"/>
        <w:ind w:left="709" w:right="709"/>
        <w:jc w:val="both"/>
        <w:rPr>
          <w:rFonts w:ascii="Verdana" w:eastAsia="Arial" w:hAnsi="Verdana" w:cs="Arial"/>
          <w:sz w:val="20"/>
          <w:szCs w:val="20"/>
          <w:lang w:val="es-ES"/>
        </w:rPr>
      </w:pPr>
      <w:r>
        <w:rPr>
          <w:rFonts w:ascii="Verdana" w:eastAsia="Arial" w:hAnsi="Verdana" w:cs="Arial"/>
          <w:sz w:val="20"/>
          <w:szCs w:val="20"/>
          <w:lang w:val="es-ES"/>
        </w:rPr>
        <w:t>“</w:t>
      </w:r>
      <w:r w:rsidRPr="00FC0D32">
        <w:rPr>
          <w:rFonts w:ascii="Verdana" w:eastAsia="Arial" w:hAnsi="Verdana" w:cs="Arial"/>
          <w:sz w:val="20"/>
          <w:szCs w:val="20"/>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0ABAA7BE" w14:textId="77777777" w:rsidR="00BE6A2A" w:rsidRPr="00FC0D32" w:rsidRDefault="00BE6A2A" w:rsidP="00BE6A2A">
      <w:pPr>
        <w:widowControl w:val="0"/>
        <w:autoSpaceDE w:val="0"/>
        <w:autoSpaceDN w:val="0"/>
        <w:spacing w:after="0" w:line="240" w:lineRule="auto"/>
        <w:ind w:left="709" w:right="709"/>
        <w:rPr>
          <w:rFonts w:ascii="Verdana" w:eastAsia="Arial" w:hAnsi="Verdana" w:cs="Arial"/>
          <w:sz w:val="20"/>
          <w:szCs w:val="20"/>
          <w:lang w:val="es-ES"/>
        </w:rPr>
      </w:pPr>
      <w:r w:rsidRPr="00FC0D32">
        <w:rPr>
          <w:rFonts w:ascii="Verdana" w:eastAsia="Arial" w:hAnsi="Verdana" w:cs="Arial"/>
          <w:sz w:val="20"/>
          <w:szCs w:val="20"/>
          <w:lang w:val="es-ES"/>
        </w:rPr>
        <w:t>[…]</w:t>
      </w:r>
    </w:p>
    <w:p w14:paraId="35C1E06B" w14:textId="77777777" w:rsidR="00BE6A2A" w:rsidRPr="00FC0D32" w:rsidRDefault="00BE6A2A" w:rsidP="00BE6A2A">
      <w:pPr>
        <w:widowControl w:val="0"/>
        <w:autoSpaceDE w:val="0"/>
        <w:autoSpaceDN w:val="0"/>
        <w:spacing w:after="0" w:line="240" w:lineRule="auto"/>
        <w:ind w:left="709" w:right="709"/>
        <w:jc w:val="both"/>
        <w:rPr>
          <w:rFonts w:ascii="Verdana" w:eastAsia="Arial" w:hAnsi="Verdana" w:cs="Arial"/>
          <w:sz w:val="20"/>
          <w:szCs w:val="20"/>
          <w:lang w:val="es-ES"/>
        </w:rPr>
      </w:pPr>
      <w:r w:rsidRPr="00FC0D32">
        <w:rPr>
          <w:rFonts w:ascii="Verdana" w:eastAsia="Arial" w:hAnsi="Verdana" w:cs="Arial"/>
          <w:sz w:val="20"/>
          <w:szCs w:val="20"/>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69CB2BC8" w14:textId="77777777" w:rsidR="00BE6A2A" w:rsidRPr="00FC0D32" w:rsidRDefault="00BE6A2A" w:rsidP="00BE6A2A">
      <w:pPr>
        <w:widowControl w:val="0"/>
        <w:autoSpaceDE w:val="0"/>
        <w:autoSpaceDN w:val="0"/>
        <w:spacing w:after="0" w:line="240" w:lineRule="auto"/>
        <w:ind w:left="709" w:right="709"/>
        <w:jc w:val="both"/>
        <w:rPr>
          <w:rFonts w:ascii="Verdana" w:eastAsia="Arial" w:hAnsi="Verdana" w:cs="Arial"/>
          <w:sz w:val="20"/>
          <w:szCs w:val="20"/>
          <w:lang w:val="es-ES"/>
        </w:rPr>
      </w:pPr>
      <w:r w:rsidRPr="00FC0D32">
        <w:rPr>
          <w:rFonts w:ascii="Verdana" w:eastAsia="Arial" w:hAnsi="Verdana" w:cs="Arial"/>
          <w:sz w:val="20"/>
          <w:szCs w:val="20"/>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Pr>
          <w:rFonts w:ascii="Verdana" w:eastAsia="Arial" w:hAnsi="Verdana" w:cs="Arial"/>
          <w:sz w:val="20"/>
          <w:szCs w:val="20"/>
          <w:lang w:val="es-ES"/>
        </w:rPr>
        <w:t>”</w:t>
      </w:r>
    </w:p>
    <w:p w14:paraId="325B795D" w14:textId="77777777" w:rsidR="00BE6A2A" w:rsidRPr="00FC0D32" w:rsidRDefault="00BE6A2A" w:rsidP="00BE6A2A">
      <w:pPr>
        <w:spacing w:after="0" w:line="276" w:lineRule="auto"/>
        <w:jc w:val="both"/>
        <w:rPr>
          <w:rFonts w:ascii="Verdana" w:eastAsia="Arial" w:hAnsi="Verdana" w:cs="Arial"/>
          <w:lang w:eastAsia="es-MX"/>
        </w:rPr>
      </w:pPr>
      <w:r w:rsidRPr="00FC0D32">
        <w:rPr>
          <w:rFonts w:ascii="Verdana" w:eastAsia="Arial" w:hAnsi="Verdana" w:cs="Arial"/>
          <w:lang w:eastAsia="es-MX"/>
        </w:rPr>
        <w:tab/>
      </w:r>
    </w:p>
    <w:p w14:paraId="7A4BB93A" w14:textId="77777777" w:rsidR="00BE6A2A" w:rsidRPr="00FC0D32" w:rsidRDefault="00BE6A2A" w:rsidP="00BE6A2A">
      <w:pPr>
        <w:spacing w:before="120" w:after="120" w:line="276" w:lineRule="auto"/>
        <w:jc w:val="both"/>
        <w:rPr>
          <w:rFonts w:ascii="Verdana" w:eastAsia="Arial" w:hAnsi="Verdana" w:cs="Arial"/>
          <w:lang w:eastAsia="es-MX"/>
        </w:rPr>
      </w:pPr>
      <w:r w:rsidRPr="00FC0D32">
        <w:rPr>
          <w:rFonts w:ascii="Verdana" w:eastAsia="Arial" w:hAnsi="Verdana" w:cs="Arial"/>
          <w:lang w:eastAsia="es-MX"/>
        </w:rPr>
        <w:tab/>
        <w:t xml:space="preserve">Teniendo en cuenta lo anterior, dado que las universidades públicas son entidades públicas de carácter autónomo con régimen especial, les aplica la restricción establecida en el artículo 33 de la Ley 996 de 2005, que </w:t>
      </w:r>
      <w:r w:rsidRPr="00FC0D32">
        <w:rPr>
          <w:rFonts w:ascii="Verdana" w:eastAsia="Times New Roman" w:hAnsi="Verdana" w:cs="Open Sans"/>
          <w:lang w:eastAsia="es-CO"/>
        </w:rPr>
        <w:t xml:space="preserve">prohíbe la contratación directa por parte de todos los entes estatales durante los cuatro (4) </w:t>
      </w:r>
      <w:r w:rsidRPr="00FC0D32">
        <w:rPr>
          <w:rFonts w:ascii="Verdana" w:eastAsia="Times New Roman" w:hAnsi="Verdana" w:cs="Open Sans"/>
          <w:lang w:eastAsia="es-CO"/>
        </w:rPr>
        <w:lastRenderedPageBreak/>
        <w:t xml:space="preserve">meses anteriores a las elecciones presidenciales y dispone las excepciones a dicha prohibición. Por el contrario, a estas entidades no les aplica la restricción contenida en el parágrafo del artículo 38 de la Ley 996 de 2005, dado que esta solo es aplicable a </w:t>
      </w:r>
      <w:proofErr w:type="gramStart"/>
      <w:r w:rsidRPr="00FC0D32">
        <w:rPr>
          <w:rFonts w:ascii="Verdana" w:eastAsia="Times New Roman" w:hAnsi="Verdana" w:cs="Arial"/>
          <w:lang w:val="es-MX" w:eastAsia="es-CO"/>
        </w:rPr>
        <w:t>Alcaldes</w:t>
      </w:r>
      <w:proofErr w:type="gramEnd"/>
      <w:r w:rsidRPr="00FC0D32">
        <w:rPr>
          <w:rFonts w:ascii="Verdana" w:eastAsia="Times New Roman" w:hAnsi="Verdana" w:cs="Arial"/>
          <w:lang w:val="es-MX" w:eastAsia="es-CO"/>
        </w:rPr>
        <w:t xml:space="preserve">, Gobernadores, </w:t>
      </w:r>
      <w:proofErr w:type="gramStart"/>
      <w:r w:rsidRPr="00FC0D32">
        <w:rPr>
          <w:rFonts w:ascii="Verdana" w:eastAsia="Times New Roman" w:hAnsi="Verdana" w:cs="Arial"/>
          <w:lang w:val="es-MX" w:eastAsia="es-CO"/>
        </w:rPr>
        <w:t>Secretarios</w:t>
      </w:r>
      <w:proofErr w:type="gramEnd"/>
      <w:r w:rsidRPr="00FC0D32">
        <w:rPr>
          <w:rFonts w:ascii="Verdana" w:eastAsia="Times New Roman" w:hAnsi="Verdana" w:cs="Arial"/>
          <w:lang w:val="es-MX" w:eastAsia="es-CO"/>
        </w:rPr>
        <w:t xml:space="preserve">, Gerentes y </w:t>
      </w:r>
      <w:proofErr w:type="gramStart"/>
      <w:r w:rsidRPr="00FC0D32">
        <w:rPr>
          <w:rFonts w:ascii="Verdana" w:eastAsia="Times New Roman" w:hAnsi="Verdana" w:cs="Arial"/>
          <w:lang w:val="es-MX" w:eastAsia="es-CO"/>
        </w:rPr>
        <w:t>Directores</w:t>
      </w:r>
      <w:proofErr w:type="gramEnd"/>
      <w:r w:rsidRPr="00FC0D32">
        <w:rPr>
          <w:rFonts w:ascii="Verdana" w:eastAsia="Times New Roman" w:hAnsi="Verdana" w:cs="Arial"/>
          <w:lang w:val="es-MX" w:eastAsia="es-CO"/>
        </w:rPr>
        <w:t xml:space="preserve"> de las entidades descentralizadas del orden municipal, departamental o distrital</w:t>
      </w:r>
      <w:r w:rsidRPr="00FC0D32">
        <w:rPr>
          <w:rFonts w:ascii="Verdana" w:eastAsia="Times New Roman" w:hAnsi="Verdana" w:cs="Open Sans"/>
          <w:lang w:eastAsia="es-CO"/>
        </w:rPr>
        <w:t>.</w:t>
      </w:r>
    </w:p>
    <w:p w14:paraId="460DDB1C" w14:textId="77777777" w:rsidR="00BE6A2A" w:rsidRDefault="00BE6A2A" w:rsidP="00BE6A2A">
      <w:pPr>
        <w:spacing w:before="120" w:after="120" w:line="276" w:lineRule="auto"/>
        <w:jc w:val="both"/>
        <w:rPr>
          <w:rFonts w:ascii="BCDHEE+Verdana" w:hAnsi="BCDHEE+Verdana" w:cs="BCDHEE+Verdana"/>
          <w:color w:val="000000"/>
        </w:rPr>
      </w:pPr>
      <w:r w:rsidRPr="00FC0D32">
        <w:rPr>
          <w:rFonts w:ascii="Verdana" w:eastAsia="Arial" w:hAnsi="Verdana" w:cs="Arial"/>
          <w:lang w:eastAsia="es-MX"/>
        </w:rPr>
        <w:tab/>
        <w:t>Finalmente,</w:t>
      </w:r>
      <w:bookmarkEnd w:id="2"/>
      <w:r w:rsidRPr="00FC0D32">
        <w:rPr>
          <w:rFonts w:ascii="Verdana" w:eastAsia="Arial" w:hAnsi="Verdana" w:cs="Arial"/>
          <w:lang w:eastAsia="es-MX"/>
        </w:rPr>
        <w:t xml:space="preserve"> p</w:t>
      </w:r>
      <w:r w:rsidRPr="00FC0D32">
        <w:rPr>
          <w:rFonts w:ascii="Verdana" w:hAnsi="Verdana" w:cs="BCDHEE+Verdana"/>
          <w:color w:val="000000"/>
        </w:rPr>
        <w:t xml:space="preserve">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FC0D32">
        <w:rPr>
          <w:rFonts w:ascii="Verdana" w:hAnsi="Verdana" w:cs="BCDHEE+Verdana"/>
          <w:color w:val="000000"/>
        </w:rPr>
        <w:t>4</w:t>
      </w:r>
      <w:r>
        <w:rPr>
          <w:rFonts w:ascii="Verdana" w:hAnsi="Verdana" w:cs="BCDHEE+Verdana"/>
          <w:color w:val="000000"/>
        </w:rPr>
        <w:t>)</w:t>
      </w:r>
      <w:r w:rsidRPr="00FC0D32">
        <w:rPr>
          <w:rFonts w:ascii="Verdana" w:hAnsi="Verdana" w:cs="BCDHEE+Verdana"/>
          <w:color w:val="000000"/>
        </w:rPr>
        <w:t xml:space="preserve"> meses anteriores</w:t>
      </w:r>
      <w:r w:rsidRPr="00DE5508">
        <w:rPr>
          <w:rFonts w:ascii="Verdana" w:hAnsi="Verdana" w:cs="BCDHEE+Verdana"/>
          <w:color w:val="000000"/>
        </w:rPr>
        <w:t xml:space="preserve"> a la elección presidencial, es decir desde el 31 de enero de 2026 y hasta el momento de la celebración de la segunda vuelta, si fuere el caso, queda prohibida la contratación directa por parte de todos los entes del Estado</w:t>
      </w:r>
      <w:r>
        <w:rPr>
          <w:rFonts w:ascii="BCDHEE+Verdana" w:hAnsi="BCDHEE+Verdana" w:cs="BCDHEE+Verdana"/>
          <w:color w:val="000000"/>
        </w:rPr>
        <w:t>.</w:t>
      </w:r>
    </w:p>
    <w:p w14:paraId="1C9B9086" w14:textId="77777777" w:rsidR="00BE6A2A" w:rsidRDefault="00BE6A2A" w:rsidP="00BE6A2A">
      <w:pPr>
        <w:spacing w:after="120" w:line="276" w:lineRule="auto"/>
        <w:ind w:firstLine="708"/>
        <w:jc w:val="both"/>
        <w:rPr>
          <w:rFonts w:ascii="Verdana" w:hAnsi="Verdana" w:cs="BCDHEE+Verdana"/>
          <w:color w:val="000000"/>
          <w:lang w:val="es-MX"/>
        </w:rPr>
      </w:pPr>
      <w:r w:rsidRPr="00CF3131">
        <w:rPr>
          <w:rFonts w:ascii="Verdana" w:hAnsi="Verdana" w:cs="BCDHEE+Verdana"/>
          <w:color w:val="000000"/>
          <w:lang w:val="es-MX"/>
        </w:rPr>
        <w:t>Ahora bien, los pagos asociados a inscripciones a congresos, producción científica y tasas ante autoridades administrativas, en cuanto se relacionan con el desarrollo de actividades misionales en el ámbito de la ciencia, la tecnología y la innovación (CT&amp;I), podrían entenderse comprendidos dentro del régimen jurídico aplicable a este tipo de actividades. En efecto, la normativa vigente, en particular la Ley 1150 de 2007 y la Ley 1286 de 2009, prevé que los contratos cuyo objeto es el desarrollo de actividades científicas y tecnológicas se adelanten, por regla general, bajo la modalidad de contratación directa. Bajo esta lectura, la eventual celebración de nuevos contratos o negocios jurídicos para el desarrollo de dichas actividades durante la vigencia de la Ley de Garantías quedaría sometida a las restricciones previstas en el artículo 33 de dicha ley, lo que llevaría a considerar que su celebración durante el periodo de restricción electoral se encuentra limitada.</w:t>
      </w:r>
    </w:p>
    <w:p w14:paraId="170425DF" w14:textId="77777777" w:rsidR="00BE6A2A" w:rsidRPr="00BF7DC1" w:rsidRDefault="00BE6A2A" w:rsidP="00BE6A2A">
      <w:pPr>
        <w:spacing w:after="120" w:line="276" w:lineRule="auto"/>
        <w:jc w:val="both"/>
        <w:rPr>
          <w:rFonts w:ascii="Verdana" w:hAnsi="Verdana" w:cs="BCDHEE+Verdana"/>
          <w:color w:val="000000"/>
          <w:lang w:val="es-MX"/>
        </w:rPr>
      </w:pPr>
      <w:r>
        <w:rPr>
          <w:rFonts w:ascii="Verdana" w:eastAsia="Times New Roman" w:hAnsi="Verdana" w:cs="Arial"/>
          <w:lang w:val="es-MX" w:eastAsia="es-CO"/>
        </w:rPr>
        <w:t xml:space="preserve">      </w:t>
      </w:r>
      <w:r w:rsidRPr="0090052A">
        <w:rPr>
          <w:rFonts w:ascii="Verdana" w:eastAsia="Times New Roman" w:hAnsi="Verdana" w:cs="Arial"/>
          <w:lang w:val="es-MX" w:eastAsia="es-CO"/>
        </w:rPr>
        <w:t>Finalmente,</w:t>
      </w:r>
      <w:r>
        <w:rPr>
          <w:rFonts w:ascii="Verdana" w:eastAsia="Times New Roman" w:hAnsi="Verdana" w:cs="Arial"/>
          <w:lang w:val="es-MX" w:eastAsia="es-CO"/>
        </w:rPr>
        <w:t xml:space="preserve"> l</w:t>
      </w:r>
      <w:r w:rsidRPr="0090052A">
        <w:rPr>
          <w:rFonts w:ascii="Verdana" w:eastAsia="Times New Roman" w:hAnsi="Verdana" w:cs="Arial"/>
          <w:lang w:val="es-MX" w:eastAsia="es-CO"/>
        </w:rPr>
        <w:t>a prohibición de la Ley de Garantías recae sobre la celebración de nuevos contratos, no sobre la ejecución de pagos de obligaciones adquiridas con anterioridad al inicio del periodo restrictivo. El concepto de "celebrar" se refiere al perfeccionamiento del contrato, que ocurre cuando hay acuerdo sobre el objeto y la contraprestación, y este se eleva a escrito. No se refiere a los actos de ejecución, como los pago</w:t>
      </w:r>
      <w:r>
        <w:rPr>
          <w:rFonts w:ascii="Verdana" w:eastAsia="Times New Roman" w:hAnsi="Verdana" w:cs="Arial"/>
          <w:lang w:val="es-MX" w:eastAsia="es-CO"/>
        </w:rPr>
        <w:t>s</w:t>
      </w:r>
      <w:r w:rsidRPr="0090052A">
        <w:rPr>
          <w:rFonts w:ascii="Verdana" w:eastAsia="Times New Roman" w:hAnsi="Verdana" w:cs="Arial"/>
          <w:lang w:val="es-MX" w:eastAsia="es-CO"/>
        </w:rPr>
        <w:t>, por ello</w:t>
      </w:r>
      <w:r>
        <w:rPr>
          <w:rFonts w:ascii="Verdana" w:eastAsia="Times New Roman" w:hAnsi="Verdana" w:cs="Arial"/>
          <w:lang w:val="es-MX" w:eastAsia="es-CO"/>
        </w:rPr>
        <w:t>,</w:t>
      </w:r>
      <w:r w:rsidRPr="0090052A">
        <w:rPr>
          <w:rFonts w:ascii="Verdana" w:eastAsia="Times New Roman" w:hAnsi="Verdana" w:cs="Arial"/>
          <w:lang w:val="es-MX" w:eastAsia="es-CO"/>
        </w:rPr>
        <w:t xml:space="preserve"> </w:t>
      </w:r>
      <w:r>
        <w:rPr>
          <w:rFonts w:ascii="Verdana" w:eastAsia="Times New Roman" w:hAnsi="Verdana" w:cs="Arial"/>
          <w:lang w:val="es-MX" w:eastAsia="es-CO"/>
        </w:rPr>
        <w:t>s</w:t>
      </w:r>
      <w:r w:rsidRPr="0090052A">
        <w:rPr>
          <w:rFonts w:ascii="Verdana" w:eastAsia="Times New Roman" w:hAnsi="Verdana" w:cs="Arial"/>
          <w:lang w:eastAsia="es-CO"/>
        </w:rPr>
        <w:t xml:space="preserve">i la obligación de pago (inscripción, publicación, tasa) se generó antes del inicio de la Ley de Garantías, el pago durante dicho periodo es procedente y legal, pues corresponde a la ejecución de </w:t>
      </w:r>
      <w:r w:rsidRPr="0090052A">
        <w:rPr>
          <w:rFonts w:ascii="Verdana" w:eastAsia="Times New Roman" w:hAnsi="Verdana" w:cs="Arial"/>
          <w:lang w:eastAsia="es-CO"/>
        </w:rPr>
        <w:lastRenderedPageBreak/>
        <w:t xml:space="preserve">un compromiso ya </w:t>
      </w:r>
      <w:proofErr w:type="gramStart"/>
      <w:r w:rsidRPr="0090052A">
        <w:rPr>
          <w:rFonts w:ascii="Verdana" w:eastAsia="Times New Roman" w:hAnsi="Verdana" w:cs="Arial"/>
          <w:lang w:eastAsia="es-CO"/>
        </w:rPr>
        <w:t>adquirido,  si</w:t>
      </w:r>
      <w:proofErr w:type="gramEnd"/>
      <w:r w:rsidRPr="0090052A">
        <w:rPr>
          <w:rFonts w:ascii="Verdana" w:eastAsia="Times New Roman" w:hAnsi="Verdana" w:cs="Arial"/>
          <w:lang w:eastAsia="es-CO"/>
        </w:rPr>
        <w:t xml:space="preserve"> la decisión de contratar el </w:t>
      </w:r>
      <w:proofErr w:type="gramStart"/>
      <w:r w:rsidRPr="0090052A">
        <w:rPr>
          <w:rFonts w:ascii="Verdana" w:eastAsia="Times New Roman" w:hAnsi="Verdana" w:cs="Arial"/>
          <w:lang w:eastAsia="es-CO"/>
        </w:rPr>
        <w:t>servicio</w:t>
      </w:r>
      <w:r>
        <w:rPr>
          <w:rFonts w:ascii="Verdana" w:eastAsia="Times New Roman" w:hAnsi="Verdana" w:cs="Arial"/>
          <w:lang w:eastAsia="es-CO"/>
        </w:rPr>
        <w:t>,</w:t>
      </w:r>
      <w:proofErr w:type="gramEnd"/>
      <w:r>
        <w:rPr>
          <w:rFonts w:ascii="Verdana" w:eastAsia="Times New Roman" w:hAnsi="Verdana" w:cs="Arial"/>
          <w:lang w:eastAsia="es-CO"/>
        </w:rPr>
        <w:t xml:space="preserve"> </w:t>
      </w:r>
      <w:r w:rsidRPr="0090052A">
        <w:rPr>
          <w:rFonts w:ascii="Verdana" w:eastAsia="Times New Roman" w:hAnsi="Verdana" w:cs="Arial"/>
          <w:lang w:eastAsia="es-CO"/>
        </w:rPr>
        <w:t xml:space="preserve">se toma durante la vigencia de la Ley de Garantías, se estaría celebrando un nuevo contrato directo, lo cual está prohibido. </w:t>
      </w:r>
    </w:p>
    <w:p w14:paraId="152D908A" w14:textId="77777777" w:rsidR="00BE6A2A" w:rsidRPr="00C34AAF" w:rsidRDefault="00BE6A2A" w:rsidP="00BE6A2A">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Pr>
          <w:rFonts w:ascii="Verdana" w:hAnsi="Verdana"/>
          <w:sz w:val="20"/>
          <w:szCs w:val="20"/>
        </w:rPr>
        <w:tab/>
      </w:r>
    </w:p>
    <w:p w14:paraId="100EBE46" w14:textId="77777777" w:rsidR="00BE6A2A" w:rsidRDefault="00BE6A2A" w:rsidP="00BE6A2A">
      <w:pPr>
        <w:widowControl w:val="0"/>
        <w:autoSpaceDE w:val="0"/>
        <w:autoSpaceDN w:val="0"/>
        <w:spacing w:after="0" w:line="276" w:lineRule="auto"/>
        <w:jc w:val="both"/>
        <w:rPr>
          <w:rFonts w:ascii="Verdana" w:hAnsi="Verdana" w:cs="Arial"/>
        </w:rPr>
      </w:pPr>
    </w:p>
    <w:p w14:paraId="20A6497D" w14:textId="77777777" w:rsidR="00BE6A2A" w:rsidRDefault="00BE6A2A" w:rsidP="00BE6A2A">
      <w:pPr>
        <w:pStyle w:val="Prrafodelista"/>
        <w:numPr>
          <w:ilvl w:val="0"/>
          <w:numId w:val="3"/>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265E13E2" w14:textId="77777777" w:rsidR="00BE6A2A" w:rsidRDefault="00BE6A2A" w:rsidP="00BE6A2A">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E6A2A" w14:paraId="7211D870" w14:textId="77777777">
        <w:trPr>
          <w:trHeight w:val="870"/>
        </w:trPr>
        <w:tc>
          <w:tcPr>
            <w:tcW w:w="8647" w:type="dxa"/>
            <w:tcBorders>
              <w:top w:val="dotted" w:sz="4" w:space="0" w:color="auto"/>
              <w:left w:val="dotted" w:sz="4" w:space="0" w:color="auto"/>
              <w:bottom w:val="dotted" w:sz="4" w:space="0" w:color="auto"/>
              <w:right w:val="dotted" w:sz="4" w:space="0" w:color="auto"/>
            </w:tcBorders>
            <w:hideMark/>
          </w:tcPr>
          <w:p w14:paraId="022D85EB" w14:textId="77777777" w:rsidR="00BE6A2A" w:rsidRDefault="00BE6A2A" w:rsidP="00BE6A2A">
            <w:pPr>
              <w:widowControl w:val="0"/>
              <w:numPr>
                <w:ilvl w:val="0"/>
                <w:numId w:val="2"/>
              </w:numPr>
              <w:autoSpaceDE w:val="0"/>
              <w:autoSpaceDN w:val="0"/>
              <w:spacing w:after="120" w:line="276" w:lineRule="auto"/>
              <w:ind w:left="360"/>
              <w:jc w:val="both"/>
              <w:rPr>
                <w:rFonts w:ascii="Verdana" w:eastAsia="Arial MT" w:hAnsi="Verdana" w:cs="Arial"/>
                <w:lang w:val="es-ES" w:eastAsia="es-ES" w:bidi="es-ES"/>
              </w:rPr>
            </w:pPr>
            <w:r>
              <w:rPr>
                <w:rFonts w:ascii="Verdana" w:eastAsia="Arial MT" w:hAnsi="Verdana" w:cs="Arial"/>
                <w:lang w:val="es-ES" w:eastAsia="es-ES" w:bidi="es-ES"/>
              </w:rPr>
              <w:t>Ley 30 de 1992. Artículos 57 y 93</w:t>
            </w:r>
          </w:p>
          <w:p w14:paraId="2777406B" w14:textId="77777777" w:rsidR="00BE6A2A" w:rsidRPr="00FC0D32" w:rsidRDefault="00BE6A2A" w:rsidP="00BE6A2A">
            <w:pPr>
              <w:widowControl w:val="0"/>
              <w:numPr>
                <w:ilvl w:val="0"/>
                <w:numId w:val="2"/>
              </w:numPr>
              <w:autoSpaceDE w:val="0"/>
              <w:autoSpaceDN w:val="0"/>
              <w:spacing w:after="120" w:line="276" w:lineRule="auto"/>
              <w:ind w:left="360"/>
              <w:jc w:val="both"/>
              <w:rPr>
                <w:rFonts w:ascii="Verdana" w:eastAsia="Arial MT" w:hAnsi="Verdana" w:cs="Arial"/>
                <w:lang w:val="es-ES" w:eastAsia="es-ES" w:bidi="es-ES"/>
              </w:rPr>
            </w:pPr>
            <w:r>
              <w:rPr>
                <w:rFonts w:ascii="Verdana" w:eastAsia="Arial MT" w:hAnsi="Verdana" w:cs="Arial"/>
                <w:lang w:val="es-ES" w:eastAsia="es-ES" w:bidi="es-ES"/>
              </w:rPr>
              <w:t>Ley 489 de 1998. Artículo 40</w:t>
            </w:r>
          </w:p>
          <w:p w14:paraId="24EF1D9F" w14:textId="77777777" w:rsidR="00BE6A2A" w:rsidRPr="004B54E8" w:rsidRDefault="00BE6A2A" w:rsidP="00BE6A2A">
            <w:pPr>
              <w:widowControl w:val="0"/>
              <w:numPr>
                <w:ilvl w:val="0"/>
                <w:numId w:val="2"/>
              </w:numPr>
              <w:autoSpaceDE w:val="0"/>
              <w:autoSpaceDN w:val="0"/>
              <w:spacing w:after="120" w:line="276" w:lineRule="auto"/>
              <w:ind w:left="360"/>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w:t>
            </w:r>
            <w:r>
              <w:rPr>
                <w:rFonts w:ascii="Verdana" w:eastAsia="Arial MT" w:hAnsi="Verdana" w:cs="Arial"/>
                <w:bCs/>
                <w:lang w:val="es-ES" w:eastAsia="es-ES" w:bidi="es-ES"/>
              </w:rPr>
              <w:t>.</w:t>
            </w:r>
            <w:r w:rsidRPr="00DF1048">
              <w:rPr>
                <w:rFonts w:ascii="Verdana" w:eastAsia="Arial MT" w:hAnsi="Verdana" w:cs="Arial"/>
                <w:bCs/>
                <w:lang w:val="es-ES" w:eastAsia="es-ES" w:bidi="es-ES"/>
              </w:rPr>
              <w:t xml:space="preserve"> </w:t>
            </w:r>
            <w:r>
              <w:rPr>
                <w:rFonts w:ascii="Verdana" w:eastAsia="Arial MT" w:hAnsi="Verdana" w:cs="Arial"/>
                <w:bCs/>
                <w:lang w:val="es-ES" w:eastAsia="es-ES" w:bidi="es-ES"/>
              </w:rPr>
              <w:t>A</w:t>
            </w:r>
            <w:r w:rsidRPr="00DF1048">
              <w:rPr>
                <w:rFonts w:ascii="Verdana" w:eastAsia="Arial MT" w:hAnsi="Verdana" w:cs="Arial"/>
                <w:bCs/>
                <w:lang w:val="es-ES" w:eastAsia="es-ES" w:bidi="es-ES"/>
              </w:rPr>
              <w:t>rtículos 33 y 38 parágrafo.</w:t>
            </w:r>
          </w:p>
          <w:p w14:paraId="04501197" w14:textId="77777777" w:rsidR="00BE6A2A" w:rsidRPr="00274DBA" w:rsidRDefault="00BE6A2A" w:rsidP="00BE6A2A">
            <w:pPr>
              <w:widowControl w:val="0"/>
              <w:numPr>
                <w:ilvl w:val="0"/>
                <w:numId w:val="2"/>
              </w:numPr>
              <w:autoSpaceDE w:val="0"/>
              <w:autoSpaceDN w:val="0"/>
              <w:spacing w:after="120" w:line="276" w:lineRule="auto"/>
              <w:ind w:left="360"/>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0EBF8382" w14:textId="77777777" w:rsidR="00BE6A2A" w:rsidRDefault="00BE6A2A" w:rsidP="00BE6A2A">
            <w:pPr>
              <w:widowControl w:val="0"/>
              <w:numPr>
                <w:ilvl w:val="0"/>
                <w:numId w:val="2"/>
              </w:numPr>
              <w:autoSpaceDE w:val="0"/>
              <w:autoSpaceDN w:val="0"/>
              <w:spacing w:after="120" w:line="276" w:lineRule="auto"/>
              <w:ind w:left="360"/>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6424C7CC" w14:textId="77777777" w:rsidR="00BE6A2A" w:rsidRPr="006A640E" w:rsidRDefault="00BE6A2A" w:rsidP="00BE6A2A">
            <w:pPr>
              <w:widowControl w:val="0"/>
              <w:numPr>
                <w:ilvl w:val="0"/>
                <w:numId w:val="2"/>
              </w:numPr>
              <w:autoSpaceDE w:val="0"/>
              <w:autoSpaceDN w:val="0"/>
              <w:spacing w:after="120" w:line="276" w:lineRule="auto"/>
              <w:ind w:left="360"/>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Colombia Compra Eficiente. Circular Externa Única. Numeral 16.5.</w:t>
            </w:r>
          </w:p>
        </w:tc>
      </w:tr>
    </w:tbl>
    <w:p w14:paraId="31A94024" w14:textId="77777777" w:rsidR="00BE6A2A" w:rsidRDefault="00BE6A2A" w:rsidP="00BE6A2A">
      <w:pPr>
        <w:widowControl w:val="0"/>
        <w:autoSpaceDE w:val="0"/>
        <w:autoSpaceDN w:val="0"/>
        <w:spacing w:after="0" w:line="276" w:lineRule="auto"/>
        <w:jc w:val="both"/>
        <w:rPr>
          <w:rFonts w:ascii="Verdana" w:hAnsi="Verdana" w:cs="Arial"/>
        </w:rPr>
      </w:pPr>
    </w:p>
    <w:p w14:paraId="450E7DDE" w14:textId="77777777" w:rsidR="00BE6A2A" w:rsidRDefault="00BE6A2A" w:rsidP="00BE6A2A">
      <w:pPr>
        <w:pStyle w:val="Prrafodelista"/>
        <w:numPr>
          <w:ilvl w:val="0"/>
          <w:numId w:val="3"/>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57FF90DA" w14:textId="77777777" w:rsidR="00BE6A2A" w:rsidRDefault="00BE6A2A" w:rsidP="00BE6A2A">
      <w:pPr>
        <w:widowControl w:val="0"/>
        <w:autoSpaceDE w:val="0"/>
        <w:autoSpaceDN w:val="0"/>
        <w:spacing w:after="0" w:line="276" w:lineRule="auto"/>
        <w:jc w:val="both"/>
        <w:rPr>
          <w:rFonts w:ascii="Verdana" w:hAnsi="Verdana" w:cs="Arial"/>
        </w:rPr>
      </w:pPr>
    </w:p>
    <w:p w14:paraId="0264E7EC" w14:textId="77777777" w:rsidR="00BE6A2A" w:rsidRPr="00FE3C84" w:rsidRDefault="00BE6A2A" w:rsidP="00BE6A2A">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C-636 del 16 de noviembre de 2021, 681 del 7 de diciembre de 2021, C-686 del 21 de diciembre de 2021,</w:t>
      </w:r>
      <w:r>
        <w:rPr>
          <w:rFonts w:ascii="Verdana" w:hAnsi="Verdana" w:cs="Arial"/>
          <w:shd w:val="clear" w:color="auto" w:fill="FFFFFF"/>
          <w:lang w:val="es-ES"/>
        </w:rPr>
        <w:t xml:space="preserve"> C-134 de 2022</w:t>
      </w:r>
      <w:r w:rsidRPr="00CF7C16">
        <w:rPr>
          <w:rFonts w:ascii="Verdana" w:hAnsi="Verdana" w:cs="Arial"/>
          <w:shd w:val="clear" w:color="auto" w:fill="FFFFFF"/>
          <w:lang w:val="es-ES"/>
        </w:rPr>
        <w:t xml:space="preserve"> C-697 del 3 de enero de 2022, </w:t>
      </w:r>
      <w:r>
        <w:rPr>
          <w:rStyle w:val="normaltextrun"/>
          <w:rFonts w:ascii="Verdana" w:hAnsi="Verdana" w:cs="Arial"/>
          <w:shd w:val="clear" w:color="auto" w:fill="FFFFFF"/>
          <w:lang w:val="es-ES"/>
        </w:rPr>
        <w:t xml:space="preserve">C-329 del 24 de mayo de 2022, C-255 del 4 de julio de </w:t>
      </w:r>
      <w:r>
        <w:rPr>
          <w:rStyle w:val="normaltextrun"/>
          <w:rFonts w:ascii="Verdana" w:hAnsi="Verdana" w:cs="Arial"/>
          <w:shd w:val="clear" w:color="auto" w:fill="FFFFFF"/>
          <w:lang w:val="es-ES"/>
        </w:rPr>
        <w:lastRenderedPageBreak/>
        <w:t xml:space="preserve">2023,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7421EB59" w14:textId="77777777" w:rsidR="00BE6A2A" w:rsidRDefault="00BE6A2A" w:rsidP="00BE6A2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44EB264" w14:textId="77777777" w:rsidR="00BE6A2A" w:rsidRDefault="00BE6A2A" w:rsidP="00BE6A2A">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A1E76E0" w14:textId="77777777" w:rsidR="00BE6A2A" w:rsidRDefault="00BE6A2A" w:rsidP="00BE6A2A">
      <w:pPr>
        <w:spacing w:after="0" w:line="276" w:lineRule="auto"/>
        <w:jc w:val="both"/>
        <w:rPr>
          <w:rFonts w:ascii="Verdana" w:hAnsi="Verdana"/>
        </w:rPr>
      </w:pPr>
    </w:p>
    <w:p w14:paraId="2DC35355" w14:textId="77777777" w:rsidR="00BE6A2A" w:rsidRDefault="00BE6A2A" w:rsidP="00BE6A2A">
      <w:pPr>
        <w:spacing w:after="0" w:line="276" w:lineRule="auto"/>
        <w:jc w:val="both"/>
        <w:rPr>
          <w:rFonts w:ascii="Verdana" w:hAnsi="Verdana"/>
        </w:rPr>
      </w:pPr>
      <w:r>
        <w:rPr>
          <w:rFonts w:ascii="Verdana" w:hAnsi="Verdana"/>
        </w:rPr>
        <w:t xml:space="preserve">Twitter: </w:t>
      </w:r>
      <w:r>
        <w:rPr>
          <w:rStyle w:val="Hipervnculo"/>
          <w:rFonts w:ascii="Verdana" w:hAnsi="Verdana"/>
          <w:color w:val="156082" w:themeColor="accent1"/>
        </w:rPr>
        <w:t>@colombiacompra</w:t>
      </w:r>
      <w:r>
        <w:rPr>
          <w:rFonts w:ascii="Verdana" w:hAnsi="Verdana"/>
          <w:color w:val="156082" w:themeColor="accent1"/>
        </w:rPr>
        <w:t xml:space="preserve"> </w:t>
      </w:r>
    </w:p>
    <w:p w14:paraId="3960A332" w14:textId="77777777" w:rsidR="00BE6A2A" w:rsidRDefault="00BE6A2A" w:rsidP="00BE6A2A">
      <w:pPr>
        <w:spacing w:after="0" w:line="276" w:lineRule="auto"/>
        <w:jc w:val="both"/>
        <w:rPr>
          <w:rFonts w:ascii="Verdana" w:hAnsi="Verdana"/>
        </w:rPr>
      </w:pPr>
      <w:r>
        <w:rPr>
          <w:rFonts w:ascii="Verdana" w:hAnsi="Verdana"/>
        </w:rPr>
        <w:t xml:space="preserve">Facebook: </w:t>
      </w:r>
      <w:r>
        <w:rPr>
          <w:rStyle w:val="Hipervnculo"/>
          <w:rFonts w:ascii="Verdana" w:hAnsi="Verdana"/>
          <w:color w:val="156082" w:themeColor="accent1"/>
        </w:rPr>
        <w:t>ColombiaCompraEficiente</w:t>
      </w:r>
    </w:p>
    <w:p w14:paraId="4B617B4C" w14:textId="77777777" w:rsidR="00BE6A2A" w:rsidRDefault="00BE6A2A" w:rsidP="00BE6A2A">
      <w:pPr>
        <w:spacing w:after="0" w:line="276" w:lineRule="auto"/>
        <w:jc w:val="both"/>
        <w:rPr>
          <w:rFonts w:ascii="Verdana" w:hAnsi="Verdana"/>
        </w:rPr>
      </w:pPr>
      <w:r>
        <w:rPr>
          <w:rFonts w:ascii="Verdana" w:hAnsi="Verdana"/>
        </w:rPr>
        <w:t xml:space="preserve">LinkedIn: </w:t>
      </w:r>
      <w:r>
        <w:rPr>
          <w:rStyle w:val="Hipervnculo"/>
          <w:rFonts w:ascii="Verdana" w:hAnsi="Verdana"/>
          <w:color w:val="156082" w:themeColor="accent1"/>
        </w:rPr>
        <w:t>Agencia Nacional de Contratación Pública - Colombia Compra Eficiente</w:t>
      </w:r>
      <w:r>
        <w:rPr>
          <w:rFonts w:ascii="Verdana" w:hAnsi="Verdana"/>
          <w:color w:val="156082" w:themeColor="accent1"/>
        </w:rPr>
        <w:t xml:space="preserve"> </w:t>
      </w:r>
      <w:r>
        <w:rPr>
          <w:rFonts w:ascii="Verdana" w:hAnsi="Verdana"/>
        </w:rPr>
        <w:t xml:space="preserve">Instagram: </w:t>
      </w:r>
      <w:r>
        <w:rPr>
          <w:rStyle w:val="Hipervnculo"/>
          <w:rFonts w:ascii="Verdana" w:hAnsi="Verdana"/>
          <w:color w:val="156082" w:themeColor="accent1"/>
        </w:rPr>
        <w:t>@colombiacompraeficiente_cce</w:t>
      </w:r>
    </w:p>
    <w:p w14:paraId="75C3ED0B" w14:textId="77777777" w:rsidR="00BE6A2A" w:rsidRDefault="00BE6A2A" w:rsidP="00BE6A2A">
      <w:pPr>
        <w:widowControl w:val="0"/>
        <w:autoSpaceDE w:val="0"/>
        <w:autoSpaceDN w:val="0"/>
        <w:spacing w:after="0" w:line="276" w:lineRule="auto"/>
        <w:jc w:val="both"/>
        <w:rPr>
          <w:rFonts w:ascii="Verdana" w:hAnsi="Verdana" w:cs="Arial"/>
        </w:rPr>
      </w:pPr>
    </w:p>
    <w:p w14:paraId="7869C869" w14:textId="77777777" w:rsidR="00BE6A2A" w:rsidRDefault="00BE6A2A" w:rsidP="00BE6A2A">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0D3A6972" w14:textId="77777777" w:rsidR="00BE6A2A" w:rsidRDefault="00BE6A2A" w:rsidP="00BE6A2A">
      <w:pPr>
        <w:widowControl w:val="0"/>
        <w:autoSpaceDE w:val="0"/>
        <w:autoSpaceDN w:val="0"/>
        <w:spacing w:after="0" w:line="276" w:lineRule="auto"/>
        <w:jc w:val="both"/>
        <w:rPr>
          <w:rFonts w:ascii="Verdana" w:hAnsi="Verdana" w:cs="Arial"/>
        </w:rPr>
      </w:pPr>
    </w:p>
    <w:p w14:paraId="14EBF34A" w14:textId="77777777" w:rsidR="00BE6A2A" w:rsidRPr="00593A5F" w:rsidRDefault="00BE6A2A" w:rsidP="00BE6A2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AE10C30" w14:textId="7A3FA9A1" w:rsidR="00BE6A2A" w:rsidRDefault="00CB1E0E" w:rsidP="00BE6A2A">
      <w:pPr>
        <w:spacing w:after="0" w:line="276" w:lineRule="auto"/>
        <w:jc w:val="center"/>
        <w:rPr>
          <w:rFonts w:ascii="Verdana" w:hAnsi="Verdana"/>
          <w:lang w:val="es-ES_tradnl"/>
        </w:rPr>
      </w:pPr>
      <w:r>
        <w:rPr>
          <w:rFonts w:ascii="Verdana" w:hAnsi="Verdana"/>
          <w:noProof/>
          <w:lang w:val="es-ES_tradnl"/>
          <w14:ligatures w14:val="standardContextual"/>
        </w:rPr>
        <w:drawing>
          <wp:inline distT="0" distB="0" distL="0" distR="0" wp14:anchorId="775B6F22" wp14:editId="242186AE">
            <wp:extent cx="3639058" cy="1343212"/>
            <wp:effectExtent l="0" t="0" r="0" b="0"/>
            <wp:docPr id="4992154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15440"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E6A2A" w:rsidRPr="00D53651" w14:paraId="70357258" w14:textId="77777777">
        <w:trPr>
          <w:trHeight w:val="315"/>
        </w:trPr>
        <w:tc>
          <w:tcPr>
            <w:tcW w:w="893" w:type="dxa"/>
            <w:vAlign w:val="center"/>
            <w:hideMark/>
          </w:tcPr>
          <w:p w14:paraId="669D7104" w14:textId="77777777" w:rsidR="00BE6A2A" w:rsidRPr="00D53651" w:rsidRDefault="00BE6A2A">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41058FA7" w14:textId="77777777" w:rsidR="00BE6A2A" w:rsidRPr="00D53651" w:rsidRDefault="00BE6A2A">
            <w:pPr>
              <w:spacing w:line="276" w:lineRule="auto"/>
              <w:jc w:val="both"/>
              <w:rPr>
                <w:rFonts w:ascii="Verdana" w:hAnsi="Verdana"/>
                <w:sz w:val="16"/>
                <w:szCs w:val="16"/>
              </w:rPr>
            </w:pPr>
            <w:r>
              <w:rPr>
                <w:rFonts w:ascii="Verdana" w:hAnsi="Verdana"/>
                <w:sz w:val="16"/>
                <w:szCs w:val="16"/>
              </w:rPr>
              <w:t>Gloria Elizabeth Arango Builes</w:t>
            </w:r>
          </w:p>
          <w:p w14:paraId="0D64D469" w14:textId="77777777" w:rsidR="00BE6A2A" w:rsidRPr="00D53651" w:rsidRDefault="00BE6A2A">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BE6A2A" w:rsidRPr="00D53651" w14:paraId="6674C91F" w14:textId="77777777">
        <w:trPr>
          <w:trHeight w:val="330"/>
        </w:trPr>
        <w:tc>
          <w:tcPr>
            <w:tcW w:w="893" w:type="dxa"/>
            <w:vAlign w:val="center"/>
            <w:hideMark/>
          </w:tcPr>
          <w:p w14:paraId="4D708EA2" w14:textId="77777777" w:rsidR="00BE6A2A" w:rsidRPr="00D53651" w:rsidRDefault="00BE6A2A">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721CAFA5" w14:textId="77777777" w:rsidR="00BE6A2A" w:rsidRPr="00BF7DC1" w:rsidRDefault="00BE6A2A">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Adriana Katerine López Rodríguez</w:t>
            </w:r>
          </w:p>
          <w:p w14:paraId="518B4221" w14:textId="77777777" w:rsidR="00BE6A2A" w:rsidRPr="00D53651" w:rsidRDefault="00BE6A2A">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BE6A2A" w:rsidRPr="00D53651" w14:paraId="69672102" w14:textId="77777777">
        <w:trPr>
          <w:trHeight w:val="300"/>
        </w:trPr>
        <w:tc>
          <w:tcPr>
            <w:tcW w:w="893" w:type="dxa"/>
            <w:vAlign w:val="center"/>
            <w:hideMark/>
          </w:tcPr>
          <w:p w14:paraId="2954A200" w14:textId="77777777" w:rsidR="00BE6A2A" w:rsidRPr="00D53651" w:rsidRDefault="00BE6A2A">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2ED79784" w14:textId="77777777" w:rsidR="00BE6A2A" w:rsidRPr="00D53651" w:rsidRDefault="00BE6A2A">
            <w:pPr>
              <w:spacing w:line="276" w:lineRule="auto"/>
              <w:jc w:val="both"/>
              <w:rPr>
                <w:rFonts w:ascii="Verdana" w:hAnsi="Verdana"/>
                <w:sz w:val="16"/>
                <w:szCs w:val="16"/>
                <w:lang w:val="pt-BR"/>
              </w:rPr>
            </w:pPr>
            <w:r w:rsidRPr="00D53651">
              <w:rPr>
                <w:rFonts w:ascii="Verdana" w:hAnsi="Verdana"/>
                <w:sz w:val="16"/>
                <w:szCs w:val="16"/>
                <w:lang w:val="pt-BR"/>
              </w:rPr>
              <w:t>Carolina Quintero Gacharná</w:t>
            </w:r>
          </w:p>
          <w:p w14:paraId="1FDC81AA" w14:textId="77777777" w:rsidR="00BE6A2A" w:rsidRPr="00D53651" w:rsidRDefault="00BE6A2A">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46A4A28" w14:textId="77777777" w:rsidR="00BE6A2A" w:rsidRDefault="00BE6A2A" w:rsidP="00BE6A2A">
      <w:pPr>
        <w:rPr>
          <w:noProof/>
        </w:rPr>
      </w:pPr>
    </w:p>
    <w:p w14:paraId="6CABA0BE" w14:textId="115F5539" w:rsidR="00BE6A2A" w:rsidRDefault="00BE6A2A" w:rsidP="00BE6A2A"/>
    <w:p w14:paraId="0F428C6B" w14:textId="77777777" w:rsidR="00BE6A2A" w:rsidRPr="000931E9" w:rsidRDefault="00BE6A2A" w:rsidP="00BE6A2A"/>
    <w:p w14:paraId="07118DDC" w14:textId="77777777" w:rsidR="00BE6A2A" w:rsidRPr="0044528D" w:rsidRDefault="00BE6A2A" w:rsidP="00BE6A2A">
      <w:pPr>
        <w:spacing w:after="0"/>
        <w:rPr>
          <w:rFonts w:ascii="Verdana" w:hAnsi="Verdana"/>
        </w:rPr>
      </w:pPr>
    </w:p>
    <w:sectPr w:rsidR="00BE6A2A" w:rsidRPr="0044528D" w:rsidSect="00BE6A2A">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14D96" w14:textId="77777777" w:rsidR="0088008B" w:rsidRDefault="0088008B" w:rsidP="00BE6A2A">
      <w:pPr>
        <w:spacing w:after="0" w:line="240" w:lineRule="auto"/>
      </w:pPr>
      <w:r>
        <w:separator/>
      </w:r>
    </w:p>
  </w:endnote>
  <w:endnote w:type="continuationSeparator" w:id="0">
    <w:p w14:paraId="5C3359F8" w14:textId="77777777" w:rsidR="0088008B" w:rsidRDefault="0088008B" w:rsidP="00BE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charset w:val="00"/>
    <w:family w:val="swiss"/>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B3C2" w14:textId="77777777" w:rsidR="001B45D1" w:rsidRDefault="001B45D1">
    <w:pPr>
      <w:pStyle w:val="Piedepgina"/>
    </w:pPr>
  </w:p>
  <w:p w14:paraId="2417E3BC" w14:textId="77777777" w:rsidR="001B45D1" w:rsidRPr="00174B77" w:rsidRDefault="0000000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38856FF" w14:textId="77777777" w:rsidR="001B45D1" w:rsidRDefault="00000000">
    <w:pPr>
      <w:spacing w:after="0"/>
      <w:jc w:val="both"/>
      <w:rPr>
        <w:rFonts w:ascii="Verdana" w:hAnsi="Verdana"/>
        <w:sz w:val="18"/>
        <w:szCs w:val="18"/>
      </w:rPr>
    </w:pPr>
    <w:r w:rsidRPr="00E41027">
      <w:rPr>
        <w:rFonts w:ascii="Verdana" w:hAnsi="Verdana"/>
        <w:sz w:val="18"/>
        <w:szCs w:val="18"/>
      </w:rPr>
      <w:t>Dirección: Carrera 7 # 26 – 20 - Bogotá, Colombia</w:t>
    </w:r>
  </w:p>
  <w:p w14:paraId="607E5B36" w14:textId="77777777" w:rsidR="001B45D1" w:rsidRPr="00E41027" w:rsidRDefault="00000000">
    <w:pPr>
      <w:spacing w:after="0"/>
      <w:jc w:val="both"/>
      <w:rPr>
        <w:rFonts w:ascii="Verdana" w:hAnsi="Verdana"/>
        <w:sz w:val="18"/>
        <w:szCs w:val="18"/>
      </w:rPr>
    </w:pPr>
    <w:r w:rsidRPr="00E41027">
      <w:rPr>
        <w:rFonts w:ascii="Verdana" w:hAnsi="Verdana"/>
        <w:sz w:val="18"/>
        <w:szCs w:val="18"/>
      </w:rPr>
      <w:t>Mesa de servicio: (+57) 601 7456788</w:t>
    </w:r>
  </w:p>
  <w:p w14:paraId="6A7E1A01" w14:textId="77777777" w:rsidR="001B45D1" w:rsidRDefault="00000000">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C08FF" w14:textId="77777777" w:rsidR="0088008B" w:rsidRDefault="0088008B" w:rsidP="00BE6A2A">
      <w:pPr>
        <w:spacing w:after="0" w:line="240" w:lineRule="auto"/>
      </w:pPr>
      <w:r>
        <w:separator/>
      </w:r>
    </w:p>
  </w:footnote>
  <w:footnote w:type="continuationSeparator" w:id="0">
    <w:p w14:paraId="32268A1C" w14:textId="77777777" w:rsidR="0088008B" w:rsidRDefault="0088008B" w:rsidP="00BE6A2A">
      <w:pPr>
        <w:spacing w:after="0" w:line="240" w:lineRule="auto"/>
      </w:pPr>
      <w:r>
        <w:continuationSeparator/>
      </w:r>
    </w:p>
  </w:footnote>
  <w:footnote w:id="1">
    <w:p w14:paraId="604FD71B" w14:textId="77777777" w:rsidR="00BE6A2A" w:rsidRPr="00C05384" w:rsidRDefault="00BE6A2A" w:rsidP="00BE6A2A">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71FC0537" w14:textId="77777777" w:rsidR="00BE6A2A" w:rsidRPr="00C05384" w:rsidRDefault="00BE6A2A" w:rsidP="00BE6A2A">
      <w:pPr>
        <w:pStyle w:val="Textonotapie"/>
        <w:ind w:firstLine="709"/>
        <w:jc w:val="both"/>
        <w:rPr>
          <w:rFonts w:ascii="Verdana" w:hAnsi="Verdana" w:cs="Arial"/>
          <w:sz w:val="16"/>
          <w:szCs w:val="16"/>
        </w:rPr>
      </w:pPr>
    </w:p>
  </w:footnote>
  <w:footnote w:id="2">
    <w:p w14:paraId="6C610A16" w14:textId="77777777" w:rsidR="00BE6A2A" w:rsidRDefault="00BE6A2A" w:rsidP="00BE6A2A">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p w14:paraId="61CCD89D" w14:textId="77777777" w:rsidR="00BE6A2A" w:rsidRPr="00C05384" w:rsidRDefault="00BE6A2A" w:rsidP="00BE6A2A">
      <w:pPr>
        <w:pStyle w:val="Textonotapie"/>
        <w:ind w:firstLine="709"/>
        <w:jc w:val="both"/>
        <w:rPr>
          <w:rFonts w:ascii="Verdana" w:hAnsi="Verdana" w:cs="Arial"/>
          <w:sz w:val="16"/>
          <w:szCs w:val="16"/>
          <w:lang w:val="pt-BR"/>
        </w:rPr>
      </w:pPr>
    </w:p>
  </w:footnote>
  <w:footnote w:id="3">
    <w:p w14:paraId="0A9EEB29" w14:textId="77777777" w:rsidR="00BE6A2A" w:rsidRDefault="00BE6A2A" w:rsidP="00BE6A2A">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DB03B7F" w14:textId="77777777" w:rsidR="00BE6A2A" w:rsidRPr="00C05384" w:rsidRDefault="00BE6A2A" w:rsidP="00BE6A2A">
      <w:pPr>
        <w:pStyle w:val="Textonotapie"/>
        <w:ind w:firstLine="709"/>
        <w:jc w:val="both"/>
        <w:rPr>
          <w:rFonts w:ascii="Verdana" w:hAnsi="Verdana" w:cs="Arial"/>
          <w:sz w:val="16"/>
          <w:szCs w:val="16"/>
          <w:lang w:val="pt-BR"/>
        </w:rPr>
      </w:pPr>
    </w:p>
  </w:footnote>
  <w:footnote w:id="4">
    <w:p w14:paraId="3CE72212" w14:textId="77777777" w:rsidR="00BE6A2A" w:rsidRDefault="00BE6A2A" w:rsidP="00BE6A2A">
      <w:pPr>
        <w:pStyle w:val="Textonotapie"/>
        <w:ind w:firstLine="709"/>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A12E974" w14:textId="77777777" w:rsidR="00BE6A2A" w:rsidRPr="00C05384" w:rsidRDefault="00BE6A2A" w:rsidP="00BE6A2A">
      <w:pPr>
        <w:pStyle w:val="Textonotapie"/>
        <w:ind w:firstLine="709"/>
        <w:jc w:val="both"/>
        <w:rPr>
          <w:rFonts w:ascii="Verdana" w:hAnsi="Verdana" w:cs="Arial"/>
          <w:sz w:val="16"/>
          <w:szCs w:val="16"/>
          <w:lang w:val="es-CO"/>
        </w:rPr>
      </w:pPr>
    </w:p>
  </w:footnote>
  <w:footnote w:id="5">
    <w:p w14:paraId="1292C39C" w14:textId="77777777" w:rsidR="00BE6A2A" w:rsidRDefault="00BE6A2A" w:rsidP="00BE6A2A">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p w14:paraId="2367018E" w14:textId="77777777" w:rsidR="00BE6A2A" w:rsidRPr="00C05384" w:rsidRDefault="00BE6A2A" w:rsidP="00BE6A2A">
      <w:pPr>
        <w:pStyle w:val="Textonotapie"/>
        <w:ind w:firstLine="709"/>
        <w:jc w:val="both"/>
        <w:rPr>
          <w:rFonts w:ascii="Verdana" w:hAnsi="Verdana" w:cs="Arial"/>
          <w:sz w:val="16"/>
          <w:szCs w:val="16"/>
        </w:rPr>
      </w:pPr>
    </w:p>
  </w:footnote>
  <w:footnote w:id="6">
    <w:p w14:paraId="41B35BCF" w14:textId="77777777" w:rsidR="00BE6A2A" w:rsidRDefault="00BE6A2A" w:rsidP="00BE6A2A">
      <w:pPr>
        <w:pStyle w:val="Textonotapie"/>
        <w:ind w:firstLine="709"/>
        <w:jc w:val="both"/>
        <w:rPr>
          <w:rFonts w:ascii="Verdana" w:hAnsi="Verdana"/>
          <w:sz w:val="16"/>
          <w:szCs w:val="16"/>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p w14:paraId="18D5E905" w14:textId="77777777" w:rsidR="00BE6A2A" w:rsidRPr="00062DE6" w:rsidRDefault="00BE6A2A" w:rsidP="00BE6A2A">
      <w:pPr>
        <w:pStyle w:val="Textonotapie"/>
        <w:ind w:firstLine="709"/>
        <w:jc w:val="both"/>
        <w:rPr>
          <w:rFonts w:ascii="Verdana" w:hAnsi="Verdana"/>
          <w:sz w:val="16"/>
          <w:szCs w:val="16"/>
          <w:lang w:val="es-ES"/>
        </w:rPr>
      </w:pPr>
    </w:p>
  </w:footnote>
  <w:footnote w:id="7">
    <w:p w14:paraId="61592FF8" w14:textId="77777777" w:rsidR="00BE6A2A" w:rsidRDefault="00BE6A2A" w:rsidP="00BE6A2A">
      <w:pPr>
        <w:spacing w:after="0" w:line="240" w:lineRule="auto"/>
        <w:ind w:left="100" w:right="244" w:firstLine="709"/>
        <w:jc w:val="both"/>
        <w:rPr>
          <w:rFonts w:ascii="Verdana" w:hAnsi="Verdana" w:cs="Arial"/>
          <w:sz w:val="16"/>
          <w:szCs w:val="16"/>
        </w:rPr>
      </w:pPr>
      <w:r w:rsidRPr="009B67C2">
        <w:rPr>
          <w:rStyle w:val="Refdenotaalpie"/>
          <w:rFonts w:ascii="Verdana" w:hAnsi="Verdana" w:cs="Arial"/>
          <w:sz w:val="16"/>
          <w:szCs w:val="16"/>
        </w:rPr>
        <w:footnoteRef/>
      </w:r>
      <w:r w:rsidRPr="009B67C2">
        <w:rPr>
          <w:rFonts w:ascii="Verdana" w:hAnsi="Verdana" w:cs="Arial"/>
          <w:sz w:val="16"/>
          <w:szCs w:val="16"/>
        </w:rPr>
        <w:t xml:space="preserve"> Consejo de Estado. Sala de Consulta y Servicio Civil. Concepto del 17 de febrero de 2015. C.P. William Zambrano Cetina. Radicación No. 11001-03-06-000-2015-00164-00(2269).</w:t>
      </w:r>
    </w:p>
    <w:p w14:paraId="35921E0D" w14:textId="77777777" w:rsidR="00BE6A2A" w:rsidRPr="00062DE6" w:rsidRDefault="00BE6A2A" w:rsidP="00BE6A2A">
      <w:pPr>
        <w:spacing w:after="0" w:line="240" w:lineRule="auto"/>
        <w:ind w:left="100" w:right="244" w:firstLine="709"/>
        <w:jc w:val="both"/>
        <w:rPr>
          <w:rFonts w:ascii="Verdana" w:hAnsi="Verdana" w:cs="Arial"/>
          <w:sz w:val="16"/>
          <w:szCs w:val="16"/>
          <w:lang w:val="es-ES"/>
        </w:rPr>
      </w:pPr>
    </w:p>
  </w:footnote>
  <w:footnote w:id="8">
    <w:p w14:paraId="4197B436" w14:textId="77777777" w:rsidR="00BE6A2A" w:rsidRDefault="00BE6A2A" w:rsidP="00BE6A2A">
      <w:pPr>
        <w:pStyle w:val="Textonotapie"/>
        <w:ind w:firstLine="709"/>
        <w:jc w:val="both"/>
        <w:rPr>
          <w:rFonts w:ascii="Verdana" w:hAnsi="Verdana"/>
          <w:sz w:val="16"/>
          <w:szCs w:val="16"/>
        </w:rPr>
      </w:pPr>
      <w:r w:rsidRPr="009B67C2">
        <w:rPr>
          <w:rStyle w:val="Refdenotaalpie"/>
          <w:rFonts w:ascii="Verdana" w:hAnsi="Verdana"/>
          <w:sz w:val="16"/>
          <w:szCs w:val="16"/>
        </w:rPr>
        <w:footnoteRef/>
      </w:r>
      <w:r w:rsidRPr="009B67C2">
        <w:rPr>
          <w:rFonts w:ascii="Verdana" w:hAnsi="Verdana"/>
          <w:sz w:val="16"/>
          <w:szCs w:val="16"/>
        </w:rPr>
        <w:t xml:space="preserve"> </w:t>
      </w:r>
      <w:hyperlink r:id="rId1" w:history="1">
        <w:r w:rsidRPr="009B67C2">
          <w:rPr>
            <w:rStyle w:val="Hipervnculo"/>
            <w:rFonts w:ascii="Verdana" w:hAnsi="Verdana"/>
            <w:sz w:val="16"/>
            <w:szCs w:val="16"/>
          </w:rPr>
          <w:t>https://www.colombiacompra.gov.co/wp-content/uploads/2024/08/circular_externa_unica_version_3_vf49-1.pdf</w:t>
        </w:r>
      </w:hyperlink>
      <w:r w:rsidRPr="009B67C2">
        <w:rPr>
          <w:rFonts w:ascii="Verdana" w:hAnsi="Verdana"/>
          <w:sz w:val="16"/>
          <w:szCs w:val="16"/>
        </w:rPr>
        <w:t xml:space="preserve"> </w:t>
      </w:r>
    </w:p>
    <w:p w14:paraId="73E94D23" w14:textId="77777777" w:rsidR="00BE6A2A" w:rsidRPr="00062DE6" w:rsidRDefault="00BE6A2A" w:rsidP="00BE6A2A">
      <w:pPr>
        <w:pStyle w:val="Textonotapie"/>
        <w:ind w:firstLine="709"/>
        <w:jc w:val="both"/>
        <w:rPr>
          <w:rFonts w:ascii="Verdana" w:hAnsi="Verdana"/>
          <w:sz w:val="16"/>
          <w:szCs w:val="16"/>
          <w:lang w:val="es-ES"/>
        </w:rPr>
      </w:pPr>
    </w:p>
  </w:footnote>
  <w:footnote w:id="9">
    <w:p w14:paraId="58412988" w14:textId="77777777" w:rsidR="00BE6A2A" w:rsidRPr="00790F02" w:rsidRDefault="00BE6A2A" w:rsidP="00BE6A2A">
      <w:pPr>
        <w:pStyle w:val="NormalWeb"/>
        <w:spacing w:before="0" w:beforeAutospacing="0" w:after="0" w:afterAutospacing="0"/>
        <w:ind w:firstLine="708"/>
        <w:jc w:val="both"/>
        <w:rPr>
          <w:rFonts w:ascii="Verdana" w:hAnsi="Verdana" w:cs="Open Sans"/>
          <w:sz w:val="16"/>
          <w:szCs w:val="16"/>
        </w:rPr>
      </w:pPr>
      <w:r w:rsidRPr="00790F02">
        <w:rPr>
          <w:rStyle w:val="Refdenotaalpie"/>
          <w:rFonts w:ascii="Verdana" w:eastAsiaTheme="majorEastAsia" w:hAnsi="Verdana"/>
          <w:sz w:val="16"/>
          <w:szCs w:val="16"/>
        </w:rPr>
        <w:footnoteRef/>
      </w:r>
      <w:r w:rsidRPr="00790F02">
        <w:rPr>
          <w:rFonts w:ascii="Verdana" w:hAnsi="Verdana"/>
          <w:sz w:val="16"/>
          <w:szCs w:val="16"/>
        </w:rPr>
        <w:t xml:space="preserve"> </w:t>
      </w:r>
      <w:bookmarkStart w:id="3" w:name="57"/>
      <w:r w:rsidRPr="00790F02">
        <w:rPr>
          <w:rFonts w:ascii="Verdana" w:hAnsi="Verdana"/>
          <w:sz w:val="16"/>
          <w:szCs w:val="16"/>
        </w:rPr>
        <w:t xml:space="preserve">Artículo 57. </w:t>
      </w:r>
      <w:r w:rsidRPr="00790F02">
        <w:rPr>
          <w:rFonts w:ascii="Verdana" w:hAnsi="Verdana" w:cs="Open Sans"/>
          <w:b/>
          <w:bCs/>
          <w:sz w:val="16"/>
          <w:szCs w:val="16"/>
        </w:rPr>
        <w:t> </w:t>
      </w:r>
      <w:bookmarkEnd w:id="3"/>
      <w:r w:rsidRPr="00790F02">
        <w:rPr>
          <w:rFonts w:ascii="Verdana" w:hAnsi="Verdana" w:cs="Open Sans"/>
          <w:sz w:val="16"/>
          <w:szCs w:val="16"/>
        </w:rPr>
        <w:t>Las universidades estatales u oficiales deben organizarse como entes universitarios autónomos, con régimen especial y vinculados al Ministerio de Educación Nacional en lo que se refiere a las políticas y la planeación del sector educativo.</w:t>
      </w:r>
    </w:p>
    <w:p w14:paraId="56E31CF3" w14:textId="77777777" w:rsidR="00BE6A2A" w:rsidRPr="00790F02" w:rsidRDefault="00BE6A2A" w:rsidP="00BE6A2A">
      <w:pPr>
        <w:pStyle w:val="NormalWeb"/>
        <w:spacing w:before="0" w:beforeAutospacing="0" w:after="0" w:afterAutospacing="0"/>
        <w:jc w:val="both"/>
        <w:rPr>
          <w:rFonts w:ascii="Verdana" w:hAnsi="Verdana" w:cs="Open Sans"/>
          <w:sz w:val="16"/>
          <w:szCs w:val="16"/>
        </w:rPr>
      </w:pPr>
      <w:r w:rsidRPr="00790F02">
        <w:rPr>
          <w:rFonts w:ascii="Verdana" w:hAnsi="Verdana" w:cs="Open Sans"/>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61DA683F" w14:textId="77777777" w:rsidR="00BE6A2A" w:rsidRPr="00790F02" w:rsidRDefault="00BE6A2A" w:rsidP="00BE6A2A">
      <w:pPr>
        <w:pStyle w:val="NormalWeb"/>
        <w:spacing w:before="0" w:beforeAutospacing="0" w:after="0" w:afterAutospacing="0"/>
        <w:jc w:val="both"/>
        <w:rPr>
          <w:rFonts w:ascii="Verdana" w:hAnsi="Verdana" w:cs="Open Sans"/>
          <w:sz w:val="16"/>
          <w:szCs w:val="16"/>
        </w:rPr>
      </w:pPr>
      <w:r w:rsidRPr="00790F02">
        <w:rPr>
          <w:rFonts w:ascii="Verdana" w:hAnsi="Verdana" w:cs="Open Sans"/>
          <w:sz w:val="16"/>
          <w:szCs w:val="16"/>
        </w:rPr>
        <w:t>&lt;Inciso modificado por el artículo  </w:t>
      </w:r>
      <w:hyperlink r:id="rId2" w:anchor="1" w:history="1">
        <w:r w:rsidRPr="00790F02">
          <w:rPr>
            <w:rStyle w:val="Hipervnculo"/>
            <w:rFonts w:ascii="Verdana" w:hAnsi="Verdana" w:cs="Open Sans"/>
            <w:sz w:val="16"/>
            <w:szCs w:val="16"/>
          </w:rPr>
          <w:t>1</w:t>
        </w:r>
      </w:hyperlink>
      <w:r w:rsidRPr="00790F02">
        <w:rPr>
          <w:rFonts w:ascii="Verdana" w:hAnsi="Verdana" w:cs="Open Sans"/>
          <w:sz w:val="16"/>
          <w:szCs w:val="16"/>
        </w:rPr>
        <w:t xml:space="preserve"> de la ley 647 de 2001. El nuevo texto es el siguiente:&gt; 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w:t>
      </w:r>
      <w:proofErr w:type="gramStart"/>
      <w:r w:rsidRPr="00790F02">
        <w:rPr>
          <w:rFonts w:ascii="Verdana" w:hAnsi="Verdana" w:cs="Open Sans"/>
          <w:sz w:val="16"/>
          <w:szCs w:val="16"/>
        </w:rPr>
        <w:t>ley .</w:t>
      </w:r>
      <w:proofErr w:type="gramEnd"/>
      <w:r w:rsidRPr="00790F02">
        <w:rPr>
          <w:rFonts w:ascii="Verdana" w:hAnsi="Verdana" w:cs="Open Sans"/>
          <w:sz w:val="16"/>
          <w:szCs w:val="16"/>
        </w:rPr>
        <w:t xml:space="preserve"> […]</w:t>
      </w:r>
    </w:p>
    <w:p w14:paraId="12DE2E27" w14:textId="77777777" w:rsidR="00BE6A2A" w:rsidRPr="00790F02" w:rsidRDefault="00BE6A2A" w:rsidP="00BE6A2A">
      <w:pPr>
        <w:pStyle w:val="Textonotapie"/>
        <w:rPr>
          <w:rFonts w:ascii="Verdana" w:hAnsi="Verdana"/>
          <w:sz w:val="16"/>
          <w:szCs w:val="16"/>
          <w:lang w:val="es-ES"/>
        </w:rPr>
      </w:pPr>
    </w:p>
  </w:footnote>
  <w:footnote w:id="10">
    <w:p w14:paraId="709D4BE8" w14:textId="77777777" w:rsidR="00BE6A2A" w:rsidRPr="00442540" w:rsidRDefault="00BE6A2A" w:rsidP="00BE6A2A">
      <w:pPr>
        <w:pStyle w:val="Textonotapie"/>
        <w:ind w:firstLine="708"/>
        <w:jc w:val="both"/>
        <w:rPr>
          <w:rFonts w:ascii="Verdana" w:hAnsi="Verdana"/>
          <w:sz w:val="16"/>
          <w:szCs w:val="16"/>
          <w:lang w:val="es-ES"/>
        </w:rPr>
      </w:pPr>
      <w:r w:rsidRPr="00790F02">
        <w:rPr>
          <w:rStyle w:val="Refdenotaalpie"/>
          <w:rFonts w:ascii="Verdana" w:hAnsi="Verdana"/>
          <w:sz w:val="16"/>
          <w:szCs w:val="16"/>
        </w:rPr>
        <w:footnoteRef/>
      </w:r>
      <w:r w:rsidRPr="00790F02">
        <w:rPr>
          <w:rFonts w:ascii="Verdana" w:hAnsi="Verdana"/>
          <w:sz w:val="16"/>
          <w:szCs w:val="16"/>
        </w:rPr>
        <w:t xml:space="preserve"> </w:t>
      </w:r>
      <w:r w:rsidRPr="00790F02">
        <w:rPr>
          <w:rFonts w:ascii="Verdana" w:hAnsi="Verdana"/>
          <w:sz w:val="16"/>
          <w:szCs w:val="16"/>
          <w:lang w:val="es-ES"/>
        </w:rPr>
        <w:t xml:space="preserve">Artículo 93. </w:t>
      </w:r>
      <w:r w:rsidRPr="00442540">
        <w:rPr>
          <w:rFonts w:ascii="Verdana" w:hAnsi="Verdana" w:cs="Open Sans"/>
          <w:sz w:val="16"/>
          <w:szCs w:val="16"/>
        </w:rPr>
        <w:t>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 […]</w:t>
      </w:r>
    </w:p>
  </w:footnote>
  <w:footnote w:id="11">
    <w:p w14:paraId="5D75F6E5" w14:textId="77777777" w:rsidR="00BE6A2A" w:rsidRDefault="00BE6A2A" w:rsidP="00BE6A2A">
      <w:pPr>
        <w:pStyle w:val="Textonotapie"/>
        <w:jc w:val="both"/>
        <w:rPr>
          <w:rFonts w:ascii="Verdana" w:hAnsi="Verdana"/>
          <w:sz w:val="16"/>
          <w:szCs w:val="16"/>
        </w:rPr>
      </w:pPr>
    </w:p>
    <w:p w14:paraId="118D9386" w14:textId="77777777" w:rsidR="00BE6A2A" w:rsidRDefault="00BE6A2A" w:rsidP="00BE6A2A">
      <w:pPr>
        <w:pStyle w:val="Textonotapie"/>
        <w:ind w:firstLine="708"/>
        <w:jc w:val="both"/>
        <w:rPr>
          <w:rFonts w:ascii="Verdana" w:hAnsi="Verdana"/>
          <w:sz w:val="16"/>
          <w:szCs w:val="16"/>
        </w:rPr>
      </w:pPr>
      <w:r w:rsidRPr="00442540">
        <w:rPr>
          <w:rStyle w:val="Refdenotaalpie"/>
          <w:rFonts w:ascii="Verdana" w:hAnsi="Verdana"/>
          <w:sz w:val="16"/>
          <w:szCs w:val="16"/>
        </w:rPr>
        <w:footnoteRef/>
      </w:r>
      <w:r w:rsidRPr="00442540">
        <w:rPr>
          <w:rFonts w:ascii="Verdana" w:hAnsi="Verdana"/>
          <w:sz w:val="16"/>
          <w:szCs w:val="16"/>
        </w:rPr>
        <w:t xml:space="preserve"> ARTICULO 40. ENTIDADES Y ORGANISMOS ESTATALES SUJETOS A REGIMEN ESPECIAL. </w:t>
      </w:r>
      <w:r w:rsidRPr="00442540">
        <w:rPr>
          <w:rFonts w:ascii="Verdana" w:hAnsi="Verdana"/>
          <w:sz w:val="16"/>
          <w:szCs w:val="16"/>
        </w:rPr>
        <w:t>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7F613778" w14:textId="77777777" w:rsidR="00BE6A2A" w:rsidRPr="00B47B8B" w:rsidRDefault="00BE6A2A" w:rsidP="00BE6A2A">
      <w:pPr>
        <w:pStyle w:val="Textonotapie"/>
        <w:ind w:firstLine="708"/>
        <w:jc w:val="both"/>
        <w:rPr>
          <w:rFonts w:ascii="Verdana" w:hAnsi="Verdana"/>
          <w:sz w:val="16"/>
          <w:szCs w:val="16"/>
          <w:lang w:val="es-ES"/>
        </w:rPr>
      </w:pPr>
    </w:p>
  </w:footnote>
  <w:footnote w:id="12">
    <w:p w14:paraId="4F99F4D9" w14:textId="77777777" w:rsidR="00BE6A2A" w:rsidRDefault="00BE6A2A" w:rsidP="00BE6A2A">
      <w:pPr>
        <w:pStyle w:val="Textonotapie"/>
        <w:ind w:firstLine="708"/>
        <w:rPr>
          <w:rFonts w:ascii="Verdana" w:hAnsi="Verdana"/>
          <w:sz w:val="16"/>
          <w:szCs w:val="16"/>
        </w:rPr>
      </w:pPr>
      <w:r w:rsidRPr="00B47B8B">
        <w:rPr>
          <w:rStyle w:val="Refdenotaalpie"/>
          <w:rFonts w:ascii="Verdana" w:hAnsi="Verdana"/>
          <w:sz w:val="16"/>
          <w:szCs w:val="16"/>
        </w:rPr>
        <w:footnoteRef/>
      </w:r>
      <w:r w:rsidRPr="00B47B8B">
        <w:rPr>
          <w:rFonts w:ascii="Verdana" w:hAnsi="Verdana"/>
          <w:sz w:val="16"/>
          <w:szCs w:val="16"/>
        </w:rPr>
        <w:t xml:space="preserve"> CONSEJO DE ESTADO. Sección Cuarta. Sentencia del 16 de diciembre de 2008. Exp. 16.297. C.P. Martha Teresa Briceño de Valencia</w:t>
      </w:r>
      <w:r>
        <w:rPr>
          <w:rFonts w:ascii="Verdana" w:hAnsi="Verdana"/>
          <w:sz w:val="16"/>
          <w:szCs w:val="16"/>
        </w:rPr>
        <w:t xml:space="preserve">. </w:t>
      </w:r>
    </w:p>
    <w:p w14:paraId="60530538" w14:textId="77777777" w:rsidR="00BE6A2A" w:rsidRPr="00B47B8B" w:rsidRDefault="00BE6A2A" w:rsidP="00BE6A2A">
      <w:pPr>
        <w:pStyle w:val="Textonotapie"/>
        <w:ind w:firstLine="708"/>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5B0A" w14:textId="77777777" w:rsidR="001B45D1" w:rsidRDefault="00000000">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C147B09" wp14:editId="58C0B90C">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487E4B6" wp14:editId="1C5E14C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CC641E1" w14:textId="77777777" w:rsidR="001B45D1" w:rsidRDefault="001B45D1">
    <w:pPr>
      <w:pStyle w:val="Encabezado"/>
    </w:pPr>
  </w:p>
  <w:p w14:paraId="5CDA5E3B" w14:textId="77777777" w:rsidR="001B45D1" w:rsidRPr="004A305D" w:rsidRDefault="001B45D1">
    <w:pPr>
      <w:spacing w:after="0" w:line="120" w:lineRule="auto"/>
      <w:rPr>
        <w:rFonts w:ascii="Century Gothic" w:eastAsia="Geo" w:hAnsi="Century Gothic" w:cs="Geo"/>
        <w:sz w:val="16"/>
        <w:szCs w:val="16"/>
        <w:lang w:eastAsia="es-CO"/>
      </w:rPr>
    </w:pPr>
  </w:p>
  <w:p w14:paraId="405DE343" w14:textId="77777777" w:rsidR="001B45D1" w:rsidRDefault="001B45D1">
    <w:pPr>
      <w:spacing w:after="0" w:line="240" w:lineRule="auto"/>
      <w:rPr>
        <w:rFonts w:ascii="Verdana" w:hAnsi="Verdana"/>
        <w:sz w:val="24"/>
        <w:szCs w:val="24"/>
      </w:rPr>
    </w:pPr>
  </w:p>
  <w:p w14:paraId="6CE45568" w14:textId="77777777" w:rsidR="001B45D1" w:rsidRPr="00C925AC" w:rsidRDefault="001B45D1">
    <w:pPr>
      <w:spacing w:after="0" w:line="240" w:lineRule="auto"/>
      <w:rPr>
        <w:rFonts w:ascii="Verdana" w:hAnsi="Verdana"/>
        <w:sz w:val="24"/>
        <w:szCs w:val="24"/>
      </w:rPr>
    </w:pPr>
  </w:p>
  <w:p w14:paraId="0EAD6F58" w14:textId="77777777" w:rsidR="001B45D1" w:rsidRPr="00C925AC" w:rsidRDefault="00000000">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70257115">
    <w:abstractNumId w:val="0"/>
  </w:num>
  <w:num w:numId="2" w16cid:durableId="1197237069">
    <w:abstractNumId w:val="1"/>
  </w:num>
  <w:num w:numId="3" w16cid:durableId="19789959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092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A2A"/>
    <w:rsid w:val="00170618"/>
    <w:rsid w:val="001B45D1"/>
    <w:rsid w:val="001F6D90"/>
    <w:rsid w:val="00220967"/>
    <w:rsid w:val="002A3536"/>
    <w:rsid w:val="002D5C5A"/>
    <w:rsid w:val="005467EF"/>
    <w:rsid w:val="005E6966"/>
    <w:rsid w:val="006A311C"/>
    <w:rsid w:val="00742490"/>
    <w:rsid w:val="007C1C25"/>
    <w:rsid w:val="00841409"/>
    <w:rsid w:val="0088008B"/>
    <w:rsid w:val="00B44E5F"/>
    <w:rsid w:val="00BE6A2A"/>
    <w:rsid w:val="00BF0E07"/>
    <w:rsid w:val="00C25593"/>
    <w:rsid w:val="00CB1E0E"/>
    <w:rsid w:val="00E42525"/>
    <w:rsid w:val="00ED0724"/>
    <w:rsid w:val="0EC5322E"/>
    <w:rsid w:val="4CDEFEAC"/>
    <w:rsid w:val="52D343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0C4D"/>
  <w15:chartTrackingRefBased/>
  <w15:docId w15:val="{0E3CACF6-4204-4F47-AF34-906FAC27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A2A"/>
    <w:pPr>
      <w:spacing w:line="259" w:lineRule="auto"/>
    </w:pPr>
    <w:rPr>
      <w:kern w:val="0"/>
      <w:sz w:val="22"/>
      <w:szCs w:val="22"/>
      <w14:ligatures w14:val="none"/>
    </w:rPr>
  </w:style>
  <w:style w:type="paragraph" w:styleId="Ttulo1">
    <w:name w:val="heading 1"/>
    <w:basedOn w:val="Normal"/>
    <w:next w:val="Normal"/>
    <w:link w:val="Ttulo1Car"/>
    <w:uiPriority w:val="9"/>
    <w:qFormat/>
    <w:rsid w:val="00BE6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E6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E6A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E6A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E6A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E6A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E6A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E6A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E6A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6A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E6A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E6A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E6A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E6A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E6A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E6A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E6A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E6A2A"/>
    <w:rPr>
      <w:rFonts w:eastAsiaTheme="majorEastAsia" w:cstheme="majorBidi"/>
      <w:color w:val="272727" w:themeColor="text1" w:themeTint="D8"/>
    </w:rPr>
  </w:style>
  <w:style w:type="paragraph" w:styleId="Ttulo">
    <w:name w:val="Title"/>
    <w:basedOn w:val="Normal"/>
    <w:next w:val="Normal"/>
    <w:link w:val="TtuloCar"/>
    <w:uiPriority w:val="10"/>
    <w:qFormat/>
    <w:rsid w:val="00BE6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E6A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E6A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E6A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E6A2A"/>
    <w:pPr>
      <w:spacing w:before="160"/>
      <w:jc w:val="center"/>
    </w:pPr>
    <w:rPr>
      <w:i/>
      <w:iCs/>
      <w:color w:val="404040" w:themeColor="text1" w:themeTint="BF"/>
    </w:rPr>
  </w:style>
  <w:style w:type="character" w:customStyle="1" w:styleId="CitaCar">
    <w:name w:val="Cita Car"/>
    <w:basedOn w:val="Fuentedeprrafopredeter"/>
    <w:link w:val="Cita"/>
    <w:uiPriority w:val="29"/>
    <w:rsid w:val="00BE6A2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BE6A2A"/>
    <w:pPr>
      <w:ind w:left="720"/>
      <w:contextualSpacing/>
    </w:pPr>
  </w:style>
  <w:style w:type="character" w:styleId="nfasisintenso">
    <w:name w:val="Intense Emphasis"/>
    <w:basedOn w:val="Fuentedeprrafopredeter"/>
    <w:uiPriority w:val="21"/>
    <w:qFormat/>
    <w:rsid w:val="00BE6A2A"/>
    <w:rPr>
      <w:i/>
      <w:iCs/>
      <w:color w:val="0F4761" w:themeColor="accent1" w:themeShade="BF"/>
    </w:rPr>
  </w:style>
  <w:style w:type="paragraph" w:styleId="Citadestacada">
    <w:name w:val="Intense Quote"/>
    <w:basedOn w:val="Normal"/>
    <w:next w:val="Normal"/>
    <w:link w:val="CitadestacadaCar"/>
    <w:uiPriority w:val="30"/>
    <w:qFormat/>
    <w:rsid w:val="00BE6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E6A2A"/>
    <w:rPr>
      <w:i/>
      <w:iCs/>
      <w:color w:val="0F4761" w:themeColor="accent1" w:themeShade="BF"/>
    </w:rPr>
  </w:style>
  <w:style w:type="character" w:styleId="Referenciaintensa">
    <w:name w:val="Intense Reference"/>
    <w:basedOn w:val="Fuentedeprrafopredeter"/>
    <w:uiPriority w:val="32"/>
    <w:qFormat/>
    <w:rsid w:val="00BE6A2A"/>
    <w:rPr>
      <w:b/>
      <w:bCs/>
      <w:smallCaps/>
      <w:color w:val="0F4761" w:themeColor="accent1" w:themeShade="BF"/>
      <w:spacing w:val="5"/>
    </w:rPr>
  </w:style>
  <w:style w:type="paragraph" w:styleId="Encabezado">
    <w:name w:val="header"/>
    <w:basedOn w:val="Normal"/>
    <w:link w:val="EncabezadoCar"/>
    <w:uiPriority w:val="99"/>
    <w:unhideWhenUsed/>
    <w:rsid w:val="00BE6A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6A2A"/>
    <w:rPr>
      <w:kern w:val="0"/>
      <w:sz w:val="22"/>
      <w:szCs w:val="22"/>
      <w14:ligatures w14:val="none"/>
    </w:rPr>
  </w:style>
  <w:style w:type="paragraph" w:styleId="Piedepgina">
    <w:name w:val="footer"/>
    <w:basedOn w:val="Normal"/>
    <w:link w:val="PiedepginaCar"/>
    <w:uiPriority w:val="99"/>
    <w:unhideWhenUsed/>
    <w:rsid w:val="00BE6A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6A2A"/>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E6A2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E6A2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E6A2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E6A2A"/>
    <w:rPr>
      <w:vertAlign w:val="superscript"/>
    </w:rPr>
  </w:style>
  <w:style w:type="character" w:customStyle="1" w:styleId="normaltextrun">
    <w:name w:val="normaltextrun"/>
    <w:basedOn w:val="Fuentedeprrafopredeter"/>
    <w:rsid w:val="00BE6A2A"/>
  </w:style>
  <w:style w:type="table" w:styleId="Tablaconcuadrcula">
    <w:name w:val="Table Grid"/>
    <w:basedOn w:val="Tablanormal"/>
    <w:uiPriority w:val="39"/>
    <w:qFormat/>
    <w:rsid w:val="00BE6A2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E6A2A"/>
    <w:rPr>
      <w:color w:val="0000FF"/>
      <w:u w:val="single"/>
    </w:rPr>
  </w:style>
  <w:style w:type="paragraph" w:customStyle="1" w:styleId="paragraph">
    <w:name w:val="paragraph"/>
    <w:basedOn w:val="Normal"/>
    <w:rsid w:val="00BE6A2A"/>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BE6A2A"/>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E6A2A"/>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6A2A"/>
  </w:style>
  <w:style w:type="character" w:customStyle="1" w:styleId="NormalWebCar">
    <w:name w:val="Normal (Web) Car"/>
    <w:link w:val="NormalWeb"/>
    <w:uiPriority w:val="99"/>
    <w:locked/>
    <w:rsid w:val="00BE6A2A"/>
    <w:rPr>
      <w:rFonts w:ascii="Times New Roman" w:eastAsia="Times New Roman" w:hAnsi="Times New Roman" w:cs="Times New Roman"/>
      <w:kern w:val="0"/>
      <w:lang w:eastAsia="es-CO"/>
      <w14:ligatures w14:val="none"/>
    </w:rPr>
  </w:style>
  <w:style w:type="character" w:customStyle="1" w:styleId="baj">
    <w:name w:val="b_aj"/>
    <w:basedOn w:val="Fuentedeprrafopredeter"/>
    <w:rsid w:val="00BE6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e@correo.uts.edu.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647_2001.html" TargetMode="External"/><Relationship Id="rId1" Type="http://schemas.openxmlformats.org/officeDocument/2006/relationships/hyperlink" Target="https://www.colombiacompra.gov.co/wp-content/uploads/2024/08/circular_externa_unica_version_3_vf49-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539E89-C3F2-4209-BC7B-F511292D2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BAC8-E18D-44AB-84EC-9CEE5523453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21869EC-D23C-4EBB-A32E-43304E5C56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5670</Words>
  <Characters>31190</Characters>
  <Application>Microsoft Office Word</Application>
  <DocSecurity>0</DocSecurity>
  <Lines>259</Lines>
  <Paragraphs>73</Paragraphs>
  <ScaleCrop>false</ScaleCrop>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Elizabeth Arango Builes</dc:creator>
  <cp:keywords/>
  <dc:description/>
  <cp:lastModifiedBy>Sergio Andrés Rivera Cano</cp:lastModifiedBy>
  <cp:revision>8</cp:revision>
  <dcterms:created xsi:type="dcterms:W3CDTF">2026-02-24T02:05:00Z</dcterms:created>
  <dcterms:modified xsi:type="dcterms:W3CDTF">2026-03-07T14:40:00Z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