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91258D" w14:textId="5F36A0DA" w:rsidR="00021167" w:rsidRPr="00021167" w:rsidRDefault="00BE1E33" w:rsidP="00021167">
      <w:pPr>
        <w:jc w:val="right"/>
        <w:rPr>
          <w:rFonts w:ascii="Arial" w:hAnsi="Arial" w:cs="Arial"/>
          <w:bCs/>
          <w:color w:val="000000" w:themeColor="text1"/>
          <w:sz w:val="16"/>
          <w:szCs w:val="16"/>
          <w:lang w:eastAsia="es-ES"/>
        </w:rPr>
      </w:pPr>
      <w:bookmarkStart w:id="0" w:name="_Hlk28946138"/>
      <w:bookmarkStart w:id="1" w:name="_Hlk29548183"/>
      <w:r w:rsidRPr="006C15D5">
        <w:rPr>
          <w:rFonts w:ascii="Arial" w:hAnsi="Arial" w:cs="Arial"/>
          <w:b/>
          <w:color w:val="000000" w:themeColor="text1"/>
          <w:sz w:val="16"/>
          <w:szCs w:val="16"/>
          <w:lang w:eastAsia="es-ES"/>
        </w:rPr>
        <w:tab/>
      </w:r>
      <w:r w:rsidRPr="006C15D5">
        <w:rPr>
          <w:rFonts w:ascii="Arial" w:hAnsi="Arial" w:cs="Arial"/>
          <w:bCs/>
          <w:color w:val="000000" w:themeColor="text1"/>
          <w:sz w:val="16"/>
          <w:szCs w:val="16"/>
          <w:lang w:eastAsia="es-ES"/>
        </w:rPr>
        <w:t>CCE-DES-FM-17</w:t>
      </w:r>
    </w:p>
    <w:p w14:paraId="1A8ECCE4" w14:textId="77777777" w:rsidR="008B3491" w:rsidRDefault="008B3491" w:rsidP="00BE1E33">
      <w:pPr>
        <w:jc w:val="both"/>
        <w:rPr>
          <w:rFonts w:ascii="Arial" w:eastAsia="Calibri" w:hAnsi="Arial" w:cs="Arial"/>
          <w:b/>
          <w:sz w:val="22"/>
        </w:rPr>
      </w:pPr>
    </w:p>
    <w:p w14:paraId="0AA687FC" w14:textId="306967E2" w:rsidR="008B3491" w:rsidRDefault="005308D7" w:rsidP="00BE1E33">
      <w:pPr>
        <w:jc w:val="both"/>
        <w:rPr>
          <w:rFonts w:ascii="Arial" w:eastAsia="Calibri" w:hAnsi="Arial" w:cs="Arial"/>
          <w:b/>
          <w:sz w:val="22"/>
        </w:rPr>
      </w:pPr>
      <w:r>
        <w:rPr>
          <w:rFonts w:ascii="Arial" w:eastAsia="Calibri" w:hAnsi="Arial" w:cs="Arial"/>
          <w:b/>
          <w:sz w:val="22"/>
        </w:rPr>
        <w:t>DOCUMENTO</w:t>
      </w:r>
      <w:r w:rsidR="00333AE0" w:rsidRPr="001D24BE">
        <w:rPr>
          <w:rFonts w:ascii="Arial" w:eastAsia="Calibri" w:hAnsi="Arial" w:cs="Arial"/>
          <w:b/>
          <w:sz w:val="22"/>
        </w:rPr>
        <w:t xml:space="preserve"> TIPO – </w:t>
      </w:r>
      <w:r w:rsidR="003D2637">
        <w:rPr>
          <w:rFonts w:ascii="Arial" w:eastAsia="Calibri" w:hAnsi="Arial" w:cs="Arial"/>
          <w:b/>
          <w:sz w:val="22"/>
        </w:rPr>
        <w:t>Fundamento</w:t>
      </w:r>
      <w:r w:rsidR="000F46BC">
        <w:rPr>
          <w:rFonts w:ascii="Arial" w:eastAsia="Calibri" w:hAnsi="Arial" w:cs="Arial"/>
          <w:b/>
          <w:sz w:val="22"/>
        </w:rPr>
        <w:t>s</w:t>
      </w:r>
      <w:r w:rsidR="003D2637">
        <w:rPr>
          <w:rFonts w:ascii="Arial" w:eastAsia="Calibri" w:hAnsi="Arial" w:cs="Arial"/>
          <w:b/>
          <w:sz w:val="22"/>
        </w:rPr>
        <w:t xml:space="preserve"> jurídico</w:t>
      </w:r>
      <w:r w:rsidR="000F46BC">
        <w:rPr>
          <w:rFonts w:ascii="Arial" w:eastAsia="Calibri" w:hAnsi="Arial" w:cs="Arial"/>
          <w:b/>
          <w:sz w:val="22"/>
        </w:rPr>
        <w:t>s</w:t>
      </w:r>
      <w:r w:rsidR="003D2637">
        <w:rPr>
          <w:rFonts w:ascii="Arial" w:eastAsia="Calibri" w:hAnsi="Arial" w:cs="Arial"/>
          <w:b/>
          <w:sz w:val="22"/>
        </w:rPr>
        <w:t xml:space="preserve"> para su expedición</w:t>
      </w:r>
    </w:p>
    <w:p w14:paraId="17106928" w14:textId="6B9ED7D4" w:rsidR="00333AE0" w:rsidRDefault="00333AE0" w:rsidP="00BE1E33">
      <w:pPr>
        <w:jc w:val="both"/>
        <w:rPr>
          <w:rFonts w:ascii="Arial" w:eastAsia="Calibri" w:hAnsi="Arial" w:cs="Arial"/>
          <w:b/>
          <w:sz w:val="22"/>
        </w:rPr>
      </w:pPr>
    </w:p>
    <w:p w14:paraId="527ED308" w14:textId="74DED1EE" w:rsidR="00333AE0" w:rsidRDefault="009E16CD" w:rsidP="00BE1E33">
      <w:pPr>
        <w:jc w:val="both"/>
        <w:rPr>
          <w:rFonts w:ascii="Arial" w:eastAsia="Calibri" w:hAnsi="Arial" w:cs="Arial"/>
          <w:bCs/>
          <w:sz w:val="20"/>
          <w:szCs w:val="20"/>
          <w:lang w:val="es-ES_tradnl"/>
        </w:rPr>
      </w:pPr>
      <w:r w:rsidRPr="009E16CD">
        <w:rPr>
          <w:rFonts w:ascii="Arial" w:eastAsia="Calibri" w:hAnsi="Arial" w:cs="Arial"/>
          <w:bCs/>
          <w:sz w:val="20"/>
          <w:szCs w:val="20"/>
          <w:lang w:val="es-ES_tradnl"/>
        </w:rPr>
        <w:t xml:space="preserve">El Gobierno Nacional mediante el artículo 2.2.1.2.6.1.3 del Decreto 1082 de 2015, adicionado por el Decreto 342 de 2019, facultó a la Agencia Nacional de Contratación Pública – Colombia Compra Eficiente, para que en coordinación con el Departamento Nacional de Planeación –DNP– y el Ministerio de Transporte, desarrollara e implementara los Documentos Tipo. </w:t>
      </w:r>
    </w:p>
    <w:p w14:paraId="50C88D3E" w14:textId="77777777" w:rsidR="009E16CD" w:rsidRDefault="009E16CD" w:rsidP="00BE1E33">
      <w:pPr>
        <w:jc w:val="both"/>
        <w:rPr>
          <w:rFonts w:ascii="Arial" w:eastAsia="Calibri" w:hAnsi="Arial" w:cs="Arial"/>
          <w:b/>
          <w:sz w:val="22"/>
        </w:rPr>
      </w:pPr>
    </w:p>
    <w:p w14:paraId="33BD1F25" w14:textId="13D32F3F" w:rsidR="00BE1E33" w:rsidRPr="006C15D5" w:rsidRDefault="005308D7" w:rsidP="00BE1E33">
      <w:pPr>
        <w:jc w:val="both"/>
        <w:rPr>
          <w:rFonts w:ascii="Arial" w:eastAsia="Calibri" w:hAnsi="Arial" w:cs="Arial"/>
          <w:b/>
          <w:color w:val="000000" w:themeColor="text1"/>
          <w:sz w:val="22"/>
        </w:rPr>
      </w:pPr>
      <w:r>
        <w:rPr>
          <w:rFonts w:ascii="Arial" w:eastAsia="Calibri" w:hAnsi="Arial" w:cs="Arial"/>
          <w:b/>
          <w:color w:val="000000" w:themeColor="text1"/>
          <w:sz w:val="22"/>
        </w:rPr>
        <w:t>DOCUMENTO</w:t>
      </w:r>
      <w:r w:rsidR="00EF5EBF">
        <w:rPr>
          <w:rFonts w:ascii="Arial" w:eastAsia="Calibri" w:hAnsi="Arial" w:cs="Arial"/>
          <w:b/>
          <w:color w:val="000000" w:themeColor="text1"/>
          <w:sz w:val="22"/>
        </w:rPr>
        <w:t xml:space="preserve"> TIPO – Inalterabilidad – Vinculatoriedad - </w:t>
      </w:r>
      <w:r w:rsidR="000C3A1A">
        <w:rPr>
          <w:rFonts w:ascii="Arial" w:eastAsia="Calibri" w:hAnsi="Arial" w:cs="Arial"/>
          <w:b/>
          <w:color w:val="000000" w:themeColor="text1"/>
          <w:sz w:val="22"/>
        </w:rPr>
        <w:t>Licitación pública</w:t>
      </w:r>
    </w:p>
    <w:p w14:paraId="79609206" w14:textId="77777777" w:rsidR="00BE1E33" w:rsidRPr="006C15D5" w:rsidRDefault="00BE1E33" w:rsidP="00BE1E33">
      <w:pPr>
        <w:jc w:val="both"/>
        <w:rPr>
          <w:rFonts w:ascii="Arial" w:eastAsia="Calibri" w:hAnsi="Arial" w:cs="Arial"/>
          <w:color w:val="000000" w:themeColor="text1"/>
          <w:sz w:val="20"/>
          <w:szCs w:val="20"/>
        </w:rPr>
      </w:pPr>
    </w:p>
    <w:p w14:paraId="08CEEA3E" w14:textId="27EFC69C" w:rsidR="00BE1E33" w:rsidRPr="006C15D5" w:rsidRDefault="00460884" w:rsidP="00BE1E33">
      <w:pPr>
        <w:jc w:val="both"/>
        <w:rPr>
          <w:rFonts w:ascii="Arial" w:eastAsia="Calibri" w:hAnsi="Arial" w:cs="Arial"/>
          <w:bCs/>
          <w:color w:val="000000" w:themeColor="text1"/>
          <w:sz w:val="20"/>
          <w:szCs w:val="20"/>
        </w:rPr>
      </w:pPr>
      <w:r w:rsidRPr="00460884">
        <w:rPr>
          <w:rFonts w:ascii="Arial" w:eastAsia="Calibri" w:hAnsi="Arial" w:cs="Arial"/>
          <w:bCs/>
          <w:color w:val="000000" w:themeColor="text1"/>
          <w:sz w:val="20"/>
          <w:szCs w:val="20"/>
        </w:rPr>
        <w:t>El artículo 2.2.1.2.6.1.4 del Decreto 1082 de 2015 establece la inalterabilidad de los documentos tipo para la modalidad de licitación pública, que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que sean establecidas en los documentos que adopte el Gobierno Nacional, en ejercicio del mandato establecido en el artículo 1 de la Ley 2022 de 2020, como se dijo en el numeral anterior, son de obligatorio cumplimiento para las entidades sometidas al Estatuto General de Contratación de la Administración pública que adelanten procesos que deban regirse por su contenido y no pueden variarse los requisitos que en ellos sean fijados</w:t>
      </w:r>
      <w:r w:rsidR="00BE1E33" w:rsidRPr="006C15D5">
        <w:rPr>
          <w:rFonts w:ascii="Arial" w:eastAsia="Calibri" w:hAnsi="Arial" w:cs="Arial"/>
          <w:bCs/>
          <w:color w:val="000000" w:themeColor="text1"/>
          <w:sz w:val="20"/>
          <w:szCs w:val="20"/>
        </w:rPr>
        <w:t>.</w:t>
      </w:r>
    </w:p>
    <w:p w14:paraId="2DF58E40" w14:textId="1D353CB5" w:rsidR="00BE1E33" w:rsidRDefault="00BE1E33" w:rsidP="00BE1E33">
      <w:pPr>
        <w:jc w:val="both"/>
        <w:rPr>
          <w:rFonts w:ascii="Arial" w:eastAsia="Calibri" w:hAnsi="Arial" w:cs="Arial"/>
          <w:b/>
          <w:color w:val="000000" w:themeColor="text1"/>
          <w:sz w:val="20"/>
          <w:szCs w:val="20"/>
        </w:rPr>
      </w:pPr>
    </w:p>
    <w:p w14:paraId="1E66A29B" w14:textId="4A4816B2" w:rsidR="002854DA" w:rsidRDefault="005308D7" w:rsidP="00BE1E33">
      <w:pPr>
        <w:jc w:val="both"/>
        <w:rPr>
          <w:rFonts w:ascii="Arial" w:eastAsia="Calibri" w:hAnsi="Arial" w:cs="Arial"/>
          <w:b/>
          <w:sz w:val="22"/>
        </w:rPr>
      </w:pPr>
      <w:r>
        <w:rPr>
          <w:rFonts w:ascii="Arial" w:eastAsia="Calibri" w:hAnsi="Arial" w:cs="Arial"/>
          <w:b/>
          <w:sz w:val="22"/>
        </w:rPr>
        <w:t>DOCUMENTO</w:t>
      </w:r>
      <w:bookmarkStart w:id="2" w:name="_GoBack"/>
      <w:bookmarkEnd w:id="2"/>
      <w:r w:rsidR="004E41A8" w:rsidRPr="001D24BE">
        <w:rPr>
          <w:rFonts w:ascii="Arial" w:eastAsia="Calibri" w:hAnsi="Arial" w:cs="Arial"/>
          <w:b/>
          <w:sz w:val="22"/>
        </w:rPr>
        <w:t xml:space="preserve"> TIPO – Inalterabilidad – Información en corchetes y resaltado gris</w:t>
      </w:r>
    </w:p>
    <w:p w14:paraId="24558CD4" w14:textId="01086E6C" w:rsidR="004E41A8" w:rsidRDefault="004E41A8" w:rsidP="00BE1E33">
      <w:pPr>
        <w:jc w:val="both"/>
        <w:rPr>
          <w:rFonts w:ascii="Arial" w:eastAsia="Calibri" w:hAnsi="Arial" w:cs="Arial"/>
          <w:b/>
          <w:sz w:val="22"/>
        </w:rPr>
      </w:pPr>
    </w:p>
    <w:p w14:paraId="3B80CAB3" w14:textId="67FADD73" w:rsidR="004E41A8" w:rsidRPr="004E41A8" w:rsidRDefault="004E41A8" w:rsidP="00BE1E33">
      <w:pPr>
        <w:jc w:val="both"/>
        <w:rPr>
          <w:rFonts w:ascii="Arial" w:eastAsia="Calibri" w:hAnsi="Arial" w:cs="Arial"/>
          <w:color w:val="000000" w:themeColor="text1"/>
          <w:sz w:val="20"/>
          <w:szCs w:val="20"/>
        </w:rPr>
      </w:pPr>
      <w:r w:rsidRPr="004E41A8">
        <w:rPr>
          <w:rFonts w:ascii="Arial" w:eastAsia="Calibri" w:hAnsi="Arial" w:cs="Arial"/>
          <w:bCs/>
          <w:sz w:val="20"/>
          <w:szCs w:val="20"/>
        </w:rPr>
        <w:t>Este principio de inalterabilidad también es aplicable a los formatos y anexos implementados junto con el «Documento Base», los cuales deben ser usados para desarrollar el procedimiento de contratación y que los proponentes acrediten los diferentes requisitos establecidos para participar en él. Estos, al igual que el «Documento Base», contienen apartes entre corchetes y resaltados en gris, los cuales deben ser diligenciados por la entidad, al igual que otros aspectos relativos a información que debe ser completada por los oferentes al hacer uso del formato.</w:t>
      </w:r>
    </w:p>
    <w:p w14:paraId="04112049" w14:textId="77777777" w:rsidR="00BE1E33" w:rsidRPr="006C15D5" w:rsidRDefault="00BE1E33" w:rsidP="00BE1E33">
      <w:pPr>
        <w:jc w:val="both"/>
        <w:rPr>
          <w:rFonts w:ascii="Arial" w:eastAsia="Calibri" w:hAnsi="Arial" w:cs="Arial"/>
          <w:color w:val="000000" w:themeColor="text1"/>
          <w:sz w:val="20"/>
          <w:szCs w:val="20"/>
        </w:rPr>
      </w:pPr>
    </w:p>
    <w:p w14:paraId="2010468C" w14:textId="0F9EAC29" w:rsidR="00BE1E33" w:rsidRDefault="00BE1E33" w:rsidP="00BE1E33">
      <w:pPr>
        <w:jc w:val="both"/>
        <w:rPr>
          <w:rFonts w:ascii="Arial" w:eastAsia="Calibri" w:hAnsi="Arial" w:cs="Arial"/>
          <w:bCs/>
          <w:color w:val="000000" w:themeColor="text1"/>
          <w:sz w:val="20"/>
          <w:szCs w:val="20"/>
        </w:rPr>
      </w:pPr>
    </w:p>
    <w:p w14:paraId="03BD9312" w14:textId="2906FA6F" w:rsidR="00106B2E" w:rsidRDefault="00106B2E" w:rsidP="00BE1E33">
      <w:pPr>
        <w:jc w:val="both"/>
        <w:rPr>
          <w:rFonts w:ascii="Arial" w:eastAsia="Calibri" w:hAnsi="Arial" w:cs="Arial"/>
          <w:bCs/>
          <w:color w:val="000000" w:themeColor="text1"/>
          <w:sz w:val="20"/>
          <w:szCs w:val="20"/>
        </w:rPr>
      </w:pPr>
    </w:p>
    <w:p w14:paraId="0BC24FBE" w14:textId="3879D037" w:rsidR="00CC1768" w:rsidRDefault="00CC1768" w:rsidP="00BE1E33">
      <w:pPr>
        <w:jc w:val="both"/>
        <w:rPr>
          <w:rFonts w:ascii="Arial" w:eastAsia="Calibri" w:hAnsi="Arial" w:cs="Arial"/>
          <w:bCs/>
          <w:color w:val="000000" w:themeColor="text1"/>
          <w:sz w:val="20"/>
          <w:szCs w:val="20"/>
        </w:rPr>
      </w:pPr>
    </w:p>
    <w:p w14:paraId="34359D8E" w14:textId="07EA26AF" w:rsidR="00CC1768" w:rsidRDefault="00CC1768" w:rsidP="00BE1E33">
      <w:pPr>
        <w:jc w:val="both"/>
        <w:rPr>
          <w:rFonts w:ascii="Arial" w:eastAsia="Calibri" w:hAnsi="Arial" w:cs="Arial"/>
          <w:bCs/>
          <w:color w:val="000000" w:themeColor="text1"/>
          <w:sz w:val="20"/>
          <w:szCs w:val="20"/>
        </w:rPr>
      </w:pPr>
    </w:p>
    <w:p w14:paraId="3CDAAFBC" w14:textId="2C94A6ED" w:rsidR="00CC1768" w:rsidRDefault="00CC1768" w:rsidP="00BE1E33">
      <w:pPr>
        <w:jc w:val="both"/>
        <w:rPr>
          <w:rFonts w:ascii="Arial" w:eastAsia="Calibri" w:hAnsi="Arial" w:cs="Arial"/>
          <w:bCs/>
          <w:color w:val="000000" w:themeColor="text1"/>
          <w:sz w:val="20"/>
          <w:szCs w:val="20"/>
        </w:rPr>
      </w:pPr>
    </w:p>
    <w:p w14:paraId="5DD48D97" w14:textId="3E48BC3D" w:rsidR="00CC1768" w:rsidRDefault="00CC1768" w:rsidP="00BE1E33">
      <w:pPr>
        <w:jc w:val="both"/>
        <w:rPr>
          <w:rFonts w:ascii="Arial" w:eastAsia="Calibri" w:hAnsi="Arial" w:cs="Arial"/>
          <w:bCs/>
          <w:color w:val="000000" w:themeColor="text1"/>
          <w:sz w:val="20"/>
          <w:szCs w:val="20"/>
        </w:rPr>
      </w:pPr>
    </w:p>
    <w:p w14:paraId="076A3699" w14:textId="10BD352C" w:rsidR="00CC1768" w:rsidRDefault="00CC1768" w:rsidP="00BE1E33">
      <w:pPr>
        <w:jc w:val="both"/>
        <w:rPr>
          <w:rFonts w:ascii="Arial" w:eastAsia="Calibri" w:hAnsi="Arial" w:cs="Arial"/>
          <w:bCs/>
          <w:color w:val="000000" w:themeColor="text1"/>
          <w:sz w:val="20"/>
          <w:szCs w:val="20"/>
        </w:rPr>
      </w:pPr>
    </w:p>
    <w:p w14:paraId="45AD8531" w14:textId="2CDB8916" w:rsidR="00CC1768" w:rsidRDefault="00CC1768" w:rsidP="00BE1E33">
      <w:pPr>
        <w:jc w:val="both"/>
        <w:rPr>
          <w:rFonts w:ascii="Arial" w:eastAsia="Calibri" w:hAnsi="Arial" w:cs="Arial"/>
          <w:bCs/>
          <w:color w:val="000000" w:themeColor="text1"/>
          <w:sz w:val="20"/>
          <w:szCs w:val="20"/>
        </w:rPr>
      </w:pPr>
    </w:p>
    <w:p w14:paraId="7D26D420" w14:textId="55A4C63C" w:rsidR="00CC1768" w:rsidRDefault="00CC1768" w:rsidP="00BE1E33">
      <w:pPr>
        <w:jc w:val="both"/>
        <w:rPr>
          <w:rFonts w:ascii="Arial" w:eastAsia="Calibri" w:hAnsi="Arial" w:cs="Arial"/>
          <w:bCs/>
          <w:color w:val="000000" w:themeColor="text1"/>
          <w:sz w:val="20"/>
          <w:szCs w:val="20"/>
        </w:rPr>
      </w:pPr>
    </w:p>
    <w:p w14:paraId="2D55DA51" w14:textId="51A52C31" w:rsidR="00CC1768" w:rsidRDefault="00CC1768" w:rsidP="00BE1E33">
      <w:pPr>
        <w:jc w:val="both"/>
        <w:rPr>
          <w:rFonts w:ascii="Arial" w:eastAsia="Calibri" w:hAnsi="Arial" w:cs="Arial"/>
          <w:bCs/>
          <w:color w:val="000000" w:themeColor="text1"/>
          <w:sz w:val="20"/>
          <w:szCs w:val="20"/>
        </w:rPr>
      </w:pPr>
    </w:p>
    <w:p w14:paraId="489D3AAD" w14:textId="52E0E7BF" w:rsidR="00CC1768" w:rsidRDefault="00CC1768" w:rsidP="00BE1E33">
      <w:pPr>
        <w:jc w:val="both"/>
        <w:rPr>
          <w:rFonts w:ascii="Arial" w:eastAsia="Calibri" w:hAnsi="Arial" w:cs="Arial"/>
          <w:bCs/>
          <w:color w:val="000000" w:themeColor="text1"/>
          <w:sz w:val="20"/>
          <w:szCs w:val="20"/>
        </w:rPr>
      </w:pPr>
    </w:p>
    <w:p w14:paraId="19276F9E" w14:textId="18F1C316" w:rsidR="00CC1768" w:rsidRDefault="00CC1768" w:rsidP="00BE1E33">
      <w:pPr>
        <w:jc w:val="both"/>
        <w:rPr>
          <w:rFonts w:ascii="Arial" w:eastAsia="Calibri" w:hAnsi="Arial" w:cs="Arial"/>
          <w:bCs/>
          <w:color w:val="000000" w:themeColor="text1"/>
          <w:sz w:val="20"/>
          <w:szCs w:val="20"/>
        </w:rPr>
      </w:pPr>
    </w:p>
    <w:p w14:paraId="0DD5EFCC" w14:textId="635D1F8D" w:rsidR="00CC1768" w:rsidRDefault="00CC1768" w:rsidP="00BE1E33">
      <w:pPr>
        <w:jc w:val="both"/>
        <w:rPr>
          <w:rFonts w:ascii="Arial" w:eastAsia="Calibri" w:hAnsi="Arial" w:cs="Arial"/>
          <w:bCs/>
          <w:color w:val="000000" w:themeColor="text1"/>
          <w:sz w:val="20"/>
          <w:szCs w:val="20"/>
        </w:rPr>
      </w:pPr>
    </w:p>
    <w:p w14:paraId="06905824" w14:textId="6A92107A" w:rsidR="00CC1768" w:rsidRDefault="00CC1768" w:rsidP="00BE1E33">
      <w:pPr>
        <w:jc w:val="both"/>
        <w:rPr>
          <w:rFonts w:ascii="Arial" w:eastAsia="Calibri" w:hAnsi="Arial" w:cs="Arial"/>
          <w:bCs/>
          <w:color w:val="000000" w:themeColor="text1"/>
          <w:sz w:val="20"/>
          <w:szCs w:val="20"/>
        </w:rPr>
      </w:pPr>
    </w:p>
    <w:p w14:paraId="008F0964" w14:textId="0A67F87B" w:rsidR="00CC1768" w:rsidRDefault="00CC1768" w:rsidP="00BE1E33">
      <w:pPr>
        <w:jc w:val="both"/>
        <w:rPr>
          <w:rFonts w:ascii="Arial" w:eastAsia="Calibri" w:hAnsi="Arial" w:cs="Arial"/>
          <w:bCs/>
          <w:color w:val="000000" w:themeColor="text1"/>
          <w:sz w:val="20"/>
          <w:szCs w:val="20"/>
        </w:rPr>
      </w:pPr>
    </w:p>
    <w:p w14:paraId="51B42E2C" w14:textId="085C28C4" w:rsidR="00CC1768" w:rsidRDefault="00CC1768" w:rsidP="00BE1E33">
      <w:pPr>
        <w:jc w:val="both"/>
        <w:rPr>
          <w:rFonts w:ascii="Arial" w:eastAsia="Calibri" w:hAnsi="Arial" w:cs="Arial"/>
          <w:bCs/>
          <w:color w:val="000000" w:themeColor="text1"/>
          <w:sz w:val="20"/>
          <w:szCs w:val="20"/>
        </w:rPr>
      </w:pPr>
    </w:p>
    <w:p w14:paraId="529489AB" w14:textId="2772543E" w:rsidR="00CC1768" w:rsidRDefault="00CC1768" w:rsidP="00BE1E33">
      <w:pPr>
        <w:jc w:val="both"/>
        <w:rPr>
          <w:rFonts w:ascii="Arial" w:eastAsia="Calibri" w:hAnsi="Arial" w:cs="Arial"/>
          <w:bCs/>
          <w:color w:val="000000" w:themeColor="text1"/>
          <w:sz w:val="20"/>
          <w:szCs w:val="20"/>
        </w:rPr>
      </w:pPr>
    </w:p>
    <w:p w14:paraId="6816904F" w14:textId="44AB12F8" w:rsidR="00CC1768" w:rsidRDefault="00CC1768" w:rsidP="00BE1E33">
      <w:pPr>
        <w:jc w:val="both"/>
        <w:rPr>
          <w:rFonts w:ascii="Arial" w:eastAsia="Calibri" w:hAnsi="Arial" w:cs="Arial"/>
          <w:bCs/>
          <w:color w:val="000000" w:themeColor="text1"/>
          <w:sz w:val="20"/>
          <w:szCs w:val="20"/>
        </w:rPr>
      </w:pPr>
    </w:p>
    <w:p w14:paraId="61C3D98D" w14:textId="77777777" w:rsidR="00021167" w:rsidRPr="006C15D5" w:rsidRDefault="00021167" w:rsidP="00BE1E33">
      <w:pPr>
        <w:jc w:val="both"/>
        <w:rPr>
          <w:rFonts w:ascii="Arial" w:eastAsia="Calibri" w:hAnsi="Arial" w:cs="Arial"/>
          <w:bCs/>
          <w:color w:val="000000" w:themeColor="text1"/>
          <w:sz w:val="20"/>
          <w:szCs w:val="20"/>
        </w:rPr>
      </w:pPr>
    </w:p>
    <w:p w14:paraId="2ECECAF1" w14:textId="77777777" w:rsidR="00C56B01" w:rsidRDefault="00C56B01" w:rsidP="00BE1E33">
      <w:pPr>
        <w:rPr>
          <w:rFonts w:ascii="Arial" w:hAnsi="Arial" w:cs="Arial"/>
          <w:color w:val="000000" w:themeColor="text1"/>
          <w:sz w:val="22"/>
        </w:rPr>
      </w:pPr>
    </w:p>
    <w:p w14:paraId="5E8A6B7A" w14:textId="77777777" w:rsidR="00C56B01" w:rsidRDefault="00C56B01" w:rsidP="00BE1E33">
      <w:pPr>
        <w:rPr>
          <w:rFonts w:ascii="Arial" w:hAnsi="Arial" w:cs="Arial"/>
          <w:color w:val="000000" w:themeColor="text1"/>
          <w:sz w:val="22"/>
        </w:rPr>
      </w:pPr>
    </w:p>
    <w:p w14:paraId="482966A8" w14:textId="77777777" w:rsidR="00106B2E" w:rsidRDefault="00106B2E" w:rsidP="77FA05B7">
      <w:pPr>
        <w:jc w:val="right"/>
        <w:rPr>
          <w:rFonts w:ascii="Arial" w:hAnsi="Arial" w:cs="Arial"/>
          <w:b/>
          <w:bCs/>
          <w:color w:val="000000" w:themeColor="text1"/>
          <w:sz w:val="22"/>
        </w:rPr>
      </w:pPr>
    </w:p>
    <w:p w14:paraId="77D8991C" w14:textId="00E5D440" w:rsidR="77FA05B7" w:rsidRDefault="77FA05B7" w:rsidP="77FA05B7">
      <w:pPr>
        <w:jc w:val="right"/>
        <w:rPr>
          <w:rFonts w:ascii="Arial" w:hAnsi="Arial" w:cs="Arial"/>
          <w:b/>
          <w:bCs/>
          <w:color w:val="000000" w:themeColor="text1"/>
          <w:szCs w:val="24"/>
        </w:rPr>
      </w:pPr>
    </w:p>
    <w:p w14:paraId="71259E48" w14:textId="5AA9BDD5" w:rsidR="480FE7C9" w:rsidRDefault="480FE7C9" w:rsidP="77FA05B7">
      <w:pPr>
        <w:jc w:val="right"/>
        <w:rPr>
          <w:rFonts w:ascii="Arial" w:hAnsi="Arial" w:cs="Arial"/>
          <w:b/>
          <w:bCs/>
          <w:color w:val="000000" w:themeColor="text1"/>
          <w:szCs w:val="24"/>
        </w:rPr>
      </w:pPr>
      <w:r>
        <w:rPr>
          <w:noProof/>
          <w:lang w:val="es-ES" w:eastAsia="es-ES"/>
        </w:rPr>
        <w:drawing>
          <wp:inline distT="0" distB="0" distL="0" distR="0" wp14:anchorId="6C1DB307" wp14:editId="198CFBE0">
            <wp:extent cx="2576348" cy="712952"/>
            <wp:effectExtent l="0" t="0" r="0" b="0"/>
            <wp:docPr id="1686536874" name="Imagen 1686536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2576348" cy="712952"/>
                    </a:xfrm>
                    <a:prstGeom prst="rect">
                      <a:avLst/>
                    </a:prstGeom>
                  </pic:spPr>
                </pic:pic>
              </a:graphicData>
            </a:graphic>
          </wp:inline>
        </w:drawing>
      </w:r>
    </w:p>
    <w:p w14:paraId="2232FBDF" w14:textId="5851351B" w:rsidR="480FE7C9" w:rsidRDefault="480FE7C9" w:rsidP="77FA05B7">
      <w:pPr>
        <w:rPr>
          <w:rFonts w:ascii="Arial" w:hAnsi="Arial" w:cs="Arial"/>
          <w:b/>
          <w:bCs/>
          <w:color w:val="000000" w:themeColor="text1"/>
          <w:sz w:val="22"/>
        </w:rPr>
      </w:pPr>
      <w:r w:rsidRPr="77FA05B7">
        <w:rPr>
          <w:rFonts w:ascii="Arial" w:hAnsi="Arial" w:cs="Arial"/>
          <w:color w:val="000000" w:themeColor="text1"/>
          <w:sz w:val="22"/>
        </w:rPr>
        <w:t xml:space="preserve">Bogotá D.C., </w:t>
      </w:r>
      <w:r w:rsidRPr="77FA05B7">
        <w:rPr>
          <w:rFonts w:ascii="Arial" w:hAnsi="Arial" w:cs="Arial"/>
          <w:b/>
          <w:bCs/>
          <w:color w:val="000000" w:themeColor="text1"/>
          <w:sz w:val="22"/>
        </w:rPr>
        <w:t>08 Marzo 2021</w:t>
      </w:r>
    </w:p>
    <w:p w14:paraId="6A8629A3" w14:textId="7D833184" w:rsidR="77FA05B7" w:rsidRDefault="77FA05B7" w:rsidP="77FA05B7">
      <w:pPr>
        <w:jc w:val="right"/>
        <w:rPr>
          <w:rFonts w:ascii="Arial" w:hAnsi="Arial" w:cs="Arial"/>
          <w:b/>
          <w:bCs/>
          <w:color w:val="000000" w:themeColor="text1"/>
          <w:szCs w:val="24"/>
        </w:rPr>
      </w:pPr>
    </w:p>
    <w:p w14:paraId="1AED6E7A" w14:textId="2EF83011" w:rsidR="00BE1E33" w:rsidRPr="006C15D5" w:rsidRDefault="00BE1E33" w:rsidP="00BE1E33">
      <w:pPr>
        <w:jc w:val="right"/>
        <w:rPr>
          <w:rFonts w:ascii="Arial" w:hAnsi="Arial" w:cs="Arial"/>
          <w:b/>
          <w:color w:val="000000" w:themeColor="text1"/>
          <w:sz w:val="22"/>
        </w:rPr>
      </w:pPr>
      <w:r w:rsidRPr="006C15D5">
        <w:rPr>
          <w:rFonts w:ascii="Arial" w:hAnsi="Arial" w:cs="Arial"/>
          <w:b/>
          <w:color w:val="000000" w:themeColor="text1"/>
          <w:sz w:val="22"/>
        </w:rPr>
        <w:t xml:space="preserve">N° Radicado: </w:t>
      </w:r>
      <w:r w:rsidR="007661A3" w:rsidRPr="007661A3">
        <w:rPr>
          <w:rFonts w:ascii="Arial" w:hAnsi="Arial" w:cs="Arial"/>
          <w:b/>
          <w:color w:val="000000" w:themeColor="text1"/>
          <w:sz w:val="22"/>
        </w:rPr>
        <w:t>RS20210308001716</w:t>
      </w:r>
    </w:p>
    <w:p w14:paraId="4ED669B5" w14:textId="77540834" w:rsidR="00BE1E33" w:rsidRDefault="00BE1E33" w:rsidP="00BE1E33">
      <w:pPr>
        <w:rPr>
          <w:rFonts w:ascii="Arial" w:eastAsia="Calibri" w:hAnsi="Arial" w:cs="Arial"/>
          <w:color w:val="000000" w:themeColor="text1"/>
          <w:sz w:val="22"/>
        </w:rPr>
      </w:pPr>
    </w:p>
    <w:p w14:paraId="12A234ED" w14:textId="77777777" w:rsidR="00BE1E33" w:rsidRPr="006C15D5" w:rsidRDefault="00BE1E33" w:rsidP="00BE1E33">
      <w:pPr>
        <w:rPr>
          <w:rFonts w:ascii="Arial" w:eastAsia="Calibri" w:hAnsi="Arial" w:cs="Arial"/>
          <w:color w:val="000000" w:themeColor="text1"/>
          <w:sz w:val="22"/>
        </w:rPr>
      </w:pPr>
    </w:p>
    <w:p w14:paraId="73D51859" w14:textId="6278C649" w:rsidR="00BE1E33" w:rsidRPr="006C15D5" w:rsidRDefault="00BE1E33" w:rsidP="00BE1E33">
      <w:pPr>
        <w:rPr>
          <w:rFonts w:ascii="Arial" w:eastAsia="Calibri" w:hAnsi="Arial" w:cs="Arial"/>
          <w:color w:val="000000" w:themeColor="text1"/>
          <w:sz w:val="22"/>
        </w:rPr>
      </w:pPr>
      <w:r w:rsidRPr="006C15D5">
        <w:rPr>
          <w:rFonts w:ascii="Arial" w:eastAsia="Calibri" w:hAnsi="Arial" w:cs="Arial"/>
          <w:color w:val="000000" w:themeColor="text1"/>
          <w:sz w:val="22"/>
        </w:rPr>
        <w:t>Señor</w:t>
      </w:r>
    </w:p>
    <w:p w14:paraId="51140DA2" w14:textId="5727E533" w:rsidR="00BE1E33" w:rsidRPr="006C15D5" w:rsidRDefault="002854DA" w:rsidP="00BE1E33">
      <w:pPr>
        <w:rPr>
          <w:rFonts w:ascii="Arial" w:eastAsia="Calibri" w:hAnsi="Arial" w:cs="Arial"/>
          <w:b/>
          <w:color w:val="000000" w:themeColor="text1"/>
          <w:sz w:val="22"/>
        </w:rPr>
      </w:pPr>
      <w:r>
        <w:rPr>
          <w:rFonts w:ascii="Arial" w:eastAsia="Calibri" w:hAnsi="Arial" w:cs="Arial"/>
          <w:b/>
          <w:color w:val="000000" w:themeColor="text1"/>
          <w:sz w:val="22"/>
        </w:rPr>
        <w:t xml:space="preserve">Luis Alexis Correa Salazar </w:t>
      </w:r>
    </w:p>
    <w:p w14:paraId="095BF112" w14:textId="5FA0C43D" w:rsidR="00BE1E33" w:rsidRPr="006C15D5" w:rsidRDefault="002854DA" w:rsidP="00BE1E33">
      <w:pPr>
        <w:rPr>
          <w:rFonts w:ascii="Arial" w:eastAsia="Calibri" w:hAnsi="Arial" w:cs="Arial"/>
          <w:color w:val="000000" w:themeColor="text1"/>
          <w:sz w:val="22"/>
        </w:rPr>
      </w:pPr>
      <w:r>
        <w:rPr>
          <w:rFonts w:ascii="Arial" w:eastAsia="Calibri" w:hAnsi="Arial" w:cs="Arial"/>
          <w:color w:val="000000" w:themeColor="text1"/>
          <w:sz w:val="22"/>
        </w:rPr>
        <w:t>Piedecuesta</w:t>
      </w:r>
      <w:r w:rsidR="00BE1E33" w:rsidRPr="006C15D5">
        <w:rPr>
          <w:rFonts w:ascii="Arial" w:eastAsia="Calibri" w:hAnsi="Arial" w:cs="Arial"/>
          <w:color w:val="000000" w:themeColor="text1"/>
          <w:sz w:val="22"/>
        </w:rPr>
        <w:t xml:space="preserve">, </w:t>
      </w:r>
      <w:r>
        <w:rPr>
          <w:rFonts w:ascii="Arial" w:eastAsia="Calibri" w:hAnsi="Arial" w:cs="Arial"/>
          <w:color w:val="000000" w:themeColor="text1"/>
          <w:sz w:val="22"/>
        </w:rPr>
        <w:t>Santander</w:t>
      </w:r>
    </w:p>
    <w:p w14:paraId="04EF8353" w14:textId="77777777" w:rsidR="00BE1E33" w:rsidRPr="006C15D5" w:rsidRDefault="00BE1E33" w:rsidP="00BE1E33">
      <w:pPr>
        <w:rPr>
          <w:rFonts w:ascii="Arial" w:eastAsia="Calibri" w:hAnsi="Arial" w:cs="Arial"/>
          <w:color w:val="000000" w:themeColor="text1"/>
          <w:sz w:val="22"/>
        </w:rPr>
      </w:pPr>
    </w:p>
    <w:p w14:paraId="738DBA53" w14:textId="77777777" w:rsidR="00BE1E33" w:rsidRPr="006C15D5" w:rsidRDefault="00BE1E33" w:rsidP="00BE1E33">
      <w:pPr>
        <w:rPr>
          <w:rFonts w:ascii="Arial" w:eastAsia="Calibri" w:hAnsi="Arial" w:cs="Arial"/>
          <w:color w:val="000000" w:themeColor="text1"/>
          <w:sz w:val="22"/>
        </w:rPr>
      </w:pPr>
    </w:p>
    <w:p w14:paraId="5CEA4ADF" w14:textId="21C34393" w:rsidR="00BE1E33" w:rsidRPr="006C15D5" w:rsidRDefault="00BE1E33" w:rsidP="00BE1E33">
      <w:pPr>
        <w:ind w:firstLine="2694"/>
        <w:rPr>
          <w:rFonts w:ascii="Arial" w:eastAsia="Calibri" w:hAnsi="Arial" w:cs="Arial"/>
          <w:b/>
          <w:color w:val="000000" w:themeColor="text1"/>
          <w:sz w:val="22"/>
        </w:rPr>
      </w:pPr>
      <w:r w:rsidRPr="006C15D5">
        <w:rPr>
          <w:rFonts w:ascii="Arial" w:eastAsia="Calibri" w:hAnsi="Arial" w:cs="Arial"/>
          <w:b/>
          <w:color w:val="000000" w:themeColor="text1"/>
          <w:sz w:val="22"/>
        </w:rPr>
        <w:t xml:space="preserve">Concepto C </w:t>
      </w:r>
      <w:r w:rsidR="00490DBF">
        <w:rPr>
          <w:rFonts w:ascii="Arial" w:eastAsia="Calibri" w:hAnsi="Arial" w:cs="Arial"/>
          <w:b/>
          <w:color w:val="000000" w:themeColor="text1"/>
          <w:sz w:val="22"/>
        </w:rPr>
        <w:t>–</w:t>
      </w:r>
      <w:r w:rsidRPr="006C15D5">
        <w:rPr>
          <w:rFonts w:ascii="Arial" w:eastAsia="Calibri" w:hAnsi="Arial" w:cs="Arial"/>
          <w:b/>
          <w:color w:val="000000" w:themeColor="text1"/>
          <w:sz w:val="22"/>
        </w:rPr>
        <w:t xml:space="preserve"> </w:t>
      </w:r>
      <w:r w:rsidR="002854DA">
        <w:rPr>
          <w:rFonts w:ascii="Arial" w:eastAsia="Calibri" w:hAnsi="Arial" w:cs="Arial"/>
          <w:b/>
          <w:color w:val="000000" w:themeColor="text1"/>
          <w:sz w:val="22"/>
        </w:rPr>
        <w:t>064</w:t>
      </w:r>
      <w:r w:rsidRPr="006C15D5">
        <w:rPr>
          <w:rFonts w:ascii="Arial" w:eastAsia="Calibri" w:hAnsi="Arial" w:cs="Arial"/>
          <w:b/>
          <w:color w:val="000000" w:themeColor="text1"/>
          <w:sz w:val="22"/>
        </w:rPr>
        <w:t xml:space="preserve"> de 202</w:t>
      </w:r>
      <w:r w:rsidR="002854DA">
        <w:rPr>
          <w:rFonts w:ascii="Arial" w:eastAsia="Calibri" w:hAnsi="Arial" w:cs="Arial"/>
          <w:b/>
          <w:color w:val="000000" w:themeColor="text1"/>
          <w:sz w:val="22"/>
        </w:rPr>
        <w:t>1</w:t>
      </w:r>
    </w:p>
    <w:p w14:paraId="234727AD" w14:textId="77777777" w:rsidR="00BE1E33" w:rsidRPr="006C15D5" w:rsidRDefault="00BE1E33" w:rsidP="00BE1E33">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3F6D32" w:rsidRPr="003F6D32" w14:paraId="2553E4F3" w14:textId="77777777" w:rsidTr="0072181C">
        <w:tc>
          <w:tcPr>
            <w:tcW w:w="2689" w:type="dxa"/>
            <w:hideMark/>
          </w:tcPr>
          <w:p w14:paraId="7BC9E971" w14:textId="77777777" w:rsidR="00BE1E33" w:rsidRPr="006C15D5" w:rsidRDefault="00BE1E33" w:rsidP="0072181C">
            <w:pPr>
              <w:rPr>
                <w:rFonts w:ascii="Arial" w:eastAsia="Calibri" w:hAnsi="Arial" w:cs="Arial"/>
                <w:color w:val="000000" w:themeColor="text1"/>
                <w:sz w:val="22"/>
              </w:rPr>
            </w:pPr>
            <w:r w:rsidRPr="006C15D5">
              <w:rPr>
                <w:rFonts w:ascii="Arial" w:eastAsia="Calibri" w:hAnsi="Arial" w:cs="Arial"/>
                <w:b/>
                <w:color w:val="000000" w:themeColor="text1"/>
                <w:sz w:val="22"/>
              </w:rPr>
              <w:t>Temas:</w:t>
            </w:r>
            <w:r w:rsidRPr="006C15D5">
              <w:rPr>
                <w:rFonts w:ascii="Arial" w:eastAsia="Calibri" w:hAnsi="Arial" w:cs="Arial"/>
                <w:color w:val="000000" w:themeColor="text1"/>
                <w:sz w:val="22"/>
              </w:rPr>
              <w:t xml:space="preserve">           </w:t>
            </w:r>
          </w:p>
          <w:p w14:paraId="0C0D8CD7" w14:textId="77777777" w:rsidR="00BE1E33" w:rsidRPr="006C15D5" w:rsidRDefault="00BE1E33" w:rsidP="0072181C">
            <w:pPr>
              <w:rPr>
                <w:rFonts w:ascii="Arial" w:eastAsia="Calibri" w:hAnsi="Arial" w:cs="Arial"/>
                <w:color w:val="000000" w:themeColor="text1"/>
                <w:sz w:val="22"/>
              </w:rPr>
            </w:pPr>
            <w:r w:rsidRPr="006C15D5">
              <w:rPr>
                <w:rFonts w:ascii="Arial" w:eastAsia="Calibri" w:hAnsi="Arial" w:cs="Arial"/>
                <w:color w:val="000000" w:themeColor="text1"/>
                <w:sz w:val="22"/>
              </w:rPr>
              <w:t xml:space="preserve">                           </w:t>
            </w:r>
          </w:p>
        </w:tc>
        <w:tc>
          <w:tcPr>
            <w:tcW w:w="6237" w:type="dxa"/>
            <w:hideMark/>
          </w:tcPr>
          <w:p w14:paraId="02678651" w14:textId="6B6E7251" w:rsidR="00BE1E33" w:rsidRDefault="004F4D55">
            <w:pPr>
              <w:jc w:val="both"/>
              <w:rPr>
                <w:rFonts w:ascii="Arial" w:eastAsia="Calibri" w:hAnsi="Arial" w:cs="Arial"/>
                <w:color w:val="000000" w:themeColor="text1"/>
                <w:sz w:val="22"/>
              </w:rPr>
            </w:pPr>
            <w:r w:rsidRPr="004F4D55">
              <w:rPr>
                <w:rFonts w:ascii="Arial" w:eastAsia="Calibri" w:hAnsi="Arial" w:cs="Arial"/>
                <w:color w:val="000000" w:themeColor="text1"/>
                <w:sz w:val="22"/>
              </w:rPr>
              <w:t>DOCUMENTOS TIPO – Fundamentos jurídicos para su expedición</w:t>
            </w:r>
            <w:r w:rsidR="00C6324A">
              <w:rPr>
                <w:rFonts w:ascii="Arial" w:eastAsia="Calibri" w:hAnsi="Arial" w:cs="Arial"/>
                <w:color w:val="000000" w:themeColor="text1"/>
                <w:sz w:val="22"/>
              </w:rPr>
              <w:t xml:space="preserve"> </w:t>
            </w:r>
            <w:r>
              <w:rPr>
                <w:rFonts w:ascii="Arial" w:eastAsia="Calibri" w:hAnsi="Arial" w:cs="Arial"/>
                <w:color w:val="000000" w:themeColor="text1"/>
                <w:sz w:val="22"/>
              </w:rPr>
              <w:t>/</w:t>
            </w:r>
            <w:r>
              <w:t xml:space="preserve"> </w:t>
            </w:r>
            <w:r w:rsidRPr="004F4D55">
              <w:rPr>
                <w:rFonts w:ascii="Arial" w:eastAsia="Calibri" w:hAnsi="Arial" w:cs="Arial"/>
                <w:color w:val="000000" w:themeColor="text1"/>
                <w:sz w:val="22"/>
              </w:rPr>
              <w:t>INALTERABILIDAD – Documentos tipo – Licitación pública</w:t>
            </w:r>
            <w:r>
              <w:rPr>
                <w:rFonts w:ascii="Arial" w:eastAsia="Calibri" w:hAnsi="Arial" w:cs="Arial"/>
                <w:color w:val="000000" w:themeColor="text1"/>
                <w:sz w:val="22"/>
              </w:rPr>
              <w:t xml:space="preserve"> </w:t>
            </w:r>
            <w:r w:rsidR="00BE1E33" w:rsidRPr="006C15D5">
              <w:rPr>
                <w:rFonts w:ascii="Arial" w:eastAsia="Calibri" w:hAnsi="Arial" w:cs="Arial"/>
                <w:color w:val="000000" w:themeColor="text1"/>
                <w:sz w:val="22"/>
              </w:rPr>
              <w:t xml:space="preserve">/ </w:t>
            </w:r>
            <w:r w:rsidR="00021167" w:rsidRPr="00021167">
              <w:rPr>
                <w:rFonts w:ascii="Arial" w:eastAsia="Calibri" w:hAnsi="Arial" w:cs="Arial"/>
                <w:color w:val="000000" w:themeColor="text1"/>
                <w:sz w:val="22"/>
              </w:rPr>
              <w:t>DOCUMENTOS TIPO – Inalterabilidad – Información en corchetes y resaltado gris</w:t>
            </w:r>
          </w:p>
          <w:p w14:paraId="0F35FDBD" w14:textId="58988460" w:rsidR="00106B2E" w:rsidRPr="006C15D5" w:rsidRDefault="00106B2E">
            <w:pPr>
              <w:jc w:val="both"/>
              <w:rPr>
                <w:rFonts w:ascii="Arial" w:eastAsia="Calibri" w:hAnsi="Arial" w:cs="Arial"/>
                <w:color w:val="000000" w:themeColor="text1"/>
                <w:sz w:val="22"/>
              </w:rPr>
            </w:pPr>
          </w:p>
        </w:tc>
      </w:tr>
      <w:tr w:rsidR="003F6D32" w:rsidRPr="003F6D32" w14:paraId="20F2A3B6" w14:textId="77777777" w:rsidTr="0072181C">
        <w:tc>
          <w:tcPr>
            <w:tcW w:w="2689" w:type="dxa"/>
          </w:tcPr>
          <w:p w14:paraId="1E82F4FA" w14:textId="77777777" w:rsidR="00BE1E33" w:rsidRPr="006C15D5" w:rsidRDefault="00BE1E33" w:rsidP="0072181C">
            <w:pPr>
              <w:spacing w:before="120"/>
              <w:rPr>
                <w:rFonts w:ascii="Arial" w:eastAsia="Calibri" w:hAnsi="Arial" w:cs="Arial"/>
                <w:b/>
                <w:color w:val="000000" w:themeColor="text1"/>
                <w:sz w:val="22"/>
              </w:rPr>
            </w:pPr>
            <w:r w:rsidRPr="006C15D5">
              <w:rPr>
                <w:rFonts w:ascii="Arial" w:eastAsia="Calibri" w:hAnsi="Arial" w:cs="Arial"/>
                <w:b/>
                <w:color w:val="000000" w:themeColor="text1"/>
                <w:sz w:val="22"/>
              </w:rPr>
              <w:t>Radicación:</w:t>
            </w:r>
            <w:r w:rsidRPr="006C15D5">
              <w:rPr>
                <w:rFonts w:ascii="Arial" w:eastAsia="Calibri" w:hAnsi="Arial" w:cs="Arial"/>
                <w:color w:val="000000" w:themeColor="text1"/>
                <w:sz w:val="22"/>
              </w:rPr>
              <w:t xml:space="preserve">                              </w:t>
            </w:r>
          </w:p>
        </w:tc>
        <w:tc>
          <w:tcPr>
            <w:tcW w:w="6237" w:type="dxa"/>
          </w:tcPr>
          <w:p w14:paraId="20FCE53A" w14:textId="265F4146" w:rsidR="00BE1E33" w:rsidRPr="006C15D5" w:rsidRDefault="00BE1E33" w:rsidP="0072181C">
            <w:pPr>
              <w:spacing w:before="120"/>
              <w:jc w:val="both"/>
              <w:rPr>
                <w:rFonts w:ascii="Arial" w:eastAsia="Calibri" w:hAnsi="Arial" w:cs="Arial"/>
                <w:color w:val="000000" w:themeColor="text1"/>
                <w:sz w:val="22"/>
              </w:rPr>
            </w:pPr>
            <w:r w:rsidRPr="006C15D5">
              <w:rPr>
                <w:rFonts w:ascii="Arial" w:eastAsia="Calibri" w:hAnsi="Arial" w:cs="Arial"/>
                <w:color w:val="000000" w:themeColor="text1"/>
                <w:sz w:val="22"/>
              </w:rPr>
              <w:t xml:space="preserve">Respuesta a consulta </w:t>
            </w:r>
            <w:r w:rsidR="002854DA" w:rsidRPr="002854DA">
              <w:rPr>
                <w:rFonts w:ascii="Arial" w:eastAsia="Calibri" w:hAnsi="Arial" w:cs="Arial"/>
                <w:color w:val="000000" w:themeColor="text1"/>
                <w:sz w:val="22"/>
              </w:rPr>
              <w:t>P20210131000744</w:t>
            </w:r>
            <w:r w:rsidRPr="006C15D5">
              <w:rPr>
                <w:rFonts w:ascii="Arial" w:eastAsia="Calibri" w:hAnsi="Arial" w:cs="Arial"/>
                <w:color w:val="000000" w:themeColor="text1"/>
                <w:sz w:val="22"/>
              </w:rPr>
              <w:t xml:space="preserve"> </w:t>
            </w:r>
          </w:p>
        </w:tc>
      </w:tr>
    </w:tbl>
    <w:p w14:paraId="177F3517" w14:textId="77777777" w:rsidR="00BE1E33" w:rsidRPr="006C15D5" w:rsidRDefault="00BE1E33" w:rsidP="00BE1E33">
      <w:pPr>
        <w:spacing w:before="120"/>
        <w:jc w:val="both"/>
        <w:rPr>
          <w:rFonts w:ascii="Arial" w:eastAsia="Calibri" w:hAnsi="Arial" w:cs="Arial"/>
          <w:color w:val="000000" w:themeColor="text1"/>
          <w:sz w:val="22"/>
        </w:rPr>
      </w:pPr>
    </w:p>
    <w:p w14:paraId="06248123" w14:textId="77777777" w:rsidR="00BE1E33" w:rsidRPr="006C15D5" w:rsidRDefault="00BE1E33" w:rsidP="00BE1E33">
      <w:pPr>
        <w:jc w:val="both"/>
        <w:rPr>
          <w:rFonts w:ascii="Arial" w:eastAsia="Calibri" w:hAnsi="Arial" w:cs="Arial"/>
          <w:color w:val="000000" w:themeColor="text1"/>
          <w:sz w:val="22"/>
        </w:rPr>
      </w:pPr>
    </w:p>
    <w:p w14:paraId="417ABDA8" w14:textId="18D3D4BD" w:rsidR="00BE1E33" w:rsidRPr="006C15D5" w:rsidRDefault="00BE1E33" w:rsidP="00BE1E33">
      <w:pPr>
        <w:rPr>
          <w:rFonts w:ascii="Arial" w:eastAsia="Calibri" w:hAnsi="Arial" w:cs="Arial"/>
          <w:color w:val="000000" w:themeColor="text1"/>
          <w:sz w:val="22"/>
        </w:rPr>
      </w:pPr>
      <w:r w:rsidRPr="006C15D5">
        <w:rPr>
          <w:rFonts w:ascii="Arial" w:eastAsia="Calibri" w:hAnsi="Arial" w:cs="Arial"/>
          <w:color w:val="000000" w:themeColor="text1"/>
          <w:sz w:val="22"/>
        </w:rPr>
        <w:t>Estimad</w:t>
      </w:r>
      <w:r w:rsidR="002854DA">
        <w:rPr>
          <w:rFonts w:ascii="Arial" w:eastAsia="Calibri" w:hAnsi="Arial" w:cs="Arial"/>
          <w:color w:val="000000" w:themeColor="text1"/>
          <w:sz w:val="22"/>
        </w:rPr>
        <w:t>o</w:t>
      </w:r>
      <w:r w:rsidRPr="006C15D5">
        <w:rPr>
          <w:rFonts w:ascii="Arial" w:eastAsia="Calibri" w:hAnsi="Arial" w:cs="Arial"/>
          <w:color w:val="000000" w:themeColor="text1"/>
          <w:sz w:val="22"/>
        </w:rPr>
        <w:t xml:space="preserve"> señor </w:t>
      </w:r>
      <w:r w:rsidR="002854DA">
        <w:rPr>
          <w:rFonts w:ascii="Arial" w:eastAsia="Calibri" w:hAnsi="Arial" w:cs="Arial"/>
          <w:color w:val="000000" w:themeColor="text1"/>
          <w:sz w:val="22"/>
        </w:rPr>
        <w:t>Correa</w:t>
      </w:r>
      <w:r w:rsidRPr="006C15D5">
        <w:rPr>
          <w:rFonts w:ascii="Arial" w:eastAsia="Calibri" w:hAnsi="Arial" w:cs="Arial"/>
          <w:color w:val="000000" w:themeColor="text1"/>
          <w:sz w:val="22"/>
        </w:rPr>
        <w:t>:</w:t>
      </w:r>
    </w:p>
    <w:p w14:paraId="1CCABABD" w14:textId="77777777" w:rsidR="00BE1E33" w:rsidRPr="006C15D5" w:rsidRDefault="00BE1E33" w:rsidP="00BE1E33">
      <w:pPr>
        <w:rPr>
          <w:rFonts w:ascii="Arial" w:eastAsia="Calibri" w:hAnsi="Arial" w:cs="Arial"/>
          <w:color w:val="000000" w:themeColor="text1"/>
          <w:sz w:val="22"/>
        </w:rPr>
      </w:pPr>
    </w:p>
    <w:p w14:paraId="286A9CEF" w14:textId="24BA905F" w:rsidR="00BE1E33" w:rsidRPr="006C15D5" w:rsidRDefault="00BE1E33" w:rsidP="00BE1E33">
      <w:pPr>
        <w:spacing w:line="276" w:lineRule="auto"/>
        <w:jc w:val="both"/>
        <w:rPr>
          <w:rFonts w:ascii="Arial" w:eastAsia="Calibri" w:hAnsi="Arial" w:cs="Arial"/>
          <w:color w:val="000000" w:themeColor="text1"/>
          <w:sz w:val="22"/>
        </w:rPr>
      </w:pPr>
      <w:r w:rsidRPr="006C15D5">
        <w:rPr>
          <w:rFonts w:ascii="Arial" w:eastAsia="Calibri" w:hAnsi="Arial" w:cs="Arial"/>
          <w:color w:val="000000" w:themeColor="text1"/>
          <w:sz w:val="22"/>
        </w:rPr>
        <w:t xml:space="preserve">En ejercicio de la competencia otorgada por los artículos 11, numeral 8º, y 3º, numeral 5º, del Decreto Ley 4170 de 2011, la Agencia Nacional de Contratación Pública − Colombia Compra Eficiente responde su consulta del </w:t>
      </w:r>
      <w:r w:rsidR="002854DA">
        <w:rPr>
          <w:rFonts w:ascii="Arial" w:eastAsia="Calibri" w:hAnsi="Arial" w:cs="Arial"/>
          <w:color w:val="000000" w:themeColor="text1"/>
          <w:sz w:val="22"/>
        </w:rPr>
        <w:t>31</w:t>
      </w:r>
      <w:r w:rsidRPr="006C15D5">
        <w:rPr>
          <w:rFonts w:ascii="Arial" w:eastAsia="Calibri" w:hAnsi="Arial" w:cs="Arial"/>
          <w:color w:val="000000" w:themeColor="text1"/>
          <w:sz w:val="22"/>
        </w:rPr>
        <w:t xml:space="preserve"> de </w:t>
      </w:r>
      <w:r w:rsidR="002854DA">
        <w:rPr>
          <w:rFonts w:ascii="Arial" w:eastAsia="Calibri" w:hAnsi="Arial" w:cs="Arial"/>
          <w:color w:val="000000" w:themeColor="text1"/>
          <w:sz w:val="22"/>
        </w:rPr>
        <w:t>enero</w:t>
      </w:r>
      <w:r w:rsidRPr="006C15D5">
        <w:rPr>
          <w:rFonts w:ascii="Arial" w:eastAsia="Calibri" w:hAnsi="Arial" w:cs="Arial"/>
          <w:color w:val="000000" w:themeColor="text1"/>
          <w:sz w:val="22"/>
        </w:rPr>
        <w:t xml:space="preserve"> de 202</w:t>
      </w:r>
      <w:r w:rsidR="002854DA">
        <w:rPr>
          <w:rFonts w:ascii="Arial" w:eastAsia="Calibri" w:hAnsi="Arial" w:cs="Arial"/>
          <w:color w:val="000000" w:themeColor="text1"/>
          <w:sz w:val="22"/>
        </w:rPr>
        <w:t>1</w:t>
      </w:r>
      <w:r w:rsidRPr="006C15D5">
        <w:rPr>
          <w:rFonts w:ascii="Arial" w:eastAsia="Calibri" w:hAnsi="Arial" w:cs="Arial"/>
          <w:color w:val="000000" w:themeColor="text1"/>
          <w:sz w:val="22"/>
        </w:rPr>
        <w:t xml:space="preserve">. </w:t>
      </w:r>
    </w:p>
    <w:p w14:paraId="1757FF4B" w14:textId="77777777" w:rsidR="00D21D97" w:rsidRPr="006C15D5" w:rsidRDefault="00D21D97" w:rsidP="00BE1E33">
      <w:pPr>
        <w:spacing w:line="276" w:lineRule="auto"/>
        <w:jc w:val="both"/>
        <w:rPr>
          <w:rFonts w:ascii="Arial" w:eastAsia="Calibri" w:hAnsi="Arial" w:cs="Arial"/>
          <w:color w:val="000000" w:themeColor="text1"/>
          <w:sz w:val="22"/>
        </w:rPr>
      </w:pPr>
    </w:p>
    <w:p w14:paraId="430A9943" w14:textId="02389260" w:rsidR="00BE1E33" w:rsidRDefault="00BE1E33" w:rsidP="00B3463D">
      <w:pPr>
        <w:pStyle w:val="Prrafodelista"/>
        <w:numPr>
          <w:ilvl w:val="0"/>
          <w:numId w:val="1"/>
        </w:numPr>
        <w:tabs>
          <w:tab w:val="left" w:pos="284"/>
        </w:tabs>
        <w:spacing w:line="276" w:lineRule="auto"/>
        <w:ind w:left="0" w:firstLine="0"/>
        <w:jc w:val="both"/>
        <w:rPr>
          <w:rFonts w:ascii="Arial" w:eastAsia="Calibri" w:hAnsi="Arial" w:cs="Arial"/>
          <w:b/>
          <w:color w:val="000000" w:themeColor="text1"/>
          <w:sz w:val="22"/>
        </w:rPr>
      </w:pPr>
      <w:r w:rsidRPr="006C15D5">
        <w:rPr>
          <w:rFonts w:ascii="Arial" w:eastAsia="Calibri" w:hAnsi="Arial" w:cs="Arial"/>
          <w:b/>
          <w:color w:val="000000" w:themeColor="text1"/>
          <w:sz w:val="22"/>
        </w:rPr>
        <w:t xml:space="preserve">Problemas planteados </w:t>
      </w:r>
    </w:p>
    <w:p w14:paraId="4F5429A4" w14:textId="77777777" w:rsidR="00B3463D" w:rsidRPr="00B3463D" w:rsidRDefault="00B3463D" w:rsidP="00B3463D">
      <w:pPr>
        <w:pStyle w:val="Prrafodelista"/>
        <w:tabs>
          <w:tab w:val="left" w:pos="284"/>
        </w:tabs>
        <w:spacing w:line="276" w:lineRule="auto"/>
        <w:ind w:left="0"/>
        <w:jc w:val="both"/>
        <w:rPr>
          <w:rFonts w:ascii="Arial" w:eastAsia="Calibri" w:hAnsi="Arial" w:cs="Arial"/>
          <w:b/>
          <w:color w:val="000000" w:themeColor="text1"/>
          <w:sz w:val="22"/>
        </w:rPr>
      </w:pPr>
    </w:p>
    <w:p w14:paraId="741F3B6B" w14:textId="405C60C1" w:rsidR="00BE1E33" w:rsidRPr="006C15D5" w:rsidRDefault="00BE1E33" w:rsidP="009E4A43">
      <w:pPr>
        <w:tabs>
          <w:tab w:val="left" w:pos="426"/>
        </w:tabs>
        <w:spacing w:line="276" w:lineRule="auto"/>
        <w:jc w:val="both"/>
        <w:rPr>
          <w:rFonts w:ascii="Arial" w:eastAsia="Calibri" w:hAnsi="Arial" w:cs="Arial"/>
          <w:color w:val="000000" w:themeColor="text1"/>
          <w:sz w:val="22"/>
        </w:rPr>
      </w:pPr>
      <w:r w:rsidRPr="006C15D5">
        <w:rPr>
          <w:rFonts w:ascii="Arial" w:eastAsia="Calibri" w:hAnsi="Arial" w:cs="Arial"/>
          <w:color w:val="000000" w:themeColor="text1"/>
          <w:sz w:val="22"/>
        </w:rPr>
        <w:t xml:space="preserve">Usted </w:t>
      </w:r>
      <w:r w:rsidR="00F548AA">
        <w:rPr>
          <w:rFonts w:ascii="Arial" w:eastAsia="Calibri" w:hAnsi="Arial" w:cs="Arial"/>
          <w:color w:val="000000" w:themeColor="text1"/>
          <w:sz w:val="22"/>
        </w:rPr>
        <w:t xml:space="preserve">realiza </w:t>
      </w:r>
      <w:r w:rsidRPr="006C15D5">
        <w:rPr>
          <w:rFonts w:ascii="Arial" w:eastAsia="Calibri" w:hAnsi="Arial" w:cs="Arial"/>
          <w:color w:val="000000" w:themeColor="text1"/>
          <w:sz w:val="22"/>
        </w:rPr>
        <w:t>la siguiente</w:t>
      </w:r>
      <w:r w:rsidR="009E4A43" w:rsidRPr="006C15D5">
        <w:rPr>
          <w:rFonts w:ascii="Arial" w:eastAsia="Calibri" w:hAnsi="Arial" w:cs="Arial"/>
          <w:color w:val="000000" w:themeColor="text1"/>
          <w:sz w:val="22"/>
        </w:rPr>
        <w:t xml:space="preserve"> </w:t>
      </w:r>
      <w:r w:rsidRPr="006C15D5">
        <w:rPr>
          <w:rFonts w:ascii="Arial" w:eastAsia="Calibri" w:hAnsi="Arial" w:cs="Arial"/>
          <w:color w:val="000000" w:themeColor="text1"/>
          <w:sz w:val="22"/>
        </w:rPr>
        <w:t>pregunta: «</w:t>
      </w:r>
      <w:r w:rsidRPr="00C56B01">
        <w:rPr>
          <w:rFonts w:ascii="Arial" w:eastAsia="Calibri" w:hAnsi="Arial" w:cs="Arial"/>
          <w:color w:val="000000" w:themeColor="text1"/>
          <w:sz w:val="22"/>
        </w:rPr>
        <w:t>¿</w:t>
      </w:r>
      <w:r w:rsidR="002854DA" w:rsidRPr="00346E84">
        <w:rPr>
          <w:rFonts w:ascii="Arial" w:hAnsi="Arial" w:cs="Arial"/>
          <w:sz w:val="22"/>
        </w:rPr>
        <w:t>EL PLIEGO TIPO VERSION 3 PUEDE SER MODIFICADO POR ALGUNA ENTIDAD</w:t>
      </w:r>
      <w:r w:rsidRPr="006C15D5">
        <w:rPr>
          <w:rFonts w:ascii="Arial" w:eastAsia="Calibri" w:hAnsi="Arial" w:cs="Arial"/>
          <w:color w:val="000000" w:themeColor="text1"/>
          <w:sz w:val="22"/>
        </w:rPr>
        <w:t xml:space="preserve">?». </w:t>
      </w:r>
    </w:p>
    <w:p w14:paraId="0BACDF34" w14:textId="77777777" w:rsidR="00D21D97" w:rsidRPr="006C15D5" w:rsidRDefault="00D21D97" w:rsidP="00BE1E33">
      <w:pPr>
        <w:tabs>
          <w:tab w:val="left" w:pos="709"/>
        </w:tabs>
        <w:spacing w:before="120" w:line="276" w:lineRule="auto"/>
        <w:jc w:val="both"/>
        <w:rPr>
          <w:rFonts w:ascii="Arial" w:eastAsia="Calibri" w:hAnsi="Arial" w:cs="Arial"/>
          <w:color w:val="000000" w:themeColor="text1"/>
          <w:sz w:val="22"/>
        </w:rPr>
      </w:pPr>
    </w:p>
    <w:p w14:paraId="7D0E5676" w14:textId="019D1658" w:rsidR="00D21D97" w:rsidRPr="00BE0B21" w:rsidRDefault="00BE1E33" w:rsidP="00BE0B21">
      <w:pPr>
        <w:pStyle w:val="Prrafodelista"/>
        <w:numPr>
          <w:ilvl w:val="0"/>
          <w:numId w:val="1"/>
        </w:numPr>
        <w:tabs>
          <w:tab w:val="left" w:pos="426"/>
        </w:tabs>
        <w:spacing w:line="276" w:lineRule="auto"/>
        <w:ind w:left="284" w:hanging="284"/>
        <w:jc w:val="both"/>
        <w:rPr>
          <w:rFonts w:ascii="Arial" w:eastAsia="Calibri" w:hAnsi="Arial" w:cs="Arial"/>
          <w:b/>
          <w:color w:val="000000" w:themeColor="text1"/>
          <w:sz w:val="22"/>
        </w:rPr>
      </w:pPr>
      <w:r w:rsidRPr="006C15D5">
        <w:rPr>
          <w:rFonts w:ascii="Arial" w:eastAsia="Calibri" w:hAnsi="Arial" w:cs="Arial"/>
          <w:b/>
          <w:color w:val="000000" w:themeColor="text1"/>
          <w:sz w:val="22"/>
        </w:rPr>
        <w:t>Consideraciones</w:t>
      </w:r>
    </w:p>
    <w:p w14:paraId="3B074F53" w14:textId="6024E1AC" w:rsidR="00D21D97" w:rsidRDefault="002854DA" w:rsidP="00346E84">
      <w:pPr>
        <w:spacing w:before="120" w:line="276" w:lineRule="auto"/>
        <w:jc w:val="both"/>
        <w:rPr>
          <w:rFonts w:ascii="Arial" w:eastAsia="Calibri" w:hAnsi="Arial" w:cs="Arial"/>
          <w:sz w:val="22"/>
        </w:rPr>
      </w:pPr>
      <w:r w:rsidRPr="00CA5C6B">
        <w:rPr>
          <w:rFonts w:ascii="Arial" w:hAnsi="Arial" w:cs="Arial"/>
          <w:sz w:val="22"/>
        </w:rPr>
        <w:t xml:space="preserve">La Agencia Nacional de Contratación Pública ― Colombia Compra Eficiente </w:t>
      </w:r>
      <w:r w:rsidRPr="00CA5C6B">
        <w:rPr>
          <w:rFonts w:ascii="Arial" w:eastAsia="Calibri" w:hAnsi="Arial" w:cs="Arial"/>
          <w:sz w:val="22"/>
        </w:rPr>
        <w:t>e</w:t>
      </w:r>
      <w:r w:rsidRPr="00CA5C6B">
        <w:rPr>
          <w:rFonts w:ascii="Arial" w:hAnsi="Arial" w:cs="Arial"/>
          <w:sz w:val="22"/>
        </w:rPr>
        <w:t>n los conceptos C–144 de</w:t>
      </w:r>
      <w:r w:rsidR="00B3463D">
        <w:rPr>
          <w:rFonts w:ascii="Arial" w:hAnsi="Arial" w:cs="Arial"/>
          <w:sz w:val="22"/>
        </w:rPr>
        <w:t>l</w:t>
      </w:r>
      <w:r w:rsidRPr="00CA5C6B">
        <w:rPr>
          <w:rFonts w:ascii="Arial" w:hAnsi="Arial" w:cs="Arial"/>
          <w:sz w:val="22"/>
        </w:rPr>
        <w:t xml:space="preserve"> 2 de marzo de 2020, C-174 del 16 de marzo de 2020,  C-129 del 24 </w:t>
      </w:r>
      <w:r w:rsidRPr="00CA5C6B">
        <w:rPr>
          <w:rFonts w:ascii="Arial" w:hAnsi="Arial" w:cs="Arial"/>
          <w:sz w:val="22"/>
        </w:rPr>
        <w:lastRenderedPageBreak/>
        <w:t xml:space="preserve">de marzo de 2020, C-193 del 6 de abril de 2020, C–189 del 8 de abril de 2020, C-009 del 27 de abril de 2020, C-289 del 26 de mayo de 2020, C-332 del 26 de mayo de 2020, C-354 del 4 de junio de 2020, C-384 del 4 de junio de 2020, C-387 del 23 de junio de 2020, C-328 del 30 de junio de 2020, C-379 del 30 de junio de 2020, C-397 del 30 de junio de 2020, C-411 del 30 de junio de 2020, C-415 del 7 de julio de 2020, C-443 del 7 de julio de 2020, C-427 del 9 de julio de 2020, C-395 del 9 de julio de 2020, C-327 del 10 de julio de 2020, C-444 del 13 de julio de 2020, C-429 del 24 de julio de 2020, C-466 del 24 de julio de 2020, C-420 del 28 de julio de 2020, C-485 del 29 de julio de 2020, C-501 del 29 de julio de 2020, C-478 del 30 de julio de 2020, C-450 del 3 de agosto de 2020, C-497 del 6 de agosto de 2020, C-528 del 18 de agosto de 2020, C-531 del 21 agosto de 2020, C-546 del 26 de agosto de 2020, C-597 del 14 de septiembre de 2020, C-618 del 17 de septiembre de 2020, C-633 del 2 de octubre de 2020, C-630 del 21 de octubre de 2020, C-643 del 26 de octubre de 2020, C-635 del 29 de octubre de 2020, C-653 del 9 de noviembre de 2020, C-665 del 11 de noviembre de 2020, C-698 del 19 de noviembre de 2020, C-716 del 30 de noviembre de 2020 y C-775 de 2020 del 11 de diciembre de 2020 explicó el principio de inalterabilidad de los documentos tipo y sus excepciones. </w:t>
      </w:r>
      <w:r w:rsidRPr="00CA5C6B">
        <w:rPr>
          <w:rFonts w:ascii="Arial" w:eastAsia="Calibri" w:hAnsi="Arial" w:cs="Arial"/>
          <w:sz w:val="22"/>
        </w:rPr>
        <w:t>Las tesis desarrolladas se expondrán a continuación</w:t>
      </w:r>
      <w:r w:rsidR="00D21D97">
        <w:rPr>
          <w:rFonts w:ascii="Arial" w:eastAsia="Calibri" w:hAnsi="Arial" w:cs="Arial"/>
          <w:sz w:val="22"/>
        </w:rPr>
        <w:t>:</w:t>
      </w:r>
    </w:p>
    <w:p w14:paraId="01F27DB2" w14:textId="77777777" w:rsidR="00BE0B21" w:rsidRPr="00CA5C6B" w:rsidRDefault="00BE0B21" w:rsidP="00346E84">
      <w:pPr>
        <w:spacing w:line="276" w:lineRule="auto"/>
        <w:jc w:val="both"/>
        <w:rPr>
          <w:rFonts w:ascii="Arial" w:eastAsia="Calibri" w:hAnsi="Arial" w:cs="Arial"/>
          <w:sz w:val="22"/>
        </w:rPr>
      </w:pPr>
    </w:p>
    <w:p w14:paraId="28EC6155" w14:textId="4F5DB17F" w:rsidR="00D21D97" w:rsidRDefault="0043040E" w:rsidP="00C56B01">
      <w:pPr>
        <w:spacing w:line="276" w:lineRule="auto"/>
        <w:jc w:val="both"/>
        <w:rPr>
          <w:rFonts w:ascii="Arial" w:eastAsia="Calibri" w:hAnsi="Arial" w:cs="Arial"/>
          <w:b/>
          <w:bCs/>
          <w:sz w:val="22"/>
        </w:rPr>
      </w:pPr>
      <w:r w:rsidRPr="00CA5C6B">
        <w:rPr>
          <w:rFonts w:ascii="Arial" w:eastAsia="Calibri" w:hAnsi="Arial" w:cs="Arial"/>
          <w:b/>
          <w:bCs/>
          <w:sz w:val="22"/>
        </w:rPr>
        <w:t xml:space="preserve">2.1. Fundamentos jurídicos para la expedición de los documentos tipo </w:t>
      </w:r>
    </w:p>
    <w:p w14:paraId="586F33FF" w14:textId="77777777" w:rsidR="00C56B01" w:rsidRPr="00CA5C6B" w:rsidRDefault="00C56B01" w:rsidP="00346E84">
      <w:pPr>
        <w:spacing w:line="276" w:lineRule="auto"/>
        <w:jc w:val="both"/>
        <w:rPr>
          <w:rFonts w:ascii="Arial" w:eastAsia="Calibri" w:hAnsi="Arial" w:cs="Arial"/>
          <w:b/>
          <w:bCs/>
          <w:sz w:val="22"/>
        </w:rPr>
      </w:pPr>
    </w:p>
    <w:p w14:paraId="6A367DB4" w14:textId="47814E36" w:rsidR="00C25DB6" w:rsidRPr="0043040E" w:rsidRDefault="0043040E" w:rsidP="00346E84">
      <w:pPr>
        <w:shd w:val="clear" w:color="auto" w:fill="FFFFFF"/>
        <w:spacing w:line="276" w:lineRule="auto"/>
        <w:jc w:val="both"/>
        <w:rPr>
          <w:rFonts w:ascii="Arial" w:eastAsia="Times New Roman" w:hAnsi="Arial" w:cs="Arial"/>
          <w:color w:val="0D0D0D"/>
          <w:sz w:val="22"/>
          <w:bdr w:val="none" w:sz="0" w:space="0" w:color="auto" w:frame="1"/>
          <w:lang w:val="es-CO" w:eastAsia="es-CO"/>
        </w:rPr>
      </w:pPr>
      <w:r w:rsidRPr="0043040E">
        <w:rPr>
          <w:rFonts w:ascii="Arial" w:eastAsia="Times New Roman" w:hAnsi="Arial" w:cs="Arial"/>
          <w:color w:val="0D0D0D"/>
          <w:sz w:val="22"/>
          <w:bdr w:val="none" w:sz="0" w:space="0" w:color="auto" w:frame="1"/>
          <w:lang w:val="es-CO" w:eastAsia="es-CO"/>
        </w:rPr>
        <w:t>Los llamados pliegos tipo aparecieron en nuestro ordenamiento jurídico en el 2007, cuando el legislador facultó al Gobierno Nacional para adoptarlos en la compra o suministro de bienes de características técnicas uniformes</w:t>
      </w:r>
      <w:r w:rsidRPr="00CA5C6B">
        <w:rPr>
          <w:rStyle w:val="Refdenotaalpie"/>
          <w:rFonts w:ascii="Arial" w:eastAsia="Times New Roman" w:hAnsi="Arial" w:cs="Arial"/>
          <w:color w:val="0D0D0D"/>
          <w:sz w:val="22"/>
          <w:bdr w:val="none" w:sz="0" w:space="0" w:color="auto" w:frame="1"/>
          <w:lang w:val="es-CO" w:eastAsia="es-CO"/>
        </w:rPr>
        <w:footnoteReference w:id="1"/>
      </w:r>
      <w:r w:rsidRPr="0043040E">
        <w:rPr>
          <w:rFonts w:ascii="Arial" w:eastAsia="Times New Roman" w:hAnsi="Arial" w:cs="Arial"/>
          <w:color w:val="0D0D0D"/>
          <w:sz w:val="22"/>
          <w:bdr w:val="none" w:sz="0" w:space="0" w:color="auto" w:frame="1"/>
          <w:lang w:val="es-CO" w:eastAsia="es-CO"/>
        </w:rPr>
        <w:t>. La orientación inicial del proyecto que se convirtió en la Ley 1150 de 2007 era facultar al Gobierno Nacional para adoptar los pliegos tipo en todos los contratos estatales, pues en el proyecto el parágrafo 3º disponía que: «El Gobierno Nacional tendrá la facultad de estandarizar los pliegos de condiciones o términos de referencia y los contratos de las entidades estatales»</w:t>
      </w:r>
      <w:r w:rsidRPr="00CA5C6B">
        <w:rPr>
          <w:rStyle w:val="Refdenotaalpie"/>
          <w:rFonts w:ascii="Arial" w:eastAsia="Times New Roman" w:hAnsi="Arial" w:cs="Arial"/>
          <w:color w:val="0D0D0D"/>
          <w:sz w:val="22"/>
          <w:bdr w:val="none" w:sz="0" w:space="0" w:color="auto" w:frame="1"/>
          <w:lang w:val="es-CO" w:eastAsia="es-CO"/>
        </w:rPr>
        <w:footnoteReference w:id="2"/>
      </w:r>
      <w:r w:rsidRPr="0043040E">
        <w:rPr>
          <w:rFonts w:ascii="Arial" w:eastAsia="Times New Roman" w:hAnsi="Arial" w:cs="Arial"/>
          <w:color w:val="0D0D0D"/>
          <w:sz w:val="22"/>
          <w:bdr w:val="none" w:sz="0" w:space="0" w:color="auto" w:frame="1"/>
          <w:lang w:val="es-CO" w:eastAsia="es-CO"/>
        </w:rPr>
        <w:t>. </w:t>
      </w:r>
    </w:p>
    <w:p w14:paraId="3AF5BAF0" w14:textId="0D872743" w:rsidR="0054595A" w:rsidRPr="0043040E" w:rsidRDefault="0043040E" w:rsidP="00346E84">
      <w:pPr>
        <w:shd w:val="clear" w:color="auto" w:fill="FFFFFF"/>
        <w:spacing w:before="120" w:line="276" w:lineRule="auto"/>
        <w:ind w:firstLine="708"/>
        <w:jc w:val="both"/>
        <w:rPr>
          <w:rFonts w:ascii="Arial" w:eastAsia="Times New Roman" w:hAnsi="Arial" w:cs="Arial"/>
          <w:color w:val="0D0D0D"/>
          <w:sz w:val="22"/>
          <w:bdr w:val="none" w:sz="0" w:space="0" w:color="auto" w:frame="1"/>
          <w:lang w:val="es-CO" w:eastAsia="es-CO"/>
        </w:rPr>
      </w:pPr>
      <w:r w:rsidRPr="0043040E">
        <w:rPr>
          <w:rFonts w:ascii="Arial" w:eastAsia="Times New Roman" w:hAnsi="Arial" w:cs="Arial"/>
          <w:color w:val="0D0D0D"/>
          <w:sz w:val="22"/>
          <w:bdr w:val="none" w:sz="0" w:space="0" w:color="auto" w:frame="1"/>
          <w:lang w:val="es-CO" w:eastAsia="es-CO"/>
        </w:rPr>
        <w:t>La intención era agilizar y dar mayor transparencia a los procedimientos de selección, así como evitar el direccionamiento, razón por la cual –conforme a lo explicado en la exposición de motivos– «[…]</w:t>
      </w:r>
      <w:r w:rsidR="0054595A" w:rsidRPr="00CA5C6B">
        <w:rPr>
          <w:rFonts w:ascii="Arial" w:eastAsia="Times New Roman" w:hAnsi="Arial" w:cs="Arial"/>
          <w:color w:val="0D0D0D"/>
          <w:sz w:val="22"/>
          <w:bdr w:val="none" w:sz="0" w:space="0" w:color="auto" w:frame="1"/>
          <w:lang w:val="es-CO" w:eastAsia="es-CO"/>
        </w:rPr>
        <w:t xml:space="preserve"> </w:t>
      </w:r>
      <w:r w:rsidRPr="0043040E">
        <w:rPr>
          <w:rFonts w:ascii="Arial" w:eastAsia="Times New Roman" w:hAnsi="Arial" w:cs="Arial"/>
          <w:color w:val="0D0D0D"/>
          <w:sz w:val="22"/>
          <w:bdr w:val="none" w:sz="0" w:space="0" w:color="auto" w:frame="1"/>
          <w:lang w:val="es-CO" w:eastAsia="es-CO"/>
        </w:rPr>
        <w:t xml:space="preserve">se asigna al Gobierno Nacional la facultad de estandarizar los pliegos de condiciones y términos de referencia de los contratos, medida </w:t>
      </w:r>
      <w:r w:rsidRPr="0043040E">
        <w:rPr>
          <w:rFonts w:ascii="Arial" w:eastAsia="Times New Roman" w:hAnsi="Arial" w:cs="Arial"/>
          <w:color w:val="0D0D0D"/>
          <w:sz w:val="22"/>
          <w:bdr w:val="none" w:sz="0" w:space="0" w:color="auto" w:frame="1"/>
          <w:lang w:val="es-CO" w:eastAsia="es-CO"/>
        </w:rPr>
        <w:lastRenderedPageBreak/>
        <w:t>que redundará en la agilidad y claridad de los procedimientos»</w:t>
      </w:r>
      <w:r w:rsidRPr="00CA5C6B">
        <w:rPr>
          <w:rStyle w:val="Refdenotaalpie"/>
          <w:rFonts w:ascii="Arial" w:eastAsia="Times New Roman" w:hAnsi="Arial" w:cs="Arial"/>
          <w:color w:val="0D0D0D"/>
          <w:sz w:val="22"/>
          <w:bdr w:val="none" w:sz="0" w:space="0" w:color="auto" w:frame="1"/>
          <w:lang w:val="es-CO" w:eastAsia="es-CO"/>
        </w:rPr>
        <w:footnoteReference w:id="3"/>
      </w:r>
      <w:r w:rsidRPr="0043040E">
        <w:rPr>
          <w:rFonts w:ascii="Arial" w:eastAsia="Times New Roman" w:hAnsi="Arial" w:cs="Arial"/>
          <w:color w:val="0D0D0D"/>
          <w:sz w:val="22"/>
          <w:bdr w:val="none" w:sz="0" w:space="0" w:color="auto" w:frame="1"/>
          <w:lang w:val="es-CO" w:eastAsia="es-CO"/>
        </w:rPr>
        <w:t>. Sin embargo, en el texto aprobado, los pliegos tipo se limitaron a la adquisición o suministro de bienes de características técnicas uniformes</w:t>
      </w:r>
      <w:r w:rsidRPr="00CA5C6B">
        <w:rPr>
          <w:rStyle w:val="Refdenotaalpie"/>
          <w:rFonts w:ascii="Arial" w:eastAsia="Times New Roman" w:hAnsi="Arial" w:cs="Arial"/>
          <w:color w:val="0D0D0D"/>
          <w:sz w:val="22"/>
          <w:bdr w:val="none" w:sz="0" w:space="0" w:color="auto" w:frame="1"/>
          <w:lang w:val="es-CO" w:eastAsia="es-CO"/>
        </w:rPr>
        <w:footnoteReference w:id="4"/>
      </w:r>
      <w:r w:rsidRPr="0043040E">
        <w:rPr>
          <w:rFonts w:ascii="Arial" w:eastAsia="Times New Roman" w:hAnsi="Arial" w:cs="Arial"/>
          <w:color w:val="0D0D0D"/>
          <w:sz w:val="22"/>
          <w:bdr w:val="none" w:sz="0" w:space="0" w:color="auto" w:frame="1"/>
          <w:lang w:val="es-CO" w:eastAsia="es-CO"/>
        </w:rPr>
        <w:t>. </w:t>
      </w:r>
    </w:p>
    <w:p w14:paraId="61709548" w14:textId="4DA3F030" w:rsidR="0043040E" w:rsidRDefault="0043040E" w:rsidP="00C25DB6">
      <w:pPr>
        <w:shd w:val="clear" w:color="auto" w:fill="FFFFFF"/>
        <w:spacing w:before="120" w:line="276" w:lineRule="auto"/>
        <w:ind w:firstLine="709"/>
        <w:jc w:val="both"/>
        <w:rPr>
          <w:rFonts w:ascii="Arial" w:eastAsia="Times New Roman" w:hAnsi="Arial" w:cs="Arial"/>
          <w:color w:val="0D0D0D"/>
          <w:sz w:val="22"/>
          <w:bdr w:val="none" w:sz="0" w:space="0" w:color="auto" w:frame="1"/>
          <w:lang w:val="es-CO" w:eastAsia="es-CO"/>
        </w:rPr>
      </w:pPr>
      <w:r w:rsidRPr="0043040E">
        <w:rPr>
          <w:rFonts w:ascii="Arial" w:eastAsia="Times New Roman" w:hAnsi="Arial" w:cs="Arial"/>
          <w:color w:val="0D0D0D"/>
          <w:sz w:val="22"/>
          <w:bdr w:val="none" w:sz="0" w:space="0" w:color="auto" w:frame="1"/>
          <w:lang w:val="es-CO" w:eastAsia="es-CO"/>
        </w:rPr>
        <w:t>Posteriormente, el artículo 2, parágrafo 7º, de la Ley 1150 de 2007, adicionado por el artículo 4 de la Ley 1882 de 2018, establece la obligatoriedad de la adopción de documentos tipo para algunos contratos, en los siguientes términos: </w:t>
      </w:r>
    </w:p>
    <w:p w14:paraId="25424552" w14:textId="77777777" w:rsidR="006C5528" w:rsidRPr="0043040E" w:rsidRDefault="006C5528" w:rsidP="00346E84">
      <w:pPr>
        <w:shd w:val="clear" w:color="auto" w:fill="FFFFFF"/>
        <w:spacing w:line="276" w:lineRule="auto"/>
        <w:ind w:firstLine="709"/>
        <w:jc w:val="both"/>
        <w:rPr>
          <w:rFonts w:ascii="Arial" w:eastAsia="Times New Roman" w:hAnsi="Arial" w:cs="Arial"/>
          <w:color w:val="000000"/>
          <w:sz w:val="22"/>
          <w:lang w:val="es-CO" w:eastAsia="es-CO"/>
        </w:rPr>
      </w:pPr>
    </w:p>
    <w:p w14:paraId="443264D4" w14:textId="7668A446" w:rsidR="0043040E" w:rsidRDefault="0043040E" w:rsidP="006C5528">
      <w:pPr>
        <w:shd w:val="clear" w:color="auto" w:fill="FFFFFF"/>
        <w:ind w:left="709" w:right="709"/>
        <w:jc w:val="both"/>
        <w:rPr>
          <w:rFonts w:ascii="Arial" w:eastAsia="Times New Roman" w:hAnsi="Arial" w:cs="Arial"/>
          <w:color w:val="0D0D0D"/>
          <w:sz w:val="21"/>
          <w:szCs w:val="21"/>
          <w:bdr w:val="none" w:sz="0" w:space="0" w:color="auto" w:frame="1"/>
          <w:lang w:val="es-CO" w:eastAsia="es-CO"/>
        </w:rPr>
      </w:pPr>
      <w:r w:rsidRPr="0043040E">
        <w:rPr>
          <w:rFonts w:ascii="Arial" w:eastAsia="Times New Roman" w:hAnsi="Arial" w:cs="Arial"/>
          <w:color w:val="0D0D0D"/>
          <w:sz w:val="21"/>
          <w:szCs w:val="21"/>
          <w:bdr w:val="none" w:sz="0" w:space="0" w:color="auto" w:frame="1"/>
          <w:lang w:val="es-CO" w:eastAsia="es-CO"/>
        </w:rPr>
        <w:t>Parágrafo 7°. 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w:t>
      </w:r>
      <w:r w:rsidRPr="0043040E">
        <w:rPr>
          <w:rFonts w:ascii="Arial" w:eastAsia="Times New Roman" w:hAnsi="Arial" w:cs="Arial"/>
          <w:i/>
          <w:iCs/>
          <w:color w:val="0D0D0D"/>
          <w:sz w:val="21"/>
          <w:szCs w:val="21"/>
          <w:bdr w:val="none" w:sz="0" w:space="0" w:color="auto" w:frame="1"/>
          <w:lang w:val="es-CO" w:eastAsia="es-CO"/>
        </w:rPr>
        <w:t>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w:t>
      </w:r>
      <w:r w:rsidRPr="0043040E">
        <w:rPr>
          <w:rFonts w:ascii="Arial" w:eastAsia="Times New Roman" w:hAnsi="Arial" w:cs="Arial"/>
          <w:color w:val="0D0D0D"/>
          <w:sz w:val="21"/>
          <w:szCs w:val="21"/>
          <w:bdr w:val="none" w:sz="0" w:space="0" w:color="auto" w:frame="1"/>
          <w:lang w:val="es-CO" w:eastAsia="es-CO"/>
        </w:rPr>
        <w:t> […] </w:t>
      </w:r>
      <w:r w:rsidRPr="0043040E">
        <w:rPr>
          <w:rFonts w:ascii="Arial" w:eastAsia="Times New Roman" w:hAnsi="Arial" w:cs="Arial"/>
          <w:i/>
          <w:iCs/>
          <w:color w:val="0D0D0D"/>
          <w:sz w:val="21"/>
          <w:szCs w:val="21"/>
          <w:bdr w:val="none" w:sz="0" w:space="0" w:color="auto" w:frame="1"/>
          <w:lang w:val="es-CO" w:eastAsia="es-CO"/>
        </w:rPr>
        <w:t>teniendo en cuenta la naturaleza y cuantía de los contratos</w:t>
      </w:r>
      <w:r w:rsidRPr="0043040E">
        <w:rPr>
          <w:rFonts w:ascii="Arial" w:eastAsia="Times New Roman" w:hAnsi="Arial" w:cs="Arial"/>
          <w:color w:val="0D0D0D"/>
          <w:sz w:val="21"/>
          <w:szCs w:val="21"/>
          <w:bdr w:val="none" w:sz="0" w:space="0" w:color="auto" w:frame="1"/>
          <w:lang w:val="es-CO" w:eastAsia="es-CO"/>
        </w:rPr>
        <w:t> […]. (Énfasis fuera de texto) </w:t>
      </w:r>
    </w:p>
    <w:p w14:paraId="2772FDED" w14:textId="77777777" w:rsidR="006C5528" w:rsidRPr="00346E84" w:rsidRDefault="006C5528" w:rsidP="00346E84">
      <w:pPr>
        <w:shd w:val="clear" w:color="auto" w:fill="FFFFFF"/>
        <w:spacing w:line="276" w:lineRule="auto"/>
        <w:ind w:left="709" w:right="709"/>
        <w:jc w:val="both"/>
        <w:rPr>
          <w:rFonts w:ascii="Arial" w:eastAsia="Times New Roman" w:hAnsi="Arial" w:cs="Arial"/>
          <w:color w:val="000000"/>
          <w:sz w:val="22"/>
          <w:lang w:val="es-CO" w:eastAsia="es-CO"/>
        </w:rPr>
      </w:pPr>
    </w:p>
    <w:p w14:paraId="4FA35313" w14:textId="62B2FB8B" w:rsidR="006C5CD7" w:rsidRPr="0043040E" w:rsidRDefault="0043040E" w:rsidP="00346E84">
      <w:pPr>
        <w:shd w:val="clear" w:color="auto" w:fill="FFFFFF"/>
        <w:spacing w:line="276" w:lineRule="auto"/>
        <w:ind w:firstLine="708"/>
        <w:jc w:val="both"/>
        <w:rPr>
          <w:rFonts w:ascii="Arial" w:eastAsia="Times New Roman" w:hAnsi="Arial" w:cs="Arial"/>
          <w:color w:val="0D0D0D"/>
          <w:sz w:val="22"/>
          <w:bdr w:val="none" w:sz="0" w:space="0" w:color="auto" w:frame="1"/>
          <w:lang w:val="es-CO" w:eastAsia="es-CO"/>
        </w:rPr>
      </w:pPr>
      <w:r w:rsidRPr="0043040E">
        <w:rPr>
          <w:rFonts w:ascii="Arial" w:eastAsia="Times New Roman" w:hAnsi="Arial" w:cs="Arial"/>
          <w:color w:val="0D0D0D"/>
          <w:sz w:val="22"/>
          <w:bdr w:val="none" w:sz="0" w:space="0" w:color="auto" w:frame="1"/>
          <w:lang w:val="es-CO" w:eastAsia="es-CO"/>
        </w:rPr>
        <w:t>Sin embargo, el 22 de julio de 2020, el Gobierno Nacional sancionó la Ley 2022, llamada la «ley de pliegos tipo», que rige a partir de su publicación y cuyo artículo 1 modifica el artículo 4 de la Ley 1882 de 2018 en relación con los siguientes aspectos: i) el sujeto encargado de la adopción de los documentos tipo, ya que antes se señalaba al Gobierno Nacional y ahora la entidad encargada directamente por la Ley es la Agencia Nacional de Contratación Pública – Colombia Compra Eficiente o quien haga sus veces; ii) la inclusión de buenas prácticas contractuales y los principios de la contratación pública para establecer los requisitos habilitantes, factores técnicos, económicos y otros factores de escogencia en los documentos tipo; iii) la implementación de procesos de capacitación en los municipios para la utilización de los documentos tipo buscando el desarrollo de la economía local; y iv) las responsabilidades para Colombia Compra Eficiente en la definición del desarrollo e implementación de los documentos tipo mediante cronogramas, coordinación con otras entidades especializadas, recepción de comentarios de los interesados y revisión de los documentos tipo expedidos</w:t>
      </w:r>
      <w:r w:rsidRPr="00CA5C6B">
        <w:rPr>
          <w:rStyle w:val="Refdenotaalpie"/>
          <w:rFonts w:ascii="Arial" w:eastAsia="Times New Roman" w:hAnsi="Arial" w:cs="Arial"/>
          <w:color w:val="0D0D0D"/>
          <w:sz w:val="22"/>
          <w:bdr w:val="none" w:sz="0" w:space="0" w:color="auto" w:frame="1"/>
          <w:lang w:val="es-CO" w:eastAsia="es-CO"/>
        </w:rPr>
        <w:footnoteReference w:id="5"/>
      </w:r>
      <w:r w:rsidRPr="0043040E">
        <w:rPr>
          <w:rFonts w:ascii="Arial" w:eastAsia="Times New Roman" w:hAnsi="Arial" w:cs="Arial"/>
          <w:color w:val="0D0D0D"/>
          <w:sz w:val="22"/>
          <w:bdr w:val="none" w:sz="0" w:space="0" w:color="auto" w:frame="1"/>
          <w:lang w:val="es-CO" w:eastAsia="es-CO"/>
        </w:rPr>
        <w:t>.  </w:t>
      </w:r>
    </w:p>
    <w:p w14:paraId="06F53498" w14:textId="57BF5880" w:rsidR="0054595A" w:rsidRPr="0043040E" w:rsidRDefault="0043040E" w:rsidP="00C25DB6">
      <w:pPr>
        <w:shd w:val="clear" w:color="auto" w:fill="FFFFFF"/>
        <w:spacing w:before="120" w:line="276" w:lineRule="auto"/>
        <w:ind w:firstLine="703"/>
        <w:jc w:val="both"/>
        <w:rPr>
          <w:rFonts w:ascii="Arial" w:eastAsia="Times New Roman" w:hAnsi="Arial" w:cs="Arial"/>
          <w:color w:val="0D0D0D"/>
          <w:sz w:val="22"/>
          <w:bdr w:val="none" w:sz="0" w:space="0" w:color="auto" w:frame="1"/>
          <w:lang w:val="es-CO" w:eastAsia="es-CO"/>
        </w:rPr>
      </w:pPr>
      <w:r w:rsidRPr="0043040E">
        <w:rPr>
          <w:rFonts w:ascii="Arial" w:eastAsia="Times New Roman" w:hAnsi="Arial" w:cs="Arial"/>
          <w:color w:val="0D0D0D"/>
          <w:sz w:val="22"/>
          <w:bdr w:val="none" w:sz="0" w:space="0" w:color="auto" w:frame="1"/>
          <w:lang w:val="es-CO" w:eastAsia="es-CO"/>
        </w:rPr>
        <w:lastRenderedPageBreak/>
        <w:t>Sin perjuicio de lo anterior, la exposición de motivos del proyecto que se convirtió en la Ley 1882 de 2018 se refirió a la necesidad de utilizar documentos tipo, pues reducen el tiempo de los procesos de contratación y contribuyen al logro de una contratación pública más transparente y con mayor concurrencia de oferentes. Igualmente, la intención del legislador era adaptar el ordenamiento jurídico colombiano a las nuevas tendencias internacionales, al entender que los documentos tipo son una medida eficaz contra la corrupción y permiten una administración pública más eficiente y moderna. </w:t>
      </w:r>
    </w:p>
    <w:p w14:paraId="03D75270" w14:textId="7A1376BE" w:rsidR="0054595A" w:rsidRPr="0043040E" w:rsidRDefault="0043040E" w:rsidP="00C25DB6">
      <w:pPr>
        <w:shd w:val="clear" w:color="auto" w:fill="FFFFFF"/>
        <w:spacing w:before="120" w:line="276" w:lineRule="auto"/>
        <w:ind w:firstLine="705"/>
        <w:jc w:val="both"/>
        <w:rPr>
          <w:rFonts w:ascii="Arial" w:eastAsia="Times New Roman" w:hAnsi="Arial" w:cs="Arial"/>
          <w:color w:val="0D0D0D"/>
          <w:sz w:val="22"/>
          <w:bdr w:val="none" w:sz="0" w:space="0" w:color="auto" w:frame="1"/>
          <w:lang w:val="es-CO" w:eastAsia="es-CO"/>
        </w:rPr>
      </w:pPr>
      <w:r w:rsidRPr="0043040E">
        <w:rPr>
          <w:rFonts w:ascii="Arial" w:eastAsia="Times New Roman" w:hAnsi="Arial" w:cs="Arial"/>
          <w:color w:val="0D0D0D"/>
          <w:sz w:val="22"/>
          <w:bdr w:val="none" w:sz="0" w:space="0" w:color="auto" w:frame="1"/>
          <w:lang w:val="es-CO" w:eastAsia="es-CO"/>
        </w:rPr>
        <w:t>En ejercicio de la competencia conferida por el citado parágrafo, el Gobierno Nacional expidió el Decreto 342 de 2019, por medio del que se adoptaron los documentos tipo para licitaciones públicas para selección de contratistas de obra de infraestructura de transporte. En esta medida, el reglamento adicionó la Sección 6 y la Subsección 1 al Capítulo 2 del Título 1 de la Parte 2 del Libro 2 del Decreto 1082 de 2015, Decreto Único Reglamentario del Sector Administrativo de Planeación Nacional.  </w:t>
      </w:r>
    </w:p>
    <w:p w14:paraId="7D0CFEF9" w14:textId="155507A8" w:rsidR="0054595A" w:rsidRPr="0043040E" w:rsidRDefault="0043040E" w:rsidP="00C25DB6">
      <w:pPr>
        <w:shd w:val="clear" w:color="auto" w:fill="FFFFFF"/>
        <w:spacing w:before="120" w:line="276" w:lineRule="auto"/>
        <w:ind w:firstLine="705"/>
        <w:jc w:val="both"/>
        <w:rPr>
          <w:rFonts w:ascii="Arial" w:eastAsia="Times New Roman" w:hAnsi="Arial" w:cs="Arial"/>
          <w:color w:val="0D0D0D"/>
          <w:sz w:val="22"/>
          <w:bdr w:val="none" w:sz="0" w:space="0" w:color="auto" w:frame="1"/>
          <w:lang w:val="es-CO" w:eastAsia="es-CO"/>
        </w:rPr>
      </w:pPr>
      <w:r w:rsidRPr="0043040E">
        <w:rPr>
          <w:rFonts w:ascii="Arial" w:eastAsia="Times New Roman" w:hAnsi="Arial" w:cs="Arial"/>
          <w:color w:val="0D0D0D"/>
          <w:sz w:val="22"/>
          <w:bdr w:val="none" w:sz="0" w:space="0" w:color="auto" w:frame="1"/>
          <w:lang w:val="es-CO" w:eastAsia="es-CO"/>
        </w:rPr>
        <w:t>El artículo 2.2.1.2.6.1.1 del Decreto 1082 de 2015, sobre el objeto de los «Documentos Tipo» adoptados por el Decreto 342 de 2019, señala que «La presente subsección tiene por objeto adoptar los Documentos Tipo para los pliegos de condiciones de los procesos de selección de licitación de obra pública de infraestructura de transporte». Además, el artículo 2.2.1.2.6.1.2 del Decreto –referido al alcance de los documentos tipo–dispone que «contienen parámetros obligatorios para las entidades estatales sometidas al Estatuto General de la Contratación Pública que adelanten procesos de selección de licitación de obra pública de infraestructura de transporte».  </w:t>
      </w:r>
    </w:p>
    <w:p w14:paraId="751CA9E2" w14:textId="7AB538E8" w:rsidR="0054595A" w:rsidRPr="0043040E" w:rsidRDefault="0043040E" w:rsidP="00C25DB6">
      <w:pPr>
        <w:shd w:val="clear" w:color="auto" w:fill="FFFFFF"/>
        <w:spacing w:before="120" w:line="276" w:lineRule="auto"/>
        <w:ind w:firstLine="705"/>
        <w:jc w:val="both"/>
        <w:rPr>
          <w:rFonts w:ascii="Arial" w:eastAsia="Times New Roman" w:hAnsi="Arial" w:cs="Arial"/>
          <w:color w:val="0D0D0D"/>
          <w:sz w:val="22"/>
          <w:bdr w:val="none" w:sz="0" w:space="0" w:color="auto" w:frame="1"/>
          <w:lang w:val="es-CO" w:eastAsia="es-CO"/>
        </w:rPr>
      </w:pPr>
      <w:r w:rsidRPr="0043040E">
        <w:rPr>
          <w:rFonts w:ascii="Arial" w:eastAsia="Times New Roman" w:hAnsi="Arial" w:cs="Arial"/>
          <w:color w:val="0D0D0D"/>
          <w:sz w:val="22"/>
          <w:bdr w:val="none" w:sz="0" w:space="0" w:color="auto" w:frame="1"/>
          <w:lang w:val="es-CO" w:eastAsia="es-CO"/>
        </w:rPr>
        <w:lastRenderedPageBreak/>
        <w:t>El Gobierno Nacional mediante el artículo 2.2.1.2.6.1.3 del Decreto 1082 de 2015, adicionado por el Decreto 342 de 2019, facultó a la Agencia Nacional de Contratación Pública – Colombia Compra Eficiente, para que en coordinación con el Departamento Nacional de Planeación –DNP– y el Ministerio de Transporte, desarrollara e implementara los Documentos Tipo. Esto tuvo lugar con la expedición de la Resolución No. 1798 del 1º de abril de 2019 que implementó la Versión 1 de los documentos tipo para procesos de licitación de obra pública de infraestructura de transporte. </w:t>
      </w:r>
    </w:p>
    <w:p w14:paraId="213C7166" w14:textId="22DF7695" w:rsidR="0054595A" w:rsidRPr="0043040E" w:rsidRDefault="0043040E" w:rsidP="00C25DB6">
      <w:pPr>
        <w:shd w:val="clear" w:color="auto" w:fill="FFFFFF"/>
        <w:spacing w:before="120" w:line="276" w:lineRule="auto"/>
        <w:jc w:val="both"/>
        <w:rPr>
          <w:rFonts w:ascii="Arial" w:eastAsia="Times New Roman" w:hAnsi="Arial" w:cs="Arial"/>
          <w:color w:val="0D0D0D"/>
          <w:sz w:val="22"/>
          <w:bdr w:val="none" w:sz="0" w:space="0" w:color="auto" w:frame="1"/>
          <w:lang w:val="es-CO" w:eastAsia="es-CO"/>
        </w:rPr>
      </w:pPr>
      <w:r w:rsidRPr="0043040E">
        <w:rPr>
          <w:rFonts w:ascii="Arial" w:eastAsia="Times New Roman" w:hAnsi="Arial" w:cs="Arial"/>
          <w:color w:val="0D0D0D"/>
          <w:sz w:val="22"/>
          <w:bdr w:val="none" w:sz="0" w:space="0" w:color="auto" w:frame="1"/>
          <w:lang w:val="es-CO" w:eastAsia="es-CO"/>
        </w:rPr>
        <w:t>            La Agencia Nacional de Contratación Pública – Colombia Compra Eficiente luego de identificar, junto con el Departamento Nacional de Planeación y el Ministerio de Transporte, la necesidad de actualizar los documentos tipo para los procesos de licitación pública en orden de fortalecerlos y adaptarlos a la realidad de la contratación del país, implementó la versión 2. De esta manera expidió la Resolución No. 045 del 14 de febrero de 2020, «Por la cual se actualizan los Documentos Tipo para los procesos de selección de licitación de obra pública de infraestructura de transporte y se deroga la Resolución 1798 de 2019».  </w:t>
      </w:r>
    </w:p>
    <w:p w14:paraId="24AEFFE5" w14:textId="712D8787" w:rsidR="0054595A" w:rsidRPr="0043040E" w:rsidRDefault="0043040E" w:rsidP="00C25DB6">
      <w:pPr>
        <w:shd w:val="clear" w:color="auto" w:fill="FFFFFF"/>
        <w:spacing w:before="120" w:line="276" w:lineRule="auto"/>
        <w:ind w:firstLine="708"/>
        <w:jc w:val="both"/>
        <w:rPr>
          <w:rFonts w:ascii="Arial" w:eastAsia="Times New Roman" w:hAnsi="Arial" w:cs="Arial"/>
          <w:color w:val="0D0D0D"/>
          <w:sz w:val="22"/>
          <w:bdr w:val="none" w:sz="0" w:space="0" w:color="auto" w:frame="1"/>
          <w:lang w:val="es-CO" w:eastAsia="es-CO"/>
        </w:rPr>
      </w:pPr>
      <w:r w:rsidRPr="0043040E">
        <w:rPr>
          <w:rFonts w:ascii="Arial" w:eastAsia="Times New Roman" w:hAnsi="Arial" w:cs="Arial"/>
          <w:color w:val="0D0D0D"/>
          <w:sz w:val="22"/>
          <w:bdr w:val="none" w:sz="0" w:space="0" w:color="auto" w:frame="1"/>
          <w:lang w:val="es-CO" w:eastAsia="es-CO"/>
        </w:rPr>
        <w:t>El Gobierno Nacional ejerció nuevamente la competencia prevista en el citado artículo 4 de la Ley 1882 de 2018, expidiendo el Decreto 2096 de 2019. A través de él se autorizaron los documentos tipo para procesos de contratación de obra pública de infraestructura de transporte adelantados en la modalidad de selección abreviada de menor cuantía. Este reglamento adicionó la Subsección 2 a la Sección 6 del Capítulo 2 del Título 1 de la parte 2 del Libro 2 del Decreto 1082 de 2015. </w:t>
      </w:r>
    </w:p>
    <w:p w14:paraId="3BA9412D" w14:textId="347B16FC" w:rsidR="0054595A" w:rsidRPr="0043040E" w:rsidRDefault="0043040E" w:rsidP="00C25DB6">
      <w:pPr>
        <w:shd w:val="clear" w:color="auto" w:fill="FFFFFF"/>
        <w:spacing w:before="120" w:line="276" w:lineRule="auto"/>
        <w:jc w:val="both"/>
        <w:rPr>
          <w:rFonts w:ascii="Arial" w:eastAsia="Times New Roman" w:hAnsi="Arial" w:cs="Arial"/>
          <w:color w:val="0D0D0D"/>
          <w:sz w:val="22"/>
          <w:bdr w:val="none" w:sz="0" w:space="0" w:color="auto" w:frame="1"/>
          <w:lang w:val="es-CO" w:eastAsia="es-CO"/>
        </w:rPr>
      </w:pPr>
      <w:r w:rsidRPr="0043040E">
        <w:rPr>
          <w:rFonts w:ascii="Arial" w:eastAsia="Times New Roman" w:hAnsi="Arial" w:cs="Arial"/>
          <w:color w:val="0D0D0D"/>
          <w:sz w:val="22"/>
          <w:bdr w:val="none" w:sz="0" w:space="0" w:color="auto" w:frame="1"/>
          <w:lang w:val="es-CO" w:eastAsia="es-CO"/>
        </w:rPr>
        <w:t>            El artículo 2.2.1.2.6.2.2 del Decreto 1082 de 2015 contiene el listado de los documentos tipo aplicables a los procesos de selección abreviada de menor cuantía para la contratación de obra pública de infraestructura de transporte. Además, el 2.2.1.2.6.2.3 </w:t>
      </w:r>
      <w:r w:rsidRPr="0043040E">
        <w:rPr>
          <w:rFonts w:ascii="Arial" w:eastAsia="Times New Roman" w:hAnsi="Arial" w:cs="Arial"/>
          <w:i/>
          <w:iCs/>
          <w:color w:val="0D0D0D"/>
          <w:sz w:val="22"/>
          <w:bdr w:val="none" w:sz="0" w:space="0" w:color="auto" w:frame="1"/>
          <w:lang w:val="es-CO" w:eastAsia="es-CO"/>
        </w:rPr>
        <w:t>ibidem</w:t>
      </w:r>
      <w:r w:rsidRPr="0043040E">
        <w:rPr>
          <w:rFonts w:ascii="Arial" w:eastAsia="Times New Roman" w:hAnsi="Arial" w:cs="Arial"/>
          <w:color w:val="0D0D0D"/>
          <w:sz w:val="22"/>
          <w:bdr w:val="none" w:sz="0" w:space="0" w:color="auto" w:frame="1"/>
          <w:lang w:val="es-CO" w:eastAsia="es-CO"/>
        </w:rPr>
        <w:t> facultó a la Agencia Nacional de Contratación Pública – Colombia Compra Eficiente, para que en coordinación con el Departamento Nacional de Planeación –DNP– y el Ministerio de Transporte, desarrollara e implementara los documentos tipo. La entidad ejerció esta competencia mediante la expedición de la Resolución No. 044 del 14 de febrero de 2020 que implementó los documentos tipo para esta modalidad de selección. </w:t>
      </w:r>
    </w:p>
    <w:p w14:paraId="59ADCCE2" w14:textId="503FA3C8" w:rsidR="00991BE6" w:rsidRPr="0043040E" w:rsidRDefault="0043040E" w:rsidP="00C25DB6">
      <w:pPr>
        <w:shd w:val="clear" w:color="auto" w:fill="FFFFFF"/>
        <w:spacing w:before="120" w:line="276" w:lineRule="auto"/>
        <w:ind w:firstLine="708"/>
        <w:jc w:val="both"/>
        <w:rPr>
          <w:rFonts w:ascii="Arial" w:eastAsia="Times New Roman" w:hAnsi="Arial" w:cs="Arial"/>
          <w:color w:val="0D0D0D"/>
          <w:sz w:val="22"/>
          <w:bdr w:val="none" w:sz="0" w:space="0" w:color="auto" w:frame="1"/>
          <w:lang w:val="es-CO" w:eastAsia="es-CO"/>
        </w:rPr>
      </w:pPr>
      <w:r w:rsidRPr="0043040E">
        <w:rPr>
          <w:rFonts w:ascii="Arial" w:eastAsia="Times New Roman" w:hAnsi="Arial" w:cs="Arial"/>
          <w:color w:val="0D0D0D"/>
          <w:sz w:val="22"/>
          <w:bdr w:val="none" w:sz="0" w:space="0" w:color="auto" w:frame="1"/>
          <w:lang w:val="es-CO" w:eastAsia="es-CO"/>
        </w:rPr>
        <w:t>Finalmente, el Gobierno Nacional ejerció la competencia prevista en el citado artículo 4 de la Ley 1882 de 2018, expidiendo el Decreto 594 de 2020, el cual adoptó los documentos tipo para procesos de contratación de obra pública de infraestructura de transporte adelantados en la modalidad de mínima cuantía. Este reglamento adicionó la Subsección 3 a la Sección 6 del Capítulo 2 del Título 1 de la parte 2 del Libro 2 del Decreto 1082 de 2015. </w:t>
      </w:r>
    </w:p>
    <w:p w14:paraId="661929FE" w14:textId="70F05D7E" w:rsidR="00CA5C6B" w:rsidRPr="0043040E" w:rsidRDefault="0043040E" w:rsidP="00C25DB6">
      <w:pPr>
        <w:shd w:val="clear" w:color="auto" w:fill="FFFFFF"/>
        <w:spacing w:before="120" w:line="276" w:lineRule="auto"/>
        <w:ind w:firstLine="708"/>
        <w:jc w:val="both"/>
        <w:rPr>
          <w:rFonts w:ascii="Arial" w:eastAsia="Times New Roman" w:hAnsi="Arial" w:cs="Arial"/>
          <w:color w:val="0D0D0D"/>
          <w:sz w:val="22"/>
          <w:bdr w:val="none" w:sz="0" w:space="0" w:color="auto" w:frame="1"/>
          <w:lang w:val="es-CO" w:eastAsia="es-CO"/>
        </w:rPr>
      </w:pPr>
      <w:r w:rsidRPr="0043040E">
        <w:rPr>
          <w:rFonts w:ascii="Arial" w:eastAsia="Times New Roman" w:hAnsi="Arial" w:cs="Arial"/>
          <w:color w:val="0D0D0D"/>
          <w:sz w:val="22"/>
          <w:bdr w:val="none" w:sz="0" w:space="0" w:color="auto" w:frame="1"/>
          <w:lang w:val="es-CO" w:eastAsia="es-CO"/>
        </w:rPr>
        <w:t xml:space="preserve">El artículo 2.2.1.2.6.3.2 del Decreto 1082 de 2015 contiene el listado de los documentos tipo aplicables a los procesos de mínima cuantía para la contratación de obra </w:t>
      </w:r>
      <w:r w:rsidRPr="0043040E">
        <w:rPr>
          <w:rFonts w:ascii="Arial" w:eastAsia="Times New Roman" w:hAnsi="Arial" w:cs="Arial"/>
          <w:color w:val="0D0D0D"/>
          <w:sz w:val="22"/>
          <w:bdr w:val="none" w:sz="0" w:space="0" w:color="auto" w:frame="1"/>
          <w:lang w:val="es-CO" w:eastAsia="es-CO"/>
        </w:rPr>
        <w:lastRenderedPageBreak/>
        <w:t>pública de infraestructura de transporte, mientras que el 2.2.1.2.6.3.3 facultó a la Agencia Nacional de Contratación Pública – Colombia Compra Eficiente, para que en coordinación con el Departamento Nacional de Planeación –DNP– y el Ministerio de Transporte, desarrollara e implementara los documentos tipo. Esta competencia fue ejercida mediante la expedición de la Resolución No. 094 del 21 de mayo de 2020 que implementó los documentos tipo para esta modalidad de selección. </w:t>
      </w:r>
    </w:p>
    <w:p w14:paraId="0409E032" w14:textId="2A17E102" w:rsidR="0043040E" w:rsidRDefault="0043040E" w:rsidP="00D21D97">
      <w:pPr>
        <w:shd w:val="clear" w:color="auto" w:fill="FFFFFF"/>
        <w:spacing w:before="120" w:line="276" w:lineRule="auto"/>
        <w:ind w:firstLine="708"/>
        <w:jc w:val="both"/>
        <w:rPr>
          <w:rFonts w:ascii="Arial" w:eastAsia="Times New Roman" w:hAnsi="Arial" w:cs="Arial"/>
          <w:color w:val="000000"/>
          <w:sz w:val="22"/>
          <w:lang w:val="es-CO" w:eastAsia="es-CO"/>
        </w:rPr>
      </w:pPr>
      <w:r w:rsidRPr="0043040E">
        <w:rPr>
          <w:rFonts w:ascii="Arial" w:eastAsia="Times New Roman" w:hAnsi="Arial" w:cs="Arial"/>
          <w:color w:val="0D0D0D"/>
          <w:sz w:val="22"/>
          <w:bdr w:val="none" w:sz="0" w:space="0" w:color="auto" w:frame="1"/>
          <w:lang w:val="es-CO" w:eastAsia="es-CO"/>
        </w:rPr>
        <w:t>Ahora bien, esta Agencia consciente de la afectación económica que causaron las medidas adoptadas para contener la pandemia COVID – 19 en el país, decide actualizar los documentos tipo para los procesos de licitación de obra pública y selección abreviada de menor cuantía de infraestructura de transporte y, en consecuencia, adopta medidas en apoyo a la industria nacional. Por tanto, Colombia Compra Eficiente expide las Resoluciones No. 240 y 241 del 27 de noviembre 2020 a través de las cuales se adoptan los documentos tipo de licitación de obra pública – versión 3 y de selección abreviada de menor cuantía – versión 2 de infraestructura de transporte, lo cuales son obligatorios a partir del 1º de enero de 2021.  </w:t>
      </w:r>
    </w:p>
    <w:p w14:paraId="3EAEBEEA" w14:textId="77777777" w:rsidR="00D21D97" w:rsidRPr="0043040E" w:rsidRDefault="00D21D97" w:rsidP="00CA5C6B">
      <w:pPr>
        <w:shd w:val="clear" w:color="auto" w:fill="FFFFFF"/>
        <w:spacing w:line="276" w:lineRule="auto"/>
        <w:textAlignment w:val="baseline"/>
        <w:rPr>
          <w:rFonts w:ascii="Arial" w:eastAsia="Times New Roman" w:hAnsi="Arial" w:cs="Arial"/>
          <w:color w:val="000000"/>
          <w:sz w:val="22"/>
          <w:lang w:val="es-CO" w:eastAsia="es-CO"/>
        </w:rPr>
      </w:pPr>
    </w:p>
    <w:p w14:paraId="27596D5E" w14:textId="53B89C56" w:rsidR="00F476B4" w:rsidRDefault="001B5813" w:rsidP="00346E84">
      <w:pPr>
        <w:shd w:val="clear" w:color="auto" w:fill="FFFFFF"/>
        <w:spacing w:line="276" w:lineRule="auto"/>
        <w:jc w:val="both"/>
        <w:textAlignment w:val="baseline"/>
        <w:rPr>
          <w:rFonts w:ascii="Arial" w:eastAsia="Times New Roman" w:hAnsi="Arial" w:cs="Arial"/>
          <w:b/>
          <w:bCs/>
          <w:color w:val="000000"/>
          <w:sz w:val="22"/>
          <w:lang w:val="es-CO" w:eastAsia="es-CO"/>
        </w:rPr>
      </w:pPr>
      <w:r w:rsidRPr="00CA5C6B">
        <w:rPr>
          <w:rFonts w:ascii="Arial" w:eastAsia="Times New Roman" w:hAnsi="Arial" w:cs="Arial"/>
          <w:b/>
          <w:bCs/>
          <w:color w:val="000000"/>
          <w:sz w:val="22"/>
          <w:lang w:val="es-CO" w:eastAsia="es-CO"/>
        </w:rPr>
        <w:t xml:space="preserve">2.2. Inalterabilidad de los </w:t>
      </w:r>
      <w:r w:rsidR="00C56B01">
        <w:rPr>
          <w:rFonts w:ascii="Arial" w:eastAsia="Times New Roman" w:hAnsi="Arial" w:cs="Arial"/>
          <w:b/>
          <w:bCs/>
          <w:color w:val="000000"/>
          <w:sz w:val="22"/>
          <w:lang w:val="es-CO" w:eastAsia="es-CO"/>
        </w:rPr>
        <w:t>«D</w:t>
      </w:r>
      <w:r w:rsidRPr="00CA5C6B">
        <w:rPr>
          <w:rFonts w:ascii="Arial" w:eastAsia="Times New Roman" w:hAnsi="Arial" w:cs="Arial"/>
          <w:b/>
          <w:bCs/>
          <w:color w:val="000000"/>
          <w:sz w:val="22"/>
          <w:lang w:val="es-CO" w:eastAsia="es-CO"/>
        </w:rPr>
        <w:t xml:space="preserve">ocumentos </w:t>
      </w:r>
      <w:r w:rsidR="00C56B01">
        <w:rPr>
          <w:rFonts w:ascii="Arial" w:eastAsia="Times New Roman" w:hAnsi="Arial" w:cs="Arial"/>
          <w:b/>
          <w:bCs/>
          <w:color w:val="000000"/>
          <w:sz w:val="22"/>
          <w:lang w:val="es-CO" w:eastAsia="es-CO"/>
        </w:rPr>
        <w:t>T</w:t>
      </w:r>
      <w:r w:rsidRPr="00CA5C6B">
        <w:rPr>
          <w:rFonts w:ascii="Arial" w:eastAsia="Times New Roman" w:hAnsi="Arial" w:cs="Arial"/>
          <w:b/>
          <w:bCs/>
          <w:color w:val="000000"/>
          <w:sz w:val="22"/>
          <w:lang w:val="es-CO" w:eastAsia="es-CO"/>
        </w:rPr>
        <w:t>ipo</w:t>
      </w:r>
      <w:r w:rsidR="00C56B01">
        <w:rPr>
          <w:rFonts w:ascii="Arial" w:eastAsia="Times New Roman" w:hAnsi="Arial" w:cs="Arial"/>
          <w:b/>
          <w:bCs/>
          <w:color w:val="000000"/>
          <w:sz w:val="22"/>
          <w:lang w:val="es-CO" w:eastAsia="es-CO"/>
        </w:rPr>
        <w:t xml:space="preserve"> – Versión 3» de licitación para obra pública de infraestructura de transporte</w:t>
      </w:r>
      <w:r w:rsidRPr="00CA5C6B">
        <w:rPr>
          <w:rFonts w:ascii="Arial" w:eastAsia="Times New Roman" w:hAnsi="Arial" w:cs="Arial"/>
          <w:b/>
          <w:bCs/>
          <w:color w:val="000000"/>
          <w:sz w:val="22"/>
          <w:lang w:val="es-CO" w:eastAsia="es-CO"/>
        </w:rPr>
        <w:t xml:space="preserve"> y sus excepciones </w:t>
      </w:r>
    </w:p>
    <w:p w14:paraId="5B032040" w14:textId="77777777" w:rsidR="00CC1768" w:rsidRDefault="00CC1768" w:rsidP="00F476B4">
      <w:pPr>
        <w:shd w:val="clear" w:color="auto" w:fill="FFFFFF"/>
        <w:spacing w:line="276" w:lineRule="auto"/>
        <w:textAlignment w:val="baseline"/>
        <w:rPr>
          <w:rFonts w:ascii="Arial" w:eastAsia="Times New Roman" w:hAnsi="Arial" w:cs="Arial"/>
          <w:b/>
          <w:bCs/>
          <w:color w:val="000000"/>
          <w:sz w:val="22"/>
          <w:lang w:val="es-CO" w:eastAsia="es-CO"/>
        </w:rPr>
      </w:pPr>
    </w:p>
    <w:p w14:paraId="0D85B141" w14:textId="494709E0" w:rsidR="00306FA7" w:rsidRPr="00F476B4" w:rsidRDefault="00C048C9" w:rsidP="00A47C7C">
      <w:pPr>
        <w:shd w:val="clear" w:color="auto" w:fill="FFFFFF"/>
        <w:spacing w:line="276" w:lineRule="auto"/>
        <w:jc w:val="both"/>
        <w:textAlignment w:val="baseline"/>
        <w:rPr>
          <w:rFonts w:ascii="Arial" w:eastAsia="Times New Roman" w:hAnsi="Arial" w:cs="Arial"/>
          <w:b/>
          <w:bCs/>
          <w:color w:val="000000"/>
          <w:sz w:val="22"/>
          <w:lang w:val="es-CO" w:eastAsia="es-CO"/>
        </w:rPr>
      </w:pPr>
      <w:r>
        <w:rPr>
          <w:rFonts w:ascii="Arial" w:eastAsia="Calibri" w:hAnsi="Arial" w:cs="Arial"/>
          <w:bCs/>
          <w:sz w:val="22"/>
          <w:lang w:val="es-ES_tradnl"/>
        </w:rPr>
        <w:t>El</w:t>
      </w:r>
      <w:r w:rsidRPr="00CA5C6B">
        <w:rPr>
          <w:rFonts w:ascii="Arial" w:eastAsia="Calibri" w:hAnsi="Arial" w:cs="Arial"/>
          <w:bCs/>
          <w:sz w:val="22"/>
          <w:lang w:val="es-ES_tradnl"/>
        </w:rPr>
        <w:t xml:space="preserve"> artículo 2.2.1.2.6.1.4</w:t>
      </w:r>
      <w:r>
        <w:rPr>
          <w:rFonts w:ascii="Arial" w:eastAsia="Calibri" w:hAnsi="Arial" w:cs="Arial"/>
          <w:bCs/>
          <w:sz w:val="22"/>
          <w:lang w:val="es-ES_tradnl"/>
        </w:rPr>
        <w:t xml:space="preserve"> de</w:t>
      </w:r>
      <w:r w:rsidR="00515B68">
        <w:rPr>
          <w:rFonts w:ascii="Arial" w:eastAsia="Calibri" w:hAnsi="Arial" w:cs="Arial"/>
          <w:bCs/>
          <w:sz w:val="22"/>
          <w:lang w:val="es-ES_tradnl"/>
        </w:rPr>
        <w:t xml:space="preserve">l Decreto 1082 de 2015 </w:t>
      </w:r>
      <w:r w:rsidR="002672B1">
        <w:rPr>
          <w:rFonts w:ascii="Arial" w:eastAsia="Calibri" w:hAnsi="Arial" w:cs="Arial"/>
          <w:bCs/>
          <w:sz w:val="22"/>
          <w:lang w:val="es-ES_tradnl"/>
        </w:rPr>
        <w:t>establece</w:t>
      </w:r>
      <w:r w:rsidR="00306FA7" w:rsidRPr="00CA5C6B">
        <w:rPr>
          <w:rFonts w:ascii="Arial" w:eastAsia="Calibri" w:hAnsi="Arial" w:cs="Arial"/>
          <w:bCs/>
          <w:sz w:val="22"/>
          <w:lang w:val="es-ES_tradnl"/>
        </w:rPr>
        <w:t xml:space="preserve"> la inalterabilidad de los documentos tipo para la modalidad de licitación pública, que consiste en que las entidades estatales no pueden incluir o modificar en los documentos del proceso las condiciones habilitantes, los factores técnicos y económicos de escogencia y los sistemas de ponderación distintos a los señalados en los documentos tipo</w:t>
      </w:r>
      <w:r w:rsidRPr="00CA5C6B">
        <w:rPr>
          <w:rStyle w:val="Refdenotaalpie"/>
          <w:rFonts w:ascii="Arial" w:eastAsia="Calibri" w:hAnsi="Arial" w:cs="Arial"/>
          <w:bCs/>
          <w:sz w:val="22"/>
          <w:lang w:val="es-ES_tradnl"/>
        </w:rPr>
        <w:footnoteReference w:id="6"/>
      </w:r>
      <w:r w:rsidR="00306FA7" w:rsidRPr="00CA5C6B">
        <w:rPr>
          <w:rFonts w:ascii="Arial" w:eastAsia="Calibri" w:hAnsi="Arial" w:cs="Arial"/>
          <w:bCs/>
          <w:sz w:val="22"/>
          <w:lang w:val="es-ES_tradnl"/>
        </w:rPr>
        <w:t>. En consecuencia</w:t>
      </w:r>
      <w:bookmarkStart w:id="3" w:name="_Hlk64290904"/>
      <w:r w:rsidR="00306FA7" w:rsidRPr="00CA5C6B">
        <w:rPr>
          <w:rFonts w:ascii="Arial" w:eastAsia="Calibri" w:hAnsi="Arial" w:cs="Arial"/>
          <w:bCs/>
          <w:sz w:val="22"/>
          <w:lang w:val="es-ES_tradnl"/>
        </w:rPr>
        <w:t xml:space="preserve">, las condiciones que sean establecidas en los documentos que adopte el Gobierno Nacional, en ejercicio del mandato establecido en el artículo </w:t>
      </w:r>
      <w:r w:rsidR="006C5CD7" w:rsidRPr="00CA5C6B">
        <w:rPr>
          <w:rFonts w:ascii="Arial" w:eastAsia="Calibri" w:hAnsi="Arial" w:cs="Arial"/>
          <w:bCs/>
          <w:sz w:val="22"/>
          <w:lang w:val="es-ES_tradnl"/>
        </w:rPr>
        <w:t>1</w:t>
      </w:r>
      <w:r w:rsidR="00306FA7" w:rsidRPr="00CA5C6B">
        <w:rPr>
          <w:rFonts w:ascii="Arial" w:eastAsia="Calibri" w:hAnsi="Arial" w:cs="Arial"/>
          <w:bCs/>
          <w:sz w:val="22"/>
          <w:lang w:val="es-ES_tradnl"/>
        </w:rPr>
        <w:t xml:space="preserve"> de la Ley </w:t>
      </w:r>
      <w:r w:rsidR="006C5CD7" w:rsidRPr="00CA5C6B">
        <w:rPr>
          <w:rFonts w:ascii="Arial" w:eastAsia="Calibri" w:hAnsi="Arial" w:cs="Arial"/>
          <w:bCs/>
          <w:sz w:val="22"/>
          <w:lang w:val="es-ES_tradnl"/>
        </w:rPr>
        <w:t>2022</w:t>
      </w:r>
      <w:r w:rsidR="00306FA7" w:rsidRPr="00CA5C6B">
        <w:rPr>
          <w:rFonts w:ascii="Arial" w:eastAsia="Calibri" w:hAnsi="Arial" w:cs="Arial"/>
          <w:bCs/>
          <w:sz w:val="22"/>
          <w:lang w:val="es-ES_tradnl"/>
        </w:rPr>
        <w:t xml:space="preserve"> de 20</w:t>
      </w:r>
      <w:r w:rsidR="006C5CD7" w:rsidRPr="00CA5C6B">
        <w:rPr>
          <w:rFonts w:ascii="Arial" w:eastAsia="Calibri" w:hAnsi="Arial" w:cs="Arial"/>
          <w:bCs/>
          <w:sz w:val="22"/>
          <w:lang w:val="es-ES_tradnl"/>
        </w:rPr>
        <w:t>20</w:t>
      </w:r>
      <w:r w:rsidR="00306FA7" w:rsidRPr="00CA5C6B">
        <w:rPr>
          <w:rFonts w:ascii="Arial" w:eastAsia="Calibri" w:hAnsi="Arial" w:cs="Arial"/>
          <w:bCs/>
          <w:sz w:val="22"/>
          <w:lang w:val="es-ES_tradnl"/>
        </w:rPr>
        <w:t>, como se dijo en el numeral anterior, son de obligatorio cumplimiento para las entidades sometidas al Estatuto General de Contratación de la Administración pública que adelanten procesos que deban regirse por su contenido y no pueden variarse los requisitos que en ellos sean fijados.</w:t>
      </w:r>
      <w:bookmarkEnd w:id="3"/>
      <w:r w:rsidR="00306FA7" w:rsidRPr="00CA5C6B">
        <w:rPr>
          <w:rFonts w:ascii="Arial" w:eastAsia="Calibri" w:hAnsi="Arial" w:cs="Arial"/>
          <w:bCs/>
          <w:sz w:val="22"/>
          <w:lang w:val="es-ES_tradnl"/>
        </w:rPr>
        <w:t xml:space="preserve"> </w:t>
      </w:r>
    </w:p>
    <w:p w14:paraId="5CEDB22D" w14:textId="558AC624" w:rsidR="00306FA7" w:rsidRPr="00CA5C6B" w:rsidRDefault="00306FA7" w:rsidP="00CA5C6B">
      <w:pPr>
        <w:spacing w:before="120" w:line="276" w:lineRule="auto"/>
        <w:ind w:firstLine="709"/>
        <w:jc w:val="both"/>
        <w:rPr>
          <w:rFonts w:ascii="Arial" w:eastAsia="Calibri" w:hAnsi="Arial" w:cs="Arial"/>
          <w:bCs/>
          <w:sz w:val="22"/>
          <w:lang w:val="es-ES_tradnl"/>
        </w:rPr>
      </w:pPr>
      <w:r w:rsidRPr="00CA5C6B">
        <w:rPr>
          <w:rFonts w:ascii="Arial" w:eastAsia="Calibri" w:hAnsi="Arial" w:cs="Arial"/>
          <w:bCs/>
          <w:sz w:val="22"/>
          <w:lang w:val="es-ES_tradnl"/>
        </w:rPr>
        <w:t xml:space="preserve">Esta prohibición la ratifica el artículo </w:t>
      </w:r>
      <w:r w:rsidR="00C9666D" w:rsidRPr="00CA5C6B">
        <w:rPr>
          <w:rFonts w:ascii="Arial" w:eastAsia="Calibri" w:hAnsi="Arial" w:cs="Arial"/>
          <w:bCs/>
          <w:sz w:val="22"/>
          <w:lang w:val="es-ES_tradnl"/>
        </w:rPr>
        <w:t>3</w:t>
      </w:r>
      <w:r w:rsidRPr="00CA5C6B">
        <w:rPr>
          <w:rFonts w:ascii="Arial" w:eastAsia="Calibri" w:hAnsi="Arial" w:cs="Arial"/>
          <w:bCs/>
          <w:sz w:val="22"/>
          <w:lang w:val="es-ES_tradnl"/>
        </w:rPr>
        <w:t xml:space="preserve"> de la </w:t>
      </w:r>
      <w:r w:rsidR="00C048C9">
        <w:rPr>
          <w:rFonts w:ascii="Arial" w:eastAsia="Calibri" w:hAnsi="Arial" w:cs="Arial"/>
          <w:bCs/>
          <w:sz w:val="22"/>
          <w:lang w:val="es-ES_tradnl"/>
        </w:rPr>
        <w:t>R</w:t>
      </w:r>
      <w:r w:rsidRPr="00CA5C6B">
        <w:rPr>
          <w:rFonts w:ascii="Arial" w:eastAsia="Calibri" w:hAnsi="Arial" w:cs="Arial"/>
          <w:bCs/>
          <w:sz w:val="22"/>
          <w:lang w:val="es-ES_tradnl"/>
        </w:rPr>
        <w:t>esoluci</w:t>
      </w:r>
      <w:r w:rsidR="00C048C9">
        <w:rPr>
          <w:rFonts w:ascii="Arial" w:eastAsia="Calibri" w:hAnsi="Arial" w:cs="Arial"/>
          <w:bCs/>
          <w:sz w:val="22"/>
          <w:lang w:val="es-ES_tradnl"/>
        </w:rPr>
        <w:t>ón</w:t>
      </w:r>
      <w:r w:rsidRPr="00CA5C6B">
        <w:rPr>
          <w:rFonts w:ascii="Arial" w:eastAsia="Calibri" w:hAnsi="Arial" w:cs="Arial"/>
          <w:bCs/>
          <w:sz w:val="22"/>
          <w:lang w:val="es-ES_tradnl"/>
        </w:rPr>
        <w:t xml:space="preserve"> No.</w:t>
      </w:r>
      <w:r w:rsidR="00A45FE8" w:rsidRPr="00CA5C6B">
        <w:rPr>
          <w:rFonts w:ascii="Arial" w:eastAsia="Calibri" w:hAnsi="Arial" w:cs="Arial"/>
          <w:bCs/>
          <w:sz w:val="22"/>
          <w:lang w:val="es-ES_tradnl"/>
        </w:rPr>
        <w:t xml:space="preserve"> 240 </w:t>
      </w:r>
      <w:r w:rsidRPr="00CA5C6B">
        <w:rPr>
          <w:rFonts w:ascii="Arial" w:eastAsia="Calibri" w:hAnsi="Arial" w:cs="Arial"/>
          <w:bCs/>
          <w:sz w:val="22"/>
          <w:lang w:val="es-ES_tradnl"/>
        </w:rPr>
        <w:t xml:space="preserve">de 2020, por medio de las que se </w:t>
      </w:r>
      <w:r w:rsidR="00C048C9">
        <w:rPr>
          <w:rFonts w:ascii="Arial" w:eastAsia="Calibri" w:hAnsi="Arial" w:cs="Arial"/>
          <w:bCs/>
          <w:sz w:val="22"/>
          <w:lang w:val="es-ES_tradnl"/>
        </w:rPr>
        <w:t>implementan</w:t>
      </w:r>
      <w:r w:rsidR="00C048C9" w:rsidRPr="00CA5C6B">
        <w:rPr>
          <w:rFonts w:ascii="Arial" w:eastAsia="Calibri" w:hAnsi="Arial" w:cs="Arial"/>
          <w:bCs/>
          <w:sz w:val="22"/>
          <w:lang w:val="es-ES_tradnl"/>
        </w:rPr>
        <w:t xml:space="preserve"> </w:t>
      </w:r>
      <w:r w:rsidRPr="00CA5C6B">
        <w:rPr>
          <w:rFonts w:ascii="Arial" w:eastAsia="Calibri" w:hAnsi="Arial" w:cs="Arial"/>
          <w:bCs/>
          <w:sz w:val="22"/>
          <w:lang w:val="es-ES_tradnl"/>
        </w:rPr>
        <w:t xml:space="preserve">los documentos tipo para </w:t>
      </w:r>
      <w:r w:rsidR="00C048C9">
        <w:rPr>
          <w:rFonts w:ascii="Arial" w:eastAsia="Calibri" w:hAnsi="Arial" w:cs="Arial"/>
          <w:bCs/>
          <w:sz w:val="22"/>
          <w:lang w:val="es-ES_tradnl"/>
        </w:rPr>
        <w:t>esta</w:t>
      </w:r>
      <w:r w:rsidRPr="00CA5C6B">
        <w:rPr>
          <w:rFonts w:ascii="Arial" w:eastAsia="Calibri" w:hAnsi="Arial" w:cs="Arial"/>
          <w:bCs/>
          <w:sz w:val="22"/>
          <w:lang w:val="es-ES_tradnl"/>
        </w:rPr>
        <w:t xml:space="preserve"> modalidad de selección, al disponer la inalterabilidad de los documentos tipo en los siguientes términos: «</w:t>
      </w:r>
      <w:r w:rsidR="00C9666D" w:rsidRPr="00CA5C6B">
        <w:rPr>
          <w:rFonts w:ascii="Arial" w:eastAsia="Calibri" w:hAnsi="Arial" w:cs="Arial"/>
          <w:bCs/>
          <w:sz w:val="22"/>
          <w:lang w:val="es-ES_tradnl"/>
        </w:rPr>
        <w:t xml:space="preserve">Las entidades estatales contratantes no podrán incluir o modificar dentro de los documentos </w:t>
      </w:r>
      <w:r w:rsidR="00C9666D" w:rsidRPr="00CA5C6B">
        <w:rPr>
          <w:rFonts w:ascii="Arial" w:eastAsia="Calibri" w:hAnsi="Arial" w:cs="Arial"/>
          <w:bCs/>
          <w:sz w:val="22"/>
          <w:lang w:val="es-ES_tradnl"/>
        </w:rPr>
        <w:lastRenderedPageBreak/>
        <w:t>del proceso de selección las condiciones habilitantes, los factores técnicos y económicos de escogencia y los sistemas de ponderación que han sido definidos y señalados en los Documentos Tipo</w:t>
      </w:r>
      <w:r w:rsidRPr="00CA5C6B">
        <w:rPr>
          <w:rFonts w:ascii="Arial" w:eastAsia="Calibri" w:hAnsi="Arial" w:cs="Arial"/>
          <w:bCs/>
          <w:sz w:val="22"/>
          <w:lang w:val="es-ES_tradnl"/>
        </w:rPr>
        <w:t xml:space="preserve">». </w:t>
      </w:r>
    </w:p>
    <w:p w14:paraId="25D93E98" w14:textId="77777777" w:rsidR="00306FA7" w:rsidRPr="00CA5C6B" w:rsidRDefault="00306FA7" w:rsidP="00CA5C6B">
      <w:pPr>
        <w:spacing w:before="120" w:line="276" w:lineRule="auto"/>
        <w:ind w:firstLine="708"/>
        <w:jc w:val="both"/>
        <w:rPr>
          <w:rFonts w:ascii="Arial" w:eastAsia="Calibri" w:hAnsi="Arial" w:cs="Arial"/>
          <w:bCs/>
          <w:sz w:val="22"/>
          <w:lang w:val="es-ES_tradnl"/>
        </w:rPr>
      </w:pPr>
      <w:r w:rsidRPr="00CA5C6B">
        <w:rPr>
          <w:rFonts w:ascii="Arial" w:eastAsia="Calibri" w:hAnsi="Arial" w:cs="Arial"/>
          <w:bCs/>
          <w:sz w:val="22"/>
          <w:lang w:val="es-ES_tradnl"/>
        </w:rPr>
        <w:t xml:space="preserve">Además, las entidades estatales deben garantizar el </w:t>
      </w:r>
      <w:r w:rsidRPr="00CA5C6B">
        <w:rPr>
          <w:rFonts w:ascii="Arial" w:eastAsia="Calibri" w:hAnsi="Arial" w:cs="Arial"/>
          <w:bCs/>
          <w:i/>
          <w:iCs/>
          <w:sz w:val="22"/>
          <w:lang w:val="es-ES_tradnl"/>
        </w:rPr>
        <w:t>principio de economía</w:t>
      </w:r>
      <w:r w:rsidRPr="00CA5C6B">
        <w:rPr>
          <w:rFonts w:ascii="Arial" w:eastAsia="Calibri" w:hAnsi="Arial" w:cs="Arial"/>
          <w:bCs/>
          <w:sz w:val="22"/>
          <w:lang w:val="es-ES_tradnl"/>
        </w:rPr>
        <w:t>, del cual se desprende que no pueden exigir documentos o requisitos más allá de los que permitan la Constitución, la ley y los reglamentos. Este postulado ha encontrado eco no solo en la contratación estatal</w:t>
      </w:r>
      <w:r w:rsidRPr="00CA5C6B">
        <w:rPr>
          <w:rStyle w:val="Refdenotaalpie"/>
          <w:rFonts w:ascii="Arial" w:eastAsia="Calibri" w:hAnsi="Arial" w:cs="Arial"/>
          <w:bCs/>
          <w:sz w:val="22"/>
          <w:lang w:val="es-ES_tradnl"/>
        </w:rPr>
        <w:footnoteReference w:id="7"/>
      </w:r>
      <w:r w:rsidRPr="00CA5C6B">
        <w:rPr>
          <w:rFonts w:ascii="Arial" w:eastAsia="Calibri" w:hAnsi="Arial" w:cs="Arial"/>
          <w:bCs/>
          <w:sz w:val="22"/>
          <w:lang w:val="es-ES_tradnl"/>
        </w:rPr>
        <w:t xml:space="preserve"> sino además en la normativa antitrámites</w:t>
      </w:r>
      <w:r w:rsidRPr="00CA5C6B">
        <w:rPr>
          <w:rStyle w:val="Refdenotaalpie"/>
          <w:rFonts w:ascii="Arial" w:eastAsia="Calibri" w:hAnsi="Arial" w:cs="Arial"/>
          <w:bCs/>
          <w:sz w:val="22"/>
          <w:lang w:val="es-ES_tradnl"/>
        </w:rPr>
        <w:footnoteReference w:id="8"/>
      </w:r>
      <w:r w:rsidRPr="00CA5C6B">
        <w:rPr>
          <w:rFonts w:ascii="Arial" w:eastAsia="Calibri" w:hAnsi="Arial" w:cs="Arial"/>
          <w:bCs/>
          <w:sz w:val="22"/>
          <w:lang w:val="es-ES_tradnl"/>
        </w:rPr>
        <w:t>; pues se inscribe dentro de la tendencia de simplificación y racionalización de los procedimientos administrativos. De ahí que cuando las autoridades solicitan la entrega de documentación innecesaria, menoscaban el principio de economía.</w:t>
      </w:r>
    </w:p>
    <w:p w14:paraId="1A430352" w14:textId="19C386EC" w:rsidR="00306FA7" w:rsidRDefault="00306FA7" w:rsidP="00CA5C6B">
      <w:pPr>
        <w:spacing w:before="120" w:line="276" w:lineRule="auto"/>
        <w:ind w:firstLine="709"/>
        <w:jc w:val="both"/>
        <w:rPr>
          <w:rFonts w:ascii="Arial" w:eastAsia="Calibri" w:hAnsi="Arial" w:cs="Arial"/>
          <w:sz w:val="22"/>
        </w:rPr>
      </w:pPr>
      <w:r w:rsidRPr="00CA5C6B">
        <w:rPr>
          <w:rFonts w:ascii="Arial" w:eastAsia="Calibri" w:hAnsi="Arial" w:cs="Arial"/>
          <w:sz w:val="22"/>
        </w:rPr>
        <w:t xml:space="preserve">Por su parte, la parte introductoria de los documentos tipo </w:t>
      </w:r>
      <w:r w:rsidR="00C048C9">
        <w:rPr>
          <w:rFonts w:ascii="Arial" w:eastAsia="Calibri" w:hAnsi="Arial" w:cs="Arial"/>
          <w:sz w:val="22"/>
        </w:rPr>
        <w:t>dispone</w:t>
      </w:r>
      <w:r w:rsidRPr="00CA5C6B">
        <w:rPr>
          <w:rFonts w:ascii="Arial" w:eastAsia="Calibri" w:hAnsi="Arial" w:cs="Arial"/>
          <w:sz w:val="22"/>
        </w:rPr>
        <w:t xml:space="preserve"> que los aspectos incluidos en corchetes y resaltado gris</w:t>
      </w:r>
      <w:r w:rsidR="00BD57F2">
        <w:rPr>
          <w:rFonts w:ascii="Arial" w:eastAsia="Calibri" w:hAnsi="Arial" w:cs="Arial"/>
          <w:sz w:val="22"/>
        </w:rPr>
        <w:t xml:space="preserve"> </w:t>
      </w:r>
      <w:r w:rsidR="00C56B01">
        <w:rPr>
          <w:rFonts w:ascii="Arial" w:eastAsia="Calibri" w:hAnsi="Arial" w:cs="Arial"/>
          <w:sz w:val="22"/>
        </w:rPr>
        <w:t>–</w:t>
      </w:r>
      <w:r w:rsidR="00BD57F2" w:rsidRPr="00BD57F2">
        <w:rPr>
          <w:rFonts w:ascii="Arial" w:eastAsia="Calibri" w:hAnsi="Arial" w:cs="Arial"/>
          <w:sz w:val="22"/>
          <w:highlight w:val="lightGray"/>
        </w:rPr>
        <w:t>[texto de ejemplo]</w:t>
      </w:r>
      <w:r w:rsidR="00C56B01">
        <w:rPr>
          <w:rFonts w:ascii="Arial" w:eastAsia="Calibri" w:hAnsi="Arial" w:cs="Arial"/>
          <w:sz w:val="22"/>
        </w:rPr>
        <w:t>–</w:t>
      </w:r>
      <w:r w:rsidRPr="00CA5C6B">
        <w:rPr>
          <w:rFonts w:ascii="Arial" w:eastAsia="Calibri" w:hAnsi="Arial" w:cs="Arial"/>
          <w:sz w:val="22"/>
        </w:rPr>
        <w:t xml:space="preserve"> 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que precise el Pliego. </w:t>
      </w:r>
    </w:p>
    <w:p w14:paraId="1B29DD75" w14:textId="117F21B2" w:rsidR="005F293F" w:rsidRPr="005F293F" w:rsidRDefault="005F293F" w:rsidP="005F293F">
      <w:pPr>
        <w:spacing w:before="120" w:line="276" w:lineRule="auto"/>
        <w:ind w:firstLine="709"/>
        <w:jc w:val="both"/>
        <w:rPr>
          <w:rFonts w:ascii="Arial" w:eastAsia="Calibri" w:hAnsi="Arial" w:cs="Arial"/>
          <w:bCs/>
          <w:sz w:val="22"/>
        </w:rPr>
      </w:pPr>
      <w:r>
        <w:rPr>
          <w:rFonts w:ascii="Arial" w:eastAsia="Calibri" w:hAnsi="Arial" w:cs="Arial"/>
          <w:bCs/>
          <w:sz w:val="22"/>
        </w:rPr>
        <w:t xml:space="preserve">Es de precisar que, </w:t>
      </w:r>
      <w:r w:rsidRPr="00BE6266">
        <w:rPr>
          <w:rFonts w:ascii="Arial" w:eastAsia="Calibri" w:hAnsi="Arial" w:cs="Arial"/>
          <w:bCs/>
          <w:sz w:val="22"/>
        </w:rPr>
        <w:t xml:space="preserve">la entidad durante la etapa de planeación como resultado del estudio del sector y del análisis de riesgo, debe establecer las condiciones necesarias para garantizar la ejecución del contrato, teniendo en cuenta la necesidad que pretende satisfacer, el objeto, alcance, especificaciones técnicas, forma de pago y demás aspectos inherentes al proyecto. De allí que estas condiciones, al ser fijadas por parte de la entidad, pueden implicar modificaciones a los </w:t>
      </w:r>
      <w:r w:rsidR="00C56B01" w:rsidRPr="00BE6266">
        <w:rPr>
          <w:rFonts w:ascii="Arial" w:eastAsia="Calibri" w:hAnsi="Arial" w:cs="Arial"/>
          <w:bCs/>
          <w:sz w:val="22"/>
        </w:rPr>
        <w:t>documentos tipo</w:t>
      </w:r>
      <w:r w:rsidRPr="00BE6266">
        <w:rPr>
          <w:rFonts w:ascii="Arial" w:eastAsia="Calibri" w:hAnsi="Arial" w:cs="Arial"/>
          <w:bCs/>
          <w:sz w:val="22"/>
        </w:rPr>
        <w:t>, las cuales deben ser adecuadas, proporcionales y consecuentes con su contenido, respetando el principio de inalterabilidad.</w:t>
      </w:r>
    </w:p>
    <w:p w14:paraId="17E319D0" w14:textId="45F010A5" w:rsidR="00306FA7" w:rsidRPr="00CA5C6B" w:rsidRDefault="00306FA7" w:rsidP="009136E2">
      <w:pPr>
        <w:spacing w:before="120" w:line="276" w:lineRule="auto"/>
        <w:ind w:firstLine="709"/>
        <w:jc w:val="both"/>
        <w:rPr>
          <w:rFonts w:ascii="Arial" w:eastAsia="Calibri" w:hAnsi="Arial" w:cs="Arial"/>
          <w:sz w:val="22"/>
        </w:rPr>
      </w:pPr>
      <w:r w:rsidRPr="00CA5C6B">
        <w:rPr>
          <w:rFonts w:ascii="Arial" w:eastAsia="Calibri" w:hAnsi="Arial" w:cs="Arial"/>
          <w:sz w:val="22"/>
        </w:rPr>
        <w:lastRenderedPageBreak/>
        <w:t>Asimismo, el artículo 2.2.1.2.6.1.5 del Decreto 1082 de 2015</w:t>
      </w:r>
      <w:r w:rsidRPr="00CA5C6B">
        <w:rPr>
          <w:rStyle w:val="Refdenotaalpie"/>
          <w:rFonts w:ascii="Arial" w:hAnsi="Arial" w:cs="Arial"/>
          <w:sz w:val="22"/>
        </w:rPr>
        <w:footnoteReference w:id="9"/>
      </w:r>
      <w:r w:rsidRPr="00CA5C6B">
        <w:rPr>
          <w:rFonts w:ascii="Arial" w:eastAsia="Calibri" w:hAnsi="Arial" w:cs="Arial"/>
          <w:sz w:val="22"/>
        </w:rPr>
        <w:t xml:space="preserve"> prevé los eventos en los que el objeto contractual incluye bienes o servicios adicionales a la obra pública de infraestructura de transporte. En este caso, la entidad estatal puede complementar experiencia adicional para evaluar la idoneidad respecto de los bienes o servicios ajenos a la obra pública, no obstante, se deberán seguir los siguientes parámetros: i) demostrar en los estudios previos que ha verificado las condiciones de mercado para la adquisición de los bienes o servicios adicionales al componente de obra pública, </w:t>
      </w:r>
      <w:r w:rsidR="00F2200B" w:rsidRPr="00F2200B">
        <w:rPr>
          <w:rFonts w:ascii="Arial" w:eastAsia="Calibri" w:hAnsi="Arial" w:cs="Arial"/>
          <w:sz w:val="22"/>
        </w:rPr>
        <w:t>de tal manera que la experiencia adicional que se exija para tales bienes o servicios procure la pluralidad de oferentes, y no limite la concurrencia de proponentes al proceso de contratación</w:t>
      </w:r>
      <w:r w:rsidRPr="00CA5C6B">
        <w:rPr>
          <w:rFonts w:ascii="Arial" w:eastAsia="Calibri" w:hAnsi="Arial" w:cs="Arial"/>
          <w:sz w:val="22"/>
        </w:rPr>
        <w:t xml:space="preserve">, ii) conservar los requisitos exigidos en los Documentos Tipo, iii) abstenerse de pedir experiencia exclusiva con entidades estatales, experiencia previa en un territorio específico, limitada en el tiempo o que incluya volúmenes o cantidades de obra específica, iv) clasificar la experiencia requerida solo hasta el tercer nivel del Clasificador de Bienes y Servicios e incluir exclusivamente los códigos que estén relacionados directamente con el objeto a contratar. </w:t>
      </w:r>
    </w:p>
    <w:p w14:paraId="7FD41350" w14:textId="2FC7F5DF" w:rsidR="00BE6266" w:rsidRPr="00CA5C6B" w:rsidRDefault="00306FA7" w:rsidP="00BE6266">
      <w:pPr>
        <w:spacing w:before="120" w:line="276" w:lineRule="auto"/>
        <w:ind w:firstLine="709"/>
        <w:jc w:val="both"/>
        <w:rPr>
          <w:rFonts w:ascii="Arial" w:eastAsia="Calibri" w:hAnsi="Arial" w:cs="Arial"/>
          <w:bCs/>
          <w:sz w:val="22"/>
        </w:rPr>
      </w:pPr>
      <w:r w:rsidRPr="00CA5C6B">
        <w:rPr>
          <w:rFonts w:ascii="Arial" w:eastAsia="Calibri" w:hAnsi="Arial" w:cs="Arial"/>
          <w:bCs/>
          <w:sz w:val="22"/>
        </w:rPr>
        <w:t>En suma, la regla general frente la aplicación del «Documento Base» es su inalterabilidad, y no se podrán incluir o modificar en los documentos del proceso las condiciones habilitantes, los factores técnicos y económicos de escogencia y los sistemas de ponderación distintos a los señalados en los documentos tipo</w:t>
      </w:r>
      <w:r w:rsidR="00C56B01">
        <w:rPr>
          <w:rFonts w:ascii="Arial" w:eastAsia="Calibri" w:hAnsi="Arial" w:cs="Arial"/>
          <w:bCs/>
          <w:sz w:val="22"/>
        </w:rPr>
        <w:t>. Lo anterior, salvo que</w:t>
      </w:r>
      <w:r w:rsidRPr="00CA5C6B">
        <w:rPr>
          <w:rFonts w:ascii="Arial" w:eastAsia="Calibri" w:hAnsi="Arial" w:cs="Arial"/>
          <w:bCs/>
          <w:sz w:val="22"/>
        </w:rPr>
        <w:t xml:space="preserve"> el objeto contractual incluy</w:t>
      </w:r>
      <w:r w:rsidR="00C56B01">
        <w:rPr>
          <w:rFonts w:ascii="Arial" w:eastAsia="Calibri" w:hAnsi="Arial" w:cs="Arial"/>
          <w:bCs/>
          <w:sz w:val="22"/>
        </w:rPr>
        <w:t>a</w:t>
      </w:r>
      <w:r w:rsidRPr="00CA5C6B">
        <w:rPr>
          <w:rFonts w:ascii="Arial" w:eastAsia="Calibri" w:hAnsi="Arial" w:cs="Arial"/>
          <w:bCs/>
          <w:sz w:val="22"/>
        </w:rPr>
        <w:t xml:space="preserve"> bienes o servicios ajenos a la obra pública de infraestructura de transporte, caso en el que se podrá incluir experiencia adicional</w:t>
      </w:r>
      <w:r w:rsidR="00595429">
        <w:rPr>
          <w:rFonts w:ascii="Arial" w:eastAsia="Calibri" w:hAnsi="Arial" w:cs="Arial"/>
          <w:bCs/>
          <w:sz w:val="22"/>
        </w:rPr>
        <w:t xml:space="preserve"> de manera excepcional</w:t>
      </w:r>
      <w:r w:rsidRPr="00CA5C6B">
        <w:rPr>
          <w:rFonts w:ascii="Arial" w:eastAsia="Calibri" w:hAnsi="Arial" w:cs="Arial"/>
          <w:bCs/>
          <w:sz w:val="22"/>
        </w:rPr>
        <w:t xml:space="preserve">; y, además, cuando el pliego tipo de forma expresa lo </w:t>
      </w:r>
      <w:r w:rsidR="00C56B01">
        <w:rPr>
          <w:rFonts w:ascii="Arial" w:eastAsia="Calibri" w:hAnsi="Arial" w:cs="Arial"/>
          <w:bCs/>
          <w:sz w:val="22"/>
        </w:rPr>
        <w:t>permita</w:t>
      </w:r>
      <w:r w:rsidRPr="00CA5C6B">
        <w:rPr>
          <w:rFonts w:ascii="Arial" w:eastAsia="Calibri" w:hAnsi="Arial" w:cs="Arial"/>
          <w:bCs/>
          <w:sz w:val="22"/>
        </w:rPr>
        <w:t>, es decir, en los aspectos incluidos en corchetes y resaltados en gris.</w:t>
      </w:r>
      <w:r w:rsidR="00BE6266">
        <w:rPr>
          <w:rFonts w:ascii="Arial" w:eastAsia="Calibri" w:hAnsi="Arial" w:cs="Arial"/>
          <w:bCs/>
          <w:sz w:val="22"/>
        </w:rPr>
        <w:t xml:space="preserve"> </w:t>
      </w:r>
    </w:p>
    <w:p w14:paraId="102C462D" w14:textId="77777777" w:rsidR="00306FA7" w:rsidRPr="00CA5C6B" w:rsidRDefault="00306FA7" w:rsidP="00CA5C6B">
      <w:pPr>
        <w:spacing w:before="120" w:line="276" w:lineRule="auto"/>
        <w:ind w:firstLine="709"/>
        <w:jc w:val="both"/>
        <w:rPr>
          <w:rFonts w:ascii="Arial" w:eastAsia="Calibri" w:hAnsi="Arial" w:cs="Arial"/>
          <w:bCs/>
          <w:sz w:val="22"/>
        </w:rPr>
      </w:pPr>
      <w:r w:rsidRPr="00CA5C6B">
        <w:rPr>
          <w:rFonts w:ascii="Arial" w:eastAsia="Calibri" w:hAnsi="Arial" w:cs="Arial"/>
          <w:bCs/>
          <w:sz w:val="22"/>
        </w:rPr>
        <w:t xml:space="preserve">Este principio de inalterabilidad también es aplicable a los formatos y anexos implementados junto con el «Documento Base», los cuales deben ser usados para </w:t>
      </w:r>
      <w:r w:rsidRPr="00CA5C6B">
        <w:rPr>
          <w:rFonts w:ascii="Arial" w:eastAsia="Calibri" w:hAnsi="Arial" w:cs="Arial"/>
          <w:bCs/>
          <w:sz w:val="22"/>
        </w:rPr>
        <w:lastRenderedPageBreak/>
        <w:t xml:space="preserve">desarrollar el procedimiento de contratación y que los proponentes acrediten los diferentes requisitos establecidos para participar en él. Estos, al igual que el «Documento Base», contienen apartes entre corchetes y resaltados en gris, los cuales deben ser diligenciados por la entidad, al igual que otros aspectos relativos a información que debe ser completada por los oferentes al hacer uso del formato. </w:t>
      </w:r>
    </w:p>
    <w:p w14:paraId="709412A7" w14:textId="4414DA7C" w:rsidR="00457AD6" w:rsidRDefault="00306FA7" w:rsidP="007327B2">
      <w:pPr>
        <w:spacing w:before="120" w:line="276" w:lineRule="auto"/>
        <w:ind w:firstLine="709"/>
        <w:jc w:val="both"/>
        <w:rPr>
          <w:rFonts w:ascii="Arial" w:hAnsi="Arial" w:cs="Arial"/>
          <w:sz w:val="22"/>
        </w:rPr>
      </w:pPr>
      <w:r w:rsidRPr="00CA5C6B">
        <w:rPr>
          <w:rFonts w:ascii="Arial" w:hAnsi="Arial" w:cs="Arial"/>
          <w:sz w:val="22"/>
        </w:rPr>
        <w:t>Con todo, el principio de inalterabilidad de los documentos tipo debe armonizase con principios de orden constitucional, especialmente con el de prevalencia del derecho sustancial, consagrado en el artículo 228 de la Constitución Política. La interpretación armónica de tales principios, a juicio de la Agencia Nacional de Contratación Pública, impide que la entidad que adelanta el proceso contractual le rinda culto a las formas, pues, en últimas, el deber que le asiste es el de tener en cuenta y aplicar los aspectos sustanciales de los documentos tipo, sin distingo de la formalidad de la que se sirva para ello los actores de la contratación pública</w:t>
      </w:r>
      <w:r w:rsidRPr="002D66D2">
        <w:rPr>
          <w:rFonts w:ascii="Arial" w:hAnsi="Arial" w:cs="Arial"/>
          <w:sz w:val="22"/>
        </w:rPr>
        <w:t xml:space="preserve">. </w:t>
      </w:r>
    </w:p>
    <w:p w14:paraId="08B6CFA0" w14:textId="7EA07405" w:rsidR="007327B2" w:rsidRPr="00B41612" w:rsidRDefault="007327B2" w:rsidP="007327B2">
      <w:pPr>
        <w:spacing w:before="120" w:line="276" w:lineRule="auto"/>
        <w:ind w:firstLine="709"/>
        <w:jc w:val="both"/>
        <w:rPr>
          <w:rFonts w:ascii="Arial" w:hAnsi="Arial" w:cs="Arial"/>
          <w:sz w:val="22"/>
          <w:lang w:val="es-CO"/>
        </w:rPr>
      </w:pPr>
      <w:r w:rsidRPr="00B41612">
        <w:rPr>
          <w:rFonts w:ascii="Arial" w:hAnsi="Arial" w:cs="Arial"/>
          <w:sz w:val="22"/>
        </w:rPr>
        <w:t xml:space="preserve">En relación con el principio constitucional </w:t>
      </w:r>
      <w:r w:rsidRPr="00B41612">
        <w:rPr>
          <w:rFonts w:ascii="Arial" w:hAnsi="Arial" w:cs="Arial"/>
          <w:i/>
          <w:iCs/>
          <w:sz w:val="22"/>
        </w:rPr>
        <w:t>sub examine</w:t>
      </w:r>
      <w:r w:rsidRPr="00B41612">
        <w:rPr>
          <w:rFonts w:ascii="Arial" w:hAnsi="Arial" w:cs="Arial"/>
          <w:sz w:val="22"/>
          <w:lang w:val="es-CO"/>
        </w:rPr>
        <w:t xml:space="preserve">, la Corte Constitucional </w:t>
      </w:r>
      <w:r w:rsidR="00C048C9">
        <w:rPr>
          <w:rFonts w:ascii="Arial" w:hAnsi="Arial" w:cs="Arial"/>
          <w:sz w:val="22"/>
          <w:lang w:val="es-CO"/>
        </w:rPr>
        <w:t>explica</w:t>
      </w:r>
      <w:r w:rsidRPr="00B41612">
        <w:rPr>
          <w:rFonts w:ascii="Arial" w:hAnsi="Arial" w:cs="Arial"/>
          <w:sz w:val="22"/>
          <w:lang w:val="es-CO"/>
        </w:rPr>
        <w:t xml:space="preserve"> que «[…] por disposición del artículo 228 Superior, las formas no deben convertirse en un obstáculo para la efectividad del derecho sustancial, sino que deben propender por su realización. Es decir, que las normas procesales son un medio para lograr la efectividad de los derechos subjetivos y no fines en sí mismas»</w:t>
      </w:r>
      <w:r w:rsidRPr="00B41612">
        <w:rPr>
          <w:rStyle w:val="Refdenotaalpie"/>
          <w:rFonts w:ascii="Arial" w:hAnsi="Arial" w:cs="Arial"/>
          <w:sz w:val="22"/>
          <w:lang w:val="es-CO"/>
        </w:rPr>
        <w:footnoteReference w:id="10"/>
      </w:r>
      <w:r w:rsidRPr="00B41612">
        <w:rPr>
          <w:rFonts w:ascii="Arial" w:hAnsi="Arial" w:cs="Arial"/>
          <w:sz w:val="22"/>
          <w:lang w:val="es-CO"/>
        </w:rPr>
        <w:t xml:space="preserve">. </w:t>
      </w:r>
    </w:p>
    <w:p w14:paraId="1351CBF0" w14:textId="7407A5E4" w:rsidR="00D21D97" w:rsidRPr="007327B2" w:rsidRDefault="007327B2" w:rsidP="007327B2">
      <w:pPr>
        <w:spacing w:before="120" w:line="276" w:lineRule="auto"/>
        <w:ind w:firstLine="709"/>
        <w:jc w:val="both"/>
        <w:rPr>
          <w:rFonts w:ascii="Arial" w:hAnsi="Arial" w:cs="Arial"/>
          <w:sz w:val="22"/>
        </w:rPr>
      </w:pPr>
      <w:r>
        <w:rPr>
          <w:rFonts w:ascii="Arial" w:hAnsi="Arial" w:cs="Arial"/>
          <w:sz w:val="22"/>
        </w:rPr>
        <w:t>De acuerdo con lo anterior, e</w:t>
      </w:r>
      <w:r w:rsidRPr="00B41612">
        <w:rPr>
          <w:rFonts w:ascii="Arial" w:hAnsi="Arial" w:cs="Arial"/>
          <w:sz w:val="22"/>
        </w:rPr>
        <w:t>l carácter inalterable de los Documentos Tipo no puede</w:t>
      </w:r>
      <w:r>
        <w:rPr>
          <w:rFonts w:ascii="Arial" w:hAnsi="Arial" w:cs="Arial"/>
          <w:sz w:val="22"/>
        </w:rPr>
        <w:t xml:space="preserve"> </w:t>
      </w:r>
      <w:r w:rsidRPr="00B41612">
        <w:rPr>
          <w:rFonts w:ascii="Arial" w:hAnsi="Arial" w:cs="Arial"/>
          <w:sz w:val="22"/>
        </w:rPr>
        <w:t xml:space="preserve">hacerse extensivo a los aspectos </w:t>
      </w:r>
      <w:r>
        <w:rPr>
          <w:rFonts w:ascii="Arial" w:hAnsi="Arial" w:cs="Arial"/>
          <w:sz w:val="22"/>
        </w:rPr>
        <w:t>simplemente formales</w:t>
      </w:r>
      <w:r w:rsidRPr="00B41612">
        <w:rPr>
          <w:rFonts w:ascii="Arial" w:hAnsi="Arial" w:cs="Arial"/>
          <w:sz w:val="22"/>
        </w:rPr>
        <w:t xml:space="preserve"> de tales documentos, esto es, el tamaño y tipo de letra, las márgenes o las expresiones que pretenden hacer más comprensible el documento, como es el caso de aquellas que informan que una expresión larga será referida con otra similar pero más corta. </w:t>
      </w:r>
      <w:r>
        <w:rPr>
          <w:rFonts w:ascii="Arial" w:hAnsi="Arial" w:cs="Arial"/>
          <w:sz w:val="22"/>
        </w:rPr>
        <w:t>Lo anterior teniendo en cuenta que</w:t>
      </w:r>
      <w:r w:rsidRPr="00B41612">
        <w:rPr>
          <w:rFonts w:ascii="Arial" w:hAnsi="Arial" w:cs="Arial"/>
          <w:sz w:val="22"/>
        </w:rPr>
        <w:t xml:space="preserve"> estos aspectos en nada afectan la aplicación y alcance de los </w:t>
      </w:r>
      <w:r w:rsidR="00C56B01" w:rsidRPr="00B41612">
        <w:rPr>
          <w:rFonts w:ascii="Arial" w:hAnsi="Arial" w:cs="Arial"/>
          <w:sz w:val="22"/>
        </w:rPr>
        <w:t>documentos tipo</w:t>
      </w:r>
      <w:r>
        <w:rPr>
          <w:rFonts w:ascii="Arial" w:hAnsi="Arial" w:cs="Arial"/>
          <w:sz w:val="22"/>
        </w:rPr>
        <w:t xml:space="preserve">, esto es, </w:t>
      </w:r>
      <w:r w:rsidRPr="00B41612">
        <w:rPr>
          <w:rFonts w:ascii="Arial" w:hAnsi="Arial" w:cs="Arial"/>
          <w:sz w:val="22"/>
        </w:rPr>
        <w:t>no afectan su contenido esencial y, mucho menos, las obligaciones, deberes y derechos que se derivan para las partes contratantes.</w:t>
      </w:r>
    </w:p>
    <w:p w14:paraId="613F503C" w14:textId="77777777" w:rsidR="00D21D97" w:rsidRPr="00991BE6" w:rsidRDefault="00D21D97" w:rsidP="00991BE6">
      <w:pPr>
        <w:spacing w:line="276" w:lineRule="auto"/>
        <w:ind w:right="709"/>
        <w:jc w:val="both"/>
        <w:rPr>
          <w:rFonts w:ascii="Arial" w:hAnsi="Arial" w:cs="Arial"/>
          <w:color w:val="000000" w:themeColor="text1"/>
          <w:sz w:val="22"/>
          <w:lang w:val="es-CO"/>
        </w:rPr>
      </w:pPr>
    </w:p>
    <w:p w14:paraId="4DAE4437" w14:textId="77777777" w:rsidR="00BE1E33" w:rsidRPr="00991BE6" w:rsidRDefault="00BE1E33" w:rsidP="00991BE6">
      <w:pPr>
        <w:pStyle w:val="Prrafodelista"/>
        <w:numPr>
          <w:ilvl w:val="0"/>
          <w:numId w:val="1"/>
        </w:numPr>
        <w:tabs>
          <w:tab w:val="left" w:pos="284"/>
        </w:tabs>
        <w:spacing w:line="276" w:lineRule="auto"/>
        <w:ind w:left="0" w:firstLine="0"/>
        <w:rPr>
          <w:rFonts w:ascii="Arial" w:hAnsi="Arial" w:cs="Arial"/>
          <w:b/>
          <w:bCs/>
          <w:color w:val="000000" w:themeColor="text1"/>
          <w:sz w:val="22"/>
          <w:lang w:val="es-CO"/>
        </w:rPr>
      </w:pPr>
      <w:r w:rsidRPr="00991BE6">
        <w:rPr>
          <w:rFonts w:ascii="Arial" w:hAnsi="Arial" w:cs="Arial"/>
          <w:b/>
          <w:bCs/>
          <w:color w:val="000000" w:themeColor="text1"/>
          <w:sz w:val="22"/>
          <w:lang w:val="es-CO"/>
        </w:rPr>
        <w:t xml:space="preserve">Respuesta </w:t>
      </w:r>
    </w:p>
    <w:p w14:paraId="60574FD4" w14:textId="77777777" w:rsidR="00D21D97" w:rsidRPr="00991BE6" w:rsidRDefault="00D21D97" w:rsidP="00991BE6">
      <w:pPr>
        <w:spacing w:line="276" w:lineRule="auto"/>
        <w:ind w:right="709"/>
        <w:jc w:val="both"/>
        <w:rPr>
          <w:rFonts w:ascii="Arial" w:hAnsi="Arial" w:cs="Arial"/>
          <w:color w:val="000000" w:themeColor="text1"/>
          <w:sz w:val="22"/>
          <w:lang w:val="es-CO"/>
        </w:rPr>
      </w:pPr>
    </w:p>
    <w:p w14:paraId="5C2D6EF8" w14:textId="38A5CCF0" w:rsidR="00BE1E33" w:rsidRPr="00991BE6" w:rsidRDefault="0043040E" w:rsidP="00991BE6">
      <w:pPr>
        <w:spacing w:line="276" w:lineRule="auto"/>
        <w:ind w:left="709" w:right="709"/>
        <w:jc w:val="both"/>
        <w:rPr>
          <w:rFonts w:ascii="Arial" w:eastAsia="Calibri" w:hAnsi="Arial" w:cs="Arial"/>
          <w:color w:val="000000" w:themeColor="text1"/>
          <w:sz w:val="21"/>
          <w:szCs w:val="21"/>
        </w:rPr>
      </w:pPr>
      <w:r w:rsidRPr="00991BE6">
        <w:rPr>
          <w:rFonts w:ascii="Arial" w:eastAsia="Calibri" w:hAnsi="Arial" w:cs="Arial"/>
          <w:color w:val="000000" w:themeColor="text1"/>
          <w:sz w:val="21"/>
          <w:szCs w:val="21"/>
        </w:rPr>
        <w:t>«¿</w:t>
      </w:r>
      <w:r w:rsidRPr="00991BE6">
        <w:rPr>
          <w:rFonts w:ascii="Arial" w:hAnsi="Arial" w:cs="Arial"/>
          <w:sz w:val="21"/>
          <w:szCs w:val="21"/>
        </w:rPr>
        <w:t>EL PLIEGO TIPO VERSION 3 PUEDE SER MODIFICADO POR ALGUNA ENTIDAD</w:t>
      </w:r>
      <w:r w:rsidRPr="00991BE6">
        <w:rPr>
          <w:rFonts w:ascii="Arial" w:eastAsia="Calibri" w:hAnsi="Arial" w:cs="Arial"/>
          <w:color w:val="000000" w:themeColor="text1"/>
          <w:sz w:val="21"/>
          <w:szCs w:val="21"/>
        </w:rPr>
        <w:t xml:space="preserve">?» </w:t>
      </w:r>
    </w:p>
    <w:p w14:paraId="2B1BAA16" w14:textId="0F42A093" w:rsidR="00982E99" w:rsidRPr="00991BE6" w:rsidRDefault="00982E99" w:rsidP="00991BE6">
      <w:pPr>
        <w:spacing w:line="276" w:lineRule="auto"/>
        <w:jc w:val="both"/>
        <w:rPr>
          <w:rFonts w:ascii="Arial" w:eastAsia="Calibri" w:hAnsi="Arial" w:cs="Arial"/>
          <w:color w:val="000000" w:themeColor="text1"/>
          <w:sz w:val="22"/>
        </w:rPr>
      </w:pPr>
    </w:p>
    <w:p w14:paraId="2C449F7A" w14:textId="06487BA9" w:rsidR="00D17075" w:rsidRPr="00991BE6" w:rsidRDefault="00D17075" w:rsidP="00991BE6">
      <w:pPr>
        <w:spacing w:after="120" w:line="276" w:lineRule="auto"/>
        <w:jc w:val="both"/>
        <w:rPr>
          <w:rFonts w:ascii="Arial" w:hAnsi="Arial" w:cs="Arial"/>
          <w:sz w:val="22"/>
        </w:rPr>
      </w:pPr>
      <w:r w:rsidRPr="00991BE6">
        <w:rPr>
          <w:rFonts w:ascii="Arial" w:hAnsi="Arial" w:cs="Arial"/>
          <w:sz w:val="22"/>
        </w:rPr>
        <w:t xml:space="preserve">Los documentos tipo, dentro de los que se encuentran los formatos, formularios, matrices y anexos, en virtud del principio de inalterabilidad establecido en </w:t>
      </w:r>
      <w:r w:rsidR="00C048C9">
        <w:rPr>
          <w:rFonts w:ascii="Arial" w:hAnsi="Arial" w:cs="Arial"/>
          <w:sz w:val="22"/>
        </w:rPr>
        <w:t>e</w:t>
      </w:r>
      <w:r w:rsidRPr="00991BE6">
        <w:rPr>
          <w:rFonts w:ascii="Arial" w:hAnsi="Arial" w:cs="Arial"/>
          <w:sz w:val="22"/>
        </w:rPr>
        <w:t>l artículo 2.2.1.2.6.1.4, del Decreto 1082 de 2015, desarrollado en el artículo 3 de las Resoluci</w:t>
      </w:r>
      <w:r w:rsidR="00C048C9">
        <w:rPr>
          <w:rFonts w:ascii="Arial" w:hAnsi="Arial" w:cs="Arial"/>
          <w:sz w:val="22"/>
        </w:rPr>
        <w:t>ó</w:t>
      </w:r>
      <w:r w:rsidRPr="00991BE6">
        <w:rPr>
          <w:rFonts w:ascii="Arial" w:hAnsi="Arial" w:cs="Arial"/>
          <w:sz w:val="22"/>
        </w:rPr>
        <w:t xml:space="preserve">n No. 240 de </w:t>
      </w:r>
      <w:r w:rsidRPr="00991BE6">
        <w:rPr>
          <w:rFonts w:ascii="Arial" w:hAnsi="Arial" w:cs="Arial"/>
          <w:sz w:val="22"/>
        </w:rPr>
        <w:lastRenderedPageBreak/>
        <w:t>2020, no pueden ser alterados por la entidad pública y, menos, por los oferentes, salvo en los apartados incluidos entre corchetes y resaltados en gris. Estos documentos, de conformidad con el parágrafo 7° del artículo 2 de la Ley 1150 de 2007, son de obligatoria aplicación para entidades estatales sometidas al Estatuto General de Contratación de la Administración Pública, para adelantar procesos de contratación de obra pública para infraestructura de transporte en la modalidad de licitación pública.</w:t>
      </w:r>
    </w:p>
    <w:p w14:paraId="315D744B" w14:textId="7530BC6D" w:rsidR="00BE1E33" w:rsidRPr="00991BE6" w:rsidRDefault="00D17075" w:rsidP="00991BE6">
      <w:pPr>
        <w:spacing w:line="276" w:lineRule="auto"/>
        <w:ind w:firstLine="708"/>
        <w:jc w:val="both"/>
        <w:rPr>
          <w:rFonts w:ascii="Arial" w:hAnsi="Arial" w:cs="Arial"/>
          <w:sz w:val="22"/>
        </w:rPr>
      </w:pPr>
      <w:r w:rsidRPr="00991BE6">
        <w:rPr>
          <w:rFonts w:ascii="Arial" w:hAnsi="Arial" w:cs="Arial"/>
          <w:sz w:val="22"/>
        </w:rPr>
        <w:t>Sin embargo, conforme al principio constitucional de prevalencia del derecho sustancial, la inalterabilidad de los documentos tipo no se extiende a los aspectos formales, esto es, al tamaño y tipo de letra, las márgenes o cualquier otro asunto relacionado con la forma del documento, así como tampoco a las expresiones que pretenden hacerlo más comprensible, siempre que  no afecten el contenido esencial de los documentos tipo y mucho menos, las obligaciones, deberes y derechos que se derivan para las partes contratantes.</w:t>
      </w:r>
    </w:p>
    <w:p w14:paraId="69B988FF" w14:textId="77777777" w:rsidR="00991BE6" w:rsidRPr="00991BE6" w:rsidRDefault="00991BE6" w:rsidP="00991BE6">
      <w:pPr>
        <w:spacing w:line="276" w:lineRule="auto"/>
        <w:ind w:firstLine="708"/>
        <w:jc w:val="both"/>
        <w:rPr>
          <w:rFonts w:ascii="Arial" w:hAnsi="Arial" w:cs="Arial"/>
          <w:sz w:val="22"/>
        </w:rPr>
      </w:pPr>
    </w:p>
    <w:p w14:paraId="66CE4DD8" w14:textId="77777777" w:rsidR="00BE1E33" w:rsidRPr="00991BE6" w:rsidRDefault="00BE1E33" w:rsidP="00991BE6">
      <w:pPr>
        <w:spacing w:before="120" w:line="276" w:lineRule="auto"/>
        <w:jc w:val="both"/>
        <w:rPr>
          <w:rFonts w:ascii="Arial" w:eastAsia="Calibri" w:hAnsi="Arial" w:cs="Arial"/>
          <w:color w:val="000000" w:themeColor="text1"/>
          <w:sz w:val="22"/>
        </w:rPr>
      </w:pPr>
      <w:r w:rsidRPr="00991BE6">
        <w:rPr>
          <w:rFonts w:ascii="Arial" w:eastAsia="Calibri" w:hAnsi="Arial" w:cs="Arial"/>
          <w:color w:val="000000" w:themeColor="text1"/>
          <w:sz w:val="22"/>
        </w:rPr>
        <w:t>Este concepto tiene el alcance previsto en el artículo 28 del Código de Procedimiento Administrativo y de lo Contencioso Administrativo.</w:t>
      </w:r>
    </w:p>
    <w:p w14:paraId="138D33A2" w14:textId="77777777" w:rsidR="00BE1E33" w:rsidRPr="006C15D5" w:rsidRDefault="00BE1E33" w:rsidP="00BE1E33">
      <w:pPr>
        <w:ind w:firstLine="709"/>
        <w:jc w:val="both"/>
        <w:rPr>
          <w:rFonts w:ascii="Arial" w:eastAsia="Calibri" w:hAnsi="Arial" w:cs="Arial"/>
          <w:color w:val="000000" w:themeColor="text1"/>
          <w:sz w:val="22"/>
        </w:rPr>
      </w:pPr>
    </w:p>
    <w:p w14:paraId="2B02915D" w14:textId="77777777" w:rsidR="00BE1E33" w:rsidRPr="006C15D5" w:rsidRDefault="00BE1E33" w:rsidP="00BE1E33">
      <w:pPr>
        <w:jc w:val="both"/>
        <w:rPr>
          <w:rFonts w:ascii="Arial" w:eastAsia="Times New Roman" w:hAnsi="Arial" w:cs="Arial"/>
          <w:color w:val="000000" w:themeColor="text1"/>
          <w:sz w:val="22"/>
          <w:lang w:eastAsia="es-CO"/>
        </w:rPr>
      </w:pPr>
      <w:r w:rsidRPr="006C15D5">
        <w:rPr>
          <w:rFonts w:ascii="Arial" w:eastAsia="Times New Roman" w:hAnsi="Arial" w:cs="Arial"/>
          <w:color w:val="000000" w:themeColor="text1"/>
          <w:sz w:val="22"/>
          <w:lang w:eastAsia="es-CO"/>
        </w:rPr>
        <w:t>Atentamente,</w:t>
      </w:r>
    </w:p>
    <w:bookmarkEnd w:id="0"/>
    <w:bookmarkEnd w:id="1"/>
    <w:p w14:paraId="1C8F6984" w14:textId="62541591" w:rsidR="00BE1E33" w:rsidRDefault="00BE1E33" w:rsidP="00BE1E33">
      <w:pPr>
        <w:jc w:val="center"/>
        <w:rPr>
          <w:rFonts w:ascii="Arial" w:eastAsia="Times New Roman" w:hAnsi="Arial" w:cs="Arial"/>
          <w:color w:val="000000" w:themeColor="text1"/>
          <w:sz w:val="18"/>
          <w:szCs w:val="20"/>
          <w:lang w:eastAsia="es-CO"/>
        </w:rPr>
      </w:pPr>
    </w:p>
    <w:p w14:paraId="724B0300" w14:textId="0775A33C" w:rsidR="00730CDB" w:rsidRPr="006C15D5" w:rsidRDefault="007661A3" w:rsidP="00BE1E33">
      <w:pPr>
        <w:jc w:val="center"/>
        <w:rPr>
          <w:rFonts w:ascii="Arial" w:eastAsia="Times New Roman" w:hAnsi="Arial" w:cs="Arial"/>
          <w:color w:val="000000" w:themeColor="text1"/>
          <w:sz w:val="18"/>
          <w:szCs w:val="20"/>
          <w:lang w:eastAsia="es-CO"/>
        </w:rPr>
      </w:pPr>
      <w:r>
        <w:rPr>
          <w:noProof/>
          <w:lang w:val="es-ES" w:eastAsia="es-ES"/>
        </w:rPr>
        <w:drawing>
          <wp:inline distT="0" distB="0" distL="0" distR="0" wp14:anchorId="4703E0DB" wp14:editId="79457874">
            <wp:extent cx="2342661" cy="1038225"/>
            <wp:effectExtent l="0" t="0" r="63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pic:nvPicPr>
                  <pic:blipFill>
                    <a:blip r:embed="rId13">
                      <a:extLst>
                        <a:ext uri="{28A0092B-C50C-407E-A947-70E740481C1C}">
                          <a14:useLocalDpi xmlns:a14="http://schemas.microsoft.com/office/drawing/2010/main" val="0"/>
                        </a:ext>
                      </a:extLst>
                    </a:blip>
                    <a:stretch>
                      <a:fillRect/>
                    </a:stretch>
                  </pic:blipFill>
                  <pic:spPr>
                    <a:xfrm>
                      <a:off x="0" y="0"/>
                      <a:ext cx="2342661" cy="1038225"/>
                    </a:xfrm>
                    <a:prstGeom prst="rect">
                      <a:avLst/>
                    </a:prstGeom>
                  </pic:spPr>
                </pic:pic>
              </a:graphicData>
            </a:graphic>
          </wp:inline>
        </w:drawing>
      </w:r>
    </w:p>
    <w:p w14:paraId="08D7951B" w14:textId="5DE4153B" w:rsidR="00DA15BB" w:rsidRPr="00DA15BB" w:rsidRDefault="00DA15BB" w:rsidP="00DA15BB">
      <w:pPr>
        <w:rPr>
          <w:rFonts w:ascii="Arial" w:hAnsi="Arial" w:cs="Arial"/>
          <w:color w:val="000000" w:themeColor="text1"/>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A15BB" w:rsidRPr="003F6D32" w14:paraId="28613E1D" w14:textId="77777777" w:rsidTr="0072181C">
        <w:trPr>
          <w:trHeight w:val="315"/>
        </w:trPr>
        <w:tc>
          <w:tcPr>
            <w:tcW w:w="812" w:type="dxa"/>
            <w:vAlign w:val="center"/>
            <w:hideMark/>
          </w:tcPr>
          <w:p w14:paraId="517FD7D1" w14:textId="77777777" w:rsidR="00DA15BB" w:rsidRPr="006C15D5" w:rsidRDefault="00DA15BB" w:rsidP="0072181C">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308750CE" w14:textId="615D83EA" w:rsidR="00DA15BB" w:rsidRPr="006C15D5" w:rsidRDefault="0043040E" w:rsidP="0072181C">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 xml:space="preserve">Laura Alejandra Materón García </w:t>
            </w:r>
          </w:p>
          <w:p w14:paraId="5233CD8B" w14:textId="6F60415B" w:rsidR="00DA15BB" w:rsidRPr="006C15D5" w:rsidRDefault="0043040E" w:rsidP="0072181C">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Analista</w:t>
            </w:r>
            <w:r w:rsidR="00DA15BB" w:rsidRPr="00CD169B">
              <w:rPr>
                <w:rFonts w:ascii="Arial" w:eastAsia="Times New Roman" w:hAnsi="Arial" w:cs="Arial"/>
                <w:color w:val="000000" w:themeColor="text1"/>
                <w:sz w:val="16"/>
                <w:szCs w:val="16"/>
                <w:lang w:eastAsia="es-ES"/>
              </w:rPr>
              <w:t xml:space="preserve"> T</w:t>
            </w:r>
            <w:r>
              <w:rPr>
                <w:rFonts w:ascii="Arial" w:eastAsia="Times New Roman" w:hAnsi="Arial" w:cs="Arial"/>
                <w:color w:val="000000" w:themeColor="text1"/>
                <w:sz w:val="16"/>
                <w:szCs w:val="16"/>
                <w:lang w:eastAsia="es-ES"/>
              </w:rPr>
              <w:t>2</w:t>
            </w:r>
            <w:r w:rsidR="00DA15BB" w:rsidRPr="00CD169B">
              <w:rPr>
                <w:rFonts w:ascii="Arial" w:eastAsia="Times New Roman" w:hAnsi="Arial" w:cs="Arial"/>
                <w:color w:val="000000" w:themeColor="text1"/>
                <w:sz w:val="16"/>
                <w:szCs w:val="16"/>
                <w:lang w:eastAsia="es-ES"/>
              </w:rPr>
              <w:t>-</w:t>
            </w:r>
            <w:r>
              <w:rPr>
                <w:rFonts w:ascii="Arial" w:eastAsia="Times New Roman" w:hAnsi="Arial" w:cs="Arial"/>
                <w:color w:val="000000" w:themeColor="text1"/>
                <w:sz w:val="16"/>
                <w:szCs w:val="16"/>
                <w:lang w:eastAsia="es-ES"/>
              </w:rPr>
              <w:t>01</w:t>
            </w:r>
            <w:r w:rsidR="00DA15BB" w:rsidRPr="00CD169B">
              <w:rPr>
                <w:rFonts w:ascii="Arial" w:eastAsia="Times New Roman" w:hAnsi="Arial" w:cs="Arial"/>
                <w:color w:val="000000" w:themeColor="text1"/>
                <w:sz w:val="16"/>
                <w:szCs w:val="16"/>
                <w:lang w:eastAsia="es-ES"/>
              </w:rPr>
              <w:t xml:space="preserve"> de la Subdirección de Gestión Contractual</w:t>
            </w:r>
          </w:p>
        </w:tc>
      </w:tr>
      <w:tr w:rsidR="00DA15BB" w:rsidRPr="003F6D32" w14:paraId="3338C616" w14:textId="77777777" w:rsidTr="0072181C">
        <w:trPr>
          <w:trHeight w:val="330"/>
        </w:trPr>
        <w:tc>
          <w:tcPr>
            <w:tcW w:w="812" w:type="dxa"/>
            <w:vAlign w:val="center"/>
            <w:hideMark/>
          </w:tcPr>
          <w:p w14:paraId="3598B89A" w14:textId="77777777" w:rsidR="00DA15BB" w:rsidRPr="006C15D5" w:rsidRDefault="00DA15BB" w:rsidP="0072181C">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EEEAC29" w14:textId="2B98C681" w:rsidR="00DA15BB" w:rsidRPr="00CD169B" w:rsidRDefault="0043040E" w:rsidP="0072181C">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Juan David Montoya Penagos</w:t>
            </w:r>
          </w:p>
          <w:p w14:paraId="654F6DEB" w14:textId="77777777" w:rsidR="00DA15BB" w:rsidRPr="006C15D5" w:rsidRDefault="00DA15BB" w:rsidP="0072181C">
            <w:pPr>
              <w:rPr>
                <w:rFonts w:ascii="Arial" w:eastAsia="Times New Roman" w:hAnsi="Arial" w:cs="Arial"/>
                <w:color w:val="000000" w:themeColor="text1"/>
                <w:sz w:val="16"/>
                <w:szCs w:val="16"/>
                <w:lang w:eastAsia="es-ES"/>
              </w:rPr>
            </w:pPr>
            <w:r w:rsidRPr="00CD169B">
              <w:rPr>
                <w:rFonts w:ascii="Arial" w:eastAsia="Times New Roman" w:hAnsi="Arial" w:cs="Arial"/>
                <w:color w:val="000000" w:themeColor="text1"/>
                <w:sz w:val="16"/>
                <w:szCs w:val="16"/>
                <w:lang w:eastAsia="es-ES"/>
              </w:rPr>
              <w:t>Gestor T1-15 de la Subdirección de Gestión Contractual</w:t>
            </w:r>
          </w:p>
        </w:tc>
      </w:tr>
      <w:tr w:rsidR="00DA15BB" w:rsidRPr="003F6D32" w14:paraId="518BF40D" w14:textId="77777777" w:rsidTr="0072181C">
        <w:trPr>
          <w:trHeight w:val="300"/>
        </w:trPr>
        <w:tc>
          <w:tcPr>
            <w:tcW w:w="812" w:type="dxa"/>
            <w:vAlign w:val="center"/>
            <w:hideMark/>
          </w:tcPr>
          <w:p w14:paraId="2413FB2F" w14:textId="77777777" w:rsidR="00DA15BB" w:rsidRPr="006C15D5" w:rsidRDefault="00DA15BB" w:rsidP="0072181C">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D97EE9A" w14:textId="77777777" w:rsidR="00DA15BB" w:rsidRPr="00CD169B" w:rsidRDefault="00DA15BB" w:rsidP="0072181C">
            <w:pPr>
              <w:rPr>
                <w:rFonts w:ascii="Arial" w:eastAsia="Times New Roman" w:hAnsi="Arial" w:cs="Arial"/>
                <w:color w:val="000000" w:themeColor="text1"/>
                <w:sz w:val="16"/>
                <w:szCs w:val="16"/>
                <w:lang w:eastAsia="es-ES"/>
              </w:rPr>
            </w:pPr>
            <w:r w:rsidRPr="00CD169B">
              <w:rPr>
                <w:rFonts w:ascii="Arial" w:eastAsia="Times New Roman" w:hAnsi="Arial" w:cs="Arial"/>
                <w:color w:val="000000" w:themeColor="text1"/>
                <w:sz w:val="16"/>
                <w:szCs w:val="16"/>
                <w:lang w:eastAsia="es-ES"/>
              </w:rPr>
              <w:t>Jorge Augusto Tirado Navarro</w:t>
            </w:r>
          </w:p>
          <w:p w14:paraId="38A94A16" w14:textId="77777777" w:rsidR="00DA15BB" w:rsidRPr="006C15D5" w:rsidRDefault="00DA15BB" w:rsidP="0072181C">
            <w:pPr>
              <w:rPr>
                <w:rFonts w:ascii="Arial" w:eastAsia="Times New Roman" w:hAnsi="Arial" w:cs="Arial"/>
                <w:color w:val="000000" w:themeColor="text1"/>
                <w:sz w:val="16"/>
                <w:szCs w:val="16"/>
                <w:lang w:eastAsia="es-ES"/>
              </w:rPr>
            </w:pPr>
            <w:r w:rsidRPr="00CD169B">
              <w:rPr>
                <w:rFonts w:ascii="Arial" w:eastAsia="Times New Roman" w:hAnsi="Arial" w:cs="Arial"/>
                <w:color w:val="000000" w:themeColor="text1"/>
                <w:sz w:val="16"/>
                <w:szCs w:val="16"/>
                <w:lang w:eastAsia="es-ES"/>
              </w:rPr>
              <w:t>Subdirector de Gestión Contractual ANCP – CCE</w:t>
            </w:r>
          </w:p>
        </w:tc>
      </w:tr>
    </w:tbl>
    <w:p w14:paraId="085A31AB" w14:textId="77777777" w:rsidR="006C5955" w:rsidRPr="006C15D5" w:rsidRDefault="006C5955" w:rsidP="00BE1E33">
      <w:pPr>
        <w:rPr>
          <w:color w:val="000000" w:themeColor="text1"/>
        </w:rPr>
      </w:pPr>
    </w:p>
    <w:sectPr w:rsidR="006C5955" w:rsidRPr="006C15D5" w:rsidSect="0072181C">
      <w:headerReference w:type="default" r:id="rId14"/>
      <w:footerReference w:type="default" r:id="rId15"/>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680DE79" w14:textId="77777777" w:rsidR="0072181C" w:rsidRDefault="0072181C" w:rsidP="008C487C">
      <w:r>
        <w:separator/>
      </w:r>
    </w:p>
  </w:endnote>
  <w:endnote w:type="continuationSeparator" w:id="0">
    <w:p w14:paraId="5457AC04" w14:textId="77777777" w:rsidR="0072181C" w:rsidRDefault="0072181C" w:rsidP="008C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Segoe UI">
    <w:charset w:val="00"/>
    <w:family w:val="swiss"/>
    <w:pitch w:val="variable"/>
    <w:sig w:usb0="E4002EFF" w:usb1="C000E47F" w:usb2="00000009" w:usb3="00000000" w:csb0="000001FF" w:csb1="00000000"/>
  </w:font>
  <w:font w:name="Arial">
    <w:panose1 w:val="020B0604020202020204"/>
    <w:charset w:val="00"/>
    <w:family w:val="auto"/>
    <w:pitch w:val="variable"/>
    <w:sig w:usb0="E0002AFF" w:usb1="C0007843" w:usb2="00000009" w:usb3="00000000" w:csb0="000001FF" w:csb1="00000000"/>
  </w:font>
  <w:font w:name="Arial Narrow">
    <w:panose1 w:val="020B0506020202030204"/>
    <w:charset w:val="00"/>
    <w:family w:val="auto"/>
    <w:pitch w:val="variable"/>
    <w:sig w:usb0="00000003" w:usb1="00000000" w:usb2="00000000" w:usb3="00000000" w:csb0="00000001" w:csb1="00000000"/>
  </w:font>
  <w:font w:name="游ゴシック Light">
    <w:panose1 w:val="00000000000000000000"/>
    <w:charset w:val="80"/>
    <w:family w:val="roman"/>
    <w:notTrueType/>
    <w:pitch w:val="default"/>
  </w:font>
  <w:font w:name="Calibri Light">
    <w:charset w:val="00"/>
    <w:family w:val="swiss"/>
    <w:pitch w:val="variable"/>
    <w:sig w:usb0="E4002EFF" w:usb1="C000247B" w:usb2="00000009" w:usb3="00000000" w:csb0="000001FF" w:csb1="00000000"/>
  </w:font>
  <w:font w:name="游明朝">
    <w:panose1 w:val="00000000000000000000"/>
    <w:charset w:val="80"/>
    <w:family w:val="roman"/>
    <w:notTrueType/>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37B59A" w14:textId="3A65DB1A" w:rsidR="0072181C" w:rsidRDefault="0072181C" w:rsidP="0072181C">
    <w:pPr>
      <w:pStyle w:val="Sinespaciado"/>
      <w:jc w:val="right"/>
      <w:rPr>
        <w:rFonts w:ascii="Arial" w:hAnsi="Arial" w:cs="Arial"/>
        <w:sz w:val="18"/>
        <w:szCs w:val="18"/>
      </w:rPr>
    </w:pPr>
  </w:p>
  <w:p w14:paraId="709352A1" w14:textId="77777777" w:rsidR="0072181C" w:rsidRDefault="0072181C" w:rsidP="0072181C">
    <w:pPr>
      <w:pStyle w:val="Sinespaciado"/>
      <w:jc w:val="right"/>
      <w:rPr>
        <w:rFonts w:ascii="Arial" w:hAnsi="Arial" w:cs="Arial"/>
        <w:sz w:val="18"/>
        <w:szCs w:val="18"/>
      </w:rPr>
    </w:pPr>
  </w:p>
  <w:p w14:paraId="3D3EB348" w14:textId="77777777" w:rsidR="0072181C" w:rsidRPr="008217B7" w:rsidRDefault="0072181C" w:rsidP="0072181C">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5308D7">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5308D7">
      <w:rPr>
        <w:rFonts w:ascii="Arial" w:hAnsi="Arial" w:cs="Arial"/>
        <w:b/>
        <w:bCs/>
        <w:noProof/>
        <w:color w:val="7F7F7F" w:themeColor="text1" w:themeTint="80"/>
        <w:sz w:val="16"/>
        <w:szCs w:val="16"/>
      </w:rPr>
      <w:t>11</w:t>
    </w:r>
    <w:r w:rsidRPr="00084B97">
      <w:rPr>
        <w:rFonts w:ascii="Arial" w:hAnsi="Arial" w:cs="Arial"/>
        <w:b/>
        <w:bCs/>
        <w:color w:val="7F7F7F" w:themeColor="text1" w:themeTint="80"/>
        <w:sz w:val="16"/>
        <w:szCs w:val="16"/>
      </w:rPr>
      <w:fldChar w:fldCharType="end"/>
    </w:r>
  </w:p>
  <w:p w14:paraId="29709EEF" w14:textId="77777777" w:rsidR="0072181C" w:rsidRDefault="0072181C" w:rsidP="0072181C">
    <w:pPr>
      <w:pStyle w:val="Piedepgina"/>
      <w:jc w:val="center"/>
      <w:rPr>
        <w:lang w:val="es-ES"/>
      </w:rPr>
    </w:pPr>
    <w:r>
      <w:rPr>
        <w:noProof/>
        <w:lang w:val="es-ES" w:eastAsia="es-ES"/>
      </w:rPr>
      <w:drawing>
        <wp:inline distT="0" distB="0" distL="0" distR="0" wp14:anchorId="0323F87D" wp14:editId="0207DD46">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608DFF21" w14:textId="77777777" w:rsidR="0072181C" w:rsidRPr="00E756AC" w:rsidRDefault="0072181C" w:rsidP="0072181C">
    <w:pPr>
      <w:pStyle w:val="Piedepgina"/>
      <w:jc w:val="center"/>
      <w:rPr>
        <w:sz w:val="18"/>
        <w:szCs w:val="18"/>
        <w:lang w:val="es-ES"/>
      </w:rPr>
    </w:pPr>
  </w:p>
  <w:p w14:paraId="428179B1" w14:textId="77777777" w:rsidR="0072181C" w:rsidRPr="00E756AC" w:rsidRDefault="0072181C" w:rsidP="0072181C">
    <w:pPr>
      <w:pStyle w:val="Piedepgina"/>
      <w:jc w:val="center"/>
      <w:rPr>
        <w:sz w:val="18"/>
        <w:szCs w:val="18"/>
        <w:lang w:val="es-ES"/>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303826F" w14:textId="77777777" w:rsidR="0072181C" w:rsidRDefault="0072181C" w:rsidP="008C487C">
      <w:r>
        <w:separator/>
      </w:r>
    </w:p>
  </w:footnote>
  <w:footnote w:type="continuationSeparator" w:id="0">
    <w:p w14:paraId="1825B859" w14:textId="77777777" w:rsidR="0072181C" w:rsidRDefault="0072181C" w:rsidP="008C487C">
      <w:r>
        <w:continuationSeparator/>
      </w:r>
    </w:p>
  </w:footnote>
  <w:footnote w:id="1">
    <w:p w14:paraId="3FEAA5E7" w14:textId="6882C48A" w:rsidR="0072181C" w:rsidRDefault="0072181C" w:rsidP="00F87C23">
      <w:pPr>
        <w:pStyle w:val="Textonotapie"/>
        <w:ind w:firstLine="709"/>
        <w:jc w:val="both"/>
        <w:rPr>
          <w:rFonts w:ascii="Arial" w:eastAsia="Times New Roman" w:hAnsi="Arial" w:cs="Arial"/>
          <w:color w:val="000000"/>
          <w:sz w:val="19"/>
          <w:szCs w:val="19"/>
          <w:bdr w:val="none" w:sz="0" w:space="0" w:color="auto" w:frame="1"/>
          <w:lang w:eastAsia="es-CO"/>
        </w:rPr>
      </w:pPr>
      <w:r>
        <w:rPr>
          <w:rStyle w:val="Refdenotaalpie"/>
        </w:rPr>
        <w:footnoteRef/>
      </w:r>
      <w:r>
        <w:t xml:space="preserve"> </w:t>
      </w:r>
      <w:r w:rsidRPr="0043040E">
        <w:rPr>
          <w:rFonts w:ascii="Arial" w:eastAsia="Times New Roman" w:hAnsi="Arial" w:cs="Arial"/>
          <w:color w:val="000000"/>
          <w:sz w:val="19"/>
          <w:szCs w:val="19"/>
          <w:bdr w:val="none" w:sz="0" w:space="0" w:color="auto" w:frame="1"/>
          <w:lang w:eastAsia="es-CO"/>
        </w:rPr>
        <w:t>El parágrafo 3 del artículo 2 de la Ley 1150 de 2007 facultó por primera vez al Gobierno Nacional para adoptar estándares generales en los pliegos de condiciones, razón por la cual dispuso lo siguiente: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 </w:t>
      </w:r>
    </w:p>
    <w:p w14:paraId="7BBAC855" w14:textId="77777777" w:rsidR="0072181C" w:rsidRDefault="0072181C" w:rsidP="0043040E">
      <w:pPr>
        <w:pStyle w:val="Textonotapie"/>
        <w:ind w:firstLine="709"/>
      </w:pPr>
    </w:p>
  </w:footnote>
  <w:footnote w:id="2">
    <w:p w14:paraId="78EDA7FC" w14:textId="025A7CDA" w:rsidR="0072181C" w:rsidRDefault="0072181C" w:rsidP="0043040E">
      <w:pPr>
        <w:pStyle w:val="Textonotapie"/>
        <w:ind w:firstLine="709"/>
        <w:rPr>
          <w:rFonts w:ascii="Arial" w:eastAsia="Times New Roman" w:hAnsi="Arial" w:cs="Arial"/>
          <w:color w:val="000000"/>
          <w:sz w:val="19"/>
          <w:szCs w:val="19"/>
          <w:bdr w:val="none" w:sz="0" w:space="0" w:color="auto" w:frame="1"/>
          <w:lang w:eastAsia="es-CO"/>
        </w:rPr>
      </w:pPr>
      <w:r>
        <w:rPr>
          <w:rStyle w:val="Refdenotaalpie"/>
        </w:rPr>
        <w:footnoteRef/>
      </w:r>
      <w:r>
        <w:t xml:space="preserve"> </w:t>
      </w:r>
      <w:r w:rsidRPr="0043040E">
        <w:rPr>
          <w:rFonts w:ascii="Arial" w:eastAsia="Times New Roman" w:hAnsi="Arial" w:cs="Arial"/>
          <w:color w:val="000000"/>
          <w:sz w:val="19"/>
          <w:szCs w:val="19"/>
          <w:bdr w:val="none" w:sz="0" w:space="0" w:color="auto" w:frame="1"/>
          <w:lang w:eastAsia="es-CO"/>
        </w:rPr>
        <w:t>Diario Oficial. Gaceta del Congreso 458 de 2005.  </w:t>
      </w:r>
    </w:p>
    <w:p w14:paraId="64745683" w14:textId="77777777" w:rsidR="0072181C" w:rsidRDefault="0072181C" w:rsidP="0043040E">
      <w:pPr>
        <w:pStyle w:val="Textonotapie"/>
        <w:ind w:firstLine="709"/>
      </w:pPr>
    </w:p>
  </w:footnote>
  <w:footnote w:id="3">
    <w:p w14:paraId="0C92C827" w14:textId="47A45BCA" w:rsidR="0072181C" w:rsidRDefault="0072181C" w:rsidP="0043040E">
      <w:pPr>
        <w:pStyle w:val="Textonotapie"/>
        <w:ind w:firstLine="709"/>
      </w:pPr>
      <w:r>
        <w:rPr>
          <w:rStyle w:val="Refdenotaalpie"/>
        </w:rPr>
        <w:footnoteRef/>
      </w:r>
      <w:r>
        <w:t xml:space="preserve"> </w:t>
      </w:r>
      <w:r w:rsidRPr="0043040E">
        <w:rPr>
          <w:rFonts w:ascii="Arial" w:hAnsi="Arial" w:cs="Arial"/>
          <w:sz w:val="19"/>
          <w:szCs w:val="19"/>
        </w:rPr>
        <w:t>Ibídem.</w:t>
      </w:r>
      <w:r w:rsidRPr="0043040E">
        <w:t xml:space="preserve">  </w:t>
      </w:r>
    </w:p>
    <w:p w14:paraId="0762386A" w14:textId="77777777" w:rsidR="0072181C" w:rsidRDefault="0072181C" w:rsidP="0043040E">
      <w:pPr>
        <w:pStyle w:val="Textonotapie"/>
        <w:ind w:firstLine="709"/>
      </w:pPr>
    </w:p>
  </w:footnote>
  <w:footnote w:id="4">
    <w:p w14:paraId="39A5A47F" w14:textId="5E1B00CA" w:rsidR="0072181C" w:rsidRDefault="0072181C" w:rsidP="0043040E">
      <w:pPr>
        <w:shd w:val="clear" w:color="auto" w:fill="FFFFFF"/>
        <w:ind w:firstLine="709"/>
        <w:jc w:val="both"/>
        <w:textAlignment w:val="baseline"/>
        <w:rPr>
          <w:rFonts w:ascii="Arial" w:eastAsia="Times New Roman" w:hAnsi="Arial" w:cs="Arial"/>
          <w:color w:val="000000"/>
          <w:sz w:val="19"/>
          <w:szCs w:val="19"/>
          <w:bdr w:val="none" w:sz="0" w:space="0" w:color="auto" w:frame="1"/>
          <w:lang w:val="es-CO" w:eastAsia="es-CO"/>
        </w:rPr>
      </w:pPr>
      <w:r>
        <w:rPr>
          <w:rStyle w:val="Refdenotaalpie"/>
        </w:rPr>
        <w:footnoteRef/>
      </w:r>
      <w:r>
        <w:t xml:space="preserve"> </w:t>
      </w:r>
      <w:r w:rsidRPr="0043040E">
        <w:rPr>
          <w:rFonts w:ascii="Arial" w:eastAsia="Times New Roman" w:hAnsi="Arial" w:cs="Arial"/>
          <w:color w:val="000000"/>
          <w:sz w:val="19"/>
          <w:szCs w:val="19"/>
          <w:bdr w:val="none" w:sz="0" w:space="0" w:color="auto" w:frame="1"/>
          <w:lang w:val="es-CO" w:eastAsia="es-CO"/>
        </w:rPr>
        <w:t>Diario Oficial. Gaceta del Congreso 416 de 2007, Informe de Conciliación Senado. </w:t>
      </w:r>
    </w:p>
    <w:p w14:paraId="4CFA2DC2" w14:textId="77777777" w:rsidR="0072181C" w:rsidRPr="0043040E" w:rsidRDefault="0072181C" w:rsidP="0043040E">
      <w:pPr>
        <w:shd w:val="clear" w:color="auto" w:fill="FFFFFF"/>
        <w:ind w:firstLine="709"/>
        <w:jc w:val="both"/>
        <w:textAlignment w:val="baseline"/>
        <w:rPr>
          <w:rFonts w:ascii="Calibri" w:eastAsia="Times New Roman" w:hAnsi="Calibri" w:cs="Calibri"/>
          <w:color w:val="000000"/>
          <w:sz w:val="20"/>
          <w:szCs w:val="20"/>
          <w:lang w:val="es-CO" w:eastAsia="es-CO"/>
        </w:rPr>
      </w:pPr>
    </w:p>
  </w:footnote>
  <w:footnote w:id="5">
    <w:p w14:paraId="7FC31CAD" w14:textId="77777777" w:rsidR="0072181C" w:rsidRPr="0043040E" w:rsidRDefault="0072181C" w:rsidP="0043040E">
      <w:pPr>
        <w:shd w:val="clear" w:color="auto" w:fill="FFFFFF"/>
        <w:ind w:firstLine="709"/>
        <w:jc w:val="both"/>
        <w:textAlignment w:val="baseline"/>
        <w:rPr>
          <w:rFonts w:ascii="Calibri" w:eastAsia="Times New Roman" w:hAnsi="Calibri" w:cs="Calibri"/>
          <w:color w:val="000000"/>
          <w:sz w:val="20"/>
          <w:szCs w:val="20"/>
          <w:lang w:val="es-CO" w:eastAsia="es-CO"/>
        </w:rPr>
      </w:pPr>
      <w:r>
        <w:rPr>
          <w:rStyle w:val="Refdenotaalpie"/>
        </w:rPr>
        <w:footnoteRef/>
      </w:r>
      <w:r>
        <w:t xml:space="preserve"> </w:t>
      </w:r>
      <w:r w:rsidRPr="0043040E">
        <w:rPr>
          <w:rFonts w:ascii="Arial" w:eastAsia="Times New Roman" w:hAnsi="Arial" w:cs="Arial"/>
          <w:color w:val="000000"/>
          <w:sz w:val="19"/>
          <w:szCs w:val="19"/>
          <w:bdr w:val="none" w:sz="0" w:space="0" w:color="auto" w:frame="1"/>
          <w:lang w:eastAsia="es-CO"/>
        </w:rPr>
        <w:t>El artículo 1 de la Ley 2022 de 2020 modifica el artículo 4 de la Ley 1882 de 2018, el cual adiciona el parágrafo 7 al artículo 2 de la Ley 1150 de 2007 y dispone que: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w:t>
      </w:r>
    </w:p>
    <w:p w14:paraId="7B3006D7" w14:textId="77777777" w:rsidR="0072181C" w:rsidRPr="0043040E" w:rsidRDefault="0072181C" w:rsidP="0043040E">
      <w:pPr>
        <w:shd w:val="clear" w:color="auto" w:fill="FFFFFF"/>
        <w:ind w:firstLine="709"/>
        <w:jc w:val="both"/>
        <w:textAlignment w:val="baseline"/>
        <w:rPr>
          <w:rFonts w:ascii="Calibri" w:eastAsia="Times New Roman" w:hAnsi="Calibri" w:cs="Calibri"/>
          <w:color w:val="000000"/>
          <w:sz w:val="20"/>
          <w:szCs w:val="20"/>
          <w:lang w:val="es-CO" w:eastAsia="es-CO"/>
        </w:rPr>
      </w:pPr>
      <w:r w:rsidRPr="0043040E">
        <w:rPr>
          <w:rFonts w:ascii="Arial" w:eastAsia="Times New Roman" w:hAnsi="Arial" w:cs="Arial"/>
          <w:color w:val="000000"/>
          <w:sz w:val="19"/>
          <w:szCs w:val="19"/>
          <w:bdr w:val="none" w:sz="0" w:space="0" w:color="auto" w:frame="1"/>
          <w:lang w:eastAsia="es-CO"/>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w:t>
      </w:r>
    </w:p>
    <w:p w14:paraId="7C8358D1" w14:textId="77777777" w:rsidR="0072181C" w:rsidRPr="0043040E" w:rsidRDefault="0072181C" w:rsidP="0043040E">
      <w:pPr>
        <w:shd w:val="clear" w:color="auto" w:fill="FFFFFF"/>
        <w:ind w:firstLine="709"/>
        <w:jc w:val="both"/>
        <w:textAlignment w:val="baseline"/>
        <w:rPr>
          <w:rFonts w:ascii="Calibri" w:eastAsia="Times New Roman" w:hAnsi="Calibri" w:cs="Calibri"/>
          <w:color w:val="000000"/>
          <w:sz w:val="20"/>
          <w:szCs w:val="20"/>
          <w:lang w:val="es-CO" w:eastAsia="es-CO"/>
        </w:rPr>
      </w:pPr>
      <w:r w:rsidRPr="0043040E">
        <w:rPr>
          <w:rFonts w:ascii="Arial" w:eastAsia="Times New Roman" w:hAnsi="Arial" w:cs="Arial"/>
          <w:color w:val="000000"/>
          <w:sz w:val="19"/>
          <w:szCs w:val="19"/>
          <w:bdr w:val="none" w:sz="0" w:space="0" w:color="auto" w:frame="1"/>
          <w:lang w:eastAsia="es-CO"/>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 </w:t>
      </w:r>
    </w:p>
    <w:p w14:paraId="55F34DB9" w14:textId="77777777" w:rsidR="0072181C" w:rsidRPr="0043040E" w:rsidRDefault="0072181C" w:rsidP="0043040E">
      <w:pPr>
        <w:shd w:val="clear" w:color="auto" w:fill="FFFFFF"/>
        <w:ind w:firstLine="709"/>
        <w:jc w:val="both"/>
        <w:textAlignment w:val="baseline"/>
        <w:rPr>
          <w:rFonts w:ascii="Calibri" w:eastAsia="Times New Roman" w:hAnsi="Calibri" w:cs="Calibri"/>
          <w:color w:val="000000"/>
          <w:sz w:val="20"/>
          <w:szCs w:val="20"/>
          <w:lang w:val="es-CO" w:eastAsia="es-CO"/>
        </w:rPr>
      </w:pPr>
      <w:r w:rsidRPr="0043040E">
        <w:rPr>
          <w:rFonts w:ascii="Arial" w:eastAsia="Times New Roman" w:hAnsi="Arial" w:cs="Arial"/>
          <w:color w:val="000000"/>
          <w:sz w:val="19"/>
          <w:szCs w:val="19"/>
          <w:bdr w:val="none" w:sz="0" w:space="0" w:color="auto" w:frame="1"/>
          <w:lang w:eastAsia="es-CO"/>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 </w:t>
      </w:r>
    </w:p>
    <w:p w14:paraId="71F99F86" w14:textId="77777777" w:rsidR="0072181C" w:rsidRPr="0043040E" w:rsidRDefault="0072181C" w:rsidP="0043040E">
      <w:pPr>
        <w:shd w:val="clear" w:color="auto" w:fill="FFFFFF"/>
        <w:ind w:firstLine="708"/>
        <w:jc w:val="both"/>
        <w:textAlignment w:val="baseline"/>
        <w:rPr>
          <w:rFonts w:ascii="Calibri" w:eastAsia="Times New Roman" w:hAnsi="Calibri" w:cs="Calibri"/>
          <w:color w:val="000000"/>
          <w:sz w:val="20"/>
          <w:szCs w:val="20"/>
          <w:lang w:val="es-CO" w:eastAsia="es-CO"/>
        </w:rPr>
      </w:pPr>
      <w:r w:rsidRPr="0043040E">
        <w:rPr>
          <w:rFonts w:ascii="Arial" w:eastAsia="Times New Roman" w:hAnsi="Arial" w:cs="Arial"/>
          <w:color w:val="000000"/>
          <w:sz w:val="19"/>
          <w:szCs w:val="19"/>
          <w:bdr w:val="none" w:sz="0" w:space="0" w:color="auto" w:frame="1"/>
          <w:lang w:eastAsia="es-CO"/>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 </w:t>
      </w:r>
    </w:p>
    <w:p w14:paraId="299CEC06" w14:textId="1069D869" w:rsidR="0072181C" w:rsidRDefault="0072181C">
      <w:pPr>
        <w:pStyle w:val="Textonotapie"/>
      </w:pPr>
    </w:p>
  </w:footnote>
  <w:footnote w:id="6">
    <w:p w14:paraId="7EA8131B" w14:textId="77777777" w:rsidR="0072181C" w:rsidRPr="0045370A" w:rsidRDefault="0072181C" w:rsidP="00C048C9">
      <w:pPr>
        <w:pStyle w:val="Textonotapie"/>
        <w:ind w:firstLine="708"/>
        <w:jc w:val="both"/>
        <w:rPr>
          <w:rFonts w:ascii="Arial" w:hAnsi="Arial" w:cs="Arial"/>
          <w:sz w:val="19"/>
          <w:szCs w:val="19"/>
        </w:rPr>
      </w:pPr>
      <w:r>
        <w:rPr>
          <w:rStyle w:val="Refdenotaalpie"/>
        </w:rPr>
        <w:footnoteRef/>
      </w:r>
      <w:r>
        <w:t xml:space="preserve"> </w:t>
      </w:r>
      <w:r w:rsidRPr="0045370A">
        <w:rPr>
          <w:rFonts w:ascii="Arial" w:hAnsi="Arial" w:cs="Arial"/>
          <w:sz w:val="19"/>
          <w:szCs w:val="19"/>
        </w:rPr>
        <w:t>Decreto 342 de 2019 «Artículo 2.2.1.2.6.1.4. Inalterabilidad de los Documentos Tipo. Las entidades estatales contratantes no podrán incluir o modificar dentro de los Documentos del Proceso las condiciones habilitantes, los factores técnicos y económicos de escogencia y los sistemas de ponderación distintos a los señalados en los Documentos Tipo».</w:t>
      </w:r>
    </w:p>
    <w:p w14:paraId="10F1FF9A" w14:textId="77777777" w:rsidR="0072181C" w:rsidRPr="0045370A" w:rsidRDefault="0072181C" w:rsidP="00C048C9">
      <w:pPr>
        <w:pStyle w:val="Textonotapie"/>
        <w:ind w:firstLine="708"/>
        <w:rPr>
          <w:rFonts w:ascii="Arial" w:hAnsi="Arial" w:cs="Arial"/>
          <w:sz w:val="19"/>
          <w:szCs w:val="19"/>
          <w:lang w:val="es-CO"/>
        </w:rPr>
      </w:pPr>
      <w:r w:rsidRPr="0045370A">
        <w:rPr>
          <w:rFonts w:ascii="Arial" w:hAnsi="Arial" w:cs="Arial"/>
          <w:sz w:val="19"/>
          <w:szCs w:val="19"/>
        </w:rPr>
        <w:t xml:space="preserve"> </w:t>
      </w:r>
    </w:p>
  </w:footnote>
  <w:footnote w:id="7">
    <w:p w14:paraId="24A72D8C" w14:textId="77777777" w:rsidR="0072181C" w:rsidRPr="00133C4A" w:rsidRDefault="0072181C" w:rsidP="00306FA7">
      <w:pPr>
        <w:pStyle w:val="Textonotapie"/>
        <w:ind w:firstLine="709"/>
        <w:jc w:val="both"/>
        <w:rPr>
          <w:rFonts w:ascii="Arial" w:hAnsi="Arial" w:cs="Arial"/>
          <w:color w:val="000000" w:themeColor="text1"/>
          <w:sz w:val="19"/>
          <w:szCs w:val="19"/>
        </w:rPr>
      </w:pPr>
      <w:r w:rsidRPr="00133C4A">
        <w:rPr>
          <w:rStyle w:val="Refdenotaalpie"/>
          <w:rFonts w:ascii="Arial" w:hAnsi="Arial" w:cs="Arial"/>
          <w:color w:val="000000" w:themeColor="text1"/>
          <w:sz w:val="19"/>
          <w:szCs w:val="19"/>
        </w:rPr>
        <w:footnoteRef/>
      </w:r>
      <w:r w:rsidRPr="00133C4A">
        <w:rPr>
          <w:rFonts w:ascii="Arial" w:hAnsi="Arial" w:cs="Arial"/>
          <w:color w:val="000000" w:themeColor="text1"/>
          <w:sz w:val="19"/>
          <w:szCs w:val="19"/>
        </w:rPr>
        <w:t xml:space="preserve"> El artículo 25, numeral 1º de la Ley 80 de 1993 establece que «En las normas de selección y en los pliegos de condiciones para la escogencia de contratistas, se cumplirán y establecerán los procedimientos y etapas estrictamente necesarios para asegurar la selección objetiva de la propuesta más favorable. Para este propósito, se señalarán términos preclusivos y perentorios para las diferentes etapas de la selección y las autoridades darán impulso oficioso a las actuaciones».</w:t>
      </w:r>
    </w:p>
    <w:p w14:paraId="3C8B27A1" w14:textId="77777777" w:rsidR="0072181C" w:rsidRPr="00133C4A" w:rsidRDefault="0072181C" w:rsidP="00306FA7">
      <w:pPr>
        <w:pStyle w:val="Textonotapie"/>
        <w:ind w:firstLine="709"/>
        <w:jc w:val="both"/>
        <w:rPr>
          <w:rFonts w:ascii="Arial" w:hAnsi="Arial" w:cs="Arial"/>
          <w:color w:val="000000" w:themeColor="text1"/>
          <w:sz w:val="19"/>
          <w:szCs w:val="19"/>
        </w:rPr>
      </w:pPr>
    </w:p>
  </w:footnote>
  <w:footnote w:id="8">
    <w:p w14:paraId="417C282D" w14:textId="77777777" w:rsidR="0072181C" w:rsidRDefault="0072181C" w:rsidP="00306FA7">
      <w:pPr>
        <w:ind w:firstLine="709"/>
        <w:jc w:val="both"/>
        <w:rPr>
          <w:rFonts w:ascii="Arial" w:hAnsi="Arial" w:cs="Arial"/>
          <w:color w:val="000000" w:themeColor="text1"/>
          <w:sz w:val="19"/>
          <w:szCs w:val="19"/>
          <w:lang w:val="es-ES"/>
        </w:rPr>
      </w:pPr>
      <w:r w:rsidRPr="00133C4A">
        <w:rPr>
          <w:rStyle w:val="Refdenotaalpie"/>
          <w:rFonts w:ascii="Arial" w:hAnsi="Arial" w:cs="Arial"/>
          <w:color w:val="000000" w:themeColor="text1"/>
          <w:sz w:val="19"/>
          <w:szCs w:val="19"/>
        </w:rPr>
        <w:footnoteRef/>
      </w:r>
      <w:r w:rsidRPr="00133C4A">
        <w:rPr>
          <w:rFonts w:ascii="Arial" w:hAnsi="Arial" w:cs="Arial"/>
          <w:color w:val="000000" w:themeColor="text1"/>
          <w:sz w:val="19"/>
          <w:szCs w:val="19"/>
        </w:rPr>
        <w:t xml:space="preserve"> </w:t>
      </w:r>
      <w:r w:rsidRPr="00133C4A">
        <w:rPr>
          <w:rFonts w:ascii="Arial" w:hAnsi="Arial" w:cs="Arial"/>
          <w:color w:val="000000" w:themeColor="text1"/>
          <w:sz w:val="19"/>
          <w:szCs w:val="19"/>
          <w:lang w:val="es-ES"/>
        </w:rPr>
        <w:t>En efecto, el artículo 5 del Decreto 019 de 2012 prevé lo siguiente: «Las normas de procedimiento administrativo deben ser utilizadas para agilizar las decisiones; los procedimientos se deben adelantar en el menor tiempo y con la menor cantidad de gastos de quienes intervienen en ellos; las autoridades administrativas y los particulares que cumplen funciones administrativas no deben exigir más documentos y copias que los estrictamente necesarios, ni autenticaciones ni notas de presentación personal sino cuando la ley lo ordene en forma expresa, o tratándose de poderes especiales. En tal virtud, las autoridades deberán proceder con austeridad y eficiencia, optimizar el uso del tiempo y de los demás recursos, procurando el más alto nivel de calidad en sus actuaciones y la protección de los derechos de las personas».</w:t>
      </w:r>
    </w:p>
    <w:p w14:paraId="531E1446" w14:textId="77777777" w:rsidR="0072181C" w:rsidRPr="00133C4A" w:rsidRDefault="0072181C" w:rsidP="00306FA7">
      <w:pPr>
        <w:ind w:firstLine="709"/>
        <w:jc w:val="both"/>
        <w:rPr>
          <w:rFonts w:ascii="Arial" w:hAnsi="Arial" w:cs="Arial"/>
          <w:color w:val="000000" w:themeColor="text1"/>
          <w:sz w:val="19"/>
          <w:szCs w:val="19"/>
          <w:lang w:val="es-ES"/>
        </w:rPr>
      </w:pPr>
    </w:p>
  </w:footnote>
  <w:footnote w:id="9">
    <w:p w14:paraId="43FC97AC" w14:textId="77777777" w:rsidR="0072181C" w:rsidRDefault="0072181C" w:rsidP="00306FA7">
      <w:pPr>
        <w:pStyle w:val="Textonotapie"/>
        <w:ind w:firstLine="708"/>
        <w:jc w:val="both"/>
        <w:rPr>
          <w:rFonts w:ascii="Arial" w:hAnsi="Arial" w:cs="Arial"/>
          <w:sz w:val="19"/>
          <w:szCs w:val="19"/>
        </w:rPr>
      </w:pPr>
      <w:r w:rsidRPr="000F2B47">
        <w:rPr>
          <w:rStyle w:val="Refdenotaalpie"/>
          <w:rFonts w:ascii="Arial" w:hAnsi="Arial" w:cs="Arial"/>
          <w:sz w:val="19"/>
          <w:szCs w:val="19"/>
        </w:rPr>
        <w:footnoteRef/>
      </w:r>
      <w:r w:rsidRPr="000F2B47">
        <w:rPr>
          <w:rFonts w:ascii="Arial" w:hAnsi="Arial" w:cs="Arial"/>
          <w:sz w:val="19"/>
          <w:szCs w:val="19"/>
        </w:rPr>
        <w:t xml:space="preserve"> Este artículo también es aplicable a los procedimientos de selección abreviada de menor cuantía, adelantados con documentos tipo, de conformidad con el artículo 2.2.1.2.6.2.3 del Decreto 1082 de 2015.</w:t>
      </w:r>
      <w:r>
        <w:rPr>
          <w:rFonts w:ascii="Arial" w:hAnsi="Arial" w:cs="Arial"/>
          <w:sz w:val="19"/>
          <w:szCs w:val="19"/>
        </w:rPr>
        <w:t xml:space="preserve"> </w:t>
      </w:r>
      <w:r w:rsidRPr="000F2B47">
        <w:rPr>
          <w:rFonts w:ascii="Arial" w:hAnsi="Arial" w:cs="Arial"/>
          <w:sz w:val="19"/>
          <w:szCs w:val="19"/>
        </w:rPr>
        <w:t>Para los procesos con documentos tipo, adelantado en modalidad de mínima cuantía, el Decreto 594 de 2020, al adicionar el Decreto 594 de 2020 introdujo una regla especial para regular esta situación, la cual dispone</w:t>
      </w:r>
      <w:r>
        <w:rPr>
          <w:rFonts w:ascii="Arial" w:hAnsi="Arial" w:cs="Arial"/>
          <w:sz w:val="19"/>
          <w:szCs w:val="19"/>
          <w:lang w:val="es-CO"/>
        </w:rPr>
        <w:t>:</w:t>
      </w:r>
      <w:r w:rsidRPr="000F2B47">
        <w:rPr>
          <w:rFonts w:ascii="Arial" w:hAnsi="Arial" w:cs="Arial"/>
          <w:sz w:val="19"/>
          <w:szCs w:val="19"/>
        </w:rPr>
        <w:t xml:space="preserve"> </w:t>
      </w:r>
    </w:p>
    <w:p w14:paraId="4C537DF2" w14:textId="77777777" w:rsidR="0072181C" w:rsidRPr="000F2B47" w:rsidRDefault="0072181C" w:rsidP="00306FA7">
      <w:pPr>
        <w:pStyle w:val="Textonotapie"/>
        <w:ind w:firstLine="708"/>
        <w:jc w:val="both"/>
        <w:rPr>
          <w:rFonts w:ascii="Arial" w:hAnsi="Arial" w:cs="Arial"/>
          <w:sz w:val="19"/>
          <w:szCs w:val="19"/>
        </w:rPr>
      </w:pPr>
      <w:r w:rsidRPr="000F2B47">
        <w:rPr>
          <w:rFonts w:ascii="Arial" w:hAnsi="Arial" w:cs="Arial"/>
          <w:sz w:val="19"/>
          <w:szCs w:val="19"/>
        </w:rPr>
        <w:t xml:space="preserve">«2.2.1.2.6.3.5. Bienes o servicios adicionales a la obra pública. Cuando el objeto contractual incluya bienes o servicios ajenos a la obra pública de infraestructura de transporte, la entidad estatal deberá aplicar los Documentos Tipo. Si de manera excepcional requiere incluir experiencia adicional para evaluar la idoneidad respecto de los bienes o servicios ajenos a la obra pública, deberá seguir los siguientes parámetros:  </w:t>
      </w:r>
    </w:p>
    <w:p w14:paraId="3A138C4C" w14:textId="77777777" w:rsidR="0072181C" w:rsidRPr="000F2B47" w:rsidRDefault="0072181C" w:rsidP="00306FA7">
      <w:pPr>
        <w:pStyle w:val="Textonotapie"/>
        <w:ind w:firstLine="708"/>
        <w:jc w:val="both"/>
        <w:rPr>
          <w:rFonts w:ascii="Arial" w:hAnsi="Arial" w:cs="Arial"/>
          <w:sz w:val="19"/>
          <w:szCs w:val="19"/>
        </w:rPr>
      </w:pPr>
      <w:r w:rsidRPr="000F2B47">
        <w:rPr>
          <w:rFonts w:ascii="Arial" w:hAnsi="Arial" w:cs="Arial"/>
          <w:sz w:val="19"/>
          <w:szCs w:val="19"/>
        </w:rPr>
        <w:t xml:space="preserve">»1. Demostrar en los estudios previos que ha verificado las condiciones de mercado para la adquisición de los bienes o servicios adicionales al componente de obra pública, de tal manera que la experiencia adicional que se exija para tales bienes o servicios procure la pluralidad de oferentes, y no limite la concurrencia de proponentes al proceso de contratación. </w:t>
      </w:r>
    </w:p>
    <w:p w14:paraId="1AFA2238" w14:textId="77777777" w:rsidR="0072181C" w:rsidRPr="000F2B47" w:rsidRDefault="0072181C" w:rsidP="00306FA7">
      <w:pPr>
        <w:pStyle w:val="Textonotapie"/>
        <w:ind w:firstLine="708"/>
        <w:jc w:val="both"/>
        <w:rPr>
          <w:rFonts w:ascii="Arial" w:hAnsi="Arial" w:cs="Arial"/>
          <w:sz w:val="19"/>
          <w:szCs w:val="19"/>
        </w:rPr>
      </w:pPr>
      <w:r w:rsidRPr="000F2B47">
        <w:rPr>
          <w:rFonts w:ascii="Arial" w:hAnsi="Arial" w:cs="Arial"/>
          <w:sz w:val="19"/>
          <w:szCs w:val="19"/>
        </w:rPr>
        <w:t xml:space="preserve">»2. Conservar los requisitos exigidos en los Documentos Tipo.  </w:t>
      </w:r>
    </w:p>
    <w:p w14:paraId="08FF7352" w14:textId="77777777" w:rsidR="0072181C" w:rsidRPr="00D5103D" w:rsidRDefault="0072181C" w:rsidP="00306FA7">
      <w:pPr>
        <w:pStyle w:val="Textonotapie"/>
        <w:ind w:firstLine="708"/>
        <w:jc w:val="both"/>
        <w:rPr>
          <w:lang w:val="es-CO"/>
        </w:rPr>
      </w:pPr>
      <w:r w:rsidRPr="000F2B47">
        <w:rPr>
          <w:rFonts w:ascii="Arial" w:hAnsi="Arial" w:cs="Arial"/>
          <w:sz w:val="19"/>
          <w:szCs w:val="19"/>
        </w:rPr>
        <w:t>»3. Abstenerse de pedir experiencia exclusiva con entidades estatales, experiencia previa en un territorio específico, limitada en el tiempo o que incluya volúmenes o cantidades de obra específica».</w:t>
      </w:r>
      <w:r>
        <w:t xml:space="preserve">  </w:t>
      </w:r>
    </w:p>
  </w:footnote>
  <w:footnote w:id="10">
    <w:p w14:paraId="58A2BE04" w14:textId="77777777" w:rsidR="0072181C" w:rsidRPr="00133C4A" w:rsidRDefault="0072181C" w:rsidP="007327B2">
      <w:pPr>
        <w:ind w:firstLine="708"/>
        <w:jc w:val="both"/>
        <w:rPr>
          <w:rFonts w:ascii="Arial" w:hAnsi="Arial" w:cs="Arial"/>
          <w:color w:val="000000" w:themeColor="text1"/>
          <w:sz w:val="19"/>
          <w:szCs w:val="19"/>
        </w:rPr>
      </w:pPr>
      <w:r w:rsidRPr="00133C4A">
        <w:rPr>
          <w:rStyle w:val="Refdenotaalpie"/>
          <w:rFonts w:ascii="Arial" w:hAnsi="Arial" w:cs="Arial"/>
          <w:color w:val="000000" w:themeColor="text1"/>
          <w:sz w:val="19"/>
          <w:szCs w:val="19"/>
        </w:rPr>
        <w:footnoteRef/>
      </w:r>
      <w:r w:rsidRPr="00133C4A">
        <w:rPr>
          <w:rFonts w:ascii="Arial" w:hAnsi="Arial" w:cs="Arial"/>
          <w:color w:val="000000" w:themeColor="text1"/>
          <w:sz w:val="19"/>
          <w:szCs w:val="19"/>
        </w:rPr>
        <w:t xml:space="preserve"> Cita tomada de la providencia del 20 de febrero de 2020, dictada por el Consejo de Estado</w:t>
      </w:r>
      <w:r>
        <w:rPr>
          <w:rFonts w:ascii="Arial" w:hAnsi="Arial" w:cs="Arial"/>
          <w:color w:val="000000" w:themeColor="text1"/>
          <w:sz w:val="19"/>
          <w:szCs w:val="19"/>
        </w:rPr>
        <w:t>.</w:t>
      </w:r>
      <w:r w:rsidRPr="00133C4A">
        <w:rPr>
          <w:rFonts w:ascii="Arial" w:hAnsi="Arial" w:cs="Arial"/>
          <w:color w:val="000000" w:themeColor="text1"/>
          <w:sz w:val="19"/>
          <w:szCs w:val="19"/>
        </w:rPr>
        <w:t xml:space="preserve"> Sección Tercera</w:t>
      </w:r>
      <w:r>
        <w:rPr>
          <w:rFonts w:ascii="Arial" w:hAnsi="Arial" w:cs="Arial"/>
          <w:color w:val="000000" w:themeColor="text1"/>
          <w:sz w:val="19"/>
          <w:szCs w:val="19"/>
        </w:rPr>
        <w:t>.</w:t>
      </w:r>
      <w:r w:rsidRPr="00133C4A">
        <w:rPr>
          <w:rFonts w:ascii="Arial" w:hAnsi="Arial" w:cs="Arial"/>
          <w:color w:val="000000" w:themeColor="text1"/>
          <w:sz w:val="19"/>
          <w:szCs w:val="19"/>
        </w:rPr>
        <w:t xml:space="preserve"> Subsección A, dentro del expediente 47001-23-33-000-2018-00035-01</w:t>
      </w:r>
      <w:r>
        <w:rPr>
          <w:rFonts w:ascii="Arial" w:hAnsi="Arial" w:cs="Arial"/>
          <w:color w:val="000000" w:themeColor="text1"/>
          <w:sz w:val="19"/>
          <w:szCs w:val="19"/>
        </w:rPr>
        <w:t xml:space="preserve"> </w:t>
      </w:r>
      <w:r w:rsidRPr="00133C4A">
        <w:rPr>
          <w:rFonts w:ascii="Arial" w:hAnsi="Arial" w:cs="Arial"/>
          <w:color w:val="000000" w:themeColor="text1"/>
          <w:sz w:val="19"/>
          <w:szCs w:val="19"/>
        </w:rPr>
        <w:t>(63</w:t>
      </w:r>
      <w:r>
        <w:rPr>
          <w:rFonts w:ascii="Arial" w:hAnsi="Arial" w:cs="Arial"/>
          <w:color w:val="000000" w:themeColor="text1"/>
          <w:sz w:val="19"/>
          <w:szCs w:val="19"/>
        </w:rPr>
        <w:t>.</w:t>
      </w:r>
      <w:r w:rsidRPr="00133C4A">
        <w:rPr>
          <w:rFonts w:ascii="Arial" w:hAnsi="Arial" w:cs="Arial"/>
          <w:color w:val="000000" w:themeColor="text1"/>
          <w:sz w:val="19"/>
          <w:szCs w:val="19"/>
        </w:rPr>
        <w:t>854), cuya ponente fue Marta Nubia Velásquez Rico.</w:t>
      </w:r>
    </w:p>
    <w:p w14:paraId="76609277" w14:textId="77777777" w:rsidR="0072181C" w:rsidRPr="00133C4A" w:rsidRDefault="0072181C" w:rsidP="007327B2">
      <w:pPr>
        <w:pStyle w:val="Textonotapie"/>
        <w:ind w:firstLine="708"/>
        <w:jc w:val="both"/>
        <w:rPr>
          <w:rFonts w:ascii="Arial" w:hAnsi="Arial" w:cs="Arial"/>
          <w:color w:val="000000" w:themeColor="text1"/>
          <w:sz w:val="19"/>
          <w:szCs w:val="19"/>
        </w:rPr>
      </w:pPr>
      <w:r w:rsidRPr="00133C4A">
        <w:rPr>
          <w:rFonts w:ascii="Arial" w:hAnsi="Arial" w:cs="Arial"/>
          <w:color w:val="000000" w:themeColor="text1"/>
          <w:sz w:val="19"/>
          <w:szCs w:val="19"/>
        </w:rPr>
        <w:t xml:space="preserve"> </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E98637" w14:textId="77777777" w:rsidR="0072181C" w:rsidRDefault="0072181C">
    <w:pPr>
      <w:pStyle w:val="Encabezado"/>
    </w:pPr>
    <w:r>
      <w:rPr>
        <w:noProof/>
        <w:lang w:val="es-ES" w:eastAsia="es-ES"/>
      </w:rPr>
      <w:drawing>
        <wp:anchor distT="0" distB="0" distL="114300" distR="114300" simplePos="0" relativeHeight="251659264" behindDoc="1" locked="0" layoutInCell="1" allowOverlap="1" wp14:anchorId="683F734A" wp14:editId="6536D20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06310"/>
    <w:multiLevelType w:val="multilevel"/>
    <w:tmpl w:val="B2D4E210"/>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2">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487C"/>
    <w:rsid w:val="00001BE0"/>
    <w:rsid w:val="00004917"/>
    <w:rsid w:val="00010D30"/>
    <w:rsid w:val="00021167"/>
    <w:rsid w:val="0003091B"/>
    <w:rsid w:val="000333A2"/>
    <w:rsid w:val="00040C88"/>
    <w:rsid w:val="00040D6E"/>
    <w:rsid w:val="00042C0C"/>
    <w:rsid w:val="00044FF2"/>
    <w:rsid w:val="00061EE4"/>
    <w:rsid w:val="00062B0D"/>
    <w:rsid w:val="0006519B"/>
    <w:rsid w:val="00086A16"/>
    <w:rsid w:val="00097CD6"/>
    <w:rsid w:val="000A1DBA"/>
    <w:rsid w:val="000A6338"/>
    <w:rsid w:val="000C0E39"/>
    <w:rsid w:val="000C1650"/>
    <w:rsid w:val="000C3A1A"/>
    <w:rsid w:val="000D088F"/>
    <w:rsid w:val="000D2502"/>
    <w:rsid w:val="000E4A3C"/>
    <w:rsid w:val="000E6867"/>
    <w:rsid w:val="000F46BC"/>
    <w:rsid w:val="00102748"/>
    <w:rsid w:val="001056C0"/>
    <w:rsid w:val="00106B2E"/>
    <w:rsid w:val="00107607"/>
    <w:rsid w:val="00112597"/>
    <w:rsid w:val="001321AB"/>
    <w:rsid w:val="00140E57"/>
    <w:rsid w:val="00141C64"/>
    <w:rsid w:val="0014462B"/>
    <w:rsid w:val="00164E79"/>
    <w:rsid w:val="0017603D"/>
    <w:rsid w:val="00181A3E"/>
    <w:rsid w:val="001918B4"/>
    <w:rsid w:val="00194C50"/>
    <w:rsid w:val="001B2E5D"/>
    <w:rsid w:val="001B5813"/>
    <w:rsid w:val="001E5DBB"/>
    <w:rsid w:val="001F1051"/>
    <w:rsid w:val="001F34A8"/>
    <w:rsid w:val="002034AD"/>
    <w:rsid w:val="002239B4"/>
    <w:rsid w:val="0023180C"/>
    <w:rsid w:val="00234C6C"/>
    <w:rsid w:val="00252C54"/>
    <w:rsid w:val="00265031"/>
    <w:rsid w:val="00266277"/>
    <w:rsid w:val="002672B1"/>
    <w:rsid w:val="00284C12"/>
    <w:rsid w:val="002854DA"/>
    <w:rsid w:val="00286834"/>
    <w:rsid w:val="002B282F"/>
    <w:rsid w:val="002B4B30"/>
    <w:rsid w:val="002D66D2"/>
    <w:rsid w:val="002E7BC2"/>
    <w:rsid w:val="002F63BB"/>
    <w:rsid w:val="002F6C10"/>
    <w:rsid w:val="002F701E"/>
    <w:rsid w:val="00302F9F"/>
    <w:rsid w:val="00304386"/>
    <w:rsid w:val="00306FA7"/>
    <w:rsid w:val="00333AE0"/>
    <w:rsid w:val="003401FE"/>
    <w:rsid w:val="00340A7A"/>
    <w:rsid w:val="00346E84"/>
    <w:rsid w:val="00376F4F"/>
    <w:rsid w:val="00390DCF"/>
    <w:rsid w:val="003A2944"/>
    <w:rsid w:val="003B0DEF"/>
    <w:rsid w:val="003C2074"/>
    <w:rsid w:val="003C3ADB"/>
    <w:rsid w:val="003D11B5"/>
    <w:rsid w:val="003D134C"/>
    <w:rsid w:val="003D2637"/>
    <w:rsid w:val="003D69A5"/>
    <w:rsid w:val="003E14F9"/>
    <w:rsid w:val="003F00F7"/>
    <w:rsid w:val="003F3119"/>
    <w:rsid w:val="003F6D32"/>
    <w:rsid w:val="00407FB7"/>
    <w:rsid w:val="00427B56"/>
    <w:rsid w:val="0043040E"/>
    <w:rsid w:val="00430B5A"/>
    <w:rsid w:val="0044207D"/>
    <w:rsid w:val="00447FE5"/>
    <w:rsid w:val="00457AD6"/>
    <w:rsid w:val="00460884"/>
    <w:rsid w:val="004617B8"/>
    <w:rsid w:val="0046504E"/>
    <w:rsid w:val="004758FE"/>
    <w:rsid w:val="004830C8"/>
    <w:rsid w:val="004837AB"/>
    <w:rsid w:val="00483A2F"/>
    <w:rsid w:val="00490DBF"/>
    <w:rsid w:val="004A6EE1"/>
    <w:rsid w:val="004B1BEE"/>
    <w:rsid w:val="004B2AB8"/>
    <w:rsid w:val="004D770C"/>
    <w:rsid w:val="004E370E"/>
    <w:rsid w:val="004E41A8"/>
    <w:rsid w:val="004F4387"/>
    <w:rsid w:val="004F4D55"/>
    <w:rsid w:val="00510BF5"/>
    <w:rsid w:val="00515B68"/>
    <w:rsid w:val="00521BA7"/>
    <w:rsid w:val="00524768"/>
    <w:rsid w:val="005252E2"/>
    <w:rsid w:val="005308D7"/>
    <w:rsid w:val="0054595A"/>
    <w:rsid w:val="005511D5"/>
    <w:rsid w:val="00572E1A"/>
    <w:rsid w:val="00575DC6"/>
    <w:rsid w:val="00585FB5"/>
    <w:rsid w:val="00591586"/>
    <w:rsid w:val="00591946"/>
    <w:rsid w:val="00595429"/>
    <w:rsid w:val="005D60AC"/>
    <w:rsid w:val="005F293F"/>
    <w:rsid w:val="005F5C82"/>
    <w:rsid w:val="005F5D19"/>
    <w:rsid w:val="005F6CBF"/>
    <w:rsid w:val="006135E6"/>
    <w:rsid w:val="00632EA5"/>
    <w:rsid w:val="0065701C"/>
    <w:rsid w:val="00662792"/>
    <w:rsid w:val="006818B6"/>
    <w:rsid w:val="006824B8"/>
    <w:rsid w:val="006A7743"/>
    <w:rsid w:val="006B6C6A"/>
    <w:rsid w:val="006C15D5"/>
    <w:rsid w:val="006C234F"/>
    <w:rsid w:val="006C3D0C"/>
    <w:rsid w:val="006C5528"/>
    <w:rsid w:val="006C5955"/>
    <w:rsid w:val="006C5CD7"/>
    <w:rsid w:val="006D519D"/>
    <w:rsid w:val="006F39D0"/>
    <w:rsid w:val="006F7746"/>
    <w:rsid w:val="00711157"/>
    <w:rsid w:val="00715B7E"/>
    <w:rsid w:val="0072181C"/>
    <w:rsid w:val="00730CDB"/>
    <w:rsid w:val="007327B2"/>
    <w:rsid w:val="00736C89"/>
    <w:rsid w:val="00745744"/>
    <w:rsid w:val="0075032A"/>
    <w:rsid w:val="007661A3"/>
    <w:rsid w:val="00770D7D"/>
    <w:rsid w:val="00772497"/>
    <w:rsid w:val="00791377"/>
    <w:rsid w:val="007D62C7"/>
    <w:rsid w:val="007F7AC6"/>
    <w:rsid w:val="00801B14"/>
    <w:rsid w:val="00803061"/>
    <w:rsid w:val="00807EEE"/>
    <w:rsid w:val="008135F4"/>
    <w:rsid w:val="00813893"/>
    <w:rsid w:val="0082266E"/>
    <w:rsid w:val="008234E2"/>
    <w:rsid w:val="00824361"/>
    <w:rsid w:val="008327EE"/>
    <w:rsid w:val="00842E74"/>
    <w:rsid w:val="00843BE5"/>
    <w:rsid w:val="00856B64"/>
    <w:rsid w:val="00863DD9"/>
    <w:rsid w:val="00866446"/>
    <w:rsid w:val="0086741B"/>
    <w:rsid w:val="00886F29"/>
    <w:rsid w:val="00897DAB"/>
    <w:rsid w:val="008A0633"/>
    <w:rsid w:val="008A3386"/>
    <w:rsid w:val="008A53F2"/>
    <w:rsid w:val="008A5468"/>
    <w:rsid w:val="008B09B1"/>
    <w:rsid w:val="008B3491"/>
    <w:rsid w:val="008C24B6"/>
    <w:rsid w:val="008C487C"/>
    <w:rsid w:val="008C4C28"/>
    <w:rsid w:val="008E0FCC"/>
    <w:rsid w:val="008E2FE3"/>
    <w:rsid w:val="008E5F34"/>
    <w:rsid w:val="008E7D3F"/>
    <w:rsid w:val="008F2267"/>
    <w:rsid w:val="008F3EE2"/>
    <w:rsid w:val="009136E2"/>
    <w:rsid w:val="009231E0"/>
    <w:rsid w:val="009246A2"/>
    <w:rsid w:val="0094508D"/>
    <w:rsid w:val="009506A7"/>
    <w:rsid w:val="00967230"/>
    <w:rsid w:val="00972C13"/>
    <w:rsid w:val="009812D7"/>
    <w:rsid w:val="00982E99"/>
    <w:rsid w:val="00991BE6"/>
    <w:rsid w:val="009A5714"/>
    <w:rsid w:val="009A5DA7"/>
    <w:rsid w:val="009B1945"/>
    <w:rsid w:val="009B1AEC"/>
    <w:rsid w:val="009C00E4"/>
    <w:rsid w:val="009D1D57"/>
    <w:rsid w:val="009E16CD"/>
    <w:rsid w:val="009E2544"/>
    <w:rsid w:val="009E2770"/>
    <w:rsid w:val="009E4A43"/>
    <w:rsid w:val="009F2261"/>
    <w:rsid w:val="009F3537"/>
    <w:rsid w:val="009F7493"/>
    <w:rsid w:val="00A25657"/>
    <w:rsid w:val="00A329B6"/>
    <w:rsid w:val="00A367A1"/>
    <w:rsid w:val="00A415D2"/>
    <w:rsid w:val="00A45FE8"/>
    <w:rsid w:val="00A460BA"/>
    <w:rsid w:val="00A47C7C"/>
    <w:rsid w:val="00A510F6"/>
    <w:rsid w:val="00A651C9"/>
    <w:rsid w:val="00A80739"/>
    <w:rsid w:val="00A83829"/>
    <w:rsid w:val="00A95100"/>
    <w:rsid w:val="00AA2A39"/>
    <w:rsid w:val="00AA615B"/>
    <w:rsid w:val="00AB0DED"/>
    <w:rsid w:val="00AC0C81"/>
    <w:rsid w:val="00AD7725"/>
    <w:rsid w:val="00AE55A8"/>
    <w:rsid w:val="00AE668A"/>
    <w:rsid w:val="00AE6858"/>
    <w:rsid w:val="00AF5C62"/>
    <w:rsid w:val="00AF7270"/>
    <w:rsid w:val="00B17BC5"/>
    <w:rsid w:val="00B2158C"/>
    <w:rsid w:val="00B24E57"/>
    <w:rsid w:val="00B30D96"/>
    <w:rsid w:val="00B3463D"/>
    <w:rsid w:val="00B5123E"/>
    <w:rsid w:val="00B522C4"/>
    <w:rsid w:val="00B52B0E"/>
    <w:rsid w:val="00B5337D"/>
    <w:rsid w:val="00B65290"/>
    <w:rsid w:val="00B70E26"/>
    <w:rsid w:val="00B97D95"/>
    <w:rsid w:val="00BA7E78"/>
    <w:rsid w:val="00BB0833"/>
    <w:rsid w:val="00BB0EA7"/>
    <w:rsid w:val="00BB59F9"/>
    <w:rsid w:val="00BC15B8"/>
    <w:rsid w:val="00BC5279"/>
    <w:rsid w:val="00BC6C4E"/>
    <w:rsid w:val="00BD57F2"/>
    <w:rsid w:val="00BD58A7"/>
    <w:rsid w:val="00BE0B21"/>
    <w:rsid w:val="00BE1E33"/>
    <w:rsid w:val="00BE2AD3"/>
    <w:rsid w:val="00BE36F7"/>
    <w:rsid w:val="00BE6266"/>
    <w:rsid w:val="00BF2443"/>
    <w:rsid w:val="00C048C9"/>
    <w:rsid w:val="00C12201"/>
    <w:rsid w:val="00C1405A"/>
    <w:rsid w:val="00C25DB6"/>
    <w:rsid w:val="00C37F41"/>
    <w:rsid w:val="00C4526C"/>
    <w:rsid w:val="00C47B56"/>
    <w:rsid w:val="00C50B1B"/>
    <w:rsid w:val="00C52801"/>
    <w:rsid w:val="00C56B01"/>
    <w:rsid w:val="00C6210F"/>
    <w:rsid w:val="00C6324A"/>
    <w:rsid w:val="00C745C6"/>
    <w:rsid w:val="00C964DE"/>
    <w:rsid w:val="00C9666D"/>
    <w:rsid w:val="00CA5790"/>
    <w:rsid w:val="00CA5C6B"/>
    <w:rsid w:val="00CA634C"/>
    <w:rsid w:val="00CC1768"/>
    <w:rsid w:val="00CC59DC"/>
    <w:rsid w:val="00CD607D"/>
    <w:rsid w:val="00CF326B"/>
    <w:rsid w:val="00D0763E"/>
    <w:rsid w:val="00D12644"/>
    <w:rsid w:val="00D17075"/>
    <w:rsid w:val="00D21D97"/>
    <w:rsid w:val="00D24682"/>
    <w:rsid w:val="00D24F06"/>
    <w:rsid w:val="00D25AEF"/>
    <w:rsid w:val="00D349EE"/>
    <w:rsid w:val="00D56D47"/>
    <w:rsid w:val="00D655FB"/>
    <w:rsid w:val="00D70FB4"/>
    <w:rsid w:val="00D74A1C"/>
    <w:rsid w:val="00D815C1"/>
    <w:rsid w:val="00D85C85"/>
    <w:rsid w:val="00D92F6C"/>
    <w:rsid w:val="00D95879"/>
    <w:rsid w:val="00D97A6B"/>
    <w:rsid w:val="00DA15BB"/>
    <w:rsid w:val="00DA2FA3"/>
    <w:rsid w:val="00DA7875"/>
    <w:rsid w:val="00DB751D"/>
    <w:rsid w:val="00DC5570"/>
    <w:rsid w:val="00DC679E"/>
    <w:rsid w:val="00DD0B54"/>
    <w:rsid w:val="00DD0E98"/>
    <w:rsid w:val="00DE64DE"/>
    <w:rsid w:val="00DE7AB4"/>
    <w:rsid w:val="00DF4D86"/>
    <w:rsid w:val="00E01D84"/>
    <w:rsid w:val="00E137BB"/>
    <w:rsid w:val="00E3199C"/>
    <w:rsid w:val="00E64988"/>
    <w:rsid w:val="00E64A38"/>
    <w:rsid w:val="00E756AC"/>
    <w:rsid w:val="00E8381A"/>
    <w:rsid w:val="00E87596"/>
    <w:rsid w:val="00E87794"/>
    <w:rsid w:val="00E96422"/>
    <w:rsid w:val="00EA5A59"/>
    <w:rsid w:val="00EB3D8F"/>
    <w:rsid w:val="00ED0FE3"/>
    <w:rsid w:val="00EF2CA6"/>
    <w:rsid w:val="00EF5EBF"/>
    <w:rsid w:val="00F117B1"/>
    <w:rsid w:val="00F134F9"/>
    <w:rsid w:val="00F2200B"/>
    <w:rsid w:val="00F24C62"/>
    <w:rsid w:val="00F34138"/>
    <w:rsid w:val="00F476B4"/>
    <w:rsid w:val="00F47FCE"/>
    <w:rsid w:val="00F501D2"/>
    <w:rsid w:val="00F5266F"/>
    <w:rsid w:val="00F548AA"/>
    <w:rsid w:val="00F56447"/>
    <w:rsid w:val="00F64055"/>
    <w:rsid w:val="00F710C6"/>
    <w:rsid w:val="00F87C23"/>
    <w:rsid w:val="00F9481A"/>
    <w:rsid w:val="00FC755D"/>
    <w:rsid w:val="00FE36F2"/>
    <w:rsid w:val="480FE7C9"/>
    <w:rsid w:val="6FAB2BD3"/>
    <w:rsid w:val="77FA05B7"/>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3950F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487C"/>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8C487C"/>
    <w:pPr>
      <w:tabs>
        <w:tab w:val="center" w:pos="4419"/>
        <w:tab w:val="right" w:pos="8838"/>
      </w:tabs>
    </w:pPr>
  </w:style>
  <w:style w:type="character" w:customStyle="1" w:styleId="PiedepginaCar">
    <w:name w:val="Pie de página Car"/>
    <w:basedOn w:val="Fuentedeprrafopredeter"/>
    <w:link w:val="Piedepgina"/>
    <w:uiPriority w:val="99"/>
    <w:rsid w:val="008C487C"/>
    <w:rPr>
      <w:sz w:val="24"/>
      <w:lang w:val="es-MX"/>
    </w:rPr>
  </w:style>
  <w:style w:type="paragraph" w:styleId="Encabezado">
    <w:name w:val="header"/>
    <w:basedOn w:val="Normal"/>
    <w:link w:val="EncabezadoCar"/>
    <w:uiPriority w:val="99"/>
    <w:unhideWhenUsed/>
    <w:rsid w:val="008C487C"/>
    <w:pPr>
      <w:tabs>
        <w:tab w:val="center" w:pos="4252"/>
        <w:tab w:val="right" w:pos="8504"/>
      </w:tabs>
    </w:pPr>
  </w:style>
  <w:style w:type="character" w:customStyle="1" w:styleId="EncabezadoCar">
    <w:name w:val="Encabezado Car"/>
    <w:basedOn w:val="Fuentedeprrafopredeter"/>
    <w:link w:val="Encabezado"/>
    <w:uiPriority w:val="99"/>
    <w:rsid w:val="008C487C"/>
    <w:rPr>
      <w:sz w:val="24"/>
      <w:lang w:val="es-MX"/>
    </w:rPr>
  </w:style>
  <w:style w:type="table" w:styleId="Tablaconcuadrcula">
    <w:name w:val="Table Grid"/>
    <w:basedOn w:val="Tablanormal"/>
    <w:uiPriority w:val="39"/>
    <w:rsid w:val="008C487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8C487C"/>
    <w:pPr>
      <w:ind w:left="720"/>
      <w:contextualSpacing/>
    </w:pPr>
  </w:style>
  <w:style w:type="paragraph" w:styleId="Sinespaciado">
    <w:name w:val="No Spacing"/>
    <w:uiPriority w:val="1"/>
    <w:qFormat/>
    <w:rsid w:val="008C487C"/>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8C48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8C487C"/>
    <w:rPr>
      <w:sz w:val="20"/>
      <w:szCs w:val="20"/>
    </w:rPr>
  </w:style>
  <w:style w:type="character" w:customStyle="1" w:styleId="TextonotapieCar1">
    <w:name w:val="Texto nota pie Car1"/>
    <w:basedOn w:val="Fuentedeprrafopredeter"/>
    <w:uiPriority w:val="99"/>
    <w:semiHidden/>
    <w:rsid w:val="008C487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487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8C487C"/>
    <w:rPr>
      <w:vertAlign w:val="superscript"/>
    </w:rPr>
  </w:style>
  <w:style w:type="character" w:styleId="Hipervnculo">
    <w:name w:val="Hyperlink"/>
    <w:basedOn w:val="Fuentedeprrafopredeter"/>
    <w:uiPriority w:val="99"/>
    <w:unhideWhenUsed/>
    <w:rsid w:val="008C487C"/>
    <w:rPr>
      <w:color w:val="0563C1" w:themeColor="hyperlink"/>
      <w:u w:val="single"/>
    </w:rPr>
  </w:style>
  <w:style w:type="paragraph" w:styleId="Textodeglobo">
    <w:name w:val="Balloon Text"/>
    <w:basedOn w:val="Normal"/>
    <w:link w:val="TextodegloboCar"/>
    <w:uiPriority w:val="99"/>
    <w:semiHidden/>
    <w:unhideWhenUsed/>
    <w:rsid w:val="00B6529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65290"/>
    <w:rPr>
      <w:rFonts w:ascii="Segoe UI" w:hAnsi="Segoe UI" w:cs="Segoe UI"/>
      <w:sz w:val="18"/>
      <w:szCs w:val="18"/>
      <w:lang w:val="es-MX"/>
    </w:rPr>
  </w:style>
  <w:style w:type="paragraph" w:customStyle="1" w:styleId="Default">
    <w:name w:val="Default"/>
    <w:rsid w:val="00430B5A"/>
    <w:pPr>
      <w:autoSpaceDE w:val="0"/>
      <w:autoSpaceDN w:val="0"/>
      <w:adjustRightInd w:val="0"/>
      <w:spacing w:after="0" w:line="240" w:lineRule="auto"/>
    </w:pPr>
    <w:rPr>
      <w:rFonts w:ascii="Arial" w:hAnsi="Arial" w:cs="Arial"/>
      <w:color w:val="000000"/>
      <w:sz w:val="24"/>
      <w:szCs w:val="24"/>
      <w:lang w:val="es-MX"/>
    </w:rPr>
  </w:style>
  <w:style w:type="character" w:customStyle="1" w:styleId="UnresolvedMention">
    <w:name w:val="Unresolved Mention"/>
    <w:basedOn w:val="Fuentedeprrafopredeter"/>
    <w:uiPriority w:val="99"/>
    <w:semiHidden/>
    <w:unhideWhenUsed/>
    <w:rsid w:val="00BE2AD3"/>
    <w:rPr>
      <w:color w:val="605E5C"/>
      <w:shd w:val="clear" w:color="auto" w:fill="E1DFDD"/>
    </w:rPr>
  </w:style>
  <w:style w:type="paragraph" w:customStyle="1" w:styleId="InviasNormal">
    <w:name w:val="Invias Normal"/>
    <w:basedOn w:val="Normal"/>
    <w:link w:val="InviasNormalCar"/>
    <w:qFormat/>
    <w:rsid w:val="00BE1E33"/>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BE1E33"/>
    <w:rPr>
      <w:rFonts w:ascii="Arial Narrow" w:eastAsia="Times New Roman" w:hAnsi="Arial Narrow" w:cs="Times New Roman"/>
      <w:color w:val="3B3838"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BE1E33"/>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BE1E33"/>
    <w:rPr>
      <w:rFonts w:ascii="Arial Narrow" w:eastAsia="Times New Roman" w:hAnsi="Arial Narrow" w:cs="Times New Roman"/>
      <w:sz w:val="24"/>
      <w:szCs w:val="24"/>
      <w:lang w:val="en-US" w:eastAsia="es-ES"/>
    </w:rPr>
  </w:style>
  <w:style w:type="character" w:styleId="Refdecomentario">
    <w:name w:val="annotation reference"/>
    <w:basedOn w:val="Fuentedeprrafopredeter"/>
    <w:uiPriority w:val="99"/>
    <w:semiHidden/>
    <w:unhideWhenUsed/>
    <w:rsid w:val="006C15D5"/>
    <w:rPr>
      <w:sz w:val="16"/>
      <w:szCs w:val="16"/>
    </w:rPr>
  </w:style>
  <w:style w:type="paragraph" w:styleId="Textocomentario">
    <w:name w:val="annotation text"/>
    <w:basedOn w:val="Normal"/>
    <w:link w:val="TextocomentarioCar"/>
    <w:uiPriority w:val="99"/>
    <w:semiHidden/>
    <w:unhideWhenUsed/>
    <w:rsid w:val="006C15D5"/>
    <w:rPr>
      <w:sz w:val="20"/>
      <w:szCs w:val="20"/>
    </w:rPr>
  </w:style>
  <w:style w:type="character" w:customStyle="1" w:styleId="TextocomentarioCar">
    <w:name w:val="Texto comentario Car"/>
    <w:basedOn w:val="Fuentedeprrafopredeter"/>
    <w:link w:val="Textocomentario"/>
    <w:uiPriority w:val="99"/>
    <w:semiHidden/>
    <w:rsid w:val="006C15D5"/>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6C15D5"/>
    <w:rPr>
      <w:b/>
      <w:bCs/>
    </w:rPr>
  </w:style>
  <w:style w:type="character" w:customStyle="1" w:styleId="AsuntodelcomentarioCar">
    <w:name w:val="Asunto del comentario Car"/>
    <w:basedOn w:val="TextocomentarioCar"/>
    <w:link w:val="Asuntodelcomentario"/>
    <w:uiPriority w:val="99"/>
    <w:semiHidden/>
    <w:rsid w:val="006C15D5"/>
    <w:rPr>
      <w:b/>
      <w:bCs/>
      <w:sz w:val="20"/>
      <w:szCs w:val="20"/>
      <w:lang w:val="es-MX"/>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487C"/>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8C487C"/>
    <w:pPr>
      <w:tabs>
        <w:tab w:val="center" w:pos="4419"/>
        <w:tab w:val="right" w:pos="8838"/>
      </w:tabs>
    </w:pPr>
  </w:style>
  <w:style w:type="character" w:customStyle="1" w:styleId="PiedepginaCar">
    <w:name w:val="Pie de página Car"/>
    <w:basedOn w:val="Fuentedeprrafopredeter"/>
    <w:link w:val="Piedepgina"/>
    <w:uiPriority w:val="99"/>
    <w:rsid w:val="008C487C"/>
    <w:rPr>
      <w:sz w:val="24"/>
      <w:lang w:val="es-MX"/>
    </w:rPr>
  </w:style>
  <w:style w:type="paragraph" w:styleId="Encabezado">
    <w:name w:val="header"/>
    <w:basedOn w:val="Normal"/>
    <w:link w:val="EncabezadoCar"/>
    <w:uiPriority w:val="99"/>
    <w:unhideWhenUsed/>
    <w:rsid w:val="008C487C"/>
    <w:pPr>
      <w:tabs>
        <w:tab w:val="center" w:pos="4252"/>
        <w:tab w:val="right" w:pos="8504"/>
      </w:tabs>
    </w:pPr>
  </w:style>
  <w:style w:type="character" w:customStyle="1" w:styleId="EncabezadoCar">
    <w:name w:val="Encabezado Car"/>
    <w:basedOn w:val="Fuentedeprrafopredeter"/>
    <w:link w:val="Encabezado"/>
    <w:uiPriority w:val="99"/>
    <w:rsid w:val="008C487C"/>
    <w:rPr>
      <w:sz w:val="24"/>
      <w:lang w:val="es-MX"/>
    </w:rPr>
  </w:style>
  <w:style w:type="table" w:styleId="Tablaconcuadrcula">
    <w:name w:val="Table Grid"/>
    <w:basedOn w:val="Tablanormal"/>
    <w:uiPriority w:val="39"/>
    <w:rsid w:val="008C487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8C487C"/>
    <w:pPr>
      <w:ind w:left="720"/>
      <w:contextualSpacing/>
    </w:pPr>
  </w:style>
  <w:style w:type="paragraph" w:styleId="Sinespaciado">
    <w:name w:val="No Spacing"/>
    <w:uiPriority w:val="1"/>
    <w:qFormat/>
    <w:rsid w:val="008C487C"/>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8C48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8C487C"/>
    <w:rPr>
      <w:sz w:val="20"/>
      <w:szCs w:val="20"/>
    </w:rPr>
  </w:style>
  <w:style w:type="character" w:customStyle="1" w:styleId="TextonotapieCar1">
    <w:name w:val="Texto nota pie Car1"/>
    <w:basedOn w:val="Fuentedeprrafopredeter"/>
    <w:uiPriority w:val="99"/>
    <w:semiHidden/>
    <w:rsid w:val="008C487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487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8C487C"/>
    <w:rPr>
      <w:vertAlign w:val="superscript"/>
    </w:rPr>
  </w:style>
  <w:style w:type="character" w:styleId="Hipervnculo">
    <w:name w:val="Hyperlink"/>
    <w:basedOn w:val="Fuentedeprrafopredeter"/>
    <w:uiPriority w:val="99"/>
    <w:unhideWhenUsed/>
    <w:rsid w:val="008C487C"/>
    <w:rPr>
      <w:color w:val="0563C1" w:themeColor="hyperlink"/>
      <w:u w:val="single"/>
    </w:rPr>
  </w:style>
  <w:style w:type="paragraph" w:styleId="Textodeglobo">
    <w:name w:val="Balloon Text"/>
    <w:basedOn w:val="Normal"/>
    <w:link w:val="TextodegloboCar"/>
    <w:uiPriority w:val="99"/>
    <w:semiHidden/>
    <w:unhideWhenUsed/>
    <w:rsid w:val="00B6529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65290"/>
    <w:rPr>
      <w:rFonts w:ascii="Segoe UI" w:hAnsi="Segoe UI" w:cs="Segoe UI"/>
      <w:sz w:val="18"/>
      <w:szCs w:val="18"/>
      <w:lang w:val="es-MX"/>
    </w:rPr>
  </w:style>
  <w:style w:type="paragraph" w:customStyle="1" w:styleId="Default">
    <w:name w:val="Default"/>
    <w:rsid w:val="00430B5A"/>
    <w:pPr>
      <w:autoSpaceDE w:val="0"/>
      <w:autoSpaceDN w:val="0"/>
      <w:adjustRightInd w:val="0"/>
      <w:spacing w:after="0" w:line="240" w:lineRule="auto"/>
    </w:pPr>
    <w:rPr>
      <w:rFonts w:ascii="Arial" w:hAnsi="Arial" w:cs="Arial"/>
      <w:color w:val="000000"/>
      <w:sz w:val="24"/>
      <w:szCs w:val="24"/>
      <w:lang w:val="es-MX"/>
    </w:rPr>
  </w:style>
  <w:style w:type="character" w:customStyle="1" w:styleId="UnresolvedMention">
    <w:name w:val="Unresolved Mention"/>
    <w:basedOn w:val="Fuentedeprrafopredeter"/>
    <w:uiPriority w:val="99"/>
    <w:semiHidden/>
    <w:unhideWhenUsed/>
    <w:rsid w:val="00BE2AD3"/>
    <w:rPr>
      <w:color w:val="605E5C"/>
      <w:shd w:val="clear" w:color="auto" w:fill="E1DFDD"/>
    </w:rPr>
  </w:style>
  <w:style w:type="paragraph" w:customStyle="1" w:styleId="InviasNormal">
    <w:name w:val="Invias Normal"/>
    <w:basedOn w:val="Normal"/>
    <w:link w:val="InviasNormalCar"/>
    <w:qFormat/>
    <w:rsid w:val="00BE1E33"/>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BE1E33"/>
    <w:rPr>
      <w:rFonts w:ascii="Arial Narrow" w:eastAsia="Times New Roman" w:hAnsi="Arial Narrow" w:cs="Times New Roman"/>
      <w:color w:val="3B3838"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BE1E33"/>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BE1E33"/>
    <w:rPr>
      <w:rFonts w:ascii="Arial Narrow" w:eastAsia="Times New Roman" w:hAnsi="Arial Narrow" w:cs="Times New Roman"/>
      <w:sz w:val="24"/>
      <w:szCs w:val="24"/>
      <w:lang w:val="en-US" w:eastAsia="es-ES"/>
    </w:rPr>
  </w:style>
  <w:style w:type="character" w:styleId="Refdecomentario">
    <w:name w:val="annotation reference"/>
    <w:basedOn w:val="Fuentedeprrafopredeter"/>
    <w:uiPriority w:val="99"/>
    <w:semiHidden/>
    <w:unhideWhenUsed/>
    <w:rsid w:val="006C15D5"/>
    <w:rPr>
      <w:sz w:val="16"/>
      <w:szCs w:val="16"/>
    </w:rPr>
  </w:style>
  <w:style w:type="paragraph" w:styleId="Textocomentario">
    <w:name w:val="annotation text"/>
    <w:basedOn w:val="Normal"/>
    <w:link w:val="TextocomentarioCar"/>
    <w:uiPriority w:val="99"/>
    <w:semiHidden/>
    <w:unhideWhenUsed/>
    <w:rsid w:val="006C15D5"/>
    <w:rPr>
      <w:sz w:val="20"/>
      <w:szCs w:val="20"/>
    </w:rPr>
  </w:style>
  <w:style w:type="character" w:customStyle="1" w:styleId="TextocomentarioCar">
    <w:name w:val="Texto comentario Car"/>
    <w:basedOn w:val="Fuentedeprrafopredeter"/>
    <w:link w:val="Textocomentario"/>
    <w:uiPriority w:val="99"/>
    <w:semiHidden/>
    <w:rsid w:val="006C15D5"/>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6C15D5"/>
    <w:rPr>
      <w:b/>
      <w:bCs/>
    </w:rPr>
  </w:style>
  <w:style w:type="character" w:customStyle="1" w:styleId="AsuntodelcomentarioCar">
    <w:name w:val="Asunto del comentario Car"/>
    <w:basedOn w:val="TextocomentarioCar"/>
    <w:link w:val="Asuntodelcomentario"/>
    <w:uiPriority w:val="99"/>
    <w:semiHidden/>
    <w:rsid w:val="006C15D5"/>
    <w:rPr>
      <w:b/>
      <w:bCs/>
      <w:sz w:val="20"/>
      <w:szCs w:val="20"/>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8443551">
      <w:bodyDiv w:val="1"/>
      <w:marLeft w:val="0"/>
      <w:marRight w:val="0"/>
      <w:marTop w:val="0"/>
      <w:marBottom w:val="0"/>
      <w:divBdr>
        <w:top w:val="none" w:sz="0" w:space="0" w:color="auto"/>
        <w:left w:val="none" w:sz="0" w:space="0" w:color="auto"/>
        <w:bottom w:val="none" w:sz="0" w:space="0" w:color="auto"/>
        <w:right w:val="none" w:sz="0" w:space="0" w:color="auto"/>
      </w:divBdr>
      <w:divsChild>
        <w:div w:id="126515376">
          <w:marLeft w:val="0"/>
          <w:marRight w:val="0"/>
          <w:marTop w:val="0"/>
          <w:marBottom w:val="0"/>
          <w:divBdr>
            <w:top w:val="none" w:sz="0" w:space="0" w:color="auto"/>
            <w:left w:val="none" w:sz="0" w:space="0" w:color="auto"/>
            <w:bottom w:val="none" w:sz="0" w:space="0" w:color="auto"/>
            <w:right w:val="none" w:sz="0" w:space="0" w:color="auto"/>
          </w:divBdr>
          <w:divsChild>
            <w:div w:id="923761920">
              <w:marLeft w:val="0"/>
              <w:marRight w:val="0"/>
              <w:marTop w:val="0"/>
              <w:marBottom w:val="0"/>
              <w:divBdr>
                <w:top w:val="none" w:sz="0" w:space="0" w:color="auto"/>
                <w:left w:val="none" w:sz="0" w:space="0" w:color="auto"/>
                <w:bottom w:val="none" w:sz="0" w:space="0" w:color="auto"/>
                <w:right w:val="none" w:sz="0" w:space="0" w:color="auto"/>
              </w:divBdr>
            </w:div>
            <w:div w:id="338239656">
              <w:marLeft w:val="0"/>
              <w:marRight w:val="0"/>
              <w:marTop w:val="0"/>
              <w:marBottom w:val="0"/>
              <w:divBdr>
                <w:top w:val="none" w:sz="0" w:space="0" w:color="auto"/>
                <w:left w:val="none" w:sz="0" w:space="0" w:color="auto"/>
                <w:bottom w:val="none" w:sz="0" w:space="0" w:color="auto"/>
                <w:right w:val="none" w:sz="0" w:space="0" w:color="auto"/>
              </w:divBdr>
            </w:div>
            <w:div w:id="1467354370">
              <w:marLeft w:val="0"/>
              <w:marRight w:val="0"/>
              <w:marTop w:val="0"/>
              <w:marBottom w:val="0"/>
              <w:divBdr>
                <w:top w:val="none" w:sz="0" w:space="0" w:color="auto"/>
                <w:left w:val="none" w:sz="0" w:space="0" w:color="auto"/>
                <w:bottom w:val="none" w:sz="0" w:space="0" w:color="auto"/>
                <w:right w:val="none" w:sz="0" w:space="0" w:color="auto"/>
              </w:divBdr>
            </w:div>
            <w:div w:id="95755447">
              <w:marLeft w:val="0"/>
              <w:marRight w:val="0"/>
              <w:marTop w:val="0"/>
              <w:marBottom w:val="0"/>
              <w:divBdr>
                <w:top w:val="none" w:sz="0" w:space="0" w:color="auto"/>
                <w:left w:val="none" w:sz="0" w:space="0" w:color="auto"/>
                <w:bottom w:val="none" w:sz="0" w:space="0" w:color="auto"/>
                <w:right w:val="none" w:sz="0" w:space="0" w:color="auto"/>
              </w:divBdr>
            </w:div>
            <w:div w:id="944728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439124">
      <w:bodyDiv w:val="1"/>
      <w:marLeft w:val="0"/>
      <w:marRight w:val="0"/>
      <w:marTop w:val="0"/>
      <w:marBottom w:val="0"/>
      <w:divBdr>
        <w:top w:val="none" w:sz="0" w:space="0" w:color="auto"/>
        <w:left w:val="none" w:sz="0" w:space="0" w:color="auto"/>
        <w:bottom w:val="none" w:sz="0" w:space="0" w:color="auto"/>
        <w:right w:val="none" w:sz="0" w:space="0" w:color="auto"/>
      </w:divBdr>
      <w:divsChild>
        <w:div w:id="180171989">
          <w:marLeft w:val="0"/>
          <w:marRight w:val="0"/>
          <w:marTop w:val="0"/>
          <w:marBottom w:val="0"/>
          <w:divBdr>
            <w:top w:val="none" w:sz="0" w:space="0" w:color="auto"/>
            <w:left w:val="none" w:sz="0" w:space="0" w:color="auto"/>
            <w:bottom w:val="none" w:sz="0" w:space="0" w:color="auto"/>
            <w:right w:val="none" w:sz="0" w:space="0" w:color="auto"/>
          </w:divBdr>
          <w:divsChild>
            <w:div w:id="1568372750">
              <w:marLeft w:val="0"/>
              <w:marRight w:val="0"/>
              <w:marTop w:val="0"/>
              <w:marBottom w:val="0"/>
              <w:divBdr>
                <w:top w:val="none" w:sz="0" w:space="0" w:color="auto"/>
                <w:left w:val="none" w:sz="0" w:space="0" w:color="auto"/>
                <w:bottom w:val="none" w:sz="0" w:space="0" w:color="auto"/>
                <w:right w:val="none" w:sz="0" w:space="0" w:color="auto"/>
              </w:divBdr>
            </w:div>
            <w:div w:id="1524054915">
              <w:marLeft w:val="0"/>
              <w:marRight w:val="0"/>
              <w:marTop w:val="0"/>
              <w:marBottom w:val="0"/>
              <w:divBdr>
                <w:top w:val="none" w:sz="0" w:space="0" w:color="auto"/>
                <w:left w:val="none" w:sz="0" w:space="0" w:color="auto"/>
                <w:bottom w:val="none" w:sz="0" w:space="0" w:color="auto"/>
                <w:right w:val="none" w:sz="0" w:space="0" w:color="auto"/>
              </w:divBdr>
            </w:div>
            <w:div w:id="906693614">
              <w:marLeft w:val="0"/>
              <w:marRight w:val="0"/>
              <w:marTop w:val="0"/>
              <w:marBottom w:val="0"/>
              <w:divBdr>
                <w:top w:val="none" w:sz="0" w:space="0" w:color="auto"/>
                <w:left w:val="none" w:sz="0" w:space="0" w:color="auto"/>
                <w:bottom w:val="none" w:sz="0" w:space="0" w:color="auto"/>
                <w:right w:val="none" w:sz="0" w:space="0" w:color="auto"/>
              </w:divBdr>
            </w:div>
            <w:div w:id="597980463">
              <w:marLeft w:val="0"/>
              <w:marRight w:val="0"/>
              <w:marTop w:val="0"/>
              <w:marBottom w:val="0"/>
              <w:divBdr>
                <w:top w:val="none" w:sz="0" w:space="0" w:color="auto"/>
                <w:left w:val="none" w:sz="0" w:space="0" w:color="auto"/>
                <w:bottom w:val="none" w:sz="0" w:space="0" w:color="auto"/>
                <w:right w:val="none" w:sz="0" w:space="0" w:color="auto"/>
              </w:divBdr>
            </w:div>
            <w:div w:id="1163858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990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endnotes" Target="endnotes.xm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header" Target="header1.xml"/><Relationship Id="rId15" Type="http://schemas.openxmlformats.org/officeDocument/2006/relationships/footer" Target="footer1.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customXml" Target="../customXml/item4.xml"/><Relationship Id="rId5" Type="http://schemas.openxmlformats.org/officeDocument/2006/relationships/numbering" Target="numbering.xml"/><Relationship Id="rId6" Type="http://schemas.openxmlformats.org/officeDocument/2006/relationships/styles" Target="styles.xml"/><Relationship Id="rId7" Type="http://schemas.microsoft.com/office/2007/relationships/stylesWithEffects" Target="stylesWithEffects.xml"/><Relationship Id="rId8" Type="http://schemas.openxmlformats.org/officeDocument/2006/relationships/settings" Target="settings.xml"/><Relationship Id="rId9" Type="http://schemas.openxmlformats.org/officeDocument/2006/relationships/webSettings" Target="webSettings.xml"/><Relationship Id="rId10"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F89F01-5CD6-43EA-9B6E-5234FDA2DF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C0A85C5-6DD7-49F7-8710-03CB77B71D21}">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997BBF3F-E837-4F88-BCB0-0E632895B878}">
  <ds:schemaRefs>
    <ds:schemaRef ds:uri="http://schemas.microsoft.com/sharepoint/v3/contenttype/forms"/>
  </ds:schemaRefs>
</ds:datastoreItem>
</file>

<file path=customXml/itemProps4.xml><?xml version="1.0" encoding="utf-8"?>
<ds:datastoreItem xmlns:ds="http://schemas.openxmlformats.org/officeDocument/2006/customXml" ds:itemID="{811842A4-152B-4746-8870-746B367B27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11</Pages>
  <Words>3594</Words>
  <Characters>19772</Characters>
  <Application>Microsoft Macintosh Word</Application>
  <DocSecurity>0</DocSecurity>
  <Lines>164</Lines>
  <Paragraphs>46</Paragraphs>
  <ScaleCrop>false</ScaleCrop>
  <Company/>
  <LinksUpToDate>false</LinksUpToDate>
  <CharactersWithSpaces>23320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Claudia Carrillo</cp:lastModifiedBy>
  <cp:revision>5</cp:revision>
  <cp:lastPrinted>2020-03-17T17:42:00Z</cp:lastPrinted>
  <dcterms:created xsi:type="dcterms:W3CDTF">2021-03-19T21:18:00Z</dcterms:created>
  <dcterms:modified xsi:type="dcterms:W3CDTF">2021-03-19T21:55:00Z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