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5A88B" w14:textId="77777777" w:rsidR="00295260" w:rsidRPr="00C2765B" w:rsidRDefault="00295260" w:rsidP="00295260">
      <w:pPr>
        <w:spacing w:after="0"/>
        <w:jc w:val="both"/>
        <w:rPr>
          <w:rFonts w:ascii="Verdana" w:hAnsi="Verdana"/>
        </w:rPr>
      </w:pPr>
      <w:bookmarkStart w:id="0" w:name="_Hlk186494164"/>
      <w:r w:rsidRPr="00C2765B">
        <w:rPr>
          <w:rFonts w:ascii="Verdana" w:eastAsia="Calibri" w:hAnsi="Verdana" w:cs="Arial"/>
          <w:b/>
          <w:color w:val="000000"/>
          <w:kern w:val="2"/>
          <w:lang w:val="es-ES"/>
          <w14:ligatures w14:val="standardContextual"/>
        </w:rPr>
        <w:t xml:space="preserve">PRECIOS UNITARIOS – APU – AIU </w:t>
      </w:r>
    </w:p>
    <w:p w14:paraId="435F9C43" w14:textId="77777777" w:rsidR="00295260" w:rsidRPr="00976D4A" w:rsidRDefault="00295260" w:rsidP="00295260">
      <w:pPr>
        <w:spacing w:after="0" w:line="240" w:lineRule="auto"/>
        <w:jc w:val="both"/>
        <w:rPr>
          <w:rFonts w:ascii="Verdana" w:eastAsia="Calibri" w:hAnsi="Verdana" w:cs="Arial"/>
          <w:bCs/>
          <w:color w:val="000000"/>
          <w:kern w:val="2"/>
          <w:lang w:val="es-ES"/>
          <w14:ligatures w14:val="standardContextual"/>
        </w:rPr>
      </w:pPr>
    </w:p>
    <w:p w14:paraId="45FA7FEB" w14:textId="77777777" w:rsidR="00295260" w:rsidRPr="00976D4A" w:rsidRDefault="00295260" w:rsidP="00295260">
      <w:pPr>
        <w:adjustRightInd w:val="0"/>
        <w:snapToGrid w:val="0"/>
        <w:spacing w:after="0" w:line="240" w:lineRule="auto"/>
        <w:jc w:val="both"/>
        <w:rPr>
          <w:rFonts w:ascii="Verdana" w:eastAsia="Calibri" w:hAnsi="Verdana" w:cs="Arial"/>
          <w:bCs/>
          <w:sz w:val="20"/>
          <w:szCs w:val="20"/>
          <w:lang w:val="es-ES_tradnl" w:eastAsia="es-ES_tradnl"/>
        </w:rPr>
      </w:pPr>
      <w:r w:rsidRPr="00976D4A">
        <w:rPr>
          <w:rFonts w:ascii="Verdana" w:eastAsia="Calibri" w:hAnsi="Verdana" w:cs="Arial"/>
          <w:sz w:val="20"/>
          <w:szCs w:val="20"/>
          <w:lang w:val="es-ES" w:eastAsia="es-ES"/>
        </w:rPr>
        <w:t xml:space="preserve">[…] en los contratos cuyo precio se estructura a partir del sistema de precios unitarios, ha hecho parte de la práctica de los negocios que el contratante le solicite al potencial contratista que separe en su propuesta los </w:t>
      </w:r>
      <w:r w:rsidRPr="00976D4A">
        <w:rPr>
          <w:rFonts w:ascii="Verdana" w:eastAsia="Calibri" w:hAnsi="Verdana" w:cs="Arial"/>
          <w:i/>
          <w:iCs/>
          <w:sz w:val="20"/>
          <w:szCs w:val="20"/>
          <w:lang w:val="es-ES" w:eastAsia="es-ES"/>
        </w:rPr>
        <w:t>costos directos</w:t>
      </w:r>
      <w:r w:rsidRPr="00976D4A">
        <w:rPr>
          <w:rFonts w:ascii="Verdana" w:eastAsia="Calibri" w:hAnsi="Verdana" w:cs="Arial"/>
          <w:sz w:val="20"/>
          <w:szCs w:val="20"/>
          <w:lang w:val="es-ES" w:eastAsia="es-ES"/>
        </w:rPr>
        <w:t xml:space="preserve"> –es decir, los que están directamente implicados en la ejecución del objeto–, de los </w:t>
      </w:r>
      <w:r w:rsidRPr="00976D4A">
        <w:rPr>
          <w:rFonts w:ascii="Verdana" w:eastAsia="Calibri" w:hAnsi="Verdana" w:cs="Arial"/>
          <w:i/>
          <w:iCs/>
          <w:sz w:val="20"/>
          <w:szCs w:val="20"/>
          <w:lang w:val="es-ES" w:eastAsia="es-ES"/>
        </w:rPr>
        <w:t>costos indirectos</w:t>
      </w:r>
      <w:r w:rsidRPr="00976D4A">
        <w:rPr>
          <w:rFonts w:ascii="Verdana" w:eastAsia="Calibri" w:hAnsi="Verdana" w:cs="Arial"/>
          <w:sz w:val="20"/>
          <w:szCs w:val="20"/>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976D4A">
        <w:rPr>
          <w:rFonts w:ascii="Verdana" w:eastAsia="Calibri" w:hAnsi="Verdana" w:cs="Arial"/>
          <w:i/>
          <w:iCs/>
          <w:sz w:val="20"/>
          <w:szCs w:val="20"/>
          <w:lang w:val="es-ES" w:eastAsia="es-ES"/>
        </w:rPr>
        <w:t>costos directos</w:t>
      </w:r>
      <w:r w:rsidRPr="00976D4A">
        <w:rPr>
          <w:rFonts w:ascii="Verdana" w:eastAsia="Calibri" w:hAnsi="Verdana" w:cs="Arial"/>
          <w:sz w:val="20"/>
          <w:szCs w:val="20"/>
          <w:lang w:val="es-ES" w:eastAsia="es-ES"/>
        </w:rPr>
        <w:t xml:space="preserve"> se evidencian en el análisis de precios unitarios –APU–, como la sumatoria de los valores de los </w:t>
      </w:r>
      <w:r w:rsidRPr="00976D4A">
        <w:rPr>
          <w:rFonts w:ascii="Verdana" w:eastAsia="Calibri" w:hAnsi="Verdana" w:cs="Arial"/>
          <w:i/>
          <w:iCs/>
          <w:sz w:val="20"/>
          <w:szCs w:val="20"/>
          <w:lang w:val="es-ES" w:eastAsia="es-ES"/>
        </w:rPr>
        <w:t>ítems</w:t>
      </w:r>
      <w:r w:rsidRPr="00976D4A">
        <w:rPr>
          <w:rFonts w:ascii="Verdana" w:eastAsia="Calibri" w:hAnsi="Verdana" w:cs="Arial"/>
          <w:sz w:val="20"/>
          <w:szCs w:val="20"/>
          <w:lang w:val="es-ES" w:eastAsia="es-ES"/>
        </w:rPr>
        <w:t xml:space="preserve"> según su unidad de medida, los </w:t>
      </w:r>
      <w:r w:rsidRPr="00976D4A">
        <w:rPr>
          <w:rFonts w:ascii="Verdana" w:eastAsia="Calibri" w:hAnsi="Verdana" w:cs="Arial"/>
          <w:i/>
          <w:iCs/>
          <w:sz w:val="20"/>
          <w:szCs w:val="20"/>
          <w:lang w:val="es-ES" w:eastAsia="es-ES"/>
        </w:rPr>
        <w:t>costos indirectos</w:t>
      </w:r>
      <w:r w:rsidRPr="00976D4A">
        <w:rPr>
          <w:rFonts w:ascii="Verdana" w:eastAsia="Calibri" w:hAnsi="Verdana" w:cs="Arial"/>
          <w:sz w:val="20"/>
          <w:szCs w:val="20"/>
          <w:lang w:val="es-ES" w:eastAsia="es-ES"/>
        </w:rPr>
        <w:t xml:space="preserve"> se suelen abreviar en las variables que integran el acrónimo AIU –Administración, Imprevistos y Utilidad–. </w:t>
      </w:r>
    </w:p>
    <w:p w14:paraId="360A4273" w14:textId="77777777" w:rsidR="00295260" w:rsidRPr="00C2765B" w:rsidRDefault="00295260" w:rsidP="00295260">
      <w:pPr>
        <w:spacing w:after="0" w:line="276" w:lineRule="auto"/>
        <w:jc w:val="both"/>
        <w:rPr>
          <w:rFonts w:ascii="Verdana" w:eastAsia="Geomanist Light" w:hAnsi="Verdana" w:cs="Arial"/>
          <w:lang w:eastAsia="es-MX"/>
        </w:rPr>
      </w:pPr>
    </w:p>
    <w:p w14:paraId="42A3F4B8" w14:textId="77777777" w:rsidR="00295260" w:rsidRPr="00C2765B" w:rsidRDefault="00295260" w:rsidP="00295260">
      <w:pPr>
        <w:spacing w:after="0" w:line="276" w:lineRule="auto"/>
        <w:jc w:val="both"/>
        <w:rPr>
          <w:rFonts w:ascii="Verdana" w:eastAsia="Geomanist Light" w:hAnsi="Verdana" w:cs="Arial"/>
          <w:b/>
          <w:bCs/>
          <w:lang w:eastAsia="es-MX"/>
        </w:rPr>
      </w:pPr>
      <w:r w:rsidRPr="00C2765B">
        <w:rPr>
          <w:rFonts w:ascii="Verdana" w:eastAsia="Geomanist Light" w:hAnsi="Verdana" w:cs="Arial"/>
          <w:b/>
          <w:bCs/>
          <w:lang w:eastAsia="es-MX"/>
        </w:rPr>
        <w:t xml:space="preserve">AIU </w:t>
      </w:r>
      <w:bookmarkStart w:id="1" w:name="_Hlk191240580"/>
      <w:r w:rsidRPr="00C2765B">
        <w:rPr>
          <w:rFonts w:ascii="Verdana" w:eastAsia="Geomanist Light" w:hAnsi="Verdana" w:cs="Arial"/>
          <w:b/>
          <w:bCs/>
          <w:lang w:eastAsia="es-MX"/>
        </w:rPr>
        <w:t>– Costos indirectos – Discrecionalidad</w:t>
      </w:r>
      <w:bookmarkEnd w:id="1"/>
    </w:p>
    <w:p w14:paraId="26F00080" w14:textId="77777777" w:rsidR="00295260" w:rsidRPr="00C2765B" w:rsidRDefault="00295260" w:rsidP="00295260">
      <w:pPr>
        <w:spacing w:after="0" w:line="276" w:lineRule="auto"/>
        <w:jc w:val="both"/>
        <w:rPr>
          <w:rFonts w:ascii="Verdana" w:eastAsia="Geomanist Light" w:hAnsi="Verdana" w:cs="Arial"/>
          <w:lang w:eastAsia="es-MX"/>
        </w:rPr>
      </w:pPr>
    </w:p>
    <w:p w14:paraId="604FF72E" w14:textId="77777777" w:rsidR="00295260" w:rsidRPr="00976D4A" w:rsidRDefault="00295260" w:rsidP="00295260">
      <w:pPr>
        <w:adjustRightInd w:val="0"/>
        <w:snapToGrid w:val="0"/>
        <w:spacing w:after="0" w:line="240" w:lineRule="auto"/>
        <w:jc w:val="both"/>
        <w:rPr>
          <w:rFonts w:ascii="Verdana" w:eastAsia="Calibri" w:hAnsi="Verdana" w:cs="Arial"/>
          <w:sz w:val="20"/>
          <w:szCs w:val="20"/>
          <w:lang w:val="es-ES" w:eastAsia="es-ES"/>
        </w:rPr>
      </w:pPr>
      <w:r w:rsidRPr="00976D4A">
        <w:rPr>
          <w:rFonts w:ascii="Verdana" w:eastAsia="Calibri" w:hAnsi="Verdana" w:cs="Arial"/>
          <w:sz w:val="20"/>
          <w:szCs w:val="20"/>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976D4A">
        <w:rPr>
          <w:rFonts w:ascii="Verdana" w:eastAsia="Calibri" w:hAnsi="Verdana" w:cs="Arial"/>
          <w:i/>
          <w:iCs/>
          <w:sz w:val="20"/>
          <w:szCs w:val="20"/>
          <w:lang w:val="es-ES" w:eastAsia="es-ES"/>
        </w:rPr>
        <w:t>Administración</w:t>
      </w:r>
      <w:r w:rsidRPr="00976D4A">
        <w:rPr>
          <w:rFonts w:ascii="Verdana" w:eastAsia="Calibri" w:hAnsi="Verdana" w:cs="Arial"/>
          <w:sz w:val="20"/>
          <w:szCs w:val="20"/>
          <w:lang w:val="es-ES" w:eastAsia="es-ES"/>
        </w:rPr>
        <w:t xml:space="preserve"> o de </w:t>
      </w:r>
      <w:r w:rsidRPr="00976D4A">
        <w:rPr>
          <w:rFonts w:ascii="Verdana" w:eastAsia="Calibri" w:hAnsi="Verdana" w:cs="Arial"/>
          <w:i/>
          <w:iCs/>
          <w:sz w:val="20"/>
          <w:szCs w:val="20"/>
          <w:lang w:val="es-ES" w:eastAsia="es-ES"/>
        </w:rPr>
        <w:t>Imprevistos</w:t>
      </w:r>
      <w:r w:rsidRPr="00976D4A">
        <w:rPr>
          <w:rFonts w:ascii="Verdana" w:eastAsia="Calibri" w:hAnsi="Verdana" w:cs="Arial"/>
          <w:sz w:val="20"/>
          <w:szCs w:val="20"/>
          <w:lang w:val="es-ES" w:eastAsia="es-ES"/>
        </w:rPr>
        <w:t>.</w:t>
      </w:r>
    </w:p>
    <w:p w14:paraId="76CA80E4" w14:textId="77777777" w:rsidR="00295260" w:rsidRPr="00976D4A" w:rsidRDefault="00295260" w:rsidP="00295260">
      <w:pPr>
        <w:adjustRightInd w:val="0"/>
        <w:snapToGrid w:val="0"/>
        <w:spacing w:after="0" w:line="240" w:lineRule="auto"/>
        <w:ind w:left="714" w:hanging="357"/>
        <w:rPr>
          <w:rFonts w:ascii="Verdana" w:eastAsia="Calibri" w:hAnsi="Verdana" w:cs="Arial"/>
          <w:sz w:val="20"/>
          <w:szCs w:val="20"/>
          <w:lang w:val="es-ES" w:eastAsia="es-ES"/>
        </w:rPr>
      </w:pPr>
    </w:p>
    <w:p w14:paraId="51BF9B38" w14:textId="77777777" w:rsidR="00295260" w:rsidRPr="00976D4A" w:rsidRDefault="00295260" w:rsidP="00295260">
      <w:pPr>
        <w:adjustRightInd w:val="0"/>
        <w:snapToGrid w:val="0"/>
        <w:spacing w:after="0" w:line="240" w:lineRule="auto"/>
        <w:jc w:val="both"/>
        <w:rPr>
          <w:rFonts w:ascii="Verdana" w:eastAsia="Calibri" w:hAnsi="Verdana" w:cs="Arial"/>
          <w:sz w:val="20"/>
          <w:szCs w:val="20"/>
          <w:lang w:val="es-ES" w:eastAsia="es-ES"/>
        </w:rPr>
      </w:pPr>
      <w:r w:rsidRPr="00976D4A">
        <w:rPr>
          <w:rFonts w:ascii="Verdana" w:eastAsia="Calibri" w:hAnsi="Verdana" w:cs="Arial"/>
          <w:sz w:val="20"/>
          <w:szCs w:val="20"/>
          <w:lang w:val="es-ES"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72FC842D" w14:textId="77777777" w:rsidR="00691BB7" w:rsidRDefault="00691BB7" w:rsidP="00CE37A3">
      <w:pPr>
        <w:spacing w:after="0" w:line="240" w:lineRule="auto"/>
        <w:rPr>
          <w:rFonts w:ascii="Verdana" w:hAnsi="Verdana" w:cs="Arial"/>
          <w:b/>
          <w:color w:val="000000" w:themeColor="text1"/>
          <w:sz w:val="20"/>
          <w:szCs w:val="20"/>
        </w:rPr>
      </w:pPr>
    </w:p>
    <w:p w14:paraId="10FD3FC3" w14:textId="563238EA" w:rsidR="00691BB7" w:rsidRDefault="00744836" w:rsidP="00CE37A3">
      <w:pPr>
        <w:spacing w:after="0" w:line="240" w:lineRule="auto"/>
        <w:rPr>
          <w:rFonts w:ascii="Verdana" w:hAnsi="Verdana" w:cs="Arial"/>
          <w:b/>
          <w:color w:val="000000" w:themeColor="text1"/>
          <w:sz w:val="20"/>
          <w:szCs w:val="20"/>
        </w:rPr>
      </w:pPr>
      <w:r>
        <w:rPr>
          <w:rFonts w:ascii="Verdana" w:hAnsi="Verdana" w:cs="Arial"/>
          <w:b/>
          <w:color w:val="000000" w:themeColor="text1"/>
          <w:sz w:val="20"/>
          <w:szCs w:val="20"/>
        </w:rPr>
        <w:t xml:space="preserve">AIU </w:t>
      </w:r>
      <w:r w:rsidRPr="00C2765B">
        <w:rPr>
          <w:rFonts w:ascii="Verdana" w:eastAsia="Geomanist Light" w:hAnsi="Verdana" w:cs="Arial"/>
          <w:b/>
          <w:bCs/>
          <w:lang w:eastAsia="es-MX"/>
        </w:rPr>
        <w:t xml:space="preserve">– </w:t>
      </w:r>
      <w:r>
        <w:rPr>
          <w:rFonts w:ascii="Verdana" w:eastAsia="Geomanist Light" w:hAnsi="Verdana" w:cs="Arial"/>
          <w:b/>
          <w:bCs/>
          <w:lang w:eastAsia="es-MX"/>
        </w:rPr>
        <w:t>Estudios del sector</w:t>
      </w:r>
      <w:r w:rsidRPr="00C2765B">
        <w:rPr>
          <w:rFonts w:ascii="Verdana" w:eastAsia="Geomanist Light" w:hAnsi="Verdana" w:cs="Arial"/>
          <w:b/>
          <w:bCs/>
          <w:lang w:eastAsia="es-MX"/>
        </w:rPr>
        <w:t xml:space="preserve"> </w:t>
      </w:r>
      <w:bookmarkStart w:id="2" w:name="_Hlk191240632"/>
      <w:r w:rsidRPr="00C2765B">
        <w:rPr>
          <w:rFonts w:ascii="Verdana" w:eastAsia="Geomanist Light" w:hAnsi="Verdana" w:cs="Arial"/>
          <w:b/>
          <w:bCs/>
          <w:lang w:eastAsia="es-MX"/>
        </w:rPr>
        <w:t xml:space="preserve">– </w:t>
      </w:r>
      <w:bookmarkEnd w:id="2"/>
      <w:r w:rsidR="00E4123F">
        <w:rPr>
          <w:rFonts w:ascii="Verdana" w:eastAsia="Geomanist Light" w:hAnsi="Verdana" w:cs="Arial"/>
          <w:b/>
          <w:bCs/>
          <w:lang w:eastAsia="es-MX"/>
        </w:rPr>
        <w:t>T</w:t>
      </w:r>
      <w:r w:rsidR="00175B11">
        <w:rPr>
          <w:rFonts w:ascii="Verdana" w:eastAsia="Geomanist Light" w:hAnsi="Verdana" w:cs="Arial"/>
          <w:b/>
          <w:bCs/>
          <w:lang w:eastAsia="es-MX"/>
        </w:rPr>
        <w:t xml:space="preserve">ipología contractual </w:t>
      </w:r>
      <w:r w:rsidR="00175B11" w:rsidRPr="00C2765B">
        <w:rPr>
          <w:rFonts w:ascii="Verdana" w:eastAsia="Geomanist Light" w:hAnsi="Verdana" w:cs="Arial"/>
          <w:b/>
          <w:bCs/>
          <w:lang w:eastAsia="es-MX"/>
        </w:rPr>
        <w:t>–</w:t>
      </w:r>
      <w:r w:rsidR="00175B11">
        <w:rPr>
          <w:rFonts w:ascii="Verdana" w:eastAsia="Geomanist Light" w:hAnsi="Verdana" w:cs="Arial"/>
          <w:b/>
          <w:bCs/>
          <w:lang w:eastAsia="es-MX"/>
        </w:rPr>
        <w:t xml:space="preserve"> Actividades </w:t>
      </w:r>
    </w:p>
    <w:p w14:paraId="05331FE2" w14:textId="77777777" w:rsidR="00691BB7" w:rsidRDefault="00691BB7" w:rsidP="00CE37A3">
      <w:pPr>
        <w:spacing w:after="0" w:line="240" w:lineRule="auto"/>
        <w:rPr>
          <w:rFonts w:ascii="Verdana" w:hAnsi="Verdana" w:cs="Arial"/>
          <w:b/>
          <w:color w:val="000000" w:themeColor="text1"/>
          <w:sz w:val="20"/>
          <w:szCs w:val="20"/>
        </w:rPr>
      </w:pPr>
    </w:p>
    <w:p w14:paraId="297B8F00" w14:textId="095C51E0" w:rsidR="00175B11" w:rsidRDefault="00175B11" w:rsidP="00826141">
      <w:pPr>
        <w:spacing w:after="0" w:line="240" w:lineRule="auto"/>
        <w:jc w:val="both"/>
        <w:rPr>
          <w:rFonts w:ascii="Verdana" w:hAnsi="Verdana" w:cs="Arial"/>
          <w:sz w:val="20"/>
          <w:szCs w:val="20"/>
          <w:lang w:eastAsia="es-ES"/>
        </w:rPr>
      </w:pPr>
      <w:r>
        <w:rPr>
          <w:rFonts w:ascii="Verdana" w:hAnsi="Verdana" w:cs="Arial"/>
          <w:sz w:val="20"/>
          <w:szCs w:val="20"/>
          <w:lang w:eastAsia="es-ES"/>
        </w:rPr>
        <w:lastRenderedPageBreak/>
        <w:t xml:space="preserve">(…) </w:t>
      </w:r>
      <w:r w:rsidRPr="00175B11">
        <w:rPr>
          <w:rFonts w:ascii="Verdana" w:hAnsi="Verdana" w:cs="Arial"/>
          <w:sz w:val="20"/>
          <w:szCs w:val="20"/>
          <w:lang w:eastAsia="es-ES"/>
        </w:rPr>
        <w:t xml:space="preserve">no hay </w:t>
      </w:r>
      <w:r w:rsidRPr="00826141">
        <w:rPr>
          <w:rFonts w:ascii="Verdana" w:hAnsi="Verdana" w:cs="Arial"/>
          <w:i/>
          <w:iCs/>
          <w:sz w:val="20"/>
          <w:szCs w:val="20"/>
          <w:lang w:eastAsia="es-ES"/>
        </w:rPr>
        <w:t>a priori</w:t>
      </w:r>
      <w:r w:rsidRPr="00175B11">
        <w:rPr>
          <w:rFonts w:ascii="Verdana" w:hAnsi="Verdana" w:cs="Arial"/>
          <w:sz w:val="20"/>
          <w:szCs w:val="20"/>
          <w:lang w:eastAsia="es-ES"/>
        </w:rPr>
        <w:t xml:space="preserve"> tipologías contractuales en las que la ley o el reglamento establezcan que se debe utilizar el AIU, así como tampoco hay una determinación única y específica de la forma en la que el AIU debe ser establecido en contratos que involucra diferentes tipos de actividades como sería la ejecución de obra y la prestación de servicios conexos, ya que tal decisión obedece a lo que resulte más conveniente a la entidad estatal, en cumplimiento del principio de planeación. </w:t>
      </w:r>
    </w:p>
    <w:p w14:paraId="4AE69826" w14:textId="77777777" w:rsidR="00826141" w:rsidRPr="00826141" w:rsidRDefault="00826141" w:rsidP="00826141">
      <w:pPr>
        <w:spacing w:after="0" w:line="240" w:lineRule="auto"/>
        <w:jc w:val="both"/>
        <w:rPr>
          <w:rFonts w:ascii="Verdana" w:hAnsi="Verdana" w:cs="Arial"/>
          <w:sz w:val="20"/>
          <w:szCs w:val="20"/>
          <w:lang w:eastAsia="es-ES"/>
        </w:rPr>
      </w:pPr>
    </w:p>
    <w:p w14:paraId="221E385D" w14:textId="33D9115B" w:rsidR="00175B11" w:rsidRPr="00175B11" w:rsidRDefault="00175B11" w:rsidP="00175B11">
      <w:pPr>
        <w:snapToGrid w:val="0"/>
        <w:spacing w:after="0" w:line="240" w:lineRule="auto"/>
        <w:jc w:val="both"/>
        <w:rPr>
          <w:rFonts w:ascii="Verdana" w:hAnsi="Verdana" w:cs="Arial"/>
          <w:sz w:val="20"/>
          <w:szCs w:val="20"/>
          <w:lang w:eastAsia="es-ES"/>
        </w:rPr>
      </w:pPr>
      <w:r w:rsidRPr="00175B11">
        <w:rPr>
          <w:rFonts w:ascii="Verdana" w:hAnsi="Verdana" w:cs="Arial"/>
          <w:bCs/>
          <w:sz w:val="20"/>
          <w:szCs w:val="20"/>
          <w:lang w:val="es-ES_tradnl" w:eastAsia="es-ES_tradnl"/>
        </w:rPr>
        <w:t xml:space="preserve">En este contexto, si </w:t>
      </w:r>
      <w:r w:rsidRPr="00175B11">
        <w:rPr>
          <w:rFonts w:ascii="Verdana" w:hAnsi="Verdana" w:cs="Arial"/>
          <w:sz w:val="20"/>
          <w:szCs w:val="20"/>
          <w:lang w:eastAsia="es-ES"/>
        </w:rPr>
        <w:t>con base en los estudios del sector la entidad estatal estableció la necesidad de estructurar el valor bajo el sistema de precios unitarios y con el desglose del AIU, independientemente que el contrato de obra involucre actividades conexas de prestación de servicios, el precio se debería pagar con base en el valor de los costos directos incrementados por el porcentaje del AIU, en relación con todas las actividades calculadas bajo este sistema. En otras palabras, cuando el valor en el contrato de obra se estructuró utilizando el sistema de AIU para todas las actividades incluidas, sin hacer distinción entre los diferentes tipos de actividades, el pago del AIU debe aplicarse a todas las actividades del contrato, a menos que se haya acordado lo contrario.</w:t>
      </w:r>
    </w:p>
    <w:p w14:paraId="4AE35C6B" w14:textId="77777777" w:rsidR="00175B11" w:rsidRDefault="00175B11" w:rsidP="00CE37A3">
      <w:pPr>
        <w:spacing w:after="0" w:line="240" w:lineRule="auto"/>
        <w:rPr>
          <w:rFonts w:ascii="Verdana" w:hAnsi="Verdana" w:cs="Arial"/>
          <w:b/>
          <w:color w:val="000000" w:themeColor="text1"/>
          <w:sz w:val="20"/>
          <w:szCs w:val="20"/>
        </w:rPr>
      </w:pPr>
    </w:p>
    <w:p w14:paraId="562FFF3E" w14:textId="77777777" w:rsidR="00691BB7" w:rsidRDefault="00691BB7" w:rsidP="00CE37A3">
      <w:pPr>
        <w:spacing w:after="0" w:line="240" w:lineRule="auto"/>
        <w:rPr>
          <w:rFonts w:ascii="Verdana" w:hAnsi="Verdana" w:cs="Arial"/>
          <w:b/>
          <w:color w:val="000000" w:themeColor="text1"/>
          <w:sz w:val="20"/>
          <w:szCs w:val="20"/>
        </w:rPr>
      </w:pPr>
    </w:p>
    <w:p w14:paraId="17EBA6E6" w14:textId="77777777" w:rsidR="00691BB7" w:rsidRDefault="00691BB7" w:rsidP="00CE37A3">
      <w:pPr>
        <w:spacing w:after="0" w:line="240" w:lineRule="auto"/>
        <w:rPr>
          <w:rFonts w:ascii="Verdana" w:hAnsi="Verdana" w:cs="Arial"/>
          <w:b/>
          <w:color w:val="000000" w:themeColor="text1"/>
          <w:sz w:val="20"/>
          <w:szCs w:val="20"/>
        </w:rPr>
      </w:pPr>
    </w:p>
    <w:p w14:paraId="19454123" w14:textId="77777777" w:rsidR="00691BB7" w:rsidRDefault="00691BB7" w:rsidP="00CE37A3">
      <w:pPr>
        <w:spacing w:after="0" w:line="240" w:lineRule="auto"/>
        <w:rPr>
          <w:rFonts w:ascii="Verdana" w:hAnsi="Verdana" w:cs="Arial"/>
          <w:b/>
          <w:color w:val="000000" w:themeColor="text1"/>
          <w:sz w:val="20"/>
          <w:szCs w:val="20"/>
        </w:rPr>
      </w:pPr>
    </w:p>
    <w:p w14:paraId="15D30F15" w14:textId="77777777" w:rsidR="00691BB7" w:rsidRDefault="00691BB7" w:rsidP="00CE37A3">
      <w:pPr>
        <w:spacing w:after="0" w:line="240" w:lineRule="auto"/>
        <w:rPr>
          <w:rFonts w:ascii="Verdana" w:hAnsi="Verdana" w:cs="Arial"/>
          <w:b/>
          <w:color w:val="000000" w:themeColor="text1"/>
          <w:sz w:val="20"/>
          <w:szCs w:val="20"/>
        </w:rPr>
      </w:pPr>
    </w:p>
    <w:p w14:paraId="717346BA" w14:textId="77777777" w:rsidR="00691BB7" w:rsidRDefault="00691BB7" w:rsidP="00CE37A3">
      <w:pPr>
        <w:spacing w:after="0" w:line="240" w:lineRule="auto"/>
        <w:rPr>
          <w:rFonts w:ascii="Verdana" w:hAnsi="Verdana" w:cs="Arial"/>
          <w:b/>
          <w:color w:val="000000" w:themeColor="text1"/>
          <w:sz w:val="20"/>
          <w:szCs w:val="20"/>
        </w:rPr>
      </w:pPr>
    </w:p>
    <w:p w14:paraId="6EEC3DAD" w14:textId="77777777" w:rsidR="00691BB7" w:rsidRDefault="00691BB7" w:rsidP="00CE37A3">
      <w:pPr>
        <w:spacing w:after="0" w:line="240" w:lineRule="auto"/>
        <w:rPr>
          <w:rFonts w:ascii="Verdana" w:hAnsi="Verdana" w:cs="Arial"/>
          <w:b/>
          <w:color w:val="000000" w:themeColor="text1"/>
          <w:sz w:val="20"/>
          <w:szCs w:val="20"/>
        </w:rPr>
      </w:pPr>
    </w:p>
    <w:p w14:paraId="4119D729" w14:textId="77777777" w:rsidR="00691BB7" w:rsidRDefault="00691BB7" w:rsidP="00CE37A3">
      <w:pPr>
        <w:spacing w:after="0" w:line="240" w:lineRule="auto"/>
        <w:rPr>
          <w:rFonts w:ascii="Verdana" w:hAnsi="Verdana" w:cs="Arial"/>
          <w:b/>
          <w:color w:val="000000" w:themeColor="text1"/>
          <w:sz w:val="20"/>
          <w:szCs w:val="20"/>
        </w:rPr>
      </w:pPr>
    </w:p>
    <w:p w14:paraId="5ED8FB2C" w14:textId="77777777" w:rsidR="00691BB7" w:rsidRDefault="00691BB7" w:rsidP="00CE37A3">
      <w:pPr>
        <w:spacing w:after="0" w:line="240" w:lineRule="auto"/>
        <w:rPr>
          <w:rFonts w:ascii="Verdana" w:hAnsi="Verdana" w:cs="Arial"/>
          <w:b/>
          <w:color w:val="000000" w:themeColor="text1"/>
          <w:sz w:val="20"/>
          <w:szCs w:val="20"/>
        </w:rPr>
      </w:pPr>
    </w:p>
    <w:p w14:paraId="43F64195" w14:textId="77777777" w:rsidR="00691BB7" w:rsidRDefault="00691BB7" w:rsidP="00CE37A3">
      <w:pPr>
        <w:spacing w:after="0" w:line="240" w:lineRule="auto"/>
        <w:rPr>
          <w:rFonts w:ascii="Verdana" w:hAnsi="Verdana" w:cs="Arial"/>
          <w:b/>
          <w:color w:val="000000" w:themeColor="text1"/>
          <w:sz w:val="20"/>
          <w:szCs w:val="20"/>
        </w:rPr>
      </w:pPr>
    </w:p>
    <w:p w14:paraId="5781EED6" w14:textId="77777777" w:rsidR="00691BB7" w:rsidRDefault="00691BB7" w:rsidP="00CE37A3">
      <w:pPr>
        <w:spacing w:after="0" w:line="240" w:lineRule="auto"/>
        <w:rPr>
          <w:rFonts w:ascii="Verdana" w:hAnsi="Verdana" w:cs="Arial"/>
          <w:b/>
          <w:color w:val="000000" w:themeColor="text1"/>
          <w:sz w:val="20"/>
          <w:szCs w:val="20"/>
        </w:rPr>
      </w:pPr>
    </w:p>
    <w:p w14:paraId="5A0797AD" w14:textId="77777777" w:rsidR="00691BB7" w:rsidRDefault="00691BB7" w:rsidP="00CE37A3">
      <w:pPr>
        <w:spacing w:after="0" w:line="240" w:lineRule="auto"/>
        <w:rPr>
          <w:rFonts w:ascii="Verdana" w:hAnsi="Verdana" w:cs="Arial"/>
          <w:b/>
          <w:color w:val="000000" w:themeColor="text1"/>
          <w:sz w:val="20"/>
          <w:szCs w:val="20"/>
        </w:rPr>
      </w:pPr>
    </w:p>
    <w:p w14:paraId="31617CF3" w14:textId="77777777" w:rsidR="00691BB7" w:rsidRDefault="00691BB7" w:rsidP="00CE37A3">
      <w:pPr>
        <w:spacing w:after="0" w:line="240" w:lineRule="auto"/>
        <w:rPr>
          <w:rFonts w:ascii="Verdana" w:hAnsi="Verdana" w:cs="Arial"/>
          <w:b/>
          <w:color w:val="000000" w:themeColor="text1"/>
          <w:sz w:val="20"/>
          <w:szCs w:val="20"/>
        </w:rPr>
      </w:pPr>
    </w:p>
    <w:p w14:paraId="0CA9F1A5" w14:textId="77777777" w:rsidR="00691BB7" w:rsidRDefault="00691BB7" w:rsidP="00CE37A3">
      <w:pPr>
        <w:spacing w:after="0" w:line="240" w:lineRule="auto"/>
        <w:rPr>
          <w:rFonts w:ascii="Verdana" w:hAnsi="Verdana" w:cs="Arial"/>
          <w:b/>
          <w:color w:val="000000" w:themeColor="text1"/>
          <w:sz w:val="20"/>
          <w:szCs w:val="20"/>
        </w:rPr>
      </w:pPr>
    </w:p>
    <w:p w14:paraId="3E35E16C" w14:textId="77777777" w:rsidR="00691BB7" w:rsidRDefault="00691BB7" w:rsidP="00CE37A3">
      <w:pPr>
        <w:spacing w:after="0" w:line="240" w:lineRule="auto"/>
        <w:rPr>
          <w:rFonts w:ascii="Verdana" w:hAnsi="Verdana" w:cs="Arial"/>
          <w:b/>
          <w:color w:val="000000" w:themeColor="text1"/>
          <w:sz w:val="20"/>
          <w:szCs w:val="20"/>
        </w:rPr>
      </w:pPr>
    </w:p>
    <w:p w14:paraId="40ECA921" w14:textId="77777777" w:rsidR="00691BB7" w:rsidRDefault="00691BB7" w:rsidP="00CE37A3">
      <w:pPr>
        <w:spacing w:after="0" w:line="240" w:lineRule="auto"/>
        <w:rPr>
          <w:rFonts w:ascii="Verdana" w:hAnsi="Verdana" w:cs="Arial"/>
          <w:b/>
          <w:color w:val="000000" w:themeColor="text1"/>
          <w:sz w:val="20"/>
          <w:szCs w:val="20"/>
        </w:rPr>
      </w:pPr>
    </w:p>
    <w:p w14:paraId="5CD9D804" w14:textId="77777777" w:rsidR="00691BB7" w:rsidRDefault="00691BB7" w:rsidP="00CE37A3">
      <w:pPr>
        <w:spacing w:after="0" w:line="240" w:lineRule="auto"/>
        <w:rPr>
          <w:rFonts w:ascii="Verdana" w:hAnsi="Verdana" w:cs="Arial"/>
          <w:b/>
          <w:color w:val="000000" w:themeColor="text1"/>
          <w:sz w:val="20"/>
          <w:szCs w:val="20"/>
        </w:rPr>
      </w:pPr>
    </w:p>
    <w:p w14:paraId="53C2D492" w14:textId="77777777" w:rsidR="00691BB7" w:rsidRDefault="00691BB7" w:rsidP="00CE37A3">
      <w:pPr>
        <w:spacing w:after="0" w:line="240" w:lineRule="auto"/>
        <w:rPr>
          <w:rFonts w:ascii="Verdana" w:hAnsi="Verdana" w:cs="Arial"/>
          <w:b/>
          <w:color w:val="000000" w:themeColor="text1"/>
          <w:sz w:val="20"/>
          <w:szCs w:val="20"/>
        </w:rPr>
      </w:pPr>
    </w:p>
    <w:p w14:paraId="6482D3CE" w14:textId="77777777" w:rsidR="00691BB7" w:rsidRDefault="00691BB7" w:rsidP="00CE37A3">
      <w:pPr>
        <w:spacing w:after="0" w:line="240" w:lineRule="auto"/>
        <w:rPr>
          <w:rFonts w:ascii="Verdana" w:hAnsi="Verdana" w:cs="Arial"/>
          <w:b/>
          <w:color w:val="000000" w:themeColor="text1"/>
          <w:sz w:val="20"/>
          <w:szCs w:val="20"/>
        </w:rPr>
      </w:pPr>
    </w:p>
    <w:p w14:paraId="68861719" w14:textId="77777777" w:rsidR="00691BB7" w:rsidRDefault="00691BB7" w:rsidP="00CE37A3">
      <w:pPr>
        <w:spacing w:after="0" w:line="240" w:lineRule="auto"/>
        <w:rPr>
          <w:rFonts w:ascii="Verdana" w:hAnsi="Verdana" w:cs="Arial"/>
          <w:b/>
          <w:color w:val="000000" w:themeColor="text1"/>
          <w:sz w:val="20"/>
          <w:szCs w:val="20"/>
        </w:rPr>
      </w:pPr>
    </w:p>
    <w:p w14:paraId="2460047D" w14:textId="77777777" w:rsidR="00691BB7" w:rsidRDefault="00691BB7" w:rsidP="00CE37A3">
      <w:pPr>
        <w:spacing w:after="0" w:line="240" w:lineRule="auto"/>
        <w:rPr>
          <w:rFonts w:ascii="Verdana" w:hAnsi="Verdana" w:cs="Arial"/>
          <w:b/>
          <w:color w:val="000000" w:themeColor="text1"/>
          <w:sz w:val="20"/>
          <w:szCs w:val="20"/>
        </w:rPr>
      </w:pPr>
    </w:p>
    <w:p w14:paraId="11474D7B" w14:textId="77777777" w:rsidR="00691BB7" w:rsidRDefault="00691BB7" w:rsidP="00CE37A3">
      <w:pPr>
        <w:spacing w:after="0" w:line="240" w:lineRule="auto"/>
        <w:rPr>
          <w:rFonts w:ascii="Verdana" w:hAnsi="Verdana" w:cs="Arial"/>
          <w:b/>
          <w:color w:val="000000" w:themeColor="text1"/>
          <w:sz w:val="20"/>
          <w:szCs w:val="20"/>
        </w:rPr>
      </w:pPr>
    </w:p>
    <w:p w14:paraId="3D67F860" w14:textId="77777777" w:rsidR="00691BB7" w:rsidRDefault="00691BB7" w:rsidP="00CE37A3">
      <w:pPr>
        <w:spacing w:after="0" w:line="240" w:lineRule="auto"/>
        <w:rPr>
          <w:rFonts w:ascii="Verdana" w:hAnsi="Verdana" w:cs="Arial"/>
          <w:b/>
          <w:color w:val="000000" w:themeColor="text1"/>
          <w:sz w:val="20"/>
          <w:szCs w:val="20"/>
        </w:rPr>
      </w:pPr>
    </w:p>
    <w:p w14:paraId="7FDCC014" w14:textId="77777777" w:rsidR="00691BB7" w:rsidRDefault="00691BB7" w:rsidP="00CE37A3">
      <w:pPr>
        <w:spacing w:after="0" w:line="240" w:lineRule="auto"/>
        <w:rPr>
          <w:rFonts w:ascii="Verdana" w:hAnsi="Verdana" w:cs="Arial"/>
          <w:b/>
          <w:color w:val="000000" w:themeColor="text1"/>
          <w:sz w:val="20"/>
          <w:szCs w:val="20"/>
        </w:rPr>
      </w:pPr>
    </w:p>
    <w:p w14:paraId="6F67DE7E" w14:textId="77777777" w:rsidR="00691BB7" w:rsidRDefault="00691BB7" w:rsidP="00CE37A3">
      <w:pPr>
        <w:spacing w:after="0" w:line="240" w:lineRule="auto"/>
        <w:rPr>
          <w:rFonts w:ascii="Verdana" w:hAnsi="Verdana" w:cs="Arial"/>
          <w:b/>
          <w:color w:val="000000" w:themeColor="text1"/>
          <w:sz w:val="20"/>
          <w:szCs w:val="20"/>
        </w:rPr>
      </w:pPr>
    </w:p>
    <w:p w14:paraId="76DD5ED0" w14:textId="77777777" w:rsidR="00691BB7" w:rsidRDefault="00691BB7" w:rsidP="00CE37A3">
      <w:pPr>
        <w:spacing w:after="0" w:line="240" w:lineRule="auto"/>
        <w:rPr>
          <w:rFonts w:ascii="Verdana" w:hAnsi="Verdana" w:cs="Arial"/>
          <w:b/>
          <w:color w:val="000000" w:themeColor="text1"/>
          <w:sz w:val="20"/>
          <w:szCs w:val="20"/>
        </w:rPr>
      </w:pPr>
    </w:p>
    <w:p w14:paraId="44FD1FBB" w14:textId="77777777" w:rsidR="00691BB7" w:rsidRDefault="00691BB7" w:rsidP="00CE37A3">
      <w:pPr>
        <w:spacing w:after="0" w:line="240" w:lineRule="auto"/>
        <w:rPr>
          <w:rFonts w:ascii="Verdana" w:hAnsi="Verdana" w:cs="Arial"/>
          <w:b/>
          <w:color w:val="000000" w:themeColor="text1"/>
          <w:sz w:val="20"/>
          <w:szCs w:val="20"/>
        </w:rPr>
      </w:pPr>
    </w:p>
    <w:p w14:paraId="2858F0A4" w14:textId="77777777" w:rsidR="00826141" w:rsidRDefault="00826141" w:rsidP="00CE37A3">
      <w:pPr>
        <w:spacing w:after="0" w:line="240" w:lineRule="auto"/>
        <w:rPr>
          <w:rFonts w:ascii="Verdana" w:hAnsi="Verdana" w:cs="Arial"/>
          <w:b/>
          <w:color w:val="000000" w:themeColor="text1"/>
          <w:sz w:val="20"/>
          <w:szCs w:val="20"/>
        </w:rPr>
      </w:pPr>
    </w:p>
    <w:p w14:paraId="34795350" w14:textId="77777777" w:rsidR="00691BB7" w:rsidRDefault="00691BB7" w:rsidP="00CE37A3">
      <w:pPr>
        <w:spacing w:after="0" w:line="240" w:lineRule="auto"/>
        <w:rPr>
          <w:rFonts w:ascii="Verdana" w:hAnsi="Verdana" w:cs="Arial"/>
          <w:b/>
          <w:color w:val="000000" w:themeColor="text1"/>
          <w:sz w:val="20"/>
          <w:szCs w:val="20"/>
        </w:rPr>
      </w:pPr>
    </w:p>
    <w:p w14:paraId="75BCC68A" w14:textId="77777777" w:rsidR="00E0495B" w:rsidRDefault="00E0495B" w:rsidP="00CE37A3">
      <w:pPr>
        <w:spacing w:after="0" w:line="240" w:lineRule="auto"/>
        <w:rPr>
          <w:rFonts w:ascii="Verdana" w:eastAsia="Geomanist Light" w:hAnsi="Verdana" w:cs="Arial"/>
          <w:color w:val="000000" w:themeColor="text1"/>
          <w:lang w:val="es-MX"/>
        </w:rPr>
      </w:pPr>
    </w:p>
    <w:p w14:paraId="28047E8C" w14:textId="264E4311" w:rsidR="00B30448" w:rsidRDefault="00B30448" w:rsidP="00CE37A3">
      <w:pPr>
        <w:spacing w:after="0" w:line="240" w:lineRule="auto"/>
        <w:rPr>
          <w:rFonts w:ascii="Verdana" w:eastAsia="Geomanist Light" w:hAnsi="Verdana" w:cs="Arial"/>
          <w:color w:val="201F1E"/>
          <w:lang w:val="es-MX"/>
        </w:rPr>
      </w:pPr>
      <w:r w:rsidRPr="00EB1CF7">
        <w:rPr>
          <w:rFonts w:ascii="Verdana" w:eastAsia="Geomanist Light" w:hAnsi="Verdana" w:cs="Arial"/>
          <w:color w:val="000000" w:themeColor="text1"/>
          <w:lang w:val="es-MX"/>
        </w:rPr>
        <w:lastRenderedPageBreak/>
        <w:t>Bogotá D.C., </w:t>
      </w:r>
      <w:r w:rsidR="00855BAD">
        <w:rPr>
          <w:rFonts w:ascii="Verdana" w:eastAsia="Geomanist Light" w:hAnsi="Verdana" w:cs="Arial"/>
          <w:color w:val="201F1E"/>
          <w:lang w:val="es-MX"/>
        </w:rPr>
        <w:t>27 de febrero de 2025</w:t>
      </w:r>
    </w:p>
    <w:p w14:paraId="4F9F4B50" w14:textId="50453B8C" w:rsidR="00E0495B" w:rsidRDefault="00855BAD" w:rsidP="00855BAD">
      <w:pPr>
        <w:spacing w:after="0" w:line="240" w:lineRule="auto"/>
        <w:jc w:val="right"/>
        <w:rPr>
          <w:rFonts w:ascii="Verdana" w:eastAsia="Calibri" w:hAnsi="Verdana" w:cs="Arial"/>
          <w:color w:val="000000"/>
          <w:lang w:val="es-ES"/>
        </w:rPr>
      </w:pPr>
      <w:r w:rsidRPr="00855BAD">
        <w:rPr>
          <w:rFonts w:ascii="Verdana" w:eastAsia="Calibri" w:hAnsi="Verdana" w:cs="Arial"/>
          <w:noProof/>
          <w:color w:val="000000"/>
          <w:lang w:val="es-ES"/>
        </w:rPr>
        <w:drawing>
          <wp:inline distT="0" distB="0" distL="0" distR="0" wp14:anchorId="60E66FC9" wp14:editId="6ED5C587">
            <wp:extent cx="3154680" cy="1021080"/>
            <wp:effectExtent l="0" t="0" r="7620" b="7620"/>
            <wp:docPr id="8478841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4680" cy="1021080"/>
                    </a:xfrm>
                    <a:prstGeom prst="rect">
                      <a:avLst/>
                    </a:prstGeom>
                    <a:noFill/>
                    <a:ln>
                      <a:noFill/>
                    </a:ln>
                  </pic:spPr>
                </pic:pic>
              </a:graphicData>
            </a:graphic>
          </wp:inline>
        </w:drawing>
      </w:r>
    </w:p>
    <w:p w14:paraId="2D19293C" w14:textId="77777777" w:rsidR="00E0495B" w:rsidRPr="00A0389A" w:rsidRDefault="00E0495B" w:rsidP="00E0495B">
      <w:pPr>
        <w:spacing w:after="0" w:line="240" w:lineRule="auto"/>
        <w:jc w:val="both"/>
        <w:rPr>
          <w:rFonts w:ascii="Verdana" w:eastAsia="Calibri" w:hAnsi="Verdana" w:cs="Arial"/>
          <w:lang w:val="es-ES" w:eastAsia="es-ES"/>
        </w:rPr>
      </w:pPr>
    </w:p>
    <w:p w14:paraId="394FAF39" w14:textId="77777777" w:rsidR="00E0495B" w:rsidRPr="00A0389A" w:rsidRDefault="00E0495B" w:rsidP="00E0495B">
      <w:pPr>
        <w:spacing w:after="0" w:line="240" w:lineRule="auto"/>
        <w:jc w:val="both"/>
        <w:rPr>
          <w:rFonts w:ascii="Verdana" w:eastAsia="Calibri" w:hAnsi="Verdana" w:cs="Arial"/>
          <w:lang w:val="es-ES" w:eastAsia="es-ES"/>
        </w:rPr>
      </w:pPr>
      <w:r w:rsidRPr="00A0389A">
        <w:rPr>
          <w:rFonts w:ascii="Verdana" w:eastAsia="Calibri" w:hAnsi="Verdana" w:cs="Arial"/>
          <w:lang w:val="es-ES" w:eastAsia="es-ES"/>
        </w:rPr>
        <w:t>Doctor</w:t>
      </w:r>
    </w:p>
    <w:p w14:paraId="41020209" w14:textId="77777777" w:rsidR="00E0495B" w:rsidRPr="00A0389A" w:rsidRDefault="00E0495B" w:rsidP="00E0495B">
      <w:pPr>
        <w:spacing w:after="0" w:line="240" w:lineRule="auto"/>
        <w:jc w:val="both"/>
        <w:rPr>
          <w:rFonts w:ascii="Verdana" w:eastAsia="Calibri" w:hAnsi="Verdana" w:cs="Arial"/>
          <w:b/>
          <w:bCs/>
          <w:lang w:val="es-ES" w:eastAsia="es-ES"/>
        </w:rPr>
      </w:pPr>
      <w:r w:rsidRPr="00A0389A">
        <w:rPr>
          <w:rFonts w:ascii="Verdana" w:eastAsia="Calibri" w:hAnsi="Verdana" w:cs="Arial"/>
          <w:b/>
          <w:bCs/>
          <w:lang w:val="es-ES" w:eastAsia="es-ES"/>
        </w:rPr>
        <w:t>Hugo Alejandro Mora Tamayo</w:t>
      </w:r>
    </w:p>
    <w:p w14:paraId="0514F56E" w14:textId="77777777" w:rsidR="00E0495B" w:rsidRPr="00A0389A" w:rsidRDefault="00E0495B" w:rsidP="00E0495B">
      <w:pPr>
        <w:spacing w:after="0" w:line="240" w:lineRule="auto"/>
        <w:rPr>
          <w:rFonts w:ascii="Verdana" w:eastAsia="Calibri" w:hAnsi="Verdana" w:cs="Arial"/>
          <w:bCs/>
          <w:lang w:val="es-ES_tradnl" w:eastAsia="es-ES_tradnl"/>
        </w:rPr>
      </w:pPr>
      <w:r w:rsidRPr="00A0389A">
        <w:rPr>
          <w:rFonts w:ascii="Verdana" w:eastAsia="Calibri" w:hAnsi="Verdana" w:cs="Arial"/>
          <w:bCs/>
          <w:lang w:val="es-ES_tradnl" w:eastAsia="es-ES_tradnl"/>
        </w:rPr>
        <w:t xml:space="preserve">Dirección </w:t>
      </w:r>
      <w:r>
        <w:rPr>
          <w:rFonts w:ascii="Verdana" w:eastAsia="Calibri" w:hAnsi="Verdana" w:cs="Arial"/>
          <w:bCs/>
          <w:lang w:val="es-ES_tradnl" w:eastAsia="es-ES_tradnl"/>
        </w:rPr>
        <w:t>d</w:t>
      </w:r>
      <w:r w:rsidRPr="00A0389A">
        <w:rPr>
          <w:rFonts w:ascii="Verdana" w:eastAsia="Calibri" w:hAnsi="Verdana" w:cs="Arial"/>
          <w:bCs/>
          <w:lang w:val="es-ES_tradnl" w:eastAsia="es-ES_tradnl"/>
        </w:rPr>
        <w:t>e Contratación Estatal</w:t>
      </w:r>
    </w:p>
    <w:p w14:paraId="10182E7E" w14:textId="77777777" w:rsidR="00E0495B" w:rsidRPr="00A0389A" w:rsidRDefault="00E0495B" w:rsidP="00E0495B">
      <w:pPr>
        <w:spacing w:after="0" w:line="240" w:lineRule="auto"/>
        <w:rPr>
          <w:rFonts w:ascii="Verdana" w:eastAsia="Calibri" w:hAnsi="Verdana" w:cs="Arial"/>
          <w:bCs/>
          <w:lang w:val="es-ES_tradnl" w:eastAsia="es-ES_tradnl"/>
        </w:rPr>
      </w:pPr>
      <w:r w:rsidRPr="00A0389A">
        <w:rPr>
          <w:rFonts w:ascii="Verdana" w:eastAsia="Calibri" w:hAnsi="Verdana" w:cs="Arial"/>
          <w:bCs/>
          <w:lang w:val="es-ES_tradnl" w:eastAsia="es-ES_tradnl"/>
        </w:rPr>
        <w:t>Ministerio de Defensa Nacional</w:t>
      </w:r>
    </w:p>
    <w:p w14:paraId="0ABC4DBA" w14:textId="77777777" w:rsidR="00E0495B" w:rsidRPr="00A0389A" w:rsidRDefault="00E0495B" w:rsidP="00E0495B">
      <w:pPr>
        <w:spacing w:after="0" w:line="240" w:lineRule="auto"/>
        <w:rPr>
          <w:rFonts w:ascii="Verdana" w:eastAsia="Calibri" w:hAnsi="Verdana" w:cs="Arial"/>
          <w:bCs/>
          <w:lang w:val="es-ES_tradnl" w:eastAsia="es-ES_tradnl"/>
        </w:rPr>
      </w:pPr>
      <w:hyperlink r:id="rId12" w:history="1">
        <w:r w:rsidRPr="00A0389A">
          <w:rPr>
            <w:rFonts w:ascii="Verdana" w:eastAsia="Calibri" w:hAnsi="Verdana" w:cs="Arial"/>
            <w:bCs/>
            <w:color w:val="0563C1" w:themeColor="hyperlink"/>
            <w:u w:val="single"/>
            <w:lang w:val="es-ES_tradnl" w:eastAsia="es-ES_tradnl"/>
          </w:rPr>
          <w:t>contratos@mindefensa.gov.co</w:t>
        </w:r>
      </w:hyperlink>
    </w:p>
    <w:p w14:paraId="74FE83A7" w14:textId="77777777" w:rsidR="00E0495B" w:rsidRPr="00A0389A" w:rsidRDefault="00E0495B" w:rsidP="00E0495B">
      <w:pPr>
        <w:spacing w:after="0" w:line="240" w:lineRule="auto"/>
        <w:rPr>
          <w:rFonts w:ascii="Verdana" w:eastAsia="Calibri" w:hAnsi="Verdana" w:cs="Arial"/>
          <w:lang w:val="es-ES" w:eastAsia="es-ES"/>
        </w:rPr>
      </w:pPr>
      <w:r w:rsidRPr="00A0389A">
        <w:rPr>
          <w:rFonts w:ascii="Verdana" w:eastAsia="Calibri" w:hAnsi="Verdana" w:cs="Arial"/>
          <w:lang w:val="es-ES" w:eastAsia="es-ES"/>
        </w:rPr>
        <w:t xml:space="preserve">Bogotá D.C  </w:t>
      </w:r>
    </w:p>
    <w:p w14:paraId="630D8884" w14:textId="77777777" w:rsidR="00E0495B" w:rsidRPr="00A0389A" w:rsidRDefault="00E0495B" w:rsidP="00E0495B">
      <w:pPr>
        <w:spacing w:after="0" w:line="240" w:lineRule="auto"/>
        <w:rPr>
          <w:rFonts w:ascii="Verdana" w:eastAsia="Calibri" w:hAnsi="Verdana" w:cs="Arial"/>
          <w:b/>
          <w:bCs/>
          <w:color w:val="000000"/>
          <w:lang w:val="es-ES_tradnl" w:eastAsia="es-ES_tradnl"/>
        </w:rPr>
      </w:pPr>
    </w:p>
    <w:p w14:paraId="193B0AB2" w14:textId="77777777" w:rsidR="00E0495B" w:rsidRPr="00A0389A" w:rsidRDefault="00E0495B" w:rsidP="00E0495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0495B" w:rsidRPr="00A0389A" w14:paraId="31DFC700" w14:textId="77777777" w:rsidTr="006B31C0">
        <w:trPr>
          <w:trHeight w:val="884"/>
        </w:trPr>
        <w:tc>
          <w:tcPr>
            <w:tcW w:w="2689" w:type="dxa"/>
          </w:tcPr>
          <w:p w14:paraId="091600DF" w14:textId="77777777" w:rsidR="00E0495B" w:rsidRPr="00A0389A" w:rsidRDefault="00E0495B" w:rsidP="006B31C0">
            <w:pPr>
              <w:jc w:val="both"/>
              <w:rPr>
                <w:rFonts w:ascii="Verdana" w:eastAsia="Calibri" w:hAnsi="Verdana" w:cs="Arial"/>
                <w:b/>
                <w:bCs/>
                <w:color w:val="7030A0"/>
                <w:lang w:val="es-ES_tradnl" w:eastAsia="es-ES_tradnl"/>
              </w:rPr>
            </w:pPr>
          </w:p>
        </w:tc>
        <w:tc>
          <w:tcPr>
            <w:tcW w:w="6100" w:type="dxa"/>
          </w:tcPr>
          <w:p w14:paraId="2C2C12F3" w14:textId="77777777" w:rsidR="00E0495B" w:rsidRPr="00A0389A" w:rsidRDefault="00E0495B" w:rsidP="006B31C0">
            <w:pPr>
              <w:jc w:val="both"/>
              <w:rPr>
                <w:rFonts w:ascii="Verdana" w:eastAsia="Calibri" w:hAnsi="Verdana" w:cs="Arial"/>
                <w:b/>
                <w:bCs/>
                <w:lang w:val="es-ES" w:eastAsia="es-ES"/>
              </w:rPr>
            </w:pPr>
            <w:r w:rsidRPr="00A0389A">
              <w:rPr>
                <w:rFonts w:ascii="Verdana" w:eastAsia="Calibri" w:hAnsi="Verdana" w:cs="Arial"/>
                <w:b/>
                <w:bCs/>
                <w:lang w:val="es-ES" w:eastAsia="es-ES"/>
              </w:rPr>
              <w:t>Concepto C – 065 de 2025</w:t>
            </w:r>
          </w:p>
        </w:tc>
      </w:tr>
      <w:tr w:rsidR="00E0495B" w:rsidRPr="00A0389A" w14:paraId="110F7AE1" w14:textId="77777777" w:rsidTr="006B31C0">
        <w:trPr>
          <w:trHeight w:val="884"/>
        </w:trPr>
        <w:tc>
          <w:tcPr>
            <w:tcW w:w="2689" w:type="dxa"/>
          </w:tcPr>
          <w:p w14:paraId="70E212DB" w14:textId="77777777" w:rsidR="00E0495B" w:rsidRPr="00A0389A" w:rsidRDefault="00E0495B" w:rsidP="006B31C0">
            <w:pPr>
              <w:jc w:val="both"/>
              <w:rPr>
                <w:rFonts w:ascii="Verdana" w:eastAsia="Calibri" w:hAnsi="Verdana" w:cs="Arial"/>
                <w:color w:val="000000"/>
                <w:lang w:val="es-ES_tradnl" w:eastAsia="es-ES_tradnl"/>
              </w:rPr>
            </w:pPr>
            <w:r w:rsidRPr="00A0389A">
              <w:rPr>
                <w:rFonts w:ascii="Verdana" w:eastAsia="Calibri" w:hAnsi="Verdana" w:cs="Arial"/>
                <w:b/>
                <w:color w:val="000000"/>
                <w:lang w:val="es-ES_tradnl" w:eastAsia="es-ES_tradnl"/>
              </w:rPr>
              <w:t>Temas:</w:t>
            </w:r>
            <w:r w:rsidRPr="00A0389A">
              <w:rPr>
                <w:rFonts w:ascii="Verdana" w:eastAsia="Calibri" w:hAnsi="Verdana" w:cs="Arial"/>
                <w:color w:val="000000"/>
                <w:lang w:val="es-ES_tradnl" w:eastAsia="es-ES_tradnl"/>
              </w:rPr>
              <w:t xml:space="preserve">                   </w:t>
            </w:r>
          </w:p>
        </w:tc>
        <w:tc>
          <w:tcPr>
            <w:tcW w:w="6100" w:type="dxa"/>
          </w:tcPr>
          <w:p w14:paraId="2BFA3CD1" w14:textId="7CFCD801" w:rsidR="00E0495B" w:rsidRPr="00A0389A" w:rsidRDefault="00E0495B" w:rsidP="006B31C0">
            <w:pPr>
              <w:jc w:val="both"/>
              <w:rPr>
                <w:rFonts w:ascii="Verdana" w:eastAsia="Calibri" w:hAnsi="Verdana" w:cs="Arial"/>
                <w:lang w:val="es-ES" w:eastAsia="es-ES"/>
              </w:rPr>
            </w:pPr>
            <w:r w:rsidRPr="00A0389A">
              <w:rPr>
                <w:rFonts w:ascii="Verdana" w:eastAsia="Calibri" w:hAnsi="Verdana" w:cs="Arial"/>
                <w:bCs/>
                <w:color w:val="000000"/>
                <w:lang w:val="es-ES"/>
              </w:rPr>
              <w:t xml:space="preserve">PRECIOS UNITARIOS – APU – AIU / </w:t>
            </w:r>
            <w:r w:rsidRPr="00A0389A">
              <w:rPr>
                <w:rFonts w:ascii="Verdana" w:eastAsia="Geomanist Light" w:hAnsi="Verdana" w:cs="Arial"/>
                <w:bCs/>
                <w:lang w:eastAsia="es-MX"/>
              </w:rPr>
              <w:t xml:space="preserve">AIU – Costos indirectos – Discrecionalidad / AIU – APU – Determinación / AIU – Estudios del sector – </w:t>
            </w:r>
            <w:r w:rsidR="00E4123F">
              <w:rPr>
                <w:rFonts w:ascii="Verdana" w:eastAsia="Geomanist Light" w:hAnsi="Verdana" w:cs="Arial"/>
                <w:bCs/>
                <w:lang w:eastAsia="es-MX"/>
              </w:rPr>
              <w:t>T</w:t>
            </w:r>
            <w:r w:rsidRPr="00A0389A">
              <w:rPr>
                <w:rFonts w:ascii="Verdana" w:eastAsia="Geomanist Light" w:hAnsi="Verdana" w:cs="Arial"/>
                <w:bCs/>
                <w:lang w:eastAsia="es-MX"/>
              </w:rPr>
              <w:t>ipología contractual – Actividades</w:t>
            </w:r>
          </w:p>
          <w:p w14:paraId="39FBEF13" w14:textId="77777777" w:rsidR="00E0495B" w:rsidRPr="00A0389A" w:rsidRDefault="00E0495B" w:rsidP="006B31C0">
            <w:pPr>
              <w:spacing w:line="276" w:lineRule="auto"/>
              <w:jc w:val="both"/>
              <w:rPr>
                <w:rFonts w:ascii="Verdana" w:eastAsia="Calibri" w:hAnsi="Verdana" w:cs="Arial"/>
                <w:lang w:val="es-ES" w:eastAsia="es-ES"/>
              </w:rPr>
            </w:pPr>
          </w:p>
        </w:tc>
      </w:tr>
      <w:tr w:rsidR="00E0495B" w:rsidRPr="00A0389A" w14:paraId="1157DAEA" w14:textId="77777777" w:rsidTr="006B31C0">
        <w:tc>
          <w:tcPr>
            <w:tcW w:w="2689" w:type="dxa"/>
          </w:tcPr>
          <w:p w14:paraId="19E9CE73" w14:textId="77777777" w:rsidR="00E0495B" w:rsidRPr="00A0389A" w:rsidRDefault="00E0495B" w:rsidP="006B31C0">
            <w:pPr>
              <w:jc w:val="both"/>
              <w:rPr>
                <w:rFonts w:ascii="Verdana" w:eastAsia="Calibri" w:hAnsi="Verdana" w:cs="Arial"/>
                <w:b/>
                <w:lang w:val="es-ES_tradnl" w:eastAsia="es-ES_tradnl"/>
              </w:rPr>
            </w:pPr>
            <w:r w:rsidRPr="00A0389A">
              <w:rPr>
                <w:rFonts w:ascii="Verdana" w:eastAsia="Calibri" w:hAnsi="Verdana" w:cs="Arial"/>
                <w:b/>
                <w:lang w:val="es-ES_tradnl" w:eastAsia="es-ES_tradnl"/>
              </w:rPr>
              <w:t>Radicación:</w:t>
            </w:r>
            <w:r w:rsidRPr="00A0389A">
              <w:rPr>
                <w:rFonts w:ascii="Verdana" w:eastAsia="Calibri" w:hAnsi="Verdana" w:cs="Arial"/>
                <w:lang w:val="es-ES_tradnl" w:eastAsia="es-ES_tradnl"/>
              </w:rPr>
              <w:t xml:space="preserve">               </w:t>
            </w:r>
          </w:p>
        </w:tc>
        <w:tc>
          <w:tcPr>
            <w:tcW w:w="6100" w:type="dxa"/>
          </w:tcPr>
          <w:p w14:paraId="39A1DAE8" w14:textId="77777777" w:rsidR="00E0495B" w:rsidRPr="00A0389A" w:rsidRDefault="00E0495B" w:rsidP="006B31C0">
            <w:pPr>
              <w:jc w:val="both"/>
              <w:rPr>
                <w:rFonts w:ascii="Verdana" w:eastAsia="Calibri" w:hAnsi="Verdana" w:cs="Arial"/>
                <w:lang w:eastAsia="es-ES_tradnl"/>
              </w:rPr>
            </w:pPr>
            <w:r w:rsidRPr="00A0389A">
              <w:rPr>
                <w:rFonts w:ascii="Verdana" w:eastAsia="Calibri" w:hAnsi="Verdana" w:cs="Arial"/>
                <w:lang w:val="es-ES_tradnl" w:eastAsia="es-ES_tradnl"/>
              </w:rPr>
              <w:t xml:space="preserve">Respuesta a la consulta con radicado No.  P20250122000528                                 </w:t>
            </w:r>
          </w:p>
        </w:tc>
      </w:tr>
    </w:tbl>
    <w:p w14:paraId="7275F44F" w14:textId="77777777" w:rsidR="00E0495B" w:rsidRPr="00A0389A" w:rsidRDefault="00E0495B" w:rsidP="00E0495B">
      <w:pPr>
        <w:spacing w:after="0" w:line="240" w:lineRule="auto"/>
        <w:jc w:val="both"/>
        <w:rPr>
          <w:rFonts w:ascii="Verdana" w:eastAsia="Calibri" w:hAnsi="Verdana" w:cs="Arial"/>
          <w:color w:val="000000"/>
          <w:lang w:val="es-ES_tradnl" w:eastAsia="es-ES_tradnl"/>
        </w:rPr>
      </w:pPr>
    </w:p>
    <w:p w14:paraId="322A6878" w14:textId="77777777" w:rsidR="00E0495B" w:rsidRPr="00A0389A" w:rsidRDefault="00E0495B" w:rsidP="00E0495B">
      <w:pPr>
        <w:spacing w:after="0" w:line="240" w:lineRule="auto"/>
        <w:jc w:val="both"/>
        <w:rPr>
          <w:rFonts w:ascii="Verdana" w:eastAsia="Calibri" w:hAnsi="Verdana" w:cs="Arial"/>
          <w:color w:val="000000"/>
          <w:lang w:val="es-ES_tradnl" w:eastAsia="es-ES_tradnl"/>
        </w:rPr>
      </w:pPr>
    </w:p>
    <w:p w14:paraId="1FF6A17B" w14:textId="77777777" w:rsidR="00E0495B" w:rsidRPr="00A0389A" w:rsidRDefault="00E0495B" w:rsidP="00E0495B">
      <w:pPr>
        <w:spacing w:after="0" w:line="276" w:lineRule="auto"/>
        <w:jc w:val="both"/>
        <w:rPr>
          <w:rFonts w:ascii="Verdana" w:eastAsia="Calibri" w:hAnsi="Verdana" w:cs="Arial"/>
          <w:lang w:val="es-ES" w:eastAsia="es-ES"/>
        </w:rPr>
      </w:pPr>
      <w:r w:rsidRPr="00A0389A">
        <w:rPr>
          <w:rFonts w:ascii="Verdana" w:eastAsia="Calibri" w:hAnsi="Verdana" w:cs="Arial"/>
          <w:lang w:val="es-ES" w:eastAsia="es-ES"/>
        </w:rPr>
        <w:t xml:space="preserve">Estimado Doctor Mora Tamayo: </w:t>
      </w:r>
    </w:p>
    <w:p w14:paraId="539DB603" w14:textId="77777777" w:rsidR="00E0495B" w:rsidRPr="00A0389A" w:rsidRDefault="00E0495B" w:rsidP="00E0495B">
      <w:pPr>
        <w:tabs>
          <w:tab w:val="left" w:pos="3768"/>
        </w:tabs>
        <w:spacing w:after="0" w:line="276" w:lineRule="auto"/>
        <w:jc w:val="both"/>
        <w:rPr>
          <w:rFonts w:ascii="Verdana" w:eastAsia="Calibri" w:hAnsi="Verdana" w:cs="Arial"/>
          <w:color w:val="000000" w:themeColor="text1"/>
          <w:lang w:val="es-ES" w:eastAsia="es-ES"/>
        </w:rPr>
      </w:pPr>
    </w:p>
    <w:p w14:paraId="645C721F" w14:textId="77777777" w:rsidR="00E0495B" w:rsidRPr="00A0389A" w:rsidRDefault="00E0495B" w:rsidP="00E0495B">
      <w:pPr>
        <w:spacing w:after="0" w:line="276" w:lineRule="auto"/>
        <w:jc w:val="both"/>
        <w:rPr>
          <w:rFonts w:ascii="Verdana" w:eastAsia="Calibri" w:hAnsi="Verdana" w:cs="Arial"/>
          <w:color w:val="7030A0"/>
          <w:lang w:val="es-ES" w:eastAsia="es-ES"/>
        </w:rPr>
      </w:pPr>
      <w:r w:rsidRPr="00A0389A">
        <w:rPr>
          <w:rFonts w:ascii="Verdana" w:eastAsia="Calibri" w:hAnsi="Verdana" w:cs="Arial"/>
          <w:color w:val="000000" w:themeColor="text1"/>
          <w:lang w:val="es-ES" w:eastAsia="es-ES"/>
        </w:rPr>
        <w:t>En ejercicio de la competencia otorgada por los artículos 3, numeral 5º, y 11, numeral 8º, del Decreto Ley 4170 de 2011,</w:t>
      </w:r>
      <w:r w:rsidRPr="00A0389A">
        <w:rPr>
          <w:rFonts w:ascii="Verdana" w:eastAsia="Arial MT" w:hAnsi="Verdana" w:cs="Arial MT"/>
          <w:lang w:val="es-ES" w:eastAsia="es-ES"/>
        </w:rPr>
        <w:t xml:space="preserve"> </w:t>
      </w:r>
      <w:r w:rsidRPr="00A0389A">
        <w:rPr>
          <w:rFonts w:ascii="Verdana" w:hAnsi="Verdana" w:cs="Arial"/>
        </w:rPr>
        <w:t xml:space="preserve">así como lo establecido en el artículo 4 de la Resolución 1707 de 2018 expedida por esta Entidad, </w:t>
      </w:r>
      <w:r w:rsidRPr="00A0389A">
        <w:rPr>
          <w:rFonts w:ascii="Verdana" w:eastAsia="Calibri" w:hAnsi="Verdana" w:cs="Arial"/>
          <w:color w:val="000000" w:themeColor="text1"/>
          <w:lang w:val="es-ES" w:eastAsia="es-ES"/>
        </w:rPr>
        <w:t>la Agencia Nacional de Contratación Pública – Colombia Compra Eficiente responde su solicitud del 22</w:t>
      </w:r>
      <w:r w:rsidRPr="00A0389A">
        <w:rPr>
          <w:rFonts w:ascii="Verdana" w:eastAsia="Calibri" w:hAnsi="Verdana" w:cs="Arial"/>
          <w:lang w:val="es-ES" w:eastAsia="es-ES"/>
        </w:rPr>
        <w:t xml:space="preserve"> de enero de 2025, en la cual consulta sobre lo siguiente: </w:t>
      </w:r>
    </w:p>
    <w:p w14:paraId="4992F1B8" w14:textId="77777777" w:rsidR="00E0495B" w:rsidRPr="00A0389A" w:rsidRDefault="00E0495B" w:rsidP="00E0495B">
      <w:pPr>
        <w:tabs>
          <w:tab w:val="left" w:pos="142"/>
          <w:tab w:val="left" w:pos="284"/>
        </w:tabs>
        <w:spacing w:after="0" w:line="276" w:lineRule="auto"/>
        <w:contextualSpacing/>
        <w:jc w:val="both"/>
        <w:rPr>
          <w:rFonts w:ascii="Verdana" w:eastAsia="Century Gothic" w:hAnsi="Verdana" w:cs="Century Gothic"/>
          <w:b/>
          <w:bCs/>
          <w:lang w:val="es-ES"/>
        </w:rPr>
      </w:pPr>
    </w:p>
    <w:p w14:paraId="254FED3F" w14:textId="77777777" w:rsidR="00E0495B" w:rsidRPr="00A0389A" w:rsidRDefault="00E0495B" w:rsidP="00E0495B">
      <w:pPr>
        <w:spacing w:after="0" w:line="240" w:lineRule="auto"/>
        <w:ind w:left="709" w:right="709"/>
        <w:jc w:val="both"/>
        <w:rPr>
          <w:rFonts w:ascii="Verdana" w:eastAsia="Century Gothic" w:hAnsi="Verdana" w:cs="Century Gothic"/>
          <w:i/>
          <w:iCs/>
          <w:sz w:val="21"/>
          <w:szCs w:val="21"/>
        </w:rPr>
      </w:pPr>
      <w:bookmarkStart w:id="3" w:name="_Hlk95313578"/>
      <w:r w:rsidRPr="00A0389A">
        <w:rPr>
          <w:rFonts w:ascii="Verdana" w:eastAsia="Century Gothic" w:hAnsi="Verdana" w:cs="Century Gothic"/>
          <w:i/>
          <w:iCs/>
          <w:sz w:val="21"/>
          <w:szCs w:val="21"/>
          <w:lang w:val="es-ES"/>
        </w:rPr>
        <w:t>“</w:t>
      </w:r>
      <w:bookmarkEnd w:id="3"/>
      <w:r w:rsidRPr="00A0389A">
        <w:rPr>
          <w:rFonts w:ascii="Verdana" w:eastAsia="Century Gothic" w:hAnsi="Verdana" w:cs="Century Gothic"/>
          <w:i/>
          <w:iCs/>
          <w:sz w:val="21"/>
          <w:szCs w:val="21"/>
          <w:lang w:val="es-ES"/>
        </w:rPr>
        <w:t xml:space="preserve">(…) </w:t>
      </w:r>
      <w:r w:rsidRPr="00A0389A">
        <w:rPr>
          <w:rFonts w:ascii="Verdana" w:eastAsia="Century Gothic" w:hAnsi="Verdana" w:cs="Century Gothic"/>
          <w:i/>
          <w:iCs/>
          <w:sz w:val="21"/>
          <w:szCs w:val="21"/>
        </w:rPr>
        <w:t xml:space="preserve">Si / no, se debe excluir, de manera forzosa e ineludible, </w:t>
      </w:r>
      <w:bookmarkStart w:id="4" w:name="_Hlk191153810"/>
      <w:r w:rsidRPr="00A0389A">
        <w:rPr>
          <w:rFonts w:ascii="Verdana" w:eastAsia="Century Gothic" w:hAnsi="Verdana" w:cs="Century Gothic"/>
          <w:i/>
          <w:iCs/>
          <w:sz w:val="21"/>
          <w:szCs w:val="21"/>
        </w:rPr>
        <w:t>el pago de AIU para los servicios prestados con ocasión de un contrato de obra pública</w:t>
      </w:r>
      <w:bookmarkEnd w:id="4"/>
      <w:r w:rsidRPr="00A0389A">
        <w:rPr>
          <w:rFonts w:ascii="Verdana" w:eastAsia="Century Gothic" w:hAnsi="Verdana" w:cs="Century Gothic"/>
          <w:i/>
          <w:iCs/>
          <w:sz w:val="21"/>
          <w:szCs w:val="21"/>
        </w:rPr>
        <w:t xml:space="preserve">? </w:t>
      </w:r>
    </w:p>
    <w:p w14:paraId="064D55B8" w14:textId="77777777" w:rsidR="00E0495B" w:rsidRPr="00A0389A" w:rsidRDefault="00E0495B" w:rsidP="00E0495B">
      <w:pPr>
        <w:spacing w:after="0" w:line="240" w:lineRule="auto"/>
        <w:ind w:left="709" w:right="709"/>
        <w:jc w:val="both"/>
        <w:rPr>
          <w:rFonts w:ascii="Verdana" w:eastAsia="Century Gothic" w:hAnsi="Verdana" w:cs="Century Gothic"/>
          <w:i/>
          <w:iCs/>
          <w:sz w:val="21"/>
          <w:szCs w:val="21"/>
        </w:rPr>
      </w:pPr>
    </w:p>
    <w:p w14:paraId="5FDE206D" w14:textId="77777777" w:rsidR="00E0495B" w:rsidRPr="00A0389A" w:rsidRDefault="00E0495B" w:rsidP="00E0495B">
      <w:pPr>
        <w:spacing w:after="0" w:line="240" w:lineRule="auto"/>
        <w:ind w:left="709" w:right="709"/>
        <w:jc w:val="both"/>
        <w:rPr>
          <w:rFonts w:ascii="Verdana" w:eastAsia="Century Gothic" w:hAnsi="Verdana" w:cs="Century Gothic"/>
          <w:i/>
          <w:iCs/>
          <w:sz w:val="21"/>
          <w:szCs w:val="21"/>
          <w:lang w:val="es-ES"/>
        </w:rPr>
      </w:pPr>
      <w:r w:rsidRPr="00A0389A">
        <w:rPr>
          <w:rFonts w:ascii="Verdana" w:eastAsia="Century Gothic" w:hAnsi="Verdana" w:cs="Century Gothic"/>
          <w:i/>
          <w:iCs/>
          <w:sz w:val="21"/>
          <w:szCs w:val="21"/>
        </w:rPr>
        <w:lastRenderedPageBreak/>
        <w:t>En los contratos, cuyo valor se estructura bajo el sistema de precios unitarios, es imprescindible desagregar o desglosar cómo se incorporan los pagos de AIU en relación con actividades de prestación de servicios y/o provisión de bienes</w:t>
      </w:r>
      <w:r w:rsidRPr="00A0389A">
        <w:rPr>
          <w:rFonts w:ascii="Verdana" w:eastAsia="Century Gothic" w:hAnsi="Verdana" w:cs="Century Gothic"/>
          <w:i/>
          <w:iCs/>
          <w:sz w:val="21"/>
          <w:szCs w:val="21"/>
          <w:lang w:val="es-ES"/>
        </w:rPr>
        <w:t>”.</w:t>
      </w:r>
      <w:r w:rsidRPr="00A0389A">
        <w:rPr>
          <w:rFonts w:ascii="Verdana" w:eastAsia="Century Gothic" w:hAnsi="Verdana" w:cs="Century Gothic"/>
          <w:i/>
          <w:iCs/>
          <w:sz w:val="20"/>
          <w:szCs w:val="20"/>
          <w:lang w:val="es-ES"/>
        </w:rPr>
        <w:t xml:space="preserve"> </w:t>
      </w:r>
    </w:p>
    <w:p w14:paraId="678ED25B" w14:textId="77777777" w:rsidR="00E0495B" w:rsidRPr="00A0389A" w:rsidRDefault="00E0495B" w:rsidP="00E0495B">
      <w:pPr>
        <w:tabs>
          <w:tab w:val="left" w:pos="142"/>
          <w:tab w:val="left" w:pos="284"/>
        </w:tabs>
        <w:spacing w:after="0" w:line="276" w:lineRule="auto"/>
        <w:contextualSpacing/>
        <w:jc w:val="both"/>
        <w:rPr>
          <w:rFonts w:ascii="Verdana" w:eastAsia="Century Gothic" w:hAnsi="Verdana" w:cs="Century Gothic"/>
          <w:b/>
          <w:bCs/>
          <w:lang w:val="es-ES"/>
        </w:rPr>
      </w:pPr>
    </w:p>
    <w:p w14:paraId="6D28E850" w14:textId="77777777" w:rsidR="00E0495B" w:rsidRPr="00A0389A" w:rsidRDefault="00E0495B" w:rsidP="00E0495B">
      <w:pPr>
        <w:spacing w:after="120" w:line="276" w:lineRule="auto"/>
        <w:ind w:firstLine="709"/>
        <w:jc w:val="both"/>
        <w:rPr>
          <w:rFonts w:ascii="Verdana" w:eastAsia="Calibri" w:hAnsi="Verdana" w:cs="Arial"/>
          <w:color w:val="000000"/>
          <w:lang w:val="es-ES" w:eastAsia="es-ES"/>
        </w:rPr>
      </w:pPr>
      <w:r w:rsidRPr="00A0389A">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0389A">
        <w:rPr>
          <w:rFonts w:ascii="Verdana" w:eastAsia="Calibri" w:hAnsi="Verdana" w:cs="Arial"/>
          <w:color w:val="000000"/>
          <w:szCs w:val="24"/>
          <w:lang w:val="es-ES_tradnl" w:eastAsia="es-ES_tradnl"/>
        </w:rPr>
        <w:tab/>
      </w:r>
    </w:p>
    <w:p w14:paraId="55653D8C" w14:textId="77777777" w:rsidR="00E0495B" w:rsidRPr="00A0389A" w:rsidRDefault="00E0495B" w:rsidP="00E0495B">
      <w:pPr>
        <w:spacing w:after="0" w:line="276" w:lineRule="auto"/>
        <w:ind w:firstLine="709"/>
        <w:jc w:val="both"/>
        <w:rPr>
          <w:rFonts w:ascii="Verdana" w:eastAsia="Calibri" w:hAnsi="Verdana" w:cs="Arial"/>
          <w:color w:val="000000"/>
          <w:lang w:val="es-ES" w:eastAsia="es-ES"/>
        </w:rPr>
      </w:pPr>
      <w:r w:rsidRPr="00A0389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A0389A">
        <w:rPr>
          <w:rFonts w:ascii="Verdana" w:eastAsia="Calibri" w:hAnsi="Verdana" w:cs="Arial"/>
          <w:color w:val="7030A0"/>
          <w:lang w:val="es-ES" w:eastAsia="es-ES"/>
        </w:rPr>
        <w:t xml:space="preserve"> </w:t>
      </w:r>
      <w:r w:rsidRPr="00A0389A">
        <w:rPr>
          <w:rFonts w:ascii="Verdana" w:eastAsia="Calibri" w:hAnsi="Verdana" w:cs="Arial"/>
          <w:color w:val="000000"/>
          <w:lang w:val="es-ES" w:eastAsia="es-ES"/>
        </w:rPr>
        <w:t>problema</w:t>
      </w:r>
      <w:r w:rsidRPr="00A0389A">
        <w:rPr>
          <w:rFonts w:ascii="Verdana" w:eastAsia="Calibri" w:hAnsi="Verdana" w:cs="Arial"/>
          <w:color w:val="7030A0"/>
          <w:lang w:val="es-ES" w:eastAsia="es-ES"/>
        </w:rPr>
        <w:t xml:space="preserve"> </w:t>
      </w:r>
      <w:r w:rsidRPr="00A0389A">
        <w:rPr>
          <w:rFonts w:ascii="Verdana" w:eastAsia="Calibri" w:hAnsi="Verdana" w:cs="Arial"/>
          <w:color w:val="000000"/>
          <w:lang w:val="es-ES" w:eastAsia="es-ES"/>
        </w:rPr>
        <w:t>jurídico</w:t>
      </w:r>
      <w:r w:rsidRPr="00A0389A">
        <w:rPr>
          <w:rFonts w:ascii="Verdana" w:eastAsia="Calibri" w:hAnsi="Verdana" w:cs="Arial"/>
          <w:color w:val="7030A0"/>
          <w:lang w:val="es-ES" w:eastAsia="es-ES"/>
        </w:rPr>
        <w:t xml:space="preserve"> </w:t>
      </w:r>
      <w:r w:rsidRPr="00A0389A">
        <w:rPr>
          <w:rFonts w:ascii="Verdana" w:eastAsia="Calibri" w:hAnsi="Verdana" w:cs="Arial"/>
          <w:color w:val="000000"/>
          <w:lang w:val="es-ES" w:eastAsia="es-ES"/>
        </w:rPr>
        <w:t xml:space="preserve">de su consulta. </w:t>
      </w:r>
    </w:p>
    <w:p w14:paraId="27F700B3" w14:textId="77777777" w:rsidR="00E0495B" w:rsidRPr="00A0389A" w:rsidRDefault="00E0495B" w:rsidP="00E0495B">
      <w:pPr>
        <w:spacing w:after="0" w:line="276" w:lineRule="auto"/>
        <w:ind w:firstLine="709"/>
        <w:jc w:val="both"/>
        <w:rPr>
          <w:rFonts w:ascii="Verdana" w:eastAsia="Calibri" w:hAnsi="Verdana" w:cs="Arial"/>
          <w:color w:val="000000"/>
          <w:lang w:val="es-ES" w:eastAsia="es-ES"/>
        </w:rPr>
      </w:pPr>
    </w:p>
    <w:p w14:paraId="49E28887" w14:textId="77777777" w:rsidR="00E0495B" w:rsidRPr="00A0389A" w:rsidRDefault="00E0495B" w:rsidP="00E0495B">
      <w:pPr>
        <w:numPr>
          <w:ilvl w:val="0"/>
          <w:numId w:val="1"/>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A0389A">
        <w:rPr>
          <w:rFonts w:ascii="Verdana" w:eastAsia="Century Gothic" w:hAnsi="Verdana" w:cs="Century Gothic"/>
          <w:b/>
          <w:bCs/>
          <w:lang w:val="es-ES"/>
        </w:rPr>
        <w:t>Problemas planteados:</w:t>
      </w:r>
    </w:p>
    <w:p w14:paraId="129C710C" w14:textId="77777777" w:rsidR="00E0495B" w:rsidRPr="00A0389A" w:rsidRDefault="00E0495B" w:rsidP="00E0495B">
      <w:pPr>
        <w:tabs>
          <w:tab w:val="left" w:pos="426"/>
        </w:tabs>
        <w:spacing w:after="0" w:line="276" w:lineRule="auto"/>
        <w:jc w:val="both"/>
        <w:rPr>
          <w:rFonts w:ascii="Verdana" w:eastAsia="Century Gothic" w:hAnsi="Verdana" w:cs="Century Gothic"/>
          <w:lang w:val="es-ES"/>
        </w:rPr>
      </w:pPr>
    </w:p>
    <w:p w14:paraId="16A99036" w14:textId="77777777" w:rsidR="00E0495B" w:rsidRPr="00A0389A" w:rsidRDefault="00E0495B" w:rsidP="00E0495B">
      <w:pPr>
        <w:spacing w:after="0" w:line="276" w:lineRule="auto"/>
        <w:jc w:val="both"/>
        <w:rPr>
          <w:rFonts w:ascii="Verdana" w:eastAsia="Century Gothic" w:hAnsi="Verdana" w:cs="Century Gothic"/>
        </w:rPr>
      </w:pPr>
      <w:r w:rsidRPr="00A0389A">
        <w:rPr>
          <w:rFonts w:ascii="Verdana" w:eastAsia="Century Gothic" w:hAnsi="Verdana" w:cs="Century Gothic"/>
        </w:rPr>
        <w:t xml:space="preserve">De acuerdo con el contenido de su solicitud, esta Agencia resolverá el siguiente problema jurídico: ¿En los contratos de obra pública estructurados bajo el sistema de precios unitarios, se </w:t>
      </w:r>
      <w:r w:rsidRPr="00010756">
        <w:rPr>
          <w:rFonts w:ascii="Verdana" w:eastAsia="Century Gothic" w:hAnsi="Verdana" w:cs="Century Gothic"/>
        </w:rPr>
        <w:t>debe realizar el pago de AIU en relación con las actividades que implican servicios</w:t>
      </w:r>
      <w:r w:rsidRPr="00A0389A">
        <w:rPr>
          <w:rFonts w:ascii="Verdana" w:eastAsia="Century Gothic" w:hAnsi="Verdana" w:cs="Century Gothic"/>
        </w:rPr>
        <w:t xml:space="preserve">? </w:t>
      </w:r>
    </w:p>
    <w:p w14:paraId="020E1999" w14:textId="77777777" w:rsidR="00E0495B" w:rsidRPr="00A0389A" w:rsidRDefault="00E0495B" w:rsidP="00E0495B">
      <w:pPr>
        <w:spacing w:after="0" w:line="276" w:lineRule="auto"/>
        <w:jc w:val="both"/>
        <w:rPr>
          <w:rFonts w:ascii="Verdana" w:eastAsia="Calibri" w:hAnsi="Verdana" w:cs="Arial"/>
          <w:color w:val="7030A0"/>
        </w:rPr>
      </w:pPr>
    </w:p>
    <w:p w14:paraId="71F8BBF9" w14:textId="77777777" w:rsidR="00E0495B" w:rsidRPr="00A0389A" w:rsidRDefault="00E0495B" w:rsidP="00E0495B">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A0389A">
        <w:rPr>
          <w:rFonts w:ascii="Verdana" w:eastAsia="Century Gothic" w:hAnsi="Verdana" w:cs="Century Gothic"/>
          <w:b/>
          <w:bCs/>
          <w:lang w:val="es-ES"/>
        </w:rPr>
        <w:t>Respuestas:</w:t>
      </w:r>
    </w:p>
    <w:p w14:paraId="6E5044E7" w14:textId="77777777" w:rsidR="00E0495B" w:rsidRPr="00A0389A" w:rsidRDefault="00E0495B" w:rsidP="00E0495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495B" w:rsidRPr="00A0389A" w14:paraId="45425B1B" w14:textId="77777777" w:rsidTr="006B31C0">
        <w:trPr>
          <w:jc w:val="center"/>
        </w:trPr>
        <w:tc>
          <w:tcPr>
            <w:tcW w:w="8828" w:type="dxa"/>
            <w:shd w:val="clear" w:color="auto" w:fill="auto"/>
          </w:tcPr>
          <w:p w14:paraId="18705605" w14:textId="77777777" w:rsidR="00E0495B" w:rsidRPr="00A0389A" w:rsidRDefault="00E0495B" w:rsidP="006B31C0">
            <w:pPr>
              <w:spacing w:after="120" w:line="276" w:lineRule="auto"/>
              <w:jc w:val="both"/>
              <w:rPr>
                <w:rFonts w:ascii="Verdana" w:hAnsi="Verdana" w:cs="Arial"/>
                <w:lang w:eastAsia="es-ES"/>
              </w:rPr>
            </w:pPr>
            <w:bookmarkStart w:id="5" w:name="_Hlk171694685"/>
            <w:r w:rsidRPr="00A0389A">
              <w:rPr>
                <w:rFonts w:ascii="Verdana" w:hAnsi="Verdana" w:cs="Arial"/>
                <w:lang w:eastAsia="es-ES"/>
              </w:rPr>
              <w:t xml:space="preserve">La metodología de estipulación del precio a través de la utilización de las variables AIU, como forma de calcular los costos indirectos, no tiene una regulación expresa en el Estatuto General de Contratación de la Administración </w:t>
            </w:r>
            <w:r w:rsidRPr="00A0389A">
              <w:rPr>
                <w:rFonts w:ascii="Verdana" w:hAnsi="Verdana" w:cs="Arial"/>
                <w:lang w:eastAsia="es-ES"/>
              </w:rPr>
              <w:lastRenderedPageBreak/>
              <w:t xml:space="preserve">Pública, en el Decreto 1082 de 2015 o en disposiciones normativas complementarias. Lo que existe es una competencia para las entidades estatales, reconocida en el artículo 40 de la Ley 80 de 1993, en los siguientes términos: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Por tanto, </w:t>
            </w:r>
            <w:bookmarkStart w:id="6" w:name="_Hlk191158215"/>
            <w:r w:rsidRPr="00A0389A">
              <w:rPr>
                <w:rFonts w:ascii="Verdana" w:hAnsi="Verdana" w:cs="Arial"/>
                <w:lang w:eastAsia="es-ES"/>
              </w:rPr>
              <w:t>el AIU, como metodología de pacto del precio que proviene de la costumbre mercantil, se puede utilizar en principio en cualquier tipología contractual, aunque lo más común es que se use en los contratos de tracto sucesivo, especialmente en los que se distinguen los precios unitarios.</w:t>
            </w:r>
          </w:p>
          <w:p w14:paraId="28A0BA49" w14:textId="77777777" w:rsidR="00E0495B" w:rsidRPr="00A0389A" w:rsidRDefault="00E0495B" w:rsidP="006B31C0">
            <w:pPr>
              <w:spacing w:after="120" w:line="276" w:lineRule="auto"/>
              <w:ind w:firstLine="743"/>
              <w:jc w:val="both"/>
              <w:rPr>
                <w:rFonts w:ascii="Verdana" w:hAnsi="Verdana" w:cs="Arial"/>
                <w:lang w:eastAsia="es-ES"/>
              </w:rPr>
            </w:pPr>
            <w:r w:rsidRPr="00A0389A">
              <w:rPr>
                <w:rFonts w:ascii="Verdana" w:hAnsi="Verdana" w:cs="Arial"/>
                <w:lang w:eastAsia="es-ES"/>
              </w:rPr>
              <w:t>La determinación de este sistema de estipulación del valor debe ser el resultado de los estudios previos, y especialmente del análisis del sector. Solo a partir de tales estudios la entidad estatal podrá concluir si es oportuno y conveniente establecer que el precio del contrato y, por tanto, la propuesta del oferente se deberá establecer distinguiendo los costos directos respecto de los costos indirectos; estos últimos representados en el AIU.</w:t>
            </w:r>
          </w:p>
          <w:p w14:paraId="39174C66" w14:textId="77777777" w:rsidR="00E0495B" w:rsidRPr="00A0389A" w:rsidRDefault="00E0495B" w:rsidP="006B31C0">
            <w:pPr>
              <w:spacing w:after="120" w:line="276" w:lineRule="auto"/>
              <w:ind w:firstLine="743"/>
              <w:jc w:val="both"/>
              <w:rPr>
                <w:rFonts w:ascii="Verdana" w:hAnsi="Verdana" w:cs="Arial"/>
                <w:lang w:eastAsia="es-ES"/>
              </w:rPr>
            </w:pPr>
            <w:r w:rsidRPr="00A0389A">
              <w:rPr>
                <w:rFonts w:ascii="Verdana" w:hAnsi="Verdana" w:cs="Arial"/>
                <w:lang w:eastAsia="es-ES"/>
              </w:rPr>
              <w:t xml:space="preserve">En consecuencia, no hay </w:t>
            </w:r>
            <w:r w:rsidRPr="00010756">
              <w:rPr>
                <w:rFonts w:ascii="Verdana" w:hAnsi="Verdana" w:cs="Arial"/>
                <w:i/>
                <w:lang w:eastAsia="es-ES"/>
              </w:rPr>
              <w:t>a priori</w:t>
            </w:r>
            <w:r w:rsidRPr="00A0389A">
              <w:rPr>
                <w:rFonts w:ascii="Verdana" w:hAnsi="Verdana" w:cs="Arial"/>
                <w:lang w:eastAsia="es-ES"/>
              </w:rPr>
              <w:t xml:space="preserve"> tipologías contractuales en las que la ley o el reglamento establezcan que se debe utilizar el AIU, así como tampoco hay una determinación única y específica de la forma en la que el AIU debe ser establecido en contratos que involucra diferentes tipos de actividades como sería la ejecución de obra y la prestación de servicios conexos, ya que tal decisión obedece a lo que resulte más conveniente a la entidad estatal, en cumplimiento del principio de planeación.</w:t>
            </w:r>
          </w:p>
          <w:p w14:paraId="4DDAC2A4" w14:textId="77777777" w:rsidR="00E0495B" w:rsidRPr="00A0389A" w:rsidRDefault="00E0495B" w:rsidP="006B31C0">
            <w:pPr>
              <w:snapToGrid w:val="0"/>
              <w:spacing w:after="120" w:line="276" w:lineRule="auto"/>
              <w:ind w:firstLine="743"/>
              <w:jc w:val="both"/>
              <w:rPr>
                <w:rFonts w:ascii="Verdana" w:hAnsi="Verdana" w:cs="Arial"/>
                <w:lang w:eastAsia="es-ES"/>
              </w:rPr>
            </w:pPr>
            <w:r w:rsidRPr="00A0389A">
              <w:rPr>
                <w:rFonts w:ascii="Verdana" w:hAnsi="Verdana" w:cs="Arial"/>
                <w:bCs/>
                <w:szCs w:val="24"/>
                <w:lang w:val="es-ES_tradnl" w:eastAsia="es-ES_tradnl"/>
              </w:rPr>
              <w:t xml:space="preserve">En este contexto, si </w:t>
            </w:r>
            <w:r w:rsidRPr="00A0389A">
              <w:rPr>
                <w:rFonts w:ascii="Verdana" w:hAnsi="Verdana" w:cs="Arial"/>
                <w:lang w:eastAsia="es-ES"/>
              </w:rPr>
              <w:t xml:space="preserve">con base en los estudios del sector la entidad estatal estableció la necesidad de estructurar el valor bajo el sistema de precios unitarios y con el desglose del AIU, independientemente que el contrato de obra involucre actividades conexas de prestación de servicios, el precio se debería pagar con base en el valor de los costos directos incrementados por el porcentaje del AIU, en relación con todas las actividades calculadas bajo este sistema. En otras palabras, cuando el valor en el contrato de obra se estructuró utilizando el sistema de AIU para todas las actividades incluidas, sin hacer distinción entre los diferentes tipos de actividades, el pago del AIU debe </w:t>
            </w:r>
            <w:r w:rsidRPr="00A0389A">
              <w:rPr>
                <w:rFonts w:ascii="Verdana" w:hAnsi="Verdana" w:cs="Arial"/>
                <w:lang w:eastAsia="es-ES"/>
              </w:rPr>
              <w:lastRenderedPageBreak/>
              <w:t>aplicarse a todas las actividades del contrato, a menos que se haya acordado lo contrario.</w:t>
            </w:r>
          </w:p>
          <w:p w14:paraId="5C69E265" w14:textId="77777777" w:rsidR="00E0495B" w:rsidRPr="00A0389A" w:rsidRDefault="00E0495B" w:rsidP="006B31C0">
            <w:pPr>
              <w:snapToGrid w:val="0"/>
              <w:spacing w:after="120" w:line="276" w:lineRule="auto"/>
              <w:ind w:firstLine="743"/>
              <w:jc w:val="both"/>
              <w:rPr>
                <w:rFonts w:ascii="Verdana" w:hAnsi="Verdana" w:cs="Arial"/>
                <w:bCs/>
                <w:szCs w:val="24"/>
                <w:lang w:val="es-ES_tradnl" w:eastAsia="es-ES_tradnl"/>
              </w:rPr>
            </w:pPr>
            <w:r w:rsidRPr="00A0389A">
              <w:rPr>
                <w:rFonts w:ascii="Verdana" w:hAnsi="Verdana" w:cs="Arial"/>
                <w:lang w:eastAsia="es-ES"/>
              </w:rPr>
              <w:t xml:space="preserve">Ahora bien, </w:t>
            </w:r>
            <w:r w:rsidRPr="00A0389A">
              <w:rPr>
                <w:rFonts w:ascii="Verdana" w:hAnsi="Verdana" w:cs="Arial"/>
                <w:bCs/>
                <w:szCs w:val="24"/>
                <w:lang w:val="es-ES_tradnl" w:eastAsia="es-ES_tradnl"/>
              </w:rPr>
              <w:t xml:space="preserve">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A0389A">
              <w:rPr>
                <w:rFonts w:ascii="Verdana" w:hAnsi="Verdana" w:cs="Arial"/>
                <w:bCs/>
                <w:i/>
                <w:iCs/>
                <w:szCs w:val="24"/>
                <w:lang w:val="es-ES_tradnl" w:eastAsia="es-ES_tradnl"/>
              </w:rPr>
              <w:t>Administración</w:t>
            </w:r>
            <w:r w:rsidRPr="00A0389A">
              <w:rPr>
                <w:rFonts w:ascii="Verdana" w:hAnsi="Verdana" w:cs="Arial"/>
                <w:bCs/>
                <w:szCs w:val="24"/>
                <w:lang w:val="es-ES_tradnl" w:eastAsia="es-ES_tradnl"/>
              </w:rPr>
              <w:t xml:space="preserve"> o los </w:t>
            </w:r>
            <w:r w:rsidRPr="00A0389A">
              <w:rPr>
                <w:rFonts w:ascii="Verdana" w:hAnsi="Verdana" w:cs="Arial"/>
                <w:bCs/>
                <w:i/>
                <w:iCs/>
                <w:szCs w:val="24"/>
                <w:lang w:val="es-ES_tradnl" w:eastAsia="es-ES_tradnl"/>
              </w:rPr>
              <w:t>Imprevistos</w:t>
            </w:r>
            <w:r w:rsidRPr="00A0389A">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651F2E35" w14:textId="77777777" w:rsidR="00E0495B" w:rsidRPr="00A0389A" w:rsidRDefault="00E0495B" w:rsidP="006B31C0">
            <w:pPr>
              <w:snapToGrid w:val="0"/>
              <w:spacing w:after="120" w:line="276" w:lineRule="auto"/>
              <w:ind w:firstLine="601"/>
              <w:jc w:val="both"/>
              <w:rPr>
                <w:rFonts w:ascii="Verdana" w:hAnsi="Verdana" w:cs="Arial"/>
                <w:lang w:eastAsia="es-ES"/>
              </w:rPr>
            </w:pPr>
            <w:r w:rsidRPr="00A0389A">
              <w:rPr>
                <w:rFonts w:ascii="Verdana" w:hAnsi="Verdana" w:cs="Arial"/>
                <w:lang w:eastAsia="es-ES"/>
              </w:rPr>
              <w:t xml:space="preserve">Sin embargo, en la práctica de las Entidades Estatales se estima un AIU con la finalidad de establecer un precio más estable. Así las cosas, las partes asumen los riesgos inherentes a esta forma de pactar el precio, entendiendo aceptados los </w:t>
            </w:r>
            <w:proofErr w:type="spellStart"/>
            <w:r w:rsidRPr="00A0389A">
              <w:rPr>
                <w:rFonts w:ascii="Verdana" w:hAnsi="Verdana" w:cs="Arial"/>
                <w:lang w:eastAsia="es-ES"/>
              </w:rPr>
              <w:t>áleas</w:t>
            </w:r>
            <w:proofErr w:type="spellEnd"/>
            <w:r w:rsidRPr="00A0389A">
              <w:rPr>
                <w:rFonts w:ascii="Verdana" w:hAnsi="Verdana" w:cs="Arial"/>
                <w:lang w:eastAsia="es-ES"/>
              </w:rPr>
              <w:t xml:space="preserve"> normales que se presenten en la ejecución del contrato, de manera que, aunque el contratista incurra en mayores costos de los ítems incluidos en la </w:t>
            </w:r>
            <w:r w:rsidRPr="00A0389A">
              <w:rPr>
                <w:rFonts w:ascii="Verdana" w:hAnsi="Verdana" w:cs="Arial"/>
                <w:i/>
                <w:iCs/>
                <w:lang w:eastAsia="es-ES"/>
              </w:rPr>
              <w:t xml:space="preserve">Administración </w:t>
            </w:r>
            <w:r w:rsidRPr="00A0389A">
              <w:rPr>
                <w:rFonts w:ascii="Verdana" w:hAnsi="Verdana" w:cs="Arial"/>
                <w:lang w:eastAsia="es-ES"/>
              </w:rPr>
              <w:t xml:space="preserve">o en más gastos de </w:t>
            </w:r>
            <w:r w:rsidRPr="00A0389A">
              <w:rPr>
                <w:rFonts w:ascii="Verdana" w:hAnsi="Verdana" w:cs="Arial"/>
                <w:i/>
                <w:iCs/>
                <w:lang w:eastAsia="es-ES"/>
              </w:rPr>
              <w:t>Imprevistos</w:t>
            </w:r>
            <w:r w:rsidRPr="00A0389A">
              <w:rPr>
                <w:rFonts w:ascii="Verdana" w:hAnsi="Verdana" w:cs="Arial"/>
                <w:lang w:eastAsia="es-ES"/>
              </w:rPr>
              <w:t xml:space="preserve"> al presentar su oferta, o que estos disminuyan, aparezcan algunos nuevos o desaparezcan algunos de ellos, el valor se mantenga invariable.</w:t>
            </w:r>
          </w:p>
          <w:p w14:paraId="783C8835" w14:textId="77777777" w:rsidR="00E0495B" w:rsidRPr="00A0389A" w:rsidRDefault="00E0495B" w:rsidP="006B31C0">
            <w:pPr>
              <w:snapToGrid w:val="0"/>
              <w:spacing w:after="120" w:line="276" w:lineRule="auto"/>
              <w:ind w:firstLine="601"/>
              <w:jc w:val="both"/>
              <w:rPr>
                <w:rFonts w:ascii="Verdana" w:hAnsi="Verdana" w:cs="Arial"/>
                <w:lang w:eastAsia="es-ES"/>
              </w:rPr>
            </w:pPr>
            <w:r w:rsidRPr="00A0389A">
              <w:rPr>
                <w:rFonts w:ascii="Verdana" w:hAnsi="Verdana" w:cs="Arial"/>
                <w:lang w:eastAsia="es-ES"/>
              </w:rPr>
              <w:t xml:space="preserve">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A0389A">
              <w:rPr>
                <w:rFonts w:ascii="Verdana" w:hAnsi="Verdana" w:cs="Arial"/>
                <w:i/>
                <w:iCs/>
                <w:lang w:eastAsia="es-ES"/>
              </w:rPr>
              <w:t xml:space="preserve">Administración </w:t>
            </w:r>
            <w:r w:rsidRPr="00A0389A">
              <w:rPr>
                <w:rFonts w:ascii="Verdana" w:hAnsi="Verdana" w:cs="Arial"/>
                <w:lang w:eastAsia="es-ES"/>
              </w:rPr>
              <w:t>o lo</w:t>
            </w:r>
            <w:r w:rsidRPr="00A0389A">
              <w:rPr>
                <w:rFonts w:ascii="Verdana" w:hAnsi="Verdana" w:cs="Arial"/>
                <w:i/>
                <w:iCs/>
                <w:lang w:eastAsia="es-ES"/>
              </w:rPr>
              <w:t>s Imprevistos</w:t>
            </w:r>
            <w:r w:rsidRPr="00A0389A">
              <w:rPr>
                <w:rFonts w:ascii="Verdana" w:hAnsi="Verdana" w:cs="Arial"/>
                <w:lang w:eastAsia="es-ES"/>
              </w:rPr>
              <w:t>, lo que generaría más gastos tanto para la entidad como para el contratista</w:t>
            </w:r>
            <w:bookmarkEnd w:id="6"/>
            <w:r w:rsidRPr="00A0389A">
              <w:rPr>
                <w:rFonts w:ascii="Verdana" w:hAnsi="Verdana" w:cs="Arial"/>
                <w:lang w:eastAsia="es-ES"/>
              </w:rPr>
              <w:t>.</w:t>
            </w:r>
          </w:p>
        </w:tc>
      </w:tr>
    </w:tbl>
    <w:p w14:paraId="1DADEC68" w14:textId="77777777" w:rsidR="00E0495B" w:rsidRPr="00A0389A" w:rsidRDefault="00E0495B" w:rsidP="00E0495B">
      <w:pPr>
        <w:tabs>
          <w:tab w:val="left" w:pos="142"/>
          <w:tab w:val="left" w:pos="284"/>
        </w:tabs>
        <w:spacing w:after="0" w:line="276" w:lineRule="auto"/>
        <w:jc w:val="both"/>
        <w:rPr>
          <w:rFonts w:ascii="Verdana" w:eastAsia="Century Gothic" w:hAnsi="Verdana" w:cs="Century Gothic"/>
          <w:b/>
          <w:bCs/>
          <w:lang w:val="es-ES"/>
        </w:rPr>
      </w:pPr>
    </w:p>
    <w:bookmarkEnd w:id="5"/>
    <w:p w14:paraId="34532434" w14:textId="77777777" w:rsidR="00E0495B" w:rsidRPr="00A0389A" w:rsidRDefault="00E0495B" w:rsidP="00E0495B">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A0389A">
        <w:rPr>
          <w:rFonts w:ascii="Verdana" w:eastAsia="Century Gothic" w:hAnsi="Verdana" w:cs="Century Gothic"/>
          <w:b/>
          <w:bCs/>
          <w:lang w:val="es-ES"/>
        </w:rPr>
        <w:t>Razones de las respuestas:</w:t>
      </w:r>
    </w:p>
    <w:p w14:paraId="74A0B13C" w14:textId="77777777" w:rsidR="00E0495B" w:rsidRPr="00A0389A" w:rsidRDefault="00E0495B" w:rsidP="00E0495B">
      <w:pPr>
        <w:spacing w:after="0" w:line="276" w:lineRule="auto"/>
        <w:jc w:val="both"/>
        <w:rPr>
          <w:rFonts w:ascii="Verdana" w:eastAsia="Calibri" w:hAnsi="Verdana" w:cs="Arial"/>
          <w:color w:val="7030A0"/>
          <w:lang w:val="es-ES"/>
        </w:rPr>
      </w:pPr>
    </w:p>
    <w:p w14:paraId="53BC3C8A" w14:textId="77777777" w:rsidR="00E0495B" w:rsidRPr="00A0389A" w:rsidRDefault="00E0495B" w:rsidP="00E0495B">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776B49C7" w14:textId="77777777" w:rsidR="00E0495B" w:rsidRPr="00A0389A" w:rsidRDefault="00E0495B" w:rsidP="00E0495B">
      <w:pPr>
        <w:spacing w:after="0" w:line="276" w:lineRule="auto"/>
        <w:jc w:val="both"/>
        <w:rPr>
          <w:rFonts w:ascii="Verdana" w:eastAsia="Calibri" w:hAnsi="Verdana" w:cs="Arial"/>
          <w:color w:val="000000" w:themeColor="text1"/>
        </w:rPr>
      </w:pPr>
    </w:p>
    <w:p w14:paraId="69FA5AB7" w14:textId="77777777" w:rsidR="00E0495B" w:rsidRPr="00A0389A" w:rsidRDefault="00E0495B" w:rsidP="00E0495B">
      <w:pPr>
        <w:spacing w:after="0" w:line="276" w:lineRule="auto"/>
        <w:jc w:val="both"/>
        <w:rPr>
          <w:rFonts w:ascii="Verdana" w:hAnsi="Verdana" w:cs="Arial"/>
          <w:bCs/>
          <w:szCs w:val="24"/>
          <w:lang w:val="es-ES_tradnl" w:eastAsia="es-ES_tradnl"/>
        </w:rPr>
      </w:pPr>
      <w:r w:rsidRPr="00A0389A">
        <w:rPr>
          <w:rFonts w:ascii="Verdana" w:hAnsi="Verdana" w:cs="Arial"/>
          <w:bCs/>
          <w:szCs w:val="24"/>
          <w:lang w:val="es-ES_tradnl"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44770F66" w14:textId="77777777" w:rsidR="00E0495B" w:rsidRPr="00A0389A" w:rsidRDefault="00E0495B" w:rsidP="00E0495B">
      <w:pPr>
        <w:spacing w:before="120" w:after="0" w:line="276" w:lineRule="auto"/>
        <w:ind w:firstLine="709"/>
        <w:jc w:val="both"/>
        <w:rPr>
          <w:rFonts w:ascii="Verdana" w:hAnsi="Verdana" w:cs="Arial"/>
          <w:lang w:val="es-ES" w:eastAsia="es-ES"/>
        </w:rPr>
      </w:pPr>
      <w:r w:rsidRPr="00A0389A">
        <w:rPr>
          <w:rFonts w:ascii="Verdana" w:hAnsi="Verdana" w:cs="Arial"/>
          <w:lang w:val="es-ES" w:eastAsia="es-ES"/>
        </w:rPr>
        <w:lastRenderedPageBreak/>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A0389A">
        <w:rPr>
          <w:rFonts w:ascii="Verdana" w:hAnsi="Verdana" w:cs="Arial"/>
          <w:vertAlign w:val="superscript"/>
          <w:lang w:val="es-ES" w:eastAsia="es-ES"/>
        </w:rPr>
        <w:footnoteReference w:id="2"/>
      </w:r>
      <w:r w:rsidRPr="00A0389A">
        <w:rPr>
          <w:rFonts w:ascii="Verdana" w:hAnsi="Verdana" w:cs="Arial"/>
          <w:lang w:val="es-ES" w:eastAsia="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A0389A">
        <w:rPr>
          <w:rFonts w:ascii="Verdana" w:hAnsi="Verdana" w:cs="Arial"/>
          <w:lang w:val="es-ES" w:eastAsia="es-ES"/>
        </w:rPr>
        <w:t>ii</w:t>
      </w:r>
      <w:proofErr w:type="spellEnd"/>
      <w:r w:rsidRPr="00A0389A">
        <w:rPr>
          <w:rFonts w:ascii="Verdana" w:hAnsi="Verdana" w:cs="Arial"/>
          <w:lang w:val="es-ES" w:eastAsia="es-ES"/>
        </w:rPr>
        <w:t xml:space="preserve">) el precio global –que equivale al monto total, sin discriminar unidades–, y </w:t>
      </w:r>
      <w:proofErr w:type="spellStart"/>
      <w:r w:rsidRPr="00A0389A">
        <w:rPr>
          <w:rFonts w:ascii="Verdana" w:hAnsi="Verdana" w:cs="Arial"/>
          <w:lang w:val="es-ES" w:eastAsia="es-ES"/>
        </w:rPr>
        <w:t>iii</w:t>
      </w:r>
      <w:proofErr w:type="spellEnd"/>
      <w:r w:rsidRPr="00A0389A">
        <w:rPr>
          <w:rFonts w:ascii="Verdana" w:hAnsi="Verdana" w:cs="Arial"/>
          <w:lang w:val="es-ES" w:eastAsia="es-ES"/>
        </w:rPr>
        <w:t>) la administración delegada de recursos –en la que se distinguen los costos de inversión de los honorarios del administrador–.</w:t>
      </w:r>
    </w:p>
    <w:p w14:paraId="26968BA1" w14:textId="77777777" w:rsidR="00E0495B" w:rsidRPr="00A0389A" w:rsidRDefault="00E0495B" w:rsidP="00E0495B">
      <w:pPr>
        <w:spacing w:before="120" w:after="0" w:line="276" w:lineRule="auto"/>
        <w:ind w:firstLine="709"/>
        <w:jc w:val="both"/>
        <w:rPr>
          <w:rFonts w:ascii="Verdana" w:hAnsi="Verdana" w:cs="Arial"/>
          <w:lang w:val="es-ES" w:eastAsia="es-ES"/>
        </w:rPr>
      </w:pPr>
      <w:r w:rsidRPr="00A0389A">
        <w:rPr>
          <w:rFonts w:ascii="Verdana"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A0389A">
        <w:rPr>
          <w:rFonts w:ascii="Verdana" w:hAnsi="Verdana" w:cs="Arial"/>
          <w:i/>
          <w:iCs/>
          <w:lang w:val="es-ES" w:eastAsia="es-ES"/>
        </w:rPr>
        <w:t>costos directos</w:t>
      </w:r>
      <w:r w:rsidRPr="00A0389A">
        <w:rPr>
          <w:rFonts w:ascii="Verdana" w:hAnsi="Verdana" w:cs="Arial"/>
          <w:lang w:val="es-ES" w:eastAsia="es-ES"/>
        </w:rPr>
        <w:t xml:space="preserve"> –es decir, los que están directamente implicados en la ejecución del objeto–, de los </w:t>
      </w:r>
      <w:r w:rsidRPr="00A0389A">
        <w:rPr>
          <w:rFonts w:ascii="Verdana" w:hAnsi="Verdana" w:cs="Arial"/>
          <w:i/>
          <w:iCs/>
          <w:lang w:val="es-ES" w:eastAsia="es-ES"/>
        </w:rPr>
        <w:t>costos indirectos</w:t>
      </w:r>
      <w:r w:rsidRPr="00A0389A">
        <w:rPr>
          <w:rFonts w:ascii="Verdana" w:hAnsi="Verdana" w:cs="Arial"/>
          <w:lang w:val="es-ES" w:eastAsia="es-ES"/>
        </w:rPr>
        <w:t xml:space="preserve"> –que equivalen a los rubros que no tienen que ver de manera inmediata con la ejecución de las actividades contractuales, </w:t>
      </w:r>
      <w:r w:rsidRPr="00A0389A">
        <w:rPr>
          <w:rFonts w:ascii="Verdana" w:hAnsi="Verdana" w:cs="Arial"/>
          <w:lang w:val="es-ES" w:eastAsia="es-ES"/>
        </w:rPr>
        <w:lastRenderedPageBreak/>
        <w:t xml:space="preserve">pero que integran también el precio, bien porque constituyen erogaciones administrativas o contingentes para el contratista o bien porque se dirigen a salvaguardar su ganancia–. En tal sentido, mientras que los </w:t>
      </w:r>
      <w:r w:rsidRPr="00A0389A">
        <w:rPr>
          <w:rFonts w:ascii="Verdana" w:hAnsi="Verdana" w:cs="Arial"/>
          <w:i/>
          <w:iCs/>
          <w:lang w:val="es-ES" w:eastAsia="es-ES"/>
        </w:rPr>
        <w:t>costos directos</w:t>
      </w:r>
      <w:r w:rsidRPr="00A0389A">
        <w:rPr>
          <w:rFonts w:ascii="Verdana" w:hAnsi="Verdana" w:cs="Arial"/>
          <w:lang w:val="es-ES" w:eastAsia="es-ES"/>
        </w:rPr>
        <w:t xml:space="preserve"> se evidencian en el análisis de precios unitarios –APU–, como la sumatoria de los valores de los </w:t>
      </w:r>
      <w:r w:rsidRPr="00A0389A">
        <w:rPr>
          <w:rFonts w:ascii="Verdana" w:hAnsi="Verdana" w:cs="Arial"/>
          <w:i/>
          <w:iCs/>
          <w:lang w:val="es-ES" w:eastAsia="es-ES"/>
        </w:rPr>
        <w:t>ítems</w:t>
      </w:r>
      <w:r w:rsidRPr="00A0389A">
        <w:rPr>
          <w:rFonts w:ascii="Verdana" w:hAnsi="Verdana" w:cs="Arial"/>
          <w:lang w:val="es-ES" w:eastAsia="es-ES"/>
        </w:rPr>
        <w:t xml:space="preserve"> según su unidad de medida, los </w:t>
      </w:r>
      <w:r w:rsidRPr="00A0389A">
        <w:rPr>
          <w:rFonts w:ascii="Verdana" w:hAnsi="Verdana" w:cs="Arial"/>
          <w:i/>
          <w:iCs/>
          <w:lang w:val="es-ES" w:eastAsia="es-ES"/>
        </w:rPr>
        <w:t>costos indirectos</w:t>
      </w:r>
      <w:r w:rsidRPr="00A0389A">
        <w:rPr>
          <w:rFonts w:ascii="Verdana" w:hAnsi="Verdana" w:cs="Arial"/>
          <w:lang w:val="es-ES" w:eastAsia="es-ES"/>
        </w:rPr>
        <w:t xml:space="preserve"> se suelen abreviar en las variables que integran el acrónimo AIU –Administración, Imprevistos y Utilidad–. </w:t>
      </w:r>
    </w:p>
    <w:p w14:paraId="78777594" w14:textId="77777777" w:rsidR="00E0495B" w:rsidRPr="00A0389A" w:rsidRDefault="00E0495B" w:rsidP="00E0495B">
      <w:pPr>
        <w:spacing w:before="120" w:after="0" w:line="276" w:lineRule="auto"/>
        <w:ind w:firstLine="709"/>
        <w:jc w:val="both"/>
        <w:rPr>
          <w:rFonts w:ascii="Verdana" w:hAnsi="Verdana" w:cs="Arial"/>
          <w:bCs/>
          <w:szCs w:val="24"/>
          <w:lang w:eastAsia="es-ES_tradnl"/>
        </w:rPr>
      </w:pPr>
      <w:r w:rsidRPr="00A0389A">
        <w:rPr>
          <w:rFonts w:ascii="Verdana" w:hAnsi="Verdana" w:cs="Arial"/>
          <w:bCs/>
          <w:szCs w:val="24"/>
          <w:lang w:val="es-ES" w:eastAsia="es-ES_tradnl"/>
        </w:rPr>
        <w:t>L</w:t>
      </w:r>
      <w:r w:rsidRPr="00A0389A">
        <w:rPr>
          <w:rFonts w:ascii="Verdana" w:hAnsi="Verdana" w:cs="Arial"/>
          <w:bCs/>
          <w:szCs w:val="24"/>
          <w:lang w:val="es-ES_tradnl" w:eastAsia="es-ES_tradnl"/>
        </w:rPr>
        <w:t xml:space="preserve">a jurisprudencia ha señalado que “[…] </w:t>
      </w:r>
      <w:r w:rsidRPr="00A0389A">
        <w:rPr>
          <w:rFonts w:ascii="Verdana"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A0389A">
        <w:rPr>
          <w:rFonts w:ascii="Verdana" w:hAnsi="Verdana" w:cs="Arial"/>
          <w:bCs/>
          <w:szCs w:val="24"/>
          <w:lang w:eastAsia="es-ES_tradnl"/>
        </w:rPr>
        <w:t>los mismos</w:t>
      </w:r>
      <w:proofErr w:type="gramEnd"/>
      <w:r w:rsidRPr="00A0389A">
        <w:rPr>
          <w:rFonts w:ascii="Verdana" w:hAnsi="Verdana" w:cs="Arial"/>
          <w:bCs/>
          <w:szCs w:val="24"/>
          <w:lang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A0389A">
        <w:rPr>
          <w:rFonts w:ascii="Verdana" w:hAnsi="Verdana" w:cs="Arial"/>
          <w:bCs/>
          <w:szCs w:val="24"/>
          <w:lang w:val="es-ES_tradnl" w:eastAsia="es-ES_tradnl"/>
        </w:rPr>
        <w:t>”</w:t>
      </w:r>
      <w:r w:rsidRPr="00A0389A">
        <w:rPr>
          <w:rFonts w:ascii="Verdana" w:hAnsi="Verdana" w:cs="Arial"/>
          <w:bCs/>
          <w:szCs w:val="24"/>
          <w:vertAlign w:val="superscript"/>
          <w:lang w:val="es-ES_tradnl" w:eastAsia="es-ES_tradnl"/>
        </w:rPr>
        <w:footnoteReference w:id="3"/>
      </w:r>
      <w:r w:rsidRPr="00A0389A">
        <w:rPr>
          <w:rFonts w:ascii="Verdana"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19E6A3A8" w14:textId="77777777" w:rsidR="00E0495B" w:rsidRPr="00A0389A" w:rsidRDefault="00E0495B" w:rsidP="00E0495B">
      <w:pPr>
        <w:spacing w:after="0" w:line="276" w:lineRule="auto"/>
        <w:ind w:firstLine="709"/>
        <w:jc w:val="both"/>
        <w:rPr>
          <w:rFonts w:ascii="Verdana" w:hAnsi="Verdana" w:cs="Arial"/>
          <w:bCs/>
          <w:szCs w:val="24"/>
          <w:lang w:eastAsia="es-ES_tradnl"/>
        </w:rPr>
      </w:pPr>
    </w:p>
    <w:p w14:paraId="4021254B" w14:textId="77777777" w:rsidR="00E0495B" w:rsidRPr="00A0389A" w:rsidRDefault="00E0495B" w:rsidP="00E0495B">
      <w:pPr>
        <w:tabs>
          <w:tab w:val="left" w:pos="709"/>
        </w:tabs>
        <w:spacing w:after="120" w:line="240" w:lineRule="auto"/>
        <w:ind w:left="709" w:right="709"/>
        <w:jc w:val="both"/>
        <w:rPr>
          <w:rFonts w:ascii="Verdana" w:hAnsi="Verdana" w:cs="Arial"/>
          <w:sz w:val="21"/>
          <w:szCs w:val="21"/>
          <w:lang w:val="es-ES" w:eastAsia="es-ES"/>
        </w:rPr>
      </w:pPr>
      <w:r w:rsidRPr="00A0389A">
        <w:rPr>
          <w:rFonts w:ascii="Verdana" w:hAnsi="Verdana" w:cs="Arial"/>
          <w:sz w:val="21"/>
          <w:szCs w:val="21"/>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52A0901A" w14:textId="77777777" w:rsidR="00E0495B" w:rsidRPr="00A0389A" w:rsidRDefault="00E0495B" w:rsidP="00E0495B">
      <w:pPr>
        <w:tabs>
          <w:tab w:val="left" w:pos="709"/>
        </w:tabs>
        <w:spacing w:after="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 xml:space="preserve">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w:t>
      </w:r>
      <w:r w:rsidRPr="00A0389A">
        <w:rPr>
          <w:rFonts w:ascii="Verdana" w:hAnsi="Verdana" w:cs="Arial"/>
          <w:sz w:val="21"/>
          <w:szCs w:val="21"/>
          <w:lang w:val="es-ES_tradnl" w:eastAsia="es-ES_tradnl"/>
        </w:rPr>
        <w:lastRenderedPageBreak/>
        <w:t>entonces, están incorporados la totalidad de los gastos en los que incurre el contratista y la utilidad que espera recibir”</w:t>
      </w:r>
      <w:r w:rsidRPr="00A0389A">
        <w:rPr>
          <w:rFonts w:ascii="Verdana" w:hAnsi="Verdana" w:cs="Arial"/>
          <w:sz w:val="21"/>
          <w:szCs w:val="21"/>
          <w:vertAlign w:val="superscript"/>
          <w:lang w:val="es-ES_tradnl" w:eastAsia="es-ES_tradnl"/>
        </w:rPr>
        <w:footnoteReference w:id="4"/>
      </w:r>
      <w:r w:rsidRPr="00A0389A">
        <w:rPr>
          <w:rFonts w:ascii="Verdana" w:hAnsi="Verdana" w:cs="Arial"/>
          <w:sz w:val="21"/>
          <w:szCs w:val="21"/>
          <w:lang w:val="es-ES_tradnl" w:eastAsia="es-ES_tradnl"/>
        </w:rPr>
        <w:t xml:space="preserve">. </w:t>
      </w:r>
    </w:p>
    <w:p w14:paraId="74C517D3" w14:textId="77777777" w:rsidR="00E0495B" w:rsidRPr="00A0389A" w:rsidRDefault="00E0495B" w:rsidP="00E0495B">
      <w:pPr>
        <w:tabs>
          <w:tab w:val="left" w:pos="709"/>
        </w:tabs>
        <w:spacing w:after="0" w:line="276" w:lineRule="auto"/>
        <w:ind w:left="709" w:right="760"/>
        <w:jc w:val="both"/>
        <w:rPr>
          <w:rFonts w:ascii="Verdana" w:hAnsi="Verdana" w:cs="Arial"/>
          <w:szCs w:val="24"/>
          <w:lang w:val="es-ES_tradnl" w:eastAsia="es-ES_tradnl"/>
        </w:rPr>
      </w:pPr>
    </w:p>
    <w:p w14:paraId="482FE673" w14:textId="77777777" w:rsidR="00E0495B" w:rsidRPr="00A0389A" w:rsidRDefault="00E0495B" w:rsidP="00E0495B">
      <w:pPr>
        <w:spacing w:after="0" w:line="276" w:lineRule="auto"/>
        <w:ind w:firstLine="709"/>
        <w:jc w:val="both"/>
        <w:rPr>
          <w:rFonts w:ascii="Verdana" w:hAnsi="Verdana" w:cs="Arial"/>
          <w:szCs w:val="24"/>
          <w:lang w:val="es-ES_tradnl" w:eastAsia="es-ES_tradnl"/>
        </w:rPr>
      </w:pPr>
      <w:r w:rsidRPr="00A0389A">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70A899B9" w14:textId="77777777" w:rsidR="00E0495B" w:rsidRPr="00A0389A" w:rsidRDefault="00E0495B" w:rsidP="00E0495B">
      <w:pPr>
        <w:spacing w:after="0" w:line="276" w:lineRule="auto"/>
        <w:ind w:firstLine="709"/>
        <w:jc w:val="both"/>
        <w:rPr>
          <w:rFonts w:ascii="Verdana" w:hAnsi="Verdana" w:cs="Arial"/>
          <w:szCs w:val="24"/>
          <w:lang w:val="es-ES_tradnl" w:eastAsia="es-ES_tradnl"/>
        </w:rPr>
      </w:pPr>
    </w:p>
    <w:p w14:paraId="0F1E4725" w14:textId="77777777" w:rsidR="00E0495B" w:rsidRPr="00A0389A" w:rsidRDefault="00E0495B" w:rsidP="00E0495B">
      <w:pPr>
        <w:tabs>
          <w:tab w:val="left" w:pos="709"/>
        </w:tabs>
        <w:spacing w:after="12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 xml:space="preserve">“[…] el AIU propuesto para el contrato, corresponde a: </w:t>
      </w:r>
    </w:p>
    <w:p w14:paraId="179C1083" w14:textId="77777777" w:rsidR="00E0495B" w:rsidRPr="00A0389A" w:rsidRDefault="00E0495B" w:rsidP="00E0495B">
      <w:pPr>
        <w:tabs>
          <w:tab w:val="left" w:pos="709"/>
        </w:tabs>
        <w:spacing w:after="12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593242A9" w14:textId="77777777" w:rsidR="00E0495B" w:rsidRPr="00A0389A" w:rsidRDefault="00E0495B" w:rsidP="00E0495B">
      <w:pPr>
        <w:tabs>
          <w:tab w:val="left" w:pos="709"/>
        </w:tabs>
        <w:spacing w:after="120" w:line="240" w:lineRule="auto"/>
        <w:ind w:left="709" w:right="709"/>
        <w:jc w:val="both"/>
        <w:rPr>
          <w:rFonts w:ascii="Verdana" w:hAnsi="Verdana" w:cs="Arial"/>
          <w:sz w:val="21"/>
          <w:szCs w:val="21"/>
          <w:lang w:val="es-ES" w:eastAsia="es-ES"/>
        </w:rPr>
      </w:pPr>
      <w:proofErr w:type="spellStart"/>
      <w:r w:rsidRPr="00A0389A">
        <w:rPr>
          <w:rFonts w:ascii="Verdana" w:hAnsi="Verdana" w:cs="Arial"/>
          <w:sz w:val="21"/>
          <w:szCs w:val="21"/>
          <w:lang w:val="es-ES" w:eastAsia="es-ES"/>
        </w:rPr>
        <w:t>ii</w:t>
      </w:r>
      <w:proofErr w:type="spellEnd"/>
      <w:r w:rsidRPr="00A0389A">
        <w:rPr>
          <w:rFonts w:ascii="Verdana" w:hAnsi="Verdana" w:cs="Arial"/>
          <w:sz w:val="21"/>
          <w:szCs w:val="21"/>
          <w:lang w:val="es-ES" w:eastAsia="es-ES"/>
        </w:rPr>
        <w:t xml:space="preserve">) los imprevistos, que es el porcentaje destinado a cubrir los gastos con los que no se contaba y que se presenten durante la ejecución del contrato, esto es, el </w:t>
      </w:r>
      <w:proofErr w:type="spellStart"/>
      <w:r w:rsidRPr="00A0389A">
        <w:rPr>
          <w:rFonts w:ascii="Verdana" w:hAnsi="Verdana" w:cs="Arial"/>
          <w:sz w:val="21"/>
          <w:szCs w:val="21"/>
          <w:lang w:val="es-ES" w:eastAsia="es-ES"/>
        </w:rPr>
        <w:t>álea</w:t>
      </w:r>
      <w:proofErr w:type="spellEnd"/>
      <w:r w:rsidRPr="00A0389A">
        <w:rPr>
          <w:rFonts w:ascii="Verdana" w:hAnsi="Verdana" w:cs="Arial"/>
          <w:sz w:val="21"/>
          <w:szCs w:val="21"/>
          <w:lang w:val="es-ES" w:eastAsia="es-ES"/>
        </w:rPr>
        <w:t xml:space="preserve"> normal del contrato: I; </w:t>
      </w:r>
    </w:p>
    <w:p w14:paraId="78343BC3" w14:textId="77777777" w:rsidR="00E0495B" w:rsidRPr="00A0389A" w:rsidRDefault="00E0495B" w:rsidP="00E0495B">
      <w:pPr>
        <w:tabs>
          <w:tab w:val="left" w:pos="709"/>
        </w:tabs>
        <w:spacing w:after="120" w:line="240" w:lineRule="auto"/>
        <w:ind w:left="709" w:right="709"/>
        <w:jc w:val="both"/>
        <w:rPr>
          <w:rFonts w:ascii="Verdana" w:hAnsi="Verdana" w:cs="Arial"/>
          <w:sz w:val="21"/>
          <w:szCs w:val="21"/>
          <w:lang w:val="es-ES" w:eastAsia="es-ES"/>
        </w:rPr>
      </w:pPr>
      <w:proofErr w:type="spellStart"/>
      <w:r w:rsidRPr="00A0389A">
        <w:rPr>
          <w:rFonts w:ascii="Verdana" w:hAnsi="Verdana" w:cs="Arial"/>
          <w:sz w:val="21"/>
          <w:szCs w:val="21"/>
          <w:lang w:val="es-ES" w:eastAsia="es-ES"/>
        </w:rPr>
        <w:t>iii</w:t>
      </w:r>
      <w:proofErr w:type="spellEnd"/>
      <w:r w:rsidRPr="00A0389A">
        <w:rPr>
          <w:rFonts w:ascii="Verdana" w:hAnsi="Verdana" w:cs="Arial"/>
          <w:sz w:val="21"/>
          <w:szCs w:val="21"/>
          <w:lang w:val="es-ES" w:eastAsia="es-ES"/>
        </w:rPr>
        <w:t xml:space="preserve">) la utilidad o el beneficio económico que pretende percibir el contratista por la ejecución del contrato, esto es: U. </w:t>
      </w:r>
    </w:p>
    <w:p w14:paraId="06E5970A" w14:textId="77777777" w:rsidR="00E0495B" w:rsidRPr="00A0389A" w:rsidRDefault="00E0495B" w:rsidP="00E0495B">
      <w:pPr>
        <w:tabs>
          <w:tab w:val="left" w:pos="709"/>
        </w:tabs>
        <w:spacing w:after="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A0389A">
        <w:rPr>
          <w:rFonts w:ascii="Verdana" w:hAnsi="Verdana" w:cs="Arial"/>
          <w:sz w:val="21"/>
          <w:szCs w:val="21"/>
          <w:vertAlign w:val="superscript"/>
          <w:lang w:val="es-ES_tradnl" w:eastAsia="es-ES_tradnl"/>
        </w:rPr>
        <w:footnoteReference w:id="5"/>
      </w:r>
      <w:r w:rsidRPr="00A0389A">
        <w:rPr>
          <w:rFonts w:ascii="Verdana" w:hAnsi="Verdana" w:cs="Arial"/>
          <w:sz w:val="21"/>
          <w:szCs w:val="21"/>
          <w:lang w:val="es-ES_tradnl" w:eastAsia="es-ES_tradnl"/>
        </w:rPr>
        <w:t>.</w:t>
      </w:r>
    </w:p>
    <w:p w14:paraId="30DFFD07" w14:textId="77777777" w:rsidR="00E0495B" w:rsidRPr="00A0389A" w:rsidRDefault="00E0495B" w:rsidP="00E0495B">
      <w:pPr>
        <w:tabs>
          <w:tab w:val="left" w:pos="709"/>
        </w:tabs>
        <w:spacing w:after="0" w:line="276" w:lineRule="auto"/>
        <w:ind w:left="709" w:right="760"/>
        <w:jc w:val="both"/>
        <w:rPr>
          <w:rFonts w:ascii="Verdana" w:hAnsi="Verdana" w:cs="Arial"/>
          <w:szCs w:val="24"/>
          <w:lang w:val="es-ES_tradnl" w:eastAsia="es-ES_tradnl"/>
        </w:rPr>
      </w:pPr>
    </w:p>
    <w:p w14:paraId="1BFAB755" w14:textId="77777777" w:rsidR="00E0495B" w:rsidRPr="00A0389A" w:rsidRDefault="00E0495B" w:rsidP="00E0495B">
      <w:pPr>
        <w:spacing w:after="120" w:line="276" w:lineRule="auto"/>
        <w:ind w:firstLine="709"/>
        <w:jc w:val="both"/>
        <w:rPr>
          <w:rFonts w:ascii="Verdana" w:hAnsi="Verdana" w:cs="Arial"/>
          <w:lang w:val="es-ES" w:eastAsia="es-ES"/>
        </w:rPr>
      </w:pPr>
      <w:r w:rsidRPr="00A0389A">
        <w:rPr>
          <w:rFonts w:ascii="Verdana" w:hAnsi="Verdana" w:cs="Arial"/>
          <w:lang w:val="es-ES" w:eastAsia="es-ES"/>
        </w:rPr>
        <w:t>A su turno, la Sala de Consulta y Servicio Civil del Consejo de Estado sostuvo en concepto del 5 de septiembre de 2018</w:t>
      </w:r>
      <w:r w:rsidRPr="00A0389A">
        <w:rPr>
          <w:rFonts w:ascii="Verdana" w:hAnsi="Verdana" w:cs="Arial"/>
          <w:vertAlign w:val="superscript"/>
          <w:lang w:val="es-ES" w:eastAsia="es-ES"/>
        </w:rPr>
        <w:footnoteReference w:id="6"/>
      </w:r>
      <w:r w:rsidRPr="00A0389A">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A0389A">
        <w:rPr>
          <w:rFonts w:ascii="Verdana" w:hAnsi="Verdana" w:cs="Arial"/>
          <w:lang w:val="es-ES" w:eastAsia="es-ES"/>
        </w:rPr>
        <w:t>la misma</w:t>
      </w:r>
      <w:proofErr w:type="gramEnd"/>
      <w:r w:rsidRPr="00A0389A">
        <w:rPr>
          <w:rFonts w:ascii="Verdana" w:hAnsi="Verdana" w:cs="Arial"/>
          <w:vertAlign w:val="superscript"/>
          <w:lang w:val="es-ES" w:eastAsia="es-ES"/>
        </w:rPr>
        <w:footnoteReference w:id="7"/>
      </w:r>
      <w:r w:rsidRPr="00A0389A">
        <w:rPr>
          <w:rFonts w:ascii="Verdana" w:hAnsi="Verdana" w:cs="Arial"/>
          <w:lang w:val="es-ES" w:eastAsia="es-ES"/>
        </w:rPr>
        <w:t xml:space="preserve">, sin perjuicio que en otros </w:t>
      </w:r>
      <w:r w:rsidRPr="00A0389A">
        <w:rPr>
          <w:rFonts w:ascii="Verdana" w:hAnsi="Verdana" w:cs="Arial"/>
          <w:lang w:val="es-ES" w:eastAsia="es-ES"/>
        </w:rPr>
        <w:lastRenderedPageBreak/>
        <w:t>contratos este valor no aparezca discriminado y se incorpore en el valor de los precios unitarios”</w:t>
      </w:r>
      <w:r w:rsidRPr="00A0389A">
        <w:rPr>
          <w:rFonts w:ascii="Verdana" w:hAnsi="Verdana" w:cs="Arial"/>
          <w:vertAlign w:val="superscript"/>
          <w:lang w:val="es-ES" w:eastAsia="es-ES"/>
        </w:rPr>
        <w:footnoteReference w:id="8"/>
      </w:r>
      <w:r w:rsidRPr="00A0389A">
        <w:rPr>
          <w:rFonts w:ascii="Verdana" w:hAnsi="Verdana" w:cs="Arial"/>
          <w:lang w:val="es-ES" w:eastAsia="es-ES"/>
        </w:rPr>
        <w:t xml:space="preserve">. </w:t>
      </w:r>
    </w:p>
    <w:p w14:paraId="7C57FDC9" w14:textId="77777777" w:rsidR="00E0495B" w:rsidRPr="00A0389A" w:rsidRDefault="00E0495B" w:rsidP="00E0495B">
      <w:pPr>
        <w:spacing w:after="120" w:line="276" w:lineRule="auto"/>
        <w:ind w:firstLine="709"/>
        <w:jc w:val="both"/>
        <w:rPr>
          <w:rFonts w:ascii="Verdana" w:hAnsi="Verdana" w:cs="Arial"/>
          <w:bCs/>
          <w:szCs w:val="24"/>
          <w:lang w:val="es-ES_tradnl" w:eastAsia="es-ES_tradnl"/>
        </w:rPr>
      </w:pPr>
      <w:r w:rsidRPr="00A0389A">
        <w:rPr>
          <w:rFonts w:ascii="Verdana"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A0389A">
        <w:rPr>
          <w:rFonts w:ascii="Verdana" w:hAnsi="Verdana" w:cs="Arial"/>
          <w:bCs/>
          <w:szCs w:val="24"/>
          <w:vertAlign w:val="superscript"/>
          <w:lang w:val="es-ES_tradnl" w:eastAsia="es-ES_tradnl"/>
        </w:rPr>
        <w:footnoteReference w:id="9"/>
      </w:r>
      <w:r w:rsidRPr="00A0389A">
        <w:rPr>
          <w:rFonts w:ascii="Verdana" w:hAnsi="Verdana" w:cs="Arial"/>
          <w:bCs/>
          <w:szCs w:val="24"/>
          <w:lang w:val="es-ES_tradnl" w:eastAsia="es-ES_tradnl"/>
        </w:rPr>
        <w:t xml:space="preserve">. De otro lado, quien define el valor de cada </w:t>
      </w:r>
      <w:r w:rsidRPr="00A0389A">
        <w:rPr>
          <w:rFonts w:ascii="Verdana" w:hAnsi="Verdana" w:cs="Arial"/>
          <w:bCs/>
          <w:i/>
          <w:iCs/>
          <w:szCs w:val="24"/>
          <w:lang w:val="es-ES_tradnl" w:eastAsia="es-ES_tradnl"/>
        </w:rPr>
        <w:t>letra</w:t>
      </w:r>
      <w:r w:rsidRPr="00A0389A">
        <w:rPr>
          <w:rFonts w:ascii="Verdana" w:hAnsi="Verdana" w:cs="Arial"/>
          <w:bCs/>
          <w:szCs w:val="24"/>
          <w:lang w:val="es-ES_tradnl" w:eastAsia="es-ES_tradnl"/>
        </w:rPr>
        <w:t xml:space="preserve"> –AIU– es el proponente, pues goza de libertad empresarial para hacerlo en la elaboración de su oferta</w:t>
      </w:r>
      <w:r w:rsidRPr="00A0389A">
        <w:rPr>
          <w:rFonts w:ascii="Verdana" w:hAnsi="Verdana" w:cs="Arial"/>
          <w:bCs/>
          <w:szCs w:val="24"/>
          <w:vertAlign w:val="superscript"/>
          <w:lang w:val="es-ES_tradnl" w:eastAsia="es-ES_tradnl"/>
        </w:rPr>
        <w:footnoteReference w:id="10"/>
      </w:r>
      <w:r w:rsidRPr="00A0389A">
        <w:rPr>
          <w:rFonts w:ascii="Verdana" w:hAnsi="Verdana" w:cs="Arial"/>
          <w:bCs/>
          <w:szCs w:val="24"/>
          <w:lang w:val="es-ES_tradnl" w:eastAsia="es-ES_tradnl"/>
        </w:rPr>
        <w:t>.</w:t>
      </w:r>
    </w:p>
    <w:p w14:paraId="56AFF3EA" w14:textId="77777777" w:rsidR="00E0495B" w:rsidRPr="00A0389A" w:rsidRDefault="00E0495B" w:rsidP="00E0495B">
      <w:pPr>
        <w:spacing w:after="120" w:line="276" w:lineRule="auto"/>
        <w:ind w:firstLine="709"/>
        <w:jc w:val="both"/>
        <w:rPr>
          <w:rFonts w:ascii="Verdana" w:hAnsi="Verdana" w:cs="Arial"/>
          <w:bCs/>
          <w:szCs w:val="24"/>
          <w:lang w:val="es-ES_tradnl" w:eastAsia="es-ES_tradnl"/>
        </w:rPr>
      </w:pPr>
      <w:r w:rsidRPr="00A0389A">
        <w:rPr>
          <w:rFonts w:ascii="Verdana" w:hAnsi="Verdana" w:cs="Arial"/>
          <w:bCs/>
          <w:szCs w:val="24"/>
          <w:lang w:val="es-ES_tradnl" w:eastAsia="es-ES_tradnl"/>
        </w:rPr>
        <w:t xml:space="preserve">De este modo, </w:t>
      </w:r>
      <w:r w:rsidRPr="00A0389A">
        <w:rPr>
          <w:rFonts w:ascii="Verdana" w:hAnsi="Verdana" w:cs="Arial"/>
          <w:lang w:eastAsia="es-ES"/>
        </w:rPr>
        <w:t>el AIU, como metodología de pacto del precio que proviene de la costumbre mercantil, se puede utilizar en principio en cualquier tipología contractual, aunque lo más común es que se use en los contratos de tracto sucesivo, especialmente en los que se distinguen los precios unitarios.</w:t>
      </w:r>
      <w:r w:rsidRPr="00A0389A">
        <w:rPr>
          <w:rFonts w:ascii="Verdana" w:hAnsi="Verdana" w:cs="Arial"/>
          <w:bCs/>
          <w:szCs w:val="24"/>
          <w:lang w:val="es-ES_tradnl" w:eastAsia="es-ES_tradnl"/>
        </w:rPr>
        <w:t xml:space="preserve"> </w:t>
      </w:r>
      <w:r w:rsidRPr="00A0389A">
        <w:rPr>
          <w:rFonts w:ascii="Verdana" w:hAnsi="Verdana" w:cs="Arial"/>
          <w:lang w:eastAsia="es-ES"/>
        </w:rPr>
        <w:t xml:space="preserve">La determinación de este sistema de estipulación del valor debe ser el resultado de los estudios previos, y especialmente del análisis del sector. Solo a partir de tales estudios la entidad estatal podrá concluir si es oportuno y conveniente establecer que el precio del contrato y, por tanto, la propuesta del </w:t>
      </w:r>
      <w:proofErr w:type="gramStart"/>
      <w:r w:rsidRPr="00A0389A">
        <w:rPr>
          <w:rFonts w:ascii="Verdana" w:hAnsi="Verdana" w:cs="Arial"/>
          <w:lang w:eastAsia="es-ES"/>
        </w:rPr>
        <w:t>oferente,</w:t>
      </w:r>
      <w:proofErr w:type="gramEnd"/>
      <w:r w:rsidRPr="00A0389A">
        <w:rPr>
          <w:rFonts w:ascii="Verdana" w:hAnsi="Verdana" w:cs="Arial"/>
          <w:lang w:eastAsia="es-ES"/>
        </w:rPr>
        <w:t xml:space="preserve"> se deberá establecer distinguiendo los costos directos respecto de los costos indirectos; estos últimos representados en el AIU. </w:t>
      </w:r>
    </w:p>
    <w:p w14:paraId="372D476D" w14:textId="77777777" w:rsidR="00E0495B" w:rsidRPr="00A0389A" w:rsidRDefault="00E0495B" w:rsidP="00E0495B">
      <w:pPr>
        <w:spacing w:after="120" w:line="276" w:lineRule="auto"/>
        <w:ind w:firstLine="743"/>
        <w:jc w:val="both"/>
        <w:rPr>
          <w:rFonts w:ascii="Verdana" w:hAnsi="Verdana" w:cs="Arial"/>
          <w:lang w:eastAsia="es-ES"/>
        </w:rPr>
      </w:pPr>
      <w:r w:rsidRPr="00A0389A">
        <w:rPr>
          <w:rFonts w:ascii="Verdana" w:hAnsi="Verdana" w:cs="Arial"/>
          <w:lang w:eastAsia="es-ES"/>
        </w:rPr>
        <w:t xml:space="preserve">En consecuencia, </w:t>
      </w:r>
      <w:bookmarkStart w:id="7" w:name="_Hlk191240669"/>
      <w:r w:rsidRPr="00A0389A">
        <w:rPr>
          <w:rFonts w:ascii="Verdana" w:hAnsi="Verdana" w:cs="Arial"/>
          <w:lang w:eastAsia="es-ES"/>
        </w:rPr>
        <w:t xml:space="preserve">no hay </w:t>
      </w:r>
      <w:r w:rsidRPr="0063731E">
        <w:rPr>
          <w:rFonts w:ascii="Verdana" w:hAnsi="Verdana" w:cs="Arial"/>
          <w:i/>
          <w:iCs/>
          <w:lang w:eastAsia="es-ES"/>
        </w:rPr>
        <w:t>a priori</w:t>
      </w:r>
      <w:r w:rsidRPr="00A0389A">
        <w:rPr>
          <w:rFonts w:ascii="Verdana" w:hAnsi="Verdana" w:cs="Arial"/>
          <w:lang w:eastAsia="es-ES"/>
        </w:rPr>
        <w:t xml:space="preserve"> tipologías contractuales en las que la ley o el reglamento establezcan que se debe utilizar el AIU, así como tampoco hay una determinación única y específica de la forma en la que el AIU debe ser establecido en contratos que involucra diferentes tipos de actividades como sería la ejecución de obra y la prestación de servicios conexos, ya que tal decisión </w:t>
      </w:r>
      <w:r w:rsidRPr="00A0389A">
        <w:rPr>
          <w:rFonts w:ascii="Verdana" w:hAnsi="Verdana" w:cs="Arial"/>
          <w:lang w:eastAsia="es-ES"/>
        </w:rPr>
        <w:lastRenderedPageBreak/>
        <w:t>obedece a lo que resulte más conveniente a la entidad estatal, en cumplimiento del principio de planeación. </w:t>
      </w:r>
    </w:p>
    <w:p w14:paraId="5F19FE42" w14:textId="77777777" w:rsidR="00E0495B" w:rsidRPr="00A0389A" w:rsidRDefault="00E0495B" w:rsidP="00E0495B">
      <w:pPr>
        <w:snapToGrid w:val="0"/>
        <w:spacing w:after="120" w:line="276" w:lineRule="auto"/>
        <w:ind w:firstLine="743"/>
        <w:jc w:val="both"/>
        <w:rPr>
          <w:rFonts w:ascii="Verdana" w:hAnsi="Verdana" w:cs="Arial"/>
          <w:lang w:eastAsia="es-ES"/>
        </w:rPr>
      </w:pPr>
      <w:r w:rsidRPr="00A0389A">
        <w:rPr>
          <w:rFonts w:ascii="Verdana" w:hAnsi="Verdana" w:cs="Arial"/>
          <w:bCs/>
          <w:szCs w:val="24"/>
          <w:lang w:val="es-ES_tradnl" w:eastAsia="es-ES_tradnl"/>
        </w:rPr>
        <w:t xml:space="preserve">En este contexto, si </w:t>
      </w:r>
      <w:r w:rsidRPr="00A0389A">
        <w:rPr>
          <w:rFonts w:ascii="Verdana" w:hAnsi="Verdana" w:cs="Arial"/>
          <w:lang w:eastAsia="es-ES"/>
        </w:rPr>
        <w:t>con base en los estudios del sector la entidad estatal estableció la necesidad de estructurar el valor bajo el sistema de precios unitarios y con el desglose del AIU, independientemente que el contrato de obra involucre actividades conexas de prestación de servicios, el precio se debería pagar con base en el valor de los costos directos incrementados por el porcentaje del AIU, en relación con todas las actividades calculadas bajo este sistema. En otras palabras, cuando el valor en el contrato de obra se estructuró utilizando el sistema de AIU para todas las actividades incluidas, sin hacer distinción entre los diferentes tipos de actividades, el pago del AIU debe aplicarse a todas las actividades del contrato, a menos que se haya acordado lo contrario.</w:t>
      </w:r>
    </w:p>
    <w:bookmarkEnd w:id="7"/>
    <w:p w14:paraId="033C05C5" w14:textId="77777777" w:rsidR="00E0495B" w:rsidRPr="00A0389A" w:rsidRDefault="00E0495B" w:rsidP="00E0495B">
      <w:pPr>
        <w:snapToGrid w:val="0"/>
        <w:spacing w:after="120" w:line="276" w:lineRule="auto"/>
        <w:ind w:firstLine="743"/>
        <w:jc w:val="both"/>
        <w:rPr>
          <w:rFonts w:ascii="Verdana" w:hAnsi="Verdana" w:cs="Arial"/>
          <w:bCs/>
          <w:szCs w:val="24"/>
          <w:lang w:val="es-ES_tradnl" w:eastAsia="es-ES_tradnl"/>
        </w:rPr>
      </w:pPr>
      <w:r w:rsidRPr="00A0389A">
        <w:rPr>
          <w:rFonts w:ascii="Verdana" w:hAnsi="Verdana" w:cs="Arial"/>
          <w:lang w:eastAsia="es-ES"/>
        </w:rPr>
        <w:t xml:space="preserve">Ahora bien, </w:t>
      </w:r>
      <w:r w:rsidRPr="00A0389A">
        <w:rPr>
          <w:rFonts w:ascii="Verdana" w:hAnsi="Verdana" w:cs="Arial"/>
          <w:bCs/>
          <w:szCs w:val="24"/>
          <w:lang w:val="es-ES_tradnl" w:eastAsia="es-ES_tradnl"/>
        </w:rPr>
        <w:t xml:space="preserve">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A0389A">
        <w:rPr>
          <w:rFonts w:ascii="Verdana" w:hAnsi="Verdana" w:cs="Arial"/>
          <w:bCs/>
          <w:i/>
          <w:iCs/>
          <w:szCs w:val="24"/>
          <w:lang w:val="es-ES_tradnl" w:eastAsia="es-ES_tradnl"/>
        </w:rPr>
        <w:t>Administración</w:t>
      </w:r>
      <w:r w:rsidRPr="00A0389A">
        <w:rPr>
          <w:rFonts w:ascii="Verdana" w:hAnsi="Verdana" w:cs="Arial"/>
          <w:bCs/>
          <w:szCs w:val="24"/>
          <w:lang w:val="es-ES_tradnl" w:eastAsia="es-ES_tradnl"/>
        </w:rPr>
        <w:t xml:space="preserve"> o los </w:t>
      </w:r>
      <w:r w:rsidRPr="00A0389A">
        <w:rPr>
          <w:rFonts w:ascii="Verdana" w:hAnsi="Verdana" w:cs="Arial"/>
          <w:bCs/>
          <w:i/>
          <w:iCs/>
          <w:szCs w:val="24"/>
          <w:lang w:val="es-ES_tradnl" w:eastAsia="es-ES_tradnl"/>
        </w:rPr>
        <w:t>Imprevistos</w:t>
      </w:r>
      <w:r w:rsidRPr="00A0389A">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30B5F73D" w14:textId="77777777" w:rsidR="00E0495B" w:rsidRPr="00A0389A" w:rsidRDefault="00E0495B" w:rsidP="00E0495B">
      <w:pPr>
        <w:snapToGrid w:val="0"/>
        <w:spacing w:after="120" w:line="276" w:lineRule="auto"/>
        <w:ind w:firstLine="601"/>
        <w:jc w:val="both"/>
        <w:rPr>
          <w:rFonts w:ascii="Verdana" w:hAnsi="Verdana" w:cs="Arial"/>
          <w:lang w:val="es-ES" w:eastAsia="es-ES"/>
        </w:rPr>
      </w:pPr>
      <w:r w:rsidRPr="00A0389A">
        <w:rPr>
          <w:rFonts w:ascii="Verdana" w:hAnsi="Verdana" w:cs="Arial"/>
          <w:lang w:eastAsia="es-ES"/>
        </w:rPr>
        <w:t xml:space="preserve">Sin embargo, </w:t>
      </w:r>
      <w:r w:rsidRPr="00A0389A">
        <w:rPr>
          <w:rFonts w:ascii="Verdana" w:hAnsi="Verdana" w:cs="Arial"/>
          <w:lang w:val="es-ES" w:eastAsia="es-ES"/>
        </w:rPr>
        <w:t xml:space="preserve">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4FDA9A21" w14:textId="77777777" w:rsidR="00E0495B" w:rsidRPr="00A0389A" w:rsidRDefault="00E0495B" w:rsidP="00E0495B">
      <w:pPr>
        <w:snapToGrid w:val="0"/>
        <w:spacing w:after="12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A0389A">
        <w:rPr>
          <w:rFonts w:ascii="Verdana" w:eastAsia="Calibri" w:hAnsi="Verdana" w:cs="Arial"/>
          <w:bCs/>
          <w:i/>
          <w:iCs/>
          <w:szCs w:val="24"/>
          <w:lang w:val="es-ES_tradnl" w:eastAsia="es-ES_tradnl"/>
        </w:rPr>
        <w:t xml:space="preserve">indirectos </w:t>
      </w:r>
      <w:r w:rsidRPr="00A0389A">
        <w:rPr>
          <w:rFonts w:ascii="Verdana" w:eastAsia="Calibri" w:hAnsi="Verdana" w:cs="Arial"/>
          <w:bCs/>
          <w:szCs w:val="24"/>
          <w:lang w:val="es-ES_tradnl" w:eastAsia="es-ES_tradnl"/>
        </w:rPr>
        <w:t xml:space="preserve">en que incurren los contratistas, entre ellos, los de la </w:t>
      </w:r>
      <w:r w:rsidRPr="00A0389A">
        <w:rPr>
          <w:rFonts w:ascii="Verdana" w:eastAsia="Calibri" w:hAnsi="Verdana" w:cs="Arial"/>
          <w:bCs/>
          <w:i/>
          <w:iCs/>
          <w:szCs w:val="24"/>
          <w:lang w:val="es-ES_tradnl" w:eastAsia="es-ES_tradnl"/>
        </w:rPr>
        <w:t xml:space="preserve">Administración </w:t>
      </w:r>
      <w:r w:rsidRPr="00A0389A">
        <w:rPr>
          <w:rFonts w:ascii="Verdana" w:eastAsia="Calibri" w:hAnsi="Verdana" w:cs="Arial"/>
          <w:lang w:val="es-ES_tradnl" w:eastAsia="es-ES"/>
        </w:rPr>
        <w:t>y</w:t>
      </w:r>
      <w:r w:rsidRPr="00A0389A">
        <w:rPr>
          <w:rFonts w:ascii="Verdana" w:eastAsia="Calibri" w:hAnsi="Verdana" w:cs="Arial"/>
          <w:lang w:val="es-ES" w:eastAsia="es-ES"/>
        </w:rPr>
        <w:t xml:space="preserve"> lo</w:t>
      </w:r>
      <w:r w:rsidRPr="00A0389A">
        <w:rPr>
          <w:rFonts w:ascii="Verdana" w:eastAsia="Calibri" w:hAnsi="Verdana" w:cs="Arial"/>
          <w:i/>
          <w:iCs/>
          <w:lang w:val="es-ES" w:eastAsia="es-ES"/>
        </w:rPr>
        <w:t>s Imprevistos</w:t>
      </w:r>
      <w:r w:rsidRPr="00A0389A">
        <w:rPr>
          <w:rFonts w:ascii="Verdana" w:eastAsia="Calibri" w:hAnsi="Verdana" w:cs="Arial"/>
          <w:bCs/>
          <w:szCs w:val="24"/>
          <w:lang w:val="es-ES_tradnl" w:eastAsia="es-ES_tradnl"/>
        </w:rPr>
        <w:t xml:space="preserve">, para efectos de definir el porcentaje con el que calculan el presupuesto, pese a que el monto de estos componentes varía ostensiblemente </w:t>
      </w:r>
      <w:r w:rsidRPr="00A0389A">
        <w:rPr>
          <w:rFonts w:ascii="Verdana" w:eastAsia="Calibri" w:hAnsi="Verdana" w:cs="Arial"/>
          <w:bCs/>
          <w:szCs w:val="24"/>
          <w:lang w:val="es-ES_tradnl" w:eastAsia="es-ES_tradnl"/>
        </w:rPr>
        <w:lastRenderedPageBreak/>
        <w:t>de un proponente a otro, pues su valor real depende de circunstancias particulares de los oferentes</w:t>
      </w:r>
      <w:r w:rsidRPr="00A0389A">
        <w:rPr>
          <w:rFonts w:ascii="Verdana" w:eastAsia="Calibri" w:hAnsi="Verdana" w:cs="Times New Roman"/>
          <w:vertAlign w:val="superscript"/>
          <w:lang w:val="es-ES" w:eastAsia="es-ES_tradnl"/>
        </w:rPr>
        <w:footnoteReference w:id="11"/>
      </w:r>
      <w:r w:rsidRPr="00A0389A">
        <w:rPr>
          <w:rFonts w:ascii="Verdana" w:eastAsia="Calibri" w:hAnsi="Verdana" w:cs="Arial"/>
          <w:bCs/>
          <w:szCs w:val="24"/>
          <w:lang w:val="es-ES_tradnl" w:eastAsia="es-ES_tradnl"/>
        </w:rPr>
        <w:t xml:space="preserve">. </w:t>
      </w:r>
    </w:p>
    <w:p w14:paraId="1057D2F6" w14:textId="77777777" w:rsidR="00E0495B" w:rsidRPr="00A0389A" w:rsidRDefault="00E0495B" w:rsidP="00E0495B">
      <w:pPr>
        <w:snapToGrid w:val="0"/>
        <w:spacing w:after="12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lang w:eastAsia="es-ES"/>
        </w:rPr>
        <w:t xml:space="preserve">Así las cosas, las partes asumen los riesgos inherentes a esta forma de pactar el precio, entendiendo aceptados los aleas normales que se presenten en la ejecución del contrato, de manera que, aunque el contratista incurra en mayores costos de los ítems incluidos en la </w:t>
      </w:r>
      <w:r w:rsidRPr="00A0389A">
        <w:rPr>
          <w:rFonts w:ascii="Verdana" w:eastAsia="Calibri" w:hAnsi="Verdana" w:cs="Arial"/>
          <w:i/>
          <w:iCs/>
          <w:lang w:eastAsia="es-ES"/>
        </w:rPr>
        <w:t>Administración</w:t>
      </w:r>
      <w:r w:rsidRPr="00A0389A">
        <w:rPr>
          <w:rFonts w:ascii="Verdana" w:eastAsia="Calibri" w:hAnsi="Verdana" w:cs="Arial"/>
          <w:lang w:eastAsia="es-ES"/>
        </w:rPr>
        <w:t xml:space="preserve"> o en más gastos de </w:t>
      </w:r>
      <w:r w:rsidRPr="00A0389A">
        <w:rPr>
          <w:rFonts w:ascii="Verdana" w:eastAsia="Calibri" w:hAnsi="Verdana" w:cs="Arial"/>
          <w:i/>
          <w:iCs/>
          <w:lang w:eastAsia="es-ES"/>
        </w:rPr>
        <w:t>Imprevistos</w:t>
      </w:r>
      <w:r w:rsidRPr="00A0389A">
        <w:rPr>
          <w:rFonts w:ascii="Verdana" w:eastAsia="Calibri" w:hAnsi="Verdana" w:cs="Arial"/>
          <w:lang w:eastAsia="es-ES"/>
        </w:rPr>
        <w:t xml:space="preserve"> al presentar su oferta, o que estos disminuyan, aparezcan algunos nuevos o desaparezcan algunos de ellos, el valor se mantenga invariable</w:t>
      </w:r>
    </w:p>
    <w:p w14:paraId="1444DB38" w14:textId="77777777" w:rsidR="00E0495B" w:rsidRPr="00A0389A" w:rsidRDefault="00E0495B" w:rsidP="00E0495B">
      <w:pPr>
        <w:snapToGrid w:val="0"/>
        <w:spacing w:after="12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A0389A">
        <w:rPr>
          <w:rFonts w:ascii="Verdana" w:eastAsia="Calibri" w:hAnsi="Verdana" w:cs="Arial"/>
          <w:i/>
          <w:iCs/>
          <w:lang w:val="es-ES" w:eastAsia="es-ES"/>
        </w:rPr>
        <w:t>Administración</w:t>
      </w:r>
      <w:r w:rsidRPr="00A0389A">
        <w:rPr>
          <w:rFonts w:ascii="Verdana" w:eastAsia="Calibri" w:hAnsi="Verdana" w:cs="Arial"/>
          <w:lang w:val="es-ES" w:eastAsia="es-ES"/>
        </w:rPr>
        <w:t xml:space="preserve"> o de </w:t>
      </w:r>
      <w:r w:rsidRPr="00A0389A">
        <w:rPr>
          <w:rFonts w:ascii="Verdana" w:eastAsia="Calibri" w:hAnsi="Verdana" w:cs="Arial"/>
          <w:i/>
          <w:iCs/>
          <w:lang w:val="es-ES" w:eastAsia="es-ES"/>
        </w:rPr>
        <w:t>Imprevistos</w:t>
      </w:r>
      <w:r w:rsidRPr="00A0389A">
        <w:rPr>
          <w:rFonts w:ascii="Verdana" w:eastAsia="Calibri" w:hAnsi="Verdana" w:cs="Times New Roman"/>
          <w:vertAlign w:val="superscript"/>
          <w:lang w:val="es-ES" w:eastAsia="es-ES"/>
        </w:rPr>
        <w:footnoteReference w:id="12"/>
      </w:r>
      <w:r w:rsidRPr="00A0389A">
        <w:rPr>
          <w:rFonts w:ascii="Verdana" w:eastAsia="Calibri" w:hAnsi="Verdana" w:cs="Arial"/>
          <w:lang w:val="es-ES" w:eastAsia="es-ES"/>
        </w:rPr>
        <w:t>.</w:t>
      </w:r>
    </w:p>
    <w:p w14:paraId="309AC17F" w14:textId="77777777" w:rsidR="00E0495B" w:rsidRPr="00A0389A" w:rsidRDefault="00E0495B" w:rsidP="00E0495B">
      <w:pPr>
        <w:spacing w:after="120" w:line="276" w:lineRule="auto"/>
        <w:ind w:firstLine="709"/>
        <w:jc w:val="both"/>
        <w:rPr>
          <w:rFonts w:ascii="Verdana" w:hAnsi="Verdana" w:cs="Arial"/>
          <w:lang w:val="es-ES" w:eastAsia="es-ES"/>
        </w:rPr>
      </w:pPr>
      <w:r w:rsidRPr="00A0389A">
        <w:rPr>
          <w:rFonts w:ascii="Verdana" w:hAnsi="Verdana" w:cs="Arial"/>
          <w:lang w:val="es-ES" w:eastAsia="es-ES"/>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Por ende, la decisión de incluir determinar el sistema de precios unitarios y el AIU, al igual que la metodología de delimitación de sus variables –ítems y </w:t>
      </w:r>
      <w:r w:rsidRPr="00A0389A">
        <w:rPr>
          <w:rFonts w:ascii="Verdana" w:hAnsi="Verdana" w:cs="Arial"/>
          <w:lang w:val="es-ES" w:eastAsia="es-ES"/>
        </w:rPr>
        <w:lastRenderedPageBreak/>
        <w:t>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3BFDE9EC" w14:textId="77777777" w:rsidR="00E0495B" w:rsidRPr="00A0389A" w:rsidRDefault="00E0495B" w:rsidP="00E0495B">
      <w:pPr>
        <w:spacing w:after="120" w:line="276" w:lineRule="auto"/>
        <w:ind w:firstLine="709"/>
        <w:jc w:val="both"/>
        <w:rPr>
          <w:rFonts w:ascii="Verdana" w:hAnsi="Verdana" w:cs="Arial"/>
          <w:lang w:val="es-ES" w:eastAsia="es-ES"/>
        </w:rPr>
      </w:pPr>
      <w:r w:rsidRPr="00A0389A">
        <w:rPr>
          <w:rFonts w:ascii="Verdana" w:eastAsia="Calibri" w:hAnsi="Verdana" w:cs="Arial"/>
          <w:lang w:val="es-ES" w:eastAsia="es-ES"/>
        </w:rPr>
        <w:t>Al margen de la explicación precedente, debe advertirse que el análisis requerido para resolver problemas específicos en torno al AIU y APU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y, en caso de conflicto, a las autoridades judiciales, fiscales y disciplinarias.</w:t>
      </w:r>
    </w:p>
    <w:p w14:paraId="1703D2D6" w14:textId="77777777" w:rsidR="00E0495B" w:rsidRPr="00A0389A" w:rsidRDefault="00E0495B" w:rsidP="00E0495B">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A0389A">
        <w:rPr>
          <w:rFonts w:ascii="Verdana" w:eastAsia="Century Gothic" w:hAnsi="Verdana" w:cs="Century Gothic"/>
          <w:b/>
          <w:bCs/>
          <w:lang w:val="es-ES"/>
        </w:rPr>
        <w:t>Referencias normativas:</w:t>
      </w:r>
    </w:p>
    <w:p w14:paraId="08BC15E4" w14:textId="77777777" w:rsidR="00E0495B" w:rsidRPr="00A0389A" w:rsidRDefault="00E0495B" w:rsidP="00E0495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0495B" w:rsidRPr="00A0389A" w14:paraId="4A406E85" w14:textId="77777777" w:rsidTr="006B31C0">
        <w:trPr>
          <w:trHeight w:val="278"/>
          <w:jc w:val="center"/>
        </w:trPr>
        <w:tc>
          <w:tcPr>
            <w:tcW w:w="8647" w:type="dxa"/>
          </w:tcPr>
          <w:p w14:paraId="32A07D82" w14:textId="77777777" w:rsidR="00E0495B" w:rsidRPr="00A0389A" w:rsidRDefault="00E0495B" w:rsidP="00E0495B">
            <w:pPr>
              <w:widowControl w:val="0"/>
              <w:numPr>
                <w:ilvl w:val="0"/>
                <w:numId w:val="3"/>
              </w:numPr>
              <w:autoSpaceDE w:val="0"/>
              <w:autoSpaceDN w:val="0"/>
              <w:spacing w:line="276" w:lineRule="auto"/>
              <w:contextualSpacing/>
              <w:jc w:val="both"/>
              <w:rPr>
                <w:rFonts w:ascii="Verdana" w:hAnsi="Verdana" w:cs="Arial"/>
                <w:lang w:val="es-MX"/>
              </w:rPr>
            </w:pPr>
            <w:r w:rsidRPr="00A0389A">
              <w:rPr>
                <w:rFonts w:ascii="Verdana" w:hAnsi="Verdana" w:cs="Arial"/>
                <w:lang w:val="es-MX"/>
              </w:rPr>
              <w:t>Ley 80 de 1993, artículos 13, 32 y 40.</w:t>
            </w:r>
          </w:p>
          <w:p w14:paraId="51FBA81C" w14:textId="77777777" w:rsidR="00E0495B" w:rsidRPr="00A0389A" w:rsidRDefault="00E0495B" w:rsidP="00E0495B">
            <w:pPr>
              <w:widowControl w:val="0"/>
              <w:numPr>
                <w:ilvl w:val="0"/>
                <w:numId w:val="3"/>
              </w:numPr>
              <w:autoSpaceDE w:val="0"/>
              <w:autoSpaceDN w:val="0"/>
              <w:spacing w:line="276" w:lineRule="auto"/>
              <w:jc w:val="both"/>
              <w:rPr>
                <w:rFonts w:ascii="Verdana" w:eastAsia="Aptos" w:hAnsi="Verdana" w:cs="Arial"/>
                <w:lang w:val="es-ES"/>
              </w:rPr>
            </w:pPr>
            <w:r w:rsidRPr="00A0389A">
              <w:rPr>
                <w:rFonts w:ascii="Verdana" w:eastAsia="Calibri" w:hAnsi="Verdana" w:cs="Arial"/>
                <w:color w:val="000000" w:themeColor="text1"/>
                <w:lang w:val="es-ES"/>
              </w:rPr>
              <w:t xml:space="preserve">CONSEJO DE ESTADO. Sección Tercera. Subsección B. Sentencia del 29 de febrero de 2012. </w:t>
            </w:r>
            <w:proofErr w:type="spellStart"/>
            <w:r w:rsidRPr="00A0389A">
              <w:rPr>
                <w:rFonts w:ascii="Verdana" w:eastAsia="Calibri" w:hAnsi="Verdana" w:cs="Arial"/>
                <w:color w:val="000000" w:themeColor="text1"/>
                <w:lang w:val="es-ES"/>
              </w:rPr>
              <w:t>Exp</w:t>
            </w:r>
            <w:proofErr w:type="spellEnd"/>
            <w:r w:rsidRPr="00A0389A">
              <w:rPr>
                <w:rFonts w:ascii="Verdana" w:eastAsia="Calibri" w:hAnsi="Verdana" w:cs="Arial"/>
                <w:color w:val="000000" w:themeColor="text1"/>
                <w:lang w:val="es-ES"/>
              </w:rPr>
              <w:t xml:space="preserve">. 16371, C.P. Danilo Rojas </w:t>
            </w:r>
            <w:proofErr w:type="spellStart"/>
            <w:r w:rsidRPr="00A0389A">
              <w:rPr>
                <w:rFonts w:ascii="Verdana" w:eastAsia="Calibri" w:hAnsi="Verdana" w:cs="Arial"/>
                <w:color w:val="000000" w:themeColor="text1"/>
                <w:lang w:val="es-ES"/>
              </w:rPr>
              <w:t>Betancourth</w:t>
            </w:r>
            <w:proofErr w:type="spellEnd"/>
            <w:r w:rsidRPr="00A0389A">
              <w:rPr>
                <w:rFonts w:ascii="Verdana" w:eastAsia="Calibri" w:hAnsi="Verdana" w:cs="Arial"/>
                <w:color w:val="000000" w:themeColor="text1"/>
                <w:lang w:val="es-ES"/>
              </w:rPr>
              <w:t>.</w:t>
            </w:r>
          </w:p>
          <w:p w14:paraId="3E6D29BE" w14:textId="77777777" w:rsidR="00E0495B" w:rsidRPr="00A0389A" w:rsidRDefault="00E0495B" w:rsidP="00E0495B">
            <w:pPr>
              <w:widowControl w:val="0"/>
              <w:numPr>
                <w:ilvl w:val="0"/>
                <w:numId w:val="3"/>
              </w:numPr>
              <w:autoSpaceDE w:val="0"/>
              <w:autoSpaceDN w:val="0"/>
              <w:spacing w:line="276" w:lineRule="auto"/>
              <w:jc w:val="both"/>
              <w:rPr>
                <w:rFonts w:ascii="Verdana" w:eastAsia="Aptos" w:hAnsi="Verdana" w:cs="Arial"/>
                <w:lang w:val="es-ES"/>
              </w:rPr>
            </w:pPr>
            <w:r w:rsidRPr="00A0389A">
              <w:rPr>
                <w:rFonts w:ascii="Verdana" w:eastAsia="Aptos" w:hAnsi="Verdana" w:cs="Arial"/>
                <w:lang w:val="es-ES"/>
              </w:rPr>
              <w:t xml:space="preserve">CONSEJO DE ESTADO. Sección Tercera. Subsección B. Sentencia del 14 de octubre de 2011. </w:t>
            </w:r>
            <w:proofErr w:type="spellStart"/>
            <w:r w:rsidRPr="00A0389A">
              <w:rPr>
                <w:rFonts w:ascii="Verdana" w:eastAsia="Aptos" w:hAnsi="Verdana" w:cs="Arial"/>
                <w:lang w:val="es-ES"/>
              </w:rPr>
              <w:t>Exp</w:t>
            </w:r>
            <w:proofErr w:type="spellEnd"/>
            <w:r w:rsidRPr="00A0389A">
              <w:rPr>
                <w:rFonts w:ascii="Verdana" w:eastAsia="Aptos" w:hAnsi="Verdana" w:cs="Arial"/>
                <w:lang w:val="es-ES"/>
              </w:rPr>
              <w:t>. 20811, C.P. Ruth Stella Correa Palacio.</w:t>
            </w:r>
          </w:p>
          <w:p w14:paraId="7CE72341" w14:textId="77777777" w:rsidR="00E0495B" w:rsidRPr="00A0389A" w:rsidRDefault="00E0495B" w:rsidP="00E0495B">
            <w:pPr>
              <w:widowControl w:val="0"/>
              <w:numPr>
                <w:ilvl w:val="0"/>
                <w:numId w:val="3"/>
              </w:numPr>
              <w:autoSpaceDE w:val="0"/>
              <w:autoSpaceDN w:val="0"/>
              <w:spacing w:line="276" w:lineRule="auto"/>
              <w:ind w:left="714" w:hanging="357"/>
              <w:jc w:val="both"/>
              <w:rPr>
                <w:rFonts w:ascii="Verdana" w:eastAsia="Calibri" w:hAnsi="Verdana" w:cs="Arial"/>
                <w:lang w:eastAsia="es-MX"/>
              </w:rPr>
            </w:pPr>
            <w:r w:rsidRPr="00A0389A">
              <w:rPr>
                <w:rFonts w:ascii="Verdana" w:eastAsia="Aptos" w:hAnsi="Verdana" w:cs="Arial"/>
                <w:lang w:val="es-ES_tradnl"/>
              </w:rPr>
              <w:t>CONSEJO DE ESTADO. Sala de Consulta y Servicio Civil. Concepto del 5 de septiembre de 2018, radicado No. 11001-03-06-000-2018-00124-00, C.P. Édgar González López.</w:t>
            </w:r>
          </w:p>
        </w:tc>
      </w:tr>
    </w:tbl>
    <w:p w14:paraId="24DCD28A" w14:textId="77777777" w:rsidR="00E0495B" w:rsidRPr="00A0389A" w:rsidRDefault="00E0495B" w:rsidP="00E0495B">
      <w:pPr>
        <w:widowControl w:val="0"/>
        <w:autoSpaceDE w:val="0"/>
        <w:autoSpaceDN w:val="0"/>
        <w:spacing w:after="0" w:line="276" w:lineRule="auto"/>
        <w:jc w:val="both"/>
        <w:rPr>
          <w:rFonts w:ascii="Verdana" w:hAnsi="Verdana" w:cs="Arial"/>
        </w:rPr>
      </w:pPr>
    </w:p>
    <w:p w14:paraId="4685B307" w14:textId="77777777" w:rsidR="00E0495B" w:rsidRPr="00A0389A" w:rsidRDefault="00E0495B" w:rsidP="00E0495B">
      <w:pPr>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A0389A">
        <w:rPr>
          <w:rFonts w:ascii="Verdana" w:eastAsia="Century Gothic" w:hAnsi="Verdana" w:cs="Century Gothic"/>
          <w:b/>
          <w:bCs/>
          <w:lang w:val="es-ES"/>
        </w:rPr>
        <w:t>Doctrina de la Agencia Nacional de Contratación Pública:</w:t>
      </w:r>
    </w:p>
    <w:p w14:paraId="1231E48B" w14:textId="77777777" w:rsidR="00E0495B" w:rsidRPr="00A0389A" w:rsidRDefault="00E0495B" w:rsidP="00E0495B">
      <w:pPr>
        <w:widowControl w:val="0"/>
        <w:autoSpaceDE w:val="0"/>
        <w:autoSpaceDN w:val="0"/>
        <w:spacing w:after="0" w:line="276" w:lineRule="auto"/>
        <w:jc w:val="both"/>
        <w:rPr>
          <w:rFonts w:ascii="Verdana" w:hAnsi="Verdana" w:cs="Arial"/>
        </w:rPr>
      </w:pPr>
    </w:p>
    <w:p w14:paraId="1F196989" w14:textId="77777777" w:rsidR="00E0495B" w:rsidRPr="00A0389A" w:rsidRDefault="00E0495B" w:rsidP="00E0495B">
      <w:pPr>
        <w:widowControl w:val="0"/>
        <w:autoSpaceDE w:val="0"/>
        <w:autoSpaceDN w:val="0"/>
        <w:spacing w:after="0" w:line="276" w:lineRule="auto"/>
        <w:jc w:val="both"/>
        <w:rPr>
          <w:rFonts w:ascii="Verdana" w:hAnsi="Verdana" w:cs="Arial"/>
          <w:color w:val="000000" w:themeColor="text1"/>
          <w:shd w:val="clear" w:color="auto" w:fill="FFFFFF"/>
        </w:rPr>
      </w:pPr>
      <w:r w:rsidRPr="00A0389A">
        <w:rPr>
          <w:rFonts w:ascii="Verdana" w:hAnsi="Verdana" w:cs="Arial"/>
          <w:shd w:val="clear" w:color="auto" w:fill="FFFFFF"/>
        </w:rPr>
        <w:t xml:space="preserve">La Agencia Nacional de Contratación Pública – Colombia Compra Eficiente se ha pronunciado en varias ocasiones sobre los precios unitarios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w:t>
      </w:r>
      <w:r w:rsidRPr="00A0389A">
        <w:rPr>
          <w:rFonts w:ascii="Verdana" w:hAnsi="Verdana" w:cs="Arial"/>
          <w:shd w:val="clear" w:color="auto" w:fill="FFFFFF"/>
        </w:rPr>
        <w:lastRenderedPageBreak/>
        <w:t xml:space="preserve">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el C-401 del 27 de septiembre de 2023, el C-942 del 10 de enero de 2025 y C-1000 del 13 de enero de 2025. </w:t>
      </w:r>
      <w:r w:rsidRPr="00A0389A">
        <w:rPr>
          <w:rFonts w:ascii="Verdana" w:hAnsi="Verdana" w:cs="Arial"/>
          <w:shd w:val="clear" w:color="auto" w:fill="FFFFFF"/>
          <w:lang w:val="es-ES"/>
        </w:rPr>
        <w:t>Es</w:t>
      </w:r>
      <w:r w:rsidRPr="00A0389A">
        <w:rPr>
          <w:rFonts w:ascii="Verdana" w:hAnsi="Verdana"/>
        </w:rPr>
        <w:t>tos y otros conceptos se encuentran disponibles para consulta en el Sistema de relatoría de la Agencia, al cual se puede acceder a través del siguiente enlace:</w:t>
      </w:r>
      <w:r w:rsidRPr="00A0389A">
        <w:rPr>
          <w:rFonts w:ascii="Verdana" w:hAnsi="Verdana" w:cs="Arial"/>
          <w:shd w:val="clear" w:color="auto" w:fill="FFFFFF"/>
          <w:lang w:val="es-ES"/>
        </w:rPr>
        <w:t xml:space="preserve"> </w:t>
      </w:r>
      <w:hyperlink r:id="rId13" w:history="1">
        <w:r w:rsidRPr="00A0389A">
          <w:rPr>
            <w:rFonts w:ascii="Verdana" w:hAnsi="Verdana" w:cs="Arial"/>
            <w:color w:val="0563C1" w:themeColor="hyperlink"/>
            <w:u w:val="single"/>
            <w:shd w:val="clear" w:color="auto" w:fill="FFFFFF"/>
            <w:lang w:val="es-ES"/>
          </w:rPr>
          <w:t>https://relatoria.colombiacompra.gov.co/busqueda/conceptos</w:t>
        </w:r>
      </w:hyperlink>
      <w:r w:rsidRPr="00A0389A">
        <w:rPr>
          <w:rFonts w:ascii="Verdana" w:hAnsi="Verdana" w:cs="Arial"/>
          <w:shd w:val="clear" w:color="auto" w:fill="FFFFFF"/>
          <w:lang w:val="es-ES"/>
        </w:rPr>
        <w:t>.</w:t>
      </w:r>
      <w:r w:rsidRPr="00A0389A">
        <w:rPr>
          <w:rFonts w:ascii="Verdana" w:hAnsi="Verdana" w:cs="Arial"/>
          <w:color w:val="FF0000"/>
          <w:shd w:val="clear" w:color="auto" w:fill="FFFFFF"/>
          <w:lang w:val="es-ES"/>
        </w:rPr>
        <w:t xml:space="preserve"> </w:t>
      </w:r>
      <w:r w:rsidRPr="00A0389A">
        <w:rPr>
          <w:rFonts w:ascii="Verdana" w:hAnsi="Verdana" w:cs="Arial"/>
          <w:color w:val="000000" w:themeColor="text1"/>
          <w:shd w:val="clear" w:color="auto" w:fill="FFFFFF"/>
        </w:rPr>
        <w:t>  </w:t>
      </w:r>
    </w:p>
    <w:p w14:paraId="2CF279B9" w14:textId="77777777" w:rsidR="00E0495B" w:rsidRPr="00A0389A" w:rsidRDefault="00E0495B" w:rsidP="00E0495B">
      <w:pPr>
        <w:widowControl w:val="0"/>
        <w:autoSpaceDE w:val="0"/>
        <w:autoSpaceDN w:val="0"/>
        <w:spacing w:after="0" w:line="276" w:lineRule="auto"/>
        <w:jc w:val="both"/>
        <w:rPr>
          <w:rFonts w:ascii="Verdana" w:hAnsi="Verdana" w:cs="Arial"/>
          <w:color w:val="000000" w:themeColor="text1"/>
          <w:shd w:val="clear" w:color="auto" w:fill="FFFFFF"/>
        </w:rPr>
      </w:pPr>
    </w:p>
    <w:p w14:paraId="6D347696" w14:textId="77777777" w:rsidR="00E0495B" w:rsidRPr="00A0389A" w:rsidRDefault="00E0495B" w:rsidP="00E0495B">
      <w:pPr>
        <w:shd w:val="clear" w:color="auto" w:fill="FFFFFF"/>
        <w:spacing w:after="120" w:line="276" w:lineRule="auto"/>
        <w:ind w:firstLine="709"/>
        <w:jc w:val="both"/>
        <w:textAlignment w:val="baseline"/>
        <w:rPr>
          <w:rFonts w:ascii="Verdana" w:eastAsia="Times New Roman" w:hAnsi="Verdana" w:cs="Times New Roman"/>
          <w:lang w:eastAsia="es-CO"/>
        </w:rPr>
      </w:pPr>
      <w:r w:rsidRPr="00A0389A">
        <w:rPr>
          <w:rFonts w:ascii="Verdana" w:eastAsia="Times New Roman" w:hAnsi="Verdana" w:cs="Times New Roman"/>
          <w:color w:val="000000"/>
          <w:bdr w:val="none" w:sz="0" w:space="0" w:color="auto" w:frame="1"/>
          <w:lang w:eastAsia="es-CO"/>
        </w:rPr>
        <w:t>Te informamos que ya se encuentra disponible la </w:t>
      </w:r>
      <w:r w:rsidRPr="00A0389A">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A0389A">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A0389A">
          <w:rPr>
            <w:rFonts w:ascii="Verdana" w:eastAsia="Times New Roman" w:hAnsi="Verdana" w:cs="Times New Roman"/>
            <w:color w:val="467886"/>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10B6442B" w14:textId="77777777" w:rsidR="00E0495B" w:rsidRPr="00A0389A" w:rsidRDefault="00E0495B" w:rsidP="00E0495B">
      <w:pPr>
        <w:spacing w:after="120" w:line="276" w:lineRule="auto"/>
        <w:ind w:firstLine="709"/>
        <w:jc w:val="both"/>
        <w:textAlignment w:val="baseline"/>
        <w:rPr>
          <w:rFonts w:ascii="Verdana" w:eastAsia="Times New Roman" w:hAnsi="Verdana" w:cs="Times New Roman"/>
          <w:lang w:eastAsia="es-CO"/>
        </w:rPr>
      </w:pPr>
      <w:r w:rsidRPr="00A0389A">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A0389A">
        <w:rPr>
          <w:rFonts w:ascii="Verdana" w:eastAsia="Times New Roman" w:hAnsi="Verdana" w:cs="Times New Roman"/>
          <w:b/>
          <w:bCs/>
          <w:color w:val="000000"/>
          <w:bdr w:val="none" w:sz="0" w:space="0" w:color="auto" w:frame="1"/>
          <w:lang w:eastAsia="es-CO"/>
        </w:rPr>
        <w:t>modificaciones y/o actualizaciones realizadas a los Documentos Tipo</w:t>
      </w:r>
      <w:r w:rsidRPr="00A0389A">
        <w:rPr>
          <w:rFonts w:ascii="Verdana" w:eastAsia="Times New Roman" w:hAnsi="Verdana" w:cs="Times New Roman"/>
          <w:color w:val="000000"/>
          <w:bdr w:val="none" w:sz="0" w:space="0" w:color="auto" w:frame="1"/>
          <w:lang w:eastAsia="es-CO"/>
        </w:rPr>
        <w:t>, hemos programado una serie de </w:t>
      </w:r>
      <w:r w:rsidRPr="00A0389A">
        <w:rPr>
          <w:rFonts w:ascii="Verdana" w:eastAsia="Times New Roman" w:hAnsi="Verdana" w:cs="Times New Roman"/>
          <w:b/>
          <w:bCs/>
          <w:color w:val="000000"/>
          <w:bdr w:val="none" w:sz="0" w:space="0" w:color="auto" w:frame="1"/>
          <w:lang w:eastAsia="es-CO"/>
        </w:rPr>
        <w:t>capacitaciones </w:t>
      </w:r>
      <w:r w:rsidRPr="00A0389A">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A0389A">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3B61D9D9" w14:textId="77777777" w:rsidR="00E0495B" w:rsidRPr="00A0389A" w:rsidRDefault="00E0495B" w:rsidP="00E0495B">
      <w:pPr>
        <w:spacing w:after="120" w:line="276" w:lineRule="auto"/>
        <w:ind w:firstLine="709"/>
        <w:jc w:val="both"/>
        <w:textAlignment w:val="baseline"/>
        <w:rPr>
          <w:rFonts w:ascii="Verdana" w:eastAsia="Times New Roman" w:hAnsi="Verdana" w:cs="Times New Roman"/>
          <w:lang w:eastAsia="es-CO"/>
        </w:rPr>
      </w:pPr>
      <w:r w:rsidRPr="00A0389A">
        <w:rPr>
          <w:rFonts w:ascii="Verdana" w:eastAsia="Times New Roman" w:hAnsi="Verdana" w:cs="Times New Roman"/>
          <w:color w:val="000000"/>
          <w:bdr w:val="none" w:sz="0" w:space="0" w:color="auto" w:frame="1"/>
          <w:lang w:eastAsia="es-CO"/>
        </w:rPr>
        <w:t>También, te contamos que ya publicamos </w:t>
      </w:r>
      <w:r w:rsidRPr="00A0389A">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A0389A">
        <w:rPr>
          <w:rFonts w:ascii="Verdana" w:eastAsia="Times New Roman" w:hAnsi="Verdana" w:cs="Times New Roman"/>
          <w:color w:val="000000"/>
          <w:bdr w:val="none" w:sz="0" w:space="0" w:color="auto" w:frame="1"/>
          <w:lang w:eastAsia="es-CO"/>
        </w:rPr>
        <w:t xml:space="preserve">. Esta guía es un instrumento clave para integrar buenas prácticas en la contratación estatal, promoviendo los Objetivos de Desarrollo Sostenible (ODS) a través de criterios y obligaciones ambientales y sociales en todas las etapas del proceso. Puede </w:t>
      </w:r>
      <w:r w:rsidRPr="00A0389A">
        <w:rPr>
          <w:rFonts w:ascii="Verdana" w:eastAsia="Times New Roman" w:hAnsi="Verdana" w:cs="Times New Roman"/>
          <w:color w:val="000000"/>
          <w:bdr w:val="none" w:sz="0" w:space="0" w:color="auto" w:frame="1"/>
          <w:lang w:eastAsia="es-CO"/>
        </w:rPr>
        <w:lastRenderedPageBreak/>
        <w:t>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A0389A">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33EF2476" w14:textId="77777777" w:rsidR="00E0495B" w:rsidRPr="00A0389A" w:rsidRDefault="00E0495B" w:rsidP="00E0495B">
      <w:pPr>
        <w:widowControl w:val="0"/>
        <w:autoSpaceDE w:val="0"/>
        <w:autoSpaceDN w:val="0"/>
        <w:spacing w:after="0" w:line="276" w:lineRule="auto"/>
        <w:jc w:val="both"/>
        <w:rPr>
          <w:rFonts w:ascii="Verdana" w:hAnsi="Verdana" w:cs="Arial"/>
          <w:lang w:val="es-ES_tradnl"/>
        </w:rPr>
      </w:pPr>
      <w:r w:rsidRPr="00A0389A">
        <w:rPr>
          <w:rFonts w:ascii="Verdana" w:hAnsi="Verdana" w:cs="Arial"/>
        </w:rPr>
        <w:t xml:space="preserve">Este concepto tiene el alcance previsto en el artículo 28 del Código de Procedimiento Administrativo y de lo Contencioso Administrativo </w:t>
      </w:r>
      <w:r w:rsidRPr="00A0389A">
        <w:rPr>
          <w:rFonts w:ascii="Verdana" w:hAnsi="Verdana" w:cs="Arial"/>
          <w:lang w:val="es-ES_tradnl"/>
        </w:rPr>
        <w:t>y las expresiones aquí utilizadas con mayúscula inicial deben ser entendidas con el significado que les otorga el artículo 2.2.1.1.1.3.1. del Decreto 1082 de 2015.</w:t>
      </w:r>
    </w:p>
    <w:p w14:paraId="78569968" w14:textId="77777777" w:rsidR="00E0495B" w:rsidRPr="00A0389A" w:rsidRDefault="00E0495B" w:rsidP="00E0495B">
      <w:pPr>
        <w:widowControl w:val="0"/>
        <w:autoSpaceDE w:val="0"/>
        <w:autoSpaceDN w:val="0"/>
        <w:spacing w:after="0" w:line="276" w:lineRule="auto"/>
        <w:jc w:val="both"/>
        <w:rPr>
          <w:rFonts w:ascii="Verdana" w:hAnsi="Verdana" w:cs="Arial"/>
        </w:rPr>
      </w:pPr>
    </w:p>
    <w:p w14:paraId="2D48231E" w14:textId="77777777" w:rsidR="00E0495B" w:rsidRPr="00A0389A" w:rsidRDefault="00E0495B" w:rsidP="00E0495B">
      <w:pPr>
        <w:spacing w:after="0" w:line="240" w:lineRule="auto"/>
        <w:rPr>
          <w:rFonts w:ascii="Verdana" w:hAnsi="Verdana" w:cs="Arial"/>
          <w:lang w:eastAsia="es-CO"/>
        </w:rPr>
      </w:pPr>
      <w:r w:rsidRPr="00A0389A">
        <w:rPr>
          <w:rFonts w:ascii="Verdana" w:eastAsia="Times New Roman" w:hAnsi="Verdana" w:cs="Arial"/>
          <w:lang w:eastAsia="es-CO"/>
        </w:rPr>
        <w:t>Atentamente,</w:t>
      </w:r>
      <w:r w:rsidRPr="00A0389A">
        <w:rPr>
          <w:rFonts w:ascii="Verdana" w:hAnsi="Verdana" w:cs="Arial"/>
          <w:lang w:eastAsia="es-CO"/>
        </w:rPr>
        <w:t xml:space="preserve"> </w:t>
      </w:r>
    </w:p>
    <w:p w14:paraId="437804F3" w14:textId="706AC26D" w:rsidR="00E0495B" w:rsidRPr="00A0389A" w:rsidRDefault="000A33AC" w:rsidP="00E0495B">
      <w:pPr>
        <w:spacing w:line="276" w:lineRule="auto"/>
        <w:jc w:val="center"/>
        <w:rPr>
          <w:rFonts w:ascii="Verdana" w:hAnsi="Verdana" w:cs="Arial"/>
          <w:color w:val="000000"/>
          <w:lang w:val="es-ES_tradnl" w:eastAsia="es-CO"/>
        </w:rPr>
      </w:pPr>
      <w:r>
        <w:rPr>
          <w:noProof/>
        </w:rPr>
        <w:drawing>
          <wp:inline distT="0" distB="0" distL="0" distR="0" wp14:anchorId="4AB1B19B" wp14:editId="1DF75144">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0495B" w:rsidRPr="00A0389A" w14:paraId="5757EDBC" w14:textId="77777777" w:rsidTr="006B31C0">
        <w:trPr>
          <w:trHeight w:val="315"/>
        </w:trPr>
        <w:tc>
          <w:tcPr>
            <w:tcW w:w="893" w:type="dxa"/>
            <w:vAlign w:val="center"/>
            <w:hideMark/>
          </w:tcPr>
          <w:p w14:paraId="6E62A9F4" w14:textId="77777777" w:rsidR="00E0495B" w:rsidRPr="00A0389A" w:rsidRDefault="00E0495B" w:rsidP="006B31C0">
            <w:pPr>
              <w:contextualSpacing/>
              <w:rPr>
                <w:rFonts w:ascii="Verdana" w:hAnsi="Verdana" w:cs="Arial"/>
                <w:sz w:val="16"/>
                <w:szCs w:val="16"/>
                <w:lang w:val="es-ES" w:eastAsia="es-ES"/>
              </w:rPr>
            </w:pPr>
            <w:r w:rsidRPr="00A0389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A1EE103" w14:textId="77777777" w:rsidR="00E0495B" w:rsidRPr="00A0389A" w:rsidRDefault="00E0495B" w:rsidP="006B31C0">
            <w:pPr>
              <w:contextualSpacing/>
              <w:rPr>
                <w:rFonts w:ascii="Verdana" w:hAnsi="Verdana"/>
                <w:sz w:val="16"/>
                <w:szCs w:val="16"/>
              </w:rPr>
            </w:pPr>
            <w:r w:rsidRPr="00A0389A">
              <w:rPr>
                <w:rFonts w:ascii="Verdana" w:hAnsi="Verdana"/>
                <w:sz w:val="16"/>
                <w:szCs w:val="16"/>
              </w:rPr>
              <w:t>Tatiana Baquero Iguarán</w:t>
            </w:r>
          </w:p>
          <w:p w14:paraId="6DAB152A" w14:textId="77777777" w:rsidR="00E0495B" w:rsidRPr="00A0389A" w:rsidRDefault="00E0495B" w:rsidP="006B31C0">
            <w:pPr>
              <w:contextualSpacing/>
              <w:rPr>
                <w:rFonts w:ascii="Verdana" w:eastAsia="Arial" w:hAnsi="Verdana" w:cs="Arial"/>
                <w:sz w:val="16"/>
                <w:szCs w:val="16"/>
              </w:rPr>
            </w:pPr>
            <w:r w:rsidRPr="00A0389A">
              <w:rPr>
                <w:rFonts w:ascii="Verdana" w:hAnsi="Verdana"/>
                <w:sz w:val="16"/>
                <w:szCs w:val="16"/>
              </w:rPr>
              <w:t>Contratista de la Subdirección de Gestión Contractual</w:t>
            </w:r>
          </w:p>
        </w:tc>
      </w:tr>
      <w:tr w:rsidR="00E0495B" w:rsidRPr="00A0389A" w14:paraId="19AE224F" w14:textId="77777777" w:rsidTr="006B31C0">
        <w:trPr>
          <w:trHeight w:val="330"/>
        </w:trPr>
        <w:tc>
          <w:tcPr>
            <w:tcW w:w="893" w:type="dxa"/>
            <w:vAlign w:val="center"/>
            <w:hideMark/>
          </w:tcPr>
          <w:p w14:paraId="63481A57" w14:textId="77777777" w:rsidR="00E0495B" w:rsidRPr="00A0389A" w:rsidRDefault="00E0495B" w:rsidP="006B31C0">
            <w:pPr>
              <w:contextualSpacing/>
              <w:rPr>
                <w:rFonts w:ascii="Verdana" w:hAnsi="Verdana" w:cs="Arial"/>
                <w:sz w:val="16"/>
                <w:szCs w:val="16"/>
                <w:lang w:val="es-ES" w:eastAsia="es-ES"/>
              </w:rPr>
            </w:pPr>
            <w:r w:rsidRPr="00A0389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275BA9" w14:textId="77777777" w:rsidR="00E0495B" w:rsidRPr="00A0389A" w:rsidRDefault="00E0495B" w:rsidP="006B31C0">
            <w:pPr>
              <w:spacing w:before="100" w:beforeAutospacing="1" w:afterAutospacing="1"/>
              <w:contextualSpacing/>
              <w:textAlignment w:val="baseline"/>
              <w:rPr>
                <w:rFonts w:ascii="Verdana" w:eastAsia="Times New Roman" w:hAnsi="Verdana" w:cs="Arial"/>
                <w:sz w:val="16"/>
                <w:szCs w:val="16"/>
                <w:lang w:val="es-ES" w:eastAsia="es-ES_tradnl"/>
              </w:rPr>
            </w:pPr>
            <w:r w:rsidRPr="00A0389A">
              <w:rPr>
                <w:rFonts w:ascii="Verdana" w:eastAsia="Times New Roman" w:hAnsi="Verdana" w:cs="Arial"/>
                <w:sz w:val="16"/>
                <w:szCs w:val="16"/>
                <w:lang w:val="es-ES" w:eastAsia="es-ES_tradnl"/>
              </w:rPr>
              <w:t>Alejandro Sarmiento Cantillo</w:t>
            </w:r>
          </w:p>
          <w:p w14:paraId="60F45D5A" w14:textId="77777777" w:rsidR="00E0495B" w:rsidRPr="00A0389A" w:rsidRDefault="00E0495B" w:rsidP="006B31C0">
            <w:pPr>
              <w:contextualSpacing/>
              <w:textAlignment w:val="baseline"/>
              <w:rPr>
                <w:rFonts w:ascii="Verdana" w:eastAsia="Times New Roman" w:hAnsi="Verdana" w:cs="Segoe UI"/>
                <w:sz w:val="16"/>
                <w:szCs w:val="16"/>
                <w:lang w:eastAsia="es-ES_tradnl"/>
              </w:rPr>
            </w:pPr>
            <w:r w:rsidRPr="00A0389A">
              <w:rPr>
                <w:rFonts w:ascii="Verdana" w:eastAsia="Times New Roman" w:hAnsi="Verdana" w:cs="Arial"/>
                <w:sz w:val="16"/>
                <w:szCs w:val="16"/>
                <w:lang w:val="es-ES" w:eastAsia="es-ES_tradnl"/>
              </w:rPr>
              <w:t>Gestor T1 ‒ 15 de la Subdirección de Gestión Contractual</w:t>
            </w:r>
            <w:r w:rsidRPr="00A0389A">
              <w:rPr>
                <w:rFonts w:ascii="Verdana" w:eastAsia="Times New Roman" w:hAnsi="Verdana" w:cs="Arial"/>
                <w:sz w:val="16"/>
                <w:szCs w:val="16"/>
                <w:lang w:eastAsia="es-ES_tradnl"/>
              </w:rPr>
              <w:t> </w:t>
            </w:r>
          </w:p>
        </w:tc>
      </w:tr>
      <w:tr w:rsidR="00E0495B" w:rsidRPr="00A0389A" w14:paraId="290B4D33" w14:textId="77777777" w:rsidTr="006B31C0">
        <w:trPr>
          <w:trHeight w:val="300"/>
        </w:trPr>
        <w:tc>
          <w:tcPr>
            <w:tcW w:w="893" w:type="dxa"/>
            <w:vAlign w:val="center"/>
          </w:tcPr>
          <w:p w14:paraId="4866F7A8" w14:textId="77777777" w:rsidR="00E0495B" w:rsidRPr="00A0389A" w:rsidRDefault="00E0495B" w:rsidP="006B31C0">
            <w:pPr>
              <w:contextualSpacing/>
              <w:rPr>
                <w:rFonts w:ascii="Verdana" w:hAnsi="Verdana" w:cs="Arial"/>
                <w:sz w:val="16"/>
                <w:szCs w:val="16"/>
                <w:lang w:val="es-ES" w:eastAsia="es-ES"/>
              </w:rPr>
            </w:pPr>
            <w:r w:rsidRPr="00A0389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137C265" w14:textId="77777777" w:rsidR="00E0495B" w:rsidRPr="00A0389A" w:rsidRDefault="00E0495B" w:rsidP="006B31C0">
            <w:pPr>
              <w:contextualSpacing/>
              <w:rPr>
                <w:rFonts w:ascii="Verdana" w:eastAsia="Calibri" w:hAnsi="Verdana" w:cs="Arial"/>
                <w:sz w:val="16"/>
                <w:szCs w:val="16"/>
                <w:lang w:val="pt-BR" w:eastAsia="es-ES"/>
              </w:rPr>
            </w:pPr>
            <w:r w:rsidRPr="00A0389A">
              <w:rPr>
                <w:rFonts w:ascii="Verdana" w:eastAsia="Calibri" w:hAnsi="Verdana" w:cs="Arial"/>
                <w:sz w:val="16"/>
                <w:szCs w:val="16"/>
                <w:lang w:val="pt-BR" w:eastAsia="es-ES"/>
              </w:rPr>
              <w:t xml:space="preserve">Carolina Quintero </w:t>
            </w:r>
            <w:proofErr w:type="spellStart"/>
            <w:r w:rsidRPr="00A0389A">
              <w:rPr>
                <w:rFonts w:ascii="Verdana" w:eastAsia="Calibri" w:hAnsi="Verdana" w:cs="Arial"/>
                <w:sz w:val="16"/>
                <w:szCs w:val="16"/>
                <w:lang w:val="pt-BR" w:eastAsia="es-ES"/>
              </w:rPr>
              <w:t>Gacharná</w:t>
            </w:r>
            <w:proofErr w:type="spellEnd"/>
          </w:p>
          <w:p w14:paraId="432978C7" w14:textId="77777777" w:rsidR="00E0495B" w:rsidRPr="00A0389A" w:rsidRDefault="00E0495B" w:rsidP="006B31C0">
            <w:pPr>
              <w:contextualSpacing/>
              <w:rPr>
                <w:rFonts w:ascii="Verdana" w:eastAsia="Calibri" w:hAnsi="Verdana" w:cs="Arial"/>
                <w:sz w:val="16"/>
                <w:szCs w:val="16"/>
                <w:lang w:val="pt-BR" w:eastAsia="es-ES"/>
              </w:rPr>
            </w:pPr>
            <w:r w:rsidRPr="00A0389A">
              <w:rPr>
                <w:rFonts w:ascii="Verdana" w:eastAsia="Calibri" w:hAnsi="Verdana" w:cs="Arial"/>
                <w:sz w:val="16"/>
                <w:szCs w:val="16"/>
                <w:lang w:eastAsia="es-ES"/>
              </w:rPr>
              <w:t>Subdirectora</w:t>
            </w:r>
            <w:r w:rsidRPr="00A0389A">
              <w:rPr>
                <w:rFonts w:ascii="Verdana" w:eastAsia="Calibri" w:hAnsi="Verdana" w:cs="Arial"/>
                <w:sz w:val="16"/>
                <w:szCs w:val="16"/>
                <w:lang w:val="pt-BR" w:eastAsia="es-ES"/>
              </w:rPr>
              <w:t xml:space="preserve"> de Gestión </w:t>
            </w:r>
            <w:proofErr w:type="spellStart"/>
            <w:r w:rsidRPr="00A0389A">
              <w:rPr>
                <w:rFonts w:ascii="Verdana" w:eastAsia="Calibri" w:hAnsi="Verdana" w:cs="Arial"/>
                <w:sz w:val="16"/>
                <w:szCs w:val="16"/>
                <w:lang w:val="pt-BR" w:eastAsia="es-ES"/>
              </w:rPr>
              <w:t>Contractual</w:t>
            </w:r>
            <w:proofErr w:type="spellEnd"/>
            <w:r w:rsidRPr="00A0389A">
              <w:rPr>
                <w:rFonts w:ascii="Verdana" w:eastAsia="Calibri" w:hAnsi="Verdana" w:cs="Arial"/>
                <w:sz w:val="16"/>
                <w:szCs w:val="16"/>
                <w:lang w:val="pt-BR" w:eastAsia="es-ES"/>
              </w:rPr>
              <w:t xml:space="preserve"> ANCP – CCE</w:t>
            </w:r>
          </w:p>
        </w:tc>
      </w:tr>
    </w:tbl>
    <w:p w14:paraId="319D6E60" w14:textId="77777777" w:rsidR="00E0495B" w:rsidRPr="00A0389A" w:rsidRDefault="00E0495B" w:rsidP="00E0495B">
      <w:pPr>
        <w:spacing w:after="0" w:line="240" w:lineRule="auto"/>
        <w:rPr>
          <w:rFonts w:ascii="Verdana" w:eastAsia="Times New Roman" w:hAnsi="Verdana" w:cs="Arial"/>
          <w:sz w:val="24"/>
          <w:szCs w:val="24"/>
          <w:lang w:eastAsia="es-ES"/>
        </w:rPr>
      </w:pPr>
    </w:p>
    <w:p w14:paraId="7FA03256" w14:textId="77777777" w:rsidR="00E0495B" w:rsidRPr="00A0389A" w:rsidRDefault="00E0495B" w:rsidP="00E0495B"/>
    <w:p w14:paraId="14DD8B09" w14:textId="77777777" w:rsidR="00E0495B" w:rsidRPr="00EB1CF7" w:rsidRDefault="00E0495B" w:rsidP="00CE37A3">
      <w:pPr>
        <w:spacing w:after="0" w:line="240" w:lineRule="auto"/>
        <w:rPr>
          <w:rFonts w:ascii="Verdana" w:eastAsia="Geomanist Light" w:hAnsi="Verdana" w:cs="Arial"/>
          <w:color w:val="201F1E"/>
          <w:lang w:val="es-MX"/>
        </w:rPr>
      </w:pPr>
    </w:p>
    <w:bookmarkEnd w:id="0"/>
    <w:sectPr w:rsidR="00E0495B" w:rsidRPr="00EB1CF7" w:rsidSect="00C44B4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BDBF8" w14:textId="77777777" w:rsidR="004564E1" w:rsidRDefault="004564E1" w:rsidP="00B30448">
      <w:pPr>
        <w:spacing w:after="0" w:line="240" w:lineRule="auto"/>
      </w:pPr>
      <w:r>
        <w:separator/>
      </w:r>
    </w:p>
  </w:endnote>
  <w:endnote w:type="continuationSeparator" w:id="0">
    <w:p w14:paraId="511E7169" w14:textId="77777777" w:rsidR="004564E1" w:rsidRDefault="004564E1" w:rsidP="00B30448">
      <w:pPr>
        <w:spacing w:after="0" w:line="240" w:lineRule="auto"/>
      </w:pPr>
      <w:r>
        <w:continuationSeparator/>
      </w:r>
    </w:p>
  </w:endnote>
  <w:endnote w:type="continuationNotice" w:id="1">
    <w:p w14:paraId="2C6DEA91" w14:textId="77777777" w:rsidR="004564E1" w:rsidRDefault="004564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D0FA9" w14:textId="77777777" w:rsidR="004564E1" w:rsidRDefault="004564E1" w:rsidP="00B30448">
      <w:pPr>
        <w:spacing w:after="0" w:line="240" w:lineRule="auto"/>
      </w:pPr>
      <w:r>
        <w:separator/>
      </w:r>
    </w:p>
  </w:footnote>
  <w:footnote w:type="continuationSeparator" w:id="0">
    <w:p w14:paraId="602E5304" w14:textId="77777777" w:rsidR="004564E1" w:rsidRDefault="004564E1" w:rsidP="00B30448">
      <w:pPr>
        <w:spacing w:after="0" w:line="240" w:lineRule="auto"/>
      </w:pPr>
      <w:r>
        <w:continuationSeparator/>
      </w:r>
    </w:p>
  </w:footnote>
  <w:footnote w:type="continuationNotice" w:id="1">
    <w:p w14:paraId="14BE2962" w14:textId="77777777" w:rsidR="004564E1" w:rsidRDefault="004564E1">
      <w:pPr>
        <w:spacing w:after="0" w:line="240" w:lineRule="auto"/>
      </w:pPr>
    </w:p>
  </w:footnote>
  <w:footnote w:id="2">
    <w:p w14:paraId="4C478008" w14:textId="77777777" w:rsidR="00E0495B" w:rsidRPr="000959A8" w:rsidRDefault="00E0495B" w:rsidP="00E0495B">
      <w:pPr>
        <w:pStyle w:val="Textonotapie"/>
        <w:ind w:firstLine="709"/>
        <w:jc w:val="both"/>
        <w:rPr>
          <w:rFonts w:ascii="Verdana" w:eastAsia="Calibri" w:hAnsi="Verdana" w:cs="Arial"/>
          <w:sz w:val="16"/>
          <w:szCs w:val="16"/>
          <w:lang w:val="es-ES_tradnl" w:eastAsia="es-ES_tradnl"/>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6E078C25" w14:textId="77777777" w:rsidR="00E0495B" w:rsidRPr="000959A8" w:rsidRDefault="00E0495B" w:rsidP="00E0495B">
      <w:pPr>
        <w:pStyle w:val="Textonotapie"/>
        <w:ind w:firstLine="709"/>
        <w:jc w:val="both"/>
        <w:rPr>
          <w:rFonts w:ascii="Verdana" w:hAnsi="Verdana" w:cs="Arial"/>
          <w:sz w:val="16"/>
          <w:szCs w:val="16"/>
          <w:lang w:val="es-ES"/>
        </w:rPr>
      </w:pPr>
      <w:r w:rsidRPr="000959A8">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32984E18" w14:textId="77777777" w:rsidR="00E0495B" w:rsidRPr="000959A8" w:rsidRDefault="00E0495B" w:rsidP="00E0495B">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CONSEJO DE ESTADO. Sección Tercera. Subsección B. Sentencia del 29 de febrero de 2012. Exp. 16371, C.P. Danilo Rojas Betancourth.</w:t>
      </w:r>
    </w:p>
  </w:footnote>
  <w:footnote w:id="4">
    <w:p w14:paraId="17F8C2DE" w14:textId="77777777" w:rsidR="00E0495B" w:rsidRPr="000959A8" w:rsidRDefault="00E0495B" w:rsidP="00E0495B">
      <w:pPr>
        <w:pStyle w:val="Textonotapie"/>
        <w:ind w:firstLine="709"/>
        <w:jc w:val="both"/>
        <w:rPr>
          <w:rFonts w:ascii="Verdana" w:hAnsi="Verdana" w:cs="Arial"/>
          <w:sz w:val="16"/>
          <w:szCs w:val="16"/>
          <w:lang w:val="es-CO"/>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5">
    <w:p w14:paraId="3D587173" w14:textId="77777777" w:rsidR="00E0495B" w:rsidRPr="000959A8" w:rsidRDefault="00E0495B" w:rsidP="00E0495B">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CONSEJO DE ESTADO. Sección Tercera. Subsección B. Sentencia del 14 de octubre de 2011. Exp. 20811, C.P. Ruth Stella Correa Palacio.</w:t>
      </w:r>
    </w:p>
  </w:footnote>
  <w:footnote w:id="6">
    <w:p w14:paraId="05052877" w14:textId="77777777" w:rsidR="00E0495B" w:rsidRPr="000959A8" w:rsidRDefault="00E0495B" w:rsidP="00E0495B">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7">
    <w:p w14:paraId="31EE0EFC" w14:textId="77777777" w:rsidR="00E0495B" w:rsidRPr="000959A8" w:rsidRDefault="00E0495B" w:rsidP="00E0495B">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8">
    <w:p w14:paraId="14C1A467" w14:textId="77777777" w:rsidR="00E0495B" w:rsidRPr="000959A8" w:rsidRDefault="00E0495B" w:rsidP="00E0495B">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0959A8">
        <w:rPr>
          <w:rFonts w:ascii="Verdana" w:hAnsi="Verdana" w:cs="Arial"/>
          <w:sz w:val="16"/>
          <w:szCs w:val="16"/>
        </w:rPr>
        <w:t xml:space="preserve"> </w:t>
      </w:r>
    </w:p>
  </w:footnote>
  <w:footnote w:id="9">
    <w:p w14:paraId="63CCC880" w14:textId="77777777" w:rsidR="00E0495B" w:rsidRPr="000959A8" w:rsidRDefault="00E0495B" w:rsidP="00E0495B">
      <w:pPr>
        <w:pStyle w:val="Textonotapie"/>
        <w:ind w:firstLine="709"/>
        <w:jc w:val="both"/>
        <w:rPr>
          <w:rFonts w:ascii="Verdana" w:eastAsia="Calibri" w:hAnsi="Verdana" w:cs="Arial"/>
          <w:sz w:val="16"/>
          <w:szCs w:val="16"/>
          <w:lang w:val="es-ES_tradnl" w:eastAsia="es-ES_tradnl"/>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MARÍN, Op. Cit., pp. 64-65.</w:t>
      </w:r>
    </w:p>
  </w:footnote>
  <w:footnote w:id="10">
    <w:p w14:paraId="4234C279" w14:textId="77777777" w:rsidR="00E0495B" w:rsidRPr="000959A8" w:rsidRDefault="00E0495B" w:rsidP="00E0495B">
      <w:pPr>
        <w:pStyle w:val="Textonotapie"/>
        <w:ind w:firstLine="709"/>
        <w:jc w:val="both"/>
        <w:rPr>
          <w:rFonts w:ascii="Verdana" w:hAnsi="Verdana" w:cs="Arial"/>
          <w:sz w:val="16"/>
          <w:szCs w:val="16"/>
          <w:lang w:val="es-ES"/>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Ibíd., p. 66.</w:t>
      </w:r>
    </w:p>
  </w:footnote>
  <w:footnote w:id="11">
    <w:p w14:paraId="7D156BFA" w14:textId="77777777" w:rsidR="00E0495B" w:rsidRPr="000959A8" w:rsidRDefault="00E0495B" w:rsidP="00E0495B">
      <w:pPr>
        <w:pStyle w:val="Textonotapie"/>
        <w:ind w:firstLine="708"/>
        <w:jc w:val="both"/>
        <w:rPr>
          <w:rFonts w:ascii="Verdana" w:eastAsia="Calibri" w:hAnsi="Verdana" w:cs="Arial"/>
          <w:sz w:val="16"/>
          <w:szCs w:val="16"/>
          <w:lang w:val="es-ES_tradnl" w:eastAsia="es-ES_tradnl"/>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footnote>
  <w:footnote w:id="12">
    <w:p w14:paraId="39DC55B9" w14:textId="77777777" w:rsidR="00E0495B" w:rsidRPr="000959A8" w:rsidRDefault="00E0495B" w:rsidP="00E0495B">
      <w:pPr>
        <w:pStyle w:val="Textonotapie"/>
        <w:ind w:firstLine="708"/>
        <w:jc w:val="both"/>
        <w:rPr>
          <w:rFonts w:ascii="Verdana" w:hAnsi="Verdana" w:cs="Arial"/>
          <w:sz w:val="16"/>
          <w:szCs w:val="16"/>
        </w:rPr>
      </w:pPr>
      <w:r w:rsidRPr="000959A8">
        <w:rPr>
          <w:rStyle w:val="Refdenotaalpie"/>
          <w:rFonts w:ascii="Verdana" w:hAnsi="Verdana" w:cs="Arial"/>
          <w:sz w:val="16"/>
          <w:szCs w:val="16"/>
        </w:rPr>
        <w:footnoteRef/>
      </w:r>
      <w:r w:rsidRPr="000959A8">
        <w:rPr>
          <w:rFonts w:ascii="Verdana" w:hAnsi="Verdana" w:cs="Arial"/>
          <w:sz w:val="16"/>
          <w:szCs w:val="16"/>
        </w:rPr>
        <w:t xml:space="preserve"> </w:t>
      </w:r>
      <w:r w:rsidRPr="000959A8">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12C53827"/>
    <w:multiLevelType w:val="hybridMultilevel"/>
    <w:tmpl w:val="340647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3"/>
  </w:num>
  <w:num w:numId="3" w16cid:durableId="679089576">
    <w:abstractNumId w:val="4"/>
  </w:num>
  <w:num w:numId="4" w16cid:durableId="893472101">
    <w:abstractNumId w:val="2"/>
  </w:num>
  <w:num w:numId="5" w16cid:durableId="1982299905">
    <w:abstractNumId w:val="5"/>
  </w:num>
  <w:num w:numId="6" w16cid:durableId="257299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63D8"/>
    <w:rsid w:val="00006F59"/>
    <w:rsid w:val="0001025F"/>
    <w:rsid w:val="0001155E"/>
    <w:rsid w:val="00011613"/>
    <w:rsid w:val="0001222D"/>
    <w:rsid w:val="00013B3F"/>
    <w:rsid w:val="00016280"/>
    <w:rsid w:val="00016F04"/>
    <w:rsid w:val="000219D1"/>
    <w:rsid w:val="00021C3A"/>
    <w:rsid w:val="0002202D"/>
    <w:rsid w:val="000259B9"/>
    <w:rsid w:val="000267DD"/>
    <w:rsid w:val="00030B3D"/>
    <w:rsid w:val="00030BFB"/>
    <w:rsid w:val="00031EAF"/>
    <w:rsid w:val="00032AC6"/>
    <w:rsid w:val="00033390"/>
    <w:rsid w:val="000361EA"/>
    <w:rsid w:val="000369C0"/>
    <w:rsid w:val="0003791D"/>
    <w:rsid w:val="00037A8B"/>
    <w:rsid w:val="000408AD"/>
    <w:rsid w:val="00041469"/>
    <w:rsid w:val="00042AEF"/>
    <w:rsid w:val="00042DD7"/>
    <w:rsid w:val="000442CC"/>
    <w:rsid w:val="00044B24"/>
    <w:rsid w:val="00050C95"/>
    <w:rsid w:val="00050CAD"/>
    <w:rsid w:val="000526A8"/>
    <w:rsid w:val="0005420B"/>
    <w:rsid w:val="0005620B"/>
    <w:rsid w:val="00057392"/>
    <w:rsid w:val="000577D3"/>
    <w:rsid w:val="00057963"/>
    <w:rsid w:val="000579AB"/>
    <w:rsid w:val="000622B9"/>
    <w:rsid w:val="00064721"/>
    <w:rsid w:val="00065C6D"/>
    <w:rsid w:val="00066646"/>
    <w:rsid w:val="00066C7A"/>
    <w:rsid w:val="00067B54"/>
    <w:rsid w:val="000716AB"/>
    <w:rsid w:val="00071AB8"/>
    <w:rsid w:val="0007243A"/>
    <w:rsid w:val="000762C0"/>
    <w:rsid w:val="00076C2B"/>
    <w:rsid w:val="00076F81"/>
    <w:rsid w:val="00077DCF"/>
    <w:rsid w:val="000823EB"/>
    <w:rsid w:val="00087073"/>
    <w:rsid w:val="000878E7"/>
    <w:rsid w:val="00087C01"/>
    <w:rsid w:val="000903E4"/>
    <w:rsid w:val="00091D73"/>
    <w:rsid w:val="000933BC"/>
    <w:rsid w:val="00093544"/>
    <w:rsid w:val="00094663"/>
    <w:rsid w:val="00095410"/>
    <w:rsid w:val="00096637"/>
    <w:rsid w:val="000A1F38"/>
    <w:rsid w:val="000A2030"/>
    <w:rsid w:val="000A2A44"/>
    <w:rsid w:val="000A33AC"/>
    <w:rsid w:val="000A413A"/>
    <w:rsid w:val="000B159D"/>
    <w:rsid w:val="000B1FF7"/>
    <w:rsid w:val="000B2033"/>
    <w:rsid w:val="000B2529"/>
    <w:rsid w:val="000B2B7C"/>
    <w:rsid w:val="000B381D"/>
    <w:rsid w:val="000B4024"/>
    <w:rsid w:val="000C02AD"/>
    <w:rsid w:val="000C060A"/>
    <w:rsid w:val="000C09DF"/>
    <w:rsid w:val="000C0AA8"/>
    <w:rsid w:val="000C42A9"/>
    <w:rsid w:val="000C557B"/>
    <w:rsid w:val="000C5F29"/>
    <w:rsid w:val="000D0372"/>
    <w:rsid w:val="000D2914"/>
    <w:rsid w:val="000D3A1B"/>
    <w:rsid w:val="000D570C"/>
    <w:rsid w:val="000D5A0F"/>
    <w:rsid w:val="000D5B1E"/>
    <w:rsid w:val="000D5E3F"/>
    <w:rsid w:val="000D6532"/>
    <w:rsid w:val="000E0622"/>
    <w:rsid w:val="000E1D6F"/>
    <w:rsid w:val="000E3381"/>
    <w:rsid w:val="000E3744"/>
    <w:rsid w:val="000E3CD9"/>
    <w:rsid w:val="000F0144"/>
    <w:rsid w:val="000F0807"/>
    <w:rsid w:val="000F1AD8"/>
    <w:rsid w:val="000F2F4C"/>
    <w:rsid w:val="000F38D9"/>
    <w:rsid w:val="000F414C"/>
    <w:rsid w:val="000F64FC"/>
    <w:rsid w:val="000F65E4"/>
    <w:rsid w:val="000F718E"/>
    <w:rsid w:val="000F7F0C"/>
    <w:rsid w:val="00100207"/>
    <w:rsid w:val="001010D3"/>
    <w:rsid w:val="001014D3"/>
    <w:rsid w:val="00101C11"/>
    <w:rsid w:val="00102F4F"/>
    <w:rsid w:val="001034DD"/>
    <w:rsid w:val="00105CDC"/>
    <w:rsid w:val="00107EB7"/>
    <w:rsid w:val="0011037E"/>
    <w:rsid w:val="00110F73"/>
    <w:rsid w:val="00111E35"/>
    <w:rsid w:val="001128B4"/>
    <w:rsid w:val="00112EBD"/>
    <w:rsid w:val="001132C2"/>
    <w:rsid w:val="00113AF2"/>
    <w:rsid w:val="00116616"/>
    <w:rsid w:val="00116FC5"/>
    <w:rsid w:val="00117BBD"/>
    <w:rsid w:val="001248AB"/>
    <w:rsid w:val="00124B2E"/>
    <w:rsid w:val="00125D81"/>
    <w:rsid w:val="0012661F"/>
    <w:rsid w:val="001269B0"/>
    <w:rsid w:val="00127D5B"/>
    <w:rsid w:val="00131A1F"/>
    <w:rsid w:val="00131A66"/>
    <w:rsid w:val="0013343F"/>
    <w:rsid w:val="001344F9"/>
    <w:rsid w:val="00135F76"/>
    <w:rsid w:val="001363C7"/>
    <w:rsid w:val="00136E87"/>
    <w:rsid w:val="00140793"/>
    <w:rsid w:val="00141FE7"/>
    <w:rsid w:val="001422BD"/>
    <w:rsid w:val="0014286D"/>
    <w:rsid w:val="00143B8E"/>
    <w:rsid w:val="00143F21"/>
    <w:rsid w:val="0014420C"/>
    <w:rsid w:val="001446C3"/>
    <w:rsid w:val="00151465"/>
    <w:rsid w:val="00151AD8"/>
    <w:rsid w:val="00153287"/>
    <w:rsid w:val="00153C33"/>
    <w:rsid w:val="00155EF1"/>
    <w:rsid w:val="00156192"/>
    <w:rsid w:val="00156E57"/>
    <w:rsid w:val="0015710D"/>
    <w:rsid w:val="00157338"/>
    <w:rsid w:val="00157DEB"/>
    <w:rsid w:val="00161847"/>
    <w:rsid w:val="00161E13"/>
    <w:rsid w:val="00162B8D"/>
    <w:rsid w:val="00164803"/>
    <w:rsid w:val="00164AE0"/>
    <w:rsid w:val="0016646A"/>
    <w:rsid w:val="00166A96"/>
    <w:rsid w:val="00167C43"/>
    <w:rsid w:val="0017120C"/>
    <w:rsid w:val="00172C96"/>
    <w:rsid w:val="00172DDC"/>
    <w:rsid w:val="00172F3A"/>
    <w:rsid w:val="00173477"/>
    <w:rsid w:val="0017414F"/>
    <w:rsid w:val="00174636"/>
    <w:rsid w:val="00174BD8"/>
    <w:rsid w:val="00175B11"/>
    <w:rsid w:val="0017667E"/>
    <w:rsid w:val="00176AE8"/>
    <w:rsid w:val="00177E95"/>
    <w:rsid w:val="001811FC"/>
    <w:rsid w:val="00183F50"/>
    <w:rsid w:val="00186037"/>
    <w:rsid w:val="00186D14"/>
    <w:rsid w:val="001918F1"/>
    <w:rsid w:val="0019196E"/>
    <w:rsid w:val="00191FF5"/>
    <w:rsid w:val="001926D7"/>
    <w:rsid w:val="00192CCE"/>
    <w:rsid w:val="0019385B"/>
    <w:rsid w:val="00193F1C"/>
    <w:rsid w:val="00197205"/>
    <w:rsid w:val="001A2D8F"/>
    <w:rsid w:val="001A3D89"/>
    <w:rsid w:val="001A42A0"/>
    <w:rsid w:val="001A54DA"/>
    <w:rsid w:val="001A6861"/>
    <w:rsid w:val="001A6F28"/>
    <w:rsid w:val="001B143B"/>
    <w:rsid w:val="001B1777"/>
    <w:rsid w:val="001B19C5"/>
    <w:rsid w:val="001B1B6D"/>
    <w:rsid w:val="001B1C93"/>
    <w:rsid w:val="001B21CA"/>
    <w:rsid w:val="001B5A00"/>
    <w:rsid w:val="001B5F59"/>
    <w:rsid w:val="001B63A7"/>
    <w:rsid w:val="001C1074"/>
    <w:rsid w:val="001C144E"/>
    <w:rsid w:val="001C25F5"/>
    <w:rsid w:val="001C4249"/>
    <w:rsid w:val="001C6573"/>
    <w:rsid w:val="001C670B"/>
    <w:rsid w:val="001C7D03"/>
    <w:rsid w:val="001D0D32"/>
    <w:rsid w:val="001D17C9"/>
    <w:rsid w:val="001D1AB9"/>
    <w:rsid w:val="001D3795"/>
    <w:rsid w:val="001D4006"/>
    <w:rsid w:val="001D54BD"/>
    <w:rsid w:val="001D626E"/>
    <w:rsid w:val="001D733B"/>
    <w:rsid w:val="001E0902"/>
    <w:rsid w:val="001E1801"/>
    <w:rsid w:val="001E3A17"/>
    <w:rsid w:val="001E3FCB"/>
    <w:rsid w:val="001E52DF"/>
    <w:rsid w:val="001E6BCB"/>
    <w:rsid w:val="001E7FBC"/>
    <w:rsid w:val="001F0822"/>
    <w:rsid w:val="001F15F6"/>
    <w:rsid w:val="001F179C"/>
    <w:rsid w:val="001F2649"/>
    <w:rsid w:val="001F3496"/>
    <w:rsid w:val="001F350D"/>
    <w:rsid w:val="001F41CA"/>
    <w:rsid w:val="001F4355"/>
    <w:rsid w:val="001F61DE"/>
    <w:rsid w:val="001F6D69"/>
    <w:rsid w:val="001F7DF7"/>
    <w:rsid w:val="002000AA"/>
    <w:rsid w:val="0020302A"/>
    <w:rsid w:val="002032A0"/>
    <w:rsid w:val="00203532"/>
    <w:rsid w:val="00204106"/>
    <w:rsid w:val="00204109"/>
    <w:rsid w:val="002059E3"/>
    <w:rsid w:val="00212390"/>
    <w:rsid w:val="00212897"/>
    <w:rsid w:val="0021386A"/>
    <w:rsid w:val="00215516"/>
    <w:rsid w:val="002167D1"/>
    <w:rsid w:val="00216EFA"/>
    <w:rsid w:val="0021798E"/>
    <w:rsid w:val="0022180C"/>
    <w:rsid w:val="002225AB"/>
    <w:rsid w:val="002250D1"/>
    <w:rsid w:val="00225379"/>
    <w:rsid w:val="002267D2"/>
    <w:rsid w:val="00230839"/>
    <w:rsid w:val="00232178"/>
    <w:rsid w:val="00232D12"/>
    <w:rsid w:val="002353E3"/>
    <w:rsid w:val="00235F30"/>
    <w:rsid w:val="00236287"/>
    <w:rsid w:val="002407CE"/>
    <w:rsid w:val="00243A38"/>
    <w:rsid w:val="0024474F"/>
    <w:rsid w:val="002450F2"/>
    <w:rsid w:val="00245B7F"/>
    <w:rsid w:val="002469C2"/>
    <w:rsid w:val="00247BDE"/>
    <w:rsid w:val="002514FA"/>
    <w:rsid w:val="00252503"/>
    <w:rsid w:val="00252ED7"/>
    <w:rsid w:val="00254A7A"/>
    <w:rsid w:val="00254EA4"/>
    <w:rsid w:val="0025575F"/>
    <w:rsid w:val="002571E3"/>
    <w:rsid w:val="002573E6"/>
    <w:rsid w:val="00260496"/>
    <w:rsid w:val="00260542"/>
    <w:rsid w:val="00264C7C"/>
    <w:rsid w:val="00270443"/>
    <w:rsid w:val="00270EE2"/>
    <w:rsid w:val="00272826"/>
    <w:rsid w:val="00272A7B"/>
    <w:rsid w:val="00273527"/>
    <w:rsid w:val="002747EF"/>
    <w:rsid w:val="00274B06"/>
    <w:rsid w:val="00275282"/>
    <w:rsid w:val="002769AE"/>
    <w:rsid w:val="0028212E"/>
    <w:rsid w:val="002838DE"/>
    <w:rsid w:val="00285237"/>
    <w:rsid w:val="00285E3F"/>
    <w:rsid w:val="00285FDB"/>
    <w:rsid w:val="00286BFE"/>
    <w:rsid w:val="00286C81"/>
    <w:rsid w:val="0028709F"/>
    <w:rsid w:val="00290119"/>
    <w:rsid w:val="002908F8"/>
    <w:rsid w:val="00295002"/>
    <w:rsid w:val="00295260"/>
    <w:rsid w:val="002971F2"/>
    <w:rsid w:val="00297785"/>
    <w:rsid w:val="002A0444"/>
    <w:rsid w:val="002A0F8D"/>
    <w:rsid w:val="002A264B"/>
    <w:rsid w:val="002A4B33"/>
    <w:rsid w:val="002A5311"/>
    <w:rsid w:val="002B05D1"/>
    <w:rsid w:val="002B0639"/>
    <w:rsid w:val="002B1933"/>
    <w:rsid w:val="002B20BD"/>
    <w:rsid w:val="002B3A46"/>
    <w:rsid w:val="002B3F1C"/>
    <w:rsid w:val="002B4EF4"/>
    <w:rsid w:val="002B6CA2"/>
    <w:rsid w:val="002B6E44"/>
    <w:rsid w:val="002B726F"/>
    <w:rsid w:val="002C000B"/>
    <w:rsid w:val="002C103C"/>
    <w:rsid w:val="002C12C7"/>
    <w:rsid w:val="002C30F0"/>
    <w:rsid w:val="002C401A"/>
    <w:rsid w:val="002C49F2"/>
    <w:rsid w:val="002C6D15"/>
    <w:rsid w:val="002C7E5B"/>
    <w:rsid w:val="002D0907"/>
    <w:rsid w:val="002D0E9E"/>
    <w:rsid w:val="002D2D68"/>
    <w:rsid w:val="002D38D9"/>
    <w:rsid w:val="002D4277"/>
    <w:rsid w:val="002D5402"/>
    <w:rsid w:val="002D69E8"/>
    <w:rsid w:val="002D7417"/>
    <w:rsid w:val="002E0026"/>
    <w:rsid w:val="002E26E8"/>
    <w:rsid w:val="002E3DD8"/>
    <w:rsid w:val="002E4EC3"/>
    <w:rsid w:val="002E5A01"/>
    <w:rsid w:val="002E717C"/>
    <w:rsid w:val="002E7A61"/>
    <w:rsid w:val="002F0106"/>
    <w:rsid w:val="002F03C8"/>
    <w:rsid w:val="002F188D"/>
    <w:rsid w:val="002F18A5"/>
    <w:rsid w:val="002F317F"/>
    <w:rsid w:val="002F377B"/>
    <w:rsid w:val="002F7AA9"/>
    <w:rsid w:val="00301C0D"/>
    <w:rsid w:val="00311B66"/>
    <w:rsid w:val="00314FAF"/>
    <w:rsid w:val="003162A5"/>
    <w:rsid w:val="00316591"/>
    <w:rsid w:val="00320C6D"/>
    <w:rsid w:val="00321FFD"/>
    <w:rsid w:val="00322CB2"/>
    <w:rsid w:val="00322E18"/>
    <w:rsid w:val="00323F8A"/>
    <w:rsid w:val="00326011"/>
    <w:rsid w:val="00327069"/>
    <w:rsid w:val="00327AFB"/>
    <w:rsid w:val="00327D10"/>
    <w:rsid w:val="0033595E"/>
    <w:rsid w:val="0033601B"/>
    <w:rsid w:val="00340039"/>
    <w:rsid w:val="0034024F"/>
    <w:rsid w:val="00340DFB"/>
    <w:rsid w:val="00341941"/>
    <w:rsid w:val="0034278F"/>
    <w:rsid w:val="00343B47"/>
    <w:rsid w:val="0034404F"/>
    <w:rsid w:val="00344ACC"/>
    <w:rsid w:val="00345F01"/>
    <w:rsid w:val="0034654F"/>
    <w:rsid w:val="00347685"/>
    <w:rsid w:val="00351E21"/>
    <w:rsid w:val="00352327"/>
    <w:rsid w:val="00354405"/>
    <w:rsid w:val="0035635F"/>
    <w:rsid w:val="003607EE"/>
    <w:rsid w:val="00360978"/>
    <w:rsid w:val="003617AE"/>
    <w:rsid w:val="00362F85"/>
    <w:rsid w:val="003630F7"/>
    <w:rsid w:val="003651AC"/>
    <w:rsid w:val="00366120"/>
    <w:rsid w:val="003661FF"/>
    <w:rsid w:val="00366A0C"/>
    <w:rsid w:val="00367462"/>
    <w:rsid w:val="00370507"/>
    <w:rsid w:val="00372A01"/>
    <w:rsid w:val="003733DF"/>
    <w:rsid w:val="003751C7"/>
    <w:rsid w:val="00375C84"/>
    <w:rsid w:val="00376524"/>
    <w:rsid w:val="00380424"/>
    <w:rsid w:val="003819F5"/>
    <w:rsid w:val="00381D47"/>
    <w:rsid w:val="003835F0"/>
    <w:rsid w:val="003853ED"/>
    <w:rsid w:val="0039082A"/>
    <w:rsid w:val="0039101F"/>
    <w:rsid w:val="00393EEE"/>
    <w:rsid w:val="00395D99"/>
    <w:rsid w:val="003968DF"/>
    <w:rsid w:val="003A1F5A"/>
    <w:rsid w:val="003A3927"/>
    <w:rsid w:val="003A6E29"/>
    <w:rsid w:val="003B1844"/>
    <w:rsid w:val="003B211E"/>
    <w:rsid w:val="003B24EA"/>
    <w:rsid w:val="003B3FF1"/>
    <w:rsid w:val="003B4217"/>
    <w:rsid w:val="003B7F07"/>
    <w:rsid w:val="003C0A8D"/>
    <w:rsid w:val="003C0F87"/>
    <w:rsid w:val="003C141E"/>
    <w:rsid w:val="003C1B83"/>
    <w:rsid w:val="003C21B3"/>
    <w:rsid w:val="003C3503"/>
    <w:rsid w:val="003C40DE"/>
    <w:rsid w:val="003C4851"/>
    <w:rsid w:val="003C4C96"/>
    <w:rsid w:val="003C55E0"/>
    <w:rsid w:val="003C5E39"/>
    <w:rsid w:val="003D0079"/>
    <w:rsid w:val="003D10EC"/>
    <w:rsid w:val="003D29B9"/>
    <w:rsid w:val="003D37B6"/>
    <w:rsid w:val="003D7709"/>
    <w:rsid w:val="003E0E25"/>
    <w:rsid w:val="003E1409"/>
    <w:rsid w:val="003E7912"/>
    <w:rsid w:val="003F5717"/>
    <w:rsid w:val="003F5A39"/>
    <w:rsid w:val="003F5B56"/>
    <w:rsid w:val="003F5B9F"/>
    <w:rsid w:val="003F6A6A"/>
    <w:rsid w:val="003F738D"/>
    <w:rsid w:val="00402CE6"/>
    <w:rsid w:val="00402E56"/>
    <w:rsid w:val="00403634"/>
    <w:rsid w:val="00404592"/>
    <w:rsid w:val="00404B58"/>
    <w:rsid w:val="0040544F"/>
    <w:rsid w:val="0040625C"/>
    <w:rsid w:val="00411B17"/>
    <w:rsid w:val="0041222D"/>
    <w:rsid w:val="00417083"/>
    <w:rsid w:val="0042057C"/>
    <w:rsid w:val="00421608"/>
    <w:rsid w:val="004225F0"/>
    <w:rsid w:val="0042261E"/>
    <w:rsid w:val="00422749"/>
    <w:rsid w:val="004233DC"/>
    <w:rsid w:val="00432F78"/>
    <w:rsid w:val="004332ED"/>
    <w:rsid w:val="004334A2"/>
    <w:rsid w:val="00433645"/>
    <w:rsid w:val="00434723"/>
    <w:rsid w:val="00435721"/>
    <w:rsid w:val="00437D17"/>
    <w:rsid w:val="00437D2F"/>
    <w:rsid w:val="004401BA"/>
    <w:rsid w:val="0044046D"/>
    <w:rsid w:val="004410D3"/>
    <w:rsid w:val="00441DAF"/>
    <w:rsid w:val="00443A34"/>
    <w:rsid w:val="00443D38"/>
    <w:rsid w:val="00444140"/>
    <w:rsid w:val="00444F43"/>
    <w:rsid w:val="00450744"/>
    <w:rsid w:val="00450ACE"/>
    <w:rsid w:val="00450BE7"/>
    <w:rsid w:val="0045230E"/>
    <w:rsid w:val="004528FA"/>
    <w:rsid w:val="00452D67"/>
    <w:rsid w:val="00452E53"/>
    <w:rsid w:val="00455B00"/>
    <w:rsid w:val="00455B97"/>
    <w:rsid w:val="004564E1"/>
    <w:rsid w:val="00456BFD"/>
    <w:rsid w:val="00457273"/>
    <w:rsid w:val="004607D0"/>
    <w:rsid w:val="00460CE3"/>
    <w:rsid w:val="004612A4"/>
    <w:rsid w:val="00464BF1"/>
    <w:rsid w:val="004676E4"/>
    <w:rsid w:val="00470C48"/>
    <w:rsid w:val="00471429"/>
    <w:rsid w:val="00473C0A"/>
    <w:rsid w:val="00473E47"/>
    <w:rsid w:val="00474415"/>
    <w:rsid w:val="00476320"/>
    <w:rsid w:val="00477459"/>
    <w:rsid w:val="00477CC9"/>
    <w:rsid w:val="00477D53"/>
    <w:rsid w:val="0048026E"/>
    <w:rsid w:val="004807A9"/>
    <w:rsid w:val="00481318"/>
    <w:rsid w:val="004813EE"/>
    <w:rsid w:val="00482CDC"/>
    <w:rsid w:val="00482FE1"/>
    <w:rsid w:val="00483B03"/>
    <w:rsid w:val="00485702"/>
    <w:rsid w:val="004867EC"/>
    <w:rsid w:val="00487662"/>
    <w:rsid w:val="004876C6"/>
    <w:rsid w:val="00487D7B"/>
    <w:rsid w:val="00490F7A"/>
    <w:rsid w:val="00490FD5"/>
    <w:rsid w:val="00491241"/>
    <w:rsid w:val="00491813"/>
    <w:rsid w:val="00493278"/>
    <w:rsid w:val="00497575"/>
    <w:rsid w:val="004A12C0"/>
    <w:rsid w:val="004A191A"/>
    <w:rsid w:val="004A1A70"/>
    <w:rsid w:val="004A419E"/>
    <w:rsid w:val="004A6B58"/>
    <w:rsid w:val="004A6C5D"/>
    <w:rsid w:val="004B06C3"/>
    <w:rsid w:val="004B0B09"/>
    <w:rsid w:val="004B140F"/>
    <w:rsid w:val="004B53F1"/>
    <w:rsid w:val="004B5D6E"/>
    <w:rsid w:val="004B60BA"/>
    <w:rsid w:val="004C1619"/>
    <w:rsid w:val="004C1B59"/>
    <w:rsid w:val="004C4906"/>
    <w:rsid w:val="004C4EA2"/>
    <w:rsid w:val="004C596B"/>
    <w:rsid w:val="004C60E7"/>
    <w:rsid w:val="004D020F"/>
    <w:rsid w:val="004D03D1"/>
    <w:rsid w:val="004D09F4"/>
    <w:rsid w:val="004D11AF"/>
    <w:rsid w:val="004D502C"/>
    <w:rsid w:val="004D60A3"/>
    <w:rsid w:val="004D6696"/>
    <w:rsid w:val="004E016A"/>
    <w:rsid w:val="004E0461"/>
    <w:rsid w:val="004E152A"/>
    <w:rsid w:val="004E29B1"/>
    <w:rsid w:val="004E461B"/>
    <w:rsid w:val="004E477D"/>
    <w:rsid w:val="004E5890"/>
    <w:rsid w:val="004E7B33"/>
    <w:rsid w:val="004F0D19"/>
    <w:rsid w:val="004F121B"/>
    <w:rsid w:val="004F2811"/>
    <w:rsid w:val="004F60F4"/>
    <w:rsid w:val="004F62E8"/>
    <w:rsid w:val="004F78F8"/>
    <w:rsid w:val="005001A5"/>
    <w:rsid w:val="005019AA"/>
    <w:rsid w:val="00503C3B"/>
    <w:rsid w:val="00503CE7"/>
    <w:rsid w:val="005042DB"/>
    <w:rsid w:val="0050458E"/>
    <w:rsid w:val="00510452"/>
    <w:rsid w:val="005108EC"/>
    <w:rsid w:val="005147DA"/>
    <w:rsid w:val="005153C3"/>
    <w:rsid w:val="00515745"/>
    <w:rsid w:val="00515862"/>
    <w:rsid w:val="00516942"/>
    <w:rsid w:val="00516DC0"/>
    <w:rsid w:val="0052176C"/>
    <w:rsid w:val="005233F3"/>
    <w:rsid w:val="0052365C"/>
    <w:rsid w:val="005245D2"/>
    <w:rsid w:val="00524C98"/>
    <w:rsid w:val="00524C9C"/>
    <w:rsid w:val="00524EDD"/>
    <w:rsid w:val="00525B59"/>
    <w:rsid w:val="005269C4"/>
    <w:rsid w:val="00533DBF"/>
    <w:rsid w:val="00536442"/>
    <w:rsid w:val="005415DD"/>
    <w:rsid w:val="005423F3"/>
    <w:rsid w:val="005426DB"/>
    <w:rsid w:val="00550113"/>
    <w:rsid w:val="0055082B"/>
    <w:rsid w:val="00550F00"/>
    <w:rsid w:val="00551ED7"/>
    <w:rsid w:val="0055211C"/>
    <w:rsid w:val="0055263A"/>
    <w:rsid w:val="00552B57"/>
    <w:rsid w:val="00553E34"/>
    <w:rsid w:val="005551E9"/>
    <w:rsid w:val="00560C62"/>
    <w:rsid w:val="00561D8E"/>
    <w:rsid w:val="00562A61"/>
    <w:rsid w:val="005652D5"/>
    <w:rsid w:val="00565328"/>
    <w:rsid w:val="00574614"/>
    <w:rsid w:val="00574A70"/>
    <w:rsid w:val="00575C75"/>
    <w:rsid w:val="00577AC3"/>
    <w:rsid w:val="005815A8"/>
    <w:rsid w:val="00583431"/>
    <w:rsid w:val="005846C0"/>
    <w:rsid w:val="00584D04"/>
    <w:rsid w:val="0058567E"/>
    <w:rsid w:val="0058659E"/>
    <w:rsid w:val="005872DD"/>
    <w:rsid w:val="00587D3A"/>
    <w:rsid w:val="00590346"/>
    <w:rsid w:val="00590E93"/>
    <w:rsid w:val="005915E1"/>
    <w:rsid w:val="00591C75"/>
    <w:rsid w:val="005920A1"/>
    <w:rsid w:val="00592D10"/>
    <w:rsid w:val="00593A5F"/>
    <w:rsid w:val="0059404E"/>
    <w:rsid w:val="00594269"/>
    <w:rsid w:val="00594879"/>
    <w:rsid w:val="00595539"/>
    <w:rsid w:val="005A1E17"/>
    <w:rsid w:val="005A3E82"/>
    <w:rsid w:val="005A4DB0"/>
    <w:rsid w:val="005A5597"/>
    <w:rsid w:val="005A6AC2"/>
    <w:rsid w:val="005A7A65"/>
    <w:rsid w:val="005A7B26"/>
    <w:rsid w:val="005A7B8E"/>
    <w:rsid w:val="005B012B"/>
    <w:rsid w:val="005B0C87"/>
    <w:rsid w:val="005B2195"/>
    <w:rsid w:val="005B2D65"/>
    <w:rsid w:val="005B3877"/>
    <w:rsid w:val="005B3CC1"/>
    <w:rsid w:val="005B45AB"/>
    <w:rsid w:val="005B4D8F"/>
    <w:rsid w:val="005B6551"/>
    <w:rsid w:val="005B71A8"/>
    <w:rsid w:val="005C3E9E"/>
    <w:rsid w:val="005C410C"/>
    <w:rsid w:val="005C4BF1"/>
    <w:rsid w:val="005C4BF2"/>
    <w:rsid w:val="005C5BED"/>
    <w:rsid w:val="005C5D86"/>
    <w:rsid w:val="005C6167"/>
    <w:rsid w:val="005C6D3E"/>
    <w:rsid w:val="005C6EE2"/>
    <w:rsid w:val="005C7A07"/>
    <w:rsid w:val="005C7DDC"/>
    <w:rsid w:val="005D02C0"/>
    <w:rsid w:val="005D123A"/>
    <w:rsid w:val="005D23E8"/>
    <w:rsid w:val="005D2506"/>
    <w:rsid w:val="005D5B5E"/>
    <w:rsid w:val="005D5C85"/>
    <w:rsid w:val="005D72FC"/>
    <w:rsid w:val="005E035A"/>
    <w:rsid w:val="005E0708"/>
    <w:rsid w:val="005E1218"/>
    <w:rsid w:val="005E1A2A"/>
    <w:rsid w:val="005E1B6B"/>
    <w:rsid w:val="005E2281"/>
    <w:rsid w:val="005E38A8"/>
    <w:rsid w:val="005E39F9"/>
    <w:rsid w:val="005E55BB"/>
    <w:rsid w:val="005E5D11"/>
    <w:rsid w:val="005E667C"/>
    <w:rsid w:val="005E6A1D"/>
    <w:rsid w:val="005E6F12"/>
    <w:rsid w:val="005F077C"/>
    <w:rsid w:val="005F3CE8"/>
    <w:rsid w:val="005F4F41"/>
    <w:rsid w:val="005F68C3"/>
    <w:rsid w:val="00601E94"/>
    <w:rsid w:val="006021B1"/>
    <w:rsid w:val="006037C5"/>
    <w:rsid w:val="006040CE"/>
    <w:rsid w:val="0060467D"/>
    <w:rsid w:val="00605B9D"/>
    <w:rsid w:val="00606B57"/>
    <w:rsid w:val="00606B85"/>
    <w:rsid w:val="00607390"/>
    <w:rsid w:val="006076D8"/>
    <w:rsid w:val="00607E6D"/>
    <w:rsid w:val="00612871"/>
    <w:rsid w:val="00612A8E"/>
    <w:rsid w:val="0061345A"/>
    <w:rsid w:val="006135DA"/>
    <w:rsid w:val="006155E2"/>
    <w:rsid w:val="00615F26"/>
    <w:rsid w:val="00620579"/>
    <w:rsid w:val="006217AD"/>
    <w:rsid w:val="0062258F"/>
    <w:rsid w:val="00623332"/>
    <w:rsid w:val="00623BC7"/>
    <w:rsid w:val="006241D0"/>
    <w:rsid w:val="00625434"/>
    <w:rsid w:val="00626032"/>
    <w:rsid w:val="00627643"/>
    <w:rsid w:val="00627788"/>
    <w:rsid w:val="006300CD"/>
    <w:rsid w:val="0063017E"/>
    <w:rsid w:val="00631D4F"/>
    <w:rsid w:val="00633496"/>
    <w:rsid w:val="006338D2"/>
    <w:rsid w:val="00635FD8"/>
    <w:rsid w:val="00636F7B"/>
    <w:rsid w:val="0064019C"/>
    <w:rsid w:val="00640288"/>
    <w:rsid w:val="006405AC"/>
    <w:rsid w:val="006413D8"/>
    <w:rsid w:val="00641C55"/>
    <w:rsid w:val="00642405"/>
    <w:rsid w:val="00642645"/>
    <w:rsid w:val="00644BED"/>
    <w:rsid w:val="00652092"/>
    <w:rsid w:val="00652472"/>
    <w:rsid w:val="00653B38"/>
    <w:rsid w:val="00655C78"/>
    <w:rsid w:val="00656385"/>
    <w:rsid w:val="00660DBE"/>
    <w:rsid w:val="0066127D"/>
    <w:rsid w:val="0066182A"/>
    <w:rsid w:val="0066351C"/>
    <w:rsid w:val="00664693"/>
    <w:rsid w:val="00664DC0"/>
    <w:rsid w:val="006651CC"/>
    <w:rsid w:val="00665CA1"/>
    <w:rsid w:val="00667A31"/>
    <w:rsid w:val="00670702"/>
    <w:rsid w:val="0067147C"/>
    <w:rsid w:val="00672A8A"/>
    <w:rsid w:val="00673F50"/>
    <w:rsid w:val="006759B0"/>
    <w:rsid w:val="00677012"/>
    <w:rsid w:val="00680D0E"/>
    <w:rsid w:val="006816B0"/>
    <w:rsid w:val="006825B4"/>
    <w:rsid w:val="006829BA"/>
    <w:rsid w:val="00682AF2"/>
    <w:rsid w:val="006837DE"/>
    <w:rsid w:val="0068537F"/>
    <w:rsid w:val="00687628"/>
    <w:rsid w:val="00687CFE"/>
    <w:rsid w:val="00690832"/>
    <w:rsid w:val="00690EB8"/>
    <w:rsid w:val="006915E5"/>
    <w:rsid w:val="00691BB7"/>
    <w:rsid w:val="00692401"/>
    <w:rsid w:val="0069758B"/>
    <w:rsid w:val="006A0B6C"/>
    <w:rsid w:val="006A16E1"/>
    <w:rsid w:val="006A32FC"/>
    <w:rsid w:val="006A3C8A"/>
    <w:rsid w:val="006A3E61"/>
    <w:rsid w:val="006A6737"/>
    <w:rsid w:val="006B26B1"/>
    <w:rsid w:val="006B2E45"/>
    <w:rsid w:val="006B545C"/>
    <w:rsid w:val="006B5D32"/>
    <w:rsid w:val="006B7216"/>
    <w:rsid w:val="006B758B"/>
    <w:rsid w:val="006B7BF8"/>
    <w:rsid w:val="006C25D5"/>
    <w:rsid w:val="006C262B"/>
    <w:rsid w:val="006C3A2D"/>
    <w:rsid w:val="006C4666"/>
    <w:rsid w:val="006C49BF"/>
    <w:rsid w:val="006C63D7"/>
    <w:rsid w:val="006C7535"/>
    <w:rsid w:val="006C7ABB"/>
    <w:rsid w:val="006D2F09"/>
    <w:rsid w:val="006D3DC0"/>
    <w:rsid w:val="006D5E84"/>
    <w:rsid w:val="006D7C99"/>
    <w:rsid w:val="006E0443"/>
    <w:rsid w:val="006E0DCF"/>
    <w:rsid w:val="006E1647"/>
    <w:rsid w:val="006E310A"/>
    <w:rsid w:val="006E3C3E"/>
    <w:rsid w:val="006E429F"/>
    <w:rsid w:val="006E6F30"/>
    <w:rsid w:val="006E7082"/>
    <w:rsid w:val="006F030F"/>
    <w:rsid w:val="006F193C"/>
    <w:rsid w:val="006F1B58"/>
    <w:rsid w:val="006F2B89"/>
    <w:rsid w:val="006F3B81"/>
    <w:rsid w:val="006F4D59"/>
    <w:rsid w:val="006F4F79"/>
    <w:rsid w:val="006F4F80"/>
    <w:rsid w:val="006F5532"/>
    <w:rsid w:val="006F62CC"/>
    <w:rsid w:val="006F66C1"/>
    <w:rsid w:val="006F681D"/>
    <w:rsid w:val="006F6A0F"/>
    <w:rsid w:val="00700B11"/>
    <w:rsid w:val="0070235F"/>
    <w:rsid w:val="00702BC3"/>
    <w:rsid w:val="00703496"/>
    <w:rsid w:val="007036FE"/>
    <w:rsid w:val="00705B37"/>
    <w:rsid w:val="0070658A"/>
    <w:rsid w:val="00706B65"/>
    <w:rsid w:val="00707C1A"/>
    <w:rsid w:val="0071023D"/>
    <w:rsid w:val="00710530"/>
    <w:rsid w:val="00712912"/>
    <w:rsid w:val="007168A0"/>
    <w:rsid w:val="00716C95"/>
    <w:rsid w:val="00717762"/>
    <w:rsid w:val="00721A63"/>
    <w:rsid w:val="00721FF9"/>
    <w:rsid w:val="0072213E"/>
    <w:rsid w:val="00725735"/>
    <w:rsid w:val="00736395"/>
    <w:rsid w:val="00736459"/>
    <w:rsid w:val="00737821"/>
    <w:rsid w:val="00741175"/>
    <w:rsid w:val="007419FB"/>
    <w:rsid w:val="00742606"/>
    <w:rsid w:val="007441FF"/>
    <w:rsid w:val="00744836"/>
    <w:rsid w:val="00744B78"/>
    <w:rsid w:val="00744EE8"/>
    <w:rsid w:val="007467E4"/>
    <w:rsid w:val="00747569"/>
    <w:rsid w:val="00750238"/>
    <w:rsid w:val="0075023C"/>
    <w:rsid w:val="00751B43"/>
    <w:rsid w:val="007523E7"/>
    <w:rsid w:val="00754252"/>
    <w:rsid w:val="0075569E"/>
    <w:rsid w:val="007565BB"/>
    <w:rsid w:val="007577B1"/>
    <w:rsid w:val="00757D87"/>
    <w:rsid w:val="00760EED"/>
    <w:rsid w:val="0076109F"/>
    <w:rsid w:val="007619CE"/>
    <w:rsid w:val="00761F4F"/>
    <w:rsid w:val="007620DC"/>
    <w:rsid w:val="00762102"/>
    <w:rsid w:val="0076255D"/>
    <w:rsid w:val="007625F6"/>
    <w:rsid w:val="00762B8B"/>
    <w:rsid w:val="00764AF9"/>
    <w:rsid w:val="00765D18"/>
    <w:rsid w:val="00770C54"/>
    <w:rsid w:val="00772613"/>
    <w:rsid w:val="00772B41"/>
    <w:rsid w:val="007733B6"/>
    <w:rsid w:val="00777D6B"/>
    <w:rsid w:val="0078265B"/>
    <w:rsid w:val="00782E10"/>
    <w:rsid w:val="00786448"/>
    <w:rsid w:val="0079134E"/>
    <w:rsid w:val="00792125"/>
    <w:rsid w:val="0079278E"/>
    <w:rsid w:val="00792E3C"/>
    <w:rsid w:val="007930C1"/>
    <w:rsid w:val="00794BFF"/>
    <w:rsid w:val="007960E3"/>
    <w:rsid w:val="00796F7C"/>
    <w:rsid w:val="00797131"/>
    <w:rsid w:val="007A343D"/>
    <w:rsid w:val="007A5ACE"/>
    <w:rsid w:val="007A5C5C"/>
    <w:rsid w:val="007A6528"/>
    <w:rsid w:val="007A7B48"/>
    <w:rsid w:val="007B18C6"/>
    <w:rsid w:val="007B20C2"/>
    <w:rsid w:val="007B27E4"/>
    <w:rsid w:val="007B35F6"/>
    <w:rsid w:val="007B3F87"/>
    <w:rsid w:val="007B4001"/>
    <w:rsid w:val="007B404F"/>
    <w:rsid w:val="007B7B52"/>
    <w:rsid w:val="007C2F60"/>
    <w:rsid w:val="007C53E8"/>
    <w:rsid w:val="007C5613"/>
    <w:rsid w:val="007C6BC6"/>
    <w:rsid w:val="007C73B2"/>
    <w:rsid w:val="007D0435"/>
    <w:rsid w:val="007D400A"/>
    <w:rsid w:val="007D4B0E"/>
    <w:rsid w:val="007D4DD2"/>
    <w:rsid w:val="007E2419"/>
    <w:rsid w:val="007E3FF5"/>
    <w:rsid w:val="007E4219"/>
    <w:rsid w:val="007E577E"/>
    <w:rsid w:val="007E635E"/>
    <w:rsid w:val="007E6445"/>
    <w:rsid w:val="007E6C0C"/>
    <w:rsid w:val="007F038C"/>
    <w:rsid w:val="007F0940"/>
    <w:rsid w:val="007F0F24"/>
    <w:rsid w:val="007F15AC"/>
    <w:rsid w:val="007F222B"/>
    <w:rsid w:val="007F3092"/>
    <w:rsid w:val="007F39B8"/>
    <w:rsid w:val="007F4A6F"/>
    <w:rsid w:val="007F4FBC"/>
    <w:rsid w:val="007F5975"/>
    <w:rsid w:val="007F7DF2"/>
    <w:rsid w:val="00800A35"/>
    <w:rsid w:val="00801A0E"/>
    <w:rsid w:val="00804E4C"/>
    <w:rsid w:val="0080662C"/>
    <w:rsid w:val="008070B2"/>
    <w:rsid w:val="00807D79"/>
    <w:rsid w:val="00810102"/>
    <w:rsid w:val="008117C4"/>
    <w:rsid w:val="0081272C"/>
    <w:rsid w:val="00813DFC"/>
    <w:rsid w:val="008149D8"/>
    <w:rsid w:val="00817CFC"/>
    <w:rsid w:val="00821D81"/>
    <w:rsid w:val="00823654"/>
    <w:rsid w:val="00823A90"/>
    <w:rsid w:val="00826141"/>
    <w:rsid w:val="0082757E"/>
    <w:rsid w:val="00827D77"/>
    <w:rsid w:val="00830561"/>
    <w:rsid w:val="00831115"/>
    <w:rsid w:val="00831DF9"/>
    <w:rsid w:val="00832D42"/>
    <w:rsid w:val="00833419"/>
    <w:rsid w:val="008342A5"/>
    <w:rsid w:val="00834BE2"/>
    <w:rsid w:val="00834EA4"/>
    <w:rsid w:val="00835DCB"/>
    <w:rsid w:val="0084139B"/>
    <w:rsid w:val="0084143B"/>
    <w:rsid w:val="00842547"/>
    <w:rsid w:val="008427D3"/>
    <w:rsid w:val="0084324C"/>
    <w:rsid w:val="008451F8"/>
    <w:rsid w:val="008457D2"/>
    <w:rsid w:val="0084607F"/>
    <w:rsid w:val="00846212"/>
    <w:rsid w:val="008468E0"/>
    <w:rsid w:val="00847BE7"/>
    <w:rsid w:val="00850EAB"/>
    <w:rsid w:val="008529B3"/>
    <w:rsid w:val="00852ADD"/>
    <w:rsid w:val="00853883"/>
    <w:rsid w:val="00854DA7"/>
    <w:rsid w:val="00855BAD"/>
    <w:rsid w:val="008616A2"/>
    <w:rsid w:val="00861C6C"/>
    <w:rsid w:val="00873736"/>
    <w:rsid w:val="0087378E"/>
    <w:rsid w:val="008755E7"/>
    <w:rsid w:val="00877D03"/>
    <w:rsid w:val="00877E96"/>
    <w:rsid w:val="008803CE"/>
    <w:rsid w:val="00880DEF"/>
    <w:rsid w:val="00882077"/>
    <w:rsid w:val="00883613"/>
    <w:rsid w:val="00886393"/>
    <w:rsid w:val="00886579"/>
    <w:rsid w:val="00886F19"/>
    <w:rsid w:val="00887865"/>
    <w:rsid w:val="00887B37"/>
    <w:rsid w:val="00890598"/>
    <w:rsid w:val="0089065A"/>
    <w:rsid w:val="00891D7A"/>
    <w:rsid w:val="00891DFC"/>
    <w:rsid w:val="00892B98"/>
    <w:rsid w:val="008959FC"/>
    <w:rsid w:val="00895C94"/>
    <w:rsid w:val="008A1D0E"/>
    <w:rsid w:val="008A31C7"/>
    <w:rsid w:val="008A39F9"/>
    <w:rsid w:val="008A4AEC"/>
    <w:rsid w:val="008A5609"/>
    <w:rsid w:val="008A6DF0"/>
    <w:rsid w:val="008A6FA0"/>
    <w:rsid w:val="008B2B19"/>
    <w:rsid w:val="008B2F40"/>
    <w:rsid w:val="008B3627"/>
    <w:rsid w:val="008B5E61"/>
    <w:rsid w:val="008B7914"/>
    <w:rsid w:val="008C127A"/>
    <w:rsid w:val="008C2C7F"/>
    <w:rsid w:val="008C2F0D"/>
    <w:rsid w:val="008C5D2A"/>
    <w:rsid w:val="008C74FB"/>
    <w:rsid w:val="008C7AF4"/>
    <w:rsid w:val="008C7DA4"/>
    <w:rsid w:val="008D0210"/>
    <w:rsid w:val="008D0851"/>
    <w:rsid w:val="008D0DEF"/>
    <w:rsid w:val="008D1074"/>
    <w:rsid w:val="008D1079"/>
    <w:rsid w:val="008D280F"/>
    <w:rsid w:val="008D318B"/>
    <w:rsid w:val="008D3994"/>
    <w:rsid w:val="008D3C3D"/>
    <w:rsid w:val="008D41EC"/>
    <w:rsid w:val="008D478E"/>
    <w:rsid w:val="008D534E"/>
    <w:rsid w:val="008D6E81"/>
    <w:rsid w:val="008D7739"/>
    <w:rsid w:val="008E1267"/>
    <w:rsid w:val="008E1BB0"/>
    <w:rsid w:val="008E22F8"/>
    <w:rsid w:val="008E39D8"/>
    <w:rsid w:val="008E606F"/>
    <w:rsid w:val="008E6AD9"/>
    <w:rsid w:val="008E79CF"/>
    <w:rsid w:val="008F022A"/>
    <w:rsid w:val="008F0D0D"/>
    <w:rsid w:val="008F27E3"/>
    <w:rsid w:val="008F3485"/>
    <w:rsid w:val="008F3AC3"/>
    <w:rsid w:val="008F51FF"/>
    <w:rsid w:val="008F5DEF"/>
    <w:rsid w:val="009010D8"/>
    <w:rsid w:val="009026CB"/>
    <w:rsid w:val="00904038"/>
    <w:rsid w:val="009041AF"/>
    <w:rsid w:val="009049AB"/>
    <w:rsid w:val="009049E0"/>
    <w:rsid w:val="009050B7"/>
    <w:rsid w:val="00905130"/>
    <w:rsid w:val="009061B8"/>
    <w:rsid w:val="009074CD"/>
    <w:rsid w:val="009130CC"/>
    <w:rsid w:val="00913256"/>
    <w:rsid w:val="00914683"/>
    <w:rsid w:val="00914861"/>
    <w:rsid w:val="009148D8"/>
    <w:rsid w:val="00915CD5"/>
    <w:rsid w:val="00916093"/>
    <w:rsid w:val="009160E3"/>
    <w:rsid w:val="0091639C"/>
    <w:rsid w:val="00924FC0"/>
    <w:rsid w:val="009255FA"/>
    <w:rsid w:val="009262E4"/>
    <w:rsid w:val="00926BB8"/>
    <w:rsid w:val="00927D4E"/>
    <w:rsid w:val="00930D2A"/>
    <w:rsid w:val="00931B84"/>
    <w:rsid w:val="00932E7E"/>
    <w:rsid w:val="0093442D"/>
    <w:rsid w:val="00934CD2"/>
    <w:rsid w:val="00937593"/>
    <w:rsid w:val="009375E5"/>
    <w:rsid w:val="00941848"/>
    <w:rsid w:val="009437F2"/>
    <w:rsid w:val="009442E8"/>
    <w:rsid w:val="009452F5"/>
    <w:rsid w:val="009456A3"/>
    <w:rsid w:val="0094759C"/>
    <w:rsid w:val="00951666"/>
    <w:rsid w:val="00952524"/>
    <w:rsid w:val="0095278F"/>
    <w:rsid w:val="0095426C"/>
    <w:rsid w:val="00956BF5"/>
    <w:rsid w:val="009571C2"/>
    <w:rsid w:val="0095770C"/>
    <w:rsid w:val="00957CC8"/>
    <w:rsid w:val="00957EE7"/>
    <w:rsid w:val="00961453"/>
    <w:rsid w:val="009616D4"/>
    <w:rsid w:val="00964166"/>
    <w:rsid w:val="0096475C"/>
    <w:rsid w:val="0096546E"/>
    <w:rsid w:val="0096562A"/>
    <w:rsid w:val="00965865"/>
    <w:rsid w:val="00967730"/>
    <w:rsid w:val="00970D56"/>
    <w:rsid w:val="00970E50"/>
    <w:rsid w:val="00971074"/>
    <w:rsid w:val="009747AA"/>
    <w:rsid w:val="00974BCB"/>
    <w:rsid w:val="009763E4"/>
    <w:rsid w:val="00980A22"/>
    <w:rsid w:val="00983599"/>
    <w:rsid w:val="00985B04"/>
    <w:rsid w:val="00986BEF"/>
    <w:rsid w:val="00992499"/>
    <w:rsid w:val="00992986"/>
    <w:rsid w:val="00994B55"/>
    <w:rsid w:val="00995D86"/>
    <w:rsid w:val="009975E8"/>
    <w:rsid w:val="009A1F6B"/>
    <w:rsid w:val="009A2C4C"/>
    <w:rsid w:val="009A2DD8"/>
    <w:rsid w:val="009A30DE"/>
    <w:rsid w:val="009A3D29"/>
    <w:rsid w:val="009A5453"/>
    <w:rsid w:val="009A74A3"/>
    <w:rsid w:val="009A7883"/>
    <w:rsid w:val="009B2760"/>
    <w:rsid w:val="009B308D"/>
    <w:rsid w:val="009B3B62"/>
    <w:rsid w:val="009B4FFB"/>
    <w:rsid w:val="009B7489"/>
    <w:rsid w:val="009B7B0A"/>
    <w:rsid w:val="009C07C9"/>
    <w:rsid w:val="009C08D7"/>
    <w:rsid w:val="009C4A4A"/>
    <w:rsid w:val="009C4E0D"/>
    <w:rsid w:val="009C4F1B"/>
    <w:rsid w:val="009C503B"/>
    <w:rsid w:val="009D3AD2"/>
    <w:rsid w:val="009D3E06"/>
    <w:rsid w:val="009D638D"/>
    <w:rsid w:val="009E1CC8"/>
    <w:rsid w:val="009E30D2"/>
    <w:rsid w:val="009E4885"/>
    <w:rsid w:val="009E508B"/>
    <w:rsid w:val="009F030D"/>
    <w:rsid w:val="009F0A85"/>
    <w:rsid w:val="009F1B71"/>
    <w:rsid w:val="009F220A"/>
    <w:rsid w:val="009F36D6"/>
    <w:rsid w:val="00A02FA8"/>
    <w:rsid w:val="00A03F74"/>
    <w:rsid w:val="00A04131"/>
    <w:rsid w:val="00A05C04"/>
    <w:rsid w:val="00A06254"/>
    <w:rsid w:val="00A07DB6"/>
    <w:rsid w:val="00A11406"/>
    <w:rsid w:val="00A132A1"/>
    <w:rsid w:val="00A1554D"/>
    <w:rsid w:val="00A158E3"/>
    <w:rsid w:val="00A172E0"/>
    <w:rsid w:val="00A221A3"/>
    <w:rsid w:val="00A223D5"/>
    <w:rsid w:val="00A23F41"/>
    <w:rsid w:val="00A25547"/>
    <w:rsid w:val="00A31E14"/>
    <w:rsid w:val="00A356E7"/>
    <w:rsid w:val="00A37B0C"/>
    <w:rsid w:val="00A37D1C"/>
    <w:rsid w:val="00A37FFE"/>
    <w:rsid w:val="00A41FEF"/>
    <w:rsid w:val="00A42476"/>
    <w:rsid w:val="00A433CA"/>
    <w:rsid w:val="00A43F3C"/>
    <w:rsid w:val="00A468FD"/>
    <w:rsid w:val="00A46921"/>
    <w:rsid w:val="00A47249"/>
    <w:rsid w:val="00A47AEA"/>
    <w:rsid w:val="00A501C7"/>
    <w:rsid w:val="00A513FD"/>
    <w:rsid w:val="00A52BC1"/>
    <w:rsid w:val="00A534A0"/>
    <w:rsid w:val="00A539AD"/>
    <w:rsid w:val="00A540B2"/>
    <w:rsid w:val="00A56819"/>
    <w:rsid w:val="00A60E9C"/>
    <w:rsid w:val="00A61879"/>
    <w:rsid w:val="00A6444F"/>
    <w:rsid w:val="00A652FF"/>
    <w:rsid w:val="00A65A0D"/>
    <w:rsid w:val="00A65C27"/>
    <w:rsid w:val="00A65F3C"/>
    <w:rsid w:val="00A66585"/>
    <w:rsid w:val="00A714A3"/>
    <w:rsid w:val="00A71B8B"/>
    <w:rsid w:val="00A75089"/>
    <w:rsid w:val="00A75EDC"/>
    <w:rsid w:val="00A80404"/>
    <w:rsid w:val="00A817A8"/>
    <w:rsid w:val="00A81E50"/>
    <w:rsid w:val="00A82DA0"/>
    <w:rsid w:val="00A83E49"/>
    <w:rsid w:val="00A8415A"/>
    <w:rsid w:val="00A841A6"/>
    <w:rsid w:val="00A84221"/>
    <w:rsid w:val="00A84B7A"/>
    <w:rsid w:val="00A86FBC"/>
    <w:rsid w:val="00A902AD"/>
    <w:rsid w:val="00A9099E"/>
    <w:rsid w:val="00A91FB7"/>
    <w:rsid w:val="00A9298F"/>
    <w:rsid w:val="00A9301E"/>
    <w:rsid w:val="00A95186"/>
    <w:rsid w:val="00AA1224"/>
    <w:rsid w:val="00AA14F2"/>
    <w:rsid w:val="00AA180B"/>
    <w:rsid w:val="00AA1D43"/>
    <w:rsid w:val="00AA3301"/>
    <w:rsid w:val="00AA3360"/>
    <w:rsid w:val="00AA6B93"/>
    <w:rsid w:val="00AA7A06"/>
    <w:rsid w:val="00AB0C28"/>
    <w:rsid w:val="00AB1984"/>
    <w:rsid w:val="00AB1CBB"/>
    <w:rsid w:val="00AB215B"/>
    <w:rsid w:val="00AB333E"/>
    <w:rsid w:val="00AB37DB"/>
    <w:rsid w:val="00AB4C2A"/>
    <w:rsid w:val="00AB5F48"/>
    <w:rsid w:val="00AB716D"/>
    <w:rsid w:val="00AB72BB"/>
    <w:rsid w:val="00AB7BF3"/>
    <w:rsid w:val="00AC1AA3"/>
    <w:rsid w:val="00AC1F07"/>
    <w:rsid w:val="00AC1F8E"/>
    <w:rsid w:val="00AC4CB3"/>
    <w:rsid w:val="00AC4D7C"/>
    <w:rsid w:val="00AC6EF2"/>
    <w:rsid w:val="00AC71A6"/>
    <w:rsid w:val="00AC742F"/>
    <w:rsid w:val="00AC774F"/>
    <w:rsid w:val="00AC780D"/>
    <w:rsid w:val="00AC787B"/>
    <w:rsid w:val="00AC7956"/>
    <w:rsid w:val="00AC7E18"/>
    <w:rsid w:val="00AD1B79"/>
    <w:rsid w:val="00AD50F8"/>
    <w:rsid w:val="00AD520B"/>
    <w:rsid w:val="00AE3E11"/>
    <w:rsid w:val="00AE4BDC"/>
    <w:rsid w:val="00AE55AD"/>
    <w:rsid w:val="00AE78ED"/>
    <w:rsid w:val="00AF1117"/>
    <w:rsid w:val="00AF1555"/>
    <w:rsid w:val="00AF18BA"/>
    <w:rsid w:val="00AF228C"/>
    <w:rsid w:val="00AF2DB9"/>
    <w:rsid w:val="00AF3B55"/>
    <w:rsid w:val="00AF3D62"/>
    <w:rsid w:val="00AF6AC5"/>
    <w:rsid w:val="00AF7809"/>
    <w:rsid w:val="00AF7F7B"/>
    <w:rsid w:val="00B0104B"/>
    <w:rsid w:val="00B0129D"/>
    <w:rsid w:val="00B021E0"/>
    <w:rsid w:val="00B03A35"/>
    <w:rsid w:val="00B04F99"/>
    <w:rsid w:val="00B057B6"/>
    <w:rsid w:val="00B07BEA"/>
    <w:rsid w:val="00B07F41"/>
    <w:rsid w:val="00B10BE0"/>
    <w:rsid w:val="00B11287"/>
    <w:rsid w:val="00B11C80"/>
    <w:rsid w:val="00B12DCA"/>
    <w:rsid w:val="00B13ECB"/>
    <w:rsid w:val="00B1524F"/>
    <w:rsid w:val="00B215D5"/>
    <w:rsid w:val="00B22870"/>
    <w:rsid w:val="00B22A22"/>
    <w:rsid w:val="00B23F4C"/>
    <w:rsid w:val="00B24BA7"/>
    <w:rsid w:val="00B268D0"/>
    <w:rsid w:val="00B269D3"/>
    <w:rsid w:val="00B30448"/>
    <w:rsid w:val="00B30D75"/>
    <w:rsid w:val="00B31315"/>
    <w:rsid w:val="00B3498C"/>
    <w:rsid w:val="00B349B0"/>
    <w:rsid w:val="00B34D6A"/>
    <w:rsid w:val="00B35749"/>
    <w:rsid w:val="00B35EF5"/>
    <w:rsid w:val="00B3704D"/>
    <w:rsid w:val="00B40162"/>
    <w:rsid w:val="00B40FDB"/>
    <w:rsid w:val="00B430F6"/>
    <w:rsid w:val="00B45528"/>
    <w:rsid w:val="00B4654B"/>
    <w:rsid w:val="00B478FA"/>
    <w:rsid w:val="00B50156"/>
    <w:rsid w:val="00B509AE"/>
    <w:rsid w:val="00B50E13"/>
    <w:rsid w:val="00B51581"/>
    <w:rsid w:val="00B518AD"/>
    <w:rsid w:val="00B52D81"/>
    <w:rsid w:val="00B56866"/>
    <w:rsid w:val="00B604BB"/>
    <w:rsid w:val="00B60A96"/>
    <w:rsid w:val="00B60DD7"/>
    <w:rsid w:val="00B60EB6"/>
    <w:rsid w:val="00B6386F"/>
    <w:rsid w:val="00B67346"/>
    <w:rsid w:val="00B6793A"/>
    <w:rsid w:val="00B70E1E"/>
    <w:rsid w:val="00B71607"/>
    <w:rsid w:val="00B72361"/>
    <w:rsid w:val="00B75345"/>
    <w:rsid w:val="00B76327"/>
    <w:rsid w:val="00B76400"/>
    <w:rsid w:val="00B76C94"/>
    <w:rsid w:val="00B76D4E"/>
    <w:rsid w:val="00B771AA"/>
    <w:rsid w:val="00B772D0"/>
    <w:rsid w:val="00B83117"/>
    <w:rsid w:val="00B8319C"/>
    <w:rsid w:val="00B906F2"/>
    <w:rsid w:val="00B90D9B"/>
    <w:rsid w:val="00B91B81"/>
    <w:rsid w:val="00B91FF0"/>
    <w:rsid w:val="00B92FFF"/>
    <w:rsid w:val="00B96799"/>
    <w:rsid w:val="00B96DE5"/>
    <w:rsid w:val="00B97A76"/>
    <w:rsid w:val="00BA0166"/>
    <w:rsid w:val="00BA0584"/>
    <w:rsid w:val="00BA249D"/>
    <w:rsid w:val="00BA4D00"/>
    <w:rsid w:val="00BA5665"/>
    <w:rsid w:val="00BB015B"/>
    <w:rsid w:val="00BB0AB5"/>
    <w:rsid w:val="00BB33E9"/>
    <w:rsid w:val="00BB3BE4"/>
    <w:rsid w:val="00BB57D3"/>
    <w:rsid w:val="00BB58EE"/>
    <w:rsid w:val="00BB7589"/>
    <w:rsid w:val="00BC077E"/>
    <w:rsid w:val="00BC7632"/>
    <w:rsid w:val="00BC7C9E"/>
    <w:rsid w:val="00BD1E79"/>
    <w:rsid w:val="00BD23A5"/>
    <w:rsid w:val="00BD2937"/>
    <w:rsid w:val="00BD2AFC"/>
    <w:rsid w:val="00BD48A9"/>
    <w:rsid w:val="00BD5712"/>
    <w:rsid w:val="00BD607F"/>
    <w:rsid w:val="00BD658C"/>
    <w:rsid w:val="00BD7EC6"/>
    <w:rsid w:val="00BE0FF2"/>
    <w:rsid w:val="00BE1345"/>
    <w:rsid w:val="00BE1E83"/>
    <w:rsid w:val="00BE2147"/>
    <w:rsid w:val="00BE3C67"/>
    <w:rsid w:val="00BE50B5"/>
    <w:rsid w:val="00BE532F"/>
    <w:rsid w:val="00BE73FA"/>
    <w:rsid w:val="00BF0353"/>
    <w:rsid w:val="00BF2001"/>
    <w:rsid w:val="00BF2575"/>
    <w:rsid w:val="00BF25F5"/>
    <w:rsid w:val="00BF3F0A"/>
    <w:rsid w:val="00BF4E35"/>
    <w:rsid w:val="00C0083F"/>
    <w:rsid w:val="00C00976"/>
    <w:rsid w:val="00C04E51"/>
    <w:rsid w:val="00C060B0"/>
    <w:rsid w:val="00C072F0"/>
    <w:rsid w:val="00C07344"/>
    <w:rsid w:val="00C07C1F"/>
    <w:rsid w:val="00C11A79"/>
    <w:rsid w:val="00C13607"/>
    <w:rsid w:val="00C137B1"/>
    <w:rsid w:val="00C13B43"/>
    <w:rsid w:val="00C151BA"/>
    <w:rsid w:val="00C15E81"/>
    <w:rsid w:val="00C16A75"/>
    <w:rsid w:val="00C174C9"/>
    <w:rsid w:val="00C17B6E"/>
    <w:rsid w:val="00C20754"/>
    <w:rsid w:val="00C22307"/>
    <w:rsid w:val="00C23150"/>
    <w:rsid w:val="00C24908"/>
    <w:rsid w:val="00C2515F"/>
    <w:rsid w:val="00C26AEA"/>
    <w:rsid w:val="00C276EC"/>
    <w:rsid w:val="00C31AD4"/>
    <w:rsid w:val="00C31C63"/>
    <w:rsid w:val="00C32481"/>
    <w:rsid w:val="00C3394C"/>
    <w:rsid w:val="00C3516D"/>
    <w:rsid w:val="00C361A6"/>
    <w:rsid w:val="00C3670F"/>
    <w:rsid w:val="00C36E1A"/>
    <w:rsid w:val="00C371DF"/>
    <w:rsid w:val="00C37818"/>
    <w:rsid w:val="00C37EFC"/>
    <w:rsid w:val="00C37FF9"/>
    <w:rsid w:val="00C40126"/>
    <w:rsid w:val="00C41425"/>
    <w:rsid w:val="00C41B4A"/>
    <w:rsid w:val="00C42C11"/>
    <w:rsid w:val="00C43ADB"/>
    <w:rsid w:val="00C44B4C"/>
    <w:rsid w:val="00C45207"/>
    <w:rsid w:val="00C45CCD"/>
    <w:rsid w:val="00C46734"/>
    <w:rsid w:val="00C5105D"/>
    <w:rsid w:val="00C511F0"/>
    <w:rsid w:val="00C51639"/>
    <w:rsid w:val="00C53220"/>
    <w:rsid w:val="00C533A0"/>
    <w:rsid w:val="00C53E9D"/>
    <w:rsid w:val="00C573DA"/>
    <w:rsid w:val="00C5781B"/>
    <w:rsid w:val="00C621A7"/>
    <w:rsid w:val="00C62BF2"/>
    <w:rsid w:val="00C62D1B"/>
    <w:rsid w:val="00C638A6"/>
    <w:rsid w:val="00C64266"/>
    <w:rsid w:val="00C647DF"/>
    <w:rsid w:val="00C66CE8"/>
    <w:rsid w:val="00C70DF4"/>
    <w:rsid w:val="00C71252"/>
    <w:rsid w:val="00C7277F"/>
    <w:rsid w:val="00C74930"/>
    <w:rsid w:val="00C74B47"/>
    <w:rsid w:val="00C754BD"/>
    <w:rsid w:val="00C75CD1"/>
    <w:rsid w:val="00C769A9"/>
    <w:rsid w:val="00C80987"/>
    <w:rsid w:val="00C813FD"/>
    <w:rsid w:val="00C82933"/>
    <w:rsid w:val="00C82BE2"/>
    <w:rsid w:val="00C85DEF"/>
    <w:rsid w:val="00C91106"/>
    <w:rsid w:val="00C91D19"/>
    <w:rsid w:val="00C94A14"/>
    <w:rsid w:val="00CA007B"/>
    <w:rsid w:val="00CA0AA4"/>
    <w:rsid w:val="00CA1D4C"/>
    <w:rsid w:val="00CA3347"/>
    <w:rsid w:val="00CA5E51"/>
    <w:rsid w:val="00CA6FDA"/>
    <w:rsid w:val="00CA77CF"/>
    <w:rsid w:val="00CA7B58"/>
    <w:rsid w:val="00CB2518"/>
    <w:rsid w:val="00CB2D78"/>
    <w:rsid w:val="00CB3920"/>
    <w:rsid w:val="00CB6413"/>
    <w:rsid w:val="00CB696F"/>
    <w:rsid w:val="00CB78B0"/>
    <w:rsid w:val="00CC0F1C"/>
    <w:rsid w:val="00CC299A"/>
    <w:rsid w:val="00CC4280"/>
    <w:rsid w:val="00CC4F99"/>
    <w:rsid w:val="00CC6369"/>
    <w:rsid w:val="00CC73F3"/>
    <w:rsid w:val="00CD1B5A"/>
    <w:rsid w:val="00CD1E9C"/>
    <w:rsid w:val="00CD2E70"/>
    <w:rsid w:val="00CD3D06"/>
    <w:rsid w:val="00CD4A09"/>
    <w:rsid w:val="00CD4C7B"/>
    <w:rsid w:val="00CD5397"/>
    <w:rsid w:val="00CD5E93"/>
    <w:rsid w:val="00CD679F"/>
    <w:rsid w:val="00CE37A3"/>
    <w:rsid w:val="00CE6855"/>
    <w:rsid w:val="00CE6B6F"/>
    <w:rsid w:val="00CE7033"/>
    <w:rsid w:val="00CE770A"/>
    <w:rsid w:val="00CF02A6"/>
    <w:rsid w:val="00CF06CF"/>
    <w:rsid w:val="00CF2DC1"/>
    <w:rsid w:val="00CF2EE2"/>
    <w:rsid w:val="00CF3948"/>
    <w:rsid w:val="00CF3ACF"/>
    <w:rsid w:val="00CF441D"/>
    <w:rsid w:val="00CF4FCF"/>
    <w:rsid w:val="00CF4FDC"/>
    <w:rsid w:val="00CF56AF"/>
    <w:rsid w:val="00CF5BE0"/>
    <w:rsid w:val="00CF61CB"/>
    <w:rsid w:val="00CF6E83"/>
    <w:rsid w:val="00D00DBF"/>
    <w:rsid w:val="00D01054"/>
    <w:rsid w:val="00D01F5D"/>
    <w:rsid w:val="00D03DBE"/>
    <w:rsid w:val="00D03EED"/>
    <w:rsid w:val="00D0597D"/>
    <w:rsid w:val="00D072A7"/>
    <w:rsid w:val="00D11949"/>
    <w:rsid w:val="00D11A69"/>
    <w:rsid w:val="00D1484F"/>
    <w:rsid w:val="00D1707A"/>
    <w:rsid w:val="00D21435"/>
    <w:rsid w:val="00D2242C"/>
    <w:rsid w:val="00D224FA"/>
    <w:rsid w:val="00D25660"/>
    <w:rsid w:val="00D258EB"/>
    <w:rsid w:val="00D271CD"/>
    <w:rsid w:val="00D315CC"/>
    <w:rsid w:val="00D31917"/>
    <w:rsid w:val="00D325E7"/>
    <w:rsid w:val="00D327A3"/>
    <w:rsid w:val="00D32E40"/>
    <w:rsid w:val="00D34C82"/>
    <w:rsid w:val="00D36550"/>
    <w:rsid w:val="00D379EC"/>
    <w:rsid w:val="00D41E42"/>
    <w:rsid w:val="00D41F6B"/>
    <w:rsid w:val="00D42BF8"/>
    <w:rsid w:val="00D4348D"/>
    <w:rsid w:val="00D44E42"/>
    <w:rsid w:val="00D44FC3"/>
    <w:rsid w:val="00D50961"/>
    <w:rsid w:val="00D50A02"/>
    <w:rsid w:val="00D512A1"/>
    <w:rsid w:val="00D52AB4"/>
    <w:rsid w:val="00D538D5"/>
    <w:rsid w:val="00D54640"/>
    <w:rsid w:val="00D559B5"/>
    <w:rsid w:val="00D56420"/>
    <w:rsid w:val="00D56C0C"/>
    <w:rsid w:val="00D5798B"/>
    <w:rsid w:val="00D60736"/>
    <w:rsid w:val="00D6307D"/>
    <w:rsid w:val="00D63632"/>
    <w:rsid w:val="00D65893"/>
    <w:rsid w:val="00D658EC"/>
    <w:rsid w:val="00D6742A"/>
    <w:rsid w:val="00D67B9B"/>
    <w:rsid w:val="00D71733"/>
    <w:rsid w:val="00D718AC"/>
    <w:rsid w:val="00D7302F"/>
    <w:rsid w:val="00D74D14"/>
    <w:rsid w:val="00D75E82"/>
    <w:rsid w:val="00D769C5"/>
    <w:rsid w:val="00D76E76"/>
    <w:rsid w:val="00D80631"/>
    <w:rsid w:val="00D818EC"/>
    <w:rsid w:val="00D81A20"/>
    <w:rsid w:val="00D81F55"/>
    <w:rsid w:val="00D8321A"/>
    <w:rsid w:val="00D86D55"/>
    <w:rsid w:val="00D8789C"/>
    <w:rsid w:val="00D90558"/>
    <w:rsid w:val="00D914EB"/>
    <w:rsid w:val="00D94085"/>
    <w:rsid w:val="00D96D4F"/>
    <w:rsid w:val="00DA1806"/>
    <w:rsid w:val="00DA212B"/>
    <w:rsid w:val="00DA3A76"/>
    <w:rsid w:val="00DA73C1"/>
    <w:rsid w:val="00DA770D"/>
    <w:rsid w:val="00DB00EE"/>
    <w:rsid w:val="00DB3687"/>
    <w:rsid w:val="00DB68F2"/>
    <w:rsid w:val="00DC0445"/>
    <w:rsid w:val="00DC2C48"/>
    <w:rsid w:val="00DC46B5"/>
    <w:rsid w:val="00DC525E"/>
    <w:rsid w:val="00DC535C"/>
    <w:rsid w:val="00DC5DCB"/>
    <w:rsid w:val="00DD074A"/>
    <w:rsid w:val="00DD1941"/>
    <w:rsid w:val="00DD26A5"/>
    <w:rsid w:val="00DD34F2"/>
    <w:rsid w:val="00DD3C6B"/>
    <w:rsid w:val="00DD7631"/>
    <w:rsid w:val="00DD781E"/>
    <w:rsid w:val="00DD7A2C"/>
    <w:rsid w:val="00DE1238"/>
    <w:rsid w:val="00DE1FFE"/>
    <w:rsid w:val="00DE32E7"/>
    <w:rsid w:val="00DE3BB8"/>
    <w:rsid w:val="00DE5117"/>
    <w:rsid w:val="00DE5648"/>
    <w:rsid w:val="00DE595E"/>
    <w:rsid w:val="00DE5CD9"/>
    <w:rsid w:val="00DE70B5"/>
    <w:rsid w:val="00DE7113"/>
    <w:rsid w:val="00DF0576"/>
    <w:rsid w:val="00DF1981"/>
    <w:rsid w:val="00DF2144"/>
    <w:rsid w:val="00DF2EA5"/>
    <w:rsid w:val="00DF310B"/>
    <w:rsid w:val="00DF3E47"/>
    <w:rsid w:val="00DF56E8"/>
    <w:rsid w:val="00DF7133"/>
    <w:rsid w:val="00DF764C"/>
    <w:rsid w:val="00E0495B"/>
    <w:rsid w:val="00E04ECF"/>
    <w:rsid w:val="00E067C4"/>
    <w:rsid w:val="00E126B2"/>
    <w:rsid w:val="00E127E3"/>
    <w:rsid w:val="00E14818"/>
    <w:rsid w:val="00E148E8"/>
    <w:rsid w:val="00E1610C"/>
    <w:rsid w:val="00E16658"/>
    <w:rsid w:val="00E16660"/>
    <w:rsid w:val="00E16C78"/>
    <w:rsid w:val="00E16D73"/>
    <w:rsid w:val="00E17833"/>
    <w:rsid w:val="00E17981"/>
    <w:rsid w:val="00E17CD2"/>
    <w:rsid w:val="00E17E36"/>
    <w:rsid w:val="00E206D8"/>
    <w:rsid w:val="00E2352B"/>
    <w:rsid w:val="00E23F9B"/>
    <w:rsid w:val="00E26649"/>
    <w:rsid w:val="00E27F0A"/>
    <w:rsid w:val="00E33EB4"/>
    <w:rsid w:val="00E352C3"/>
    <w:rsid w:val="00E372F7"/>
    <w:rsid w:val="00E37DC0"/>
    <w:rsid w:val="00E37EC6"/>
    <w:rsid w:val="00E40432"/>
    <w:rsid w:val="00E40D52"/>
    <w:rsid w:val="00E4123F"/>
    <w:rsid w:val="00E41CE2"/>
    <w:rsid w:val="00E4220D"/>
    <w:rsid w:val="00E4231E"/>
    <w:rsid w:val="00E4279A"/>
    <w:rsid w:val="00E44AC7"/>
    <w:rsid w:val="00E453BD"/>
    <w:rsid w:val="00E45B2D"/>
    <w:rsid w:val="00E47A20"/>
    <w:rsid w:val="00E5084C"/>
    <w:rsid w:val="00E5384D"/>
    <w:rsid w:val="00E53F2E"/>
    <w:rsid w:val="00E54BB9"/>
    <w:rsid w:val="00E54D3F"/>
    <w:rsid w:val="00E55F1F"/>
    <w:rsid w:val="00E56866"/>
    <w:rsid w:val="00E57DFD"/>
    <w:rsid w:val="00E60423"/>
    <w:rsid w:val="00E607E5"/>
    <w:rsid w:val="00E60A16"/>
    <w:rsid w:val="00E6125B"/>
    <w:rsid w:val="00E6170A"/>
    <w:rsid w:val="00E62ADF"/>
    <w:rsid w:val="00E637A3"/>
    <w:rsid w:val="00E66BA2"/>
    <w:rsid w:val="00E677DB"/>
    <w:rsid w:val="00E71C2D"/>
    <w:rsid w:val="00E72BB6"/>
    <w:rsid w:val="00E778DC"/>
    <w:rsid w:val="00E80D00"/>
    <w:rsid w:val="00E815CE"/>
    <w:rsid w:val="00E81611"/>
    <w:rsid w:val="00E81800"/>
    <w:rsid w:val="00E81863"/>
    <w:rsid w:val="00E81C42"/>
    <w:rsid w:val="00E81C5C"/>
    <w:rsid w:val="00E82064"/>
    <w:rsid w:val="00E82B6E"/>
    <w:rsid w:val="00E82DC6"/>
    <w:rsid w:val="00E835C5"/>
    <w:rsid w:val="00E83ACD"/>
    <w:rsid w:val="00E848F0"/>
    <w:rsid w:val="00E84D1C"/>
    <w:rsid w:val="00E8628F"/>
    <w:rsid w:val="00E942B8"/>
    <w:rsid w:val="00E945AF"/>
    <w:rsid w:val="00E94A0B"/>
    <w:rsid w:val="00E94A2C"/>
    <w:rsid w:val="00E95799"/>
    <w:rsid w:val="00E9683D"/>
    <w:rsid w:val="00E970B7"/>
    <w:rsid w:val="00EA010D"/>
    <w:rsid w:val="00EA0507"/>
    <w:rsid w:val="00EA25EB"/>
    <w:rsid w:val="00EA2775"/>
    <w:rsid w:val="00EA5570"/>
    <w:rsid w:val="00EA612E"/>
    <w:rsid w:val="00EA761C"/>
    <w:rsid w:val="00EA7D7F"/>
    <w:rsid w:val="00EB0B5F"/>
    <w:rsid w:val="00EB1CF7"/>
    <w:rsid w:val="00EB2B6F"/>
    <w:rsid w:val="00EB2FA2"/>
    <w:rsid w:val="00EB3272"/>
    <w:rsid w:val="00EB5D99"/>
    <w:rsid w:val="00EB63EC"/>
    <w:rsid w:val="00EB769A"/>
    <w:rsid w:val="00EC11E4"/>
    <w:rsid w:val="00EC14E1"/>
    <w:rsid w:val="00EC2A3F"/>
    <w:rsid w:val="00EC2E64"/>
    <w:rsid w:val="00EC3A35"/>
    <w:rsid w:val="00EC3E69"/>
    <w:rsid w:val="00EC5554"/>
    <w:rsid w:val="00EC75F6"/>
    <w:rsid w:val="00ED0065"/>
    <w:rsid w:val="00ED353D"/>
    <w:rsid w:val="00ED3E64"/>
    <w:rsid w:val="00ED57B3"/>
    <w:rsid w:val="00ED588C"/>
    <w:rsid w:val="00EE1062"/>
    <w:rsid w:val="00EE17F2"/>
    <w:rsid w:val="00EE188A"/>
    <w:rsid w:val="00EE1B01"/>
    <w:rsid w:val="00EE2746"/>
    <w:rsid w:val="00EE6755"/>
    <w:rsid w:val="00EF03DC"/>
    <w:rsid w:val="00EF0437"/>
    <w:rsid w:val="00EF2AC7"/>
    <w:rsid w:val="00EF493F"/>
    <w:rsid w:val="00EF74E7"/>
    <w:rsid w:val="00F02C54"/>
    <w:rsid w:val="00F0448C"/>
    <w:rsid w:val="00F10C26"/>
    <w:rsid w:val="00F1377B"/>
    <w:rsid w:val="00F1601A"/>
    <w:rsid w:val="00F1675C"/>
    <w:rsid w:val="00F17428"/>
    <w:rsid w:val="00F20046"/>
    <w:rsid w:val="00F20D22"/>
    <w:rsid w:val="00F21A58"/>
    <w:rsid w:val="00F27F06"/>
    <w:rsid w:val="00F314E8"/>
    <w:rsid w:val="00F316A2"/>
    <w:rsid w:val="00F31F4F"/>
    <w:rsid w:val="00F323A2"/>
    <w:rsid w:val="00F33B57"/>
    <w:rsid w:val="00F33D5C"/>
    <w:rsid w:val="00F356D6"/>
    <w:rsid w:val="00F37D37"/>
    <w:rsid w:val="00F400E3"/>
    <w:rsid w:val="00F42D85"/>
    <w:rsid w:val="00F44642"/>
    <w:rsid w:val="00F454A2"/>
    <w:rsid w:val="00F45E89"/>
    <w:rsid w:val="00F47845"/>
    <w:rsid w:val="00F47B6C"/>
    <w:rsid w:val="00F50675"/>
    <w:rsid w:val="00F50BD6"/>
    <w:rsid w:val="00F50E16"/>
    <w:rsid w:val="00F51520"/>
    <w:rsid w:val="00F53151"/>
    <w:rsid w:val="00F535A9"/>
    <w:rsid w:val="00F5480F"/>
    <w:rsid w:val="00F567A4"/>
    <w:rsid w:val="00F605BE"/>
    <w:rsid w:val="00F61C7A"/>
    <w:rsid w:val="00F625F7"/>
    <w:rsid w:val="00F642BA"/>
    <w:rsid w:val="00F64D5A"/>
    <w:rsid w:val="00F65EC9"/>
    <w:rsid w:val="00F66CB1"/>
    <w:rsid w:val="00F70815"/>
    <w:rsid w:val="00F709F4"/>
    <w:rsid w:val="00F710A9"/>
    <w:rsid w:val="00F7284D"/>
    <w:rsid w:val="00F72CFE"/>
    <w:rsid w:val="00F72FB0"/>
    <w:rsid w:val="00F73423"/>
    <w:rsid w:val="00F737A4"/>
    <w:rsid w:val="00F75481"/>
    <w:rsid w:val="00F76A4C"/>
    <w:rsid w:val="00F82E2E"/>
    <w:rsid w:val="00F83601"/>
    <w:rsid w:val="00F837E6"/>
    <w:rsid w:val="00F8389A"/>
    <w:rsid w:val="00F83AE9"/>
    <w:rsid w:val="00F843D4"/>
    <w:rsid w:val="00F8516E"/>
    <w:rsid w:val="00F86741"/>
    <w:rsid w:val="00F87AE3"/>
    <w:rsid w:val="00F90613"/>
    <w:rsid w:val="00F906F4"/>
    <w:rsid w:val="00F915F3"/>
    <w:rsid w:val="00F91800"/>
    <w:rsid w:val="00F91853"/>
    <w:rsid w:val="00F91987"/>
    <w:rsid w:val="00F9208E"/>
    <w:rsid w:val="00F92C02"/>
    <w:rsid w:val="00F92FF1"/>
    <w:rsid w:val="00F95CCE"/>
    <w:rsid w:val="00F9692D"/>
    <w:rsid w:val="00F97D7B"/>
    <w:rsid w:val="00FA0F71"/>
    <w:rsid w:val="00FA30E5"/>
    <w:rsid w:val="00FA3A97"/>
    <w:rsid w:val="00FA3AEA"/>
    <w:rsid w:val="00FA4219"/>
    <w:rsid w:val="00FA4358"/>
    <w:rsid w:val="00FA48C7"/>
    <w:rsid w:val="00FA54FF"/>
    <w:rsid w:val="00FA5570"/>
    <w:rsid w:val="00FA5C0B"/>
    <w:rsid w:val="00FA70F5"/>
    <w:rsid w:val="00FB005D"/>
    <w:rsid w:val="00FB183E"/>
    <w:rsid w:val="00FB4629"/>
    <w:rsid w:val="00FB577F"/>
    <w:rsid w:val="00FB5FC4"/>
    <w:rsid w:val="00FB6A07"/>
    <w:rsid w:val="00FB6FB1"/>
    <w:rsid w:val="00FC6D4E"/>
    <w:rsid w:val="00FC736F"/>
    <w:rsid w:val="00FC75BD"/>
    <w:rsid w:val="00FD39CF"/>
    <w:rsid w:val="00FE1370"/>
    <w:rsid w:val="00FE1510"/>
    <w:rsid w:val="00FE2121"/>
    <w:rsid w:val="00FE321B"/>
    <w:rsid w:val="00FE3D07"/>
    <w:rsid w:val="00FE4B6F"/>
    <w:rsid w:val="00FE6818"/>
    <w:rsid w:val="00FF0CF5"/>
    <w:rsid w:val="00FF0D6F"/>
    <w:rsid w:val="00FF1712"/>
    <w:rsid w:val="00FF37DC"/>
    <w:rsid w:val="00FF37F2"/>
    <w:rsid w:val="00FF4FBA"/>
    <w:rsid w:val="00FF55AB"/>
    <w:rsid w:val="00FF5AAC"/>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ontratos@mindefensa.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eb0fd05604104aa4d3bc08dd4c4ad35e%7C7b09041e245149d08cb179d5e3d8c1be%7C0%7C0%7C638750606445955315%7CUnknown%7CTWFpbGZsb3d8eyJFbXB0eU1hcGkiOnRydWUsIlYiOiIwLjAuMDAwMCIsIlAiOiJXaW4zMiIsIkFOIjoiTWFpbCIsIldUIjoyfQ%3D%3D%7C0%7C%7C%7C&amp;sdata=rg5gIZMXUibmlW0fQooF%2BImy%2B2nR%2B%2FKlCtwBQuhqOt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tatiana.baquero%40colombiacompra.gov.co%7Ceb0fd05604104aa4d3bc08dd4c4ad35e%7C7b09041e245149d08cb179d5e3d8c1be%7C0%7C0%7C638750606445942981%7CUnknown%7CTWFpbGZsb3d8eyJFbXB0eU1hcGkiOnRydWUsIlYiOiIwLjAuMDAwMCIsIlAiOiJXaW4zMiIsIkFOIjoiTWFpbCIsIldUIjoyfQ%3D%3D%7C0%7C%7C%7C&amp;sdata=vELObfe7WBLRkZAqY%2BUNk6oCbo4SVElKFox0kR2OcRM%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tatiana.baquero%40colombiacompra.gov.co%7Ceb0fd05604104aa4d3bc08dd4c4ad35e%7C7b09041e245149d08cb179d5e3d8c1be%7C0%7C0%7C638750606445917849%7CUnknown%7CTWFpbGZsb3d8eyJFbXB0eU1hcGkiOnRydWUsIlYiOiIwLjAuMDAwMCIsIlAiOiJXaW4zMiIsIkFOIjoiTWFpbCIsIldUIjoyfQ%3D%3D%7C0%7C%7C%7C&amp;sdata=CIYlMJvb8%2FkyVQ4wnSJNk2cjQdOhR92iwUE8nmXIOW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4944</Words>
  <Characters>27197</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32077</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6</cp:revision>
  <dcterms:created xsi:type="dcterms:W3CDTF">2025-03-01T01:09:00Z</dcterms:created>
  <dcterms:modified xsi:type="dcterms:W3CDTF">2025-03-01T01:17:00Z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