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76BB9" w14:textId="77777777" w:rsidR="00A24733" w:rsidRPr="00A24733" w:rsidRDefault="00A24733" w:rsidP="00A24733">
      <w:pPr>
        <w:spacing w:after="0" w:line="276" w:lineRule="auto"/>
        <w:jc w:val="both"/>
        <w:rPr>
          <w:rFonts w:ascii="Arial" w:eastAsia="Calibri" w:hAnsi="Arial" w:cs="Arial"/>
          <w:b/>
          <w:szCs w:val="24"/>
          <w:lang w:val="es-ES_tradnl" w:eastAsia="es-ES_tradnl"/>
        </w:rPr>
      </w:pPr>
    </w:p>
    <w:p w14:paraId="38DC6289" w14:textId="77777777" w:rsidR="00A24733" w:rsidRPr="00A24733" w:rsidRDefault="00A24733" w:rsidP="00A24733">
      <w:pPr>
        <w:tabs>
          <w:tab w:val="left" w:pos="6551"/>
        </w:tabs>
        <w:spacing w:after="0" w:line="240" w:lineRule="auto"/>
        <w:jc w:val="both"/>
        <w:rPr>
          <w:rFonts w:ascii="Arial" w:eastAsia="Calibri" w:hAnsi="Arial" w:cs="Arial"/>
          <w:b/>
          <w:color w:val="000000"/>
          <w:szCs w:val="24"/>
          <w:lang w:val="es-ES_tradnl" w:eastAsia="es-ES_tradnl"/>
        </w:rPr>
      </w:pPr>
      <w:r w:rsidRPr="00A24733">
        <w:rPr>
          <w:rFonts w:ascii="Arial" w:eastAsia="Times New Roman" w:hAnsi="Arial" w:cs="Arial"/>
          <w:b/>
          <w:bCs/>
          <w:color w:val="000000"/>
          <w:lang w:eastAsia="es-ES_tradnl"/>
        </w:rPr>
        <w:t xml:space="preserve">DECRETO 1860 DE 2021 – Convocatorias limitadas a MiPymes – Normas reglamentarias – Mínima cuantía </w:t>
      </w:r>
    </w:p>
    <w:p w14:paraId="79BD02CC" w14:textId="77777777" w:rsidR="00A24733" w:rsidRPr="00A24733" w:rsidRDefault="00A24733" w:rsidP="00A24733">
      <w:pPr>
        <w:tabs>
          <w:tab w:val="left" w:pos="6551"/>
        </w:tabs>
        <w:spacing w:after="0" w:line="240" w:lineRule="auto"/>
        <w:jc w:val="both"/>
        <w:rPr>
          <w:rFonts w:ascii="Arial" w:eastAsia="Calibri" w:hAnsi="Arial" w:cs="Arial"/>
          <w:b/>
          <w:color w:val="000000"/>
          <w:szCs w:val="24"/>
          <w:lang w:val="es-ES_tradnl" w:eastAsia="es-ES_tradnl"/>
        </w:rPr>
      </w:pPr>
    </w:p>
    <w:p w14:paraId="525A8362" w14:textId="099D8669" w:rsidR="00E87DE0" w:rsidRDefault="00A24733" w:rsidP="00E87DE0">
      <w:pPr>
        <w:tabs>
          <w:tab w:val="left" w:pos="6551"/>
        </w:tabs>
        <w:spacing w:after="0" w:line="240" w:lineRule="auto"/>
        <w:jc w:val="both"/>
        <w:rPr>
          <w:rFonts w:ascii="Arial" w:eastAsia="Calibri" w:hAnsi="Arial" w:cs="Arial"/>
          <w:color w:val="000000"/>
          <w:sz w:val="20"/>
          <w:szCs w:val="20"/>
          <w:lang w:val="es-ES_tradnl" w:eastAsia="es-ES_tradnl"/>
        </w:rPr>
      </w:pPr>
      <w:r w:rsidRPr="00A24733">
        <w:rPr>
          <w:rFonts w:ascii="Arial" w:eastAsia="Calibri" w:hAnsi="Arial" w:cs="Arial"/>
          <w:color w:val="000000"/>
          <w:sz w:val="20"/>
          <w:szCs w:val="20"/>
          <w:lang w:val="es-ES_tradnl" w:eastAsia="es-ES_tradnl"/>
        </w:rPr>
        <w:t xml:space="preserve">[…] </w:t>
      </w:r>
      <w:r w:rsidR="00E87DE0" w:rsidRPr="00E87DE0">
        <w:rPr>
          <w:rFonts w:ascii="Arial" w:eastAsia="Calibri" w:hAnsi="Arial" w:cs="Arial"/>
          <w:color w:val="000000"/>
          <w:sz w:val="20"/>
          <w:szCs w:val="20"/>
          <w:lang w:val="es-ES_tradnl" w:eastAsia="es-ES_tradnl"/>
        </w:rPr>
        <w:t xml:space="preserve">el Gobierno Nacional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El artículo 8 ibidem sometió a un plazo la </w:t>
      </w:r>
      <w:proofErr w:type="gramStart"/>
      <w:r w:rsidR="00E87DE0" w:rsidRPr="00E87DE0">
        <w:rPr>
          <w:rFonts w:ascii="Arial" w:eastAsia="Calibri" w:hAnsi="Arial" w:cs="Arial"/>
          <w:color w:val="000000"/>
          <w:sz w:val="20"/>
          <w:szCs w:val="20"/>
          <w:lang w:val="es-ES_tradnl" w:eastAsia="es-ES_tradnl"/>
        </w:rPr>
        <w:t>entrada en vigencia</w:t>
      </w:r>
      <w:proofErr w:type="gramEnd"/>
      <w:r w:rsidR="00E87DE0" w:rsidRPr="00E87DE0">
        <w:rPr>
          <w:rFonts w:ascii="Arial" w:eastAsia="Calibri" w:hAnsi="Arial" w:cs="Arial"/>
          <w:color w:val="000000"/>
          <w:sz w:val="20"/>
          <w:szCs w:val="20"/>
          <w:lang w:val="es-ES_tradnl" w:eastAsia="es-ES_tradnl"/>
        </w:rPr>
        <w:t xml:space="preserve"> de sus disposiciones, al señalar que “aplicarán a los procedimientos de selección cuya invitación, aviso de convocatoria o documento equivalente se publique a los tres (3) meses contados a partir de su expedición”. </w:t>
      </w:r>
    </w:p>
    <w:p w14:paraId="01B7159B" w14:textId="77777777" w:rsidR="00E87DE0" w:rsidRPr="00E87DE0" w:rsidRDefault="00E87DE0" w:rsidP="00E87DE0">
      <w:pPr>
        <w:tabs>
          <w:tab w:val="left" w:pos="6551"/>
        </w:tabs>
        <w:spacing w:after="0" w:line="240" w:lineRule="auto"/>
        <w:jc w:val="both"/>
        <w:rPr>
          <w:rFonts w:ascii="Arial" w:eastAsia="Calibri" w:hAnsi="Arial" w:cs="Arial"/>
          <w:color w:val="000000"/>
          <w:sz w:val="20"/>
          <w:szCs w:val="20"/>
          <w:lang w:val="es-ES_tradnl" w:eastAsia="es-ES_tradnl"/>
        </w:rPr>
      </w:pPr>
    </w:p>
    <w:p w14:paraId="49A7D8DB" w14:textId="756F36EB" w:rsidR="00A24733" w:rsidRPr="00A24733" w:rsidRDefault="00E87DE0" w:rsidP="00E87DE0">
      <w:pPr>
        <w:tabs>
          <w:tab w:val="left" w:pos="6551"/>
        </w:tabs>
        <w:spacing w:after="0" w:line="240" w:lineRule="auto"/>
        <w:jc w:val="both"/>
        <w:rPr>
          <w:rFonts w:ascii="Arial" w:eastAsia="Calibri" w:hAnsi="Arial" w:cs="Arial"/>
          <w:bCs/>
          <w:color w:val="000000"/>
          <w:sz w:val="20"/>
          <w:szCs w:val="20"/>
          <w:lang w:eastAsia="es-ES_tradnl"/>
        </w:rPr>
      </w:pPr>
      <w:r w:rsidRPr="00E87DE0">
        <w:rPr>
          <w:rFonts w:ascii="Arial" w:eastAsia="Calibri" w:hAnsi="Arial" w:cs="Arial"/>
          <w:color w:val="000000"/>
          <w:sz w:val="20"/>
          <w:szCs w:val="20"/>
          <w:lang w:val="es-ES_tradnl" w:eastAsia="es-ES_tradnl"/>
        </w:rPr>
        <w:t xml:space="preserve">Entre los aspectos reglamentados por el mencionado decreto se encuentra el procedimiento de mínima cuantía. Así las cosas,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 Teniendo en cuenta lo anterior, la nueva Subsección 5 a que se hizo referencia contiene los siguientes artículos: i) 2.2.1.2.1.5.1. que se ocupa de desarrollar el contenido de los estudios previos para la contratación de mínima cuantía. </w:t>
      </w:r>
      <w:proofErr w:type="spellStart"/>
      <w:r w:rsidRPr="00E87DE0">
        <w:rPr>
          <w:rFonts w:ascii="Arial" w:eastAsia="Calibri" w:hAnsi="Arial" w:cs="Arial"/>
          <w:color w:val="000000"/>
          <w:sz w:val="20"/>
          <w:szCs w:val="20"/>
          <w:lang w:val="es-ES_tradnl" w:eastAsia="es-ES_tradnl"/>
        </w:rPr>
        <w:t>ii</w:t>
      </w:r>
      <w:proofErr w:type="spellEnd"/>
      <w:r w:rsidRPr="00E87DE0">
        <w:rPr>
          <w:rFonts w:ascii="Arial" w:eastAsia="Calibri" w:hAnsi="Arial" w:cs="Arial"/>
          <w:color w:val="000000"/>
          <w:sz w:val="20"/>
          <w:szCs w:val="20"/>
          <w:lang w:val="es-ES_tradnl" w:eastAsia="es-ES_tradnl"/>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Mipyme, de acuerdo con el mandato del parágrafo 1 del artículo 30 de la Ley 2069 de 2020. </w:t>
      </w:r>
      <w:proofErr w:type="spellStart"/>
      <w:r w:rsidRPr="00E87DE0">
        <w:rPr>
          <w:rFonts w:ascii="Arial" w:eastAsia="Calibri" w:hAnsi="Arial" w:cs="Arial"/>
          <w:color w:val="000000"/>
          <w:sz w:val="20"/>
          <w:szCs w:val="20"/>
          <w:lang w:val="es-ES_tradnl" w:eastAsia="es-ES_tradnl"/>
        </w:rPr>
        <w:t>iii</w:t>
      </w:r>
      <w:proofErr w:type="spellEnd"/>
      <w:r w:rsidRPr="00E87DE0">
        <w:rPr>
          <w:rFonts w:ascii="Arial" w:eastAsia="Calibri" w:hAnsi="Arial" w:cs="Arial"/>
          <w:color w:val="000000"/>
          <w:sz w:val="20"/>
          <w:szCs w:val="20"/>
          <w:lang w:val="es-ES_tradnl" w:eastAsia="es-ES_tradnl"/>
        </w:rPr>
        <w:t xml:space="preserve">) 2.2.1.2.1.5.3. que regula un procedimiento especial para las adquisiciones en grandes almacenes cuando se trate de mínima cuantía. </w:t>
      </w:r>
      <w:proofErr w:type="spellStart"/>
      <w:r w:rsidRPr="00E87DE0">
        <w:rPr>
          <w:rFonts w:ascii="Arial" w:eastAsia="Calibri" w:hAnsi="Arial" w:cs="Arial"/>
          <w:color w:val="000000"/>
          <w:sz w:val="20"/>
          <w:szCs w:val="20"/>
          <w:lang w:val="es-ES_tradnl" w:eastAsia="es-ES_tradnl"/>
        </w:rPr>
        <w:t>iv</w:t>
      </w:r>
      <w:proofErr w:type="spellEnd"/>
      <w:r w:rsidRPr="00E87DE0">
        <w:rPr>
          <w:rFonts w:ascii="Arial" w:eastAsia="Calibri" w:hAnsi="Arial" w:cs="Arial"/>
          <w:color w:val="000000"/>
          <w:sz w:val="20"/>
          <w:szCs w:val="20"/>
          <w:lang w:val="es-ES_tradnl" w:eastAsia="es-ES_tradnl"/>
        </w:rPr>
        <w:t>)  2.2.1.2.1.5.4. el cual establece la posibilidad de la Agencia Nacional de Contratación Pública – Colombia Compra Eficiente defina las reglas para la utilización de instrumentos de agregación de demanda en la Tienda Virtual del Estado Colombiano para adquisiciones hasta el monto de la mínima cuantía con Mipyme y con grandes almacenes. Y v) 2.2.1.2.1.5.5. el cual establece que la entidad estatal es libre de exigir o no garantías en el proceso de selección de mínima cuantía y en la adquisición de “grandes almacenes”.</w:t>
      </w:r>
    </w:p>
    <w:p w14:paraId="47371443" w14:textId="77777777" w:rsidR="00A24733" w:rsidRPr="00A24733" w:rsidRDefault="00A24733" w:rsidP="00A24733">
      <w:pPr>
        <w:spacing w:after="0" w:line="276" w:lineRule="auto"/>
        <w:jc w:val="both"/>
        <w:rPr>
          <w:rFonts w:ascii="Arial" w:eastAsia="Calibri" w:hAnsi="Arial" w:cs="Arial"/>
          <w:b/>
          <w:szCs w:val="24"/>
          <w:lang w:val="es-ES_tradnl" w:eastAsia="es-ES_tradnl"/>
        </w:rPr>
      </w:pPr>
    </w:p>
    <w:p w14:paraId="27112BDA" w14:textId="77777777" w:rsidR="00A24733" w:rsidRPr="00A24733" w:rsidRDefault="00A24733" w:rsidP="00A24733">
      <w:pPr>
        <w:tabs>
          <w:tab w:val="left" w:pos="709"/>
        </w:tabs>
        <w:spacing w:after="0" w:line="240" w:lineRule="auto"/>
        <w:jc w:val="both"/>
        <w:rPr>
          <w:rFonts w:ascii="Arial" w:eastAsia="Calibri" w:hAnsi="Arial" w:cs="Arial"/>
          <w:b/>
          <w:bCs/>
          <w:color w:val="000000"/>
          <w:lang w:val="es-ES_tradnl"/>
        </w:rPr>
      </w:pPr>
      <w:r w:rsidRPr="00F0394D">
        <w:rPr>
          <w:rFonts w:ascii="Arial" w:eastAsia="Calibri" w:hAnsi="Arial" w:cs="Arial"/>
          <w:b/>
          <w:bCs/>
          <w:color w:val="000000"/>
          <w:lang w:val="es-ES_tradnl"/>
        </w:rPr>
        <w:t>DÍAS HÁBILES</w:t>
      </w:r>
      <w:r w:rsidRPr="00A24733">
        <w:rPr>
          <w:rFonts w:ascii="Arial" w:eastAsia="Calibri" w:hAnsi="Arial" w:cs="Arial"/>
          <w:b/>
          <w:bCs/>
          <w:color w:val="000000"/>
          <w:lang w:val="es-ES_tradnl"/>
        </w:rPr>
        <w:t xml:space="preserve"> – </w:t>
      </w:r>
      <w:r w:rsidRPr="00BC1C32">
        <w:rPr>
          <w:rFonts w:ascii="Arial" w:eastAsia="Calibri" w:hAnsi="Arial" w:cs="Arial"/>
          <w:b/>
          <w:bCs/>
          <w:color w:val="000000"/>
          <w:lang w:val="es-ES_tradnl"/>
        </w:rPr>
        <w:t>Concepto</w:t>
      </w:r>
      <w:r w:rsidRPr="00A24733">
        <w:rPr>
          <w:rFonts w:ascii="Arial" w:eastAsia="Calibri" w:hAnsi="Arial" w:cs="Arial"/>
          <w:b/>
          <w:bCs/>
          <w:color w:val="000000"/>
          <w:lang w:val="es-ES_tradnl"/>
        </w:rPr>
        <w:t xml:space="preserve"> – Cómputo de términos</w:t>
      </w:r>
    </w:p>
    <w:p w14:paraId="58CC180B" w14:textId="77777777" w:rsidR="00A24733" w:rsidRPr="00A24733" w:rsidRDefault="00A24733" w:rsidP="00A24733">
      <w:pPr>
        <w:tabs>
          <w:tab w:val="left" w:pos="709"/>
        </w:tabs>
        <w:spacing w:after="0" w:line="240" w:lineRule="auto"/>
        <w:jc w:val="both"/>
        <w:rPr>
          <w:rFonts w:ascii="Arial" w:eastAsia="Calibri" w:hAnsi="Arial" w:cs="Arial"/>
          <w:b/>
          <w:bCs/>
          <w:color w:val="000000"/>
          <w:lang w:val="es-ES_tradnl"/>
        </w:rPr>
      </w:pPr>
    </w:p>
    <w:p w14:paraId="1336ED07" w14:textId="7DFCBE42" w:rsidR="00CF3515" w:rsidRDefault="00A24733" w:rsidP="00CF3515">
      <w:pPr>
        <w:tabs>
          <w:tab w:val="left" w:pos="709"/>
        </w:tabs>
        <w:spacing w:after="0" w:line="240" w:lineRule="auto"/>
        <w:jc w:val="both"/>
        <w:rPr>
          <w:rFonts w:ascii="Arial" w:eastAsia="Calibri" w:hAnsi="Arial" w:cs="Arial"/>
          <w:color w:val="000000"/>
          <w:sz w:val="20"/>
          <w:szCs w:val="20"/>
          <w:lang w:val="es-ES_tradnl"/>
        </w:rPr>
      </w:pPr>
      <w:r w:rsidRPr="00A24733">
        <w:rPr>
          <w:rFonts w:ascii="Arial" w:eastAsia="Calibri" w:hAnsi="Arial" w:cs="Arial"/>
          <w:color w:val="000000"/>
          <w:sz w:val="20"/>
          <w:szCs w:val="20"/>
          <w:lang w:val="es-ES_tradnl"/>
        </w:rPr>
        <w:t xml:space="preserve">[…] </w:t>
      </w:r>
      <w:r w:rsidR="00CF3515" w:rsidRPr="00CF3515">
        <w:rPr>
          <w:rFonts w:ascii="Arial" w:eastAsia="Calibri" w:hAnsi="Arial" w:cs="Arial"/>
          <w:color w:val="000000"/>
          <w:sz w:val="20"/>
          <w:szCs w:val="20"/>
          <w:lang w:val="es-ES_tradnl"/>
        </w:rPr>
        <w:t xml:space="preserve">los días hábiles se determinan según la entidad, ya que “cada entidad pública establece la jornada laboral, a través de su reglamento interno, dando certeza sobre los días que atienden al público, e indirectamente definiendo qué día es hábil en determinada institución” ,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 ejemplo donde los días laborables o hábiles son todos los de la semana, con excepción del miércoles. </w:t>
      </w:r>
    </w:p>
    <w:p w14:paraId="6F496AA0" w14:textId="77777777" w:rsidR="00CF3515" w:rsidRDefault="00CF3515" w:rsidP="00CF3515">
      <w:pPr>
        <w:tabs>
          <w:tab w:val="left" w:pos="709"/>
        </w:tabs>
        <w:spacing w:after="0" w:line="240" w:lineRule="auto"/>
        <w:jc w:val="both"/>
        <w:rPr>
          <w:rFonts w:ascii="Arial" w:eastAsia="Calibri" w:hAnsi="Arial" w:cs="Arial"/>
          <w:color w:val="000000"/>
          <w:sz w:val="20"/>
          <w:szCs w:val="20"/>
          <w:lang w:val="es-ES_tradnl"/>
        </w:rPr>
      </w:pPr>
    </w:p>
    <w:p w14:paraId="1E09D756" w14:textId="3D2FD69F" w:rsidR="00A24733" w:rsidRPr="00A24733" w:rsidRDefault="00CF3515" w:rsidP="00CF3515">
      <w:pPr>
        <w:tabs>
          <w:tab w:val="left" w:pos="709"/>
        </w:tabs>
        <w:spacing w:after="0" w:line="240" w:lineRule="auto"/>
        <w:jc w:val="both"/>
        <w:rPr>
          <w:rFonts w:ascii="Arial" w:eastAsia="Calibri" w:hAnsi="Arial" w:cs="Arial"/>
          <w:color w:val="000000"/>
          <w:sz w:val="20"/>
          <w:szCs w:val="20"/>
          <w:lang w:val="es-ES_tradnl"/>
        </w:rPr>
      </w:pPr>
      <w:r w:rsidRPr="00CF3515">
        <w:rPr>
          <w:rFonts w:ascii="Arial" w:eastAsia="Calibri" w:hAnsi="Arial" w:cs="Arial"/>
          <w:color w:val="000000"/>
          <w:sz w:val="20"/>
          <w:szCs w:val="20"/>
          <w:lang w:val="es-ES_tradnl"/>
        </w:rPr>
        <w:t>Esto implica, respecto del término para publicar la invitación y para la presentación de ofertas en procedimientos de mínima cuantía, así como para el cómputo de los demás términos en días hábiles propios de estos procesos de selección, que deberá transcurrir dentro de los días definidos por cada entidad estatal como laborables en su correspondiente reglamento o manual de funciones.</w:t>
      </w:r>
    </w:p>
    <w:p w14:paraId="7A96BE01" w14:textId="77777777" w:rsidR="00A24733" w:rsidRPr="00A24733" w:rsidRDefault="00A24733" w:rsidP="00A24733">
      <w:pPr>
        <w:tabs>
          <w:tab w:val="left" w:pos="709"/>
        </w:tabs>
        <w:spacing w:after="0" w:line="240" w:lineRule="auto"/>
        <w:jc w:val="both"/>
        <w:rPr>
          <w:rFonts w:ascii="Arial" w:eastAsia="Calibri" w:hAnsi="Arial" w:cs="Arial"/>
          <w:color w:val="000000"/>
          <w:lang w:val="es-ES_tradnl"/>
        </w:rPr>
      </w:pPr>
    </w:p>
    <w:p w14:paraId="04041C4F" w14:textId="77777777" w:rsidR="00A24733" w:rsidRPr="00A24733" w:rsidRDefault="00A24733" w:rsidP="00A24733">
      <w:pPr>
        <w:tabs>
          <w:tab w:val="left" w:pos="709"/>
        </w:tabs>
        <w:spacing w:after="0" w:line="240" w:lineRule="auto"/>
        <w:jc w:val="both"/>
        <w:rPr>
          <w:rFonts w:ascii="Arial" w:eastAsia="Calibri" w:hAnsi="Arial" w:cs="Arial"/>
          <w:b/>
          <w:bCs/>
          <w:color w:val="000000"/>
          <w:lang w:val="es-ES_tradnl"/>
        </w:rPr>
      </w:pPr>
      <w:r w:rsidRPr="00A24733">
        <w:rPr>
          <w:rFonts w:ascii="Arial" w:eastAsia="Calibri" w:hAnsi="Arial" w:cs="Arial"/>
          <w:b/>
          <w:bCs/>
          <w:color w:val="000000"/>
          <w:lang w:val="es-ES_tradnl"/>
        </w:rPr>
        <w:t>DÍAS HÁBILES – Cómputo – Regla interpretativa – Mínima cuantía</w:t>
      </w:r>
    </w:p>
    <w:p w14:paraId="2CBEC490" w14:textId="77777777" w:rsidR="00A24733" w:rsidRPr="00A24733" w:rsidRDefault="00A24733" w:rsidP="00A24733">
      <w:pPr>
        <w:tabs>
          <w:tab w:val="left" w:pos="709"/>
        </w:tabs>
        <w:spacing w:after="0" w:line="240" w:lineRule="auto"/>
        <w:jc w:val="both"/>
        <w:rPr>
          <w:rFonts w:ascii="Arial" w:eastAsia="Calibri" w:hAnsi="Arial" w:cs="Arial"/>
          <w:b/>
          <w:bCs/>
          <w:color w:val="000000"/>
          <w:lang w:val="es-ES_tradnl"/>
        </w:rPr>
      </w:pPr>
    </w:p>
    <w:p w14:paraId="16A51876" w14:textId="77777777" w:rsidR="00CF3515" w:rsidRDefault="00A24733" w:rsidP="00CF3515">
      <w:pPr>
        <w:tabs>
          <w:tab w:val="left" w:pos="709"/>
        </w:tabs>
        <w:spacing w:after="0" w:line="240" w:lineRule="auto"/>
        <w:jc w:val="both"/>
        <w:rPr>
          <w:rFonts w:ascii="Arial" w:eastAsia="Calibri" w:hAnsi="Arial" w:cs="Arial"/>
          <w:color w:val="000000"/>
          <w:sz w:val="20"/>
          <w:szCs w:val="20"/>
          <w:lang w:val="es-ES_tradnl"/>
        </w:rPr>
      </w:pPr>
      <w:r w:rsidRPr="00A24733">
        <w:rPr>
          <w:rFonts w:ascii="Arial" w:eastAsia="Calibri" w:hAnsi="Arial" w:cs="Arial"/>
          <w:color w:val="000000"/>
          <w:sz w:val="20"/>
          <w:szCs w:val="20"/>
          <w:lang w:val="es-ES_tradnl"/>
        </w:rPr>
        <w:t xml:space="preserve">[…] </w:t>
      </w:r>
      <w:r w:rsidR="00CF3515" w:rsidRPr="00CF3515">
        <w:rPr>
          <w:rFonts w:ascii="Arial" w:eastAsia="Calibri" w:hAnsi="Arial" w:cs="Arial"/>
          <w:color w:val="000000"/>
          <w:sz w:val="20"/>
          <w:szCs w:val="20"/>
          <w:lang w:val="es-ES_tradnl"/>
        </w:rPr>
        <w:t xml:space="preserve">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w:t>
      </w:r>
    </w:p>
    <w:p w14:paraId="5F2CF064" w14:textId="77777777" w:rsidR="00CF3515" w:rsidRPr="00CF3515" w:rsidRDefault="00CF3515" w:rsidP="00CF3515">
      <w:pPr>
        <w:tabs>
          <w:tab w:val="left" w:pos="709"/>
        </w:tabs>
        <w:spacing w:after="0" w:line="240" w:lineRule="auto"/>
        <w:jc w:val="both"/>
        <w:rPr>
          <w:rFonts w:ascii="Arial" w:eastAsia="Calibri" w:hAnsi="Arial" w:cs="Arial"/>
          <w:color w:val="000000"/>
          <w:sz w:val="20"/>
          <w:szCs w:val="20"/>
          <w:lang w:val="es-ES_tradnl"/>
        </w:rPr>
      </w:pPr>
    </w:p>
    <w:p w14:paraId="708D1968" w14:textId="5CFA28C8" w:rsidR="00A24733" w:rsidRPr="00A24733" w:rsidRDefault="00CF3515" w:rsidP="00CF3515">
      <w:pPr>
        <w:tabs>
          <w:tab w:val="left" w:pos="709"/>
        </w:tabs>
        <w:spacing w:after="0" w:line="240" w:lineRule="auto"/>
        <w:jc w:val="both"/>
        <w:rPr>
          <w:rFonts w:ascii="Arial" w:eastAsia="Calibri" w:hAnsi="Arial" w:cs="Arial"/>
          <w:color w:val="000000"/>
          <w:sz w:val="20"/>
          <w:szCs w:val="20"/>
          <w:lang w:val="es-ES_tradnl"/>
        </w:rPr>
      </w:pPr>
      <w:r w:rsidRPr="00CF3515">
        <w:rPr>
          <w:rFonts w:ascii="Arial" w:eastAsia="Calibri" w:hAnsi="Arial" w:cs="Arial"/>
          <w:color w:val="000000"/>
          <w:sz w:val="20"/>
          <w:szCs w:val="20"/>
          <w:lang w:val="es-ES_tradnl"/>
        </w:rPr>
        <w:t>De otro lado, en el caso de las entidades que realizan sus procedimientos de selección a través de SECOP II, deberán extender el termino para la presentación de ofertas durante las veinticuatro (24) horas que conforman un día solar laborable. La aplicación de esta regla permite conciliar la inexistencia de una definición unívoca de día hábil y de un método legal para el cómputo de términos de un único día, con las implicaciones prácticas del ejercicio de la actividad precontractual, de tal forma que se da a cada situación la solución más adecuada a los medios con los que cuentan las respectivas entidades para llevar a cabo sus procesos de selección.</w:t>
      </w:r>
    </w:p>
    <w:p w14:paraId="7014AB48" w14:textId="77777777" w:rsidR="00A24733" w:rsidRPr="00A24733" w:rsidRDefault="00A24733" w:rsidP="00A24733">
      <w:pPr>
        <w:tabs>
          <w:tab w:val="left" w:pos="6551"/>
        </w:tabs>
        <w:spacing w:after="0" w:line="240" w:lineRule="auto"/>
        <w:jc w:val="both"/>
        <w:rPr>
          <w:rFonts w:ascii="Arial" w:eastAsia="Calibri" w:hAnsi="Arial" w:cs="Arial"/>
          <w:bCs/>
          <w:color w:val="000000"/>
          <w:sz w:val="20"/>
          <w:szCs w:val="20"/>
          <w:lang w:val="es-ES_tradnl" w:eastAsia="es-ES_tradnl"/>
        </w:rPr>
      </w:pPr>
    </w:p>
    <w:p w14:paraId="63FBD6C6" w14:textId="77777777" w:rsidR="00A24733" w:rsidRPr="00A24733" w:rsidRDefault="00A24733" w:rsidP="00A24733">
      <w:pPr>
        <w:tabs>
          <w:tab w:val="left" w:pos="6551"/>
        </w:tabs>
        <w:spacing w:after="0" w:line="240" w:lineRule="auto"/>
        <w:jc w:val="both"/>
        <w:rPr>
          <w:rFonts w:ascii="Arial" w:eastAsia="Calibri" w:hAnsi="Arial" w:cs="Arial"/>
          <w:bCs/>
          <w:color w:val="000000"/>
          <w:sz w:val="20"/>
          <w:szCs w:val="20"/>
          <w:lang w:val="es-ES_tradnl" w:eastAsia="es-ES_tradnl"/>
        </w:rPr>
      </w:pPr>
    </w:p>
    <w:p w14:paraId="4F6B603E" w14:textId="77777777" w:rsidR="00A24733" w:rsidRPr="00A24733" w:rsidRDefault="00A24733" w:rsidP="00A24733">
      <w:pPr>
        <w:spacing w:after="0" w:line="276" w:lineRule="auto"/>
        <w:jc w:val="both"/>
        <w:rPr>
          <w:rFonts w:ascii="Arial" w:eastAsia="Calibri" w:hAnsi="Arial" w:cs="Arial"/>
          <w:b/>
          <w:color w:val="000000"/>
          <w:szCs w:val="24"/>
          <w:lang w:val="es-ES_tradnl" w:eastAsia="es-ES_tradnl"/>
        </w:rPr>
      </w:pPr>
    </w:p>
    <w:p w14:paraId="6557FD18" w14:textId="77777777" w:rsidR="00A24733" w:rsidRPr="00A24733" w:rsidRDefault="00A24733" w:rsidP="00A24733">
      <w:pPr>
        <w:spacing w:after="0" w:line="276" w:lineRule="auto"/>
        <w:jc w:val="both"/>
        <w:rPr>
          <w:rFonts w:ascii="Arial" w:eastAsia="Calibri" w:hAnsi="Arial" w:cs="Arial"/>
          <w:b/>
          <w:color w:val="000000"/>
          <w:szCs w:val="24"/>
          <w:lang w:val="es-ES_tradnl" w:eastAsia="es-ES_tradnl"/>
        </w:rPr>
      </w:pPr>
    </w:p>
    <w:p w14:paraId="7B956200" w14:textId="77777777" w:rsidR="00A24733" w:rsidRPr="00A24733" w:rsidRDefault="00A24733" w:rsidP="00A24733">
      <w:pPr>
        <w:spacing w:after="0" w:line="276" w:lineRule="auto"/>
        <w:jc w:val="both"/>
        <w:rPr>
          <w:rFonts w:ascii="Arial" w:eastAsia="Calibri" w:hAnsi="Arial" w:cs="Arial"/>
          <w:b/>
          <w:color w:val="000000"/>
          <w:szCs w:val="24"/>
          <w:lang w:val="es-ES_tradnl" w:eastAsia="es-ES_tradnl"/>
        </w:rPr>
      </w:pPr>
    </w:p>
    <w:p w14:paraId="2CDD8380" w14:textId="77777777" w:rsidR="00A24733" w:rsidRPr="00A24733" w:rsidRDefault="00A24733" w:rsidP="00A24733">
      <w:pPr>
        <w:spacing w:after="0" w:line="276" w:lineRule="auto"/>
        <w:jc w:val="both"/>
        <w:rPr>
          <w:rFonts w:ascii="Arial" w:eastAsia="Calibri" w:hAnsi="Arial" w:cs="Arial"/>
          <w:b/>
          <w:color w:val="000000"/>
          <w:szCs w:val="24"/>
          <w:lang w:val="es-ES_tradnl" w:eastAsia="es-ES_tradnl"/>
        </w:rPr>
      </w:pPr>
    </w:p>
    <w:p w14:paraId="490A95BF" w14:textId="77777777" w:rsidR="00A24733" w:rsidRPr="00A24733" w:rsidRDefault="00A24733" w:rsidP="00A24733">
      <w:pPr>
        <w:spacing w:after="0" w:line="276" w:lineRule="auto"/>
        <w:jc w:val="both"/>
        <w:rPr>
          <w:rFonts w:ascii="Arial" w:eastAsia="Calibri" w:hAnsi="Arial" w:cs="Arial"/>
          <w:b/>
          <w:color w:val="000000"/>
          <w:szCs w:val="24"/>
          <w:lang w:val="es-ES_tradnl" w:eastAsia="es-ES_tradnl"/>
        </w:rPr>
      </w:pPr>
    </w:p>
    <w:p w14:paraId="361FAED5" w14:textId="77777777" w:rsidR="00A24733" w:rsidRPr="00A24733" w:rsidRDefault="00A24733" w:rsidP="00A24733">
      <w:pPr>
        <w:spacing w:after="0" w:line="276" w:lineRule="auto"/>
        <w:jc w:val="both"/>
        <w:rPr>
          <w:rFonts w:ascii="Arial" w:eastAsia="Calibri" w:hAnsi="Arial" w:cs="Arial"/>
          <w:b/>
          <w:color w:val="000000"/>
          <w:szCs w:val="24"/>
          <w:lang w:val="es-ES_tradnl" w:eastAsia="es-ES_tradnl"/>
        </w:rPr>
      </w:pPr>
    </w:p>
    <w:p w14:paraId="7882F12D" w14:textId="77777777" w:rsidR="00A24733" w:rsidRPr="00A24733" w:rsidRDefault="00A24733" w:rsidP="00A24733">
      <w:pPr>
        <w:spacing w:after="0" w:line="276" w:lineRule="auto"/>
        <w:jc w:val="both"/>
        <w:rPr>
          <w:rFonts w:ascii="Arial" w:eastAsia="Calibri" w:hAnsi="Arial" w:cs="Arial"/>
          <w:b/>
          <w:color w:val="000000"/>
          <w:szCs w:val="24"/>
          <w:lang w:val="es-ES_tradnl" w:eastAsia="es-ES_tradnl"/>
        </w:rPr>
      </w:pPr>
    </w:p>
    <w:p w14:paraId="526B3658"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7610B67E"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7A35E885"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01263420"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31AA6234"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70862FAB"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66DFA319"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2C80F4F0"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6A416284"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696D5F28"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23E86F61"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27059AA8"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1D0ADE46"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44FDE298"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5AEABFC7"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7ACC17F8" w14:textId="77777777" w:rsidR="00A24733" w:rsidRDefault="00A24733" w:rsidP="00A24733">
      <w:pPr>
        <w:spacing w:after="0" w:line="240" w:lineRule="auto"/>
        <w:jc w:val="both"/>
        <w:rPr>
          <w:rFonts w:ascii="Arial" w:eastAsia="Calibri" w:hAnsi="Arial" w:cs="Arial"/>
          <w:b/>
          <w:szCs w:val="24"/>
          <w:lang w:val="es-ES_tradnl" w:eastAsia="es-ES_tradnl"/>
        </w:rPr>
      </w:pPr>
    </w:p>
    <w:p w14:paraId="02C6E78A" w14:textId="77777777" w:rsidR="00EC7367" w:rsidRDefault="00EC7367" w:rsidP="00A24733">
      <w:pPr>
        <w:spacing w:after="0" w:line="240" w:lineRule="auto"/>
        <w:jc w:val="both"/>
        <w:rPr>
          <w:rFonts w:ascii="Arial" w:eastAsia="Calibri" w:hAnsi="Arial" w:cs="Arial"/>
          <w:b/>
          <w:szCs w:val="24"/>
          <w:lang w:val="es-ES_tradnl" w:eastAsia="es-ES_tradnl"/>
        </w:rPr>
      </w:pPr>
    </w:p>
    <w:p w14:paraId="4BC26CD0" w14:textId="77777777" w:rsidR="00EC7367" w:rsidRDefault="00EC7367" w:rsidP="00A24733">
      <w:pPr>
        <w:spacing w:after="0" w:line="240" w:lineRule="auto"/>
        <w:jc w:val="both"/>
        <w:rPr>
          <w:rFonts w:ascii="Arial" w:eastAsia="Calibri" w:hAnsi="Arial" w:cs="Arial"/>
          <w:b/>
          <w:szCs w:val="24"/>
          <w:lang w:val="es-ES_tradnl" w:eastAsia="es-ES_tradnl"/>
        </w:rPr>
      </w:pPr>
    </w:p>
    <w:p w14:paraId="1A3CA503" w14:textId="77777777" w:rsidR="00EC7367" w:rsidRDefault="00EC7367" w:rsidP="00A24733">
      <w:pPr>
        <w:spacing w:after="0" w:line="240" w:lineRule="auto"/>
        <w:jc w:val="both"/>
        <w:rPr>
          <w:rFonts w:ascii="Arial" w:eastAsia="Calibri" w:hAnsi="Arial" w:cs="Arial"/>
          <w:b/>
          <w:szCs w:val="24"/>
          <w:lang w:val="es-ES_tradnl" w:eastAsia="es-ES_tradnl"/>
        </w:rPr>
      </w:pPr>
    </w:p>
    <w:p w14:paraId="5CCDE96A" w14:textId="77777777" w:rsidR="00EC7367" w:rsidRPr="00A24733" w:rsidRDefault="00EC7367" w:rsidP="00A24733">
      <w:pPr>
        <w:spacing w:after="0" w:line="240" w:lineRule="auto"/>
        <w:jc w:val="both"/>
        <w:rPr>
          <w:rFonts w:ascii="Arial" w:eastAsia="Calibri" w:hAnsi="Arial" w:cs="Arial"/>
          <w:b/>
          <w:szCs w:val="24"/>
          <w:lang w:val="es-ES_tradnl" w:eastAsia="es-ES_tradnl"/>
        </w:rPr>
      </w:pPr>
    </w:p>
    <w:p w14:paraId="02C08DC4" w14:textId="77777777" w:rsidR="00A24733" w:rsidRPr="00A24733" w:rsidRDefault="00A24733" w:rsidP="00A24733">
      <w:pPr>
        <w:spacing w:after="0" w:line="240" w:lineRule="auto"/>
        <w:jc w:val="both"/>
        <w:rPr>
          <w:rFonts w:ascii="Arial" w:eastAsia="Calibri" w:hAnsi="Arial" w:cs="Arial"/>
          <w:b/>
          <w:szCs w:val="24"/>
          <w:lang w:val="es-ES_tradnl" w:eastAsia="es-ES_tradnl"/>
        </w:rPr>
      </w:pPr>
    </w:p>
    <w:p w14:paraId="300B57AB" w14:textId="77777777" w:rsidR="00A24733" w:rsidRPr="00A24733" w:rsidRDefault="00A24733" w:rsidP="00A24733">
      <w:pPr>
        <w:spacing w:after="0" w:line="240" w:lineRule="auto"/>
        <w:jc w:val="both"/>
        <w:rPr>
          <w:rFonts w:ascii="Arial" w:eastAsia="Times New Roman" w:hAnsi="Arial" w:cs="Arial"/>
          <w:szCs w:val="24"/>
          <w:lang w:eastAsia="es-ES_tradnl"/>
        </w:rPr>
      </w:pPr>
    </w:p>
    <w:p w14:paraId="3E2F0F32" w14:textId="2F0B0C37" w:rsidR="00A24733" w:rsidRPr="00A24733" w:rsidRDefault="004B2614" w:rsidP="004B2614">
      <w:pPr>
        <w:widowControl w:val="0"/>
        <w:autoSpaceDE w:val="0"/>
        <w:autoSpaceDN w:val="0"/>
        <w:adjustRightInd w:val="0"/>
        <w:spacing w:after="120" w:line="300" w:lineRule="atLeast"/>
        <w:jc w:val="right"/>
        <w:rPr>
          <w:rFonts w:ascii="Arial" w:eastAsia="Calibri" w:hAnsi="Arial" w:cs="Arial"/>
          <w:color w:val="000000"/>
          <w:lang w:val="es-ES_tradnl"/>
        </w:rPr>
      </w:pPr>
      <w:r>
        <w:rPr>
          <w:rFonts w:ascii="Arial" w:eastAsia="Calibri" w:hAnsi="Arial" w:cs="Arial"/>
          <w:noProof/>
          <w:color w:val="000000"/>
          <w:lang w:val="es-ES_tradnl"/>
        </w:rPr>
        <w:drawing>
          <wp:inline distT="0" distB="0" distL="0" distR="0" wp14:anchorId="089CA9F0" wp14:editId="71E4891A">
            <wp:extent cx="3151263" cy="836547"/>
            <wp:effectExtent l="0" t="0" r="0" b="1905"/>
            <wp:docPr id="208138987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89878" name="Imagen 2"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173710" cy="842506"/>
                    </a:xfrm>
                    <a:prstGeom prst="rect">
                      <a:avLst/>
                    </a:prstGeom>
                  </pic:spPr>
                </pic:pic>
              </a:graphicData>
            </a:graphic>
          </wp:inline>
        </w:drawing>
      </w:r>
    </w:p>
    <w:p w14:paraId="2E66B400" w14:textId="77777777" w:rsidR="00A24733" w:rsidRPr="00A24733" w:rsidRDefault="00A24733" w:rsidP="00A24733">
      <w:pPr>
        <w:spacing w:after="0" w:line="240" w:lineRule="auto"/>
        <w:jc w:val="both"/>
        <w:rPr>
          <w:rFonts w:ascii="Arial" w:eastAsia="Times New Roman" w:hAnsi="Arial" w:cs="Arial"/>
          <w:b/>
          <w:color w:val="000000"/>
          <w:szCs w:val="24"/>
          <w:lang w:eastAsia="es-ES_tradnl"/>
        </w:rPr>
      </w:pPr>
    </w:p>
    <w:p w14:paraId="4A8E8582" w14:textId="77777777" w:rsidR="004B2614" w:rsidRDefault="004B2614" w:rsidP="00A24733">
      <w:pPr>
        <w:spacing w:after="0" w:line="240" w:lineRule="auto"/>
        <w:jc w:val="both"/>
        <w:rPr>
          <w:rFonts w:ascii="Arial" w:eastAsia="Calibri" w:hAnsi="Arial" w:cs="Arial"/>
          <w:color w:val="000000"/>
          <w:szCs w:val="24"/>
          <w:lang w:eastAsia="es-ES_tradnl"/>
        </w:rPr>
      </w:pPr>
    </w:p>
    <w:p w14:paraId="4044432F" w14:textId="77777777" w:rsidR="004B2614" w:rsidRDefault="004B2614" w:rsidP="00A24733">
      <w:pPr>
        <w:spacing w:after="0" w:line="240" w:lineRule="auto"/>
        <w:jc w:val="both"/>
        <w:rPr>
          <w:rFonts w:ascii="Arial" w:eastAsia="Calibri" w:hAnsi="Arial" w:cs="Arial"/>
          <w:color w:val="000000"/>
          <w:szCs w:val="24"/>
          <w:lang w:eastAsia="es-ES_tradnl"/>
        </w:rPr>
      </w:pPr>
    </w:p>
    <w:p w14:paraId="3C1DBF85" w14:textId="77777777" w:rsidR="004B2614" w:rsidRDefault="004B2614" w:rsidP="00A24733">
      <w:pPr>
        <w:spacing w:after="0" w:line="240" w:lineRule="auto"/>
        <w:jc w:val="both"/>
        <w:rPr>
          <w:rFonts w:ascii="Arial" w:eastAsia="Calibri" w:hAnsi="Arial" w:cs="Arial"/>
          <w:color w:val="000000"/>
          <w:szCs w:val="24"/>
          <w:lang w:eastAsia="es-ES_tradnl"/>
        </w:rPr>
      </w:pPr>
    </w:p>
    <w:p w14:paraId="35143EBD" w14:textId="15D233E6" w:rsidR="00A24733" w:rsidRPr="00A24733" w:rsidRDefault="00A24733" w:rsidP="00A24733">
      <w:pPr>
        <w:spacing w:after="0" w:line="240" w:lineRule="auto"/>
        <w:jc w:val="both"/>
        <w:rPr>
          <w:rFonts w:ascii="Arial" w:eastAsia="Calibri" w:hAnsi="Arial" w:cs="Arial"/>
          <w:color w:val="000000"/>
          <w:szCs w:val="24"/>
          <w:lang w:eastAsia="es-ES_tradnl"/>
        </w:rPr>
      </w:pPr>
      <w:r w:rsidRPr="00A24733">
        <w:rPr>
          <w:rFonts w:ascii="Arial" w:eastAsia="Calibri" w:hAnsi="Arial" w:cs="Arial"/>
          <w:color w:val="000000"/>
          <w:szCs w:val="24"/>
          <w:lang w:eastAsia="es-ES_tradnl"/>
        </w:rPr>
        <w:t>Señora</w:t>
      </w:r>
    </w:p>
    <w:p w14:paraId="64B7B139" w14:textId="77777777" w:rsidR="00A24733" w:rsidRPr="00A24733" w:rsidRDefault="00A24733" w:rsidP="00A24733">
      <w:pPr>
        <w:spacing w:after="0" w:line="240" w:lineRule="auto"/>
        <w:jc w:val="both"/>
        <w:rPr>
          <w:rFonts w:ascii="Arial" w:eastAsia="Calibri" w:hAnsi="Arial" w:cs="Arial"/>
          <w:b/>
          <w:color w:val="000000"/>
          <w:szCs w:val="24"/>
          <w:lang w:eastAsia="es-ES_tradnl"/>
        </w:rPr>
      </w:pPr>
      <w:r w:rsidRPr="00A24733">
        <w:rPr>
          <w:rFonts w:ascii="Arial" w:eastAsia="Calibri" w:hAnsi="Arial" w:cs="Arial"/>
          <w:b/>
          <w:color w:val="000000"/>
          <w:szCs w:val="24"/>
          <w:lang w:eastAsia="es-ES_tradnl"/>
        </w:rPr>
        <w:t>Francy Mateus</w:t>
      </w:r>
    </w:p>
    <w:p w14:paraId="7616CC5E" w14:textId="77777777" w:rsidR="00A24733" w:rsidRPr="00A24733" w:rsidRDefault="00A24733" w:rsidP="00A24733">
      <w:pPr>
        <w:spacing w:after="0" w:line="240" w:lineRule="auto"/>
        <w:rPr>
          <w:rFonts w:ascii="Arial" w:eastAsia="Calibri" w:hAnsi="Arial" w:cs="Arial"/>
          <w:b/>
          <w:bCs/>
          <w:color w:val="000000"/>
          <w:lang w:eastAsia="es-ES_tradnl"/>
        </w:rPr>
      </w:pPr>
      <w:r w:rsidRPr="00A24733">
        <w:rPr>
          <w:rFonts w:ascii="Arial" w:eastAsia="Times New Roman" w:hAnsi="Arial" w:cs="Arial"/>
          <w:lang w:eastAsia="es-ES_tradnl"/>
        </w:rPr>
        <w:t>Villavicencio, Meta</w:t>
      </w:r>
    </w:p>
    <w:p w14:paraId="63AB2B3B" w14:textId="77777777" w:rsidR="00A24733" w:rsidRPr="00A24733" w:rsidRDefault="00A24733" w:rsidP="00A24733">
      <w:pPr>
        <w:spacing w:after="0" w:line="240" w:lineRule="auto"/>
        <w:rPr>
          <w:rFonts w:ascii="Arial" w:eastAsia="Calibri" w:hAnsi="Arial" w:cs="Arial"/>
          <w:bCs/>
          <w:lang w:val="es-MX"/>
        </w:rPr>
      </w:pPr>
    </w:p>
    <w:p w14:paraId="38A664A7" w14:textId="77777777" w:rsidR="00A24733" w:rsidRPr="00A24733" w:rsidRDefault="00A24733" w:rsidP="00A24733">
      <w:pPr>
        <w:spacing w:after="0" w:line="240" w:lineRule="auto"/>
        <w:rPr>
          <w:rFonts w:ascii="Arial" w:eastAsia="Calibri" w:hAnsi="Arial" w:cs="Arial"/>
          <w:bCs/>
          <w:lang w:val="es-MX"/>
        </w:rPr>
      </w:pPr>
    </w:p>
    <w:p w14:paraId="62703BEC" w14:textId="77777777" w:rsidR="00A24733" w:rsidRPr="00A24733" w:rsidRDefault="00A24733" w:rsidP="00A24733">
      <w:pPr>
        <w:spacing w:after="0" w:line="240" w:lineRule="auto"/>
        <w:rPr>
          <w:rFonts w:ascii="Arial" w:eastAsia="Calibri" w:hAnsi="Arial" w:cs="Arial"/>
          <w:b/>
          <w:lang w:val="es-MX"/>
        </w:rPr>
      </w:pPr>
      <w:r w:rsidRPr="00A24733">
        <w:rPr>
          <w:rFonts w:ascii="Arial" w:eastAsia="Calibri" w:hAnsi="Arial" w:cs="Arial"/>
          <w:b/>
          <w:lang w:val="es-MX"/>
        </w:rPr>
        <w:t xml:space="preserve">                                            Concepto C ‒ 067 de 2023</w:t>
      </w:r>
    </w:p>
    <w:p w14:paraId="06B7C419" w14:textId="77777777" w:rsidR="00A24733" w:rsidRPr="00A24733" w:rsidRDefault="00A24733" w:rsidP="00A24733">
      <w:pPr>
        <w:spacing w:after="0" w:line="240" w:lineRule="auto"/>
        <w:rPr>
          <w:rFonts w:ascii="Arial" w:eastAsia="Calibri" w:hAnsi="Arial" w:cs="Arial"/>
          <w:b/>
          <w:bCs/>
          <w:color w:val="000000"/>
          <w:szCs w:val="24"/>
          <w:lang w:val="pt-BR"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24733" w:rsidRPr="00A24733" w14:paraId="3482C45D" w14:textId="77777777" w:rsidTr="00A67182">
        <w:tc>
          <w:tcPr>
            <w:tcW w:w="2689" w:type="dxa"/>
          </w:tcPr>
          <w:p w14:paraId="52EAB41E" w14:textId="77777777" w:rsidR="00A24733" w:rsidRPr="00A24733" w:rsidRDefault="00A24733" w:rsidP="00A24733">
            <w:pPr>
              <w:jc w:val="both"/>
              <w:rPr>
                <w:rFonts w:ascii="Arial" w:eastAsia="Calibri" w:hAnsi="Arial" w:cs="Arial"/>
                <w:color w:val="000000"/>
                <w:szCs w:val="24"/>
                <w:lang w:val="es-ES_tradnl" w:eastAsia="es-ES_tradnl"/>
              </w:rPr>
            </w:pPr>
            <w:r w:rsidRPr="00A24733">
              <w:rPr>
                <w:rFonts w:ascii="Arial" w:eastAsia="Calibri" w:hAnsi="Arial" w:cs="Arial"/>
                <w:b/>
                <w:color w:val="000000"/>
                <w:szCs w:val="24"/>
                <w:lang w:val="es-ES_tradnl" w:eastAsia="es-ES_tradnl"/>
              </w:rPr>
              <w:t>Temas:</w:t>
            </w:r>
            <w:r w:rsidRPr="00A24733">
              <w:rPr>
                <w:rFonts w:ascii="Arial" w:eastAsia="Calibri" w:hAnsi="Arial" w:cs="Arial"/>
                <w:color w:val="000000"/>
                <w:szCs w:val="24"/>
                <w:lang w:val="es-ES_tradnl" w:eastAsia="es-ES_tradnl"/>
              </w:rPr>
              <w:t xml:space="preserve">                   </w:t>
            </w:r>
          </w:p>
        </w:tc>
        <w:tc>
          <w:tcPr>
            <w:tcW w:w="6237" w:type="dxa"/>
            <w:shd w:val="clear" w:color="auto" w:fill="auto"/>
          </w:tcPr>
          <w:p w14:paraId="110CD637" w14:textId="77777777" w:rsidR="00A24733" w:rsidRPr="00A24733" w:rsidRDefault="00A24733" w:rsidP="00A24733">
            <w:pPr>
              <w:widowControl w:val="0"/>
              <w:autoSpaceDE w:val="0"/>
              <w:autoSpaceDN w:val="0"/>
              <w:adjustRightInd w:val="0"/>
              <w:spacing w:after="120" w:line="300" w:lineRule="atLeast"/>
              <w:jc w:val="both"/>
              <w:rPr>
                <w:rFonts w:ascii="Arial" w:eastAsia="Calibri" w:hAnsi="Arial" w:cs="Arial"/>
                <w:color w:val="000000"/>
                <w:lang w:val="es-ES_tradnl"/>
              </w:rPr>
            </w:pPr>
            <w:r w:rsidRPr="00A24733">
              <w:rPr>
                <w:rFonts w:ascii="Arial" w:eastAsia="Calibri" w:hAnsi="Arial" w:cs="Arial"/>
                <w:color w:val="000000"/>
                <w:lang w:val="es-ES_tradnl"/>
              </w:rPr>
              <w:t>DECRETO 1860 DE 2021 – Convocatorias limitadas a MiPymes – Normas reglamentarias – Mínima cuantía / DÍAS HÁBILES – Concepto – Cómputo de términos / DÍAS HÁBILES – Cómputo – Regla interpretativa – Mínima cuantía</w:t>
            </w:r>
          </w:p>
        </w:tc>
      </w:tr>
      <w:tr w:rsidR="00A24733" w:rsidRPr="00A24733" w14:paraId="27687975" w14:textId="77777777" w:rsidTr="00A67182">
        <w:tc>
          <w:tcPr>
            <w:tcW w:w="2689" w:type="dxa"/>
          </w:tcPr>
          <w:p w14:paraId="17B3E919" w14:textId="77777777" w:rsidR="00A24733" w:rsidRPr="00A24733" w:rsidRDefault="00A24733" w:rsidP="00A24733">
            <w:pPr>
              <w:spacing w:before="120"/>
              <w:jc w:val="both"/>
              <w:rPr>
                <w:rFonts w:ascii="Arial" w:eastAsia="Calibri" w:hAnsi="Arial" w:cs="Arial"/>
                <w:b/>
                <w:color w:val="000000"/>
                <w:szCs w:val="24"/>
                <w:lang w:val="es-ES_tradnl" w:eastAsia="es-ES_tradnl"/>
              </w:rPr>
            </w:pPr>
            <w:r w:rsidRPr="00A24733">
              <w:rPr>
                <w:rFonts w:ascii="Arial" w:eastAsia="Calibri" w:hAnsi="Arial" w:cs="Arial"/>
                <w:b/>
                <w:color w:val="000000"/>
                <w:szCs w:val="24"/>
                <w:lang w:val="es-ES_tradnl" w:eastAsia="es-ES_tradnl"/>
              </w:rPr>
              <w:t>Radicación:</w:t>
            </w:r>
            <w:r w:rsidRPr="00A24733">
              <w:rPr>
                <w:rFonts w:ascii="Arial" w:eastAsia="Calibri" w:hAnsi="Arial" w:cs="Arial"/>
                <w:color w:val="000000"/>
                <w:szCs w:val="24"/>
                <w:lang w:val="es-ES_tradnl" w:eastAsia="es-ES_tradnl"/>
              </w:rPr>
              <w:t xml:space="preserve">               </w:t>
            </w:r>
          </w:p>
        </w:tc>
        <w:tc>
          <w:tcPr>
            <w:tcW w:w="6237" w:type="dxa"/>
          </w:tcPr>
          <w:p w14:paraId="6C02183B" w14:textId="77777777" w:rsidR="00A24733" w:rsidRPr="00A24733" w:rsidRDefault="00A24733" w:rsidP="00A24733">
            <w:pPr>
              <w:widowControl w:val="0"/>
              <w:autoSpaceDE w:val="0"/>
              <w:autoSpaceDN w:val="0"/>
              <w:adjustRightInd w:val="0"/>
              <w:spacing w:line="300" w:lineRule="atLeast"/>
              <w:jc w:val="both"/>
              <w:rPr>
                <w:rFonts w:ascii="Arial" w:eastAsia="Calibri" w:hAnsi="Arial" w:cs="Arial"/>
                <w:color w:val="000000"/>
                <w:lang w:val="es-ES_tradnl"/>
              </w:rPr>
            </w:pPr>
            <w:r w:rsidRPr="00A24733">
              <w:rPr>
                <w:rFonts w:ascii="Arial" w:eastAsia="Calibri" w:hAnsi="Arial" w:cs="Arial"/>
                <w:color w:val="000000"/>
                <w:lang w:val="es-ES_tradnl"/>
              </w:rPr>
              <w:t>Respuesta a consulta P20230307002079</w:t>
            </w:r>
          </w:p>
        </w:tc>
      </w:tr>
    </w:tbl>
    <w:p w14:paraId="6E08583D" w14:textId="77777777" w:rsidR="00A24733" w:rsidRPr="00A24733" w:rsidRDefault="00A24733" w:rsidP="00A24733">
      <w:pPr>
        <w:spacing w:after="0" w:line="240" w:lineRule="auto"/>
        <w:jc w:val="both"/>
        <w:rPr>
          <w:rFonts w:ascii="Arial" w:eastAsia="Calibri" w:hAnsi="Arial" w:cs="Arial"/>
          <w:color w:val="000000"/>
          <w:szCs w:val="24"/>
          <w:lang w:eastAsia="es-ES_tradnl"/>
        </w:rPr>
      </w:pPr>
    </w:p>
    <w:p w14:paraId="512E1B17" w14:textId="77777777" w:rsidR="00A24733" w:rsidRPr="00A24733" w:rsidRDefault="00A24733" w:rsidP="00A24733">
      <w:pPr>
        <w:spacing w:after="0" w:line="240" w:lineRule="auto"/>
        <w:jc w:val="both"/>
        <w:rPr>
          <w:rFonts w:ascii="Arial" w:eastAsia="Calibri" w:hAnsi="Arial" w:cs="Arial"/>
          <w:color w:val="000000"/>
          <w:szCs w:val="24"/>
          <w:lang w:val="es-ES_tradnl" w:eastAsia="es-ES_tradnl"/>
        </w:rPr>
      </w:pPr>
    </w:p>
    <w:p w14:paraId="70D20FCE" w14:textId="77777777" w:rsidR="00A24733" w:rsidRPr="00A24733" w:rsidRDefault="00A24733" w:rsidP="00A24733">
      <w:pPr>
        <w:spacing w:after="0" w:line="240" w:lineRule="auto"/>
        <w:jc w:val="both"/>
        <w:rPr>
          <w:rFonts w:ascii="Arial" w:eastAsia="Calibri" w:hAnsi="Arial" w:cs="Arial"/>
          <w:color w:val="000000"/>
          <w:szCs w:val="24"/>
          <w:lang w:val="es-ES_tradnl" w:eastAsia="es-ES_tradnl"/>
        </w:rPr>
      </w:pPr>
      <w:r w:rsidRPr="00A24733">
        <w:rPr>
          <w:rFonts w:ascii="Arial" w:eastAsia="Calibri" w:hAnsi="Arial" w:cs="Arial"/>
          <w:color w:val="000000"/>
          <w:szCs w:val="24"/>
          <w:lang w:val="es-ES_tradnl" w:eastAsia="es-ES_tradnl"/>
        </w:rPr>
        <w:t xml:space="preserve">Estimada señora Mateus: </w:t>
      </w:r>
    </w:p>
    <w:p w14:paraId="45B5327E" w14:textId="77777777" w:rsidR="00A24733" w:rsidRPr="00A24733" w:rsidRDefault="00A24733" w:rsidP="00A24733">
      <w:pPr>
        <w:spacing w:after="0" w:line="240" w:lineRule="auto"/>
        <w:jc w:val="both"/>
        <w:rPr>
          <w:rFonts w:ascii="Arial" w:eastAsia="Calibri" w:hAnsi="Arial" w:cs="Arial"/>
          <w:color w:val="000000"/>
          <w:szCs w:val="24"/>
          <w:lang w:val="es-ES_tradnl" w:eastAsia="es-ES_tradnl"/>
        </w:rPr>
      </w:pPr>
    </w:p>
    <w:p w14:paraId="535EF1E6" w14:textId="77777777" w:rsidR="00A24733" w:rsidRPr="00A24733" w:rsidRDefault="00A24733" w:rsidP="00A24733">
      <w:pPr>
        <w:spacing w:after="0" w:line="276" w:lineRule="auto"/>
        <w:jc w:val="both"/>
        <w:rPr>
          <w:rFonts w:ascii="Arial" w:eastAsia="Calibri" w:hAnsi="Arial" w:cs="Arial"/>
          <w:color w:val="000000"/>
          <w:szCs w:val="24"/>
          <w:lang w:val="es-ES_tradnl" w:eastAsia="es-ES_tradnl"/>
        </w:rPr>
      </w:pPr>
      <w:r w:rsidRPr="00A24733">
        <w:rPr>
          <w:rFonts w:ascii="Arial" w:eastAsia="Calibri" w:hAnsi="Arial" w:cs="Arial"/>
          <w:color w:val="000000"/>
          <w:szCs w:val="24"/>
          <w:lang w:val="es-ES_tradnl" w:eastAsia="es-ES_tradnl"/>
        </w:rPr>
        <w:t>En ejercicio de la competencia otorgada por el numeral 8 del artículo 11 y el numeral 5 del artículo 3 del Decreto Ley 4170 de 2011, la Agencia Nacional de Contratación Pública ― Colombia Compra Eficiente, responde su consulta del 6 de marzo de 2023.</w:t>
      </w:r>
    </w:p>
    <w:p w14:paraId="7C72F47F" w14:textId="77777777" w:rsidR="00A24733" w:rsidRPr="00A24733" w:rsidRDefault="00A24733" w:rsidP="00A24733">
      <w:pPr>
        <w:spacing w:after="0" w:line="276" w:lineRule="auto"/>
        <w:jc w:val="both"/>
        <w:rPr>
          <w:rFonts w:ascii="Arial" w:eastAsia="Calibri" w:hAnsi="Arial" w:cs="Arial"/>
          <w:b/>
          <w:color w:val="000000"/>
          <w:szCs w:val="24"/>
          <w:lang w:val="es-ES_tradnl" w:eastAsia="es-ES_tradnl"/>
        </w:rPr>
      </w:pPr>
    </w:p>
    <w:p w14:paraId="611A9436" w14:textId="77777777" w:rsidR="00A24733" w:rsidRPr="00A24733" w:rsidRDefault="00A24733" w:rsidP="00A24733">
      <w:pPr>
        <w:numPr>
          <w:ilvl w:val="0"/>
          <w:numId w:val="4"/>
        </w:numPr>
        <w:tabs>
          <w:tab w:val="left" w:pos="0"/>
          <w:tab w:val="left" w:pos="142"/>
          <w:tab w:val="left" w:pos="284"/>
        </w:tabs>
        <w:spacing w:after="0" w:line="276" w:lineRule="auto"/>
        <w:ind w:left="0" w:firstLine="0"/>
        <w:contextualSpacing/>
        <w:jc w:val="both"/>
        <w:rPr>
          <w:rFonts w:ascii="Arial" w:eastAsia="Calibri" w:hAnsi="Arial" w:cs="Arial"/>
          <w:b/>
          <w:color w:val="000000"/>
          <w:lang w:val="es-ES_tradnl"/>
        </w:rPr>
      </w:pPr>
      <w:r w:rsidRPr="00A24733">
        <w:rPr>
          <w:rFonts w:ascii="Arial" w:eastAsia="Calibri" w:hAnsi="Arial" w:cs="Arial"/>
          <w:b/>
          <w:color w:val="000000"/>
          <w:lang w:val="es-ES_tradnl"/>
        </w:rPr>
        <w:t xml:space="preserve">Problema planteado </w:t>
      </w:r>
    </w:p>
    <w:p w14:paraId="53B4C0FF" w14:textId="77777777" w:rsidR="00A24733" w:rsidRPr="00A24733" w:rsidRDefault="00A24733" w:rsidP="00A24733">
      <w:pPr>
        <w:tabs>
          <w:tab w:val="left" w:pos="426"/>
        </w:tabs>
        <w:spacing w:after="0" w:line="276" w:lineRule="auto"/>
        <w:jc w:val="both"/>
        <w:rPr>
          <w:rFonts w:ascii="Arial" w:eastAsia="Calibri" w:hAnsi="Arial" w:cs="Arial"/>
          <w:b/>
          <w:color w:val="000000"/>
          <w:szCs w:val="24"/>
          <w:lang w:val="es-ES_tradnl" w:eastAsia="es-ES_tradnl"/>
        </w:rPr>
      </w:pPr>
    </w:p>
    <w:p w14:paraId="585CC742" w14:textId="77777777" w:rsidR="00A24733" w:rsidRPr="00A24733" w:rsidRDefault="00A24733" w:rsidP="00A24733">
      <w:pPr>
        <w:spacing w:after="0" w:line="276" w:lineRule="auto"/>
        <w:jc w:val="both"/>
        <w:rPr>
          <w:rFonts w:ascii="Arial" w:eastAsia="Times New Roman" w:hAnsi="Arial" w:cs="Arial"/>
          <w:color w:val="000000"/>
          <w:lang w:val="es-ES_tradnl" w:eastAsia="es-ES_tradnl"/>
        </w:rPr>
      </w:pPr>
      <w:r w:rsidRPr="00A24733">
        <w:rPr>
          <w:rFonts w:ascii="Arial" w:eastAsia="Times New Roman" w:hAnsi="Arial" w:cs="Arial"/>
          <w:color w:val="000000"/>
          <w:lang w:val="es-ES_tradnl" w:eastAsia="es-ES_tradnl"/>
        </w:rPr>
        <w:t>En relación con las convocatorias limitadas a MiPymes en procesos de mínima cuantía, usted realiza la siguiente pregunta: “[¿]CUÁL ES EL TÉRMINO QUE TIENE LA ENTIDAD PARA RECIBIR OFERTAS DESPUES [sic] DE PUBLICADO EL AVISO QUE LIMITA A MIPYMES EN UN PROCESO DE MÍNIMA CUANTÍA ADELANTADO POR SECOP II?”</w:t>
      </w:r>
    </w:p>
    <w:p w14:paraId="7A5519E5" w14:textId="77777777" w:rsidR="00A24733" w:rsidRPr="00A24733" w:rsidRDefault="00A24733" w:rsidP="00A24733">
      <w:pPr>
        <w:spacing w:after="0" w:line="276" w:lineRule="auto"/>
        <w:ind w:right="476"/>
        <w:jc w:val="both"/>
        <w:rPr>
          <w:rFonts w:ascii="Arial" w:eastAsia="Calibri" w:hAnsi="Arial" w:cs="Arial"/>
          <w:bCs/>
          <w:sz w:val="20"/>
          <w:szCs w:val="20"/>
          <w:lang w:val="es-ES_tradnl" w:eastAsia="es-ES_tradnl"/>
        </w:rPr>
      </w:pPr>
    </w:p>
    <w:p w14:paraId="2DCF6E1D" w14:textId="77777777" w:rsidR="00A24733" w:rsidRPr="00A24733" w:rsidRDefault="00A24733" w:rsidP="00A24733">
      <w:pPr>
        <w:numPr>
          <w:ilvl w:val="0"/>
          <w:numId w:val="4"/>
        </w:numPr>
        <w:tabs>
          <w:tab w:val="left" w:pos="0"/>
          <w:tab w:val="left" w:pos="284"/>
        </w:tabs>
        <w:spacing w:after="0" w:line="240" w:lineRule="auto"/>
        <w:ind w:left="0" w:firstLine="0"/>
        <w:contextualSpacing/>
        <w:jc w:val="both"/>
        <w:rPr>
          <w:rFonts w:ascii="Arial" w:eastAsia="Calibri" w:hAnsi="Arial" w:cs="Arial"/>
          <w:b/>
          <w:color w:val="000000"/>
          <w:lang w:val="es-ES_tradnl"/>
        </w:rPr>
      </w:pPr>
      <w:r w:rsidRPr="00A24733">
        <w:rPr>
          <w:rFonts w:ascii="Arial" w:eastAsia="Calibri" w:hAnsi="Arial" w:cs="Arial"/>
          <w:b/>
          <w:color w:val="000000"/>
          <w:lang w:val="es-ES_tradnl"/>
        </w:rPr>
        <w:t>Consideraciones</w:t>
      </w:r>
    </w:p>
    <w:p w14:paraId="09C01532" w14:textId="77777777" w:rsidR="00A24733" w:rsidRPr="00A24733" w:rsidRDefault="00A24733" w:rsidP="00A24733">
      <w:pPr>
        <w:spacing w:after="0" w:line="276" w:lineRule="auto"/>
        <w:jc w:val="both"/>
        <w:rPr>
          <w:rFonts w:ascii="Arial" w:eastAsia="Times New Roman" w:hAnsi="Arial" w:cs="Arial"/>
          <w:color w:val="000000"/>
          <w:szCs w:val="24"/>
          <w:lang w:val="es-ES_tradnl" w:eastAsia="es-ES_tradnl"/>
        </w:rPr>
      </w:pPr>
    </w:p>
    <w:p w14:paraId="28F9DDA8" w14:textId="77777777" w:rsidR="00A24733" w:rsidRPr="00A24733" w:rsidRDefault="00A24733" w:rsidP="00A24733">
      <w:pPr>
        <w:spacing w:after="0" w:line="276" w:lineRule="auto"/>
        <w:jc w:val="both"/>
        <w:rPr>
          <w:rFonts w:ascii="Arial" w:eastAsia="Calibri" w:hAnsi="Arial" w:cs="Arial"/>
          <w:color w:val="000000"/>
          <w:szCs w:val="24"/>
          <w:lang w:eastAsia="es-ES_tradnl"/>
        </w:rPr>
      </w:pPr>
      <w:r w:rsidRPr="00A24733">
        <w:rPr>
          <w:rFonts w:ascii="Arial" w:eastAsia="Calibri" w:hAnsi="Arial" w:cs="Arial"/>
          <w:color w:val="000000"/>
          <w:szCs w:val="24"/>
          <w:lang w:eastAsia="es-ES_tradnl"/>
        </w:rPr>
        <w:lastRenderedPageBreak/>
        <w:t>En ejercicio de las competencias establecidas en el numeral 5 del artículo 3 y el numeral 8 del artículo 11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A24733">
        <w:rPr>
          <w:rFonts w:ascii="Arial" w:eastAsia="Calibri" w:hAnsi="Arial" w:cs="Arial"/>
          <w:color w:val="000000"/>
          <w:szCs w:val="24"/>
          <w:vertAlign w:val="superscript"/>
          <w:lang w:eastAsia="es-ES_tradnl"/>
        </w:rPr>
        <w:footnoteReference w:id="2"/>
      </w:r>
      <w:r w:rsidRPr="00A24733">
        <w:rPr>
          <w:rFonts w:ascii="Arial" w:eastAsia="Calibri" w:hAnsi="Arial" w:cs="Arial"/>
          <w:color w:val="000000"/>
          <w:szCs w:val="24"/>
          <w:lang w:eastAsia="es-ES_tradnl"/>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14B93C3E" w14:textId="77777777" w:rsidR="00A24733" w:rsidRPr="00A24733" w:rsidRDefault="00A24733" w:rsidP="00A24733">
      <w:pPr>
        <w:spacing w:before="120" w:after="120" w:line="276" w:lineRule="auto"/>
        <w:ind w:firstLine="709"/>
        <w:jc w:val="both"/>
        <w:rPr>
          <w:rFonts w:ascii="Arial" w:eastAsia="Calibri" w:hAnsi="Arial" w:cs="Arial"/>
          <w:color w:val="000000"/>
          <w:szCs w:val="24"/>
          <w:lang w:eastAsia="es-ES_tradnl"/>
        </w:rPr>
      </w:pPr>
      <w:r w:rsidRPr="00A24733">
        <w:rPr>
          <w:rFonts w:ascii="Arial" w:eastAsia="Calibri" w:hAnsi="Arial" w:cs="Arial"/>
          <w:color w:val="000000"/>
          <w:szCs w:val="24"/>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2148D192" w14:textId="77777777" w:rsidR="00A24733" w:rsidRPr="00A24733" w:rsidRDefault="00A24733" w:rsidP="00A24733">
      <w:pPr>
        <w:spacing w:after="120" w:line="276" w:lineRule="auto"/>
        <w:ind w:firstLine="709"/>
        <w:jc w:val="both"/>
        <w:rPr>
          <w:rFonts w:ascii="Arial" w:eastAsia="Calibri" w:hAnsi="Arial" w:cs="Arial"/>
          <w:lang w:val="es-ES_tradnl" w:eastAsia="es-ES_tradnl"/>
        </w:rPr>
      </w:pPr>
      <w:r w:rsidRPr="00A24733">
        <w:rPr>
          <w:rFonts w:ascii="Arial" w:eastAsia="Calibri" w:hAnsi="Arial" w:cs="Arial"/>
          <w:color w:val="000000"/>
        </w:rPr>
        <w:t>Teniendo en cuenta lo anterior, dentro de los límites de la competencia consultiva atribuida a esta entidad, se resolverá su pregunta, previo análisis de los siguientes temas:</w:t>
      </w:r>
      <w:r w:rsidRPr="00A24733">
        <w:rPr>
          <w:rFonts w:ascii="Arial" w:eastAsia="Calibri" w:hAnsi="Arial" w:cs="Arial"/>
          <w:lang w:eastAsia="es-ES_tradnl"/>
        </w:rPr>
        <w:t xml:space="preserve"> </w:t>
      </w:r>
      <w:r w:rsidRPr="00A24733">
        <w:rPr>
          <w:rFonts w:ascii="Arial" w:eastAsia="Calibri" w:hAnsi="Arial" w:cs="Arial"/>
          <w:lang w:val="es-ES_tradnl" w:eastAsia="es-ES_tradnl"/>
        </w:rPr>
        <w:t xml:space="preserve">i) modalidad de selección de mínima cuantía, y </w:t>
      </w:r>
      <w:proofErr w:type="spellStart"/>
      <w:r w:rsidRPr="00A24733">
        <w:rPr>
          <w:rFonts w:ascii="Arial" w:eastAsia="Calibri" w:hAnsi="Arial" w:cs="Arial"/>
          <w:lang w:val="es-ES_tradnl" w:eastAsia="es-ES_tradnl"/>
        </w:rPr>
        <w:t>ii</w:t>
      </w:r>
      <w:proofErr w:type="spellEnd"/>
      <w:r w:rsidRPr="00A24733">
        <w:rPr>
          <w:rFonts w:ascii="Arial" w:eastAsia="Calibri" w:hAnsi="Arial" w:cs="Arial"/>
          <w:lang w:val="es-ES_tradnl" w:eastAsia="es-ES_tradnl"/>
        </w:rPr>
        <w:t>) cómputo del término para presentar ofertas en procesos de mínima cuantía limitados a MiPymes.</w:t>
      </w:r>
    </w:p>
    <w:p w14:paraId="019C869D" w14:textId="77777777" w:rsidR="00A24733" w:rsidRPr="00A24733" w:rsidRDefault="00A24733" w:rsidP="00A24733">
      <w:pPr>
        <w:tabs>
          <w:tab w:val="left" w:pos="709"/>
        </w:tabs>
        <w:spacing w:after="0" w:line="276" w:lineRule="auto"/>
        <w:jc w:val="both"/>
        <w:rPr>
          <w:rFonts w:ascii="Arial" w:eastAsia="Calibri" w:hAnsi="Arial" w:cs="Arial"/>
          <w:bCs/>
          <w:color w:val="000000"/>
          <w:lang w:val="es-ES_tradnl" w:eastAsia="es-ES_tradnl"/>
        </w:rPr>
      </w:pPr>
      <w:r w:rsidRPr="00A24733">
        <w:rPr>
          <w:rFonts w:ascii="Arial" w:eastAsia="Calibri" w:hAnsi="Arial" w:cs="Arial"/>
          <w:color w:val="000000"/>
          <w:lang w:val="es-ES_tradnl" w:eastAsia="es-ES_tradnl"/>
        </w:rPr>
        <w:tab/>
        <w:t xml:space="preserve">Es importante destacar que la Agencia Nacional de Contratación Pública – Colombia Compra Eficiente </w:t>
      </w:r>
      <w:r w:rsidRPr="00A24733">
        <w:rPr>
          <w:rFonts w:ascii="Arial" w:eastAsia="Calibri" w:hAnsi="Arial" w:cs="Arial"/>
          <w:bCs/>
          <w:color w:val="000000"/>
          <w:lang w:val="es-ES_tradnl" w:eastAsia="es-ES_tradnl"/>
        </w:rPr>
        <w:t xml:space="preserve">analizó la limitación de las convocatorias a MiPymes, entre otros, en los conceptos C-005 del 16 de febrero de 2021, C-037 del 26 de febrero de 2021, C-035 del 02 de marzo de 2021, C-126 del 06 de abril de 2021, C-127 del 06 de abril de 2021, C-144 del 07 de abril de 2021, C-141 del 08 de abril de 2021, C-163 y C-164 del 19 de abril de 2021, C-242 del 25 de mayo de 2021, C-496 del 14 de septiembre de 2021, C-573 de 13 de octubre de 2021, C-001 del 17 de febrero de 2022, C-293 del 12 de abril de 2022, C-490 del 26 de julio de 2022, C-523 del 16 de agosto de 2022, C-539 del 29 de agosto de 2022, C-585 del 19 de septiembre de 2022, C-587 del 21 de septiembre de 2022, C-597 del 9 de septiembre de 2022, C-627 del 12 de </w:t>
      </w:r>
      <w:r w:rsidRPr="00A24733">
        <w:rPr>
          <w:rFonts w:ascii="Arial" w:eastAsia="Calibri" w:hAnsi="Arial" w:cs="Arial"/>
          <w:bCs/>
          <w:color w:val="000000"/>
          <w:lang w:val="es-ES_tradnl" w:eastAsia="es-ES_tradnl"/>
        </w:rPr>
        <w:lastRenderedPageBreak/>
        <w:t xml:space="preserve">septiembre de 2022, C-643 del 10 de octubre de 2022, C- 662 del 13 de octubre de 2022, C-699 del 25 de octubre de 2022, C-744 del 08 de noviembre de 2022, C-758 del 10 de noviembre de 2022 y C-895 del 27 de diciembre de 2022. </w:t>
      </w:r>
      <w:r w:rsidRPr="00A24733">
        <w:rPr>
          <w:rFonts w:ascii="Arial" w:eastAsia="Arial" w:hAnsi="Arial" w:cs="Arial"/>
          <w:szCs w:val="24"/>
          <w:lang w:val="es-ES_tradnl" w:eastAsia="es-ES_tradnl"/>
        </w:rPr>
        <w:t xml:space="preserve">Algunas de las ideas expuestas en dichas oportunidades se retoman y complementan a continuación para desarrollar la tesis del presente concepto.    </w:t>
      </w:r>
    </w:p>
    <w:p w14:paraId="6CE4EDD4" w14:textId="77777777" w:rsidR="00A24733" w:rsidRPr="00A24733" w:rsidRDefault="00A24733" w:rsidP="00A24733">
      <w:pPr>
        <w:tabs>
          <w:tab w:val="left" w:pos="709"/>
        </w:tabs>
        <w:spacing w:after="0" w:line="276" w:lineRule="auto"/>
        <w:jc w:val="both"/>
        <w:rPr>
          <w:rFonts w:ascii="Arial" w:eastAsia="Calibri" w:hAnsi="Arial" w:cs="Arial"/>
          <w:b/>
          <w:bCs/>
          <w:color w:val="000000"/>
          <w:lang w:val="es-ES_tradnl" w:eastAsia="es-ES_tradnl"/>
        </w:rPr>
      </w:pPr>
    </w:p>
    <w:p w14:paraId="2584D215" w14:textId="77777777" w:rsidR="00A24733" w:rsidRPr="00A24733" w:rsidRDefault="00A24733" w:rsidP="00A24733">
      <w:pPr>
        <w:tabs>
          <w:tab w:val="left" w:pos="709"/>
        </w:tabs>
        <w:spacing w:after="0" w:line="276" w:lineRule="auto"/>
        <w:jc w:val="both"/>
        <w:rPr>
          <w:rFonts w:ascii="Arial" w:eastAsia="Calibri" w:hAnsi="Arial" w:cs="Arial"/>
          <w:b/>
          <w:bCs/>
          <w:color w:val="000000"/>
          <w:lang w:val="es-ES_tradnl" w:eastAsia="es-ES_tradnl"/>
        </w:rPr>
      </w:pPr>
      <w:r w:rsidRPr="00A24733">
        <w:rPr>
          <w:rFonts w:ascii="Arial" w:eastAsia="Calibri" w:hAnsi="Arial" w:cs="Arial"/>
          <w:b/>
          <w:bCs/>
          <w:color w:val="000000"/>
          <w:lang w:val="es-ES_tradnl" w:eastAsia="es-ES_tradnl"/>
        </w:rPr>
        <w:t xml:space="preserve">2.1. </w:t>
      </w:r>
      <w:bookmarkStart w:id="0" w:name="_Hlk94169601"/>
      <w:r w:rsidRPr="00A24733">
        <w:rPr>
          <w:rFonts w:ascii="Arial" w:eastAsia="Calibri" w:hAnsi="Arial" w:cs="Arial"/>
          <w:b/>
          <w:bCs/>
          <w:color w:val="000000"/>
          <w:lang w:val="es-ES_tradnl" w:eastAsia="es-ES_tradnl"/>
        </w:rPr>
        <w:t>Modalidad de selección de mínima cuantía. Regulación y características del procedimiento</w:t>
      </w:r>
    </w:p>
    <w:p w14:paraId="737C3C94" w14:textId="77777777" w:rsidR="00A24733" w:rsidRPr="00A24733" w:rsidRDefault="00A24733" w:rsidP="00A24733">
      <w:pPr>
        <w:tabs>
          <w:tab w:val="left" w:pos="709"/>
        </w:tabs>
        <w:spacing w:after="0" w:line="276" w:lineRule="auto"/>
        <w:jc w:val="both"/>
        <w:rPr>
          <w:rFonts w:ascii="Arial" w:eastAsia="Calibri" w:hAnsi="Arial" w:cs="Arial"/>
          <w:b/>
          <w:bCs/>
          <w:color w:val="000000"/>
          <w:lang w:val="es-ES_tradnl" w:eastAsia="es-ES_tradnl"/>
        </w:rPr>
      </w:pPr>
    </w:p>
    <w:p w14:paraId="002CE884" w14:textId="77777777" w:rsidR="00A24733" w:rsidRPr="00A24733" w:rsidRDefault="00A24733" w:rsidP="00A24733">
      <w:pPr>
        <w:tabs>
          <w:tab w:val="left" w:pos="709"/>
        </w:tabs>
        <w:spacing w:after="120" w:line="276" w:lineRule="auto"/>
        <w:jc w:val="both"/>
        <w:rPr>
          <w:rFonts w:ascii="Arial" w:eastAsia="Calibri" w:hAnsi="Arial" w:cs="Arial"/>
          <w:bCs/>
          <w:color w:val="000000"/>
          <w:lang w:val="es-ES_tradnl"/>
        </w:rPr>
      </w:pPr>
      <w:r w:rsidRPr="00A24733">
        <w:rPr>
          <w:rFonts w:ascii="Arial" w:eastAsia="Calibri" w:hAnsi="Arial" w:cs="Arial"/>
          <w:bCs/>
          <w:color w:val="000000"/>
          <w:lang w:val="es-ES_tradnl"/>
        </w:rPr>
        <w:t xml:space="preserve">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 por el artículo 274 de la Ley 1450 de 2011 y modificada por </w:t>
      </w:r>
      <w:bookmarkStart w:id="1" w:name="_Hlk69566698"/>
      <w:r w:rsidRPr="00A24733">
        <w:rPr>
          <w:rFonts w:ascii="Arial" w:eastAsia="Calibri" w:hAnsi="Arial" w:cs="Arial"/>
          <w:bCs/>
          <w:color w:val="000000"/>
          <w:lang w:val="es-ES_tradnl"/>
        </w:rPr>
        <w:t>el artículo 94 de la Ley 1474 de 2011</w:t>
      </w:r>
      <w:bookmarkEnd w:id="1"/>
      <w:r w:rsidRPr="00A24733">
        <w:rPr>
          <w:rFonts w:ascii="Arial" w:eastAsia="Calibri" w:hAnsi="Arial" w:cs="Arial"/>
          <w:bCs/>
          <w:color w:val="000000"/>
          <w:lang w:val="es-ES_tradnl"/>
        </w:rPr>
        <w:t>,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Pr="00A24733">
        <w:rPr>
          <w:rFonts w:ascii="Arial" w:eastAsia="Calibri" w:hAnsi="Arial" w:cs="Arial"/>
          <w:bCs/>
          <w:color w:val="000000"/>
          <w:vertAlign w:val="superscript"/>
          <w:lang w:val="es-ES_tradnl"/>
        </w:rPr>
        <w:footnoteReference w:id="3"/>
      </w:r>
      <w:r w:rsidRPr="00A24733">
        <w:rPr>
          <w:rFonts w:ascii="Arial" w:eastAsia="Calibri" w:hAnsi="Arial" w:cs="Arial"/>
          <w:bCs/>
          <w:color w:val="000000"/>
          <w:lang w:val="es-ES_tradnl"/>
        </w:rPr>
        <w:t>.</w:t>
      </w:r>
    </w:p>
    <w:p w14:paraId="55E0AF0C" w14:textId="77777777" w:rsidR="00A24733" w:rsidRPr="00A24733" w:rsidRDefault="00A24733" w:rsidP="00A24733">
      <w:pPr>
        <w:tabs>
          <w:tab w:val="left" w:pos="709"/>
        </w:tabs>
        <w:spacing w:after="120" w:line="276" w:lineRule="auto"/>
        <w:jc w:val="both"/>
        <w:rPr>
          <w:rFonts w:ascii="Arial" w:eastAsia="Calibri" w:hAnsi="Arial" w:cs="Arial"/>
          <w:bCs/>
          <w:color w:val="000000"/>
          <w:lang w:val="es-ES_tradnl"/>
        </w:rPr>
      </w:pPr>
      <w:r w:rsidRPr="00A24733">
        <w:rPr>
          <w:rFonts w:ascii="Arial" w:eastAsia="Calibri" w:hAnsi="Arial" w:cs="Arial"/>
          <w:bCs/>
          <w:color w:val="000000"/>
          <w:lang w:val="es-ES_tradnl"/>
        </w:rPr>
        <w:tab/>
        <w:t>En esencia, el artículo 30 de la Ley 2069 de 2020 conserva a grandes rasgos el procedimiento previsto en el derogado artículo 94 de la Ley 1474 de 2011, el cual define los aspectos generales del procedimiento contractual</w:t>
      </w:r>
      <w:r w:rsidRPr="00A24733">
        <w:rPr>
          <w:rFonts w:ascii="Arial" w:eastAsia="Calibri" w:hAnsi="Arial" w:cs="Arial"/>
          <w:bCs/>
          <w:color w:val="000000"/>
          <w:vertAlign w:val="superscript"/>
          <w:lang w:val="es-ES_tradnl"/>
        </w:rPr>
        <w:footnoteReference w:id="4"/>
      </w:r>
      <w:r w:rsidRPr="00A24733">
        <w:rPr>
          <w:rFonts w:ascii="Arial" w:eastAsia="Calibri" w:hAnsi="Arial" w:cs="Arial"/>
          <w:bCs/>
          <w:color w:val="000000"/>
          <w:lang w:val="es-ES_tradnl"/>
        </w:rPr>
        <w:t xml:space="preserve">. No obstante, aludiendo expresamente al </w:t>
      </w:r>
      <w:r w:rsidRPr="00A24733">
        <w:rPr>
          <w:rFonts w:ascii="Arial" w:eastAsia="Calibri" w:hAnsi="Arial" w:cs="Arial"/>
          <w:bCs/>
          <w:color w:val="000000"/>
          <w:lang w:val="es-ES_tradnl"/>
        </w:rPr>
        <w:lastRenderedPageBreak/>
        <w:t xml:space="preserve">desarrollo reglamentario, el parágrafo primero introduce el siguiente cambio: “Las particularidades del procedimiento aquí previsto, así como la posibilidad que tengan las entidades de realizar estas adquisiciones </w:t>
      </w:r>
      <w:r w:rsidRPr="00A24733">
        <w:rPr>
          <w:rFonts w:ascii="Arial" w:eastAsia="Calibri" w:hAnsi="Arial" w:cs="Arial"/>
          <w:bCs/>
          <w:i/>
          <w:iCs/>
          <w:color w:val="000000"/>
          <w:lang w:val="es-ES_tradnl"/>
        </w:rPr>
        <w:t xml:space="preserve">a </w:t>
      </w:r>
      <w:proofErr w:type="spellStart"/>
      <w:r w:rsidRPr="00A24733">
        <w:rPr>
          <w:rFonts w:ascii="Arial" w:eastAsia="Calibri" w:hAnsi="Arial" w:cs="Arial"/>
          <w:bCs/>
          <w:i/>
          <w:iCs/>
          <w:color w:val="000000"/>
          <w:lang w:val="es-ES_tradnl"/>
        </w:rPr>
        <w:t>Mipymes</w:t>
      </w:r>
      <w:proofErr w:type="spellEnd"/>
      <w:r w:rsidRPr="00A24733">
        <w:rPr>
          <w:rFonts w:ascii="Arial" w:eastAsia="Calibri" w:hAnsi="Arial" w:cs="Arial"/>
          <w:bCs/>
          <w:color w:val="000000"/>
          <w:lang w:val="es-ES_tradnl"/>
        </w:rPr>
        <w:t xml:space="preserve"> o establecimientos que correspondan a la definición de "gran almacén" señalada por la Superintendencia de Industria y Comercio, se determinarán en el reglamento que para el efecto expida el Gobierno Nacional” (Énfasis fuera de texto). </w:t>
      </w:r>
    </w:p>
    <w:p w14:paraId="27A847D0" w14:textId="77777777" w:rsidR="00A24733" w:rsidRPr="00A24733" w:rsidRDefault="00A24733" w:rsidP="00A24733">
      <w:pPr>
        <w:tabs>
          <w:tab w:val="left" w:pos="709"/>
        </w:tabs>
        <w:spacing w:after="120" w:line="276" w:lineRule="auto"/>
        <w:jc w:val="both"/>
        <w:rPr>
          <w:rFonts w:ascii="Arial" w:eastAsia="Calibri" w:hAnsi="Arial" w:cs="Arial"/>
          <w:bCs/>
          <w:color w:val="000000"/>
          <w:lang w:val="es-ES_tradnl"/>
        </w:rPr>
      </w:pPr>
      <w:r w:rsidRPr="00A24733">
        <w:rPr>
          <w:rFonts w:ascii="Arial" w:eastAsia="Calibri" w:hAnsi="Arial" w:cs="Arial"/>
          <w:bCs/>
          <w:color w:val="000000"/>
          <w:lang w:val="es-ES_tradnl"/>
        </w:rPr>
        <w:tab/>
        <w:t>Esta modificación es importante, pues antes de la Ley de Emprendimiento era imposible limitar a Mipyme la mínima cuantía, especialmente, cuando el artículo 94 la Ley 1474 de 2011 disponía que no era aplicable la Ley 816 de 2003, “Por medio de la cual se apoya a la industria nacional a través de la contratación pública</w:t>
      </w:r>
      <w:r w:rsidRPr="00A24733">
        <w:rPr>
          <w:rFonts w:ascii="Arial" w:eastAsia="Calibri" w:hAnsi="Arial" w:cs="Arial"/>
          <w:color w:val="000000"/>
          <w:lang w:val="es-ES_tradnl"/>
        </w:rPr>
        <w:t xml:space="preserve">”, ni </w:t>
      </w:r>
      <w:r w:rsidRPr="00A24733">
        <w:rPr>
          <w:rFonts w:ascii="Arial" w:eastAsia="Calibri" w:hAnsi="Arial" w:cs="Arial"/>
          <w:bCs/>
          <w:color w:val="000000"/>
          <w:lang w:val="es-ES_tradnl"/>
        </w:rPr>
        <w:t xml:space="preserve">el artículo 12 de la Ley 1150 de 2007, relacionado con la promoción del desarrollo en la contratación pública. A partir de la expedición del artículo 30, parágrafo 2,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w:t>
      </w:r>
      <w:proofErr w:type="spellStart"/>
      <w:r w:rsidRPr="00A24733">
        <w:rPr>
          <w:rFonts w:ascii="Arial" w:eastAsia="Calibri" w:hAnsi="Arial" w:cs="Arial"/>
          <w:bCs/>
          <w:color w:val="000000"/>
          <w:lang w:val="es-ES_tradnl"/>
        </w:rPr>
        <w:t>mipymes</w:t>
      </w:r>
      <w:proofErr w:type="spellEnd"/>
      <w:r w:rsidRPr="00A24733">
        <w:rPr>
          <w:rFonts w:ascii="Arial" w:eastAsia="Calibri" w:hAnsi="Arial" w:cs="Arial"/>
          <w:bCs/>
          <w:color w:val="000000"/>
          <w:lang w:val="es-ES_tradnl"/>
        </w:rPr>
        <w:t xml:space="preserve"> en esta modalidad de selección. Como se observa, el parágrafo 1 del artículo 30 de la Ley 2069 de 2020 dispone que el reglamento es importante para regular: i) las “particularidades del procedimiento de selección” y </w:t>
      </w:r>
      <w:proofErr w:type="spellStart"/>
      <w:r w:rsidRPr="00A24733">
        <w:rPr>
          <w:rFonts w:ascii="Arial" w:eastAsia="Calibri" w:hAnsi="Arial" w:cs="Arial"/>
          <w:bCs/>
          <w:color w:val="000000"/>
          <w:lang w:val="es-ES_tradnl"/>
        </w:rPr>
        <w:t>ii</w:t>
      </w:r>
      <w:proofErr w:type="spellEnd"/>
      <w:r w:rsidRPr="00A24733">
        <w:rPr>
          <w:rFonts w:ascii="Arial" w:eastAsia="Calibri" w:hAnsi="Arial" w:cs="Arial"/>
          <w:bCs/>
          <w:color w:val="000000"/>
          <w:lang w:val="es-ES_tradnl"/>
        </w:rPr>
        <w:t xml:space="preserve">) la posibilidad de realizar estas adquisiciones a </w:t>
      </w:r>
      <w:proofErr w:type="spellStart"/>
      <w:r w:rsidRPr="00A24733">
        <w:rPr>
          <w:rFonts w:ascii="Arial" w:eastAsia="Calibri" w:hAnsi="Arial" w:cs="Arial"/>
          <w:bCs/>
          <w:color w:val="000000"/>
          <w:lang w:val="es-ES_tradnl"/>
        </w:rPr>
        <w:t>mipymes</w:t>
      </w:r>
      <w:proofErr w:type="spellEnd"/>
      <w:r w:rsidRPr="00A24733">
        <w:rPr>
          <w:rFonts w:ascii="Arial" w:eastAsia="Calibri" w:hAnsi="Arial" w:cs="Arial"/>
          <w:bCs/>
          <w:color w:val="000000"/>
          <w:lang w:val="es-ES_tradnl"/>
        </w:rPr>
        <w:t xml:space="preserve"> o establecimientos que correspondan a la definición de “gran almacén”.</w:t>
      </w:r>
    </w:p>
    <w:p w14:paraId="7DD7C05D" w14:textId="77777777" w:rsidR="00A24733" w:rsidRPr="00A24733" w:rsidRDefault="00A24733" w:rsidP="00A24733">
      <w:pPr>
        <w:tabs>
          <w:tab w:val="left" w:pos="709"/>
        </w:tabs>
        <w:spacing w:after="120" w:line="276" w:lineRule="auto"/>
        <w:ind w:firstLine="709"/>
        <w:jc w:val="both"/>
        <w:rPr>
          <w:rFonts w:ascii="Arial" w:eastAsia="Calibri" w:hAnsi="Arial" w:cs="Arial"/>
          <w:bCs/>
          <w:color w:val="000000"/>
        </w:rPr>
      </w:pPr>
      <w:r w:rsidRPr="00A24733">
        <w:rPr>
          <w:rFonts w:ascii="Arial" w:eastAsia="Calibri" w:hAnsi="Arial" w:cs="Arial"/>
          <w:bCs/>
          <w:color w:val="000000"/>
          <w:lang w:val="es-ES_tradnl"/>
        </w:rPr>
        <w:t xml:space="preserve">Con fundamento en lo anterior, </w:t>
      </w:r>
      <w:r w:rsidRPr="00A24733">
        <w:rPr>
          <w:rFonts w:ascii="Arial" w:eastAsia="Calibri" w:hAnsi="Arial" w:cs="Arial"/>
          <w:color w:val="000000"/>
          <w:lang w:val="es-ES_tradnl"/>
        </w:rPr>
        <w:t xml:space="preserve">el Gobierno Nacional expidió el Decreto 1860 del 24 de diciembre de 2021, </w:t>
      </w:r>
      <w:r w:rsidRPr="00A24733">
        <w:rPr>
          <w:rFonts w:ascii="Arial" w:eastAsia="Calibri" w:hAnsi="Arial" w:cs="Arial"/>
          <w:bCs/>
          <w:color w:val="000000"/>
          <w:lang w:val="es-ES_tradnl"/>
        </w:rPr>
        <w:t xml:space="preserve">“Por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El artículo 8 </w:t>
      </w:r>
      <w:r w:rsidRPr="00A24733">
        <w:rPr>
          <w:rFonts w:ascii="Arial" w:eastAsia="Calibri" w:hAnsi="Arial" w:cs="Arial"/>
          <w:bCs/>
          <w:i/>
          <w:iCs/>
          <w:color w:val="000000"/>
          <w:lang w:val="es-ES_tradnl"/>
        </w:rPr>
        <w:t>ibidem</w:t>
      </w:r>
      <w:r w:rsidRPr="00A24733">
        <w:rPr>
          <w:rFonts w:ascii="Arial" w:eastAsia="Calibri" w:hAnsi="Arial" w:cs="Arial"/>
          <w:bCs/>
          <w:color w:val="000000"/>
          <w:lang w:val="es-ES_tradnl"/>
        </w:rPr>
        <w:t xml:space="preserve"> sometió a un plazo la </w:t>
      </w:r>
      <w:proofErr w:type="gramStart"/>
      <w:r w:rsidRPr="00A24733">
        <w:rPr>
          <w:rFonts w:ascii="Arial" w:eastAsia="Calibri" w:hAnsi="Arial" w:cs="Arial"/>
          <w:bCs/>
          <w:color w:val="000000"/>
          <w:lang w:val="es-ES_tradnl"/>
        </w:rPr>
        <w:t>entrada en vigencia</w:t>
      </w:r>
      <w:proofErr w:type="gramEnd"/>
      <w:r w:rsidRPr="00A24733">
        <w:rPr>
          <w:rFonts w:ascii="Arial" w:eastAsia="Calibri" w:hAnsi="Arial" w:cs="Arial"/>
          <w:bCs/>
          <w:color w:val="000000"/>
          <w:lang w:val="es-ES_tradnl"/>
        </w:rPr>
        <w:t xml:space="preserve"> de sus disposiciones, al señalar que “aplicarán a los procedimientos de selección cuya invitación, aviso de convocatoria o documento equivalente se publique a los tres (3) meses contados a partir de su expedición”</w:t>
      </w:r>
      <w:r w:rsidRPr="00A24733">
        <w:rPr>
          <w:rFonts w:ascii="Arial" w:eastAsia="Calibri" w:hAnsi="Arial" w:cs="Arial"/>
          <w:bCs/>
          <w:color w:val="000000"/>
          <w:vertAlign w:val="superscript"/>
          <w:lang w:val="es-ES_tradnl"/>
        </w:rPr>
        <w:footnoteReference w:id="5"/>
      </w:r>
      <w:r w:rsidRPr="00A24733">
        <w:rPr>
          <w:rFonts w:ascii="Arial" w:eastAsia="Calibri" w:hAnsi="Arial" w:cs="Arial"/>
          <w:bCs/>
          <w:color w:val="000000"/>
        </w:rPr>
        <w:t xml:space="preserve">. </w:t>
      </w:r>
    </w:p>
    <w:p w14:paraId="58FBACC4" w14:textId="77777777" w:rsidR="00A24733" w:rsidRPr="00A24733" w:rsidRDefault="00A24733" w:rsidP="00A24733">
      <w:pPr>
        <w:tabs>
          <w:tab w:val="left" w:pos="709"/>
        </w:tabs>
        <w:spacing w:after="120" w:line="276" w:lineRule="auto"/>
        <w:ind w:firstLine="709"/>
        <w:jc w:val="both"/>
        <w:rPr>
          <w:rFonts w:ascii="Arial" w:eastAsia="Calibri" w:hAnsi="Arial" w:cs="Arial"/>
          <w:bCs/>
          <w:color w:val="000000"/>
          <w:lang w:val="es-ES_tradnl"/>
        </w:rPr>
      </w:pPr>
      <w:r w:rsidRPr="00A24733">
        <w:rPr>
          <w:rFonts w:ascii="Arial" w:eastAsia="Calibri" w:hAnsi="Arial" w:cs="Arial"/>
          <w:bCs/>
          <w:color w:val="000000"/>
          <w:lang w:val="es-ES_tradnl"/>
        </w:rPr>
        <w:t xml:space="preserve">Entre los aspectos reglamentados por el mencionado decreto se encuentra el procedimiento de mínima cuantía. Así las cosas, el artículo 2 modifica la Subsección 5 de la Sección 1 del Capítulo 2 del Título 1 de la Parte 2 del Libro 2 del Decreto 1082 de 2015, que se titula “mínima cuantía”, por lo que reglamenta esta modalidad de selección con fundamento en lo </w:t>
      </w:r>
      <w:r w:rsidRPr="00A24733">
        <w:rPr>
          <w:rFonts w:ascii="Arial" w:eastAsia="Calibri" w:hAnsi="Arial" w:cs="Arial"/>
          <w:bCs/>
          <w:color w:val="000000"/>
          <w:lang w:val="es-ES_tradnl"/>
        </w:rPr>
        <w:lastRenderedPageBreak/>
        <w:t xml:space="preserve">establecido en el artículo 30 de la Ley 2069 de 2020. Teniendo en cuenta lo anterior, la nueva Subsección 5 a que se hizo referencia contiene los siguientes artículos: i) 2.2.1.2.1.5.1. que se ocupa de desarrollar el contenido de los estudios previos para la contratación de mínima cuantía. </w:t>
      </w:r>
      <w:proofErr w:type="spellStart"/>
      <w:r w:rsidRPr="00A24733">
        <w:rPr>
          <w:rFonts w:ascii="Arial" w:eastAsia="Calibri" w:hAnsi="Arial" w:cs="Arial"/>
          <w:bCs/>
          <w:color w:val="000000"/>
          <w:lang w:val="es-ES_tradnl"/>
        </w:rPr>
        <w:t>ii</w:t>
      </w:r>
      <w:proofErr w:type="spellEnd"/>
      <w:r w:rsidRPr="00A24733">
        <w:rPr>
          <w:rFonts w:ascii="Arial" w:eastAsia="Calibri" w:hAnsi="Arial" w:cs="Arial"/>
          <w:bCs/>
          <w:color w:val="000000"/>
          <w:lang w:val="es-ES_tradnl"/>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Mipyme, de acuerdo con el mandato del parágrafo 1 del artículo 30 de la Ley 2069 de 2020. </w:t>
      </w:r>
      <w:proofErr w:type="spellStart"/>
      <w:r w:rsidRPr="00A24733">
        <w:rPr>
          <w:rFonts w:ascii="Arial" w:eastAsia="Calibri" w:hAnsi="Arial" w:cs="Arial"/>
          <w:bCs/>
          <w:color w:val="000000"/>
          <w:lang w:val="es-ES_tradnl"/>
        </w:rPr>
        <w:t>iii</w:t>
      </w:r>
      <w:proofErr w:type="spellEnd"/>
      <w:r w:rsidRPr="00A24733">
        <w:rPr>
          <w:rFonts w:ascii="Arial" w:eastAsia="Calibri" w:hAnsi="Arial" w:cs="Arial"/>
          <w:bCs/>
          <w:color w:val="000000"/>
          <w:lang w:val="es-ES_tradnl"/>
        </w:rPr>
        <w:t xml:space="preserve">) 2.2.1.2.1.5.3. que regula un procedimiento especial para las adquisiciones en grandes almacenes cuando se trate de mínima cuantía. </w:t>
      </w:r>
      <w:proofErr w:type="spellStart"/>
      <w:r w:rsidRPr="00A24733">
        <w:rPr>
          <w:rFonts w:ascii="Arial" w:eastAsia="Calibri" w:hAnsi="Arial" w:cs="Arial"/>
          <w:bCs/>
          <w:color w:val="000000"/>
          <w:lang w:val="es-ES_tradnl"/>
        </w:rPr>
        <w:t>iv</w:t>
      </w:r>
      <w:proofErr w:type="spellEnd"/>
      <w:r w:rsidRPr="00A24733">
        <w:rPr>
          <w:rFonts w:ascii="Arial" w:eastAsia="Calibri" w:hAnsi="Arial" w:cs="Arial"/>
          <w:bCs/>
          <w:color w:val="000000"/>
          <w:lang w:val="es-ES_tradnl"/>
        </w:rPr>
        <w:t>)  2.2.1.2.1.5.4. el cual establece la posibilidad de la Agencia Nacional de Contratación Pública – Colombia Compra Eficiente defina las reglas para la utilización de instrumentos de agregación de demanda en la Tienda Virtual del Estado Colombiano para adquisiciones hasta el monto de la mínima cuantía con Mipyme y con grandes almacenes. Y v) 2.2.1.2.1.5.5. el cual establece que la entidad estatal es libre de exigir o no garantías en el proceso de selección de mínima cuantía y en la adquisición de “grandes almacenes”.</w:t>
      </w:r>
    </w:p>
    <w:p w14:paraId="4A1FB425" w14:textId="77777777" w:rsidR="00A24733" w:rsidRPr="00A24733" w:rsidRDefault="00A24733" w:rsidP="00A24733">
      <w:pPr>
        <w:tabs>
          <w:tab w:val="left" w:pos="709"/>
        </w:tabs>
        <w:spacing w:after="120" w:line="276" w:lineRule="auto"/>
        <w:jc w:val="both"/>
        <w:rPr>
          <w:rFonts w:ascii="Arial" w:eastAsia="Calibri" w:hAnsi="Arial" w:cs="Arial"/>
          <w:color w:val="000000"/>
          <w:lang w:val="es-ES_tradnl"/>
        </w:rPr>
      </w:pPr>
      <w:r w:rsidRPr="00A24733">
        <w:rPr>
          <w:rFonts w:ascii="Arial" w:eastAsia="Calibri" w:hAnsi="Arial" w:cs="Arial"/>
          <w:bCs/>
          <w:color w:val="000000"/>
          <w:lang w:val="es-ES_tradnl"/>
        </w:rPr>
        <w:tab/>
        <w:t xml:space="preserve">De esta manera, el artículo 2 del Decreto 1860 del 24 de diciembre de 2021, que modifica los artículos del Decreto 1082 de 2015 expuestos en el párrafo anterior, constituye la reglamentación del artículo 30 de la Ley 2069 de 2020, al desarrollar las reglas aplicables a esta modalidad de selección. Como se indicó anteriormente, estas disposiciones rigen para los procedimientos de selección cuya invitación, </w:t>
      </w:r>
      <w:r w:rsidRPr="00A24733">
        <w:rPr>
          <w:rFonts w:ascii="Arial" w:eastAsia="Calibri" w:hAnsi="Arial" w:cs="Arial"/>
          <w:color w:val="000000"/>
          <w:lang w:val="es-ES_tradnl"/>
        </w:rPr>
        <w:t xml:space="preserve">aviso de convocatoria o documento equivalente se publique a los tres (3) meses contados a partir de su expedición. </w:t>
      </w:r>
    </w:p>
    <w:p w14:paraId="3D4EBA38" w14:textId="77777777" w:rsidR="00A24733" w:rsidRPr="00A24733" w:rsidRDefault="00A24733" w:rsidP="00A24733">
      <w:pPr>
        <w:tabs>
          <w:tab w:val="left" w:pos="709"/>
        </w:tabs>
        <w:spacing w:after="120" w:line="276" w:lineRule="auto"/>
        <w:jc w:val="both"/>
        <w:rPr>
          <w:rFonts w:ascii="Arial" w:eastAsia="Calibri" w:hAnsi="Arial" w:cs="Arial"/>
          <w:color w:val="000000"/>
          <w:szCs w:val="24"/>
          <w:lang w:val="es-ES_tradnl" w:eastAsia="es-ES_tradnl"/>
        </w:rPr>
      </w:pPr>
      <w:r w:rsidRPr="00A24733">
        <w:rPr>
          <w:rFonts w:ascii="Arial" w:eastAsia="Calibri" w:hAnsi="Arial" w:cs="Arial"/>
          <w:color w:val="000000"/>
          <w:lang w:val="es-ES_tradnl"/>
        </w:rPr>
        <w:tab/>
      </w:r>
      <w:r w:rsidRPr="00A24733">
        <w:rPr>
          <w:rFonts w:ascii="Arial" w:eastAsia="Calibri" w:hAnsi="Arial" w:cs="Arial"/>
          <w:color w:val="000000"/>
          <w:szCs w:val="24"/>
          <w:lang w:val="es-ES_tradnl" w:eastAsia="es-ES_tradnl"/>
        </w:rPr>
        <w:t>La mínima cuantía es una modalidad de selección en virtud de la cual la entidad estatal realiza una convocatoria pública para recibir ofertas de bienes, obras o servicios cuyo valor no excede el diez por ciento (10%) de la menor cuantía. El factor determinante para llevar a cabo tal procedimiento es la cuantía –calculada como presupuesto oficial a partir del estudio del sector–, independientemente de su objeto</w:t>
      </w:r>
      <w:r w:rsidRPr="00A24733">
        <w:rPr>
          <w:rFonts w:ascii="Arial" w:eastAsia="Calibri" w:hAnsi="Arial" w:cs="Arial"/>
          <w:color w:val="000000"/>
          <w:szCs w:val="24"/>
          <w:vertAlign w:val="superscript"/>
          <w:lang w:val="es-ES_tradnl" w:eastAsia="es-ES_tradnl"/>
        </w:rPr>
        <w:footnoteReference w:id="6"/>
      </w:r>
      <w:r w:rsidRPr="00A24733">
        <w:rPr>
          <w:rFonts w:ascii="Arial" w:eastAsia="Calibri" w:hAnsi="Arial" w:cs="Arial"/>
          <w:color w:val="000000"/>
          <w:szCs w:val="24"/>
          <w:lang w:val="es-ES_tradnl" w:eastAsia="es-ES_tradnl"/>
        </w:rPr>
        <w:t xml:space="preserve">. </w:t>
      </w:r>
    </w:p>
    <w:p w14:paraId="104ADAD3" w14:textId="77777777" w:rsidR="00A24733" w:rsidRPr="00A24733" w:rsidRDefault="00A24733" w:rsidP="00A24733">
      <w:pPr>
        <w:spacing w:after="120" w:line="276" w:lineRule="auto"/>
        <w:ind w:firstLine="709"/>
        <w:jc w:val="both"/>
        <w:rPr>
          <w:rFonts w:ascii="Arial" w:eastAsia="Calibri" w:hAnsi="Arial" w:cs="Arial"/>
          <w:color w:val="000000"/>
          <w:lang w:val="es-ES_tradnl"/>
        </w:rPr>
      </w:pPr>
      <w:r w:rsidRPr="00A24733">
        <w:rPr>
          <w:rFonts w:ascii="Arial" w:eastAsia="Calibri" w:hAnsi="Arial" w:cs="Arial"/>
          <w:color w:val="000000"/>
          <w:szCs w:val="24"/>
          <w:lang w:val="es-ES_tradnl" w:eastAsia="es-ES_tradnl"/>
        </w:rPr>
        <w:t>Dicho de otro modo, la mínima cuantía es un procedimiento de selección “exceptivo”</w:t>
      </w:r>
      <w:r w:rsidRPr="00A24733">
        <w:rPr>
          <w:rFonts w:ascii="Arial" w:eastAsia="Calibri" w:hAnsi="Arial" w:cs="Arial"/>
          <w:color w:val="000000"/>
          <w:szCs w:val="24"/>
          <w:vertAlign w:val="superscript"/>
          <w:lang w:val="es-ES_tradnl" w:eastAsia="es-ES_tradnl"/>
        </w:rPr>
        <w:footnoteReference w:id="7"/>
      </w:r>
      <w:r w:rsidRPr="00A24733">
        <w:rPr>
          <w:rFonts w:ascii="Arial" w:eastAsia="Calibri" w:hAnsi="Arial" w:cs="Arial"/>
          <w:color w:val="000000"/>
          <w:szCs w:val="24"/>
          <w:lang w:val="es-ES_tradnl" w:eastAsia="es-ES_tradnl"/>
        </w:rPr>
        <w:t>, porque es una excepción adicional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w:t>
      </w:r>
      <w:r w:rsidRPr="00A24733">
        <w:rPr>
          <w:rFonts w:ascii="Arial" w:eastAsia="Calibri" w:hAnsi="Arial" w:cs="Arial"/>
          <w:color w:val="000000"/>
          <w:szCs w:val="24"/>
          <w:vertAlign w:val="superscript"/>
          <w:lang w:val="es-ES_tradnl" w:eastAsia="es-ES_tradnl"/>
        </w:rPr>
        <w:footnoteReference w:id="8"/>
      </w:r>
      <w:r w:rsidRPr="00A24733">
        <w:rPr>
          <w:rFonts w:ascii="Arial" w:eastAsia="Calibri" w:hAnsi="Arial" w:cs="Arial"/>
          <w:color w:val="000000"/>
          <w:szCs w:val="24"/>
          <w:lang w:val="es-ES_tradnl" w:eastAsia="es-ES_tradnl"/>
        </w:rPr>
        <w:t xml:space="preserve">, y lo segundo, porque sus requisitos, etapas y términos son especiales. En </w:t>
      </w:r>
      <w:r w:rsidRPr="00A24733">
        <w:rPr>
          <w:rFonts w:ascii="Arial" w:eastAsia="Calibri" w:hAnsi="Arial" w:cs="Arial"/>
          <w:color w:val="000000"/>
          <w:szCs w:val="24"/>
          <w:lang w:val="es-ES_tradnl" w:eastAsia="es-ES_tradnl"/>
        </w:rPr>
        <w:lastRenderedPageBreak/>
        <w:t>efecto, a partir de las modificaciones reguladas en el Decreto 1860 de 2021 los requisitos de la mínima cuantía pueden sintetizarse así:</w:t>
      </w:r>
    </w:p>
    <w:p w14:paraId="22B99A62" w14:textId="77777777" w:rsidR="00A24733" w:rsidRPr="00A24733" w:rsidRDefault="00A24733" w:rsidP="00A24733">
      <w:pPr>
        <w:spacing w:after="120" w:line="276" w:lineRule="auto"/>
        <w:ind w:firstLine="709"/>
        <w:jc w:val="both"/>
        <w:rPr>
          <w:rFonts w:ascii="Arial" w:eastAsia="Calibri" w:hAnsi="Arial" w:cs="Arial"/>
          <w:color w:val="000000"/>
          <w:szCs w:val="24"/>
          <w:lang w:val="es-ES_tradnl" w:eastAsia="es-ES_tradnl"/>
        </w:rPr>
      </w:pPr>
      <w:r w:rsidRPr="00A24733">
        <w:rPr>
          <w:rFonts w:ascii="Arial" w:eastAsia="Calibri" w:hAnsi="Arial" w:cs="Arial"/>
          <w:color w:val="000000"/>
          <w:szCs w:val="24"/>
          <w:lang w:val="es-ES_tradnl" w:eastAsia="es-ES_tradnl"/>
        </w:rPr>
        <w:t>i) La entidad estatal debe realizar los estudios previos en los que señale cuál es la necesidad que pretende satisfacer, el objeto del contrato, sus condiciones técnicas, el valor estimado, el plazo de ejecución y el certificado de disponibilidad presupuestal.</w:t>
      </w:r>
    </w:p>
    <w:p w14:paraId="45647140" w14:textId="77777777" w:rsidR="00A24733" w:rsidRPr="00A24733" w:rsidRDefault="00A24733" w:rsidP="00A24733">
      <w:pPr>
        <w:spacing w:after="120" w:line="276" w:lineRule="auto"/>
        <w:ind w:firstLine="709"/>
        <w:jc w:val="both"/>
        <w:rPr>
          <w:rFonts w:ascii="Arial" w:eastAsia="Calibri" w:hAnsi="Arial" w:cs="Arial"/>
          <w:color w:val="000000"/>
          <w:szCs w:val="24"/>
          <w:lang w:val="es-ES_tradnl" w:eastAsia="es-ES_tradnl"/>
        </w:rPr>
      </w:pPr>
      <w:proofErr w:type="spellStart"/>
      <w:r w:rsidRPr="00A24733">
        <w:rPr>
          <w:rFonts w:ascii="Arial" w:eastAsia="Calibri" w:hAnsi="Arial" w:cs="Arial"/>
          <w:color w:val="000000"/>
          <w:szCs w:val="24"/>
          <w:lang w:val="es-ES_tradnl" w:eastAsia="es-ES_tradnl"/>
        </w:rPr>
        <w:t>ii</w:t>
      </w:r>
      <w:proofErr w:type="spellEnd"/>
      <w:r w:rsidRPr="00A24733">
        <w:rPr>
          <w:rFonts w:ascii="Arial" w:eastAsia="Calibri" w:hAnsi="Arial" w:cs="Arial"/>
          <w:color w:val="000000"/>
          <w:szCs w:val="24"/>
          <w:lang w:val="es-ES_tradnl" w:eastAsia="es-ES_tradnl"/>
        </w:rPr>
        <w:t xml:space="preserve">) Luego de surtir los trámites previos, la entidad debe publicar en el SECOP una invitación, señalando el objeto, las condiciones técnicas y el valor estimado del contrato, expresando además las razones que justifican el cálculo de la cuantía. Asimismo, deberá señalar la forma en la cual se acreditará la capacidad jurídica y la experiencia mínima, en caso de que esta se exija, así como el cumplimiento de las condiciones técnicas exigidas, incluyendo las obligaciones del futuro contrato. </w:t>
      </w:r>
    </w:p>
    <w:p w14:paraId="39598150" w14:textId="77777777" w:rsidR="00A24733" w:rsidRPr="00A24733" w:rsidRDefault="00A24733" w:rsidP="00A24733">
      <w:pPr>
        <w:spacing w:after="120" w:line="276" w:lineRule="auto"/>
        <w:ind w:firstLine="709"/>
        <w:jc w:val="both"/>
        <w:rPr>
          <w:rFonts w:ascii="Arial" w:eastAsia="Calibri" w:hAnsi="Arial" w:cs="Arial"/>
          <w:szCs w:val="24"/>
          <w:lang w:eastAsia="es-ES_tradnl"/>
        </w:rPr>
      </w:pPr>
      <w:proofErr w:type="spellStart"/>
      <w:r w:rsidRPr="00A24733">
        <w:rPr>
          <w:rFonts w:ascii="Arial" w:eastAsia="Calibri" w:hAnsi="Arial" w:cs="Arial"/>
          <w:color w:val="000000"/>
          <w:szCs w:val="24"/>
          <w:lang w:val="es-ES_tradnl" w:eastAsia="es-ES_tradnl"/>
        </w:rPr>
        <w:t>iii</w:t>
      </w:r>
      <w:proofErr w:type="spellEnd"/>
      <w:r w:rsidRPr="00A24733">
        <w:rPr>
          <w:rFonts w:ascii="Arial" w:eastAsia="Calibri" w:hAnsi="Arial" w:cs="Arial"/>
          <w:color w:val="000000"/>
          <w:szCs w:val="24"/>
          <w:lang w:val="es-ES_tradnl" w:eastAsia="es-ES_tradnl"/>
        </w:rPr>
        <w:t xml:space="preserve">) La entidad podrá exigir una capacidad financiera mínima cuando no hace el pago contra entrega a satisfacción de los bienes, obras o servicios. En estos casos, la entidad deberá indicar la forma en la que hará la verificación correspondiente en la invitación. Cabe anotar que este aspecto </w:t>
      </w:r>
      <w:r w:rsidRPr="00A24733">
        <w:rPr>
          <w:rFonts w:ascii="Arial" w:eastAsia="Calibri" w:hAnsi="Arial" w:cs="Arial"/>
          <w:szCs w:val="24"/>
          <w:lang w:eastAsia="es-ES_tradnl"/>
        </w:rPr>
        <w:t xml:space="preserve">se encontraba regulado desde la disposición anterior y no hay ninguna modificación en su aplicación en el procedimiento de mínima cuantía reglamentado en el Decreto 1860 de 2021.  </w:t>
      </w:r>
    </w:p>
    <w:p w14:paraId="39C2A478" w14:textId="77777777" w:rsidR="00A24733" w:rsidRPr="00A24733" w:rsidRDefault="00A24733" w:rsidP="00A24733">
      <w:pPr>
        <w:spacing w:after="120" w:line="276" w:lineRule="auto"/>
        <w:ind w:firstLine="709"/>
        <w:jc w:val="both"/>
        <w:rPr>
          <w:rFonts w:ascii="Arial" w:eastAsia="Calibri" w:hAnsi="Arial" w:cs="Arial"/>
          <w:color w:val="000000"/>
          <w:szCs w:val="24"/>
          <w:lang w:val="es-ES" w:eastAsia="es-ES_tradnl"/>
        </w:rPr>
      </w:pPr>
      <w:r w:rsidRPr="00A24733">
        <w:rPr>
          <w:rFonts w:ascii="Arial" w:eastAsia="Calibri" w:hAnsi="Arial" w:cs="Arial"/>
          <w:color w:val="000000"/>
          <w:szCs w:val="24"/>
          <w:lang w:val="es-ES_tradnl" w:eastAsia="es-ES_tradnl"/>
        </w:rPr>
        <w:t xml:space="preserve">Es pertinente resaltar que en el evento en que la entidad determine la necesidad de exigir capacidad financiera en un proceso de mínima cuantía, no podrá requerir la presentación del RUP para realizar dicha verificación. En efecto, de conformidad con el artículo 6 de la Ley 1150 de 2007 </w:t>
      </w:r>
      <w:r w:rsidRPr="00A24733">
        <w:rPr>
          <w:rFonts w:ascii="Arial" w:eastAsia="Calibri" w:hAnsi="Arial" w:cs="Arial"/>
          <w:color w:val="000000"/>
          <w:szCs w:val="24"/>
          <w:lang w:val="es-ES" w:eastAsia="es-ES_tradnl"/>
        </w:rPr>
        <w:t xml:space="preserve">el RUP no es exigible en algunos procedimientos de contratación, como en la contratación directa, </w:t>
      </w:r>
      <w:r w:rsidRPr="00A24733">
        <w:rPr>
          <w:rFonts w:ascii="Arial" w:eastAsia="Calibri" w:hAnsi="Arial" w:cs="Arial"/>
          <w:i/>
          <w:iCs/>
          <w:color w:val="000000"/>
          <w:szCs w:val="24"/>
          <w:lang w:val="es-ES" w:eastAsia="es-ES_tradnl"/>
        </w:rPr>
        <w:t>la mínima cuantía</w:t>
      </w:r>
      <w:r w:rsidRPr="00A24733">
        <w:rPr>
          <w:rFonts w:ascii="Arial" w:eastAsia="Calibri" w:hAnsi="Arial" w:cs="Arial"/>
          <w:color w:val="000000"/>
          <w:szCs w:val="24"/>
          <w:lang w:val="es-ES" w:eastAsia="es-ES_tradnl"/>
        </w:rPr>
        <w:t xml:space="preserve">, la prestación de servicios de salud, enajenación de bienes del Estado, la adquisición de productos de origen o destinación agropecuaria ofrecidos en bolsas de productos, los contratos de concesión y los contratos que celebren las empresas industriales y </w:t>
      </w:r>
      <w:r w:rsidRPr="00A24733">
        <w:rPr>
          <w:rFonts w:ascii="Arial" w:eastAsia="Calibri" w:hAnsi="Arial" w:cs="Arial"/>
          <w:color w:val="000000"/>
          <w:szCs w:val="24"/>
          <w:lang w:val="es-ES" w:eastAsia="es-ES_tradnl"/>
        </w:rPr>
        <w:lastRenderedPageBreak/>
        <w:t>comerciales del Estado y las sociedades de economía mixta, que tengan por objeto el desarrollo de sus actividades industriales y comerciales</w:t>
      </w:r>
      <w:r w:rsidRPr="00A24733">
        <w:rPr>
          <w:rFonts w:ascii="Arial" w:eastAsia="Calibri" w:hAnsi="Arial" w:cs="Arial"/>
          <w:color w:val="000000"/>
          <w:szCs w:val="24"/>
          <w:vertAlign w:val="superscript"/>
          <w:lang w:val="es-ES" w:eastAsia="es-ES_tradnl"/>
        </w:rPr>
        <w:footnoteReference w:id="9"/>
      </w:r>
      <w:r w:rsidRPr="00A24733">
        <w:rPr>
          <w:rFonts w:ascii="Arial" w:eastAsia="Calibri" w:hAnsi="Arial" w:cs="Arial"/>
          <w:color w:val="000000"/>
          <w:szCs w:val="24"/>
          <w:lang w:val="es-ES" w:eastAsia="es-ES_tradnl"/>
        </w:rPr>
        <w:t xml:space="preserve">. </w:t>
      </w:r>
    </w:p>
    <w:p w14:paraId="7B2C513A" w14:textId="77777777" w:rsidR="00A24733" w:rsidRPr="00A24733" w:rsidRDefault="00A24733" w:rsidP="00A24733">
      <w:pPr>
        <w:spacing w:after="120" w:line="276" w:lineRule="auto"/>
        <w:ind w:firstLine="709"/>
        <w:jc w:val="both"/>
        <w:rPr>
          <w:rFonts w:ascii="Arial" w:eastAsia="Calibri" w:hAnsi="Arial" w:cs="Arial"/>
          <w:color w:val="000000"/>
          <w:szCs w:val="24"/>
          <w:lang w:val="es-ES" w:eastAsia="es-ES_tradnl"/>
        </w:rPr>
      </w:pPr>
      <w:r w:rsidRPr="00A24733">
        <w:rPr>
          <w:rFonts w:ascii="Arial" w:eastAsia="Calibri" w:hAnsi="Arial" w:cs="Arial"/>
          <w:color w:val="000000"/>
          <w:szCs w:val="24"/>
          <w:lang w:val="es-ES" w:eastAsia="es-ES_tradnl"/>
        </w:rPr>
        <w:t>Por ello, las entidades estatales deben verificar directamente el cumplimiento de los requisitos habilitantes, como establece en inciso segundo del artículo 6 de la Ley 1150 de 2007. Las indicadas excepciones a la obligación general de inscribirse en el RUP para celebrar contratos con las entidades estatales sometidas al EGCAP, son de interpretación estricta. Esto también se fundamenta en el artículo 2.2.1.1.1.5.1 del Decreto 1082 de 2015, al prescribir que la inscripción en el RUP es imperativa para los sujetos mencionados en el primer inciso del artículo 6 de la Ley 1150 de 2007, salvo las excepciones previstas de forma taxativa en la ley</w:t>
      </w:r>
      <w:r w:rsidRPr="00A24733">
        <w:rPr>
          <w:rFonts w:ascii="Arial" w:eastAsia="Calibri" w:hAnsi="Arial" w:cs="Arial"/>
          <w:color w:val="000000"/>
          <w:szCs w:val="24"/>
          <w:vertAlign w:val="superscript"/>
          <w:lang w:val="es-ES" w:eastAsia="es-ES_tradnl"/>
        </w:rPr>
        <w:footnoteReference w:id="10"/>
      </w:r>
      <w:r w:rsidRPr="00A24733">
        <w:rPr>
          <w:rFonts w:ascii="Arial" w:eastAsia="Calibri" w:hAnsi="Arial" w:cs="Arial"/>
          <w:color w:val="000000"/>
          <w:szCs w:val="24"/>
          <w:lang w:val="es-ES" w:eastAsia="es-ES_tradnl"/>
        </w:rPr>
        <w:t xml:space="preserve">. </w:t>
      </w:r>
    </w:p>
    <w:p w14:paraId="6E3522C4" w14:textId="77777777" w:rsidR="00A24733" w:rsidRPr="00A24733" w:rsidRDefault="00A24733" w:rsidP="00A24733">
      <w:pPr>
        <w:spacing w:after="120" w:line="276" w:lineRule="auto"/>
        <w:ind w:firstLine="709"/>
        <w:jc w:val="both"/>
        <w:rPr>
          <w:rFonts w:ascii="Arial" w:eastAsia="Calibri" w:hAnsi="Arial" w:cs="Arial"/>
          <w:color w:val="000000"/>
          <w:szCs w:val="24"/>
          <w:lang w:val="es-ES" w:eastAsia="es-ES_tradnl"/>
        </w:rPr>
      </w:pPr>
      <w:r w:rsidRPr="00A24733">
        <w:rPr>
          <w:rFonts w:ascii="Arial" w:eastAsia="Calibri" w:hAnsi="Arial" w:cs="Arial"/>
          <w:color w:val="000000"/>
          <w:szCs w:val="24"/>
          <w:lang w:val="es-ES" w:eastAsia="es-ES_tradnl"/>
        </w:rPr>
        <w:t>En tal sentido, la evaluación de la capacidad financiera, así como el requisito de experiencia en los procesos de selección de mínima cuantía, cuando estas condiciones se requieran, se realizará en los términos establecidos en la invitación, pues las entidades estatales cuentan con discrecionalidad para regular este aspecto, de acuerdo con lo explicado, sin que sea posible exigir la presentación del RUP.</w:t>
      </w:r>
    </w:p>
    <w:p w14:paraId="0783AD6C" w14:textId="77777777" w:rsidR="00A24733" w:rsidRPr="00A24733" w:rsidRDefault="00A24733" w:rsidP="00A24733">
      <w:pPr>
        <w:spacing w:after="120" w:line="276" w:lineRule="auto"/>
        <w:ind w:firstLine="709"/>
        <w:jc w:val="both"/>
        <w:rPr>
          <w:rFonts w:ascii="Arial" w:eastAsia="Calibri" w:hAnsi="Arial" w:cs="Arial"/>
          <w:color w:val="000000"/>
          <w:szCs w:val="24"/>
          <w:lang w:val="es-ES" w:eastAsia="es-ES_tradnl"/>
        </w:rPr>
      </w:pPr>
      <w:proofErr w:type="spellStart"/>
      <w:r w:rsidRPr="00A24733">
        <w:rPr>
          <w:rFonts w:ascii="Arial" w:eastAsia="Calibri" w:hAnsi="Arial" w:cs="Arial"/>
          <w:color w:val="000000"/>
          <w:szCs w:val="24"/>
          <w:lang w:val="es-ES_tradnl" w:eastAsia="es-ES_tradnl"/>
        </w:rPr>
        <w:t>iv</w:t>
      </w:r>
      <w:proofErr w:type="spellEnd"/>
      <w:r w:rsidRPr="00A24733">
        <w:rPr>
          <w:rFonts w:ascii="Arial" w:eastAsia="Calibri" w:hAnsi="Arial" w:cs="Arial"/>
          <w:color w:val="000000"/>
          <w:szCs w:val="24"/>
          <w:lang w:val="es-ES_tradnl" w:eastAsia="es-ES_tradnl"/>
        </w:rPr>
        <w:t xml:space="preserve">) La invitación se debe publicar por un término no inferior a un (1) día hábil, para que </w:t>
      </w:r>
      <w:r w:rsidRPr="00A24733">
        <w:rPr>
          <w:rFonts w:ascii="Arial" w:eastAsia="Calibri" w:hAnsi="Arial" w:cs="Arial"/>
          <w:color w:val="000000"/>
          <w:szCs w:val="24"/>
          <w:lang w:eastAsia="es-ES_tradnl"/>
        </w:rPr>
        <w:t>los interesados se informen de su contenido y formulen observaciones o comentarios.</w:t>
      </w:r>
      <w:r w:rsidRPr="00A24733">
        <w:rPr>
          <w:rFonts w:ascii="Arial" w:eastAsia="Calibri" w:hAnsi="Arial" w:cs="Arial"/>
          <w:color w:val="000000"/>
          <w:szCs w:val="24"/>
          <w:lang w:val="es-ES_tradnl" w:eastAsia="es-ES_tradnl"/>
        </w:rPr>
        <w:t xml:space="preserve"> En este plazo </w:t>
      </w:r>
      <w:r w:rsidRPr="00A24733">
        <w:rPr>
          <w:rFonts w:ascii="Arial" w:eastAsia="Calibri" w:hAnsi="Arial" w:cs="Arial"/>
          <w:color w:val="000000"/>
          <w:szCs w:val="24"/>
          <w:lang w:eastAsia="es-ES_tradnl"/>
        </w:rPr>
        <w:t xml:space="preserve">se podrán presentar las solicitudes para limitar la convocatoria a Mipyme colombianas. Este último aspecto materializa la posibilidad de </w:t>
      </w:r>
      <w:r w:rsidRPr="00A24733">
        <w:rPr>
          <w:rFonts w:ascii="Arial" w:eastAsia="Calibri" w:hAnsi="Arial" w:cs="Arial"/>
          <w:bCs/>
          <w:color w:val="000000"/>
          <w:lang w:val="es-ES_tradnl"/>
        </w:rPr>
        <w:t>limitar las convocatorias a Mipyme</w:t>
      </w:r>
      <w:r w:rsidRPr="00A24733">
        <w:rPr>
          <w:rFonts w:ascii="Arial" w:eastAsia="Calibri" w:hAnsi="Arial" w:cs="Arial"/>
          <w:color w:val="000000"/>
          <w:szCs w:val="24"/>
          <w:lang w:eastAsia="es-ES_tradnl"/>
        </w:rPr>
        <w:t xml:space="preserve"> en estos procesos de selección</w:t>
      </w:r>
      <w:r w:rsidRPr="00A24733">
        <w:rPr>
          <w:rFonts w:ascii="Arial" w:eastAsia="Calibri" w:hAnsi="Arial" w:cs="Arial"/>
          <w:bCs/>
          <w:color w:val="000000"/>
          <w:lang w:val="es-ES_tradnl"/>
        </w:rPr>
        <w:t>, conforme lo establece el artículo 30 de la Ley 2069 de 2020.</w:t>
      </w:r>
    </w:p>
    <w:p w14:paraId="61A0B138" w14:textId="77777777" w:rsidR="00A24733" w:rsidRPr="00A24733" w:rsidRDefault="00A24733" w:rsidP="00A24733">
      <w:pPr>
        <w:spacing w:after="120" w:line="276" w:lineRule="auto"/>
        <w:ind w:firstLine="709"/>
        <w:jc w:val="both"/>
        <w:rPr>
          <w:rFonts w:ascii="Arial" w:eastAsia="Calibri" w:hAnsi="Arial" w:cs="Arial"/>
          <w:color w:val="000000"/>
          <w:szCs w:val="24"/>
          <w:lang w:val="es-ES_tradnl" w:eastAsia="es-ES_tradnl"/>
        </w:rPr>
      </w:pPr>
      <w:r w:rsidRPr="00A24733">
        <w:rPr>
          <w:rFonts w:ascii="Arial" w:eastAsia="Calibri" w:hAnsi="Arial" w:cs="Arial"/>
          <w:color w:val="000000"/>
          <w:szCs w:val="24"/>
          <w:lang w:val="es-ES_tradnl" w:eastAsia="es-ES_tradnl"/>
        </w:rPr>
        <w:t xml:space="preserve">v) Las observaciones que realicen los interesados deben responderse por la entidad estatal a más tardar antes del inicio del plazo para presentar las ofertas. </w:t>
      </w:r>
    </w:p>
    <w:p w14:paraId="6CBB98E4" w14:textId="77777777" w:rsidR="00A24733" w:rsidRPr="00A24733" w:rsidRDefault="00A24733" w:rsidP="00A24733">
      <w:pPr>
        <w:spacing w:after="120" w:line="276" w:lineRule="auto"/>
        <w:ind w:firstLine="709"/>
        <w:jc w:val="both"/>
        <w:rPr>
          <w:rFonts w:ascii="Arial" w:eastAsia="Calibri" w:hAnsi="Arial" w:cs="Arial"/>
          <w:color w:val="000000"/>
          <w:szCs w:val="24"/>
          <w:lang w:val="es-ES_tradnl" w:eastAsia="es-ES_tradnl"/>
        </w:rPr>
      </w:pPr>
      <w:r w:rsidRPr="00A24733">
        <w:rPr>
          <w:rFonts w:ascii="Arial" w:eastAsia="Calibri" w:hAnsi="Arial" w:cs="Arial"/>
          <w:color w:val="000000"/>
          <w:szCs w:val="24"/>
          <w:lang w:val="es-ES_tradnl" w:eastAsia="es-ES_tradnl"/>
        </w:rPr>
        <w:t xml:space="preserve">vi) En la invitación se deberá incluir un cronograma que tenga en cuenta los términos mínimos establecidos en el artículo </w:t>
      </w:r>
      <w:r w:rsidRPr="00A24733">
        <w:rPr>
          <w:rFonts w:ascii="Arial" w:eastAsia="Calibri" w:hAnsi="Arial" w:cs="Arial"/>
          <w:bCs/>
          <w:color w:val="000000"/>
          <w:szCs w:val="24"/>
          <w:lang w:val="es-ES_tradnl" w:eastAsia="es-ES_tradnl"/>
        </w:rPr>
        <w:t>2.2.1.2.1.5.2. del Decreto 1082 de 2015</w:t>
      </w:r>
      <w:r w:rsidRPr="00A24733">
        <w:rPr>
          <w:rFonts w:ascii="Arial" w:eastAsia="Calibri" w:hAnsi="Arial" w:cs="Arial"/>
          <w:color w:val="000000"/>
          <w:szCs w:val="24"/>
          <w:lang w:eastAsia="es-ES_tradnl"/>
        </w:rPr>
        <w:t xml:space="preserve">, así como: a) el término dentro del cual la entidad responderá las observaciones; b) el término hasta el cual podrá </w:t>
      </w:r>
      <w:r w:rsidRPr="00A24733">
        <w:rPr>
          <w:rFonts w:ascii="Arial" w:eastAsia="Calibri" w:hAnsi="Arial" w:cs="Arial"/>
          <w:color w:val="000000"/>
          <w:szCs w:val="24"/>
          <w:lang w:eastAsia="es-ES_tradnl"/>
        </w:rPr>
        <w:lastRenderedPageBreak/>
        <w:t>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 c) el momento en que publicará un aviso en el SECOP precisando si el proceso efectivamente se limitó a Mipyme o si podrá participar cualquier otro interesado; d) finalmente, se dispondrá un término adicional dentro del cual los proponentes podrán presentar sus ofertas, el cual será de mínimo un (1) día hábil luego de publicado el aviso en que se informe si el proceso se limita o no a Mipyme.</w:t>
      </w:r>
    </w:p>
    <w:p w14:paraId="73E56414" w14:textId="77777777" w:rsidR="00A24733" w:rsidRPr="00A24733" w:rsidRDefault="00A24733" w:rsidP="00A24733">
      <w:pPr>
        <w:spacing w:after="120" w:line="276" w:lineRule="auto"/>
        <w:ind w:firstLine="709"/>
        <w:jc w:val="both"/>
        <w:rPr>
          <w:rFonts w:ascii="Arial" w:eastAsia="Calibri" w:hAnsi="Arial" w:cs="Arial"/>
          <w:color w:val="000000"/>
          <w:szCs w:val="24"/>
          <w:lang w:val="es-ES_tradnl" w:eastAsia="es-ES_tradnl"/>
        </w:rPr>
      </w:pPr>
      <w:proofErr w:type="spellStart"/>
      <w:r w:rsidRPr="00A24733">
        <w:rPr>
          <w:rFonts w:ascii="Arial" w:eastAsia="Calibri" w:hAnsi="Arial" w:cs="Arial"/>
          <w:color w:val="000000"/>
          <w:szCs w:val="24"/>
          <w:lang w:val="es-ES_tradnl" w:eastAsia="es-ES_tradnl"/>
        </w:rPr>
        <w:t>vii</w:t>
      </w:r>
      <w:proofErr w:type="spellEnd"/>
      <w:r w:rsidRPr="00A24733">
        <w:rPr>
          <w:rFonts w:ascii="Arial" w:eastAsia="Calibri" w:hAnsi="Arial" w:cs="Arial"/>
          <w:color w:val="000000"/>
          <w:szCs w:val="24"/>
          <w:lang w:val="es-ES_tradnl" w:eastAsia="es-ES_tradnl"/>
        </w:rPr>
        <w:t>) Presentadas las propuestas, la entidad estatal debe revisar las ofertas económicas y verificar que la del menor precio cumpla con los requisitos de participación. Si no los satisface, debe revisar la oferta económica en el segundo mejor precio y así sucesivamente. Esto significa que en la mínima cuantía el precio es el único factor de calificación o asignación de puntaje</w:t>
      </w:r>
      <w:r w:rsidRPr="00A24733">
        <w:rPr>
          <w:rFonts w:ascii="Arial" w:eastAsia="Calibri" w:hAnsi="Arial" w:cs="Arial"/>
          <w:color w:val="000000"/>
          <w:szCs w:val="24"/>
          <w:vertAlign w:val="superscript"/>
          <w:lang w:val="es-ES_tradnl" w:eastAsia="es-ES_tradnl"/>
        </w:rPr>
        <w:footnoteReference w:id="11"/>
      </w:r>
      <w:r w:rsidRPr="00A24733">
        <w:rPr>
          <w:rFonts w:ascii="Arial" w:eastAsia="Calibri" w:hAnsi="Arial" w:cs="Arial"/>
          <w:color w:val="000000"/>
          <w:szCs w:val="24"/>
          <w:lang w:val="es-ES_tradnl" w:eastAsia="es-ES_tradnl"/>
        </w:rPr>
        <w:t xml:space="preserve">. </w:t>
      </w:r>
    </w:p>
    <w:p w14:paraId="423D39D8" w14:textId="77777777" w:rsidR="00A24733" w:rsidRPr="00A24733" w:rsidRDefault="00A24733" w:rsidP="00A24733">
      <w:pPr>
        <w:spacing w:after="120" w:line="276" w:lineRule="auto"/>
        <w:ind w:firstLine="709"/>
        <w:jc w:val="both"/>
        <w:rPr>
          <w:rFonts w:ascii="Arial" w:eastAsia="Calibri" w:hAnsi="Arial" w:cs="Arial"/>
          <w:color w:val="000000"/>
          <w:szCs w:val="24"/>
          <w:lang w:val="es-ES_tradnl" w:eastAsia="es-ES_tradnl"/>
        </w:rPr>
      </w:pPr>
      <w:r w:rsidRPr="00A24733">
        <w:rPr>
          <w:rFonts w:ascii="Arial" w:eastAsia="Calibri" w:hAnsi="Arial" w:cs="Arial"/>
          <w:color w:val="000000"/>
          <w:szCs w:val="24"/>
          <w:lang w:eastAsia="es-ES_tradnl"/>
        </w:rPr>
        <w:t>Respecto de los requisitos de participación, las entidades deberán otorgar la oportunidad para subsanar las ofertas en los términos del artículo </w:t>
      </w:r>
      <w:hyperlink r:id="rId12" w:anchor="5" w:history="1">
        <w:r w:rsidRPr="00A24733">
          <w:rPr>
            <w:rFonts w:ascii="Arial" w:eastAsia="Calibri" w:hAnsi="Arial" w:cs="Arial"/>
            <w:color w:val="000000"/>
            <w:szCs w:val="24"/>
            <w:lang w:eastAsia="es-ES_tradnl"/>
          </w:rPr>
          <w:t>5 </w:t>
        </w:r>
      </w:hyperlink>
      <w:r w:rsidRPr="00A24733">
        <w:rPr>
          <w:rFonts w:ascii="Arial" w:eastAsia="Calibri" w:hAnsi="Arial" w:cs="Arial"/>
          <w:color w:val="000000"/>
          <w:szCs w:val="24"/>
          <w:lang w:eastAsia="es-ES_tradnl"/>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p>
    <w:p w14:paraId="41E0E092" w14:textId="77777777" w:rsidR="00A24733" w:rsidRPr="00A24733" w:rsidRDefault="00A24733" w:rsidP="00A24733">
      <w:pPr>
        <w:spacing w:after="120" w:line="276" w:lineRule="auto"/>
        <w:ind w:firstLine="709"/>
        <w:jc w:val="both"/>
        <w:rPr>
          <w:rFonts w:ascii="Arial" w:eastAsia="Calibri" w:hAnsi="Arial" w:cs="Arial"/>
          <w:color w:val="000000"/>
          <w:szCs w:val="24"/>
          <w:lang w:val="es-ES_tradnl" w:eastAsia="es-ES_tradnl"/>
        </w:rPr>
      </w:pPr>
      <w:proofErr w:type="spellStart"/>
      <w:r w:rsidRPr="00A24733">
        <w:rPr>
          <w:rFonts w:ascii="Arial" w:eastAsia="Calibri" w:hAnsi="Arial" w:cs="Arial"/>
          <w:color w:val="000000"/>
          <w:szCs w:val="24"/>
          <w:lang w:val="es-ES_tradnl" w:eastAsia="es-ES_tradnl"/>
        </w:rPr>
        <w:t>viii</w:t>
      </w:r>
      <w:proofErr w:type="spellEnd"/>
      <w:r w:rsidRPr="00A24733">
        <w:rPr>
          <w:rFonts w:ascii="Arial" w:eastAsia="Calibri" w:hAnsi="Arial" w:cs="Arial"/>
          <w:color w:val="000000"/>
          <w:szCs w:val="24"/>
          <w:lang w:val="es-ES_tradnl" w:eastAsia="es-ES_tradnl"/>
        </w:rPr>
        <w:t>) El informe de evaluación se debe publicar durante mínimo un (1) día hábil.</w:t>
      </w:r>
    </w:p>
    <w:p w14:paraId="6B14175B" w14:textId="77777777" w:rsidR="00A24733" w:rsidRPr="00A24733" w:rsidRDefault="00A24733" w:rsidP="00A24733">
      <w:pPr>
        <w:spacing w:after="120" w:line="276" w:lineRule="auto"/>
        <w:ind w:firstLine="709"/>
        <w:jc w:val="both"/>
        <w:rPr>
          <w:rFonts w:ascii="Arial" w:eastAsia="Calibri" w:hAnsi="Arial" w:cs="Arial"/>
          <w:color w:val="000000"/>
          <w:szCs w:val="24"/>
          <w:lang w:val="es-ES_tradnl" w:eastAsia="es-ES_tradnl"/>
        </w:rPr>
      </w:pPr>
      <w:proofErr w:type="spellStart"/>
      <w:r w:rsidRPr="00A24733">
        <w:rPr>
          <w:rFonts w:ascii="Arial" w:eastAsia="Calibri" w:hAnsi="Arial" w:cs="Arial"/>
          <w:color w:val="000000"/>
          <w:szCs w:val="24"/>
          <w:lang w:val="es-ES_tradnl" w:eastAsia="es-ES_tradnl"/>
        </w:rPr>
        <w:t>ix</w:t>
      </w:r>
      <w:proofErr w:type="spellEnd"/>
      <w:r w:rsidRPr="00A24733">
        <w:rPr>
          <w:rFonts w:ascii="Arial" w:eastAsia="Calibri" w:hAnsi="Arial" w:cs="Arial"/>
          <w:color w:val="000000"/>
          <w:szCs w:val="24"/>
          <w:lang w:val="es-ES_tradnl" w:eastAsia="es-ES_tradnl"/>
        </w:rPr>
        <w:t xml:space="preserve">) </w:t>
      </w:r>
      <w:r w:rsidRPr="00A24733">
        <w:rPr>
          <w:rFonts w:ascii="Arial" w:eastAsia="Calibri" w:hAnsi="Arial" w:cs="Arial"/>
          <w:color w:val="000000"/>
          <w:szCs w:val="24"/>
          <w:lang w:eastAsia="es-ES_tradnl"/>
        </w:rPr>
        <w:t>La entidad debe aceptar la oferta de menor precio, siempre que cumpla con las condiciones establecidas en la invitación a participar en procesos de mínima cuantía. En la aceptación de la oferta, la entidad debe informar al contratista el nombre del supervisor o interventor del contrato.</w:t>
      </w:r>
      <w:r w:rsidRPr="00A24733">
        <w:rPr>
          <w:rFonts w:ascii="Arial" w:eastAsia="Calibri" w:hAnsi="Arial" w:cs="Arial"/>
          <w:color w:val="000000"/>
          <w:szCs w:val="24"/>
          <w:lang w:val="es-ES_tradnl" w:eastAsia="es-ES_tradnl"/>
        </w:rPr>
        <w:t xml:space="preserve"> En tal sentido, el contrato se perfecciona con la comunicación de aceptación de la oferta que envía la entidad estatal al proponente que presentó la oferta económica de menor precio, no requiriéndose, entonces, de la suscripción de una minuta. </w:t>
      </w:r>
    </w:p>
    <w:p w14:paraId="7CD0E17C" w14:textId="77777777" w:rsidR="00A24733" w:rsidRPr="00A24733" w:rsidRDefault="00A24733" w:rsidP="00A24733">
      <w:pPr>
        <w:spacing w:after="120" w:line="276" w:lineRule="auto"/>
        <w:ind w:firstLine="709"/>
        <w:jc w:val="both"/>
        <w:rPr>
          <w:rFonts w:ascii="Arial" w:eastAsia="Calibri" w:hAnsi="Arial" w:cs="Arial"/>
          <w:color w:val="000000"/>
          <w:szCs w:val="24"/>
          <w:lang w:val="es-ES_tradnl" w:eastAsia="es-ES_tradnl"/>
        </w:rPr>
      </w:pPr>
      <w:r w:rsidRPr="00A24733">
        <w:rPr>
          <w:rFonts w:ascii="Arial" w:eastAsia="Calibri" w:hAnsi="Arial" w:cs="Arial"/>
          <w:color w:val="000000"/>
          <w:szCs w:val="24"/>
          <w:lang w:val="es-ES_tradnl" w:eastAsia="es-ES_tradnl"/>
        </w:rPr>
        <w:t>x) De existir empate, l</w:t>
      </w:r>
      <w:r w:rsidRPr="00A24733">
        <w:rPr>
          <w:rFonts w:ascii="Arial" w:eastAsia="Calibri" w:hAnsi="Arial" w:cs="Arial"/>
          <w:color w:val="000000"/>
          <w:szCs w:val="24"/>
          <w:lang w:eastAsia="es-ES_tradnl"/>
        </w:rPr>
        <w:t>a entidad aplicará los criterios de que trata el artículo </w:t>
      </w:r>
      <w:hyperlink r:id="rId13" w:anchor="35" w:history="1">
        <w:r w:rsidRPr="00A24733">
          <w:rPr>
            <w:rFonts w:ascii="Arial" w:eastAsia="Calibri" w:hAnsi="Arial" w:cs="Arial"/>
            <w:color w:val="000000"/>
            <w:szCs w:val="24"/>
            <w:lang w:eastAsia="es-ES_tradnl"/>
          </w:rPr>
          <w:t>35 </w:t>
        </w:r>
      </w:hyperlink>
      <w:r w:rsidRPr="00A24733">
        <w:rPr>
          <w:rFonts w:ascii="Arial" w:eastAsia="Calibri" w:hAnsi="Arial" w:cs="Arial"/>
          <w:color w:val="000000"/>
          <w:szCs w:val="24"/>
          <w:lang w:eastAsia="es-ES_tradnl"/>
        </w:rPr>
        <w:t>de la Ley 2069 de 2020, conforme a los medíos de acreditación del artículo 2.2.1.2.4.2.17. del Decreto 1082 de 2015 o las normas que los modifiquen, adicionen o sustituyan.</w:t>
      </w:r>
      <w:r w:rsidRPr="00A24733">
        <w:rPr>
          <w:rFonts w:ascii="Arial" w:eastAsia="Calibri" w:hAnsi="Arial" w:cs="Arial"/>
          <w:szCs w:val="24"/>
          <w:lang w:val="es-ES_tradnl" w:eastAsia="es-ES_tradnl"/>
        </w:rPr>
        <w:t xml:space="preserve"> Esta disposición se ajusta a la nueva regulación de criterios de desempate establecida en el artículo 35 de la Ley 2069 de 2020.</w:t>
      </w:r>
    </w:p>
    <w:p w14:paraId="746753BF" w14:textId="77777777" w:rsidR="00A24733" w:rsidRPr="00A24733" w:rsidRDefault="00A24733" w:rsidP="00A24733">
      <w:pPr>
        <w:spacing w:after="0" w:line="276" w:lineRule="auto"/>
        <w:ind w:firstLine="708"/>
        <w:jc w:val="both"/>
        <w:rPr>
          <w:rFonts w:ascii="Arial" w:eastAsia="Calibri" w:hAnsi="Arial" w:cs="Arial"/>
          <w:szCs w:val="24"/>
          <w:lang w:eastAsia="es-ES_tradnl"/>
        </w:rPr>
      </w:pPr>
      <w:r w:rsidRPr="00A24733">
        <w:rPr>
          <w:rFonts w:ascii="Arial" w:eastAsia="Calibri" w:hAnsi="Arial" w:cs="Arial"/>
          <w:szCs w:val="24"/>
          <w:lang w:eastAsia="es-ES_tradnl"/>
        </w:rPr>
        <w:t xml:space="preserve">En esta medida, el procedimiento de selección de mínima cuantía está regulado en el artículo 2, numeral 5, de la Ley 1150 de 2007 y en el Libro 2, Parte 2, Título 1, Capítulo 2, Sección </w:t>
      </w:r>
      <w:r w:rsidRPr="00A24733">
        <w:rPr>
          <w:rFonts w:ascii="Arial" w:eastAsia="Calibri" w:hAnsi="Arial" w:cs="Arial"/>
          <w:szCs w:val="24"/>
          <w:lang w:eastAsia="es-ES_tradnl"/>
        </w:rPr>
        <w:lastRenderedPageBreak/>
        <w:t xml:space="preserve">1, Subsección 5 del Decreto 1082 de 2015, modificado por el Decreto 1860 de 2021, con la particularidad de que el trámite solo sigue las reglas señaladas, razón por la cual no es posible aplicar disposiciones diferentes a las allí previstas. </w:t>
      </w:r>
    </w:p>
    <w:p w14:paraId="3B04B069" w14:textId="77777777" w:rsidR="00A24733" w:rsidRPr="00A24733" w:rsidRDefault="00A24733" w:rsidP="00A24733">
      <w:pPr>
        <w:spacing w:after="0" w:line="240" w:lineRule="auto"/>
        <w:ind w:right="709"/>
        <w:jc w:val="both"/>
        <w:rPr>
          <w:rFonts w:ascii="Arial" w:eastAsia="Calibri" w:hAnsi="Arial" w:cs="Arial"/>
          <w:b/>
          <w:bCs/>
          <w:color w:val="000000"/>
          <w:lang w:val="es-ES_tradnl" w:eastAsia="es-ES_tradnl"/>
        </w:rPr>
      </w:pPr>
    </w:p>
    <w:p w14:paraId="3DF086E2" w14:textId="77777777" w:rsidR="00A24733" w:rsidRPr="00A24733" w:rsidRDefault="00A24733" w:rsidP="00A24733">
      <w:pPr>
        <w:tabs>
          <w:tab w:val="left" w:pos="0"/>
        </w:tabs>
        <w:spacing w:after="120" w:line="276" w:lineRule="auto"/>
        <w:contextualSpacing/>
        <w:jc w:val="both"/>
        <w:rPr>
          <w:rFonts w:ascii="Arial" w:eastAsia="Calibri" w:hAnsi="Arial" w:cs="Arial"/>
          <w:b/>
          <w:lang w:val="es-ES"/>
        </w:rPr>
      </w:pPr>
      <w:r w:rsidRPr="00A24733">
        <w:rPr>
          <w:rFonts w:ascii="Arial" w:eastAsia="Calibri" w:hAnsi="Arial" w:cs="Arial"/>
          <w:b/>
          <w:lang w:val="es-ES"/>
        </w:rPr>
        <w:t>2.2. Cómputo del término para presentar ofertas en procesos de mínima cuantía limitados a MiPymes</w:t>
      </w:r>
    </w:p>
    <w:p w14:paraId="4F7364AB" w14:textId="77777777" w:rsidR="00A24733" w:rsidRPr="00A24733" w:rsidRDefault="00A24733" w:rsidP="00A24733">
      <w:pPr>
        <w:tabs>
          <w:tab w:val="left" w:pos="0"/>
        </w:tabs>
        <w:spacing w:after="0" w:line="276" w:lineRule="auto"/>
        <w:jc w:val="both"/>
        <w:rPr>
          <w:rFonts w:ascii="Arial" w:eastAsia="Calibri" w:hAnsi="Arial" w:cs="Arial"/>
          <w:bCs/>
          <w:lang w:val="es-ES"/>
        </w:rPr>
      </w:pPr>
    </w:p>
    <w:p w14:paraId="18E9C26D" w14:textId="77777777" w:rsidR="00A24733" w:rsidRPr="00A24733" w:rsidRDefault="00A24733" w:rsidP="00A24733">
      <w:pPr>
        <w:tabs>
          <w:tab w:val="left" w:pos="0"/>
        </w:tabs>
        <w:spacing w:after="120" w:line="276" w:lineRule="auto"/>
        <w:jc w:val="both"/>
        <w:rPr>
          <w:rFonts w:ascii="Arial" w:eastAsia="Calibri" w:hAnsi="Arial" w:cs="Arial"/>
          <w:bCs/>
          <w:lang w:val="es-ES"/>
        </w:rPr>
      </w:pPr>
      <w:r w:rsidRPr="00A24733">
        <w:rPr>
          <w:rFonts w:ascii="Arial" w:eastAsia="Calibri" w:hAnsi="Arial" w:cs="Arial"/>
          <w:bCs/>
          <w:lang w:val="es-ES"/>
        </w:rPr>
        <w:t>El numeral 5 del artículo 2 de la Ley 1150 de 2007, adicionado por el artículo el artículo 94 de la Ley 1474 de 2011 y modificado por el artículo 30 de la Ley 2069 de 2020, al regular esta modalidad de selección, establece, en el literal a), que la invitación a participar en procedimientos de selección de mínima cuantía debe publicarse por un término no inferior a un día hábil. Seguidamente, el literal b) establece que el término previsto en la invitación para presentar ofertas no podrá ser inferior a un (1) día hábil</w:t>
      </w:r>
      <w:r w:rsidRPr="00A24733">
        <w:rPr>
          <w:rFonts w:ascii="Arial" w:eastAsia="Calibri" w:hAnsi="Arial" w:cs="Arial"/>
          <w:bCs/>
          <w:vertAlign w:val="superscript"/>
          <w:lang w:val="es-ES"/>
        </w:rPr>
        <w:footnoteReference w:id="12"/>
      </w:r>
      <w:r w:rsidRPr="00A24733">
        <w:rPr>
          <w:rFonts w:ascii="Arial" w:eastAsia="Calibri" w:hAnsi="Arial" w:cs="Arial"/>
          <w:bCs/>
          <w:lang w:val="es-ES"/>
        </w:rPr>
        <w:t xml:space="preserve">. </w:t>
      </w:r>
    </w:p>
    <w:p w14:paraId="5AD47BF4" w14:textId="48AACD9D" w:rsidR="00A24733" w:rsidRPr="00A24733" w:rsidRDefault="00A24733" w:rsidP="00A24733">
      <w:pPr>
        <w:tabs>
          <w:tab w:val="left" w:pos="0"/>
        </w:tabs>
        <w:spacing w:after="120" w:line="276" w:lineRule="auto"/>
        <w:jc w:val="both"/>
        <w:rPr>
          <w:rFonts w:ascii="Arial" w:eastAsia="Calibri" w:hAnsi="Arial" w:cs="Arial"/>
          <w:bCs/>
          <w:lang w:val="es-ES"/>
        </w:rPr>
      </w:pPr>
      <w:r w:rsidRPr="00A24733">
        <w:rPr>
          <w:rFonts w:ascii="Arial" w:eastAsia="Calibri" w:hAnsi="Arial" w:cs="Arial"/>
          <w:bCs/>
          <w:lang w:val="es-ES"/>
        </w:rPr>
        <w:tab/>
        <w:t>Por su parte, el artículo 2.2.1.2.1.5.2 del Decreto 1082 de 2015 –modificado por el Decreto 1860 de 2021–</w:t>
      </w:r>
      <w:r w:rsidRPr="00A24733">
        <w:rPr>
          <w:rFonts w:ascii="Arial" w:eastAsia="Calibri" w:hAnsi="Arial" w:cs="Arial"/>
          <w:bCs/>
          <w:vertAlign w:val="superscript"/>
          <w:lang w:val="es-ES"/>
        </w:rPr>
        <w:footnoteReference w:id="13"/>
      </w:r>
      <w:r w:rsidRPr="00A24733">
        <w:rPr>
          <w:rFonts w:ascii="Arial" w:eastAsia="Calibri" w:hAnsi="Arial" w:cs="Arial"/>
          <w:bCs/>
          <w:lang w:val="es-ES"/>
        </w:rPr>
        <w:t xml:space="preserve">, al reglamentar el procedimiento de esta modalidad de escogencia, establece, en el numeral 3, que “[l]a invitación se publicará por un término no inferior a un (1) día </w:t>
      </w:r>
      <w:proofErr w:type="spellStart"/>
      <w:r w:rsidRPr="00A24733">
        <w:rPr>
          <w:rFonts w:ascii="Arial" w:eastAsia="Calibri" w:hAnsi="Arial" w:cs="Arial"/>
          <w:bCs/>
          <w:lang w:val="es-ES"/>
        </w:rPr>
        <w:t>hábill</w:t>
      </w:r>
      <w:proofErr w:type="spellEnd"/>
      <w:r w:rsidRPr="00A24733">
        <w:rPr>
          <w:rFonts w:ascii="Arial" w:eastAsia="Calibri" w:hAnsi="Arial" w:cs="Arial"/>
          <w:bCs/>
          <w:lang w:val="es-ES"/>
        </w:rPr>
        <w:t xml:space="preserve">, y en el numeral 4, que “se dispondrá un término adicional dentro del cual los proponentes podrán presentar sus ofertas, el cual será de mínimo un (1) día hábil luego de publicado el aviso en que se informe si el proceso se limita o no a Mipyme” </w:t>
      </w:r>
      <w:r w:rsidRPr="00A24733">
        <w:rPr>
          <w:rFonts w:ascii="Arial" w:eastAsia="Calibri" w:hAnsi="Arial" w:cs="Arial"/>
          <w:bCs/>
          <w:vertAlign w:val="superscript"/>
          <w:lang w:val="es-ES"/>
        </w:rPr>
        <w:footnoteReference w:id="14"/>
      </w:r>
      <w:r w:rsidRPr="00A24733">
        <w:rPr>
          <w:rFonts w:ascii="Arial" w:eastAsia="Calibri" w:hAnsi="Arial" w:cs="Arial"/>
          <w:bCs/>
          <w:lang w:val="es-ES"/>
        </w:rPr>
        <w:t>.</w:t>
      </w:r>
    </w:p>
    <w:p w14:paraId="24A42DDD" w14:textId="77777777" w:rsidR="00A24733" w:rsidRPr="00A24733" w:rsidRDefault="00A24733" w:rsidP="00A24733">
      <w:pPr>
        <w:tabs>
          <w:tab w:val="left" w:pos="0"/>
        </w:tabs>
        <w:spacing w:after="120" w:line="276" w:lineRule="auto"/>
        <w:ind w:firstLine="709"/>
        <w:jc w:val="both"/>
        <w:rPr>
          <w:rFonts w:ascii="Arial" w:eastAsia="Calibri" w:hAnsi="Arial" w:cs="Arial"/>
          <w:bCs/>
          <w:lang w:val="es-ES"/>
        </w:rPr>
      </w:pPr>
      <w:r w:rsidRPr="00A24733">
        <w:rPr>
          <w:rFonts w:ascii="Arial" w:eastAsia="Calibri" w:hAnsi="Arial" w:cs="Arial"/>
          <w:bCs/>
          <w:lang w:val="es-ES"/>
        </w:rPr>
        <w:lastRenderedPageBreak/>
        <w:t xml:space="preserve">Conviene insistir en que el día hábil al que se refiere la ley es un tiempo mínimo, porque las entidades tienen la facultad de estructurar procesos con plazos mayores para presentar ofertas, al no establecerse en la ley un tiempo máximo, lo cual resulta recomendable para la </w:t>
      </w:r>
      <w:r w:rsidRPr="00A24733">
        <w:rPr>
          <w:rFonts w:ascii="Arial" w:eastAsia="Calibri" w:hAnsi="Arial" w:cs="Arial"/>
          <w:bCs/>
          <w:lang w:val="es-ES"/>
        </w:rPr>
        <w:lastRenderedPageBreak/>
        <w:t>concurrencia de oferentes, sin perjuicio de la finalidad de esta modalidad de selección, que propende por la provisión pronta y ágil de los bienes de las entidades estatales.</w:t>
      </w:r>
    </w:p>
    <w:p w14:paraId="4980322E" w14:textId="77777777" w:rsidR="00A24733" w:rsidRPr="00A24733" w:rsidRDefault="00A24733" w:rsidP="00A24733">
      <w:pPr>
        <w:tabs>
          <w:tab w:val="left" w:pos="0"/>
        </w:tabs>
        <w:spacing w:before="120" w:after="120" w:line="276" w:lineRule="auto"/>
        <w:jc w:val="both"/>
        <w:rPr>
          <w:rFonts w:ascii="Arial" w:eastAsia="Calibri" w:hAnsi="Arial" w:cs="Arial"/>
          <w:bCs/>
          <w:lang w:val="es-ES"/>
        </w:rPr>
      </w:pPr>
      <w:r w:rsidRPr="00A24733">
        <w:rPr>
          <w:rFonts w:ascii="Arial" w:eastAsia="Calibri" w:hAnsi="Arial" w:cs="Arial"/>
          <w:bCs/>
          <w:lang w:val="es-ES"/>
        </w:rPr>
        <w:tab/>
        <w:t xml:space="preserve">  </w:t>
      </w:r>
      <w:r w:rsidRPr="00A24733">
        <w:rPr>
          <w:rFonts w:ascii="Arial" w:eastAsia="Calibri" w:hAnsi="Arial" w:cs="Arial"/>
          <w:bCs/>
          <w:lang w:val="es-MX"/>
        </w:rPr>
        <w:t>Debe reconocerse que no existe una acepción unívoca de día hábil, pues no existe certidumbre de cuáles son los días de la semana que pueden entenderse como hábiles, y ello en principio posibilita que las entidades regulen de manera disímil los términos de la modalidad de selección que aquí se trata</w:t>
      </w:r>
      <w:r w:rsidRPr="00A24733">
        <w:rPr>
          <w:rFonts w:ascii="Arial" w:eastAsia="Calibri" w:hAnsi="Arial" w:cs="Arial"/>
          <w:bCs/>
          <w:lang w:val="es-ES"/>
        </w:rPr>
        <w:t xml:space="preserve">. </w:t>
      </w:r>
    </w:p>
    <w:p w14:paraId="5611DFB5" w14:textId="77777777" w:rsidR="00A24733" w:rsidRPr="00A24733" w:rsidRDefault="00A24733" w:rsidP="00A24733">
      <w:pPr>
        <w:tabs>
          <w:tab w:val="left" w:pos="0"/>
        </w:tabs>
        <w:spacing w:before="120" w:after="120" w:line="276" w:lineRule="auto"/>
        <w:jc w:val="both"/>
        <w:rPr>
          <w:rFonts w:ascii="Arial" w:eastAsia="Calibri" w:hAnsi="Arial" w:cs="Arial"/>
          <w:bCs/>
          <w:lang w:val="es-ES"/>
        </w:rPr>
      </w:pPr>
      <w:r w:rsidRPr="00A24733">
        <w:rPr>
          <w:rFonts w:ascii="Arial" w:eastAsia="Calibri" w:hAnsi="Arial" w:cs="Arial"/>
          <w:bCs/>
          <w:lang w:val="es-ES"/>
        </w:rPr>
        <w:tab/>
        <w:t>La ausencia de definición legal de día hábil autoriza acudir al sentido natural y obvio de la palabra hábil, encontrándonos las siguientes acepciones “1. adj. Capaz de realizar con éxito una tarea manual. 2. adj. Dotado del talento para actuar adecuadamente o lograr su objetivo. 3. adj. Propio de una persona hábil. 4. adj. Apto o adecuado para algo. 5. adj. Dicho de un período de tiempo: Establecido como válido o computable para realizar una actividad, especialmente administrativa o judicial”</w:t>
      </w:r>
      <w:r w:rsidRPr="00A24733">
        <w:rPr>
          <w:rFonts w:ascii="Arial" w:eastAsia="Calibri" w:hAnsi="Arial" w:cs="Arial"/>
          <w:bCs/>
          <w:vertAlign w:val="superscript"/>
          <w:lang w:val="es-ES"/>
        </w:rPr>
        <w:footnoteReference w:id="15"/>
      </w:r>
      <w:r w:rsidRPr="00A24733">
        <w:rPr>
          <w:rFonts w:ascii="Arial" w:eastAsia="Calibri" w:hAnsi="Arial" w:cs="Arial"/>
          <w:bCs/>
          <w:lang w:val="es-ES"/>
        </w:rPr>
        <w:t>. La última acepción se ajusta al entendimiento normativo. Sin embargo, no es suficiente para absolver lo que se indaga, en la medida en que corresponde al ordenamiento jurídico establecer cuáles son los días válidos para realizar las actuaciones.</w:t>
      </w:r>
      <w:r w:rsidRPr="00A24733">
        <w:rPr>
          <w:rFonts w:ascii="Arial" w:eastAsia="Calibri" w:hAnsi="Arial" w:cs="Arial"/>
          <w:bCs/>
          <w:lang w:val="es-ES"/>
        </w:rPr>
        <w:tab/>
      </w:r>
    </w:p>
    <w:p w14:paraId="06C00A29" w14:textId="77777777" w:rsidR="00A24733" w:rsidRPr="00A24733" w:rsidRDefault="00A24733" w:rsidP="00A24733">
      <w:pPr>
        <w:tabs>
          <w:tab w:val="left" w:pos="0"/>
        </w:tabs>
        <w:spacing w:before="120" w:after="0" w:line="276" w:lineRule="auto"/>
        <w:jc w:val="both"/>
        <w:rPr>
          <w:rFonts w:ascii="Arial" w:eastAsia="Calibri" w:hAnsi="Arial" w:cs="Arial"/>
          <w:bCs/>
          <w:lang w:val="es-ES"/>
        </w:rPr>
      </w:pPr>
      <w:r w:rsidRPr="00A24733">
        <w:rPr>
          <w:rFonts w:ascii="Arial" w:eastAsia="Calibri" w:hAnsi="Arial" w:cs="Arial"/>
          <w:bCs/>
          <w:lang w:val="es-ES"/>
        </w:rPr>
        <w:tab/>
        <w:t>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disponen que:</w:t>
      </w:r>
    </w:p>
    <w:p w14:paraId="10526D7C" w14:textId="77777777" w:rsidR="00A24733" w:rsidRPr="00A24733" w:rsidRDefault="00A24733" w:rsidP="00A24733">
      <w:pPr>
        <w:tabs>
          <w:tab w:val="left" w:pos="0"/>
        </w:tabs>
        <w:spacing w:after="0" w:line="276" w:lineRule="auto"/>
        <w:jc w:val="both"/>
        <w:rPr>
          <w:rFonts w:ascii="Arial" w:eastAsia="Calibri" w:hAnsi="Arial" w:cs="Arial"/>
          <w:bCs/>
          <w:lang w:val="es-ES"/>
        </w:rPr>
      </w:pPr>
    </w:p>
    <w:p w14:paraId="453EF66D" w14:textId="2340BF3A" w:rsidR="00A24733" w:rsidRPr="00A24733" w:rsidRDefault="00401034" w:rsidP="00A24733">
      <w:pPr>
        <w:tabs>
          <w:tab w:val="left" w:pos="0"/>
        </w:tabs>
        <w:spacing w:after="0" w:line="240" w:lineRule="auto"/>
        <w:ind w:left="709" w:right="709"/>
        <w:jc w:val="both"/>
        <w:rPr>
          <w:rFonts w:ascii="Arial" w:eastAsia="Batang" w:hAnsi="Arial" w:cs="Arial"/>
          <w:sz w:val="21"/>
          <w:szCs w:val="21"/>
          <w:lang w:val="es-MX"/>
        </w:rPr>
      </w:pPr>
      <w:r>
        <w:rPr>
          <w:rFonts w:ascii="Arial" w:eastAsia="Batang" w:hAnsi="Arial" w:cs="Arial"/>
          <w:sz w:val="21"/>
          <w:szCs w:val="21"/>
          <w:lang w:val="es-MX"/>
        </w:rPr>
        <w:t>“</w:t>
      </w:r>
      <w:r w:rsidR="00A24733" w:rsidRPr="00A24733">
        <w:rPr>
          <w:rFonts w:ascii="Arial" w:eastAsia="Batang" w:hAnsi="Arial" w:cs="Arial"/>
          <w:sz w:val="21"/>
          <w:szCs w:val="21"/>
          <w:lang w:val="es-MX"/>
        </w:rPr>
        <w:t>Artículo 59.</w:t>
      </w:r>
      <w:r w:rsidR="00A24733" w:rsidRPr="00A24733">
        <w:rPr>
          <w:rFonts w:ascii="Arial" w:eastAsia="Batang" w:hAnsi="Arial" w:cs="Arial"/>
          <w:b/>
          <w:sz w:val="21"/>
          <w:szCs w:val="21"/>
          <w:lang w:val="es-MX"/>
        </w:rPr>
        <w:t> </w:t>
      </w:r>
      <w:r w:rsidR="00A24733" w:rsidRPr="00A24733">
        <w:rPr>
          <w:rFonts w:ascii="Arial" w:eastAsia="Batang" w:hAnsi="Arial" w:cs="Arial"/>
          <w:sz w:val="21"/>
          <w:szCs w:val="21"/>
          <w:lang w:val="es-MX"/>
        </w:rPr>
        <w:t>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1B809F46" w14:textId="77777777" w:rsidR="00A24733" w:rsidRPr="00A24733" w:rsidRDefault="00A24733" w:rsidP="00A24733">
      <w:pPr>
        <w:tabs>
          <w:tab w:val="left" w:pos="0"/>
        </w:tabs>
        <w:spacing w:after="120" w:line="240" w:lineRule="auto"/>
        <w:ind w:left="709" w:right="709"/>
        <w:jc w:val="both"/>
        <w:rPr>
          <w:rFonts w:ascii="Arial" w:eastAsia="Batang" w:hAnsi="Arial" w:cs="Arial"/>
          <w:sz w:val="21"/>
          <w:szCs w:val="21"/>
          <w:lang w:val="es-MX"/>
        </w:rPr>
      </w:pPr>
      <w:r w:rsidRPr="00A24733">
        <w:rPr>
          <w:rFonts w:ascii="Arial" w:eastAsia="Batang" w:hAnsi="Arial" w:cs="Arial"/>
          <w:sz w:val="21"/>
          <w:szCs w:val="21"/>
          <w:lang w:val="es-MX"/>
        </w:rPr>
        <w:t>[…]</w:t>
      </w:r>
    </w:p>
    <w:p w14:paraId="306AF495" w14:textId="121ED82E" w:rsidR="00A24733" w:rsidRPr="00A24733" w:rsidRDefault="00A24733" w:rsidP="00A24733">
      <w:pPr>
        <w:tabs>
          <w:tab w:val="left" w:pos="0"/>
        </w:tabs>
        <w:spacing w:after="0" w:line="240" w:lineRule="auto"/>
        <w:ind w:left="709" w:right="709"/>
        <w:jc w:val="both"/>
        <w:rPr>
          <w:rFonts w:ascii="Arial" w:eastAsia="Batang" w:hAnsi="Arial" w:cs="Arial"/>
          <w:sz w:val="21"/>
          <w:szCs w:val="21"/>
          <w:lang w:val="es-MX"/>
        </w:rPr>
      </w:pPr>
      <w:r w:rsidRPr="00A24733">
        <w:rPr>
          <w:rFonts w:ascii="Arial" w:eastAsia="Batang" w:hAnsi="Arial" w:cs="Arial"/>
          <w:bCs/>
          <w:sz w:val="21"/>
          <w:szCs w:val="21"/>
          <w:lang w:val="es-MX"/>
        </w:rPr>
        <w:t>Artículo 62.</w:t>
      </w:r>
      <w:r w:rsidRPr="00A24733">
        <w:rPr>
          <w:rFonts w:ascii="Arial" w:eastAsia="Batang" w:hAnsi="Arial" w:cs="Arial"/>
          <w:sz w:val="21"/>
          <w:szCs w:val="21"/>
          <w:lang w:val="es-MX"/>
        </w:rPr>
        <w:t>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w:t>
      </w:r>
      <w:r w:rsidR="00401034">
        <w:rPr>
          <w:rFonts w:ascii="Arial" w:eastAsia="Batang" w:hAnsi="Arial" w:cs="Arial"/>
          <w:sz w:val="21"/>
          <w:szCs w:val="21"/>
          <w:lang w:val="es-MX"/>
        </w:rPr>
        <w:t>”</w:t>
      </w:r>
      <w:r w:rsidRPr="00A24733">
        <w:rPr>
          <w:rFonts w:ascii="Arial" w:eastAsia="Batang" w:hAnsi="Arial" w:cs="Arial"/>
          <w:sz w:val="21"/>
          <w:szCs w:val="21"/>
          <w:lang w:val="es-MX"/>
        </w:rPr>
        <w:t>. </w:t>
      </w:r>
    </w:p>
    <w:p w14:paraId="1235BBCB" w14:textId="77777777" w:rsidR="00A24733" w:rsidRPr="00A24733" w:rsidRDefault="00A24733" w:rsidP="00A24733">
      <w:pPr>
        <w:tabs>
          <w:tab w:val="left" w:pos="0"/>
        </w:tabs>
        <w:spacing w:after="0" w:line="276" w:lineRule="auto"/>
        <w:jc w:val="both"/>
        <w:rPr>
          <w:rFonts w:ascii="Arial" w:eastAsia="Calibri" w:hAnsi="Arial" w:cs="Arial"/>
          <w:bCs/>
          <w:lang w:val="es-ES"/>
        </w:rPr>
      </w:pPr>
    </w:p>
    <w:p w14:paraId="32720F0C" w14:textId="77777777" w:rsidR="00A24733" w:rsidRPr="00A24733" w:rsidRDefault="00A24733" w:rsidP="00A24733">
      <w:pPr>
        <w:tabs>
          <w:tab w:val="left" w:pos="0"/>
        </w:tabs>
        <w:spacing w:after="120" w:line="276" w:lineRule="auto"/>
        <w:jc w:val="both"/>
        <w:rPr>
          <w:rFonts w:ascii="Arial" w:eastAsia="Calibri" w:hAnsi="Arial" w:cs="Arial"/>
          <w:bCs/>
          <w:lang w:val="es-ES"/>
        </w:rPr>
      </w:pPr>
      <w:r w:rsidRPr="00A24733">
        <w:rPr>
          <w:rFonts w:ascii="Arial" w:eastAsia="Calibri" w:hAnsi="Arial" w:cs="Arial"/>
          <w:bCs/>
          <w:lang w:val="es-ES"/>
        </w:rPr>
        <w:tab/>
        <w:t xml:space="preserve">El artículo 59 establece que los plazos a los que se haga mención en la ley terminan a la medianoche, y que por </w:t>
      </w:r>
      <w:r w:rsidRPr="00A24733">
        <w:rPr>
          <w:rFonts w:ascii="Arial" w:eastAsia="Calibri" w:hAnsi="Arial" w:cs="Arial"/>
          <w:bCs/>
          <w:i/>
          <w:iCs/>
          <w:lang w:val="es-ES"/>
        </w:rPr>
        <w:t xml:space="preserve">día </w:t>
      </w:r>
      <w:r w:rsidRPr="00A24733">
        <w:rPr>
          <w:rFonts w:ascii="Arial" w:eastAsia="Calibri" w:hAnsi="Arial" w:cs="Arial"/>
          <w:bCs/>
          <w:lang w:val="es-ES"/>
        </w:rPr>
        <w:t xml:space="preserve">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sí denotan cierta antonimia con los vacantes y feriados, lo cual, en </w:t>
      </w:r>
      <w:r w:rsidRPr="00A24733">
        <w:rPr>
          <w:rFonts w:ascii="Arial" w:eastAsia="Calibri" w:hAnsi="Arial" w:cs="Arial"/>
          <w:bCs/>
          <w:lang w:val="es-ES"/>
        </w:rPr>
        <w:lastRenderedPageBreak/>
        <w:t>línea con la definición de uso común a la que antes se hacía referencia, indica que por hábiles se entiende los días laborables</w:t>
      </w:r>
      <w:r w:rsidRPr="00A24733">
        <w:rPr>
          <w:rFonts w:ascii="Arial" w:eastAsia="Calibri" w:hAnsi="Arial" w:cs="Arial"/>
          <w:bCs/>
          <w:vertAlign w:val="superscript"/>
          <w:lang w:val="es-ES"/>
        </w:rPr>
        <w:footnoteReference w:id="16"/>
      </w:r>
      <w:r w:rsidRPr="00A24733">
        <w:rPr>
          <w:rFonts w:ascii="Arial" w:eastAsia="Calibri" w:hAnsi="Arial" w:cs="Arial"/>
          <w:bCs/>
          <w:lang w:val="es-ES"/>
        </w:rPr>
        <w:t>.</w:t>
      </w:r>
    </w:p>
    <w:p w14:paraId="5CB810F4" w14:textId="77777777" w:rsidR="00A24733" w:rsidRPr="00A24733" w:rsidRDefault="00A24733" w:rsidP="00A24733">
      <w:pPr>
        <w:tabs>
          <w:tab w:val="left" w:pos="0"/>
        </w:tabs>
        <w:spacing w:after="0" w:line="276" w:lineRule="auto"/>
        <w:jc w:val="both"/>
        <w:rPr>
          <w:rFonts w:ascii="Arial" w:eastAsia="Calibri" w:hAnsi="Arial" w:cs="Arial"/>
          <w:bCs/>
          <w:lang w:val="es-ES"/>
        </w:rPr>
      </w:pPr>
      <w:r w:rsidRPr="00A24733">
        <w:rPr>
          <w:rFonts w:ascii="Arial" w:eastAsia="Calibri" w:hAnsi="Arial" w:cs="Arial"/>
          <w:bCs/>
          <w:lang w:val="es-ES"/>
        </w:rPr>
        <w:tab/>
        <w:t>En esto coincide la jurisprudencia de vieja data del Consejo de Estado, que al interpretar el contenido del artículo 62 de la Ley 4 de 1913 ha relacionado los días hábiles con conceptos como el de “Despacho Público” y “días laborables forzosos”, que implican que el entendimiento normativo de los días hábiles está relacionado con el espacio de tiempo durante el cual las entidades públicas desarrollan sus funciones administrativas y están abiertas para la atención al público. Así, por ejemplo, en la sentencia del 12 de abril de 1978 explicó lo siguiente:</w:t>
      </w:r>
    </w:p>
    <w:p w14:paraId="1C6F596D" w14:textId="77777777" w:rsidR="00A24733" w:rsidRPr="00A24733" w:rsidRDefault="00A24733" w:rsidP="00A24733">
      <w:pPr>
        <w:tabs>
          <w:tab w:val="left" w:pos="0"/>
        </w:tabs>
        <w:spacing w:after="0" w:line="240" w:lineRule="auto"/>
        <w:ind w:left="709" w:right="709"/>
        <w:jc w:val="both"/>
        <w:rPr>
          <w:rFonts w:ascii="Arial" w:eastAsia="Batang" w:hAnsi="Arial" w:cs="Arial"/>
          <w:sz w:val="21"/>
          <w:szCs w:val="21"/>
          <w:lang w:val="es-ES"/>
        </w:rPr>
      </w:pPr>
    </w:p>
    <w:p w14:paraId="76C67CF1" w14:textId="77777777" w:rsidR="00A24733" w:rsidRPr="00A24733" w:rsidRDefault="00A24733" w:rsidP="00A24733">
      <w:pPr>
        <w:tabs>
          <w:tab w:val="left" w:pos="0"/>
        </w:tabs>
        <w:spacing w:after="0" w:line="240" w:lineRule="auto"/>
        <w:ind w:left="709" w:right="709"/>
        <w:jc w:val="both"/>
        <w:rPr>
          <w:rFonts w:ascii="Arial" w:eastAsia="Calibri" w:hAnsi="Arial" w:cs="Arial"/>
          <w:bCs/>
          <w:sz w:val="21"/>
          <w:szCs w:val="21"/>
          <w:lang w:val="es-ES"/>
        </w:rPr>
      </w:pPr>
      <w:r w:rsidRPr="00A24733">
        <w:rPr>
          <w:rFonts w:ascii="Arial" w:eastAsia="Batang" w:hAnsi="Arial" w:cs="Arial"/>
          <w:sz w:val="21"/>
          <w:szCs w:val="21"/>
          <w:lang w:val="es-MX"/>
        </w:rPr>
        <w:t xml:space="preserve">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w:t>
      </w:r>
      <w:proofErr w:type="gramStart"/>
      <w:r w:rsidRPr="00A24733">
        <w:rPr>
          <w:rFonts w:ascii="Arial" w:eastAsia="Batang" w:hAnsi="Arial" w:cs="Arial"/>
          <w:sz w:val="21"/>
          <w:szCs w:val="21"/>
          <w:lang w:val="es-MX"/>
        </w:rPr>
        <w:t>tanto</w:t>
      </w:r>
      <w:proofErr w:type="gramEnd"/>
      <w:r w:rsidRPr="00A24733">
        <w:rPr>
          <w:rFonts w:ascii="Arial" w:eastAsia="Batang" w:hAnsi="Arial" w:cs="Arial"/>
          <w:sz w:val="21"/>
          <w:szCs w:val="21"/>
          <w:lang w:val="es-MX"/>
        </w:rPr>
        <w:t xml:space="preserve"> hay despacho cuando se tiene facultad para laborar, despachar los asuntos y ejecutar los actos propios de sus atribuciones; así no se haya empleado esa facultad. Entonces, las sesiones de la Asamblea en sábados, domingos y </w:t>
      </w:r>
      <w:proofErr w:type="gramStart"/>
      <w:r w:rsidRPr="00A24733">
        <w:rPr>
          <w:rFonts w:ascii="Arial" w:eastAsia="Batang" w:hAnsi="Arial" w:cs="Arial"/>
          <w:sz w:val="21"/>
          <w:szCs w:val="21"/>
          <w:lang w:val="es-MX"/>
        </w:rPr>
        <w:t>lunes,</w:t>
      </w:r>
      <w:proofErr w:type="gramEnd"/>
      <w:r w:rsidRPr="00A24733">
        <w:rPr>
          <w:rFonts w:ascii="Arial" w:eastAsia="Batang" w:hAnsi="Arial" w:cs="Arial"/>
          <w:sz w:val="21"/>
          <w:szCs w:val="21"/>
          <w:lang w:val="es-MX"/>
        </w:rPr>
        <w:t xml:space="preserve"> tienen la virtud y fuerza suficientes para producir o causar todos los efectos, aunque las sesiones no se hayan realizado efectivamente</w:t>
      </w:r>
      <w:r w:rsidRPr="00A24733">
        <w:rPr>
          <w:rFonts w:ascii="Arial" w:eastAsia="Batang" w:hAnsi="Arial" w:cs="Arial"/>
          <w:sz w:val="21"/>
          <w:szCs w:val="21"/>
          <w:vertAlign w:val="superscript"/>
          <w:lang w:val="es-MX"/>
        </w:rPr>
        <w:footnoteReference w:id="17"/>
      </w:r>
      <w:r w:rsidRPr="00A24733">
        <w:rPr>
          <w:rFonts w:ascii="Arial" w:eastAsia="Batang" w:hAnsi="Arial" w:cs="Arial"/>
          <w:sz w:val="21"/>
          <w:szCs w:val="21"/>
          <w:lang w:val="es-MX"/>
        </w:rPr>
        <w:t>.</w:t>
      </w:r>
    </w:p>
    <w:p w14:paraId="37B41B4B" w14:textId="77777777" w:rsidR="00A24733" w:rsidRPr="00A24733" w:rsidRDefault="00A24733" w:rsidP="00A24733">
      <w:pPr>
        <w:tabs>
          <w:tab w:val="left" w:pos="0"/>
        </w:tabs>
        <w:spacing w:after="0" w:line="276" w:lineRule="auto"/>
        <w:jc w:val="both"/>
        <w:rPr>
          <w:rFonts w:ascii="Arial" w:eastAsia="Calibri" w:hAnsi="Arial" w:cs="Arial"/>
          <w:bCs/>
          <w:lang w:val="es-ES"/>
        </w:rPr>
      </w:pPr>
    </w:p>
    <w:p w14:paraId="1387DBE6" w14:textId="77777777" w:rsidR="00A24733" w:rsidRPr="00A24733" w:rsidRDefault="00A24733" w:rsidP="00A24733">
      <w:pPr>
        <w:tabs>
          <w:tab w:val="left" w:pos="0"/>
        </w:tabs>
        <w:spacing w:after="0" w:line="276" w:lineRule="auto"/>
        <w:jc w:val="both"/>
        <w:rPr>
          <w:rFonts w:ascii="Arial" w:eastAsia="Calibri" w:hAnsi="Arial" w:cs="Arial"/>
          <w:bCs/>
          <w:lang w:val="es-ES"/>
        </w:rPr>
      </w:pPr>
      <w:r w:rsidRPr="00A24733">
        <w:rPr>
          <w:rFonts w:ascii="Arial" w:eastAsia="Calibri" w:hAnsi="Arial" w:cs="Arial"/>
          <w:bCs/>
          <w:lang w:val="es-ES"/>
        </w:rPr>
        <w:tab/>
        <w:t>Posteriormente, en el auto del 26 de febrero de 1983, manifestó que el cómputo de los días hábiles de los que trata la norma debe hacerse con relación a los “días laborables forzosos”, introduciendo un criterio para determinar lo que se entiende por día hábil en los siguientes términos:</w:t>
      </w:r>
    </w:p>
    <w:p w14:paraId="5E0BBD40" w14:textId="77777777" w:rsidR="00A24733" w:rsidRPr="00A24733" w:rsidRDefault="00A24733" w:rsidP="00A24733">
      <w:pPr>
        <w:spacing w:after="0" w:line="240" w:lineRule="auto"/>
        <w:jc w:val="both"/>
        <w:rPr>
          <w:rFonts w:ascii="Arial" w:eastAsia="Times New Roman" w:hAnsi="Arial" w:cs="Arial"/>
          <w:sz w:val="21"/>
          <w:szCs w:val="21"/>
          <w:lang w:val="es-ES" w:eastAsia="es-CO"/>
        </w:rPr>
      </w:pPr>
    </w:p>
    <w:p w14:paraId="03683105" w14:textId="77777777" w:rsidR="00A24733" w:rsidRPr="00A24733" w:rsidRDefault="00A24733" w:rsidP="00A24733">
      <w:pPr>
        <w:spacing w:after="120" w:line="240" w:lineRule="auto"/>
        <w:ind w:left="709" w:right="709"/>
        <w:jc w:val="both"/>
        <w:rPr>
          <w:rFonts w:ascii="Arial" w:eastAsia="Times New Roman" w:hAnsi="Arial" w:cs="Arial"/>
          <w:sz w:val="21"/>
          <w:szCs w:val="21"/>
          <w:lang w:eastAsia="es-CO"/>
        </w:rPr>
      </w:pPr>
      <w:r w:rsidRPr="00A24733">
        <w:rPr>
          <w:rFonts w:ascii="Arial" w:eastAsia="Times New Roman" w:hAnsi="Arial" w:cs="Arial"/>
          <w:sz w:val="21"/>
          <w:szCs w:val="21"/>
          <w:lang w:eastAsia="es-CO"/>
        </w:rPr>
        <w:t>[E]l cómputo de días hábiles de que trata el artículo 62 de la Ley 4.ª de 1913 debe realizarse con base en los días laborables forzosos, teniendo por tales todos los del año, excluidos los señalados por la ley como de descanso remunerado.</w:t>
      </w:r>
    </w:p>
    <w:p w14:paraId="4F2D4E74" w14:textId="77777777" w:rsidR="00A24733" w:rsidRPr="00A24733" w:rsidRDefault="00A24733" w:rsidP="00A24733">
      <w:pPr>
        <w:spacing w:after="0" w:line="240" w:lineRule="auto"/>
        <w:ind w:left="709" w:right="709"/>
        <w:jc w:val="both"/>
        <w:rPr>
          <w:rFonts w:ascii="Arial" w:eastAsia="Times New Roman" w:hAnsi="Arial" w:cs="Arial"/>
          <w:sz w:val="21"/>
          <w:szCs w:val="21"/>
          <w:lang w:eastAsia="es-CO"/>
        </w:rPr>
      </w:pPr>
      <w:r w:rsidRPr="00A24733">
        <w:rPr>
          <w:rFonts w:ascii="Arial" w:eastAsia="Times New Roman" w:hAnsi="Arial" w:cs="Arial"/>
          <w:sz w:val="21"/>
          <w:szCs w:val="21"/>
          <w:lang w:eastAsia="es-CO"/>
        </w:rPr>
        <w:t xml:space="preserve">Así, el criterio que determina el carácter de hábil de los días, para el cómputo de los términos legales, es el de su </w:t>
      </w:r>
      <w:proofErr w:type="spellStart"/>
      <w:r w:rsidRPr="00A24733">
        <w:rPr>
          <w:rFonts w:ascii="Arial" w:eastAsia="Times New Roman" w:hAnsi="Arial" w:cs="Arial"/>
          <w:sz w:val="21"/>
          <w:szCs w:val="21"/>
          <w:lang w:eastAsia="es-CO"/>
        </w:rPr>
        <w:t>laborabilidad</w:t>
      </w:r>
      <w:proofErr w:type="spellEnd"/>
      <w:r w:rsidRPr="00A24733">
        <w:rPr>
          <w:rFonts w:ascii="Arial" w:eastAsia="Times New Roman" w:hAnsi="Arial" w:cs="Arial"/>
          <w:sz w:val="21"/>
          <w:szCs w:val="21"/>
          <w:lang w:eastAsia="es-CO"/>
        </w:rPr>
        <w:t xml:space="preserve">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w:t>
      </w:r>
      <w:proofErr w:type="gramStart"/>
      <w:r w:rsidRPr="00A24733">
        <w:rPr>
          <w:rFonts w:ascii="Arial" w:eastAsia="Times New Roman" w:hAnsi="Arial" w:cs="Arial"/>
          <w:sz w:val="21"/>
          <w:szCs w:val="21"/>
          <w:lang w:eastAsia="es-CO"/>
        </w:rPr>
        <w:t>1.°</w:t>
      </w:r>
      <w:proofErr w:type="gramEnd"/>
      <w:r w:rsidRPr="00A24733">
        <w:rPr>
          <w:rFonts w:ascii="Arial" w:eastAsia="Times New Roman" w:hAnsi="Arial" w:cs="Arial"/>
          <w:sz w:val="21"/>
          <w:szCs w:val="21"/>
          <w:lang w:eastAsia="es-CO"/>
        </w:rPr>
        <w:t xml:space="preserve"> de la Ley 51 de 1983 y los señalados como vacancia para la rama jurisdiccional, el Ministerio Público y las direcciones de instrucción criminal. Cabe anotar que para algunas oficinas no son hábiles los sábados, </w:t>
      </w:r>
      <w:r w:rsidRPr="00A24733">
        <w:rPr>
          <w:rFonts w:ascii="Arial" w:eastAsia="Times New Roman" w:hAnsi="Arial" w:cs="Arial"/>
          <w:sz w:val="21"/>
          <w:szCs w:val="21"/>
          <w:lang w:eastAsia="es-CO"/>
        </w:rPr>
        <w:lastRenderedPageBreak/>
        <w:t>en cuanto no funcionan en esos días por trasladarse la respectiva jornada, en extensión de la ordinaria, a los demás de la semana</w:t>
      </w:r>
      <w:r w:rsidRPr="00A24733">
        <w:rPr>
          <w:rFonts w:ascii="Arial" w:eastAsia="Times New Roman" w:hAnsi="Arial" w:cs="Arial"/>
          <w:sz w:val="21"/>
          <w:szCs w:val="21"/>
          <w:vertAlign w:val="superscript"/>
          <w:lang w:eastAsia="es-CO"/>
        </w:rPr>
        <w:footnoteReference w:id="18"/>
      </w:r>
      <w:r w:rsidRPr="00A24733">
        <w:rPr>
          <w:rFonts w:ascii="Arial" w:eastAsia="Times New Roman" w:hAnsi="Arial" w:cs="Arial"/>
          <w:sz w:val="21"/>
          <w:szCs w:val="21"/>
          <w:lang w:eastAsia="es-CO"/>
        </w:rPr>
        <w:t>.</w:t>
      </w:r>
    </w:p>
    <w:p w14:paraId="1827967A" w14:textId="77777777" w:rsidR="00A24733" w:rsidRPr="00A24733" w:rsidRDefault="00A24733" w:rsidP="00A24733">
      <w:pPr>
        <w:tabs>
          <w:tab w:val="left" w:pos="0"/>
        </w:tabs>
        <w:spacing w:after="0" w:line="276" w:lineRule="auto"/>
        <w:jc w:val="both"/>
        <w:rPr>
          <w:rFonts w:ascii="Arial" w:eastAsia="Calibri" w:hAnsi="Arial" w:cs="Arial"/>
          <w:bCs/>
          <w:lang w:val="es-ES"/>
        </w:rPr>
      </w:pPr>
      <w:r w:rsidRPr="00A24733">
        <w:rPr>
          <w:rFonts w:ascii="Arial" w:eastAsia="Calibri" w:hAnsi="Arial" w:cs="Arial"/>
          <w:bCs/>
          <w:lang w:val="es-ES"/>
        </w:rPr>
        <w:t xml:space="preserve"> </w:t>
      </w:r>
    </w:p>
    <w:p w14:paraId="41C49419" w14:textId="77777777" w:rsidR="00A24733" w:rsidRPr="00A24733" w:rsidRDefault="00A24733" w:rsidP="00A24733">
      <w:pPr>
        <w:tabs>
          <w:tab w:val="left" w:pos="0"/>
        </w:tabs>
        <w:spacing w:after="120" w:line="276" w:lineRule="auto"/>
        <w:jc w:val="both"/>
        <w:rPr>
          <w:rFonts w:ascii="Arial" w:eastAsia="Calibri" w:hAnsi="Arial" w:cs="Arial"/>
          <w:bCs/>
          <w:lang w:val="es-ES"/>
        </w:rPr>
      </w:pPr>
      <w:r w:rsidRPr="00A24733">
        <w:rPr>
          <w:rFonts w:ascii="Arial" w:eastAsia="Calibri" w:hAnsi="Arial" w:cs="Arial"/>
          <w:bCs/>
          <w:lang w:val="es-ES"/>
        </w:rPr>
        <w:tab/>
      </w:r>
      <w:bookmarkStart w:id="2" w:name="_Hlk100070990"/>
      <w:r w:rsidRPr="00A24733">
        <w:rPr>
          <w:rFonts w:ascii="Arial" w:eastAsia="Calibri" w:hAnsi="Arial" w:cs="Arial"/>
          <w:bCs/>
          <w:lang w:val="es-ES"/>
        </w:rPr>
        <w:t>De esta manera, 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Pr="00A24733">
        <w:rPr>
          <w:rFonts w:ascii="Arial" w:eastAsia="Calibri" w:hAnsi="Arial" w:cs="Arial"/>
          <w:bCs/>
          <w:vertAlign w:val="superscript"/>
          <w:lang w:val="es-ES"/>
        </w:rPr>
        <w:footnoteReference w:id="19"/>
      </w:r>
      <w:r w:rsidRPr="00A24733">
        <w:rPr>
          <w:rFonts w:ascii="Arial" w:eastAsia="Calibri" w:hAnsi="Arial" w:cs="Arial"/>
          <w:bCs/>
          <w:lang w:val="es-ES"/>
        </w:rPr>
        <w:t>,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Pr="00A24733">
        <w:rPr>
          <w:rFonts w:ascii="Arial" w:eastAsia="Calibri" w:hAnsi="Arial" w:cs="Arial"/>
          <w:bCs/>
          <w:vertAlign w:val="superscript"/>
          <w:lang w:val="es-ES"/>
        </w:rPr>
        <w:footnoteReference w:id="20"/>
      </w:r>
      <w:r w:rsidRPr="00A24733">
        <w:rPr>
          <w:rFonts w:ascii="Arial" w:eastAsia="Calibri" w:hAnsi="Arial" w:cs="Arial"/>
          <w:bCs/>
          <w:lang w:val="es-ES"/>
        </w:rPr>
        <w:t xml:space="preserve">, ejemplo donde los días laborables o hábiles son todos los de la semana, con excepción del miércoles. </w:t>
      </w:r>
    </w:p>
    <w:p w14:paraId="2D724B64" w14:textId="77777777" w:rsidR="00A24733" w:rsidRPr="00A24733" w:rsidRDefault="00A24733" w:rsidP="00A24733">
      <w:pPr>
        <w:tabs>
          <w:tab w:val="left" w:pos="0"/>
        </w:tabs>
        <w:spacing w:before="120" w:after="0" w:line="276" w:lineRule="auto"/>
        <w:jc w:val="both"/>
        <w:rPr>
          <w:rFonts w:ascii="Arial" w:eastAsia="Calibri" w:hAnsi="Arial" w:cs="Arial"/>
          <w:bCs/>
          <w:lang w:val="es-ES"/>
        </w:rPr>
      </w:pPr>
      <w:r w:rsidRPr="00A24733">
        <w:rPr>
          <w:rFonts w:ascii="Arial" w:eastAsia="Calibri" w:hAnsi="Arial" w:cs="Arial"/>
          <w:bCs/>
          <w:lang w:val="es-ES"/>
        </w:rPr>
        <w:tab/>
        <w:t xml:space="preserve">Esto implica, respecto del término para publicar la invitación y para la presentación de ofertas en procedimientos de mínima cuantía, así como para el cómputo de los demás términos en días hábiles propios de estos procesos de selección, que deberá transcurrir dentro de los días definidos por cada entidad estatal como laborables en su correspondiente reglamento o manual de funciones. </w:t>
      </w:r>
    </w:p>
    <w:bookmarkEnd w:id="2"/>
    <w:p w14:paraId="14C2F9AC" w14:textId="77777777" w:rsidR="00A24733" w:rsidRPr="00A24733" w:rsidRDefault="00A24733" w:rsidP="00A24733">
      <w:pPr>
        <w:tabs>
          <w:tab w:val="left" w:pos="0"/>
        </w:tabs>
        <w:spacing w:before="120" w:after="0" w:line="276" w:lineRule="auto"/>
        <w:jc w:val="both"/>
        <w:rPr>
          <w:rFonts w:ascii="Arial" w:eastAsia="Calibri" w:hAnsi="Arial" w:cs="Arial"/>
          <w:bCs/>
          <w:lang w:val="es-ES"/>
        </w:rPr>
      </w:pPr>
      <w:r w:rsidRPr="00A24733">
        <w:rPr>
          <w:rFonts w:ascii="Arial" w:eastAsia="Calibri" w:hAnsi="Arial" w:cs="Arial"/>
          <w:bCs/>
          <w:lang w:val="es-ES"/>
        </w:rPr>
        <w:tab/>
        <w:t xml:space="preserve">Lo anterior supone varias posibilidades para fijar y realizar el cómputo de dichos términos, con especial importancia cuando se fijan por el mínimo legal de un día hábil, por lo que resultan posibles las siguientes interpretaciones: i) que el plazo está comprendido por un espacio de veinticuatro (24) horas consecutivas, cuyos extremos están ubicados dentro de las horas laborables de la entidad, de tal manera que una entidad con un horario de atención entre las 8:00 y 17:00 horas, podrá fijar un término para recibir ofertas entre las 15:00 horas de un día y las 15:00 horas del siguiente; </w:t>
      </w:r>
      <w:proofErr w:type="spellStart"/>
      <w:r w:rsidRPr="00A24733">
        <w:rPr>
          <w:rFonts w:ascii="Arial" w:eastAsia="Calibri" w:hAnsi="Arial" w:cs="Arial"/>
          <w:bCs/>
          <w:lang w:val="es-ES"/>
        </w:rPr>
        <w:t>ii</w:t>
      </w:r>
      <w:proofErr w:type="spellEnd"/>
      <w:r w:rsidRPr="00A24733">
        <w:rPr>
          <w:rFonts w:ascii="Arial" w:eastAsia="Calibri" w:hAnsi="Arial" w:cs="Arial"/>
          <w:bCs/>
          <w:lang w:val="es-ES"/>
        </w:rPr>
        <w:t xml:space="preserve">) que el día hábil al que hace referencia la ley está comprendido por las horas durante las cuales la entidad atiende al público durante un día fijado como laborable, por lo que si se establece un horario de atención entre las 8:00 y las 17:00 horas, para cumplir el plazo mínimo la entidad debe publicar la invitación y recibir ofertas únicamente durante dicho lapso; o </w:t>
      </w:r>
      <w:proofErr w:type="spellStart"/>
      <w:r w:rsidRPr="00A24733">
        <w:rPr>
          <w:rFonts w:ascii="Arial" w:eastAsia="Calibri" w:hAnsi="Arial" w:cs="Arial"/>
          <w:bCs/>
          <w:lang w:val="es-ES"/>
        </w:rPr>
        <w:t>iii</w:t>
      </w:r>
      <w:proofErr w:type="spellEnd"/>
      <w:r w:rsidRPr="00A24733">
        <w:rPr>
          <w:rFonts w:ascii="Arial" w:eastAsia="Calibri" w:hAnsi="Arial" w:cs="Arial"/>
          <w:bCs/>
          <w:lang w:val="es-ES"/>
        </w:rPr>
        <w:t xml:space="preserve">) que el término de un día hábil está constituido por las veinticuatro horas que conforman uno de los días laborables definidos por la entidad, empezando a las 00:00 horas y terminando a las 23:59 de dicho día. </w:t>
      </w:r>
    </w:p>
    <w:p w14:paraId="16F0F3C2" w14:textId="77777777" w:rsidR="00A24733" w:rsidRPr="00A24733" w:rsidRDefault="00A24733" w:rsidP="00A24733">
      <w:pPr>
        <w:tabs>
          <w:tab w:val="left" w:pos="0"/>
        </w:tabs>
        <w:spacing w:before="120" w:after="120" w:line="276" w:lineRule="auto"/>
        <w:jc w:val="both"/>
        <w:rPr>
          <w:rFonts w:ascii="Arial" w:eastAsia="Calibri" w:hAnsi="Arial" w:cs="Arial"/>
          <w:bCs/>
          <w:lang w:val="es-ES"/>
        </w:rPr>
      </w:pPr>
      <w:r w:rsidRPr="00A24733">
        <w:rPr>
          <w:rFonts w:ascii="Arial" w:eastAsia="Calibri" w:hAnsi="Arial" w:cs="Arial"/>
          <w:bCs/>
          <w:lang w:val="es-ES"/>
        </w:rPr>
        <w:lastRenderedPageBreak/>
        <w:tab/>
        <w:t xml:space="preserve">La primera interpretación supone que se tomen horas de la jornada laboral de un día y se complementen con otras del día siguiente, para completar un total de veinticuatro. No obstante, esta forma de entender el plazo para presentar ofertas no es coherente con lo establecido en la ley, que al establecer que el término deberá ser de mínimo un día hábil da a entender que la presentación de ofertas debe tener lugar durante un único día hábil determinado, y no durante veinticuatro horas fraccionadas en dos días. Por ello, </w:t>
      </w:r>
      <w:r w:rsidRPr="00A24733">
        <w:rPr>
          <w:rFonts w:ascii="Arial" w:eastAsia="Calibri" w:hAnsi="Arial" w:cs="Arial"/>
          <w:color w:val="000000"/>
          <w:shd w:val="clear" w:color="auto" w:fill="FFFFFF"/>
          <w:lang w:val="es-ES"/>
        </w:rPr>
        <w:t>e</w:t>
      </w:r>
      <w:proofErr w:type="spellStart"/>
      <w:r w:rsidRPr="00A24733">
        <w:rPr>
          <w:rFonts w:ascii="Arial" w:eastAsia="Calibri" w:hAnsi="Arial" w:cs="Arial"/>
          <w:color w:val="000000"/>
          <w:shd w:val="clear" w:color="auto" w:fill="FFFFFF"/>
          <w:lang w:val="es-MX"/>
        </w:rPr>
        <w:t>sta</w:t>
      </w:r>
      <w:proofErr w:type="spellEnd"/>
      <w:r w:rsidRPr="00A24733">
        <w:rPr>
          <w:rFonts w:ascii="Arial" w:eastAsia="Calibri" w:hAnsi="Arial" w:cs="Arial"/>
          <w:color w:val="000000"/>
          <w:shd w:val="clear" w:color="auto" w:fill="FFFFFF"/>
          <w:lang w:val="es-MX"/>
        </w:rPr>
        <w:t xml:space="preserve"> Agencia estima que las entidades, para cumplir el plazo mínimo de un día hábil, necesariamente deben fijar los extremos de este dentro un mismo día solar laborable.  </w:t>
      </w:r>
      <w:r w:rsidRPr="00A24733">
        <w:rPr>
          <w:rFonts w:ascii="Arial" w:eastAsia="Batang" w:hAnsi="Arial" w:cs="Arial"/>
          <w:lang w:val="es-MX"/>
        </w:rPr>
        <w:t xml:space="preserve"> </w:t>
      </w:r>
    </w:p>
    <w:p w14:paraId="34C41CC3" w14:textId="77777777" w:rsidR="00A24733" w:rsidRPr="00A24733" w:rsidRDefault="00A24733" w:rsidP="00A24733">
      <w:pPr>
        <w:tabs>
          <w:tab w:val="left" w:pos="0"/>
        </w:tabs>
        <w:spacing w:after="120" w:line="276" w:lineRule="auto"/>
        <w:jc w:val="both"/>
        <w:rPr>
          <w:rFonts w:ascii="Arial" w:eastAsia="Calibri" w:hAnsi="Arial" w:cs="Arial"/>
          <w:bCs/>
          <w:lang w:val="es-ES"/>
        </w:rPr>
      </w:pPr>
      <w:r w:rsidRPr="00A24733">
        <w:rPr>
          <w:rFonts w:ascii="Arial" w:eastAsia="Batang" w:hAnsi="Arial" w:cs="Arial"/>
          <w:lang w:val="es-MX"/>
        </w:rPr>
        <w:tab/>
        <w:t xml:space="preserve">Conforme a lo anterior, la segunda interpretación resulta la más razonable, porque es la adecuada a las circunstancias prácticas propias de la presentación de ofertas, particularmente en el caso de las entidades que publican sus procesos de selección en la plataforma SECOP I, y recibiendo ofertas en medio físico, lo cual implica que durante la vigencia del término para la presentación de ofertas haya una persona disponible en las instalaciones de la entidad  para recibir las ofertas y haga la correspondiente radicación, lo cual solo resulta posible en las horas laborables.  </w:t>
      </w:r>
      <w:r w:rsidRPr="00A24733">
        <w:rPr>
          <w:rFonts w:ascii="Arial" w:eastAsia="Calibri" w:hAnsi="Arial" w:cs="Arial"/>
          <w:bCs/>
          <w:lang w:val="es-ES"/>
        </w:rPr>
        <w:t>A esto se suma el hecho de que las entidades no suelen tener horarios de atención al público de veinticuatro horas diarias, comoquiera que solo están obligadas a garantizar la atención durante cuarenta horas semanales</w:t>
      </w:r>
      <w:r w:rsidRPr="00A24733">
        <w:rPr>
          <w:rFonts w:ascii="Arial" w:eastAsia="Calibri" w:hAnsi="Arial" w:cs="Arial"/>
          <w:bCs/>
          <w:vertAlign w:val="superscript"/>
          <w:lang w:val="es-ES"/>
        </w:rPr>
        <w:footnoteReference w:id="21"/>
      </w:r>
      <w:r w:rsidRPr="00A24733">
        <w:rPr>
          <w:rFonts w:ascii="Arial" w:eastAsia="Calibri" w:hAnsi="Arial" w:cs="Arial"/>
          <w:bCs/>
          <w:lang w:val="es-ES"/>
        </w:rPr>
        <w:t>.</w:t>
      </w:r>
    </w:p>
    <w:p w14:paraId="62904306" w14:textId="77777777" w:rsidR="00A24733" w:rsidRPr="00A24733" w:rsidRDefault="00A24733" w:rsidP="00A24733">
      <w:pPr>
        <w:tabs>
          <w:tab w:val="left" w:pos="0"/>
        </w:tabs>
        <w:spacing w:after="120" w:line="276" w:lineRule="auto"/>
        <w:jc w:val="both"/>
        <w:rPr>
          <w:rFonts w:ascii="Arial" w:eastAsia="Calibri" w:hAnsi="Arial" w:cs="Arial"/>
          <w:bCs/>
          <w:lang w:val="es-ES"/>
        </w:rPr>
      </w:pPr>
      <w:r w:rsidRPr="00A24733">
        <w:rPr>
          <w:rFonts w:ascii="Arial" w:eastAsia="Calibri" w:hAnsi="Arial" w:cs="Arial"/>
          <w:bCs/>
          <w:lang w:val="es-ES"/>
        </w:rPr>
        <w:tab/>
        <w:t>Sin embargo, en los procesos de mínima cuantía adelantados a través de SECOP II, la Agencia Nacional de Contratación Pública – Colombia Compra Eficiente considera que, conforme a la tercera interpretación señalada, es necesario que las entidades extiendan el plazo para presentar  ofertas hasta las 23:59 horas del día previsto para ello, por existir una herramienta tecnológica para presentar y recibirlas, que permite que se prescinda de la presencia física del personal para la recibirlas y radicarlas por fuera de la jornada laboral.</w:t>
      </w:r>
    </w:p>
    <w:p w14:paraId="53682362" w14:textId="77777777" w:rsidR="00A24733" w:rsidRPr="00A24733" w:rsidRDefault="00A24733" w:rsidP="00A24733">
      <w:pPr>
        <w:tabs>
          <w:tab w:val="left" w:pos="0"/>
        </w:tabs>
        <w:spacing w:after="120" w:line="276" w:lineRule="auto"/>
        <w:jc w:val="both"/>
        <w:rPr>
          <w:rFonts w:ascii="Arial" w:eastAsia="Calibri" w:hAnsi="Arial" w:cs="Arial"/>
          <w:bCs/>
          <w:lang w:val="es-ES"/>
        </w:rPr>
      </w:pPr>
      <w:r w:rsidRPr="00A24733">
        <w:rPr>
          <w:rFonts w:ascii="Arial" w:eastAsia="Calibri" w:hAnsi="Arial" w:cs="Arial"/>
          <w:bCs/>
          <w:lang w:val="es-ES"/>
        </w:rPr>
        <w:tab/>
        <w:t xml:space="preserve">En ese sentido, </w:t>
      </w:r>
      <w:bookmarkStart w:id="3" w:name="_Hlk134437080"/>
      <w:r w:rsidRPr="00A24733">
        <w:rPr>
          <w:rFonts w:ascii="Arial" w:eastAsia="Calibri" w:hAnsi="Arial" w:cs="Arial"/>
          <w:bCs/>
          <w:lang w:val="es-ES"/>
        </w:rPr>
        <w:t xml:space="preserve">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w:t>
      </w:r>
    </w:p>
    <w:p w14:paraId="5D223726" w14:textId="77777777" w:rsidR="00A24733" w:rsidRPr="00A24733" w:rsidRDefault="00A24733" w:rsidP="00A24733">
      <w:pPr>
        <w:tabs>
          <w:tab w:val="left" w:pos="0"/>
        </w:tabs>
        <w:spacing w:after="120" w:line="276" w:lineRule="auto"/>
        <w:jc w:val="both"/>
        <w:rPr>
          <w:rFonts w:ascii="Arial" w:eastAsia="Calibri" w:hAnsi="Arial" w:cs="Arial"/>
          <w:bCs/>
          <w:lang w:val="es-ES"/>
        </w:rPr>
      </w:pPr>
      <w:r w:rsidRPr="00A24733">
        <w:rPr>
          <w:rFonts w:ascii="Arial" w:eastAsia="Calibri" w:hAnsi="Arial" w:cs="Arial"/>
          <w:bCs/>
          <w:lang w:val="es-ES"/>
        </w:rPr>
        <w:tab/>
        <w:t xml:space="preserve">De otro lado, en el caso de las entidades que realizan sus procedimientos de selección a través de SECOP II, deberán extender el termino para la presentación de ofertas durante las </w:t>
      </w:r>
      <w:r w:rsidRPr="00A24733">
        <w:rPr>
          <w:rFonts w:ascii="Arial" w:eastAsia="Calibri" w:hAnsi="Arial" w:cs="Arial"/>
          <w:bCs/>
          <w:lang w:val="es-ES"/>
        </w:rPr>
        <w:lastRenderedPageBreak/>
        <w:t>veinticuatro (24) horas que conforman un día solar laborable. La aplicación de esta regla permite conciliar la inexistencia de una definición unívoca de día hábil y de un método legal para el cómputo de términos de un único día, con las implicaciones prácticas del ejercicio de la actividad precontractual, de tal forma que se da a cada situación la solución más adecuada a los medios con los que cuentan las respectivas entidades para llevar a cabo sus procesos de selección.</w:t>
      </w:r>
    </w:p>
    <w:bookmarkEnd w:id="3"/>
    <w:p w14:paraId="04AA90C3" w14:textId="77777777" w:rsidR="00A24733" w:rsidRPr="00A24733" w:rsidRDefault="00A24733" w:rsidP="00A24733">
      <w:pPr>
        <w:tabs>
          <w:tab w:val="left" w:pos="0"/>
        </w:tabs>
        <w:spacing w:after="0" w:line="276" w:lineRule="auto"/>
        <w:jc w:val="both"/>
        <w:rPr>
          <w:rFonts w:ascii="Arial" w:eastAsia="Calibri" w:hAnsi="Arial" w:cs="Arial"/>
          <w:bCs/>
          <w:lang w:val="es-ES"/>
        </w:rPr>
      </w:pPr>
      <w:r w:rsidRPr="00A24733">
        <w:rPr>
          <w:rFonts w:ascii="Arial" w:eastAsia="Calibri" w:hAnsi="Arial" w:cs="Arial"/>
          <w:bCs/>
          <w:lang w:val="es-ES"/>
        </w:rPr>
        <w:tab/>
        <w:t>Finalmente, de conformidad con los mandatos derivados del principio de transparencia, consagrado en el artículo 24 de la Ley 80 de 1993, y lo dispuesto en el artículo 2.2.1.1.2.1.3 del Decreto 1082 de 2015</w:t>
      </w:r>
      <w:r w:rsidRPr="00A24733">
        <w:rPr>
          <w:rFonts w:ascii="Arial" w:eastAsia="Calibri" w:hAnsi="Arial" w:cs="Arial"/>
          <w:bCs/>
          <w:vertAlign w:val="superscript"/>
          <w:lang w:val="es-ES"/>
        </w:rPr>
        <w:footnoteReference w:id="22"/>
      </w:r>
      <w:r w:rsidRPr="00A24733">
        <w:rPr>
          <w:rFonts w:ascii="Arial" w:eastAsia="Calibri" w:hAnsi="Arial" w:cs="Arial"/>
          <w:bCs/>
          <w:lang w:val="es-ES"/>
        </w:rPr>
        <w:t xml:space="preserve">, en el pliego de condiciones deben definirse “las reglas aplicables a la presentación de las ofertas, su evaluación y a la adjudicación del contrato”, así como el cronograma del proceso de selección, lo cual también es aplicable a la invitación en los procesos de mínima cuantía. Esto implica que para dar aplicación a la anterior regla las entidades deberán establecer, en la respectiva invitación, el lapso durante el cual recibirán ofertas, definiendo expresamente la hora hasta la cual recibirán las ofertas, de tal manera que este pueda ser conocido con anticipación por los interesados en participar.    </w:t>
      </w:r>
    </w:p>
    <w:p w14:paraId="1E804828" w14:textId="77777777" w:rsidR="00A24733" w:rsidRPr="00A24733" w:rsidRDefault="00A24733" w:rsidP="00A24733">
      <w:pPr>
        <w:spacing w:after="0" w:line="276" w:lineRule="auto"/>
        <w:jc w:val="both"/>
        <w:rPr>
          <w:rFonts w:ascii="Arial" w:eastAsia="Arial" w:hAnsi="Arial" w:cs="Arial"/>
          <w:lang w:val="es-ES" w:eastAsia="es-ES" w:bidi="es-ES"/>
        </w:rPr>
      </w:pPr>
    </w:p>
    <w:bookmarkEnd w:id="0"/>
    <w:p w14:paraId="3A5CECAA" w14:textId="77777777" w:rsidR="00A24733" w:rsidRPr="00A24733" w:rsidRDefault="00A24733" w:rsidP="00A24733">
      <w:pPr>
        <w:tabs>
          <w:tab w:val="left" w:pos="0"/>
        </w:tabs>
        <w:spacing w:after="0" w:line="240" w:lineRule="auto"/>
        <w:jc w:val="both"/>
        <w:rPr>
          <w:rFonts w:ascii="Arial" w:eastAsia="Calibri" w:hAnsi="Arial" w:cs="Arial"/>
          <w:b/>
          <w:color w:val="000000"/>
          <w:szCs w:val="24"/>
          <w:lang w:val="es-ES_tradnl" w:eastAsia="es-ES_tradnl"/>
        </w:rPr>
      </w:pPr>
      <w:r w:rsidRPr="00A24733">
        <w:rPr>
          <w:rFonts w:ascii="Arial" w:eastAsia="Calibri" w:hAnsi="Arial" w:cs="Arial"/>
          <w:b/>
          <w:color w:val="000000"/>
          <w:szCs w:val="24"/>
          <w:lang w:val="es-ES_tradnl" w:eastAsia="es-ES_tradnl"/>
        </w:rPr>
        <w:t>3. Respuesta</w:t>
      </w:r>
    </w:p>
    <w:p w14:paraId="19F01033" w14:textId="77777777" w:rsidR="00A24733" w:rsidRPr="00A24733" w:rsidRDefault="00A24733" w:rsidP="00A24733">
      <w:pPr>
        <w:spacing w:after="0" w:line="276" w:lineRule="auto"/>
        <w:jc w:val="both"/>
        <w:rPr>
          <w:rFonts w:ascii="Arial" w:eastAsia="Times New Roman" w:hAnsi="Arial" w:cs="Arial"/>
          <w:color w:val="000000"/>
          <w:szCs w:val="24"/>
          <w:lang w:val="es-ES_tradnl" w:eastAsia="es-ES_tradnl"/>
        </w:rPr>
      </w:pPr>
    </w:p>
    <w:p w14:paraId="29AA3139" w14:textId="77777777" w:rsidR="00A24733" w:rsidRPr="00A24733" w:rsidRDefault="00A24733" w:rsidP="00A24733">
      <w:pPr>
        <w:spacing w:after="0" w:line="240" w:lineRule="auto"/>
        <w:ind w:left="709" w:right="709"/>
        <w:jc w:val="both"/>
        <w:rPr>
          <w:rFonts w:ascii="Arial" w:eastAsia="Times New Roman" w:hAnsi="Arial" w:cs="Arial"/>
          <w:sz w:val="21"/>
          <w:szCs w:val="21"/>
          <w:lang w:val="es-ES_tradnl" w:eastAsia="es-ES_tradnl"/>
        </w:rPr>
      </w:pPr>
      <w:r w:rsidRPr="00A24733">
        <w:rPr>
          <w:rFonts w:ascii="Arial" w:eastAsia="Times New Roman" w:hAnsi="Arial" w:cs="Arial"/>
          <w:sz w:val="21"/>
          <w:szCs w:val="21"/>
          <w:lang w:val="es-ES_tradnl" w:eastAsia="es-ES_tradnl"/>
        </w:rPr>
        <w:t>“[¿]CUÁL ES EL TÉRMINO QUE TIENE LA ENTIDAD PARA RECIBIR OFERTAS DESPUES [sic] DE PUBLICADO EL AVISO QUE LIMITA A MIPYMES EN UN PROCESO DE MÍNIMA CUANTÍA ADELANTADO POR SECOP II?”</w:t>
      </w:r>
    </w:p>
    <w:p w14:paraId="012F1022" w14:textId="77777777" w:rsidR="00A24733" w:rsidRPr="00A24733" w:rsidRDefault="00A24733" w:rsidP="00A24733">
      <w:pPr>
        <w:spacing w:after="0" w:line="276" w:lineRule="auto"/>
        <w:jc w:val="both"/>
        <w:rPr>
          <w:rFonts w:ascii="Arial" w:eastAsia="Times New Roman" w:hAnsi="Arial" w:cs="Arial"/>
          <w:color w:val="000000"/>
          <w:szCs w:val="24"/>
          <w:lang w:val="es-ES_tradnl" w:eastAsia="es-ES_tradnl"/>
        </w:rPr>
      </w:pPr>
    </w:p>
    <w:p w14:paraId="437F807D" w14:textId="0458FA64" w:rsidR="00401034" w:rsidRDefault="00401034" w:rsidP="00A24733">
      <w:pPr>
        <w:tabs>
          <w:tab w:val="left" w:pos="0"/>
        </w:tabs>
        <w:spacing w:after="120" w:line="276" w:lineRule="auto"/>
        <w:jc w:val="both"/>
        <w:rPr>
          <w:rFonts w:ascii="Arial" w:eastAsia="Calibri" w:hAnsi="Arial" w:cs="Arial"/>
          <w:bCs/>
          <w:lang w:val="es-ES"/>
        </w:rPr>
      </w:pPr>
      <w:r>
        <w:rPr>
          <w:rFonts w:ascii="Arial" w:eastAsia="Calibri" w:hAnsi="Arial" w:cs="Arial"/>
          <w:bCs/>
          <w:lang w:val="es-ES"/>
        </w:rPr>
        <w:t>De acuerdo con lo expuesto</w:t>
      </w:r>
      <w:r w:rsidRPr="00A24733">
        <w:rPr>
          <w:rFonts w:ascii="Arial" w:eastAsia="Calibri" w:hAnsi="Arial" w:cs="Arial"/>
          <w:bCs/>
          <w:lang w:val="es-ES"/>
        </w:rPr>
        <w:t xml:space="preserve">, el artículo 2.2.1.2.1.5.2 del Decreto 1082 de 2015 –modificado por el Decreto 1860 de 2021–, al reglamentar el procedimiento de </w:t>
      </w:r>
      <w:r>
        <w:rPr>
          <w:rFonts w:ascii="Arial" w:eastAsia="Calibri" w:hAnsi="Arial" w:cs="Arial"/>
          <w:bCs/>
          <w:lang w:val="es-ES"/>
        </w:rPr>
        <w:t>mínima</w:t>
      </w:r>
      <w:r w:rsidR="00CB5EC7">
        <w:rPr>
          <w:rFonts w:ascii="Arial" w:eastAsia="Calibri" w:hAnsi="Arial" w:cs="Arial"/>
          <w:bCs/>
          <w:lang w:val="es-ES"/>
        </w:rPr>
        <w:t xml:space="preserve"> cuantía</w:t>
      </w:r>
      <w:r w:rsidRPr="00A24733">
        <w:rPr>
          <w:rFonts w:ascii="Arial" w:eastAsia="Calibri" w:hAnsi="Arial" w:cs="Arial"/>
          <w:bCs/>
          <w:lang w:val="es-ES"/>
        </w:rPr>
        <w:t xml:space="preserve">, establece, en el numeral 3, que “[l]a invitación se publicará por un término no inferior a un (1) día </w:t>
      </w:r>
      <w:proofErr w:type="spellStart"/>
      <w:r w:rsidRPr="00A24733">
        <w:rPr>
          <w:rFonts w:ascii="Arial" w:eastAsia="Calibri" w:hAnsi="Arial" w:cs="Arial"/>
          <w:bCs/>
          <w:lang w:val="es-ES"/>
        </w:rPr>
        <w:t>hábill</w:t>
      </w:r>
      <w:proofErr w:type="spellEnd"/>
      <w:r w:rsidRPr="00A24733">
        <w:rPr>
          <w:rFonts w:ascii="Arial" w:eastAsia="Calibri" w:hAnsi="Arial" w:cs="Arial"/>
          <w:bCs/>
          <w:lang w:val="es-ES"/>
        </w:rPr>
        <w:t>, y en el numeral 4, que “se dispondrá un término adicional dentro del cual los proponentes podrán presentar sus ofertas, el cual será de mínimo un (1) día hábil luego de publicado el aviso en que se informe si el proceso se limita o no a Mipyme</w:t>
      </w:r>
      <w:r w:rsidR="00CB5EC7">
        <w:rPr>
          <w:rFonts w:ascii="Arial" w:eastAsia="Calibri" w:hAnsi="Arial" w:cs="Arial"/>
          <w:bCs/>
          <w:lang w:val="es-ES"/>
        </w:rPr>
        <w:t>”.</w:t>
      </w:r>
    </w:p>
    <w:p w14:paraId="058A9337" w14:textId="215859CE" w:rsidR="00A24733" w:rsidRPr="00A24733" w:rsidRDefault="00CB5EC7" w:rsidP="00A24733">
      <w:pPr>
        <w:tabs>
          <w:tab w:val="left" w:pos="0"/>
        </w:tabs>
        <w:spacing w:after="120" w:line="276" w:lineRule="auto"/>
        <w:jc w:val="both"/>
        <w:rPr>
          <w:rFonts w:ascii="Arial" w:eastAsia="Calibri" w:hAnsi="Arial" w:cs="Arial"/>
          <w:bCs/>
          <w:lang w:val="es-ES"/>
        </w:rPr>
      </w:pPr>
      <w:r>
        <w:rPr>
          <w:rFonts w:ascii="Arial" w:eastAsia="Calibri" w:hAnsi="Arial" w:cs="Arial"/>
          <w:bCs/>
          <w:lang w:val="es-ES"/>
        </w:rPr>
        <w:tab/>
        <w:t xml:space="preserve">Ahora bien, </w:t>
      </w:r>
      <w:r w:rsidR="002F5E5D">
        <w:rPr>
          <w:rFonts w:ascii="Arial" w:eastAsia="Calibri" w:hAnsi="Arial" w:cs="Arial"/>
          <w:bCs/>
          <w:lang w:val="es-ES"/>
        </w:rPr>
        <w:t>conforme a</w:t>
      </w:r>
      <w:r w:rsidR="00A24733" w:rsidRPr="00A24733">
        <w:rPr>
          <w:rFonts w:ascii="Arial" w:eastAsia="Calibri" w:hAnsi="Arial" w:cs="Arial"/>
          <w:bCs/>
          <w:lang w:val="es-ES"/>
        </w:rPr>
        <w:t xml:space="preserve"> las consideraciones realizadas en este concepto, 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00A24733" w:rsidRPr="00A24733">
        <w:rPr>
          <w:rFonts w:ascii="Arial" w:eastAsia="Calibri" w:hAnsi="Arial" w:cs="Arial"/>
          <w:bCs/>
          <w:vertAlign w:val="superscript"/>
          <w:lang w:val="es-ES"/>
        </w:rPr>
        <w:footnoteReference w:id="23"/>
      </w:r>
      <w:r w:rsidR="00A24733" w:rsidRPr="00A24733">
        <w:rPr>
          <w:rFonts w:ascii="Arial" w:eastAsia="Calibri" w:hAnsi="Arial" w:cs="Arial"/>
          <w:bCs/>
          <w:lang w:val="es-ES"/>
        </w:rPr>
        <w:t xml:space="preserve">, por lo que días hábiles </w:t>
      </w:r>
      <w:r w:rsidR="00A24733" w:rsidRPr="00A24733">
        <w:rPr>
          <w:rFonts w:ascii="Arial" w:eastAsia="Calibri" w:hAnsi="Arial" w:cs="Arial"/>
          <w:bCs/>
          <w:lang w:val="es-ES"/>
        </w:rPr>
        <w:lastRenderedPageBreak/>
        <w:t>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00A24733" w:rsidRPr="00A24733">
        <w:rPr>
          <w:rFonts w:ascii="Arial" w:eastAsia="Calibri" w:hAnsi="Arial" w:cs="Arial"/>
          <w:bCs/>
          <w:vertAlign w:val="superscript"/>
          <w:lang w:val="es-ES"/>
        </w:rPr>
        <w:footnoteReference w:id="24"/>
      </w:r>
      <w:r w:rsidR="00A24733" w:rsidRPr="00A24733">
        <w:rPr>
          <w:rFonts w:ascii="Arial" w:eastAsia="Calibri" w:hAnsi="Arial" w:cs="Arial"/>
          <w:bCs/>
          <w:lang w:val="es-ES"/>
        </w:rPr>
        <w:t xml:space="preserve">, ejemplo donde los días laborables o hábiles son todos los de la semana, con excepción del miércoles. </w:t>
      </w:r>
    </w:p>
    <w:p w14:paraId="303E5490" w14:textId="77777777" w:rsidR="00A24733" w:rsidRPr="00A24733" w:rsidRDefault="00A24733" w:rsidP="00A24733">
      <w:pPr>
        <w:tabs>
          <w:tab w:val="left" w:pos="0"/>
        </w:tabs>
        <w:spacing w:before="120" w:after="120" w:line="276" w:lineRule="auto"/>
        <w:jc w:val="both"/>
        <w:rPr>
          <w:rFonts w:ascii="Arial" w:eastAsia="Calibri" w:hAnsi="Arial" w:cs="Arial"/>
          <w:bCs/>
          <w:lang w:val="es-ES"/>
        </w:rPr>
      </w:pPr>
      <w:r w:rsidRPr="00A24733">
        <w:rPr>
          <w:rFonts w:ascii="Arial" w:eastAsia="Calibri" w:hAnsi="Arial" w:cs="Arial"/>
          <w:bCs/>
          <w:lang w:val="es-ES"/>
        </w:rPr>
        <w:tab/>
        <w:t xml:space="preserve">Esto implica, respecto del término para publicar la invitación y para la presentación de ofertas en procedimientos de mínima cuantía, así como para el cómputo de los demás términos en días hábiles propios de estos procesos de selección, que deberá transcurrir dentro de los días definidos por cada entidad estatal como laborables en su correspondiente reglamento o manual de funciones. </w:t>
      </w:r>
    </w:p>
    <w:p w14:paraId="623EE465" w14:textId="77777777" w:rsidR="00A24733" w:rsidRPr="00A24733" w:rsidRDefault="00A24733" w:rsidP="00A24733">
      <w:pPr>
        <w:tabs>
          <w:tab w:val="left" w:pos="0"/>
        </w:tabs>
        <w:spacing w:after="120" w:line="276" w:lineRule="auto"/>
        <w:jc w:val="both"/>
        <w:rPr>
          <w:rFonts w:ascii="Arial" w:eastAsia="Calibri" w:hAnsi="Arial" w:cs="Arial"/>
          <w:bCs/>
          <w:lang w:val="es-ES"/>
        </w:rPr>
      </w:pPr>
      <w:r w:rsidRPr="00A24733">
        <w:rPr>
          <w:rFonts w:ascii="Arial" w:eastAsia="Calibri" w:hAnsi="Arial" w:cs="Arial"/>
          <w:bCs/>
          <w:lang w:val="es-ES"/>
        </w:rPr>
        <w:tab/>
        <w:t xml:space="preserve">En ese sentido, en criterio de esta Agencia, 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w:t>
      </w:r>
    </w:p>
    <w:p w14:paraId="21CCED91" w14:textId="77777777" w:rsidR="00A24733" w:rsidRPr="00A24733" w:rsidRDefault="00A24733" w:rsidP="00A24733">
      <w:pPr>
        <w:tabs>
          <w:tab w:val="left" w:pos="0"/>
        </w:tabs>
        <w:spacing w:after="120" w:line="276" w:lineRule="auto"/>
        <w:jc w:val="both"/>
        <w:rPr>
          <w:rFonts w:ascii="Arial" w:eastAsia="Calibri" w:hAnsi="Arial" w:cs="Arial"/>
          <w:bCs/>
          <w:lang w:val="es-ES"/>
        </w:rPr>
      </w:pPr>
      <w:r w:rsidRPr="00A24733">
        <w:rPr>
          <w:rFonts w:ascii="Arial" w:eastAsia="Calibri" w:hAnsi="Arial" w:cs="Arial"/>
          <w:bCs/>
          <w:lang w:val="es-ES"/>
        </w:rPr>
        <w:tab/>
        <w:t>De otro lado, en el caso de las entidades que realizan sus procedimientos de selección a través de SECOP II, deberán extender el termino para la presentación de ofertas durante las veinticuatro (24) horas que conforman un día solar laborable. La aplicación de esta regla permite conciliar la inexistencia de una definición unívoca de día hábil y de un método legal para el cómputo de términos de un único día, con las implicaciones prácticas del ejercicio de la actividad precontractual, de tal forma que se da a cada situación la solución más adecuada a los medios con los que cuentan las respectivas entidades para llevar a cabo sus procesos de selección.</w:t>
      </w:r>
    </w:p>
    <w:p w14:paraId="4DC2A100" w14:textId="77777777" w:rsidR="00A24733" w:rsidRPr="00A24733" w:rsidRDefault="00A24733" w:rsidP="00A24733">
      <w:pPr>
        <w:widowControl w:val="0"/>
        <w:autoSpaceDE w:val="0"/>
        <w:autoSpaceDN w:val="0"/>
        <w:spacing w:after="0" w:line="276" w:lineRule="auto"/>
        <w:ind w:right="108" w:firstLine="709"/>
        <w:jc w:val="both"/>
        <w:rPr>
          <w:rFonts w:ascii="Arial" w:eastAsia="Arial" w:hAnsi="Arial" w:cs="Arial"/>
          <w:lang w:val="es-ES" w:eastAsia="es-ES" w:bidi="es-ES"/>
        </w:rPr>
      </w:pPr>
      <w:r w:rsidRPr="00A24733">
        <w:rPr>
          <w:rFonts w:ascii="Arial" w:eastAsia="Calibri" w:hAnsi="Arial" w:cs="Arial"/>
          <w:bCs/>
          <w:lang w:val="es-ES"/>
        </w:rPr>
        <w:t>Lo anterior significa que, el término adicional de que trata el numeral 4 del artículo 2.2.1.2.1.5.2 del Decreto 1082 de 2015 –modificado por el Decreto 1860 de 2021–, del cual disponen los proponentes para presentar sus ofertas, debe corresponder, en el caso de procesos de mínima cuantía adelantados a través del SECOP II, como mínimo, a 24 horas dentro de un mismo día laborable de la respectiva entidad.</w:t>
      </w:r>
    </w:p>
    <w:p w14:paraId="3EA76839" w14:textId="77777777" w:rsidR="00A24733" w:rsidRPr="00A24733" w:rsidRDefault="00A24733" w:rsidP="00A24733">
      <w:pPr>
        <w:widowControl w:val="0"/>
        <w:autoSpaceDE w:val="0"/>
        <w:autoSpaceDN w:val="0"/>
        <w:spacing w:after="120" w:line="276" w:lineRule="auto"/>
        <w:jc w:val="both"/>
        <w:rPr>
          <w:rFonts w:ascii="Arial" w:eastAsia="Times New Roman" w:hAnsi="Arial" w:cs="Arial"/>
          <w:color w:val="000000"/>
          <w:lang w:val="es-ES_tradnl" w:eastAsia="es-ES_tradnl"/>
        </w:rPr>
      </w:pPr>
    </w:p>
    <w:p w14:paraId="375629C6" w14:textId="77777777" w:rsidR="00A24733" w:rsidRPr="00A24733" w:rsidRDefault="00A24733" w:rsidP="00A24733">
      <w:pPr>
        <w:widowControl w:val="0"/>
        <w:autoSpaceDE w:val="0"/>
        <w:autoSpaceDN w:val="0"/>
        <w:spacing w:after="120" w:line="276" w:lineRule="auto"/>
        <w:jc w:val="both"/>
        <w:rPr>
          <w:rFonts w:ascii="Arial" w:eastAsia="Times New Roman" w:hAnsi="Arial" w:cs="Arial"/>
          <w:lang w:val="es-ES_tradnl" w:eastAsia="es-ES_tradnl" w:bidi="es-ES"/>
        </w:rPr>
      </w:pPr>
      <w:r w:rsidRPr="00A24733">
        <w:rPr>
          <w:rFonts w:ascii="Arial" w:eastAsia="Times New Roman" w:hAnsi="Arial" w:cs="Arial"/>
          <w:color w:val="000000"/>
          <w:lang w:val="es-ES_tradnl" w:eastAsia="es-ES_tradnl"/>
        </w:rPr>
        <w:t>Este concepto tiene el alcance previsto en el artículo 28 del</w:t>
      </w:r>
      <w:r w:rsidRPr="00A24733">
        <w:rPr>
          <w:rFonts w:ascii="Arial" w:eastAsia="Times New Roman" w:hAnsi="Arial" w:cs="Arial"/>
          <w:color w:val="000000"/>
          <w:szCs w:val="24"/>
          <w:lang w:val="es-ES_tradnl" w:eastAsia="es-ES_tradnl"/>
        </w:rPr>
        <w:t xml:space="preserve"> Código de Procedimiento Administrativo y de lo Contencioso Administrativo.</w:t>
      </w:r>
    </w:p>
    <w:p w14:paraId="7F8D6D50" w14:textId="77777777" w:rsidR="00A24733" w:rsidRPr="00A24733" w:rsidRDefault="00A24733" w:rsidP="00A24733">
      <w:pPr>
        <w:spacing w:before="120" w:after="0" w:line="276" w:lineRule="auto"/>
        <w:jc w:val="both"/>
        <w:rPr>
          <w:rFonts w:ascii="Arial" w:eastAsia="Times New Roman" w:hAnsi="Arial" w:cs="Arial"/>
          <w:color w:val="000000"/>
          <w:szCs w:val="24"/>
          <w:lang w:val="es-ES_tradnl" w:eastAsia="es-ES_tradnl"/>
        </w:rPr>
      </w:pPr>
    </w:p>
    <w:p w14:paraId="6FA794D7" w14:textId="77777777" w:rsidR="00A24733" w:rsidRPr="00A24733" w:rsidRDefault="00A24733" w:rsidP="00A24733">
      <w:pPr>
        <w:widowControl w:val="0"/>
        <w:autoSpaceDE w:val="0"/>
        <w:autoSpaceDN w:val="0"/>
        <w:spacing w:after="120" w:line="276" w:lineRule="auto"/>
        <w:jc w:val="both"/>
        <w:rPr>
          <w:rFonts w:ascii="Arial" w:eastAsia="Times New Roman" w:hAnsi="Arial" w:cs="Arial"/>
          <w:lang w:val="es-ES_tradnl" w:eastAsia="es-ES_tradnl" w:bidi="es-ES"/>
        </w:rPr>
      </w:pPr>
      <w:r w:rsidRPr="00A24733">
        <w:rPr>
          <w:rFonts w:ascii="Arial" w:eastAsia="Times New Roman" w:hAnsi="Arial" w:cs="Arial"/>
          <w:lang w:val="es-ES_tradnl" w:eastAsia="es-CO"/>
        </w:rPr>
        <w:t>Atentamente,</w:t>
      </w:r>
    </w:p>
    <w:p w14:paraId="0B05E2D6" w14:textId="5FCE53E7" w:rsidR="00A24733" w:rsidRPr="00A24733" w:rsidRDefault="00A24733" w:rsidP="00A24733">
      <w:pPr>
        <w:spacing w:after="0" w:line="276" w:lineRule="auto"/>
        <w:jc w:val="center"/>
        <w:rPr>
          <w:rFonts w:ascii="Times New Roman" w:eastAsia="Times New Roman" w:hAnsi="Times New Roman" w:cs="Times New Roman"/>
          <w:noProof/>
          <w:sz w:val="24"/>
          <w:szCs w:val="24"/>
          <w:lang w:eastAsia="es-CO"/>
        </w:rPr>
      </w:pPr>
      <w:r w:rsidRPr="00A24733">
        <w:rPr>
          <w:rFonts w:ascii="Times New Roman" w:eastAsia="Times New Roman" w:hAnsi="Times New Roman" w:cs="Times New Roman"/>
          <w:noProof/>
          <w:sz w:val="24"/>
          <w:szCs w:val="24"/>
          <w:lang w:eastAsia="es-CO"/>
        </w:rPr>
        <w:t xml:space="preserve"> </w:t>
      </w:r>
      <w:r w:rsidR="00EC7367">
        <w:rPr>
          <w:noProof/>
        </w:rPr>
        <w:drawing>
          <wp:inline distT="0" distB="0" distL="0" distR="0" wp14:anchorId="1504355B" wp14:editId="6E8E6306">
            <wp:extent cx="2952750" cy="1132928"/>
            <wp:effectExtent l="0" t="0" r="0" b="0"/>
            <wp:docPr id="173774143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61951" cy="1136458"/>
                    </a:xfrm>
                    <a:prstGeom prst="rect">
                      <a:avLst/>
                    </a:prstGeom>
                    <a:noFill/>
                    <a:ln>
                      <a:noFill/>
                    </a:ln>
                  </pic:spPr>
                </pic:pic>
              </a:graphicData>
            </a:graphic>
          </wp:inline>
        </w:drawing>
      </w:r>
    </w:p>
    <w:p w14:paraId="7BDBE06A" w14:textId="77777777" w:rsidR="00A24733" w:rsidRPr="00A24733" w:rsidRDefault="00A24733" w:rsidP="00A24733">
      <w:pPr>
        <w:spacing w:after="0" w:line="276" w:lineRule="auto"/>
        <w:jc w:val="center"/>
        <w:rPr>
          <w:rFonts w:ascii="Arial" w:eastAsia="Times New Roman" w:hAnsi="Arial" w:cs="Arial"/>
          <w:sz w:val="24"/>
          <w:szCs w:val="24"/>
          <w:lang w:val="es-ES_tradnl" w:eastAsia="es-CO"/>
        </w:rPr>
      </w:pP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
        <w:gridCol w:w="5102"/>
      </w:tblGrid>
      <w:tr w:rsidR="00A24733" w:rsidRPr="00A24733" w14:paraId="3F3F5D41" w14:textId="77777777" w:rsidTr="00A67182">
        <w:trPr>
          <w:trHeight w:val="305"/>
        </w:trPr>
        <w:tc>
          <w:tcPr>
            <w:tcW w:w="1025" w:type="dxa"/>
            <w:vAlign w:val="center"/>
            <w:hideMark/>
          </w:tcPr>
          <w:p w14:paraId="3D3D36F2" w14:textId="77777777" w:rsidR="00A24733" w:rsidRPr="00A24733" w:rsidRDefault="00A24733" w:rsidP="00A24733">
            <w:pPr>
              <w:jc w:val="both"/>
              <w:rPr>
                <w:rFonts w:ascii="Arial" w:eastAsia="Calibri" w:hAnsi="Arial" w:cs="Arial"/>
                <w:sz w:val="16"/>
                <w:szCs w:val="16"/>
                <w:lang w:val="es-ES_tradnl" w:eastAsia="es-ES"/>
              </w:rPr>
            </w:pPr>
            <w:r w:rsidRPr="00A24733">
              <w:rPr>
                <w:rFonts w:ascii="Arial" w:eastAsia="Calibri" w:hAnsi="Arial" w:cs="Arial"/>
                <w:sz w:val="16"/>
                <w:szCs w:val="16"/>
                <w:lang w:val="es-ES_tradnl" w:eastAsia="es-ES"/>
              </w:rPr>
              <w:t>Elaboró:</w:t>
            </w:r>
          </w:p>
        </w:tc>
        <w:tc>
          <w:tcPr>
            <w:tcW w:w="5102" w:type="dxa"/>
            <w:tcBorders>
              <w:top w:val="nil"/>
              <w:left w:val="nil"/>
              <w:bottom w:val="dotted" w:sz="4" w:space="0" w:color="7F7F7F"/>
              <w:right w:val="nil"/>
            </w:tcBorders>
            <w:vAlign w:val="center"/>
            <w:hideMark/>
          </w:tcPr>
          <w:p w14:paraId="7071C63E" w14:textId="77777777" w:rsidR="00A24733" w:rsidRPr="00A24733" w:rsidRDefault="00A24733" w:rsidP="00A24733">
            <w:pPr>
              <w:jc w:val="both"/>
              <w:rPr>
                <w:rFonts w:ascii="Arial" w:eastAsia="Calibri" w:hAnsi="Arial" w:cs="Arial"/>
                <w:sz w:val="16"/>
                <w:szCs w:val="16"/>
                <w:lang w:val="es-ES_tradnl" w:eastAsia="es-ES"/>
              </w:rPr>
            </w:pPr>
            <w:r w:rsidRPr="00A24733">
              <w:rPr>
                <w:rFonts w:ascii="Arial" w:eastAsia="Calibri" w:hAnsi="Arial" w:cs="Arial"/>
                <w:sz w:val="16"/>
                <w:szCs w:val="16"/>
                <w:lang w:val="es-ES_tradnl" w:eastAsia="es-ES"/>
              </w:rPr>
              <w:t>Kevin Arlid Herrera Santa</w:t>
            </w:r>
          </w:p>
          <w:p w14:paraId="57CF1AAE" w14:textId="77777777" w:rsidR="00A24733" w:rsidRPr="00A24733" w:rsidRDefault="00A24733" w:rsidP="00A24733">
            <w:pPr>
              <w:jc w:val="both"/>
              <w:rPr>
                <w:rFonts w:ascii="Arial" w:eastAsia="Calibri" w:hAnsi="Arial" w:cs="Arial"/>
                <w:sz w:val="16"/>
                <w:szCs w:val="16"/>
                <w:lang w:val="es-ES_tradnl" w:eastAsia="es-ES"/>
              </w:rPr>
            </w:pPr>
            <w:r w:rsidRPr="00A24733">
              <w:rPr>
                <w:rFonts w:ascii="Arial" w:eastAsia="Calibri" w:hAnsi="Arial" w:cs="Arial"/>
                <w:sz w:val="16"/>
                <w:szCs w:val="16"/>
                <w:lang w:val="es-ES_tradnl" w:eastAsia="es-ES"/>
              </w:rPr>
              <w:t>Contratista de la Subdirección de Gestión Contractual</w:t>
            </w:r>
          </w:p>
        </w:tc>
      </w:tr>
      <w:tr w:rsidR="00A24733" w:rsidRPr="00A24733" w14:paraId="435DD253" w14:textId="77777777" w:rsidTr="00A67182">
        <w:trPr>
          <w:trHeight w:val="319"/>
        </w:trPr>
        <w:tc>
          <w:tcPr>
            <w:tcW w:w="1025" w:type="dxa"/>
            <w:vAlign w:val="center"/>
            <w:hideMark/>
          </w:tcPr>
          <w:p w14:paraId="7CE94A7F" w14:textId="77777777" w:rsidR="00A24733" w:rsidRPr="00A24733" w:rsidRDefault="00A24733" w:rsidP="00A24733">
            <w:pPr>
              <w:jc w:val="both"/>
              <w:rPr>
                <w:rFonts w:ascii="Arial" w:eastAsia="Calibri" w:hAnsi="Arial" w:cs="Arial"/>
                <w:sz w:val="16"/>
                <w:szCs w:val="16"/>
                <w:lang w:val="es-ES_tradnl" w:eastAsia="es-ES"/>
              </w:rPr>
            </w:pPr>
            <w:r w:rsidRPr="00A24733">
              <w:rPr>
                <w:rFonts w:ascii="Arial" w:eastAsia="Calibri" w:hAnsi="Arial" w:cs="Arial"/>
                <w:sz w:val="16"/>
                <w:szCs w:val="16"/>
                <w:lang w:val="es-ES_tradnl" w:eastAsia="es-ES"/>
              </w:rPr>
              <w:t>Revisó:</w:t>
            </w:r>
          </w:p>
        </w:tc>
        <w:tc>
          <w:tcPr>
            <w:tcW w:w="5102" w:type="dxa"/>
            <w:tcBorders>
              <w:top w:val="dotted" w:sz="4" w:space="0" w:color="7F7F7F"/>
              <w:left w:val="nil"/>
              <w:bottom w:val="dotted" w:sz="4" w:space="0" w:color="7F7F7F"/>
              <w:right w:val="nil"/>
            </w:tcBorders>
            <w:vAlign w:val="center"/>
            <w:hideMark/>
          </w:tcPr>
          <w:p w14:paraId="1CDBD9B5" w14:textId="77777777" w:rsidR="00A24733" w:rsidRPr="00A24733" w:rsidRDefault="00A24733" w:rsidP="00A24733">
            <w:pPr>
              <w:jc w:val="both"/>
              <w:rPr>
                <w:rFonts w:ascii="Arial" w:eastAsia="Calibri" w:hAnsi="Arial" w:cs="Arial"/>
                <w:sz w:val="16"/>
                <w:szCs w:val="16"/>
                <w:lang w:val="es-ES_tradnl" w:eastAsia="es-ES"/>
              </w:rPr>
            </w:pPr>
            <w:r w:rsidRPr="00A24733">
              <w:rPr>
                <w:rFonts w:ascii="Arial" w:eastAsia="Calibri" w:hAnsi="Arial" w:cs="Arial"/>
                <w:sz w:val="16"/>
                <w:szCs w:val="16"/>
                <w:lang w:val="es-ES_tradnl" w:eastAsia="es-ES"/>
              </w:rPr>
              <w:t>Alejandro Sarmiento Cantillo</w:t>
            </w:r>
          </w:p>
          <w:p w14:paraId="393BBA10" w14:textId="77777777" w:rsidR="00A24733" w:rsidRPr="00A24733" w:rsidRDefault="00A24733" w:rsidP="00A24733">
            <w:pPr>
              <w:jc w:val="both"/>
              <w:rPr>
                <w:rFonts w:ascii="Arial" w:eastAsia="Calibri" w:hAnsi="Arial" w:cs="Arial"/>
                <w:sz w:val="16"/>
                <w:szCs w:val="16"/>
                <w:lang w:val="es-ES_tradnl" w:eastAsia="es-ES"/>
              </w:rPr>
            </w:pPr>
            <w:r w:rsidRPr="00A24733">
              <w:rPr>
                <w:rFonts w:ascii="Arial" w:eastAsia="Calibri" w:hAnsi="Arial" w:cs="Arial"/>
                <w:sz w:val="16"/>
                <w:szCs w:val="16"/>
                <w:lang w:val="es-ES_tradnl" w:eastAsia="es-ES"/>
              </w:rPr>
              <w:t xml:space="preserve">Gestor T1-15 de la Subdirección de Gestión Contractual   </w:t>
            </w:r>
          </w:p>
        </w:tc>
      </w:tr>
      <w:tr w:rsidR="00A24733" w:rsidRPr="00A24733" w14:paraId="4B4E46DC" w14:textId="77777777" w:rsidTr="00A67182">
        <w:trPr>
          <w:trHeight w:val="290"/>
        </w:trPr>
        <w:tc>
          <w:tcPr>
            <w:tcW w:w="1025" w:type="dxa"/>
            <w:vAlign w:val="center"/>
            <w:hideMark/>
          </w:tcPr>
          <w:p w14:paraId="015AA42E" w14:textId="77777777" w:rsidR="00A24733" w:rsidRPr="00A24733" w:rsidRDefault="00A24733" w:rsidP="00A24733">
            <w:pPr>
              <w:jc w:val="both"/>
              <w:rPr>
                <w:rFonts w:ascii="Arial" w:eastAsia="Calibri" w:hAnsi="Arial" w:cs="Arial"/>
                <w:sz w:val="16"/>
                <w:szCs w:val="16"/>
                <w:lang w:val="es-ES_tradnl" w:eastAsia="es-ES"/>
              </w:rPr>
            </w:pPr>
            <w:r w:rsidRPr="00A24733">
              <w:rPr>
                <w:rFonts w:ascii="Arial" w:eastAsia="Calibri" w:hAnsi="Arial" w:cs="Arial"/>
                <w:sz w:val="16"/>
                <w:szCs w:val="16"/>
                <w:lang w:val="es-ES_tradnl" w:eastAsia="es-ES"/>
              </w:rPr>
              <w:t>Aprobó:</w:t>
            </w:r>
          </w:p>
        </w:tc>
        <w:tc>
          <w:tcPr>
            <w:tcW w:w="5102" w:type="dxa"/>
            <w:tcBorders>
              <w:top w:val="dotted" w:sz="4" w:space="0" w:color="7F7F7F"/>
              <w:left w:val="nil"/>
              <w:bottom w:val="dotted" w:sz="4" w:space="0" w:color="7F7F7F"/>
              <w:right w:val="nil"/>
            </w:tcBorders>
            <w:vAlign w:val="center"/>
            <w:hideMark/>
          </w:tcPr>
          <w:p w14:paraId="0D592D04" w14:textId="77777777" w:rsidR="00A24733" w:rsidRPr="00A24733" w:rsidRDefault="00A24733" w:rsidP="00A24733">
            <w:pPr>
              <w:jc w:val="both"/>
              <w:rPr>
                <w:rFonts w:ascii="Arial" w:eastAsia="Calibri" w:hAnsi="Arial" w:cs="Arial"/>
                <w:sz w:val="16"/>
                <w:szCs w:val="16"/>
                <w:lang w:val="es-ES_tradnl" w:eastAsia="es-ES"/>
              </w:rPr>
            </w:pPr>
            <w:r w:rsidRPr="00A24733">
              <w:rPr>
                <w:rFonts w:ascii="Arial" w:eastAsia="Calibri" w:hAnsi="Arial" w:cs="Arial"/>
                <w:sz w:val="16"/>
                <w:szCs w:val="16"/>
                <w:lang w:val="es-ES_tradnl" w:eastAsia="es-ES"/>
              </w:rPr>
              <w:t xml:space="preserve">Nohelia del Carmen </w:t>
            </w:r>
            <w:proofErr w:type="spellStart"/>
            <w:r w:rsidRPr="00A24733">
              <w:rPr>
                <w:rFonts w:ascii="Arial" w:eastAsia="Calibri" w:hAnsi="Arial" w:cs="Arial"/>
                <w:sz w:val="16"/>
                <w:szCs w:val="16"/>
                <w:lang w:val="es-ES_tradnl" w:eastAsia="es-ES"/>
              </w:rPr>
              <w:t>Zawady</w:t>
            </w:r>
            <w:proofErr w:type="spellEnd"/>
            <w:r w:rsidRPr="00A24733">
              <w:rPr>
                <w:rFonts w:ascii="Arial" w:eastAsia="Calibri" w:hAnsi="Arial" w:cs="Arial"/>
                <w:sz w:val="16"/>
                <w:szCs w:val="16"/>
                <w:lang w:val="es-ES_tradnl" w:eastAsia="es-ES"/>
              </w:rPr>
              <w:t xml:space="preserve"> Palacio</w:t>
            </w:r>
          </w:p>
          <w:p w14:paraId="31209DB0" w14:textId="77777777" w:rsidR="00A24733" w:rsidRPr="00A24733" w:rsidRDefault="00A24733" w:rsidP="00A24733">
            <w:pPr>
              <w:jc w:val="both"/>
              <w:rPr>
                <w:rFonts w:ascii="Arial" w:eastAsia="Calibri" w:hAnsi="Arial" w:cs="Arial"/>
                <w:sz w:val="16"/>
                <w:szCs w:val="16"/>
                <w:lang w:val="es-ES_tradnl" w:eastAsia="es-ES"/>
              </w:rPr>
            </w:pPr>
            <w:r w:rsidRPr="00A24733">
              <w:rPr>
                <w:rFonts w:ascii="Arial" w:eastAsia="Calibri" w:hAnsi="Arial" w:cs="Arial"/>
                <w:sz w:val="16"/>
                <w:szCs w:val="16"/>
                <w:lang w:val="es-ES_tradnl" w:eastAsia="es-ES"/>
              </w:rPr>
              <w:t>Subdirectora de Gestión Contractual ANCP – CCE</w:t>
            </w:r>
          </w:p>
        </w:tc>
      </w:tr>
    </w:tbl>
    <w:p w14:paraId="150146EB" w14:textId="77777777" w:rsidR="00A24733" w:rsidRPr="00A24733" w:rsidRDefault="00A24733" w:rsidP="00A24733">
      <w:pPr>
        <w:spacing w:after="0" w:line="240" w:lineRule="auto"/>
        <w:rPr>
          <w:rFonts w:ascii="Times New Roman" w:eastAsia="Times New Roman" w:hAnsi="Times New Roman" w:cs="Times New Roman"/>
          <w:sz w:val="24"/>
          <w:szCs w:val="24"/>
          <w:lang w:val="es-MX" w:eastAsia="es-ES_tradnl"/>
        </w:rPr>
      </w:pPr>
    </w:p>
    <w:p w14:paraId="6D0A7132" w14:textId="77777777" w:rsidR="00A24733" w:rsidRPr="00A24733" w:rsidRDefault="00A24733" w:rsidP="00A24733">
      <w:pPr>
        <w:spacing w:after="0" w:line="240" w:lineRule="auto"/>
        <w:rPr>
          <w:rFonts w:ascii="Times New Roman" w:eastAsia="Times New Roman" w:hAnsi="Times New Roman" w:cs="Times New Roman"/>
          <w:sz w:val="24"/>
          <w:szCs w:val="24"/>
          <w:lang w:val="es-MX" w:eastAsia="es-ES_tradnl"/>
        </w:rPr>
      </w:pPr>
    </w:p>
    <w:p w14:paraId="44A58479" w14:textId="77777777" w:rsidR="00A24733" w:rsidRPr="00A24733" w:rsidRDefault="00A24733" w:rsidP="00A24733">
      <w:pPr>
        <w:spacing w:after="0" w:line="240" w:lineRule="auto"/>
        <w:jc w:val="both"/>
        <w:rPr>
          <w:rFonts w:ascii="Arial" w:eastAsia="Times New Roman" w:hAnsi="Arial" w:cs="Arial"/>
          <w:sz w:val="24"/>
          <w:szCs w:val="24"/>
          <w:lang w:val="es-MX" w:eastAsia="es-ES_tradnl"/>
        </w:rPr>
      </w:pPr>
    </w:p>
    <w:p w14:paraId="1CD7F2CC" w14:textId="77777777" w:rsidR="00A24733" w:rsidRPr="00A24733" w:rsidRDefault="00A24733" w:rsidP="00A24733">
      <w:pPr>
        <w:spacing w:after="0" w:line="240" w:lineRule="auto"/>
        <w:jc w:val="both"/>
        <w:rPr>
          <w:rFonts w:ascii="Arial" w:eastAsia="Times New Roman" w:hAnsi="Arial" w:cs="Arial"/>
          <w:sz w:val="24"/>
          <w:szCs w:val="24"/>
          <w:lang w:val="es-ES_tradnl" w:eastAsia="es-ES_tradnl"/>
        </w:rPr>
      </w:pPr>
    </w:p>
    <w:p w14:paraId="238A319C" w14:textId="77777777" w:rsidR="00A24733" w:rsidRPr="00A24733" w:rsidRDefault="00A24733" w:rsidP="00A24733">
      <w:pPr>
        <w:spacing w:after="0" w:line="240" w:lineRule="auto"/>
        <w:jc w:val="both"/>
        <w:rPr>
          <w:rFonts w:ascii="Arial" w:eastAsia="Times New Roman" w:hAnsi="Arial" w:cs="Arial"/>
          <w:sz w:val="24"/>
          <w:szCs w:val="24"/>
          <w:lang w:val="es-ES_tradnl" w:eastAsia="es-ES_tradnl"/>
        </w:rPr>
      </w:pPr>
    </w:p>
    <w:p w14:paraId="0F293BF4" w14:textId="0F6FB6C1" w:rsidR="00127233" w:rsidRPr="00A24733" w:rsidRDefault="00127233">
      <w:pPr>
        <w:rPr>
          <w:lang w:val="es-ES_tradnl"/>
        </w:rPr>
      </w:pPr>
    </w:p>
    <w:sectPr w:rsidR="00127233" w:rsidRPr="00A24733" w:rsidSect="0039439C">
      <w:headerReference w:type="default" r:id="rId15"/>
      <w:footerReference w:type="default" r:id="rId16"/>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B7E59" w14:textId="77777777" w:rsidR="003C013B" w:rsidRDefault="003C013B" w:rsidP="004A1847">
      <w:pPr>
        <w:spacing w:after="0" w:line="240" w:lineRule="auto"/>
      </w:pPr>
      <w:r>
        <w:separator/>
      </w:r>
    </w:p>
  </w:endnote>
  <w:endnote w:type="continuationSeparator" w:id="0">
    <w:p w14:paraId="3AF8C99D" w14:textId="77777777" w:rsidR="003C013B" w:rsidRDefault="003C013B" w:rsidP="004A1847">
      <w:pPr>
        <w:spacing w:after="0" w:line="240" w:lineRule="auto"/>
      </w:pPr>
      <w:r>
        <w:continuationSeparator/>
      </w:r>
    </w:p>
  </w:endnote>
  <w:endnote w:type="continuationNotice" w:id="1">
    <w:p w14:paraId="4D12A30C"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Batang">
    <w:altName w:val="바탕"/>
    <w:panose1 w:val="02030600000101010101"/>
    <w:charset w:val="81"/>
    <w:family w:val="roman"/>
    <w:pitch w:val="variable"/>
    <w:sig w:usb0="B00002AF" w:usb1="69D77CFB" w:usb2="00000030" w:usb3="00000000" w:csb0="0008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E6BFD" w14:textId="77777777" w:rsidR="003C013B" w:rsidRDefault="003C013B" w:rsidP="004A1847">
      <w:pPr>
        <w:spacing w:after="0" w:line="240" w:lineRule="auto"/>
      </w:pPr>
      <w:r>
        <w:separator/>
      </w:r>
    </w:p>
  </w:footnote>
  <w:footnote w:type="continuationSeparator" w:id="0">
    <w:p w14:paraId="566109BC" w14:textId="77777777" w:rsidR="003C013B" w:rsidRDefault="003C013B" w:rsidP="004A1847">
      <w:pPr>
        <w:spacing w:after="0" w:line="240" w:lineRule="auto"/>
      </w:pPr>
      <w:r>
        <w:continuationSeparator/>
      </w:r>
    </w:p>
  </w:footnote>
  <w:footnote w:type="continuationNotice" w:id="1">
    <w:p w14:paraId="3DC0833B" w14:textId="77777777" w:rsidR="00DF1E43" w:rsidRDefault="00DF1E43">
      <w:pPr>
        <w:spacing w:after="0" w:line="240" w:lineRule="auto"/>
      </w:pPr>
    </w:p>
  </w:footnote>
  <w:footnote w:id="2">
    <w:p w14:paraId="16BBCF02" w14:textId="77777777" w:rsidR="00A24733" w:rsidRPr="00940A6C" w:rsidRDefault="00A24733" w:rsidP="00A24733">
      <w:pPr>
        <w:pStyle w:val="Textonotapie"/>
        <w:ind w:firstLine="708"/>
        <w:jc w:val="both"/>
        <w:rPr>
          <w:rFonts w:ascii="Arial" w:hAnsi="Arial" w:cs="Arial"/>
          <w:sz w:val="18"/>
          <w:szCs w:val="18"/>
        </w:rPr>
      </w:pPr>
      <w:r w:rsidRPr="00940A6C">
        <w:rPr>
          <w:rStyle w:val="Refdenotaalpie"/>
          <w:rFonts w:ascii="Arial" w:hAnsi="Arial" w:cs="Arial"/>
          <w:sz w:val="18"/>
          <w:szCs w:val="18"/>
        </w:rPr>
        <w:footnoteRef/>
      </w:r>
      <w:r w:rsidRPr="00940A6C">
        <w:rPr>
          <w:rFonts w:ascii="Arial" w:hAnsi="Arial" w:cs="Arial"/>
          <w:sz w:val="18"/>
          <w:szCs w:val="18"/>
        </w:rPr>
        <w:t xml:space="preserve"> </w:t>
      </w:r>
      <w:r>
        <w:rPr>
          <w:rFonts w:ascii="Arial" w:hAnsi="Arial" w:cs="Arial"/>
          <w:sz w:val="18"/>
          <w:szCs w:val="18"/>
        </w:rPr>
        <w:t>“</w:t>
      </w:r>
      <w:r w:rsidRPr="00940A6C">
        <w:rPr>
          <w:rFonts w:ascii="Arial" w:hAnsi="Arial" w:cs="Arial"/>
          <w:sz w:val="18"/>
          <w:szCs w:val="18"/>
        </w:rPr>
        <w:t xml:space="preserve">Artículo 3°. Funciones. La Agencia Nacional de Contratación Pública –Colombia Compra Eficiente– ejercerá las siguientes funciones: </w:t>
      </w:r>
    </w:p>
    <w:p w14:paraId="3E01391F" w14:textId="77777777" w:rsidR="00A24733" w:rsidRPr="00940A6C" w:rsidRDefault="00A24733" w:rsidP="00A24733">
      <w:pPr>
        <w:pStyle w:val="Textonotapie"/>
        <w:ind w:firstLine="709"/>
        <w:jc w:val="both"/>
        <w:rPr>
          <w:rFonts w:ascii="Arial" w:hAnsi="Arial" w:cs="Arial"/>
          <w:sz w:val="18"/>
          <w:szCs w:val="18"/>
          <w:lang w:val="es-ES"/>
        </w:rPr>
      </w:pPr>
      <w:r w:rsidRPr="00940A6C">
        <w:rPr>
          <w:rFonts w:ascii="Arial" w:hAnsi="Arial" w:cs="Arial"/>
          <w:sz w:val="18"/>
          <w:szCs w:val="18"/>
          <w:lang w:val="es-ES"/>
        </w:rPr>
        <w:t xml:space="preserve">[...] </w:t>
      </w:r>
    </w:p>
    <w:p w14:paraId="4FF93958" w14:textId="77777777" w:rsidR="00A24733" w:rsidRPr="00940A6C" w:rsidRDefault="00A24733" w:rsidP="00A24733">
      <w:pPr>
        <w:pStyle w:val="Textonotapie"/>
        <w:ind w:firstLine="709"/>
        <w:jc w:val="both"/>
        <w:rPr>
          <w:rFonts w:ascii="Arial" w:hAnsi="Arial" w:cs="Arial"/>
          <w:sz w:val="18"/>
          <w:szCs w:val="18"/>
          <w:lang w:val="es-ES"/>
        </w:rPr>
      </w:pPr>
      <w:r w:rsidRPr="00940A6C">
        <w:rPr>
          <w:rFonts w:ascii="Arial" w:hAnsi="Arial" w:cs="Arial"/>
          <w:sz w:val="18"/>
          <w:szCs w:val="18"/>
          <w:lang w:val="es-ES"/>
        </w:rPr>
        <w:t>5. Absolver consultas sobre la aplicación de normas de carácter general y expedir circulares externas en materia de compras y contratación pública</w:t>
      </w:r>
      <w:r>
        <w:rPr>
          <w:rFonts w:ascii="Arial" w:hAnsi="Arial" w:cs="Arial"/>
          <w:sz w:val="18"/>
          <w:szCs w:val="18"/>
          <w:lang w:val="es-ES"/>
        </w:rPr>
        <w:t>”</w:t>
      </w:r>
      <w:r w:rsidRPr="00940A6C">
        <w:rPr>
          <w:rFonts w:ascii="Arial" w:hAnsi="Arial" w:cs="Arial"/>
          <w:sz w:val="18"/>
          <w:szCs w:val="18"/>
          <w:lang w:val="es-ES"/>
        </w:rPr>
        <w:t>.</w:t>
      </w:r>
    </w:p>
    <w:p w14:paraId="2719D211" w14:textId="77777777" w:rsidR="00A24733" w:rsidRPr="00940A6C" w:rsidRDefault="00A24733" w:rsidP="00A24733">
      <w:pPr>
        <w:pStyle w:val="Textonotapie"/>
        <w:ind w:firstLine="709"/>
        <w:jc w:val="both"/>
        <w:rPr>
          <w:rFonts w:ascii="Arial" w:hAnsi="Arial" w:cs="Arial"/>
          <w:sz w:val="18"/>
          <w:szCs w:val="18"/>
          <w:lang w:val="es-ES"/>
        </w:rPr>
      </w:pPr>
      <w:r w:rsidRPr="00940A6C">
        <w:rPr>
          <w:rFonts w:ascii="Arial" w:hAnsi="Arial" w:cs="Arial"/>
          <w:sz w:val="18"/>
          <w:szCs w:val="18"/>
          <w:lang w:val="es-ES"/>
        </w:rPr>
        <w:t xml:space="preserve">Artículo 11. Subdirección de Gestión Contractual. Son funciones de la Subdirección de Gestión Contractual las siguientes: </w:t>
      </w:r>
    </w:p>
    <w:p w14:paraId="249C9BA3" w14:textId="77777777" w:rsidR="00A24733" w:rsidRPr="00940A6C" w:rsidRDefault="00A24733" w:rsidP="00A24733">
      <w:pPr>
        <w:pStyle w:val="Textonotapie"/>
        <w:ind w:firstLine="709"/>
        <w:jc w:val="both"/>
        <w:rPr>
          <w:rFonts w:ascii="Arial" w:hAnsi="Arial" w:cs="Arial"/>
          <w:sz w:val="18"/>
          <w:szCs w:val="18"/>
          <w:lang w:val="es-ES"/>
        </w:rPr>
      </w:pPr>
      <w:r w:rsidRPr="00940A6C">
        <w:rPr>
          <w:rFonts w:ascii="Arial" w:hAnsi="Arial" w:cs="Arial"/>
          <w:sz w:val="18"/>
          <w:szCs w:val="18"/>
          <w:lang w:val="es-ES"/>
        </w:rPr>
        <w:t xml:space="preserve">[...] </w:t>
      </w:r>
    </w:p>
    <w:p w14:paraId="270B7E4E" w14:textId="77777777" w:rsidR="00A24733" w:rsidRPr="00940A6C" w:rsidRDefault="00A24733" w:rsidP="00A24733">
      <w:pPr>
        <w:pStyle w:val="Textonotapie"/>
        <w:ind w:firstLine="708"/>
        <w:jc w:val="both"/>
        <w:rPr>
          <w:rFonts w:ascii="Arial" w:hAnsi="Arial" w:cs="Arial"/>
          <w:sz w:val="18"/>
          <w:szCs w:val="18"/>
          <w:lang w:val="es-ES"/>
        </w:rPr>
      </w:pPr>
      <w:r w:rsidRPr="00940A6C">
        <w:rPr>
          <w:rFonts w:ascii="Arial" w:hAnsi="Arial" w:cs="Arial"/>
          <w:sz w:val="18"/>
          <w:szCs w:val="18"/>
          <w:lang w:val="es-ES"/>
        </w:rPr>
        <w:t>8. Absolver consultas sobre la aplicación de normas de carácter general</w:t>
      </w:r>
      <w:r>
        <w:rPr>
          <w:rFonts w:ascii="Arial" w:hAnsi="Arial" w:cs="Arial"/>
          <w:sz w:val="18"/>
          <w:szCs w:val="18"/>
          <w:lang w:val="es-ES"/>
        </w:rPr>
        <w:t>”</w:t>
      </w:r>
      <w:r w:rsidRPr="00940A6C">
        <w:rPr>
          <w:rFonts w:ascii="Arial" w:hAnsi="Arial" w:cs="Arial"/>
          <w:sz w:val="18"/>
          <w:szCs w:val="18"/>
          <w:lang w:val="es-ES"/>
        </w:rPr>
        <w:t>.</w:t>
      </w:r>
    </w:p>
    <w:p w14:paraId="7EF931C0" w14:textId="77777777" w:rsidR="00A24733" w:rsidRPr="00940A6C" w:rsidRDefault="00A24733" w:rsidP="00A24733">
      <w:pPr>
        <w:pStyle w:val="Textonotapie"/>
        <w:ind w:firstLine="708"/>
        <w:jc w:val="both"/>
        <w:rPr>
          <w:rFonts w:ascii="Arial" w:hAnsi="Arial" w:cs="Arial"/>
          <w:sz w:val="18"/>
          <w:szCs w:val="18"/>
        </w:rPr>
      </w:pPr>
    </w:p>
  </w:footnote>
  <w:footnote w:id="3">
    <w:p w14:paraId="38F69487" w14:textId="77777777" w:rsidR="00A24733" w:rsidRPr="00A24733" w:rsidRDefault="00A24733" w:rsidP="00A24733">
      <w:pPr>
        <w:pStyle w:val="Textonotapie"/>
        <w:ind w:firstLine="709"/>
        <w:jc w:val="both"/>
        <w:rPr>
          <w:rFonts w:ascii="Arial" w:hAnsi="Arial" w:cs="Arial"/>
          <w:color w:val="000000"/>
          <w:sz w:val="19"/>
          <w:szCs w:val="19"/>
        </w:rPr>
      </w:pPr>
      <w:r w:rsidRPr="00A24733">
        <w:rPr>
          <w:rStyle w:val="Refdenotaalpie"/>
          <w:rFonts w:ascii="Arial" w:hAnsi="Arial" w:cs="Arial"/>
          <w:color w:val="000000"/>
          <w:sz w:val="19"/>
          <w:szCs w:val="19"/>
        </w:rPr>
        <w:footnoteRef/>
      </w:r>
      <w:r w:rsidRPr="00A24733">
        <w:rPr>
          <w:rFonts w:ascii="Arial" w:hAnsi="Arial" w:cs="Arial"/>
          <w:color w:val="000000"/>
          <w:sz w:val="19"/>
          <w:szCs w:val="19"/>
        </w:rPr>
        <w:t xml:space="preserve"> 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w:t>
      </w:r>
      <w:proofErr w:type="spellStart"/>
      <w:r w:rsidRPr="00A24733">
        <w:rPr>
          <w:rFonts w:ascii="Arial" w:hAnsi="Arial" w:cs="Arial"/>
          <w:color w:val="000000"/>
          <w:sz w:val="19"/>
          <w:szCs w:val="19"/>
        </w:rPr>
        <w:t>Exp</w:t>
      </w:r>
      <w:proofErr w:type="spellEnd"/>
      <w:r w:rsidRPr="00A24733">
        <w:rPr>
          <w:rFonts w:ascii="Arial" w:hAnsi="Arial" w:cs="Arial"/>
          <w:color w:val="000000"/>
          <w:sz w:val="19"/>
          <w:szCs w:val="19"/>
        </w:rPr>
        <w:t>. 26.140. C.P. Carlos Alberto Zambrano Barrera).</w:t>
      </w:r>
    </w:p>
    <w:p w14:paraId="66ACC998" w14:textId="77777777" w:rsidR="00A24733" w:rsidRPr="00A24733" w:rsidRDefault="00A24733" w:rsidP="00A24733">
      <w:pPr>
        <w:pStyle w:val="Textonotapie"/>
        <w:ind w:firstLine="709"/>
        <w:jc w:val="both"/>
        <w:rPr>
          <w:rFonts w:ascii="Arial" w:hAnsi="Arial" w:cs="Arial"/>
          <w:color w:val="000000"/>
          <w:sz w:val="19"/>
          <w:szCs w:val="19"/>
        </w:rPr>
      </w:pPr>
    </w:p>
  </w:footnote>
  <w:footnote w:id="4">
    <w:p w14:paraId="0DBEC229" w14:textId="77777777" w:rsidR="00A24733" w:rsidRPr="00A24733" w:rsidRDefault="00A24733" w:rsidP="00A24733">
      <w:pPr>
        <w:pStyle w:val="Textonotapie"/>
        <w:ind w:firstLine="709"/>
        <w:jc w:val="both"/>
        <w:rPr>
          <w:rFonts w:ascii="Arial" w:hAnsi="Arial" w:cs="Arial"/>
          <w:color w:val="000000"/>
          <w:sz w:val="19"/>
          <w:szCs w:val="19"/>
        </w:rPr>
      </w:pPr>
      <w:r w:rsidRPr="00A24733">
        <w:rPr>
          <w:rStyle w:val="Refdenotaalpie"/>
          <w:rFonts w:ascii="Arial" w:hAnsi="Arial" w:cs="Arial"/>
          <w:color w:val="000000"/>
          <w:sz w:val="19"/>
          <w:szCs w:val="19"/>
        </w:rPr>
        <w:footnoteRef/>
      </w:r>
      <w:r w:rsidRPr="00A24733">
        <w:rPr>
          <w:rFonts w:ascii="Arial" w:hAnsi="Arial" w:cs="Arial"/>
          <w:color w:val="000000"/>
          <w:sz w:val="19"/>
          <w:szCs w:val="19"/>
        </w:rPr>
        <w:t xml:space="preserve"> Ambas normas disponen lo siguiente: “5) Contratación mínima cuantía. La contratación cuyo valor no excede del 10 por ciento de la menor cuantía de la entidad independientemente de su objeto, se efectuará de conformidad con las siguientes reglas:</w:t>
      </w:r>
    </w:p>
    <w:p w14:paraId="6A2B4E9F" w14:textId="77777777" w:rsidR="00A24733" w:rsidRPr="00A24733" w:rsidRDefault="00A24733" w:rsidP="00A24733">
      <w:pPr>
        <w:pStyle w:val="Textonotapie"/>
        <w:ind w:firstLine="709"/>
        <w:jc w:val="both"/>
        <w:rPr>
          <w:rFonts w:ascii="Arial" w:hAnsi="Arial" w:cs="Arial"/>
          <w:color w:val="000000"/>
          <w:sz w:val="19"/>
          <w:szCs w:val="19"/>
        </w:rPr>
      </w:pPr>
      <w:r w:rsidRPr="00A24733">
        <w:rPr>
          <w:rFonts w:ascii="Arial" w:hAnsi="Arial" w:cs="Arial"/>
          <w:color w:val="000000"/>
          <w:sz w:val="19"/>
          <w:szCs w:val="19"/>
        </w:rPr>
        <w:t>a) Se publicará una invitación, por un término no inferior a un día hábil, en la cual se señalará el objeto a contratar, el presupuesto destinado para tal fin, así como las condiciones técnicas exigidas;</w:t>
      </w:r>
    </w:p>
    <w:p w14:paraId="1A741EA7" w14:textId="77777777" w:rsidR="00A24733" w:rsidRPr="00A24733" w:rsidRDefault="00A24733" w:rsidP="00A24733">
      <w:pPr>
        <w:pStyle w:val="Textonotapie"/>
        <w:ind w:firstLine="709"/>
        <w:jc w:val="both"/>
        <w:rPr>
          <w:rFonts w:ascii="Arial" w:hAnsi="Arial" w:cs="Arial"/>
          <w:color w:val="000000"/>
          <w:sz w:val="19"/>
          <w:szCs w:val="19"/>
        </w:rPr>
      </w:pPr>
      <w:r w:rsidRPr="00A24733">
        <w:rPr>
          <w:rFonts w:ascii="Arial" w:hAnsi="Arial" w:cs="Arial"/>
          <w:color w:val="000000"/>
          <w:sz w:val="19"/>
          <w:szCs w:val="19"/>
        </w:rPr>
        <w:t>b) El término previsto en la invitación para presentar la oferta no podrá ser inferior a un día hábil;</w:t>
      </w:r>
    </w:p>
    <w:p w14:paraId="73C8ADED" w14:textId="77777777" w:rsidR="00A24733" w:rsidRPr="00A24733" w:rsidRDefault="00A24733" w:rsidP="00A24733">
      <w:pPr>
        <w:pStyle w:val="Textonotapie"/>
        <w:ind w:firstLine="709"/>
        <w:jc w:val="both"/>
        <w:rPr>
          <w:rFonts w:ascii="Arial" w:hAnsi="Arial" w:cs="Arial"/>
          <w:color w:val="000000"/>
          <w:sz w:val="19"/>
          <w:szCs w:val="19"/>
        </w:rPr>
      </w:pPr>
      <w:r w:rsidRPr="00A24733">
        <w:rPr>
          <w:rFonts w:ascii="Arial" w:hAnsi="Arial" w:cs="Arial"/>
          <w:color w:val="000000"/>
          <w:sz w:val="19"/>
          <w:szCs w:val="19"/>
        </w:rPr>
        <w:t>c) La entidad seleccionará, mediante comunicación de aceptación de la oferta, la propuesta con el menor precio, siempre y cuando cumpla con las condiciones exigidas;</w:t>
      </w:r>
    </w:p>
    <w:p w14:paraId="74C56550" w14:textId="77777777" w:rsidR="00A24733" w:rsidRPr="00A24733" w:rsidRDefault="00A24733" w:rsidP="00A24733">
      <w:pPr>
        <w:pStyle w:val="Textonotapie"/>
        <w:ind w:firstLine="709"/>
        <w:jc w:val="both"/>
        <w:rPr>
          <w:rFonts w:ascii="Arial" w:hAnsi="Arial" w:cs="Arial"/>
          <w:color w:val="000000"/>
          <w:sz w:val="19"/>
          <w:szCs w:val="19"/>
          <w:lang w:val="es-ES"/>
        </w:rPr>
      </w:pPr>
      <w:r w:rsidRPr="00A24733">
        <w:rPr>
          <w:rFonts w:ascii="Arial" w:hAnsi="Arial" w:cs="Arial"/>
          <w:color w:val="000000"/>
          <w:sz w:val="19"/>
          <w:szCs w:val="19"/>
        </w:rPr>
        <w:t>d) La comunicación de aceptación junto con la oferta constituye para todos los efectos el contrato celebrado, con base en lo cual se efectuará el respectivo registro presupuestal”.</w:t>
      </w:r>
    </w:p>
  </w:footnote>
  <w:footnote w:id="5">
    <w:p w14:paraId="53CCB6F5" w14:textId="77777777" w:rsidR="00A24733" w:rsidRDefault="00A24733" w:rsidP="00A2473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p>
  </w:footnote>
  <w:footnote w:id="6">
    <w:p w14:paraId="6F93A972" w14:textId="77777777" w:rsidR="00A24733" w:rsidRPr="00A24733" w:rsidRDefault="00A24733" w:rsidP="00A24733">
      <w:pPr>
        <w:pStyle w:val="Textonotapie"/>
        <w:ind w:firstLine="709"/>
        <w:jc w:val="both"/>
        <w:rPr>
          <w:rFonts w:ascii="Arial" w:hAnsi="Arial" w:cs="Arial"/>
          <w:color w:val="000000"/>
          <w:sz w:val="19"/>
          <w:szCs w:val="19"/>
          <w:lang w:val="es-ES_tradnl"/>
        </w:rPr>
      </w:pPr>
      <w:r w:rsidRPr="00A24733">
        <w:rPr>
          <w:rStyle w:val="Refdenotaalpie"/>
          <w:rFonts w:ascii="Arial" w:hAnsi="Arial" w:cs="Arial"/>
          <w:color w:val="000000"/>
          <w:sz w:val="19"/>
          <w:szCs w:val="19"/>
          <w:lang w:val="es-ES_tradnl"/>
        </w:rPr>
        <w:footnoteRef/>
      </w:r>
      <w:r w:rsidRPr="00A24733">
        <w:rPr>
          <w:rFonts w:ascii="Arial" w:hAnsi="Arial" w:cs="Arial"/>
          <w:color w:val="000000"/>
          <w:sz w:val="19"/>
          <w:szCs w:val="19"/>
          <w:lang w:val="es-ES_tradnl"/>
        </w:rPr>
        <w:t xml:space="preserve"> Esto lo ratifica el artículo 2.2.1.2.1.5.2. del Decreto 1082 de 2015.</w:t>
      </w:r>
    </w:p>
    <w:p w14:paraId="0ED86F75" w14:textId="77777777" w:rsidR="00A24733" w:rsidRPr="00A24733" w:rsidRDefault="00A24733" w:rsidP="00A24733">
      <w:pPr>
        <w:pStyle w:val="Textonotapie"/>
        <w:ind w:firstLine="709"/>
        <w:jc w:val="both"/>
        <w:rPr>
          <w:rFonts w:ascii="Arial" w:hAnsi="Arial" w:cs="Arial"/>
          <w:color w:val="000000"/>
          <w:sz w:val="19"/>
          <w:szCs w:val="19"/>
          <w:lang w:val="es-ES_tradnl"/>
        </w:rPr>
      </w:pPr>
    </w:p>
  </w:footnote>
  <w:footnote w:id="7">
    <w:p w14:paraId="2038847E" w14:textId="77777777" w:rsidR="00A24733" w:rsidRPr="00A24733" w:rsidRDefault="00A24733" w:rsidP="00A24733">
      <w:pPr>
        <w:pStyle w:val="Textonotapie"/>
        <w:ind w:firstLine="709"/>
        <w:jc w:val="both"/>
        <w:rPr>
          <w:rFonts w:ascii="Arial" w:hAnsi="Arial" w:cs="Arial"/>
          <w:color w:val="000000"/>
          <w:sz w:val="19"/>
          <w:szCs w:val="19"/>
          <w:lang w:val="es-ES_tradnl"/>
        </w:rPr>
      </w:pPr>
      <w:r w:rsidRPr="00A24733">
        <w:rPr>
          <w:rStyle w:val="Refdenotaalpie"/>
          <w:rFonts w:ascii="Arial" w:hAnsi="Arial" w:cs="Arial"/>
          <w:color w:val="000000"/>
          <w:sz w:val="19"/>
          <w:szCs w:val="19"/>
          <w:lang w:val="es-ES_tradnl"/>
        </w:rPr>
        <w:footnoteRef/>
      </w:r>
      <w:r w:rsidRPr="00A24733">
        <w:rPr>
          <w:rFonts w:ascii="Arial" w:hAnsi="Arial" w:cs="Arial"/>
          <w:color w:val="000000"/>
          <w:sz w:val="19"/>
          <w:szCs w:val="19"/>
          <w:lang w:val="es-ES_tradnl"/>
        </w:rPr>
        <w:t xml:space="preserve"> DÁVILA VINUEZA, Luis Guillermo. Régimen jurídico de la contratación estatal. 3ª ed. Bogotá: Legis, 2016. p. 463.</w:t>
      </w:r>
    </w:p>
    <w:p w14:paraId="333F96F6" w14:textId="77777777" w:rsidR="00A24733" w:rsidRPr="00A24733" w:rsidRDefault="00A24733" w:rsidP="00A24733">
      <w:pPr>
        <w:pStyle w:val="Textonotapie"/>
        <w:ind w:firstLine="709"/>
        <w:jc w:val="both"/>
        <w:rPr>
          <w:rFonts w:ascii="Arial" w:hAnsi="Arial" w:cs="Arial"/>
          <w:color w:val="000000"/>
          <w:sz w:val="19"/>
          <w:szCs w:val="19"/>
          <w:lang w:val="es-ES_tradnl"/>
        </w:rPr>
      </w:pPr>
    </w:p>
  </w:footnote>
  <w:footnote w:id="8">
    <w:p w14:paraId="298F3642" w14:textId="77777777" w:rsidR="00A24733" w:rsidRPr="00A24733" w:rsidRDefault="00A24733" w:rsidP="00A24733">
      <w:pPr>
        <w:pStyle w:val="Textonotapie"/>
        <w:ind w:firstLine="709"/>
        <w:jc w:val="both"/>
        <w:rPr>
          <w:rFonts w:ascii="Arial" w:hAnsi="Arial" w:cs="Arial"/>
          <w:color w:val="000000"/>
          <w:sz w:val="19"/>
          <w:szCs w:val="19"/>
          <w:lang w:val="es-ES_tradnl"/>
        </w:rPr>
      </w:pPr>
      <w:r w:rsidRPr="00A24733">
        <w:rPr>
          <w:rStyle w:val="Refdenotaalpie"/>
          <w:rFonts w:ascii="Arial" w:hAnsi="Arial" w:cs="Arial"/>
          <w:color w:val="000000"/>
          <w:sz w:val="19"/>
          <w:szCs w:val="19"/>
          <w:lang w:val="es-ES_tradnl"/>
        </w:rPr>
        <w:footnoteRef/>
      </w:r>
      <w:r w:rsidRPr="00A24733">
        <w:rPr>
          <w:rFonts w:ascii="Arial" w:hAnsi="Arial" w:cs="Arial"/>
          <w:color w:val="000000"/>
          <w:sz w:val="19"/>
          <w:szCs w:val="19"/>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7621421D" w14:textId="77777777" w:rsidR="00A24733" w:rsidRPr="00A24733" w:rsidRDefault="00A24733" w:rsidP="00A24733">
      <w:pPr>
        <w:pStyle w:val="Textonotapie"/>
        <w:ind w:firstLine="709"/>
        <w:jc w:val="both"/>
        <w:rPr>
          <w:rFonts w:ascii="Arial" w:hAnsi="Arial" w:cs="Arial"/>
          <w:color w:val="000000"/>
          <w:sz w:val="19"/>
          <w:szCs w:val="19"/>
          <w:lang w:val="es-ES_tradnl"/>
        </w:rPr>
      </w:pPr>
      <w:r w:rsidRPr="00A24733">
        <w:rPr>
          <w:rFonts w:ascii="Arial" w:hAnsi="Arial" w:cs="Arial"/>
          <w:color w:val="000000"/>
          <w:sz w:val="19"/>
          <w:szCs w:val="19"/>
          <w:lang w:val="es-ES_tradnl"/>
        </w:rPr>
        <w:t>Para las entidades que tengan un presupuesto anual superior o igual a 1.200.000 salarios mínimos legales mensuales, la menor cuantía será hasta 1.000 salarios mínimos legales mensuales.</w:t>
      </w:r>
    </w:p>
    <w:p w14:paraId="74F23EF4" w14:textId="77777777" w:rsidR="00A24733" w:rsidRPr="00A24733" w:rsidRDefault="00A24733" w:rsidP="00A24733">
      <w:pPr>
        <w:pStyle w:val="Textonotapie"/>
        <w:ind w:firstLine="709"/>
        <w:jc w:val="both"/>
        <w:rPr>
          <w:rFonts w:ascii="Arial" w:hAnsi="Arial" w:cs="Arial"/>
          <w:color w:val="000000"/>
          <w:sz w:val="19"/>
          <w:szCs w:val="19"/>
          <w:lang w:val="es-ES_tradnl"/>
        </w:rPr>
      </w:pPr>
      <w:r w:rsidRPr="00A24733">
        <w:rPr>
          <w:rFonts w:ascii="Arial" w:hAnsi="Arial" w:cs="Arial"/>
          <w:color w:val="000000"/>
          <w:sz w:val="19"/>
          <w:szCs w:val="19"/>
          <w:lang w:val="es-ES_tradnl"/>
        </w:rPr>
        <w:t>Las que tengan un presupuesto anual superior o igual a 850.000 salarios mínimos legales mensuales e inferiores a 1.200.000 salarios mínimos legales mensuales, la menor cuantía será hasta 850 salarios mínimos legales mensuales.</w:t>
      </w:r>
    </w:p>
    <w:p w14:paraId="0C66108D" w14:textId="77777777" w:rsidR="00A24733" w:rsidRPr="00A24733" w:rsidRDefault="00A24733" w:rsidP="00A24733">
      <w:pPr>
        <w:pStyle w:val="Textonotapie"/>
        <w:ind w:firstLine="709"/>
        <w:jc w:val="both"/>
        <w:rPr>
          <w:rFonts w:ascii="Arial" w:hAnsi="Arial" w:cs="Arial"/>
          <w:color w:val="000000"/>
          <w:sz w:val="19"/>
          <w:szCs w:val="19"/>
          <w:lang w:val="es-ES_tradnl"/>
        </w:rPr>
      </w:pPr>
      <w:r w:rsidRPr="00A24733">
        <w:rPr>
          <w:rFonts w:ascii="Arial" w:hAnsi="Arial" w:cs="Arial"/>
          <w:color w:val="000000"/>
          <w:sz w:val="19"/>
          <w:szCs w:val="19"/>
          <w:lang w:val="es-ES_tradnl"/>
        </w:rPr>
        <w:t>Las que tengan un presupuesto anual superior o igual a 400.000 salarios mínimos legales mensuales e inferior a 850.000 salarios mínimos legales mensuales, la menor cuantía será hasta 650 salarios mínimos legales mensuales.</w:t>
      </w:r>
    </w:p>
    <w:p w14:paraId="4295B914" w14:textId="77777777" w:rsidR="00A24733" w:rsidRPr="00A24733" w:rsidRDefault="00A24733" w:rsidP="00A24733">
      <w:pPr>
        <w:pStyle w:val="Textonotapie"/>
        <w:ind w:firstLine="709"/>
        <w:jc w:val="both"/>
        <w:rPr>
          <w:rFonts w:ascii="Arial" w:hAnsi="Arial" w:cs="Arial"/>
          <w:color w:val="000000"/>
          <w:sz w:val="19"/>
          <w:szCs w:val="19"/>
          <w:lang w:val="es-ES_tradnl"/>
        </w:rPr>
      </w:pPr>
      <w:r w:rsidRPr="00A24733">
        <w:rPr>
          <w:rFonts w:ascii="Arial" w:hAnsi="Arial" w:cs="Arial"/>
          <w:color w:val="000000"/>
          <w:sz w:val="19"/>
          <w:szCs w:val="19"/>
          <w:lang w:val="es-ES_tradnl"/>
        </w:rPr>
        <w:t>Las que tengan un presupuesto anual superior o igual a 120.000 salarios mínimos legales mensuales e inferior a 400.000 salarios mínimos legales mensuales, la menor cuantía será hasta 450 salarios mínimos legales mensuales.</w:t>
      </w:r>
    </w:p>
    <w:p w14:paraId="04EA1587" w14:textId="77777777" w:rsidR="00A24733" w:rsidRPr="00A24733" w:rsidRDefault="00A24733" w:rsidP="00A24733">
      <w:pPr>
        <w:pStyle w:val="Textonotapie"/>
        <w:ind w:firstLine="709"/>
        <w:jc w:val="both"/>
        <w:rPr>
          <w:rFonts w:ascii="Arial" w:hAnsi="Arial" w:cs="Arial"/>
          <w:color w:val="000000"/>
          <w:sz w:val="19"/>
          <w:szCs w:val="19"/>
          <w:lang w:val="es-ES_tradnl"/>
        </w:rPr>
      </w:pPr>
      <w:r w:rsidRPr="00A24733">
        <w:rPr>
          <w:rFonts w:ascii="Arial" w:hAnsi="Arial" w:cs="Arial"/>
          <w:color w:val="000000"/>
          <w:sz w:val="19"/>
          <w:szCs w:val="19"/>
          <w:lang w:val="es-ES_tradnl"/>
        </w:rPr>
        <w:t>Las que tengan un presupuesto anual inferior a 120.000 salarios mínimos legales mensuales, la menor cuantía será hasta 280 salarios mínimos legales mensuales”.</w:t>
      </w:r>
    </w:p>
  </w:footnote>
  <w:footnote w:id="9">
    <w:p w14:paraId="234886AE" w14:textId="77777777" w:rsidR="00A24733" w:rsidRPr="009E479B" w:rsidRDefault="00A24733" w:rsidP="00A24733">
      <w:pPr>
        <w:pStyle w:val="Textonotapie"/>
        <w:ind w:firstLine="709"/>
        <w:jc w:val="both"/>
        <w:rPr>
          <w:rFonts w:ascii="Arial" w:hAnsi="Arial" w:cs="Arial"/>
          <w:sz w:val="19"/>
          <w:szCs w:val="19"/>
        </w:rPr>
      </w:pPr>
      <w:r>
        <w:rPr>
          <w:rStyle w:val="Refdenotaalpie"/>
        </w:rPr>
        <w:footnoteRef/>
      </w:r>
      <w:r>
        <w:t xml:space="preserve"> </w:t>
      </w:r>
      <w:r w:rsidRPr="00A24733">
        <w:rPr>
          <w:rFonts w:ascii="Arial" w:hAnsi="Arial" w:cs="Arial"/>
          <w:color w:val="000000"/>
          <w:sz w:val="19"/>
          <w:szCs w:val="19"/>
          <w:lang w:val="es-ES_tradnl"/>
        </w:rPr>
        <w:t>“</w:t>
      </w:r>
      <w:r>
        <w:rPr>
          <w:rFonts w:ascii="Arial" w:hAnsi="Arial" w:cs="Arial"/>
          <w:sz w:val="19"/>
          <w:szCs w:val="19"/>
        </w:rPr>
        <w:t>A</w:t>
      </w:r>
      <w:r w:rsidRPr="009E479B">
        <w:rPr>
          <w:rFonts w:ascii="Arial" w:hAnsi="Arial" w:cs="Arial"/>
          <w:sz w:val="19"/>
          <w:szCs w:val="19"/>
        </w:rPr>
        <w:t xml:space="preserve">rtículo 6. </w:t>
      </w:r>
      <w:r>
        <w:rPr>
          <w:rFonts w:ascii="Arial" w:hAnsi="Arial" w:cs="Arial"/>
          <w:sz w:val="19"/>
          <w:szCs w:val="19"/>
        </w:rPr>
        <w:t>D</w:t>
      </w:r>
      <w:r w:rsidRPr="009E479B">
        <w:rPr>
          <w:rFonts w:ascii="Arial" w:hAnsi="Arial" w:cs="Arial"/>
          <w:sz w:val="19"/>
          <w:szCs w:val="19"/>
        </w:rPr>
        <w:t>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0638240" w14:textId="77777777" w:rsidR="00A24733" w:rsidRPr="004A73E3" w:rsidRDefault="00A24733" w:rsidP="00A24733">
      <w:pPr>
        <w:pStyle w:val="Textonotapie"/>
        <w:ind w:firstLine="709"/>
        <w:jc w:val="both"/>
        <w:rPr>
          <w:lang w:val="es-CO"/>
        </w:rPr>
      </w:pPr>
      <w:r w:rsidRPr="009E479B">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A24733">
        <w:rPr>
          <w:rFonts w:ascii="Arial" w:hAnsi="Arial" w:cs="Arial"/>
          <w:color w:val="000000"/>
          <w:sz w:val="19"/>
          <w:szCs w:val="19"/>
          <w:lang w:val="es-ES_tradnl"/>
        </w:rPr>
        <w:t xml:space="preserve"> […]”</w:t>
      </w:r>
    </w:p>
  </w:footnote>
  <w:footnote w:id="10">
    <w:p w14:paraId="74889E33" w14:textId="77777777" w:rsidR="00A24733" w:rsidRPr="001C72E7" w:rsidRDefault="00A24733" w:rsidP="00A24733">
      <w:pPr>
        <w:pStyle w:val="Textonotapie"/>
        <w:ind w:firstLine="708"/>
        <w:jc w:val="both"/>
        <w:rPr>
          <w:rFonts w:ascii="Arial" w:hAnsi="Arial" w:cs="Arial"/>
          <w:sz w:val="19"/>
          <w:szCs w:val="19"/>
        </w:rPr>
      </w:pPr>
      <w:r w:rsidRPr="001C72E7">
        <w:rPr>
          <w:rStyle w:val="Refdenotaalpie"/>
          <w:rFonts w:ascii="Arial" w:hAnsi="Arial" w:cs="Arial"/>
          <w:sz w:val="19"/>
          <w:szCs w:val="19"/>
        </w:rPr>
        <w:footnoteRef/>
      </w:r>
      <w:r w:rsidRPr="001C72E7">
        <w:rPr>
          <w:rFonts w:ascii="Arial" w:hAnsi="Arial" w:cs="Arial"/>
          <w:sz w:val="19"/>
          <w:szCs w:val="19"/>
        </w:rPr>
        <w:t xml:space="preserve"> </w:t>
      </w:r>
      <w:r>
        <w:rPr>
          <w:rFonts w:ascii="Arial" w:hAnsi="Arial" w:cs="Arial"/>
          <w:sz w:val="19"/>
          <w:szCs w:val="19"/>
        </w:rPr>
        <w:t>“</w:t>
      </w:r>
      <w:r w:rsidRPr="001C72E7">
        <w:rPr>
          <w:rFonts w:ascii="Arial" w:hAnsi="Arial" w:cs="Arial"/>
          <w:sz w:val="19"/>
          <w:szCs w:val="19"/>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Pr>
          <w:rFonts w:ascii="Arial" w:hAnsi="Arial" w:cs="Arial"/>
          <w:sz w:val="19"/>
          <w:szCs w:val="19"/>
        </w:rPr>
        <w:t>”</w:t>
      </w:r>
      <w:r w:rsidRPr="001C72E7">
        <w:rPr>
          <w:rFonts w:ascii="Arial" w:hAnsi="Arial" w:cs="Arial"/>
          <w:sz w:val="19"/>
          <w:szCs w:val="19"/>
        </w:rPr>
        <w:t>.</w:t>
      </w:r>
    </w:p>
    <w:p w14:paraId="3829F946" w14:textId="77777777" w:rsidR="00A24733" w:rsidRPr="001C72E7" w:rsidRDefault="00A24733" w:rsidP="00A24733">
      <w:pPr>
        <w:pStyle w:val="Textonotapie"/>
        <w:ind w:firstLine="708"/>
        <w:jc w:val="both"/>
        <w:rPr>
          <w:rFonts w:ascii="Arial" w:hAnsi="Arial" w:cs="Arial"/>
          <w:sz w:val="19"/>
          <w:szCs w:val="19"/>
        </w:rPr>
      </w:pPr>
    </w:p>
  </w:footnote>
  <w:footnote w:id="11">
    <w:p w14:paraId="3D4CB7E4" w14:textId="77777777" w:rsidR="00A24733" w:rsidRPr="00A24733" w:rsidRDefault="00A24733" w:rsidP="00A24733">
      <w:pPr>
        <w:pStyle w:val="Textonotapie"/>
        <w:ind w:firstLine="709"/>
        <w:jc w:val="both"/>
        <w:rPr>
          <w:rFonts w:ascii="Arial" w:hAnsi="Arial" w:cs="Arial"/>
          <w:color w:val="000000"/>
          <w:sz w:val="19"/>
          <w:szCs w:val="19"/>
          <w:lang w:val="es-ES_tradnl"/>
        </w:rPr>
      </w:pPr>
      <w:r w:rsidRPr="00A24733">
        <w:rPr>
          <w:rStyle w:val="Refdenotaalpie"/>
          <w:rFonts w:ascii="Arial" w:hAnsi="Arial" w:cs="Arial"/>
          <w:color w:val="000000"/>
          <w:sz w:val="19"/>
          <w:szCs w:val="19"/>
          <w:lang w:val="es-ES_tradnl"/>
        </w:rPr>
        <w:footnoteRef/>
      </w:r>
      <w:r w:rsidRPr="00A24733">
        <w:rPr>
          <w:rFonts w:ascii="Arial" w:hAnsi="Arial" w:cs="Arial"/>
          <w:color w:val="000000"/>
          <w:sz w:val="19"/>
          <w:szCs w:val="19"/>
          <w:lang w:val="es-ES_tradnl"/>
        </w:rPr>
        <w:t xml:space="preserve"> Como lo indica la doctrina, en la mínima cuantía “El precio es el factor de selección del proponente. Es decir, la </w:t>
      </w:r>
      <w:r w:rsidRPr="00A24733">
        <w:rPr>
          <w:rFonts w:ascii="Arial" w:hAnsi="Arial" w:cs="Arial"/>
          <w:i/>
          <w:iCs/>
          <w:color w:val="000000"/>
          <w:sz w:val="19"/>
          <w:szCs w:val="19"/>
          <w:lang w:val="es-ES_tradnl"/>
        </w:rPr>
        <w:t>entidad estatal</w:t>
      </w:r>
      <w:r w:rsidRPr="00A24733">
        <w:rPr>
          <w:rFonts w:ascii="Arial" w:hAnsi="Arial" w:cs="Arial"/>
          <w:color w:val="000000"/>
          <w:sz w:val="19"/>
          <w:szCs w:val="19"/>
          <w:lang w:val="es-ES_tradnl"/>
        </w:rPr>
        <w:t xml:space="preserve"> debe adjudicar el </w:t>
      </w:r>
      <w:r w:rsidRPr="00A24733">
        <w:rPr>
          <w:rFonts w:ascii="Arial" w:hAnsi="Arial" w:cs="Arial"/>
          <w:i/>
          <w:iCs/>
          <w:color w:val="000000"/>
          <w:sz w:val="19"/>
          <w:szCs w:val="19"/>
          <w:lang w:val="es-ES_tradnl"/>
        </w:rPr>
        <w:t>proceso de contratación</w:t>
      </w:r>
      <w:r w:rsidRPr="00A24733">
        <w:rPr>
          <w:rFonts w:ascii="Arial" w:hAnsi="Arial" w:cs="Arial"/>
          <w:color w:val="000000"/>
          <w:sz w:val="19"/>
          <w:szCs w:val="19"/>
          <w:lang w:val="es-ES_tradnl"/>
        </w:rPr>
        <w:t xml:space="preserve"> al oferente que cumpla con todas las condiciones exigidas por la </w:t>
      </w:r>
      <w:r w:rsidRPr="00A24733">
        <w:rPr>
          <w:rFonts w:ascii="Arial" w:hAnsi="Arial" w:cs="Arial"/>
          <w:i/>
          <w:iCs/>
          <w:color w:val="000000"/>
          <w:sz w:val="19"/>
          <w:szCs w:val="19"/>
          <w:lang w:val="es-ES_tradnl"/>
        </w:rPr>
        <w:t>entidad estatal</w:t>
      </w:r>
      <w:r w:rsidRPr="00A24733">
        <w:rPr>
          <w:rFonts w:ascii="Arial" w:hAnsi="Arial" w:cs="Arial"/>
          <w:color w:val="000000"/>
          <w:sz w:val="19"/>
          <w:szCs w:val="19"/>
          <w:lang w:val="es-ES_tradnl"/>
        </w:rPr>
        <w:t xml:space="preserve"> en los </w:t>
      </w:r>
      <w:r w:rsidRPr="00A24733">
        <w:rPr>
          <w:rFonts w:ascii="Arial" w:hAnsi="Arial" w:cs="Arial"/>
          <w:i/>
          <w:iCs/>
          <w:color w:val="000000"/>
          <w:sz w:val="19"/>
          <w:szCs w:val="19"/>
          <w:lang w:val="es-ES_tradnl"/>
        </w:rPr>
        <w:t>documentos del proceso</w:t>
      </w:r>
      <w:r w:rsidRPr="00A24733">
        <w:rPr>
          <w:rFonts w:ascii="Arial" w:hAnsi="Arial" w:cs="Arial"/>
          <w:color w:val="000000"/>
          <w:sz w:val="19"/>
          <w:szCs w:val="19"/>
          <w:lang w:val="es-ES_tradnl"/>
        </w:rPr>
        <w:t xml:space="preserve"> (estudios previos e invitación a participar), y que ofrezca el menor valor. No hay lugar a puntajes para evaluar las ofertas sobre las características del objeto a contratar, su calidad o condiciones” (DÁVILA, </w:t>
      </w:r>
      <w:proofErr w:type="spellStart"/>
      <w:r w:rsidRPr="00A24733">
        <w:rPr>
          <w:rFonts w:ascii="Arial" w:hAnsi="Arial" w:cs="Arial"/>
          <w:color w:val="000000"/>
          <w:sz w:val="19"/>
          <w:szCs w:val="19"/>
          <w:lang w:val="es-ES_tradnl"/>
        </w:rPr>
        <w:t>Op.cit</w:t>
      </w:r>
      <w:proofErr w:type="spellEnd"/>
      <w:r w:rsidRPr="00A24733">
        <w:rPr>
          <w:rFonts w:ascii="Arial" w:hAnsi="Arial" w:cs="Arial"/>
          <w:color w:val="000000"/>
          <w:sz w:val="19"/>
          <w:szCs w:val="19"/>
          <w:lang w:val="es-ES_tradnl"/>
        </w:rPr>
        <w:t>., p. 515).</w:t>
      </w:r>
    </w:p>
    <w:p w14:paraId="433767EA" w14:textId="77777777" w:rsidR="00A24733" w:rsidRPr="00A24733" w:rsidRDefault="00A24733" w:rsidP="00A24733">
      <w:pPr>
        <w:pStyle w:val="Textonotapie"/>
        <w:ind w:firstLine="709"/>
        <w:jc w:val="both"/>
        <w:rPr>
          <w:rFonts w:ascii="Arial" w:hAnsi="Arial" w:cs="Arial"/>
          <w:color w:val="000000"/>
          <w:sz w:val="19"/>
          <w:szCs w:val="19"/>
          <w:lang w:val="es-ES_tradnl"/>
        </w:rPr>
      </w:pPr>
    </w:p>
  </w:footnote>
  <w:footnote w:id="12">
    <w:p w14:paraId="3F9A5DCA" w14:textId="77777777" w:rsidR="00A24733" w:rsidRDefault="00A24733" w:rsidP="00A24733">
      <w:pPr>
        <w:pStyle w:val="Textonotapie"/>
        <w:ind w:firstLine="708"/>
        <w:jc w:val="both"/>
        <w:rPr>
          <w:rFonts w:ascii="Arial" w:hAnsi="Arial" w:cs="Arial"/>
          <w:color w:val="000000"/>
          <w:sz w:val="19"/>
          <w:szCs w:val="19"/>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Ley 1150 de 2007: </w:t>
      </w:r>
      <w:r>
        <w:rPr>
          <w:rFonts w:ascii="Arial" w:hAnsi="Arial" w:cs="Arial"/>
          <w:color w:val="000000"/>
          <w:sz w:val="19"/>
          <w:szCs w:val="19"/>
        </w:rPr>
        <w:t>“</w:t>
      </w:r>
      <w:r w:rsidRPr="00721CE1">
        <w:rPr>
          <w:rFonts w:ascii="Arial" w:hAnsi="Arial" w:cs="Arial"/>
          <w:color w:val="000000"/>
          <w:sz w:val="19"/>
          <w:szCs w:val="19"/>
        </w:rPr>
        <w:t xml:space="preserve">Artículo 2 […] </w:t>
      </w:r>
    </w:p>
    <w:p w14:paraId="200CE9CC" w14:textId="77777777" w:rsidR="00A24733" w:rsidRPr="00721CE1" w:rsidRDefault="00A24733" w:rsidP="00A24733">
      <w:pPr>
        <w:pStyle w:val="Textonotapie"/>
        <w:ind w:firstLine="708"/>
        <w:jc w:val="both"/>
        <w:rPr>
          <w:rFonts w:ascii="Arial" w:hAnsi="Arial" w:cs="Arial"/>
          <w:color w:val="000000"/>
          <w:sz w:val="19"/>
          <w:szCs w:val="19"/>
        </w:rPr>
      </w:pPr>
      <w:r>
        <w:rPr>
          <w:rFonts w:ascii="Arial" w:hAnsi="Arial" w:cs="Arial"/>
          <w:color w:val="000000"/>
          <w:sz w:val="19"/>
          <w:szCs w:val="19"/>
        </w:rPr>
        <w:t>5</w:t>
      </w:r>
      <w:r w:rsidRPr="00721CE1">
        <w:rPr>
          <w:rFonts w:ascii="Arial" w:hAnsi="Arial" w:cs="Arial"/>
          <w:color w:val="000000"/>
          <w:sz w:val="19"/>
          <w:szCs w:val="19"/>
        </w:rPr>
        <w:t xml:space="preserve">. Contratación mínima Cuantía. La contratación cuyo valor no excede del 10 por ciento de la menor cuantía de la entidad independientemente de su objeto, se efectuará de conformidad con las siguientes reglas:  </w:t>
      </w:r>
    </w:p>
    <w:p w14:paraId="2A7201AA" w14:textId="77777777" w:rsidR="00A24733" w:rsidRPr="004761A8" w:rsidRDefault="00A24733" w:rsidP="00A24733">
      <w:pPr>
        <w:pStyle w:val="Textonotapie"/>
        <w:ind w:firstLine="708"/>
        <w:jc w:val="both"/>
        <w:rPr>
          <w:rFonts w:ascii="Arial" w:hAnsi="Arial" w:cs="Arial"/>
          <w:color w:val="000000"/>
          <w:sz w:val="19"/>
          <w:szCs w:val="19"/>
        </w:rPr>
      </w:pPr>
      <w:r w:rsidRPr="004761A8">
        <w:rPr>
          <w:rFonts w:ascii="Arial" w:hAnsi="Arial" w:cs="Arial"/>
          <w:color w:val="000000"/>
          <w:sz w:val="19"/>
          <w:szCs w:val="19"/>
        </w:rPr>
        <w:t>a) Se publicará una invitación, por un término no inferior a un día hábil, en la cual se señalará el objeto a contratar, el presupuesto destinado para tal fin, así como las condiciones técnicas exigidas;</w:t>
      </w:r>
    </w:p>
    <w:p w14:paraId="72B6A654" w14:textId="77777777" w:rsidR="00A24733" w:rsidRPr="004761A8" w:rsidRDefault="00A24733" w:rsidP="00A24733">
      <w:pPr>
        <w:pStyle w:val="Textonotapie"/>
        <w:ind w:firstLine="708"/>
        <w:jc w:val="both"/>
        <w:rPr>
          <w:rFonts w:ascii="Arial" w:hAnsi="Arial" w:cs="Arial"/>
          <w:color w:val="000000"/>
          <w:sz w:val="19"/>
          <w:szCs w:val="19"/>
        </w:rPr>
      </w:pPr>
      <w:r w:rsidRPr="004761A8">
        <w:rPr>
          <w:rFonts w:ascii="Arial" w:hAnsi="Arial" w:cs="Arial"/>
          <w:color w:val="000000"/>
          <w:sz w:val="19"/>
          <w:szCs w:val="19"/>
        </w:rPr>
        <w:t>b) El término previsto en la invitación para presentar la oferta no podrá ser inferior a un día hábil;</w:t>
      </w:r>
    </w:p>
    <w:p w14:paraId="6417E0F8" w14:textId="77777777" w:rsidR="00A24733" w:rsidRPr="004761A8" w:rsidRDefault="00A24733" w:rsidP="00A24733">
      <w:pPr>
        <w:pStyle w:val="Textonotapie"/>
        <w:ind w:firstLine="708"/>
        <w:jc w:val="both"/>
        <w:rPr>
          <w:rFonts w:ascii="Arial" w:hAnsi="Arial" w:cs="Arial"/>
          <w:color w:val="000000"/>
          <w:sz w:val="19"/>
          <w:szCs w:val="19"/>
        </w:rPr>
      </w:pPr>
      <w:r w:rsidRPr="004761A8">
        <w:rPr>
          <w:rFonts w:ascii="Arial" w:hAnsi="Arial" w:cs="Arial"/>
          <w:color w:val="000000"/>
          <w:sz w:val="19"/>
          <w:szCs w:val="19"/>
        </w:rPr>
        <w:t>c) La entidad seleccionará, mediante comunicación de aceptación de la oferta, la propuesta con el menor precio, siempre y cuando cumpla con las condiciones exigidas;</w:t>
      </w:r>
    </w:p>
    <w:p w14:paraId="031E7F10" w14:textId="77777777" w:rsidR="00A24733" w:rsidRPr="004761A8" w:rsidRDefault="00A24733" w:rsidP="00A24733">
      <w:pPr>
        <w:pStyle w:val="Textonotapie"/>
        <w:ind w:firstLine="708"/>
        <w:jc w:val="both"/>
        <w:rPr>
          <w:rFonts w:ascii="Arial" w:hAnsi="Arial" w:cs="Arial"/>
          <w:color w:val="000000"/>
          <w:sz w:val="19"/>
          <w:szCs w:val="19"/>
        </w:rPr>
      </w:pPr>
      <w:r w:rsidRPr="004761A8">
        <w:rPr>
          <w:rFonts w:ascii="Arial" w:hAnsi="Arial" w:cs="Arial"/>
          <w:color w:val="000000"/>
          <w:sz w:val="19"/>
          <w:szCs w:val="19"/>
        </w:rPr>
        <w:t>d) La comunicación de aceptación junto con la oferta constituye para todos los efectos el contrato celebrado, con base en lo cual se efectuará el respectivo registro presupuestal.</w:t>
      </w:r>
    </w:p>
    <w:p w14:paraId="43FD2AAE" w14:textId="77777777" w:rsidR="00A24733" w:rsidRPr="004761A8" w:rsidRDefault="00A24733" w:rsidP="00A24733">
      <w:pPr>
        <w:pStyle w:val="Textonotapie"/>
        <w:ind w:firstLine="708"/>
        <w:jc w:val="both"/>
        <w:rPr>
          <w:rFonts w:ascii="Arial" w:hAnsi="Arial" w:cs="Arial"/>
          <w:color w:val="000000"/>
          <w:sz w:val="19"/>
          <w:szCs w:val="19"/>
        </w:rPr>
      </w:pPr>
      <w:r w:rsidRPr="004761A8">
        <w:rPr>
          <w:rFonts w:ascii="Arial" w:hAnsi="Arial" w:cs="Arial"/>
          <w:color w:val="000000"/>
          <w:sz w:val="19"/>
          <w:szCs w:val="19"/>
        </w:rPr>
        <w:t xml:space="preserve">PARÁGRAFO 1o. Las particularidades del procedimiento aquí previsto, así como la posibilidad que tengan las entidades de realizar estas adquisiciones a </w:t>
      </w:r>
      <w:proofErr w:type="spellStart"/>
      <w:r w:rsidRPr="004761A8">
        <w:rPr>
          <w:rFonts w:ascii="Arial" w:hAnsi="Arial" w:cs="Arial"/>
          <w:color w:val="000000"/>
          <w:sz w:val="19"/>
          <w:szCs w:val="19"/>
        </w:rPr>
        <w:t>Mlpymes</w:t>
      </w:r>
      <w:proofErr w:type="spellEnd"/>
      <w:r w:rsidRPr="004761A8">
        <w:rPr>
          <w:rFonts w:ascii="Arial" w:hAnsi="Arial" w:cs="Arial"/>
          <w:color w:val="000000"/>
          <w:sz w:val="19"/>
          <w:szCs w:val="19"/>
        </w:rPr>
        <w:t xml:space="preserve"> o establecimientos que correspondan a la definición de "gran almacén" señalada por la Superintendencia de Industria y Comercio, se determinarán en el reglamento que para el efecto expida el Gobierno Nacional.</w:t>
      </w:r>
    </w:p>
    <w:p w14:paraId="625B32F2" w14:textId="77777777" w:rsidR="00A24733" w:rsidRDefault="00A24733" w:rsidP="00A24733">
      <w:pPr>
        <w:pStyle w:val="Textonotapie"/>
        <w:ind w:firstLine="708"/>
        <w:jc w:val="both"/>
        <w:rPr>
          <w:rFonts w:ascii="Arial" w:hAnsi="Arial" w:cs="Arial"/>
          <w:color w:val="000000"/>
          <w:sz w:val="19"/>
          <w:szCs w:val="19"/>
        </w:rPr>
      </w:pPr>
      <w:r w:rsidRPr="004761A8">
        <w:rPr>
          <w:rFonts w:ascii="Arial" w:hAnsi="Arial" w:cs="Arial"/>
          <w:color w:val="000000"/>
          <w:sz w:val="19"/>
          <w:szCs w:val="19"/>
        </w:rPr>
        <w:t>PARÁGRAFO 2o. La contratación a que se refiere el presente artículo se realizará exclusivamente con las reglas en él contempladas y en su reglamentación. En particular no se aplicará lo previsto en la Ley 816 de 2003</w:t>
      </w:r>
      <w:r>
        <w:rPr>
          <w:rFonts w:ascii="Arial" w:hAnsi="Arial" w:cs="Arial"/>
          <w:color w:val="000000"/>
          <w:sz w:val="19"/>
          <w:szCs w:val="19"/>
        </w:rPr>
        <w:t>”</w:t>
      </w:r>
      <w:r w:rsidRPr="004761A8">
        <w:rPr>
          <w:rFonts w:ascii="Arial" w:hAnsi="Arial" w:cs="Arial"/>
          <w:color w:val="000000"/>
          <w:sz w:val="19"/>
          <w:szCs w:val="19"/>
        </w:rPr>
        <w:t>.</w:t>
      </w:r>
    </w:p>
    <w:p w14:paraId="5FBE67AC" w14:textId="77777777" w:rsidR="00A24733" w:rsidRPr="00721CE1" w:rsidRDefault="00A24733" w:rsidP="00A24733">
      <w:pPr>
        <w:pStyle w:val="Textonotapie"/>
        <w:ind w:firstLine="708"/>
        <w:jc w:val="both"/>
        <w:rPr>
          <w:rFonts w:ascii="Arial" w:hAnsi="Arial" w:cs="Arial"/>
          <w:color w:val="000000"/>
          <w:sz w:val="19"/>
          <w:szCs w:val="19"/>
          <w:lang w:val="es-CO"/>
        </w:rPr>
      </w:pPr>
    </w:p>
  </w:footnote>
  <w:footnote w:id="13">
    <w:p w14:paraId="269C11B2" w14:textId="77777777" w:rsidR="00A24733" w:rsidRPr="00E934C2" w:rsidRDefault="00A24733" w:rsidP="00A24733">
      <w:pPr>
        <w:pStyle w:val="Textonotapie"/>
        <w:ind w:firstLine="709"/>
        <w:jc w:val="both"/>
        <w:rPr>
          <w:rFonts w:ascii="Arial" w:hAnsi="Arial" w:cs="Arial"/>
          <w:sz w:val="19"/>
          <w:szCs w:val="19"/>
        </w:rPr>
      </w:pPr>
      <w:r w:rsidRPr="00E934C2">
        <w:rPr>
          <w:rStyle w:val="Refdenotaalpie"/>
          <w:rFonts w:ascii="Arial" w:hAnsi="Arial" w:cs="Arial"/>
          <w:sz w:val="19"/>
          <w:szCs w:val="19"/>
        </w:rPr>
        <w:footnoteRef/>
      </w:r>
      <w:r w:rsidRPr="00E934C2">
        <w:rPr>
          <w:rFonts w:ascii="Arial" w:hAnsi="Arial" w:cs="Arial"/>
          <w:sz w:val="19"/>
          <w:szCs w:val="19"/>
        </w:rPr>
        <w:t xml:space="preserve"> El artículo 2 del Decreto 1860 de 2021 modifica la Subsección 5 de la Sección 1 del Capítulo 2 del Título 1 de la Parte 2 del Libro 2 del Decreto 1082 de 2015, relativo al procedimiento de selección de mínima cuantía. </w:t>
      </w:r>
    </w:p>
  </w:footnote>
  <w:footnote w:id="14">
    <w:p w14:paraId="4C5F95D5" w14:textId="77777777" w:rsidR="00A24733" w:rsidRPr="00721CE1" w:rsidRDefault="00A24733" w:rsidP="00A24733">
      <w:pPr>
        <w:pStyle w:val="Textonotapie"/>
        <w:jc w:val="both"/>
        <w:rPr>
          <w:rFonts w:ascii="Arial" w:hAnsi="Arial" w:cs="Arial"/>
          <w:color w:val="000000"/>
          <w:sz w:val="19"/>
          <w:szCs w:val="19"/>
        </w:rPr>
      </w:pPr>
    </w:p>
    <w:p w14:paraId="0A03E0C0" w14:textId="77777777" w:rsidR="00A24733" w:rsidRPr="00CF7DAC" w:rsidRDefault="00A24733" w:rsidP="00A24733">
      <w:pPr>
        <w:pStyle w:val="Textonotapie"/>
        <w:ind w:firstLine="709"/>
        <w:jc w:val="both"/>
        <w:rPr>
          <w:rFonts w:ascii="Arial" w:hAnsi="Arial" w:cs="Arial"/>
          <w:color w:val="000000"/>
          <w:sz w:val="19"/>
          <w:szCs w:val="19"/>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Decreto 1082 de 2015: </w:t>
      </w:r>
      <w:r>
        <w:rPr>
          <w:rFonts w:ascii="Arial" w:hAnsi="Arial" w:cs="Arial"/>
          <w:color w:val="000000"/>
          <w:sz w:val="19"/>
          <w:szCs w:val="19"/>
        </w:rPr>
        <w:t>“</w:t>
      </w:r>
      <w:r w:rsidRPr="00721CE1">
        <w:rPr>
          <w:rFonts w:ascii="Arial" w:hAnsi="Arial" w:cs="Arial"/>
          <w:color w:val="000000"/>
          <w:sz w:val="19"/>
          <w:szCs w:val="19"/>
        </w:rPr>
        <w:t>Artículo 2.2.1.2.1.5.2. P</w:t>
      </w:r>
      <w:r w:rsidRPr="00CF7DAC">
        <w:rPr>
          <w:rFonts w:ascii="Arial" w:hAnsi="Arial" w:cs="Arial"/>
          <w:color w:val="000000"/>
          <w:sz w:val="19"/>
          <w:szCs w:val="19"/>
        </w:rPr>
        <w:t xml:space="preserve">rocedimiento para la contratación de mínima cuantía. Las siguientes reglas son aplicables a la contratación cuyo valor no excede del diez por ciento (10%) de la menor cuantía de la Entidad Estatal, independientemente de su objeto:  </w:t>
      </w:r>
    </w:p>
    <w:p w14:paraId="51D1ED75" w14:textId="77777777" w:rsidR="00A24733" w:rsidRPr="00CF7DAC" w:rsidRDefault="00A24733" w:rsidP="00A24733">
      <w:pPr>
        <w:pStyle w:val="Textonotapie"/>
        <w:ind w:firstLine="708"/>
        <w:jc w:val="both"/>
        <w:rPr>
          <w:rFonts w:ascii="Arial" w:hAnsi="Arial" w:cs="Arial"/>
          <w:color w:val="000000"/>
          <w:sz w:val="19"/>
          <w:szCs w:val="19"/>
        </w:rPr>
      </w:pPr>
      <w:r w:rsidRPr="00CF7DAC">
        <w:rPr>
          <w:rFonts w:ascii="Arial" w:hAnsi="Arial" w:cs="Arial"/>
          <w:color w:val="000000"/>
          <w:sz w:val="19"/>
          <w:szCs w:val="19"/>
        </w:rPr>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el cumplimiento de las condiciones técnicas exigidas, incluyendo las obligaciones de las partes del futuro contrato.</w:t>
      </w:r>
    </w:p>
    <w:p w14:paraId="7D8F74D2" w14:textId="77777777" w:rsidR="00A24733" w:rsidRPr="00CF7DAC" w:rsidRDefault="00A24733" w:rsidP="00A24733">
      <w:pPr>
        <w:pStyle w:val="Textonotapie"/>
        <w:ind w:firstLine="708"/>
        <w:jc w:val="both"/>
        <w:rPr>
          <w:rFonts w:ascii="Arial" w:hAnsi="Arial" w:cs="Arial"/>
          <w:color w:val="000000"/>
          <w:sz w:val="19"/>
          <w:szCs w:val="19"/>
        </w:rPr>
      </w:pPr>
      <w:r w:rsidRPr="00CF7DAC">
        <w:rPr>
          <w:rFonts w:ascii="Arial" w:hAnsi="Arial" w:cs="Arial"/>
          <w:color w:val="000000"/>
          <w:sz w:val="19"/>
          <w:szCs w:val="19"/>
        </w:rPr>
        <w:t>2. La Entidad Estatal podrá exigir una capacidad financiera mínima cuando no hace el pago contra entrega a satisfacción de los bienes, obras o servicios. Si la Entidad Estatal exige capacidad financiera debe indicar cómo hará la verificación correspondiente en la invitación.</w:t>
      </w:r>
    </w:p>
    <w:p w14:paraId="03819BE5" w14:textId="77777777" w:rsidR="00A24733" w:rsidRPr="00CF7DAC" w:rsidRDefault="00A24733" w:rsidP="00A24733">
      <w:pPr>
        <w:pStyle w:val="Textonotapie"/>
        <w:ind w:firstLine="708"/>
        <w:jc w:val="both"/>
        <w:rPr>
          <w:rFonts w:ascii="Arial" w:hAnsi="Arial" w:cs="Arial"/>
          <w:color w:val="000000"/>
          <w:sz w:val="19"/>
          <w:szCs w:val="19"/>
        </w:rPr>
      </w:pPr>
      <w:r w:rsidRPr="00CF7DAC">
        <w:rPr>
          <w:rFonts w:ascii="Arial" w:hAnsi="Arial" w:cs="Arial"/>
          <w:color w:val="000000"/>
          <w:sz w:val="19"/>
          <w:szCs w:val="19"/>
        </w:rPr>
        <w:t>3. La invitación se publicará por un término no inferior a un (1) día hábil para que los interesados se informen de su contenido y formulen observaciones o comentarios, los cuales serán contestados por la Entidad Estatal antes del inicio del plazo para presentar ofertas. De conformidad con el parágrafo del presente artículo, dentro del mismo término para formular observaciones se podrán presentar las solicitudes para limitar la convocatoria a Mipyme colombianas.</w:t>
      </w:r>
    </w:p>
    <w:p w14:paraId="1E46608F" w14:textId="77777777" w:rsidR="00A24733" w:rsidRPr="00CF7DAC" w:rsidRDefault="00A24733" w:rsidP="00A24733">
      <w:pPr>
        <w:pStyle w:val="Textonotapie"/>
        <w:ind w:firstLine="708"/>
        <w:jc w:val="both"/>
        <w:rPr>
          <w:rFonts w:ascii="Arial" w:hAnsi="Arial" w:cs="Arial"/>
          <w:color w:val="000000"/>
          <w:sz w:val="19"/>
          <w:szCs w:val="19"/>
        </w:rPr>
      </w:pPr>
      <w:r w:rsidRPr="00CF7DAC">
        <w:rPr>
          <w:rFonts w:ascii="Arial" w:hAnsi="Arial" w:cs="Arial"/>
          <w:color w:val="000000"/>
          <w:sz w:val="19"/>
          <w:szCs w:val="19"/>
        </w:rPr>
        <w:t xml:space="preserve">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w:t>
      </w:r>
      <w:proofErr w:type="spellStart"/>
      <w:r w:rsidRPr="00CF7DAC">
        <w:rPr>
          <w:rFonts w:ascii="Arial" w:hAnsi="Arial" w:cs="Arial"/>
          <w:color w:val="000000"/>
          <w:sz w:val="19"/>
          <w:szCs w:val="19"/>
        </w:rPr>
        <w:t>ii</w:t>
      </w:r>
      <w:proofErr w:type="spellEnd"/>
      <w:r w:rsidRPr="00CF7DAC">
        <w:rPr>
          <w:rFonts w:ascii="Arial" w:hAnsi="Arial" w:cs="Arial"/>
          <w:color w:val="000000"/>
          <w:sz w:val="19"/>
          <w:szCs w:val="19"/>
        </w:rPr>
        <w:t xml:space="preserve">)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 </w:t>
      </w:r>
      <w:proofErr w:type="spellStart"/>
      <w:r w:rsidRPr="00CF7DAC">
        <w:rPr>
          <w:rFonts w:ascii="Arial" w:hAnsi="Arial" w:cs="Arial"/>
          <w:color w:val="000000"/>
          <w:sz w:val="19"/>
          <w:szCs w:val="19"/>
        </w:rPr>
        <w:t>iii</w:t>
      </w:r>
      <w:proofErr w:type="spellEnd"/>
      <w:r w:rsidRPr="00CF7DAC">
        <w:rPr>
          <w:rFonts w:ascii="Arial" w:hAnsi="Arial" w:cs="Arial"/>
          <w:color w:val="000000"/>
          <w:sz w:val="19"/>
          <w:szCs w:val="19"/>
        </w:rPr>
        <w:t xml:space="preserve">) El momento en que publicará un aviso en el SECOP precisando si el proceso efectivamente se limitó a Mipyme o si podrá participar cualquier otro interesado. </w:t>
      </w:r>
      <w:proofErr w:type="spellStart"/>
      <w:r w:rsidRPr="00CF7DAC">
        <w:rPr>
          <w:rFonts w:ascii="Arial" w:hAnsi="Arial" w:cs="Arial"/>
          <w:color w:val="000000"/>
          <w:sz w:val="19"/>
          <w:szCs w:val="19"/>
        </w:rPr>
        <w:t>iv</w:t>
      </w:r>
      <w:proofErr w:type="spellEnd"/>
      <w:r w:rsidRPr="00CF7DAC">
        <w:rPr>
          <w:rFonts w:ascii="Arial" w:hAnsi="Arial" w:cs="Arial"/>
          <w:color w:val="000000"/>
          <w:sz w:val="19"/>
          <w:szCs w:val="19"/>
        </w:rPr>
        <w:t>) Finalmente, se dispondrá un término adicional dentro del cual los proponentes podrán presentar sus ofertas, el cual será de mínimo un (1) día hábil luego de publicado el aviso en que se informe si el proceso se limita o no a Mipyme.</w:t>
      </w:r>
    </w:p>
    <w:p w14:paraId="0CF3028D" w14:textId="77777777" w:rsidR="00A24733" w:rsidRPr="00CF7DAC" w:rsidRDefault="00A24733" w:rsidP="00A24733">
      <w:pPr>
        <w:pStyle w:val="Textonotapie"/>
        <w:ind w:firstLine="708"/>
        <w:jc w:val="both"/>
        <w:rPr>
          <w:rFonts w:ascii="Arial" w:hAnsi="Arial" w:cs="Arial"/>
          <w:color w:val="000000"/>
          <w:sz w:val="19"/>
          <w:szCs w:val="19"/>
        </w:rPr>
      </w:pPr>
      <w:r w:rsidRPr="00CF7DAC">
        <w:rPr>
          <w:rFonts w:ascii="Arial" w:hAnsi="Arial" w:cs="Arial"/>
          <w:color w:val="000000"/>
          <w:sz w:val="19"/>
          <w:szCs w:val="19"/>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5 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p>
    <w:p w14:paraId="61B5A254" w14:textId="77777777" w:rsidR="00A24733" w:rsidRPr="00CF7DAC" w:rsidRDefault="00A24733" w:rsidP="00A24733">
      <w:pPr>
        <w:pStyle w:val="Textonotapie"/>
        <w:ind w:firstLine="708"/>
        <w:jc w:val="both"/>
        <w:rPr>
          <w:rFonts w:ascii="Arial" w:hAnsi="Arial" w:cs="Arial"/>
          <w:color w:val="000000"/>
          <w:sz w:val="19"/>
          <w:szCs w:val="19"/>
        </w:rPr>
      </w:pPr>
      <w:r w:rsidRPr="00CF7DAC">
        <w:rPr>
          <w:rFonts w:ascii="Arial" w:hAnsi="Arial" w:cs="Arial"/>
          <w:color w:val="000000"/>
          <w:sz w:val="19"/>
          <w:szCs w:val="19"/>
        </w:rPr>
        <w:t xml:space="preserve">6. La Entidad Estatal debe publicar el informe de evaluación durante mínimo un (1) día hábil, para que durante este término los oferentes presenten las observaciones que deberán ser respondidas por la Entidad Estatal antes de realizar la aceptación de la oferta seleccionada. </w:t>
      </w:r>
    </w:p>
    <w:p w14:paraId="102158D2" w14:textId="77777777" w:rsidR="00A24733" w:rsidRPr="00CF7DAC" w:rsidRDefault="00A24733" w:rsidP="00A24733">
      <w:pPr>
        <w:pStyle w:val="Textonotapie"/>
        <w:ind w:firstLine="708"/>
        <w:jc w:val="both"/>
        <w:rPr>
          <w:rFonts w:ascii="Arial" w:hAnsi="Arial" w:cs="Arial"/>
          <w:color w:val="000000"/>
          <w:sz w:val="19"/>
          <w:szCs w:val="19"/>
        </w:rPr>
      </w:pPr>
      <w:r w:rsidRPr="00CF7DAC">
        <w:rPr>
          <w:rFonts w:ascii="Arial" w:hAnsi="Arial" w:cs="Arial"/>
          <w:color w:val="000000"/>
          <w:sz w:val="19"/>
          <w:szCs w:val="19"/>
        </w:rPr>
        <w:t>7. La Entidad Estatal debe aceptar la oferta de menor precio, siempre que cumpla con las condiciones establecidas en la invitación a participar en procesos de mínima cuantía. En la aceptación de la oferta, la Entidad Estatal debe informar al contratista el nombre del supervisor o interventor del contrato.</w:t>
      </w:r>
    </w:p>
    <w:p w14:paraId="6A591DC5" w14:textId="77777777" w:rsidR="00A24733" w:rsidRPr="00CF7DAC" w:rsidRDefault="00A24733" w:rsidP="00A24733">
      <w:pPr>
        <w:pStyle w:val="Textonotapie"/>
        <w:ind w:firstLine="708"/>
        <w:jc w:val="both"/>
        <w:rPr>
          <w:rFonts w:ascii="Arial" w:hAnsi="Arial" w:cs="Arial"/>
          <w:color w:val="000000"/>
          <w:sz w:val="19"/>
          <w:szCs w:val="19"/>
        </w:rPr>
      </w:pPr>
      <w:r w:rsidRPr="00CF7DAC">
        <w:rPr>
          <w:rFonts w:ascii="Arial" w:hAnsi="Arial" w:cs="Arial"/>
          <w:color w:val="000000"/>
          <w:sz w:val="19"/>
          <w:szCs w:val="19"/>
        </w:rPr>
        <w:t>8. En caso de empate, la Entidad Estatal aplicará los criterios de que trata el artículo 35 de la Ley 2069 de 2020, conforme a los medios de acreditación del artículo 2.2.1.2.4.2.17. del presente Decreto o las normas que los modifiquen, adicionen o sustituyan.</w:t>
      </w:r>
    </w:p>
    <w:p w14:paraId="77D7F238" w14:textId="77777777" w:rsidR="00A24733" w:rsidRPr="00CF7DAC" w:rsidRDefault="00A24733" w:rsidP="00A24733">
      <w:pPr>
        <w:pStyle w:val="Textonotapie"/>
        <w:ind w:firstLine="708"/>
        <w:jc w:val="both"/>
        <w:rPr>
          <w:rFonts w:ascii="Arial" w:hAnsi="Arial" w:cs="Arial"/>
          <w:color w:val="000000"/>
          <w:sz w:val="19"/>
          <w:szCs w:val="19"/>
        </w:rPr>
      </w:pPr>
      <w:r w:rsidRPr="00CF7DAC">
        <w:rPr>
          <w:rFonts w:ascii="Arial" w:hAnsi="Arial" w:cs="Arial"/>
          <w:color w:val="000000"/>
          <w:sz w:val="19"/>
          <w:szCs w:val="19"/>
        </w:rPr>
        <w:t>9. La oferta y su aceptación constituyen el contrato estatal.</w:t>
      </w:r>
    </w:p>
    <w:p w14:paraId="32743E83" w14:textId="77777777" w:rsidR="00A24733" w:rsidRPr="00CF7DAC" w:rsidRDefault="00A24733" w:rsidP="00A24733">
      <w:pPr>
        <w:pStyle w:val="Textonotapie"/>
        <w:ind w:firstLine="708"/>
        <w:jc w:val="both"/>
        <w:rPr>
          <w:rFonts w:ascii="Arial" w:hAnsi="Arial" w:cs="Arial"/>
          <w:color w:val="000000"/>
          <w:sz w:val="19"/>
          <w:szCs w:val="19"/>
        </w:rPr>
      </w:pPr>
      <w:r>
        <w:rPr>
          <w:rFonts w:ascii="Arial" w:hAnsi="Arial" w:cs="Arial"/>
          <w:color w:val="000000"/>
          <w:sz w:val="19"/>
          <w:szCs w:val="19"/>
        </w:rPr>
        <w:t>[…]”.</w:t>
      </w:r>
    </w:p>
    <w:p w14:paraId="308EFE48" w14:textId="77777777" w:rsidR="00A24733" w:rsidRPr="00721CE1" w:rsidRDefault="00A24733" w:rsidP="00A24733">
      <w:pPr>
        <w:pStyle w:val="Textonotapie"/>
        <w:ind w:firstLine="708"/>
        <w:jc w:val="both"/>
        <w:rPr>
          <w:rFonts w:ascii="Arial" w:hAnsi="Arial" w:cs="Arial"/>
          <w:color w:val="000000"/>
          <w:sz w:val="19"/>
          <w:szCs w:val="19"/>
          <w:lang w:val="es-CO"/>
        </w:rPr>
      </w:pPr>
    </w:p>
    <w:p w14:paraId="78BDF010" w14:textId="77777777" w:rsidR="00A24733" w:rsidRPr="00721CE1" w:rsidRDefault="00A24733" w:rsidP="00A24733">
      <w:pPr>
        <w:pStyle w:val="Textonotapie"/>
        <w:ind w:firstLine="708"/>
        <w:jc w:val="both"/>
        <w:rPr>
          <w:rFonts w:ascii="Arial" w:hAnsi="Arial" w:cs="Arial"/>
          <w:color w:val="000000"/>
          <w:sz w:val="19"/>
          <w:szCs w:val="19"/>
          <w:lang w:val="es-CO"/>
        </w:rPr>
      </w:pPr>
    </w:p>
  </w:footnote>
  <w:footnote w:id="15">
    <w:p w14:paraId="29AF82D6" w14:textId="77777777" w:rsidR="00A24733" w:rsidRPr="00721CE1" w:rsidRDefault="00A24733" w:rsidP="00A24733">
      <w:pPr>
        <w:pStyle w:val="Textonotapie"/>
        <w:ind w:firstLine="708"/>
        <w:jc w:val="both"/>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w:t>
      </w:r>
      <w:r w:rsidRPr="00721CE1">
        <w:rPr>
          <w:rFonts w:ascii="Arial" w:hAnsi="Arial" w:cs="Arial"/>
          <w:color w:val="000000"/>
          <w:sz w:val="19"/>
          <w:szCs w:val="19"/>
          <w:lang w:val="es-CO"/>
        </w:rPr>
        <w:t xml:space="preserve">Real Academia Española de la Lengua. Diccionario de la Lengua Española. Edición Tricentenario. Disponible en: </w:t>
      </w:r>
      <w:hyperlink r:id="rId1" w:history="1">
        <w:r w:rsidRPr="00721CE1">
          <w:rPr>
            <w:rStyle w:val="Hipervnculo1"/>
            <w:rFonts w:ascii="Arial" w:hAnsi="Arial" w:cs="Arial"/>
            <w:color w:val="000000"/>
            <w:sz w:val="19"/>
            <w:szCs w:val="19"/>
          </w:rPr>
          <w:t>https://dle.rae.es/h%C3%A1bil</w:t>
        </w:r>
      </w:hyperlink>
      <w:r w:rsidRPr="00721CE1">
        <w:rPr>
          <w:rFonts w:ascii="Arial" w:hAnsi="Arial" w:cs="Arial"/>
          <w:color w:val="000000"/>
          <w:sz w:val="19"/>
          <w:szCs w:val="19"/>
          <w:lang w:val="es-CO"/>
        </w:rPr>
        <w:t xml:space="preserve"> </w:t>
      </w:r>
    </w:p>
  </w:footnote>
  <w:footnote w:id="16">
    <w:p w14:paraId="4D3B0A4F" w14:textId="77777777" w:rsidR="00A24733" w:rsidRPr="00721CE1" w:rsidRDefault="00A24733" w:rsidP="00A24733">
      <w:pPr>
        <w:pStyle w:val="Textonotapie"/>
        <w:ind w:firstLine="708"/>
        <w:jc w:val="both"/>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MARÍN CORTÉS, Fabián G. Derecho de petición y procedimiento administrativo. 1</w:t>
      </w:r>
      <w:r w:rsidRPr="00721CE1">
        <w:rPr>
          <w:rFonts w:ascii="Arial" w:hAnsi="Arial" w:cs="Arial"/>
          <w:color w:val="000000"/>
          <w:sz w:val="19"/>
          <w:szCs w:val="19"/>
          <w:u w:val="single"/>
          <w:vertAlign w:val="superscript"/>
        </w:rPr>
        <w:t>a</w:t>
      </w:r>
      <w:r w:rsidRPr="00721CE1">
        <w:rPr>
          <w:rFonts w:ascii="Arial" w:hAnsi="Arial" w:cs="Arial"/>
          <w:color w:val="000000"/>
          <w:sz w:val="19"/>
          <w:szCs w:val="19"/>
        </w:rPr>
        <w:t xml:space="preserve"> ed. Medellín: Librería Jurídica Sánchez R </w:t>
      </w:r>
      <w:proofErr w:type="spellStart"/>
      <w:r w:rsidRPr="00721CE1">
        <w:rPr>
          <w:rFonts w:ascii="Arial" w:hAnsi="Arial" w:cs="Arial"/>
          <w:color w:val="000000"/>
          <w:sz w:val="19"/>
          <w:szCs w:val="19"/>
        </w:rPr>
        <w:t>Ltda</w:t>
      </w:r>
      <w:proofErr w:type="spellEnd"/>
      <w:r w:rsidRPr="00721CE1">
        <w:rPr>
          <w:rFonts w:ascii="Arial" w:hAnsi="Arial" w:cs="Arial"/>
          <w:color w:val="000000"/>
          <w:sz w:val="19"/>
          <w:szCs w:val="19"/>
        </w:rPr>
        <w:t xml:space="preserve"> y Centro de Estudios de Derecho Administrativo, 2017. p. 417. </w:t>
      </w:r>
    </w:p>
  </w:footnote>
  <w:footnote w:id="17">
    <w:p w14:paraId="6D0745DF" w14:textId="77777777" w:rsidR="00A24733" w:rsidRPr="00721CE1" w:rsidRDefault="00A24733" w:rsidP="00A24733">
      <w:pPr>
        <w:pStyle w:val="Textonotapie"/>
        <w:ind w:firstLine="708"/>
        <w:jc w:val="both"/>
        <w:rPr>
          <w:rFonts w:ascii="Arial" w:hAnsi="Arial" w:cs="Arial"/>
          <w:color w:val="000000"/>
          <w:sz w:val="19"/>
          <w:szCs w:val="19"/>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w:t>
      </w:r>
      <w:r w:rsidRPr="00721CE1">
        <w:rPr>
          <w:rFonts w:ascii="Arial" w:hAnsi="Arial" w:cs="Arial"/>
          <w:color w:val="000000"/>
          <w:sz w:val="19"/>
          <w:szCs w:val="19"/>
          <w:lang w:val="es-CO"/>
        </w:rPr>
        <w:t xml:space="preserve">Consejo de Estado. </w:t>
      </w:r>
      <w:r w:rsidRPr="00721CE1">
        <w:rPr>
          <w:rFonts w:ascii="Arial" w:hAnsi="Arial" w:cs="Arial"/>
          <w:color w:val="000000"/>
          <w:sz w:val="19"/>
          <w:szCs w:val="19"/>
        </w:rPr>
        <w:t xml:space="preserve">Sala Plena de lo Contencioso Administrativo. Sentencia del 12 de abril de 1978. C.P. Carlos Portocarrero Mutis. </w:t>
      </w:r>
      <w:proofErr w:type="spellStart"/>
      <w:r w:rsidRPr="00721CE1">
        <w:rPr>
          <w:rFonts w:ascii="Arial" w:hAnsi="Arial" w:cs="Arial"/>
          <w:color w:val="000000"/>
          <w:sz w:val="19"/>
          <w:szCs w:val="19"/>
        </w:rPr>
        <w:t>Exp</w:t>
      </w:r>
      <w:proofErr w:type="spellEnd"/>
      <w:r w:rsidRPr="00721CE1">
        <w:rPr>
          <w:rFonts w:ascii="Arial" w:hAnsi="Arial" w:cs="Arial"/>
          <w:color w:val="000000"/>
          <w:sz w:val="19"/>
          <w:szCs w:val="19"/>
        </w:rPr>
        <w:t>. 355.</w:t>
      </w:r>
    </w:p>
    <w:p w14:paraId="4B107FA9" w14:textId="77777777" w:rsidR="00A24733" w:rsidRPr="00721CE1" w:rsidRDefault="00A24733" w:rsidP="00A24733">
      <w:pPr>
        <w:pStyle w:val="Textonotapie"/>
        <w:ind w:firstLine="708"/>
        <w:jc w:val="both"/>
        <w:rPr>
          <w:rFonts w:ascii="Arial" w:hAnsi="Arial" w:cs="Arial"/>
          <w:color w:val="000000"/>
          <w:sz w:val="19"/>
          <w:szCs w:val="19"/>
          <w:lang w:val="es-CO"/>
        </w:rPr>
      </w:pPr>
    </w:p>
  </w:footnote>
  <w:footnote w:id="18">
    <w:p w14:paraId="52FE55C7" w14:textId="77777777" w:rsidR="00A24733" w:rsidRPr="00721CE1" w:rsidRDefault="00A24733" w:rsidP="00A24733">
      <w:pPr>
        <w:pStyle w:val="Textonotapie"/>
        <w:ind w:firstLine="708"/>
        <w:jc w:val="both"/>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Consejo de Estado. Sección Cuarta. Auto del 26 de febrero de 1983.</w:t>
      </w:r>
    </w:p>
  </w:footnote>
  <w:footnote w:id="19">
    <w:p w14:paraId="022D95E7" w14:textId="77777777" w:rsidR="00A24733" w:rsidRPr="00721CE1" w:rsidRDefault="00A24733" w:rsidP="00A24733">
      <w:pPr>
        <w:pStyle w:val="Textonotapie"/>
        <w:ind w:firstLine="708"/>
        <w:jc w:val="both"/>
        <w:rPr>
          <w:rFonts w:ascii="Arial" w:hAnsi="Arial" w:cs="Arial"/>
          <w:color w:val="000000"/>
          <w:sz w:val="19"/>
          <w:szCs w:val="19"/>
        </w:rPr>
      </w:pPr>
    </w:p>
    <w:p w14:paraId="29DC73E5" w14:textId="77777777" w:rsidR="00A24733" w:rsidRPr="00721CE1" w:rsidRDefault="00A24733" w:rsidP="00A24733">
      <w:pPr>
        <w:pStyle w:val="Textonotapie"/>
        <w:ind w:firstLine="708"/>
        <w:jc w:val="both"/>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MARÍN CORTÉS, Fabián G. Derecho de petición y procedimiento administrativo. 1</w:t>
      </w:r>
      <w:r w:rsidRPr="00721CE1">
        <w:rPr>
          <w:rFonts w:ascii="Arial" w:hAnsi="Arial" w:cs="Arial"/>
          <w:color w:val="000000"/>
          <w:sz w:val="19"/>
          <w:szCs w:val="19"/>
          <w:u w:val="single"/>
          <w:vertAlign w:val="superscript"/>
        </w:rPr>
        <w:t>a</w:t>
      </w:r>
      <w:r w:rsidRPr="00721CE1">
        <w:rPr>
          <w:rFonts w:ascii="Arial" w:hAnsi="Arial" w:cs="Arial"/>
          <w:color w:val="000000"/>
          <w:sz w:val="19"/>
          <w:szCs w:val="19"/>
        </w:rPr>
        <w:t xml:space="preserve"> ed. Medellín: Librería Jurídica Sánchez R </w:t>
      </w:r>
      <w:proofErr w:type="spellStart"/>
      <w:r w:rsidRPr="00721CE1">
        <w:rPr>
          <w:rFonts w:ascii="Arial" w:hAnsi="Arial" w:cs="Arial"/>
          <w:color w:val="000000"/>
          <w:sz w:val="19"/>
          <w:szCs w:val="19"/>
        </w:rPr>
        <w:t>Ltda</w:t>
      </w:r>
      <w:proofErr w:type="spellEnd"/>
      <w:r w:rsidRPr="00721CE1">
        <w:rPr>
          <w:rFonts w:ascii="Arial" w:hAnsi="Arial" w:cs="Arial"/>
          <w:color w:val="000000"/>
          <w:sz w:val="19"/>
          <w:szCs w:val="19"/>
        </w:rPr>
        <w:t xml:space="preserve"> y Centro de Estudios de Derecho Administrativo, 2017. p. 417.  </w:t>
      </w:r>
    </w:p>
  </w:footnote>
  <w:footnote w:id="20">
    <w:p w14:paraId="0956DBC8" w14:textId="77777777" w:rsidR="00A24733" w:rsidRPr="00721CE1" w:rsidRDefault="00A24733" w:rsidP="00A24733">
      <w:pPr>
        <w:pStyle w:val="Textonotapie"/>
        <w:ind w:firstLine="708"/>
        <w:jc w:val="both"/>
        <w:rPr>
          <w:rFonts w:ascii="Arial" w:hAnsi="Arial" w:cs="Arial"/>
          <w:color w:val="000000"/>
          <w:sz w:val="19"/>
          <w:szCs w:val="19"/>
        </w:rPr>
      </w:pPr>
    </w:p>
    <w:p w14:paraId="643A4BFD" w14:textId="77777777" w:rsidR="00A24733" w:rsidRPr="00721CE1" w:rsidRDefault="00A24733" w:rsidP="00A24733">
      <w:pPr>
        <w:pStyle w:val="Textonotapie"/>
        <w:ind w:firstLine="708"/>
        <w:jc w:val="both"/>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w:t>
      </w:r>
      <w:proofErr w:type="spellStart"/>
      <w:r w:rsidRPr="00721CE1">
        <w:rPr>
          <w:rFonts w:ascii="Arial" w:hAnsi="Arial" w:cs="Arial"/>
          <w:i/>
          <w:iCs/>
          <w:color w:val="000000"/>
          <w:sz w:val="19"/>
          <w:szCs w:val="19"/>
        </w:rPr>
        <w:t>Ibídem</w:t>
      </w:r>
      <w:proofErr w:type="spellEnd"/>
      <w:r w:rsidRPr="00721CE1">
        <w:rPr>
          <w:rFonts w:ascii="Arial" w:hAnsi="Arial" w:cs="Arial"/>
          <w:i/>
          <w:iCs/>
          <w:color w:val="000000"/>
          <w:sz w:val="19"/>
          <w:szCs w:val="19"/>
        </w:rPr>
        <w:t>.</w:t>
      </w:r>
      <w:r w:rsidRPr="00721CE1">
        <w:rPr>
          <w:rFonts w:ascii="Arial" w:hAnsi="Arial" w:cs="Arial"/>
          <w:color w:val="000000"/>
          <w:sz w:val="19"/>
          <w:szCs w:val="19"/>
        </w:rPr>
        <w:t xml:space="preserve"> </w:t>
      </w:r>
    </w:p>
  </w:footnote>
  <w:footnote w:id="21">
    <w:p w14:paraId="2B821BED" w14:textId="77777777" w:rsidR="00A24733" w:rsidRPr="00721CE1" w:rsidRDefault="00A24733" w:rsidP="00A24733">
      <w:pPr>
        <w:pStyle w:val="Textonotapie"/>
        <w:ind w:firstLine="708"/>
        <w:jc w:val="both"/>
        <w:rPr>
          <w:rFonts w:ascii="Arial" w:hAnsi="Arial" w:cs="Arial"/>
          <w:color w:val="000000"/>
          <w:sz w:val="19"/>
          <w:szCs w:val="19"/>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Ley 1437 de 2011: </w:t>
      </w:r>
      <w:r>
        <w:rPr>
          <w:rFonts w:ascii="Arial" w:hAnsi="Arial" w:cs="Arial"/>
          <w:color w:val="000000"/>
          <w:sz w:val="19"/>
          <w:szCs w:val="19"/>
        </w:rPr>
        <w:t>“</w:t>
      </w:r>
      <w:r w:rsidRPr="00721CE1">
        <w:rPr>
          <w:rFonts w:ascii="Arial" w:hAnsi="Arial" w:cs="Arial"/>
          <w:color w:val="000000"/>
          <w:sz w:val="19"/>
          <w:szCs w:val="19"/>
        </w:rPr>
        <w:t xml:space="preserve">Artículo 7°. Deberes de las autoridades en la atención al público. Las autoridades tendrán, frente a las personas que ante ellas acudan y en relación con los asuntos que tramiten, los siguientes deberes: </w:t>
      </w:r>
    </w:p>
    <w:p w14:paraId="397625F8" w14:textId="77777777" w:rsidR="00A24733" w:rsidRPr="00721CE1" w:rsidRDefault="00A24733" w:rsidP="00A24733">
      <w:pPr>
        <w:pStyle w:val="Textonotapie"/>
        <w:jc w:val="both"/>
        <w:rPr>
          <w:rFonts w:ascii="Arial" w:hAnsi="Arial" w:cs="Arial"/>
          <w:color w:val="000000"/>
          <w:sz w:val="19"/>
          <w:szCs w:val="19"/>
        </w:rPr>
      </w:pPr>
      <w:r w:rsidRPr="00721CE1">
        <w:rPr>
          <w:rFonts w:ascii="Arial" w:hAnsi="Arial" w:cs="Arial"/>
          <w:color w:val="000000"/>
          <w:sz w:val="19"/>
          <w:szCs w:val="19"/>
        </w:rPr>
        <w:t xml:space="preserve">  </w:t>
      </w:r>
      <w:r w:rsidRPr="00721CE1">
        <w:rPr>
          <w:rFonts w:ascii="Arial" w:hAnsi="Arial" w:cs="Arial"/>
          <w:color w:val="000000"/>
          <w:sz w:val="19"/>
          <w:szCs w:val="19"/>
        </w:rPr>
        <w:tab/>
        <w:t>[…]</w:t>
      </w:r>
    </w:p>
    <w:p w14:paraId="049B70E4" w14:textId="77777777" w:rsidR="00A24733" w:rsidRPr="00721CE1" w:rsidRDefault="00A24733" w:rsidP="00A24733">
      <w:pPr>
        <w:pStyle w:val="Textonotapie"/>
        <w:ind w:firstLine="708"/>
        <w:jc w:val="both"/>
        <w:rPr>
          <w:rFonts w:ascii="Arial" w:hAnsi="Arial" w:cs="Arial"/>
          <w:color w:val="000000"/>
          <w:sz w:val="19"/>
          <w:szCs w:val="19"/>
          <w:lang w:val="es-CO"/>
        </w:rPr>
      </w:pPr>
      <w:r w:rsidRPr="00721CE1">
        <w:rPr>
          <w:rFonts w:ascii="Arial" w:hAnsi="Arial" w:cs="Arial"/>
          <w:color w:val="000000"/>
          <w:sz w:val="19"/>
          <w:szCs w:val="19"/>
        </w:rPr>
        <w:t>2. Garantizar atención personal al público, como mínimo durante cuarenta (40) horas a la semana, las cuales se distribuirán en horarios que satisfagan las necesidades del servicio […]</w:t>
      </w:r>
      <w:r>
        <w:rPr>
          <w:rFonts w:ascii="Arial" w:hAnsi="Arial" w:cs="Arial"/>
          <w:color w:val="000000"/>
          <w:sz w:val="19"/>
          <w:szCs w:val="19"/>
        </w:rPr>
        <w:t>”</w:t>
      </w:r>
      <w:r w:rsidRPr="00721CE1">
        <w:rPr>
          <w:rFonts w:ascii="Arial" w:hAnsi="Arial" w:cs="Arial"/>
          <w:color w:val="000000"/>
          <w:sz w:val="19"/>
          <w:szCs w:val="19"/>
        </w:rPr>
        <w:t>.</w:t>
      </w:r>
    </w:p>
  </w:footnote>
  <w:footnote w:id="22">
    <w:p w14:paraId="5A468D7A" w14:textId="77777777" w:rsidR="00A24733" w:rsidRPr="00721CE1" w:rsidRDefault="00A24733" w:rsidP="00A24733">
      <w:pPr>
        <w:pStyle w:val="Textonotapie"/>
        <w:ind w:firstLine="708"/>
        <w:jc w:val="both"/>
        <w:rPr>
          <w:rFonts w:ascii="Arial" w:hAnsi="Arial" w:cs="Arial"/>
          <w:color w:val="000000"/>
          <w:sz w:val="19"/>
          <w:szCs w:val="19"/>
        </w:rPr>
      </w:pPr>
    </w:p>
    <w:p w14:paraId="5FAE796E" w14:textId="77777777" w:rsidR="00A24733" w:rsidRPr="00721CE1" w:rsidRDefault="00A24733" w:rsidP="00A24733">
      <w:pPr>
        <w:pStyle w:val="Textonotapie"/>
        <w:ind w:firstLine="708"/>
        <w:jc w:val="both"/>
        <w:rPr>
          <w:rFonts w:ascii="Arial" w:hAnsi="Arial" w:cs="Arial"/>
          <w:color w:val="000000"/>
          <w:sz w:val="19"/>
          <w:szCs w:val="19"/>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w:t>
      </w:r>
      <w:r>
        <w:rPr>
          <w:rFonts w:ascii="Arial" w:hAnsi="Arial" w:cs="Arial"/>
          <w:color w:val="000000"/>
          <w:sz w:val="19"/>
          <w:szCs w:val="19"/>
        </w:rPr>
        <w:t>“</w:t>
      </w:r>
      <w:r w:rsidRPr="00721CE1">
        <w:rPr>
          <w:rFonts w:ascii="Arial" w:hAnsi="Arial" w:cs="Arial"/>
          <w:color w:val="000000"/>
          <w:sz w:val="19"/>
          <w:szCs w:val="19"/>
        </w:rPr>
        <w:t xml:space="preserve">Artículo 2.2.1.1.2.1.3. Pliegos de condiciones. Los pliegos de condiciones deben contener por lo menos la siguiente información: </w:t>
      </w:r>
    </w:p>
    <w:p w14:paraId="43755152" w14:textId="77777777" w:rsidR="00A24733" w:rsidRPr="00721CE1" w:rsidRDefault="00A24733" w:rsidP="00A24733">
      <w:pPr>
        <w:pStyle w:val="Textonotapie"/>
        <w:ind w:firstLine="708"/>
        <w:jc w:val="both"/>
        <w:rPr>
          <w:rFonts w:ascii="Arial" w:hAnsi="Arial" w:cs="Arial"/>
          <w:color w:val="000000"/>
          <w:sz w:val="19"/>
          <w:szCs w:val="19"/>
        </w:rPr>
      </w:pPr>
      <w:r w:rsidRPr="00721CE1">
        <w:rPr>
          <w:rFonts w:ascii="Arial" w:hAnsi="Arial" w:cs="Arial"/>
          <w:color w:val="000000"/>
          <w:sz w:val="19"/>
          <w:szCs w:val="19"/>
        </w:rPr>
        <w:t>[…]</w:t>
      </w:r>
    </w:p>
    <w:p w14:paraId="06BD80E6" w14:textId="77777777" w:rsidR="00A24733" w:rsidRPr="00721CE1" w:rsidRDefault="00A24733" w:rsidP="00A24733">
      <w:pPr>
        <w:pStyle w:val="Textonotapie"/>
        <w:ind w:firstLine="708"/>
        <w:jc w:val="both"/>
        <w:rPr>
          <w:rFonts w:ascii="Arial" w:hAnsi="Arial" w:cs="Arial"/>
          <w:color w:val="000000"/>
          <w:sz w:val="19"/>
          <w:szCs w:val="19"/>
        </w:rPr>
      </w:pPr>
      <w:r w:rsidRPr="00721CE1">
        <w:rPr>
          <w:rFonts w:ascii="Arial" w:hAnsi="Arial" w:cs="Arial"/>
          <w:color w:val="000000"/>
          <w:sz w:val="19"/>
          <w:szCs w:val="19"/>
        </w:rPr>
        <w:t xml:space="preserve">5. Las reglas aplicables a la presentación de las ofertas, su evaluación y a la adjudicación del contrato. </w:t>
      </w:r>
    </w:p>
    <w:p w14:paraId="2F069D52" w14:textId="77777777" w:rsidR="00A24733" w:rsidRPr="00721CE1" w:rsidRDefault="00A24733" w:rsidP="00A24733">
      <w:pPr>
        <w:pStyle w:val="Textonotapie"/>
        <w:ind w:firstLine="708"/>
        <w:jc w:val="both"/>
        <w:rPr>
          <w:rFonts w:ascii="Arial" w:hAnsi="Arial" w:cs="Arial"/>
          <w:color w:val="000000"/>
          <w:sz w:val="19"/>
          <w:szCs w:val="19"/>
        </w:rPr>
      </w:pPr>
      <w:r w:rsidRPr="00721CE1">
        <w:rPr>
          <w:rFonts w:ascii="Arial" w:hAnsi="Arial" w:cs="Arial"/>
          <w:color w:val="000000"/>
          <w:sz w:val="19"/>
          <w:szCs w:val="19"/>
        </w:rPr>
        <w:t>[…]</w:t>
      </w:r>
    </w:p>
    <w:p w14:paraId="2BCE1B3F" w14:textId="77777777" w:rsidR="00A24733" w:rsidRPr="00721CE1" w:rsidRDefault="00A24733" w:rsidP="00A24733">
      <w:pPr>
        <w:pStyle w:val="Textonotapie"/>
        <w:ind w:firstLine="708"/>
        <w:jc w:val="both"/>
        <w:rPr>
          <w:rFonts w:ascii="Arial" w:hAnsi="Arial" w:cs="Arial"/>
          <w:color w:val="000000"/>
          <w:sz w:val="19"/>
          <w:szCs w:val="19"/>
        </w:rPr>
      </w:pPr>
      <w:r w:rsidRPr="00721CE1">
        <w:rPr>
          <w:rFonts w:ascii="Arial" w:hAnsi="Arial" w:cs="Arial"/>
          <w:color w:val="000000"/>
          <w:sz w:val="19"/>
          <w:szCs w:val="19"/>
        </w:rPr>
        <w:t>14. El Cronograma</w:t>
      </w:r>
      <w:r>
        <w:rPr>
          <w:rFonts w:ascii="Arial" w:hAnsi="Arial" w:cs="Arial"/>
          <w:color w:val="000000"/>
          <w:sz w:val="19"/>
          <w:szCs w:val="19"/>
        </w:rPr>
        <w:t>”</w:t>
      </w:r>
      <w:r w:rsidRPr="00721CE1">
        <w:rPr>
          <w:rFonts w:ascii="Arial" w:hAnsi="Arial" w:cs="Arial"/>
          <w:color w:val="000000"/>
          <w:sz w:val="19"/>
          <w:szCs w:val="19"/>
        </w:rPr>
        <w:t>.</w:t>
      </w:r>
    </w:p>
    <w:p w14:paraId="1CF80C2B" w14:textId="77777777" w:rsidR="00A24733" w:rsidRPr="00721CE1" w:rsidRDefault="00A24733" w:rsidP="00A24733">
      <w:pPr>
        <w:pStyle w:val="Textonotapie"/>
        <w:ind w:firstLine="708"/>
        <w:jc w:val="both"/>
        <w:rPr>
          <w:rFonts w:ascii="Arial" w:hAnsi="Arial" w:cs="Arial"/>
          <w:color w:val="000000"/>
          <w:sz w:val="19"/>
          <w:szCs w:val="19"/>
          <w:lang w:val="es-CO"/>
        </w:rPr>
      </w:pPr>
    </w:p>
  </w:footnote>
  <w:footnote w:id="23">
    <w:p w14:paraId="72F77DA6" w14:textId="77777777" w:rsidR="00A24733" w:rsidRPr="00721CE1" w:rsidRDefault="00A24733" w:rsidP="00A24733">
      <w:pPr>
        <w:pStyle w:val="Textonotapie"/>
        <w:ind w:firstLine="708"/>
        <w:jc w:val="both"/>
        <w:rPr>
          <w:rFonts w:ascii="Arial" w:hAnsi="Arial" w:cs="Arial"/>
          <w:color w:val="000000"/>
          <w:sz w:val="19"/>
          <w:szCs w:val="19"/>
        </w:rPr>
      </w:pPr>
    </w:p>
    <w:p w14:paraId="1B9C33B5" w14:textId="77777777" w:rsidR="00A24733" w:rsidRPr="00721CE1" w:rsidRDefault="00A24733" w:rsidP="00A24733">
      <w:pPr>
        <w:pStyle w:val="Textonotapie"/>
        <w:ind w:firstLine="708"/>
        <w:jc w:val="both"/>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MARÍN CORTÉS, Fabián G. Derecho de petición y procedimiento administrativo. 1</w:t>
      </w:r>
      <w:r w:rsidRPr="00721CE1">
        <w:rPr>
          <w:rFonts w:ascii="Arial" w:hAnsi="Arial" w:cs="Arial"/>
          <w:color w:val="000000"/>
          <w:sz w:val="19"/>
          <w:szCs w:val="19"/>
          <w:u w:val="single"/>
          <w:vertAlign w:val="superscript"/>
        </w:rPr>
        <w:t>a</w:t>
      </w:r>
      <w:r w:rsidRPr="00721CE1">
        <w:rPr>
          <w:rFonts w:ascii="Arial" w:hAnsi="Arial" w:cs="Arial"/>
          <w:color w:val="000000"/>
          <w:sz w:val="19"/>
          <w:szCs w:val="19"/>
        </w:rPr>
        <w:t xml:space="preserve"> ed. Medellín: Librería Jurídica Sánchez R </w:t>
      </w:r>
      <w:proofErr w:type="spellStart"/>
      <w:r w:rsidRPr="00721CE1">
        <w:rPr>
          <w:rFonts w:ascii="Arial" w:hAnsi="Arial" w:cs="Arial"/>
          <w:color w:val="000000"/>
          <w:sz w:val="19"/>
          <w:szCs w:val="19"/>
        </w:rPr>
        <w:t>Ltda</w:t>
      </w:r>
      <w:proofErr w:type="spellEnd"/>
      <w:r w:rsidRPr="00721CE1">
        <w:rPr>
          <w:rFonts w:ascii="Arial" w:hAnsi="Arial" w:cs="Arial"/>
          <w:color w:val="000000"/>
          <w:sz w:val="19"/>
          <w:szCs w:val="19"/>
        </w:rPr>
        <w:t xml:space="preserve"> y Centro de Estudios de Derecho Administrativo, 2017. p. 417.  </w:t>
      </w:r>
    </w:p>
  </w:footnote>
  <w:footnote w:id="24">
    <w:p w14:paraId="52785788" w14:textId="77777777" w:rsidR="00A24733" w:rsidRPr="00721CE1" w:rsidRDefault="00A24733" w:rsidP="00A24733">
      <w:pPr>
        <w:pStyle w:val="Textonotapie"/>
        <w:ind w:firstLine="708"/>
        <w:jc w:val="both"/>
        <w:rPr>
          <w:rFonts w:ascii="Arial" w:hAnsi="Arial" w:cs="Arial"/>
          <w:color w:val="000000"/>
          <w:sz w:val="19"/>
          <w:szCs w:val="19"/>
        </w:rPr>
      </w:pPr>
    </w:p>
    <w:p w14:paraId="6DC2DFC2" w14:textId="77777777" w:rsidR="00A24733" w:rsidRPr="00721CE1" w:rsidRDefault="00A24733" w:rsidP="00A24733">
      <w:pPr>
        <w:pStyle w:val="Textonotapie"/>
        <w:ind w:firstLine="708"/>
        <w:jc w:val="both"/>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w:t>
      </w:r>
      <w:proofErr w:type="spellStart"/>
      <w:r w:rsidRPr="00721CE1">
        <w:rPr>
          <w:rFonts w:ascii="Arial" w:hAnsi="Arial" w:cs="Arial"/>
          <w:i/>
          <w:iCs/>
          <w:color w:val="000000"/>
          <w:sz w:val="19"/>
          <w:szCs w:val="19"/>
        </w:rPr>
        <w:t>Ibídem</w:t>
      </w:r>
      <w:proofErr w:type="spellEnd"/>
      <w:r w:rsidRPr="00721CE1">
        <w:rPr>
          <w:rFonts w:ascii="Arial" w:hAnsi="Arial" w:cs="Arial"/>
          <w:i/>
          <w:iCs/>
          <w:color w:val="000000"/>
          <w:sz w:val="19"/>
          <w:szCs w:val="19"/>
        </w:rPr>
        <w:t>.</w:t>
      </w:r>
      <w:r w:rsidRPr="00721CE1">
        <w:rPr>
          <w:rFonts w:ascii="Arial" w:hAnsi="Arial" w:cs="Arial"/>
          <w:color w:val="000000"/>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978730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5C41"/>
    <w:rsid w:val="00083334"/>
    <w:rsid w:val="000956CF"/>
    <w:rsid w:val="000A683E"/>
    <w:rsid w:val="0011595A"/>
    <w:rsid w:val="001220C5"/>
    <w:rsid w:val="001267F7"/>
    <w:rsid w:val="00127233"/>
    <w:rsid w:val="0012740B"/>
    <w:rsid w:val="00130999"/>
    <w:rsid w:val="00133ECF"/>
    <w:rsid w:val="00164D81"/>
    <w:rsid w:val="00167715"/>
    <w:rsid w:val="00176856"/>
    <w:rsid w:val="001A1011"/>
    <w:rsid w:val="001A48D0"/>
    <w:rsid w:val="002653C1"/>
    <w:rsid w:val="0026611D"/>
    <w:rsid w:val="002951A0"/>
    <w:rsid w:val="002A64FD"/>
    <w:rsid w:val="002F0839"/>
    <w:rsid w:val="002F5E5D"/>
    <w:rsid w:val="00301469"/>
    <w:rsid w:val="00306EE1"/>
    <w:rsid w:val="00310B9B"/>
    <w:rsid w:val="0036461C"/>
    <w:rsid w:val="00367884"/>
    <w:rsid w:val="0039439C"/>
    <w:rsid w:val="003B69E7"/>
    <w:rsid w:val="003C013B"/>
    <w:rsid w:val="003D0F4D"/>
    <w:rsid w:val="003F58A1"/>
    <w:rsid w:val="00401034"/>
    <w:rsid w:val="00410DD6"/>
    <w:rsid w:val="004134C9"/>
    <w:rsid w:val="0043138C"/>
    <w:rsid w:val="00453D99"/>
    <w:rsid w:val="00462A59"/>
    <w:rsid w:val="004A1847"/>
    <w:rsid w:val="004B2614"/>
    <w:rsid w:val="004B6B0E"/>
    <w:rsid w:val="004D25B3"/>
    <w:rsid w:val="00511405"/>
    <w:rsid w:val="00526E9D"/>
    <w:rsid w:val="00547856"/>
    <w:rsid w:val="00547A74"/>
    <w:rsid w:val="005566E8"/>
    <w:rsid w:val="005746AB"/>
    <w:rsid w:val="0059357F"/>
    <w:rsid w:val="005A1130"/>
    <w:rsid w:val="005D65C8"/>
    <w:rsid w:val="006219F8"/>
    <w:rsid w:val="00681FDB"/>
    <w:rsid w:val="006A7DAD"/>
    <w:rsid w:val="006D70BA"/>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5342C"/>
    <w:rsid w:val="009C3457"/>
    <w:rsid w:val="009F33F2"/>
    <w:rsid w:val="009F6C77"/>
    <w:rsid w:val="00A07532"/>
    <w:rsid w:val="00A1085C"/>
    <w:rsid w:val="00A24733"/>
    <w:rsid w:val="00A309E2"/>
    <w:rsid w:val="00A8066E"/>
    <w:rsid w:val="00AA4B8A"/>
    <w:rsid w:val="00AA6BF7"/>
    <w:rsid w:val="00B01ED6"/>
    <w:rsid w:val="00B06D09"/>
    <w:rsid w:val="00B771A9"/>
    <w:rsid w:val="00B809BB"/>
    <w:rsid w:val="00B8248A"/>
    <w:rsid w:val="00BB7726"/>
    <w:rsid w:val="00BC1C32"/>
    <w:rsid w:val="00C2329E"/>
    <w:rsid w:val="00C30461"/>
    <w:rsid w:val="00C754BE"/>
    <w:rsid w:val="00C87572"/>
    <w:rsid w:val="00C9405D"/>
    <w:rsid w:val="00CB5EC7"/>
    <w:rsid w:val="00CC1B26"/>
    <w:rsid w:val="00CD284F"/>
    <w:rsid w:val="00CF23AA"/>
    <w:rsid w:val="00CF3515"/>
    <w:rsid w:val="00D01921"/>
    <w:rsid w:val="00D752B7"/>
    <w:rsid w:val="00DA1854"/>
    <w:rsid w:val="00DB0887"/>
    <w:rsid w:val="00DF1E43"/>
    <w:rsid w:val="00E20894"/>
    <w:rsid w:val="00E26B7C"/>
    <w:rsid w:val="00E87DE0"/>
    <w:rsid w:val="00EA3003"/>
    <w:rsid w:val="00EA7900"/>
    <w:rsid w:val="00EB3C91"/>
    <w:rsid w:val="00EB66DA"/>
    <w:rsid w:val="00EC7367"/>
    <w:rsid w:val="00F0394D"/>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Hipervnculo1">
    <w:name w:val="Hipervínculo1"/>
    <w:basedOn w:val="Fuentedeprrafopredeter"/>
    <w:uiPriority w:val="99"/>
    <w:unhideWhenUsed/>
    <w:rsid w:val="00A24733"/>
    <w:rPr>
      <w:color w:val="F2F2F2"/>
      <w:u w:val="single"/>
    </w:rPr>
  </w:style>
  <w:style w:type="paragraph" w:customStyle="1" w:styleId="Appelnotedebasde">
    <w:name w:val="Appel note de bas de..."/>
    <w:basedOn w:val="Normal"/>
    <w:link w:val="Refdenotaalpie"/>
    <w:uiPriority w:val="99"/>
    <w:rsid w:val="00A24733"/>
    <w:pPr>
      <w:spacing w:line="240" w:lineRule="exact"/>
    </w:pPr>
    <w:rPr>
      <w:vertAlign w:val="superscript"/>
    </w:rPr>
  </w:style>
  <w:style w:type="table" w:customStyle="1" w:styleId="Tablaconcuadrcula3">
    <w:name w:val="Tabla con cuadrícula3"/>
    <w:basedOn w:val="Tablanormal"/>
    <w:next w:val="Tablaconcuadrcula"/>
    <w:uiPriority w:val="59"/>
    <w:qFormat/>
    <w:rsid w:val="00A24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semiHidden/>
    <w:unhideWhenUsed/>
    <w:rsid w:val="00A247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16096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2567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dle.rae.es/h%C3%A1b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7FE8DB04-C688-4A6E-8D78-5A143867C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openxmlformats.org/package/2006/metadata/core-properties"/>
    <ds:schemaRef ds:uri="http://schemas.microsoft.com/office/2006/metadata/properties"/>
    <ds:schemaRef ds:uri="http://purl.org/dc/terms/"/>
    <ds:schemaRef ds:uri="http://purl.org/dc/dcmitype/"/>
    <ds:schemaRef ds:uri="http://schemas.microsoft.com/office/2006/documentManagement/types"/>
    <ds:schemaRef ds:uri="http://purl.org/dc/elements/1.1/"/>
    <ds:schemaRef ds:uri="http://www.w3.org/XML/1998/namespace"/>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6481</Words>
  <Characters>35649</Characters>
  <Application>Microsoft Office Word</Application>
  <DocSecurity>0</DocSecurity>
  <Lines>297</Lines>
  <Paragraphs>84</Paragraphs>
  <ScaleCrop>false</ScaleCrop>
  <Company/>
  <LinksUpToDate>false</LinksUpToDate>
  <CharactersWithSpaces>42046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6</cp:revision>
  <dcterms:created xsi:type="dcterms:W3CDTF">2023-05-24T18:11:00Z</dcterms:created>
  <dcterms:modified xsi:type="dcterms:W3CDTF">2023-05-24T18:16:00Z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