
<file path=[Content_Types].xml><?xml version="1.0" encoding="utf-8"?>
<Types xmlns="http://schemas.openxmlformats.org/package/2006/content-types">
  <Default Extension="gif" ContentType="image/gi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0EED32C" w14:textId="53A175BA" w:rsidR="006773CD" w:rsidRPr="006773CD" w:rsidRDefault="006773CD" w:rsidP="00011788">
      <w:pPr>
        <w:spacing w:after="0"/>
        <w:jc w:val="both"/>
        <w:rPr>
          <w:rFonts w:ascii="Verdana" w:hAnsi="Verdana"/>
        </w:rPr>
      </w:pPr>
      <w:bookmarkStart w:id="0" w:name="_Hlk143780582"/>
      <w:r w:rsidRPr="006773CD">
        <w:rPr>
          <w:rFonts w:ascii="Verdana" w:eastAsia="Calibri" w:hAnsi="Verdana" w:cs="Arial"/>
          <w:b/>
          <w:bCs/>
          <w:kern w:val="2"/>
          <w:lang w:val="es-ES"/>
          <w14:ligatures w14:val="standardContextual"/>
        </w:rPr>
        <w:t>PAGO ANTICIPADO Y/O ANTICIPO – Régimen legal – Facultad – Pacto – Límites</w:t>
      </w:r>
    </w:p>
    <w:p w14:paraId="4528366C" w14:textId="77777777" w:rsidR="006773CD" w:rsidRPr="006773CD" w:rsidRDefault="006773CD" w:rsidP="006773CD">
      <w:pPr>
        <w:spacing w:after="0" w:line="276" w:lineRule="auto"/>
        <w:jc w:val="both"/>
        <w:rPr>
          <w:rFonts w:ascii="Verdana" w:eastAsia="Calibri" w:hAnsi="Verdana" w:cs="Arial"/>
          <w:b/>
          <w:bCs/>
          <w:kern w:val="2"/>
          <w:lang w:val="es-ES"/>
          <w14:ligatures w14:val="standardContextual"/>
        </w:rPr>
      </w:pPr>
    </w:p>
    <w:p w14:paraId="32BC953E" w14:textId="3D5FF58C" w:rsidR="006773CD" w:rsidRPr="006773CD" w:rsidRDefault="00104C0A" w:rsidP="006773CD">
      <w:pPr>
        <w:spacing w:after="120" w:line="240" w:lineRule="auto"/>
        <w:jc w:val="both"/>
        <w:rPr>
          <w:rFonts w:ascii="Verdana" w:eastAsia="Calibri" w:hAnsi="Verdana" w:cs="Arial"/>
          <w:sz w:val="20"/>
          <w:szCs w:val="20"/>
          <w:lang w:val="es-ES"/>
        </w:rPr>
      </w:pPr>
      <w:r w:rsidRPr="00104C0A">
        <w:rPr>
          <w:rFonts w:ascii="Verdana" w:eastAsia="Calibri" w:hAnsi="Verdana" w:cs="Arial"/>
          <w:sz w:val="20"/>
          <w:szCs w:val="20"/>
          <w:lang w:val="es-ES"/>
        </w:rPr>
        <w:t xml:space="preserve">Establecida la naturaleza y alcance de los conceptos de pago anticipado y el anticipo, los mismos pueden ser definidos así: i) El pago anticipado es un pago efectivo del precio que se efectúa y se causa en forma anticipada. Por tanto, los recursos se integran al patrimonio del contratista desde su desembolso. </w:t>
      </w:r>
      <w:proofErr w:type="spellStart"/>
      <w:r w:rsidRPr="00104C0A">
        <w:rPr>
          <w:rFonts w:ascii="Verdana" w:eastAsia="Calibri" w:hAnsi="Verdana" w:cs="Arial"/>
          <w:sz w:val="20"/>
          <w:szCs w:val="20"/>
          <w:lang w:val="es-ES"/>
        </w:rPr>
        <w:t>ii</w:t>
      </w:r>
      <w:proofErr w:type="spellEnd"/>
      <w:r w:rsidRPr="00104C0A">
        <w:rPr>
          <w:rFonts w:ascii="Verdana" w:eastAsia="Calibri" w:hAnsi="Verdana" w:cs="Arial"/>
          <w:sz w:val="20"/>
          <w:szCs w:val="20"/>
          <w:lang w:val="es-ES"/>
        </w:rPr>
        <w:t>) El anticipo es un adelanto o avance del precio del contrato destinado a apalancar el cumplimiento de su objeto, de modo que los recursos entregados por dicho concepto solo se integran al patrimonio del contratista en la medida que se cause su amortización, mediante la ejecución de actividades programadas del contrato.</w:t>
      </w:r>
    </w:p>
    <w:p w14:paraId="07B6345C" w14:textId="77777777" w:rsidR="006773CD" w:rsidRPr="006773CD" w:rsidRDefault="006773CD" w:rsidP="006773CD">
      <w:pPr>
        <w:spacing w:after="0" w:line="276" w:lineRule="auto"/>
        <w:jc w:val="both"/>
        <w:rPr>
          <w:rFonts w:ascii="Verdana" w:eastAsia="Aptos" w:hAnsi="Verdana" w:cs="Arial"/>
          <w:bCs/>
          <w:color w:val="000000"/>
          <w:kern w:val="2"/>
          <w:lang w:val="es-ES_tradnl"/>
          <w14:ligatures w14:val="standardContextual"/>
        </w:rPr>
      </w:pPr>
      <w:r w:rsidRPr="006773CD">
        <w:rPr>
          <w:rFonts w:ascii="Verdana" w:eastAsia="Calibri" w:hAnsi="Verdana" w:cs="Arial"/>
          <w:b/>
          <w:bCs/>
          <w:kern w:val="2"/>
          <w:lang w:val="es-ES"/>
          <w14:ligatures w14:val="standardContextual"/>
        </w:rPr>
        <w:t xml:space="preserve"> </w:t>
      </w:r>
    </w:p>
    <w:p w14:paraId="74034FD0" w14:textId="77777777" w:rsidR="006773CD" w:rsidRPr="006773CD" w:rsidRDefault="006773CD" w:rsidP="006773CD">
      <w:pPr>
        <w:shd w:val="clear" w:color="auto" w:fill="FFFFFF"/>
        <w:spacing w:after="0" w:line="276" w:lineRule="auto"/>
        <w:contextualSpacing/>
        <w:jc w:val="both"/>
        <w:rPr>
          <w:rFonts w:ascii="Verdana" w:eastAsia="Calibri" w:hAnsi="Verdana" w:cs="Arial"/>
          <w:b/>
          <w:kern w:val="2"/>
          <w:lang w:val="es-MX" w:eastAsia="es-ES_tradnl"/>
          <w14:ligatures w14:val="standardContextual"/>
        </w:rPr>
      </w:pPr>
      <w:r w:rsidRPr="006773CD">
        <w:rPr>
          <w:rFonts w:ascii="Verdana" w:eastAsia="Calibri" w:hAnsi="Verdana" w:cs="Arial"/>
          <w:b/>
          <w:kern w:val="2"/>
          <w:lang w:val="es-MX" w:eastAsia="es-ES_tradnl"/>
          <w14:ligatures w14:val="standardContextual"/>
        </w:rPr>
        <w:t xml:space="preserve">LEY 2166 DE 2021 – Organismos de Acción Comunal – Artículo 95 – Convenios solidarios – Contratación directa – Contratos de obra – Menor cuantía </w:t>
      </w:r>
    </w:p>
    <w:p w14:paraId="7392219A" w14:textId="77777777" w:rsidR="006773CD" w:rsidRDefault="006773CD" w:rsidP="006773CD">
      <w:pPr>
        <w:spacing w:after="0" w:line="240" w:lineRule="auto"/>
        <w:jc w:val="both"/>
        <w:rPr>
          <w:rFonts w:ascii="Verdana" w:eastAsia="Aptos" w:hAnsi="Verdana" w:cs="Arial"/>
          <w:bCs/>
          <w:color w:val="000000"/>
          <w:sz w:val="20"/>
          <w:szCs w:val="20"/>
          <w:lang w:eastAsia="es-MX"/>
        </w:rPr>
      </w:pPr>
    </w:p>
    <w:p w14:paraId="059AE18E" w14:textId="3CB890AC" w:rsidR="00104C0A" w:rsidRPr="00104C0A" w:rsidRDefault="00104C0A" w:rsidP="00104C0A">
      <w:pPr>
        <w:shd w:val="clear" w:color="auto" w:fill="FFFFFF"/>
        <w:snapToGrid w:val="0"/>
        <w:spacing w:after="120" w:line="240" w:lineRule="auto"/>
        <w:jc w:val="both"/>
        <w:rPr>
          <w:rFonts w:ascii="Verdana" w:eastAsia="Calibri" w:hAnsi="Verdana" w:cs="Arial"/>
          <w:color w:val="000000"/>
          <w:sz w:val="20"/>
          <w:szCs w:val="20"/>
          <w:lang w:val="es-ES_tradnl"/>
        </w:rPr>
      </w:pPr>
      <w:r w:rsidRPr="00104C0A">
        <w:rPr>
          <w:rFonts w:ascii="Verdana" w:eastAsia="Aptos" w:hAnsi="Verdana" w:cs="Arial"/>
          <w:bCs/>
          <w:color w:val="000000"/>
          <w:sz w:val="20"/>
          <w:szCs w:val="20"/>
          <w:lang w:eastAsia="es-MX"/>
        </w:rPr>
        <w:t xml:space="preserve">Según se evidencia, esta norma desarrolla las siguientes reglas: i) las </w:t>
      </w:r>
      <w:r w:rsidRPr="00104C0A">
        <w:rPr>
          <w:rFonts w:ascii="Verdana" w:eastAsia="Calibri" w:hAnsi="Verdana" w:cs="Arial"/>
          <w:color w:val="000000"/>
          <w:sz w:val="20"/>
          <w:szCs w:val="20"/>
          <w:lang w:val="es-ES_tradnl"/>
        </w:rPr>
        <w:t>“</w:t>
      </w:r>
      <w:r w:rsidRPr="00104C0A">
        <w:rPr>
          <w:rFonts w:ascii="Verdana" w:eastAsia="Aptos" w:hAnsi="Verdana" w:cs="Arial"/>
          <w:bCs/>
          <w:color w:val="000000"/>
          <w:sz w:val="20"/>
          <w:szCs w:val="20"/>
          <w:lang w:eastAsia="es-MX"/>
        </w:rPr>
        <w:t>entidades del</w:t>
      </w:r>
      <w:r w:rsidRPr="00104C0A">
        <w:rPr>
          <w:rFonts w:ascii="Verdana" w:eastAsia="Calibri" w:hAnsi="Verdana" w:cs="Arial"/>
          <w:color w:val="000000"/>
          <w:sz w:val="20"/>
          <w:szCs w:val="20"/>
          <w:lang w:val="es-ES_tradnl"/>
        </w:rPr>
        <w:t xml:space="preserve"> </w:t>
      </w:r>
      <w:r w:rsidRPr="00104C0A">
        <w:rPr>
          <w:rFonts w:ascii="Verdana" w:eastAsia="Aptos" w:hAnsi="Verdana" w:cs="Arial"/>
          <w:color w:val="000000"/>
          <w:sz w:val="20"/>
          <w:szCs w:val="20"/>
        </w:rPr>
        <w:t>orden Nacional, Departamental, Distrital y municipal</w:t>
      </w:r>
      <w:r w:rsidRPr="00104C0A">
        <w:rPr>
          <w:rFonts w:ascii="Verdana" w:eastAsia="Calibri" w:hAnsi="Verdana" w:cs="Arial"/>
          <w:color w:val="000000"/>
          <w:sz w:val="20"/>
          <w:szCs w:val="20"/>
          <w:lang w:val="es-ES_tradnl"/>
        </w:rPr>
        <w:t xml:space="preserve">” y los organismos de acción comunal podrán celebrar directamente convenios solidarios, es decir, la modalidad de contratación establecida para este caso es la contratación directa. Para el efecto, debe tenerse en cuenta la clasificación que realiza el artículo 7 de la Ley 2166 de 2021 de los organismos de acción comunal, de manera que la celebración de estos convenios puede realizarse con cualquiera de los organismos de acción comunal allí contemplados, pues la norma se refiere de forma general a los </w:t>
      </w:r>
      <w:r w:rsidRPr="00104C0A">
        <w:rPr>
          <w:rFonts w:ascii="Verdana" w:eastAsia="Calibri" w:hAnsi="Verdana" w:cs="Arial"/>
          <w:i/>
          <w:iCs/>
          <w:color w:val="000000"/>
          <w:sz w:val="20"/>
          <w:szCs w:val="20"/>
          <w:lang w:val="es-ES_tradnl"/>
        </w:rPr>
        <w:t>organismos de acción comunal</w:t>
      </w:r>
      <w:r w:rsidRPr="00104C0A">
        <w:rPr>
          <w:rFonts w:ascii="Verdana" w:eastAsia="Calibri" w:hAnsi="Verdana" w:cs="Arial"/>
          <w:color w:val="000000"/>
          <w:sz w:val="20"/>
          <w:szCs w:val="20"/>
          <w:lang w:val="es-ES_tradnl"/>
        </w:rPr>
        <w:t xml:space="preserve">. </w:t>
      </w:r>
      <w:proofErr w:type="spellStart"/>
      <w:r w:rsidRPr="00104C0A">
        <w:rPr>
          <w:rFonts w:ascii="Verdana" w:eastAsia="Calibri" w:hAnsi="Verdana" w:cs="Arial"/>
          <w:color w:val="000000"/>
          <w:sz w:val="20"/>
          <w:szCs w:val="20"/>
          <w:lang w:val="es-ES_tradnl"/>
        </w:rPr>
        <w:t>ii</w:t>
      </w:r>
      <w:proofErr w:type="spellEnd"/>
      <w:r w:rsidRPr="00104C0A">
        <w:rPr>
          <w:rFonts w:ascii="Verdana" w:eastAsia="Calibri" w:hAnsi="Verdana" w:cs="Arial"/>
          <w:color w:val="000000"/>
          <w:sz w:val="20"/>
          <w:szCs w:val="20"/>
          <w:lang w:val="es-ES_tradnl"/>
        </w:rPr>
        <w:t xml:space="preserve">) Estos convenios solidarios deben tener por objeto únicamente la ejecución de obras. Esto significa que no pueden desarrollarse otros objetos distintos a la obra con fundamento en este artículo. </w:t>
      </w:r>
      <w:proofErr w:type="spellStart"/>
      <w:r w:rsidRPr="00104C0A">
        <w:rPr>
          <w:rFonts w:ascii="Verdana" w:eastAsia="Calibri" w:hAnsi="Verdana" w:cs="Arial"/>
          <w:color w:val="000000"/>
          <w:sz w:val="20"/>
          <w:szCs w:val="20"/>
          <w:lang w:val="es-ES_tradnl"/>
        </w:rPr>
        <w:t>iii</w:t>
      </w:r>
      <w:proofErr w:type="spellEnd"/>
      <w:r w:rsidRPr="00104C0A">
        <w:rPr>
          <w:rFonts w:ascii="Verdana" w:eastAsia="Calibri" w:hAnsi="Verdana" w:cs="Arial"/>
          <w:color w:val="000000"/>
          <w:sz w:val="20"/>
          <w:szCs w:val="20"/>
          <w:lang w:val="es-ES_tradnl"/>
        </w:rPr>
        <w:t xml:space="preserve">) El convenio solidario tiene un límite consistente en que no podrá exceder la menor cuantía de la entidad. Por tanto, los sujetos señalados en la norma están facultados para celebrar estos convenios por la mínima o la menor cuantía de la entidad, para lo cual se atenderá lo previsto en el literal b) del artículo 2 de la Ley 1150 de 2007 para determinar el tope de la menor cuantía de la entidad estatal. </w:t>
      </w:r>
      <w:proofErr w:type="spellStart"/>
      <w:r w:rsidRPr="00104C0A">
        <w:rPr>
          <w:rFonts w:ascii="Verdana" w:eastAsia="Calibri" w:hAnsi="Verdana" w:cs="Arial"/>
          <w:color w:val="000000"/>
          <w:sz w:val="20"/>
          <w:szCs w:val="20"/>
          <w:lang w:val="es-ES_tradnl"/>
        </w:rPr>
        <w:t>iv</w:t>
      </w:r>
      <w:proofErr w:type="spellEnd"/>
      <w:r w:rsidRPr="00104C0A">
        <w:rPr>
          <w:rFonts w:ascii="Verdana" w:eastAsia="Calibri" w:hAnsi="Verdana" w:cs="Arial"/>
          <w:color w:val="000000"/>
          <w:sz w:val="20"/>
          <w:szCs w:val="20"/>
          <w:lang w:val="es-ES_tradnl"/>
        </w:rPr>
        <w:t>) Para la ejecución de las obras se establece el deber de contratar con los habitantes de la comunidad. v) En el valor total del convenio la entidad podrá incluir los costos directos, los costos administrativos y el subsidio al dignatario representante legal para transportes de que trata el literal c) del artículo 38 de la Ley 2166 de 2021. Estos costos deberán incluirse en el ejercicio de planeación que realice la entidad y estar debidamente justificados. vi) Las entidades deberán contar con personal técnico y administrativo-contable para apoyar y supervisar a los organismos de acción comunal durante la ejecución de las obras. De acuerdo con el parágrafo 2 del artículo 95 de la Ley 2166 de 2021, para garantizar este personal de apoyo las Entidades Estatales deben contar con unos recursos adicionales a los comprendidos dentro del valor del Convenio Solidario.</w:t>
      </w:r>
    </w:p>
    <w:p w14:paraId="025ABBD2" w14:textId="77777777" w:rsidR="00104C0A" w:rsidRPr="006773CD" w:rsidRDefault="00104C0A" w:rsidP="006773CD">
      <w:pPr>
        <w:spacing w:after="0" w:line="240" w:lineRule="auto"/>
        <w:jc w:val="both"/>
        <w:rPr>
          <w:rFonts w:ascii="Verdana" w:eastAsia="Geomanist Light" w:hAnsi="Verdana" w:cs="Arial"/>
          <w:sz w:val="20"/>
          <w:szCs w:val="20"/>
          <w:lang w:val="es-ES_tradnl"/>
        </w:rPr>
      </w:pPr>
    </w:p>
    <w:p w14:paraId="481FF845" w14:textId="77777777" w:rsidR="006773CD" w:rsidRPr="006773CD" w:rsidRDefault="006773CD" w:rsidP="006773CD">
      <w:pPr>
        <w:spacing w:after="0" w:line="240" w:lineRule="auto"/>
        <w:jc w:val="both"/>
        <w:rPr>
          <w:rFonts w:ascii="Verdana" w:eastAsia="Geomanist Light" w:hAnsi="Verdana" w:cs="Arial"/>
          <w:sz w:val="20"/>
          <w:szCs w:val="20"/>
          <w:lang w:val="es-ES_tradnl"/>
        </w:rPr>
      </w:pPr>
    </w:p>
    <w:p w14:paraId="0D845B7E" w14:textId="77777777" w:rsidR="006773CD" w:rsidRPr="006773CD" w:rsidRDefault="006773CD" w:rsidP="006773CD">
      <w:pPr>
        <w:spacing w:after="0" w:line="240" w:lineRule="auto"/>
        <w:jc w:val="both"/>
        <w:rPr>
          <w:rFonts w:ascii="Verdana" w:eastAsia="Calibri" w:hAnsi="Verdana" w:cs="Times New Roman"/>
          <w:lang w:val="es-ES_tradnl"/>
        </w:rPr>
      </w:pPr>
    </w:p>
    <w:p w14:paraId="5DD3A7EA" w14:textId="578827CB" w:rsidR="006773CD" w:rsidRDefault="00011788" w:rsidP="006773CD">
      <w:pPr>
        <w:spacing w:after="0" w:line="240" w:lineRule="auto"/>
        <w:jc w:val="both"/>
        <w:rPr>
          <w:rFonts w:ascii="Verdana" w:hAnsi="Verdana"/>
        </w:rPr>
      </w:pPr>
      <w:r w:rsidRPr="402DCF4E">
        <w:rPr>
          <w:rFonts w:ascii="Verdana" w:hAnsi="Verdana"/>
        </w:rPr>
        <w:lastRenderedPageBreak/>
        <w:t>Bogotá D.C.</w:t>
      </w:r>
    </w:p>
    <w:p w14:paraId="755057FA" w14:textId="77777777" w:rsidR="00011788" w:rsidRDefault="00011788" w:rsidP="006773CD">
      <w:pPr>
        <w:spacing w:after="0" w:line="240" w:lineRule="auto"/>
        <w:jc w:val="both"/>
        <w:rPr>
          <w:rFonts w:ascii="Verdana" w:eastAsia="Calibri" w:hAnsi="Verdana" w:cs="Arial"/>
          <w:lang w:val="es-ES_tradnl" w:eastAsia="es-ES"/>
        </w:rPr>
      </w:pPr>
    </w:p>
    <w:p w14:paraId="423D48F4" w14:textId="3266522F" w:rsidR="000E3D58" w:rsidRPr="006773CD" w:rsidRDefault="00BF027C" w:rsidP="00BF027C">
      <w:pPr>
        <w:spacing w:after="0" w:line="240" w:lineRule="auto"/>
        <w:jc w:val="right"/>
        <w:rPr>
          <w:rFonts w:ascii="Verdana" w:eastAsia="Calibri" w:hAnsi="Verdana" w:cs="Arial"/>
          <w:lang w:val="es-ES_tradnl" w:eastAsia="es-ES"/>
        </w:rPr>
      </w:pPr>
      <w:r>
        <w:rPr>
          <w:rFonts w:ascii="Verdana" w:eastAsia="Calibri" w:hAnsi="Verdana" w:cs="Arial"/>
          <w:noProof/>
          <w:lang w:val="es-ES_tradnl" w:eastAsia="es-ES"/>
        </w:rPr>
        <w:drawing>
          <wp:inline distT="0" distB="0" distL="0" distR="0" wp14:anchorId="1A6BB06A" wp14:editId="561199B3">
            <wp:extent cx="3640470" cy="1076051"/>
            <wp:effectExtent l="0" t="0" r="4445" b="3810"/>
            <wp:docPr id="1698368537"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98368537" name="Imagen 1698368537"/>
                    <pic:cNvPicPr/>
                  </pic:nvPicPr>
                  <pic:blipFill>
                    <a:blip r:embed="rId10">
                      <a:extLst>
                        <a:ext uri="{28A0092B-C50C-407E-A947-70E740481C1C}">
                          <a14:useLocalDpi xmlns:a14="http://schemas.microsoft.com/office/drawing/2010/main" val="0"/>
                        </a:ext>
                      </a:extLst>
                    </a:blip>
                    <a:stretch>
                      <a:fillRect/>
                    </a:stretch>
                  </pic:blipFill>
                  <pic:spPr>
                    <a:xfrm>
                      <a:off x="0" y="0"/>
                      <a:ext cx="3656004" cy="1080643"/>
                    </a:xfrm>
                    <a:prstGeom prst="rect">
                      <a:avLst/>
                    </a:prstGeom>
                  </pic:spPr>
                </pic:pic>
              </a:graphicData>
            </a:graphic>
          </wp:inline>
        </w:drawing>
      </w:r>
    </w:p>
    <w:p w14:paraId="1BDD9A6C" w14:textId="77777777" w:rsidR="006773CD" w:rsidRPr="006773CD" w:rsidRDefault="006773CD" w:rsidP="006773CD">
      <w:pPr>
        <w:spacing w:after="0" w:line="240" w:lineRule="auto"/>
        <w:jc w:val="both"/>
        <w:rPr>
          <w:rFonts w:ascii="Verdana" w:eastAsia="Calibri" w:hAnsi="Verdana" w:cs="Arial"/>
          <w:lang w:val="es-ES_tradnl" w:eastAsia="es-ES"/>
        </w:rPr>
      </w:pPr>
    </w:p>
    <w:p w14:paraId="1F79CF9E" w14:textId="77777777" w:rsidR="006773CD" w:rsidRPr="006773CD" w:rsidRDefault="006773CD" w:rsidP="006773CD">
      <w:pPr>
        <w:spacing w:after="0" w:line="240" w:lineRule="auto"/>
        <w:jc w:val="both"/>
        <w:rPr>
          <w:rFonts w:ascii="Verdana" w:eastAsia="Calibri" w:hAnsi="Verdana" w:cs="Arial"/>
          <w:lang w:val="es-ES_tradnl" w:eastAsia="es-ES"/>
        </w:rPr>
      </w:pPr>
      <w:r w:rsidRPr="006773CD">
        <w:rPr>
          <w:rFonts w:ascii="Verdana" w:eastAsia="Calibri" w:hAnsi="Verdana" w:cs="Arial"/>
          <w:lang w:val="es-ES_tradnl" w:eastAsia="es-ES"/>
        </w:rPr>
        <w:t>Señor</w:t>
      </w:r>
    </w:p>
    <w:p w14:paraId="1F1EA496" w14:textId="77777777" w:rsidR="006773CD" w:rsidRPr="006773CD" w:rsidRDefault="006773CD" w:rsidP="006773CD">
      <w:pPr>
        <w:spacing w:after="0" w:line="240" w:lineRule="auto"/>
        <w:rPr>
          <w:rFonts w:ascii="Verdana" w:eastAsia="Calibri" w:hAnsi="Verdana" w:cs="Arial"/>
          <w:b/>
          <w:lang w:val="es-ES_tradnl" w:eastAsia="es-ES_tradnl"/>
        </w:rPr>
      </w:pPr>
      <w:r w:rsidRPr="006773CD">
        <w:rPr>
          <w:rFonts w:ascii="Verdana" w:eastAsia="Calibri" w:hAnsi="Verdana" w:cs="Arial"/>
          <w:b/>
          <w:lang w:val="es-ES_tradnl" w:eastAsia="es-ES_tradnl"/>
        </w:rPr>
        <w:t>Richard Mancera</w:t>
      </w:r>
    </w:p>
    <w:p w14:paraId="759CCD34" w14:textId="77777777" w:rsidR="006773CD" w:rsidRPr="006773CD" w:rsidRDefault="006773CD" w:rsidP="006773CD">
      <w:pPr>
        <w:spacing w:after="0" w:line="240" w:lineRule="auto"/>
        <w:rPr>
          <w:rFonts w:ascii="Verdana" w:eastAsia="Calibri" w:hAnsi="Verdana" w:cs="Arial"/>
          <w:lang w:val="es-ES_tradnl" w:eastAsia="es-ES"/>
        </w:rPr>
      </w:pPr>
      <w:r w:rsidRPr="006773CD">
        <w:rPr>
          <w:rFonts w:ascii="Verdana" w:eastAsia="Calibri" w:hAnsi="Verdana" w:cs="Arial"/>
          <w:lang w:val="es-ES_tradnl" w:eastAsia="es-ES"/>
        </w:rPr>
        <w:t>Acacías, Meta</w:t>
      </w:r>
    </w:p>
    <w:p w14:paraId="1B79455F" w14:textId="77777777" w:rsidR="006773CD" w:rsidRPr="006773CD" w:rsidRDefault="006773CD" w:rsidP="006773CD">
      <w:pPr>
        <w:spacing w:after="0" w:line="240" w:lineRule="auto"/>
        <w:rPr>
          <w:rFonts w:ascii="Verdana" w:eastAsia="Calibri" w:hAnsi="Verdana" w:cs="Arial"/>
          <w:b/>
          <w:bCs/>
          <w:lang w:val="es-ES_tradnl" w:eastAsia="es-ES_tradnl"/>
        </w:rPr>
      </w:pPr>
    </w:p>
    <w:p w14:paraId="1666FC32" w14:textId="77777777" w:rsidR="006773CD" w:rsidRPr="006773CD" w:rsidRDefault="006773CD" w:rsidP="006773CD">
      <w:pPr>
        <w:spacing w:after="0" w:line="240" w:lineRule="auto"/>
        <w:rPr>
          <w:rFonts w:ascii="Verdana" w:eastAsia="Calibri" w:hAnsi="Verdana" w:cs="Arial"/>
          <w:b/>
          <w:bCs/>
          <w:lang w:val="es-ES_tradnl" w:eastAsia="es-ES_tradnl"/>
        </w:rPr>
      </w:pPr>
    </w:p>
    <w:tbl>
      <w:tblPr>
        <w:tblStyle w:val="Tablaconcuadrcula"/>
        <w:tblW w:w="878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689"/>
        <w:gridCol w:w="6100"/>
      </w:tblGrid>
      <w:tr w:rsidR="006773CD" w:rsidRPr="006773CD" w14:paraId="1868DB91" w14:textId="77777777" w:rsidTr="004A5C4A">
        <w:trPr>
          <w:trHeight w:val="884"/>
        </w:trPr>
        <w:tc>
          <w:tcPr>
            <w:tcW w:w="2689" w:type="dxa"/>
          </w:tcPr>
          <w:p w14:paraId="07E5C3DD" w14:textId="77777777" w:rsidR="006773CD" w:rsidRPr="006773CD" w:rsidRDefault="006773CD" w:rsidP="006773CD">
            <w:pPr>
              <w:jc w:val="both"/>
              <w:rPr>
                <w:rFonts w:ascii="Verdana" w:eastAsia="Calibri" w:hAnsi="Verdana" w:cs="Arial"/>
                <w:b/>
                <w:bCs/>
                <w:lang w:val="es-ES_tradnl" w:eastAsia="es-ES_tradnl"/>
              </w:rPr>
            </w:pPr>
          </w:p>
        </w:tc>
        <w:tc>
          <w:tcPr>
            <w:tcW w:w="6100" w:type="dxa"/>
          </w:tcPr>
          <w:p w14:paraId="1497A385" w14:textId="77777777" w:rsidR="006773CD" w:rsidRPr="006773CD" w:rsidRDefault="006773CD" w:rsidP="006773CD">
            <w:pPr>
              <w:jc w:val="both"/>
              <w:rPr>
                <w:rFonts w:ascii="Verdana" w:eastAsia="Calibri" w:hAnsi="Verdana" w:cs="Arial"/>
                <w:b/>
                <w:bCs/>
                <w:lang w:val="es-ES_tradnl" w:eastAsia="es-ES"/>
              </w:rPr>
            </w:pPr>
            <w:r w:rsidRPr="006773CD">
              <w:rPr>
                <w:rFonts w:ascii="Verdana" w:eastAsia="Calibri" w:hAnsi="Verdana" w:cs="Arial"/>
                <w:b/>
                <w:bCs/>
                <w:lang w:val="es-ES_tradnl" w:eastAsia="es-ES"/>
              </w:rPr>
              <w:t>Concepto C – 067 de 2025</w:t>
            </w:r>
          </w:p>
        </w:tc>
      </w:tr>
      <w:tr w:rsidR="006773CD" w:rsidRPr="006773CD" w14:paraId="39461A15" w14:textId="77777777" w:rsidTr="004A5C4A">
        <w:trPr>
          <w:trHeight w:val="884"/>
        </w:trPr>
        <w:tc>
          <w:tcPr>
            <w:tcW w:w="2689" w:type="dxa"/>
          </w:tcPr>
          <w:p w14:paraId="09BC10A3" w14:textId="77777777" w:rsidR="006773CD" w:rsidRPr="006773CD" w:rsidRDefault="006773CD" w:rsidP="006773CD">
            <w:pPr>
              <w:jc w:val="both"/>
              <w:rPr>
                <w:rFonts w:ascii="Verdana" w:eastAsia="Calibri" w:hAnsi="Verdana" w:cs="Arial"/>
                <w:lang w:val="es-ES_tradnl" w:eastAsia="es-ES_tradnl"/>
              </w:rPr>
            </w:pPr>
            <w:r w:rsidRPr="006773CD">
              <w:rPr>
                <w:rFonts w:ascii="Verdana" w:eastAsia="Calibri" w:hAnsi="Verdana" w:cs="Arial"/>
                <w:b/>
                <w:lang w:val="es-ES_tradnl" w:eastAsia="es-ES_tradnl"/>
              </w:rPr>
              <w:t>Temas:</w:t>
            </w:r>
            <w:r w:rsidRPr="006773CD">
              <w:rPr>
                <w:rFonts w:ascii="Verdana" w:eastAsia="Calibri" w:hAnsi="Verdana" w:cs="Arial"/>
                <w:lang w:val="es-ES_tradnl" w:eastAsia="es-ES_tradnl"/>
              </w:rPr>
              <w:t xml:space="preserve">                   </w:t>
            </w:r>
          </w:p>
        </w:tc>
        <w:tc>
          <w:tcPr>
            <w:tcW w:w="6100" w:type="dxa"/>
          </w:tcPr>
          <w:p w14:paraId="0ED6F138" w14:textId="77777777" w:rsidR="006773CD" w:rsidRPr="006773CD" w:rsidRDefault="006773CD" w:rsidP="006773CD">
            <w:pPr>
              <w:shd w:val="clear" w:color="auto" w:fill="FFFFFF"/>
              <w:spacing w:line="276" w:lineRule="auto"/>
              <w:contextualSpacing/>
              <w:jc w:val="both"/>
              <w:rPr>
                <w:rFonts w:ascii="Verdana" w:eastAsia="Calibri" w:hAnsi="Verdana" w:cs="Arial"/>
                <w:kern w:val="2"/>
                <w:lang w:val="es-MX" w:eastAsia="es-ES_tradnl"/>
                <w14:ligatures w14:val="standardContextual"/>
              </w:rPr>
            </w:pPr>
            <w:r w:rsidRPr="006773CD">
              <w:rPr>
                <w:rFonts w:ascii="Verdana" w:eastAsia="Calibri" w:hAnsi="Verdana" w:cs="Arial"/>
                <w:lang w:val="es-ES"/>
              </w:rPr>
              <w:t xml:space="preserve">PAGO ANTICIPADO Y/O ANTICIPO – Régimen legal – Facultad – Pacto – Límites / </w:t>
            </w:r>
            <w:r w:rsidRPr="006773CD">
              <w:rPr>
                <w:rFonts w:ascii="Verdana" w:eastAsia="Calibri" w:hAnsi="Verdana" w:cs="Arial"/>
                <w:kern w:val="2"/>
                <w:lang w:val="es-MX" w:eastAsia="es-ES_tradnl"/>
                <w14:ligatures w14:val="standardContextual"/>
              </w:rPr>
              <w:t xml:space="preserve">LEY 2166 DE 2021 – Organismos de Acción Comunal – Artículo 95 – Convenios solidarios – Contratación directa – Contratos de obra – Menor cuantía </w:t>
            </w:r>
          </w:p>
          <w:p w14:paraId="66F0A711" w14:textId="77777777" w:rsidR="006773CD" w:rsidRPr="006773CD" w:rsidRDefault="006773CD" w:rsidP="006773CD">
            <w:pPr>
              <w:spacing w:line="276" w:lineRule="auto"/>
              <w:jc w:val="both"/>
              <w:rPr>
                <w:rFonts w:ascii="Verdana" w:eastAsia="Calibri" w:hAnsi="Verdana" w:cs="Arial"/>
                <w:bCs/>
                <w:highlight w:val="yellow"/>
                <w:lang w:val="es-ES_tradnl" w:eastAsia="es-ES"/>
              </w:rPr>
            </w:pPr>
          </w:p>
        </w:tc>
      </w:tr>
      <w:tr w:rsidR="006773CD" w:rsidRPr="006773CD" w14:paraId="77349936" w14:textId="77777777" w:rsidTr="004A5C4A">
        <w:tc>
          <w:tcPr>
            <w:tcW w:w="2689" w:type="dxa"/>
          </w:tcPr>
          <w:p w14:paraId="5163687A" w14:textId="77777777" w:rsidR="006773CD" w:rsidRPr="006773CD" w:rsidRDefault="006773CD" w:rsidP="006773CD">
            <w:pPr>
              <w:jc w:val="both"/>
              <w:rPr>
                <w:rFonts w:ascii="Verdana" w:eastAsia="Calibri" w:hAnsi="Verdana" w:cs="Arial"/>
                <w:b/>
                <w:lang w:val="es-ES_tradnl" w:eastAsia="es-ES_tradnl"/>
              </w:rPr>
            </w:pPr>
            <w:r w:rsidRPr="006773CD">
              <w:rPr>
                <w:rFonts w:ascii="Verdana" w:eastAsia="Calibri" w:hAnsi="Verdana" w:cs="Arial"/>
                <w:b/>
                <w:lang w:val="es-ES_tradnl" w:eastAsia="es-ES_tradnl"/>
              </w:rPr>
              <w:t>Radicación:</w:t>
            </w:r>
            <w:r w:rsidRPr="006773CD">
              <w:rPr>
                <w:rFonts w:ascii="Verdana" w:eastAsia="Calibri" w:hAnsi="Verdana" w:cs="Arial"/>
                <w:lang w:val="es-ES_tradnl" w:eastAsia="es-ES_tradnl"/>
              </w:rPr>
              <w:t xml:space="preserve">               </w:t>
            </w:r>
          </w:p>
        </w:tc>
        <w:tc>
          <w:tcPr>
            <w:tcW w:w="6100" w:type="dxa"/>
          </w:tcPr>
          <w:p w14:paraId="6DABE9C8" w14:textId="77777777" w:rsidR="006773CD" w:rsidRPr="006773CD" w:rsidRDefault="006773CD" w:rsidP="006773CD">
            <w:pPr>
              <w:jc w:val="both"/>
              <w:rPr>
                <w:rFonts w:ascii="Verdana" w:eastAsia="Calibri" w:hAnsi="Verdana" w:cs="Arial"/>
                <w:lang w:val="es-ES_tradnl" w:eastAsia="es-ES_tradnl"/>
              </w:rPr>
            </w:pPr>
            <w:r w:rsidRPr="006773CD">
              <w:rPr>
                <w:rFonts w:ascii="Verdana" w:eastAsia="Calibri" w:hAnsi="Verdana" w:cs="Arial"/>
                <w:lang w:val="es-ES_tradnl" w:eastAsia="es-ES_tradnl"/>
              </w:rPr>
              <w:t>Respuesta a consulta con radicado No. P20250122000532</w:t>
            </w:r>
          </w:p>
        </w:tc>
      </w:tr>
    </w:tbl>
    <w:p w14:paraId="37E69AB0" w14:textId="77777777" w:rsidR="006773CD" w:rsidRPr="006773CD" w:rsidRDefault="006773CD" w:rsidP="006773CD">
      <w:pPr>
        <w:spacing w:after="0" w:line="240" w:lineRule="auto"/>
        <w:jc w:val="both"/>
        <w:rPr>
          <w:rFonts w:ascii="Verdana" w:eastAsia="Calibri" w:hAnsi="Verdana" w:cs="Arial"/>
          <w:lang w:val="es-ES_tradnl" w:eastAsia="es-ES_tradnl"/>
        </w:rPr>
      </w:pPr>
    </w:p>
    <w:p w14:paraId="24C92556" w14:textId="77777777" w:rsidR="006773CD" w:rsidRPr="006773CD" w:rsidRDefault="006773CD" w:rsidP="006773CD">
      <w:pPr>
        <w:spacing w:after="0" w:line="240" w:lineRule="auto"/>
        <w:jc w:val="both"/>
        <w:rPr>
          <w:rFonts w:ascii="Verdana" w:eastAsia="Calibri" w:hAnsi="Verdana" w:cs="Arial"/>
          <w:lang w:val="es-ES_tradnl" w:eastAsia="es-ES_tradnl"/>
        </w:rPr>
      </w:pPr>
    </w:p>
    <w:p w14:paraId="53AA0E16" w14:textId="77777777" w:rsidR="006773CD" w:rsidRPr="006773CD" w:rsidRDefault="006773CD" w:rsidP="006773CD">
      <w:pPr>
        <w:spacing w:after="0" w:line="276" w:lineRule="auto"/>
        <w:jc w:val="both"/>
        <w:rPr>
          <w:rFonts w:ascii="Verdana" w:eastAsia="Calibri" w:hAnsi="Verdana" w:cs="Arial"/>
          <w:lang w:val="es-ES_tradnl" w:eastAsia="es-ES"/>
        </w:rPr>
      </w:pPr>
      <w:r w:rsidRPr="006773CD">
        <w:rPr>
          <w:rFonts w:ascii="Verdana" w:eastAsia="Calibri" w:hAnsi="Verdana" w:cs="Arial"/>
          <w:lang w:val="es-ES_tradnl" w:eastAsia="es-ES"/>
        </w:rPr>
        <w:t xml:space="preserve">Estimado señor Mancera: </w:t>
      </w:r>
    </w:p>
    <w:p w14:paraId="3DEB4486" w14:textId="77777777" w:rsidR="006773CD" w:rsidRPr="006773CD" w:rsidRDefault="006773CD" w:rsidP="006773CD">
      <w:pPr>
        <w:tabs>
          <w:tab w:val="left" w:pos="3768"/>
        </w:tabs>
        <w:spacing w:after="0" w:line="276" w:lineRule="auto"/>
        <w:jc w:val="both"/>
        <w:rPr>
          <w:rFonts w:ascii="Verdana" w:eastAsia="Calibri" w:hAnsi="Verdana" w:cs="Arial"/>
          <w:lang w:val="es-ES_tradnl" w:eastAsia="es-ES"/>
        </w:rPr>
      </w:pPr>
      <w:r w:rsidRPr="006773CD">
        <w:rPr>
          <w:rFonts w:ascii="Verdana" w:eastAsia="Calibri" w:hAnsi="Verdana" w:cs="Arial"/>
          <w:lang w:val="es-ES_tradnl" w:eastAsia="es-ES"/>
        </w:rPr>
        <w:tab/>
      </w:r>
    </w:p>
    <w:p w14:paraId="05B09D0E" w14:textId="77777777" w:rsidR="006773CD" w:rsidRPr="006773CD" w:rsidRDefault="006773CD" w:rsidP="006773CD">
      <w:pPr>
        <w:snapToGrid w:val="0"/>
        <w:spacing w:after="0" w:line="276" w:lineRule="auto"/>
        <w:jc w:val="both"/>
        <w:rPr>
          <w:rFonts w:ascii="Verdana" w:eastAsia="Calibri" w:hAnsi="Verdana" w:cs="Arial"/>
          <w:lang w:val="es-ES_tradnl" w:eastAsia="es-ES"/>
        </w:rPr>
      </w:pPr>
      <w:r w:rsidRPr="006773CD">
        <w:rPr>
          <w:rFonts w:ascii="Verdana" w:eastAsia="Calibri" w:hAnsi="Verdana" w:cs="Arial"/>
          <w:lang w:val="es-ES_tradnl" w:eastAsia="es-ES"/>
        </w:rPr>
        <w:t>En ejercicio de la competencia otorgada por los artículos 3, numeral 5º, y 11, numeral 8º, del Decreto Ley 4170 de 2011,</w:t>
      </w:r>
      <w:r w:rsidRPr="006773CD">
        <w:rPr>
          <w:rFonts w:ascii="Verdana" w:eastAsia="Arial MT" w:hAnsi="Verdana" w:cs="Arial MT"/>
          <w:lang w:val="es-ES_tradnl" w:eastAsia="es-ES"/>
        </w:rPr>
        <w:t xml:space="preserve"> </w:t>
      </w:r>
      <w:r w:rsidRPr="006773CD">
        <w:rPr>
          <w:rFonts w:ascii="Verdana" w:eastAsia="Calibri" w:hAnsi="Verdana" w:cs="Arial"/>
          <w:lang w:val="es-ES_tradnl"/>
        </w:rPr>
        <w:t xml:space="preserve">así como lo establecido en el artículo 4 de la Resolución 1707 de 2018 expedida por esta Entidad, </w:t>
      </w:r>
      <w:r w:rsidRPr="006773CD">
        <w:rPr>
          <w:rFonts w:ascii="Verdana" w:eastAsia="Calibri" w:hAnsi="Verdana" w:cs="Arial"/>
          <w:lang w:val="es-ES_tradnl" w:eastAsia="es-ES"/>
        </w:rPr>
        <w:t>la Agencia Nacional de Contratación Pública –Colombia Compra Eficiente– responde su solicitud de consulta de fecha 22 de enero de 2025, en la que manifiesta lo siguiente:</w:t>
      </w:r>
    </w:p>
    <w:p w14:paraId="6385C36D" w14:textId="77777777" w:rsidR="006773CD" w:rsidRPr="006773CD" w:rsidRDefault="006773CD" w:rsidP="006773CD">
      <w:pPr>
        <w:tabs>
          <w:tab w:val="left" w:pos="142"/>
          <w:tab w:val="left" w:pos="284"/>
        </w:tabs>
        <w:snapToGrid w:val="0"/>
        <w:spacing w:after="0" w:line="240" w:lineRule="auto"/>
        <w:jc w:val="both"/>
        <w:rPr>
          <w:rFonts w:ascii="Verdana" w:eastAsia="Century Gothic" w:hAnsi="Verdana" w:cs="Century Gothic"/>
          <w:b/>
          <w:bCs/>
          <w:lang w:val="es-ES_tradnl"/>
        </w:rPr>
      </w:pPr>
    </w:p>
    <w:p w14:paraId="1DA72649" w14:textId="77777777" w:rsidR="006773CD" w:rsidRPr="006773CD" w:rsidRDefault="006773CD" w:rsidP="006773CD">
      <w:pPr>
        <w:snapToGrid w:val="0"/>
        <w:spacing w:after="0" w:line="240" w:lineRule="auto"/>
        <w:ind w:left="720" w:right="709"/>
        <w:jc w:val="both"/>
        <w:rPr>
          <w:rFonts w:ascii="Verdana" w:eastAsia="Century Gothic" w:hAnsi="Verdana" w:cs="Century Gothic"/>
          <w:sz w:val="21"/>
          <w:szCs w:val="21"/>
          <w:lang w:val="es-ES_tradnl"/>
        </w:rPr>
      </w:pPr>
      <w:r w:rsidRPr="006773CD">
        <w:rPr>
          <w:rFonts w:ascii="Verdana" w:eastAsia="Century Gothic" w:hAnsi="Verdana" w:cs="Century Gothic"/>
          <w:sz w:val="21"/>
          <w:szCs w:val="21"/>
          <w:lang w:val="es-ES_tradnl"/>
        </w:rPr>
        <w:t xml:space="preserve">“Solicito amablemente me den un concepto sobre si se pueden dar pagos anticipados o anticipos a las juntas de acción comunal en la firma de convenios solidarios, ya que dichas juntas son sin ánimo de lucro y nunca poseen recursos económicos para poder ejecutar las obras en dichos convenios, se estaría haciendo un daño inmenso a </w:t>
      </w:r>
      <w:r w:rsidRPr="006773CD">
        <w:rPr>
          <w:rFonts w:ascii="Verdana" w:eastAsia="Century Gothic" w:hAnsi="Verdana" w:cs="Century Gothic"/>
          <w:sz w:val="21"/>
          <w:szCs w:val="21"/>
          <w:lang w:val="es-ES_tradnl"/>
        </w:rPr>
        <w:lastRenderedPageBreak/>
        <w:t>dichas juntas poniéndolas en la dificultad de conseguir créditos. En que decreto o ley se basa Colombia compra eficiente para decir que no se puede dar dichos pagos, sabiendo que se protegen con sus respectivas pólizas.”</w:t>
      </w:r>
    </w:p>
    <w:p w14:paraId="30747166" w14:textId="77777777" w:rsidR="006773CD" w:rsidRPr="006773CD" w:rsidRDefault="006773CD" w:rsidP="006773CD">
      <w:pPr>
        <w:snapToGrid w:val="0"/>
        <w:spacing w:after="0" w:line="240" w:lineRule="auto"/>
        <w:ind w:left="720" w:right="709"/>
        <w:jc w:val="both"/>
        <w:rPr>
          <w:rFonts w:ascii="Verdana" w:eastAsia="Century Gothic" w:hAnsi="Verdana" w:cs="Century Gothic"/>
          <w:lang w:val="es-ES_tradnl"/>
        </w:rPr>
      </w:pPr>
    </w:p>
    <w:p w14:paraId="7E2F1657" w14:textId="77777777" w:rsidR="006773CD" w:rsidRPr="006773CD" w:rsidRDefault="006773CD" w:rsidP="307823CB">
      <w:pPr>
        <w:spacing w:after="120" w:line="276" w:lineRule="auto"/>
        <w:ind w:firstLine="709"/>
        <w:jc w:val="both"/>
        <w:rPr>
          <w:rFonts w:ascii="Verdana" w:eastAsia="Calibri" w:hAnsi="Verdana" w:cs="Arial"/>
          <w:lang w:val="es-ES" w:eastAsia="es-ES"/>
        </w:rPr>
      </w:pPr>
      <w:r w:rsidRPr="307823CB">
        <w:rPr>
          <w:rFonts w:ascii="Verdana" w:eastAsia="Calibri" w:hAnsi="Verdana" w:cs="Arial"/>
          <w:lang w:val="es-ES" w:eastAsia="es-ES"/>
        </w:rPr>
        <w:t xml:space="preserve">De manera preliminar, resulta necesario acotar que esta entidad solo tiene competencia para responder consultas sobre la aplicación de normas de carácter general en materia de compras y contratación pública. En ese sentido, resolver casos particulares desborda las atribuciones asignadas por el legislador extraordinario, que no concibió a Colombia Compra Eficiente como una autoridad para solucionar problemas jurídicos particulares de todos los partícipes del sistema de compras públicas. La competencia de esta entidad se fija con límites claros, con el objeto de evitar que la Agencia actúe como una instancia de validación de las actuaciones de las entidades sujetas a la Ley 80 de 1993 o de los demás participantes de la contratación pública. Esta competencia de interpretación de normas generales, por definición, no puede extenderse a la resolución de controversias, ni a brindar asesorías sobre casos puntuales. </w:t>
      </w:r>
      <w:r>
        <w:tab/>
      </w:r>
    </w:p>
    <w:p w14:paraId="6F7901F6" w14:textId="77777777" w:rsidR="006773CD" w:rsidRPr="006773CD" w:rsidRDefault="006773CD" w:rsidP="006773CD">
      <w:pPr>
        <w:snapToGrid w:val="0"/>
        <w:spacing w:after="0" w:line="276" w:lineRule="auto"/>
        <w:ind w:firstLine="709"/>
        <w:jc w:val="both"/>
        <w:rPr>
          <w:rFonts w:ascii="Verdana" w:eastAsia="Calibri" w:hAnsi="Verdana" w:cs="Arial"/>
          <w:lang w:val="es-ES_tradnl" w:eastAsia="es-ES"/>
        </w:rPr>
      </w:pPr>
      <w:r w:rsidRPr="006773CD">
        <w:rPr>
          <w:rFonts w:ascii="Verdana" w:eastAsia="Calibri" w:hAnsi="Verdana" w:cs="Arial"/>
          <w:lang w:val="es-ES_tradnl" w:eastAsia="es-ES"/>
        </w:rPr>
        <w:t xml:space="preserve">Conforme a lo expuesto, en aras de satisfacer el derecho fundamental de petición se resolverá su consulta dentro de los límites de la referida competencia consultiva, esto es, haciendo abstracción de las circunstancias particulares y concretas mencionadas en su petición, pero haciendo unas consideraciones sobre las normas generales relacionadas con el problema jurídico de su consulta. </w:t>
      </w:r>
    </w:p>
    <w:p w14:paraId="104D2C09" w14:textId="77777777" w:rsidR="006773CD" w:rsidRPr="006773CD" w:rsidRDefault="006773CD" w:rsidP="006773CD">
      <w:pPr>
        <w:snapToGrid w:val="0"/>
        <w:spacing w:after="0" w:line="276" w:lineRule="auto"/>
        <w:ind w:firstLine="709"/>
        <w:jc w:val="both"/>
        <w:rPr>
          <w:rFonts w:ascii="Verdana" w:eastAsia="Calibri" w:hAnsi="Verdana" w:cs="Arial"/>
          <w:lang w:val="es-ES_tradnl" w:eastAsia="es-ES"/>
        </w:rPr>
      </w:pPr>
    </w:p>
    <w:p w14:paraId="7B9F1DDF" w14:textId="77777777" w:rsidR="006773CD" w:rsidRPr="006773CD" w:rsidRDefault="006773CD" w:rsidP="006773CD">
      <w:pPr>
        <w:numPr>
          <w:ilvl w:val="0"/>
          <w:numId w:val="16"/>
        </w:numPr>
        <w:tabs>
          <w:tab w:val="left" w:pos="142"/>
          <w:tab w:val="left" w:pos="284"/>
        </w:tabs>
        <w:snapToGrid w:val="0"/>
        <w:spacing w:after="0" w:line="276" w:lineRule="auto"/>
        <w:ind w:left="357" w:hanging="357"/>
        <w:jc w:val="both"/>
        <w:rPr>
          <w:rFonts w:ascii="Verdana" w:eastAsia="Century Gothic" w:hAnsi="Verdana" w:cs="Century Gothic"/>
          <w:b/>
          <w:bCs/>
          <w:lang w:val="es-ES_tradnl"/>
        </w:rPr>
      </w:pPr>
      <w:r w:rsidRPr="006773CD">
        <w:rPr>
          <w:rFonts w:ascii="Verdana" w:eastAsia="Century Gothic" w:hAnsi="Verdana" w:cs="Century Gothic"/>
          <w:b/>
          <w:bCs/>
          <w:lang w:val="es-ES_tradnl"/>
        </w:rPr>
        <w:t>Problema planteado:</w:t>
      </w:r>
    </w:p>
    <w:p w14:paraId="2249F497" w14:textId="77777777" w:rsidR="006773CD" w:rsidRPr="006773CD" w:rsidRDefault="006773CD" w:rsidP="006773CD">
      <w:pPr>
        <w:tabs>
          <w:tab w:val="left" w:pos="426"/>
        </w:tabs>
        <w:snapToGrid w:val="0"/>
        <w:spacing w:after="0" w:line="276" w:lineRule="auto"/>
        <w:jc w:val="both"/>
        <w:rPr>
          <w:rFonts w:ascii="Verdana" w:eastAsia="Century Gothic" w:hAnsi="Verdana" w:cs="Century Gothic"/>
          <w:lang w:val="es-ES_tradnl"/>
        </w:rPr>
      </w:pPr>
    </w:p>
    <w:p w14:paraId="0A391302" w14:textId="77777777" w:rsidR="006773CD" w:rsidRPr="006773CD" w:rsidRDefault="006773CD" w:rsidP="006773CD">
      <w:pPr>
        <w:snapToGrid w:val="0"/>
        <w:spacing w:after="0" w:line="276" w:lineRule="auto"/>
        <w:jc w:val="both"/>
        <w:rPr>
          <w:rFonts w:ascii="Verdana" w:eastAsia="Century Gothic" w:hAnsi="Verdana" w:cs="Century Gothic"/>
          <w:lang w:val="es-ES_tradnl"/>
        </w:rPr>
      </w:pPr>
      <w:r w:rsidRPr="006773CD">
        <w:rPr>
          <w:rFonts w:ascii="Verdana" w:eastAsia="Century Gothic" w:hAnsi="Verdana" w:cs="Century Gothic"/>
          <w:lang w:val="es-ES_tradnl"/>
        </w:rPr>
        <w:t>De acuerdo con el contenido de su solicitud, esta Agencia resolverá el siguiente problema jurídico: ¿es posible pactar anticipos o pagos anticipados en el marco de los convenios solidarios que se celebren con organismos de acción comunal?</w:t>
      </w:r>
    </w:p>
    <w:p w14:paraId="4A9AF883" w14:textId="77777777" w:rsidR="006773CD" w:rsidRPr="006773CD" w:rsidRDefault="006773CD" w:rsidP="006773CD">
      <w:pPr>
        <w:snapToGrid w:val="0"/>
        <w:spacing w:after="0" w:line="276" w:lineRule="auto"/>
        <w:jc w:val="both"/>
        <w:rPr>
          <w:rFonts w:ascii="Verdana" w:eastAsia="Century Gothic" w:hAnsi="Verdana" w:cs="Century Gothic"/>
          <w:lang w:val="es-ES_tradnl"/>
        </w:rPr>
      </w:pPr>
    </w:p>
    <w:p w14:paraId="363C89B0" w14:textId="77777777" w:rsidR="006773CD" w:rsidRPr="006773CD" w:rsidRDefault="006773CD" w:rsidP="006773CD">
      <w:pPr>
        <w:numPr>
          <w:ilvl w:val="0"/>
          <w:numId w:val="16"/>
        </w:numPr>
        <w:tabs>
          <w:tab w:val="left" w:pos="142"/>
          <w:tab w:val="left" w:pos="284"/>
        </w:tabs>
        <w:snapToGrid w:val="0"/>
        <w:spacing w:after="0" w:line="276" w:lineRule="auto"/>
        <w:ind w:left="357" w:hanging="357"/>
        <w:jc w:val="both"/>
        <w:rPr>
          <w:rFonts w:ascii="Verdana" w:eastAsia="Century Gothic" w:hAnsi="Verdana" w:cs="Century Gothic"/>
          <w:b/>
          <w:bCs/>
          <w:lang w:val="es-ES_tradnl"/>
        </w:rPr>
      </w:pPr>
      <w:r w:rsidRPr="006773CD">
        <w:rPr>
          <w:rFonts w:ascii="Verdana" w:eastAsia="Century Gothic" w:hAnsi="Verdana" w:cs="Century Gothic"/>
          <w:b/>
          <w:bCs/>
          <w:lang w:val="es-ES_tradnl"/>
        </w:rPr>
        <w:t>Respuesta:</w:t>
      </w:r>
    </w:p>
    <w:p w14:paraId="4B7B0572" w14:textId="77777777" w:rsidR="006773CD" w:rsidRPr="006773CD" w:rsidRDefault="006773CD" w:rsidP="006773CD">
      <w:pPr>
        <w:tabs>
          <w:tab w:val="left" w:pos="142"/>
          <w:tab w:val="left" w:pos="284"/>
        </w:tabs>
        <w:snapToGrid w:val="0"/>
        <w:spacing w:after="0" w:line="276" w:lineRule="auto"/>
        <w:jc w:val="both"/>
        <w:rPr>
          <w:rFonts w:ascii="Verdana" w:eastAsia="Century Gothic" w:hAnsi="Verdana" w:cs="Century Gothic"/>
          <w:b/>
          <w:bCs/>
          <w:lang w:val="es-ES_tradnl"/>
        </w:rPr>
      </w:pPr>
    </w:p>
    <w:tbl>
      <w:tblPr>
        <w:tblStyle w:val="Tablaconcuadrcula"/>
        <w:tblW w:w="0" w:type="auto"/>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8828"/>
      </w:tblGrid>
      <w:tr w:rsidR="006773CD" w:rsidRPr="006773CD" w14:paraId="35716780" w14:textId="77777777" w:rsidTr="004A5C4A">
        <w:tc>
          <w:tcPr>
            <w:tcW w:w="8828" w:type="dxa"/>
            <w:shd w:val="clear" w:color="auto" w:fill="auto"/>
          </w:tcPr>
          <w:p w14:paraId="498CBE74" w14:textId="77777777" w:rsidR="006773CD" w:rsidRPr="006773CD" w:rsidRDefault="006773CD" w:rsidP="006773CD">
            <w:pPr>
              <w:snapToGrid w:val="0"/>
              <w:spacing w:line="276" w:lineRule="auto"/>
              <w:jc w:val="both"/>
              <w:rPr>
                <w:rFonts w:ascii="Verdana" w:eastAsia="Calibri" w:hAnsi="Verdana" w:cs="Arial"/>
                <w:lang w:val="es-ES"/>
              </w:rPr>
            </w:pPr>
            <w:r w:rsidRPr="006773CD">
              <w:rPr>
                <w:rFonts w:ascii="Verdana" w:eastAsia="Calibri" w:hAnsi="Verdana" w:cs="Arial"/>
                <w:lang w:val="es-ES_tradnl"/>
              </w:rPr>
              <w:t xml:space="preserve">El </w:t>
            </w:r>
            <w:r w:rsidRPr="006773CD">
              <w:rPr>
                <w:rFonts w:ascii="Verdana" w:eastAsia="Calibri" w:hAnsi="Verdana" w:cs="Arial"/>
                <w:lang w:val="es-ES"/>
              </w:rPr>
              <w:t xml:space="preserve">pago anticipado y el anticipo pueden ser definidos así: i) El pago anticipado es un pago efectivo del precio que se efectúa y se causa en forma anticipada. Por tanto, los recursos se integran al patrimonio del contratista desde su desembolso. </w:t>
            </w:r>
            <w:proofErr w:type="spellStart"/>
            <w:r w:rsidRPr="006773CD">
              <w:rPr>
                <w:rFonts w:ascii="Verdana" w:eastAsia="Calibri" w:hAnsi="Verdana" w:cs="Arial"/>
                <w:lang w:val="es-ES"/>
              </w:rPr>
              <w:t>ii</w:t>
            </w:r>
            <w:proofErr w:type="spellEnd"/>
            <w:r w:rsidRPr="006773CD">
              <w:rPr>
                <w:rFonts w:ascii="Verdana" w:eastAsia="Calibri" w:hAnsi="Verdana" w:cs="Arial"/>
                <w:lang w:val="es-ES"/>
              </w:rPr>
              <w:t xml:space="preserve">) El anticipo es un adelanto o avance del precio del contrato destinado a apalancar el cumplimiento de su objeto, de modo que los recursos entregados por dicho concepto solo se integran al patrimonio del contratista </w:t>
            </w:r>
            <w:r w:rsidRPr="006773CD">
              <w:rPr>
                <w:rFonts w:ascii="Verdana" w:eastAsia="Calibri" w:hAnsi="Verdana" w:cs="Arial"/>
                <w:lang w:val="es-ES"/>
              </w:rPr>
              <w:lastRenderedPageBreak/>
              <w:t>en la medida que se cause su amortización, mediante la ejecución de actividades programadas del contrato.</w:t>
            </w:r>
          </w:p>
          <w:p w14:paraId="37735264" w14:textId="77777777" w:rsidR="006773CD" w:rsidRPr="006773CD" w:rsidRDefault="006773CD" w:rsidP="006773CD">
            <w:pPr>
              <w:snapToGrid w:val="0"/>
              <w:spacing w:line="276" w:lineRule="auto"/>
              <w:jc w:val="both"/>
              <w:rPr>
                <w:rFonts w:ascii="Verdana" w:eastAsia="Calibri" w:hAnsi="Verdana" w:cs="Arial"/>
                <w:lang w:val="es-ES"/>
              </w:rPr>
            </w:pPr>
          </w:p>
          <w:p w14:paraId="51241515" w14:textId="77777777" w:rsidR="00FD10A7" w:rsidRDefault="006773CD" w:rsidP="006773CD">
            <w:pPr>
              <w:snapToGrid w:val="0"/>
              <w:spacing w:line="276" w:lineRule="auto"/>
              <w:jc w:val="both"/>
              <w:rPr>
                <w:rFonts w:ascii="Verdana" w:eastAsia="Calibri" w:hAnsi="Verdana" w:cs="Arial"/>
                <w:lang w:val="es-ES"/>
              </w:rPr>
            </w:pPr>
            <w:r w:rsidRPr="006773CD">
              <w:rPr>
                <w:rFonts w:ascii="Verdana" w:eastAsia="Calibri" w:hAnsi="Verdana" w:cs="Arial"/>
                <w:lang w:val="es-ES"/>
              </w:rPr>
              <w:t xml:space="preserve">Al respecto, es preciso aclarar que en los convenios solidarios no es posible pactar anticipos o pagos anticipados, pues pese a que el parágrafo del artículo 40 de la Ley 80 de 1993 permite que “[e]n los </w:t>
            </w:r>
            <w:r w:rsidRPr="006773CD">
              <w:rPr>
                <w:rFonts w:ascii="Verdana" w:eastAsia="Calibri" w:hAnsi="Verdana" w:cs="Arial"/>
                <w:i/>
                <w:iCs/>
                <w:u w:val="single"/>
                <w:lang w:val="es-ES"/>
              </w:rPr>
              <w:t>contratos</w:t>
            </w:r>
            <w:r w:rsidRPr="006773CD">
              <w:rPr>
                <w:rFonts w:ascii="Verdana" w:eastAsia="Calibri" w:hAnsi="Verdana" w:cs="Arial"/>
                <w:lang w:val="es-ES"/>
              </w:rPr>
              <w:t xml:space="preserve"> que celebren las entidades estatales se podrá pactar el pago de anticipo y la entrega de anticipos […]” [énfasis fuera de texto], dicha norma no extendió esta prerrogativa a los convenios que suscriben las entidades públicas. Lo anterior guarda su fundamento en que, si bien tanto los contratos como los convenios comparten características comunes, difieren en cuanto a aspectos esenciales. </w:t>
            </w:r>
          </w:p>
          <w:p w14:paraId="54CBBFAF" w14:textId="77777777" w:rsidR="00FD10A7" w:rsidRDefault="00FD10A7" w:rsidP="006773CD">
            <w:pPr>
              <w:snapToGrid w:val="0"/>
              <w:spacing w:line="276" w:lineRule="auto"/>
              <w:jc w:val="both"/>
              <w:rPr>
                <w:rFonts w:ascii="Verdana" w:eastAsia="Calibri" w:hAnsi="Verdana" w:cs="Arial"/>
                <w:lang w:val="es-ES"/>
              </w:rPr>
            </w:pPr>
          </w:p>
          <w:p w14:paraId="5E2C8F88" w14:textId="7049A855" w:rsidR="006773CD" w:rsidRPr="006773CD" w:rsidRDefault="006773CD" w:rsidP="006773CD">
            <w:pPr>
              <w:snapToGrid w:val="0"/>
              <w:spacing w:line="276" w:lineRule="auto"/>
              <w:jc w:val="both"/>
              <w:rPr>
                <w:rFonts w:ascii="Aptos" w:eastAsia="Aptos" w:hAnsi="Aptos" w:cs="Times New Roman"/>
              </w:rPr>
            </w:pPr>
            <w:r w:rsidRPr="006773CD">
              <w:rPr>
                <w:rFonts w:ascii="Verdana" w:eastAsia="Calibri" w:hAnsi="Verdana" w:cs="Arial"/>
                <w:lang w:val="es-ES"/>
              </w:rPr>
              <w:t>Así, mientras que el contrato se caracteriza por su naturaleza onerosa, patrimonial y se conforma por intereses básicamente contrapuestos, los convenios, por su parte, tienen una finalidad asociativa perseguida por las partes suscriptoras, cuyos intereses se encaminan en la misma dirección y persiguen los mismos objetivos, por lo que carecen de la calidad conmutativa, que sí es propia de los primeros.</w:t>
            </w:r>
            <w:r w:rsidRPr="006773CD">
              <w:rPr>
                <w:rFonts w:ascii="Aptos" w:eastAsia="Aptos" w:hAnsi="Aptos" w:cs="Times New Roman"/>
              </w:rPr>
              <w:t xml:space="preserve"> </w:t>
            </w:r>
          </w:p>
          <w:p w14:paraId="6E8B4000" w14:textId="77777777" w:rsidR="006773CD" w:rsidRPr="006773CD" w:rsidRDefault="006773CD" w:rsidP="006773CD">
            <w:pPr>
              <w:snapToGrid w:val="0"/>
              <w:spacing w:line="276" w:lineRule="auto"/>
              <w:jc w:val="both"/>
              <w:rPr>
                <w:rFonts w:ascii="Aptos" w:eastAsia="Aptos" w:hAnsi="Aptos" w:cs="Times New Roman"/>
              </w:rPr>
            </w:pPr>
          </w:p>
          <w:p w14:paraId="6F2339E8" w14:textId="77777777" w:rsidR="006773CD" w:rsidRPr="006773CD" w:rsidRDefault="006773CD" w:rsidP="006773CD">
            <w:pPr>
              <w:snapToGrid w:val="0"/>
              <w:spacing w:line="276" w:lineRule="auto"/>
              <w:jc w:val="both"/>
              <w:rPr>
                <w:rFonts w:ascii="Verdana" w:eastAsia="Calibri" w:hAnsi="Verdana" w:cs="Arial"/>
                <w:lang w:val="es-ES"/>
              </w:rPr>
            </w:pPr>
            <w:r w:rsidRPr="006773CD">
              <w:rPr>
                <w:rFonts w:ascii="Verdana" w:eastAsia="Calibri" w:hAnsi="Verdana" w:cs="Arial"/>
                <w:lang w:val="es-ES"/>
              </w:rPr>
              <w:t>Por esa razón, en los documentos tipo para la contratación directa de convenios solidarios para la ejecución de obras hasta la menor cuantía con organismos de acción comunal, se estableció la “CLÁUSULA 7. GIROS DE LOS RECURSOS” de la Minuta Tipo, en la que se prescribieron tres (3) opciones para la realización del giro de los recursos, con el fin de que la Entidad Estatal que adelanta el proceso de contratación, de acuerdo con las necesidades y características propias de cada convenio solidario, elija la que estime más conveniente.</w:t>
            </w:r>
          </w:p>
        </w:tc>
      </w:tr>
    </w:tbl>
    <w:p w14:paraId="5A9C7AD5" w14:textId="77777777" w:rsidR="006773CD" w:rsidRPr="006773CD" w:rsidRDefault="006773CD" w:rsidP="006773CD">
      <w:pPr>
        <w:tabs>
          <w:tab w:val="left" w:pos="142"/>
          <w:tab w:val="left" w:pos="284"/>
        </w:tabs>
        <w:snapToGrid w:val="0"/>
        <w:spacing w:after="0" w:line="276" w:lineRule="auto"/>
        <w:jc w:val="both"/>
        <w:rPr>
          <w:rFonts w:ascii="Verdana" w:eastAsia="Century Gothic" w:hAnsi="Verdana" w:cs="Century Gothic"/>
          <w:b/>
          <w:bCs/>
          <w:lang w:val="es-ES_tradnl"/>
        </w:rPr>
      </w:pPr>
    </w:p>
    <w:p w14:paraId="40211558" w14:textId="77777777" w:rsidR="006773CD" w:rsidRPr="006773CD" w:rsidRDefault="006773CD" w:rsidP="006773CD">
      <w:pPr>
        <w:numPr>
          <w:ilvl w:val="0"/>
          <w:numId w:val="16"/>
        </w:numPr>
        <w:tabs>
          <w:tab w:val="left" w:pos="142"/>
          <w:tab w:val="left" w:pos="284"/>
        </w:tabs>
        <w:snapToGrid w:val="0"/>
        <w:spacing w:after="0" w:line="276" w:lineRule="auto"/>
        <w:ind w:left="357" w:hanging="357"/>
        <w:jc w:val="both"/>
        <w:rPr>
          <w:rFonts w:ascii="Verdana" w:eastAsia="Century Gothic" w:hAnsi="Verdana" w:cs="Century Gothic"/>
          <w:b/>
          <w:bCs/>
          <w:lang w:val="es-ES_tradnl"/>
        </w:rPr>
      </w:pPr>
      <w:r w:rsidRPr="006773CD">
        <w:rPr>
          <w:rFonts w:ascii="Verdana" w:eastAsia="Century Gothic" w:hAnsi="Verdana" w:cs="Century Gothic"/>
          <w:b/>
          <w:bCs/>
          <w:lang w:val="es-ES_tradnl"/>
        </w:rPr>
        <w:t>Razones de la respuesta:</w:t>
      </w:r>
    </w:p>
    <w:p w14:paraId="503CB440" w14:textId="77777777" w:rsidR="006773CD" w:rsidRPr="006773CD" w:rsidRDefault="006773CD" w:rsidP="006773CD">
      <w:pPr>
        <w:tabs>
          <w:tab w:val="left" w:pos="142"/>
          <w:tab w:val="left" w:pos="284"/>
        </w:tabs>
        <w:snapToGrid w:val="0"/>
        <w:spacing w:after="0" w:line="276" w:lineRule="auto"/>
        <w:ind w:left="357"/>
        <w:jc w:val="both"/>
        <w:rPr>
          <w:rFonts w:ascii="Verdana" w:eastAsia="Century Gothic" w:hAnsi="Verdana" w:cs="Century Gothic"/>
          <w:b/>
          <w:bCs/>
          <w:lang w:val="es-ES_tradnl"/>
        </w:rPr>
      </w:pPr>
    </w:p>
    <w:p w14:paraId="43DBC893" w14:textId="77777777" w:rsidR="006773CD" w:rsidRPr="006773CD" w:rsidRDefault="006773CD" w:rsidP="006773CD">
      <w:pPr>
        <w:snapToGrid w:val="0"/>
        <w:spacing w:after="120" w:line="276" w:lineRule="auto"/>
        <w:jc w:val="both"/>
        <w:rPr>
          <w:rFonts w:ascii="Verdana" w:eastAsia="Calibri" w:hAnsi="Verdana" w:cs="Arial"/>
          <w:lang w:val="es-ES_tradnl"/>
        </w:rPr>
      </w:pPr>
      <w:r w:rsidRPr="006773CD">
        <w:rPr>
          <w:rFonts w:ascii="Verdana" w:eastAsia="Calibri" w:hAnsi="Verdana" w:cs="Arial"/>
          <w:lang w:val="es-ES_tradnl"/>
        </w:rPr>
        <w:t xml:space="preserve">Lo anterior se sustenta en las siguientes consideraciones: </w:t>
      </w:r>
    </w:p>
    <w:p w14:paraId="61AA9A9F" w14:textId="77777777" w:rsidR="006773CD" w:rsidRPr="006773CD" w:rsidRDefault="006773CD" w:rsidP="006773CD">
      <w:pPr>
        <w:snapToGrid w:val="0"/>
        <w:spacing w:after="120" w:line="276" w:lineRule="auto"/>
        <w:ind w:firstLine="709"/>
        <w:jc w:val="both"/>
        <w:rPr>
          <w:rFonts w:ascii="Verdana" w:eastAsia="Calibri" w:hAnsi="Verdana" w:cs="Arial"/>
          <w:lang w:val="es-ES"/>
        </w:rPr>
      </w:pPr>
      <w:r w:rsidRPr="006773CD">
        <w:rPr>
          <w:rFonts w:ascii="Verdana" w:eastAsia="Calibri" w:hAnsi="Verdana" w:cs="Arial"/>
          <w:lang w:val="es-ES"/>
        </w:rPr>
        <w:t xml:space="preserve">Conforme las disposiciones que regulan el régimen de contratación pública, las entidades estatales se encuentran facultadas para pactar el pago anticipado o la entrega de anticipos como mecanismos de financiación para la adecuada ejecución de los contratos estatales. En efecto, el parágrafo del artículo 40 de la Ley 80 de 1993, establece que: “En los contratos que celebren las entidades estatales se podrá pactar el pago anticipado y la entrega de </w:t>
      </w:r>
      <w:r w:rsidRPr="006773CD">
        <w:rPr>
          <w:rFonts w:ascii="Verdana" w:eastAsia="Calibri" w:hAnsi="Verdana" w:cs="Arial"/>
          <w:lang w:val="es-ES"/>
        </w:rPr>
        <w:lastRenderedPageBreak/>
        <w:t>anticipos, pero su monto no podrá exceder del cincuenta por ciento (50%) del valor del respectivo contrato”.</w:t>
      </w:r>
    </w:p>
    <w:p w14:paraId="68FAC331" w14:textId="77777777" w:rsidR="006773CD" w:rsidRPr="006773CD" w:rsidRDefault="006773CD" w:rsidP="006773CD">
      <w:pPr>
        <w:snapToGrid w:val="0"/>
        <w:spacing w:after="0" w:line="276" w:lineRule="auto"/>
        <w:ind w:firstLine="709"/>
        <w:jc w:val="both"/>
        <w:rPr>
          <w:rFonts w:ascii="Verdana" w:eastAsia="Calibri" w:hAnsi="Verdana" w:cs="Arial"/>
          <w:lang w:val="es-ES"/>
        </w:rPr>
      </w:pPr>
      <w:r w:rsidRPr="006773CD">
        <w:rPr>
          <w:rFonts w:ascii="Verdana" w:eastAsia="Calibri" w:hAnsi="Verdana" w:cs="Arial"/>
          <w:lang w:val="es-ES"/>
        </w:rPr>
        <w:t xml:space="preserve">La citada disposición, además de contener la facultad expresa mencionada, establece un límite a su ejercicio, pues el pago anticipado o la entrega del anticipo no podrá superar el cincuenta por ciento (50%) del valor o precio del negocio jurídico celebrado por la entidad estatal. </w:t>
      </w:r>
    </w:p>
    <w:p w14:paraId="771F0B2F" w14:textId="77777777" w:rsidR="006773CD" w:rsidRPr="006773CD" w:rsidRDefault="006773CD" w:rsidP="006773CD">
      <w:pPr>
        <w:spacing w:before="120" w:after="120" w:line="276" w:lineRule="auto"/>
        <w:ind w:firstLine="709"/>
        <w:jc w:val="both"/>
        <w:rPr>
          <w:rFonts w:ascii="Verdana" w:eastAsia="Calibri" w:hAnsi="Verdana" w:cs="Arial"/>
          <w:lang w:val="es-ES"/>
        </w:rPr>
      </w:pPr>
      <w:r w:rsidRPr="006773CD">
        <w:rPr>
          <w:rFonts w:ascii="Verdana" w:eastAsia="Calibri" w:hAnsi="Verdana" w:cs="Arial"/>
          <w:lang w:val="es-ES"/>
        </w:rPr>
        <w:t>Otro aspecto que se destaca de dicha disposición consiste en que no restringe el tipo de contratos estatales en los cuales es aplicable esa facultad, es decir, por ejemplo, no limita la posibilidad de pactar anticipo o pago anticipado en contratos de tracto sucesivo o en contratos de ejecución instantánea, o dependiendo de la tipología contractual o la modalidad de selección del contratista.</w:t>
      </w:r>
    </w:p>
    <w:p w14:paraId="7CFD08D9" w14:textId="77777777" w:rsidR="006773CD" w:rsidRPr="006773CD" w:rsidRDefault="006773CD" w:rsidP="006773CD">
      <w:pPr>
        <w:spacing w:before="120" w:after="0" w:line="276" w:lineRule="auto"/>
        <w:ind w:firstLine="709"/>
        <w:jc w:val="both"/>
        <w:rPr>
          <w:rFonts w:ascii="Verdana" w:eastAsia="Calibri" w:hAnsi="Verdana" w:cs="Arial"/>
          <w:lang w:val="es-ES"/>
        </w:rPr>
      </w:pPr>
      <w:r w:rsidRPr="006773CD">
        <w:rPr>
          <w:rFonts w:ascii="Verdana" w:eastAsia="Calibri" w:hAnsi="Verdana" w:cs="Arial"/>
          <w:lang w:val="es-ES"/>
        </w:rPr>
        <w:t>En cuanto a la naturaleza y alcance de los conceptos de pago anticipado y anticipo, la Sala Plena de lo Contencioso Administrativo del Consejo de Estado, a partir de la definición de anticipo realizada por la Sección Tercera de esa misma corporación, afirmó:</w:t>
      </w:r>
    </w:p>
    <w:p w14:paraId="124979ED" w14:textId="77777777" w:rsidR="006773CD" w:rsidRPr="006773CD" w:rsidRDefault="006773CD" w:rsidP="006773CD">
      <w:pPr>
        <w:spacing w:after="0" w:line="240" w:lineRule="auto"/>
        <w:ind w:firstLine="709"/>
        <w:jc w:val="both"/>
        <w:rPr>
          <w:rFonts w:ascii="Arial" w:eastAsia="Calibri" w:hAnsi="Arial" w:cs="Arial"/>
          <w:lang w:val="es-ES"/>
        </w:rPr>
      </w:pPr>
    </w:p>
    <w:p w14:paraId="27D72DC6" w14:textId="77777777" w:rsidR="006773CD" w:rsidRPr="006773CD" w:rsidRDefault="006773CD" w:rsidP="006773CD">
      <w:pPr>
        <w:spacing w:after="0" w:line="240" w:lineRule="auto"/>
        <w:ind w:left="709" w:right="709"/>
        <w:jc w:val="both"/>
        <w:rPr>
          <w:rFonts w:ascii="Verdana" w:eastAsia="Calibri" w:hAnsi="Verdana" w:cs="Arial"/>
          <w:sz w:val="21"/>
          <w:szCs w:val="21"/>
          <w:lang w:val="es-ES"/>
        </w:rPr>
      </w:pPr>
      <w:r w:rsidRPr="006773CD">
        <w:rPr>
          <w:rFonts w:ascii="Verdana" w:eastAsia="Calibri" w:hAnsi="Verdana" w:cs="Arial"/>
          <w:sz w:val="21"/>
          <w:szCs w:val="21"/>
          <w:lang w:val="es-ES"/>
        </w:rPr>
        <w:t xml:space="preserve">“La jurisprudencia de la Sección Tercera ha definido el anticipo en los siguientes términos: </w:t>
      </w:r>
    </w:p>
    <w:p w14:paraId="0503D302" w14:textId="77777777" w:rsidR="006773CD" w:rsidRPr="006773CD" w:rsidRDefault="006773CD" w:rsidP="006773CD">
      <w:pPr>
        <w:spacing w:after="0" w:line="240" w:lineRule="auto"/>
        <w:ind w:left="709" w:right="709"/>
        <w:jc w:val="both"/>
        <w:rPr>
          <w:rFonts w:ascii="Verdana" w:eastAsia="Calibri" w:hAnsi="Verdana" w:cs="Arial"/>
          <w:sz w:val="21"/>
          <w:szCs w:val="21"/>
          <w:lang w:val="es-ES"/>
        </w:rPr>
      </w:pPr>
    </w:p>
    <w:p w14:paraId="7EC2B18A" w14:textId="77777777" w:rsidR="006773CD" w:rsidRPr="006773CD" w:rsidRDefault="006773CD" w:rsidP="006773CD">
      <w:pPr>
        <w:spacing w:after="0" w:line="240" w:lineRule="auto"/>
        <w:ind w:left="709" w:right="709"/>
        <w:jc w:val="both"/>
        <w:rPr>
          <w:rFonts w:ascii="Verdana" w:eastAsia="Calibri" w:hAnsi="Verdana" w:cs="Arial"/>
          <w:sz w:val="21"/>
          <w:szCs w:val="21"/>
          <w:lang w:val="es-ES"/>
        </w:rPr>
      </w:pPr>
      <w:r w:rsidRPr="006773CD">
        <w:rPr>
          <w:rFonts w:ascii="Verdana" w:eastAsia="Calibri" w:hAnsi="Verdana" w:cs="Arial"/>
          <w:sz w:val="21"/>
          <w:szCs w:val="21"/>
          <w:lang w:val="es-ES"/>
        </w:rPr>
        <w:t xml:space="preserve">“El anticipo es pacto en el contrato regulado por la ley, que proviene de la autonomía de la voluntad, que genera obligaciones y derechos recíprocos entre las partes, en momentos diferentes. En una primera instancia es obligación del contratante y derecho del contratista, de entregar y recibir - previa constitución de la garantía -, respectivamente, una suma determinada de dinero, con cargo a los recursos del contrato, con el objeto financiar al contratista en las prestaciones a su cargo (adquisición de bienes, servicios, obras </w:t>
      </w:r>
      <w:proofErr w:type="spellStart"/>
      <w:r w:rsidRPr="006773CD">
        <w:rPr>
          <w:rFonts w:ascii="Verdana" w:eastAsia="Calibri" w:hAnsi="Verdana" w:cs="Arial"/>
          <w:sz w:val="21"/>
          <w:szCs w:val="21"/>
          <w:lang w:val="es-ES"/>
        </w:rPr>
        <w:t>etc</w:t>
      </w:r>
      <w:proofErr w:type="spellEnd"/>
      <w:r w:rsidRPr="006773CD">
        <w:rPr>
          <w:rFonts w:ascii="Verdana" w:eastAsia="Calibri" w:hAnsi="Verdana" w:cs="Arial"/>
          <w:sz w:val="21"/>
          <w:szCs w:val="21"/>
          <w:lang w:val="es-ES"/>
        </w:rPr>
        <w:t xml:space="preserve">). En segunda instancia el anticipo, en su resultado, constituye una obligación del contratista y un derecho del contratante, en los siguientes aspectos: </w:t>
      </w:r>
      <w:r w:rsidRPr="006773CD">
        <w:rPr>
          <w:rFonts w:ascii="Verdana" w:eastAsia="Calibri" w:hAnsi="Verdana" w:cs="Arial"/>
          <w:i/>
          <w:iCs/>
          <w:sz w:val="21"/>
          <w:szCs w:val="21"/>
          <w:lang w:val="es-ES"/>
        </w:rPr>
        <w:t>-De inversión en los objetos determinados en el contrato y de pago por amortización, por parte del contratista.</w:t>
      </w:r>
      <w:r w:rsidRPr="006773CD">
        <w:rPr>
          <w:rFonts w:ascii="Verdana" w:eastAsia="Calibri" w:hAnsi="Verdana" w:cs="Arial"/>
          <w:sz w:val="21"/>
          <w:szCs w:val="21"/>
          <w:lang w:val="es-ES"/>
        </w:rPr>
        <w:t xml:space="preserve"> -De recibir, por amortización, y/o hacer efectiva la garantía de anticipo, o de cumplimiento, según el Estatuto de Contratación vigente, por parte del contratante</w:t>
      </w:r>
      <w:r w:rsidRPr="006773CD">
        <w:rPr>
          <w:rFonts w:ascii="Verdana" w:eastAsia="Calibri" w:hAnsi="Verdana" w:cs="Arial"/>
          <w:b/>
          <w:bCs/>
          <w:sz w:val="21"/>
          <w:szCs w:val="21"/>
          <w:lang w:val="es-ES"/>
        </w:rPr>
        <w:t xml:space="preserve">, </w:t>
      </w:r>
      <w:r w:rsidRPr="006773CD">
        <w:rPr>
          <w:rFonts w:ascii="Verdana" w:eastAsia="Calibri" w:hAnsi="Verdana" w:cs="Arial"/>
          <w:i/>
          <w:iCs/>
          <w:sz w:val="21"/>
          <w:szCs w:val="21"/>
          <w:lang w:val="es-ES"/>
        </w:rPr>
        <w:t>por hechos del contratista que impliquen mal manejo o incorrecta inversión de los dineros de propiedad pública</w:t>
      </w:r>
      <w:r w:rsidRPr="006773CD">
        <w:rPr>
          <w:rFonts w:ascii="Verdana" w:eastAsia="Calibri" w:hAnsi="Verdana" w:cs="Arial"/>
          <w:sz w:val="21"/>
          <w:szCs w:val="21"/>
          <w:lang w:val="es-ES"/>
        </w:rPr>
        <w:t>. Las partes contratantes, acuerdan además en el contrato, las condiciones de efectividad, la proporción con el valor del contrato, la oportunidad en que debe entregarse, la vigilancia Estatal sobre las sumas y las amortizaciones”. (Cursiva fuera del original).</w:t>
      </w:r>
    </w:p>
    <w:p w14:paraId="0E21F5B8" w14:textId="77777777" w:rsidR="006773CD" w:rsidRPr="006773CD" w:rsidRDefault="006773CD" w:rsidP="006773CD">
      <w:pPr>
        <w:spacing w:after="0" w:line="240" w:lineRule="auto"/>
        <w:ind w:left="709" w:right="709"/>
        <w:jc w:val="both"/>
        <w:rPr>
          <w:rFonts w:ascii="Verdana" w:eastAsia="Calibri" w:hAnsi="Verdana" w:cs="Arial"/>
          <w:sz w:val="21"/>
          <w:szCs w:val="21"/>
          <w:lang w:val="es-ES"/>
        </w:rPr>
      </w:pPr>
      <w:r w:rsidRPr="006773CD">
        <w:rPr>
          <w:rFonts w:ascii="Verdana" w:eastAsia="Calibri" w:hAnsi="Verdana" w:cs="Arial"/>
          <w:sz w:val="21"/>
          <w:szCs w:val="21"/>
          <w:lang w:val="es-ES"/>
        </w:rPr>
        <w:lastRenderedPageBreak/>
        <w:t xml:space="preserve"> </w:t>
      </w:r>
    </w:p>
    <w:p w14:paraId="47DC4D9D" w14:textId="77777777" w:rsidR="006773CD" w:rsidRPr="006773CD" w:rsidRDefault="006773CD" w:rsidP="006773CD">
      <w:pPr>
        <w:spacing w:after="0" w:line="240" w:lineRule="auto"/>
        <w:ind w:left="709" w:right="709"/>
        <w:jc w:val="both"/>
        <w:rPr>
          <w:rFonts w:ascii="Verdana" w:eastAsia="Calibri" w:hAnsi="Verdana" w:cs="Arial"/>
          <w:sz w:val="21"/>
          <w:szCs w:val="21"/>
          <w:lang w:val="es-ES"/>
        </w:rPr>
      </w:pPr>
      <w:r w:rsidRPr="006773CD">
        <w:rPr>
          <w:rFonts w:ascii="Verdana" w:eastAsia="Calibri" w:hAnsi="Verdana" w:cs="Arial"/>
          <w:sz w:val="21"/>
          <w:szCs w:val="21"/>
          <w:lang w:val="es-ES"/>
        </w:rPr>
        <w:t>No cabe entonces la menor duda de que los dineros entregados al contratista a título de anticipo en las condiciones descritas por la jurisprudencia son dineros públicos porque no se entregan como pago anticipado, lo cual haría propietario al contratista, y están destinados por la ley y el contrato a la financiación de su ejecución y, el hecho de que se hayan destinado al pago de comisiones por la adjudicación del contrato a favor del congresista demandado, tal como se acreditó en el proceso, configura la causal de pérdida de investidura de congresista prevista en el artículo 183.4 de la Constitución Nacional y artículo  296.4  de la Ley 5 de 1992”</w:t>
      </w:r>
      <w:r w:rsidRPr="006773CD">
        <w:rPr>
          <w:rFonts w:ascii="Verdana" w:eastAsia="Calibri" w:hAnsi="Verdana" w:cs="Arial"/>
          <w:sz w:val="21"/>
          <w:szCs w:val="21"/>
          <w:vertAlign w:val="superscript"/>
          <w:lang w:val="es-ES"/>
        </w:rPr>
        <w:footnoteReference w:id="2"/>
      </w:r>
      <w:r w:rsidRPr="006773CD">
        <w:rPr>
          <w:rFonts w:ascii="Verdana" w:eastAsia="Calibri" w:hAnsi="Verdana" w:cs="Arial"/>
          <w:sz w:val="21"/>
          <w:szCs w:val="21"/>
          <w:lang w:val="es-ES"/>
        </w:rPr>
        <w:t>.</w:t>
      </w:r>
    </w:p>
    <w:p w14:paraId="699A5B98" w14:textId="77777777" w:rsidR="006773CD" w:rsidRPr="006773CD" w:rsidRDefault="006773CD" w:rsidP="006773CD">
      <w:pPr>
        <w:spacing w:after="0" w:line="276" w:lineRule="auto"/>
        <w:ind w:firstLine="709"/>
        <w:jc w:val="both"/>
        <w:rPr>
          <w:rFonts w:ascii="Arial" w:eastAsia="Calibri" w:hAnsi="Arial" w:cs="Arial"/>
          <w:lang w:val="es-ES"/>
        </w:rPr>
      </w:pPr>
    </w:p>
    <w:p w14:paraId="61B8D512" w14:textId="77777777" w:rsidR="006773CD" w:rsidRPr="006773CD" w:rsidRDefault="006773CD" w:rsidP="006773CD">
      <w:pPr>
        <w:spacing w:after="0" w:line="276" w:lineRule="auto"/>
        <w:ind w:firstLine="709"/>
        <w:jc w:val="both"/>
        <w:rPr>
          <w:rFonts w:ascii="Verdana" w:eastAsia="Calibri" w:hAnsi="Verdana" w:cs="Arial"/>
          <w:lang w:val="es-ES"/>
        </w:rPr>
      </w:pPr>
      <w:r w:rsidRPr="006773CD">
        <w:rPr>
          <w:rFonts w:ascii="Verdana" w:eastAsia="Calibri" w:hAnsi="Verdana" w:cs="Arial"/>
          <w:lang w:val="es-ES"/>
        </w:rPr>
        <w:t>La distinción o diferenciación realizada sobre los conceptos de pago anticipado y anticipo, fue reiterada por la Subsección C de la Sección Tercera del Consejo de Estado, de la siguiente manera:</w:t>
      </w:r>
    </w:p>
    <w:p w14:paraId="0AD3013D" w14:textId="77777777" w:rsidR="006773CD" w:rsidRPr="006773CD" w:rsidRDefault="006773CD" w:rsidP="006773CD">
      <w:pPr>
        <w:spacing w:after="0" w:line="240" w:lineRule="auto"/>
        <w:ind w:firstLine="709"/>
        <w:jc w:val="both"/>
        <w:rPr>
          <w:rFonts w:ascii="Arial" w:eastAsia="Calibri" w:hAnsi="Arial" w:cs="Arial"/>
          <w:lang w:val="es-ES"/>
        </w:rPr>
      </w:pPr>
    </w:p>
    <w:p w14:paraId="5BE331A3" w14:textId="77777777" w:rsidR="006773CD" w:rsidRPr="006773CD" w:rsidRDefault="006773CD" w:rsidP="006773CD">
      <w:pPr>
        <w:spacing w:after="0" w:line="240" w:lineRule="auto"/>
        <w:ind w:left="709" w:right="709"/>
        <w:jc w:val="both"/>
        <w:rPr>
          <w:rFonts w:ascii="Verdana" w:eastAsia="Calibri" w:hAnsi="Verdana" w:cs="Arial"/>
          <w:sz w:val="21"/>
          <w:szCs w:val="21"/>
          <w:lang w:val="es-ES"/>
        </w:rPr>
      </w:pPr>
      <w:r w:rsidRPr="006773CD">
        <w:rPr>
          <w:rFonts w:ascii="Verdana" w:eastAsia="Calibri" w:hAnsi="Verdana" w:cs="Arial"/>
          <w:sz w:val="21"/>
          <w:szCs w:val="21"/>
          <w:lang w:val="es-ES"/>
        </w:rPr>
        <w:t>“En este punto, vuelve a ser útil la distinción que esta Corporación ha desarrollado en torno a los conceptos de “anticipo” y “pago anticipado”, donde el principal criterio de diferenciación es la titularidad de esas sumas de dinero en términos patrimoniales, es decir, mientras el anticipo le pertenece a la administración, ello es, son dineros públicos; el pago anticipado representa el cumplimiento de la obligación de pago del precio del contrato por parte de la administración, o sea, son dineros de propiedad del contratista”</w:t>
      </w:r>
      <w:r w:rsidRPr="006773CD">
        <w:rPr>
          <w:rFonts w:ascii="Verdana" w:eastAsia="Calibri" w:hAnsi="Verdana" w:cs="Arial"/>
          <w:sz w:val="21"/>
          <w:szCs w:val="21"/>
          <w:vertAlign w:val="superscript"/>
          <w:lang w:val="es-ES"/>
        </w:rPr>
        <w:footnoteReference w:id="3"/>
      </w:r>
      <w:r w:rsidRPr="006773CD">
        <w:rPr>
          <w:rFonts w:ascii="Verdana" w:eastAsia="Calibri" w:hAnsi="Verdana" w:cs="Arial"/>
          <w:sz w:val="21"/>
          <w:szCs w:val="21"/>
          <w:lang w:val="es-ES"/>
        </w:rPr>
        <w:t>.</w:t>
      </w:r>
    </w:p>
    <w:p w14:paraId="35F42810" w14:textId="77777777" w:rsidR="006773CD" w:rsidRPr="006773CD" w:rsidRDefault="006773CD" w:rsidP="006773CD">
      <w:pPr>
        <w:spacing w:after="0" w:line="276" w:lineRule="auto"/>
        <w:ind w:firstLine="709"/>
        <w:jc w:val="both"/>
        <w:rPr>
          <w:rFonts w:ascii="Arial" w:eastAsia="Calibri" w:hAnsi="Arial" w:cs="Arial"/>
          <w:lang w:val="es-ES"/>
        </w:rPr>
      </w:pPr>
    </w:p>
    <w:p w14:paraId="72B1AC3A" w14:textId="77777777" w:rsidR="006773CD" w:rsidRPr="006773CD" w:rsidRDefault="006773CD" w:rsidP="006773CD">
      <w:pPr>
        <w:spacing w:after="120" w:line="276" w:lineRule="auto"/>
        <w:ind w:firstLine="709"/>
        <w:jc w:val="both"/>
        <w:rPr>
          <w:rFonts w:ascii="Verdana" w:eastAsia="Calibri" w:hAnsi="Verdana" w:cs="Arial"/>
          <w:lang w:val="es-ES"/>
        </w:rPr>
      </w:pPr>
      <w:r w:rsidRPr="006773CD">
        <w:rPr>
          <w:rFonts w:ascii="Verdana" w:eastAsia="Calibri" w:hAnsi="Verdana" w:cs="Arial"/>
          <w:lang w:val="es-ES"/>
        </w:rPr>
        <w:t xml:space="preserve">Establecida la naturaleza y alcance de los conceptos de pago anticipado y el anticipo, los mismos pueden ser definidos así: </w:t>
      </w:r>
      <w:bookmarkStart w:id="1" w:name="_Hlk135043879"/>
      <w:r w:rsidRPr="006773CD">
        <w:rPr>
          <w:rFonts w:ascii="Verdana" w:eastAsia="Calibri" w:hAnsi="Verdana" w:cs="Arial"/>
          <w:lang w:val="es-ES"/>
        </w:rPr>
        <w:t xml:space="preserve">i) El pago anticipado es un pago efectivo del precio que se efectúa y se causa en forma anticipada. Por tanto, los recursos se integran al patrimonio del contratista desde su desembolso. </w:t>
      </w:r>
      <w:proofErr w:type="spellStart"/>
      <w:r w:rsidRPr="006773CD">
        <w:rPr>
          <w:rFonts w:ascii="Verdana" w:eastAsia="Calibri" w:hAnsi="Verdana" w:cs="Arial"/>
          <w:lang w:val="es-ES"/>
        </w:rPr>
        <w:t>ii</w:t>
      </w:r>
      <w:proofErr w:type="spellEnd"/>
      <w:r w:rsidRPr="006773CD">
        <w:rPr>
          <w:rFonts w:ascii="Verdana" w:eastAsia="Calibri" w:hAnsi="Verdana" w:cs="Arial"/>
          <w:lang w:val="es-ES"/>
        </w:rPr>
        <w:t>) El anticipo es un adelanto o avance del precio del contrato destinado a apalancar el cumplimiento de su objeto, de modo que los recursos entregados por dicho concepto solo se integran al patrimonio del contratista en la medida que se cause su amortización, mediante la ejecución de actividades programadas del contrato.</w:t>
      </w:r>
      <w:bookmarkEnd w:id="1"/>
    </w:p>
    <w:p w14:paraId="252912AD" w14:textId="77777777" w:rsidR="006773CD" w:rsidRPr="006773CD" w:rsidRDefault="006773CD" w:rsidP="006773CD">
      <w:pPr>
        <w:spacing w:before="120" w:after="120" w:line="276" w:lineRule="auto"/>
        <w:ind w:firstLine="709"/>
        <w:jc w:val="both"/>
        <w:rPr>
          <w:rFonts w:ascii="Verdana" w:eastAsia="Calibri" w:hAnsi="Verdana" w:cs="Arial"/>
          <w:lang w:val="es-ES"/>
        </w:rPr>
      </w:pPr>
      <w:r w:rsidRPr="006773CD">
        <w:rPr>
          <w:rFonts w:ascii="Verdana" w:eastAsia="Calibri" w:hAnsi="Verdana" w:cs="Arial"/>
          <w:lang w:val="es-ES"/>
        </w:rPr>
        <w:lastRenderedPageBreak/>
        <w:t>De otra parte, con la expedición de la Ley 1474 de 2011 “Por la cual se dictan normas orientadas a fortalecer los mecanismos de prevención, investigación y sanción de actos de corrupción y la efectividad del control de la gestión pública”, se estableció un requisito relacionado con el manejo del anticipo. En efecto, el artículo 91 estableció la obligación para el contratista de constituir una fiducia o patrimonio autónomo irrevocable, como garantía del buen manejo e inversión de los recursos que le sean entregados a título de anticipo. La mencionada obligación se aplica a los contratos de obra, concesión, salud, o los que se realicen por licitación pública, salvo que los mismos sean de menor o mínima cuantía</w:t>
      </w:r>
      <w:r w:rsidRPr="006773CD">
        <w:rPr>
          <w:rFonts w:ascii="Verdana" w:eastAsia="Calibri" w:hAnsi="Verdana" w:cs="Arial"/>
          <w:vertAlign w:val="superscript"/>
          <w:lang w:val="es-ES"/>
        </w:rPr>
        <w:footnoteReference w:id="4"/>
      </w:r>
      <w:r w:rsidRPr="006773CD">
        <w:rPr>
          <w:rFonts w:ascii="Verdana" w:eastAsia="Calibri" w:hAnsi="Verdana" w:cs="Arial"/>
          <w:lang w:val="es-ES"/>
        </w:rPr>
        <w:t>.</w:t>
      </w:r>
    </w:p>
    <w:p w14:paraId="33BE3603" w14:textId="77777777" w:rsidR="006773CD" w:rsidRPr="006773CD" w:rsidRDefault="006773CD" w:rsidP="006773CD">
      <w:pPr>
        <w:spacing w:before="120" w:after="120" w:line="276" w:lineRule="auto"/>
        <w:ind w:firstLine="709"/>
        <w:jc w:val="both"/>
        <w:rPr>
          <w:rFonts w:ascii="Verdana" w:eastAsia="Calibri" w:hAnsi="Verdana" w:cs="Arial"/>
          <w:lang w:val="es-ES"/>
        </w:rPr>
      </w:pPr>
      <w:r w:rsidRPr="006773CD">
        <w:rPr>
          <w:rFonts w:ascii="Verdana" w:eastAsia="Calibri" w:hAnsi="Verdana" w:cs="Arial"/>
          <w:lang w:val="es-ES"/>
        </w:rPr>
        <w:t>En los contratos en los que no es obligatorio constituir una fiducia o un patrimonio autónomo para el manejo del anticipo, la entidad contratante debe adoptar medidas necesarias y razonables para asegurar la protección de los recursos económicos entregados al contratista.</w:t>
      </w:r>
    </w:p>
    <w:p w14:paraId="232AEFA7" w14:textId="77777777" w:rsidR="006773CD" w:rsidRPr="006773CD" w:rsidRDefault="006773CD" w:rsidP="006773CD">
      <w:pPr>
        <w:spacing w:before="120" w:after="120" w:line="276" w:lineRule="auto"/>
        <w:ind w:firstLine="709"/>
        <w:jc w:val="both"/>
        <w:rPr>
          <w:rFonts w:ascii="Verdana" w:eastAsia="Calibri" w:hAnsi="Verdana" w:cs="Arial"/>
          <w:lang w:val="es-ES"/>
        </w:rPr>
      </w:pPr>
      <w:r w:rsidRPr="006773CD">
        <w:rPr>
          <w:rFonts w:ascii="Verdana" w:eastAsia="Calibri" w:hAnsi="Verdana" w:cs="Arial"/>
          <w:lang w:val="es-ES"/>
        </w:rPr>
        <w:t>Por ello, la protección de los recursos económicos entregados al contratista, a título de pago anticipado o anticipo, debe realizarse</w:t>
      </w:r>
      <w:r w:rsidRPr="006773CD">
        <w:rPr>
          <w:rFonts w:ascii="Verdana" w:eastAsia="Calibri" w:hAnsi="Verdana" w:cs="Arial"/>
          <w:kern w:val="2"/>
          <w:lang w:val="es-ES"/>
          <w14:ligatures w14:val="standardContextual"/>
        </w:rPr>
        <w:t xml:space="preserve"> con la constitución de las garantías establecidas en el ordenamiento jurídico para tal efecto</w:t>
      </w:r>
      <w:r w:rsidRPr="006773CD">
        <w:rPr>
          <w:rFonts w:ascii="Verdana" w:eastAsia="Calibri" w:hAnsi="Verdana" w:cs="Arial"/>
          <w:kern w:val="2"/>
          <w:vertAlign w:val="superscript"/>
          <w:lang w:val="es-ES"/>
          <w14:ligatures w14:val="standardContextual"/>
        </w:rPr>
        <w:footnoteReference w:id="5"/>
      </w:r>
      <w:r w:rsidRPr="006773CD">
        <w:rPr>
          <w:rFonts w:ascii="Verdana" w:eastAsia="Calibri" w:hAnsi="Verdana" w:cs="Arial"/>
          <w:kern w:val="2"/>
          <w:lang w:val="es-ES"/>
          <w14:ligatures w14:val="standardContextual"/>
        </w:rPr>
        <w:t>.</w:t>
      </w:r>
    </w:p>
    <w:p w14:paraId="413895FC" w14:textId="77777777" w:rsidR="006773CD" w:rsidRPr="006773CD" w:rsidRDefault="006773CD" w:rsidP="006773CD">
      <w:pPr>
        <w:spacing w:before="120" w:after="120" w:line="276" w:lineRule="auto"/>
        <w:ind w:firstLine="709"/>
        <w:jc w:val="both"/>
        <w:rPr>
          <w:rFonts w:ascii="Verdana" w:eastAsia="Calibri" w:hAnsi="Verdana" w:cs="Arial"/>
          <w:lang w:val="es-ES"/>
        </w:rPr>
      </w:pPr>
      <w:r w:rsidRPr="006773CD">
        <w:rPr>
          <w:rFonts w:ascii="Verdana" w:eastAsia="Calibri" w:hAnsi="Verdana" w:cs="Arial"/>
          <w:lang w:val="es-ES"/>
        </w:rPr>
        <w:lastRenderedPageBreak/>
        <w:t xml:space="preserve">Por otra parte, es importante señalar que, </w:t>
      </w:r>
      <w:r w:rsidRPr="006773CD">
        <w:rPr>
          <w:rFonts w:ascii="Verdana" w:eastAsia="Aptos" w:hAnsi="Verdana" w:cs="Arial"/>
          <w:bCs/>
          <w:color w:val="000000"/>
          <w:lang w:eastAsia="es-MX"/>
        </w:rPr>
        <w:t xml:space="preserve">con la expedición de la Ley 2166 de 2021 se deroga la Ley 743 de 2002, se desarrolla el artículo 38 de la Constitución Política de Colombia en lo referente a los organismos de acción comunal y se establecen lineamientos para la formulación e implementación de la política pública de los organismos de acción comunal y de sus afiliados. De acuerdo con el artículo 1 de dicho cuerpo normativo esta ley tiene por objeto </w:t>
      </w:r>
      <w:r w:rsidRPr="006773CD">
        <w:rPr>
          <w:rFonts w:ascii="Verdana" w:eastAsia="Calibri" w:hAnsi="Verdana" w:cs="Arial"/>
          <w:color w:val="000000"/>
          <w:lang w:val="es-ES_tradnl"/>
        </w:rPr>
        <w:t>“</w:t>
      </w:r>
      <w:r w:rsidRPr="006773CD">
        <w:rPr>
          <w:rFonts w:ascii="Verdana" w:eastAsia="Aptos" w:hAnsi="Verdana" w:cs="Arial"/>
          <w:bCs/>
          <w:color w:val="000000"/>
          <w:lang w:eastAsia="es-MX"/>
        </w:rPr>
        <w:t>promover, facilitar, estructurar y fortalecer la organización democrática, moderna, participativa y representativa de la acción comunal en sus respectivos grados asociativos y, a la vez, pretende establecer un marco jurídico para sus relaciones con el Estado y con los particulares, así como para el cabal ejercicio de derechos y deberes</w:t>
      </w:r>
      <w:r w:rsidRPr="006773CD">
        <w:rPr>
          <w:rFonts w:ascii="Verdana" w:eastAsia="Calibri" w:hAnsi="Verdana" w:cs="Arial"/>
          <w:color w:val="000000"/>
          <w:lang w:val="es-ES_tradnl"/>
        </w:rPr>
        <w:t>”</w:t>
      </w:r>
      <w:r w:rsidRPr="006773CD">
        <w:rPr>
          <w:rFonts w:ascii="Verdana" w:eastAsia="Aptos" w:hAnsi="Verdana" w:cs="Arial"/>
          <w:bCs/>
          <w:color w:val="000000"/>
          <w:lang w:eastAsia="es-MX"/>
        </w:rPr>
        <w:t>.</w:t>
      </w:r>
    </w:p>
    <w:p w14:paraId="32DEC6DB" w14:textId="77777777" w:rsidR="006773CD" w:rsidRPr="006773CD" w:rsidRDefault="006773CD" w:rsidP="006773CD">
      <w:pPr>
        <w:snapToGrid w:val="0"/>
        <w:spacing w:before="120" w:after="0" w:line="276" w:lineRule="auto"/>
        <w:ind w:firstLine="709"/>
        <w:jc w:val="both"/>
        <w:rPr>
          <w:rFonts w:ascii="Verdana" w:eastAsia="Aptos" w:hAnsi="Verdana" w:cs="Arial"/>
          <w:bCs/>
          <w:color w:val="000000"/>
          <w:lang w:eastAsia="es-MX"/>
        </w:rPr>
      </w:pPr>
      <w:r w:rsidRPr="006773CD">
        <w:rPr>
          <w:rFonts w:ascii="Verdana" w:eastAsia="Aptos" w:hAnsi="Verdana" w:cs="Arial"/>
          <w:bCs/>
          <w:color w:val="000000"/>
          <w:lang w:eastAsia="es-MX"/>
        </w:rPr>
        <w:t xml:space="preserve">En desarrollo de lo anterior, el artículo 95 de dicha ley contempla la celebración directa de convenios solidarios entre organismos de acción comunal y “los entes del orden Nacional, Departamental, Distrital y municipal”, prescribiendo lo siguiente: </w:t>
      </w:r>
    </w:p>
    <w:p w14:paraId="277F7F06" w14:textId="77777777" w:rsidR="006773CD" w:rsidRPr="006773CD" w:rsidRDefault="006773CD" w:rsidP="006773CD">
      <w:pPr>
        <w:shd w:val="clear" w:color="auto" w:fill="FFFFFF"/>
        <w:snapToGrid w:val="0"/>
        <w:spacing w:after="0" w:line="240" w:lineRule="auto"/>
        <w:ind w:right="709"/>
        <w:jc w:val="both"/>
        <w:rPr>
          <w:rFonts w:ascii="Verdana" w:eastAsia="Aptos" w:hAnsi="Verdana" w:cs="Arial"/>
          <w:bCs/>
          <w:color w:val="000000"/>
          <w:lang w:eastAsia="es-MX"/>
        </w:rPr>
      </w:pPr>
    </w:p>
    <w:p w14:paraId="6138DD3F" w14:textId="77777777" w:rsidR="006773CD" w:rsidRPr="006773CD" w:rsidRDefault="006773CD" w:rsidP="006773CD">
      <w:pPr>
        <w:shd w:val="clear" w:color="auto" w:fill="FFFFFF"/>
        <w:snapToGrid w:val="0"/>
        <w:spacing w:after="0" w:line="240" w:lineRule="auto"/>
        <w:ind w:left="709" w:right="709"/>
        <w:jc w:val="both"/>
        <w:rPr>
          <w:rFonts w:ascii="Verdana" w:eastAsia="Aptos" w:hAnsi="Verdana" w:cs="Arial"/>
          <w:color w:val="000000"/>
          <w:sz w:val="21"/>
          <w:szCs w:val="21"/>
        </w:rPr>
      </w:pPr>
      <w:r w:rsidRPr="006773CD">
        <w:rPr>
          <w:rFonts w:ascii="Verdana" w:eastAsia="Aptos" w:hAnsi="Verdana" w:cs="Arial"/>
          <w:color w:val="000000"/>
          <w:sz w:val="21"/>
          <w:szCs w:val="21"/>
        </w:rPr>
        <w:t>“Artículo 95. Convenios Solidarios. Se autoriza a los entes del orden Nacional, Departamental, Distrital y municipal para celebrar directamente convenios solidarios con los Organismos de Acción Comunal con el fin de ejecutar obras hasta por la menor cuantía. Para la ejecución de estas deberán contratar con los habitantes de la comunidad.</w:t>
      </w:r>
    </w:p>
    <w:p w14:paraId="5D8CB272" w14:textId="77777777" w:rsidR="006773CD" w:rsidRPr="006773CD" w:rsidRDefault="006773CD" w:rsidP="006773CD">
      <w:pPr>
        <w:shd w:val="clear" w:color="auto" w:fill="FFFFFF"/>
        <w:snapToGrid w:val="0"/>
        <w:spacing w:after="0" w:line="240" w:lineRule="auto"/>
        <w:ind w:left="709" w:right="709"/>
        <w:jc w:val="both"/>
        <w:rPr>
          <w:rFonts w:ascii="Verdana" w:eastAsia="Aptos" w:hAnsi="Verdana" w:cs="Arial"/>
          <w:color w:val="000000"/>
          <w:sz w:val="21"/>
          <w:szCs w:val="21"/>
        </w:rPr>
      </w:pPr>
    </w:p>
    <w:p w14:paraId="79A6A337" w14:textId="77777777" w:rsidR="006773CD" w:rsidRPr="006773CD" w:rsidRDefault="006773CD" w:rsidP="006773CD">
      <w:pPr>
        <w:shd w:val="clear" w:color="auto" w:fill="FFFFFF"/>
        <w:snapToGrid w:val="0"/>
        <w:spacing w:after="0" w:line="240" w:lineRule="auto"/>
        <w:ind w:left="709" w:right="709"/>
        <w:jc w:val="both"/>
        <w:rPr>
          <w:rFonts w:ascii="Verdana" w:eastAsia="Aptos" w:hAnsi="Verdana" w:cs="Arial"/>
          <w:color w:val="000000"/>
          <w:sz w:val="21"/>
          <w:szCs w:val="21"/>
        </w:rPr>
      </w:pPr>
      <w:r w:rsidRPr="006773CD">
        <w:rPr>
          <w:rFonts w:ascii="Verdana" w:eastAsia="Aptos" w:hAnsi="Verdana" w:cs="Arial"/>
          <w:color w:val="000000"/>
          <w:sz w:val="21"/>
          <w:szCs w:val="21"/>
        </w:rPr>
        <w:t xml:space="preserve">Parágrafo 1. Los entes territoriales podrán incluir en el monto total de los Convenios Solidarios los costos directos, los costos administrativos y el Subsidio al dignatario representante legal para transportes de que trata la (sic) el literal c) del artículo 38 de la presente ley. </w:t>
      </w:r>
    </w:p>
    <w:p w14:paraId="08D07317" w14:textId="77777777" w:rsidR="006773CD" w:rsidRPr="006773CD" w:rsidRDefault="006773CD" w:rsidP="006773CD">
      <w:pPr>
        <w:shd w:val="clear" w:color="auto" w:fill="FFFFFF"/>
        <w:snapToGrid w:val="0"/>
        <w:spacing w:after="0" w:line="240" w:lineRule="auto"/>
        <w:ind w:left="709" w:right="709"/>
        <w:jc w:val="both"/>
        <w:rPr>
          <w:rFonts w:ascii="Verdana" w:eastAsia="Aptos" w:hAnsi="Verdana" w:cs="Arial"/>
          <w:color w:val="000000"/>
          <w:sz w:val="21"/>
          <w:szCs w:val="21"/>
        </w:rPr>
      </w:pPr>
    </w:p>
    <w:p w14:paraId="3FDBE171" w14:textId="77777777" w:rsidR="006773CD" w:rsidRPr="006773CD" w:rsidRDefault="006773CD" w:rsidP="006773CD">
      <w:pPr>
        <w:shd w:val="clear" w:color="auto" w:fill="FFFFFF"/>
        <w:snapToGrid w:val="0"/>
        <w:spacing w:after="0" w:line="240" w:lineRule="auto"/>
        <w:ind w:left="709" w:right="709"/>
        <w:jc w:val="both"/>
        <w:rPr>
          <w:rFonts w:ascii="Verdana" w:eastAsia="Aptos" w:hAnsi="Verdana" w:cs="Arial"/>
          <w:color w:val="000000"/>
          <w:sz w:val="21"/>
          <w:szCs w:val="21"/>
        </w:rPr>
      </w:pPr>
      <w:r w:rsidRPr="006773CD">
        <w:rPr>
          <w:rFonts w:ascii="Verdana" w:eastAsia="Aptos" w:hAnsi="Verdana" w:cs="Arial"/>
          <w:color w:val="000000"/>
          <w:sz w:val="21"/>
          <w:szCs w:val="21"/>
        </w:rPr>
        <w:t>Parágrafo 2. Adicional del monto del Convenio Solidario, los entes territoriales deberán contar o disponer de personal técnico y administrativo-contable, para supervisar y apoyar a los Organismos de Acción Comunal en la ejecución de las obras”</w:t>
      </w:r>
      <w:r w:rsidRPr="006773CD">
        <w:rPr>
          <w:rFonts w:ascii="Verdana" w:eastAsia="Aptos" w:hAnsi="Verdana" w:cs="Arial"/>
          <w:color w:val="000000"/>
          <w:sz w:val="21"/>
          <w:szCs w:val="21"/>
          <w:vertAlign w:val="superscript"/>
        </w:rPr>
        <w:footnoteReference w:id="6"/>
      </w:r>
      <w:r w:rsidRPr="006773CD">
        <w:rPr>
          <w:rFonts w:ascii="Verdana" w:eastAsia="Aptos" w:hAnsi="Verdana" w:cs="Arial"/>
          <w:color w:val="000000"/>
          <w:sz w:val="21"/>
          <w:szCs w:val="21"/>
        </w:rPr>
        <w:t>.</w:t>
      </w:r>
    </w:p>
    <w:p w14:paraId="71648CB5" w14:textId="77777777" w:rsidR="006773CD" w:rsidRPr="006773CD" w:rsidRDefault="006773CD" w:rsidP="006773CD">
      <w:pPr>
        <w:shd w:val="clear" w:color="auto" w:fill="FFFFFF"/>
        <w:spacing w:after="0" w:line="276" w:lineRule="auto"/>
        <w:ind w:left="709" w:right="709"/>
        <w:jc w:val="both"/>
        <w:rPr>
          <w:rFonts w:ascii="Verdana" w:eastAsia="Aptos" w:hAnsi="Verdana" w:cs="Arial"/>
          <w:color w:val="000000"/>
        </w:rPr>
      </w:pPr>
    </w:p>
    <w:p w14:paraId="3976E1BB" w14:textId="77777777" w:rsidR="006773CD" w:rsidRPr="006773CD" w:rsidRDefault="006773CD" w:rsidP="006773CD">
      <w:pPr>
        <w:shd w:val="clear" w:color="auto" w:fill="FFFFFF"/>
        <w:snapToGrid w:val="0"/>
        <w:spacing w:after="120" w:line="276" w:lineRule="auto"/>
        <w:ind w:firstLine="709"/>
        <w:jc w:val="both"/>
        <w:rPr>
          <w:rFonts w:ascii="Verdana" w:eastAsia="Calibri" w:hAnsi="Verdana" w:cs="Arial"/>
          <w:color w:val="000000"/>
          <w:lang w:val="es-ES_tradnl"/>
        </w:rPr>
      </w:pPr>
      <w:r w:rsidRPr="006773CD">
        <w:rPr>
          <w:rFonts w:ascii="Verdana" w:eastAsia="Aptos" w:hAnsi="Verdana" w:cs="Arial"/>
          <w:bCs/>
          <w:color w:val="000000"/>
          <w:lang w:eastAsia="es-MX"/>
        </w:rPr>
        <w:lastRenderedPageBreak/>
        <w:t xml:space="preserve">Según se evidencia, esta norma desarrolla las siguientes reglas: i) las </w:t>
      </w:r>
      <w:r w:rsidRPr="006773CD">
        <w:rPr>
          <w:rFonts w:ascii="Verdana" w:eastAsia="Calibri" w:hAnsi="Verdana" w:cs="Arial"/>
          <w:color w:val="000000"/>
          <w:lang w:val="es-ES_tradnl"/>
        </w:rPr>
        <w:t>“</w:t>
      </w:r>
      <w:r w:rsidRPr="006773CD">
        <w:rPr>
          <w:rFonts w:ascii="Verdana" w:eastAsia="Aptos" w:hAnsi="Verdana" w:cs="Arial"/>
          <w:bCs/>
          <w:color w:val="000000"/>
          <w:lang w:eastAsia="es-MX"/>
        </w:rPr>
        <w:t>entidades del</w:t>
      </w:r>
      <w:r w:rsidRPr="006773CD">
        <w:rPr>
          <w:rFonts w:ascii="Verdana" w:eastAsia="Calibri" w:hAnsi="Verdana" w:cs="Arial"/>
          <w:color w:val="000000"/>
          <w:lang w:val="es-ES_tradnl"/>
        </w:rPr>
        <w:t xml:space="preserve"> </w:t>
      </w:r>
      <w:r w:rsidRPr="006773CD">
        <w:rPr>
          <w:rFonts w:ascii="Verdana" w:eastAsia="Aptos" w:hAnsi="Verdana" w:cs="Arial"/>
          <w:color w:val="000000"/>
        </w:rPr>
        <w:t>orden Nacional, Departamental, Distrital y municipal</w:t>
      </w:r>
      <w:r w:rsidRPr="006773CD">
        <w:rPr>
          <w:rFonts w:ascii="Verdana" w:eastAsia="Calibri" w:hAnsi="Verdana" w:cs="Arial"/>
          <w:color w:val="000000"/>
          <w:lang w:val="es-ES_tradnl"/>
        </w:rPr>
        <w:t xml:space="preserve">” y los organismos de acción comunal podrán celebrar directamente convenios solidarios, es decir, la modalidad de contratación establecida para este caso es la contratación directa. Para el efecto, debe tenerse en cuenta la clasificación que realiza el artículo 7 de la Ley 2166 de 2021 de los organismos de acción comunal, de manera que la celebración de estos convenios puede realizarse con cualquiera de los organismos de acción comunal allí contemplados, pues la norma se refiere de forma general a los </w:t>
      </w:r>
      <w:r w:rsidRPr="006773CD">
        <w:rPr>
          <w:rFonts w:ascii="Verdana" w:eastAsia="Calibri" w:hAnsi="Verdana" w:cs="Arial"/>
          <w:i/>
          <w:iCs/>
          <w:color w:val="000000"/>
          <w:lang w:val="es-ES_tradnl"/>
        </w:rPr>
        <w:t>organismos de acción comunal</w:t>
      </w:r>
      <w:r w:rsidRPr="006773CD">
        <w:rPr>
          <w:rFonts w:ascii="Verdana" w:eastAsia="Calibri" w:hAnsi="Verdana" w:cs="Times New Roman"/>
          <w:kern w:val="2"/>
          <w:vertAlign w:val="superscript"/>
          <w:lang w:val="es-ES_tradnl"/>
          <w14:ligatures w14:val="standardContextual"/>
        </w:rPr>
        <w:footnoteReference w:id="7"/>
      </w:r>
      <w:r w:rsidRPr="006773CD">
        <w:rPr>
          <w:rFonts w:ascii="Verdana" w:eastAsia="Calibri" w:hAnsi="Verdana" w:cs="Arial"/>
          <w:color w:val="000000"/>
          <w:lang w:val="es-ES_tradnl"/>
        </w:rPr>
        <w:t xml:space="preserve">. </w:t>
      </w:r>
      <w:proofErr w:type="spellStart"/>
      <w:r w:rsidRPr="006773CD">
        <w:rPr>
          <w:rFonts w:ascii="Verdana" w:eastAsia="Calibri" w:hAnsi="Verdana" w:cs="Arial"/>
          <w:color w:val="000000"/>
          <w:lang w:val="es-ES_tradnl"/>
        </w:rPr>
        <w:t>ii</w:t>
      </w:r>
      <w:proofErr w:type="spellEnd"/>
      <w:r w:rsidRPr="006773CD">
        <w:rPr>
          <w:rFonts w:ascii="Verdana" w:eastAsia="Calibri" w:hAnsi="Verdana" w:cs="Arial"/>
          <w:color w:val="000000"/>
          <w:lang w:val="es-ES_tradnl"/>
        </w:rPr>
        <w:t xml:space="preserve">) Estos convenios solidarios deben tener por objeto únicamente la ejecución de obras. Esto significa que no pueden desarrollarse otros objetos distintos a la obra con fundamento en este artículo. </w:t>
      </w:r>
      <w:proofErr w:type="spellStart"/>
      <w:r w:rsidRPr="006773CD">
        <w:rPr>
          <w:rFonts w:ascii="Verdana" w:eastAsia="Calibri" w:hAnsi="Verdana" w:cs="Arial"/>
          <w:color w:val="000000"/>
          <w:lang w:val="es-ES_tradnl"/>
        </w:rPr>
        <w:t>iii</w:t>
      </w:r>
      <w:proofErr w:type="spellEnd"/>
      <w:r w:rsidRPr="006773CD">
        <w:rPr>
          <w:rFonts w:ascii="Verdana" w:eastAsia="Calibri" w:hAnsi="Verdana" w:cs="Arial"/>
          <w:color w:val="000000"/>
          <w:lang w:val="es-ES_tradnl"/>
        </w:rPr>
        <w:t xml:space="preserve">) El convenio solidario tiene un límite consistente en que no podrá exceder la menor cuantía de la entidad. Por tanto, los sujetos señalados en la norma están facultados para celebrar estos convenios por la mínima o la menor cuantía de la entidad, para lo cual se atenderá lo previsto en el literal b) del artículo 2 de la Ley 1150 de 2007 para determinar el tope de la menor cuantía de la entidad estatal. </w:t>
      </w:r>
      <w:proofErr w:type="spellStart"/>
      <w:r w:rsidRPr="006773CD">
        <w:rPr>
          <w:rFonts w:ascii="Verdana" w:eastAsia="Calibri" w:hAnsi="Verdana" w:cs="Arial"/>
          <w:color w:val="000000"/>
          <w:lang w:val="es-ES_tradnl"/>
        </w:rPr>
        <w:t>iv</w:t>
      </w:r>
      <w:proofErr w:type="spellEnd"/>
      <w:r w:rsidRPr="006773CD">
        <w:rPr>
          <w:rFonts w:ascii="Verdana" w:eastAsia="Calibri" w:hAnsi="Verdana" w:cs="Arial"/>
          <w:color w:val="000000"/>
          <w:lang w:val="es-ES_tradnl"/>
        </w:rPr>
        <w:t xml:space="preserve">) Para la ejecución de las obras se </w:t>
      </w:r>
      <w:r w:rsidRPr="006773CD">
        <w:rPr>
          <w:rFonts w:ascii="Verdana" w:eastAsia="Calibri" w:hAnsi="Verdana" w:cs="Arial"/>
          <w:color w:val="000000"/>
          <w:lang w:val="es-ES_tradnl"/>
        </w:rPr>
        <w:lastRenderedPageBreak/>
        <w:t>establece el deber de contratar con los habitantes de la comunidad. v) En el valor total del convenio la entidad podrá incluir los costos directos, los costos administrativos y el subsidio al dignatario representante legal para transportes de que trata el literal c) del artículo 38 de la Ley 2166 de 2021. Estos costos deberán incluirse en el ejercicio de planeación que realice la entidad y estar debidamente justificados. vi) Las entidades deberán contar con personal técnico y administrativo-contable para apoyar y supervisar a los organismos de acción comunal durante la ejecución de las obras. De acuerdo con el parágrafo 2 del artículo 95 de la Ley 2166 de 2021, para garantizar este personal de apoyo las Entidades Estatales deben contar con unos recursos adicionales a los comprendidos dentro del valor del Convenio Solidario.</w:t>
      </w:r>
    </w:p>
    <w:p w14:paraId="20BEA504" w14:textId="77777777" w:rsidR="006773CD" w:rsidRPr="006773CD" w:rsidRDefault="006773CD" w:rsidP="006773CD">
      <w:pPr>
        <w:snapToGrid w:val="0"/>
        <w:spacing w:after="120" w:line="276" w:lineRule="auto"/>
        <w:ind w:firstLine="709"/>
        <w:jc w:val="both"/>
        <w:rPr>
          <w:rFonts w:ascii="Verdana" w:eastAsia="Calibri" w:hAnsi="Verdana" w:cs="Arial"/>
          <w:lang w:val="es-ES"/>
        </w:rPr>
      </w:pPr>
      <w:r w:rsidRPr="006773CD">
        <w:rPr>
          <w:rFonts w:ascii="Verdana" w:eastAsia="Calibri" w:hAnsi="Verdana" w:cs="Arial"/>
          <w:lang w:val="es-ES"/>
        </w:rPr>
        <w:t xml:space="preserve">Sin embargo, teniendo en cuenta el objeto de su consulta, es preciso aclarar que en los convenios solidarios no es posible pactar anticipos o pagos anticipados, pues pese a que el parágrafo del artículo 40 de la Ley 80 de 1993 permite que “[e]n los </w:t>
      </w:r>
      <w:r w:rsidRPr="006773CD">
        <w:rPr>
          <w:rFonts w:ascii="Verdana" w:eastAsia="Calibri" w:hAnsi="Verdana" w:cs="Arial"/>
          <w:i/>
          <w:iCs/>
          <w:u w:val="single"/>
          <w:lang w:val="es-ES"/>
        </w:rPr>
        <w:t>contratos</w:t>
      </w:r>
      <w:r w:rsidRPr="006773CD">
        <w:rPr>
          <w:rFonts w:ascii="Verdana" w:eastAsia="Calibri" w:hAnsi="Verdana" w:cs="Arial"/>
          <w:lang w:val="es-ES"/>
        </w:rPr>
        <w:t xml:space="preserve"> que celebren las entidades estatales se podrá pactar el pago de anticipo y la entrega de anticipos […]” [énfasis fuera de texto], dicha norma no extendió esta prerrogativa a los convenios que suscriben las entidades públicas. Lo anterior guarda su fundamento en que, si bien tanto los contratos como los convenios comparten características comunes, difieren en cuanto a aspectos esenciales. Así, mientras que el contrato se caracteriza por su naturaleza onerosa, patrimonial y se conforma por intereses básicamente contrapuestos, los convenios, por su parte, tienen una finalidad asociativa perseguida por las partes suscriptoras, cuyos intereses se encaminan en la misma dirección y persiguen los mismos objetivos, por lo que carecen de la calidad conmutativa, que sí es propia de los primeros.</w:t>
      </w:r>
      <w:r w:rsidRPr="006773CD">
        <w:rPr>
          <w:rFonts w:ascii="Aptos" w:eastAsia="Aptos" w:hAnsi="Aptos" w:cs="Times New Roman"/>
        </w:rPr>
        <w:t xml:space="preserve"> </w:t>
      </w:r>
    </w:p>
    <w:p w14:paraId="4CCD5B60" w14:textId="77777777" w:rsidR="006773CD" w:rsidRPr="006773CD" w:rsidRDefault="006773CD" w:rsidP="006773CD">
      <w:pPr>
        <w:snapToGrid w:val="0"/>
        <w:spacing w:after="0" w:line="276" w:lineRule="auto"/>
        <w:ind w:firstLine="709"/>
        <w:jc w:val="both"/>
        <w:rPr>
          <w:rFonts w:ascii="Verdana" w:eastAsia="Calibri" w:hAnsi="Verdana" w:cs="Arial"/>
          <w:lang w:val="es-ES"/>
        </w:rPr>
      </w:pPr>
      <w:r w:rsidRPr="006773CD">
        <w:rPr>
          <w:rFonts w:ascii="Verdana" w:eastAsia="Calibri" w:hAnsi="Verdana" w:cs="Arial"/>
          <w:lang w:val="es-ES"/>
        </w:rPr>
        <w:t>Ahora bien, debe precisarse que el 30 de junio de 2023, esta Agencia, con fundamento en lo establecido en el artículo 1 de la Ley 2022 de 2020, adoptó mediante la Resolución 358 de 2023 los Documentos Tipo para la contratación directa de convenios solidarios para la ejecución de obras hasta la menor cuantía con organismos de acción comunal</w:t>
      </w:r>
      <w:r w:rsidRPr="006773CD">
        <w:rPr>
          <w:rFonts w:ascii="Verdana" w:eastAsia="Calibri" w:hAnsi="Verdana" w:cs="Arial"/>
          <w:vertAlign w:val="superscript"/>
          <w:lang w:val="es-ES"/>
        </w:rPr>
        <w:footnoteReference w:id="8"/>
      </w:r>
      <w:r w:rsidRPr="006773CD">
        <w:rPr>
          <w:rFonts w:ascii="Verdana" w:eastAsia="Calibri" w:hAnsi="Verdana" w:cs="Arial"/>
          <w:lang w:val="es-ES"/>
        </w:rPr>
        <w:t xml:space="preserve">. En estos documentos se establecen las reglas que deberán aplicar las Entidades Estatales que pretendan la suscripción de convenios solidarios con organismos de acción comunal con el fin de ejecutar obras hasta por la menor cuantía. En ese sentido, y teniendo en cuenta que en </w:t>
      </w:r>
      <w:r w:rsidRPr="006773CD">
        <w:rPr>
          <w:rFonts w:ascii="Verdana" w:eastAsia="Calibri" w:hAnsi="Verdana" w:cs="Arial"/>
          <w:lang w:val="es-ES"/>
        </w:rPr>
        <w:lastRenderedPageBreak/>
        <w:t xml:space="preserve">los convenios de asociación no es posible realizar el pago de contraprestaciones debido a que estos no son conmutativos, se estableció en la “CLÁUSULA 7. GIROS DE LOS RECURSOS” de la Minuta Tipo de dichos Documentos Tipo, lo siguiente: </w:t>
      </w:r>
    </w:p>
    <w:p w14:paraId="7D37524E" w14:textId="77777777" w:rsidR="006773CD" w:rsidRPr="006773CD" w:rsidRDefault="006773CD" w:rsidP="006773CD">
      <w:pPr>
        <w:snapToGrid w:val="0"/>
        <w:spacing w:after="0" w:line="276" w:lineRule="auto"/>
        <w:ind w:firstLine="709"/>
        <w:jc w:val="both"/>
        <w:rPr>
          <w:rFonts w:ascii="Verdana" w:eastAsia="Calibri" w:hAnsi="Verdana" w:cs="Arial"/>
          <w:lang w:val="es-ES"/>
        </w:rPr>
      </w:pPr>
    </w:p>
    <w:p w14:paraId="4E5D71C5" w14:textId="77777777" w:rsidR="006773CD" w:rsidRPr="006773CD" w:rsidRDefault="006773CD" w:rsidP="006773CD">
      <w:pPr>
        <w:shd w:val="clear" w:color="auto" w:fill="FFFFFF"/>
        <w:spacing w:after="0" w:line="240" w:lineRule="auto"/>
        <w:ind w:left="709" w:right="709"/>
        <w:jc w:val="both"/>
        <w:rPr>
          <w:rFonts w:ascii="Verdana" w:eastAsia="Calibri" w:hAnsi="Verdana" w:cs="Arial"/>
          <w:sz w:val="21"/>
          <w:szCs w:val="21"/>
        </w:rPr>
      </w:pPr>
      <w:r w:rsidRPr="006773CD">
        <w:rPr>
          <w:rFonts w:ascii="Verdana" w:eastAsia="Calibri" w:hAnsi="Verdana" w:cs="Arial"/>
          <w:sz w:val="21"/>
          <w:szCs w:val="21"/>
        </w:rPr>
        <w:t xml:space="preserve">“La Entidad Estatal girará a la cuenta que se constituya a nombre del convenio o al Patrimonio Autónomo, según corresponda, el valor a su cargo en ______ </w:t>
      </w:r>
      <w:r w:rsidRPr="006773CD">
        <w:rPr>
          <w:rFonts w:ascii="Verdana" w:eastAsia="Calibri" w:hAnsi="Verdana" w:cs="Arial"/>
          <w:sz w:val="21"/>
          <w:szCs w:val="21"/>
          <w:highlight w:val="lightGray"/>
        </w:rPr>
        <w:t>[indicar el número de desembolsos]</w:t>
      </w:r>
      <w:r w:rsidRPr="006773CD">
        <w:rPr>
          <w:rFonts w:ascii="Verdana" w:eastAsia="Calibri" w:hAnsi="Verdana" w:cs="Arial"/>
          <w:sz w:val="21"/>
          <w:szCs w:val="21"/>
        </w:rPr>
        <w:t xml:space="preserve"> equivalentes a ______ [</w:t>
      </w:r>
      <w:r w:rsidRPr="006773CD">
        <w:rPr>
          <w:rFonts w:ascii="Verdana" w:eastAsia="Calibri" w:hAnsi="Verdana" w:cs="Arial"/>
          <w:sz w:val="21"/>
          <w:szCs w:val="21"/>
          <w:highlight w:val="lightGray"/>
        </w:rPr>
        <w:t>indicar el porcentaje de cada desembolso, sin que la sumatoria de estos supere el 100%]</w:t>
      </w:r>
      <w:r w:rsidRPr="006773CD">
        <w:rPr>
          <w:rFonts w:ascii="Verdana" w:eastAsia="Calibri" w:hAnsi="Verdana" w:cs="Arial"/>
          <w:sz w:val="21"/>
          <w:szCs w:val="21"/>
        </w:rPr>
        <w:t xml:space="preserve"> correspondientes a la vigencia fiscal </w:t>
      </w:r>
      <w:r w:rsidRPr="006773CD">
        <w:rPr>
          <w:rFonts w:ascii="Verdana" w:eastAsia="Calibri" w:hAnsi="Verdana" w:cs="Arial"/>
          <w:sz w:val="21"/>
          <w:szCs w:val="21"/>
          <w:highlight w:val="lightGray"/>
        </w:rPr>
        <w:t>_______[indicar el año de vigencia]</w:t>
      </w:r>
      <w:r w:rsidRPr="006773CD">
        <w:rPr>
          <w:rFonts w:ascii="Verdana" w:eastAsia="Calibri" w:hAnsi="Verdana" w:cs="Arial"/>
          <w:sz w:val="21"/>
          <w:szCs w:val="21"/>
        </w:rPr>
        <w:t xml:space="preserve">, cuando </w:t>
      </w:r>
      <w:r w:rsidRPr="006773CD">
        <w:rPr>
          <w:rFonts w:ascii="Verdana" w:eastAsia="Calibri" w:hAnsi="Verdana" w:cs="Arial"/>
          <w:sz w:val="21"/>
          <w:szCs w:val="21"/>
          <w:highlight w:val="lightGray"/>
        </w:rPr>
        <w:t>[indicar el momento en que se realizará cada giro y las condiciones que se deban cumplir para ello].</w:t>
      </w:r>
    </w:p>
    <w:p w14:paraId="71E28115" w14:textId="77777777" w:rsidR="006773CD" w:rsidRPr="006773CD" w:rsidRDefault="006773CD" w:rsidP="006773CD">
      <w:pPr>
        <w:shd w:val="clear" w:color="auto" w:fill="FFFFFF"/>
        <w:spacing w:after="0" w:line="240" w:lineRule="auto"/>
        <w:ind w:left="709" w:right="709"/>
        <w:jc w:val="both"/>
        <w:rPr>
          <w:rFonts w:ascii="Verdana" w:eastAsia="Calibri" w:hAnsi="Verdana" w:cs="Arial"/>
          <w:sz w:val="21"/>
          <w:szCs w:val="21"/>
          <w:lang w:val="es-ES"/>
        </w:rPr>
      </w:pPr>
      <w:r w:rsidRPr="006773CD">
        <w:rPr>
          <w:rFonts w:ascii="Verdana" w:eastAsia="Calibri" w:hAnsi="Verdana" w:cs="Arial"/>
          <w:sz w:val="21"/>
          <w:szCs w:val="21"/>
          <w:lang w:val="es-ES"/>
        </w:rPr>
        <w:t>[…]”</w:t>
      </w:r>
    </w:p>
    <w:p w14:paraId="197EFFC3" w14:textId="77777777" w:rsidR="006773CD" w:rsidRPr="006773CD" w:rsidRDefault="006773CD" w:rsidP="006773CD">
      <w:pPr>
        <w:ind w:left="720"/>
        <w:contextualSpacing/>
        <w:rPr>
          <w:rFonts w:ascii="Verdana" w:eastAsia="Calibri" w:hAnsi="Verdana" w:cs="Arial"/>
          <w:lang w:val="es-ES"/>
        </w:rPr>
      </w:pPr>
    </w:p>
    <w:p w14:paraId="38269C81" w14:textId="77777777" w:rsidR="006773CD" w:rsidRPr="006773CD" w:rsidRDefault="006773CD" w:rsidP="006773CD">
      <w:pPr>
        <w:snapToGrid w:val="0"/>
        <w:spacing w:after="0" w:line="276" w:lineRule="auto"/>
        <w:ind w:firstLine="709"/>
        <w:jc w:val="both"/>
        <w:rPr>
          <w:rFonts w:ascii="Verdana" w:eastAsia="Calibri" w:hAnsi="Verdana" w:cs="Arial"/>
          <w:lang w:val="es-ES"/>
        </w:rPr>
      </w:pPr>
      <w:r w:rsidRPr="006773CD">
        <w:rPr>
          <w:rFonts w:ascii="Verdana" w:eastAsia="Calibri" w:hAnsi="Verdana" w:cs="Arial"/>
          <w:lang w:val="es-ES"/>
        </w:rPr>
        <w:t xml:space="preserve">Adicionalmente, en dicha cláusula se establecieron tres (3) opciones para la realización del giro de los recursos, con el fin de que la Entidad Estatal que adelanta el proceso de contratación, de acuerdo con las necesidades y características propias de cada convenio solidario, elija la que estime más conveniente. Estas opciones son las siguientes: </w:t>
      </w:r>
    </w:p>
    <w:p w14:paraId="3C4ED156" w14:textId="77777777" w:rsidR="006773CD" w:rsidRPr="006773CD" w:rsidRDefault="006773CD" w:rsidP="006773CD">
      <w:pPr>
        <w:ind w:left="720"/>
        <w:contextualSpacing/>
        <w:jc w:val="both"/>
        <w:rPr>
          <w:rFonts w:ascii="Verdana" w:eastAsia="Calibri" w:hAnsi="Verdana" w:cs="Arial"/>
          <w:lang w:val="es-ES"/>
        </w:rPr>
      </w:pPr>
    </w:p>
    <w:p w14:paraId="36C1AD3B" w14:textId="77777777" w:rsidR="006773CD" w:rsidRPr="006773CD" w:rsidRDefault="006773CD" w:rsidP="006773CD">
      <w:pPr>
        <w:shd w:val="clear" w:color="auto" w:fill="FFFFFF"/>
        <w:adjustRightInd w:val="0"/>
        <w:spacing w:after="0" w:line="240" w:lineRule="auto"/>
        <w:ind w:left="709" w:right="709"/>
        <w:jc w:val="both"/>
        <w:rPr>
          <w:rFonts w:ascii="Verdana" w:eastAsia="Calibri" w:hAnsi="Verdana" w:cs="Arial"/>
          <w:sz w:val="21"/>
          <w:szCs w:val="21"/>
          <w:lang w:val="es-ES"/>
        </w:rPr>
      </w:pPr>
      <w:r w:rsidRPr="006773CD">
        <w:rPr>
          <w:rFonts w:ascii="Verdana" w:eastAsia="Calibri" w:hAnsi="Verdana" w:cs="Arial"/>
          <w:sz w:val="21"/>
          <w:szCs w:val="21"/>
          <w:lang w:val="es-ES"/>
        </w:rPr>
        <w:t>“[…]</w:t>
      </w:r>
    </w:p>
    <w:p w14:paraId="3F1F73DF" w14:textId="77777777" w:rsidR="006773CD" w:rsidRPr="006773CD" w:rsidRDefault="006773CD" w:rsidP="006773CD">
      <w:pPr>
        <w:shd w:val="clear" w:color="auto" w:fill="FFFFFF"/>
        <w:adjustRightInd w:val="0"/>
        <w:spacing w:after="0" w:line="240" w:lineRule="auto"/>
        <w:ind w:left="709" w:right="709"/>
        <w:jc w:val="both"/>
        <w:rPr>
          <w:rFonts w:ascii="Verdana" w:eastAsia="Calibri" w:hAnsi="Verdana" w:cs="Arial"/>
          <w:sz w:val="21"/>
          <w:szCs w:val="21"/>
          <w:lang w:val="es-ES"/>
        </w:rPr>
      </w:pPr>
      <w:r w:rsidRPr="006773CD">
        <w:rPr>
          <w:rFonts w:ascii="Verdana" w:eastAsia="Calibri" w:hAnsi="Verdana" w:cs="Arial"/>
          <w:b/>
          <w:bCs/>
          <w:sz w:val="21"/>
          <w:szCs w:val="21"/>
          <w:lang w:val="es-ES"/>
        </w:rPr>
        <w:t>Opción 1</w:t>
      </w:r>
    </w:p>
    <w:p w14:paraId="34ACF7C5" w14:textId="77777777" w:rsidR="006773CD" w:rsidRPr="006773CD" w:rsidRDefault="006773CD" w:rsidP="006773CD">
      <w:pPr>
        <w:shd w:val="clear" w:color="auto" w:fill="FFFFFF"/>
        <w:adjustRightInd w:val="0"/>
        <w:spacing w:after="0" w:line="240" w:lineRule="auto"/>
        <w:ind w:left="709" w:right="709"/>
        <w:jc w:val="both"/>
        <w:rPr>
          <w:rFonts w:ascii="Verdana" w:eastAsia="Calibri" w:hAnsi="Verdana" w:cs="Arial"/>
          <w:sz w:val="21"/>
          <w:szCs w:val="21"/>
          <w:highlight w:val="lightGray"/>
          <w:lang w:val="es-ES"/>
        </w:rPr>
      </w:pPr>
    </w:p>
    <w:p w14:paraId="6AAA1E86" w14:textId="77777777" w:rsidR="006773CD" w:rsidRPr="006773CD" w:rsidRDefault="006773CD" w:rsidP="006773CD">
      <w:pPr>
        <w:shd w:val="clear" w:color="auto" w:fill="FFFFFF"/>
        <w:adjustRightInd w:val="0"/>
        <w:spacing w:after="0" w:line="240" w:lineRule="auto"/>
        <w:ind w:left="709" w:right="709"/>
        <w:jc w:val="both"/>
        <w:rPr>
          <w:rFonts w:ascii="Verdana" w:eastAsia="Calibri" w:hAnsi="Verdana" w:cs="Arial"/>
          <w:sz w:val="21"/>
          <w:szCs w:val="21"/>
          <w:lang w:val="es-ES"/>
        </w:rPr>
      </w:pPr>
      <w:r w:rsidRPr="006773CD">
        <w:rPr>
          <w:rFonts w:ascii="Verdana" w:eastAsia="Calibri" w:hAnsi="Verdana" w:cs="Arial"/>
          <w:sz w:val="21"/>
          <w:szCs w:val="21"/>
          <w:highlight w:val="lightGray"/>
          <w:lang w:val="es-ES"/>
        </w:rPr>
        <w:t>[Los giros de los recursos que realice la Entidad Estatal deberán realizarse a cuenta de manejo conjunto a nombre del convenio que genere rendimientos financieros y sin posibilidad de sobregiro, en la que no se podrá disponer de los recursos de manera electrónica por el OAC y que requiere para la disposición de los recursos allí depositados de la autorización del Representante Legal del OAC y del Interventor y/o Supervisor de la Entidad Estatal]</w:t>
      </w:r>
    </w:p>
    <w:p w14:paraId="1B61F258" w14:textId="77777777" w:rsidR="006773CD" w:rsidRPr="006773CD" w:rsidRDefault="006773CD" w:rsidP="006773CD">
      <w:pPr>
        <w:shd w:val="clear" w:color="auto" w:fill="FFFFFF"/>
        <w:adjustRightInd w:val="0"/>
        <w:spacing w:after="0" w:line="240" w:lineRule="auto"/>
        <w:ind w:left="709" w:right="709"/>
        <w:jc w:val="both"/>
        <w:rPr>
          <w:rFonts w:ascii="Verdana" w:eastAsia="Calibri" w:hAnsi="Verdana" w:cs="Arial"/>
          <w:sz w:val="21"/>
          <w:szCs w:val="21"/>
          <w:lang w:val="es-ES"/>
        </w:rPr>
      </w:pPr>
    </w:p>
    <w:p w14:paraId="179AD085" w14:textId="77777777" w:rsidR="006773CD" w:rsidRPr="006773CD" w:rsidRDefault="006773CD" w:rsidP="006773CD">
      <w:pPr>
        <w:shd w:val="clear" w:color="auto" w:fill="FFFFFF"/>
        <w:adjustRightInd w:val="0"/>
        <w:spacing w:after="0" w:line="240" w:lineRule="auto"/>
        <w:ind w:left="709" w:right="709"/>
        <w:jc w:val="both"/>
        <w:rPr>
          <w:rFonts w:ascii="Verdana" w:eastAsia="Calibri" w:hAnsi="Verdana" w:cs="Arial"/>
          <w:sz w:val="21"/>
          <w:szCs w:val="21"/>
          <w:lang w:val="es-ES"/>
        </w:rPr>
      </w:pPr>
      <w:r w:rsidRPr="006773CD">
        <w:rPr>
          <w:rFonts w:ascii="Verdana" w:eastAsia="Calibri" w:hAnsi="Verdana" w:cs="Arial"/>
          <w:sz w:val="21"/>
          <w:szCs w:val="21"/>
          <w:highlight w:val="lightGray"/>
          <w:lang w:val="es-ES"/>
        </w:rPr>
        <w:t>[La Entidad Estatal puede indicar condiciones propias de los giros respecto de la disponibilidad de PAC o Soportes que se requieran de la OAC para efectuar el giro de los recursos.]</w:t>
      </w:r>
    </w:p>
    <w:p w14:paraId="293E3AC9" w14:textId="77777777" w:rsidR="006773CD" w:rsidRPr="006773CD" w:rsidRDefault="006773CD" w:rsidP="006773CD">
      <w:pPr>
        <w:shd w:val="clear" w:color="auto" w:fill="FFFFFF"/>
        <w:adjustRightInd w:val="0"/>
        <w:spacing w:after="0" w:line="240" w:lineRule="auto"/>
        <w:ind w:left="709" w:right="709"/>
        <w:jc w:val="both"/>
        <w:rPr>
          <w:rFonts w:ascii="Verdana" w:eastAsia="Calibri" w:hAnsi="Verdana" w:cs="Arial"/>
          <w:sz w:val="21"/>
          <w:szCs w:val="21"/>
          <w:lang w:val="es-ES"/>
        </w:rPr>
      </w:pPr>
    </w:p>
    <w:p w14:paraId="5361FAE6" w14:textId="77777777" w:rsidR="006773CD" w:rsidRPr="006773CD" w:rsidRDefault="006773CD" w:rsidP="006773CD">
      <w:pPr>
        <w:shd w:val="clear" w:color="auto" w:fill="FFFFFF"/>
        <w:adjustRightInd w:val="0"/>
        <w:spacing w:after="0" w:line="240" w:lineRule="auto"/>
        <w:ind w:left="709" w:right="709"/>
        <w:jc w:val="both"/>
        <w:rPr>
          <w:rFonts w:ascii="Verdana" w:eastAsia="Calibri" w:hAnsi="Verdana" w:cs="Arial"/>
          <w:b/>
          <w:bCs/>
          <w:sz w:val="21"/>
          <w:szCs w:val="21"/>
          <w:lang w:val="es-ES"/>
        </w:rPr>
      </w:pPr>
      <w:r w:rsidRPr="006773CD">
        <w:rPr>
          <w:rFonts w:ascii="Verdana" w:eastAsia="Calibri" w:hAnsi="Verdana" w:cs="Arial"/>
          <w:b/>
          <w:bCs/>
          <w:sz w:val="21"/>
          <w:szCs w:val="21"/>
          <w:lang w:val="es-ES"/>
        </w:rPr>
        <w:t>Opción 2</w:t>
      </w:r>
    </w:p>
    <w:p w14:paraId="70E32723" w14:textId="77777777" w:rsidR="006773CD" w:rsidRPr="006773CD" w:rsidRDefault="006773CD" w:rsidP="006773CD">
      <w:pPr>
        <w:shd w:val="clear" w:color="auto" w:fill="FFFFFF"/>
        <w:adjustRightInd w:val="0"/>
        <w:spacing w:after="0" w:line="240" w:lineRule="auto"/>
        <w:ind w:left="709" w:right="709"/>
        <w:jc w:val="both"/>
        <w:rPr>
          <w:rFonts w:ascii="Verdana" w:eastAsia="Calibri" w:hAnsi="Verdana" w:cs="Arial"/>
          <w:sz w:val="21"/>
          <w:szCs w:val="21"/>
          <w:lang w:val="es-ES"/>
        </w:rPr>
      </w:pPr>
    </w:p>
    <w:p w14:paraId="556164E5" w14:textId="77777777" w:rsidR="006773CD" w:rsidRPr="006773CD" w:rsidRDefault="006773CD" w:rsidP="006773CD">
      <w:pPr>
        <w:shd w:val="clear" w:color="auto" w:fill="FFFFFF"/>
        <w:adjustRightInd w:val="0"/>
        <w:spacing w:after="0" w:line="240" w:lineRule="auto"/>
        <w:ind w:left="709" w:right="709"/>
        <w:jc w:val="both"/>
        <w:rPr>
          <w:rFonts w:ascii="Verdana" w:eastAsia="Calibri" w:hAnsi="Verdana" w:cs="Arial"/>
          <w:sz w:val="21"/>
          <w:szCs w:val="21"/>
          <w:lang w:val="es-ES"/>
        </w:rPr>
      </w:pPr>
      <w:r w:rsidRPr="006773CD">
        <w:rPr>
          <w:rFonts w:ascii="Verdana" w:eastAsia="Calibri" w:hAnsi="Verdana" w:cs="Arial"/>
          <w:sz w:val="21"/>
          <w:szCs w:val="21"/>
          <w:highlight w:val="lightGray"/>
          <w:lang w:val="es-ES"/>
        </w:rPr>
        <w:t xml:space="preserve">[Para el giro de los recursos que la entidad destine como aporte, el OAC constituirá un patrimonio autónomo irrevocable a nombre del convenio, cuyo beneficiario sea [Nombre de la entidad], el cual será vigilado por el Interventor y/o Supervisor del contrato. Por </w:t>
      </w:r>
      <w:r w:rsidRPr="006773CD">
        <w:rPr>
          <w:rFonts w:ascii="Verdana" w:eastAsia="Calibri" w:hAnsi="Verdana" w:cs="Arial"/>
          <w:sz w:val="21"/>
          <w:szCs w:val="21"/>
          <w:highlight w:val="lightGray"/>
          <w:lang w:val="es-ES"/>
        </w:rPr>
        <w:lastRenderedPageBreak/>
        <w:t>consiguiente, ningún pago o gravamen que afecte el aporte realizado por la entidad podrá ser efectuado sin la autorización expresa y escrita del Interventor y/o Supervisor, quien velará así porque todo desembolso del aporte corresponda a gastos del convenio y que estén de acuerdo con el plan de ejecución aprobado por el Interventor y/o Supervisor. El costo de la comisión fiduciaria es asumido dentro de los costos administrativos del convenio. El OAC presentará la respectiva minuta del contrato de fiducia para aprobación previa del Interventor y/o Supervisor.]</w:t>
      </w:r>
    </w:p>
    <w:p w14:paraId="146896B6" w14:textId="77777777" w:rsidR="006773CD" w:rsidRPr="006773CD" w:rsidRDefault="006773CD" w:rsidP="006773CD">
      <w:pPr>
        <w:shd w:val="clear" w:color="auto" w:fill="FFFFFF"/>
        <w:adjustRightInd w:val="0"/>
        <w:spacing w:after="0" w:line="240" w:lineRule="auto"/>
        <w:ind w:left="709" w:right="709"/>
        <w:jc w:val="both"/>
        <w:rPr>
          <w:rFonts w:ascii="Verdana" w:eastAsia="Calibri" w:hAnsi="Verdana" w:cs="Arial"/>
          <w:sz w:val="21"/>
          <w:szCs w:val="21"/>
          <w:lang w:val="es-ES"/>
        </w:rPr>
      </w:pPr>
    </w:p>
    <w:p w14:paraId="0B6A7EB7" w14:textId="77777777" w:rsidR="006773CD" w:rsidRPr="006773CD" w:rsidRDefault="006773CD" w:rsidP="006773CD">
      <w:pPr>
        <w:shd w:val="clear" w:color="auto" w:fill="FFFFFF"/>
        <w:adjustRightInd w:val="0"/>
        <w:spacing w:after="0" w:line="240" w:lineRule="auto"/>
        <w:ind w:left="709" w:right="709"/>
        <w:jc w:val="both"/>
        <w:rPr>
          <w:rFonts w:ascii="Verdana" w:eastAsia="Calibri" w:hAnsi="Verdana" w:cs="Arial"/>
          <w:sz w:val="21"/>
          <w:szCs w:val="21"/>
          <w:lang w:val="es-ES"/>
        </w:rPr>
      </w:pPr>
      <w:r w:rsidRPr="006773CD">
        <w:rPr>
          <w:rFonts w:ascii="Verdana" w:eastAsia="Calibri" w:hAnsi="Verdana" w:cs="Arial"/>
          <w:sz w:val="21"/>
          <w:szCs w:val="21"/>
          <w:highlight w:val="lightGray"/>
          <w:lang w:val="es-ES"/>
        </w:rPr>
        <w:t>[La Entidad Estatal puede indicar condiciones propias de los giros respecto de la disponibilidad de PAC o Soportes que se requieran de la OAC para efectuar el giro de los recursos]</w:t>
      </w:r>
    </w:p>
    <w:p w14:paraId="0F8BE79C" w14:textId="77777777" w:rsidR="006773CD" w:rsidRPr="006773CD" w:rsidRDefault="006773CD" w:rsidP="006773CD">
      <w:pPr>
        <w:shd w:val="clear" w:color="auto" w:fill="FFFFFF"/>
        <w:adjustRightInd w:val="0"/>
        <w:spacing w:after="0" w:line="240" w:lineRule="auto"/>
        <w:ind w:left="709" w:right="709"/>
        <w:jc w:val="both"/>
        <w:rPr>
          <w:rFonts w:ascii="Verdana" w:eastAsia="Calibri" w:hAnsi="Verdana" w:cs="Arial"/>
          <w:sz w:val="21"/>
          <w:szCs w:val="21"/>
          <w:lang w:val="es-ES"/>
        </w:rPr>
      </w:pPr>
    </w:p>
    <w:p w14:paraId="0540F6D6" w14:textId="77777777" w:rsidR="006773CD" w:rsidRPr="006773CD" w:rsidRDefault="006773CD" w:rsidP="006773CD">
      <w:pPr>
        <w:shd w:val="clear" w:color="auto" w:fill="FFFFFF"/>
        <w:adjustRightInd w:val="0"/>
        <w:spacing w:after="0" w:line="240" w:lineRule="auto"/>
        <w:ind w:left="709" w:right="709"/>
        <w:jc w:val="both"/>
        <w:rPr>
          <w:rFonts w:ascii="Verdana" w:eastAsia="Calibri" w:hAnsi="Verdana" w:cs="Arial"/>
          <w:b/>
          <w:bCs/>
          <w:sz w:val="21"/>
          <w:szCs w:val="21"/>
          <w:lang w:val="es-ES"/>
        </w:rPr>
      </w:pPr>
      <w:r w:rsidRPr="006773CD">
        <w:rPr>
          <w:rFonts w:ascii="Verdana" w:eastAsia="Calibri" w:hAnsi="Verdana" w:cs="Arial"/>
          <w:b/>
          <w:bCs/>
          <w:sz w:val="21"/>
          <w:szCs w:val="21"/>
          <w:lang w:val="es-ES"/>
        </w:rPr>
        <w:t>Opción 3</w:t>
      </w:r>
    </w:p>
    <w:p w14:paraId="284A14D5" w14:textId="77777777" w:rsidR="006773CD" w:rsidRPr="006773CD" w:rsidRDefault="006773CD" w:rsidP="006773CD">
      <w:pPr>
        <w:shd w:val="clear" w:color="auto" w:fill="FFFFFF"/>
        <w:adjustRightInd w:val="0"/>
        <w:spacing w:after="0" w:line="240" w:lineRule="auto"/>
        <w:ind w:left="709" w:right="709"/>
        <w:jc w:val="both"/>
        <w:rPr>
          <w:rFonts w:ascii="Verdana" w:eastAsia="Calibri" w:hAnsi="Verdana" w:cs="Arial"/>
          <w:sz w:val="21"/>
          <w:szCs w:val="21"/>
          <w:lang w:val="es-ES"/>
        </w:rPr>
      </w:pPr>
    </w:p>
    <w:p w14:paraId="3D0E05D9" w14:textId="77777777" w:rsidR="006773CD" w:rsidRPr="006773CD" w:rsidRDefault="006773CD" w:rsidP="006773CD">
      <w:pPr>
        <w:shd w:val="clear" w:color="auto" w:fill="FFFFFF"/>
        <w:adjustRightInd w:val="0"/>
        <w:spacing w:after="0" w:line="240" w:lineRule="auto"/>
        <w:ind w:left="709" w:right="709"/>
        <w:jc w:val="both"/>
        <w:rPr>
          <w:rFonts w:ascii="Verdana" w:eastAsia="Calibri" w:hAnsi="Verdana" w:cs="Arial"/>
          <w:sz w:val="21"/>
          <w:szCs w:val="21"/>
          <w:lang w:val="es-ES"/>
        </w:rPr>
      </w:pPr>
      <w:r w:rsidRPr="006773CD">
        <w:rPr>
          <w:rFonts w:ascii="Verdana" w:eastAsia="Calibri" w:hAnsi="Verdana" w:cs="Arial"/>
          <w:sz w:val="21"/>
          <w:szCs w:val="21"/>
          <w:highlight w:val="lightGray"/>
          <w:lang w:val="es-ES"/>
        </w:rPr>
        <w:t>[Los giros de los recursos que realice la Entidad Estatal deberán realizarse a cuenta bancaria a nombre del convenio que genere rendimientos financieros y sin posibilidad de sobregiro, en la que se dispondrá de los recursos únicamente de manera electrónica, por lo cual esta cuenta deberá contar con un mecanismo de autenticación dual, en el cual, el usuario preparador será asignado al OAC y el usuario aprobador será asignado al Interventor y/o Supervisor de la Entidad Estatal], por lo cual para cualquier disposición que se realice de los recursos se deberá contar siempre con la aprobación dual.</w:t>
      </w:r>
    </w:p>
    <w:p w14:paraId="5E0320D5" w14:textId="77777777" w:rsidR="006773CD" w:rsidRPr="006773CD" w:rsidRDefault="006773CD" w:rsidP="006773CD">
      <w:pPr>
        <w:shd w:val="clear" w:color="auto" w:fill="FFFFFF"/>
        <w:adjustRightInd w:val="0"/>
        <w:spacing w:after="0" w:line="240" w:lineRule="auto"/>
        <w:ind w:left="709" w:right="709"/>
        <w:jc w:val="both"/>
        <w:rPr>
          <w:rFonts w:ascii="Verdana" w:eastAsia="Calibri" w:hAnsi="Verdana" w:cs="Arial"/>
          <w:sz w:val="21"/>
          <w:szCs w:val="21"/>
          <w:lang w:val="es-ES"/>
        </w:rPr>
      </w:pPr>
    </w:p>
    <w:p w14:paraId="390F84C3" w14:textId="77777777" w:rsidR="006773CD" w:rsidRPr="006773CD" w:rsidRDefault="006773CD" w:rsidP="006773CD">
      <w:pPr>
        <w:shd w:val="clear" w:color="auto" w:fill="FFFFFF"/>
        <w:adjustRightInd w:val="0"/>
        <w:spacing w:after="0" w:line="240" w:lineRule="auto"/>
        <w:ind w:left="709" w:right="709"/>
        <w:jc w:val="both"/>
        <w:rPr>
          <w:rFonts w:ascii="Verdana" w:eastAsia="Calibri" w:hAnsi="Verdana" w:cs="Arial"/>
          <w:sz w:val="21"/>
          <w:szCs w:val="21"/>
          <w:lang w:val="es-ES"/>
        </w:rPr>
      </w:pPr>
      <w:r w:rsidRPr="006773CD">
        <w:rPr>
          <w:rFonts w:ascii="Verdana" w:eastAsia="Calibri" w:hAnsi="Verdana" w:cs="Arial"/>
          <w:sz w:val="21"/>
          <w:szCs w:val="21"/>
          <w:highlight w:val="lightGray"/>
          <w:lang w:val="es-ES"/>
        </w:rPr>
        <w:t>[La Entidad Estatal puede indicar condiciones propias de los giros respecto de la disponibilidad de PAC o Soportes que se requieran de la OAC para efectuar el giro de los recursos]</w:t>
      </w:r>
      <w:r w:rsidRPr="006773CD">
        <w:rPr>
          <w:rFonts w:ascii="Verdana" w:eastAsia="Calibri" w:hAnsi="Verdana" w:cs="Arial"/>
          <w:sz w:val="21"/>
          <w:szCs w:val="21"/>
          <w:lang w:val="es-ES"/>
        </w:rPr>
        <w:t>”.</w:t>
      </w:r>
    </w:p>
    <w:p w14:paraId="23651092" w14:textId="77777777" w:rsidR="006773CD" w:rsidRPr="006773CD" w:rsidRDefault="006773CD" w:rsidP="006773CD">
      <w:pPr>
        <w:spacing w:line="276" w:lineRule="auto"/>
        <w:ind w:left="720"/>
        <w:contextualSpacing/>
        <w:jc w:val="both"/>
        <w:rPr>
          <w:rFonts w:ascii="Verdana" w:eastAsia="Calibri" w:hAnsi="Verdana" w:cs="Arial"/>
          <w:lang w:val="es-ES"/>
        </w:rPr>
      </w:pPr>
    </w:p>
    <w:p w14:paraId="773981CF" w14:textId="77777777" w:rsidR="006773CD" w:rsidRPr="006773CD" w:rsidRDefault="006773CD" w:rsidP="006773CD">
      <w:pPr>
        <w:snapToGrid w:val="0"/>
        <w:spacing w:after="0"/>
        <w:ind w:firstLine="709"/>
        <w:jc w:val="both"/>
        <w:rPr>
          <w:rFonts w:ascii="Verdana" w:eastAsia="Calibri" w:hAnsi="Verdana" w:cs="Arial"/>
          <w:lang w:val="es-ES"/>
        </w:rPr>
      </w:pPr>
      <w:r w:rsidRPr="006773CD">
        <w:rPr>
          <w:rFonts w:ascii="Verdana" w:eastAsia="Calibri" w:hAnsi="Verdana" w:cs="Arial"/>
          <w:lang w:val="es-ES"/>
        </w:rPr>
        <w:t>Finalmente, y teniendo en cuenta el carácter de inalterabilidad de los Documentos Tipo, tal y como lo establece el artículo 3 de la Resolución 358 de 2023, las Entidades Estatales no podrán modificar las condiciones establecidas en dichos documentos salvo cuando estos expresamente lo indiquen, y deberán sujetarse a las reglas que allí se establecen.</w:t>
      </w:r>
    </w:p>
    <w:p w14:paraId="7435DB0E" w14:textId="77777777" w:rsidR="006773CD" w:rsidRPr="006773CD" w:rsidRDefault="006773CD" w:rsidP="006773CD">
      <w:pPr>
        <w:snapToGrid w:val="0"/>
        <w:spacing w:after="0" w:line="276" w:lineRule="auto"/>
        <w:jc w:val="both"/>
        <w:rPr>
          <w:rFonts w:ascii="Verdana" w:eastAsia="Calibri" w:hAnsi="Verdana" w:cs="Arial"/>
          <w:lang w:val="es-ES_tradnl"/>
        </w:rPr>
      </w:pPr>
    </w:p>
    <w:p w14:paraId="5121A7D7" w14:textId="77777777" w:rsidR="006773CD" w:rsidRPr="006773CD" w:rsidRDefault="006773CD" w:rsidP="006773CD">
      <w:pPr>
        <w:numPr>
          <w:ilvl w:val="0"/>
          <w:numId w:val="16"/>
        </w:numPr>
        <w:tabs>
          <w:tab w:val="left" w:pos="142"/>
          <w:tab w:val="left" w:pos="284"/>
        </w:tabs>
        <w:snapToGrid w:val="0"/>
        <w:spacing w:after="0" w:line="276" w:lineRule="auto"/>
        <w:ind w:left="357" w:hanging="357"/>
        <w:jc w:val="both"/>
        <w:rPr>
          <w:rFonts w:ascii="Verdana" w:eastAsia="Century Gothic" w:hAnsi="Verdana" w:cs="Century Gothic"/>
          <w:b/>
          <w:bCs/>
          <w:lang w:val="es-ES_tradnl"/>
        </w:rPr>
      </w:pPr>
      <w:r w:rsidRPr="006773CD">
        <w:rPr>
          <w:rFonts w:ascii="Verdana" w:eastAsia="Century Gothic" w:hAnsi="Verdana" w:cs="Century Gothic"/>
          <w:b/>
          <w:bCs/>
          <w:lang w:val="es-ES_tradnl"/>
        </w:rPr>
        <w:t>Referencias normativas, jurisprudenciales y otras fuentes:</w:t>
      </w:r>
    </w:p>
    <w:p w14:paraId="1330B169" w14:textId="77777777" w:rsidR="006773CD" w:rsidRPr="006773CD" w:rsidRDefault="006773CD" w:rsidP="006773CD">
      <w:pPr>
        <w:widowControl w:val="0"/>
        <w:autoSpaceDE w:val="0"/>
        <w:autoSpaceDN w:val="0"/>
        <w:snapToGrid w:val="0"/>
        <w:spacing w:after="0" w:line="276" w:lineRule="auto"/>
        <w:jc w:val="both"/>
        <w:rPr>
          <w:rFonts w:ascii="Verdana" w:eastAsia="Calibri" w:hAnsi="Verdana" w:cs="Arial"/>
          <w:lang w:val="es-ES_tradnl"/>
        </w:rPr>
      </w:pPr>
    </w:p>
    <w:tbl>
      <w:tblPr>
        <w:tblStyle w:val="Tablaconcuadrcula"/>
        <w:tblW w:w="8647" w:type="dxa"/>
        <w:tblInd w:w="137" w:type="dxa"/>
        <w:tblBorders>
          <w:top w:val="dotted" w:sz="4" w:space="0" w:color="auto"/>
          <w:left w:val="dotted" w:sz="4" w:space="0" w:color="auto"/>
          <w:bottom w:val="dotted" w:sz="4" w:space="0" w:color="auto"/>
          <w:right w:val="dotted" w:sz="4" w:space="0" w:color="auto"/>
          <w:insideH w:val="none" w:sz="0" w:space="0" w:color="auto"/>
          <w:insideV w:val="none" w:sz="0" w:space="0" w:color="auto"/>
        </w:tblBorders>
        <w:tblLayout w:type="fixed"/>
        <w:tblLook w:val="04A0" w:firstRow="1" w:lastRow="0" w:firstColumn="1" w:lastColumn="0" w:noHBand="0" w:noVBand="1"/>
      </w:tblPr>
      <w:tblGrid>
        <w:gridCol w:w="8647"/>
      </w:tblGrid>
      <w:tr w:rsidR="006773CD" w:rsidRPr="006773CD" w14:paraId="755D8BC0" w14:textId="77777777" w:rsidTr="004A5C4A">
        <w:trPr>
          <w:trHeight w:val="870"/>
        </w:trPr>
        <w:tc>
          <w:tcPr>
            <w:tcW w:w="8647" w:type="dxa"/>
          </w:tcPr>
          <w:p w14:paraId="4E12B580" w14:textId="77777777" w:rsidR="006773CD" w:rsidRPr="006773CD" w:rsidRDefault="006773CD" w:rsidP="006773CD">
            <w:pPr>
              <w:widowControl w:val="0"/>
              <w:numPr>
                <w:ilvl w:val="0"/>
                <w:numId w:val="17"/>
              </w:numPr>
              <w:autoSpaceDE w:val="0"/>
              <w:autoSpaceDN w:val="0"/>
              <w:snapToGrid w:val="0"/>
              <w:spacing w:after="120" w:line="276" w:lineRule="auto"/>
              <w:jc w:val="both"/>
              <w:rPr>
                <w:rFonts w:ascii="Verdana" w:eastAsia="Calibri" w:hAnsi="Verdana" w:cs="Arial"/>
                <w:lang w:val="es-ES"/>
              </w:rPr>
            </w:pPr>
            <w:r w:rsidRPr="006773CD">
              <w:rPr>
                <w:rFonts w:ascii="Verdana" w:eastAsia="Calibri" w:hAnsi="Verdana" w:cs="Arial"/>
                <w:lang w:val="es-ES"/>
              </w:rPr>
              <w:t>Ley 80 de 1993, artículo 40.</w:t>
            </w:r>
          </w:p>
          <w:p w14:paraId="3EC9DDB8" w14:textId="77777777" w:rsidR="006773CD" w:rsidRPr="006773CD" w:rsidRDefault="006773CD" w:rsidP="006773CD">
            <w:pPr>
              <w:widowControl w:val="0"/>
              <w:numPr>
                <w:ilvl w:val="0"/>
                <w:numId w:val="17"/>
              </w:numPr>
              <w:autoSpaceDE w:val="0"/>
              <w:autoSpaceDN w:val="0"/>
              <w:snapToGrid w:val="0"/>
              <w:spacing w:after="120" w:line="276" w:lineRule="auto"/>
              <w:jc w:val="both"/>
              <w:rPr>
                <w:rFonts w:ascii="Verdana" w:eastAsia="Calibri" w:hAnsi="Verdana" w:cs="Arial"/>
                <w:lang w:val="es-ES"/>
              </w:rPr>
            </w:pPr>
            <w:r w:rsidRPr="006773CD">
              <w:rPr>
                <w:rFonts w:ascii="Verdana" w:eastAsia="Calibri" w:hAnsi="Verdana" w:cs="Arial"/>
                <w:lang w:val="es-ES"/>
              </w:rPr>
              <w:t>Ley 1474 de 2011, artículo 91.</w:t>
            </w:r>
          </w:p>
          <w:p w14:paraId="614BBD19" w14:textId="77777777" w:rsidR="006773CD" w:rsidRPr="006773CD" w:rsidRDefault="006773CD" w:rsidP="006773CD">
            <w:pPr>
              <w:widowControl w:val="0"/>
              <w:numPr>
                <w:ilvl w:val="0"/>
                <w:numId w:val="17"/>
              </w:numPr>
              <w:autoSpaceDE w:val="0"/>
              <w:autoSpaceDN w:val="0"/>
              <w:snapToGrid w:val="0"/>
              <w:spacing w:after="120" w:line="276" w:lineRule="auto"/>
              <w:jc w:val="both"/>
              <w:rPr>
                <w:rFonts w:ascii="Verdana" w:eastAsia="Calibri" w:hAnsi="Verdana" w:cs="Arial"/>
                <w:lang w:val="es-ES"/>
              </w:rPr>
            </w:pPr>
            <w:r w:rsidRPr="006773CD">
              <w:rPr>
                <w:rFonts w:ascii="Verdana" w:eastAsia="Calibri" w:hAnsi="Verdana" w:cs="Arial"/>
                <w:lang w:val="es-ES"/>
              </w:rPr>
              <w:t xml:space="preserve">Ley 2022 de 2020, artículo 1. </w:t>
            </w:r>
          </w:p>
          <w:p w14:paraId="31A25F72" w14:textId="77777777" w:rsidR="006773CD" w:rsidRPr="006773CD" w:rsidRDefault="006773CD" w:rsidP="006773CD">
            <w:pPr>
              <w:widowControl w:val="0"/>
              <w:numPr>
                <w:ilvl w:val="0"/>
                <w:numId w:val="17"/>
              </w:numPr>
              <w:autoSpaceDE w:val="0"/>
              <w:autoSpaceDN w:val="0"/>
              <w:snapToGrid w:val="0"/>
              <w:spacing w:after="120" w:line="276" w:lineRule="auto"/>
              <w:jc w:val="both"/>
              <w:rPr>
                <w:rFonts w:ascii="Verdana" w:eastAsia="Calibri" w:hAnsi="Verdana" w:cs="Arial"/>
                <w:lang w:val="es-ES"/>
              </w:rPr>
            </w:pPr>
            <w:r w:rsidRPr="006773CD">
              <w:rPr>
                <w:rFonts w:ascii="Verdana" w:eastAsia="Calibri" w:hAnsi="Verdana" w:cs="Arial"/>
                <w:lang w:val="es-ES"/>
              </w:rPr>
              <w:lastRenderedPageBreak/>
              <w:t>Ley 2166 de 2021, artículos 7, 38 y 95.</w:t>
            </w:r>
          </w:p>
          <w:p w14:paraId="3D345974" w14:textId="77777777" w:rsidR="006773CD" w:rsidRPr="006773CD" w:rsidRDefault="006773CD" w:rsidP="006773CD">
            <w:pPr>
              <w:widowControl w:val="0"/>
              <w:numPr>
                <w:ilvl w:val="0"/>
                <w:numId w:val="17"/>
              </w:numPr>
              <w:autoSpaceDE w:val="0"/>
              <w:autoSpaceDN w:val="0"/>
              <w:snapToGrid w:val="0"/>
              <w:spacing w:after="120" w:line="276" w:lineRule="auto"/>
              <w:jc w:val="both"/>
              <w:rPr>
                <w:rFonts w:ascii="Verdana" w:eastAsia="Calibri" w:hAnsi="Verdana" w:cs="Arial"/>
                <w:lang w:val="es-ES"/>
              </w:rPr>
            </w:pPr>
            <w:r w:rsidRPr="006773CD">
              <w:rPr>
                <w:rFonts w:ascii="Verdana" w:eastAsia="Aptos" w:hAnsi="Verdana" w:cs="Vrinda"/>
                <w:lang w:val="es-ES_tradnl"/>
              </w:rPr>
              <w:t xml:space="preserve">Consejo de Estado. Sala Plena de lo Contencioso Administrativo. Sentencia del 8 de agosto de 2001. </w:t>
            </w:r>
            <w:proofErr w:type="spellStart"/>
            <w:r w:rsidRPr="006773CD">
              <w:rPr>
                <w:rFonts w:ascii="Verdana" w:eastAsia="Aptos" w:hAnsi="Verdana" w:cs="Vrinda"/>
                <w:lang w:val="es-ES_tradnl"/>
              </w:rPr>
              <w:t>Exp</w:t>
            </w:r>
            <w:proofErr w:type="spellEnd"/>
            <w:r w:rsidRPr="006773CD">
              <w:rPr>
                <w:rFonts w:ascii="Verdana" w:eastAsia="Aptos" w:hAnsi="Verdana" w:cs="Vrinda"/>
                <w:lang w:val="es-ES_tradnl"/>
              </w:rPr>
              <w:t>. AC-10966 - AC-11274. Consejero Ponente: Reinaldo Chavarro Buriticá.</w:t>
            </w:r>
          </w:p>
          <w:p w14:paraId="1C588418" w14:textId="77777777" w:rsidR="006773CD" w:rsidRPr="006773CD" w:rsidRDefault="006773CD" w:rsidP="006773CD">
            <w:pPr>
              <w:widowControl w:val="0"/>
              <w:numPr>
                <w:ilvl w:val="0"/>
                <w:numId w:val="17"/>
              </w:numPr>
              <w:autoSpaceDE w:val="0"/>
              <w:autoSpaceDN w:val="0"/>
              <w:snapToGrid w:val="0"/>
              <w:spacing w:after="120" w:line="276" w:lineRule="auto"/>
              <w:jc w:val="both"/>
              <w:rPr>
                <w:rFonts w:ascii="Verdana" w:eastAsia="Calibri" w:hAnsi="Verdana" w:cs="Arial"/>
                <w:lang w:val="es-ES"/>
              </w:rPr>
            </w:pPr>
            <w:r w:rsidRPr="006773CD">
              <w:rPr>
                <w:rFonts w:ascii="Verdana" w:eastAsia="Aptos" w:hAnsi="Verdana" w:cs="Vrinda"/>
                <w:lang w:val="es-ES_tradnl"/>
              </w:rPr>
              <w:t xml:space="preserve">Consejo de Estado. Sección Tercera. Subsección C. Sentencia del 29 de abril de 2015. </w:t>
            </w:r>
            <w:proofErr w:type="spellStart"/>
            <w:r w:rsidRPr="006773CD">
              <w:rPr>
                <w:rFonts w:ascii="Verdana" w:eastAsia="Aptos" w:hAnsi="Verdana" w:cs="Vrinda"/>
                <w:lang w:val="es-ES_tradnl"/>
              </w:rPr>
              <w:t>Exp</w:t>
            </w:r>
            <w:proofErr w:type="spellEnd"/>
            <w:r w:rsidRPr="006773CD">
              <w:rPr>
                <w:rFonts w:ascii="Verdana" w:eastAsia="Aptos" w:hAnsi="Verdana" w:cs="Vrinda"/>
                <w:lang w:val="es-ES_tradnl"/>
              </w:rPr>
              <w:t xml:space="preserve">. 31.620. Consejera Ponente: Olga Mélida Valle De </w:t>
            </w:r>
            <w:proofErr w:type="spellStart"/>
            <w:r w:rsidRPr="006773CD">
              <w:rPr>
                <w:rFonts w:ascii="Verdana" w:eastAsia="Aptos" w:hAnsi="Verdana" w:cs="Vrinda"/>
                <w:lang w:val="es-ES_tradnl"/>
              </w:rPr>
              <w:t>De</w:t>
            </w:r>
            <w:proofErr w:type="spellEnd"/>
            <w:r w:rsidRPr="006773CD">
              <w:rPr>
                <w:rFonts w:ascii="Verdana" w:eastAsia="Aptos" w:hAnsi="Verdana" w:cs="Vrinda"/>
                <w:lang w:val="es-ES_tradnl"/>
              </w:rPr>
              <w:t xml:space="preserve"> La Hoz (E).</w:t>
            </w:r>
          </w:p>
          <w:p w14:paraId="0AD0551A" w14:textId="77777777" w:rsidR="006773CD" w:rsidRPr="006773CD" w:rsidRDefault="006773CD" w:rsidP="006773CD">
            <w:pPr>
              <w:widowControl w:val="0"/>
              <w:numPr>
                <w:ilvl w:val="0"/>
                <w:numId w:val="17"/>
              </w:numPr>
              <w:autoSpaceDE w:val="0"/>
              <w:autoSpaceDN w:val="0"/>
              <w:snapToGrid w:val="0"/>
              <w:spacing w:after="120" w:line="276" w:lineRule="auto"/>
              <w:ind w:left="714" w:hanging="357"/>
              <w:jc w:val="both"/>
              <w:rPr>
                <w:rFonts w:ascii="Verdana" w:eastAsia="Calibri" w:hAnsi="Verdana" w:cs="Arial"/>
                <w:lang w:val="es-ES_tradnl"/>
              </w:rPr>
            </w:pPr>
            <w:r w:rsidRPr="006773CD">
              <w:rPr>
                <w:rFonts w:ascii="Verdana" w:eastAsia="Aptos" w:hAnsi="Verdana" w:cs="Arial"/>
                <w:spacing w:val="2"/>
                <w:lang w:val="es-ES_tradnl" w:eastAsia="es-CO"/>
              </w:rPr>
              <w:t>Resolución 358 de 2023 “</w:t>
            </w:r>
            <w:hyperlink r:id="rId11" w:history="1">
              <w:r w:rsidRPr="006773CD">
                <w:rPr>
                  <w:rFonts w:ascii="Verdana" w:eastAsia="Aptos" w:hAnsi="Verdana" w:cs="Arial"/>
                  <w:spacing w:val="2"/>
                  <w:lang w:val="es-ES_tradnl" w:eastAsia="es-CO"/>
                </w:rPr>
                <w:t>Por la cual se adopta el documento tipo para la contratación directa de convenios solidarios para la ejecución de obras hasta la menor cuantía con organismos de acción comunal”.</w:t>
              </w:r>
            </w:hyperlink>
            <w:r w:rsidRPr="006773CD">
              <w:rPr>
                <w:rFonts w:ascii="Verdana" w:eastAsia="Aptos" w:hAnsi="Verdana" w:cs="Arial"/>
                <w:lang w:val="es-ES_tradnl"/>
              </w:rPr>
              <w:t xml:space="preserve"> Disponibles en: </w:t>
            </w:r>
            <w:hyperlink r:id="rId12" w:history="1">
              <w:r w:rsidRPr="006773CD">
                <w:rPr>
                  <w:rFonts w:ascii="Verdana" w:eastAsia="Aptos" w:hAnsi="Verdana" w:cs="Arial"/>
                  <w:color w:val="467886"/>
                  <w:u w:val="single"/>
                  <w:lang w:val="es-ES_tradnl"/>
                </w:rPr>
                <w:t>https://www.colombiacompra.gov.co/content/documento-tipo-para-la-contratacion-directa-de-convenios-solidarios-para-la-ejecucion-de</w:t>
              </w:r>
            </w:hyperlink>
            <w:r w:rsidRPr="006773CD">
              <w:rPr>
                <w:rFonts w:ascii="Verdana" w:eastAsia="Aptos" w:hAnsi="Verdana" w:cs="Arial"/>
                <w:lang w:val="es-ES_tradnl"/>
              </w:rPr>
              <w:t xml:space="preserve">.  </w:t>
            </w:r>
          </w:p>
        </w:tc>
      </w:tr>
    </w:tbl>
    <w:p w14:paraId="20C745A1" w14:textId="77777777" w:rsidR="006773CD" w:rsidRPr="006773CD" w:rsidRDefault="006773CD" w:rsidP="006773CD">
      <w:pPr>
        <w:widowControl w:val="0"/>
        <w:autoSpaceDE w:val="0"/>
        <w:autoSpaceDN w:val="0"/>
        <w:snapToGrid w:val="0"/>
        <w:spacing w:after="0" w:line="276" w:lineRule="auto"/>
        <w:jc w:val="both"/>
        <w:rPr>
          <w:rFonts w:ascii="Verdana" w:eastAsia="Calibri" w:hAnsi="Verdana" w:cs="Arial"/>
          <w:lang w:val="es-ES_tradnl"/>
        </w:rPr>
      </w:pPr>
    </w:p>
    <w:p w14:paraId="17C6F527" w14:textId="77777777" w:rsidR="006773CD" w:rsidRPr="006773CD" w:rsidRDefault="006773CD" w:rsidP="006773CD">
      <w:pPr>
        <w:numPr>
          <w:ilvl w:val="0"/>
          <w:numId w:val="16"/>
        </w:numPr>
        <w:tabs>
          <w:tab w:val="left" w:pos="142"/>
          <w:tab w:val="left" w:pos="284"/>
        </w:tabs>
        <w:snapToGrid w:val="0"/>
        <w:spacing w:after="0" w:line="276" w:lineRule="auto"/>
        <w:ind w:left="357" w:hanging="357"/>
        <w:jc w:val="both"/>
        <w:rPr>
          <w:rFonts w:ascii="Verdana" w:eastAsia="Century Gothic" w:hAnsi="Verdana" w:cs="Century Gothic"/>
          <w:b/>
          <w:bCs/>
          <w:lang w:val="es-ES_tradnl"/>
        </w:rPr>
      </w:pPr>
      <w:r w:rsidRPr="006773CD">
        <w:rPr>
          <w:rFonts w:ascii="Verdana" w:eastAsia="Century Gothic" w:hAnsi="Verdana" w:cs="Century Gothic"/>
          <w:b/>
          <w:bCs/>
          <w:lang w:val="es-ES_tradnl"/>
        </w:rPr>
        <w:t>Doctrina de la Agencia Nacional de Contratación Pública:</w:t>
      </w:r>
    </w:p>
    <w:p w14:paraId="46B78D78" w14:textId="77777777" w:rsidR="006773CD" w:rsidRPr="006773CD" w:rsidRDefault="006773CD" w:rsidP="006773CD">
      <w:pPr>
        <w:widowControl w:val="0"/>
        <w:autoSpaceDE w:val="0"/>
        <w:autoSpaceDN w:val="0"/>
        <w:snapToGrid w:val="0"/>
        <w:spacing w:after="0" w:line="276" w:lineRule="auto"/>
        <w:jc w:val="both"/>
        <w:rPr>
          <w:rFonts w:ascii="Verdana" w:eastAsia="Calibri" w:hAnsi="Verdana" w:cs="Arial"/>
          <w:lang w:val="es-ES_tradnl"/>
        </w:rPr>
      </w:pPr>
    </w:p>
    <w:p w14:paraId="0ABB0632" w14:textId="0FDE52B2" w:rsidR="006773CD" w:rsidRPr="006773CD" w:rsidRDefault="006773CD" w:rsidP="006773CD">
      <w:pPr>
        <w:widowControl w:val="0"/>
        <w:autoSpaceDE w:val="0"/>
        <w:autoSpaceDN w:val="0"/>
        <w:spacing w:after="0" w:line="276" w:lineRule="auto"/>
        <w:jc w:val="both"/>
        <w:rPr>
          <w:rFonts w:ascii="Verdana" w:eastAsia="Aptos" w:hAnsi="Verdana" w:cs="Times New Roman"/>
          <w:kern w:val="2"/>
          <w:lang w:val="es-ES_tradnl"/>
          <w14:ligatures w14:val="standardContextual"/>
        </w:rPr>
      </w:pPr>
      <w:r w:rsidRPr="006773CD">
        <w:rPr>
          <w:rFonts w:ascii="Verdana" w:eastAsia="Calibri" w:hAnsi="Verdana" w:cs="Arial"/>
          <w:kern w:val="2"/>
          <w:shd w:val="clear" w:color="auto" w:fill="FFFFFF"/>
          <w:lang w:val="es-ES_tradnl"/>
          <w14:ligatures w14:val="standardContextual"/>
        </w:rPr>
        <w:t>La Agencia Nacional de Contratación Pública – Colombia Compra Eficiente se</w:t>
      </w:r>
      <w:r w:rsidRPr="006773CD">
        <w:rPr>
          <w:rFonts w:ascii="Verdana" w:eastAsia="Aptos" w:hAnsi="Verdana" w:cs="Times New Roman"/>
          <w:kern w:val="2"/>
          <w:sz w:val="24"/>
          <w:szCs w:val="24"/>
          <w14:ligatures w14:val="standardContextual"/>
        </w:rPr>
        <w:t xml:space="preserve"> </w:t>
      </w:r>
      <w:r w:rsidRPr="006773CD">
        <w:rPr>
          <w:rFonts w:ascii="Verdana" w:eastAsia="Calibri" w:hAnsi="Verdana" w:cs="Arial"/>
          <w:kern w:val="2"/>
          <w:shd w:val="clear" w:color="auto" w:fill="FFFFFF"/>
          <w:lang w:val="es-ES_tradnl"/>
          <w14:ligatures w14:val="standardContextual"/>
        </w:rPr>
        <w:t xml:space="preserve">pronunció sobre la facultad de las entidades estatales para pactar el pago anticipado o la entrega de anticipo en los contratos estatales </w:t>
      </w:r>
      <w:r w:rsidR="00827C34">
        <w:rPr>
          <w:rFonts w:ascii="Verdana" w:eastAsia="Calibri" w:hAnsi="Verdana" w:cs="Arial"/>
          <w:kern w:val="2"/>
          <w:shd w:val="clear" w:color="auto" w:fill="FFFFFF"/>
          <w:lang w:val="es-ES_tradnl"/>
          <w14:ligatures w14:val="standardContextual"/>
        </w:rPr>
        <w:t xml:space="preserve">en los conceptos con </w:t>
      </w:r>
      <w:r w:rsidRPr="006773CD">
        <w:rPr>
          <w:rFonts w:ascii="Verdana" w:eastAsia="Calibri" w:hAnsi="Verdana" w:cs="Arial"/>
          <w:kern w:val="2"/>
          <w:shd w:val="clear" w:color="auto" w:fill="FFFFFF"/>
          <w:lang w:val="es-ES_tradnl"/>
          <w14:ligatures w14:val="standardContextual"/>
        </w:rPr>
        <w:t xml:space="preserve">radicados número 414140000132 del 19 de enero de 2015, 414140001200 del 22 de enero de 2015, 4201714000000768 del 10 de marzo de 2017, 4201713000000879 del 24 de marzo de 2017, 4201713000002621 del 27 de julio de 2017, 4201714000004176 del 28 de agosto de 2017, 4201714000005628 del 11 de diciembre de 2017, 4201814000000698 del 14 de abril de 2018, C-209 del 16 de marzo de 2020, C-693 del 25 de noviembre de 2020, C-011 del 6 de marzo de 2023 y C-109 del 10 de mayo de 2023. También, esta Agencia estudió y analizó los </w:t>
      </w:r>
      <w:r w:rsidRPr="006773CD">
        <w:rPr>
          <w:rFonts w:ascii="Verdana" w:eastAsia="Aptos" w:hAnsi="Verdana" w:cs="Times New Roman"/>
          <w:kern w:val="2"/>
          <w:lang w:val="es-ES_tradnl"/>
          <w14:ligatures w14:val="standardContextual"/>
        </w:rPr>
        <w:t xml:space="preserve">convenios solidarios, su alcance y su régimen contractual, en los conceptos C-627 del 25 de octubre de 2021, C-002 del 15 de febrero de 2022, C-008 del 25 de febrero de 2022, C-079 del 18 de marzo de 2022, C-092 del 16 de marzo de 2022, C-107 del 18 de marzo de 2022, C-116 del 18 de febrero de 2022, C-119 del 25 de marzo de 2022, C-177 del 8 de abril de 2022, C-185 del 12 de abril de 2022, C-333 del 24 de mayo de 2022, C-390 del 21 de junio de 2022, C-404 del 26 de mayo de 2022, C-435 del 6 de julio de 2022, C-455 del 15 de julio de 2022, C-465 del 21 de julio de 2022, C-559 del 2 de septiembre de 2022, C-576 del 25 de septiembre de 2022, C-588 del 21 de septiembre de 2022, C-682 del 19 de octubre de 2022, C-717 del </w:t>
      </w:r>
      <w:r w:rsidRPr="006773CD">
        <w:rPr>
          <w:rFonts w:ascii="Verdana" w:eastAsia="Aptos" w:hAnsi="Verdana" w:cs="Times New Roman"/>
          <w:kern w:val="2"/>
          <w:lang w:val="es-ES_tradnl"/>
          <w14:ligatures w14:val="standardContextual"/>
        </w:rPr>
        <w:lastRenderedPageBreak/>
        <w:t xml:space="preserve">31 de octubre de 2022, C-718 del 31 de octubre de 2022, C-729 del 28 de noviembre de 2022, C-730 del 3 de noviembre de 2022, C-740 del 31 de octubre de 2022, C-940 del 29 de diciembre de 2022, C-971 del 28 de febrero de 2023, C-972 del 8 de febrero de 2023, C-068 del 9 de marzo de 2023, C-040 del 24 de marzo de 2023, C-052 del 21 de abril de 2023, C-0117 del 21 de abril de 2023, C-094 del 4 de mayo de 2023, C-209 del 21 de junio de 2023, C-287 del 9 de octubre de 2023, C-469 del 5 de febrero de 2024, C-020 del 23 de febrero de 2024, C-051 del 3 de mayo de 2024 y C-341 del 27 de agosto de 2024. </w:t>
      </w:r>
      <w:r w:rsidRPr="006773CD">
        <w:rPr>
          <w:rFonts w:ascii="Verdana" w:eastAsia="Calibri" w:hAnsi="Verdana" w:cs="Arial"/>
          <w:kern w:val="2"/>
          <w:shd w:val="clear" w:color="auto" w:fill="FFFFFF"/>
          <w:lang w:val="es-ES_tradnl"/>
          <w14:ligatures w14:val="standardContextual"/>
        </w:rPr>
        <w:t xml:space="preserve">Estos y otros conceptos se encuentran disponibles para consulta en el Sistema de Relatoría de la Agencia, en el cual también podrá encontrar jurisprudencia del Consejo de Estado, laudos arbitrales y la normativa de la contratación concordada con la doctrina de la Subdirección de Gestión Contractual.  </w:t>
      </w:r>
    </w:p>
    <w:p w14:paraId="43E95839" w14:textId="77777777" w:rsidR="006773CD" w:rsidRPr="006773CD" w:rsidRDefault="006773CD" w:rsidP="006773CD">
      <w:pPr>
        <w:widowControl w:val="0"/>
        <w:autoSpaceDE w:val="0"/>
        <w:autoSpaceDN w:val="0"/>
        <w:spacing w:after="0" w:line="276" w:lineRule="auto"/>
        <w:jc w:val="both"/>
        <w:rPr>
          <w:rFonts w:ascii="Verdana" w:eastAsia="Calibri" w:hAnsi="Verdana" w:cs="Arial"/>
          <w:kern w:val="2"/>
          <w:shd w:val="clear" w:color="auto" w:fill="FFFFFF"/>
          <w:lang w:val="es-ES_tradnl"/>
          <w14:ligatures w14:val="standardContextual"/>
        </w:rPr>
      </w:pPr>
    </w:p>
    <w:p w14:paraId="69EA550D" w14:textId="77777777" w:rsidR="006773CD" w:rsidRPr="006773CD" w:rsidRDefault="006773CD" w:rsidP="006773CD">
      <w:pPr>
        <w:widowControl w:val="0"/>
        <w:autoSpaceDE w:val="0"/>
        <w:autoSpaceDN w:val="0"/>
        <w:spacing w:after="0" w:line="276" w:lineRule="auto"/>
        <w:jc w:val="both"/>
        <w:rPr>
          <w:rFonts w:ascii="Verdana" w:eastAsia="Calibri" w:hAnsi="Verdana" w:cs="Arial"/>
          <w:kern w:val="2"/>
          <w:shd w:val="clear" w:color="auto" w:fill="FFFFFF"/>
          <w:lang w:val="es-ES_tradnl"/>
          <w14:ligatures w14:val="standardContextual"/>
        </w:rPr>
      </w:pPr>
      <w:r w:rsidRPr="006773CD">
        <w:rPr>
          <w:rFonts w:ascii="Verdana" w:eastAsia="Calibri" w:hAnsi="Verdana" w:cs="Arial"/>
          <w:kern w:val="2"/>
          <w:shd w:val="clear" w:color="auto" w:fill="FFFFFF"/>
          <w:lang w:val="es-ES_tradnl"/>
          <w14:ligatures w14:val="standardContextual"/>
        </w:rPr>
        <w:t>La</w:t>
      </w:r>
      <w:r w:rsidRPr="006773CD">
        <w:rPr>
          <w:rFonts w:ascii="Verdana" w:eastAsia="Calibri" w:hAnsi="Verdana" w:cs="Arial"/>
          <w:b/>
          <w:bCs/>
          <w:kern w:val="2"/>
          <w:shd w:val="clear" w:color="auto" w:fill="FFFFFF"/>
          <w:lang w:val="es-ES_tradnl"/>
          <w14:ligatures w14:val="standardContextual"/>
        </w:rPr>
        <w:t xml:space="preserve"> Agencia Nacional de Contratación Pública - Colombia Compra Eficiente</w:t>
      </w:r>
      <w:r w:rsidRPr="006773CD">
        <w:rPr>
          <w:rFonts w:ascii="Verdana" w:eastAsia="Calibri" w:hAnsi="Verdana" w:cs="Arial"/>
          <w:kern w:val="2"/>
          <w:shd w:val="clear" w:color="auto" w:fill="FFFFFF"/>
          <w:lang w:val="es-ES_tradnl"/>
          <w14:ligatures w14:val="standardContextual"/>
        </w:rPr>
        <w:t> recomienda a todas las entidades públicas, independientemente de su naturaleza, que gestionan recursos públicos, la aplicación de los </w:t>
      </w:r>
      <w:r w:rsidRPr="006773CD">
        <w:rPr>
          <w:rFonts w:ascii="Verdana" w:eastAsia="Calibri" w:hAnsi="Verdana" w:cs="Arial"/>
          <w:b/>
          <w:bCs/>
          <w:kern w:val="2"/>
          <w:shd w:val="clear" w:color="auto" w:fill="FFFFFF"/>
          <w:lang w:val="es-ES_tradnl"/>
          <w14:ligatures w14:val="standardContextual"/>
        </w:rPr>
        <w:t>Documentos Tipo</w:t>
      </w:r>
      <w:r w:rsidRPr="006773CD">
        <w:rPr>
          <w:rFonts w:ascii="Verdana" w:eastAsia="Calibri" w:hAnsi="Verdana" w:cs="Arial"/>
          <w:kern w:val="2"/>
          <w:shd w:val="clear" w:color="auto" w:fill="FFFFFF"/>
          <w:lang w:val="es-ES_tradnl"/>
          <w14:ligatures w14:val="standardContextual"/>
        </w:rPr>
        <w:t>. Esta recomendación es válida tanto para su uso obligatorio, cuando así lo establezca la normatividad vigente, como para su implementación como una buena práctica. El objetivo es garantizar la </w:t>
      </w:r>
      <w:r w:rsidRPr="006773CD">
        <w:rPr>
          <w:rFonts w:ascii="Verdana" w:eastAsia="Calibri" w:hAnsi="Verdana" w:cs="Arial"/>
          <w:b/>
          <w:bCs/>
          <w:kern w:val="2"/>
          <w:shd w:val="clear" w:color="auto" w:fill="FFFFFF"/>
          <w:lang w:val="es-ES_tradnl"/>
          <w14:ligatures w14:val="standardContextual"/>
        </w:rPr>
        <w:t>transparencia</w:t>
      </w:r>
      <w:r w:rsidRPr="006773CD">
        <w:rPr>
          <w:rFonts w:ascii="Verdana" w:eastAsia="Calibri" w:hAnsi="Verdana" w:cs="Arial"/>
          <w:kern w:val="2"/>
          <w:shd w:val="clear" w:color="auto" w:fill="FFFFFF"/>
          <w:lang w:val="es-ES_tradnl"/>
          <w14:ligatures w14:val="standardContextual"/>
        </w:rPr>
        <w:t> y promover un proceso de </w:t>
      </w:r>
      <w:r w:rsidRPr="006773CD">
        <w:rPr>
          <w:rFonts w:ascii="Verdana" w:eastAsia="Calibri" w:hAnsi="Verdana" w:cs="Arial"/>
          <w:b/>
          <w:bCs/>
          <w:kern w:val="2"/>
          <w:shd w:val="clear" w:color="auto" w:fill="FFFFFF"/>
          <w:lang w:val="es-ES_tradnl"/>
          <w14:ligatures w14:val="standardContextual"/>
        </w:rPr>
        <w:t>selección objetiva</w:t>
      </w:r>
      <w:r w:rsidRPr="006773CD">
        <w:rPr>
          <w:rFonts w:ascii="Verdana" w:eastAsia="Calibri" w:hAnsi="Verdana" w:cs="Arial"/>
          <w:kern w:val="2"/>
          <w:shd w:val="clear" w:color="auto" w:fill="FFFFFF"/>
          <w:lang w:val="es-ES_tradnl"/>
          <w14:ligatures w14:val="standardContextual"/>
        </w:rPr>
        <w:t> en la contratación pública, contribuyendo así a mejorar la eficiencia, la competencia y la confianza en el manejo de los recursos del Estado.</w:t>
      </w:r>
    </w:p>
    <w:p w14:paraId="5DCDC576" w14:textId="77777777" w:rsidR="006773CD" w:rsidRPr="006773CD" w:rsidRDefault="006773CD" w:rsidP="006773CD">
      <w:pPr>
        <w:widowControl w:val="0"/>
        <w:autoSpaceDE w:val="0"/>
        <w:autoSpaceDN w:val="0"/>
        <w:spacing w:after="0" w:line="276" w:lineRule="auto"/>
        <w:jc w:val="both"/>
        <w:rPr>
          <w:rFonts w:ascii="Verdana" w:eastAsia="Calibri" w:hAnsi="Verdana" w:cs="Arial"/>
          <w:kern w:val="2"/>
          <w:shd w:val="clear" w:color="auto" w:fill="FFFFFF"/>
          <w:lang w:val="es-ES_tradnl"/>
          <w14:ligatures w14:val="standardContextual"/>
        </w:rPr>
      </w:pPr>
    </w:p>
    <w:p w14:paraId="3A1D35BB" w14:textId="77777777" w:rsidR="006773CD" w:rsidRPr="006773CD" w:rsidRDefault="006773CD" w:rsidP="006773CD">
      <w:pPr>
        <w:widowControl w:val="0"/>
        <w:autoSpaceDE w:val="0"/>
        <w:autoSpaceDN w:val="0"/>
        <w:spacing w:after="0" w:line="276" w:lineRule="auto"/>
        <w:jc w:val="both"/>
        <w:rPr>
          <w:rFonts w:ascii="Verdana" w:eastAsia="Calibri" w:hAnsi="Verdana" w:cs="Arial"/>
          <w:shd w:val="clear" w:color="auto" w:fill="FFFFFF"/>
          <w:lang w:val="es-ES_tradnl"/>
        </w:rPr>
      </w:pPr>
      <w:r w:rsidRPr="006773CD">
        <w:rPr>
          <w:rFonts w:ascii="Verdana" w:eastAsia="Calibri" w:hAnsi="Verdana" w:cs="Arial"/>
          <w:shd w:val="clear" w:color="auto" w:fill="FFFFFF"/>
          <w:lang w:val="es-ES_tradnl"/>
        </w:rPr>
        <w:t>Le informamos que ya se encuentra disponible la actualización del Manual de Acuerdos Comerciales en Procesos de Contratación. Esta herramienta ofrece una orientación valiosa para que las entidades públicas determinen los acuerdos comerciales que deben incluir en sus procesos contractuales. Puede consultar la versión actualizada en el siguiente enlace: </w:t>
      </w:r>
      <w:hyperlink r:id="rId13" w:tgtFrame="_blank" w:tooltip="Original URL: https://www.colombiacompra.gov.co/sites/cce_public/files/cce_documents/manual_para_el_manejo_de_acuerdos_comerciales_vf.pdf. Click or tap if you trust this link." w:history="1">
        <w:r w:rsidRPr="006773CD">
          <w:rPr>
            <w:rFonts w:ascii="Verdana" w:eastAsia="Calibri" w:hAnsi="Verdana" w:cs="Arial"/>
            <w:color w:val="0000FF"/>
            <w:u w:val="single"/>
            <w:shd w:val="clear" w:color="auto" w:fill="FFFFFF"/>
            <w:lang w:val="es-ES_tradnl"/>
          </w:rPr>
          <w:t>manual_para_el_manejo_de_acuerdos_comerciales_vf.pdf</w:t>
        </w:r>
      </w:hyperlink>
      <w:r w:rsidRPr="006773CD">
        <w:rPr>
          <w:rFonts w:ascii="Verdana" w:eastAsia="Calibri" w:hAnsi="Verdana" w:cs="Arial"/>
          <w:shd w:val="clear" w:color="auto" w:fill="FFFFFF"/>
          <w:lang w:val="es-ES_tradnl"/>
        </w:rPr>
        <w:t>.</w:t>
      </w:r>
    </w:p>
    <w:p w14:paraId="0DA31610" w14:textId="77777777" w:rsidR="006773CD" w:rsidRPr="006773CD" w:rsidRDefault="006773CD" w:rsidP="006773CD">
      <w:pPr>
        <w:widowControl w:val="0"/>
        <w:autoSpaceDE w:val="0"/>
        <w:autoSpaceDN w:val="0"/>
        <w:spacing w:after="0" w:line="276" w:lineRule="auto"/>
        <w:jc w:val="both"/>
        <w:rPr>
          <w:rFonts w:ascii="Verdana" w:eastAsia="Calibri" w:hAnsi="Verdana" w:cs="Arial"/>
          <w:shd w:val="clear" w:color="auto" w:fill="FFFFFF"/>
          <w:lang w:val="es-ES_tradnl"/>
        </w:rPr>
      </w:pPr>
      <w:r w:rsidRPr="006773CD">
        <w:rPr>
          <w:rFonts w:ascii="Verdana" w:eastAsia="Calibri" w:hAnsi="Verdana" w:cs="Arial"/>
          <w:shd w:val="clear" w:color="auto" w:fill="FFFFFF"/>
          <w:lang w:val="es-ES_tradnl"/>
        </w:rPr>
        <w:t> </w:t>
      </w:r>
    </w:p>
    <w:p w14:paraId="44921018" w14:textId="77777777" w:rsidR="006773CD" w:rsidRPr="006773CD" w:rsidRDefault="006773CD" w:rsidP="307823CB">
      <w:pPr>
        <w:widowControl w:val="0"/>
        <w:autoSpaceDE w:val="0"/>
        <w:autoSpaceDN w:val="0"/>
        <w:spacing w:after="0" w:line="276" w:lineRule="auto"/>
        <w:jc w:val="both"/>
        <w:rPr>
          <w:rFonts w:ascii="Verdana" w:eastAsia="Calibri" w:hAnsi="Verdana" w:cs="Arial"/>
          <w:shd w:val="clear" w:color="auto" w:fill="FFFFFF"/>
          <w:lang w:val="es-ES"/>
        </w:rPr>
      </w:pPr>
      <w:r w:rsidRPr="307823CB">
        <w:rPr>
          <w:rFonts w:ascii="Verdana" w:eastAsia="Calibri" w:hAnsi="Verdana" w:cs="Arial"/>
          <w:shd w:val="clear" w:color="auto" w:fill="FFFFFF"/>
          <w:lang w:val="es-ES"/>
        </w:rPr>
        <w:t>También, lo invitamos a consultar la versión VII  de 2024 del Boletín de Relatoría de la Subdirección de Gestión Contractual, relacionado con las ASOCIACIONES PÚBLICO POPULARES, el cual se puede descargar en la página web de la Agencia: </w:t>
      </w:r>
      <w:hyperlink r:id="rId14" w:tgtFrame="_blank" w:tooltip="Original URL: https://www.colombiacompra.gov.co/sala-de-prensa/boletin-digital. Click or tap if you trust this link." w:history="1">
        <w:r w:rsidRPr="307823CB">
          <w:rPr>
            <w:rFonts w:ascii="Verdana" w:eastAsia="Calibri" w:hAnsi="Verdana" w:cs="Arial"/>
            <w:color w:val="0000FF"/>
            <w:u w:val="single"/>
            <w:shd w:val="clear" w:color="auto" w:fill="FFFFFF"/>
            <w:lang w:val="es-ES"/>
          </w:rPr>
          <w:t>https://www.colombiacompra.gov.co/sala-de-prensa/boletin-digital</w:t>
        </w:r>
      </w:hyperlink>
      <w:r w:rsidRPr="307823CB">
        <w:rPr>
          <w:rFonts w:ascii="Verdana" w:eastAsia="Calibri" w:hAnsi="Verdana" w:cs="Arial"/>
          <w:shd w:val="clear" w:color="auto" w:fill="FFFFFF"/>
          <w:lang w:val="es-ES"/>
        </w:rPr>
        <w:t>.</w:t>
      </w:r>
    </w:p>
    <w:p w14:paraId="32804FF9" w14:textId="77777777" w:rsidR="006773CD" w:rsidRPr="006773CD" w:rsidRDefault="006773CD" w:rsidP="006773CD">
      <w:pPr>
        <w:widowControl w:val="0"/>
        <w:autoSpaceDE w:val="0"/>
        <w:autoSpaceDN w:val="0"/>
        <w:spacing w:after="0" w:line="276" w:lineRule="auto"/>
        <w:jc w:val="both"/>
        <w:rPr>
          <w:rFonts w:ascii="Verdana" w:eastAsia="Calibri" w:hAnsi="Verdana" w:cs="Arial"/>
          <w:shd w:val="clear" w:color="auto" w:fill="FFFFFF"/>
          <w:lang w:val="es-ES_tradnl"/>
        </w:rPr>
      </w:pPr>
    </w:p>
    <w:p w14:paraId="7F88C278" w14:textId="77777777" w:rsidR="006773CD" w:rsidRPr="006773CD" w:rsidRDefault="006773CD" w:rsidP="006773CD">
      <w:pPr>
        <w:spacing w:after="0" w:line="276" w:lineRule="auto"/>
        <w:jc w:val="both"/>
        <w:rPr>
          <w:rFonts w:ascii="Verdana" w:eastAsia="Calibri" w:hAnsi="Verdana" w:cs="Times New Roman"/>
          <w:lang w:val="es-ES_tradnl"/>
        </w:rPr>
      </w:pPr>
      <w:r w:rsidRPr="006773CD">
        <w:rPr>
          <w:rFonts w:ascii="Verdana" w:eastAsia="Calibri" w:hAnsi="Verdana" w:cs="Times New Roman"/>
          <w:lang w:val="es-ES_tradnl"/>
        </w:rPr>
        <w:t xml:space="preserve">Por último, los invitamos a seguirnos en las redes sociales, en las cuales se difunde información institucional: </w:t>
      </w:r>
    </w:p>
    <w:p w14:paraId="3C996C95" w14:textId="77777777" w:rsidR="006773CD" w:rsidRPr="006773CD" w:rsidRDefault="006773CD" w:rsidP="006773CD">
      <w:pPr>
        <w:spacing w:after="0" w:line="240" w:lineRule="auto"/>
        <w:jc w:val="both"/>
        <w:rPr>
          <w:rFonts w:ascii="Verdana" w:eastAsia="Calibri" w:hAnsi="Verdana" w:cs="Times New Roman"/>
          <w:lang w:val="es-ES_tradnl"/>
        </w:rPr>
      </w:pPr>
    </w:p>
    <w:p w14:paraId="64E754B0" w14:textId="77777777" w:rsidR="006773CD" w:rsidRPr="006773CD" w:rsidRDefault="006773CD" w:rsidP="006773CD">
      <w:pPr>
        <w:spacing w:after="0" w:line="240" w:lineRule="auto"/>
        <w:jc w:val="both"/>
        <w:rPr>
          <w:rFonts w:ascii="Verdana" w:eastAsia="Calibri" w:hAnsi="Verdana" w:cs="Times New Roman"/>
          <w:lang w:val="es-ES_tradnl"/>
        </w:rPr>
      </w:pPr>
      <w:r w:rsidRPr="006773CD">
        <w:rPr>
          <w:rFonts w:ascii="Verdana" w:eastAsia="Calibri" w:hAnsi="Verdana" w:cs="Times New Roman"/>
          <w:lang w:val="es-ES_tradnl"/>
        </w:rPr>
        <w:t xml:space="preserve">Twitter: </w:t>
      </w:r>
      <w:r w:rsidRPr="006773CD">
        <w:rPr>
          <w:rFonts w:ascii="Verdana" w:eastAsia="Calibri" w:hAnsi="Verdana" w:cs="Times New Roman"/>
          <w:u w:val="single"/>
          <w:lang w:val="es-ES_tradnl"/>
        </w:rPr>
        <w:t>@colombiacompra</w:t>
      </w:r>
      <w:r w:rsidRPr="006773CD">
        <w:rPr>
          <w:rFonts w:ascii="Verdana" w:eastAsia="Calibri" w:hAnsi="Verdana" w:cs="Times New Roman"/>
          <w:lang w:val="es-ES_tradnl"/>
        </w:rPr>
        <w:t xml:space="preserve"> </w:t>
      </w:r>
    </w:p>
    <w:p w14:paraId="19A8C57F" w14:textId="77777777" w:rsidR="006773CD" w:rsidRPr="006773CD" w:rsidRDefault="006773CD" w:rsidP="307823CB">
      <w:pPr>
        <w:spacing w:after="0" w:line="240" w:lineRule="auto"/>
        <w:jc w:val="both"/>
        <w:rPr>
          <w:rFonts w:ascii="Verdana" w:eastAsia="Calibri" w:hAnsi="Verdana" w:cs="Times New Roman"/>
          <w:lang w:val="es-ES"/>
        </w:rPr>
      </w:pPr>
      <w:r w:rsidRPr="307823CB">
        <w:rPr>
          <w:rFonts w:ascii="Verdana" w:eastAsia="Calibri" w:hAnsi="Verdana" w:cs="Times New Roman"/>
          <w:lang w:val="es-ES"/>
        </w:rPr>
        <w:t xml:space="preserve">Facebook: </w:t>
      </w:r>
      <w:proofErr w:type="spellStart"/>
      <w:r w:rsidRPr="307823CB">
        <w:rPr>
          <w:rFonts w:ascii="Verdana" w:eastAsia="Calibri" w:hAnsi="Verdana" w:cs="Times New Roman"/>
          <w:u w:val="single"/>
          <w:lang w:val="es-ES"/>
        </w:rPr>
        <w:t>ColombiaCompraEficiente</w:t>
      </w:r>
      <w:proofErr w:type="spellEnd"/>
    </w:p>
    <w:p w14:paraId="7AAD5FA4" w14:textId="77777777" w:rsidR="006773CD" w:rsidRPr="006773CD" w:rsidRDefault="006773CD" w:rsidP="006773CD">
      <w:pPr>
        <w:spacing w:after="0" w:line="240" w:lineRule="auto"/>
        <w:jc w:val="both"/>
        <w:rPr>
          <w:rFonts w:ascii="Verdana" w:eastAsia="Calibri" w:hAnsi="Verdana" w:cs="Times New Roman"/>
          <w:lang w:val="es-ES_tradnl"/>
        </w:rPr>
      </w:pPr>
      <w:r w:rsidRPr="006773CD">
        <w:rPr>
          <w:rFonts w:ascii="Verdana" w:eastAsia="Calibri" w:hAnsi="Verdana" w:cs="Times New Roman"/>
          <w:lang w:val="es-ES_tradnl"/>
        </w:rPr>
        <w:t xml:space="preserve">LinkedIn: </w:t>
      </w:r>
      <w:r w:rsidRPr="006773CD">
        <w:rPr>
          <w:rFonts w:ascii="Verdana" w:eastAsia="Calibri" w:hAnsi="Verdana" w:cs="Times New Roman"/>
          <w:u w:val="single"/>
          <w:lang w:val="es-ES_tradnl"/>
        </w:rPr>
        <w:t>Agencia Nacional de Contratación Pública - Colombia Compra Eficiente</w:t>
      </w:r>
      <w:r w:rsidRPr="006773CD">
        <w:rPr>
          <w:rFonts w:ascii="Verdana" w:eastAsia="Calibri" w:hAnsi="Verdana" w:cs="Times New Roman"/>
          <w:lang w:val="es-ES_tradnl"/>
        </w:rPr>
        <w:t xml:space="preserve"> Instagram: </w:t>
      </w:r>
      <w:r w:rsidRPr="006773CD">
        <w:rPr>
          <w:rFonts w:ascii="Verdana" w:eastAsia="Calibri" w:hAnsi="Verdana" w:cs="Times New Roman"/>
          <w:u w:val="single"/>
          <w:lang w:val="es-ES_tradnl"/>
        </w:rPr>
        <w:t>@colombiacompraeficiente_cce</w:t>
      </w:r>
    </w:p>
    <w:p w14:paraId="683B13DB" w14:textId="77777777" w:rsidR="006773CD" w:rsidRPr="006773CD" w:rsidRDefault="006773CD" w:rsidP="006773CD">
      <w:pPr>
        <w:widowControl w:val="0"/>
        <w:autoSpaceDE w:val="0"/>
        <w:autoSpaceDN w:val="0"/>
        <w:spacing w:after="0" w:line="276" w:lineRule="auto"/>
        <w:jc w:val="both"/>
        <w:rPr>
          <w:rFonts w:ascii="Verdana" w:eastAsia="Calibri" w:hAnsi="Verdana" w:cs="Arial"/>
          <w:lang w:val="es-ES_tradnl"/>
        </w:rPr>
      </w:pPr>
    </w:p>
    <w:p w14:paraId="3D75AD5F" w14:textId="77777777" w:rsidR="006773CD" w:rsidRPr="006773CD" w:rsidRDefault="006773CD" w:rsidP="006773CD">
      <w:pPr>
        <w:widowControl w:val="0"/>
        <w:autoSpaceDE w:val="0"/>
        <w:autoSpaceDN w:val="0"/>
        <w:spacing w:after="0" w:line="276" w:lineRule="auto"/>
        <w:jc w:val="both"/>
        <w:rPr>
          <w:rFonts w:ascii="Verdana" w:eastAsia="Calibri" w:hAnsi="Verdana" w:cs="Arial"/>
          <w:lang w:val="es-ES_tradnl"/>
        </w:rPr>
      </w:pPr>
      <w:r w:rsidRPr="006773CD">
        <w:rPr>
          <w:rFonts w:ascii="Verdana" w:eastAsia="Calibri" w:hAnsi="Verdana" w:cs="Arial"/>
          <w:lang w:val="es-ES_tradnl"/>
        </w:rPr>
        <w:t>Este concepto tiene el alcance previsto en el artículo 28 del Código de Procedimiento Administrativo y de lo Contencioso Administrativo y las expresiones aquí utilizadas con mayúscula inicial deben ser entendidas con el significado que les otorga el artículo 2.2.1.1.1.3.1. del Decreto 1082 de 2015.</w:t>
      </w:r>
    </w:p>
    <w:p w14:paraId="6688F62B" w14:textId="77777777" w:rsidR="006773CD" w:rsidRPr="006773CD" w:rsidRDefault="006773CD" w:rsidP="006773CD">
      <w:pPr>
        <w:widowControl w:val="0"/>
        <w:autoSpaceDE w:val="0"/>
        <w:autoSpaceDN w:val="0"/>
        <w:spacing w:after="0" w:line="276" w:lineRule="auto"/>
        <w:jc w:val="both"/>
        <w:rPr>
          <w:rFonts w:ascii="Verdana" w:eastAsia="Calibri" w:hAnsi="Verdana" w:cs="Arial"/>
          <w:lang w:val="es-ES_tradnl"/>
        </w:rPr>
      </w:pPr>
    </w:p>
    <w:p w14:paraId="2F58B59A" w14:textId="77777777" w:rsidR="006773CD" w:rsidRPr="006773CD" w:rsidRDefault="006773CD" w:rsidP="006773CD">
      <w:pPr>
        <w:spacing w:after="0" w:line="240" w:lineRule="auto"/>
        <w:rPr>
          <w:rFonts w:ascii="Verdana" w:eastAsia="Calibri" w:hAnsi="Verdana" w:cs="Arial"/>
          <w:lang w:val="es-ES_tradnl" w:eastAsia="es-CO"/>
        </w:rPr>
      </w:pPr>
      <w:r w:rsidRPr="006773CD">
        <w:rPr>
          <w:rFonts w:ascii="Verdana" w:eastAsia="Times New Roman" w:hAnsi="Verdana" w:cs="Arial"/>
          <w:lang w:val="es-ES_tradnl" w:eastAsia="es-CO"/>
        </w:rPr>
        <w:t>Atentamente,</w:t>
      </w:r>
      <w:r w:rsidRPr="006773CD">
        <w:rPr>
          <w:rFonts w:ascii="Verdana" w:eastAsia="Calibri" w:hAnsi="Verdana" w:cs="Arial"/>
          <w:lang w:val="es-ES_tradnl" w:eastAsia="es-CO"/>
        </w:rPr>
        <w:t xml:space="preserve"> </w:t>
      </w:r>
    </w:p>
    <w:p w14:paraId="793B9096" w14:textId="4DD535AD" w:rsidR="006773CD" w:rsidRPr="006773CD" w:rsidRDefault="000E3D58" w:rsidP="006773CD">
      <w:pPr>
        <w:spacing w:line="276" w:lineRule="auto"/>
        <w:jc w:val="center"/>
        <w:rPr>
          <w:rFonts w:ascii="Verdana" w:eastAsia="Calibri" w:hAnsi="Verdana" w:cs="Arial"/>
          <w:lang w:val="es-ES_tradnl" w:eastAsia="es-CO"/>
        </w:rPr>
      </w:pPr>
      <w:r w:rsidRPr="002C3AD6">
        <w:rPr>
          <w:rFonts w:ascii="Century Gothic" w:hAnsi="Century Gothic"/>
          <w:noProof/>
        </w:rPr>
        <w:drawing>
          <wp:inline distT="0" distB="0" distL="0" distR="0" wp14:anchorId="0779078A" wp14:editId="4922FCDE">
            <wp:extent cx="3486150" cy="1294101"/>
            <wp:effectExtent l="0" t="0" r="0" b="1905"/>
            <wp:docPr id="1780277293" name="Imagen 1"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80277293" name="Imagen 1" descr="Texto&#10;&#10;Descripción generada automáticamente"/>
                    <pic:cNvPicPr/>
                  </pic:nvPicPr>
                  <pic:blipFill>
                    <a:blip r:embed="rId15"/>
                    <a:stretch>
                      <a:fillRect/>
                    </a:stretch>
                  </pic:blipFill>
                  <pic:spPr>
                    <a:xfrm>
                      <a:off x="0" y="0"/>
                      <a:ext cx="3496489" cy="1297939"/>
                    </a:xfrm>
                    <a:prstGeom prst="rect">
                      <a:avLst/>
                    </a:prstGeom>
                  </pic:spPr>
                </pic:pic>
              </a:graphicData>
            </a:graphic>
          </wp:inline>
        </w:drawing>
      </w:r>
    </w:p>
    <w:tbl>
      <w:tblPr>
        <w:tblStyle w:val="Tablaconcuadrcula"/>
        <w:tblW w:w="652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93"/>
        <w:gridCol w:w="5628"/>
      </w:tblGrid>
      <w:tr w:rsidR="006773CD" w:rsidRPr="006773CD" w14:paraId="32171FDA" w14:textId="77777777" w:rsidTr="307823CB">
        <w:trPr>
          <w:trHeight w:val="315"/>
        </w:trPr>
        <w:tc>
          <w:tcPr>
            <w:tcW w:w="893" w:type="dxa"/>
            <w:vAlign w:val="center"/>
            <w:hideMark/>
          </w:tcPr>
          <w:p w14:paraId="7D26BACE" w14:textId="77777777" w:rsidR="006773CD" w:rsidRPr="006773CD" w:rsidRDefault="006773CD" w:rsidP="006773CD">
            <w:pPr>
              <w:rPr>
                <w:rFonts w:ascii="Verdana" w:eastAsia="Calibri" w:hAnsi="Verdana" w:cs="Arial"/>
                <w:sz w:val="16"/>
                <w:szCs w:val="16"/>
                <w:lang w:val="es-ES_tradnl" w:eastAsia="es-ES"/>
              </w:rPr>
            </w:pPr>
            <w:r w:rsidRPr="006773CD">
              <w:rPr>
                <w:rFonts w:ascii="Verdana" w:eastAsia="Calibri" w:hAnsi="Verdana" w:cs="Arial"/>
                <w:sz w:val="16"/>
                <w:szCs w:val="16"/>
                <w:lang w:val="es-ES_tradnl" w:eastAsia="es-ES"/>
              </w:rPr>
              <w:t>Elaboró:</w:t>
            </w:r>
          </w:p>
        </w:tc>
        <w:tc>
          <w:tcPr>
            <w:tcW w:w="5628" w:type="dxa"/>
            <w:tcBorders>
              <w:top w:val="nil"/>
              <w:left w:val="nil"/>
              <w:bottom w:val="dotted" w:sz="4" w:space="0" w:color="7F7F7F" w:themeColor="text1" w:themeTint="80"/>
              <w:right w:val="nil"/>
            </w:tcBorders>
            <w:vAlign w:val="center"/>
            <w:hideMark/>
          </w:tcPr>
          <w:p w14:paraId="51D97BD4" w14:textId="77777777" w:rsidR="006773CD" w:rsidRPr="006773CD" w:rsidRDefault="006773CD" w:rsidP="307823CB">
            <w:pPr>
              <w:rPr>
                <w:rFonts w:ascii="Verdana" w:eastAsia="Arial" w:hAnsi="Verdana" w:cs="Arial"/>
                <w:sz w:val="16"/>
                <w:szCs w:val="16"/>
                <w:lang w:val="es-ES"/>
              </w:rPr>
            </w:pPr>
            <w:r w:rsidRPr="307823CB">
              <w:rPr>
                <w:rFonts w:ascii="Verdana" w:eastAsia="Arial" w:hAnsi="Verdana" w:cs="Arial"/>
                <w:sz w:val="16"/>
                <w:szCs w:val="16"/>
                <w:lang w:val="es-ES"/>
              </w:rPr>
              <w:t>Kevin Arlid Herrera Santa</w:t>
            </w:r>
          </w:p>
          <w:p w14:paraId="1F704BC2" w14:textId="77777777" w:rsidR="006773CD" w:rsidRPr="006773CD" w:rsidRDefault="006773CD" w:rsidP="006773CD">
            <w:pPr>
              <w:rPr>
                <w:rFonts w:ascii="Verdana" w:eastAsia="Arial" w:hAnsi="Verdana" w:cs="Arial"/>
                <w:sz w:val="16"/>
                <w:szCs w:val="16"/>
                <w:lang w:val="es-ES_tradnl"/>
              </w:rPr>
            </w:pPr>
            <w:r w:rsidRPr="006773CD">
              <w:rPr>
                <w:rFonts w:ascii="Verdana" w:eastAsia="Arial" w:hAnsi="Verdana" w:cs="Arial"/>
                <w:sz w:val="16"/>
                <w:szCs w:val="16"/>
                <w:lang w:val="es-ES_tradnl"/>
              </w:rPr>
              <w:t xml:space="preserve">Contratista de la Subdirección de Gestión Contractual </w:t>
            </w:r>
          </w:p>
        </w:tc>
      </w:tr>
      <w:tr w:rsidR="006773CD" w:rsidRPr="006773CD" w14:paraId="0C2B8B60" w14:textId="77777777" w:rsidTr="307823CB">
        <w:trPr>
          <w:trHeight w:val="330"/>
        </w:trPr>
        <w:tc>
          <w:tcPr>
            <w:tcW w:w="893" w:type="dxa"/>
            <w:vAlign w:val="center"/>
            <w:hideMark/>
          </w:tcPr>
          <w:p w14:paraId="3C2DC7E3" w14:textId="77777777" w:rsidR="006773CD" w:rsidRPr="006773CD" w:rsidRDefault="006773CD" w:rsidP="006773CD">
            <w:pPr>
              <w:rPr>
                <w:rFonts w:ascii="Verdana" w:eastAsia="Calibri" w:hAnsi="Verdana" w:cs="Arial"/>
                <w:sz w:val="16"/>
                <w:szCs w:val="16"/>
                <w:lang w:val="es-ES_tradnl" w:eastAsia="es-ES"/>
              </w:rPr>
            </w:pPr>
            <w:r w:rsidRPr="006773CD">
              <w:rPr>
                <w:rFonts w:ascii="Verdana" w:eastAsia="Calibri" w:hAnsi="Verdana" w:cs="Arial"/>
                <w:sz w:val="16"/>
                <w:szCs w:val="16"/>
                <w:lang w:val="es-ES_tradnl" w:eastAsia="es-ES"/>
              </w:rPr>
              <w:t>Revisó:</w:t>
            </w:r>
          </w:p>
        </w:tc>
        <w:tc>
          <w:tcPr>
            <w:tcW w:w="5628" w:type="dxa"/>
            <w:tcBorders>
              <w:top w:val="dotted" w:sz="4" w:space="0" w:color="7F7F7F" w:themeColor="text1" w:themeTint="80"/>
              <w:left w:val="nil"/>
              <w:bottom w:val="dotted" w:sz="4" w:space="0" w:color="7F7F7F" w:themeColor="text1" w:themeTint="80"/>
              <w:right w:val="nil"/>
            </w:tcBorders>
            <w:vAlign w:val="center"/>
            <w:hideMark/>
          </w:tcPr>
          <w:p w14:paraId="435A1333" w14:textId="77777777" w:rsidR="006773CD" w:rsidRPr="006773CD" w:rsidRDefault="006773CD" w:rsidP="006773CD">
            <w:pPr>
              <w:textAlignment w:val="baseline"/>
              <w:rPr>
                <w:rFonts w:ascii="Verdana" w:eastAsia="Times New Roman" w:hAnsi="Verdana" w:cs="Segoe UI"/>
                <w:sz w:val="16"/>
                <w:szCs w:val="16"/>
                <w:lang w:val="es-ES_tradnl" w:eastAsia="es-ES_tradnl"/>
              </w:rPr>
            </w:pPr>
            <w:r w:rsidRPr="006773CD">
              <w:rPr>
                <w:rFonts w:ascii="Verdana" w:eastAsia="Times New Roman" w:hAnsi="Verdana" w:cs="Segoe UI"/>
                <w:sz w:val="16"/>
                <w:szCs w:val="16"/>
                <w:lang w:val="es-ES_tradnl" w:eastAsia="es-ES_tradnl"/>
              </w:rPr>
              <w:t>Juan David Cárdenas Cabeza</w:t>
            </w:r>
          </w:p>
          <w:p w14:paraId="719F6D28" w14:textId="77777777" w:rsidR="006773CD" w:rsidRPr="006773CD" w:rsidRDefault="006773CD" w:rsidP="006773CD">
            <w:pPr>
              <w:textAlignment w:val="baseline"/>
              <w:rPr>
                <w:rFonts w:ascii="Verdana" w:eastAsia="Times New Roman" w:hAnsi="Verdana" w:cs="Arial"/>
                <w:sz w:val="16"/>
                <w:szCs w:val="16"/>
                <w:lang w:val="es-ES_tradnl" w:eastAsia="es-ES_tradnl"/>
              </w:rPr>
            </w:pPr>
            <w:r w:rsidRPr="006773CD">
              <w:rPr>
                <w:rFonts w:ascii="Verdana" w:eastAsia="Times New Roman" w:hAnsi="Verdana" w:cs="Arial"/>
                <w:sz w:val="16"/>
                <w:szCs w:val="16"/>
                <w:lang w:val="es-ES_tradnl" w:eastAsia="es-ES_tradnl"/>
              </w:rPr>
              <w:t>Contratista de la Subdirección de Gestión Contractual </w:t>
            </w:r>
          </w:p>
        </w:tc>
      </w:tr>
      <w:tr w:rsidR="006773CD" w:rsidRPr="006773CD" w14:paraId="506B6372" w14:textId="77777777" w:rsidTr="307823CB">
        <w:trPr>
          <w:trHeight w:val="300"/>
        </w:trPr>
        <w:tc>
          <w:tcPr>
            <w:tcW w:w="893" w:type="dxa"/>
            <w:vAlign w:val="center"/>
          </w:tcPr>
          <w:p w14:paraId="7D8E8E74" w14:textId="77777777" w:rsidR="006773CD" w:rsidRPr="006773CD" w:rsidRDefault="006773CD" w:rsidP="006773CD">
            <w:pPr>
              <w:rPr>
                <w:rFonts w:ascii="Verdana" w:eastAsia="Calibri" w:hAnsi="Verdana" w:cs="Arial"/>
                <w:sz w:val="16"/>
                <w:szCs w:val="16"/>
                <w:lang w:val="es-ES_tradnl" w:eastAsia="es-ES"/>
              </w:rPr>
            </w:pPr>
            <w:r w:rsidRPr="006773CD">
              <w:rPr>
                <w:rFonts w:ascii="Verdana" w:eastAsia="Calibri" w:hAnsi="Verdana" w:cs="Arial"/>
                <w:sz w:val="16"/>
                <w:szCs w:val="16"/>
                <w:lang w:val="es-ES_tradnl" w:eastAsia="es-ES"/>
              </w:rPr>
              <w:t>Aprobó:</w:t>
            </w:r>
          </w:p>
        </w:tc>
        <w:tc>
          <w:tcPr>
            <w:tcW w:w="5628" w:type="dxa"/>
            <w:tcBorders>
              <w:top w:val="dotted" w:sz="4" w:space="0" w:color="7F7F7F" w:themeColor="text1" w:themeTint="80"/>
              <w:left w:val="nil"/>
              <w:bottom w:val="dotted" w:sz="4" w:space="0" w:color="7F7F7F" w:themeColor="text1" w:themeTint="80"/>
              <w:right w:val="nil"/>
            </w:tcBorders>
            <w:vAlign w:val="center"/>
          </w:tcPr>
          <w:p w14:paraId="60FBFB43" w14:textId="77777777" w:rsidR="006773CD" w:rsidRPr="006773CD" w:rsidRDefault="006773CD" w:rsidP="307823CB">
            <w:pPr>
              <w:rPr>
                <w:rFonts w:ascii="Verdana" w:eastAsia="Calibri" w:hAnsi="Verdana" w:cs="Arial"/>
                <w:sz w:val="16"/>
                <w:szCs w:val="16"/>
                <w:lang w:val="es-ES" w:eastAsia="es-ES"/>
              </w:rPr>
            </w:pPr>
            <w:r w:rsidRPr="307823CB">
              <w:rPr>
                <w:rFonts w:ascii="Verdana" w:eastAsia="Calibri" w:hAnsi="Verdana" w:cs="Arial"/>
                <w:sz w:val="16"/>
                <w:szCs w:val="16"/>
                <w:lang w:val="es-ES" w:eastAsia="es-ES"/>
              </w:rPr>
              <w:t xml:space="preserve">Carolina Quintero </w:t>
            </w:r>
            <w:proofErr w:type="spellStart"/>
            <w:r w:rsidRPr="307823CB">
              <w:rPr>
                <w:rFonts w:ascii="Verdana" w:eastAsia="Calibri" w:hAnsi="Verdana" w:cs="Arial"/>
                <w:sz w:val="16"/>
                <w:szCs w:val="16"/>
                <w:lang w:val="es-ES" w:eastAsia="es-ES"/>
              </w:rPr>
              <w:t>Gacharná</w:t>
            </w:r>
            <w:proofErr w:type="spellEnd"/>
          </w:p>
          <w:p w14:paraId="3DE334BF" w14:textId="77777777" w:rsidR="006773CD" w:rsidRPr="006773CD" w:rsidRDefault="006773CD" w:rsidP="006773CD">
            <w:pPr>
              <w:rPr>
                <w:rFonts w:ascii="Verdana" w:eastAsia="Calibri" w:hAnsi="Verdana" w:cs="Arial"/>
                <w:sz w:val="16"/>
                <w:szCs w:val="16"/>
                <w:lang w:val="es-ES_tradnl" w:eastAsia="es-ES"/>
              </w:rPr>
            </w:pPr>
            <w:r w:rsidRPr="006773CD">
              <w:rPr>
                <w:rFonts w:ascii="Verdana" w:eastAsia="Calibri" w:hAnsi="Verdana" w:cs="Arial"/>
                <w:sz w:val="16"/>
                <w:szCs w:val="16"/>
                <w:lang w:val="es-ES_tradnl" w:eastAsia="es-ES"/>
              </w:rPr>
              <w:t>Subdirectora de Gestión Contractual ANCP – CCE</w:t>
            </w:r>
          </w:p>
        </w:tc>
      </w:tr>
    </w:tbl>
    <w:p w14:paraId="42D2E102" w14:textId="77777777" w:rsidR="006773CD" w:rsidRPr="006773CD" w:rsidRDefault="006773CD" w:rsidP="006773CD">
      <w:pPr>
        <w:spacing w:after="0" w:line="240" w:lineRule="auto"/>
        <w:rPr>
          <w:rFonts w:ascii="Aptos" w:eastAsia="Aptos" w:hAnsi="Aptos" w:cs="Times New Roman"/>
          <w:kern w:val="2"/>
          <w:sz w:val="24"/>
          <w:szCs w:val="24"/>
          <w:lang w:val="es-ES_tradnl"/>
          <w14:ligatures w14:val="standardContextual"/>
        </w:rPr>
      </w:pPr>
    </w:p>
    <w:bookmarkEnd w:id="0"/>
    <w:p w14:paraId="0465BA6D" w14:textId="77777777" w:rsidR="00E245AB" w:rsidRPr="0044528D" w:rsidRDefault="00E245AB" w:rsidP="00E245AB">
      <w:pPr>
        <w:spacing w:after="0"/>
        <w:rPr>
          <w:rFonts w:ascii="Verdana" w:hAnsi="Verdana"/>
        </w:rPr>
      </w:pPr>
    </w:p>
    <w:sectPr w:rsidR="00E245AB" w:rsidRPr="0044528D" w:rsidSect="007C0C0F">
      <w:headerReference w:type="default" r:id="rId16"/>
      <w:footerReference w:type="default" r:id="rId17"/>
      <w:pgSz w:w="12240" w:h="15840" w:code="1"/>
      <w:pgMar w:top="1417" w:right="1701" w:bottom="1417"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12B68B3" w14:textId="77777777" w:rsidR="00003012" w:rsidRDefault="00003012" w:rsidP="004A1847">
      <w:pPr>
        <w:spacing w:after="0" w:line="240" w:lineRule="auto"/>
      </w:pPr>
      <w:r>
        <w:separator/>
      </w:r>
    </w:p>
  </w:endnote>
  <w:endnote w:type="continuationSeparator" w:id="0">
    <w:p w14:paraId="06A98C1D" w14:textId="77777777" w:rsidR="00003012" w:rsidRDefault="00003012" w:rsidP="004A1847">
      <w:pPr>
        <w:spacing w:after="0" w:line="240" w:lineRule="auto"/>
      </w:pPr>
      <w:r>
        <w:continuationSeparator/>
      </w:r>
    </w:p>
  </w:endnote>
  <w:endnote w:type="continuationNotice" w:id="1">
    <w:p w14:paraId="557E55DF" w14:textId="77777777" w:rsidR="00003012" w:rsidRDefault="00003012">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4002EFF" w:usb1="C200247B" w:usb2="00000009" w:usb3="00000000" w:csb0="000001FF" w:csb1="00000000"/>
  </w:font>
  <w:font w:name="Geomanist Light">
    <w:altName w:val="Calibri"/>
    <w:panose1 w:val="020B0604020202020204"/>
    <w:charset w:val="00"/>
    <w:family w:val="modern"/>
    <w:notTrueType/>
    <w:pitch w:val="variable"/>
    <w:sig w:usb0="A000002F" w:usb1="1000004A" w:usb2="00000000" w:usb3="00000000" w:csb0="00000193" w:csb1="00000000"/>
  </w:font>
  <w:font w:name="Geomanist">
    <w:altName w:val="Calibri"/>
    <w:panose1 w:val="020B0604020202020204"/>
    <w:charset w:val="00"/>
    <w:family w:val="modern"/>
    <w:notTrueType/>
    <w:pitch w:val="variable"/>
    <w:sig w:usb0="A000002F" w:usb1="1000004A" w:usb2="00000000" w:usb3="00000000" w:csb0="00000193" w:csb1="00000000"/>
  </w:font>
  <w:font w:name="Verdana">
    <w:panose1 w:val="020B0604030504040204"/>
    <w:charset w:val="00"/>
    <w:family w:val="swiss"/>
    <w:pitch w:val="variable"/>
    <w:sig w:usb0="A10006FF" w:usb1="4000205B" w:usb2="00000010" w:usb3="00000000" w:csb0="0000019F" w:csb1="00000000"/>
  </w:font>
  <w:font w:name="Aptos">
    <w:panose1 w:val="020B0004020202020204"/>
    <w:charset w:val="00"/>
    <w:family w:val="swiss"/>
    <w:pitch w:val="variable"/>
    <w:sig w:usb0="20000287" w:usb1="00000003" w:usb2="00000000" w:usb3="00000000" w:csb0="0000019F" w:csb1="00000000"/>
  </w:font>
  <w:font w:name="Arial MT">
    <w:altName w:val="Arial"/>
    <w:panose1 w:val="020B0604020202020204"/>
    <w:charset w:val="01"/>
    <w:family w:val="swiss"/>
    <w:pitch w:val="variable"/>
  </w:font>
  <w:font w:name="Century Gothic">
    <w:panose1 w:val="020B0502020202020204"/>
    <w:charset w:val="00"/>
    <w:family w:val="swiss"/>
    <w:pitch w:val="variable"/>
    <w:sig w:usb0="00000287" w:usb1="00000000" w:usb2="00000000" w:usb3="00000000" w:csb0="0000009F" w:csb1="00000000"/>
  </w:font>
  <w:font w:name="Vrinda">
    <w:panose1 w:val="020B0502040204020203"/>
    <w:charset w:val="00"/>
    <w:family w:val="swiss"/>
    <w:pitch w:val="variable"/>
    <w:sig w:usb0="00010003" w:usb1="00000000" w:usb2="00000000" w:usb3="00000000" w:csb0="00000001" w:csb1="00000000"/>
  </w:font>
  <w:font w:name="Segoe UI">
    <w:panose1 w:val="020B0604020202020204"/>
    <w:charset w:val="00"/>
    <w:family w:val="swiss"/>
    <w:pitch w:val="variable"/>
    <w:sig w:usb0="E4002EFF" w:usb1="C000E47F" w:usb2="00000009" w:usb3="00000000" w:csb0="000001FF" w:csb1="00000000"/>
  </w:font>
  <w:font w:name="Geomanist Bold">
    <w:altName w:val="Calibri"/>
    <w:panose1 w:val="020B0604020202020204"/>
    <w:charset w:val="00"/>
    <w:family w:val="modern"/>
    <w:notTrueType/>
    <w:pitch w:val="variable"/>
    <w:sig w:usb0="A000002F" w:usb1="1000004A" w:usb2="00000000" w:usb3="00000000" w:csb0="00000193" w:csb1="00000000"/>
  </w:font>
  <w:font w:name="Geo">
    <w:altName w:val="Calibri"/>
    <w:panose1 w:val="020B0604020202020204"/>
    <w:charset w:val="00"/>
    <w:family w:val="auto"/>
    <w:pitch w:val="variable"/>
    <w:sig w:usb0="8000002F" w:usb1="40000048" w:usb2="00000000" w:usb3="00000000" w:csb0="00000001" w:csb1="00000000"/>
  </w:font>
  <w:font w:name="Arial Nova">
    <w:panose1 w:val="020B0504020202020204"/>
    <w:charset w:val="00"/>
    <w:family w:val="swiss"/>
    <w:pitch w:val="variable"/>
    <w:sig w:usb0="0000028F" w:usb1="00000002" w:usb2="00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911A32" w14:textId="6CE791A4" w:rsidR="004A1847" w:rsidRDefault="004A1847">
    <w:pPr>
      <w:pStyle w:val="Piedepgina"/>
    </w:pPr>
  </w:p>
  <w:p w14:paraId="594D6D9F" w14:textId="77777777" w:rsidR="00D520D8" w:rsidRPr="00174B77" w:rsidRDefault="00D520D8" w:rsidP="00D520D8">
    <w:pPr>
      <w:pBdr>
        <w:top w:val="single" w:sz="4" w:space="1" w:color="auto"/>
      </w:pBdr>
      <w:spacing w:after="0"/>
      <w:rPr>
        <w:rFonts w:ascii="Verdana" w:hAnsi="Verdana"/>
        <w:b/>
        <w:bCs/>
        <w:sz w:val="20"/>
        <w:szCs w:val="20"/>
      </w:rPr>
    </w:pPr>
    <w:r>
      <w:rPr>
        <w:rFonts w:ascii="Verdana" w:hAnsi="Verdana"/>
        <w:b/>
        <w:bCs/>
        <w:sz w:val="20"/>
        <w:szCs w:val="20"/>
      </w:rPr>
      <w:t>A</w:t>
    </w:r>
    <w:r w:rsidRPr="008E4D59">
      <w:rPr>
        <w:rFonts w:ascii="Verdana" w:hAnsi="Verdana"/>
        <w:b/>
        <w:bCs/>
        <w:sz w:val="20"/>
        <w:szCs w:val="20"/>
      </w:rPr>
      <w:t>gencia Nacional de Contratación</w:t>
    </w:r>
    <w:r>
      <w:rPr>
        <w:rFonts w:ascii="Verdana" w:hAnsi="Verdana"/>
        <w:b/>
        <w:bCs/>
        <w:sz w:val="20"/>
        <w:szCs w:val="20"/>
      </w:rPr>
      <w:t xml:space="preserve"> </w:t>
    </w:r>
    <w:r w:rsidRPr="008E4D59">
      <w:rPr>
        <w:rFonts w:ascii="Verdana" w:hAnsi="Verdana"/>
        <w:b/>
        <w:bCs/>
        <w:sz w:val="20"/>
        <w:szCs w:val="20"/>
      </w:rPr>
      <w:t>Pública</w:t>
    </w:r>
    <w:r>
      <w:rPr>
        <w:rFonts w:ascii="Verdana" w:hAnsi="Verdana"/>
        <w:b/>
        <w:bCs/>
        <w:sz w:val="20"/>
        <w:szCs w:val="20"/>
      </w:rPr>
      <w:t xml:space="preserve">                                              </w:t>
    </w:r>
    <w:r w:rsidRPr="002E1330">
      <w:rPr>
        <w:rFonts w:ascii="Verdana" w:eastAsiaTheme="majorEastAsia" w:hAnsi="Verdana" w:cstheme="majorBidi"/>
        <w:b/>
        <w:bCs/>
        <w:sz w:val="16"/>
        <w:szCs w:val="16"/>
        <w:lang w:val="es-ES"/>
      </w:rPr>
      <w:t xml:space="preserve">pág. </w:t>
    </w:r>
    <w:r w:rsidRPr="002E1330">
      <w:rPr>
        <w:rFonts w:ascii="Verdana" w:eastAsiaTheme="minorEastAsia" w:hAnsi="Verdana"/>
        <w:b/>
        <w:bCs/>
        <w:sz w:val="16"/>
        <w:szCs w:val="16"/>
      </w:rPr>
      <w:fldChar w:fldCharType="begin"/>
    </w:r>
    <w:r w:rsidRPr="002E1330">
      <w:rPr>
        <w:rFonts w:ascii="Verdana" w:hAnsi="Verdana"/>
        <w:b/>
        <w:bCs/>
        <w:sz w:val="16"/>
        <w:szCs w:val="16"/>
      </w:rPr>
      <w:instrText>PAGE    \* MERGEFORMAT</w:instrText>
    </w:r>
    <w:r w:rsidRPr="002E1330">
      <w:rPr>
        <w:rFonts w:ascii="Verdana" w:eastAsiaTheme="minorEastAsia" w:hAnsi="Verdana"/>
        <w:b/>
        <w:bCs/>
        <w:sz w:val="16"/>
        <w:szCs w:val="16"/>
      </w:rPr>
      <w:fldChar w:fldCharType="separate"/>
    </w:r>
    <w:r>
      <w:rPr>
        <w:rFonts w:ascii="Verdana" w:eastAsiaTheme="minorEastAsia" w:hAnsi="Verdana"/>
        <w:b/>
        <w:bCs/>
        <w:sz w:val="16"/>
        <w:szCs w:val="16"/>
      </w:rPr>
      <w:t>1</w:t>
    </w:r>
    <w:r w:rsidRPr="002E1330">
      <w:rPr>
        <w:rFonts w:ascii="Verdana" w:eastAsiaTheme="majorEastAsia" w:hAnsi="Verdana" w:cstheme="majorBidi"/>
        <w:b/>
        <w:bCs/>
        <w:sz w:val="16"/>
        <w:szCs w:val="16"/>
      </w:rPr>
      <w:fldChar w:fldCharType="end"/>
    </w:r>
    <w:r>
      <w:rPr>
        <w:rFonts w:ascii="Verdana" w:hAnsi="Verdana"/>
        <w:b/>
        <w:bCs/>
        <w:sz w:val="20"/>
        <w:szCs w:val="20"/>
      </w:rPr>
      <w:t xml:space="preserve">              </w:t>
    </w:r>
    <w:r w:rsidRPr="008E4D59">
      <w:rPr>
        <w:rFonts w:ascii="Verdana" w:hAnsi="Verdana"/>
        <w:b/>
        <w:bCs/>
        <w:sz w:val="20"/>
        <w:szCs w:val="20"/>
      </w:rPr>
      <w:t xml:space="preserve">Colombia Compra Eficiente         </w:t>
    </w:r>
    <w:r w:rsidRPr="008E4D59">
      <w:rPr>
        <w:rFonts w:ascii="Verdana" w:hAnsi="Verdana"/>
        <w:b/>
        <w:bCs/>
        <w:sz w:val="20"/>
        <w:szCs w:val="20"/>
        <w:lang w:val="es-ES"/>
      </w:rPr>
      <w:t xml:space="preserve"> </w:t>
    </w:r>
    <w:r>
      <w:rPr>
        <w:rFonts w:ascii="Verdana" w:hAnsi="Verdana"/>
        <w:b/>
        <w:bCs/>
        <w:sz w:val="20"/>
        <w:szCs w:val="20"/>
      </w:rPr>
      <w:t xml:space="preserve">                                                  </w:t>
    </w:r>
  </w:p>
  <w:p w14:paraId="0A735DD5" w14:textId="77777777" w:rsidR="00D520D8" w:rsidRDefault="00D520D8" w:rsidP="00D520D8">
    <w:pPr>
      <w:spacing w:after="0"/>
      <w:jc w:val="both"/>
      <w:rPr>
        <w:rFonts w:ascii="Verdana" w:hAnsi="Verdana"/>
        <w:sz w:val="18"/>
        <w:szCs w:val="18"/>
      </w:rPr>
    </w:pPr>
    <w:r w:rsidRPr="00E41027">
      <w:rPr>
        <w:rFonts w:ascii="Verdana" w:hAnsi="Verdana"/>
        <w:sz w:val="18"/>
        <w:szCs w:val="18"/>
      </w:rPr>
      <w:t>Dirección: Carrera 7 # 26 – 20 - Bogotá, Colombia</w:t>
    </w:r>
  </w:p>
  <w:p w14:paraId="06E36B88" w14:textId="77777777" w:rsidR="00D520D8" w:rsidRPr="00E41027" w:rsidRDefault="00D520D8" w:rsidP="00D520D8">
    <w:pPr>
      <w:spacing w:after="0"/>
      <w:jc w:val="both"/>
      <w:rPr>
        <w:rFonts w:ascii="Verdana" w:hAnsi="Verdana"/>
        <w:sz w:val="18"/>
        <w:szCs w:val="18"/>
      </w:rPr>
    </w:pPr>
    <w:r w:rsidRPr="00E41027">
      <w:rPr>
        <w:rFonts w:ascii="Verdana" w:hAnsi="Verdana"/>
        <w:sz w:val="18"/>
        <w:szCs w:val="18"/>
      </w:rPr>
      <w:t>Mesa de servicio: (+57) 601 7456788</w:t>
    </w:r>
  </w:p>
  <w:p w14:paraId="744661F5" w14:textId="593AA28F" w:rsidR="006219F8" w:rsidRDefault="00D520D8" w:rsidP="0025796E">
    <w:pPr>
      <w:pBdr>
        <w:top w:val="nil"/>
        <w:left w:val="nil"/>
        <w:bottom w:val="nil"/>
        <w:right w:val="nil"/>
        <w:between w:val="nil"/>
      </w:pBdr>
      <w:tabs>
        <w:tab w:val="center" w:pos="4419"/>
        <w:tab w:val="right" w:pos="8838"/>
        <w:tab w:val="center" w:pos="5400"/>
      </w:tabs>
      <w:spacing w:after="0"/>
    </w:pPr>
    <w:r w:rsidRPr="00E41027">
      <w:rPr>
        <w:rFonts w:ascii="Verdana" w:hAnsi="Verdana"/>
        <w:sz w:val="18"/>
        <w:szCs w:val="18"/>
      </w:rPr>
      <w:t>Atención al ciudadano:</w:t>
    </w:r>
    <w:r>
      <w:rPr>
        <w:rFonts w:ascii="Verdana" w:hAnsi="Verdana"/>
        <w:sz w:val="18"/>
        <w:szCs w:val="18"/>
      </w:rPr>
      <w:t xml:space="preserve"> </w:t>
    </w:r>
    <w:r w:rsidRPr="00E41027">
      <w:rPr>
        <w:rFonts w:ascii="Verdana" w:hAnsi="Verdana"/>
        <w:sz w:val="18"/>
        <w:szCs w:val="18"/>
      </w:rPr>
      <w:t>(+57) 601 7956600</w:t>
    </w:r>
    <w:r>
      <w:rPr>
        <w:rFonts w:ascii="Verdana" w:hAnsi="Verdana"/>
        <w:sz w:val="18"/>
        <w:szCs w:val="18"/>
      </w:rPr>
      <w:t xml:space="preserve">          </w:t>
    </w:r>
    <w:r w:rsidR="00FA47C0" w:rsidRPr="004A305D">
      <w:rPr>
        <w:rFonts w:ascii="Century Gothic" w:eastAsia="Geo" w:hAnsi="Century Gothic" w:cs="Geo"/>
        <w:b/>
        <w:color w:val="000000"/>
        <w:sz w:val="16"/>
        <w:szCs w:val="16"/>
        <w:lang w:eastAsia="es-CO"/>
      </w:rPr>
      <w:t xml:space="preserve">Código: </w:t>
    </w:r>
    <w:r w:rsidR="00FA47C0" w:rsidRPr="004A305D">
      <w:rPr>
        <w:rFonts w:ascii="Century Gothic" w:eastAsia="Geo" w:hAnsi="Century Gothic" w:cs="Geo"/>
        <w:bCs/>
        <w:color w:val="000000"/>
        <w:sz w:val="16"/>
        <w:szCs w:val="16"/>
        <w:lang w:eastAsia="es-CO"/>
      </w:rPr>
      <w:t>CCE-</w:t>
    </w:r>
    <w:r w:rsidR="00FA47C0">
      <w:rPr>
        <w:rFonts w:ascii="Century Gothic" w:eastAsia="Geo" w:hAnsi="Century Gothic" w:cs="Geo"/>
        <w:bCs/>
        <w:color w:val="000000"/>
        <w:sz w:val="16"/>
        <w:szCs w:val="16"/>
        <w:lang w:eastAsia="es-CO"/>
      </w:rPr>
      <w:t>REC</w:t>
    </w:r>
    <w:r w:rsidR="00FA47C0" w:rsidRPr="004A305D">
      <w:rPr>
        <w:rFonts w:ascii="Century Gothic" w:eastAsia="Geo" w:hAnsi="Century Gothic" w:cs="Geo"/>
        <w:bCs/>
        <w:color w:val="000000"/>
        <w:sz w:val="16"/>
        <w:szCs w:val="16"/>
        <w:lang w:eastAsia="es-CO"/>
      </w:rPr>
      <w:t>-FM-</w:t>
    </w:r>
    <w:r w:rsidR="00FA47C0">
      <w:rPr>
        <w:rFonts w:ascii="Century Gothic" w:eastAsia="Geo" w:hAnsi="Century Gothic" w:cs="Geo"/>
        <w:bCs/>
        <w:color w:val="000000"/>
        <w:sz w:val="16"/>
        <w:szCs w:val="16"/>
        <w:lang w:eastAsia="es-CO"/>
      </w:rPr>
      <w:t>17</w:t>
    </w:r>
    <w:r w:rsidR="0025796E">
      <w:rPr>
        <w:rFonts w:ascii="Century Gothic" w:eastAsia="Geo" w:hAnsi="Century Gothic" w:cs="Geo"/>
        <w:bCs/>
        <w:color w:val="000000"/>
        <w:sz w:val="16"/>
        <w:szCs w:val="16"/>
        <w:lang w:eastAsia="es-CO"/>
      </w:rPr>
      <w:t xml:space="preserve"> </w:t>
    </w:r>
    <w:r w:rsidR="00FA47C0" w:rsidRPr="004A305D">
      <w:rPr>
        <w:rFonts w:ascii="Century Gothic" w:eastAsia="Geo" w:hAnsi="Century Gothic" w:cs="Geo"/>
        <w:b/>
        <w:color w:val="000000"/>
        <w:sz w:val="16"/>
        <w:szCs w:val="16"/>
        <w:lang w:eastAsia="es-CO"/>
      </w:rPr>
      <w:t>Versión</w:t>
    </w:r>
    <w:r w:rsidR="00FA47C0" w:rsidRPr="004A305D">
      <w:rPr>
        <w:rFonts w:ascii="Century Gothic" w:eastAsia="Arial Nova" w:hAnsi="Century Gothic" w:cs="Arial Nova"/>
        <w:b/>
        <w:color w:val="000000"/>
        <w:sz w:val="16"/>
        <w:szCs w:val="16"/>
        <w:lang w:eastAsia="es-CO"/>
      </w:rPr>
      <w:t xml:space="preserve">: </w:t>
    </w:r>
    <w:r w:rsidR="00FA47C0" w:rsidRPr="004A305D">
      <w:rPr>
        <w:rFonts w:ascii="Century Gothic" w:eastAsia="Geo" w:hAnsi="Century Gothic" w:cs="Geo"/>
        <w:sz w:val="16"/>
        <w:szCs w:val="16"/>
        <w:lang w:eastAsia="es-CO"/>
      </w:rPr>
      <w:t>0</w:t>
    </w:r>
    <w:r w:rsidR="00FA47C0">
      <w:rPr>
        <w:rFonts w:ascii="Century Gothic" w:eastAsia="Geo" w:hAnsi="Century Gothic" w:cs="Geo"/>
        <w:sz w:val="16"/>
        <w:szCs w:val="16"/>
        <w:lang w:eastAsia="es-CO"/>
      </w:rPr>
      <w:t>2</w:t>
    </w:r>
    <w:r w:rsidR="00FA47C0" w:rsidRPr="004A305D">
      <w:rPr>
        <w:rFonts w:ascii="Century Gothic" w:eastAsia="Geo" w:hAnsi="Century Gothic" w:cs="Geo"/>
        <w:sz w:val="16"/>
        <w:szCs w:val="16"/>
        <w:lang w:eastAsia="es-CO"/>
      </w:rPr>
      <w:t xml:space="preserve"> </w:t>
    </w:r>
    <w:r w:rsidR="0025796E">
      <w:rPr>
        <w:rFonts w:ascii="Century Gothic" w:eastAsia="Geo" w:hAnsi="Century Gothic" w:cs="Geo"/>
        <w:sz w:val="16"/>
        <w:szCs w:val="16"/>
        <w:lang w:eastAsia="es-CO"/>
      </w:rPr>
      <w:t>Fecha: 31-08-2023</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936389E" w14:textId="77777777" w:rsidR="00003012" w:rsidRDefault="00003012" w:rsidP="004A1847">
      <w:pPr>
        <w:spacing w:after="0" w:line="240" w:lineRule="auto"/>
      </w:pPr>
      <w:r>
        <w:separator/>
      </w:r>
    </w:p>
  </w:footnote>
  <w:footnote w:type="continuationSeparator" w:id="0">
    <w:p w14:paraId="4200AE49" w14:textId="77777777" w:rsidR="00003012" w:rsidRDefault="00003012" w:rsidP="004A1847">
      <w:pPr>
        <w:spacing w:after="0" w:line="240" w:lineRule="auto"/>
      </w:pPr>
      <w:r>
        <w:continuationSeparator/>
      </w:r>
    </w:p>
  </w:footnote>
  <w:footnote w:type="continuationNotice" w:id="1">
    <w:p w14:paraId="1DB15281" w14:textId="77777777" w:rsidR="00003012" w:rsidRDefault="00003012">
      <w:pPr>
        <w:spacing w:after="0" w:line="240" w:lineRule="auto"/>
      </w:pPr>
    </w:p>
  </w:footnote>
  <w:footnote w:id="2">
    <w:p w14:paraId="54E394AD" w14:textId="77777777" w:rsidR="006773CD" w:rsidRDefault="006773CD" w:rsidP="006773CD">
      <w:pPr>
        <w:ind w:firstLine="709"/>
        <w:jc w:val="both"/>
        <w:rPr>
          <w:rFonts w:ascii="Verdana" w:hAnsi="Verdana" w:cs="Vrinda"/>
          <w:sz w:val="18"/>
          <w:szCs w:val="18"/>
        </w:rPr>
      </w:pPr>
      <w:r w:rsidRPr="00627FA9">
        <w:rPr>
          <w:rStyle w:val="Refdenotaalpie"/>
          <w:rFonts w:ascii="Verdana" w:hAnsi="Verdana" w:cs="Vrinda"/>
          <w:sz w:val="18"/>
          <w:szCs w:val="18"/>
        </w:rPr>
        <w:footnoteRef/>
      </w:r>
      <w:r w:rsidRPr="00627FA9">
        <w:rPr>
          <w:rFonts w:ascii="Verdana" w:hAnsi="Verdana" w:cs="Vrinda"/>
          <w:sz w:val="18"/>
          <w:szCs w:val="18"/>
        </w:rPr>
        <w:t xml:space="preserve"> Consejo de Estado. Sala Plena de lo Contencioso Administrativo. Sentencia del 8 de agosto de 2001. Exp. AC-10966 - AC-11274. Consejero Ponente: Reinaldo Chavarro Buriticá.</w:t>
      </w:r>
    </w:p>
    <w:p w14:paraId="39CB8CEF" w14:textId="77777777" w:rsidR="006773CD" w:rsidRPr="00627FA9" w:rsidRDefault="006773CD" w:rsidP="006773CD">
      <w:pPr>
        <w:ind w:firstLine="709"/>
        <w:jc w:val="both"/>
        <w:rPr>
          <w:rFonts w:ascii="Verdana" w:hAnsi="Verdana" w:cs="Vrinda"/>
          <w:sz w:val="18"/>
          <w:szCs w:val="18"/>
        </w:rPr>
      </w:pPr>
    </w:p>
  </w:footnote>
  <w:footnote w:id="3">
    <w:p w14:paraId="50EA8FBB" w14:textId="77777777" w:rsidR="006773CD" w:rsidRPr="00627FA9" w:rsidRDefault="006773CD" w:rsidP="006773CD">
      <w:pPr>
        <w:pStyle w:val="Textonotapie"/>
        <w:ind w:firstLine="709"/>
        <w:jc w:val="both"/>
        <w:rPr>
          <w:rFonts w:ascii="Verdana" w:hAnsi="Verdana" w:cs="Vrinda"/>
          <w:sz w:val="18"/>
          <w:szCs w:val="18"/>
        </w:rPr>
      </w:pPr>
      <w:r w:rsidRPr="00627FA9">
        <w:rPr>
          <w:rStyle w:val="Refdenotaalpie"/>
          <w:rFonts w:ascii="Verdana" w:hAnsi="Verdana" w:cs="Vrinda"/>
          <w:sz w:val="18"/>
          <w:szCs w:val="18"/>
        </w:rPr>
        <w:footnoteRef/>
      </w:r>
      <w:r w:rsidRPr="00627FA9">
        <w:rPr>
          <w:rFonts w:ascii="Verdana" w:hAnsi="Verdana" w:cs="Vrinda"/>
          <w:sz w:val="18"/>
          <w:szCs w:val="18"/>
        </w:rPr>
        <w:t xml:space="preserve"> Consejo de Estado. Sección Tercera. Subsección C. Sentencia del 29 de abril de 2015. Exp. 31.620. Consejera Ponente: Olga Mélida Valle De De La Hoz (E)</w:t>
      </w:r>
      <w:r>
        <w:rPr>
          <w:rFonts w:ascii="Verdana" w:hAnsi="Verdana" w:cs="Vrinda"/>
          <w:sz w:val="18"/>
          <w:szCs w:val="18"/>
        </w:rPr>
        <w:t>.</w:t>
      </w:r>
    </w:p>
    <w:p w14:paraId="5198C9C8" w14:textId="77777777" w:rsidR="006773CD" w:rsidRPr="00627FA9" w:rsidRDefault="006773CD" w:rsidP="006773CD">
      <w:pPr>
        <w:pStyle w:val="Textonotapie"/>
        <w:ind w:firstLine="709"/>
        <w:jc w:val="both"/>
        <w:rPr>
          <w:rFonts w:ascii="Verdana" w:hAnsi="Verdana" w:cs="Vrinda"/>
          <w:sz w:val="18"/>
          <w:szCs w:val="18"/>
          <w:lang w:val="es-CO"/>
        </w:rPr>
      </w:pPr>
    </w:p>
  </w:footnote>
  <w:footnote w:id="4">
    <w:p w14:paraId="6D81D71E" w14:textId="77777777" w:rsidR="006773CD" w:rsidRPr="00627FA9" w:rsidRDefault="006773CD" w:rsidP="006773CD">
      <w:pPr>
        <w:pStyle w:val="Textonotapie"/>
        <w:ind w:firstLine="709"/>
        <w:jc w:val="both"/>
        <w:rPr>
          <w:rFonts w:ascii="Verdana" w:hAnsi="Verdana" w:cs="Vrinda"/>
          <w:sz w:val="18"/>
          <w:szCs w:val="18"/>
        </w:rPr>
      </w:pPr>
      <w:r w:rsidRPr="00627FA9">
        <w:rPr>
          <w:rStyle w:val="Refdenotaalpie"/>
          <w:rFonts w:ascii="Verdana" w:hAnsi="Verdana" w:cs="Vrinda"/>
          <w:sz w:val="18"/>
          <w:szCs w:val="18"/>
        </w:rPr>
        <w:footnoteRef/>
      </w:r>
      <w:r w:rsidRPr="00627FA9">
        <w:rPr>
          <w:rFonts w:ascii="Verdana" w:hAnsi="Verdana" w:cs="Vrinda"/>
          <w:sz w:val="18"/>
          <w:szCs w:val="18"/>
        </w:rPr>
        <w:t xml:space="preserve"> Ley 1474 de 2011: “Artículo 91. Anticipos. En los contratos de obra, concesión, salud, o los que se realicen por licitación pública, el contratista deberá constituir una fiducia o un patrimonio autónomo irrevocable para el manejo de los recursos que reciba a título de anticipo, con el fin de garantizar que dichos recursos se apliquen exclusivamente a la ejecución del contrato correspondiente, salvo que el contrato sea de menor o mínima cuantía.</w:t>
      </w:r>
    </w:p>
    <w:p w14:paraId="29269575" w14:textId="77777777" w:rsidR="006773CD" w:rsidRPr="00627FA9" w:rsidRDefault="006773CD" w:rsidP="006773CD">
      <w:pPr>
        <w:pStyle w:val="Textonotapie"/>
        <w:ind w:firstLine="708"/>
        <w:jc w:val="both"/>
        <w:rPr>
          <w:rFonts w:ascii="Verdana" w:hAnsi="Verdana" w:cs="Vrinda"/>
          <w:sz w:val="18"/>
          <w:szCs w:val="18"/>
        </w:rPr>
      </w:pPr>
      <w:r w:rsidRPr="00627FA9">
        <w:rPr>
          <w:rFonts w:ascii="Verdana" w:hAnsi="Verdana" w:cs="Vrinda"/>
          <w:sz w:val="18"/>
          <w:szCs w:val="18"/>
        </w:rPr>
        <w:t>El costo de la comisión fiduciaria será cubierto directamente por el contratista. […]”</w:t>
      </w:r>
    </w:p>
    <w:p w14:paraId="48407136" w14:textId="77777777" w:rsidR="006773CD" w:rsidRPr="00627FA9" w:rsidRDefault="006773CD" w:rsidP="006773CD">
      <w:pPr>
        <w:pStyle w:val="Textonotapie"/>
        <w:jc w:val="both"/>
        <w:rPr>
          <w:rFonts w:ascii="Verdana" w:hAnsi="Verdana" w:cs="Vrinda"/>
          <w:sz w:val="18"/>
          <w:szCs w:val="18"/>
          <w:lang w:val="es-CO"/>
        </w:rPr>
      </w:pPr>
    </w:p>
  </w:footnote>
  <w:footnote w:id="5">
    <w:p w14:paraId="6B43F7EF" w14:textId="77777777" w:rsidR="006773CD" w:rsidRPr="00627FA9" w:rsidRDefault="006773CD" w:rsidP="006773CD">
      <w:pPr>
        <w:pStyle w:val="Textonotapie"/>
        <w:ind w:firstLine="708"/>
        <w:jc w:val="both"/>
        <w:rPr>
          <w:rFonts w:ascii="Verdana" w:hAnsi="Verdana" w:cs="Vrinda"/>
          <w:sz w:val="18"/>
          <w:szCs w:val="18"/>
        </w:rPr>
      </w:pPr>
      <w:r w:rsidRPr="00627FA9">
        <w:rPr>
          <w:rStyle w:val="Refdenotaalpie"/>
          <w:rFonts w:ascii="Verdana" w:hAnsi="Verdana" w:cs="Vrinda"/>
          <w:sz w:val="18"/>
          <w:szCs w:val="18"/>
        </w:rPr>
        <w:footnoteRef/>
      </w:r>
      <w:r w:rsidRPr="00627FA9">
        <w:rPr>
          <w:rFonts w:ascii="Verdana" w:hAnsi="Verdana" w:cs="Vrinda"/>
          <w:sz w:val="18"/>
          <w:szCs w:val="18"/>
        </w:rPr>
        <w:t xml:space="preserve"> Decreto 1082 de 2015: “Artículo 2.2.1.2.3.1.7. Garantía de cumplimiento. La garantía de cumplimiento del contrato debe cubrir: </w:t>
      </w:r>
    </w:p>
    <w:p w14:paraId="298B8B6E" w14:textId="77777777" w:rsidR="006773CD" w:rsidRPr="00627FA9" w:rsidRDefault="006773CD" w:rsidP="006773CD">
      <w:pPr>
        <w:pStyle w:val="Textonotapie"/>
        <w:ind w:firstLine="708"/>
        <w:jc w:val="both"/>
        <w:rPr>
          <w:rFonts w:ascii="Verdana" w:hAnsi="Verdana" w:cs="Vrinda"/>
          <w:sz w:val="18"/>
          <w:szCs w:val="18"/>
        </w:rPr>
      </w:pPr>
      <w:r w:rsidRPr="00627FA9">
        <w:rPr>
          <w:rFonts w:ascii="Verdana" w:hAnsi="Verdana" w:cs="Vrinda"/>
          <w:sz w:val="18"/>
          <w:szCs w:val="18"/>
        </w:rPr>
        <w:t xml:space="preserve">1. Buen manejo y correcta inversión del anticipo. Este amparo cubre los perjuicios sufridos por la Entidad Estatal con ocasión de: (i) la no inversión del anticipo; (ii) el uso indebido del anticipo; y (iii) la apropiación indebida de los recursos recibidos en calidad de anticipo. </w:t>
      </w:r>
    </w:p>
    <w:p w14:paraId="6970BB52" w14:textId="77777777" w:rsidR="006773CD" w:rsidRPr="00627FA9" w:rsidRDefault="006773CD" w:rsidP="006773CD">
      <w:pPr>
        <w:pStyle w:val="Textonotapie"/>
        <w:ind w:firstLine="708"/>
        <w:jc w:val="both"/>
        <w:rPr>
          <w:rFonts w:ascii="Verdana" w:hAnsi="Verdana" w:cs="Vrinda"/>
          <w:sz w:val="18"/>
          <w:szCs w:val="18"/>
        </w:rPr>
      </w:pPr>
      <w:r w:rsidRPr="00627FA9">
        <w:rPr>
          <w:rFonts w:ascii="Verdana" w:hAnsi="Verdana" w:cs="Vrinda"/>
          <w:sz w:val="18"/>
          <w:szCs w:val="18"/>
        </w:rPr>
        <w:t>2. Devolución del pago anticipado. Este amparo cubre los perjuicios sufridos por la Entidad Estatal por la no devolución total o parcial del dinero entregado al contratista a título de pago anticipado, cuando a ello hubiere lugar […]”.</w:t>
      </w:r>
    </w:p>
    <w:p w14:paraId="24CF3A1E" w14:textId="77777777" w:rsidR="006773CD" w:rsidRPr="00627FA9" w:rsidRDefault="006773CD" w:rsidP="006773CD">
      <w:pPr>
        <w:pStyle w:val="Textonotapie"/>
        <w:ind w:firstLine="708"/>
        <w:jc w:val="both"/>
        <w:rPr>
          <w:rFonts w:ascii="Verdana" w:hAnsi="Verdana" w:cs="Vrinda"/>
          <w:sz w:val="18"/>
          <w:szCs w:val="18"/>
        </w:rPr>
      </w:pPr>
      <w:r w:rsidRPr="00627FA9">
        <w:rPr>
          <w:rFonts w:ascii="Verdana" w:hAnsi="Verdana" w:cs="Vrinda"/>
          <w:sz w:val="18"/>
          <w:szCs w:val="18"/>
        </w:rPr>
        <w:t>“Artículo 2.2.1.2.3.1.10. Suficiencia de la garantía de buen manejo y correcta inversión del anticipo. La Garantía de buen manejo y correcta inversión del anticipo debe estar vigente hasta la liquidación del contrato o hasta la amortización del anticipo, de acuerdo con lo que determine la Entidad Estatal. El valor de esta garantía debe ser el ciento por ciento (100%) de la suma establecida como anticipo, ya sea este en dinero o en especie”.</w:t>
      </w:r>
    </w:p>
    <w:p w14:paraId="3CF55802" w14:textId="77777777" w:rsidR="006773CD" w:rsidRPr="00627FA9" w:rsidRDefault="006773CD" w:rsidP="006773CD">
      <w:pPr>
        <w:pStyle w:val="Textonotapie"/>
        <w:ind w:firstLine="708"/>
        <w:jc w:val="both"/>
        <w:rPr>
          <w:rFonts w:ascii="Verdana" w:hAnsi="Verdana" w:cs="Vrinda"/>
          <w:sz w:val="18"/>
          <w:szCs w:val="18"/>
          <w:lang w:val="es-CO"/>
        </w:rPr>
      </w:pPr>
      <w:r w:rsidRPr="00627FA9">
        <w:rPr>
          <w:rFonts w:ascii="Verdana" w:hAnsi="Verdana" w:cs="Vrinda"/>
          <w:sz w:val="18"/>
          <w:szCs w:val="18"/>
        </w:rPr>
        <w:t>“Artículo 2.2.1.2.3.1.11. Suficiencia de la garantía de pago anticipado. La garantía de pago anticipado debe estar vigente hasta la liquidación del contrato o hasta que la Entidad Estatal verifique el cumplimiento de todas las actividades o la entrega de todos los bienes o servicios asociados al pago anticipado, de acuerdo con lo que determine la Entidad Estatal. El valor de esta garantía debe ser el ciento por ciento (100%) del monto pagado de forma anticipada, ya sea este en dinero o en especie”.</w:t>
      </w:r>
    </w:p>
  </w:footnote>
  <w:footnote w:id="6">
    <w:p w14:paraId="2B3E06AA" w14:textId="77777777" w:rsidR="006773CD" w:rsidRPr="00627FA9" w:rsidRDefault="006773CD" w:rsidP="006773CD">
      <w:pPr>
        <w:pStyle w:val="Textonotapie"/>
        <w:ind w:firstLine="709"/>
        <w:jc w:val="both"/>
        <w:rPr>
          <w:rFonts w:ascii="Verdana" w:hAnsi="Verdana" w:cs="Vrinda"/>
          <w:color w:val="000000"/>
          <w:sz w:val="18"/>
          <w:szCs w:val="18"/>
          <w:lang w:val="es-CO"/>
        </w:rPr>
      </w:pPr>
      <w:r w:rsidRPr="00627FA9">
        <w:rPr>
          <w:rStyle w:val="Refdenotaalpie"/>
          <w:rFonts w:ascii="Verdana" w:hAnsi="Verdana" w:cs="Vrinda"/>
          <w:sz w:val="18"/>
          <w:szCs w:val="18"/>
        </w:rPr>
        <w:footnoteRef/>
      </w:r>
      <w:r w:rsidRPr="00627FA9">
        <w:rPr>
          <w:rFonts w:ascii="Verdana" w:hAnsi="Verdana" w:cs="Vrinda"/>
          <w:sz w:val="18"/>
          <w:szCs w:val="18"/>
        </w:rPr>
        <w:t xml:space="preserve"> Texto tomado de la ley publicada en la página web del Sistema Único de Información Normativa, disponible en el siguiente enlace</w:t>
      </w:r>
      <w:r w:rsidRPr="00627FA9">
        <w:rPr>
          <w:rFonts w:ascii="Verdana" w:hAnsi="Verdana" w:cs="Vrinda"/>
          <w:color w:val="000000"/>
          <w:sz w:val="18"/>
          <w:szCs w:val="18"/>
        </w:rPr>
        <w:t xml:space="preserve">: </w:t>
      </w:r>
      <w:hyperlink r:id="rId1" w:history="1">
        <w:r w:rsidRPr="00627FA9">
          <w:rPr>
            <w:rStyle w:val="Hipervnculo"/>
            <w:rFonts w:ascii="Verdana" w:hAnsi="Verdana" w:cs="Vrinda"/>
            <w:sz w:val="18"/>
            <w:szCs w:val="18"/>
          </w:rPr>
          <w:t>https://www.suin-juriscol.gov.co/viewDocument.asp?id=30043742</w:t>
        </w:r>
      </w:hyperlink>
      <w:r w:rsidRPr="00627FA9">
        <w:rPr>
          <w:rFonts w:ascii="Verdana" w:hAnsi="Verdana" w:cs="Vrinda"/>
          <w:color w:val="000000"/>
          <w:sz w:val="18"/>
          <w:szCs w:val="18"/>
        </w:rPr>
        <w:t xml:space="preserve">. </w:t>
      </w:r>
    </w:p>
  </w:footnote>
  <w:footnote w:id="7">
    <w:p w14:paraId="05927B9B" w14:textId="77777777" w:rsidR="006773CD" w:rsidRPr="00627FA9" w:rsidRDefault="006773CD" w:rsidP="006773CD">
      <w:pPr>
        <w:pStyle w:val="Textonotapie"/>
        <w:ind w:firstLine="709"/>
        <w:jc w:val="both"/>
        <w:rPr>
          <w:rFonts w:ascii="Verdana" w:hAnsi="Verdana" w:cs="Vrinda"/>
          <w:sz w:val="18"/>
          <w:szCs w:val="18"/>
          <w:lang w:val="es-CO"/>
        </w:rPr>
      </w:pPr>
      <w:r w:rsidRPr="00627FA9">
        <w:rPr>
          <w:rStyle w:val="Refdenotaalpie"/>
          <w:rFonts w:ascii="Verdana" w:hAnsi="Verdana" w:cs="Vrinda"/>
          <w:sz w:val="18"/>
          <w:szCs w:val="18"/>
        </w:rPr>
        <w:footnoteRef/>
      </w:r>
      <w:r w:rsidRPr="00627FA9">
        <w:rPr>
          <w:rFonts w:ascii="Verdana" w:hAnsi="Verdana" w:cs="Vrinda"/>
          <w:sz w:val="18"/>
          <w:szCs w:val="18"/>
        </w:rPr>
        <w:t xml:space="preserve"> </w:t>
      </w:r>
      <w:bookmarkStart w:id="2" w:name="7"/>
      <w:r w:rsidRPr="00627FA9">
        <w:rPr>
          <w:rFonts w:ascii="Verdana" w:eastAsia="Calibri" w:hAnsi="Verdana" w:cs="Vrinda"/>
          <w:color w:val="000000"/>
          <w:sz w:val="18"/>
          <w:szCs w:val="18"/>
          <w:lang w:val="es-ES_tradnl"/>
        </w:rPr>
        <w:t>“</w:t>
      </w:r>
      <w:r w:rsidRPr="00627FA9">
        <w:rPr>
          <w:rFonts w:ascii="Verdana" w:hAnsi="Verdana" w:cs="Vrinda"/>
          <w:sz w:val="18"/>
          <w:szCs w:val="18"/>
          <w:lang w:val="es-CO"/>
        </w:rPr>
        <w:t>Artículo 7. Organismos de la Acción Comunal.</w:t>
      </w:r>
      <w:bookmarkEnd w:id="2"/>
    </w:p>
    <w:p w14:paraId="5F9CA699" w14:textId="77777777" w:rsidR="006773CD" w:rsidRPr="00627FA9" w:rsidRDefault="006773CD" w:rsidP="006773CD">
      <w:pPr>
        <w:pStyle w:val="Textonotapie"/>
        <w:ind w:firstLine="709"/>
        <w:jc w:val="both"/>
        <w:rPr>
          <w:rFonts w:ascii="Verdana" w:hAnsi="Verdana" w:cs="Vrinda"/>
          <w:sz w:val="18"/>
          <w:szCs w:val="18"/>
          <w:lang w:val="es-CO"/>
        </w:rPr>
      </w:pPr>
      <w:r w:rsidRPr="00627FA9">
        <w:rPr>
          <w:rFonts w:ascii="Verdana" w:hAnsi="Verdana" w:cs="Vrinda"/>
          <w:sz w:val="18"/>
          <w:szCs w:val="18"/>
          <w:lang w:val="es-CO"/>
        </w:rPr>
        <w:t>a) Son organismos de acción comunal de primer grado las juntas de acción comunal y las juntas de vivienda comunal. La junta de acción comunal es una organización cívica, social y comunitaria de gestión social, sin ánimo de lucro, de naturaleza solidaria, con personería jurídica y patrimonio propio, integrada voluntariamente por los residentes de un lugar que aúnan esfuerzos y recursos para procurar un desarrollo integral, sostenible y sustentable con fundamento en el ejercicio de la democracia participativa;</w:t>
      </w:r>
    </w:p>
    <w:p w14:paraId="17B02BC1" w14:textId="77777777" w:rsidR="006773CD" w:rsidRPr="00627FA9" w:rsidRDefault="006773CD" w:rsidP="006773CD">
      <w:pPr>
        <w:pStyle w:val="Textonotapie"/>
        <w:ind w:firstLine="709"/>
        <w:jc w:val="both"/>
        <w:rPr>
          <w:rFonts w:ascii="Verdana" w:hAnsi="Verdana" w:cs="Vrinda"/>
          <w:sz w:val="18"/>
          <w:szCs w:val="18"/>
          <w:lang w:val="es-CO"/>
        </w:rPr>
      </w:pPr>
      <w:r w:rsidRPr="00627FA9">
        <w:rPr>
          <w:rFonts w:ascii="Verdana" w:hAnsi="Verdana" w:cs="Vrinda"/>
          <w:sz w:val="18"/>
          <w:szCs w:val="18"/>
          <w:lang w:val="es-CO"/>
        </w:rPr>
        <w:t>b) La junta de vivienda comunal es una organización cívica sin ánimo de lucro, integrada por familias que se reúnen con el propósito de adelantar programas de mejoramiento o de autoconstrucción de vivienda. Una vez concluido el programa, la junta de vivienda comunal se podrá asimilar a la Junta de Acción Comunal definida en el presente artículo, siempre y cuando cumpla los requisitos dispuestos en la ley;</w:t>
      </w:r>
    </w:p>
    <w:p w14:paraId="5C8B3B5E" w14:textId="77777777" w:rsidR="006773CD" w:rsidRPr="00627FA9" w:rsidRDefault="006773CD" w:rsidP="006773CD">
      <w:pPr>
        <w:pStyle w:val="Textonotapie"/>
        <w:ind w:firstLine="709"/>
        <w:jc w:val="both"/>
        <w:rPr>
          <w:rFonts w:ascii="Verdana" w:hAnsi="Verdana" w:cs="Vrinda"/>
          <w:sz w:val="18"/>
          <w:szCs w:val="18"/>
          <w:lang w:val="es-CO"/>
        </w:rPr>
      </w:pPr>
      <w:r w:rsidRPr="00627FA9">
        <w:rPr>
          <w:rFonts w:ascii="Verdana" w:hAnsi="Verdana" w:cs="Vrinda"/>
          <w:sz w:val="18"/>
          <w:szCs w:val="18"/>
          <w:lang w:val="es-CO"/>
        </w:rPr>
        <w:t>c) Es organismo de acción comunal de segundo grado la asociación de juntas de acción comunal. Tienen la misma naturaleza jurídica de las juntas de acción comunal y se constituye con los organismos de primer grado fundadores y los que posteriormente se afilien;</w:t>
      </w:r>
    </w:p>
    <w:p w14:paraId="64715E16" w14:textId="77777777" w:rsidR="006773CD" w:rsidRPr="00627FA9" w:rsidRDefault="006773CD" w:rsidP="006773CD">
      <w:pPr>
        <w:pStyle w:val="Textonotapie"/>
        <w:ind w:firstLine="709"/>
        <w:jc w:val="both"/>
        <w:rPr>
          <w:rFonts w:ascii="Verdana" w:hAnsi="Verdana" w:cs="Vrinda"/>
          <w:sz w:val="18"/>
          <w:szCs w:val="18"/>
          <w:lang w:val="es-CO"/>
        </w:rPr>
      </w:pPr>
      <w:r w:rsidRPr="00627FA9">
        <w:rPr>
          <w:rFonts w:ascii="Verdana" w:hAnsi="Verdana" w:cs="Vrinda"/>
          <w:sz w:val="18"/>
          <w:szCs w:val="18"/>
          <w:lang w:val="es-CO"/>
        </w:rPr>
        <w:t>d) Es organismo de acción comunal de tercer grado la federación de acción comunal, tiene la misma naturaleza jurídica de las juntas de acción comunal y se constituye con los organismos de acción comunal de segundo grado fundadores y que posteriormente se afilien;</w:t>
      </w:r>
    </w:p>
    <w:p w14:paraId="6C336322" w14:textId="77777777" w:rsidR="006773CD" w:rsidRPr="00627FA9" w:rsidRDefault="006773CD" w:rsidP="006773CD">
      <w:pPr>
        <w:pStyle w:val="Textonotapie"/>
        <w:ind w:firstLine="709"/>
        <w:jc w:val="both"/>
        <w:rPr>
          <w:rFonts w:ascii="Verdana" w:hAnsi="Verdana" w:cs="Vrinda"/>
          <w:sz w:val="18"/>
          <w:szCs w:val="18"/>
          <w:lang w:val="es-CO"/>
        </w:rPr>
      </w:pPr>
      <w:r w:rsidRPr="00627FA9">
        <w:rPr>
          <w:rFonts w:ascii="Verdana" w:hAnsi="Verdana" w:cs="Vrinda"/>
          <w:sz w:val="18"/>
          <w:szCs w:val="18"/>
          <w:lang w:val="es-CO"/>
        </w:rPr>
        <w:t>e) Es organismo de acción comunal de cuarto grado, la confederación nacional de acción comunal, tiene la misma naturaleza jurídica de las juntas de acción comunal y se constituye con los organismos de acción comunal de tercer grado fundadores y que posteriormente se afilien.</w:t>
      </w:r>
    </w:p>
    <w:p w14:paraId="0A6EF3D6" w14:textId="77777777" w:rsidR="006773CD" w:rsidRPr="00627FA9" w:rsidRDefault="006773CD" w:rsidP="006773CD">
      <w:pPr>
        <w:pStyle w:val="Textonotapie"/>
        <w:ind w:firstLine="709"/>
        <w:jc w:val="both"/>
        <w:rPr>
          <w:rFonts w:ascii="Verdana" w:hAnsi="Verdana" w:cs="Vrinda"/>
          <w:sz w:val="18"/>
          <w:szCs w:val="18"/>
          <w:lang w:val="es-CO"/>
        </w:rPr>
      </w:pPr>
      <w:r w:rsidRPr="00627FA9">
        <w:rPr>
          <w:rFonts w:ascii="Verdana" w:hAnsi="Verdana" w:cs="Vrinda"/>
          <w:sz w:val="18"/>
          <w:szCs w:val="18"/>
          <w:lang w:val="es-CO"/>
        </w:rPr>
        <w:t>PARÁGRAFO 1o. Cada organismo de acción comunal, se dará su propio reglamento conforme al marco brindado por esta ley enunciado en el artículo 1 y las normas que le sucedan.</w:t>
      </w:r>
    </w:p>
    <w:p w14:paraId="5D8CFC2F" w14:textId="77777777" w:rsidR="006773CD" w:rsidRPr="00627FA9" w:rsidRDefault="006773CD" w:rsidP="006773CD">
      <w:pPr>
        <w:pStyle w:val="Textonotapie"/>
        <w:ind w:firstLine="709"/>
        <w:jc w:val="both"/>
        <w:rPr>
          <w:rFonts w:ascii="Verdana" w:hAnsi="Verdana" w:cs="Vrinda"/>
          <w:sz w:val="18"/>
          <w:szCs w:val="18"/>
          <w:lang w:val="es-CO"/>
        </w:rPr>
      </w:pPr>
      <w:r w:rsidRPr="00627FA9">
        <w:rPr>
          <w:rFonts w:ascii="Verdana" w:hAnsi="Verdana" w:cs="Vrinda"/>
          <w:sz w:val="18"/>
          <w:szCs w:val="18"/>
          <w:lang w:val="es-CO"/>
        </w:rPr>
        <w:t>PARÁGRAFO 2o. Dentro del año siguiente a la expedición de la presente Ley en concertación con la organización social de la Acción Comunal, el Gobierno nacional expedirá una reglamentación para las Juntas de Vivienda Comunal</w:t>
      </w:r>
      <w:r w:rsidRPr="00627FA9">
        <w:rPr>
          <w:rFonts w:ascii="Verdana" w:eastAsia="Calibri" w:hAnsi="Verdana" w:cs="Vrinda"/>
          <w:color w:val="000000"/>
          <w:sz w:val="18"/>
          <w:szCs w:val="18"/>
          <w:lang w:val="es-ES_tradnl"/>
        </w:rPr>
        <w:t>”.</w:t>
      </w:r>
    </w:p>
    <w:p w14:paraId="04B36DB2" w14:textId="77777777" w:rsidR="006773CD" w:rsidRPr="00627FA9" w:rsidRDefault="006773CD" w:rsidP="006773CD">
      <w:pPr>
        <w:pStyle w:val="Textonotapie"/>
        <w:ind w:firstLine="709"/>
        <w:jc w:val="both"/>
        <w:rPr>
          <w:rFonts w:ascii="Verdana" w:hAnsi="Verdana" w:cs="Vrinda"/>
          <w:sz w:val="18"/>
          <w:szCs w:val="18"/>
          <w:lang w:val="es-CO"/>
        </w:rPr>
      </w:pPr>
    </w:p>
  </w:footnote>
  <w:footnote w:id="8">
    <w:p w14:paraId="7283F83D" w14:textId="77777777" w:rsidR="006773CD" w:rsidRPr="00627FA9" w:rsidRDefault="006773CD" w:rsidP="006773CD">
      <w:pPr>
        <w:pStyle w:val="Textonotapie"/>
        <w:ind w:firstLine="708"/>
        <w:jc w:val="both"/>
        <w:rPr>
          <w:rFonts w:ascii="Verdana" w:hAnsi="Verdana" w:cs="Vrinda"/>
          <w:sz w:val="18"/>
          <w:szCs w:val="18"/>
          <w:lang w:val="es-CO"/>
        </w:rPr>
      </w:pPr>
      <w:r w:rsidRPr="00627FA9">
        <w:rPr>
          <w:rStyle w:val="Refdenotaalpie"/>
          <w:rFonts w:ascii="Verdana" w:hAnsi="Verdana" w:cs="Vrinda"/>
          <w:sz w:val="18"/>
          <w:szCs w:val="18"/>
        </w:rPr>
        <w:footnoteRef/>
      </w:r>
      <w:r w:rsidRPr="00627FA9">
        <w:rPr>
          <w:rFonts w:ascii="Verdana" w:hAnsi="Verdana" w:cs="Vrinda"/>
          <w:sz w:val="18"/>
          <w:szCs w:val="18"/>
        </w:rPr>
        <w:t xml:space="preserve"> Dichos documentos pueden consultarse en el siguiente enlace: </w:t>
      </w:r>
      <w:hyperlink r:id="rId2" w:history="1">
        <w:r w:rsidRPr="00627FA9">
          <w:rPr>
            <w:rStyle w:val="Hipervnculo"/>
            <w:rFonts w:ascii="Verdana" w:hAnsi="Verdana" w:cs="Vrinda"/>
            <w:sz w:val="18"/>
            <w:szCs w:val="18"/>
          </w:rPr>
          <w:t>https://www.colombiacompra.gov.co/content/documento-tipo-para-la-contratacion-directa-de-convenios-solidarios-para-la-ejecucion-de</w:t>
        </w:r>
      </w:hyperlink>
      <w:r w:rsidRPr="00627FA9">
        <w:rPr>
          <w:rFonts w:ascii="Verdana" w:hAnsi="Verdana" w:cs="Vrinda"/>
          <w:sz w:val="18"/>
          <w:szCs w:val="18"/>
        </w:rP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5F4D03" w14:textId="0903BF04" w:rsidR="00756841" w:rsidRDefault="009D3058">
    <w:pPr>
      <w:pStyle w:val="Encabezado"/>
    </w:pPr>
    <w:r>
      <w:rPr>
        <w:rFonts w:ascii="Geomanist Bold" w:hAnsi="Geomanist Bold"/>
        <w:b/>
        <w:bCs/>
        <w:noProof/>
        <w:color w:val="002060"/>
        <w:sz w:val="24"/>
        <w:szCs w:val="24"/>
      </w:rPr>
      <w:drawing>
        <wp:anchor distT="0" distB="0" distL="114300" distR="114300" simplePos="0" relativeHeight="251658241" behindDoc="1" locked="0" layoutInCell="1" allowOverlap="1" wp14:anchorId="6FC3B35F" wp14:editId="12DD542F">
          <wp:simplePos x="0" y="0"/>
          <wp:positionH relativeFrom="margin">
            <wp:align>center</wp:align>
          </wp:positionH>
          <wp:positionV relativeFrom="paragraph">
            <wp:posOffset>-345440</wp:posOffset>
          </wp:positionV>
          <wp:extent cx="1924050" cy="856004"/>
          <wp:effectExtent l="0" t="0" r="0" b="1270"/>
          <wp:wrapNone/>
          <wp:docPr id="1309089902" name="Imagen 1" descr="Imagen que contiene Interfaz de usuario gráfic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9089902" name="Imagen 1" descr="Imagen que contiene Interfaz de usuario gráfica&#10;&#10;Descripción generada automáticamente"/>
                  <pic:cNvPicPr/>
                </pic:nvPicPr>
                <pic:blipFill>
                  <a:blip r:embed="rId1">
                    <a:extLst>
                      <a:ext uri="{28A0092B-C50C-407E-A947-70E740481C1C}">
                        <a14:useLocalDpi xmlns:a14="http://schemas.microsoft.com/office/drawing/2010/main" val="0"/>
                      </a:ext>
                    </a:extLst>
                  </a:blip>
                  <a:stretch>
                    <a:fillRect/>
                  </a:stretch>
                </pic:blipFill>
                <pic:spPr>
                  <a:xfrm>
                    <a:off x="0" y="0"/>
                    <a:ext cx="1924050" cy="856004"/>
                  </a:xfrm>
                  <a:prstGeom prst="rect">
                    <a:avLst/>
                  </a:prstGeom>
                </pic:spPr>
              </pic:pic>
            </a:graphicData>
          </a:graphic>
          <wp14:sizeRelH relativeFrom="margin">
            <wp14:pctWidth>0</wp14:pctWidth>
          </wp14:sizeRelH>
          <wp14:sizeRelV relativeFrom="margin">
            <wp14:pctHeight>0</wp14:pctHeight>
          </wp14:sizeRelV>
        </wp:anchor>
      </w:drawing>
    </w:r>
    <w:r w:rsidR="00E90F6B">
      <w:rPr>
        <w:rFonts w:ascii="Geomanist Bold" w:hAnsi="Geomanist Bold"/>
        <w:b/>
        <w:bCs/>
        <w:noProof/>
        <w:color w:val="002060"/>
        <w:sz w:val="24"/>
        <w:szCs w:val="24"/>
      </w:rPr>
      <w:drawing>
        <wp:anchor distT="0" distB="0" distL="114300" distR="114300" simplePos="0" relativeHeight="251658240" behindDoc="0" locked="0" layoutInCell="1" allowOverlap="1" wp14:anchorId="4F745D08" wp14:editId="02405FCC">
          <wp:simplePos x="0" y="0"/>
          <wp:positionH relativeFrom="margin">
            <wp:posOffset>8420100</wp:posOffset>
          </wp:positionH>
          <wp:positionV relativeFrom="margin">
            <wp:posOffset>-1377950</wp:posOffset>
          </wp:positionV>
          <wp:extent cx="665480" cy="3098800"/>
          <wp:effectExtent l="0" t="0" r="0" b="0"/>
          <wp:wrapThrough wrapText="bothSides">
            <wp:wrapPolygon edited="0">
              <wp:start x="6183" y="0"/>
              <wp:lineTo x="0" y="1416"/>
              <wp:lineTo x="5359" y="2833"/>
              <wp:lineTo x="2061" y="4249"/>
              <wp:lineTo x="412" y="4780"/>
              <wp:lineTo x="824" y="5134"/>
              <wp:lineTo x="3298" y="5666"/>
              <wp:lineTo x="4534" y="7082"/>
              <wp:lineTo x="412" y="7967"/>
              <wp:lineTo x="0" y="8233"/>
              <wp:lineTo x="5771" y="9915"/>
              <wp:lineTo x="0" y="11508"/>
              <wp:lineTo x="0" y="11685"/>
              <wp:lineTo x="4122" y="12748"/>
              <wp:lineTo x="2061" y="14164"/>
              <wp:lineTo x="0" y="14872"/>
              <wp:lineTo x="0" y="15049"/>
              <wp:lineTo x="2061" y="15580"/>
              <wp:lineTo x="4534" y="16997"/>
              <wp:lineTo x="0" y="18059"/>
              <wp:lineTo x="0" y="18413"/>
              <wp:lineTo x="10718" y="21246"/>
              <wp:lineTo x="12366" y="21511"/>
              <wp:lineTo x="14427" y="21511"/>
              <wp:lineTo x="14840" y="21511"/>
              <wp:lineTo x="17313" y="20980"/>
              <wp:lineTo x="20611" y="20007"/>
              <wp:lineTo x="20198" y="19830"/>
              <wp:lineTo x="13603" y="18413"/>
              <wp:lineTo x="21023" y="16643"/>
              <wp:lineTo x="16489" y="15580"/>
              <wp:lineTo x="17313" y="14164"/>
              <wp:lineTo x="21023" y="13279"/>
              <wp:lineTo x="18962" y="12748"/>
              <wp:lineTo x="15664" y="11331"/>
              <wp:lineTo x="21023" y="10003"/>
              <wp:lineTo x="21023" y="9826"/>
              <wp:lineTo x="18137" y="9207"/>
              <wp:lineTo x="15664" y="8498"/>
              <wp:lineTo x="19374" y="7082"/>
              <wp:lineTo x="21023" y="6639"/>
              <wp:lineTo x="21023" y="6374"/>
              <wp:lineTo x="18137" y="5666"/>
              <wp:lineTo x="16901" y="4249"/>
              <wp:lineTo x="21023" y="3275"/>
              <wp:lineTo x="21023" y="3098"/>
              <wp:lineTo x="20611" y="2833"/>
              <wp:lineTo x="8244" y="0"/>
              <wp:lineTo x="6183" y="0"/>
            </wp:wrapPolygon>
          </wp:wrapThrough>
          <wp:docPr id="962149914" name="Imagen 9621499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7974706" name="Imagen 1987974706"/>
                  <pic:cNvPicPr/>
                </pic:nvPicPr>
                <pic:blipFill>
                  <a:blip r:embed="rId2" cstate="print">
                    <a:extLst>
                      <a:ext uri="{28A0092B-C50C-407E-A947-70E740481C1C}">
                        <a14:useLocalDpi xmlns:a14="http://schemas.microsoft.com/office/drawing/2010/main" val="0"/>
                      </a:ext>
                    </a:extLst>
                  </a:blip>
                  <a:stretch>
                    <a:fillRect/>
                  </a:stretch>
                </pic:blipFill>
                <pic:spPr>
                  <a:xfrm>
                    <a:off x="0" y="0"/>
                    <a:ext cx="665480" cy="3098800"/>
                  </a:xfrm>
                  <a:prstGeom prst="rect">
                    <a:avLst/>
                  </a:prstGeom>
                </pic:spPr>
              </pic:pic>
            </a:graphicData>
          </a:graphic>
          <wp14:sizeRelH relativeFrom="margin">
            <wp14:pctWidth>0</wp14:pctWidth>
          </wp14:sizeRelH>
          <wp14:sizeRelV relativeFrom="margin">
            <wp14:pctHeight>0</wp14:pctHeight>
          </wp14:sizeRelV>
        </wp:anchor>
      </w:drawing>
    </w:r>
  </w:p>
  <w:p w14:paraId="1BE2B9AE" w14:textId="4B94DB3B" w:rsidR="00756841" w:rsidRDefault="00756841">
    <w:pPr>
      <w:pStyle w:val="Encabezado"/>
    </w:pPr>
  </w:p>
  <w:p w14:paraId="3079FC11" w14:textId="77777777" w:rsidR="00DC39FC" w:rsidRDefault="00DC39FC" w:rsidP="004A305D">
    <w:pPr>
      <w:spacing w:after="0"/>
      <w:rPr>
        <w:rFonts w:ascii="Verdana" w:hAnsi="Verdana"/>
        <w:b/>
        <w:bCs/>
      </w:rPr>
    </w:pPr>
  </w:p>
  <w:p w14:paraId="7FE1230C" w14:textId="77E53D9F" w:rsidR="004A305D" w:rsidRPr="00DC39FC" w:rsidRDefault="004A305D" w:rsidP="004A305D">
    <w:pPr>
      <w:spacing w:after="0"/>
      <w:rPr>
        <w:rFonts w:ascii="Verdana" w:hAnsi="Verdana"/>
        <w:b/>
        <w:bCs/>
      </w:rPr>
    </w:pPr>
    <w:r w:rsidRPr="00DC39FC">
      <w:rPr>
        <w:rFonts w:ascii="Verdana" w:hAnsi="Verdana"/>
        <w:b/>
        <w:bCs/>
      </w:rPr>
      <w:t>FORMATO PQRSD</w:t>
    </w:r>
  </w:p>
  <w:p w14:paraId="5E18350A" w14:textId="705F7B76" w:rsidR="004A305D" w:rsidRPr="004A305D" w:rsidRDefault="004A305D" w:rsidP="00B01B1A">
    <w:pPr>
      <w:spacing w:after="0" w:line="120" w:lineRule="auto"/>
      <w:rPr>
        <w:rFonts w:ascii="Century Gothic" w:eastAsia="Geo" w:hAnsi="Century Gothic" w:cs="Geo"/>
        <w:sz w:val="16"/>
        <w:szCs w:val="16"/>
        <w:lang w:eastAsia="es-CO"/>
      </w:rPr>
    </w:pPr>
  </w:p>
  <w:p w14:paraId="1FD1C243" w14:textId="6D74A3CF" w:rsidR="008A446D" w:rsidRDefault="008A446D" w:rsidP="00061B2A">
    <w:pPr>
      <w:pStyle w:val="Encabezado"/>
      <w:spacing w:line="120" w:lineRule="aut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mc:AlternateContent>
      <mc:Choice Requires="v">
        <w:pict>
          <v:shapetype w14:anchorId="4A84CF34"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n 1611601763" o:spid="_x0000_i1025" type="#_x0000_t75" style="width:11.25pt;height:11.25pt;visibility:visible;mso-wrap-style:square">
            <v:imagedata r:id="rId1" o:title=""/>
          </v:shape>
        </w:pict>
      </mc:Choice>
      <mc:Fallback>
        <w:drawing>
          <wp:inline distT="0" distB="0" distL="0" distR="0" wp14:anchorId="2E461F5E" wp14:editId="2E461F5F">
            <wp:extent cx="142875" cy="142875"/>
            <wp:effectExtent l="0" t="0" r="0" b="0"/>
            <wp:docPr id="1611601763" name="Imagen 16116017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23"/>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42875" cy="142875"/>
                    </a:xfrm>
                    <a:prstGeom prst="rect">
                      <a:avLst/>
                    </a:prstGeom>
                    <a:noFill/>
                    <a:ln>
                      <a:noFill/>
                    </a:ln>
                  </pic:spPr>
                </pic:pic>
              </a:graphicData>
            </a:graphic>
          </wp:inline>
        </w:drawing>
      </mc:Fallback>
    </mc:AlternateContent>
  </w:numPicBullet>
  <w:abstractNum w:abstractNumId="0" w15:restartNumberingAfterBreak="0">
    <w:nsid w:val="01C06310"/>
    <w:multiLevelType w:val="multilevel"/>
    <w:tmpl w:val="25FEEF8E"/>
    <w:lvl w:ilvl="0">
      <w:start w:val="1"/>
      <w:numFmt w:val="decimal"/>
      <w:lvlText w:val="%1."/>
      <w:lvlJc w:val="left"/>
      <w:pPr>
        <w:ind w:left="6601" w:hanging="360"/>
      </w:pPr>
      <w:rPr>
        <w:b/>
        <w:color w:val="000000" w:themeColor="text1"/>
      </w:rPr>
    </w:lvl>
    <w:lvl w:ilvl="1">
      <w:start w:val="2"/>
      <w:numFmt w:val="decimal"/>
      <w:isLgl/>
      <w:lvlText w:val="%1.%2"/>
      <w:lvlJc w:val="left"/>
      <w:pPr>
        <w:ind w:left="6241" w:hanging="360"/>
      </w:pPr>
    </w:lvl>
    <w:lvl w:ilvl="2">
      <w:start w:val="1"/>
      <w:numFmt w:val="decimal"/>
      <w:isLgl/>
      <w:lvlText w:val="%1.%2.%3"/>
      <w:lvlJc w:val="left"/>
      <w:pPr>
        <w:ind w:left="6961" w:hanging="720"/>
      </w:pPr>
    </w:lvl>
    <w:lvl w:ilvl="3">
      <w:start w:val="1"/>
      <w:numFmt w:val="decimal"/>
      <w:isLgl/>
      <w:lvlText w:val="%1.%2.%3.%4"/>
      <w:lvlJc w:val="left"/>
      <w:pPr>
        <w:ind w:left="6961" w:hanging="720"/>
      </w:pPr>
    </w:lvl>
    <w:lvl w:ilvl="4">
      <w:start w:val="1"/>
      <w:numFmt w:val="decimal"/>
      <w:isLgl/>
      <w:lvlText w:val="%1.%2.%3.%4.%5"/>
      <w:lvlJc w:val="left"/>
      <w:pPr>
        <w:ind w:left="7321" w:hanging="1080"/>
      </w:pPr>
    </w:lvl>
    <w:lvl w:ilvl="5">
      <w:start w:val="1"/>
      <w:numFmt w:val="decimal"/>
      <w:isLgl/>
      <w:lvlText w:val="%1.%2.%3.%4.%5.%6"/>
      <w:lvlJc w:val="left"/>
      <w:pPr>
        <w:ind w:left="7321" w:hanging="1080"/>
      </w:pPr>
    </w:lvl>
    <w:lvl w:ilvl="6">
      <w:start w:val="1"/>
      <w:numFmt w:val="decimal"/>
      <w:isLgl/>
      <w:lvlText w:val="%1.%2.%3.%4.%5.%6.%7"/>
      <w:lvlJc w:val="left"/>
      <w:pPr>
        <w:ind w:left="7681" w:hanging="1440"/>
      </w:pPr>
    </w:lvl>
    <w:lvl w:ilvl="7">
      <w:start w:val="1"/>
      <w:numFmt w:val="decimal"/>
      <w:isLgl/>
      <w:lvlText w:val="%1.%2.%3.%4.%5.%6.%7.%8"/>
      <w:lvlJc w:val="left"/>
      <w:pPr>
        <w:ind w:left="7681" w:hanging="1440"/>
      </w:pPr>
    </w:lvl>
    <w:lvl w:ilvl="8">
      <w:start w:val="1"/>
      <w:numFmt w:val="decimal"/>
      <w:isLgl/>
      <w:lvlText w:val="%1.%2.%3.%4.%5.%6.%7.%8.%9"/>
      <w:lvlJc w:val="left"/>
      <w:pPr>
        <w:ind w:left="8041" w:hanging="1800"/>
      </w:pPr>
    </w:lvl>
  </w:abstractNum>
  <w:abstractNum w:abstractNumId="1" w15:restartNumberingAfterBreak="0">
    <w:nsid w:val="0337782A"/>
    <w:multiLevelType w:val="multilevel"/>
    <w:tmpl w:val="90D242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06D30BDC"/>
    <w:multiLevelType w:val="hybridMultilevel"/>
    <w:tmpl w:val="734ED3EC"/>
    <w:lvl w:ilvl="0" w:tplc="834431CA">
      <w:numFmt w:val="bullet"/>
      <w:lvlText w:val="-"/>
      <w:lvlJc w:val="left"/>
      <w:pPr>
        <w:ind w:left="1080" w:hanging="360"/>
      </w:pPr>
      <w:rPr>
        <w:rFonts w:ascii="Arial" w:eastAsia="Times New Roman" w:hAnsi="Arial" w:cs="Arial" w:hint="default"/>
        <w:b/>
      </w:rPr>
    </w:lvl>
    <w:lvl w:ilvl="1" w:tplc="0C0A0003" w:tentative="1">
      <w:start w:val="1"/>
      <w:numFmt w:val="bullet"/>
      <w:lvlText w:val="o"/>
      <w:lvlJc w:val="left"/>
      <w:pPr>
        <w:ind w:left="1800" w:hanging="360"/>
      </w:pPr>
      <w:rPr>
        <w:rFonts w:ascii="Courier New" w:hAnsi="Courier New" w:cs="Courier New" w:hint="default"/>
      </w:rPr>
    </w:lvl>
    <w:lvl w:ilvl="2" w:tplc="0C0A0005" w:tentative="1">
      <w:start w:val="1"/>
      <w:numFmt w:val="bullet"/>
      <w:lvlText w:val=""/>
      <w:lvlJc w:val="left"/>
      <w:pPr>
        <w:ind w:left="2520" w:hanging="360"/>
      </w:pPr>
      <w:rPr>
        <w:rFonts w:ascii="Wingdings" w:hAnsi="Wingdings" w:hint="default"/>
      </w:rPr>
    </w:lvl>
    <w:lvl w:ilvl="3" w:tplc="0C0A0001" w:tentative="1">
      <w:start w:val="1"/>
      <w:numFmt w:val="bullet"/>
      <w:lvlText w:val=""/>
      <w:lvlJc w:val="left"/>
      <w:pPr>
        <w:ind w:left="3240" w:hanging="360"/>
      </w:pPr>
      <w:rPr>
        <w:rFonts w:ascii="Symbol" w:hAnsi="Symbol" w:hint="default"/>
      </w:rPr>
    </w:lvl>
    <w:lvl w:ilvl="4" w:tplc="0C0A0003" w:tentative="1">
      <w:start w:val="1"/>
      <w:numFmt w:val="bullet"/>
      <w:lvlText w:val="o"/>
      <w:lvlJc w:val="left"/>
      <w:pPr>
        <w:ind w:left="3960" w:hanging="360"/>
      </w:pPr>
      <w:rPr>
        <w:rFonts w:ascii="Courier New" w:hAnsi="Courier New" w:cs="Courier New" w:hint="default"/>
      </w:rPr>
    </w:lvl>
    <w:lvl w:ilvl="5" w:tplc="0C0A0005" w:tentative="1">
      <w:start w:val="1"/>
      <w:numFmt w:val="bullet"/>
      <w:lvlText w:val=""/>
      <w:lvlJc w:val="left"/>
      <w:pPr>
        <w:ind w:left="4680" w:hanging="360"/>
      </w:pPr>
      <w:rPr>
        <w:rFonts w:ascii="Wingdings" w:hAnsi="Wingdings" w:hint="default"/>
      </w:rPr>
    </w:lvl>
    <w:lvl w:ilvl="6" w:tplc="0C0A0001" w:tentative="1">
      <w:start w:val="1"/>
      <w:numFmt w:val="bullet"/>
      <w:lvlText w:val=""/>
      <w:lvlJc w:val="left"/>
      <w:pPr>
        <w:ind w:left="5400" w:hanging="360"/>
      </w:pPr>
      <w:rPr>
        <w:rFonts w:ascii="Symbol" w:hAnsi="Symbol" w:hint="default"/>
      </w:rPr>
    </w:lvl>
    <w:lvl w:ilvl="7" w:tplc="0C0A0003" w:tentative="1">
      <w:start w:val="1"/>
      <w:numFmt w:val="bullet"/>
      <w:lvlText w:val="o"/>
      <w:lvlJc w:val="left"/>
      <w:pPr>
        <w:ind w:left="6120" w:hanging="360"/>
      </w:pPr>
      <w:rPr>
        <w:rFonts w:ascii="Courier New" w:hAnsi="Courier New" w:cs="Courier New" w:hint="default"/>
      </w:rPr>
    </w:lvl>
    <w:lvl w:ilvl="8" w:tplc="0C0A0005" w:tentative="1">
      <w:start w:val="1"/>
      <w:numFmt w:val="bullet"/>
      <w:lvlText w:val=""/>
      <w:lvlJc w:val="left"/>
      <w:pPr>
        <w:ind w:left="6840" w:hanging="360"/>
      </w:pPr>
      <w:rPr>
        <w:rFonts w:ascii="Wingdings" w:hAnsi="Wingdings" w:hint="default"/>
      </w:rPr>
    </w:lvl>
  </w:abstractNum>
  <w:abstractNum w:abstractNumId="3" w15:restartNumberingAfterBreak="0">
    <w:nsid w:val="25352E86"/>
    <w:multiLevelType w:val="multilevel"/>
    <w:tmpl w:val="E81277DA"/>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31280020"/>
    <w:multiLevelType w:val="hybridMultilevel"/>
    <w:tmpl w:val="DA8CAD24"/>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5" w15:restartNumberingAfterBreak="0">
    <w:nsid w:val="320B0C74"/>
    <w:multiLevelType w:val="multilevel"/>
    <w:tmpl w:val="FCE0A7DE"/>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33614460"/>
    <w:multiLevelType w:val="hybridMultilevel"/>
    <w:tmpl w:val="7FC88522"/>
    <w:lvl w:ilvl="0" w:tplc="A22AAB2E">
      <w:start w:val="1"/>
      <w:numFmt w:val="decimal"/>
      <w:lvlText w:val="%1)"/>
      <w:lvlJc w:val="left"/>
      <w:pPr>
        <w:ind w:left="720" w:hanging="360"/>
      </w:pPr>
      <w:rPr>
        <w:rFonts w:hint="default"/>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7" w15:restartNumberingAfterBreak="0">
    <w:nsid w:val="370F0516"/>
    <w:multiLevelType w:val="multilevel"/>
    <w:tmpl w:val="BAD28BB2"/>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37D933EA"/>
    <w:multiLevelType w:val="multilevel"/>
    <w:tmpl w:val="8BFCD550"/>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39D726F5"/>
    <w:multiLevelType w:val="hybridMultilevel"/>
    <w:tmpl w:val="7BDC1A10"/>
    <w:lvl w:ilvl="0" w:tplc="040A0001">
      <w:start w:val="1"/>
      <w:numFmt w:val="bullet"/>
      <w:lvlText w:val=""/>
      <w:lvlJc w:val="left"/>
      <w:pPr>
        <w:ind w:left="720" w:hanging="360"/>
      </w:pPr>
      <w:rPr>
        <w:rFonts w:ascii="Symbol" w:hAnsi="Symbol" w:hint="default"/>
      </w:rPr>
    </w:lvl>
    <w:lvl w:ilvl="1" w:tplc="040A0003" w:tentative="1">
      <w:start w:val="1"/>
      <w:numFmt w:val="bullet"/>
      <w:lvlText w:val="o"/>
      <w:lvlJc w:val="left"/>
      <w:pPr>
        <w:ind w:left="1440" w:hanging="360"/>
      </w:pPr>
      <w:rPr>
        <w:rFonts w:ascii="Courier New" w:hAnsi="Courier New" w:cs="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cs="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cs="Courier New" w:hint="default"/>
      </w:rPr>
    </w:lvl>
    <w:lvl w:ilvl="8" w:tplc="040A0005" w:tentative="1">
      <w:start w:val="1"/>
      <w:numFmt w:val="bullet"/>
      <w:lvlText w:val=""/>
      <w:lvlJc w:val="left"/>
      <w:pPr>
        <w:ind w:left="6480" w:hanging="360"/>
      </w:pPr>
      <w:rPr>
        <w:rFonts w:ascii="Wingdings" w:hAnsi="Wingdings" w:hint="default"/>
      </w:rPr>
    </w:lvl>
  </w:abstractNum>
  <w:abstractNum w:abstractNumId="10" w15:restartNumberingAfterBreak="0">
    <w:nsid w:val="636C03B0"/>
    <w:multiLevelType w:val="hybridMultilevel"/>
    <w:tmpl w:val="87183FAA"/>
    <w:lvl w:ilvl="0" w:tplc="240A0007">
      <w:start w:val="1"/>
      <w:numFmt w:val="bullet"/>
      <w:lvlText w:val=""/>
      <w:lvlPicBulletId w:val="0"/>
      <w:lvlJc w:val="left"/>
      <w:pPr>
        <w:ind w:left="785" w:hanging="360"/>
      </w:pPr>
      <w:rPr>
        <w:rFonts w:ascii="Symbol" w:hAnsi="Symbol" w:hint="default"/>
      </w:rPr>
    </w:lvl>
    <w:lvl w:ilvl="1" w:tplc="240A0003" w:tentative="1">
      <w:start w:val="1"/>
      <w:numFmt w:val="bullet"/>
      <w:lvlText w:val="o"/>
      <w:lvlJc w:val="left"/>
      <w:pPr>
        <w:ind w:left="1505" w:hanging="360"/>
      </w:pPr>
      <w:rPr>
        <w:rFonts w:ascii="Courier New" w:hAnsi="Courier New" w:cs="Courier New" w:hint="default"/>
      </w:rPr>
    </w:lvl>
    <w:lvl w:ilvl="2" w:tplc="240A0005" w:tentative="1">
      <w:start w:val="1"/>
      <w:numFmt w:val="bullet"/>
      <w:lvlText w:val=""/>
      <w:lvlJc w:val="left"/>
      <w:pPr>
        <w:ind w:left="2225" w:hanging="360"/>
      </w:pPr>
      <w:rPr>
        <w:rFonts w:ascii="Wingdings" w:hAnsi="Wingdings" w:hint="default"/>
      </w:rPr>
    </w:lvl>
    <w:lvl w:ilvl="3" w:tplc="240A0001" w:tentative="1">
      <w:start w:val="1"/>
      <w:numFmt w:val="bullet"/>
      <w:lvlText w:val=""/>
      <w:lvlJc w:val="left"/>
      <w:pPr>
        <w:ind w:left="2945" w:hanging="360"/>
      </w:pPr>
      <w:rPr>
        <w:rFonts w:ascii="Symbol" w:hAnsi="Symbol" w:hint="default"/>
      </w:rPr>
    </w:lvl>
    <w:lvl w:ilvl="4" w:tplc="240A0003" w:tentative="1">
      <w:start w:val="1"/>
      <w:numFmt w:val="bullet"/>
      <w:lvlText w:val="o"/>
      <w:lvlJc w:val="left"/>
      <w:pPr>
        <w:ind w:left="3665" w:hanging="360"/>
      </w:pPr>
      <w:rPr>
        <w:rFonts w:ascii="Courier New" w:hAnsi="Courier New" w:cs="Courier New" w:hint="default"/>
      </w:rPr>
    </w:lvl>
    <w:lvl w:ilvl="5" w:tplc="240A0005" w:tentative="1">
      <w:start w:val="1"/>
      <w:numFmt w:val="bullet"/>
      <w:lvlText w:val=""/>
      <w:lvlJc w:val="left"/>
      <w:pPr>
        <w:ind w:left="4385" w:hanging="360"/>
      </w:pPr>
      <w:rPr>
        <w:rFonts w:ascii="Wingdings" w:hAnsi="Wingdings" w:hint="default"/>
      </w:rPr>
    </w:lvl>
    <w:lvl w:ilvl="6" w:tplc="240A0001" w:tentative="1">
      <w:start w:val="1"/>
      <w:numFmt w:val="bullet"/>
      <w:lvlText w:val=""/>
      <w:lvlJc w:val="left"/>
      <w:pPr>
        <w:ind w:left="5105" w:hanging="360"/>
      </w:pPr>
      <w:rPr>
        <w:rFonts w:ascii="Symbol" w:hAnsi="Symbol" w:hint="default"/>
      </w:rPr>
    </w:lvl>
    <w:lvl w:ilvl="7" w:tplc="240A0003" w:tentative="1">
      <w:start w:val="1"/>
      <w:numFmt w:val="bullet"/>
      <w:lvlText w:val="o"/>
      <w:lvlJc w:val="left"/>
      <w:pPr>
        <w:ind w:left="5825" w:hanging="360"/>
      </w:pPr>
      <w:rPr>
        <w:rFonts w:ascii="Courier New" w:hAnsi="Courier New" w:cs="Courier New" w:hint="default"/>
      </w:rPr>
    </w:lvl>
    <w:lvl w:ilvl="8" w:tplc="240A0005" w:tentative="1">
      <w:start w:val="1"/>
      <w:numFmt w:val="bullet"/>
      <w:lvlText w:val=""/>
      <w:lvlJc w:val="left"/>
      <w:pPr>
        <w:ind w:left="6545" w:hanging="360"/>
      </w:pPr>
      <w:rPr>
        <w:rFonts w:ascii="Wingdings" w:hAnsi="Wingdings" w:hint="default"/>
      </w:rPr>
    </w:lvl>
  </w:abstractNum>
  <w:abstractNum w:abstractNumId="11" w15:restartNumberingAfterBreak="0">
    <w:nsid w:val="6BF97060"/>
    <w:multiLevelType w:val="multilevel"/>
    <w:tmpl w:val="B3E004E0"/>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6C3C082A"/>
    <w:multiLevelType w:val="multilevel"/>
    <w:tmpl w:val="A80420EA"/>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6F4922CE"/>
    <w:multiLevelType w:val="multilevel"/>
    <w:tmpl w:val="E5E6373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6FB367B7"/>
    <w:multiLevelType w:val="multilevel"/>
    <w:tmpl w:val="4E0EF642"/>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948779781">
    <w:abstractNumId w:val="6"/>
  </w:num>
  <w:num w:numId="2" w16cid:durableId="19822139">
    <w:abstractNumId w:val="2"/>
  </w:num>
  <w:num w:numId="3" w16cid:durableId="876742304">
    <w:abstractNumId w:val="4"/>
  </w:num>
  <w:num w:numId="4" w16cid:durableId="245186406">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2049721115">
    <w:abstractNumId w:val="2"/>
  </w:num>
  <w:num w:numId="6" w16cid:durableId="316692925">
    <w:abstractNumId w:val="13"/>
  </w:num>
  <w:num w:numId="7" w16cid:durableId="1946422806">
    <w:abstractNumId w:val="5"/>
  </w:num>
  <w:num w:numId="8" w16cid:durableId="152644682">
    <w:abstractNumId w:val="12"/>
  </w:num>
  <w:num w:numId="9" w16cid:durableId="1317221377">
    <w:abstractNumId w:val="7"/>
  </w:num>
  <w:num w:numId="10" w16cid:durableId="1471245386">
    <w:abstractNumId w:val="11"/>
  </w:num>
  <w:num w:numId="11" w16cid:durableId="289172385">
    <w:abstractNumId w:val="8"/>
  </w:num>
  <w:num w:numId="12" w16cid:durableId="1470781324">
    <w:abstractNumId w:val="1"/>
  </w:num>
  <w:num w:numId="13" w16cid:durableId="1512908409">
    <w:abstractNumId w:val="3"/>
  </w:num>
  <w:num w:numId="14" w16cid:durableId="895897244">
    <w:abstractNumId w:val="14"/>
  </w:num>
  <w:num w:numId="15" w16cid:durableId="390349800">
    <w:abstractNumId w:val="10"/>
  </w:num>
  <w:num w:numId="16" w16cid:durableId="341274352">
    <w:abstractNumId w:val="0"/>
  </w:num>
  <w:num w:numId="17" w16cid:durableId="679089576">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9"/>
  <w:proofState w:spelling="clean" w:grammar="clean"/>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A1847"/>
    <w:rsid w:val="00003012"/>
    <w:rsid w:val="00011788"/>
    <w:rsid w:val="00016F78"/>
    <w:rsid w:val="00046945"/>
    <w:rsid w:val="00061B2A"/>
    <w:rsid w:val="00082362"/>
    <w:rsid w:val="000A683E"/>
    <w:rsid w:val="000B19B9"/>
    <w:rsid w:val="000D0334"/>
    <w:rsid w:val="000E3D58"/>
    <w:rsid w:val="000F6486"/>
    <w:rsid w:val="00104C0A"/>
    <w:rsid w:val="00125105"/>
    <w:rsid w:val="00127233"/>
    <w:rsid w:val="001511A0"/>
    <w:rsid w:val="001A23E6"/>
    <w:rsid w:val="001D49C2"/>
    <w:rsid w:val="001E4177"/>
    <w:rsid w:val="001F7DC6"/>
    <w:rsid w:val="002421BB"/>
    <w:rsid w:val="0025796E"/>
    <w:rsid w:val="002707A2"/>
    <w:rsid w:val="00280A5A"/>
    <w:rsid w:val="002951A0"/>
    <w:rsid w:val="002962BC"/>
    <w:rsid w:val="002A093D"/>
    <w:rsid w:val="002A0DD0"/>
    <w:rsid w:val="002A49AC"/>
    <w:rsid w:val="002A64FD"/>
    <w:rsid w:val="002C7A84"/>
    <w:rsid w:val="002E4FD9"/>
    <w:rsid w:val="00322A85"/>
    <w:rsid w:val="00324168"/>
    <w:rsid w:val="003348B2"/>
    <w:rsid w:val="003448F4"/>
    <w:rsid w:val="00374F5E"/>
    <w:rsid w:val="00377E3E"/>
    <w:rsid w:val="003A779E"/>
    <w:rsid w:val="003D0F4D"/>
    <w:rsid w:val="003D5B0D"/>
    <w:rsid w:val="003E0499"/>
    <w:rsid w:val="003F3941"/>
    <w:rsid w:val="00406575"/>
    <w:rsid w:val="00414C74"/>
    <w:rsid w:val="0042722E"/>
    <w:rsid w:val="0044528D"/>
    <w:rsid w:val="004A1847"/>
    <w:rsid w:val="004A305D"/>
    <w:rsid w:val="004D35A6"/>
    <w:rsid w:val="004F21C4"/>
    <w:rsid w:val="004F685F"/>
    <w:rsid w:val="00533F13"/>
    <w:rsid w:val="005357C0"/>
    <w:rsid w:val="005566E8"/>
    <w:rsid w:val="00574867"/>
    <w:rsid w:val="00591460"/>
    <w:rsid w:val="005B3816"/>
    <w:rsid w:val="005C3777"/>
    <w:rsid w:val="005C5CDC"/>
    <w:rsid w:val="005D476C"/>
    <w:rsid w:val="006219F8"/>
    <w:rsid w:val="00665D70"/>
    <w:rsid w:val="006773CD"/>
    <w:rsid w:val="006900D9"/>
    <w:rsid w:val="00706C16"/>
    <w:rsid w:val="00756841"/>
    <w:rsid w:val="007649AB"/>
    <w:rsid w:val="00771D0C"/>
    <w:rsid w:val="007833AC"/>
    <w:rsid w:val="007B268C"/>
    <w:rsid w:val="007B7171"/>
    <w:rsid w:val="007C0C0F"/>
    <w:rsid w:val="007C3DC2"/>
    <w:rsid w:val="007E5497"/>
    <w:rsid w:val="00806F5F"/>
    <w:rsid w:val="00820278"/>
    <w:rsid w:val="00827C34"/>
    <w:rsid w:val="0086588D"/>
    <w:rsid w:val="008668BA"/>
    <w:rsid w:val="00867F95"/>
    <w:rsid w:val="008843B6"/>
    <w:rsid w:val="00891928"/>
    <w:rsid w:val="008A446D"/>
    <w:rsid w:val="008C321B"/>
    <w:rsid w:val="008D180B"/>
    <w:rsid w:val="008F0EA7"/>
    <w:rsid w:val="00912634"/>
    <w:rsid w:val="00923EEF"/>
    <w:rsid w:val="0093659D"/>
    <w:rsid w:val="009419F9"/>
    <w:rsid w:val="0095685E"/>
    <w:rsid w:val="00961B09"/>
    <w:rsid w:val="00965334"/>
    <w:rsid w:val="0097093E"/>
    <w:rsid w:val="00986AC5"/>
    <w:rsid w:val="009A0DFA"/>
    <w:rsid w:val="009B2D26"/>
    <w:rsid w:val="009C71FA"/>
    <w:rsid w:val="009C72E7"/>
    <w:rsid w:val="009D3058"/>
    <w:rsid w:val="009F3A13"/>
    <w:rsid w:val="00A122D3"/>
    <w:rsid w:val="00A17F13"/>
    <w:rsid w:val="00A20739"/>
    <w:rsid w:val="00A33C78"/>
    <w:rsid w:val="00AB0ADB"/>
    <w:rsid w:val="00B01B1A"/>
    <w:rsid w:val="00B66319"/>
    <w:rsid w:val="00B72CD3"/>
    <w:rsid w:val="00B72FFF"/>
    <w:rsid w:val="00BB6044"/>
    <w:rsid w:val="00BC3D36"/>
    <w:rsid w:val="00BD7F72"/>
    <w:rsid w:val="00BF027C"/>
    <w:rsid w:val="00C04FB3"/>
    <w:rsid w:val="00C330EB"/>
    <w:rsid w:val="00C41061"/>
    <w:rsid w:val="00C754BE"/>
    <w:rsid w:val="00C76B1C"/>
    <w:rsid w:val="00CB6357"/>
    <w:rsid w:val="00CC1B26"/>
    <w:rsid w:val="00D423A2"/>
    <w:rsid w:val="00D520D8"/>
    <w:rsid w:val="00D63AC2"/>
    <w:rsid w:val="00D7383B"/>
    <w:rsid w:val="00DA231B"/>
    <w:rsid w:val="00DC39FC"/>
    <w:rsid w:val="00DF5254"/>
    <w:rsid w:val="00E16408"/>
    <w:rsid w:val="00E20894"/>
    <w:rsid w:val="00E245AB"/>
    <w:rsid w:val="00E2764C"/>
    <w:rsid w:val="00E27F2E"/>
    <w:rsid w:val="00E50AFE"/>
    <w:rsid w:val="00E75C92"/>
    <w:rsid w:val="00E771DC"/>
    <w:rsid w:val="00E8101A"/>
    <w:rsid w:val="00E8772A"/>
    <w:rsid w:val="00E90F6B"/>
    <w:rsid w:val="00E92C27"/>
    <w:rsid w:val="00EA0E3D"/>
    <w:rsid w:val="00EC3181"/>
    <w:rsid w:val="00EC38A7"/>
    <w:rsid w:val="00ED7384"/>
    <w:rsid w:val="00EE1AA8"/>
    <w:rsid w:val="00F31EDC"/>
    <w:rsid w:val="00F462B3"/>
    <w:rsid w:val="00F5664F"/>
    <w:rsid w:val="00F666C4"/>
    <w:rsid w:val="00F76AFC"/>
    <w:rsid w:val="00FA47C0"/>
    <w:rsid w:val="00FB5DD1"/>
    <w:rsid w:val="00FC2A46"/>
    <w:rsid w:val="00FC2B5D"/>
    <w:rsid w:val="00FD10A7"/>
    <w:rsid w:val="00FE4799"/>
    <w:rsid w:val="00FF1449"/>
    <w:rsid w:val="307823CB"/>
    <w:rsid w:val="402DCF4E"/>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79607BD"/>
  <w15:chartTrackingRefBased/>
  <w15:docId w15:val="{AA18BD11-F4B5-4A67-BA3F-63EFCCB41A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245AB"/>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4A1847"/>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4A1847"/>
  </w:style>
  <w:style w:type="paragraph" w:styleId="Piedepgina">
    <w:name w:val="footer"/>
    <w:basedOn w:val="Normal"/>
    <w:link w:val="PiedepginaCar"/>
    <w:uiPriority w:val="99"/>
    <w:unhideWhenUsed/>
    <w:rsid w:val="004A1847"/>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4A1847"/>
  </w:style>
  <w:style w:type="paragraph" w:customStyle="1" w:styleId="Default">
    <w:name w:val="Default"/>
    <w:rsid w:val="006219F8"/>
    <w:pPr>
      <w:autoSpaceDE w:val="0"/>
      <w:autoSpaceDN w:val="0"/>
      <w:adjustRightInd w:val="0"/>
      <w:spacing w:after="0" w:line="240" w:lineRule="auto"/>
    </w:pPr>
    <w:rPr>
      <w:rFonts w:ascii="Arial" w:hAnsi="Arial" w:cs="Arial"/>
      <w:color w:val="000000"/>
      <w:sz w:val="24"/>
      <w:szCs w:val="24"/>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6219F8"/>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fn"/>
    <w:basedOn w:val="Normal"/>
    <w:link w:val="TextonotapieCar"/>
    <w:uiPriority w:val="99"/>
    <w:unhideWhenUsed/>
    <w:qFormat/>
    <w:rsid w:val="006219F8"/>
    <w:pPr>
      <w:spacing w:after="0" w:line="240" w:lineRule="auto"/>
    </w:pPr>
    <w:rPr>
      <w:sz w:val="20"/>
      <w:szCs w:val="20"/>
      <w:lang w:val="es-MX"/>
    </w:rPr>
  </w:style>
  <w:style w:type="character" w:customStyle="1" w:styleId="TextonotapieCar1">
    <w:name w:val="Texto nota pie Car1"/>
    <w:basedOn w:val="Fuentedeprrafopredeter"/>
    <w:uiPriority w:val="99"/>
    <w:semiHidden/>
    <w:rsid w:val="006219F8"/>
    <w:rPr>
      <w:sz w:val="20"/>
      <w:szCs w:val="20"/>
    </w:rPr>
  </w:style>
  <w:style w:type="character" w:styleId="Refdenotaalpie">
    <w:name w:val="footnote reference"/>
    <w:aliases w:val="Ref. de nota al pie 2,Ref,de nota al pie,FC,Appel note de bas de p,f,4_G,16 Point,Superscript 6 Point,Texto nota al pie,Pie de Página,Texto de nota al pi,Nota de pie,Texto de nota al p,Footnote symbol,Footnote,Ref. de nota al pie2,F"/>
    <w:basedOn w:val="Fuentedeprrafopredeter"/>
    <w:link w:val="Appelnotedebasde"/>
    <w:uiPriority w:val="99"/>
    <w:unhideWhenUsed/>
    <w:qFormat/>
    <w:rsid w:val="006219F8"/>
    <w:rPr>
      <w:vertAlign w:val="superscript"/>
    </w:rPr>
  </w:style>
  <w:style w:type="character" w:customStyle="1" w:styleId="normaltextrun">
    <w:name w:val="normaltextrun"/>
    <w:basedOn w:val="Fuentedeprrafopredeter"/>
    <w:rsid w:val="006219F8"/>
  </w:style>
  <w:style w:type="table" w:styleId="Tablaconcuadrcula">
    <w:name w:val="Table Grid"/>
    <w:basedOn w:val="Tablanormal"/>
    <w:uiPriority w:val="39"/>
    <w:qFormat/>
    <w:rsid w:val="006219F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basedOn w:val="Normal"/>
    <w:uiPriority w:val="34"/>
    <w:qFormat/>
    <w:rsid w:val="005566E8"/>
    <w:pPr>
      <w:ind w:left="720"/>
      <w:contextualSpacing/>
    </w:pPr>
    <w:rPr>
      <w:rFonts w:ascii="Geomanist Light" w:hAnsi="Geomanist Light"/>
      <w:lang w:val="es-ES"/>
    </w:rPr>
  </w:style>
  <w:style w:type="paragraph" w:styleId="Ttulo">
    <w:name w:val="Title"/>
    <w:basedOn w:val="Normal"/>
    <w:next w:val="Normal"/>
    <w:link w:val="TtuloCar"/>
    <w:uiPriority w:val="10"/>
    <w:qFormat/>
    <w:rsid w:val="005566E8"/>
    <w:pPr>
      <w:spacing w:after="0" w:line="240" w:lineRule="auto"/>
      <w:contextualSpacing/>
    </w:pPr>
    <w:rPr>
      <w:rFonts w:ascii="Geomanist" w:eastAsiaTheme="majorEastAsia" w:hAnsi="Geomanist" w:cstheme="majorBidi"/>
      <w:spacing w:val="-10"/>
      <w:kern w:val="28"/>
      <w:szCs w:val="56"/>
      <w:lang w:val="es-ES"/>
    </w:rPr>
  </w:style>
  <w:style w:type="character" w:customStyle="1" w:styleId="TtuloCar">
    <w:name w:val="Título Car"/>
    <w:basedOn w:val="Fuentedeprrafopredeter"/>
    <w:link w:val="Ttulo"/>
    <w:uiPriority w:val="10"/>
    <w:rsid w:val="005566E8"/>
    <w:rPr>
      <w:rFonts w:ascii="Geomanist" w:eastAsiaTheme="majorEastAsia" w:hAnsi="Geomanist" w:cstheme="majorBidi"/>
      <w:spacing w:val="-10"/>
      <w:kern w:val="28"/>
      <w:szCs w:val="56"/>
      <w:lang w:val="es-ES"/>
    </w:rPr>
  </w:style>
  <w:style w:type="character" w:customStyle="1" w:styleId="ui-provider">
    <w:name w:val="ui-provider"/>
    <w:basedOn w:val="Fuentedeprrafopredeter"/>
    <w:rsid w:val="00DA231B"/>
  </w:style>
  <w:style w:type="character" w:styleId="Hipervnculo">
    <w:name w:val="Hyperlink"/>
    <w:basedOn w:val="Fuentedeprrafopredeter"/>
    <w:uiPriority w:val="99"/>
    <w:unhideWhenUsed/>
    <w:rsid w:val="00125105"/>
    <w:rPr>
      <w:color w:val="0000FF"/>
      <w:u w:val="single"/>
    </w:rPr>
  </w:style>
  <w:style w:type="character" w:styleId="Hipervnculovisitado">
    <w:name w:val="FollowedHyperlink"/>
    <w:basedOn w:val="Fuentedeprrafopredeter"/>
    <w:uiPriority w:val="99"/>
    <w:semiHidden/>
    <w:unhideWhenUsed/>
    <w:rsid w:val="00125105"/>
    <w:rPr>
      <w:color w:val="954F72" w:themeColor="followedHyperlink"/>
      <w:u w:val="single"/>
    </w:rPr>
  </w:style>
  <w:style w:type="paragraph" w:customStyle="1" w:styleId="paragraph">
    <w:name w:val="paragraph"/>
    <w:basedOn w:val="Normal"/>
    <w:rsid w:val="00322A85"/>
    <w:pPr>
      <w:spacing w:before="100" w:beforeAutospacing="1" w:after="100" w:afterAutospacing="1" w:line="240" w:lineRule="auto"/>
    </w:pPr>
    <w:rPr>
      <w:rFonts w:ascii="Times New Roman" w:eastAsia="Times New Roman" w:hAnsi="Times New Roman" w:cs="Times New Roman"/>
      <w:sz w:val="24"/>
      <w:szCs w:val="24"/>
      <w:lang w:eastAsia="es-CO"/>
    </w:rPr>
  </w:style>
  <w:style w:type="character" w:customStyle="1" w:styleId="tabchar">
    <w:name w:val="tabchar"/>
    <w:basedOn w:val="Fuentedeprrafopredeter"/>
    <w:rsid w:val="00322A85"/>
  </w:style>
  <w:style w:type="character" w:customStyle="1" w:styleId="eop">
    <w:name w:val="eop"/>
    <w:basedOn w:val="Fuentedeprrafopredeter"/>
    <w:rsid w:val="00322A85"/>
  </w:style>
  <w:style w:type="character" w:styleId="Mencinsinresolver">
    <w:name w:val="Unresolved Mention"/>
    <w:basedOn w:val="Fuentedeprrafopredeter"/>
    <w:uiPriority w:val="99"/>
    <w:semiHidden/>
    <w:unhideWhenUsed/>
    <w:rsid w:val="001F7DC6"/>
    <w:rPr>
      <w:color w:val="605E5C"/>
      <w:shd w:val="clear" w:color="auto" w:fill="E1DFDD"/>
    </w:rPr>
  </w:style>
  <w:style w:type="paragraph" w:styleId="NormalWeb">
    <w:name w:val="Normal (Web)"/>
    <w:basedOn w:val="Normal"/>
    <w:uiPriority w:val="99"/>
    <w:semiHidden/>
    <w:unhideWhenUsed/>
    <w:rsid w:val="00DF5254"/>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customStyle="1" w:styleId="blanco">
    <w:name w:val="blanco"/>
    <w:basedOn w:val="Normal"/>
    <w:rsid w:val="00C76B1C"/>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styleId="Revisin">
    <w:name w:val="Revision"/>
    <w:hidden/>
    <w:uiPriority w:val="99"/>
    <w:semiHidden/>
    <w:rsid w:val="009F3A13"/>
    <w:pPr>
      <w:spacing w:after="0" w:line="240" w:lineRule="auto"/>
    </w:pPr>
  </w:style>
  <w:style w:type="paragraph" w:customStyle="1" w:styleId="Appelnotedebasde">
    <w:name w:val="Appel note de bas de..."/>
    <w:basedOn w:val="Normal"/>
    <w:link w:val="Refdenotaalpie"/>
    <w:uiPriority w:val="99"/>
    <w:rsid w:val="006773CD"/>
    <w:pPr>
      <w:spacing w:line="240" w:lineRule="exact"/>
    </w:pPr>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21767828">
      <w:bodyDiv w:val="1"/>
      <w:marLeft w:val="0"/>
      <w:marRight w:val="0"/>
      <w:marTop w:val="0"/>
      <w:marBottom w:val="0"/>
      <w:divBdr>
        <w:top w:val="none" w:sz="0" w:space="0" w:color="auto"/>
        <w:left w:val="none" w:sz="0" w:space="0" w:color="auto"/>
        <w:bottom w:val="none" w:sz="0" w:space="0" w:color="auto"/>
        <w:right w:val="none" w:sz="0" w:space="0" w:color="auto"/>
      </w:divBdr>
    </w:div>
    <w:div w:id="755788902">
      <w:bodyDiv w:val="1"/>
      <w:marLeft w:val="0"/>
      <w:marRight w:val="0"/>
      <w:marTop w:val="0"/>
      <w:marBottom w:val="0"/>
      <w:divBdr>
        <w:top w:val="none" w:sz="0" w:space="0" w:color="auto"/>
        <w:left w:val="none" w:sz="0" w:space="0" w:color="auto"/>
        <w:bottom w:val="none" w:sz="0" w:space="0" w:color="auto"/>
        <w:right w:val="none" w:sz="0" w:space="0" w:color="auto"/>
      </w:divBdr>
    </w:div>
    <w:div w:id="1132796275">
      <w:bodyDiv w:val="1"/>
      <w:marLeft w:val="0"/>
      <w:marRight w:val="0"/>
      <w:marTop w:val="0"/>
      <w:marBottom w:val="0"/>
      <w:divBdr>
        <w:top w:val="none" w:sz="0" w:space="0" w:color="auto"/>
        <w:left w:val="none" w:sz="0" w:space="0" w:color="auto"/>
        <w:bottom w:val="none" w:sz="0" w:space="0" w:color="auto"/>
        <w:right w:val="none" w:sz="0" w:space="0" w:color="auto"/>
      </w:divBdr>
    </w:div>
    <w:div w:id="1270429918">
      <w:bodyDiv w:val="1"/>
      <w:marLeft w:val="0"/>
      <w:marRight w:val="0"/>
      <w:marTop w:val="0"/>
      <w:marBottom w:val="0"/>
      <w:divBdr>
        <w:top w:val="none" w:sz="0" w:space="0" w:color="auto"/>
        <w:left w:val="none" w:sz="0" w:space="0" w:color="auto"/>
        <w:bottom w:val="none" w:sz="0" w:space="0" w:color="auto"/>
        <w:right w:val="none" w:sz="0" w:space="0" w:color="auto"/>
      </w:divBdr>
    </w:div>
    <w:div w:id="1291863859">
      <w:bodyDiv w:val="1"/>
      <w:marLeft w:val="0"/>
      <w:marRight w:val="0"/>
      <w:marTop w:val="0"/>
      <w:marBottom w:val="0"/>
      <w:divBdr>
        <w:top w:val="none" w:sz="0" w:space="0" w:color="auto"/>
        <w:left w:val="none" w:sz="0" w:space="0" w:color="auto"/>
        <w:bottom w:val="none" w:sz="0" w:space="0" w:color="auto"/>
        <w:right w:val="none" w:sz="0" w:space="0" w:color="auto"/>
      </w:divBdr>
      <w:divsChild>
        <w:div w:id="1814251553">
          <w:marLeft w:val="0"/>
          <w:marRight w:val="0"/>
          <w:marTop w:val="0"/>
          <w:marBottom w:val="0"/>
          <w:divBdr>
            <w:top w:val="none" w:sz="0" w:space="0" w:color="auto"/>
            <w:left w:val="none" w:sz="0" w:space="0" w:color="auto"/>
            <w:bottom w:val="none" w:sz="0" w:space="0" w:color="auto"/>
            <w:right w:val="none" w:sz="0" w:space="0" w:color="auto"/>
          </w:divBdr>
        </w:div>
        <w:div w:id="1098216012">
          <w:marLeft w:val="0"/>
          <w:marRight w:val="0"/>
          <w:marTop w:val="0"/>
          <w:marBottom w:val="0"/>
          <w:divBdr>
            <w:top w:val="none" w:sz="0" w:space="0" w:color="auto"/>
            <w:left w:val="none" w:sz="0" w:space="0" w:color="auto"/>
            <w:bottom w:val="none" w:sz="0" w:space="0" w:color="auto"/>
            <w:right w:val="none" w:sz="0" w:space="0" w:color="auto"/>
          </w:divBdr>
        </w:div>
        <w:div w:id="2036272205">
          <w:marLeft w:val="0"/>
          <w:marRight w:val="0"/>
          <w:marTop w:val="0"/>
          <w:marBottom w:val="0"/>
          <w:divBdr>
            <w:top w:val="none" w:sz="0" w:space="0" w:color="auto"/>
            <w:left w:val="none" w:sz="0" w:space="0" w:color="auto"/>
            <w:bottom w:val="none" w:sz="0" w:space="0" w:color="auto"/>
            <w:right w:val="none" w:sz="0" w:space="0" w:color="auto"/>
          </w:divBdr>
        </w:div>
        <w:div w:id="1963534490">
          <w:marLeft w:val="0"/>
          <w:marRight w:val="0"/>
          <w:marTop w:val="0"/>
          <w:marBottom w:val="0"/>
          <w:divBdr>
            <w:top w:val="none" w:sz="0" w:space="0" w:color="auto"/>
            <w:left w:val="none" w:sz="0" w:space="0" w:color="auto"/>
            <w:bottom w:val="none" w:sz="0" w:space="0" w:color="auto"/>
            <w:right w:val="none" w:sz="0" w:space="0" w:color="auto"/>
          </w:divBdr>
        </w:div>
        <w:div w:id="1009718320">
          <w:marLeft w:val="0"/>
          <w:marRight w:val="0"/>
          <w:marTop w:val="0"/>
          <w:marBottom w:val="0"/>
          <w:divBdr>
            <w:top w:val="none" w:sz="0" w:space="0" w:color="auto"/>
            <w:left w:val="none" w:sz="0" w:space="0" w:color="auto"/>
            <w:bottom w:val="none" w:sz="0" w:space="0" w:color="auto"/>
            <w:right w:val="none" w:sz="0" w:space="0" w:color="auto"/>
          </w:divBdr>
        </w:div>
        <w:div w:id="2075656958">
          <w:marLeft w:val="0"/>
          <w:marRight w:val="0"/>
          <w:marTop w:val="0"/>
          <w:marBottom w:val="0"/>
          <w:divBdr>
            <w:top w:val="none" w:sz="0" w:space="0" w:color="auto"/>
            <w:left w:val="none" w:sz="0" w:space="0" w:color="auto"/>
            <w:bottom w:val="none" w:sz="0" w:space="0" w:color="auto"/>
            <w:right w:val="none" w:sz="0" w:space="0" w:color="auto"/>
          </w:divBdr>
        </w:div>
        <w:div w:id="1227495006">
          <w:marLeft w:val="0"/>
          <w:marRight w:val="0"/>
          <w:marTop w:val="0"/>
          <w:marBottom w:val="0"/>
          <w:divBdr>
            <w:top w:val="none" w:sz="0" w:space="0" w:color="auto"/>
            <w:left w:val="none" w:sz="0" w:space="0" w:color="auto"/>
            <w:bottom w:val="none" w:sz="0" w:space="0" w:color="auto"/>
            <w:right w:val="none" w:sz="0" w:space="0" w:color="auto"/>
          </w:divBdr>
        </w:div>
        <w:div w:id="390231839">
          <w:marLeft w:val="0"/>
          <w:marRight w:val="0"/>
          <w:marTop w:val="0"/>
          <w:marBottom w:val="0"/>
          <w:divBdr>
            <w:top w:val="none" w:sz="0" w:space="0" w:color="auto"/>
            <w:left w:val="none" w:sz="0" w:space="0" w:color="auto"/>
            <w:bottom w:val="none" w:sz="0" w:space="0" w:color="auto"/>
            <w:right w:val="none" w:sz="0" w:space="0" w:color="auto"/>
          </w:divBdr>
        </w:div>
        <w:div w:id="117142684">
          <w:marLeft w:val="0"/>
          <w:marRight w:val="0"/>
          <w:marTop w:val="0"/>
          <w:marBottom w:val="0"/>
          <w:divBdr>
            <w:top w:val="none" w:sz="0" w:space="0" w:color="auto"/>
            <w:left w:val="none" w:sz="0" w:space="0" w:color="auto"/>
            <w:bottom w:val="none" w:sz="0" w:space="0" w:color="auto"/>
            <w:right w:val="none" w:sz="0" w:space="0" w:color="auto"/>
          </w:divBdr>
        </w:div>
        <w:div w:id="882060613">
          <w:marLeft w:val="0"/>
          <w:marRight w:val="0"/>
          <w:marTop w:val="0"/>
          <w:marBottom w:val="0"/>
          <w:divBdr>
            <w:top w:val="none" w:sz="0" w:space="0" w:color="auto"/>
            <w:left w:val="none" w:sz="0" w:space="0" w:color="auto"/>
            <w:bottom w:val="none" w:sz="0" w:space="0" w:color="auto"/>
            <w:right w:val="none" w:sz="0" w:space="0" w:color="auto"/>
          </w:divBdr>
        </w:div>
        <w:div w:id="1343312156">
          <w:marLeft w:val="0"/>
          <w:marRight w:val="0"/>
          <w:marTop w:val="0"/>
          <w:marBottom w:val="0"/>
          <w:divBdr>
            <w:top w:val="none" w:sz="0" w:space="0" w:color="auto"/>
            <w:left w:val="none" w:sz="0" w:space="0" w:color="auto"/>
            <w:bottom w:val="none" w:sz="0" w:space="0" w:color="auto"/>
            <w:right w:val="none" w:sz="0" w:space="0" w:color="auto"/>
          </w:divBdr>
        </w:div>
        <w:div w:id="807745514">
          <w:marLeft w:val="0"/>
          <w:marRight w:val="0"/>
          <w:marTop w:val="0"/>
          <w:marBottom w:val="0"/>
          <w:divBdr>
            <w:top w:val="none" w:sz="0" w:space="0" w:color="auto"/>
            <w:left w:val="none" w:sz="0" w:space="0" w:color="auto"/>
            <w:bottom w:val="none" w:sz="0" w:space="0" w:color="auto"/>
            <w:right w:val="none" w:sz="0" w:space="0" w:color="auto"/>
          </w:divBdr>
        </w:div>
        <w:div w:id="688798703">
          <w:marLeft w:val="0"/>
          <w:marRight w:val="0"/>
          <w:marTop w:val="0"/>
          <w:marBottom w:val="0"/>
          <w:divBdr>
            <w:top w:val="none" w:sz="0" w:space="0" w:color="auto"/>
            <w:left w:val="none" w:sz="0" w:space="0" w:color="auto"/>
            <w:bottom w:val="none" w:sz="0" w:space="0" w:color="auto"/>
            <w:right w:val="none" w:sz="0" w:space="0" w:color="auto"/>
          </w:divBdr>
        </w:div>
        <w:div w:id="1324310022">
          <w:marLeft w:val="0"/>
          <w:marRight w:val="0"/>
          <w:marTop w:val="0"/>
          <w:marBottom w:val="0"/>
          <w:divBdr>
            <w:top w:val="none" w:sz="0" w:space="0" w:color="auto"/>
            <w:left w:val="none" w:sz="0" w:space="0" w:color="auto"/>
            <w:bottom w:val="none" w:sz="0" w:space="0" w:color="auto"/>
            <w:right w:val="none" w:sz="0" w:space="0" w:color="auto"/>
          </w:divBdr>
        </w:div>
        <w:div w:id="715542045">
          <w:marLeft w:val="0"/>
          <w:marRight w:val="0"/>
          <w:marTop w:val="0"/>
          <w:marBottom w:val="0"/>
          <w:divBdr>
            <w:top w:val="none" w:sz="0" w:space="0" w:color="auto"/>
            <w:left w:val="none" w:sz="0" w:space="0" w:color="auto"/>
            <w:bottom w:val="none" w:sz="0" w:space="0" w:color="auto"/>
            <w:right w:val="none" w:sz="0" w:space="0" w:color="auto"/>
          </w:divBdr>
        </w:div>
        <w:div w:id="1065952338">
          <w:marLeft w:val="0"/>
          <w:marRight w:val="0"/>
          <w:marTop w:val="0"/>
          <w:marBottom w:val="0"/>
          <w:divBdr>
            <w:top w:val="none" w:sz="0" w:space="0" w:color="auto"/>
            <w:left w:val="none" w:sz="0" w:space="0" w:color="auto"/>
            <w:bottom w:val="none" w:sz="0" w:space="0" w:color="auto"/>
            <w:right w:val="none" w:sz="0" w:space="0" w:color="auto"/>
          </w:divBdr>
        </w:div>
        <w:div w:id="2092659859">
          <w:marLeft w:val="0"/>
          <w:marRight w:val="0"/>
          <w:marTop w:val="0"/>
          <w:marBottom w:val="0"/>
          <w:divBdr>
            <w:top w:val="none" w:sz="0" w:space="0" w:color="auto"/>
            <w:left w:val="none" w:sz="0" w:space="0" w:color="auto"/>
            <w:bottom w:val="none" w:sz="0" w:space="0" w:color="auto"/>
            <w:right w:val="none" w:sz="0" w:space="0" w:color="auto"/>
          </w:divBdr>
        </w:div>
        <w:div w:id="1134103737">
          <w:marLeft w:val="0"/>
          <w:marRight w:val="0"/>
          <w:marTop w:val="0"/>
          <w:marBottom w:val="0"/>
          <w:divBdr>
            <w:top w:val="none" w:sz="0" w:space="0" w:color="auto"/>
            <w:left w:val="none" w:sz="0" w:space="0" w:color="auto"/>
            <w:bottom w:val="none" w:sz="0" w:space="0" w:color="auto"/>
            <w:right w:val="none" w:sz="0" w:space="0" w:color="auto"/>
          </w:divBdr>
        </w:div>
        <w:div w:id="511727059">
          <w:marLeft w:val="0"/>
          <w:marRight w:val="0"/>
          <w:marTop w:val="0"/>
          <w:marBottom w:val="0"/>
          <w:divBdr>
            <w:top w:val="none" w:sz="0" w:space="0" w:color="auto"/>
            <w:left w:val="none" w:sz="0" w:space="0" w:color="auto"/>
            <w:bottom w:val="none" w:sz="0" w:space="0" w:color="auto"/>
            <w:right w:val="none" w:sz="0" w:space="0" w:color="auto"/>
          </w:divBdr>
        </w:div>
        <w:div w:id="860240521">
          <w:marLeft w:val="0"/>
          <w:marRight w:val="0"/>
          <w:marTop w:val="0"/>
          <w:marBottom w:val="0"/>
          <w:divBdr>
            <w:top w:val="none" w:sz="0" w:space="0" w:color="auto"/>
            <w:left w:val="none" w:sz="0" w:space="0" w:color="auto"/>
            <w:bottom w:val="none" w:sz="0" w:space="0" w:color="auto"/>
            <w:right w:val="none" w:sz="0" w:space="0" w:color="auto"/>
          </w:divBdr>
        </w:div>
        <w:div w:id="892691556">
          <w:marLeft w:val="0"/>
          <w:marRight w:val="0"/>
          <w:marTop w:val="0"/>
          <w:marBottom w:val="0"/>
          <w:divBdr>
            <w:top w:val="none" w:sz="0" w:space="0" w:color="auto"/>
            <w:left w:val="none" w:sz="0" w:space="0" w:color="auto"/>
            <w:bottom w:val="none" w:sz="0" w:space="0" w:color="auto"/>
            <w:right w:val="none" w:sz="0" w:space="0" w:color="auto"/>
          </w:divBdr>
        </w:div>
        <w:div w:id="24454764">
          <w:marLeft w:val="0"/>
          <w:marRight w:val="0"/>
          <w:marTop w:val="0"/>
          <w:marBottom w:val="0"/>
          <w:divBdr>
            <w:top w:val="none" w:sz="0" w:space="0" w:color="auto"/>
            <w:left w:val="none" w:sz="0" w:space="0" w:color="auto"/>
            <w:bottom w:val="none" w:sz="0" w:space="0" w:color="auto"/>
            <w:right w:val="none" w:sz="0" w:space="0" w:color="auto"/>
          </w:divBdr>
        </w:div>
        <w:div w:id="541678020">
          <w:marLeft w:val="0"/>
          <w:marRight w:val="0"/>
          <w:marTop w:val="0"/>
          <w:marBottom w:val="0"/>
          <w:divBdr>
            <w:top w:val="none" w:sz="0" w:space="0" w:color="auto"/>
            <w:left w:val="none" w:sz="0" w:space="0" w:color="auto"/>
            <w:bottom w:val="none" w:sz="0" w:space="0" w:color="auto"/>
            <w:right w:val="none" w:sz="0" w:space="0" w:color="auto"/>
          </w:divBdr>
        </w:div>
        <w:div w:id="1404261026">
          <w:marLeft w:val="0"/>
          <w:marRight w:val="0"/>
          <w:marTop w:val="0"/>
          <w:marBottom w:val="0"/>
          <w:divBdr>
            <w:top w:val="none" w:sz="0" w:space="0" w:color="auto"/>
            <w:left w:val="none" w:sz="0" w:space="0" w:color="auto"/>
            <w:bottom w:val="none" w:sz="0" w:space="0" w:color="auto"/>
            <w:right w:val="none" w:sz="0" w:space="0" w:color="auto"/>
          </w:divBdr>
        </w:div>
        <w:div w:id="638808706">
          <w:marLeft w:val="0"/>
          <w:marRight w:val="0"/>
          <w:marTop w:val="0"/>
          <w:marBottom w:val="0"/>
          <w:divBdr>
            <w:top w:val="none" w:sz="0" w:space="0" w:color="auto"/>
            <w:left w:val="none" w:sz="0" w:space="0" w:color="auto"/>
            <w:bottom w:val="none" w:sz="0" w:space="0" w:color="auto"/>
            <w:right w:val="none" w:sz="0" w:space="0" w:color="auto"/>
          </w:divBdr>
        </w:div>
        <w:div w:id="238516275">
          <w:marLeft w:val="0"/>
          <w:marRight w:val="0"/>
          <w:marTop w:val="0"/>
          <w:marBottom w:val="0"/>
          <w:divBdr>
            <w:top w:val="none" w:sz="0" w:space="0" w:color="auto"/>
            <w:left w:val="none" w:sz="0" w:space="0" w:color="auto"/>
            <w:bottom w:val="none" w:sz="0" w:space="0" w:color="auto"/>
            <w:right w:val="none" w:sz="0" w:space="0" w:color="auto"/>
          </w:divBdr>
        </w:div>
        <w:div w:id="1694109704">
          <w:marLeft w:val="0"/>
          <w:marRight w:val="0"/>
          <w:marTop w:val="0"/>
          <w:marBottom w:val="0"/>
          <w:divBdr>
            <w:top w:val="none" w:sz="0" w:space="0" w:color="auto"/>
            <w:left w:val="none" w:sz="0" w:space="0" w:color="auto"/>
            <w:bottom w:val="none" w:sz="0" w:space="0" w:color="auto"/>
            <w:right w:val="none" w:sz="0" w:space="0" w:color="auto"/>
          </w:divBdr>
        </w:div>
        <w:div w:id="2120836280">
          <w:marLeft w:val="0"/>
          <w:marRight w:val="0"/>
          <w:marTop w:val="0"/>
          <w:marBottom w:val="0"/>
          <w:divBdr>
            <w:top w:val="none" w:sz="0" w:space="0" w:color="auto"/>
            <w:left w:val="none" w:sz="0" w:space="0" w:color="auto"/>
            <w:bottom w:val="none" w:sz="0" w:space="0" w:color="auto"/>
            <w:right w:val="none" w:sz="0" w:space="0" w:color="auto"/>
          </w:divBdr>
        </w:div>
        <w:div w:id="455296425">
          <w:marLeft w:val="0"/>
          <w:marRight w:val="0"/>
          <w:marTop w:val="0"/>
          <w:marBottom w:val="0"/>
          <w:divBdr>
            <w:top w:val="none" w:sz="0" w:space="0" w:color="auto"/>
            <w:left w:val="none" w:sz="0" w:space="0" w:color="auto"/>
            <w:bottom w:val="none" w:sz="0" w:space="0" w:color="auto"/>
            <w:right w:val="none" w:sz="0" w:space="0" w:color="auto"/>
          </w:divBdr>
        </w:div>
        <w:div w:id="1932930429">
          <w:marLeft w:val="0"/>
          <w:marRight w:val="0"/>
          <w:marTop w:val="0"/>
          <w:marBottom w:val="0"/>
          <w:divBdr>
            <w:top w:val="none" w:sz="0" w:space="0" w:color="auto"/>
            <w:left w:val="none" w:sz="0" w:space="0" w:color="auto"/>
            <w:bottom w:val="none" w:sz="0" w:space="0" w:color="auto"/>
            <w:right w:val="none" w:sz="0" w:space="0" w:color="auto"/>
          </w:divBdr>
        </w:div>
        <w:div w:id="538082317">
          <w:marLeft w:val="0"/>
          <w:marRight w:val="0"/>
          <w:marTop w:val="0"/>
          <w:marBottom w:val="0"/>
          <w:divBdr>
            <w:top w:val="none" w:sz="0" w:space="0" w:color="auto"/>
            <w:left w:val="none" w:sz="0" w:space="0" w:color="auto"/>
            <w:bottom w:val="none" w:sz="0" w:space="0" w:color="auto"/>
            <w:right w:val="none" w:sz="0" w:space="0" w:color="auto"/>
          </w:divBdr>
        </w:div>
        <w:div w:id="679356651">
          <w:marLeft w:val="0"/>
          <w:marRight w:val="0"/>
          <w:marTop w:val="0"/>
          <w:marBottom w:val="0"/>
          <w:divBdr>
            <w:top w:val="none" w:sz="0" w:space="0" w:color="auto"/>
            <w:left w:val="none" w:sz="0" w:space="0" w:color="auto"/>
            <w:bottom w:val="none" w:sz="0" w:space="0" w:color="auto"/>
            <w:right w:val="none" w:sz="0" w:space="0" w:color="auto"/>
          </w:divBdr>
        </w:div>
        <w:div w:id="1638532409">
          <w:marLeft w:val="0"/>
          <w:marRight w:val="0"/>
          <w:marTop w:val="0"/>
          <w:marBottom w:val="0"/>
          <w:divBdr>
            <w:top w:val="none" w:sz="0" w:space="0" w:color="auto"/>
            <w:left w:val="none" w:sz="0" w:space="0" w:color="auto"/>
            <w:bottom w:val="none" w:sz="0" w:space="0" w:color="auto"/>
            <w:right w:val="none" w:sz="0" w:space="0" w:color="auto"/>
          </w:divBdr>
        </w:div>
        <w:div w:id="1464275602">
          <w:marLeft w:val="0"/>
          <w:marRight w:val="0"/>
          <w:marTop w:val="0"/>
          <w:marBottom w:val="0"/>
          <w:divBdr>
            <w:top w:val="none" w:sz="0" w:space="0" w:color="auto"/>
            <w:left w:val="none" w:sz="0" w:space="0" w:color="auto"/>
            <w:bottom w:val="none" w:sz="0" w:space="0" w:color="auto"/>
            <w:right w:val="none" w:sz="0" w:space="0" w:color="auto"/>
          </w:divBdr>
        </w:div>
        <w:div w:id="1916237550">
          <w:marLeft w:val="0"/>
          <w:marRight w:val="0"/>
          <w:marTop w:val="0"/>
          <w:marBottom w:val="0"/>
          <w:divBdr>
            <w:top w:val="none" w:sz="0" w:space="0" w:color="auto"/>
            <w:left w:val="none" w:sz="0" w:space="0" w:color="auto"/>
            <w:bottom w:val="none" w:sz="0" w:space="0" w:color="auto"/>
            <w:right w:val="none" w:sz="0" w:space="0" w:color="auto"/>
          </w:divBdr>
        </w:div>
        <w:div w:id="2095541977">
          <w:marLeft w:val="0"/>
          <w:marRight w:val="0"/>
          <w:marTop w:val="0"/>
          <w:marBottom w:val="0"/>
          <w:divBdr>
            <w:top w:val="none" w:sz="0" w:space="0" w:color="auto"/>
            <w:left w:val="none" w:sz="0" w:space="0" w:color="auto"/>
            <w:bottom w:val="none" w:sz="0" w:space="0" w:color="auto"/>
            <w:right w:val="none" w:sz="0" w:space="0" w:color="auto"/>
          </w:divBdr>
          <w:divsChild>
            <w:div w:id="1488938398">
              <w:marLeft w:val="-75"/>
              <w:marRight w:val="0"/>
              <w:marTop w:val="30"/>
              <w:marBottom w:val="30"/>
              <w:divBdr>
                <w:top w:val="none" w:sz="0" w:space="0" w:color="auto"/>
                <w:left w:val="none" w:sz="0" w:space="0" w:color="auto"/>
                <w:bottom w:val="none" w:sz="0" w:space="0" w:color="auto"/>
                <w:right w:val="none" w:sz="0" w:space="0" w:color="auto"/>
              </w:divBdr>
              <w:divsChild>
                <w:div w:id="283007184">
                  <w:marLeft w:val="0"/>
                  <w:marRight w:val="0"/>
                  <w:marTop w:val="0"/>
                  <w:marBottom w:val="0"/>
                  <w:divBdr>
                    <w:top w:val="none" w:sz="0" w:space="0" w:color="auto"/>
                    <w:left w:val="none" w:sz="0" w:space="0" w:color="auto"/>
                    <w:bottom w:val="none" w:sz="0" w:space="0" w:color="auto"/>
                    <w:right w:val="none" w:sz="0" w:space="0" w:color="auto"/>
                  </w:divBdr>
                  <w:divsChild>
                    <w:div w:id="928538327">
                      <w:marLeft w:val="0"/>
                      <w:marRight w:val="0"/>
                      <w:marTop w:val="0"/>
                      <w:marBottom w:val="0"/>
                      <w:divBdr>
                        <w:top w:val="none" w:sz="0" w:space="0" w:color="auto"/>
                        <w:left w:val="none" w:sz="0" w:space="0" w:color="auto"/>
                        <w:bottom w:val="none" w:sz="0" w:space="0" w:color="auto"/>
                        <w:right w:val="none" w:sz="0" w:space="0" w:color="auto"/>
                      </w:divBdr>
                    </w:div>
                  </w:divsChild>
                </w:div>
                <w:div w:id="1080567943">
                  <w:marLeft w:val="0"/>
                  <w:marRight w:val="0"/>
                  <w:marTop w:val="0"/>
                  <w:marBottom w:val="0"/>
                  <w:divBdr>
                    <w:top w:val="none" w:sz="0" w:space="0" w:color="auto"/>
                    <w:left w:val="none" w:sz="0" w:space="0" w:color="auto"/>
                    <w:bottom w:val="none" w:sz="0" w:space="0" w:color="auto"/>
                    <w:right w:val="none" w:sz="0" w:space="0" w:color="auto"/>
                  </w:divBdr>
                  <w:divsChild>
                    <w:div w:id="1112624978">
                      <w:marLeft w:val="0"/>
                      <w:marRight w:val="0"/>
                      <w:marTop w:val="0"/>
                      <w:marBottom w:val="0"/>
                      <w:divBdr>
                        <w:top w:val="none" w:sz="0" w:space="0" w:color="auto"/>
                        <w:left w:val="none" w:sz="0" w:space="0" w:color="auto"/>
                        <w:bottom w:val="none" w:sz="0" w:space="0" w:color="auto"/>
                        <w:right w:val="none" w:sz="0" w:space="0" w:color="auto"/>
                      </w:divBdr>
                    </w:div>
                    <w:div w:id="539319864">
                      <w:marLeft w:val="0"/>
                      <w:marRight w:val="0"/>
                      <w:marTop w:val="0"/>
                      <w:marBottom w:val="0"/>
                      <w:divBdr>
                        <w:top w:val="none" w:sz="0" w:space="0" w:color="auto"/>
                        <w:left w:val="none" w:sz="0" w:space="0" w:color="auto"/>
                        <w:bottom w:val="none" w:sz="0" w:space="0" w:color="auto"/>
                        <w:right w:val="none" w:sz="0" w:space="0" w:color="auto"/>
                      </w:divBdr>
                    </w:div>
                  </w:divsChild>
                </w:div>
                <w:div w:id="344208591">
                  <w:marLeft w:val="0"/>
                  <w:marRight w:val="0"/>
                  <w:marTop w:val="0"/>
                  <w:marBottom w:val="0"/>
                  <w:divBdr>
                    <w:top w:val="none" w:sz="0" w:space="0" w:color="auto"/>
                    <w:left w:val="none" w:sz="0" w:space="0" w:color="auto"/>
                    <w:bottom w:val="none" w:sz="0" w:space="0" w:color="auto"/>
                    <w:right w:val="none" w:sz="0" w:space="0" w:color="auto"/>
                  </w:divBdr>
                  <w:divsChild>
                    <w:div w:id="1723020549">
                      <w:marLeft w:val="0"/>
                      <w:marRight w:val="0"/>
                      <w:marTop w:val="0"/>
                      <w:marBottom w:val="0"/>
                      <w:divBdr>
                        <w:top w:val="none" w:sz="0" w:space="0" w:color="auto"/>
                        <w:left w:val="none" w:sz="0" w:space="0" w:color="auto"/>
                        <w:bottom w:val="none" w:sz="0" w:space="0" w:color="auto"/>
                        <w:right w:val="none" w:sz="0" w:space="0" w:color="auto"/>
                      </w:divBdr>
                    </w:div>
                  </w:divsChild>
                </w:div>
                <w:div w:id="233929418">
                  <w:marLeft w:val="0"/>
                  <w:marRight w:val="0"/>
                  <w:marTop w:val="0"/>
                  <w:marBottom w:val="0"/>
                  <w:divBdr>
                    <w:top w:val="none" w:sz="0" w:space="0" w:color="auto"/>
                    <w:left w:val="none" w:sz="0" w:space="0" w:color="auto"/>
                    <w:bottom w:val="none" w:sz="0" w:space="0" w:color="auto"/>
                    <w:right w:val="none" w:sz="0" w:space="0" w:color="auto"/>
                  </w:divBdr>
                  <w:divsChild>
                    <w:div w:id="193542531">
                      <w:marLeft w:val="0"/>
                      <w:marRight w:val="0"/>
                      <w:marTop w:val="0"/>
                      <w:marBottom w:val="0"/>
                      <w:divBdr>
                        <w:top w:val="none" w:sz="0" w:space="0" w:color="auto"/>
                        <w:left w:val="none" w:sz="0" w:space="0" w:color="auto"/>
                        <w:bottom w:val="none" w:sz="0" w:space="0" w:color="auto"/>
                        <w:right w:val="none" w:sz="0" w:space="0" w:color="auto"/>
                      </w:divBdr>
                    </w:div>
                    <w:div w:id="2029217062">
                      <w:marLeft w:val="0"/>
                      <w:marRight w:val="0"/>
                      <w:marTop w:val="0"/>
                      <w:marBottom w:val="0"/>
                      <w:divBdr>
                        <w:top w:val="none" w:sz="0" w:space="0" w:color="auto"/>
                        <w:left w:val="none" w:sz="0" w:space="0" w:color="auto"/>
                        <w:bottom w:val="none" w:sz="0" w:space="0" w:color="auto"/>
                        <w:right w:val="none" w:sz="0" w:space="0" w:color="auto"/>
                      </w:divBdr>
                    </w:div>
                  </w:divsChild>
                </w:div>
                <w:div w:id="231042282">
                  <w:marLeft w:val="0"/>
                  <w:marRight w:val="0"/>
                  <w:marTop w:val="0"/>
                  <w:marBottom w:val="0"/>
                  <w:divBdr>
                    <w:top w:val="none" w:sz="0" w:space="0" w:color="auto"/>
                    <w:left w:val="none" w:sz="0" w:space="0" w:color="auto"/>
                    <w:bottom w:val="none" w:sz="0" w:space="0" w:color="auto"/>
                    <w:right w:val="none" w:sz="0" w:space="0" w:color="auto"/>
                  </w:divBdr>
                  <w:divsChild>
                    <w:div w:id="1200582818">
                      <w:marLeft w:val="0"/>
                      <w:marRight w:val="0"/>
                      <w:marTop w:val="0"/>
                      <w:marBottom w:val="0"/>
                      <w:divBdr>
                        <w:top w:val="none" w:sz="0" w:space="0" w:color="auto"/>
                        <w:left w:val="none" w:sz="0" w:space="0" w:color="auto"/>
                        <w:bottom w:val="none" w:sz="0" w:space="0" w:color="auto"/>
                        <w:right w:val="none" w:sz="0" w:space="0" w:color="auto"/>
                      </w:divBdr>
                    </w:div>
                  </w:divsChild>
                </w:div>
                <w:div w:id="431166015">
                  <w:marLeft w:val="0"/>
                  <w:marRight w:val="0"/>
                  <w:marTop w:val="0"/>
                  <w:marBottom w:val="0"/>
                  <w:divBdr>
                    <w:top w:val="none" w:sz="0" w:space="0" w:color="auto"/>
                    <w:left w:val="none" w:sz="0" w:space="0" w:color="auto"/>
                    <w:bottom w:val="none" w:sz="0" w:space="0" w:color="auto"/>
                    <w:right w:val="none" w:sz="0" w:space="0" w:color="auto"/>
                  </w:divBdr>
                  <w:divsChild>
                    <w:div w:id="633837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16871884">
          <w:marLeft w:val="0"/>
          <w:marRight w:val="0"/>
          <w:marTop w:val="0"/>
          <w:marBottom w:val="0"/>
          <w:divBdr>
            <w:top w:val="none" w:sz="0" w:space="0" w:color="auto"/>
            <w:left w:val="none" w:sz="0" w:space="0" w:color="auto"/>
            <w:bottom w:val="none" w:sz="0" w:space="0" w:color="auto"/>
            <w:right w:val="none" w:sz="0" w:space="0" w:color="auto"/>
          </w:divBdr>
        </w:div>
        <w:div w:id="1002320289">
          <w:marLeft w:val="0"/>
          <w:marRight w:val="0"/>
          <w:marTop w:val="0"/>
          <w:marBottom w:val="0"/>
          <w:divBdr>
            <w:top w:val="none" w:sz="0" w:space="0" w:color="auto"/>
            <w:left w:val="none" w:sz="0" w:space="0" w:color="auto"/>
            <w:bottom w:val="none" w:sz="0" w:space="0" w:color="auto"/>
            <w:right w:val="none" w:sz="0" w:space="0" w:color="auto"/>
          </w:divBdr>
        </w:div>
        <w:div w:id="2033648475">
          <w:marLeft w:val="0"/>
          <w:marRight w:val="0"/>
          <w:marTop w:val="0"/>
          <w:marBottom w:val="0"/>
          <w:divBdr>
            <w:top w:val="none" w:sz="0" w:space="0" w:color="auto"/>
            <w:left w:val="none" w:sz="0" w:space="0" w:color="auto"/>
            <w:bottom w:val="none" w:sz="0" w:space="0" w:color="auto"/>
            <w:right w:val="none" w:sz="0" w:space="0" w:color="auto"/>
          </w:divBdr>
        </w:div>
        <w:div w:id="1053582647">
          <w:marLeft w:val="0"/>
          <w:marRight w:val="0"/>
          <w:marTop w:val="0"/>
          <w:marBottom w:val="0"/>
          <w:divBdr>
            <w:top w:val="none" w:sz="0" w:space="0" w:color="auto"/>
            <w:left w:val="none" w:sz="0" w:space="0" w:color="auto"/>
            <w:bottom w:val="none" w:sz="0" w:space="0" w:color="auto"/>
            <w:right w:val="none" w:sz="0" w:space="0" w:color="auto"/>
          </w:divBdr>
        </w:div>
        <w:div w:id="165822881">
          <w:marLeft w:val="0"/>
          <w:marRight w:val="0"/>
          <w:marTop w:val="0"/>
          <w:marBottom w:val="0"/>
          <w:divBdr>
            <w:top w:val="none" w:sz="0" w:space="0" w:color="auto"/>
            <w:left w:val="none" w:sz="0" w:space="0" w:color="auto"/>
            <w:bottom w:val="none" w:sz="0" w:space="0" w:color="auto"/>
            <w:right w:val="none" w:sz="0" w:space="0" w:color="auto"/>
          </w:divBdr>
        </w:div>
        <w:div w:id="1919947877">
          <w:marLeft w:val="0"/>
          <w:marRight w:val="0"/>
          <w:marTop w:val="0"/>
          <w:marBottom w:val="0"/>
          <w:divBdr>
            <w:top w:val="none" w:sz="0" w:space="0" w:color="auto"/>
            <w:left w:val="none" w:sz="0" w:space="0" w:color="auto"/>
            <w:bottom w:val="none" w:sz="0" w:space="0" w:color="auto"/>
            <w:right w:val="none" w:sz="0" w:space="0" w:color="auto"/>
          </w:divBdr>
          <w:divsChild>
            <w:div w:id="1192113255">
              <w:marLeft w:val="0"/>
              <w:marRight w:val="0"/>
              <w:marTop w:val="0"/>
              <w:marBottom w:val="0"/>
              <w:divBdr>
                <w:top w:val="none" w:sz="0" w:space="0" w:color="auto"/>
                <w:left w:val="none" w:sz="0" w:space="0" w:color="auto"/>
                <w:bottom w:val="none" w:sz="0" w:space="0" w:color="auto"/>
                <w:right w:val="none" w:sz="0" w:space="0" w:color="auto"/>
              </w:divBdr>
            </w:div>
            <w:div w:id="524707673">
              <w:marLeft w:val="0"/>
              <w:marRight w:val="0"/>
              <w:marTop w:val="0"/>
              <w:marBottom w:val="0"/>
              <w:divBdr>
                <w:top w:val="none" w:sz="0" w:space="0" w:color="auto"/>
                <w:left w:val="none" w:sz="0" w:space="0" w:color="auto"/>
                <w:bottom w:val="none" w:sz="0" w:space="0" w:color="auto"/>
                <w:right w:val="none" w:sz="0" w:space="0" w:color="auto"/>
              </w:divBdr>
            </w:div>
            <w:div w:id="1477457551">
              <w:marLeft w:val="0"/>
              <w:marRight w:val="0"/>
              <w:marTop w:val="0"/>
              <w:marBottom w:val="0"/>
              <w:divBdr>
                <w:top w:val="none" w:sz="0" w:space="0" w:color="auto"/>
                <w:left w:val="none" w:sz="0" w:space="0" w:color="auto"/>
                <w:bottom w:val="none" w:sz="0" w:space="0" w:color="auto"/>
                <w:right w:val="none" w:sz="0" w:space="0" w:color="auto"/>
              </w:divBdr>
            </w:div>
            <w:div w:id="1905212490">
              <w:marLeft w:val="0"/>
              <w:marRight w:val="0"/>
              <w:marTop w:val="0"/>
              <w:marBottom w:val="0"/>
              <w:divBdr>
                <w:top w:val="none" w:sz="0" w:space="0" w:color="auto"/>
                <w:left w:val="none" w:sz="0" w:space="0" w:color="auto"/>
                <w:bottom w:val="none" w:sz="0" w:space="0" w:color="auto"/>
                <w:right w:val="none" w:sz="0" w:space="0" w:color="auto"/>
              </w:divBdr>
            </w:div>
            <w:div w:id="1960529064">
              <w:marLeft w:val="0"/>
              <w:marRight w:val="0"/>
              <w:marTop w:val="0"/>
              <w:marBottom w:val="0"/>
              <w:divBdr>
                <w:top w:val="none" w:sz="0" w:space="0" w:color="auto"/>
                <w:left w:val="none" w:sz="0" w:space="0" w:color="auto"/>
                <w:bottom w:val="none" w:sz="0" w:space="0" w:color="auto"/>
                <w:right w:val="none" w:sz="0" w:space="0" w:color="auto"/>
              </w:divBdr>
            </w:div>
          </w:divsChild>
        </w:div>
        <w:div w:id="1791318772">
          <w:marLeft w:val="0"/>
          <w:marRight w:val="0"/>
          <w:marTop w:val="0"/>
          <w:marBottom w:val="0"/>
          <w:divBdr>
            <w:top w:val="none" w:sz="0" w:space="0" w:color="auto"/>
            <w:left w:val="none" w:sz="0" w:space="0" w:color="auto"/>
            <w:bottom w:val="none" w:sz="0" w:space="0" w:color="auto"/>
            <w:right w:val="none" w:sz="0" w:space="0" w:color="auto"/>
          </w:divBdr>
        </w:div>
        <w:div w:id="1672679863">
          <w:marLeft w:val="0"/>
          <w:marRight w:val="0"/>
          <w:marTop w:val="0"/>
          <w:marBottom w:val="0"/>
          <w:divBdr>
            <w:top w:val="none" w:sz="0" w:space="0" w:color="auto"/>
            <w:left w:val="none" w:sz="0" w:space="0" w:color="auto"/>
            <w:bottom w:val="none" w:sz="0" w:space="0" w:color="auto"/>
            <w:right w:val="none" w:sz="0" w:space="0" w:color="auto"/>
          </w:divBdr>
        </w:div>
        <w:div w:id="896629501">
          <w:marLeft w:val="0"/>
          <w:marRight w:val="0"/>
          <w:marTop w:val="0"/>
          <w:marBottom w:val="0"/>
          <w:divBdr>
            <w:top w:val="none" w:sz="0" w:space="0" w:color="auto"/>
            <w:left w:val="none" w:sz="0" w:space="0" w:color="auto"/>
            <w:bottom w:val="none" w:sz="0" w:space="0" w:color="auto"/>
            <w:right w:val="none" w:sz="0" w:space="0" w:color="auto"/>
          </w:divBdr>
        </w:div>
        <w:div w:id="1492059971">
          <w:marLeft w:val="0"/>
          <w:marRight w:val="0"/>
          <w:marTop w:val="0"/>
          <w:marBottom w:val="0"/>
          <w:divBdr>
            <w:top w:val="none" w:sz="0" w:space="0" w:color="auto"/>
            <w:left w:val="none" w:sz="0" w:space="0" w:color="auto"/>
            <w:bottom w:val="none" w:sz="0" w:space="0" w:color="auto"/>
            <w:right w:val="none" w:sz="0" w:space="0" w:color="auto"/>
          </w:divBdr>
        </w:div>
        <w:div w:id="743262102">
          <w:marLeft w:val="0"/>
          <w:marRight w:val="0"/>
          <w:marTop w:val="0"/>
          <w:marBottom w:val="0"/>
          <w:divBdr>
            <w:top w:val="none" w:sz="0" w:space="0" w:color="auto"/>
            <w:left w:val="none" w:sz="0" w:space="0" w:color="auto"/>
            <w:bottom w:val="none" w:sz="0" w:space="0" w:color="auto"/>
            <w:right w:val="none" w:sz="0" w:space="0" w:color="auto"/>
          </w:divBdr>
        </w:div>
        <w:div w:id="1966614619">
          <w:marLeft w:val="0"/>
          <w:marRight w:val="0"/>
          <w:marTop w:val="0"/>
          <w:marBottom w:val="0"/>
          <w:divBdr>
            <w:top w:val="none" w:sz="0" w:space="0" w:color="auto"/>
            <w:left w:val="none" w:sz="0" w:space="0" w:color="auto"/>
            <w:bottom w:val="none" w:sz="0" w:space="0" w:color="auto"/>
            <w:right w:val="none" w:sz="0" w:space="0" w:color="auto"/>
          </w:divBdr>
          <w:divsChild>
            <w:div w:id="1375154655">
              <w:marLeft w:val="0"/>
              <w:marRight w:val="0"/>
              <w:marTop w:val="0"/>
              <w:marBottom w:val="0"/>
              <w:divBdr>
                <w:top w:val="none" w:sz="0" w:space="0" w:color="auto"/>
                <w:left w:val="none" w:sz="0" w:space="0" w:color="auto"/>
                <w:bottom w:val="none" w:sz="0" w:space="0" w:color="auto"/>
                <w:right w:val="none" w:sz="0" w:space="0" w:color="auto"/>
              </w:divBdr>
            </w:div>
            <w:div w:id="1193155926">
              <w:marLeft w:val="0"/>
              <w:marRight w:val="0"/>
              <w:marTop w:val="0"/>
              <w:marBottom w:val="0"/>
              <w:divBdr>
                <w:top w:val="none" w:sz="0" w:space="0" w:color="auto"/>
                <w:left w:val="none" w:sz="0" w:space="0" w:color="auto"/>
                <w:bottom w:val="none" w:sz="0" w:space="0" w:color="auto"/>
                <w:right w:val="none" w:sz="0" w:space="0" w:color="auto"/>
              </w:divBdr>
            </w:div>
            <w:div w:id="152644634">
              <w:marLeft w:val="0"/>
              <w:marRight w:val="0"/>
              <w:marTop w:val="0"/>
              <w:marBottom w:val="0"/>
              <w:divBdr>
                <w:top w:val="none" w:sz="0" w:space="0" w:color="auto"/>
                <w:left w:val="none" w:sz="0" w:space="0" w:color="auto"/>
                <w:bottom w:val="none" w:sz="0" w:space="0" w:color="auto"/>
                <w:right w:val="none" w:sz="0" w:space="0" w:color="auto"/>
              </w:divBdr>
            </w:div>
            <w:div w:id="1745906066">
              <w:marLeft w:val="0"/>
              <w:marRight w:val="0"/>
              <w:marTop w:val="0"/>
              <w:marBottom w:val="0"/>
              <w:divBdr>
                <w:top w:val="none" w:sz="0" w:space="0" w:color="auto"/>
                <w:left w:val="none" w:sz="0" w:space="0" w:color="auto"/>
                <w:bottom w:val="none" w:sz="0" w:space="0" w:color="auto"/>
                <w:right w:val="none" w:sz="0" w:space="0" w:color="auto"/>
              </w:divBdr>
            </w:div>
            <w:div w:id="293171294">
              <w:marLeft w:val="0"/>
              <w:marRight w:val="0"/>
              <w:marTop w:val="0"/>
              <w:marBottom w:val="0"/>
              <w:divBdr>
                <w:top w:val="none" w:sz="0" w:space="0" w:color="auto"/>
                <w:left w:val="none" w:sz="0" w:space="0" w:color="auto"/>
                <w:bottom w:val="none" w:sz="0" w:space="0" w:color="auto"/>
                <w:right w:val="none" w:sz="0" w:space="0" w:color="auto"/>
              </w:divBdr>
            </w:div>
          </w:divsChild>
        </w:div>
        <w:div w:id="1836526458">
          <w:marLeft w:val="0"/>
          <w:marRight w:val="0"/>
          <w:marTop w:val="0"/>
          <w:marBottom w:val="0"/>
          <w:divBdr>
            <w:top w:val="none" w:sz="0" w:space="0" w:color="auto"/>
            <w:left w:val="none" w:sz="0" w:space="0" w:color="auto"/>
            <w:bottom w:val="none" w:sz="0" w:space="0" w:color="auto"/>
            <w:right w:val="none" w:sz="0" w:space="0" w:color="auto"/>
          </w:divBdr>
          <w:divsChild>
            <w:div w:id="1153059618">
              <w:marLeft w:val="0"/>
              <w:marRight w:val="0"/>
              <w:marTop w:val="0"/>
              <w:marBottom w:val="0"/>
              <w:divBdr>
                <w:top w:val="none" w:sz="0" w:space="0" w:color="auto"/>
                <w:left w:val="none" w:sz="0" w:space="0" w:color="auto"/>
                <w:bottom w:val="none" w:sz="0" w:space="0" w:color="auto"/>
                <w:right w:val="none" w:sz="0" w:space="0" w:color="auto"/>
              </w:divBdr>
            </w:div>
            <w:div w:id="252974095">
              <w:marLeft w:val="0"/>
              <w:marRight w:val="0"/>
              <w:marTop w:val="0"/>
              <w:marBottom w:val="0"/>
              <w:divBdr>
                <w:top w:val="none" w:sz="0" w:space="0" w:color="auto"/>
                <w:left w:val="none" w:sz="0" w:space="0" w:color="auto"/>
                <w:bottom w:val="none" w:sz="0" w:space="0" w:color="auto"/>
                <w:right w:val="none" w:sz="0" w:space="0" w:color="auto"/>
              </w:divBdr>
            </w:div>
            <w:div w:id="465974370">
              <w:marLeft w:val="0"/>
              <w:marRight w:val="0"/>
              <w:marTop w:val="0"/>
              <w:marBottom w:val="0"/>
              <w:divBdr>
                <w:top w:val="none" w:sz="0" w:space="0" w:color="auto"/>
                <w:left w:val="none" w:sz="0" w:space="0" w:color="auto"/>
                <w:bottom w:val="none" w:sz="0" w:space="0" w:color="auto"/>
                <w:right w:val="none" w:sz="0" w:space="0" w:color="auto"/>
              </w:divBdr>
            </w:div>
            <w:div w:id="762535188">
              <w:marLeft w:val="0"/>
              <w:marRight w:val="0"/>
              <w:marTop w:val="0"/>
              <w:marBottom w:val="0"/>
              <w:divBdr>
                <w:top w:val="none" w:sz="0" w:space="0" w:color="auto"/>
                <w:left w:val="none" w:sz="0" w:space="0" w:color="auto"/>
                <w:bottom w:val="none" w:sz="0" w:space="0" w:color="auto"/>
                <w:right w:val="none" w:sz="0" w:space="0" w:color="auto"/>
              </w:divBdr>
            </w:div>
            <w:div w:id="1513228375">
              <w:marLeft w:val="0"/>
              <w:marRight w:val="0"/>
              <w:marTop w:val="0"/>
              <w:marBottom w:val="0"/>
              <w:divBdr>
                <w:top w:val="none" w:sz="0" w:space="0" w:color="auto"/>
                <w:left w:val="none" w:sz="0" w:space="0" w:color="auto"/>
                <w:bottom w:val="none" w:sz="0" w:space="0" w:color="auto"/>
                <w:right w:val="none" w:sz="0" w:space="0" w:color="auto"/>
              </w:divBdr>
            </w:div>
          </w:divsChild>
        </w:div>
        <w:div w:id="1128550095">
          <w:marLeft w:val="0"/>
          <w:marRight w:val="0"/>
          <w:marTop w:val="0"/>
          <w:marBottom w:val="0"/>
          <w:divBdr>
            <w:top w:val="none" w:sz="0" w:space="0" w:color="auto"/>
            <w:left w:val="none" w:sz="0" w:space="0" w:color="auto"/>
            <w:bottom w:val="none" w:sz="0" w:space="0" w:color="auto"/>
            <w:right w:val="none" w:sz="0" w:space="0" w:color="auto"/>
          </w:divBdr>
          <w:divsChild>
            <w:div w:id="407390849">
              <w:marLeft w:val="0"/>
              <w:marRight w:val="0"/>
              <w:marTop w:val="0"/>
              <w:marBottom w:val="0"/>
              <w:divBdr>
                <w:top w:val="none" w:sz="0" w:space="0" w:color="auto"/>
                <w:left w:val="none" w:sz="0" w:space="0" w:color="auto"/>
                <w:bottom w:val="none" w:sz="0" w:space="0" w:color="auto"/>
                <w:right w:val="none" w:sz="0" w:space="0" w:color="auto"/>
              </w:divBdr>
            </w:div>
            <w:div w:id="1142380584">
              <w:marLeft w:val="0"/>
              <w:marRight w:val="0"/>
              <w:marTop w:val="0"/>
              <w:marBottom w:val="0"/>
              <w:divBdr>
                <w:top w:val="none" w:sz="0" w:space="0" w:color="auto"/>
                <w:left w:val="none" w:sz="0" w:space="0" w:color="auto"/>
                <w:bottom w:val="none" w:sz="0" w:space="0" w:color="auto"/>
                <w:right w:val="none" w:sz="0" w:space="0" w:color="auto"/>
              </w:divBdr>
            </w:div>
            <w:div w:id="1192953861">
              <w:marLeft w:val="0"/>
              <w:marRight w:val="0"/>
              <w:marTop w:val="0"/>
              <w:marBottom w:val="0"/>
              <w:divBdr>
                <w:top w:val="none" w:sz="0" w:space="0" w:color="auto"/>
                <w:left w:val="none" w:sz="0" w:space="0" w:color="auto"/>
                <w:bottom w:val="none" w:sz="0" w:space="0" w:color="auto"/>
                <w:right w:val="none" w:sz="0" w:space="0" w:color="auto"/>
              </w:divBdr>
            </w:div>
          </w:divsChild>
        </w:div>
        <w:div w:id="953637238">
          <w:marLeft w:val="0"/>
          <w:marRight w:val="0"/>
          <w:marTop w:val="0"/>
          <w:marBottom w:val="0"/>
          <w:divBdr>
            <w:top w:val="none" w:sz="0" w:space="0" w:color="auto"/>
            <w:left w:val="none" w:sz="0" w:space="0" w:color="auto"/>
            <w:bottom w:val="none" w:sz="0" w:space="0" w:color="auto"/>
            <w:right w:val="none" w:sz="0" w:space="0" w:color="auto"/>
          </w:divBdr>
          <w:divsChild>
            <w:div w:id="330067371">
              <w:marLeft w:val="0"/>
              <w:marRight w:val="0"/>
              <w:marTop w:val="0"/>
              <w:marBottom w:val="0"/>
              <w:divBdr>
                <w:top w:val="none" w:sz="0" w:space="0" w:color="auto"/>
                <w:left w:val="none" w:sz="0" w:space="0" w:color="auto"/>
                <w:bottom w:val="none" w:sz="0" w:space="0" w:color="auto"/>
                <w:right w:val="none" w:sz="0" w:space="0" w:color="auto"/>
              </w:divBdr>
            </w:div>
            <w:div w:id="1721204122">
              <w:marLeft w:val="0"/>
              <w:marRight w:val="0"/>
              <w:marTop w:val="0"/>
              <w:marBottom w:val="0"/>
              <w:divBdr>
                <w:top w:val="none" w:sz="0" w:space="0" w:color="auto"/>
                <w:left w:val="none" w:sz="0" w:space="0" w:color="auto"/>
                <w:bottom w:val="none" w:sz="0" w:space="0" w:color="auto"/>
                <w:right w:val="none" w:sz="0" w:space="0" w:color="auto"/>
              </w:divBdr>
            </w:div>
            <w:div w:id="543758897">
              <w:marLeft w:val="0"/>
              <w:marRight w:val="0"/>
              <w:marTop w:val="0"/>
              <w:marBottom w:val="0"/>
              <w:divBdr>
                <w:top w:val="none" w:sz="0" w:space="0" w:color="auto"/>
                <w:left w:val="none" w:sz="0" w:space="0" w:color="auto"/>
                <w:bottom w:val="none" w:sz="0" w:space="0" w:color="auto"/>
                <w:right w:val="none" w:sz="0" w:space="0" w:color="auto"/>
              </w:divBdr>
            </w:div>
            <w:div w:id="1286548090">
              <w:marLeft w:val="0"/>
              <w:marRight w:val="0"/>
              <w:marTop w:val="0"/>
              <w:marBottom w:val="0"/>
              <w:divBdr>
                <w:top w:val="none" w:sz="0" w:space="0" w:color="auto"/>
                <w:left w:val="none" w:sz="0" w:space="0" w:color="auto"/>
                <w:bottom w:val="none" w:sz="0" w:space="0" w:color="auto"/>
                <w:right w:val="none" w:sz="0" w:space="0" w:color="auto"/>
              </w:divBdr>
            </w:div>
            <w:div w:id="220364327">
              <w:marLeft w:val="0"/>
              <w:marRight w:val="0"/>
              <w:marTop w:val="0"/>
              <w:marBottom w:val="0"/>
              <w:divBdr>
                <w:top w:val="none" w:sz="0" w:space="0" w:color="auto"/>
                <w:left w:val="none" w:sz="0" w:space="0" w:color="auto"/>
                <w:bottom w:val="none" w:sz="0" w:space="0" w:color="auto"/>
                <w:right w:val="none" w:sz="0" w:space="0" w:color="auto"/>
              </w:divBdr>
            </w:div>
          </w:divsChild>
        </w:div>
        <w:div w:id="568075362">
          <w:marLeft w:val="0"/>
          <w:marRight w:val="0"/>
          <w:marTop w:val="0"/>
          <w:marBottom w:val="0"/>
          <w:divBdr>
            <w:top w:val="none" w:sz="0" w:space="0" w:color="auto"/>
            <w:left w:val="none" w:sz="0" w:space="0" w:color="auto"/>
            <w:bottom w:val="none" w:sz="0" w:space="0" w:color="auto"/>
            <w:right w:val="none" w:sz="0" w:space="0" w:color="auto"/>
          </w:divBdr>
        </w:div>
        <w:div w:id="1538200560">
          <w:marLeft w:val="0"/>
          <w:marRight w:val="0"/>
          <w:marTop w:val="0"/>
          <w:marBottom w:val="0"/>
          <w:divBdr>
            <w:top w:val="none" w:sz="0" w:space="0" w:color="auto"/>
            <w:left w:val="none" w:sz="0" w:space="0" w:color="auto"/>
            <w:bottom w:val="none" w:sz="0" w:space="0" w:color="auto"/>
            <w:right w:val="none" w:sz="0" w:space="0" w:color="auto"/>
          </w:divBdr>
          <w:divsChild>
            <w:div w:id="1030690503">
              <w:marLeft w:val="-75"/>
              <w:marRight w:val="0"/>
              <w:marTop w:val="30"/>
              <w:marBottom w:val="30"/>
              <w:divBdr>
                <w:top w:val="none" w:sz="0" w:space="0" w:color="auto"/>
                <w:left w:val="none" w:sz="0" w:space="0" w:color="auto"/>
                <w:bottom w:val="none" w:sz="0" w:space="0" w:color="auto"/>
                <w:right w:val="none" w:sz="0" w:space="0" w:color="auto"/>
              </w:divBdr>
              <w:divsChild>
                <w:div w:id="439450645">
                  <w:marLeft w:val="0"/>
                  <w:marRight w:val="0"/>
                  <w:marTop w:val="0"/>
                  <w:marBottom w:val="0"/>
                  <w:divBdr>
                    <w:top w:val="none" w:sz="0" w:space="0" w:color="auto"/>
                    <w:left w:val="none" w:sz="0" w:space="0" w:color="auto"/>
                    <w:bottom w:val="none" w:sz="0" w:space="0" w:color="auto"/>
                    <w:right w:val="none" w:sz="0" w:space="0" w:color="auto"/>
                  </w:divBdr>
                  <w:divsChild>
                    <w:div w:id="1359618204">
                      <w:marLeft w:val="0"/>
                      <w:marRight w:val="0"/>
                      <w:marTop w:val="0"/>
                      <w:marBottom w:val="0"/>
                      <w:divBdr>
                        <w:top w:val="none" w:sz="0" w:space="0" w:color="auto"/>
                        <w:left w:val="none" w:sz="0" w:space="0" w:color="auto"/>
                        <w:bottom w:val="none" w:sz="0" w:space="0" w:color="auto"/>
                        <w:right w:val="none" w:sz="0" w:space="0" w:color="auto"/>
                      </w:divBdr>
                    </w:div>
                  </w:divsChild>
                </w:div>
                <w:div w:id="835262197">
                  <w:marLeft w:val="0"/>
                  <w:marRight w:val="0"/>
                  <w:marTop w:val="0"/>
                  <w:marBottom w:val="0"/>
                  <w:divBdr>
                    <w:top w:val="none" w:sz="0" w:space="0" w:color="auto"/>
                    <w:left w:val="none" w:sz="0" w:space="0" w:color="auto"/>
                    <w:bottom w:val="none" w:sz="0" w:space="0" w:color="auto"/>
                    <w:right w:val="none" w:sz="0" w:space="0" w:color="auto"/>
                  </w:divBdr>
                  <w:divsChild>
                    <w:div w:id="1468469984">
                      <w:marLeft w:val="0"/>
                      <w:marRight w:val="0"/>
                      <w:marTop w:val="0"/>
                      <w:marBottom w:val="0"/>
                      <w:divBdr>
                        <w:top w:val="none" w:sz="0" w:space="0" w:color="auto"/>
                        <w:left w:val="none" w:sz="0" w:space="0" w:color="auto"/>
                        <w:bottom w:val="none" w:sz="0" w:space="0" w:color="auto"/>
                        <w:right w:val="none" w:sz="0" w:space="0" w:color="auto"/>
                      </w:divBdr>
                    </w:div>
                  </w:divsChild>
                </w:div>
                <w:div w:id="1874032042">
                  <w:marLeft w:val="0"/>
                  <w:marRight w:val="0"/>
                  <w:marTop w:val="0"/>
                  <w:marBottom w:val="0"/>
                  <w:divBdr>
                    <w:top w:val="none" w:sz="0" w:space="0" w:color="auto"/>
                    <w:left w:val="none" w:sz="0" w:space="0" w:color="auto"/>
                    <w:bottom w:val="none" w:sz="0" w:space="0" w:color="auto"/>
                    <w:right w:val="none" w:sz="0" w:space="0" w:color="auto"/>
                  </w:divBdr>
                  <w:divsChild>
                    <w:div w:id="1346664389">
                      <w:marLeft w:val="0"/>
                      <w:marRight w:val="0"/>
                      <w:marTop w:val="0"/>
                      <w:marBottom w:val="0"/>
                      <w:divBdr>
                        <w:top w:val="none" w:sz="0" w:space="0" w:color="auto"/>
                        <w:left w:val="none" w:sz="0" w:space="0" w:color="auto"/>
                        <w:bottom w:val="none" w:sz="0" w:space="0" w:color="auto"/>
                        <w:right w:val="none" w:sz="0" w:space="0" w:color="auto"/>
                      </w:divBdr>
                    </w:div>
                  </w:divsChild>
                </w:div>
                <w:div w:id="1896239809">
                  <w:marLeft w:val="0"/>
                  <w:marRight w:val="0"/>
                  <w:marTop w:val="0"/>
                  <w:marBottom w:val="0"/>
                  <w:divBdr>
                    <w:top w:val="none" w:sz="0" w:space="0" w:color="auto"/>
                    <w:left w:val="none" w:sz="0" w:space="0" w:color="auto"/>
                    <w:bottom w:val="none" w:sz="0" w:space="0" w:color="auto"/>
                    <w:right w:val="none" w:sz="0" w:space="0" w:color="auto"/>
                  </w:divBdr>
                  <w:divsChild>
                    <w:div w:id="385639604">
                      <w:marLeft w:val="0"/>
                      <w:marRight w:val="0"/>
                      <w:marTop w:val="0"/>
                      <w:marBottom w:val="0"/>
                      <w:divBdr>
                        <w:top w:val="none" w:sz="0" w:space="0" w:color="auto"/>
                        <w:left w:val="none" w:sz="0" w:space="0" w:color="auto"/>
                        <w:bottom w:val="none" w:sz="0" w:space="0" w:color="auto"/>
                        <w:right w:val="none" w:sz="0" w:space="0" w:color="auto"/>
                      </w:divBdr>
                    </w:div>
                  </w:divsChild>
                </w:div>
                <w:div w:id="738094220">
                  <w:marLeft w:val="0"/>
                  <w:marRight w:val="0"/>
                  <w:marTop w:val="0"/>
                  <w:marBottom w:val="0"/>
                  <w:divBdr>
                    <w:top w:val="none" w:sz="0" w:space="0" w:color="auto"/>
                    <w:left w:val="none" w:sz="0" w:space="0" w:color="auto"/>
                    <w:bottom w:val="none" w:sz="0" w:space="0" w:color="auto"/>
                    <w:right w:val="none" w:sz="0" w:space="0" w:color="auto"/>
                  </w:divBdr>
                  <w:divsChild>
                    <w:div w:id="1453859116">
                      <w:marLeft w:val="0"/>
                      <w:marRight w:val="0"/>
                      <w:marTop w:val="0"/>
                      <w:marBottom w:val="0"/>
                      <w:divBdr>
                        <w:top w:val="none" w:sz="0" w:space="0" w:color="auto"/>
                        <w:left w:val="none" w:sz="0" w:space="0" w:color="auto"/>
                        <w:bottom w:val="none" w:sz="0" w:space="0" w:color="auto"/>
                        <w:right w:val="none" w:sz="0" w:space="0" w:color="auto"/>
                      </w:divBdr>
                    </w:div>
                  </w:divsChild>
                </w:div>
                <w:div w:id="1785539217">
                  <w:marLeft w:val="0"/>
                  <w:marRight w:val="0"/>
                  <w:marTop w:val="0"/>
                  <w:marBottom w:val="0"/>
                  <w:divBdr>
                    <w:top w:val="none" w:sz="0" w:space="0" w:color="auto"/>
                    <w:left w:val="none" w:sz="0" w:space="0" w:color="auto"/>
                    <w:bottom w:val="none" w:sz="0" w:space="0" w:color="auto"/>
                    <w:right w:val="none" w:sz="0" w:space="0" w:color="auto"/>
                  </w:divBdr>
                  <w:divsChild>
                    <w:div w:id="1682002375">
                      <w:marLeft w:val="0"/>
                      <w:marRight w:val="0"/>
                      <w:marTop w:val="0"/>
                      <w:marBottom w:val="0"/>
                      <w:divBdr>
                        <w:top w:val="none" w:sz="0" w:space="0" w:color="auto"/>
                        <w:left w:val="none" w:sz="0" w:space="0" w:color="auto"/>
                        <w:bottom w:val="none" w:sz="0" w:space="0" w:color="auto"/>
                        <w:right w:val="none" w:sz="0" w:space="0" w:color="auto"/>
                      </w:divBdr>
                    </w:div>
                  </w:divsChild>
                </w:div>
                <w:div w:id="618798070">
                  <w:marLeft w:val="0"/>
                  <w:marRight w:val="0"/>
                  <w:marTop w:val="0"/>
                  <w:marBottom w:val="0"/>
                  <w:divBdr>
                    <w:top w:val="none" w:sz="0" w:space="0" w:color="auto"/>
                    <w:left w:val="none" w:sz="0" w:space="0" w:color="auto"/>
                    <w:bottom w:val="none" w:sz="0" w:space="0" w:color="auto"/>
                    <w:right w:val="none" w:sz="0" w:space="0" w:color="auto"/>
                  </w:divBdr>
                  <w:divsChild>
                    <w:div w:id="429785129">
                      <w:marLeft w:val="0"/>
                      <w:marRight w:val="0"/>
                      <w:marTop w:val="0"/>
                      <w:marBottom w:val="0"/>
                      <w:divBdr>
                        <w:top w:val="none" w:sz="0" w:space="0" w:color="auto"/>
                        <w:left w:val="none" w:sz="0" w:space="0" w:color="auto"/>
                        <w:bottom w:val="none" w:sz="0" w:space="0" w:color="auto"/>
                        <w:right w:val="none" w:sz="0" w:space="0" w:color="auto"/>
                      </w:divBdr>
                    </w:div>
                  </w:divsChild>
                </w:div>
                <w:div w:id="252473224">
                  <w:marLeft w:val="0"/>
                  <w:marRight w:val="0"/>
                  <w:marTop w:val="0"/>
                  <w:marBottom w:val="0"/>
                  <w:divBdr>
                    <w:top w:val="none" w:sz="0" w:space="0" w:color="auto"/>
                    <w:left w:val="none" w:sz="0" w:space="0" w:color="auto"/>
                    <w:bottom w:val="none" w:sz="0" w:space="0" w:color="auto"/>
                    <w:right w:val="none" w:sz="0" w:space="0" w:color="auto"/>
                  </w:divBdr>
                  <w:divsChild>
                    <w:div w:id="1209220644">
                      <w:marLeft w:val="0"/>
                      <w:marRight w:val="0"/>
                      <w:marTop w:val="0"/>
                      <w:marBottom w:val="0"/>
                      <w:divBdr>
                        <w:top w:val="none" w:sz="0" w:space="0" w:color="auto"/>
                        <w:left w:val="none" w:sz="0" w:space="0" w:color="auto"/>
                        <w:bottom w:val="none" w:sz="0" w:space="0" w:color="auto"/>
                        <w:right w:val="none" w:sz="0" w:space="0" w:color="auto"/>
                      </w:divBdr>
                    </w:div>
                  </w:divsChild>
                </w:div>
                <w:div w:id="837228363">
                  <w:marLeft w:val="0"/>
                  <w:marRight w:val="0"/>
                  <w:marTop w:val="0"/>
                  <w:marBottom w:val="0"/>
                  <w:divBdr>
                    <w:top w:val="none" w:sz="0" w:space="0" w:color="auto"/>
                    <w:left w:val="none" w:sz="0" w:space="0" w:color="auto"/>
                    <w:bottom w:val="none" w:sz="0" w:space="0" w:color="auto"/>
                    <w:right w:val="none" w:sz="0" w:space="0" w:color="auto"/>
                  </w:divBdr>
                  <w:divsChild>
                    <w:div w:id="1391149772">
                      <w:marLeft w:val="0"/>
                      <w:marRight w:val="0"/>
                      <w:marTop w:val="0"/>
                      <w:marBottom w:val="0"/>
                      <w:divBdr>
                        <w:top w:val="none" w:sz="0" w:space="0" w:color="auto"/>
                        <w:left w:val="none" w:sz="0" w:space="0" w:color="auto"/>
                        <w:bottom w:val="none" w:sz="0" w:space="0" w:color="auto"/>
                        <w:right w:val="none" w:sz="0" w:space="0" w:color="auto"/>
                      </w:divBdr>
                    </w:div>
                  </w:divsChild>
                </w:div>
                <w:div w:id="1081558220">
                  <w:marLeft w:val="0"/>
                  <w:marRight w:val="0"/>
                  <w:marTop w:val="0"/>
                  <w:marBottom w:val="0"/>
                  <w:divBdr>
                    <w:top w:val="none" w:sz="0" w:space="0" w:color="auto"/>
                    <w:left w:val="none" w:sz="0" w:space="0" w:color="auto"/>
                    <w:bottom w:val="none" w:sz="0" w:space="0" w:color="auto"/>
                    <w:right w:val="none" w:sz="0" w:space="0" w:color="auto"/>
                  </w:divBdr>
                  <w:divsChild>
                    <w:div w:id="520363348">
                      <w:marLeft w:val="0"/>
                      <w:marRight w:val="0"/>
                      <w:marTop w:val="0"/>
                      <w:marBottom w:val="0"/>
                      <w:divBdr>
                        <w:top w:val="none" w:sz="0" w:space="0" w:color="auto"/>
                        <w:left w:val="none" w:sz="0" w:space="0" w:color="auto"/>
                        <w:bottom w:val="none" w:sz="0" w:space="0" w:color="auto"/>
                        <w:right w:val="none" w:sz="0" w:space="0" w:color="auto"/>
                      </w:divBdr>
                    </w:div>
                  </w:divsChild>
                </w:div>
                <w:div w:id="784075614">
                  <w:marLeft w:val="0"/>
                  <w:marRight w:val="0"/>
                  <w:marTop w:val="0"/>
                  <w:marBottom w:val="0"/>
                  <w:divBdr>
                    <w:top w:val="none" w:sz="0" w:space="0" w:color="auto"/>
                    <w:left w:val="none" w:sz="0" w:space="0" w:color="auto"/>
                    <w:bottom w:val="none" w:sz="0" w:space="0" w:color="auto"/>
                    <w:right w:val="none" w:sz="0" w:space="0" w:color="auto"/>
                  </w:divBdr>
                  <w:divsChild>
                    <w:div w:id="1669867117">
                      <w:marLeft w:val="0"/>
                      <w:marRight w:val="0"/>
                      <w:marTop w:val="0"/>
                      <w:marBottom w:val="0"/>
                      <w:divBdr>
                        <w:top w:val="none" w:sz="0" w:space="0" w:color="auto"/>
                        <w:left w:val="none" w:sz="0" w:space="0" w:color="auto"/>
                        <w:bottom w:val="none" w:sz="0" w:space="0" w:color="auto"/>
                        <w:right w:val="none" w:sz="0" w:space="0" w:color="auto"/>
                      </w:divBdr>
                    </w:div>
                    <w:div w:id="1061059177">
                      <w:marLeft w:val="0"/>
                      <w:marRight w:val="0"/>
                      <w:marTop w:val="0"/>
                      <w:marBottom w:val="0"/>
                      <w:divBdr>
                        <w:top w:val="none" w:sz="0" w:space="0" w:color="auto"/>
                        <w:left w:val="none" w:sz="0" w:space="0" w:color="auto"/>
                        <w:bottom w:val="none" w:sz="0" w:space="0" w:color="auto"/>
                        <w:right w:val="none" w:sz="0" w:space="0" w:color="auto"/>
                      </w:divBdr>
                    </w:div>
                  </w:divsChild>
                </w:div>
                <w:div w:id="1620144540">
                  <w:marLeft w:val="0"/>
                  <w:marRight w:val="0"/>
                  <w:marTop w:val="0"/>
                  <w:marBottom w:val="0"/>
                  <w:divBdr>
                    <w:top w:val="none" w:sz="0" w:space="0" w:color="auto"/>
                    <w:left w:val="none" w:sz="0" w:space="0" w:color="auto"/>
                    <w:bottom w:val="none" w:sz="0" w:space="0" w:color="auto"/>
                    <w:right w:val="none" w:sz="0" w:space="0" w:color="auto"/>
                  </w:divBdr>
                  <w:divsChild>
                    <w:div w:id="419764345">
                      <w:marLeft w:val="0"/>
                      <w:marRight w:val="0"/>
                      <w:marTop w:val="0"/>
                      <w:marBottom w:val="0"/>
                      <w:divBdr>
                        <w:top w:val="none" w:sz="0" w:space="0" w:color="auto"/>
                        <w:left w:val="none" w:sz="0" w:space="0" w:color="auto"/>
                        <w:bottom w:val="none" w:sz="0" w:space="0" w:color="auto"/>
                        <w:right w:val="none" w:sz="0" w:space="0" w:color="auto"/>
                      </w:divBdr>
                    </w:div>
                  </w:divsChild>
                </w:div>
                <w:div w:id="851533023">
                  <w:marLeft w:val="0"/>
                  <w:marRight w:val="0"/>
                  <w:marTop w:val="0"/>
                  <w:marBottom w:val="0"/>
                  <w:divBdr>
                    <w:top w:val="none" w:sz="0" w:space="0" w:color="auto"/>
                    <w:left w:val="none" w:sz="0" w:space="0" w:color="auto"/>
                    <w:bottom w:val="none" w:sz="0" w:space="0" w:color="auto"/>
                    <w:right w:val="none" w:sz="0" w:space="0" w:color="auto"/>
                  </w:divBdr>
                  <w:divsChild>
                    <w:div w:id="421223715">
                      <w:marLeft w:val="0"/>
                      <w:marRight w:val="0"/>
                      <w:marTop w:val="0"/>
                      <w:marBottom w:val="0"/>
                      <w:divBdr>
                        <w:top w:val="none" w:sz="0" w:space="0" w:color="auto"/>
                        <w:left w:val="none" w:sz="0" w:space="0" w:color="auto"/>
                        <w:bottom w:val="none" w:sz="0" w:space="0" w:color="auto"/>
                        <w:right w:val="none" w:sz="0" w:space="0" w:color="auto"/>
                      </w:divBdr>
                    </w:div>
                  </w:divsChild>
                </w:div>
                <w:div w:id="300615503">
                  <w:marLeft w:val="0"/>
                  <w:marRight w:val="0"/>
                  <w:marTop w:val="0"/>
                  <w:marBottom w:val="0"/>
                  <w:divBdr>
                    <w:top w:val="none" w:sz="0" w:space="0" w:color="auto"/>
                    <w:left w:val="none" w:sz="0" w:space="0" w:color="auto"/>
                    <w:bottom w:val="none" w:sz="0" w:space="0" w:color="auto"/>
                    <w:right w:val="none" w:sz="0" w:space="0" w:color="auto"/>
                  </w:divBdr>
                  <w:divsChild>
                    <w:div w:id="1767268462">
                      <w:marLeft w:val="0"/>
                      <w:marRight w:val="0"/>
                      <w:marTop w:val="0"/>
                      <w:marBottom w:val="0"/>
                      <w:divBdr>
                        <w:top w:val="none" w:sz="0" w:space="0" w:color="auto"/>
                        <w:left w:val="none" w:sz="0" w:space="0" w:color="auto"/>
                        <w:bottom w:val="none" w:sz="0" w:space="0" w:color="auto"/>
                        <w:right w:val="none" w:sz="0" w:space="0" w:color="auto"/>
                      </w:divBdr>
                    </w:div>
                    <w:div w:id="2067948171">
                      <w:marLeft w:val="0"/>
                      <w:marRight w:val="0"/>
                      <w:marTop w:val="0"/>
                      <w:marBottom w:val="0"/>
                      <w:divBdr>
                        <w:top w:val="none" w:sz="0" w:space="0" w:color="auto"/>
                        <w:left w:val="none" w:sz="0" w:space="0" w:color="auto"/>
                        <w:bottom w:val="none" w:sz="0" w:space="0" w:color="auto"/>
                        <w:right w:val="none" w:sz="0" w:space="0" w:color="auto"/>
                      </w:divBdr>
                    </w:div>
                  </w:divsChild>
                </w:div>
                <w:div w:id="1439057601">
                  <w:marLeft w:val="0"/>
                  <w:marRight w:val="0"/>
                  <w:marTop w:val="0"/>
                  <w:marBottom w:val="0"/>
                  <w:divBdr>
                    <w:top w:val="none" w:sz="0" w:space="0" w:color="auto"/>
                    <w:left w:val="none" w:sz="0" w:space="0" w:color="auto"/>
                    <w:bottom w:val="none" w:sz="0" w:space="0" w:color="auto"/>
                    <w:right w:val="none" w:sz="0" w:space="0" w:color="auto"/>
                  </w:divBdr>
                  <w:divsChild>
                    <w:div w:id="1578132383">
                      <w:marLeft w:val="0"/>
                      <w:marRight w:val="0"/>
                      <w:marTop w:val="0"/>
                      <w:marBottom w:val="0"/>
                      <w:divBdr>
                        <w:top w:val="none" w:sz="0" w:space="0" w:color="auto"/>
                        <w:left w:val="none" w:sz="0" w:space="0" w:color="auto"/>
                        <w:bottom w:val="none" w:sz="0" w:space="0" w:color="auto"/>
                        <w:right w:val="none" w:sz="0" w:space="0" w:color="auto"/>
                      </w:divBdr>
                    </w:div>
                    <w:div w:id="1578437451">
                      <w:marLeft w:val="0"/>
                      <w:marRight w:val="0"/>
                      <w:marTop w:val="0"/>
                      <w:marBottom w:val="0"/>
                      <w:divBdr>
                        <w:top w:val="none" w:sz="0" w:space="0" w:color="auto"/>
                        <w:left w:val="none" w:sz="0" w:space="0" w:color="auto"/>
                        <w:bottom w:val="none" w:sz="0" w:space="0" w:color="auto"/>
                        <w:right w:val="none" w:sz="0" w:space="0" w:color="auto"/>
                      </w:divBdr>
                    </w:div>
                  </w:divsChild>
                </w:div>
                <w:div w:id="1259679740">
                  <w:marLeft w:val="0"/>
                  <w:marRight w:val="0"/>
                  <w:marTop w:val="0"/>
                  <w:marBottom w:val="0"/>
                  <w:divBdr>
                    <w:top w:val="none" w:sz="0" w:space="0" w:color="auto"/>
                    <w:left w:val="none" w:sz="0" w:space="0" w:color="auto"/>
                    <w:bottom w:val="none" w:sz="0" w:space="0" w:color="auto"/>
                    <w:right w:val="none" w:sz="0" w:space="0" w:color="auto"/>
                  </w:divBdr>
                  <w:divsChild>
                    <w:div w:id="54084858">
                      <w:marLeft w:val="0"/>
                      <w:marRight w:val="0"/>
                      <w:marTop w:val="0"/>
                      <w:marBottom w:val="0"/>
                      <w:divBdr>
                        <w:top w:val="none" w:sz="0" w:space="0" w:color="auto"/>
                        <w:left w:val="none" w:sz="0" w:space="0" w:color="auto"/>
                        <w:bottom w:val="none" w:sz="0" w:space="0" w:color="auto"/>
                        <w:right w:val="none" w:sz="0" w:space="0" w:color="auto"/>
                      </w:divBdr>
                    </w:div>
                  </w:divsChild>
                </w:div>
                <w:div w:id="440225636">
                  <w:marLeft w:val="0"/>
                  <w:marRight w:val="0"/>
                  <w:marTop w:val="0"/>
                  <w:marBottom w:val="0"/>
                  <w:divBdr>
                    <w:top w:val="none" w:sz="0" w:space="0" w:color="auto"/>
                    <w:left w:val="none" w:sz="0" w:space="0" w:color="auto"/>
                    <w:bottom w:val="none" w:sz="0" w:space="0" w:color="auto"/>
                    <w:right w:val="none" w:sz="0" w:space="0" w:color="auto"/>
                  </w:divBdr>
                  <w:divsChild>
                    <w:div w:id="1617329362">
                      <w:marLeft w:val="0"/>
                      <w:marRight w:val="0"/>
                      <w:marTop w:val="0"/>
                      <w:marBottom w:val="0"/>
                      <w:divBdr>
                        <w:top w:val="none" w:sz="0" w:space="0" w:color="auto"/>
                        <w:left w:val="none" w:sz="0" w:space="0" w:color="auto"/>
                        <w:bottom w:val="none" w:sz="0" w:space="0" w:color="auto"/>
                        <w:right w:val="none" w:sz="0" w:space="0" w:color="auto"/>
                      </w:divBdr>
                    </w:div>
                    <w:div w:id="521668105">
                      <w:marLeft w:val="0"/>
                      <w:marRight w:val="0"/>
                      <w:marTop w:val="0"/>
                      <w:marBottom w:val="0"/>
                      <w:divBdr>
                        <w:top w:val="none" w:sz="0" w:space="0" w:color="auto"/>
                        <w:left w:val="none" w:sz="0" w:space="0" w:color="auto"/>
                        <w:bottom w:val="none" w:sz="0" w:space="0" w:color="auto"/>
                        <w:right w:val="none" w:sz="0" w:space="0" w:color="auto"/>
                      </w:divBdr>
                    </w:div>
                  </w:divsChild>
                </w:div>
                <w:div w:id="1393964384">
                  <w:marLeft w:val="0"/>
                  <w:marRight w:val="0"/>
                  <w:marTop w:val="0"/>
                  <w:marBottom w:val="0"/>
                  <w:divBdr>
                    <w:top w:val="none" w:sz="0" w:space="0" w:color="auto"/>
                    <w:left w:val="none" w:sz="0" w:space="0" w:color="auto"/>
                    <w:bottom w:val="none" w:sz="0" w:space="0" w:color="auto"/>
                    <w:right w:val="none" w:sz="0" w:space="0" w:color="auto"/>
                  </w:divBdr>
                  <w:divsChild>
                    <w:div w:id="12248765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02491009">
          <w:marLeft w:val="0"/>
          <w:marRight w:val="0"/>
          <w:marTop w:val="0"/>
          <w:marBottom w:val="0"/>
          <w:divBdr>
            <w:top w:val="none" w:sz="0" w:space="0" w:color="auto"/>
            <w:left w:val="none" w:sz="0" w:space="0" w:color="auto"/>
            <w:bottom w:val="none" w:sz="0" w:space="0" w:color="auto"/>
            <w:right w:val="none" w:sz="0" w:space="0" w:color="auto"/>
          </w:divBdr>
        </w:div>
        <w:div w:id="1668825297">
          <w:marLeft w:val="0"/>
          <w:marRight w:val="0"/>
          <w:marTop w:val="0"/>
          <w:marBottom w:val="0"/>
          <w:divBdr>
            <w:top w:val="none" w:sz="0" w:space="0" w:color="auto"/>
            <w:left w:val="none" w:sz="0" w:space="0" w:color="auto"/>
            <w:bottom w:val="none" w:sz="0" w:space="0" w:color="auto"/>
            <w:right w:val="none" w:sz="0" w:space="0" w:color="auto"/>
          </w:divBdr>
        </w:div>
        <w:div w:id="596713425">
          <w:marLeft w:val="0"/>
          <w:marRight w:val="0"/>
          <w:marTop w:val="0"/>
          <w:marBottom w:val="0"/>
          <w:divBdr>
            <w:top w:val="none" w:sz="0" w:space="0" w:color="auto"/>
            <w:left w:val="none" w:sz="0" w:space="0" w:color="auto"/>
            <w:bottom w:val="none" w:sz="0" w:space="0" w:color="auto"/>
            <w:right w:val="none" w:sz="0" w:space="0" w:color="auto"/>
          </w:divBdr>
        </w:div>
        <w:div w:id="355544057">
          <w:marLeft w:val="0"/>
          <w:marRight w:val="0"/>
          <w:marTop w:val="0"/>
          <w:marBottom w:val="0"/>
          <w:divBdr>
            <w:top w:val="none" w:sz="0" w:space="0" w:color="auto"/>
            <w:left w:val="none" w:sz="0" w:space="0" w:color="auto"/>
            <w:bottom w:val="none" w:sz="0" w:space="0" w:color="auto"/>
            <w:right w:val="none" w:sz="0" w:space="0" w:color="auto"/>
          </w:divBdr>
        </w:div>
        <w:div w:id="210045895">
          <w:marLeft w:val="0"/>
          <w:marRight w:val="0"/>
          <w:marTop w:val="0"/>
          <w:marBottom w:val="0"/>
          <w:divBdr>
            <w:top w:val="none" w:sz="0" w:space="0" w:color="auto"/>
            <w:left w:val="none" w:sz="0" w:space="0" w:color="auto"/>
            <w:bottom w:val="none" w:sz="0" w:space="0" w:color="auto"/>
            <w:right w:val="none" w:sz="0" w:space="0" w:color="auto"/>
          </w:divBdr>
        </w:div>
        <w:div w:id="1252810003">
          <w:marLeft w:val="0"/>
          <w:marRight w:val="0"/>
          <w:marTop w:val="0"/>
          <w:marBottom w:val="0"/>
          <w:divBdr>
            <w:top w:val="none" w:sz="0" w:space="0" w:color="auto"/>
            <w:left w:val="none" w:sz="0" w:space="0" w:color="auto"/>
            <w:bottom w:val="none" w:sz="0" w:space="0" w:color="auto"/>
            <w:right w:val="none" w:sz="0" w:space="0" w:color="auto"/>
          </w:divBdr>
        </w:div>
      </w:divsChild>
    </w:div>
    <w:div w:id="21342538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s://nam02.safelinks.protection.outlook.com/?url=https%3A%2F%2Fwww.colombiacompra.gov.co%2Fsites%2Fcce_public%2Ffiles%2Fcce_documents%2Fmanual_para_el_manejo_de_acuerdos_comerciales_vf.pdf&amp;data=05%7C02%7Ckevin.herrera%40colombiacompra.gov.co%7C6192b0470d324981a09708dd0a6c28db%7C7b09041e245149d08cb179d5e3d8c1be%7C0%7C0%7C638678181874517987%7CUnknown%7CTWFpbGZsb3d8eyJFbXB0eU1hcGkiOnRydWUsIlYiOiIwLjAuMDAwMCIsIlAiOiJXaW4zMiIsIkFOIjoiTWFpbCIsIldUIjoyfQ%3D%3D%7C0%7C%7C%7C&amp;sdata=aSC1cWiPtUP%2F82APpqHLo9CO0%2FIEySmFkHeYBod20v4%3D&amp;reserved=0" TargetMode="Externa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https://www.colombiacompra.gov.co/content/documento-tipo-para-la-contratacion-directa-de-convenios-solidarios-para-la-ejecucion-de" TargetMode="External"/><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www.colombiacompra.gov.co/sites/cce_public/files/files_2020/02._resolucion_358_de_2023_dt_-_convenios_solidarios.pdf" TargetMode="External"/><Relationship Id="rId5" Type="http://schemas.openxmlformats.org/officeDocument/2006/relationships/styles" Target="styles.xml"/><Relationship Id="rId15" Type="http://schemas.openxmlformats.org/officeDocument/2006/relationships/image" Target="media/image4.png"/><Relationship Id="rId10" Type="http://schemas.openxmlformats.org/officeDocument/2006/relationships/image" Target="media/image3.png"/><Relationship Id="rId19" Type="http://schemas.openxmlformats.org/officeDocument/2006/relationships/theme" Target="theme/theme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s://nam02.safelinks.protection.outlook.com/?url=https%3A%2F%2Fwww.colombiacompra.gov.co%2Fsala-de-prensa%2Fboletin-digital&amp;data=05%7C02%7Ckevin.herrera%40colombiacompra.gov.co%7C6192b0470d324981a09708dd0a6c28db%7C7b09041e245149d08cb179d5e3d8c1be%7C0%7C0%7C638678181874638648%7CUnknown%7CTWFpbGZsb3d8eyJFbXB0eU1hcGkiOnRydWUsIlYiOiIwLjAuMDAwMCIsIlAiOiJXaW4zMiIsIkFOIjoiTWFpbCIsIldUIjoyfQ%3D%3D%7C0%7C%7C%7C&amp;sdata=swWp3x23oZgriNfciidMVGpvGoRrhuO5LWmbhexCmGE%3D&amp;reserved=0" TargetMode="External"/></Relationships>
</file>

<file path=word/_rels/footnotes.xml.rels><?xml version="1.0" encoding="UTF-8" standalone="yes"?>
<Relationships xmlns="http://schemas.openxmlformats.org/package/2006/relationships"><Relationship Id="rId2" Type="http://schemas.openxmlformats.org/officeDocument/2006/relationships/hyperlink" Target="https://www.colombiacompra.gov.co/content/documento-tipo-para-la-contratacion-directa-de-convenios-solidarios-para-la-ejecucion-de" TargetMode="External"/><Relationship Id="rId1" Type="http://schemas.openxmlformats.org/officeDocument/2006/relationships/hyperlink" Target="https://www.suin-juriscol.gov.co/viewDocument.asp?id=30043742"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6.png"/><Relationship Id="rId1" Type="http://schemas.openxmlformats.org/officeDocument/2006/relationships/image" Target="media/image5.png"/></Relationships>
</file>

<file path=word/_rels/numbering.xml.rels><?xml version="1.0" encoding="UTF-8" standalone="yes"?>
<Relationships xmlns="http://schemas.openxmlformats.org/package/2006/relationships"><Relationship Id="rId2" Type="http://schemas.openxmlformats.org/officeDocument/2006/relationships/image" Target="media/image2.gif"/><Relationship Id="rId1" Type="http://schemas.openxmlformats.org/officeDocument/2006/relationships/image" Target="media/image1.gif"/></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9d85dbaf-23eb-4e57-a637-93dcacc8b1a1">
      <Terms xmlns="http://schemas.microsoft.com/office/infopath/2007/PartnerControls"/>
    </lcf76f155ced4ddcb4097134ff3c332f>
    <TaxCatchAll xmlns="a6cb9e4b-f1d1-4245-83ec-6cad768d538a" xsi:nil="true"/>
    <No xmlns="9d85dbaf-23eb-4e57-a637-93dcacc8b1a1" xsi:nil="true"/>
    <_Flow_SignoffStatus xmlns="9d85dbaf-23eb-4e57-a637-93dcacc8b1a1"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20" ma:contentTypeDescription="Crear nuevo documento." ma:contentTypeScope="" ma:versionID="3b428e1ff36e4b927e43637ad3eea921">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fb48c39798a5be86c32f55b38e9c5e14"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element ref="ns2:lcf76f155ced4ddcb4097134ff3c332f" minOccurs="0"/>
                <xsd:element ref="ns3:TaxCatchAll" minOccurs="0"/>
                <xsd:element ref="ns2:MediaServiceObjectDetectorVersions" minOccurs="0"/>
                <xsd:element ref="ns2:_Flow_SignoffStatus"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Etiquetas de imagen"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_Flow_SignoffStatus" ma:index="25" nillable="true" ma:displayName="Estado de aprobación" ma:internalName="Estado_x0020_de_x0020_aprobaci_x00f3_n">
      <xsd:simpleType>
        <xsd:restriction base="dms:Text"/>
      </xsd:simpleType>
    </xsd:element>
    <xsd:element name="MediaServiceLocation" ma:index="26" nillable="true" ma:displayName="Location" ma:description="" ma:indexed="true" ma:internalName="MediaServiceLocation"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element name="TaxCatchAll" ma:index="23" nillable="true" ma:displayName="Taxonomy Catch All Column" ma:hidden="true" ma:list="{1105a6f2-09f1-4f7d-bab9-e03f1dc4ac6e}" ma:internalName="TaxCatchAll" ma:showField="CatchAllData" ma:web="a6cb9e4b-f1d1-4245-83ec-6cad768d53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19B0637E-D058-473B-8FE7-AA861F69C797}">
  <ds:schemaRefs>
    <ds:schemaRef ds:uri="http://schemas.microsoft.com/sharepoint/v3/contenttype/forms"/>
  </ds:schemaRefs>
</ds:datastoreItem>
</file>

<file path=customXml/itemProps2.xml><?xml version="1.0" encoding="utf-8"?>
<ds:datastoreItem xmlns:ds="http://schemas.openxmlformats.org/officeDocument/2006/customXml" ds:itemID="{163618BE-28CB-4D69-955E-CDA788483BED}">
  <ds:schemaRefs>
    <ds:schemaRef ds:uri="8ae15d26-076e-464e-81a7-6f76a0fb3917"/>
    <ds:schemaRef ds:uri="http://schemas.microsoft.com/office/2006/documentManagement/types"/>
    <ds:schemaRef ds:uri="http://purl.org/dc/elements/1.1/"/>
    <ds:schemaRef ds:uri="http://www.w3.org/XML/1998/namespace"/>
    <ds:schemaRef ds:uri="http://purl.org/dc/terms/"/>
    <ds:schemaRef ds:uri="http://schemas.microsoft.com/office/infopath/2007/PartnerControls"/>
    <ds:schemaRef ds:uri="http://schemas.openxmlformats.org/package/2006/metadata/core-properties"/>
    <ds:schemaRef ds:uri="b531b13d-89bf-4629-be1e-22fdf3dd34d4"/>
    <ds:schemaRef ds:uri="http://schemas.microsoft.com/office/2006/metadata/properties"/>
    <ds:schemaRef ds:uri="http://purl.org/dc/dcmitype/"/>
  </ds:schemaRefs>
</ds:datastoreItem>
</file>

<file path=customXml/itemProps3.xml><?xml version="1.0" encoding="utf-8"?>
<ds:datastoreItem xmlns:ds="http://schemas.openxmlformats.org/officeDocument/2006/customXml" ds:itemID="{FBED3E1F-68DC-4D45-82A8-8AA223D3DE14}"/>
</file>

<file path=docProps/app.xml><?xml version="1.0" encoding="utf-8"?>
<Properties xmlns="http://schemas.openxmlformats.org/officeDocument/2006/extended-properties" xmlns:vt="http://schemas.openxmlformats.org/officeDocument/2006/docPropsVTypes">
  <Template>Normal.dotm</Template>
  <TotalTime>2</TotalTime>
  <Pages>15</Pages>
  <Words>4803</Words>
  <Characters>26419</Characters>
  <Application>Microsoft Office Word</Application>
  <DocSecurity>0</DocSecurity>
  <Lines>220</Lines>
  <Paragraphs>62</Paragraphs>
  <ScaleCrop>false</ScaleCrop>
  <Company/>
  <LinksUpToDate>false</LinksUpToDate>
  <CharactersWithSpaces>31160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Andrés Felipe Ospina Acosta</dc:creator>
  <cp:keywords/>
  <dc:description/>
  <cp:lastModifiedBy>Kevin Arlid Herrera Santa</cp:lastModifiedBy>
  <cp:revision>4</cp:revision>
  <cp:lastPrinted>2023-01-10T21:18:00Z</cp:lastPrinted>
  <dcterms:created xsi:type="dcterms:W3CDTF">2025-03-07T22:38:00Z</dcterms:created>
  <dcterms:modified xsi:type="dcterms:W3CDTF">2025-03-07T22:41:00Z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y fmtid="{D5CDD505-2E9C-101B-9397-08002B2CF9AE}" pid="3" name="MediaServiceImageTags">
    <vt:lpwstr/>
  </property>
</Properties>
</file>