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7A1BF" w14:textId="77777777" w:rsidR="002A114C" w:rsidRPr="002A114C" w:rsidRDefault="002A114C" w:rsidP="002A114C">
      <w:pPr>
        <w:spacing w:after="0" w:line="240" w:lineRule="auto"/>
        <w:jc w:val="right"/>
        <w:rPr>
          <w:rFonts w:ascii="Arial" w:eastAsia="Calibri" w:hAnsi="Arial" w:cs="Arial"/>
          <w:b/>
          <w:sz w:val="16"/>
          <w:szCs w:val="16"/>
          <w:lang w:val="es-MX" w:eastAsia="es-ES"/>
        </w:rPr>
      </w:pPr>
      <w:bookmarkStart w:id="0" w:name="_Hlk29548183"/>
      <w:bookmarkStart w:id="1" w:name="_Hlk28946138"/>
      <w:r w:rsidRPr="002A114C">
        <w:rPr>
          <w:rFonts w:ascii="Arial" w:eastAsia="Calibri" w:hAnsi="Arial" w:cs="Arial"/>
          <w:b/>
          <w:sz w:val="16"/>
          <w:szCs w:val="16"/>
          <w:lang w:val="es-MX" w:eastAsia="es-ES"/>
        </w:rPr>
        <w:t>CCE-DES-FM-17</w:t>
      </w:r>
      <w:bookmarkEnd w:id="0"/>
      <w:bookmarkEnd w:id="1"/>
    </w:p>
    <w:p w14:paraId="20B4CA78" w14:textId="77777777" w:rsidR="002A114C" w:rsidRPr="002A114C" w:rsidRDefault="002A114C" w:rsidP="002A114C">
      <w:pPr>
        <w:spacing w:after="0" w:line="276" w:lineRule="auto"/>
        <w:contextualSpacing/>
        <w:jc w:val="both"/>
        <w:rPr>
          <w:rFonts w:ascii="Arial" w:eastAsia="Calibri" w:hAnsi="Arial" w:cs="Arial"/>
          <w:sz w:val="16"/>
          <w:szCs w:val="16"/>
          <w:lang w:val="es-MX"/>
        </w:rPr>
      </w:pPr>
    </w:p>
    <w:p w14:paraId="52C82C45" w14:textId="77777777" w:rsidR="002A114C" w:rsidRPr="002A114C" w:rsidRDefault="002A114C" w:rsidP="002A114C">
      <w:pPr>
        <w:spacing w:after="0" w:line="276" w:lineRule="auto"/>
        <w:contextualSpacing/>
        <w:jc w:val="both"/>
        <w:rPr>
          <w:rFonts w:ascii="Arial" w:eastAsia="Calibri" w:hAnsi="Arial" w:cs="Arial"/>
          <w:b/>
          <w:szCs w:val="20"/>
          <w:lang w:val="es-MX"/>
        </w:rPr>
      </w:pPr>
      <w:r w:rsidRPr="002A114C">
        <w:rPr>
          <w:rFonts w:ascii="Arial" w:eastAsia="Calibri" w:hAnsi="Arial" w:cs="Arial"/>
          <w:b/>
          <w:szCs w:val="20"/>
          <w:lang w:val="es-MX"/>
        </w:rPr>
        <w:t>PRINCIPIO DE PUBLICIDAD – Noción – Acceso a la información pública</w:t>
      </w:r>
    </w:p>
    <w:p w14:paraId="64572244" w14:textId="1B3BFE7C" w:rsidR="002A114C" w:rsidRPr="002A114C" w:rsidRDefault="002A114C" w:rsidP="002A114C">
      <w:pPr>
        <w:spacing w:after="0" w:line="276" w:lineRule="auto"/>
        <w:contextualSpacing/>
        <w:jc w:val="both"/>
        <w:rPr>
          <w:rFonts w:ascii="Arial" w:eastAsia="Calibri" w:hAnsi="Arial" w:cs="Arial"/>
          <w:b/>
          <w:sz w:val="20"/>
          <w:szCs w:val="20"/>
          <w:lang w:val="es-MX"/>
        </w:rPr>
      </w:pPr>
    </w:p>
    <w:p w14:paraId="6AA932E9" w14:textId="347AF9C5" w:rsidR="00385D87" w:rsidRPr="00385D87" w:rsidRDefault="00385D87" w:rsidP="002544FB">
      <w:pPr>
        <w:widowControl w:val="0"/>
        <w:tabs>
          <w:tab w:val="left" w:pos="728"/>
        </w:tabs>
        <w:autoSpaceDE w:val="0"/>
        <w:autoSpaceDN w:val="0"/>
        <w:spacing w:after="120" w:line="240" w:lineRule="auto"/>
        <w:jc w:val="both"/>
        <w:rPr>
          <w:rFonts w:ascii="Arial" w:eastAsia="Arial" w:hAnsi="Arial" w:cs="Arial"/>
          <w:sz w:val="20"/>
          <w:szCs w:val="20"/>
          <w:lang w:val="es-ES"/>
        </w:rPr>
      </w:pPr>
      <w:r w:rsidRPr="00385D87">
        <w:rPr>
          <w:rFonts w:ascii="Arial" w:eastAsia="Arial" w:hAnsi="Arial" w:cs="Arial"/>
          <w:sz w:val="20"/>
          <w:szCs w:val="20"/>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78131525" w14:textId="2AD17A33" w:rsidR="00385D87" w:rsidRPr="00385D87" w:rsidRDefault="00385D87" w:rsidP="002544FB">
      <w:pPr>
        <w:widowControl w:val="0"/>
        <w:tabs>
          <w:tab w:val="left" w:pos="728"/>
        </w:tabs>
        <w:autoSpaceDE w:val="0"/>
        <w:autoSpaceDN w:val="0"/>
        <w:spacing w:after="120" w:line="240" w:lineRule="auto"/>
        <w:jc w:val="both"/>
        <w:rPr>
          <w:rFonts w:ascii="Arial" w:eastAsia="Arial" w:hAnsi="Arial" w:cs="Arial"/>
          <w:sz w:val="20"/>
          <w:szCs w:val="20"/>
          <w:lang w:val="es-ES"/>
        </w:rPr>
      </w:pPr>
      <w:r w:rsidRPr="00385D87">
        <w:rPr>
          <w:rFonts w:ascii="Arial" w:eastAsia="Arial" w:hAnsi="Arial" w:cs="Arial"/>
          <w:sz w:val="20"/>
          <w:szCs w:val="20"/>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 </w:t>
      </w:r>
    </w:p>
    <w:p w14:paraId="75D9DF69" w14:textId="77777777" w:rsidR="002A114C" w:rsidRPr="00CF344A" w:rsidRDefault="002A114C" w:rsidP="00CF344A">
      <w:pPr>
        <w:spacing w:after="0" w:line="276" w:lineRule="auto"/>
        <w:contextualSpacing/>
        <w:jc w:val="both"/>
        <w:rPr>
          <w:rFonts w:ascii="Arial" w:eastAsia="Calibri" w:hAnsi="Arial" w:cs="Arial"/>
          <w:b/>
          <w:szCs w:val="20"/>
          <w:lang w:val="es-MX"/>
        </w:rPr>
      </w:pPr>
    </w:p>
    <w:p w14:paraId="3448D920" w14:textId="77777777" w:rsidR="002A114C" w:rsidRPr="002A114C" w:rsidRDefault="002A114C" w:rsidP="00CF344A">
      <w:pPr>
        <w:spacing w:after="0" w:line="276" w:lineRule="auto"/>
        <w:contextualSpacing/>
        <w:jc w:val="both"/>
        <w:rPr>
          <w:rFonts w:ascii="Arial" w:eastAsia="Calibri" w:hAnsi="Arial" w:cs="Arial"/>
          <w:b/>
          <w:bCs/>
          <w:lang w:val="es-ES_tradnl"/>
        </w:rPr>
      </w:pPr>
      <w:r w:rsidRPr="00CF344A">
        <w:rPr>
          <w:rFonts w:ascii="Arial" w:eastAsia="Calibri" w:hAnsi="Arial" w:cs="Arial"/>
          <w:b/>
          <w:szCs w:val="20"/>
          <w:lang w:val="es-MX"/>
        </w:rPr>
        <w:t>BOLSA</w:t>
      </w:r>
      <w:r w:rsidRPr="002A114C">
        <w:rPr>
          <w:rFonts w:ascii="Arial" w:eastAsia="Calibri" w:hAnsi="Arial" w:cs="Arial"/>
          <w:b/>
          <w:bCs/>
          <w:lang w:val="es-ES_tradnl"/>
        </w:rPr>
        <w:t xml:space="preserve"> DE PRODUCTOS – Noción – Procedencia</w:t>
      </w:r>
    </w:p>
    <w:p w14:paraId="69BE6243" w14:textId="77777777" w:rsidR="002A114C" w:rsidRPr="002A114C" w:rsidRDefault="002A114C" w:rsidP="002A114C">
      <w:pPr>
        <w:spacing w:after="0" w:line="240" w:lineRule="auto"/>
        <w:jc w:val="both"/>
        <w:rPr>
          <w:rFonts w:ascii="Arial" w:eastAsia="Calibri" w:hAnsi="Arial" w:cs="Arial"/>
          <w:sz w:val="20"/>
          <w:szCs w:val="20"/>
          <w:lang w:val="es-ES_tradnl"/>
        </w:rPr>
      </w:pPr>
    </w:p>
    <w:p w14:paraId="630899C4" w14:textId="4E289B6E" w:rsidR="002544FB"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 xml:space="preserve">La adquisición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 </w:t>
      </w:r>
    </w:p>
    <w:p w14:paraId="5BFFED5C" w14:textId="6823E403" w:rsidR="002544FB"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La negociación por parte de la entidad se da a través de un comisionista, el cual debe ser contratado por la entidad de conformidad con el procedimiento y reglas de la respectiva bolsa de productos. A su vez, la calidad de los productos negociados y la liquidación de las operaciones celebradas debe estar respaldada por garantías.</w:t>
      </w:r>
    </w:p>
    <w:p w14:paraId="66C223C4" w14:textId="63A8A395" w:rsidR="002544FB"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 xml:space="preserve">De conformidad con el artículo 2.2.1.2.1.2.12 del Decreto 1082 de 2015, modificado por el artículo 2 del Decreto 310 del 25 de marzo de 2021, cuando </w:t>
      </w:r>
      <w:r w:rsidRPr="002544FB">
        <w:rPr>
          <w:rFonts w:ascii="Arial" w:eastAsia="Calibri" w:hAnsi="Arial" w:cs="Arial"/>
          <w:i/>
          <w:iCs/>
          <w:sz w:val="20"/>
          <w:szCs w:val="20"/>
          <w:lang w:val="es-MX"/>
        </w:rPr>
        <w:t>no</w:t>
      </w:r>
      <w:r w:rsidRPr="002544FB">
        <w:rPr>
          <w:rFonts w:ascii="Arial" w:eastAsia="Calibri" w:hAnsi="Arial" w:cs="Arial"/>
          <w:sz w:val="20"/>
          <w:szCs w:val="20"/>
          <w:lang w:val="es-MX"/>
        </w:rPr>
        <w:t xml:space="preserve"> exista un acuerdo marco de precios 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 de precios, análisis en que se deberá considerar el proceso de selección del comisionista, los costos asociados a la selección, el valor de la comisión y de las garantías. La disposición indicada además expresa que este estudio debe señalar la forma en que la entidad estatal garantiza los principios y objetivos del sistema de compras, contratación pública, los postulados de la función administrativa y de la gestión fiscal. De otro lado, expresamente se establece en el inciso segundo de la norma analizada que: «[…] este estudio deberá consignarse expresamente en los documentos del Proceso de Selección y se deberá garantizar su oportuna publicidad a través del SECOP». </w:t>
      </w:r>
    </w:p>
    <w:p w14:paraId="5E4932C5" w14:textId="0F1FEDC1" w:rsidR="00CF344A"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 xml:space="preserve">No obstante, los incisos tercero y cuarto de la disposición analizada también permiten a las entidades estatales acudir a las bolsas de productos cuando a pesar de la existencia de un acuerdo marco de </w:t>
      </w:r>
      <w:r w:rsidRPr="002544FB">
        <w:rPr>
          <w:rFonts w:ascii="Arial" w:eastAsia="Calibri" w:hAnsi="Arial" w:cs="Arial"/>
          <w:sz w:val="20"/>
          <w:szCs w:val="20"/>
          <w:lang w:val="es-MX"/>
        </w:rPr>
        <w:lastRenderedPageBreak/>
        <w:t>precios, mediante aquel mecanismo se obtengan precios inferiores, incluyendo los costos generados por concepto de comisionistas de bolsa y los gastos de operación indicados en el artículo 2.2.1.2.1.2.15. del Decreto 1082 de 2015 y no se desmejoren las condiciones técnicas y de calidad. Este análisis comparativo se debe realizar con el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w:t>
      </w:r>
    </w:p>
    <w:p w14:paraId="56F0C6C0" w14:textId="77777777" w:rsidR="002544FB" w:rsidRPr="002544FB" w:rsidRDefault="002544FB" w:rsidP="00CF344A">
      <w:pPr>
        <w:spacing w:after="0" w:line="240" w:lineRule="auto"/>
        <w:jc w:val="both"/>
        <w:rPr>
          <w:rFonts w:ascii="Arial" w:eastAsia="Calibri" w:hAnsi="Arial" w:cs="Arial"/>
          <w:lang w:val="es-MX"/>
        </w:rPr>
      </w:pPr>
    </w:p>
    <w:p w14:paraId="6D8C6EA9" w14:textId="77777777" w:rsidR="002A114C" w:rsidRPr="002A114C" w:rsidRDefault="002A114C" w:rsidP="002A114C">
      <w:pPr>
        <w:spacing w:after="0" w:line="240" w:lineRule="auto"/>
        <w:jc w:val="both"/>
        <w:rPr>
          <w:rFonts w:ascii="Arial" w:eastAsia="Calibri" w:hAnsi="Arial" w:cs="Arial"/>
          <w:b/>
          <w:bCs/>
          <w:lang w:val="es-MX"/>
        </w:rPr>
      </w:pPr>
      <w:r w:rsidRPr="002A114C">
        <w:rPr>
          <w:rFonts w:ascii="Arial" w:eastAsia="Calibri" w:hAnsi="Arial" w:cs="Arial"/>
          <w:b/>
          <w:bCs/>
          <w:lang w:val="es-MX"/>
        </w:rPr>
        <w:t xml:space="preserve">BOLSA DE PRODUCTOS – Publicidad – SECOP </w:t>
      </w:r>
    </w:p>
    <w:p w14:paraId="3F7E4E65" w14:textId="77777777" w:rsidR="002A114C" w:rsidRPr="002A114C" w:rsidRDefault="002A114C" w:rsidP="002A114C">
      <w:pPr>
        <w:spacing w:after="0" w:line="240" w:lineRule="auto"/>
        <w:jc w:val="both"/>
        <w:rPr>
          <w:rFonts w:ascii="Arial" w:eastAsia="Calibri" w:hAnsi="Arial" w:cs="Arial"/>
          <w:sz w:val="20"/>
          <w:szCs w:val="20"/>
          <w:lang w:val="es-MX"/>
        </w:rPr>
      </w:pPr>
    </w:p>
    <w:p w14:paraId="04AEAB17" w14:textId="77777777" w:rsidR="002544FB"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 xml:space="preserve">De otro lado, desde una perspectiva general, en principio la adquisición de bienes y servicios de características técnicas uniformes a través del mecanismo de bolsa de productos, se encuentra sometido al deber de publicidad de las actuaciones contractuales de las entidades públicas establecido en el artículo 3 de la Ley 1150 de 2007 y regulado por el artículo 2.2.1.1.1.7.1 del Decreto 1082 de 2015, que obliga a publicar en SECOP la documentación que conforma el expediente del proceso de contratación.  </w:t>
      </w:r>
    </w:p>
    <w:p w14:paraId="3BE63C71" w14:textId="0AA97F8A" w:rsidR="002544FB" w:rsidRPr="002544FB" w:rsidRDefault="002544FB" w:rsidP="002544FB">
      <w:pPr>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 xml:space="preserve">Sin embargo, en lo relativo a la publicación de las compras realizadas a través del mecanismo de bolsa de productos, el artículo 2.2.1.1.1.7.1 del Decreto 1082 de 2015 exceptúa el cumplimiento de esta obligación al disponer que «[…] Los documentos de las operaciones que se realicen en bolsa de productos no tienen que ser publicados en el Secop». Conforme a dicha disposición, los documentos en donde consten las operaciones realizadas en la bolsa de productos a órdenes de una entidad estatal no deben publicarse en el SECOP. </w:t>
      </w:r>
    </w:p>
    <w:p w14:paraId="5399AA9B" w14:textId="77777777" w:rsidR="002A114C" w:rsidRPr="002A114C" w:rsidRDefault="002A114C" w:rsidP="002A114C">
      <w:pPr>
        <w:spacing w:after="0" w:line="240" w:lineRule="auto"/>
        <w:jc w:val="both"/>
        <w:rPr>
          <w:rFonts w:ascii="Arial" w:eastAsia="Calibri" w:hAnsi="Arial" w:cs="Arial"/>
          <w:sz w:val="20"/>
          <w:szCs w:val="20"/>
          <w:lang w:val="es-MX"/>
        </w:rPr>
      </w:pPr>
    </w:p>
    <w:p w14:paraId="4932DB2B" w14:textId="77777777" w:rsidR="002A114C" w:rsidRPr="002A114C" w:rsidRDefault="002A114C" w:rsidP="002A114C">
      <w:pPr>
        <w:spacing w:after="0" w:line="240" w:lineRule="auto"/>
        <w:jc w:val="both"/>
        <w:rPr>
          <w:rFonts w:ascii="Arial" w:eastAsia="Calibri" w:hAnsi="Arial" w:cs="Arial"/>
          <w:b/>
          <w:bCs/>
          <w:sz w:val="20"/>
          <w:szCs w:val="20"/>
          <w:lang w:val="es-MX"/>
        </w:rPr>
      </w:pPr>
      <w:r w:rsidRPr="002A114C">
        <w:rPr>
          <w:rFonts w:ascii="Arial" w:eastAsia="Calibri" w:hAnsi="Arial" w:cs="Arial"/>
          <w:b/>
          <w:bCs/>
          <w:lang w:val="es-MX"/>
        </w:rPr>
        <w:t>OPERACIONES DE BOLSA – Noción</w:t>
      </w:r>
      <w:r w:rsidRPr="002A114C">
        <w:rPr>
          <w:rFonts w:ascii="Arial" w:eastAsia="Calibri" w:hAnsi="Arial" w:cs="Arial"/>
          <w:b/>
          <w:bCs/>
          <w:sz w:val="20"/>
          <w:szCs w:val="20"/>
          <w:lang w:val="es-MX"/>
        </w:rPr>
        <w:t xml:space="preserve"> </w:t>
      </w:r>
    </w:p>
    <w:p w14:paraId="3F0ED8D0" w14:textId="77777777" w:rsidR="002A114C" w:rsidRPr="002A114C" w:rsidRDefault="002A114C" w:rsidP="002A114C">
      <w:pPr>
        <w:spacing w:after="0" w:line="240" w:lineRule="auto"/>
        <w:jc w:val="both"/>
        <w:rPr>
          <w:rFonts w:ascii="Arial" w:eastAsia="Calibri" w:hAnsi="Arial" w:cs="Arial"/>
          <w:sz w:val="20"/>
          <w:szCs w:val="20"/>
          <w:lang w:val="es-MX"/>
        </w:rPr>
      </w:pPr>
    </w:p>
    <w:p w14:paraId="7A494F26" w14:textId="55780879" w:rsidR="002544FB" w:rsidRPr="002544FB" w:rsidRDefault="002544FB" w:rsidP="002544FB">
      <w:pPr>
        <w:shd w:val="clear" w:color="auto" w:fill="FFFFFF"/>
        <w:spacing w:after="120" w:line="240" w:lineRule="auto"/>
        <w:jc w:val="both"/>
        <w:rPr>
          <w:rFonts w:ascii="Arial" w:eastAsia="Times New Roman" w:hAnsi="Arial" w:cs="Arial"/>
          <w:sz w:val="20"/>
          <w:szCs w:val="20"/>
          <w:lang w:eastAsia="es-CO"/>
        </w:rPr>
      </w:pPr>
      <w:r w:rsidRPr="002544FB">
        <w:rPr>
          <w:rFonts w:ascii="Arial" w:eastAsia="Calibri" w:hAnsi="Arial" w:cs="Arial"/>
          <w:sz w:val="20"/>
          <w:szCs w:val="20"/>
          <w:lang w:val="es-MX"/>
        </w:rPr>
        <w:t xml:space="preserve">Ahora bien, para determinar el alcance de tal excepción al deber de publicidad de la actividad contractual, es necesario precisar a qué se refiere el artículo 2.2.1.1.1.7.1 del Decreto 1082 de 2015 al mencionar las «los documentos de las operaciones que se realicen en bolsa de productos». En primera medida, el término </w:t>
      </w:r>
      <w:r w:rsidRPr="002544FB">
        <w:rPr>
          <w:rFonts w:ascii="Arial" w:eastAsia="Calibri" w:hAnsi="Arial" w:cs="Arial"/>
          <w:i/>
          <w:iCs/>
          <w:sz w:val="20"/>
          <w:szCs w:val="20"/>
          <w:lang w:val="es-MX"/>
        </w:rPr>
        <w:t>operación</w:t>
      </w:r>
      <w:r w:rsidRPr="002544FB">
        <w:rPr>
          <w:rFonts w:ascii="Arial" w:eastAsia="Calibri" w:hAnsi="Arial" w:cs="Arial"/>
          <w:sz w:val="20"/>
          <w:szCs w:val="20"/>
          <w:lang w:val="es-MX"/>
        </w:rPr>
        <w:t xml:space="preserve"> alude a interacciones entre los inversores, emisores de títulos y vendedores de bienes que tienen lugar dentro de una bolsa de productos. En esa línea encontramos que, en el concepto de operaciones de bolsa «</w:t>
      </w:r>
      <w:r w:rsidRPr="002544FB">
        <w:rPr>
          <w:rFonts w:ascii="Arial" w:eastAsia="Times New Roman" w:hAnsi="Arial" w:cs="Arial"/>
          <w:sz w:val="20"/>
          <w:szCs w:val="20"/>
          <w:lang w:eastAsia="es-CO"/>
        </w:rPr>
        <w:t>pueden incluirse una larga serie de actos económicos, que tengan por lo menos para uno de los contratantes, el fin directo o indirecto de obtener ventajas de las variaciones del curso de los valores o de los precios de las mercaderías en relación al tiempo».</w:t>
      </w:r>
    </w:p>
    <w:p w14:paraId="696E6AD9" w14:textId="1EDA8FD3" w:rsidR="002544FB" w:rsidRPr="002544FB" w:rsidRDefault="002544FB" w:rsidP="002544FB">
      <w:pPr>
        <w:shd w:val="clear" w:color="auto" w:fill="FFFFFF"/>
        <w:spacing w:after="120" w:line="240" w:lineRule="auto"/>
        <w:jc w:val="both"/>
        <w:rPr>
          <w:rFonts w:ascii="Arial" w:eastAsia="Times New Roman" w:hAnsi="Arial" w:cs="Arial"/>
          <w:sz w:val="20"/>
          <w:szCs w:val="20"/>
          <w:lang w:eastAsia="es-CO"/>
        </w:rPr>
      </w:pPr>
      <w:r w:rsidRPr="002544FB">
        <w:rPr>
          <w:rFonts w:ascii="Arial" w:eastAsia="Times New Roman" w:hAnsi="Arial" w:cs="Arial"/>
          <w:sz w:val="20"/>
          <w:szCs w:val="20"/>
          <w:lang w:eastAsia="es-CO"/>
        </w:rPr>
        <w:t>Las operaciones a la vez pueden ser de distinto carácter dependiendo del objeto de la misma, así pues, respecto de los valores públicos y privados pueden hacerse emisiones públicas y privadas, operaciones de conversión y de amortización, operaciones de compraventa, operaciones de prenda entre otras; mientras que respecto de los productos pueden hacerse operaciones de compraventa, prenda y anticipación.</w:t>
      </w:r>
    </w:p>
    <w:p w14:paraId="464D2C52" w14:textId="77777777" w:rsidR="007119D9" w:rsidRPr="002A114C" w:rsidRDefault="007119D9" w:rsidP="007119D9">
      <w:pPr>
        <w:spacing w:after="0" w:line="240" w:lineRule="auto"/>
        <w:jc w:val="both"/>
        <w:rPr>
          <w:rFonts w:ascii="Arial" w:eastAsia="Calibri" w:hAnsi="Arial" w:cs="Arial"/>
          <w:sz w:val="20"/>
          <w:szCs w:val="20"/>
          <w:lang w:val="es-MX"/>
        </w:rPr>
      </w:pPr>
    </w:p>
    <w:p w14:paraId="1D47A0EB" w14:textId="77777777" w:rsidR="002A114C" w:rsidRPr="002A114C" w:rsidRDefault="002A114C" w:rsidP="002A114C">
      <w:pPr>
        <w:spacing w:after="0" w:line="240" w:lineRule="auto"/>
        <w:jc w:val="both"/>
        <w:rPr>
          <w:rFonts w:ascii="Arial" w:eastAsia="Calibri" w:hAnsi="Arial" w:cs="Arial"/>
          <w:sz w:val="20"/>
          <w:szCs w:val="20"/>
          <w:lang w:val="es-MX"/>
        </w:rPr>
      </w:pPr>
      <w:r w:rsidRPr="002A114C">
        <w:rPr>
          <w:rFonts w:ascii="Arial" w:eastAsia="Calibri" w:hAnsi="Arial" w:cs="Arial"/>
          <w:b/>
          <w:bCs/>
          <w:lang w:val="es-MX"/>
        </w:rPr>
        <w:t xml:space="preserve">OPERACIONES DE BOLSA – Documentos – Publicación </w:t>
      </w:r>
    </w:p>
    <w:p w14:paraId="5FF51C61" w14:textId="77777777" w:rsidR="002A114C" w:rsidRPr="002A114C" w:rsidRDefault="002A114C" w:rsidP="002A114C">
      <w:pPr>
        <w:spacing w:after="0" w:line="240" w:lineRule="auto"/>
        <w:jc w:val="both"/>
        <w:rPr>
          <w:rFonts w:ascii="Arial" w:eastAsia="Calibri" w:hAnsi="Arial" w:cs="Arial"/>
          <w:sz w:val="20"/>
          <w:szCs w:val="20"/>
          <w:lang w:val="es-MX"/>
        </w:rPr>
      </w:pPr>
    </w:p>
    <w:p w14:paraId="55E6F428" w14:textId="77777777" w:rsidR="002544FB" w:rsidRPr="002544FB" w:rsidRDefault="002544FB" w:rsidP="002544FB">
      <w:pPr>
        <w:shd w:val="clear" w:color="auto" w:fill="FFFFFF"/>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En el marco de tal ejercicio de autorregulación que implica la expedición de sus propios reglamentos, las bolsas de productos tienen la posibilidad de definir distintas modalidades para llevar a cabo las negociaciones de los productos, establecer sus requisitos, procedimientos e incluso determinar documentación que deberá ser producida en el marco de las operaciones que se lleven a cabo. Tal documentación relativa a la ocurrencia de las operaciones bursátiles, regulada por los reglamentos de las respectivas bolsas, es a la que se refiere el artículo 2.2.1.1.1.7.1 del Decreto 1082 de 2015.</w:t>
      </w:r>
    </w:p>
    <w:p w14:paraId="18319027" w14:textId="6EBE39EB" w:rsidR="002544FB" w:rsidRPr="002544FB" w:rsidRDefault="002544FB" w:rsidP="002544FB">
      <w:pPr>
        <w:shd w:val="clear" w:color="auto" w:fill="FFFFFF"/>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lastRenderedPageBreak/>
        <w:t>[…]</w:t>
      </w:r>
    </w:p>
    <w:p w14:paraId="4073F80B" w14:textId="12C0E6A8" w:rsidR="002544FB" w:rsidRPr="002544FB" w:rsidRDefault="002544FB" w:rsidP="002544FB">
      <w:pPr>
        <w:shd w:val="clear" w:color="auto" w:fill="FFFFFF"/>
        <w:spacing w:after="120" w:line="240" w:lineRule="auto"/>
        <w:jc w:val="both"/>
        <w:rPr>
          <w:rFonts w:ascii="Arial" w:eastAsia="Calibri" w:hAnsi="Arial" w:cs="Arial"/>
          <w:sz w:val="20"/>
          <w:szCs w:val="20"/>
          <w:lang w:val="es-MX"/>
        </w:rPr>
      </w:pPr>
      <w:r w:rsidRPr="002544FB">
        <w:rPr>
          <w:rFonts w:ascii="Arial" w:eastAsia="Calibri" w:hAnsi="Arial" w:cs="Arial"/>
          <w:sz w:val="20"/>
          <w:szCs w:val="20"/>
          <w:lang w:val="es-MX"/>
        </w:rPr>
        <w:t>Conforme a lo anterior, la excepción que hace el artículo 2.2.1.1.1.7.1 del Decreto 1082 de 2015 al deber de publicar en el SECOP los documentos en los que se refleja la actividad contractual de las entidades estatales,  se refiere a este tipo de documentos, que se relacionan directamente con las operaciones bursátiles que celebra el comisionista para la adquisición, dentro de la respectiva bolsa, de los bienes y servicios de características técnicas uniformes y de común utilización que le han sido encargados por la entidad estatal. Estos documentos, al ser expedidos en el marco del funcionamiento de la bolsa, y de acuerdo con la reglamentación expedida por esta, están exceptuados de la publicación en el SECOP por el reglamento.</w:t>
      </w:r>
    </w:p>
    <w:p w14:paraId="3D645534" w14:textId="77777777" w:rsidR="002A114C" w:rsidRPr="002A114C" w:rsidRDefault="002A114C" w:rsidP="002A114C">
      <w:pPr>
        <w:spacing w:after="0" w:line="240" w:lineRule="auto"/>
        <w:jc w:val="both"/>
        <w:rPr>
          <w:rFonts w:ascii="Arial" w:eastAsia="Calibri" w:hAnsi="Arial" w:cs="Arial"/>
          <w:sz w:val="20"/>
          <w:szCs w:val="20"/>
          <w:lang w:val="es-MX"/>
        </w:rPr>
      </w:pPr>
    </w:p>
    <w:p w14:paraId="21371837" w14:textId="6E9D822E" w:rsidR="002A114C" w:rsidRDefault="002A114C" w:rsidP="002A114C">
      <w:pPr>
        <w:spacing w:after="0" w:line="240" w:lineRule="auto"/>
        <w:rPr>
          <w:rFonts w:ascii="Arial" w:eastAsia="Calibri" w:hAnsi="Arial" w:cs="Arial"/>
          <w:b/>
          <w:bCs/>
          <w:lang w:val="es-MX"/>
        </w:rPr>
      </w:pPr>
      <w:bookmarkStart w:id="2" w:name="_Hlk38283712"/>
      <w:bookmarkStart w:id="3" w:name="_Hlk38449610"/>
      <w:bookmarkStart w:id="4" w:name="_Hlk29890381"/>
    </w:p>
    <w:p w14:paraId="2B98106B" w14:textId="741F3BE1" w:rsidR="00A95034" w:rsidRDefault="00A95034" w:rsidP="002A114C">
      <w:pPr>
        <w:spacing w:after="0" w:line="240" w:lineRule="auto"/>
        <w:rPr>
          <w:rFonts w:ascii="Arial" w:eastAsia="Calibri" w:hAnsi="Arial" w:cs="Arial"/>
          <w:b/>
          <w:bCs/>
          <w:lang w:val="es-MX"/>
        </w:rPr>
      </w:pPr>
    </w:p>
    <w:p w14:paraId="6D490FEF" w14:textId="26F544ED" w:rsidR="00A95034" w:rsidRDefault="00A95034" w:rsidP="002A114C">
      <w:pPr>
        <w:spacing w:after="0" w:line="240" w:lineRule="auto"/>
        <w:rPr>
          <w:rFonts w:ascii="Arial" w:eastAsia="Calibri" w:hAnsi="Arial" w:cs="Arial"/>
          <w:b/>
          <w:bCs/>
          <w:lang w:val="es-MX"/>
        </w:rPr>
      </w:pPr>
    </w:p>
    <w:p w14:paraId="2A6210BD" w14:textId="0F28F7EF" w:rsidR="00A95034" w:rsidRDefault="00A95034" w:rsidP="002A114C">
      <w:pPr>
        <w:spacing w:after="0" w:line="240" w:lineRule="auto"/>
        <w:rPr>
          <w:rFonts w:ascii="Arial" w:eastAsia="Calibri" w:hAnsi="Arial" w:cs="Arial"/>
          <w:b/>
          <w:bCs/>
          <w:lang w:val="es-MX"/>
        </w:rPr>
      </w:pPr>
    </w:p>
    <w:p w14:paraId="31BC3410" w14:textId="1C26120C" w:rsidR="00A95034" w:rsidRDefault="00A95034" w:rsidP="002A114C">
      <w:pPr>
        <w:spacing w:after="0" w:line="240" w:lineRule="auto"/>
        <w:rPr>
          <w:rFonts w:ascii="Arial" w:eastAsia="Calibri" w:hAnsi="Arial" w:cs="Arial"/>
          <w:b/>
          <w:bCs/>
          <w:lang w:val="es-MX"/>
        </w:rPr>
      </w:pPr>
    </w:p>
    <w:p w14:paraId="7B8F0DBA" w14:textId="3A0EA1B1" w:rsidR="00A95034" w:rsidRDefault="00A95034" w:rsidP="002A114C">
      <w:pPr>
        <w:spacing w:after="0" w:line="240" w:lineRule="auto"/>
        <w:rPr>
          <w:rFonts w:ascii="Arial" w:eastAsia="Calibri" w:hAnsi="Arial" w:cs="Arial"/>
          <w:b/>
          <w:bCs/>
          <w:lang w:val="es-MX"/>
        </w:rPr>
      </w:pPr>
    </w:p>
    <w:p w14:paraId="5E5DC65C" w14:textId="4E8FA711" w:rsidR="00A95034" w:rsidRDefault="00A95034" w:rsidP="002A114C">
      <w:pPr>
        <w:spacing w:after="0" w:line="240" w:lineRule="auto"/>
        <w:rPr>
          <w:rFonts w:ascii="Arial" w:eastAsia="Calibri" w:hAnsi="Arial" w:cs="Arial"/>
          <w:b/>
          <w:bCs/>
          <w:lang w:val="es-MX"/>
        </w:rPr>
      </w:pPr>
    </w:p>
    <w:p w14:paraId="78090360" w14:textId="0CD36FAA" w:rsidR="00A95034" w:rsidRDefault="00A95034" w:rsidP="002A114C">
      <w:pPr>
        <w:spacing w:after="0" w:line="240" w:lineRule="auto"/>
        <w:rPr>
          <w:rFonts w:ascii="Arial" w:eastAsia="Calibri" w:hAnsi="Arial" w:cs="Arial"/>
          <w:b/>
          <w:bCs/>
          <w:lang w:val="es-MX"/>
        </w:rPr>
      </w:pPr>
    </w:p>
    <w:p w14:paraId="266F94EA" w14:textId="21B0ABC7" w:rsidR="00A95034" w:rsidRDefault="00A95034" w:rsidP="002A114C">
      <w:pPr>
        <w:spacing w:after="0" w:line="240" w:lineRule="auto"/>
        <w:rPr>
          <w:rFonts w:ascii="Arial" w:eastAsia="Calibri" w:hAnsi="Arial" w:cs="Arial"/>
          <w:b/>
          <w:bCs/>
          <w:lang w:val="es-MX"/>
        </w:rPr>
      </w:pPr>
    </w:p>
    <w:p w14:paraId="11BAB1CF" w14:textId="21D81DB2" w:rsidR="00A95034" w:rsidRDefault="00A95034" w:rsidP="002A114C">
      <w:pPr>
        <w:spacing w:after="0" w:line="240" w:lineRule="auto"/>
        <w:rPr>
          <w:rFonts w:ascii="Arial" w:eastAsia="Calibri" w:hAnsi="Arial" w:cs="Arial"/>
          <w:b/>
          <w:bCs/>
          <w:lang w:val="es-MX"/>
        </w:rPr>
      </w:pPr>
    </w:p>
    <w:p w14:paraId="7AF7FDE4" w14:textId="16D417EE" w:rsidR="007119D9" w:rsidRDefault="007119D9" w:rsidP="002A114C">
      <w:pPr>
        <w:spacing w:after="0" w:line="240" w:lineRule="auto"/>
        <w:rPr>
          <w:rFonts w:ascii="Arial" w:eastAsia="Calibri" w:hAnsi="Arial" w:cs="Arial"/>
          <w:b/>
          <w:bCs/>
          <w:lang w:val="es-MX"/>
        </w:rPr>
      </w:pPr>
    </w:p>
    <w:p w14:paraId="61A6C1ED" w14:textId="556A9157" w:rsidR="007119D9" w:rsidRDefault="007119D9" w:rsidP="002A114C">
      <w:pPr>
        <w:spacing w:after="0" w:line="240" w:lineRule="auto"/>
        <w:rPr>
          <w:rFonts w:ascii="Arial" w:eastAsia="Calibri" w:hAnsi="Arial" w:cs="Arial"/>
          <w:b/>
          <w:bCs/>
          <w:lang w:val="es-MX"/>
        </w:rPr>
      </w:pPr>
    </w:p>
    <w:p w14:paraId="74569430" w14:textId="387FF09F" w:rsidR="007119D9" w:rsidRDefault="007119D9" w:rsidP="002A114C">
      <w:pPr>
        <w:spacing w:after="0" w:line="240" w:lineRule="auto"/>
        <w:rPr>
          <w:rFonts w:ascii="Arial" w:eastAsia="Calibri" w:hAnsi="Arial" w:cs="Arial"/>
          <w:b/>
          <w:bCs/>
          <w:lang w:val="es-MX"/>
        </w:rPr>
      </w:pPr>
    </w:p>
    <w:p w14:paraId="1F3ECEEB" w14:textId="4794C7F7" w:rsidR="007119D9" w:rsidRDefault="007119D9" w:rsidP="002A114C">
      <w:pPr>
        <w:spacing w:after="0" w:line="240" w:lineRule="auto"/>
        <w:rPr>
          <w:rFonts w:ascii="Arial" w:eastAsia="Calibri" w:hAnsi="Arial" w:cs="Arial"/>
          <w:b/>
          <w:bCs/>
          <w:lang w:val="es-MX"/>
        </w:rPr>
      </w:pPr>
    </w:p>
    <w:p w14:paraId="31C82A38" w14:textId="670877DD" w:rsidR="007119D9" w:rsidRDefault="007119D9" w:rsidP="002A114C">
      <w:pPr>
        <w:spacing w:after="0" w:line="240" w:lineRule="auto"/>
        <w:rPr>
          <w:rFonts w:ascii="Arial" w:eastAsia="Calibri" w:hAnsi="Arial" w:cs="Arial"/>
          <w:b/>
          <w:bCs/>
          <w:lang w:val="es-MX"/>
        </w:rPr>
      </w:pPr>
    </w:p>
    <w:p w14:paraId="4AEB4B1A" w14:textId="3FACFAEA" w:rsidR="007119D9" w:rsidRDefault="007119D9" w:rsidP="002A114C">
      <w:pPr>
        <w:spacing w:after="0" w:line="240" w:lineRule="auto"/>
        <w:rPr>
          <w:rFonts w:ascii="Arial" w:eastAsia="Calibri" w:hAnsi="Arial" w:cs="Arial"/>
          <w:b/>
          <w:bCs/>
          <w:lang w:val="es-MX"/>
        </w:rPr>
      </w:pPr>
    </w:p>
    <w:p w14:paraId="6A22AE02" w14:textId="4F7A7C1C" w:rsidR="007119D9" w:rsidRDefault="007119D9" w:rsidP="002A114C">
      <w:pPr>
        <w:spacing w:after="0" w:line="240" w:lineRule="auto"/>
        <w:rPr>
          <w:rFonts w:ascii="Arial" w:eastAsia="Calibri" w:hAnsi="Arial" w:cs="Arial"/>
          <w:b/>
          <w:bCs/>
          <w:lang w:val="es-MX"/>
        </w:rPr>
      </w:pPr>
    </w:p>
    <w:p w14:paraId="28F821E7" w14:textId="52396BB1" w:rsidR="007119D9" w:rsidRDefault="007119D9" w:rsidP="002A114C">
      <w:pPr>
        <w:spacing w:after="0" w:line="240" w:lineRule="auto"/>
        <w:rPr>
          <w:rFonts w:ascii="Arial" w:eastAsia="Calibri" w:hAnsi="Arial" w:cs="Arial"/>
          <w:b/>
          <w:bCs/>
          <w:lang w:val="es-MX"/>
        </w:rPr>
      </w:pPr>
    </w:p>
    <w:p w14:paraId="7FE537CB" w14:textId="179A666D" w:rsidR="007119D9" w:rsidRDefault="007119D9" w:rsidP="002A114C">
      <w:pPr>
        <w:spacing w:after="0" w:line="240" w:lineRule="auto"/>
        <w:rPr>
          <w:rFonts w:ascii="Arial" w:eastAsia="Calibri" w:hAnsi="Arial" w:cs="Arial"/>
          <w:b/>
          <w:bCs/>
          <w:lang w:val="es-MX"/>
        </w:rPr>
      </w:pPr>
    </w:p>
    <w:p w14:paraId="19582ADB" w14:textId="6670E36E" w:rsidR="007119D9" w:rsidRDefault="007119D9" w:rsidP="002A114C">
      <w:pPr>
        <w:spacing w:after="0" w:line="240" w:lineRule="auto"/>
        <w:rPr>
          <w:rFonts w:ascii="Arial" w:eastAsia="Calibri" w:hAnsi="Arial" w:cs="Arial"/>
          <w:b/>
          <w:bCs/>
          <w:lang w:val="es-MX"/>
        </w:rPr>
      </w:pPr>
    </w:p>
    <w:p w14:paraId="13D1E4EE" w14:textId="76483C80" w:rsidR="007119D9" w:rsidRDefault="007119D9" w:rsidP="002A114C">
      <w:pPr>
        <w:spacing w:after="0" w:line="240" w:lineRule="auto"/>
        <w:rPr>
          <w:rFonts w:ascii="Arial" w:eastAsia="Calibri" w:hAnsi="Arial" w:cs="Arial"/>
          <w:b/>
          <w:bCs/>
          <w:lang w:val="es-MX"/>
        </w:rPr>
      </w:pPr>
    </w:p>
    <w:p w14:paraId="4C45E3A0" w14:textId="303A44F9" w:rsidR="007119D9" w:rsidRDefault="007119D9" w:rsidP="002A114C">
      <w:pPr>
        <w:spacing w:after="0" w:line="240" w:lineRule="auto"/>
        <w:rPr>
          <w:rFonts w:ascii="Arial" w:eastAsia="Calibri" w:hAnsi="Arial" w:cs="Arial"/>
          <w:b/>
          <w:bCs/>
          <w:lang w:val="es-MX"/>
        </w:rPr>
      </w:pPr>
    </w:p>
    <w:p w14:paraId="4674C1C0" w14:textId="0839AC8F" w:rsidR="007119D9" w:rsidRDefault="007119D9" w:rsidP="002A114C">
      <w:pPr>
        <w:spacing w:after="0" w:line="240" w:lineRule="auto"/>
        <w:rPr>
          <w:rFonts w:ascii="Arial" w:eastAsia="Calibri" w:hAnsi="Arial" w:cs="Arial"/>
          <w:b/>
          <w:bCs/>
          <w:lang w:val="es-MX"/>
        </w:rPr>
      </w:pPr>
    </w:p>
    <w:p w14:paraId="279D9A34" w14:textId="643195D4" w:rsidR="007119D9" w:rsidRDefault="007119D9" w:rsidP="002A114C">
      <w:pPr>
        <w:spacing w:after="0" w:line="240" w:lineRule="auto"/>
        <w:rPr>
          <w:rFonts w:ascii="Arial" w:eastAsia="Calibri" w:hAnsi="Arial" w:cs="Arial"/>
          <w:b/>
          <w:bCs/>
          <w:lang w:val="es-MX"/>
        </w:rPr>
      </w:pPr>
    </w:p>
    <w:p w14:paraId="5D4DD728" w14:textId="0E43FE03" w:rsidR="007119D9" w:rsidRDefault="007119D9" w:rsidP="002A114C">
      <w:pPr>
        <w:spacing w:after="0" w:line="240" w:lineRule="auto"/>
        <w:rPr>
          <w:rFonts w:ascii="Arial" w:eastAsia="Calibri" w:hAnsi="Arial" w:cs="Arial"/>
          <w:b/>
          <w:bCs/>
          <w:lang w:val="es-MX"/>
        </w:rPr>
      </w:pPr>
    </w:p>
    <w:p w14:paraId="617482D1" w14:textId="4DCB81F0" w:rsidR="007119D9" w:rsidRDefault="007119D9" w:rsidP="002A114C">
      <w:pPr>
        <w:spacing w:after="0" w:line="240" w:lineRule="auto"/>
        <w:rPr>
          <w:rFonts w:ascii="Arial" w:eastAsia="Calibri" w:hAnsi="Arial" w:cs="Arial"/>
          <w:b/>
          <w:bCs/>
          <w:lang w:val="es-MX"/>
        </w:rPr>
      </w:pPr>
    </w:p>
    <w:p w14:paraId="1344B140" w14:textId="4D50AEA7" w:rsidR="007119D9" w:rsidRDefault="007119D9" w:rsidP="002A114C">
      <w:pPr>
        <w:spacing w:after="0" w:line="240" w:lineRule="auto"/>
        <w:rPr>
          <w:rFonts w:ascii="Arial" w:eastAsia="Calibri" w:hAnsi="Arial" w:cs="Arial"/>
          <w:b/>
          <w:bCs/>
          <w:lang w:val="es-MX"/>
        </w:rPr>
      </w:pPr>
    </w:p>
    <w:p w14:paraId="2B4924AC" w14:textId="30109275" w:rsidR="007119D9" w:rsidRDefault="007119D9" w:rsidP="002A114C">
      <w:pPr>
        <w:spacing w:after="0" w:line="240" w:lineRule="auto"/>
        <w:rPr>
          <w:rFonts w:ascii="Arial" w:eastAsia="Calibri" w:hAnsi="Arial" w:cs="Arial"/>
          <w:b/>
          <w:bCs/>
          <w:lang w:val="es-MX"/>
        </w:rPr>
      </w:pPr>
    </w:p>
    <w:p w14:paraId="06CF6049" w14:textId="5CAD7276" w:rsidR="007119D9" w:rsidRDefault="007119D9" w:rsidP="002A114C">
      <w:pPr>
        <w:spacing w:after="0" w:line="240" w:lineRule="auto"/>
        <w:rPr>
          <w:rFonts w:ascii="Arial" w:eastAsia="Calibri" w:hAnsi="Arial" w:cs="Arial"/>
          <w:b/>
          <w:bCs/>
          <w:lang w:val="es-MX"/>
        </w:rPr>
      </w:pPr>
    </w:p>
    <w:p w14:paraId="050CFD93" w14:textId="5E68A8AC" w:rsidR="007119D9" w:rsidRDefault="007119D9" w:rsidP="002A114C">
      <w:pPr>
        <w:spacing w:after="0" w:line="240" w:lineRule="auto"/>
        <w:rPr>
          <w:rFonts w:ascii="Arial" w:eastAsia="Calibri" w:hAnsi="Arial" w:cs="Arial"/>
          <w:b/>
          <w:bCs/>
          <w:lang w:val="es-MX"/>
        </w:rPr>
      </w:pPr>
    </w:p>
    <w:p w14:paraId="701BB821" w14:textId="7273CE89" w:rsidR="007119D9" w:rsidRDefault="007119D9" w:rsidP="002A114C">
      <w:pPr>
        <w:spacing w:after="0" w:line="240" w:lineRule="auto"/>
        <w:rPr>
          <w:rFonts w:ascii="Arial" w:eastAsia="Calibri" w:hAnsi="Arial" w:cs="Arial"/>
          <w:b/>
          <w:bCs/>
          <w:lang w:val="es-MX"/>
        </w:rPr>
      </w:pPr>
    </w:p>
    <w:p w14:paraId="5FC7440C" w14:textId="7A8A57F3" w:rsidR="007119D9" w:rsidRDefault="007119D9" w:rsidP="002A114C">
      <w:pPr>
        <w:spacing w:after="0" w:line="240" w:lineRule="auto"/>
        <w:rPr>
          <w:rFonts w:ascii="Arial" w:eastAsia="Calibri" w:hAnsi="Arial" w:cs="Arial"/>
          <w:b/>
          <w:bCs/>
          <w:lang w:val="es-MX"/>
        </w:rPr>
      </w:pPr>
    </w:p>
    <w:p w14:paraId="285CEC15" w14:textId="0FD99D33" w:rsidR="007119D9" w:rsidRDefault="007119D9" w:rsidP="002A114C">
      <w:pPr>
        <w:spacing w:after="0" w:line="240" w:lineRule="auto"/>
        <w:rPr>
          <w:rFonts w:ascii="Arial" w:eastAsia="Calibri" w:hAnsi="Arial" w:cs="Arial"/>
          <w:b/>
          <w:bCs/>
          <w:lang w:val="es-MX"/>
        </w:rPr>
      </w:pPr>
    </w:p>
    <w:p w14:paraId="2A707084" w14:textId="36993A44" w:rsidR="007119D9" w:rsidRDefault="007119D9" w:rsidP="002A114C">
      <w:pPr>
        <w:spacing w:after="0" w:line="240" w:lineRule="auto"/>
        <w:rPr>
          <w:rFonts w:ascii="Arial" w:eastAsia="Calibri" w:hAnsi="Arial" w:cs="Arial"/>
          <w:b/>
          <w:bCs/>
          <w:lang w:val="es-MX"/>
        </w:rPr>
      </w:pPr>
    </w:p>
    <w:p w14:paraId="2F5D1307" w14:textId="20AFC298" w:rsidR="007119D9" w:rsidRDefault="007119D9" w:rsidP="002A114C">
      <w:pPr>
        <w:spacing w:after="0" w:line="240" w:lineRule="auto"/>
        <w:rPr>
          <w:rFonts w:ascii="Arial" w:eastAsia="Calibri" w:hAnsi="Arial" w:cs="Arial"/>
          <w:b/>
          <w:bCs/>
          <w:lang w:val="es-MX"/>
        </w:rPr>
      </w:pPr>
    </w:p>
    <w:p w14:paraId="11C90CE6" w14:textId="69009890" w:rsidR="007119D9" w:rsidRDefault="007119D9" w:rsidP="002A114C">
      <w:pPr>
        <w:spacing w:after="0" w:line="240" w:lineRule="auto"/>
        <w:rPr>
          <w:rFonts w:ascii="Arial" w:eastAsia="Calibri" w:hAnsi="Arial" w:cs="Arial"/>
          <w:b/>
          <w:bCs/>
          <w:lang w:val="es-MX"/>
        </w:rPr>
      </w:pPr>
    </w:p>
    <w:p w14:paraId="56E9B151" w14:textId="5E444492" w:rsidR="007119D9" w:rsidRDefault="007119D9" w:rsidP="002A114C">
      <w:pPr>
        <w:spacing w:after="0" w:line="240" w:lineRule="auto"/>
        <w:rPr>
          <w:rFonts w:ascii="Arial" w:eastAsia="Calibri" w:hAnsi="Arial" w:cs="Arial"/>
          <w:b/>
          <w:bCs/>
          <w:lang w:val="es-MX"/>
        </w:rPr>
      </w:pPr>
    </w:p>
    <w:p w14:paraId="7C076E33" w14:textId="77777777" w:rsidR="007119D9" w:rsidRDefault="007119D9" w:rsidP="002A114C">
      <w:pPr>
        <w:spacing w:after="0" w:line="240" w:lineRule="auto"/>
        <w:rPr>
          <w:rFonts w:ascii="Arial" w:eastAsia="Calibri" w:hAnsi="Arial" w:cs="Arial"/>
          <w:b/>
          <w:bCs/>
          <w:lang w:val="es-MX"/>
        </w:rPr>
      </w:pPr>
    </w:p>
    <w:p w14:paraId="48DC5586" w14:textId="47C9DEBB" w:rsidR="00A95034" w:rsidRDefault="00A95034" w:rsidP="002A114C">
      <w:pPr>
        <w:spacing w:after="0" w:line="240" w:lineRule="auto"/>
        <w:rPr>
          <w:rFonts w:ascii="Arial" w:eastAsia="Calibri" w:hAnsi="Arial" w:cs="Arial"/>
          <w:b/>
          <w:bCs/>
          <w:lang w:val="es-MX"/>
        </w:rPr>
      </w:pPr>
    </w:p>
    <w:p w14:paraId="54605183" w14:textId="0F553A40" w:rsidR="002A114C" w:rsidRPr="002A114C" w:rsidRDefault="00F144CD" w:rsidP="00F144CD">
      <w:pPr>
        <w:spacing w:after="0" w:line="240" w:lineRule="auto"/>
        <w:jc w:val="right"/>
        <w:rPr>
          <w:rFonts w:ascii="Arial" w:eastAsia="Calibri" w:hAnsi="Arial" w:cs="Arial"/>
          <w:lang w:val="es-MX"/>
        </w:rPr>
      </w:pPr>
      <w:r>
        <w:rPr>
          <w:noProof/>
        </w:rPr>
        <w:drawing>
          <wp:inline distT="0" distB="0" distL="0" distR="0" wp14:anchorId="53A85E60" wp14:editId="62BA97FF">
            <wp:extent cx="3105150" cy="8475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6698" t="51319" r="6021" b="30582"/>
                    <a:stretch/>
                  </pic:blipFill>
                  <pic:spPr bwMode="auto">
                    <a:xfrm>
                      <a:off x="0" y="0"/>
                      <a:ext cx="3141126" cy="857395"/>
                    </a:xfrm>
                    <a:prstGeom prst="rect">
                      <a:avLst/>
                    </a:prstGeom>
                    <a:ln>
                      <a:noFill/>
                    </a:ln>
                    <a:extLst>
                      <a:ext uri="{53640926-AAD7-44D8-BBD7-CCE9431645EC}">
                        <a14:shadowObscured xmlns:a14="http://schemas.microsoft.com/office/drawing/2010/main"/>
                      </a:ext>
                    </a:extLst>
                  </pic:spPr>
                </pic:pic>
              </a:graphicData>
            </a:graphic>
          </wp:inline>
        </w:drawing>
      </w:r>
    </w:p>
    <w:p w14:paraId="30DC63FC" w14:textId="77777777" w:rsidR="00F144CD" w:rsidRDefault="00F144CD" w:rsidP="002A114C">
      <w:pPr>
        <w:spacing w:after="0" w:line="240" w:lineRule="auto"/>
        <w:rPr>
          <w:rFonts w:ascii="Arial" w:eastAsia="Calibri" w:hAnsi="Arial" w:cs="Arial"/>
          <w:lang w:val="es-MX"/>
        </w:rPr>
      </w:pPr>
    </w:p>
    <w:p w14:paraId="190C17AD" w14:textId="77777777" w:rsidR="00F144CD" w:rsidRDefault="00F144CD" w:rsidP="002A114C">
      <w:pPr>
        <w:spacing w:after="0" w:line="240" w:lineRule="auto"/>
        <w:rPr>
          <w:rFonts w:ascii="Arial" w:eastAsia="Calibri" w:hAnsi="Arial" w:cs="Arial"/>
          <w:lang w:val="es-MX"/>
        </w:rPr>
      </w:pPr>
    </w:p>
    <w:p w14:paraId="0E2401AF" w14:textId="11F4998F" w:rsidR="002A114C" w:rsidRPr="002A114C" w:rsidRDefault="002A114C" w:rsidP="002A114C">
      <w:pPr>
        <w:spacing w:after="0" w:line="240" w:lineRule="auto"/>
        <w:rPr>
          <w:rFonts w:ascii="Arial" w:eastAsia="Calibri" w:hAnsi="Arial" w:cs="Arial"/>
          <w:lang w:val="es-MX"/>
        </w:rPr>
      </w:pPr>
      <w:r w:rsidRPr="002A114C">
        <w:rPr>
          <w:rFonts w:ascii="Arial" w:eastAsia="Calibri" w:hAnsi="Arial" w:cs="Arial"/>
          <w:lang w:val="es-MX"/>
        </w:rPr>
        <w:t>Señor</w:t>
      </w:r>
    </w:p>
    <w:p w14:paraId="3C964A15" w14:textId="7037FD6E" w:rsidR="002A114C" w:rsidRPr="00F32F67" w:rsidRDefault="00F32F67" w:rsidP="002A114C">
      <w:pPr>
        <w:spacing w:after="0" w:line="240" w:lineRule="auto"/>
        <w:rPr>
          <w:rFonts w:ascii="Arial" w:hAnsi="Arial" w:cs="Arial"/>
          <w:b/>
          <w:bCs/>
          <w:sz w:val="24"/>
          <w:szCs w:val="24"/>
        </w:rPr>
      </w:pPr>
      <w:r>
        <w:rPr>
          <w:rFonts w:ascii="Arial" w:hAnsi="Arial" w:cs="Arial"/>
          <w:b/>
          <w:bCs/>
          <w:sz w:val="24"/>
          <w:szCs w:val="24"/>
        </w:rPr>
        <w:t>M</w:t>
      </w:r>
      <w:r w:rsidRPr="00F32F67">
        <w:rPr>
          <w:rFonts w:ascii="Arial" w:hAnsi="Arial" w:cs="Arial"/>
          <w:b/>
          <w:bCs/>
          <w:sz w:val="24"/>
          <w:szCs w:val="24"/>
        </w:rPr>
        <w:t xml:space="preserve">arlon </w:t>
      </w:r>
      <w:r>
        <w:rPr>
          <w:rFonts w:ascii="Arial" w:hAnsi="Arial" w:cs="Arial"/>
          <w:b/>
          <w:bCs/>
          <w:sz w:val="24"/>
          <w:szCs w:val="24"/>
        </w:rPr>
        <w:t>F</w:t>
      </w:r>
      <w:r w:rsidRPr="00F32F67">
        <w:rPr>
          <w:rFonts w:ascii="Arial" w:hAnsi="Arial" w:cs="Arial"/>
          <w:b/>
          <w:bCs/>
          <w:sz w:val="24"/>
          <w:szCs w:val="24"/>
        </w:rPr>
        <w:t xml:space="preserve">abian </w:t>
      </w:r>
      <w:r>
        <w:rPr>
          <w:rFonts w:ascii="Arial" w:hAnsi="Arial" w:cs="Arial"/>
          <w:b/>
          <w:bCs/>
          <w:sz w:val="24"/>
          <w:szCs w:val="24"/>
        </w:rPr>
        <w:t>M</w:t>
      </w:r>
      <w:r w:rsidRPr="00F32F67">
        <w:rPr>
          <w:rFonts w:ascii="Arial" w:hAnsi="Arial" w:cs="Arial"/>
          <w:b/>
          <w:bCs/>
          <w:sz w:val="24"/>
          <w:szCs w:val="24"/>
        </w:rPr>
        <w:t xml:space="preserve">artínez </w:t>
      </w:r>
      <w:r>
        <w:rPr>
          <w:rFonts w:ascii="Arial" w:hAnsi="Arial" w:cs="Arial"/>
          <w:b/>
          <w:bCs/>
          <w:sz w:val="24"/>
          <w:szCs w:val="24"/>
        </w:rPr>
        <w:t>R</w:t>
      </w:r>
      <w:r w:rsidRPr="00F32F67">
        <w:rPr>
          <w:rFonts w:ascii="Arial" w:hAnsi="Arial" w:cs="Arial"/>
          <w:b/>
          <w:bCs/>
          <w:sz w:val="24"/>
          <w:szCs w:val="24"/>
        </w:rPr>
        <w:t>ojas</w:t>
      </w:r>
    </w:p>
    <w:p w14:paraId="4A08BD59" w14:textId="07E4C0C5" w:rsidR="00F32F67" w:rsidRPr="002A114C" w:rsidRDefault="00F32F67" w:rsidP="002A114C">
      <w:pPr>
        <w:spacing w:after="0" w:line="240" w:lineRule="auto"/>
        <w:rPr>
          <w:rFonts w:ascii="Arial" w:eastAsia="Calibri" w:hAnsi="Arial" w:cs="Arial"/>
          <w:lang w:val="es-MX"/>
        </w:rPr>
      </w:pPr>
      <w:r w:rsidRPr="00F32F67">
        <w:rPr>
          <w:rFonts w:ascii="Arial" w:hAnsi="Arial" w:cs="Arial"/>
          <w:sz w:val="24"/>
          <w:szCs w:val="24"/>
        </w:rPr>
        <w:t>Bucaramanga, Santander</w:t>
      </w:r>
    </w:p>
    <w:p w14:paraId="6CA4D5DA" w14:textId="77777777" w:rsidR="002A114C" w:rsidRPr="002A114C" w:rsidRDefault="002A114C" w:rsidP="002A114C">
      <w:pPr>
        <w:spacing w:after="0" w:line="240" w:lineRule="auto"/>
        <w:rPr>
          <w:rFonts w:ascii="Arial" w:eastAsia="Calibri" w:hAnsi="Arial" w:cs="Arial"/>
          <w:lang w:val="es-MX"/>
        </w:rPr>
      </w:pPr>
    </w:p>
    <w:p w14:paraId="0AACFE51" w14:textId="77777777" w:rsidR="002A114C" w:rsidRPr="002A114C" w:rsidRDefault="002A114C" w:rsidP="002A114C">
      <w:pPr>
        <w:spacing w:after="0" w:line="240" w:lineRule="auto"/>
        <w:rPr>
          <w:rFonts w:ascii="Arial" w:eastAsia="Calibri" w:hAnsi="Arial" w:cs="Arial"/>
          <w:lang w:val="es-MX"/>
        </w:rPr>
      </w:pPr>
    </w:p>
    <w:p w14:paraId="29A50F1E" w14:textId="09D02219" w:rsidR="002A114C" w:rsidRPr="002A114C" w:rsidRDefault="002A114C" w:rsidP="002A114C">
      <w:pPr>
        <w:spacing w:after="0" w:line="240" w:lineRule="auto"/>
        <w:rPr>
          <w:rFonts w:ascii="Arial" w:eastAsia="Calibri" w:hAnsi="Arial" w:cs="Arial"/>
          <w:b/>
          <w:lang w:val="es-MX"/>
        </w:rPr>
      </w:pPr>
      <w:r w:rsidRPr="002A114C">
        <w:rPr>
          <w:rFonts w:ascii="Arial" w:eastAsia="Calibri" w:hAnsi="Arial" w:cs="Arial"/>
          <w:b/>
          <w:lang w:val="es-MX"/>
        </w:rPr>
        <w:t xml:space="preserve">                                            Concepto C –</w:t>
      </w:r>
      <w:r w:rsidR="00680A4B">
        <w:rPr>
          <w:rFonts w:ascii="Arial" w:eastAsia="Calibri" w:hAnsi="Arial" w:cs="Arial"/>
          <w:b/>
          <w:lang w:val="es-MX"/>
        </w:rPr>
        <w:t xml:space="preserve"> 068</w:t>
      </w:r>
      <w:r w:rsidRPr="002A114C">
        <w:rPr>
          <w:rFonts w:ascii="Arial" w:eastAsia="Calibri" w:hAnsi="Arial" w:cs="Arial"/>
          <w:b/>
          <w:lang w:val="es-MX"/>
        </w:rPr>
        <w:t xml:space="preserve"> de 202</w:t>
      </w:r>
      <w:r w:rsidR="00F32F67">
        <w:rPr>
          <w:rFonts w:ascii="Arial" w:eastAsia="Calibri" w:hAnsi="Arial" w:cs="Arial"/>
          <w:b/>
          <w:lang w:val="es-MX"/>
        </w:rPr>
        <w:t>1</w:t>
      </w:r>
    </w:p>
    <w:p w14:paraId="3C41B363" w14:textId="77777777" w:rsidR="002A114C" w:rsidRPr="002A114C" w:rsidRDefault="002A114C" w:rsidP="002A114C">
      <w:pPr>
        <w:spacing w:after="0"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A114C" w:rsidRPr="002A114C" w14:paraId="03870C65" w14:textId="77777777" w:rsidTr="00D04C4D">
        <w:trPr>
          <w:trHeight w:val="1029"/>
        </w:trPr>
        <w:tc>
          <w:tcPr>
            <w:tcW w:w="2689" w:type="dxa"/>
            <w:hideMark/>
          </w:tcPr>
          <w:p w14:paraId="3F8BAD5D" w14:textId="77777777" w:rsidR="002A114C" w:rsidRPr="002A114C" w:rsidRDefault="002A114C" w:rsidP="002A114C">
            <w:pPr>
              <w:rPr>
                <w:rFonts w:ascii="Arial" w:eastAsia="Calibri" w:hAnsi="Arial" w:cs="Arial"/>
                <w:lang w:val="es-MX"/>
              </w:rPr>
            </w:pPr>
            <w:r w:rsidRPr="002A114C">
              <w:rPr>
                <w:rFonts w:ascii="Arial" w:eastAsia="Calibri" w:hAnsi="Arial" w:cs="Arial"/>
                <w:b/>
                <w:lang w:val="es-MX"/>
              </w:rPr>
              <w:t>Temas:</w:t>
            </w:r>
            <w:r w:rsidRPr="002A114C">
              <w:rPr>
                <w:rFonts w:ascii="Arial" w:eastAsia="Calibri" w:hAnsi="Arial" w:cs="Arial"/>
                <w:lang w:val="es-MX"/>
              </w:rPr>
              <w:t xml:space="preserve">              </w:t>
            </w:r>
          </w:p>
        </w:tc>
        <w:tc>
          <w:tcPr>
            <w:tcW w:w="6237" w:type="dxa"/>
            <w:hideMark/>
          </w:tcPr>
          <w:p w14:paraId="6C869ECD" w14:textId="792FF962" w:rsidR="002A114C" w:rsidRPr="002A114C" w:rsidRDefault="002A114C" w:rsidP="002A114C">
            <w:pPr>
              <w:spacing w:after="120"/>
              <w:jc w:val="both"/>
              <w:rPr>
                <w:rFonts w:ascii="Arial" w:eastAsia="Calibri" w:hAnsi="Arial" w:cs="Arial"/>
                <w:lang w:val="es-MX"/>
              </w:rPr>
            </w:pPr>
            <w:r w:rsidRPr="002A114C">
              <w:rPr>
                <w:rFonts w:ascii="Arial" w:eastAsia="Calibri" w:hAnsi="Arial" w:cs="Arial"/>
                <w:lang w:val="es-MX"/>
              </w:rPr>
              <w:t xml:space="preserve">PRINCIPIO DE PUBLICIDAD – Noción – Acceso a la información pública / BOLSA DE PRODUCTOS – Noción – Procedencia / BOLSA DE PRODUCTOS – Publicación en SECOP </w:t>
            </w:r>
          </w:p>
        </w:tc>
      </w:tr>
      <w:tr w:rsidR="002A114C" w:rsidRPr="002A114C" w14:paraId="25E8F58C" w14:textId="77777777" w:rsidTr="00D04C4D">
        <w:trPr>
          <w:trHeight w:val="264"/>
        </w:trPr>
        <w:tc>
          <w:tcPr>
            <w:tcW w:w="2689" w:type="dxa"/>
          </w:tcPr>
          <w:p w14:paraId="6EF34426" w14:textId="77777777" w:rsidR="002A114C" w:rsidRPr="002A114C" w:rsidRDefault="002A114C" w:rsidP="002A114C">
            <w:pPr>
              <w:rPr>
                <w:rFonts w:ascii="Arial" w:eastAsia="Calibri" w:hAnsi="Arial" w:cs="Arial"/>
                <w:b/>
                <w:lang w:val="es-MX"/>
              </w:rPr>
            </w:pPr>
            <w:r w:rsidRPr="002A114C">
              <w:rPr>
                <w:rFonts w:ascii="Arial" w:eastAsia="Calibri" w:hAnsi="Arial" w:cs="Arial"/>
                <w:b/>
                <w:lang w:val="es-MX"/>
              </w:rPr>
              <w:t>Radicación:</w:t>
            </w:r>
            <w:r w:rsidRPr="002A114C">
              <w:rPr>
                <w:rFonts w:ascii="Arial" w:eastAsia="Calibri" w:hAnsi="Arial" w:cs="Arial"/>
                <w:lang w:val="es-MX"/>
              </w:rPr>
              <w:t xml:space="preserve">                              </w:t>
            </w:r>
          </w:p>
        </w:tc>
        <w:tc>
          <w:tcPr>
            <w:tcW w:w="6237" w:type="dxa"/>
          </w:tcPr>
          <w:p w14:paraId="058A4E42" w14:textId="68EB00A7" w:rsidR="002A114C" w:rsidRPr="002A114C" w:rsidRDefault="002A114C" w:rsidP="002A114C">
            <w:pPr>
              <w:jc w:val="both"/>
              <w:rPr>
                <w:rFonts w:ascii="Arial" w:eastAsia="Calibri" w:hAnsi="Arial" w:cs="Arial"/>
                <w:lang w:val="es-MX"/>
              </w:rPr>
            </w:pPr>
            <w:r w:rsidRPr="002A114C">
              <w:rPr>
                <w:rFonts w:ascii="Arial" w:eastAsia="Calibri" w:hAnsi="Arial" w:cs="Arial"/>
                <w:lang w:val="es-MX"/>
              </w:rPr>
              <w:t xml:space="preserve">Respuesta consulta # </w:t>
            </w:r>
            <w:r w:rsidR="00F32F67" w:rsidRPr="00F32F67">
              <w:rPr>
                <w:rFonts w:ascii="Arial" w:eastAsia="Calibri" w:hAnsi="Arial" w:cs="Arial"/>
                <w:lang w:val="es-MX"/>
              </w:rPr>
              <w:t>P20210309001963</w:t>
            </w:r>
          </w:p>
        </w:tc>
      </w:tr>
    </w:tbl>
    <w:p w14:paraId="04464D26" w14:textId="77777777" w:rsidR="002A114C" w:rsidRPr="002A114C" w:rsidRDefault="002A114C" w:rsidP="002A114C">
      <w:pPr>
        <w:spacing w:after="0" w:line="276" w:lineRule="auto"/>
        <w:rPr>
          <w:rFonts w:ascii="Arial" w:eastAsia="Calibri" w:hAnsi="Arial" w:cs="Arial"/>
          <w:lang w:val="es-MX"/>
        </w:rPr>
      </w:pPr>
    </w:p>
    <w:p w14:paraId="180A54D8" w14:textId="15F995F3" w:rsidR="002A114C" w:rsidRPr="002A114C" w:rsidRDefault="002A114C" w:rsidP="002A114C">
      <w:pPr>
        <w:spacing w:after="0" w:line="276" w:lineRule="auto"/>
        <w:rPr>
          <w:rFonts w:ascii="Arial" w:eastAsia="Calibri" w:hAnsi="Arial" w:cs="Arial"/>
          <w:lang w:val="es-MX"/>
        </w:rPr>
      </w:pPr>
      <w:r w:rsidRPr="002A114C">
        <w:rPr>
          <w:rFonts w:ascii="Arial" w:eastAsia="Calibri" w:hAnsi="Arial" w:cs="Arial"/>
          <w:lang w:val="es-MX"/>
        </w:rPr>
        <w:t xml:space="preserve">Estimado señor </w:t>
      </w:r>
      <w:r w:rsidR="00F32F67" w:rsidRPr="00F32F67">
        <w:rPr>
          <w:rFonts w:ascii="Arial" w:hAnsi="Arial" w:cs="Arial"/>
        </w:rPr>
        <w:t>Martínez Rojas:</w:t>
      </w:r>
    </w:p>
    <w:p w14:paraId="5F65921F" w14:textId="77777777" w:rsidR="002A114C" w:rsidRPr="002A114C" w:rsidRDefault="002A114C" w:rsidP="002A114C">
      <w:pPr>
        <w:spacing w:after="0" w:line="276" w:lineRule="auto"/>
        <w:jc w:val="both"/>
        <w:rPr>
          <w:rFonts w:ascii="Arial" w:eastAsia="Calibri" w:hAnsi="Arial" w:cs="Arial"/>
          <w:lang w:val="es-MX"/>
        </w:rPr>
      </w:pPr>
    </w:p>
    <w:p w14:paraId="56A39D2E" w14:textId="062F279E" w:rsidR="002A114C" w:rsidRPr="002A114C" w:rsidRDefault="002A114C" w:rsidP="002A114C">
      <w:pPr>
        <w:spacing w:after="0" w:line="276" w:lineRule="auto"/>
        <w:jc w:val="both"/>
        <w:rPr>
          <w:rFonts w:ascii="Arial" w:eastAsia="Calibri" w:hAnsi="Arial" w:cs="Arial"/>
          <w:lang w:val="es-MX"/>
        </w:rPr>
      </w:pPr>
      <w:r w:rsidRPr="002A114C">
        <w:rPr>
          <w:rFonts w:ascii="Arial" w:eastAsia="Calibri" w:hAnsi="Arial" w:cs="Arial"/>
          <w:lang w:val="es-MX"/>
        </w:rPr>
        <w:t>La Agencia Nacional de Contratación Pública – Colombia Compra Eficiente responde su consulta del</w:t>
      </w:r>
      <w:r w:rsidR="00AF5109">
        <w:rPr>
          <w:rFonts w:ascii="Arial" w:eastAsia="Calibri" w:hAnsi="Arial" w:cs="Arial"/>
          <w:lang w:val="es-MX"/>
        </w:rPr>
        <w:t xml:space="preserve"> 9 de febrero de 2021</w:t>
      </w:r>
      <w:r w:rsidRPr="002A114C">
        <w:rPr>
          <w:rFonts w:ascii="Arial" w:eastAsia="Calibri" w:hAnsi="Arial" w:cs="Arial"/>
          <w:lang w:val="es-MX"/>
        </w:rPr>
        <w:t>, en ejercicio de la competencia otorgada por el numeral 5 del artículo 3 y por el numeral 8 del artículo 11 del Decreto 4170 de 2011.</w:t>
      </w:r>
    </w:p>
    <w:p w14:paraId="5DD1D975" w14:textId="77777777" w:rsidR="002A114C" w:rsidRPr="002A114C" w:rsidRDefault="002A114C" w:rsidP="002A114C">
      <w:pPr>
        <w:spacing w:after="0" w:line="276" w:lineRule="auto"/>
        <w:jc w:val="both"/>
        <w:rPr>
          <w:rFonts w:ascii="Arial" w:eastAsia="Calibri" w:hAnsi="Arial" w:cs="Arial"/>
          <w:lang w:val="es-MX"/>
        </w:rPr>
      </w:pPr>
    </w:p>
    <w:p w14:paraId="56903EFC" w14:textId="77777777" w:rsidR="002A114C" w:rsidRPr="002A114C" w:rsidRDefault="002A114C" w:rsidP="002A114C">
      <w:pPr>
        <w:numPr>
          <w:ilvl w:val="0"/>
          <w:numId w:val="1"/>
        </w:numPr>
        <w:tabs>
          <w:tab w:val="left" w:pos="284"/>
        </w:tabs>
        <w:spacing w:after="0" w:line="276" w:lineRule="auto"/>
        <w:contextualSpacing/>
        <w:rPr>
          <w:rFonts w:ascii="Arial" w:eastAsia="Calibri" w:hAnsi="Arial" w:cs="Arial"/>
          <w:b/>
          <w:lang w:val="es-MX"/>
        </w:rPr>
      </w:pPr>
      <w:r w:rsidRPr="002A114C">
        <w:rPr>
          <w:rFonts w:ascii="Arial" w:eastAsia="Calibri" w:hAnsi="Arial" w:cs="Arial"/>
          <w:b/>
          <w:lang w:val="es-MX"/>
        </w:rPr>
        <w:t>Problemas planteados</w:t>
      </w:r>
    </w:p>
    <w:p w14:paraId="2F003418" w14:textId="77777777" w:rsidR="006615EA" w:rsidRDefault="006615EA" w:rsidP="006615EA">
      <w:pPr>
        <w:autoSpaceDE w:val="0"/>
        <w:autoSpaceDN w:val="0"/>
        <w:adjustRightInd w:val="0"/>
        <w:spacing w:after="0" w:line="276" w:lineRule="auto"/>
        <w:jc w:val="both"/>
        <w:rPr>
          <w:rFonts w:ascii="Arial" w:eastAsia="ArialMT" w:hAnsi="Arial" w:cs="Arial"/>
        </w:rPr>
      </w:pPr>
      <w:bookmarkStart w:id="5" w:name="_Hlk40095622"/>
    </w:p>
    <w:p w14:paraId="35DB433A" w14:textId="2DD072FC" w:rsidR="006615EA" w:rsidRDefault="006615EA" w:rsidP="006615EA">
      <w:pPr>
        <w:autoSpaceDE w:val="0"/>
        <w:autoSpaceDN w:val="0"/>
        <w:adjustRightInd w:val="0"/>
        <w:spacing w:after="0" w:line="276" w:lineRule="auto"/>
        <w:jc w:val="both"/>
        <w:rPr>
          <w:rFonts w:ascii="Arial" w:eastAsia="ArialMT" w:hAnsi="Arial" w:cs="Arial"/>
        </w:rPr>
      </w:pPr>
      <w:r>
        <w:rPr>
          <w:rFonts w:ascii="Arial" w:eastAsia="ArialMT" w:hAnsi="Arial" w:cs="Arial"/>
        </w:rPr>
        <w:t xml:space="preserve">En el contexto de la </w:t>
      </w:r>
      <w:r w:rsidRPr="002A114C">
        <w:rPr>
          <w:rFonts w:ascii="Arial" w:eastAsia="Calibri" w:hAnsi="Arial" w:cs="Arial"/>
          <w:lang w:val="es-MX"/>
        </w:rPr>
        <w:t>adquisición de bienes mediante el mecanismo de bolsa de productos</w:t>
      </w:r>
      <w:r>
        <w:rPr>
          <w:rFonts w:ascii="Arial" w:eastAsia="Calibri" w:hAnsi="Arial" w:cs="Arial"/>
          <w:lang w:val="es-MX"/>
        </w:rPr>
        <w:t xml:space="preserve">, concretamente, en lo referente a la publicidad de las actuaciones contractuales en este procedimiento, usted realiza las siguientes preguntas: </w:t>
      </w:r>
      <w:r w:rsidRPr="00DA6B3E">
        <w:rPr>
          <w:rFonts w:ascii="Arial" w:eastAsia="ArialMT" w:hAnsi="Arial" w:cs="Arial"/>
        </w:rPr>
        <w:t xml:space="preserve">i) […] la forma en que se deben cargar las cuentas de cobro en el Secop II, dado que el único contrato que existe es entre la entidad y el comisionista, pero no con el comitente vendedor, en ese sentido ¿se deben cargar también las cuentas de lo que se pague al comitente vendedor?» y </w:t>
      </w:r>
      <w:r>
        <w:rPr>
          <w:rFonts w:ascii="Arial" w:eastAsia="ArialMT" w:hAnsi="Arial" w:cs="Arial"/>
        </w:rPr>
        <w:t>i</w:t>
      </w:r>
      <w:r w:rsidRPr="00DA6B3E">
        <w:rPr>
          <w:rFonts w:ascii="Arial" w:eastAsia="ArialMT" w:hAnsi="Arial" w:cs="Arial"/>
        </w:rPr>
        <w:t>i) «De ser positiva la respuesta al anterior interrogante ¿en que</w:t>
      </w:r>
      <w:r w:rsidR="00F32F67">
        <w:rPr>
          <w:rFonts w:ascii="Arial" w:eastAsia="ArialMT" w:hAnsi="Arial" w:cs="Arial"/>
        </w:rPr>
        <w:t xml:space="preserve"> (sic)</w:t>
      </w:r>
      <w:r w:rsidRPr="00DA6B3E">
        <w:rPr>
          <w:rFonts w:ascii="Arial" w:eastAsia="ArialMT" w:hAnsi="Arial" w:cs="Arial"/>
        </w:rPr>
        <w:t xml:space="preserve"> sección de la plataforma se deberían cargar?»</w:t>
      </w:r>
    </w:p>
    <w:p w14:paraId="402B0514" w14:textId="77777777" w:rsidR="002A114C" w:rsidRPr="002A114C" w:rsidRDefault="002A114C" w:rsidP="002A114C">
      <w:pPr>
        <w:autoSpaceDE w:val="0"/>
        <w:autoSpaceDN w:val="0"/>
        <w:adjustRightInd w:val="0"/>
        <w:spacing w:after="0" w:line="276" w:lineRule="auto"/>
        <w:jc w:val="both"/>
        <w:rPr>
          <w:rFonts w:ascii="Arial" w:eastAsia="Calibri" w:hAnsi="Arial" w:cs="Arial"/>
          <w:lang w:val="es-MX"/>
        </w:rPr>
      </w:pPr>
    </w:p>
    <w:bookmarkEnd w:id="5"/>
    <w:p w14:paraId="4D6E950D" w14:textId="77777777" w:rsidR="002A114C" w:rsidRPr="002A114C" w:rsidRDefault="002A114C" w:rsidP="002A114C">
      <w:pPr>
        <w:numPr>
          <w:ilvl w:val="0"/>
          <w:numId w:val="1"/>
        </w:numPr>
        <w:tabs>
          <w:tab w:val="left" w:pos="284"/>
        </w:tabs>
        <w:spacing w:after="0" w:line="276" w:lineRule="auto"/>
        <w:contextualSpacing/>
        <w:rPr>
          <w:rFonts w:ascii="Arial" w:eastAsia="Calibri" w:hAnsi="Arial" w:cs="Arial"/>
          <w:b/>
          <w:lang w:val="es-MX"/>
        </w:rPr>
      </w:pPr>
      <w:r w:rsidRPr="002A114C">
        <w:rPr>
          <w:rFonts w:ascii="Arial" w:eastAsia="Calibri" w:hAnsi="Arial" w:cs="Arial"/>
          <w:b/>
          <w:lang w:val="es-MX"/>
        </w:rPr>
        <w:t>Consideraciones</w:t>
      </w:r>
    </w:p>
    <w:p w14:paraId="2658E3D3" w14:textId="77777777" w:rsidR="002A114C" w:rsidRPr="002A114C" w:rsidRDefault="002A114C" w:rsidP="002A114C">
      <w:pPr>
        <w:tabs>
          <w:tab w:val="left" w:pos="284"/>
        </w:tabs>
        <w:spacing w:after="0" w:line="276" w:lineRule="auto"/>
        <w:contextualSpacing/>
        <w:rPr>
          <w:rFonts w:ascii="Arial" w:eastAsia="Calibri" w:hAnsi="Arial" w:cs="Arial"/>
          <w:b/>
          <w:lang w:val="es-MX"/>
        </w:rPr>
      </w:pPr>
    </w:p>
    <w:p w14:paraId="3B28CFCC" w14:textId="66C29CB2" w:rsidR="002A114C" w:rsidRPr="002A114C" w:rsidRDefault="002A114C" w:rsidP="00A74545">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Calibri" w:hAnsi="Arial" w:cs="Arial"/>
          <w:lang w:val="es-ES"/>
        </w:rPr>
        <w:lastRenderedPageBreak/>
        <w:t>La Agencia Nacional de Contratación Pública – Colombia Compra Eficiente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posiciones que fueron unificadas en el concepto de unificación CU–367 del 23 de julio de 2020</w:t>
      </w:r>
      <w:r w:rsidR="00C17370">
        <w:rPr>
          <w:rFonts w:ascii="Arial" w:eastAsia="Calibri" w:hAnsi="Arial" w:cs="Arial"/>
          <w:lang w:val="es-ES"/>
        </w:rPr>
        <w:t>; además,</w:t>
      </w:r>
      <w:r w:rsidR="004811BD">
        <w:rPr>
          <w:rFonts w:ascii="Arial" w:eastAsia="Calibri" w:hAnsi="Arial" w:cs="Arial"/>
          <w:lang w:val="es-ES"/>
        </w:rPr>
        <w:t xml:space="preserve"> en el </w:t>
      </w:r>
      <w:r w:rsidR="004811BD" w:rsidRPr="00A74545">
        <w:rPr>
          <w:rFonts w:ascii="Arial" w:eastAsia="Calibri" w:hAnsi="Arial" w:cs="Arial"/>
          <w:lang w:val="es-ES"/>
        </w:rPr>
        <w:t>concepto C</w:t>
      </w:r>
      <w:r w:rsidR="004811BD" w:rsidRPr="002A114C">
        <w:rPr>
          <w:rFonts w:ascii="Arial" w:eastAsia="Calibri" w:hAnsi="Arial" w:cs="Arial"/>
          <w:lang w:val="es-ES"/>
        </w:rPr>
        <w:t>–</w:t>
      </w:r>
      <w:r w:rsidR="004811BD" w:rsidRPr="00A74545">
        <w:rPr>
          <w:rFonts w:ascii="Arial" w:eastAsia="Calibri" w:hAnsi="Arial" w:cs="Arial"/>
          <w:lang w:val="es-ES"/>
        </w:rPr>
        <w:t>455 del 31 de julio de 2020 estudi</w:t>
      </w:r>
      <w:r w:rsidR="00C17370">
        <w:rPr>
          <w:rFonts w:ascii="Arial" w:eastAsia="Calibri" w:hAnsi="Arial" w:cs="Arial"/>
          <w:lang w:val="es-ES"/>
        </w:rPr>
        <w:t>ó</w:t>
      </w:r>
      <w:r w:rsidR="004811BD" w:rsidRPr="00A74545">
        <w:rPr>
          <w:rFonts w:ascii="Arial" w:eastAsia="Calibri" w:hAnsi="Arial" w:cs="Arial"/>
          <w:lang w:val="es-ES"/>
        </w:rPr>
        <w:t xml:space="preserve"> la </w:t>
      </w:r>
      <w:r w:rsidR="00A74545" w:rsidRPr="00A74545">
        <w:rPr>
          <w:rFonts w:ascii="Arial" w:eastAsia="Calibri" w:hAnsi="Arial" w:cs="Arial"/>
          <w:lang w:val="es-ES"/>
        </w:rPr>
        <w:t xml:space="preserve">publicidad de los procedimientos contractuales </w:t>
      </w:r>
      <w:r w:rsidR="00C17370">
        <w:rPr>
          <w:rFonts w:ascii="Arial" w:eastAsia="Calibri" w:hAnsi="Arial" w:cs="Arial"/>
        </w:rPr>
        <w:t>tratándose de</w:t>
      </w:r>
      <w:r w:rsidR="00A74545" w:rsidRPr="00A74545">
        <w:rPr>
          <w:rFonts w:ascii="Arial" w:eastAsia="Calibri" w:hAnsi="Arial" w:cs="Arial"/>
        </w:rPr>
        <w:t xml:space="preserve"> operaciones en bolsas de productos</w:t>
      </w:r>
      <w:r w:rsidRPr="002A114C">
        <w:rPr>
          <w:rFonts w:ascii="Arial" w:eastAsia="Calibri" w:hAnsi="Arial" w:cs="Arial"/>
          <w:lang w:val="es-ES"/>
        </w:rPr>
        <w:t xml:space="preserve">. Algunos de los argumentos expuestos se reiteran </w:t>
      </w:r>
      <w:r w:rsidRPr="002A114C">
        <w:rPr>
          <w:rFonts w:ascii="Arial" w:eastAsia="Arial" w:hAnsi="Arial" w:cs="Arial"/>
          <w:lang w:val="es-ES"/>
        </w:rPr>
        <w:t>a continuación.</w:t>
      </w:r>
    </w:p>
    <w:p w14:paraId="27B89D27" w14:textId="77777777" w:rsidR="002A114C" w:rsidRPr="002A114C" w:rsidRDefault="002A114C" w:rsidP="002A114C">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7071A50D" w14:textId="77777777" w:rsidR="002A114C" w:rsidRPr="002A114C" w:rsidRDefault="002A114C" w:rsidP="002A114C">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2A114C">
        <w:rPr>
          <w:rFonts w:ascii="Arial" w:eastAsia="Arial" w:hAnsi="Arial" w:cs="Arial"/>
          <w:vertAlign w:val="superscript"/>
          <w:lang w:val="es-ES"/>
        </w:rPr>
        <w:footnoteReference w:id="1"/>
      </w:r>
      <w:r w:rsidRPr="002A114C">
        <w:rPr>
          <w:rFonts w:ascii="Arial" w:eastAsia="Arial" w:hAnsi="Arial" w:cs="Arial"/>
          <w:lang w:val="es-ES"/>
        </w:rPr>
        <w:t xml:space="preserve">, </w:t>
      </w:r>
      <w:proofErr w:type="gramStart"/>
      <w:r w:rsidRPr="002A114C">
        <w:rPr>
          <w:rFonts w:ascii="Arial" w:eastAsia="Arial" w:hAnsi="Arial" w:cs="Arial"/>
          <w:lang w:val="es-ES"/>
        </w:rPr>
        <w:t>con  lo</w:t>
      </w:r>
      <w:proofErr w:type="gramEnd"/>
      <w:r w:rsidRPr="002A114C">
        <w:rPr>
          <w:rFonts w:ascii="Arial" w:eastAsia="Arial" w:hAnsi="Arial" w:cs="Arial"/>
          <w:lang w:val="es-ES"/>
        </w:rPr>
        <w:t xml:space="preserve"> cual se puede determinar quiénes deben cumplir los principios y obligaciones señalados en las normas citadas.</w:t>
      </w:r>
    </w:p>
    <w:p w14:paraId="52D5D34A" w14:textId="4A5031E0" w:rsidR="002A114C" w:rsidRPr="002A114C" w:rsidRDefault="002A114C" w:rsidP="002A114C">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El artículo 23 de la Ley 80 de 1993 regula los principios que rigen las actuaciones dentro de los procedimientos contractuales que adelantan las entidades</w:t>
      </w:r>
      <w:r w:rsidRPr="002A114C">
        <w:rPr>
          <w:rFonts w:ascii="Arial" w:eastAsia="Arial" w:hAnsi="Arial" w:cs="Arial"/>
          <w:vertAlign w:val="superscript"/>
          <w:lang w:val="es-ES"/>
        </w:rPr>
        <w:footnoteReference w:id="2"/>
      </w:r>
      <w:r w:rsidRPr="002A114C">
        <w:rPr>
          <w:rFonts w:ascii="Arial" w:eastAsia="Arial" w:hAnsi="Arial" w:cs="Arial"/>
          <w:lang w:val="es-ES"/>
        </w:rPr>
        <w:t xml:space="preserve">, y destaca el </w:t>
      </w:r>
      <w:r w:rsidRPr="002A114C">
        <w:rPr>
          <w:rFonts w:ascii="Arial" w:eastAsia="Arial" w:hAnsi="Arial" w:cs="Arial"/>
          <w:lang w:val="es-ES"/>
        </w:rPr>
        <w:lastRenderedPageBreak/>
        <w:t>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2A114C">
        <w:rPr>
          <w:rFonts w:ascii="Arial" w:eastAsia="Arial" w:hAnsi="Arial" w:cs="Arial"/>
          <w:vertAlign w:val="superscript"/>
          <w:lang w:val="es-ES"/>
        </w:rPr>
        <w:footnoteReference w:id="3"/>
      </w:r>
      <w:r w:rsidRPr="002A114C">
        <w:rPr>
          <w:rFonts w:ascii="Arial" w:eastAsia="Arial" w:hAnsi="Arial" w:cs="Arial"/>
          <w:lang w:val="es-ES"/>
        </w:rPr>
        <w:t xml:space="preserve">. De esta manera, las entidades estatales deben publicar las actuaciones de los procedimientos contractuales en el medio definido </w:t>
      </w:r>
      <w:r w:rsidR="00680A4B">
        <w:rPr>
          <w:rFonts w:ascii="Arial" w:eastAsia="Arial" w:hAnsi="Arial" w:cs="Arial"/>
          <w:lang w:val="es-ES"/>
        </w:rPr>
        <w:t xml:space="preserve">en </w:t>
      </w:r>
      <w:r w:rsidRPr="002A114C">
        <w:rPr>
          <w:rFonts w:ascii="Arial" w:eastAsia="Arial" w:hAnsi="Arial" w:cs="Arial"/>
          <w:lang w:val="es-ES"/>
        </w:rPr>
        <w:t>el Estado para tal fin.</w:t>
      </w:r>
    </w:p>
    <w:p w14:paraId="7017A98D" w14:textId="5AD71DAB"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lang w:val="es-ES"/>
        </w:rPr>
      </w:pPr>
      <w:r w:rsidRPr="002A114C">
        <w:rPr>
          <w:rFonts w:ascii="Arial" w:eastAsia="Arial" w:hAnsi="Arial" w:cs="Arial"/>
          <w:lang w:val="es-ES"/>
        </w:rPr>
        <w:tab/>
        <w:t>Para resolver su consulta relacionada con la publicidad en el SECOP se analizarán los siguientes temas: i) marco normativo del principio de publicidad y acceso a la información pública y ii) publicidad en las operaciones de las bolsas de productos</w:t>
      </w:r>
      <w:r w:rsidR="00680A4B">
        <w:rPr>
          <w:rFonts w:ascii="Arial" w:eastAsia="Arial" w:hAnsi="Arial" w:cs="Arial"/>
          <w:lang w:val="es-ES"/>
        </w:rPr>
        <w:t>.</w:t>
      </w:r>
    </w:p>
    <w:p w14:paraId="56D08719" w14:textId="77777777"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lang w:val="es-ES"/>
        </w:rPr>
      </w:pPr>
    </w:p>
    <w:p w14:paraId="18DBB41C" w14:textId="77777777"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b/>
          <w:bCs/>
          <w:lang w:val="es-ES"/>
        </w:rPr>
      </w:pPr>
      <w:r w:rsidRPr="002A114C">
        <w:rPr>
          <w:rFonts w:ascii="Arial" w:eastAsia="Arial" w:hAnsi="Arial" w:cs="Arial"/>
          <w:b/>
          <w:bCs/>
          <w:lang w:val="es-ES"/>
        </w:rPr>
        <w:t xml:space="preserve">2.1. Principio de publicidad y acceso a la información pública </w:t>
      </w:r>
    </w:p>
    <w:p w14:paraId="3F994A79" w14:textId="77777777"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lang w:val="es-MX"/>
        </w:rPr>
      </w:pPr>
    </w:p>
    <w:p w14:paraId="76CAD58D" w14:textId="77777777"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b/>
          <w:lang w:val="es-ES"/>
        </w:rPr>
      </w:pPr>
      <w:r w:rsidRPr="002A114C">
        <w:rPr>
          <w:rFonts w:ascii="Arial" w:eastAsia="Arial" w:hAnsi="Arial" w:cs="Arial"/>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5E6F7B01" w14:textId="77777777" w:rsidR="002A114C" w:rsidRPr="002A114C" w:rsidRDefault="002A114C" w:rsidP="002A114C">
      <w:pPr>
        <w:widowControl w:val="0"/>
        <w:tabs>
          <w:tab w:val="left" w:pos="728"/>
        </w:tabs>
        <w:autoSpaceDE w:val="0"/>
        <w:autoSpaceDN w:val="0"/>
        <w:spacing w:after="0" w:line="276" w:lineRule="auto"/>
        <w:jc w:val="both"/>
        <w:rPr>
          <w:rFonts w:ascii="Arial" w:eastAsia="Arial" w:hAnsi="Arial" w:cs="Arial"/>
          <w:lang w:val="es-ES"/>
        </w:rPr>
      </w:pPr>
    </w:p>
    <w:p w14:paraId="75CECE12" w14:textId="77777777" w:rsidR="002A114C" w:rsidRPr="00680A4B" w:rsidRDefault="002A114C" w:rsidP="00680A4B">
      <w:pPr>
        <w:widowControl w:val="0"/>
        <w:tabs>
          <w:tab w:val="left" w:pos="728"/>
        </w:tabs>
        <w:autoSpaceDE w:val="0"/>
        <w:autoSpaceDN w:val="0"/>
        <w:spacing w:after="120" w:line="240" w:lineRule="auto"/>
        <w:ind w:left="709" w:right="709"/>
        <w:jc w:val="both"/>
        <w:rPr>
          <w:rFonts w:ascii="Arial" w:eastAsia="Arial" w:hAnsi="Arial" w:cs="Arial"/>
          <w:sz w:val="21"/>
          <w:szCs w:val="21"/>
          <w:lang w:val="es-ES"/>
        </w:rPr>
      </w:pPr>
      <w:r w:rsidRPr="00680A4B">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2193EBCF" w14:textId="131214D6" w:rsidR="002A114C" w:rsidRPr="00680A4B" w:rsidRDefault="002A114C" w:rsidP="00680A4B">
      <w:pPr>
        <w:widowControl w:val="0"/>
        <w:tabs>
          <w:tab w:val="left" w:pos="728"/>
        </w:tabs>
        <w:autoSpaceDE w:val="0"/>
        <w:autoSpaceDN w:val="0"/>
        <w:spacing w:after="120" w:line="240" w:lineRule="auto"/>
        <w:ind w:left="709" w:right="709"/>
        <w:jc w:val="both"/>
        <w:rPr>
          <w:rFonts w:ascii="Arial" w:eastAsia="Arial" w:hAnsi="Arial" w:cs="Arial"/>
          <w:sz w:val="21"/>
          <w:szCs w:val="21"/>
          <w:lang w:val="es-ES"/>
        </w:rPr>
      </w:pPr>
      <w:r w:rsidRPr="00680A4B">
        <w:rPr>
          <w:rFonts w:ascii="Arial" w:eastAsia="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86172B">
        <w:rPr>
          <w:rFonts w:ascii="Arial" w:eastAsia="Arial" w:hAnsi="Arial" w:cs="Arial"/>
          <w:sz w:val="21"/>
          <w:szCs w:val="21"/>
          <w:vertAlign w:val="superscript"/>
          <w:lang w:val="es-ES"/>
        </w:rPr>
        <w:footnoteReference w:id="4"/>
      </w:r>
      <w:r w:rsidRPr="0086172B">
        <w:rPr>
          <w:rFonts w:ascii="Arial" w:eastAsia="Arial" w:hAnsi="Arial" w:cs="Arial"/>
          <w:sz w:val="21"/>
          <w:szCs w:val="21"/>
          <w:vertAlign w:val="superscript"/>
          <w:lang w:val="es-ES"/>
        </w:rPr>
        <w:t>.</w:t>
      </w:r>
    </w:p>
    <w:p w14:paraId="42CA1AE6" w14:textId="1662E0C5" w:rsidR="002A114C" w:rsidRDefault="002A114C" w:rsidP="00680A4B">
      <w:pPr>
        <w:widowControl w:val="0"/>
        <w:tabs>
          <w:tab w:val="left" w:pos="728"/>
        </w:tabs>
        <w:autoSpaceDE w:val="0"/>
        <w:autoSpaceDN w:val="0"/>
        <w:spacing w:after="0" w:line="240" w:lineRule="auto"/>
        <w:ind w:left="709" w:right="709"/>
        <w:jc w:val="both"/>
        <w:rPr>
          <w:rFonts w:ascii="Arial" w:eastAsia="Arial" w:hAnsi="Arial" w:cs="Arial"/>
          <w:sz w:val="21"/>
          <w:szCs w:val="21"/>
          <w:lang w:val="es-ES"/>
        </w:rPr>
      </w:pPr>
      <w:r w:rsidRPr="00680A4B">
        <w:rPr>
          <w:rFonts w:ascii="Arial" w:eastAsia="Arial" w:hAnsi="Arial" w:cs="Arial"/>
          <w:sz w:val="21"/>
          <w:szCs w:val="21"/>
          <w:lang w:val="es-ES"/>
        </w:rPr>
        <w:lastRenderedPageBreak/>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680A4B">
        <w:rPr>
          <w:rFonts w:ascii="Arial" w:eastAsia="Arial" w:hAnsi="Arial" w:cs="Arial"/>
          <w:sz w:val="21"/>
          <w:szCs w:val="21"/>
          <w:vertAlign w:val="superscript"/>
          <w:lang w:val="es-ES"/>
        </w:rPr>
        <w:footnoteReference w:id="5"/>
      </w:r>
      <w:r w:rsidRPr="00680A4B">
        <w:rPr>
          <w:rFonts w:ascii="Arial" w:eastAsia="Arial" w:hAnsi="Arial" w:cs="Arial"/>
          <w:sz w:val="21"/>
          <w:szCs w:val="21"/>
          <w:lang w:val="es-ES"/>
        </w:rPr>
        <w:t xml:space="preserve">. </w:t>
      </w:r>
    </w:p>
    <w:p w14:paraId="6A55B151" w14:textId="77777777" w:rsidR="00680A4B" w:rsidRPr="00680A4B" w:rsidRDefault="00680A4B" w:rsidP="00680A4B">
      <w:pPr>
        <w:widowControl w:val="0"/>
        <w:tabs>
          <w:tab w:val="left" w:pos="728"/>
        </w:tabs>
        <w:autoSpaceDE w:val="0"/>
        <w:autoSpaceDN w:val="0"/>
        <w:spacing w:after="0" w:line="240" w:lineRule="auto"/>
        <w:ind w:left="709" w:right="709"/>
        <w:jc w:val="both"/>
        <w:rPr>
          <w:rFonts w:ascii="Arial" w:eastAsia="Arial" w:hAnsi="Arial" w:cs="Arial"/>
          <w:sz w:val="21"/>
          <w:szCs w:val="21"/>
          <w:lang w:val="es-ES"/>
        </w:rPr>
      </w:pPr>
    </w:p>
    <w:p w14:paraId="5E76B3F5" w14:textId="77777777" w:rsidR="002A114C" w:rsidRPr="002A114C" w:rsidRDefault="002A114C" w:rsidP="00680A4B">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A114C">
        <w:rPr>
          <w:rFonts w:ascii="Arial" w:eastAsia="Arial" w:hAnsi="Arial" w:cs="Arial"/>
          <w:vertAlign w:val="superscript"/>
          <w:lang w:val="es-ES"/>
        </w:rPr>
        <w:footnoteReference w:id="6"/>
      </w:r>
      <w:r w:rsidRPr="002A114C">
        <w:rPr>
          <w:rFonts w:ascii="Arial" w:eastAsia="Arial" w:hAnsi="Arial" w:cs="Arial"/>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AE2A602" w14:textId="58AD946A" w:rsidR="002A114C" w:rsidRPr="002A114C" w:rsidRDefault="002A114C" w:rsidP="00680A4B">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La ley citada establece, en el literal e) del artículo 9, que los sujetos obligados, que son todas las entidades públicas</w:t>
      </w:r>
      <w:r w:rsidRPr="002A114C">
        <w:rPr>
          <w:rFonts w:ascii="Arial" w:eastAsia="Arial" w:hAnsi="Arial" w:cs="Arial"/>
          <w:vertAlign w:val="superscript"/>
          <w:lang w:val="es-ES"/>
        </w:rPr>
        <w:footnoteReference w:id="7"/>
      </w:r>
      <w:r w:rsidRPr="002A114C">
        <w:rPr>
          <w:rFonts w:ascii="Arial" w:eastAsia="Arial" w:hAnsi="Arial" w:cs="Arial"/>
          <w:lang w:val="es-ES"/>
        </w:rPr>
        <w:t xml:space="preserve">, deben publicar la información relativa a su contratación. Esta obligación fue en principio desarrollada por el Decreto 103 de 2015, hoy compilado en </w:t>
      </w:r>
      <w:r w:rsidRPr="002A114C">
        <w:rPr>
          <w:rFonts w:ascii="Arial" w:eastAsia="Arial" w:hAnsi="Arial" w:cs="Arial"/>
          <w:lang w:val="es-ES"/>
        </w:rPr>
        <w:lastRenderedPageBreak/>
        <w:t>el Decreto Único Reglamentario 1081 de 2015</w:t>
      </w:r>
      <w:r w:rsidRPr="002A114C">
        <w:rPr>
          <w:rFonts w:ascii="Arial" w:eastAsia="Arial" w:hAnsi="Arial" w:cs="Arial"/>
          <w:vertAlign w:val="superscript"/>
          <w:lang w:val="es-ES"/>
        </w:rPr>
        <w:footnoteReference w:id="8"/>
      </w:r>
      <w:r w:rsidRPr="002A114C">
        <w:rPr>
          <w:rFonts w:ascii="Arial" w:eastAsia="Arial" w:hAnsi="Arial" w:cs="Arial"/>
          <w:lang w:val="es-ES"/>
        </w:rPr>
        <w:t>, el cual dispuso que la publicación de la información contractual de los sujetos obligados, que contratan con cargo a recursos públicos, debe hacerse en el Sistema Electrónico de Contratación Pública –SECOP–.</w:t>
      </w:r>
    </w:p>
    <w:p w14:paraId="340752B3" w14:textId="77777777" w:rsidR="002A114C" w:rsidRPr="002A114C" w:rsidRDefault="002A114C" w:rsidP="002A114C">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7FC6ACE" w14:textId="77777777" w:rsidR="002A114C" w:rsidRPr="002A114C" w:rsidRDefault="002A114C" w:rsidP="002A114C">
      <w:pPr>
        <w:widowControl w:val="0"/>
        <w:tabs>
          <w:tab w:val="left" w:pos="728"/>
        </w:tabs>
        <w:autoSpaceDE w:val="0"/>
        <w:autoSpaceDN w:val="0"/>
        <w:spacing w:after="120" w:line="276" w:lineRule="auto"/>
        <w:jc w:val="both"/>
        <w:rPr>
          <w:rFonts w:ascii="Arial" w:eastAsia="Arial" w:hAnsi="Arial" w:cs="Arial"/>
          <w:lang w:val="es-ES"/>
        </w:rPr>
      </w:pPr>
      <w:r w:rsidRPr="002A114C">
        <w:rPr>
          <w:rFonts w:ascii="Arial" w:eastAsia="Arial" w:hAnsi="Arial" w:cs="Arial"/>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A114C">
        <w:rPr>
          <w:rFonts w:ascii="Arial" w:eastAsia="Arial" w:hAnsi="Arial" w:cs="Arial"/>
          <w:vertAlign w:val="superscript"/>
          <w:lang w:val="es-ES"/>
        </w:rPr>
        <w:footnoteReference w:id="9"/>
      </w:r>
      <w:r w:rsidRPr="002A114C">
        <w:rPr>
          <w:rFonts w:ascii="Arial" w:eastAsia="Arial" w:hAnsi="Arial" w:cs="Arial"/>
          <w:lang w:val="es-ES"/>
        </w:rPr>
        <w:t>.</w:t>
      </w:r>
    </w:p>
    <w:p w14:paraId="499A2924" w14:textId="77777777" w:rsidR="002A114C" w:rsidRPr="002A114C" w:rsidRDefault="002A114C" w:rsidP="002A114C">
      <w:pPr>
        <w:widowControl w:val="0"/>
        <w:tabs>
          <w:tab w:val="left" w:pos="728"/>
        </w:tabs>
        <w:autoSpaceDE w:val="0"/>
        <w:autoSpaceDN w:val="0"/>
        <w:spacing w:after="0" w:line="276" w:lineRule="auto"/>
        <w:jc w:val="both"/>
        <w:rPr>
          <w:rFonts w:ascii="Arial" w:eastAsia="Calibri" w:hAnsi="Arial" w:cs="Arial"/>
          <w:lang w:val="es-ES"/>
        </w:rPr>
      </w:pPr>
      <w:r w:rsidRPr="002A114C">
        <w:rPr>
          <w:rFonts w:ascii="Arial" w:eastAsia="Arial" w:hAnsi="Arial" w:cs="Arial"/>
          <w:lang w:val="es-ES"/>
        </w:rPr>
        <w:tab/>
      </w:r>
      <w:r w:rsidRPr="002A114C">
        <w:rPr>
          <w:rFonts w:ascii="Arial" w:eastAsia="Calibri" w:hAnsi="Arial" w:cs="Arial"/>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2A114C">
        <w:rPr>
          <w:rFonts w:ascii="Arial" w:eastAsia="Calibri" w:hAnsi="Arial" w:cs="Arial"/>
          <w:vertAlign w:val="superscript"/>
          <w:lang w:val="es-ES"/>
        </w:rPr>
        <w:footnoteReference w:id="10"/>
      </w:r>
      <w:r w:rsidRPr="002A114C">
        <w:rPr>
          <w:rFonts w:ascii="Arial" w:eastAsia="Calibri" w:hAnsi="Arial" w:cs="Arial"/>
          <w:lang w:val="es-ES"/>
        </w:rPr>
        <w:t>,  lo que permite controlar las actuaciones y decisiones de la Administración y el cumplimiento de los demás principios de la contratación pública. Así lo confirma el Consejo de Estado, analizando el principio de publicidad:</w:t>
      </w:r>
    </w:p>
    <w:p w14:paraId="3A292EC8" w14:textId="77777777" w:rsidR="002A114C" w:rsidRPr="002A114C" w:rsidRDefault="002A114C" w:rsidP="002A114C">
      <w:pPr>
        <w:spacing w:after="0" w:line="240" w:lineRule="auto"/>
        <w:ind w:left="709" w:right="709"/>
        <w:jc w:val="both"/>
        <w:rPr>
          <w:rFonts w:ascii="Arial" w:eastAsia="Calibri" w:hAnsi="Arial" w:cs="Arial"/>
          <w:lang w:val="es-ES"/>
        </w:rPr>
      </w:pPr>
    </w:p>
    <w:p w14:paraId="58F48D4A" w14:textId="77777777" w:rsidR="002A114C" w:rsidRPr="002A114C" w:rsidRDefault="002A114C" w:rsidP="002A114C">
      <w:pPr>
        <w:spacing w:after="120" w:line="240" w:lineRule="auto"/>
        <w:ind w:left="709" w:right="709"/>
        <w:jc w:val="both"/>
        <w:rPr>
          <w:rFonts w:ascii="Arial" w:eastAsia="Calibri" w:hAnsi="Arial" w:cs="Arial"/>
          <w:sz w:val="21"/>
          <w:szCs w:val="21"/>
          <w:lang w:val="es-ES"/>
        </w:rPr>
      </w:pPr>
      <w:r w:rsidRPr="002A114C">
        <w:rPr>
          <w:rFonts w:ascii="Arial" w:eastAsia="Calibri" w:hAnsi="Arial" w:cs="Arial"/>
          <w:sz w:val="21"/>
          <w:szCs w:val="21"/>
          <w:lang w:val="es-ES"/>
        </w:rPr>
        <w:t xml:space="preserve">En virtud del principio de publicidad: las autoridades deben dar a conocer sus actuaciones y decisiones mediante las comunicaciones, notificaciones o </w:t>
      </w:r>
      <w:r w:rsidRPr="002A114C">
        <w:rPr>
          <w:rFonts w:ascii="Arial" w:eastAsia="Calibri" w:hAnsi="Arial" w:cs="Arial"/>
          <w:sz w:val="21"/>
          <w:szCs w:val="21"/>
          <w:lang w:val="es-ES"/>
        </w:rPr>
        <w:lastRenderedPageBreak/>
        <w:t>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8DD3988" w14:textId="77777777" w:rsidR="002A114C" w:rsidRPr="002A114C" w:rsidRDefault="002A114C" w:rsidP="002A114C">
      <w:pPr>
        <w:spacing w:after="120" w:line="240" w:lineRule="auto"/>
        <w:ind w:left="709" w:right="709"/>
        <w:jc w:val="both"/>
        <w:rPr>
          <w:rFonts w:ascii="Arial" w:eastAsia="Calibri" w:hAnsi="Arial" w:cs="Arial"/>
          <w:sz w:val="21"/>
          <w:szCs w:val="21"/>
          <w:lang w:val="es-ES"/>
        </w:rPr>
      </w:pPr>
      <w:r w:rsidRPr="002A114C">
        <w:rPr>
          <w:rFonts w:ascii="Arial" w:eastAsia="Calibri" w:hAnsi="Arial"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9F4F498" w14:textId="77777777" w:rsidR="002A114C" w:rsidRPr="002A114C" w:rsidRDefault="002A114C" w:rsidP="002A114C">
      <w:pPr>
        <w:spacing w:after="0" w:line="240" w:lineRule="auto"/>
        <w:ind w:left="709" w:right="709"/>
        <w:jc w:val="both"/>
        <w:rPr>
          <w:rFonts w:ascii="Arial" w:eastAsia="Calibri" w:hAnsi="Arial" w:cs="Arial"/>
          <w:sz w:val="21"/>
          <w:szCs w:val="21"/>
          <w:lang w:val="es-ES"/>
        </w:rPr>
      </w:pPr>
      <w:r w:rsidRPr="002A114C">
        <w:rPr>
          <w:rFonts w:ascii="Arial" w:eastAsia="Calibri"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2A114C">
        <w:rPr>
          <w:rFonts w:ascii="Arial" w:eastAsia="Calibri" w:hAnsi="Arial" w:cs="Arial"/>
          <w:sz w:val="21"/>
          <w:szCs w:val="21"/>
          <w:vertAlign w:val="superscript"/>
          <w:lang w:val="es-ES"/>
        </w:rPr>
        <w:footnoteReference w:id="11"/>
      </w:r>
      <w:r w:rsidRPr="002A114C">
        <w:rPr>
          <w:rFonts w:ascii="Arial" w:eastAsia="Calibri" w:hAnsi="Arial" w:cs="Arial"/>
          <w:sz w:val="21"/>
          <w:szCs w:val="21"/>
          <w:lang w:val="es-ES"/>
        </w:rPr>
        <w:t>.</w:t>
      </w:r>
    </w:p>
    <w:p w14:paraId="65582B0E" w14:textId="77777777" w:rsidR="002A114C" w:rsidRPr="002A114C" w:rsidRDefault="002A114C" w:rsidP="002A114C">
      <w:pPr>
        <w:spacing w:after="0" w:line="240" w:lineRule="auto"/>
        <w:ind w:left="709" w:right="709"/>
        <w:jc w:val="both"/>
        <w:rPr>
          <w:rFonts w:ascii="Arial" w:eastAsia="Calibri" w:hAnsi="Arial" w:cs="Arial"/>
          <w:lang w:val="es-ES"/>
        </w:rPr>
      </w:pPr>
    </w:p>
    <w:p w14:paraId="0278AF00" w14:textId="77777777" w:rsidR="002A114C" w:rsidRPr="002A114C" w:rsidRDefault="002A114C" w:rsidP="002A114C">
      <w:pPr>
        <w:spacing w:after="120" w:line="276" w:lineRule="auto"/>
        <w:ind w:firstLine="709"/>
        <w:jc w:val="both"/>
        <w:rPr>
          <w:rFonts w:ascii="Arial" w:eastAsia="Calibri" w:hAnsi="Arial" w:cs="Arial"/>
          <w:lang w:val="es-ES"/>
        </w:rPr>
      </w:pPr>
      <w:r w:rsidRPr="002A114C">
        <w:rPr>
          <w:rFonts w:ascii="Arial" w:eastAsia="Calibri" w:hAnsi="Arial" w:cs="Arial"/>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6ADE5097" w14:textId="19EAFF4A" w:rsidR="002A114C" w:rsidRPr="002A114C" w:rsidRDefault="002A114C" w:rsidP="002A114C">
      <w:pPr>
        <w:spacing w:after="120" w:line="276" w:lineRule="auto"/>
        <w:ind w:firstLine="709"/>
        <w:jc w:val="both"/>
        <w:rPr>
          <w:rFonts w:ascii="Arial" w:eastAsia="Calibri" w:hAnsi="Arial" w:cs="Arial"/>
          <w:lang w:val="es-ES"/>
        </w:rPr>
      </w:pPr>
      <w:r w:rsidRPr="002A114C">
        <w:rPr>
          <w:rFonts w:ascii="Arial" w:eastAsia="Calibri" w:hAnsi="Arial" w:cs="Arial"/>
          <w:lang w:val="es-ES"/>
        </w:rPr>
        <w:t>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w:t>
      </w:r>
      <w:r w:rsidR="00C17370">
        <w:rPr>
          <w:rFonts w:ascii="Arial" w:eastAsia="Calibri" w:hAnsi="Arial" w:cs="Arial"/>
          <w:lang w:val="es-ES"/>
        </w:rPr>
        <w:t>,</w:t>
      </w:r>
      <w:r w:rsidRPr="002A114C">
        <w:rPr>
          <w:rFonts w:ascii="Arial" w:eastAsia="Calibri" w:hAnsi="Arial" w:cs="Arial"/>
          <w:lang w:val="es-ES"/>
        </w:rPr>
        <w:t xml:space="preserve"> por tanto</w:t>
      </w:r>
      <w:r w:rsidR="00C17370">
        <w:rPr>
          <w:rFonts w:ascii="Arial" w:eastAsia="Calibri" w:hAnsi="Arial" w:cs="Arial"/>
          <w:lang w:val="es-ES"/>
        </w:rPr>
        <w:t>,</w:t>
      </w:r>
      <w:r w:rsidRPr="002A114C">
        <w:rPr>
          <w:rFonts w:ascii="Arial" w:eastAsia="Calibri" w:hAnsi="Arial" w:cs="Arial"/>
          <w:lang w:val="es-ES"/>
        </w:rPr>
        <w:t xml:space="preserve"> incumben a la ciudadanía.  </w:t>
      </w:r>
    </w:p>
    <w:p w14:paraId="6DC69688" w14:textId="6B49A0F9" w:rsidR="002A114C" w:rsidRPr="002A114C" w:rsidRDefault="002A114C" w:rsidP="002A114C">
      <w:pPr>
        <w:spacing w:after="0" w:line="276" w:lineRule="auto"/>
        <w:ind w:firstLine="709"/>
        <w:jc w:val="both"/>
        <w:rPr>
          <w:rFonts w:ascii="Arial" w:eastAsia="Calibri" w:hAnsi="Arial" w:cs="Arial"/>
          <w:lang w:val="es-ES"/>
        </w:rPr>
      </w:pPr>
      <w:r w:rsidRPr="002A114C">
        <w:rPr>
          <w:rFonts w:ascii="Arial" w:eastAsia="Calibri" w:hAnsi="Arial" w:cs="Arial"/>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w:t>
      </w:r>
      <w:r w:rsidR="00C17370">
        <w:rPr>
          <w:rFonts w:ascii="Arial" w:eastAsia="Calibri" w:hAnsi="Arial" w:cs="Arial"/>
          <w:lang w:val="es-ES"/>
        </w:rPr>
        <w:t>de</w:t>
      </w:r>
      <w:r w:rsidRPr="002A114C">
        <w:rPr>
          <w:rFonts w:ascii="Arial" w:eastAsia="Calibri" w:hAnsi="Arial" w:cs="Arial"/>
          <w:lang w:val="es-ES"/>
        </w:rPr>
        <w:t xml:space="preserve"> las actuaciones </w:t>
      </w:r>
      <w:r w:rsidRPr="002A114C">
        <w:rPr>
          <w:rFonts w:ascii="Arial" w:eastAsia="Calibri" w:hAnsi="Arial" w:cs="Arial"/>
          <w:lang w:val="es-ES"/>
        </w:rPr>
        <w:lastRenderedPageBreak/>
        <w:t>contractuales es materializar el derecho a conocer e intervenir de las decisiones de la Administración Pública.</w:t>
      </w:r>
    </w:p>
    <w:p w14:paraId="7689E2E7" w14:textId="77777777" w:rsidR="002A114C" w:rsidRPr="002A114C" w:rsidRDefault="002A114C" w:rsidP="002A114C">
      <w:pPr>
        <w:spacing w:after="0" w:line="276" w:lineRule="auto"/>
        <w:jc w:val="both"/>
        <w:rPr>
          <w:rFonts w:ascii="Arial" w:eastAsia="Calibri" w:hAnsi="Arial" w:cs="Arial"/>
          <w:b/>
          <w:bCs/>
          <w:lang w:val="es-MX"/>
        </w:rPr>
      </w:pPr>
    </w:p>
    <w:p w14:paraId="077DFFB1" w14:textId="77777777" w:rsidR="002A114C" w:rsidRDefault="002A114C" w:rsidP="002A114C">
      <w:pPr>
        <w:spacing w:after="0" w:line="276" w:lineRule="auto"/>
        <w:jc w:val="both"/>
        <w:rPr>
          <w:rFonts w:ascii="Arial" w:eastAsia="Calibri" w:hAnsi="Arial" w:cs="Arial"/>
          <w:b/>
          <w:bCs/>
          <w:lang w:val="es-MX"/>
        </w:rPr>
      </w:pPr>
      <w:r w:rsidRPr="002A114C">
        <w:rPr>
          <w:rFonts w:ascii="Arial" w:eastAsia="Calibri" w:hAnsi="Arial" w:cs="Arial"/>
          <w:b/>
          <w:bCs/>
          <w:lang w:val="es-MX"/>
        </w:rPr>
        <w:t>2.2. Publicidad en las operaciones en bolsas de productos</w:t>
      </w:r>
    </w:p>
    <w:p w14:paraId="750A7933" w14:textId="77777777" w:rsidR="002A114C" w:rsidRDefault="002A114C" w:rsidP="002A114C">
      <w:pPr>
        <w:spacing w:after="0" w:line="276" w:lineRule="auto"/>
        <w:jc w:val="both"/>
        <w:rPr>
          <w:rFonts w:ascii="Arial" w:eastAsia="Calibri" w:hAnsi="Arial" w:cs="Arial"/>
          <w:b/>
          <w:bCs/>
          <w:lang w:val="es-MX"/>
        </w:rPr>
      </w:pPr>
    </w:p>
    <w:p w14:paraId="7A8B8C54" w14:textId="680305C4" w:rsidR="002A114C" w:rsidRP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t xml:space="preserve">Las compras en bolsa de productos </w:t>
      </w:r>
      <w:r w:rsidR="00C17370">
        <w:rPr>
          <w:rFonts w:ascii="Arial" w:eastAsia="Calibri" w:hAnsi="Arial" w:cs="Arial"/>
          <w:lang w:val="es-MX"/>
        </w:rPr>
        <w:t xml:space="preserve">son </w:t>
      </w:r>
      <w:r>
        <w:rPr>
          <w:rFonts w:ascii="Arial" w:eastAsia="Calibri" w:hAnsi="Arial" w:cs="Arial"/>
          <w:lang w:val="es-MX"/>
        </w:rPr>
        <w:t xml:space="preserve">un mecanismo </w:t>
      </w:r>
      <w:r w:rsidRPr="002A114C">
        <w:rPr>
          <w:rFonts w:ascii="Arial" w:eastAsia="Calibri" w:hAnsi="Arial" w:cs="Arial"/>
          <w:lang w:val="es-MX"/>
        </w:rPr>
        <w:t>contemplado en el numeral 2 del artículo 2 de la Ley 1150 de 2007, en el marco de la modalidad de selección abreviada, para la adquisición o suministro de bienes y servicios de características técnicas uniformes y de común utilización por parte de las entidades estatales</w:t>
      </w:r>
      <w:r w:rsidRPr="002A114C">
        <w:rPr>
          <w:rFonts w:ascii="Arial" w:eastAsia="Calibri" w:hAnsi="Arial" w:cs="Arial"/>
          <w:vertAlign w:val="superscript"/>
          <w:lang w:val="es-MX"/>
        </w:rPr>
        <w:footnoteReference w:id="12"/>
      </w:r>
      <w:r w:rsidRPr="002A114C">
        <w:rPr>
          <w:rFonts w:ascii="Arial" w:eastAsia="Calibri" w:hAnsi="Arial" w:cs="Arial"/>
          <w:lang w:val="es-MX"/>
        </w:rPr>
        <w:t>.</w:t>
      </w:r>
    </w:p>
    <w:p w14:paraId="379F9F6C" w14:textId="61242B8D" w:rsidR="002A114C" w:rsidRP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tab/>
      </w:r>
      <w:r>
        <w:rPr>
          <w:rFonts w:ascii="Arial" w:eastAsia="Calibri" w:hAnsi="Arial" w:cs="Arial"/>
          <w:lang w:val="es-MX"/>
        </w:rPr>
        <w:t xml:space="preserve">La </w:t>
      </w:r>
      <w:r w:rsidRPr="002A114C">
        <w:rPr>
          <w:rFonts w:ascii="Arial" w:eastAsia="Calibri" w:hAnsi="Arial" w:cs="Arial"/>
          <w:lang w:val="es-MX"/>
        </w:rPr>
        <w:t>adquisición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2A114C">
        <w:rPr>
          <w:rFonts w:ascii="Arial" w:eastAsia="Calibri" w:hAnsi="Arial" w:cs="Arial"/>
          <w:vertAlign w:val="superscript"/>
          <w:lang w:val="es-MX"/>
        </w:rPr>
        <w:footnoteReference w:id="13"/>
      </w:r>
      <w:r w:rsidRPr="002A114C">
        <w:rPr>
          <w:rFonts w:ascii="Arial" w:eastAsia="Calibri" w:hAnsi="Arial" w:cs="Arial"/>
          <w:lang w:val="es-MX"/>
        </w:rPr>
        <w:t xml:space="preserve">. Los productos se negocian con base en una descripción detallada de los mismos, de acuerdo </w:t>
      </w:r>
      <w:r w:rsidR="00DA14F4">
        <w:rPr>
          <w:rFonts w:ascii="Arial" w:eastAsia="Calibri" w:hAnsi="Arial" w:cs="Arial"/>
          <w:lang w:val="es-MX"/>
        </w:rPr>
        <w:t>con</w:t>
      </w:r>
      <w:r w:rsidRPr="002A114C">
        <w:rPr>
          <w:rFonts w:ascii="Arial" w:eastAsia="Calibri" w:hAnsi="Arial" w:cs="Arial"/>
          <w:lang w:val="es-MX"/>
        </w:rPr>
        <w:t xml:space="preserve"> una reglamentación que permite que los participantes estén en igualdad de oportunidades y que el precio de los productos sea </w:t>
      </w:r>
      <w:r w:rsidR="00DA14F4">
        <w:rPr>
          <w:rFonts w:ascii="Arial" w:eastAsia="Calibri" w:hAnsi="Arial" w:cs="Arial"/>
          <w:lang w:val="es-MX"/>
        </w:rPr>
        <w:t>resultado</w:t>
      </w:r>
      <w:r w:rsidR="00DA14F4" w:rsidRPr="002A114C">
        <w:rPr>
          <w:rFonts w:ascii="Arial" w:eastAsia="Calibri" w:hAnsi="Arial" w:cs="Arial"/>
          <w:lang w:val="es-MX"/>
        </w:rPr>
        <w:t xml:space="preserve"> </w:t>
      </w:r>
      <w:r w:rsidRPr="002A114C">
        <w:rPr>
          <w:rFonts w:ascii="Arial" w:eastAsia="Calibri" w:hAnsi="Arial" w:cs="Arial"/>
          <w:lang w:val="es-MX"/>
        </w:rPr>
        <w:t>de la competencia entre los ofrecimientos</w:t>
      </w:r>
      <w:r w:rsidRPr="002A114C">
        <w:rPr>
          <w:rFonts w:ascii="Arial" w:eastAsia="Calibri" w:hAnsi="Arial" w:cs="Arial"/>
          <w:vertAlign w:val="superscript"/>
          <w:lang w:val="es-MX"/>
        </w:rPr>
        <w:footnoteReference w:id="14"/>
      </w:r>
      <w:r w:rsidRPr="002A114C">
        <w:rPr>
          <w:rFonts w:ascii="Arial" w:eastAsia="Calibri" w:hAnsi="Arial" w:cs="Arial"/>
          <w:lang w:val="es-MX"/>
        </w:rPr>
        <w:t xml:space="preserve">. </w:t>
      </w:r>
    </w:p>
    <w:p w14:paraId="01B3CEC6" w14:textId="77777777" w:rsidR="002A114C" w:rsidRP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tab/>
        <w:t xml:space="preserve">La negociación por parte de la entidad se da a través de un comisionista, el cual debe ser contratado por la entidad de conformidad con el procedimiento y reglas de la </w:t>
      </w:r>
      <w:r w:rsidRPr="002A114C">
        <w:rPr>
          <w:rFonts w:ascii="Arial" w:eastAsia="Calibri" w:hAnsi="Arial" w:cs="Arial"/>
          <w:lang w:val="es-MX"/>
        </w:rPr>
        <w:lastRenderedPageBreak/>
        <w:t>respectiva bolsa de productos</w:t>
      </w:r>
      <w:r w:rsidRPr="002A114C">
        <w:rPr>
          <w:rFonts w:ascii="Arial" w:eastAsia="Calibri" w:hAnsi="Arial" w:cs="Arial"/>
          <w:vertAlign w:val="superscript"/>
          <w:lang w:val="es-MX"/>
        </w:rPr>
        <w:footnoteReference w:id="15"/>
      </w:r>
      <w:r w:rsidRPr="002A114C">
        <w:rPr>
          <w:rFonts w:ascii="Arial" w:eastAsia="Calibri" w:hAnsi="Arial" w:cs="Arial"/>
          <w:lang w:val="es-MX"/>
        </w:rPr>
        <w:t>. A su vez, la calidad de los productos negociados y la liquidación de las operaciones celebradas debe estar respaldada por garantías</w:t>
      </w:r>
      <w:r w:rsidRPr="002A114C">
        <w:rPr>
          <w:rFonts w:ascii="Arial" w:eastAsia="Calibri" w:hAnsi="Arial" w:cs="Arial"/>
          <w:vertAlign w:val="superscript"/>
          <w:lang w:val="es-MX"/>
        </w:rPr>
        <w:footnoteReference w:id="16"/>
      </w:r>
      <w:r w:rsidRPr="002A114C">
        <w:rPr>
          <w:rFonts w:ascii="Arial" w:eastAsia="Calibri" w:hAnsi="Arial" w:cs="Arial"/>
          <w:lang w:val="es-MX"/>
        </w:rPr>
        <w:t>.</w:t>
      </w:r>
    </w:p>
    <w:p w14:paraId="6A1041EB" w14:textId="44ED8FD4" w:rsid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tab/>
        <w:t>De conformidad con el artículo 2.2.1.2.1.2.12 del Decreto 1082 de 2015,</w:t>
      </w:r>
      <w:r w:rsidR="00184C63">
        <w:rPr>
          <w:rFonts w:ascii="Arial" w:eastAsia="Calibri" w:hAnsi="Arial" w:cs="Arial"/>
          <w:lang w:val="es-MX"/>
        </w:rPr>
        <w:t xml:space="preserve"> modificado por el artículo 2 del Decreto 310 del 25 de marzo de 2021,</w:t>
      </w:r>
      <w:r w:rsidRPr="002A114C">
        <w:rPr>
          <w:rFonts w:ascii="Arial" w:eastAsia="Calibri" w:hAnsi="Arial" w:cs="Arial"/>
          <w:lang w:val="es-MX"/>
        </w:rPr>
        <w:t xml:space="preserve"> </w:t>
      </w:r>
      <w:r w:rsidR="00184C63">
        <w:rPr>
          <w:rFonts w:ascii="Arial" w:eastAsia="Calibri" w:hAnsi="Arial" w:cs="Arial"/>
          <w:lang w:val="es-MX"/>
        </w:rPr>
        <w:t xml:space="preserve">cuando </w:t>
      </w:r>
      <w:r w:rsidR="00184C63" w:rsidRPr="00CF344A">
        <w:rPr>
          <w:rFonts w:ascii="Arial" w:eastAsia="Calibri" w:hAnsi="Arial" w:cs="Arial"/>
          <w:i/>
          <w:iCs/>
          <w:lang w:val="es-MX"/>
        </w:rPr>
        <w:t>no</w:t>
      </w:r>
      <w:r w:rsidR="00184C63">
        <w:rPr>
          <w:rFonts w:ascii="Arial" w:eastAsia="Calibri" w:hAnsi="Arial" w:cs="Arial"/>
          <w:lang w:val="es-MX"/>
        </w:rPr>
        <w:t xml:space="preserve"> exista un acuerdo marco de precios </w:t>
      </w:r>
      <w:r w:rsidRPr="002A114C">
        <w:rPr>
          <w:rFonts w:ascii="Arial" w:eastAsia="Calibri" w:hAnsi="Arial" w:cs="Arial"/>
          <w:lang w:val="es-MX"/>
        </w:rPr>
        <w:t>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w:t>
      </w:r>
      <w:r w:rsidR="0064416C">
        <w:rPr>
          <w:rFonts w:ascii="Arial" w:eastAsia="Calibri" w:hAnsi="Arial" w:cs="Arial"/>
          <w:lang w:val="es-MX"/>
        </w:rPr>
        <w:t xml:space="preserve"> de precios</w:t>
      </w:r>
      <w:r w:rsidRPr="002A114C">
        <w:rPr>
          <w:rFonts w:ascii="Arial" w:eastAsia="Calibri" w:hAnsi="Arial" w:cs="Arial"/>
          <w:lang w:val="es-MX"/>
        </w:rPr>
        <w:t>, anális</w:t>
      </w:r>
      <w:r w:rsidR="0044071B">
        <w:rPr>
          <w:rFonts w:ascii="Arial" w:eastAsia="Calibri" w:hAnsi="Arial" w:cs="Arial"/>
          <w:lang w:val="es-MX"/>
        </w:rPr>
        <w:t>is</w:t>
      </w:r>
      <w:r w:rsidRPr="002A114C">
        <w:rPr>
          <w:rFonts w:ascii="Arial" w:eastAsia="Calibri" w:hAnsi="Arial" w:cs="Arial"/>
          <w:lang w:val="es-MX"/>
        </w:rPr>
        <w:t xml:space="preserve"> </w:t>
      </w:r>
      <w:r w:rsidR="0064416C">
        <w:rPr>
          <w:rFonts w:ascii="Arial" w:eastAsia="Calibri" w:hAnsi="Arial" w:cs="Arial"/>
          <w:lang w:val="es-MX"/>
        </w:rPr>
        <w:t xml:space="preserve">en </w:t>
      </w:r>
      <w:r w:rsidRPr="002A114C">
        <w:rPr>
          <w:rFonts w:ascii="Arial" w:eastAsia="Calibri" w:hAnsi="Arial" w:cs="Arial"/>
          <w:lang w:val="es-MX"/>
        </w:rPr>
        <w:t xml:space="preserve">que </w:t>
      </w:r>
      <w:r w:rsidR="0064416C">
        <w:rPr>
          <w:rFonts w:ascii="Arial" w:eastAsia="Calibri" w:hAnsi="Arial" w:cs="Arial"/>
          <w:lang w:val="es-MX"/>
        </w:rPr>
        <w:t xml:space="preserve">se </w:t>
      </w:r>
      <w:r w:rsidRPr="002A114C">
        <w:rPr>
          <w:rFonts w:ascii="Arial" w:eastAsia="Calibri" w:hAnsi="Arial" w:cs="Arial"/>
          <w:lang w:val="es-MX"/>
        </w:rPr>
        <w:t xml:space="preserve">deberá considerar el proceso de selección del comisionista, los costos asociados a la selección, el valor de la comisión y de las garantías. </w:t>
      </w:r>
      <w:r w:rsidR="00184C63">
        <w:rPr>
          <w:rFonts w:ascii="Arial" w:eastAsia="Calibri" w:hAnsi="Arial" w:cs="Arial"/>
          <w:lang w:val="es-MX"/>
        </w:rPr>
        <w:t xml:space="preserve">La disposición indicada además expresa que este estudio debe señalar </w:t>
      </w:r>
      <w:r w:rsidR="00184C63" w:rsidRPr="00184C63">
        <w:rPr>
          <w:rFonts w:ascii="Arial" w:eastAsia="Calibri" w:hAnsi="Arial" w:cs="Arial"/>
          <w:lang w:val="es-MX"/>
        </w:rPr>
        <w:t xml:space="preserve">la forma en que la </w:t>
      </w:r>
      <w:r w:rsidR="00184C63">
        <w:rPr>
          <w:rFonts w:ascii="Arial" w:eastAsia="Calibri" w:hAnsi="Arial" w:cs="Arial"/>
          <w:lang w:val="es-MX"/>
        </w:rPr>
        <w:t>e</w:t>
      </w:r>
      <w:r w:rsidR="00184C63" w:rsidRPr="00184C63">
        <w:rPr>
          <w:rFonts w:ascii="Arial" w:eastAsia="Calibri" w:hAnsi="Arial" w:cs="Arial"/>
          <w:lang w:val="es-MX"/>
        </w:rPr>
        <w:t xml:space="preserve">ntidad </w:t>
      </w:r>
      <w:r w:rsidR="00184C63">
        <w:rPr>
          <w:rFonts w:ascii="Arial" w:eastAsia="Calibri" w:hAnsi="Arial" w:cs="Arial"/>
          <w:lang w:val="es-MX"/>
        </w:rPr>
        <w:t>e</w:t>
      </w:r>
      <w:r w:rsidR="00184C63" w:rsidRPr="00184C63">
        <w:rPr>
          <w:rFonts w:ascii="Arial" w:eastAsia="Calibri" w:hAnsi="Arial" w:cs="Arial"/>
          <w:lang w:val="es-MX"/>
        </w:rPr>
        <w:t>statal garantiza los principios y objetivos del sistema de compras, contratación pública, los postulados de la función administrativa y de la gestión fiscal</w:t>
      </w:r>
      <w:r w:rsidR="00184C63">
        <w:rPr>
          <w:rFonts w:ascii="Arial" w:eastAsia="Calibri" w:hAnsi="Arial" w:cs="Arial"/>
          <w:lang w:val="es-MX"/>
        </w:rPr>
        <w:t>. De otro lado, expresamente se establece</w:t>
      </w:r>
      <w:r w:rsidR="00E77376">
        <w:rPr>
          <w:rFonts w:ascii="Arial" w:eastAsia="Calibri" w:hAnsi="Arial" w:cs="Arial"/>
          <w:lang w:val="es-MX"/>
        </w:rPr>
        <w:t xml:space="preserve"> en el inciso segundo de la norma analizada</w:t>
      </w:r>
      <w:r w:rsidR="00184C63">
        <w:rPr>
          <w:rFonts w:ascii="Arial" w:eastAsia="Calibri" w:hAnsi="Arial" w:cs="Arial"/>
          <w:lang w:val="es-MX"/>
        </w:rPr>
        <w:t xml:space="preserve"> que: «</w:t>
      </w:r>
      <w:r w:rsidR="00E77376">
        <w:rPr>
          <w:rFonts w:ascii="Arial" w:eastAsia="Calibri" w:hAnsi="Arial" w:cs="Arial"/>
          <w:lang w:val="es-MX"/>
        </w:rPr>
        <w:t xml:space="preserve">[…] </w:t>
      </w:r>
      <w:r w:rsidR="00184C63">
        <w:rPr>
          <w:rFonts w:ascii="Arial" w:eastAsia="Calibri" w:hAnsi="Arial" w:cs="Arial"/>
          <w:lang w:val="es-MX"/>
        </w:rPr>
        <w:t>e</w:t>
      </w:r>
      <w:r w:rsidR="00184C63" w:rsidRPr="00CF344A">
        <w:rPr>
          <w:rFonts w:ascii="Arial" w:eastAsia="Calibri" w:hAnsi="Arial" w:cs="Arial"/>
          <w:lang w:val="es-MX"/>
        </w:rPr>
        <w:t>ste estudio deberá consignarse expresamente en los documentos del Proceso de Selección y se deberá garantizar su oportuna publicidad a través del SECOP</w:t>
      </w:r>
      <w:r w:rsidR="00184C63">
        <w:rPr>
          <w:rFonts w:ascii="Arial" w:eastAsia="Calibri" w:hAnsi="Arial" w:cs="Arial"/>
          <w:lang w:val="es-MX"/>
        </w:rPr>
        <w:t xml:space="preserve">». </w:t>
      </w:r>
    </w:p>
    <w:p w14:paraId="60140C57" w14:textId="78915A7D" w:rsidR="005047A4" w:rsidRPr="002A114C" w:rsidRDefault="005047A4" w:rsidP="002A114C">
      <w:pPr>
        <w:spacing w:after="120" w:line="276" w:lineRule="auto"/>
        <w:jc w:val="both"/>
        <w:rPr>
          <w:rFonts w:ascii="Arial" w:eastAsia="Calibri" w:hAnsi="Arial" w:cs="Arial"/>
          <w:lang w:val="es-MX"/>
        </w:rPr>
      </w:pPr>
      <w:r>
        <w:rPr>
          <w:rFonts w:ascii="Arial" w:eastAsia="Calibri" w:hAnsi="Arial" w:cs="Arial"/>
          <w:lang w:val="es-MX"/>
        </w:rPr>
        <w:tab/>
      </w:r>
      <w:r w:rsidR="0064416C">
        <w:rPr>
          <w:rFonts w:ascii="Arial" w:eastAsia="Calibri" w:hAnsi="Arial" w:cs="Arial"/>
          <w:lang w:val="es-MX"/>
        </w:rPr>
        <w:t>No obstante</w:t>
      </w:r>
      <w:r>
        <w:rPr>
          <w:rFonts w:ascii="Arial" w:eastAsia="Calibri" w:hAnsi="Arial" w:cs="Arial"/>
          <w:lang w:val="es-MX"/>
        </w:rPr>
        <w:t xml:space="preserve">, los incisos tercero y cuarto de la disposición analizada también permiten a las entidades estatales acudir a las bolsas de productos cuando a pesar de la existencia de un acuerdo marco de precios, mediante aquel mecanismo se obtengan precios inferiores, incluyendo </w:t>
      </w:r>
      <w:r w:rsidRPr="00CF344A">
        <w:rPr>
          <w:rFonts w:ascii="Arial" w:eastAsia="Calibri" w:hAnsi="Arial" w:cs="Arial"/>
          <w:lang w:val="es-MX"/>
        </w:rPr>
        <w:t xml:space="preserve">los costos generados por concepto de comisionistas de bolsa y </w:t>
      </w:r>
      <w:r w:rsidR="0064416C">
        <w:rPr>
          <w:rFonts w:ascii="Arial" w:eastAsia="Calibri" w:hAnsi="Arial" w:cs="Arial"/>
          <w:lang w:val="es-MX"/>
        </w:rPr>
        <w:t xml:space="preserve">los </w:t>
      </w:r>
      <w:r w:rsidRPr="00CF344A">
        <w:rPr>
          <w:rFonts w:ascii="Arial" w:eastAsia="Calibri" w:hAnsi="Arial" w:cs="Arial"/>
          <w:lang w:val="es-MX"/>
        </w:rPr>
        <w:t xml:space="preserve">gastos de operación indicados en el artículo </w:t>
      </w:r>
      <w:r w:rsidR="005436AE" w:rsidRPr="005436AE">
        <w:rPr>
          <w:rFonts w:ascii="Arial" w:eastAsia="Calibri" w:hAnsi="Arial" w:cs="Arial"/>
          <w:lang w:val="es-MX"/>
        </w:rPr>
        <w:t>2.2.1.2.1.2.15. del Decreto 1082 de 2015</w:t>
      </w:r>
      <w:r>
        <w:rPr>
          <w:rFonts w:ascii="Arial" w:eastAsia="Calibri" w:hAnsi="Arial" w:cs="Arial"/>
          <w:lang w:val="es-MX"/>
        </w:rPr>
        <w:t xml:space="preserve"> y no se desmejoren las condiciones técnicas y de calidad</w:t>
      </w:r>
      <w:r w:rsidR="00816F3D">
        <w:rPr>
          <w:rFonts w:ascii="Arial" w:eastAsia="Calibri" w:hAnsi="Arial" w:cs="Arial"/>
          <w:lang w:val="es-MX"/>
        </w:rPr>
        <w:t>. Este</w:t>
      </w:r>
      <w:r w:rsidR="0064416C">
        <w:rPr>
          <w:rFonts w:ascii="Arial" w:eastAsia="Calibri" w:hAnsi="Arial" w:cs="Arial"/>
          <w:lang w:val="es-MX"/>
        </w:rPr>
        <w:t xml:space="preserve"> análisis comparativo se debe realizar con el «</w:t>
      </w:r>
      <w:r w:rsidR="0064416C" w:rsidRPr="00CF344A">
        <w:rPr>
          <w:rFonts w:ascii="Arial" w:eastAsia="Calibri" w:hAnsi="Arial" w:cs="Arial"/>
          <w:lang w:val="es-MX"/>
        </w:rPr>
        <w:t xml:space="preserve">promedio de los valores finales de las operaciones secundarias materializadas con ocasión de las órdenes de compra colocadas por las Entidades </w:t>
      </w:r>
      <w:r w:rsidR="0064416C" w:rsidRPr="00CF344A">
        <w:rPr>
          <w:rFonts w:ascii="Arial" w:eastAsia="Calibri" w:hAnsi="Arial" w:cs="Arial"/>
          <w:lang w:val="es-MX"/>
        </w:rPr>
        <w:lastRenderedPageBreak/>
        <w:t>compradoras a través de la Tienda Virtual del Estado, administrada por la Agencia Nacional de Contratación Pública -Colombia Compra Eficiente- durante los últimos seis (6) meses</w:t>
      </w:r>
      <w:r w:rsidR="0064416C">
        <w:rPr>
          <w:rFonts w:ascii="Arial" w:eastAsia="Calibri" w:hAnsi="Arial" w:cs="Arial"/>
          <w:lang w:val="es-MX"/>
        </w:rPr>
        <w:t>»</w:t>
      </w:r>
      <w:r w:rsidR="0064416C">
        <w:rPr>
          <w:rStyle w:val="Refdenotaalpie"/>
          <w:rFonts w:ascii="Arial" w:eastAsia="Calibri" w:hAnsi="Arial" w:cs="Arial"/>
          <w:lang w:val="es-MX"/>
        </w:rPr>
        <w:footnoteReference w:id="17"/>
      </w:r>
      <w:r w:rsidR="0064416C">
        <w:rPr>
          <w:rFonts w:ascii="Arial" w:eastAsia="Calibri" w:hAnsi="Arial" w:cs="Arial"/>
          <w:lang w:val="es-MX"/>
        </w:rPr>
        <w:t>.</w:t>
      </w:r>
    </w:p>
    <w:p w14:paraId="0CBDB2DD" w14:textId="4DB29BED" w:rsidR="002A114C" w:rsidRP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tab/>
      </w:r>
      <w:r w:rsidR="00E77376">
        <w:rPr>
          <w:rFonts w:ascii="Arial" w:eastAsia="Calibri" w:hAnsi="Arial" w:cs="Arial"/>
          <w:lang w:val="es-MX"/>
        </w:rPr>
        <w:t>De otro lado, d</w:t>
      </w:r>
      <w:r w:rsidR="00184C63">
        <w:rPr>
          <w:rFonts w:ascii="Arial" w:eastAsia="Calibri" w:hAnsi="Arial" w:cs="Arial"/>
          <w:lang w:val="es-MX"/>
        </w:rPr>
        <w:t>esde una perspectiva general</w:t>
      </w:r>
      <w:r w:rsidRPr="002A114C">
        <w:rPr>
          <w:rFonts w:ascii="Arial" w:eastAsia="Calibri" w:hAnsi="Arial" w:cs="Arial"/>
          <w:lang w:val="es-MX"/>
        </w:rPr>
        <w:t>,</w:t>
      </w:r>
      <w:r w:rsidR="00184C63">
        <w:rPr>
          <w:rFonts w:ascii="Arial" w:eastAsia="Calibri" w:hAnsi="Arial" w:cs="Arial"/>
          <w:lang w:val="es-MX"/>
        </w:rPr>
        <w:t xml:space="preserve"> en principio</w:t>
      </w:r>
      <w:r w:rsidRPr="002A114C">
        <w:rPr>
          <w:rFonts w:ascii="Arial" w:eastAsia="Calibri" w:hAnsi="Arial" w:cs="Arial"/>
          <w:lang w:val="es-MX"/>
        </w:rPr>
        <w:t xml:space="preserve"> la adquisición de bienes y servicios de características técnicas uniformes a través del mecanismo de bolsa de productos, se encuentra sometid</w:t>
      </w:r>
      <w:r w:rsidR="0044071B">
        <w:rPr>
          <w:rFonts w:ascii="Arial" w:eastAsia="Calibri" w:hAnsi="Arial" w:cs="Arial"/>
          <w:lang w:val="es-MX"/>
        </w:rPr>
        <w:t>o</w:t>
      </w:r>
      <w:r w:rsidRPr="002A114C">
        <w:rPr>
          <w:rFonts w:ascii="Arial" w:eastAsia="Calibri" w:hAnsi="Arial" w:cs="Arial"/>
          <w:lang w:val="es-MX"/>
        </w:rPr>
        <w:t xml:space="preserve"> al deber de publicidad de las actuaciones contractuales de las entidades públicas establecido en el artículo 3 de la Ley 1150 de 2007 y regulado por el artículo 2.2.1.1.1.7.1 del Decreto 1082 de 2015, que obliga a publicar en SECOP la documentación que conforma el expediente del proceso de contratación.  </w:t>
      </w:r>
    </w:p>
    <w:p w14:paraId="212A50CB" w14:textId="5814B1A8" w:rsidR="002A114C" w:rsidRPr="002A114C" w:rsidRDefault="002A114C" w:rsidP="002A114C">
      <w:pPr>
        <w:spacing w:after="120" w:line="276" w:lineRule="auto"/>
        <w:jc w:val="both"/>
        <w:rPr>
          <w:rFonts w:ascii="Arial" w:eastAsia="Calibri" w:hAnsi="Arial" w:cs="Arial"/>
          <w:lang w:val="es-MX"/>
        </w:rPr>
      </w:pPr>
      <w:r w:rsidRPr="002A114C">
        <w:rPr>
          <w:rFonts w:ascii="Arial" w:eastAsia="Calibri" w:hAnsi="Arial" w:cs="Arial"/>
          <w:lang w:val="es-MX"/>
        </w:rPr>
        <w:lastRenderedPageBreak/>
        <w:tab/>
      </w:r>
      <w:r w:rsidR="008963CF">
        <w:rPr>
          <w:rFonts w:ascii="Arial" w:eastAsia="Calibri" w:hAnsi="Arial" w:cs="Arial"/>
          <w:lang w:val="es-MX"/>
        </w:rPr>
        <w:t>Sin embargo</w:t>
      </w:r>
      <w:r w:rsidRPr="002A114C">
        <w:rPr>
          <w:rFonts w:ascii="Arial" w:eastAsia="Calibri" w:hAnsi="Arial" w:cs="Arial"/>
          <w:lang w:val="es-MX"/>
        </w:rPr>
        <w:t xml:space="preserve">, en lo relativo a la publicación de las compras realizadas a través del mecanismo de bolsa de productos, el artículo 2.2.1.1.1.7.1 del Decreto 1082 de 2015 exceptúa el cumplimiento de esta obligación al disponer que «[…] Los documentos de las operaciones que se realicen en bolsa de productos no tienen que ser publicados en el Secop». Conforme a dicha disposición, los documentos en donde consten las operaciones realizadas en la bolsa de productos a órdenes de una entidad estatal no deben publicarse en el SECOP. </w:t>
      </w:r>
    </w:p>
    <w:p w14:paraId="6F6A3BA8" w14:textId="77777777" w:rsidR="002A114C" w:rsidRPr="00CF344A" w:rsidRDefault="002A114C" w:rsidP="002A114C">
      <w:pPr>
        <w:shd w:val="clear" w:color="auto" w:fill="FFFFFF"/>
        <w:spacing w:after="120" w:line="276" w:lineRule="auto"/>
        <w:jc w:val="both"/>
        <w:rPr>
          <w:rFonts w:ascii="Arial" w:eastAsia="Times New Roman" w:hAnsi="Arial" w:cs="Arial"/>
          <w:lang w:eastAsia="es-CO"/>
        </w:rPr>
      </w:pPr>
      <w:r w:rsidRPr="002A114C">
        <w:rPr>
          <w:rFonts w:ascii="Arial" w:eastAsia="Calibri" w:hAnsi="Arial" w:cs="Arial"/>
          <w:lang w:val="es-MX"/>
        </w:rPr>
        <w:tab/>
        <w:t xml:space="preserve">Ahora bien, para determinar el alcance de tal excepción al deber de publicidad de la actividad contractual, es necesario precisar a qué se refiere el artículo 2.2.1.1.1.7.1 del Decreto 1082 de 2015 al mencionar las «los documentos de las operaciones que se realicen en bolsa de </w:t>
      </w:r>
      <w:r w:rsidRPr="00F87939">
        <w:rPr>
          <w:rFonts w:ascii="Arial" w:eastAsia="Calibri" w:hAnsi="Arial" w:cs="Arial"/>
          <w:lang w:val="es-MX"/>
        </w:rPr>
        <w:t xml:space="preserve">productos». En primera medida, el término </w:t>
      </w:r>
      <w:r w:rsidRPr="00F22A9E">
        <w:rPr>
          <w:rFonts w:ascii="Arial" w:eastAsia="Calibri" w:hAnsi="Arial" w:cs="Arial"/>
          <w:i/>
          <w:iCs/>
          <w:lang w:val="es-MX"/>
        </w:rPr>
        <w:t>operación</w:t>
      </w:r>
      <w:r w:rsidRPr="00CF06CC">
        <w:rPr>
          <w:rFonts w:ascii="Arial" w:eastAsia="Calibri" w:hAnsi="Arial" w:cs="Arial"/>
          <w:lang w:val="es-MX"/>
        </w:rPr>
        <w:t xml:space="preserve"> alude a interacciones entre los inversores, emisores de tí</w:t>
      </w:r>
      <w:r w:rsidRPr="00E77376">
        <w:rPr>
          <w:rFonts w:ascii="Arial" w:eastAsia="Calibri" w:hAnsi="Arial" w:cs="Arial"/>
          <w:lang w:val="es-MX"/>
        </w:rPr>
        <w:t>tulos y vendedores de bienes que tienen lugar dentro de una bolsa de productos. En esa línea encontramos que, en el concepto de operaciones de bolsa «</w:t>
      </w:r>
      <w:r w:rsidRPr="00CF344A">
        <w:rPr>
          <w:rFonts w:ascii="Arial" w:eastAsia="Times New Roman" w:hAnsi="Arial" w:cs="Arial"/>
          <w:lang w:eastAsia="es-CO"/>
        </w:rPr>
        <w:t>pueden incluirse una larga serie de actos económicos, que tengan por lo menos para uno de los contratantes, el fin directo o indirecto de obtener ventajas de las variaciones del curso de los valores o de los precios de las mercaderías en relación al tiempo»</w:t>
      </w:r>
      <w:r w:rsidRPr="00CF344A">
        <w:rPr>
          <w:rFonts w:ascii="Arial" w:eastAsia="Times New Roman" w:hAnsi="Arial" w:cs="Arial"/>
          <w:vertAlign w:val="superscript"/>
          <w:lang w:eastAsia="es-CO"/>
        </w:rPr>
        <w:footnoteReference w:id="18"/>
      </w:r>
      <w:r w:rsidRPr="00CF344A">
        <w:rPr>
          <w:rFonts w:ascii="Arial" w:eastAsia="Times New Roman" w:hAnsi="Arial" w:cs="Arial"/>
          <w:lang w:eastAsia="es-CO"/>
        </w:rPr>
        <w:t>.</w:t>
      </w:r>
    </w:p>
    <w:p w14:paraId="597F99E9" w14:textId="77777777" w:rsidR="002A114C" w:rsidRPr="00CF344A" w:rsidRDefault="002A114C" w:rsidP="002A114C">
      <w:pPr>
        <w:shd w:val="clear" w:color="auto" w:fill="FFFFFF"/>
        <w:spacing w:after="120" w:line="276" w:lineRule="auto"/>
        <w:jc w:val="both"/>
        <w:rPr>
          <w:rFonts w:ascii="Arial" w:eastAsia="Times New Roman" w:hAnsi="Arial" w:cs="Arial"/>
          <w:lang w:eastAsia="es-CO"/>
        </w:rPr>
      </w:pPr>
      <w:r w:rsidRPr="00CF344A">
        <w:rPr>
          <w:rFonts w:ascii="Arial" w:eastAsia="Times New Roman" w:hAnsi="Arial" w:cs="Arial"/>
          <w:lang w:eastAsia="es-CO"/>
        </w:rPr>
        <w:tab/>
        <w:t>Las operaciones a la vez pueden ser de distinto carácter dependiendo del objeto de la misma, así pues, respecto de los valores públicos y privados pueden hacerse emisiones públicas y privadas, operaciones de conversión y de amortización, operaciones de compraventa, operaciones de prenda entre otras; mientras que respecto de los productos pueden hacerse operaciones de compraventa, prenda y anticipación</w:t>
      </w:r>
      <w:r w:rsidRPr="00CF344A">
        <w:rPr>
          <w:rFonts w:ascii="Arial" w:eastAsia="Times New Roman" w:hAnsi="Arial" w:cs="Arial"/>
          <w:vertAlign w:val="superscript"/>
          <w:lang w:eastAsia="es-CO"/>
        </w:rPr>
        <w:footnoteReference w:id="19"/>
      </w:r>
      <w:r w:rsidRPr="00CF344A">
        <w:rPr>
          <w:rFonts w:ascii="Arial" w:eastAsia="Times New Roman" w:hAnsi="Arial" w:cs="Arial"/>
          <w:lang w:eastAsia="es-CO"/>
        </w:rPr>
        <w:t>.</w:t>
      </w:r>
    </w:p>
    <w:p w14:paraId="0F405F7B" w14:textId="1C21946D" w:rsidR="002A114C" w:rsidRPr="002A114C" w:rsidRDefault="002A114C" w:rsidP="002A114C">
      <w:pPr>
        <w:shd w:val="clear" w:color="auto" w:fill="FFFFFF"/>
        <w:spacing w:after="120" w:line="276" w:lineRule="auto"/>
        <w:jc w:val="both"/>
        <w:rPr>
          <w:rFonts w:ascii="Arial" w:eastAsia="Calibri" w:hAnsi="Arial" w:cs="Arial"/>
          <w:lang w:val="es-MX"/>
        </w:rPr>
      </w:pPr>
      <w:r w:rsidRPr="00CF344A">
        <w:rPr>
          <w:rFonts w:ascii="Arial" w:eastAsia="Times New Roman" w:hAnsi="Arial" w:cs="Arial"/>
          <w:lang w:eastAsia="es-CO"/>
        </w:rPr>
        <w:tab/>
        <w:t xml:space="preserve">En ese orden, el contexto y normativa en el que se ubica el </w:t>
      </w:r>
      <w:r w:rsidRPr="00F87939">
        <w:rPr>
          <w:rFonts w:ascii="Arial" w:eastAsia="Calibri" w:hAnsi="Arial" w:cs="Arial"/>
          <w:lang w:val="es-MX"/>
        </w:rPr>
        <w:t xml:space="preserve">artículo 2.2.1.1.1.7.1 del Decreto 1082 de </w:t>
      </w:r>
      <w:r w:rsidRPr="00CF06CC">
        <w:rPr>
          <w:rFonts w:ascii="Arial" w:eastAsia="Calibri" w:hAnsi="Arial" w:cs="Arial"/>
          <w:lang w:val="es-MX"/>
        </w:rPr>
        <w:t>2015, conduce a interpretar que</w:t>
      </w:r>
      <w:r w:rsidRPr="002A114C">
        <w:rPr>
          <w:rFonts w:ascii="Arial" w:eastAsia="Calibri" w:hAnsi="Arial" w:cs="Arial"/>
          <w:lang w:val="es-MX"/>
        </w:rPr>
        <w:t xml:space="preserve"> las operaciones a las que se refiere la norma son operaciones de compraventa de productos, específicamente para la compra de bienes y servicios de características técnicas uniformes y de común utilización, única finalidad para la que se contempla el mecanismo de bolsa de productos en el EGCAP, a las que pueden acceder las entidades estatales </w:t>
      </w:r>
      <w:r w:rsidR="00E77376">
        <w:rPr>
          <w:rFonts w:ascii="Arial" w:eastAsia="Calibri" w:hAnsi="Arial" w:cs="Arial"/>
          <w:lang w:val="es-MX"/>
        </w:rPr>
        <w:t>en los términos analizados previamente</w:t>
      </w:r>
      <w:r w:rsidRPr="002A114C">
        <w:rPr>
          <w:rFonts w:ascii="Arial" w:eastAsia="Calibri" w:hAnsi="Arial" w:cs="Arial"/>
          <w:lang w:val="es-MX"/>
        </w:rPr>
        <w:t>.</w:t>
      </w:r>
    </w:p>
    <w:p w14:paraId="339BB160" w14:textId="77777777" w:rsidR="002A114C" w:rsidRPr="002A114C" w:rsidRDefault="002A114C" w:rsidP="002A114C">
      <w:pPr>
        <w:shd w:val="clear" w:color="auto" w:fill="FFFFFF"/>
        <w:spacing w:after="120" w:line="276" w:lineRule="auto"/>
        <w:jc w:val="both"/>
        <w:rPr>
          <w:rFonts w:ascii="Arial" w:eastAsia="Calibri" w:hAnsi="Arial" w:cs="Arial"/>
          <w:lang w:val="es-MX"/>
        </w:rPr>
      </w:pPr>
      <w:r w:rsidRPr="002A114C">
        <w:rPr>
          <w:rFonts w:ascii="Arial" w:eastAsia="Calibri" w:hAnsi="Arial" w:cs="Arial"/>
          <w:lang w:val="es-MX"/>
        </w:rPr>
        <w:tab/>
        <w:t>La adquisición de estos bienes, sin perjuicio de la aplicación de los artículos 2.2.1.2.1.2.11</w:t>
      </w:r>
      <w:r w:rsidRPr="002A114C">
        <w:rPr>
          <w:rFonts w:ascii="Arial" w:eastAsia="Calibri" w:hAnsi="Arial" w:cs="Arial"/>
          <w:vertAlign w:val="superscript"/>
          <w:lang w:val="es-MX"/>
        </w:rPr>
        <w:footnoteReference w:id="20"/>
      </w:r>
      <w:r w:rsidRPr="002A114C">
        <w:rPr>
          <w:rFonts w:ascii="Arial" w:eastAsia="Calibri" w:hAnsi="Arial" w:cs="Arial"/>
          <w:lang w:val="es-MX"/>
        </w:rPr>
        <w:t xml:space="preserve"> a .2.1.2.1.2.19 del Decreto 1082 de 2015 en lo pertinente, se rigen principalmente por el Decreto 2555 de 2010 y los reglamentos internos de las bolsas de </w:t>
      </w:r>
      <w:r w:rsidRPr="002A114C">
        <w:rPr>
          <w:rFonts w:ascii="Arial" w:eastAsia="Calibri" w:hAnsi="Arial" w:cs="Arial"/>
          <w:lang w:val="es-MX"/>
        </w:rPr>
        <w:lastRenderedPageBreak/>
        <w:t>productos en las que se lleven a cabo las operaciones. El Decreto 2555 de 2010, mediante el artículo 2.11.1.1.5, habilita a las bolsas de productos para expedir sus reglamentos, estableciendo que estos deberán regular la organización, administración, funcionamiento, así como las operaciones y actividades que se realicen por conducto de los mercados que administre la correspondiente bolsa</w:t>
      </w:r>
      <w:r w:rsidRPr="002A114C">
        <w:rPr>
          <w:rFonts w:ascii="Arial" w:eastAsia="Calibri" w:hAnsi="Arial" w:cs="Arial"/>
          <w:vertAlign w:val="superscript"/>
          <w:lang w:val="es-MX"/>
        </w:rPr>
        <w:footnoteReference w:id="21"/>
      </w:r>
      <w:r w:rsidRPr="002A114C">
        <w:rPr>
          <w:rFonts w:ascii="Arial" w:eastAsia="Calibri" w:hAnsi="Arial" w:cs="Arial"/>
          <w:lang w:val="es-MX"/>
        </w:rPr>
        <w:t xml:space="preserve">. </w:t>
      </w:r>
    </w:p>
    <w:p w14:paraId="76F0727C" w14:textId="2B787F98" w:rsidR="002A114C" w:rsidRPr="002A114C" w:rsidRDefault="002A114C" w:rsidP="002A114C">
      <w:pPr>
        <w:shd w:val="clear" w:color="auto" w:fill="FFFFFF"/>
        <w:spacing w:after="120" w:line="276" w:lineRule="auto"/>
        <w:jc w:val="both"/>
        <w:rPr>
          <w:rFonts w:ascii="Arial" w:eastAsia="Calibri" w:hAnsi="Arial" w:cs="Arial"/>
          <w:lang w:val="es-MX"/>
        </w:rPr>
      </w:pPr>
      <w:r w:rsidRPr="002A114C">
        <w:rPr>
          <w:rFonts w:ascii="Arial" w:eastAsia="Calibri" w:hAnsi="Arial" w:cs="Arial"/>
          <w:lang w:val="es-MX"/>
        </w:rPr>
        <w:tab/>
        <w:t xml:space="preserve">En el marco de tal ejercicio de autorregulación que implica la expedición de sus propios reglamentos, las bolsas de productos tienen la posibilidad de definir distintas modalidades para llevar </w:t>
      </w:r>
      <w:r w:rsidR="00D23296">
        <w:rPr>
          <w:rFonts w:ascii="Arial" w:eastAsia="Calibri" w:hAnsi="Arial" w:cs="Arial"/>
          <w:lang w:val="es-MX"/>
        </w:rPr>
        <w:t xml:space="preserve">a cabo </w:t>
      </w:r>
      <w:r w:rsidRPr="002A114C">
        <w:rPr>
          <w:rFonts w:ascii="Arial" w:eastAsia="Calibri" w:hAnsi="Arial" w:cs="Arial"/>
          <w:lang w:val="es-MX"/>
        </w:rPr>
        <w:t>las negociaciones de los productos, establecer sus requisitos, procedimientos e incluso determinar documentación que deberá ser producida en el marco de las operaciones que se lleven a cabo. Tal documentación relativa a la ocurrencia de las operaciones bursátiles, regulada por los reglamentos de las respectivas bolsas, es a la que se refiere el artículo 2.2.1.1.1.7.1 del Decreto 1082 de 2015.</w:t>
      </w:r>
    </w:p>
    <w:p w14:paraId="0164EB3F" w14:textId="77777777" w:rsidR="002A114C" w:rsidRPr="002A114C" w:rsidRDefault="002A114C" w:rsidP="002A114C">
      <w:pPr>
        <w:shd w:val="clear" w:color="auto" w:fill="FFFFFF"/>
        <w:spacing w:after="120" w:line="276" w:lineRule="auto"/>
        <w:jc w:val="both"/>
        <w:rPr>
          <w:rFonts w:ascii="Arial" w:eastAsia="Calibri" w:hAnsi="Arial" w:cs="Arial"/>
          <w:lang w:val="es-MX"/>
        </w:rPr>
      </w:pPr>
      <w:r w:rsidRPr="002A114C">
        <w:rPr>
          <w:rFonts w:ascii="Arial" w:eastAsia="Calibri" w:hAnsi="Arial" w:cs="Arial"/>
          <w:lang w:val="es-MX"/>
        </w:rPr>
        <w:tab/>
        <w:t>Un ejemplo de estos documentos lo encontramos en el Reglamento de la Bolsa Mercantil de Colombia, aprobado por Resolución No. 2023 de 2008 de la Superintendencia Financiera de Colombia, que en el marco de la regulación de las generalidades de los escenarios de negociación en rueda de viva voz, en el artículo 3.2.2.1.8, alude la necesidad de dejar constancia de las operaciones realizadas a través de la bolsa en «un documento idóneo, suscrito por las sociedades comisionistas miembros de la Bolsa que lo celebren y por un representante de la Bolsa debidamente facultado para tal efecto», documento que titula comprobante de transacción</w:t>
      </w:r>
      <w:r w:rsidRPr="002A114C">
        <w:rPr>
          <w:rFonts w:ascii="Arial" w:eastAsia="Calibri" w:hAnsi="Arial" w:cs="Arial"/>
          <w:vertAlign w:val="superscript"/>
          <w:lang w:val="es-MX"/>
        </w:rPr>
        <w:footnoteReference w:id="22"/>
      </w:r>
      <w:r w:rsidRPr="002A114C">
        <w:rPr>
          <w:rFonts w:ascii="Arial" w:eastAsia="Calibri" w:hAnsi="Arial" w:cs="Arial"/>
          <w:lang w:val="es-MX"/>
        </w:rPr>
        <w:t xml:space="preserve">.  Otro ejemplo se encuentra en el artículo 3.2.2.4.4. del </w:t>
      </w:r>
      <w:r w:rsidRPr="002A114C">
        <w:rPr>
          <w:rFonts w:ascii="Arial" w:eastAsia="Calibri" w:hAnsi="Arial" w:cs="Arial"/>
          <w:lang w:val="es-MX"/>
        </w:rPr>
        <w:lastRenderedPageBreak/>
        <w:t>referido reglamento, que en dentro de la regulación de la metodología de subasta como mecanismo de negociación, establece la obligación de la Bolsa de elaborar «un Instructivo Operativo que recoja las condiciones, aspectos operativos, criterios de adjudicación en forma clara y completa y los demás que correspondan según el tipo de subasta que se requiera adelantar».</w:t>
      </w:r>
    </w:p>
    <w:p w14:paraId="17A18E74" w14:textId="4F47D910" w:rsidR="002A114C" w:rsidRPr="002A114C" w:rsidRDefault="002A114C" w:rsidP="002A114C">
      <w:pPr>
        <w:shd w:val="clear" w:color="auto" w:fill="FFFFFF"/>
        <w:spacing w:after="120" w:line="276" w:lineRule="auto"/>
        <w:jc w:val="both"/>
        <w:rPr>
          <w:rFonts w:ascii="Arial" w:eastAsia="Calibri" w:hAnsi="Arial" w:cs="Arial"/>
          <w:lang w:val="es-MX"/>
        </w:rPr>
      </w:pPr>
      <w:r w:rsidRPr="002A114C">
        <w:rPr>
          <w:rFonts w:ascii="Arial" w:eastAsia="Calibri" w:hAnsi="Arial" w:cs="Arial"/>
          <w:lang w:val="es-MX"/>
        </w:rPr>
        <w:tab/>
        <w:t>Conforme a lo anterior, la excepción que hace el artículo 2.2.1.1.1.7.1 del Decreto 1082 de 2015 al deber de publicar en el SECOP los documentos en los que se refleja la actividad contractual de las entidades estatales,  se refiere a este tipo de documentos, que se relacionan directamente con las operaciones bursátiles que celebra el comisionista para la adquisición, dentro de la respectiva bolsa, de los bienes y servicios de características técnicas uniformes y de común utilización que le han sido encargados por la entidad estatal. Esto</w:t>
      </w:r>
      <w:r w:rsidR="00E77376">
        <w:rPr>
          <w:rFonts w:ascii="Arial" w:eastAsia="Calibri" w:hAnsi="Arial" w:cs="Arial"/>
          <w:lang w:val="es-MX"/>
        </w:rPr>
        <w:t>s</w:t>
      </w:r>
      <w:r w:rsidRPr="002A114C">
        <w:rPr>
          <w:rFonts w:ascii="Arial" w:eastAsia="Calibri" w:hAnsi="Arial" w:cs="Arial"/>
          <w:lang w:val="es-MX"/>
        </w:rPr>
        <w:t xml:space="preserve"> documentos, al ser expedidos en el marco del funcionamiento de la bolsa, y de acuerdo </w:t>
      </w:r>
      <w:r w:rsidR="00E77376">
        <w:rPr>
          <w:rFonts w:ascii="Arial" w:eastAsia="Calibri" w:hAnsi="Arial" w:cs="Arial"/>
          <w:lang w:val="es-MX"/>
        </w:rPr>
        <w:t>con</w:t>
      </w:r>
      <w:r w:rsidRPr="002A114C">
        <w:rPr>
          <w:rFonts w:ascii="Arial" w:eastAsia="Calibri" w:hAnsi="Arial" w:cs="Arial"/>
          <w:lang w:val="es-MX"/>
        </w:rPr>
        <w:t xml:space="preserve"> la reglamentación expedida por esta, están exceptuados de la publicación en el SECOP por el reglamento.</w:t>
      </w:r>
    </w:p>
    <w:p w14:paraId="2BE2C552" w14:textId="63CAC64C" w:rsidR="002A114C" w:rsidRPr="002A114C" w:rsidRDefault="002A114C" w:rsidP="00CF344A">
      <w:pPr>
        <w:spacing w:after="0" w:line="276" w:lineRule="auto"/>
        <w:jc w:val="both"/>
        <w:rPr>
          <w:rFonts w:ascii="Arial" w:eastAsia="Calibri" w:hAnsi="Arial" w:cs="Arial"/>
          <w:lang w:val="es-MX"/>
        </w:rPr>
      </w:pPr>
      <w:r w:rsidRPr="002A114C">
        <w:rPr>
          <w:rFonts w:ascii="Arial" w:eastAsia="Calibri" w:hAnsi="Arial" w:cs="Arial"/>
          <w:lang w:val="es-MX"/>
        </w:rPr>
        <w:tab/>
        <w:t>De otra parte, el artículo 2.2.1.2.1.2.14 del Decreto 1082 de 2015 establece que, sin perjuicio de que la selección del comisionista deba surtirse conforme a las reglas y procedimientos internos de la correspondiente bolsa, la entidad estatal debe publicar el contrato suscrito con el comisionista y sus modificaciones en el SECOP.</w:t>
      </w:r>
      <w:r w:rsidR="00D363C5">
        <w:rPr>
          <w:rFonts w:ascii="Arial" w:eastAsia="Calibri" w:hAnsi="Arial" w:cs="Arial"/>
          <w:lang w:val="es-MX"/>
        </w:rPr>
        <w:t xml:space="preserve"> Además, como se expresó con anterioridad, de acuerdo con lo establecido en el </w:t>
      </w:r>
      <w:r w:rsidR="00ED6139">
        <w:rPr>
          <w:rFonts w:ascii="Arial" w:eastAsia="Calibri" w:hAnsi="Arial" w:cs="Arial"/>
          <w:lang w:val="es-MX"/>
        </w:rPr>
        <w:t xml:space="preserve">inciso segundo del </w:t>
      </w:r>
      <w:r w:rsidR="00D363C5">
        <w:rPr>
          <w:rFonts w:ascii="Arial" w:eastAsia="Calibri" w:hAnsi="Arial" w:cs="Arial"/>
          <w:lang w:val="es-MX"/>
        </w:rPr>
        <w:t xml:space="preserve">artículo </w:t>
      </w:r>
      <w:r w:rsidR="00D363C5" w:rsidRPr="00D363C5">
        <w:rPr>
          <w:rFonts w:ascii="Arial" w:eastAsia="Calibri" w:hAnsi="Arial" w:cs="Arial"/>
          <w:lang w:val="es-MX"/>
        </w:rPr>
        <w:t>2.2.1.2.1.2.12.</w:t>
      </w:r>
      <w:r w:rsidR="00D363C5">
        <w:rPr>
          <w:rFonts w:ascii="Arial" w:eastAsia="Calibri" w:hAnsi="Arial" w:cs="Arial"/>
          <w:lang w:val="es-MX"/>
        </w:rPr>
        <w:t>, modificado por el artículo 2 del Decreto 310 del 25 de marzo de 2021,</w:t>
      </w:r>
      <w:r w:rsidR="00ED6139">
        <w:rPr>
          <w:rFonts w:ascii="Arial" w:eastAsia="Calibri" w:hAnsi="Arial" w:cs="Arial"/>
          <w:lang w:val="es-MX"/>
        </w:rPr>
        <w:t xml:space="preserve"> la entidad estatal debe publicar en el SECOP el estudio donde se comparan e identifican las ventajas de utilizar la bolsa de productos.</w:t>
      </w:r>
      <w:r w:rsidRPr="002A114C">
        <w:rPr>
          <w:rFonts w:ascii="Arial" w:eastAsia="Calibri" w:hAnsi="Arial" w:cs="Arial"/>
          <w:lang w:val="es-MX"/>
        </w:rPr>
        <w:t xml:space="preserve"> En ese orden, a pesar de que el artículo 2.2.1.1.1.7.1 del Decreto 1082 de 2015, dispone que los documentos de las operaciones realizadas en bolsa de productos no deben ser publicados en </w:t>
      </w:r>
      <w:r w:rsidR="00C970B1">
        <w:rPr>
          <w:rFonts w:ascii="Arial" w:eastAsia="Calibri" w:hAnsi="Arial" w:cs="Arial"/>
          <w:lang w:val="es-MX"/>
        </w:rPr>
        <w:t xml:space="preserve">el </w:t>
      </w:r>
      <w:r w:rsidRPr="002A114C">
        <w:rPr>
          <w:rFonts w:ascii="Arial" w:eastAsia="Calibri" w:hAnsi="Arial" w:cs="Arial"/>
          <w:lang w:val="es-MX"/>
        </w:rPr>
        <w:t xml:space="preserve">SECOP, el artículo 2.2.1.2.1.2.14 </w:t>
      </w:r>
      <w:r w:rsidR="00C970B1">
        <w:rPr>
          <w:rFonts w:ascii="Arial" w:eastAsia="Calibri" w:hAnsi="Arial" w:cs="Arial"/>
          <w:lang w:val="es-MX"/>
        </w:rPr>
        <w:t>prescribe</w:t>
      </w:r>
      <w:r w:rsidR="00C970B1" w:rsidRPr="002A114C">
        <w:rPr>
          <w:rFonts w:ascii="Arial" w:eastAsia="Calibri" w:hAnsi="Arial" w:cs="Arial"/>
          <w:lang w:val="es-MX"/>
        </w:rPr>
        <w:t xml:space="preserve"> </w:t>
      </w:r>
      <w:r w:rsidRPr="002A114C">
        <w:rPr>
          <w:rFonts w:ascii="Arial" w:eastAsia="Calibri" w:hAnsi="Arial" w:cs="Arial"/>
          <w:lang w:val="es-MX"/>
        </w:rPr>
        <w:t>que deberá publicarse el contrato suscrito con el comisionista y sus modificaciones,</w:t>
      </w:r>
      <w:r w:rsidR="00ED6139">
        <w:rPr>
          <w:rFonts w:ascii="Arial" w:eastAsia="Calibri" w:hAnsi="Arial" w:cs="Arial"/>
          <w:lang w:val="es-MX"/>
        </w:rPr>
        <w:t xml:space="preserve"> además del estudio </w:t>
      </w:r>
      <w:r w:rsidR="00C970B1">
        <w:rPr>
          <w:rFonts w:ascii="Arial" w:eastAsia="Calibri" w:hAnsi="Arial" w:cs="Arial"/>
          <w:lang w:val="es-MX"/>
        </w:rPr>
        <w:t xml:space="preserve">o análisis </w:t>
      </w:r>
      <w:r w:rsidR="00ED6139">
        <w:rPr>
          <w:rFonts w:ascii="Arial" w:eastAsia="Calibri" w:hAnsi="Arial" w:cs="Arial"/>
          <w:lang w:val="es-MX"/>
        </w:rPr>
        <w:t xml:space="preserve">de que trata el artículo </w:t>
      </w:r>
      <w:r w:rsidR="00ED6139" w:rsidRPr="00D363C5">
        <w:rPr>
          <w:rFonts w:ascii="Arial" w:eastAsia="Calibri" w:hAnsi="Arial" w:cs="Arial"/>
          <w:lang w:val="es-MX"/>
        </w:rPr>
        <w:t>2.2.1.2.1.2.12.</w:t>
      </w:r>
      <w:r w:rsidR="002654E4">
        <w:rPr>
          <w:rFonts w:ascii="Arial" w:eastAsia="Calibri" w:hAnsi="Arial" w:cs="Arial"/>
          <w:lang w:val="es-MX"/>
        </w:rPr>
        <w:t xml:space="preserve"> del Decreto 1082 de 2015</w:t>
      </w:r>
      <w:r w:rsidR="00ED6139">
        <w:rPr>
          <w:rFonts w:ascii="Arial" w:eastAsia="Calibri" w:hAnsi="Arial" w:cs="Arial"/>
          <w:lang w:val="es-MX"/>
        </w:rPr>
        <w:t>,</w:t>
      </w:r>
      <w:r w:rsidRPr="002A114C">
        <w:rPr>
          <w:rFonts w:ascii="Arial" w:eastAsia="Calibri" w:hAnsi="Arial" w:cs="Arial"/>
          <w:lang w:val="es-MX"/>
        </w:rPr>
        <w:t xml:space="preserve"> por lo que las entidades deberán realizar la publicación de estos documentos.</w:t>
      </w:r>
    </w:p>
    <w:p w14:paraId="35B89D37" w14:textId="77777777" w:rsidR="002A114C" w:rsidRPr="002A114C" w:rsidRDefault="002A114C" w:rsidP="00CF344A">
      <w:pPr>
        <w:spacing w:after="0" w:line="276" w:lineRule="auto"/>
        <w:jc w:val="both"/>
        <w:rPr>
          <w:rFonts w:ascii="Arial" w:eastAsia="Calibri" w:hAnsi="Arial" w:cs="Arial"/>
          <w:b/>
          <w:lang w:val="es-ES_tradnl"/>
        </w:rPr>
      </w:pPr>
      <w:r w:rsidRPr="002A114C">
        <w:rPr>
          <w:rFonts w:ascii="Arial" w:eastAsia="Calibri" w:hAnsi="Arial" w:cs="Arial"/>
          <w:bCs/>
          <w:lang w:val="es-ES_tradnl"/>
        </w:rPr>
        <w:tab/>
        <w:t xml:space="preserve"> </w:t>
      </w:r>
    </w:p>
    <w:p w14:paraId="06740E94" w14:textId="77777777" w:rsidR="002A114C" w:rsidRPr="002A114C" w:rsidRDefault="002A114C" w:rsidP="006615EA">
      <w:pPr>
        <w:tabs>
          <w:tab w:val="left" w:pos="284"/>
        </w:tabs>
        <w:spacing w:after="0" w:line="240" w:lineRule="auto"/>
        <w:contextualSpacing/>
        <w:jc w:val="both"/>
        <w:rPr>
          <w:rFonts w:ascii="Arial" w:eastAsia="Calibri" w:hAnsi="Arial" w:cs="Arial"/>
          <w:lang w:val="es-ES_tradnl"/>
        </w:rPr>
      </w:pPr>
      <w:r w:rsidRPr="002A114C">
        <w:rPr>
          <w:rFonts w:ascii="Arial" w:eastAsia="Calibri" w:hAnsi="Arial" w:cs="Arial"/>
          <w:b/>
          <w:lang w:val="es-ES_tradnl"/>
        </w:rPr>
        <w:t>3. Respuesta</w:t>
      </w:r>
    </w:p>
    <w:p w14:paraId="7AF27161" w14:textId="1549ED25" w:rsidR="002A114C" w:rsidRDefault="002A114C" w:rsidP="006615EA">
      <w:pPr>
        <w:spacing w:after="0" w:line="240" w:lineRule="auto"/>
        <w:ind w:left="709" w:right="709"/>
        <w:jc w:val="both"/>
        <w:rPr>
          <w:rFonts w:ascii="Arial" w:eastAsia="Calibri" w:hAnsi="Arial" w:cs="Arial"/>
          <w:lang w:val="es-ES_tradnl"/>
        </w:rPr>
      </w:pPr>
    </w:p>
    <w:p w14:paraId="325EF1FA" w14:textId="6F2581F3" w:rsidR="00A74545" w:rsidRPr="00CF344A" w:rsidRDefault="00A74545" w:rsidP="006615EA">
      <w:pPr>
        <w:spacing w:after="0" w:line="240" w:lineRule="auto"/>
        <w:ind w:left="709" w:right="709"/>
        <w:jc w:val="both"/>
        <w:rPr>
          <w:rFonts w:ascii="Arial" w:eastAsia="ArialMT" w:hAnsi="Arial" w:cs="Arial"/>
          <w:sz w:val="21"/>
          <w:szCs w:val="21"/>
        </w:rPr>
      </w:pPr>
      <w:r w:rsidRPr="00CF344A">
        <w:rPr>
          <w:rFonts w:ascii="Arial" w:eastAsia="ArialMT" w:hAnsi="Arial" w:cs="Arial"/>
          <w:sz w:val="21"/>
          <w:szCs w:val="21"/>
        </w:rPr>
        <w:t xml:space="preserve">i) […] la forma en que se deben cargar las cuentas de cobro en el Secop II, dado que el único contrato que existe es entre la entidad y el comisionista, pero no con el comitente vendedor, en ese sentido ¿se deben cargar también las cuentas de lo que se pague al comitente vendedor?» </w:t>
      </w:r>
    </w:p>
    <w:p w14:paraId="6735B488" w14:textId="2D2E7607" w:rsidR="00A74545" w:rsidRDefault="00A74545" w:rsidP="00A74545">
      <w:pPr>
        <w:spacing w:after="0" w:line="276" w:lineRule="auto"/>
        <w:ind w:right="709"/>
        <w:jc w:val="both"/>
        <w:rPr>
          <w:rFonts w:ascii="Arial" w:eastAsia="ArialMT" w:hAnsi="Arial" w:cs="Arial"/>
        </w:rPr>
      </w:pPr>
    </w:p>
    <w:p w14:paraId="4ECDE1D1" w14:textId="3023B4AB" w:rsidR="00A74545" w:rsidRPr="002A114C" w:rsidRDefault="006615EA" w:rsidP="006615EA">
      <w:pPr>
        <w:spacing w:after="0" w:line="276" w:lineRule="auto"/>
        <w:jc w:val="both"/>
        <w:rPr>
          <w:rFonts w:ascii="Arial" w:eastAsia="Calibri" w:hAnsi="Arial" w:cs="Arial"/>
          <w:lang w:val="es-ES"/>
        </w:rPr>
      </w:pPr>
      <w:r>
        <w:rPr>
          <w:rFonts w:ascii="Arial" w:eastAsia="Calibri" w:hAnsi="Arial" w:cs="Arial"/>
          <w:lang w:val="es-ES_tradnl"/>
        </w:rPr>
        <w:t xml:space="preserve">De acuerdo </w:t>
      </w:r>
      <w:r w:rsidR="00D363C5">
        <w:rPr>
          <w:rFonts w:ascii="Arial" w:eastAsia="Calibri" w:hAnsi="Arial" w:cs="Arial"/>
          <w:lang w:val="es-ES_tradnl"/>
        </w:rPr>
        <w:t>con</w:t>
      </w:r>
      <w:r>
        <w:rPr>
          <w:rFonts w:ascii="Arial" w:eastAsia="Calibri" w:hAnsi="Arial" w:cs="Arial"/>
          <w:lang w:val="es-ES_tradnl"/>
        </w:rPr>
        <w:t xml:space="preserve"> las consideraciones desarrolladas en este concepto, l</w:t>
      </w:r>
      <w:r w:rsidR="00A74545" w:rsidRPr="002A114C">
        <w:rPr>
          <w:rFonts w:ascii="Arial" w:eastAsia="Calibri" w:hAnsi="Arial" w:cs="Arial"/>
          <w:lang w:val="es-ES_tradnl"/>
        </w:rPr>
        <w:t xml:space="preserve">as entidades públicas sometidas al Estatuto General de Contratación de la Administración Pública, de </w:t>
      </w:r>
      <w:r w:rsidR="00F32F67">
        <w:rPr>
          <w:rFonts w:ascii="Arial" w:eastAsia="Calibri" w:hAnsi="Arial" w:cs="Arial"/>
          <w:lang w:val="es-ES_tradnl"/>
        </w:rPr>
        <w:t xml:space="preserve">acuerdo </w:t>
      </w:r>
      <w:r w:rsidR="00A74545" w:rsidRPr="002A114C">
        <w:rPr>
          <w:rFonts w:ascii="Arial" w:eastAsia="Calibri" w:hAnsi="Arial" w:cs="Arial"/>
          <w:lang w:val="es-ES_tradnl"/>
        </w:rPr>
        <w:t xml:space="preserve">con la parte final del inciso primero del artículo </w:t>
      </w:r>
      <w:r w:rsidR="00A74545" w:rsidRPr="00CF344A">
        <w:rPr>
          <w:rFonts w:ascii="Arial" w:eastAsia="Calibri" w:hAnsi="Arial" w:cs="Arial"/>
          <w:lang w:val="es-ES_tradnl"/>
        </w:rPr>
        <w:t xml:space="preserve">2.2.1.1.1.7.1, así como según lo dispuesto en </w:t>
      </w:r>
      <w:r w:rsidR="00A6245B" w:rsidRPr="00CF344A">
        <w:rPr>
          <w:rFonts w:ascii="Arial" w:eastAsia="Calibri" w:hAnsi="Arial" w:cs="Arial"/>
          <w:lang w:val="es-ES_tradnl"/>
        </w:rPr>
        <w:t>los</w:t>
      </w:r>
      <w:r w:rsidR="00A74545" w:rsidRPr="00CF344A">
        <w:rPr>
          <w:rFonts w:ascii="Arial" w:eastAsia="Calibri" w:hAnsi="Arial" w:cs="Arial"/>
          <w:lang w:val="es-ES_tradnl"/>
        </w:rPr>
        <w:t xml:space="preserve"> artículo</w:t>
      </w:r>
      <w:r w:rsidR="00A6245B" w:rsidRPr="00CF344A">
        <w:rPr>
          <w:rFonts w:ascii="Arial" w:eastAsia="Calibri" w:hAnsi="Arial" w:cs="Arial"/>
          <w:lang w:val="es-ES_tradnl"/>
        </w:rPr>
        <w:t>s</w:t>
      </w:r>
      <w:r w:rsidR="00A74545" w:rsidRPr="00CF344A">
        <w:rPr>
          <w:rFonts w:ascii="Arial" w:eastAsia="Calibri" w:hAnsi="Arial" w:cs="Arial"/>
          <w:lang w:val="es-ES_tradnl"/>
        </w:rPr>
        <w:t xml:space="preserve"> 2.2.1.2.1.2.14 </w:t>
      </w:r>
      <w:r w:rsidR="00A6245B" w:rsidRPr="00CF344A">
        <w:rPr>
          <w:rFonts w:ascii="Arial" w:eastAsia="Calibri" w:hAnsi="Arial" w:cs="Arial"/>
          <w:lang w:val="es-ES_tradnl"/>
        </w:rPr>
        <w:t xml:space="preserve">y </w:t>
      </w:r>
      <w:r w:rsidR="002F2C95" w:rsidRPr="002F2C95">
        <w:rPr>
          <w:rFonts w:ascii="Arial" w:eastAsia="Calibri" w:hAnsi="Arial" w:cs="Arial"/>
          <w:lang w:val="es-ES_tradnl"/>
        </w:rPr>
        <w:t>2.2.1.2.1.2.12. ‒</w:t>
      </w:r>
      <w:r w:rsidR="00F838B0">
        <w:rPr>
          <w:rFonts w:ascii="Arial" w:eastAsia="Calibri" w:hAnsi="Arial" w:cs="Arial"/>
          <w:lang w:val="es-ES_tradnl"/>
        </w:rPr>
        <w:t xml:space="preserve">inciso </w:t>
      </w:r>
      <w:r w:rsidR="002F2C95" w:rsidRPr="002F2C95">
        <w:rPr>
          <w:rFonts w:ascii="Arial" w:eastAsia="Calibri" w:hAnsi="Arial" w:cs="Arial"/>
          <w:lang w:val="es-ES_tradnl"/>
        </w:rPr>
        <w:t xml:space="preserve">segundo‒ </w:t>
      </w:r>
      <w:r w:rsidR="00A74545" w:rsidRPr="00CF344A">
        <w:rPr>
          <w:rFonts w:ascii="Arial" w:eastAsia="Calibri" w:hAnsi="Arial" w:cs="Arial"/>
          <w:lang w:val="es-ES_tradnl"/>
        </w:rPr>
        <w:t xml:space="preserve">del Decreto 1082 de 2015, </w:t>
      </w:r>
      <w:r w:rsidR="00A74545" w:rsidRPr="00CF344A">
        <w:rPr>
          <w:rFonts w:ascii="Arial" w:eastAsia="Calibri" w:hAnsi="Arial" w:cs="Arial"/>
          <w:lang w:val="es-ES_tradnl"/>
        </w:rPr>
        <w:lastRenderedPageBreak/>
        <w:t>en relación con las adquisiciones de bienes y servicios de características técnicas uniformes y de común utilización a través del mecanismo de bolsa de productos, solo están obligadas a publicar en SECOP el contrato suscrito con el comisionista y s</w:t>
      </w:r>
      <w:r w:rsidR="00A74545" w:rsidRPr="002A114C">
        <w:rPr>
          <w:rFonts w:ascii="Arial" w:eastAsia="Calibri" w:hAnsi="Arial" w:cs="Arial"/>
          <w:lang w:val="es-ES"/>
        </w:rPr>
        <w:t>us modificacione</w:t>
      </w:r>
      <w:r w:rsidR="008D7549">
        <w:rPr>
          <w:rFonts w:ascii="Arial" w:eastAsia="Calibri" w:hAnsi="Arial" w:cs="Arial"/>
          <w:lang w:val="es-ES"/>
        </w:rPr>
        <w:t>s, además del estudio de que trata</w:t>
      </w:r>
      <w:r w:rsidR="00C970B1">
        <w:rPr>
          <w:rFonts w:ascii="Arial" w:eastAsia="Calibri" w:hAnsi="Arial" w:cs="Arial"/>
          <w:lang w:val="es-ES"/>
        </w:rPr>
        <w:t xml:space="preserve"> el </w:t>
      </w:r>
      <w:r w:rsidR="00F838B0">
        <w:rPr>
          <w:rFonts w:ascii="Arial" w:eastAsia="Calibri" w:hAnsi="Arial" w:cs="Arial"/>
          <w:lang w:val="es-ES"/>
        </w:rPr>
        <w:t xml:space="preserve">artículo </w:t>
      </w:r>
      <w:r w:rsidR="00C970B1" w:rsidRPr="00D363C5">
        <w:rPr>
          <w:rFonts w:ascii="Arial" w:eastAsia="Calibri" w:hAnsi="Arial" w:cs="Arial"/>
          <w:lang w:val="es-MX"/>
        </w:rPr>
        <w:t>2.2.1.2.1.2.12.</w:t>
      </w:r>
      <w:r w:rsidR="00C970B1">
        <w:rPr>
          <w:rFonts w:ascii="Arial" w:eastAsia="Calibri" w:hAnsi="Arial" w:cs="Arial"/>
          <w:lang w:val="es-MX"/>
        </w:rPr>
        <w:t xml:space="preserve"> del Decreto 1082 de 2015, en los términos analizados en las consideraciones</w:t>
      </w:r>
      <w:r w:rsidR="008D7549">
        <w:rPr>
          <w:rFonts w:ascii="Arial" w:eastAsia="Calibri" w:hAnsi="Arial" w:cs="Arial"/>
          <w:lang w:val="es-ES"/>
        </w:rPr>
        <w:t>.</w:t>
      </w:r>
    </w:p>
    <w:p w14:paraId="6209EDC3" w14:textId="77777777" w:rsidR="00A74545" w:rsidRPr="00CF344A" w:rsidRDefault="00A74545" w:rsidP="00A74545">
      <w:pPr>
        <w:spacing w:after="0" w:line="276" w:lineRule="auto"/>
        <w:ind w:right="709"/>
        <w:jc w:val="both"/>
        <w:rPr>
          <w:rFonts w:ascii="Arial" w:eastAsia="ArialMT" w:hAnsi="Arial" w:cs="Arial"/>
          <w:sz w:val="21"/>
          <w:szCs w:val="21"/>
        </w:rPr>
      </w:pPr>
    </w:p>
    <w:p w14:paraId="501B5AB0" w14:textId="3AC3C709" w:rsidR="00A74545" w:rsidRPr="00CF344A" w:rsidRDefault="00A74545" w:rsidP="00F32F67">
      <w:pPr>
        <w:spacing w:after="0" w:line="276" w:lineRule="auto"/>
        <w:ind w:left="709" w:right="709"/>
        <w:jc w:val="both"/>
        <w:rPr>
          <w:rFonts w:ascii="Arial" w:eastAsia="Calibri" w:hAnsi="Arial" w:cs="Arial"/>
          <w:sz w:val="21"/>
          <w:szCs w:val="21"/>
          <w:lang w:val="es-ES_tradnl"/>
        </w:rPr>
      </w:pPr>
      <w:r w:rsidRPr="00CF344A">
        <w:rPr>
          <w:rFonts w:ascii="Arial" w:eastAsia="ArialMT" w:hAnsi="Arial" w:cs="Arial"/>
          <w:sz w:val="21"/>
          <w:szCs w:val="21"/>
        </w:rPr>
        <w:t xml:space="preserve">iii) «De ser positiva la respuesta al anterior interrogante ¿en que </w:t>
      </w:r>
      <w:r w:rsidR="00F32F67" w:rsidRPr="00CF344A">
        <w:rPr>
          <w:rFonts w:ascii="Arial" w:eastAsia="ArialMT" w:hAnsi="Arial" w:cs="Arial"/>
          <w:sz w:val="21"/>
          <w:szCs w:val="21"/>
        </w:rPr>
        <w:t xml:space="preserve">(sic) </w:t>
      </w:r>
      <w:r w:rsidRPr="00CF344A">
        <w:rPr>
          <w:rFonts w:ascii="Arial" w:eastAsia="ArialMT" w:hAnsi="Arial" w:cs="Arial"/>
          <w:sz w:val="21"/>
          <w:szCs w:val="21"/>
        </w:rPr>
        <w:t>sección de la plataforma se deberían cargar?»</w:t>
      </w:r>
    </w:p>
    <w:p w14:paraId="2FB671EC" w14:textId="7739F5EB" w:rsidR="002A114C" w:rsidRDefault="002A114C" w:rsidP="00F32F67">
      <w:pPr>
        <w:spacing w:after="0" w:line="276" w:lineRule="auto"/>
        <w:jc w:val="both"/>
        <w:rPr>
          <w:rFonts w:ascii="Arial" w:eastAsia="Calibri" w:hAnsi="Arial" w:cs="Arial"/>
          <w:lang w:val="es-ES"/>
        </w:rPr>
      </w:pPr>
      <w:r w:rsidRPr="002A114C">
        <w:rPr>
          <w:rFonts w:ascii="Arial" w:eastAsia="Calibri" w:hAnsi="Arial" w:cs="Arial"/>
          <w:lang w:val="es-ES"/>
        </w:rPr>
        <w:tab/>
        <w:t xml:space="preserve"> </w:t>
      </w:r>
    </w:p>
    <w:p w14:paraId="059C26AB" w14:textId="059A45A9" w:rsidR="00F32F67" w:rsidRDefault="00F32F67" w:rsidP="00F32F67">
      <w:pPr>
        <w:spacing w:after="0" w:line="276" w:lineRule="auto"/>
        <w:jc w:val="both"/>
        <w:rPr>
          <w:rFonts w:ascii="Arial" w:eastAsia="Calibri" w:hAnsi="Arial" w:cs="Arial"/>
          <w:lang w:val="es-MX"/>
        </w:rPr>
      </w:pPr>
      <w:r>
        <w:rPr>
          <w:rFonts w:ascii="Arial" w:eastAsia="Calibri" w:hAnsi="Arial" w:cs="Arial"/>
          <w:lang w:val="es-MX"/>
        </w:rPr>
        <w:t>La respuesta a esta pregunta, por sustracción de materia, se subsume a la respuesta dada a la primera pregunta.</w:t>
      </w:r>
    </w:p>
    <w:p w14:paraId="0A6F0F68" w14:textId="77777777" w:rsidR="00F32F67" w:rsidRPr="002A114C" w:rsidRDefault="00F32F67" w:rsidP="00F32F67">
      <w:pPr>
        <w:spacing w:after="0" w:line="276" w:lineRule="auto"/>
        <w:jc w:val="both"/>
        <w:rPr>
          <w:rFonts w:ascii="Arial" w:eastAsia="Calibri" w:hAnsi="Arial" w:cs="Arial"/>
          <w:lang w:val="es-MX"/>
        </w:rPr>
      </w:pPr>
    </w:p>
    <w:p w14:paraId="053D4AA6" w14:textId="77777777" w:rsidR="002A114C" w:rsidRPr="002A114C" w:rsidRDefault="002A114C" w:rsidP="00F32F67">
      <w:pPr>
        <w:spacing w:after="0" w:line="276" w:lineRule="auto"/>
        <w:jc w:val="both"/>
        <w:rPr>
          <w:rFonts w:ascii="Arial" w:eastAsia="Calibri" w:hAnsi="Arial" w:cs="Arial"/>
          <w:lang w:val="es-MX"/>
        </w:rPr>
      </w:pPr>
      <w:r w:rsidRPr="002A114C">
        <w:rPr>
          <w:rFonts w:ascii="Arial" w:eastAsia="Calibri" w:hAnsi="Arial" w:cs="Arial"/>
          <w:lang w:val="es-MX"/>
        </w:rPr>
        <w:t>Este concepto tiene el alcance previsto en el artículo 28 del Código de Procedimiento Administrativo y de lo Contencioso Administrativo.</w:t>
      </w:r>
    </w:p>
    <w:p w14:paraId="1B65629A" w14:textId="77777777" w:rsidR="002A114C" w:rsidRPr="002A114C" w:rsidRDefault="002A114C" w:rsidP="002A114C">
      <w:pPr>
        <w:spacing w:after="0" w:line="276" w:lineRule="auto"/>
        <w:jc w:val="both"/>
        <w:rPr>
          <w:rFonts w:ascii="Arial" w:eastAsia="Times New Roman" w:hAnsi="Arial" w:cs="Arial"/>
          <w:lang w:val="es-MX" w:eastAsia="es-CO"/>
        </w:rPr>
      </w:pPr>
      <w:r w:rsidRPr="002A114C">
        <w:rPr>
          <w:rFonts w:ascii="Arial" w:eastAsia="Calibri" w:hAnsi="Arial" w:cs="Arial"/>
          <w:noProof/>
          <w:lang w:val="es-ES_tradnl" w:eastAsia="es-ES_tradnl"/>
        </w:rPr>
        <mc:AlternateContent>
          <mc:Choice Requires="wps">
            <w:drawing>
              <wp:anchor distT="0" distB="0" distL="114300" distR="114300" simplePos="0" relativeHeight="251659264" behindDoc="0" locked="0" layoutInCell="1" allowOverlap="1" wp14:anchorId="33784CD4" wp14:editId="29283B9B">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w16sdtdh="http://schemas.microsoft.com/office/word/2020/wordml/sdtdatahash">
            <w:pict>
              <v:line w14:anchorId="0D72B720"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1B846C70" w14:textId="77777777" w:rsidR="002A114C" w:rsidRPr="002A114C" w:rsidRDefault="002A114C" w:rsidP="002A114C">
      <w:pPr>
        <w:spacing w:after="0" w:line="276" w:lineRule="auto"/>
        <w:jc w:val="both"/>
        <w:rPr>
          <w:rFonts w:ascii="Arial" w:eastAsia="Calibri" w:hAnsi="Arial" w:cs="Arial"/>
          <w:szCs w:val="20"/>
          <w:lang w:val="es-MX"/>
        </w:rPr>
      </w:pPr>
      <w:r w:rsidRPr="002A114C">
        <w:rPr>
          <w:rFonts w:ascii="Arial" w:eastAsia="Times New Roman" w:hAnsi="Arial" w:cs="Arial"/>
          <w:lang w:val="es-MX" w:eastAsia="es-CO"/>
        </w:rPr>
        <w:t>Atentamente,</w:t>
      </w:r>
    </w:p>
    <w:bookmarkEnd w:id="2"/>
    <w:bookmarkEnd w:id="3"/>
    <w:bookmarkEnd w:id="4"/>
    <w:p w14:paraId="7AF1F99A" w14:textId="4BCC14E7" w:rsidR="00A95034" w:rsidRPr="00A95034" w:rsidRDefault="00616AD9" w:rsidP="00A95034">
      <w:pPr>
        <w:spacing w:after="0" w:line="276" w:lineRule="auto"/>
        <w:jc w:val="center"/>
        <w:rPr>
          <w:rFonts w:ascii="Arial" w:eastAsia="Times New Roman" w:hAnsi="Arial" w:cs="Arial"/>
          <w:lang w:val="es-ES_tradnl" w:eastAsia="es-ES_tradnl"/>
        </w:rPr>
      </w:pPr>
      <w:r>
        <w:rPr>
          <w:rFonts w:ascii="Arial" w:hAnsi="Arial" w:cs="Arial"/>
          <w:noProof/>
          <w:color w:val="000000" w:themeColor="text1"/>
          <w:sz w:val="18"/>
          <w:szCs w:val="20"/>
        </w:rPr>
        <w:drawing>
          <wp:inline distT="0" distB="0" distL="0" distR="0" wp14:anchorId="6F4ACAE4" wp14:editId="23567907">
            <wp:extent cx="2047297" cy="905774"/>
            <wp:effectExtent l="0" t="0" r="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30017511" w14:textId="77777777" w:rsidR="00A95034" w:rsidRPr="00A95034" w:rsidRDefault="00A95034" w:rsidP="00A95034">
      <w:pPr>
        <w:spacing w:after="0" w:line="240" w:lineRule="auto"/>
        <w:jc w:val="center"/>
        <w:rPr>
          <w:rFonts w:ascii="Arial" w:eastAsia="Calibri" w:hAnsi="Arial" w:cs="Arial"/>
          <w:sz w:val="18"/>
          <w:szCs w:val="20"/>
          <w:lang w:val="es-ES_tradnl" w:eastAsia="es-CO"/>
        </w:rPr>
      </w:pPr>
    </w:p>
    <w:p w14:paraId="530EE049" w14:textId="77777777" w:rsidR="00A95034" w:rsidRPr="00A95034" w:rsidRDefault="00A95034" w:rsidP="00A95034">
      <w:pPr>
        <w:spacing w:after="0" w:line="240" w:lineRule="auto"/>
        <w:jc w:val="center"/>
        <w:rPr>
          <w:rFonts w:ascii="Arial" w:eastAsia="Calibri"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95034" w:rsidRPr="00A95034" w14:paraId="63FD2FB1" w14:textId="77777777" w:rsidTr="00D04C4D">
        <w:trPr>
          <w:trHeight w:val="315"/>
        </w:trPr>
        <w:tc>
          <w:tcPr>
            <w:tcW w:w="812" w:type="dxa"/>
            <w:vAlign w:val="center"/>
            <w:hideMark/>
          </w:tcPr>
          <w:p w14:paraId="7CBF306D"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Elaboró:</w:t>
            </w:r>
          </w:p>
        </w:tc>
        <w:tc>
          <w:tcPr>
            <w:tcW w:w="4413" w:type="dxa"/>
            <w:tcBorders>
              <w:top w:val="nil"/>
              <w:left w:val="nil"/>
              <w:bottom w:val="dotted" w:sz="4" w:space="0" w:color="7F7F7F"/>
              <w:right w:val="nil"/>
            </w:tcBorders>
            <w:vAlign w:val="center"/>
            <w:hideMark/>
          </w:tcPr>
          <w:p w14:paraId="4DB1B29E"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Carlos Mario Castrillón Endo</w:t>
            </w:r>
          </w:p>
          <w:p w14:paraId="351E3C54"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Contratista de la Subdirección de Gestión Contractual</w:t>
            </w:r>
          </w:p>
        </w:tc>
      </w:tr>
      <w:tr w:rsidR="00A95034" w:rsidRPr="00A95034" w14:paraId="060D1BA3" w14:textId="77777777" w:rsidTr="00D04C4D">
        <w:trPr>
          <w:trHeight w:val="330"/>
        </w:trPr>
        <w:tc>
          <w:tcPr>
            <w:tcW w:w="812" w:type="dxa"/>
            <w:vAlign w:val="center"/>
            <w:hideMark/>
          </w:tcPr>
          <w:p w14:paraId="031B7697"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Revisó:</w:t>
            </w:r>
          </w:p>
        </w:tc>
        <w:tc>
          <w:tcPr>
            <w:tcW w:w="4413" w:type="dxa"/>
            <w:tcBorders>
              <w:top w:val="dotted" w:sz="4" w:space="0" w:color="7F7F7F"/>
              <w:left w:val="nil"/>
              <w:bottom w:val="dotted" w:sz="4" w:space="0" w:color="7F7F7F"/>
              <w:right w:val="nil"/>
            </w:tcBorders>
            <w:vAlign w:val="center"/>
            <w:hideMark/>
          </w:tcPr>
          <w:p w14:paraId="4FA137CD" w14:textId="77777777" w:rsidR="00A95034" w:rsidRPr="00A95034" w:rsidRDefault="00A95034" w:rsidP="00A95034">
            <w:pPr>
              <w:rPr>
                <w:rFonts w:ascii="Arial" w:eastAsia="Calibri" w:hAnsi="Arial" w:cs="Arial"/>
                <w:color w:val="000000"/>
                <w:sz w:val="16"/>
                <w:szCs w:val="16"/>
                <w:lang w:val="es-ES_tradnl" w:eastAsia="es-ES"/>
              </w:rPr>
            </w:pPr>
            <w:r w:rsidRPr="00A95034">
              <w:rPr>
                <w:rFonts w:ascii="Arial" w:eastAsia="Calibri" w:hAnsi="Arial" w:cs="Arial"/>
                <w:color w:val="000000"/>
                <w:sz w:val="16"/>
                <w:szCs w:val="16"/>
                <w:lang w:val="es-ES_tradnl" w:eastAsia="es-ES"/>
              </w:rPr>
              <w:t xml:space="preserve">Sebastián Ramírez Grisales </w:t>
            </w:r>
          </w:p>
          <w:p w14:paraId="76E68F1C"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Calibri" w:hAnsi="Arial" w:cs="Arial"/>
                <w:color w:val="000000"/>
                <w:sz w:val="16"/>
                <w:szCs w:val="16"/>
                <w:lang w:val="es-ES_tradnl" w:eastAsia="es-ES"/>
              </w:rPr>
              <w:t xml:space="preserve">Gestor T1-15 </w:t>
            </w:r>
            <w:r w:rsidRPr="00A95034">
              <w:rPr>
                <w:rFonts w:ascii="Arial" w:eastAsia="Times New Roman" w:hAnsi="Arial" w:cs="Arial"/>
                <w:sz w:val="16"/>
                <w:szCs w:val="16"/>
                <w:lang w:val="es-MX" w:eastAsia="es-ES"/>
              </w:rPr>
              <w:t>Subdirección de Gestión Contractual</w:t>
            </w:r>
          </w:p>
        </w:tc>
      </w:tr>
      <w:tr w:rsidR="00A95034" w:rsidRPr="00A95034" w14:paraId="5CB8644E" w14:textId="77777777" w:rsidTr="00D04C4D">
        <w:trPr>
          <w:trHeight w:val="300"/>
        </w:trPr>
        <w:tc>
          <w:tcPr>
            <w:tcW w:w="812" w:type="dxa"/>
            <w:vAlign w:val="center"/>
            <w:hideMark/>
          </w:tcPr>
          <w:p w14:paraId="3FE9F66F"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Aprobó:</w:t>
            </w:r>
          </w:p>
        </w:tc>
        <w:tc>
          <w:tcPr>
            <w:tcW w:w="4413" w:type="dxa"/>
            <w:tcBorders>
              <w:top w:val="dotted" w:sz="4" w:space="0" w:color="7F7F7F"/>
              <w:left w:val="nil"/>
              <w:bottom w:val="dotted" w:sz="4" w:space="0" w:color="7F7F7F"/>
              <w:right w:val="nil"/>
            </w:tcBorders>
            <w:vAlign w:val="center"/>
            <w:hideMark/>
          </w:tcPr>
          <w:p w14:paraId="0D9FDF56"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Jorge Augusto Tirado Navarro</w:t>
            </w:r>
          </w:p>
          <w:p w14:paraId="4947A602" w14:textId="77777777" w:rsidR="00A95034" w:rsidRPr="00A95034" w:rsidRDefault="00A95034" w:rsidP="00A95034">
            <w:pPr>
              <w:rPr>
                <w:rFonts w:ascii="Arial" w:eastAsia="Times New Roman" w:hAnsi="Arial" w:cs="Arial"/>
                <w:sz w:val="16"/>
                <w:szCs w:val="16"/>
                <w:lang w:val="es-MX" w:eastAsia="es-ES"/>
              </w:rPr>
            </w:pPr>
            <w:r w:rsidRPr="00A95034">
              <w:rPr>
                <w:rFonts w:ascii="Arial" w:eastAsia="Times New Roman" w:hAnsi="Arial" w:cs="Arial"/>
                <w:sz w:val="16"/>
                <w:szCs w:val="16"/>
                <w:lang w:val="es-MX" w:eastAsia="es-ES"/>
              </w:rPr>
              <w:t>Subdirector de Gestión Contractual</w:t>
            </w:r>
          </w:p>
        </w:tc>
      </w:tr>
    </w:tbl>
    <w:p w14:paraId="28ECEC6A" w14:textId="77777777" w:rsidR="00A95034" w:rsidRPr="00A95034" w:rsidRDefault="00A95034" w:rsidP="00A95034">
      <w:pPr>
        <w:spacing w:after="0" w:line="240" w:lineRule="auto"/>
        <w:rPr>
          <w:sz w:val="24"/>
          <w:lang w:val="es-MX"/>
        </w:rPr>
      </w:pPr>
    </w:p>
    <w:p w14:paraId="011E5F3B" w14:textId="77777777" w:rsidR="00A95034" w:rsidRDefault="00A95034"/>
    <w:sectPr w:rsidR="00A95034" w:rsidSect="00015765">
      <w:headerReference w:type="default" r:id="rId13"/>
      <w:footerReference w:type="default" r:id="rId14"/>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DA4FB6" w14:textId="77777777" w:rsidR="003C37EF" w:rsidRDefault="003C37EF" w:rsidP="002A114C">
      <w:pPr>
        <w:spacing w:after="0" w:line="240" w:lineRule="auto"/>
      </w:pPr>
      <w:r>
        <w:separator/>
      </w:r>
    </w:p>
  </w:endnote>
  <w:endnote w:type="continuationSeparator" w:id="0">
    <w:p w14:paraId="644E69E5" w14:textId="77777777" w:rsidR="003C37EF" w:rsidRDefault="003C37EF" w:rsidP="002A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CA3E3" w14:textId="73EC115B" w:rsidR="00FC1901" w:rsidRDefault="003C37EF" w:rsidP="00322937">
    <w:pPr>
      <w:pStyle w:val="Sinespaciado"/>
      <w:jc w:val="right"/>
      <w:rPr>
        <w:rFonts w:ascii="Arial" w:hAnsi="Arial" w:cs="Arial"/>
        <w:sz w:val="18"/>
        <w:szCs w:val="18"/>
      </w:rPr>
    </w:pPr>
  </w:p>
  <w:p w14:paraId="4262C878" w14:textId="77777777" w:rsidR="00616AD9" w:rsidRDefault="00616AD9" w:rsidP="00322937">
    <w:pPr>
      <w:pStyle w:val="Sinespaciado"/>
      <w:jc w:val="right"/>
      <w:rPr>
        <w:rFonts w:ascii="Arial" w:hAnsi="Arial" w:cs="Arial"/>
        <w:sz w:val="18"/>
        <w:szCs w:val="18"/>
      </w:rPr>
    </w:pPr>
  </w:p>
  <w:p w14:paraId="2857DD7C" w14:textId="77777777" w:rsidR="00FC1901" w:rsidRPr="00E15059" w:rsidRDefault="00E95F2C"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DD8A35B" w14:textId="77777777" w:rsidR="00FC1901" w:rsidRDefault="00E95F2C" w:rsidP="00322937">
    <w:pPr>
      <w:pStyle w:val="Piedepgina"/>
      <w:jc w:val="center"/>
      <w:rPr>
        <w:lang w:val="es-ES"/>
      </w:rPr>
    </w:pPr>
    <w:r>
      <w:rPr>
        <w:noProof/>
        <w:lang w:val="es-ES_tradnl" w:eastAsia="es-ES_tradnl"/>
      </w:rPr>
      <w:drawing>
        <wp:inline distT="0" distB="0" distL="0" distR="0" wp14:anchorId="132F3B1A" wp14:editId="15FAFD9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77D537A" w14:textId="77777777" w:rsidR="00FC1901" w:rsidRDefault="003C37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869332" w14:textId="77777777" w:rsidR="003C37EF" w:rsidRDefault="003C37EF" w:rsidP="002A114C">
      <w:pPr>
        <w:spacing w:after="0" w:line="240" w:lineRule="auto"/>
      </w:pPr>
      <w:r>
        <w:separator/>
      </w:r>
    </w:p>
  </w:footnote>
  <w:footnote w:type="continuationSeparator" w:id="0">
    <w:p w14:paraId="224C1186" w14:textId="77777777" w:rsidR="003C37EF" w:rsidRDefault="003C37EF" w:rsidP="002A114C">
      <w:pPr>
        <w:spacing w:after="0" w:line="240" w:lineRule="auto"/>
      </w:pPr>
      <w:r>
        <w:continuationSeparator/>
      </w:r>
    </w:p>
  </w:footnote>
  <w:footnote w:id="1">
    <w:p w14:paraId="796D9BE7" w14:textId="77777777" w:rsidR="002A114C" w:rsidRPr="00CF344A" w:rsidRDefault="002A114C" w:rsidP="00CF344A">
      <w:pPr>
        <w:spacing w:after="0" w:line="240" w:lineRule="auto"/>
        <w:ind w:right="49"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80 de 1993: «Artículo 2. De la definición de entidades, servidores y servicios públicos. Para los solos efectos de esta ley:</w:t>
      </w:r>
    </w:p>
    <w:p w14:paraId="7D02E22D" w14:textId="77777777" w:rsidR="002A114C" w:rsidRPr="00CF344A" w:rsidRDefault="002A114C" w:rsidP="00CF344A">
      <w:pPr>
        <w:spacing w:after="0" w:line="240" w:lineRule="auto"/>
        <w:ind w:right="49" w:firstLine="708"/>
        <w:jc w:val="both"/>
        <w:rPr>
          <w:rFonts w:ascii="Arial" w:hAnsi="Arial" w:cs="Arial"/>
          <w:color w:val="000000" w:themeColor="text1"/>
          <w:sz w:val="19"/>
          <w:szCs w:val="19"/>
        </w:rPr>
      </w:pPr>
      <w:r w:rsidRPr="00CF344A">
        <w:rPr>
          <w:rFonts w:ascii="Arial" w:hAnsi="Arial" w:cs="Arial"/>
          <w:color w:val="000000" w:themeColor="text1"/>
          <w:sz w:val="19"/>
          <w:szCs w:val="19"/>
        </w:rPr>
        <w:t>»1. Se denominan entidades estatales:</w:t>
      </w:r>
    </w:p>
    <w:p w14:paraId="72ABE2E3" w14:textId="77777777" w:rsidR="002A114C" w:rsidRPr="00CF344A" w:rsidRDefault="002A114C" w:rsidP="00CF344A">
      <w:pPr>
        <w:spacing w:after="0" w:line="240" w:lineRule="auto"/>
        <w:ind w:right="49" w:firstLine="708"/>
        <w:jc w:val="both"/>
        <w:rPr>
          <w:rFonts w:ascii="Arial" w:hAnsi="Arial" w:cs="Arial"/>
          <w:color w:val="000000" w:themeColor="text1"/>
          <w:sz w:val="19"/>
          <w:szCs w:val="19"/>
        </w:rPr>
      </w:pPr>
      <w:r w:rsidRPr="00CF344A">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72C191F" w14:textId="77777777" w:rsidR="002A114C" w:rsidRPr="00CF344A" w:rsidRDefault="002A114C" w:rsidP="00816F3D">
      <w:pPr>
        <w:spacing w:after="0" w:line="240" w:lineRule="auto"/>
        <w:ind w:right="51" w:firstLine="708"/>
        <w:jc w:val="both"/>
        <w:rPr>
          <w:rFonts w:ascii="Arial" w:hAnsi="Arial" w:cs="Arial"/>
          <w:color w:val="000000" w:themeColor="text1"/>
          <w:sz w:val="19"/>
          <w:szCs w:val="19"/>
        </w:rPr>
      </w:pPr>
      <w:r w:rsidRPr="00CF344A">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los</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organismos</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o</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dependencias</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del</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Estado</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a</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los</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que</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la</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ley</w:t>
      </w:r>
      <w:r w:rsidRPr="00CF344A">
        <w:rPr>
          <w:rFonts w:ascii="Arial" w:hAnsi="Arial" w:cs="Arial"/>
          <w:color w:val="000000" w:themeColor="text1"/>
          <w:spacing w:val="-6"/>
          <w:sz w:val="19"/>
          <w:szCs w:val="19"/>
        </w:rPr>
        <w:t xml:space="preserve"> </w:t>
      </w:r>
      <w:r w:rsidRPr="00CF344A">
        <w:rPr>
          <w:rFonts w:ascii="Arial" w:hAnsi="Arial" w:cs="Arial"/>
          <w:color w:val="000000" w:themeColor="text1"/>
          <w:sz w:val="19"/>
          <w:szCs w:val="19"/>
        </w:rPr>
        <w:t>otorgue</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capacidad</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para</w:t>
      </w:r>
      <w:r w:rsidRPr="00CF344A">
        <w:rPr>
          <w:rFonts w:ascii="Arial" w:hAnsi="Arial" w:cs="Arial"/>
          <w:color w:val="000000" w:themeColor="text1"/>
          <w:spacing w:val="-5"/>
          <w:sz w:val="19"/>
          <w:szCs w:val="19"/>
        </w:rPr>
        <w:t xml:space="preserve"> </w:t>
      </w:r>
      <w:r w:rsidRPr="00CF344A">
        <w:rPr>
          <w:rFonts w:ascii="Arial" w:hAnsi="Arial" w:cs="Arial"/>
          <w:color w:val="000000" w:themeColor="text1"/>
          <w:sz w:val="19"/>
          <w:szCs w:val="19"/>
        </w:rPr>
        <w:t>celebrar</w:t>
      </w:r>
      <w:r w:rsidRPr="00CF344A">
        <w:rPr>
          <w:rFonts w:ascii="Arial" w:hAnsi="Arial" w:cs="Arial"/>
          <w:color w:val="000000" w:themeColor="text1"/>
          <w:spacing w:val="-4"/>
          <w:sz w:val="19"/>
          <w:szCs w:val="19"/>
        </w:rPr>
        <w:t xml:space="preserve"> </w:t>
      </w:r>
      <w:r w:rsidRPr="00CF344A">
        <w:rPr>
          <w:rFonts w:ascii="Arial" w:hAnsi="Arial" w:cs="Arial"/>
          <w:color w:val="000000" w:themeColor="text1"/>
          <w:sz w:val="19"/>
          <w:szCs w:val="19"/>
        </w:rPr>
        <w:t>contratos».</w:t>
      </w:r>
    </w:p>
    <w:p w14:paraId="01CCA171" w14:textId="77777777" w:rsidR="002A114C" w:rsidRPr="00CF344A" w:rsidRDefault="002A114C" w:rsidP="00CF344A">
      <w:pPr>
        <w:pStyle w:val="Textonotapie"/>
        <w:ind w:right="51"/>
        <w:jc w:val="both"/>
        <w:rPr>
          <w:rFonts w:ascii="Arial" w:hAnsi="Arial" w:cs="Arial"/>
          <w:color w:val="000000" w:themeColor="text1"/>
          <w:sz w:val="19"/>
          <w:szCs w:val="19"/>
        </w:rPr>
      </w:pPr>
    </w:p>
  </w:footnote>
  <w:footnote w:id="2">
    <w:p w14:paraId="225A2419" w14:textId="77777777" w:rsidR="002A114C" w:rsidRPr="00CF344A" w:rsidRDefault="002A114C" w:rsidP="00816F3D">
      <w:pPr>
        <w:pStyle w:val="Textonotapie"/>
        <w:ind w:left="284" w:right="51" w:firstLine="436"/>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w:t>
      </w:r>
      <w:bookmarkStart w:id="6" w:name="_Hlk40436633"/>
      <w:r w:rsidRPr="00CF344A">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6"/>
    </w:p>
    <w:p w14:paraId="7727A7D3" w14:textId="77777777" w:rsidR="002A114C" w:rsidRPr="00CF344A" w:rsidRDefault="002A114C" w:rsidP="00CF344A">
      <w:pPr>
        <w:pStyle w:val="Textonotapie"/>
        <w:ind w:right="49"/>
        <w:jc w:val="both"/>
        <w:rPr>
          <w:rFonts w:ascii="Arial" w:hAnsi="Arial" w:cs="Arial"/>
          <w:color w:val="000000" w:themeColor="text1"/>
          <w:sz w:val="19"/>
          <w:szCs w:val="19"/>
          <w:lang w:val="es-CO"/>
        </w:rPr>
      </w:pPr>
    </w:p>
  </w:footnote>
  <w:footnote w:id="3">
    <w:p w14:paraId="475E4B34" w14:textId="77777777" w:rsidR="002A114C" w:rsidRPr="00CF344A" w:rsidRDefault="002A114C" w:rsidP="00CF344A">
      <w:pPr>
        <w:spacing w:after="0" w:line="240" w:lineRule="auto"/>
        <w:ind w:left="300" w:right="49" w:firstLine="420"/>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80 de 1993: «Articulo 24. Del principio de transparencia. En virtud de este principio: </w:t>
      </w:r>
    </w:p>
    <w:p w14:paraId="0777E5FB" w14:textId="77777777" w:rsidR="002A114C" w:rsidRPr="00CF344A" w:rsidRDefault="002A114C" w:rsidP="00CF344A">
      <w:pPr>
        <w:spacing w:after="0" w:line="240" w:lineRule="auto"/>
        <w:ind w:left="300" w:right="49" w:firstLine="420"/>
        <w:jc w:val="both"/>
        <w:rPr>
          <w:rFonts w:ascii="Arial" w:hAnsi="Arial" w:cs="Arial"/>
          <w:color w:val="000000" w:themeColor="text1"/>
          <w:sz w:val="19"/>
          <w:szCs w:val="19"/>
          <w:lang w:val="es-ES"/>
        </w:rPr>
      </w:pPr>
      <w:r w:rsidRPr="00CF344A">
        <w:rPr>
          <w:rFonts w:ascii="Arial" w:hAnsi="Arial" w:cs="Arial"/>
          <w:color w:val="000000" w:themeColor="text1"/>
          <w:sz w:val="19"/>
          <w:szCs w:val="19"/>
        </w:rPr>
        <w:t>[…]</w:t>
      </w:r>
    </w:p>
    <w:p w14:paraId="1DBE8ABA" w14:textId="77777777" w:rsidR="002A114C" w:rsidRPr="00CF344A" w:rsidRDefault="002A114C" w:rsidP="00CF344A">
      <w:pPr>
        <w:spacing w:after="0" w:line="240" w:lineRule="auto"/>
        <w:ind w:left="16" w:right="49" w:firstLine="692"/>
        <w:jc w:val="both"/>
        <w:rPr>
          <w:rFonts w:ascii="Arial" w:hAnsi="Arial" w:cs="Arial"/>
          <w:color w:val="000000" w:themeColor="text1"/>
          <w:sz w:val="19"/>
          <w:szCs w:val="19"/>
        </w:rPr>
      </w:pPr>
      <w:r w:rsidRPr="00CF344A">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1DCD26B" w14:textId="77777777" w:rsidR="002A114C" w:rsidRPr="00CF344A" w:rsidRDefault="002A114C" w:rsidP="00CF344A">
      <w:pPr>
        <w:spacing w:after="0" w:line="240" w:lineRule="auto"/>
        <w:ind w:right="49" w:firstLine="708"/>
        <w:jc w:val="both"/>
        <w:rPr>
          <w:rFonts w:ascii="Arial" w:hAnsi="Arial" w:cs="Arial"/>
          <w:color w:val="000000" w:themeColor="text1"/>
          <w:sz w:val="19"/>
          <w:szCs w:val="19"/>
        </w:rPr>
      </w:pPr>
      <w:r w:rsidRPr="00CF344A">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7F812C55" w14:textId="77777777" w:rsidR="002A114C" w:rsidRPr="00CF344A" w:rsidRDefault="002A114C" w:rsidP="00CF344A">
      <w:pPr>
        <w:spacing w:after="0" w:line="240" w:lineRule="auto"/>
        <w:ind w:right="51" w:firstLine="708"/>
        <w:jc w:val="both"/>
        <w:rPr>
          <w:rFonts w:ascii="Arial" w:hAnsi="Arial" w:cs="Arial"/>
          <w:color w:val="000000" w:themeColor="text1"/>
          <w:sz w:val="19"/>
          <w:szCs w:val="19"/>
        </w:rPr>
      </w:pPr>
      <w:r w:rsidRPr="00CF344A">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p w14:paraId="12ACF466" w14:textId="77777777" w:rsidR="002A114C" w:rsidRPr="00CF344A" w:rsidRDefault="002A114C" w:rsidP="00CF344A">
      <w:pPr>
        <w:pStyle w:val="Textonotapie"/>
        <w:ind w:right="51"/>
        <w:jc w:val="both"/>
        <w:rPr>
          <w:rFonts w:ascii="Arial" w:hAnsi="Arial" w:cs="Arial"/>
          <w:color w:val="000000" w:themeColor="text1"/>
          <w:sz w:val="19"/>
          <w:szCs w:val="19"/>
        </w:rPr>
      </w:pPr>
    </w:p>
  </w:footnote>
  <w:footnote w:id="4">
    <w:p w14:paraId="10289A04" w14:textId="77777777" w:rsidR="002A114C" w:rsidRPr="00CF344A" w:rsidRDefault="002A114C" w:rsidP="00816F3D">
      <w:pPr>
        <w:pStyle w:val="Textonotapie"/>
        <w:ind w:right="51" w:firstLine="709"/>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Corte Constitucional. Sentencia C- 341 del 4 de junio de 2014. M. P. Mauricio González Cuervo.</w:t>
      </w:r>
    </w:p>
    <w:p w14:paraId="00A93E55" w14:textId="77777777" w:rsidR="002A114C" w:rsidRPr="00CF344A" w:rsidRDefault="002A114C">
      <w:pPr>
        <w:pStyle w:val="Textonotapie"/>
        <w:ind w:right="49" w:firstLine="709"/>
        <w:jc w:val="both"/>
        <w:rPr>
          <w:rFonts w:ascii="Arial" w:hAnsi="Arial" w:cs="Arial"/>
          <w:color w:val="000000" w:themeColor="text1"/>
          <w:sz w:val="19"/>
          <w:szCs w:val="19"/>
        </w:rPr>
      </w:pPr>
    </w:p>
  </w:footnote>
  <w:footnote w:id="5">
    <w:p w14:paraId="77C9032A"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58B5C9D"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rPr>
        <w:t>» Lo anterior, sin perjuicio de las publicaciones previstas en el numeral 3 del artículo 30 de la Ley 80 de 1993.</w:t>
      </w:r>
    </w:p>
    <w:p w14:paraId="7E6CF03D"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34494215"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rPr>
        <w:t>[…]</w:t>
      </w:r>
    </w:p>
    <w:p w14:paraId="7978E516"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DF96572" w14:textId="77777777" w:rsidR="002A114C" w:rsidRPr="00CF344A" w:rsidRDefault="002A114C">
      <w:pPr>
        <w:pStyle w:val="Textonotapie"/>
        <w:ind w:right="49"/>
        <w:jc w:val="both"/>
        <w:rPr>
          <w:rFonts w:ascii="Arial" w:hAnsi="Arial" w:cs="Arial"/>
          <w:color w:val="000000" w:themeColor="text1"/>
          <w:sz w:val="19"/>
          <w:szCs w:val="19"/>
        </w:rPr>
      </w:pPr>
    </w:p>
  </w:footnote>
  <w:footnote w:id="6">
    <w:p w14:paraId="53B581FB"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5486388" w14:textId="77777777" w:rsidR="002A114C" w:rsidRPr="00CF344A" w:rsidRDefault="002A114C">
      <w:pPr>
        <w:pStyle w:val="Textonotapie"/>
        <w:ind w:right="49" w:firstLine="709"/>
        <w:jc w:val="both"/>
        <w:rPr>
          <w:rFonts w:ascii="Arial" w:hAnsi="Arial" w:cs="Arial"/>
          <w:color w:val="000000" w:themeColor="text1"/>
          <w:sz w:val="19"/>
          <w:szCs w:val="19"/>
        </w:rPr>
      </w:pPr>
    </w:p>
  </w:footnote>
  <w:footnote w:id="7">
    <w:p w14:paraId="751F4114"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B109307"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E549A2" w14:textId="77777777" w:rsidR="002A114C" w:rsidRPr="00CF344A" w:rsidRDefault="002A114C">
      <w:pPr>
        <w:pStyle w:val="Textonotapie"/>
        <w:ind w:right="49" w:firstLine="709"/>
        <w:jc w:val="both"/>
        <w:rPr>
          <w:rFonts w:ascii="Arial" w:hAnsi="Arial" w:cs="Arial"/>
          <w:color w:val="000000" w:themeColor="text1"/>
          <w:sz w:val="19"/>
          <w:szCs w:val="19"/>
        </w:rPr>
      </w:pPr>
    </w:p>
  </w:footnote>
  <w:footnote w:id="8">
    <w:p w14:paraId="5846C0BD"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Fonts w:ascii="Arial" w:hAnsi="Arial" w:cs="Arial"/>
          <w:color w:val="000000" w:themeColor="text1"/>
          <w:sz w:val="19"/>
          <w:szCs w:val="19"/>
          <w:vertAlign w:val="superscript"/>
          <w:lang w:val="es-ES" w:eastAsia="es-ES"/>
        </w:rPr>
        <w:footnoteRef/>
      </w:r>
      <w:r w:rsidRPr="00CF344A">
        <w:rPr>
          <w:rFonts w:ascii="Arial" w:hAnsi="Arial" w:cs="Arial"/>
          <w:color w:val="000000" w:themeColor="text1"/>
          <w:sz w:val="19"/>
          <w:szCs w:val="19"/>
          <w:vertAlign w:val="superscript"/>
          <w:lang w:val="es-ES" w:eastAsia="es-ES"/>
        </w:rPr>
        <w:t xml:space="preserve"> </w:t>
      </w:r>
      <w:r w:rsidRPr="00CF344A">
        <w:rPr>
          <w:rFonts w:ascii="Arial" w:hAnsi="Arial" w:cs="Arial"/>
          <w:color w:val="000000" w:themeColor="text1"/>
          <w:sz w:val="19"/>
          <w:szCs w:val="19"/>
          <w:lang w:val="es-ES" w:eastAsia="es-ES"/>
        </w:rPr>
        <w:t>«</w:t>
      </w:r>
      <w:r w:rsidRPr="00CF344A">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D5CFA4A" w14:textId="77777777" w:rsidR="002A114C" w:rsidRPr="00CF344A" w:rsidRDefault="002A114C">
      <w:pPr>
        <w:pStyle w:val="Textonotapie"/>
        <w:ind w:right="49" w:firstLine="709"/>
        <w:jc w:val="both"/>
        <w:rPr>
          <w:rFonts w:ascii="Arial" w:hAnsi="Arial" w:cs="Arial"/>
          <w:color w:val="000000" w:themeColor="text1"/>
          <w:sz w:val="19"/>
          <w:szCs w:val="19"/>
          <w:lang w:val="es-ES" w:eastAsia="es-ES"/>
        </w:rPr>
      </w:pPr>
      <w:r w:rsidRPr="00CF344A">
        <w:rPr>
          <w:rFonts w:ascii="Arial" w:hAnsi="Arial" w:cs="Arial"/>
          <w:color w:val="000000" w:themeColor="text1"/>
          <w:sz w:val="19"/>
          <w:szCs w:val="19"/>
        </w:rPr>
        <w:t>[…].</w:t>
      </w:r>
    </w:p>
    <w:p w14:paraId="62FAA460" w14:textId="77777777" w:rsidR="002A114C" w:rsidRPr="00CF344A" w:rsidRDefault="002A114C">
      <w:pPr>
        <w:pStyle w:val="Textonotapie"/>
        <w:ind w:right="49" w:firstLine="709"/>
        <w:jc w:val="both"/>
        <w:rPr>
          <w:rFonts w:ascii="Arial" w:hAnsi="Arial" w:cs="Arial"/>
          <w:color w:val="000000" w:themeColor="text1"/>
          <w:sz w:val="19"/>
          <w:szCs w:val="19"/>
          <w:lang w:val="es-ES" w:eastAsia="es-ES"/>
        </w:rPr>
      </w:pPr>
      <w:proofErr w:type="gramStart"/>
      <w:r w:rsidRPr="00CF344A">
        <w:rPr>
          <w:rFonts w:ascii="Arial" w:hAnsi="Arial" w:cs="Arial"/>
          <w:color w:val="000000" w:themeColor="text1"/>
          <w:sz w:val="19"/>
          <w:szCs w:val="19"/>
          <w:lang w:val="es-ES" w:eastAsia="es-ES"/>
        </w:rPr>
        <w:t>»Los</w:t>
      </w:r>
      <w:proofErr w:type="gramEnd"/>
      <w:r w:rsidRPr="00CF344A">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4480D942" w14:textId="77777777" w:rsidR="002A114C" w:rsidRPr="00CF344A" w:rsidRDefault="002A114C">
      <w:pPr>
        <w:pStyle w:val="Textonotapie"/>
        <w:ind w:right="49" w:firstLine="709"/>
        <w:jc w:val="both"/>
        <w:rPr>
          <w:rFonts w:ascii="Arial" w:hAnsi="Arial" w:cs="Arial"/>
          <w:color w:val="000000" w:themeColor="text1"/>
          <w:sz w:val="19"/>
          <w:szCs w:val="19"/>
          <w:lang w:val="es-ES" w:eastAsia="es-ES"/>
        </w:rPr>
      </w:pPr>
    </w:p>
  </w:footnote>
  <w:footnote w:id="9">
    <w:p w14:paraId="1E1B7F69" w14:textId="77777777" w:rsidR="002A114C" w:rsidRPr="00CF344A" w:rsidRDefault="002A114C">
      <w:pPr>
        <w:pStyle w:val="Textonotapie"/>
        <w:ind w:right="49" w:firstLine="709"/>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C</w:t>
      </w:r>
      <w:r w:rsidRPr="00CF344A">
        <w:rPr>
          <w:rFonts w:ascii="Arial" w:hAnsi="Arial" w:cs="Arial"/>
          <w:color w:val="000000" w:themeColor="text1"/>
          <w:sz w:val="19"/>
          <w:szCs w:val="19"/>
          <w:lang w:val="es-ES" w:eastAsia="es-ES"/>
        </w:rPr>
        <w:t xml:space="preserve">orte Constitucional. Sentencia C-274 de 9 de mayo de 2013. M.P. María Victoria Calle Correa. </w:t>
      </w:r>
    </w:p>
    <w:p w14:paraId="1FF3AF18" w14:textId="77777777" w:rsidR="002A114C" w:rsidRPr="00CF344A" w:rsidRDefault="002A114C">
      <w:pPr>
        <w:pStyle w:val="Textonotapie"/>
        <w:ind w:right="49" w:firstLine="709"/>
        <w:jc w:val="both"/>
        <w:rPr>
          <w:rFonts w:ascii="Arial" w:hAnsi="Arial" w:cs="Arial"/>
          <w:color w:val="000000" w:themeColor="text1"/>
          <w:sz w:val="19"/>
          <w:szCs w:val="19"/>
        </w:rPr>
      </w:pPr>
    </w:p>
  </w:footnote>
  <w:footnote w:id="10">
    <w:p w14:paraId="6290FE4A" w14:textId="77777777" w:rsidR="002A114C" w:rsidRPr="00CF344A" w:rsidRDefault="002A114C">
      <w:pPr>
        <w:pStyle w:val="Textonotapie"/>
        <w:ind w:right="49"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F783D2A" w14:textId="77777777" w:rsidR="002A114C" w:rsidRPr="00CF344A" w:rsidRDefault="002A114C">
      <w:pPr>
        <w:pStyle w:val="Textonotapie"/>
        <w:ind w:right="49" w:firstLine="708"/>
        <w:jc w:val="both"/>
        <w:rPr>
          <w:rFonts w:ascii="Arial" w:hAnsi="Arial" w:cs="Arial"/>
          <w:color w:val="000000" w:themeColor="text1"/>
          <w:sz w:val="19"/>
          <w:szCs w:val="19"/>
        </w:rPr>
      </w:pPr>
      <w:r w:rsidRPr="00CF344A">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72CF5DC1" w14:textId="77777777" w:rsidR="002A114C" w:rsidRPr="00CF344A" w:rsidRDefault="002A114C">
      <w:pPr>
        <w:pStyle w:val="Textonotapie"/>
        <w:ind w:right="49"/>
        <w:jc w:val="both"/>
        <w:rPr>
          <w:rFonts w:ascii="Arial" w:hAnsi="Arial" w:cs="Arial"/>
          <w:color w:val="000000" w:themeColor="text1"/>
          <w:sz w:val="19"/>
          <w:szCs w:val="19"/>
          <w:lang w:val="es-ES"/>
        </w:rPr>
      </w:pPr>
    </w:p>
  </w:footnote>
  <w:footnote w:id="11">
    <w:p w14:paraId="184CABBA" w14:textId="77777777" w:rsidR="002A114C" w:rsidRPr="00CF344A" w:rsidRDefault="002A114C">
      <w:pPr>
        <w:pStyle w:val="Textonotapie"/>
        <w:ind w:right="49"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Consejo de Estado. Sección Tercera. Sentencia del 14 de diciembre de 2007. Exp. 24.715. C.P. Ruth Stella Correa Palacio.</w:t>
      </w:r>
    </w:p>
    <w:p w14:paraId="5064C6BA" w14:textId="77777777" w:rsidR="002A114C" w:rsidRPr="00CF344A" w:rsidRDefault="002A114C">
      <w:pPr>
        <w:pStyle w:val="Textonotapie"/>
        <w:ind w:right="49" w:firstLine="708"/>
        <w:jc w:val="both"/>
        <w:rPr>
          <w:rFonts w:ascii="Arial" w:hAnsi="Arial" w:cs="Arial"/>
          <w:color w:val="000000" w:themeColor="text1"/>
          <w:sz w:val="19"/>
          <w:szCs w:val="19"/>
          <w:lang w:val="es-ES"/>
        </w:rPr>
      </w:pPr>
      <w:r w:rsidRPr="00CF344A">
        <w:rPr>
          <w:rFonts w:ascii="Arial" w:hAnsi="Arial" w:cs="Arial"/>
          <w:color w:val="000000" w:themeColor="text1"/>
          <w:sz w:val="19"/>
          <w:szCs w:val="19"/>
        </w:rPr>
        <w:t xml:space="preserve"> </w:t>
      </w:r>
    </w:p>
  </w:footnote>
  <w:footnote w:id="12">
    <w:p w14:paraId="4528A456" w14:textId="3FFB3C3E" w:rsidR="002A114C" w:rsidRPr="00CF344A" w:rsidRDefault="002A114C">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Ley 1150 de 2007</w:t>
      </w:r>
      <w:r w:rsidR="00C17370" w:rsidRPr="00CF344A">
        <w:rPr>
          <w:rFonts w:ascii="Arial" w:hAnsi="Arial" w:cs="Arial"/>
          <w:color w:val="000000" w:themeColor="text1"/>
          <w:sz w:val="19"/>
          <w:szCs w:val="19"/>
        </w:rPr>
        <w:t xml:space="preserve"> </w:t>
      </w:r>
      <w:r w:rsidRPr="00CF344A">
        <w:rPr>
          <w:rFonts w:ascii="Arial" w:hAnsi="Arial" w:cs="Arial"/>
          <w:color w:val="000000" w:themeColor="text1"/>
          <w:sz w:val="19"/>
          <w:szCs w:val="19"/>
        </w:rPr>
        <w:t>«</w:t>
      </w:r>
      <w:r w:rsidRPr="00CF344A">
        <w:rPr>
          <w:rStyle w:val="Textoennegrita"/>
          <w:rFonts w:ascii="Arial" w:hAnsi="Arial" w:cs="Arial"/>
          <w:b w:val="0"/>
          <w:color w:val="000000" w:themeColor="text1"/>
          <w:sz w:val="19"/>
          <w:szCs w:val="19"/>
        </w:rPr>
        <w:t>Artículo 2</w:t>
      </w:r>
      <w:r w:rsidRPr="00CF344A">
        <w:rPr>
          <w:rStyle w:val="Textoennegrita"/>
          <w:rFonts w:ascii="Arial" w:hAnsi="Arial" w:cs="Arial"/>
          <w:color w:val="000000" w:themeColor="text1"/>
          <w:sz w:val="19"/>
          <w:szCs w:val="19"/>
        </w:rPr>
        <w:t>°.</w:t>
      </w:r>
      <w:r w:rsidRPr="00CF344A">
        <w:rPr>
          <w:rStyle w:val="nfasis"/>
          <w:rFonts w:ascii="Arial" w:hAnsi="Arial" w:cs="Arial"/>
          <w:color w:val="000000" w:themeColor="text1"/>
          <w:sz w:val="19"/>
          <w:szCs w:val="19"/>
        </w:rPr>
        <w:t xml:space="preserve"> De las modalidades de selección. </w:t>
      </w:r>
      <w:r w:rsidRPr="00CF344A">
        <w:rPr>
          <w:rFonts w:ascii="Arial" w:hAnsi="Arial" w:cs="Arial"/>
          <w:color w:val="000000" w:themeColor="text1"/>
          <w:sz w:val="19"/>
          <w:szCs w:val="19"/>
        </w:rPr>
        <w:t>La escogencia del contratista se efectuará con arreglo a las modalidades de selección de licitación pública, selección abreviada, concurso de méritos y contratación directa, con base en las siguientes reglas: </w:t>
      </w:r>
    </w:p>
    <w:p w14:paraId="43355E1E" w14:textId="77777777" w:rsidR="002A114C" w:rsidRPr="00CF344A" w:rsidRDefault="002A114C">
      <w:pPr>
        <w:pStyle w:val="Textonotapie"/>
        <w:ind w:firstLine="708"/>
        <w:jc w:val="both"/>
        <w:rPr>
          <w:rFonts w:ascii="Arial" w:hAnsi="Arial" w:cs="Arial"/>
          <w:color w:val="000000" w:themeColor="text1"/>
          <w:sz w:val="19"/>
          <w:szCs w:val="19"/>
        </w:rPr>
      </w:pPr>
      <w:r w:rsidRPr="00CF344A">
        <w:rPr>
          <w:rFonts w:ascii="Arial" w:hAnsi="Arial" w:cs="Arial"/>
          <w:color w:val="000000" w:themeColor="text1"/>
          <w:sz w:val="19"/>
          <w:szCs w:val="19"/>
        </w:rPr>
        <w:t>[…]</w:t>
      </w:r>
    </w:p>
    <w:p w14:paraId="71688DCC" w14:textId="77777777" w:rsidR="002A114C" w:rsidRPr="00CF344A" w:rsidRDefault="002A114C">
      <w:pPr>
        <w:pStyle w:val="Textonotapie"/>
        <w:ind w:firstLine="708"/>
        <w:jc w:val="both"/>
        <w:rPr>
          <w:rFonts w:ascii="Arial" w:hAnsi="Arial" w:cs="Arial"/>
          <w:color w:val="000000" w:themeColor="text1"/>
          <w:sz w:val="19"/>
          <w:szCs w:val="19"/>
        </w:rPr>
      </w:pPr>
      <w:r w:rsidRPr="00CF344A">
        <w:rPr>
          <w:rFonts w:ascii="Arial" w:hAnsi="Arial" w:cs="Arial"/>
          <w:color w:val="000000" w:themeColor="text1"/>
          <w:sz w:val="19"/>
          <w:szCs w:val="19"/>
        </w:rPr>
        <w:t xml:space="preserve">»2. Selección abreviada. </w:t>
      </w:r>
      <w:r w:rsidRPr="00CF344A">
        <w:rPr>
          <w:rFonts w:ascii="Arial" w:hAnsi="Arial" w:cs="Arial"/>
          <w:color w:val="000000" w:themeColor="text1"/>
          <w:sz w:val="19"/>
          <w:szCs w:val="19"/>
        </w:rPr>
        <w:t xml:space="preserve">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w:t>
      </w:r>
    </w:p>
    <w:p w14:paraId="5314B056" w14:textId="77777777" w:rsidR="002A114C" w:rsidRPr="00CF344A" w:rsidRDefault="002A114C">
      <w:pPr>
        <w:pStyle w:val="Textonotapie"/>
        <w:ind w:firstLine="708"/>
        <w:jc w:val="both"/>
        <w:rPr>
          <w:rFonts w:ascii="Arial" w:hAnsi="Arial" w:cs="Arial"/>
          <w:color w:val="000000" w:themeColor="text1"/>
          <w:sz w:val="19"/>
          <w:szCs w:val="19"/>
        </w:rPr>
      </w:pPr>
      <w:r w:rsidRPr="00CF344A">
        <w:rPr>
          <w:rFonts w:ascii="Arial" w:hAnsi="Arial" w:cs="Arial"/>
          <w:color w:val="000000" w:themeColor="text1"/>
          <w:sz w:val="19"/>
          <w:szCs w:val="19"/>
        </w:rPr>
        <w:t xml:space="preserve">»Serán causales de selección abreviada las siguientes: </w:t>
      </w:r>
    </w:p>
    <w:p w14:paraId="5BBDBC5D" w14:textId="77777777" w:rsidR="002A114C" w:rsidRPr="00CF344A" w:rsidRDefault="002A114C">
      <w:pPr>
        <w:pStyle w:val="Textonotapie"/>
        <w:ind w:firstLine="708"/>
        <w:jc w:val="both"/>
        <w:rPr>
          <w:rFonts w:ascii="Arial" w:hAnsi="Arial" w:cs="Arial"/>
          <w:color w:val="000000" w:themeColor="text1"/>
          <w:sz w:val="19"/>
          <w:szCs w:val="19"/>
        </w:rPr>
      </w:pPr>
      <w:r w:rsidRPr="00CF344A">
        <w:rPr>
          <w:rFonts w:ascii="Arial" w:hAnsi="Arial" w:cs="Arial"/>
          <w:color w:val="000000" w:themeColor="text1"/>
          <w:sz w:val="19"/>
          <w:szCs w:val="19"/>
        </w:rPr>
        <w:t xml:space="preserve">»a)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18F035EC" w14:textId="4DE7BFF6" w:rsidR="002A114C" w:rsidRPr="00CF344A" w:rsidRDefault="002A114C">
      <w:pPr>
        <w:pStyle w:val="Textonotapie"/>
        <w:ind w:firstLine="708"/>
        <w:jc w:val="both"/>
        <w:rPr>
          <w:rFonts w:ascii="Arial" w:hAnsi="Arial" w:cs="Arial"/>
          <w:color w:val="000000" w:themeColor="text1"/>
          <w:sz w:val="19"/>
          <w:szCs w:val="19"/>
        </w:rPr>
      </w:pPr>
      <w:r w:rsidRPr="00CF344A">
        <w:rPr>
          <w:rFonts w:ascii="Arial" w:hAnsi="Arial" w:cs="Arial"/>
          <w:color w:val="000000" w:themeColor="text1"/>
          <w:sz w:val="19"/>
          <w:szCs w:val="19"/>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 </w:t>
      </w:r>
    </w:p>
    <w:p w14:paraId="4EBC2119" w14:textId="77777777" w:rsidR="00AF5109" w:rsidRPr="00CF344A" w:rsidRDefault="00AF5109">
      <w:pPr>
        <w:pStyle w:val="Textonotapie"/>
        <w:ind w:firstLine="708"/>
        <w:jc w:val="both"/>
        <w:rPr>
          <w:rFonts w:ascii="Arial" w:hAnsi="Arial" w:cs="Arial"/>
          <w:color w:val="000000" w:themeColor="text1"/>
          <w:sz w:val="19"/>
          <w:szCs w:val="19"/>
          <w:lang w:val="es-CO"/>
        </w:rPr>
      </w:pPr>
    </w:p>
  </w:footnote>
  <w:footnote w:id="13">
    <w:p w14:paraId="441DAF1E" w14:textId="15F99A40" w:rsidR="002A114C" w:rsidRPr="00CF344A" w:rsidRDefault="002A114C">
      <w:pPr>
        <w:pStyle w:val="Textonotapie"/>
        <w:ind w:firstLine="708"/>
        <w:jc w:val="both"/>
        <w:rPr>
          <w:rFonts w:ascii="Arial" w:hAnsi="Arial" w:cs="Arial"/>
          <w:color w:val="000000" w:themeColor="text1"/>
          <w:sz w:val="19"/>
          <w:szCs w:val="19"/>
          <w:lang w:val="es-CO"/>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DÁVILA VINUEZA, Luis Guillermo. Régimen jurídico de la contratación estatal. Tercera edición</w:t>
      </w:r>
      <w:r w:rsidR="00DA14F4" w:rsidRPr="00CF344A">
        <w:rPr>
          <w:rFonts w:ascii="Arial" w:hAnsi="Arial" w:cs="Arial"/>
          <w:color w:val="000000" w:themeColor="text1"/>
          <w:sz w:val="19"/>
          <w:szCs w:val="19"/>
        </w:rPr>
        <w:t>. Bogotá:</w:t>
      </w:r>
      <w:r w:rsidRPr="00CF344A">
        <w:rPr>
          <w:rFonts w:ascii="Arial" w:hAnsi="Arial" w:cs="Arial"/>
          <w:color w:val="000000" w:themeColor="text1"/>
          <w:sz w:val="19"/>
          <w:szCs w:val="19"/>
        </w:rPr>
        <w:t xml:space="preserve"> Legis, 2016</w:t>
      </w:r>
      <w:r w:rsidR="00DA14F4" w:rsidRPr="00CF344A">
        <w:rPr>
          <w:rFonts w:ascii="Arial" w:hAnsi="Arial" w:cs="Arial"/>
          <w:color w:val="000000" w:themeColor="text1"/>
          <w:sz w:val="19"/>
          <w:szCs w:val="19"/>
        </w:rPr>
        <w:t>.</w:t>
      </w:r>
      <w:r w:rsidRPr="00CF344A">
        <w:rPr>
          <w:rFonts w:ascii="Arial" w:hAnsi="Arial" w:cs="Arial"/>
          <w:color w:val="000000" w:themeColor="text1"/>
          <w:sz w:val="19"/>
          <w:szCs w:val="19"/>
        </w:rPr>
        <w:t xml:space="preserve"> p. 469. </w:t>
      </w:r>
    </w:p>
  </w:footnote>
  <w:footnote w:id="14">
    <w:p w14:paraId="41D3EE5C" w14:textId="77777777" w:rsidR="002A114C" w:rsidRPr="00CF344A" w:rsidRDefault="002A114C" w:rsidP="00CF344A">
      <w:pPr>
        <w:pStyle w:val="Textonotapie"/>
        <w:ind w:firstLine="708"/>
        <w:jc w:val="both"/>
        <w:rPr>
          <w:rFonts w:ascii="Arial" w:hAnsi="Arial" w:cs="Arial"/>
          <w:color w:val="000000" w:themeColor="text1"/>
          <w:sz w:val="19"/>
          <w:szCs w:val="19"/>
        </w:rPr>
      </w:pPr>
    </w:p>
    <w:p w14:paraId="7A6C1ECD" w14:textId="77777777" w:rsidR="002A114C" w:rsidRPr="00CF344A" w:rsidRDefault="002A114C" w:rsidP="00CF344A">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w:t>
      </w:r>
      <w:r w:rsidRPr="00CF344A">
        <w:rPr>
          <w:rFonts w:ascii="Arial" w:hAnsi="Arial" w:cs="Arial"/>
          <w:i/>
          <w:iCs/>
          <w:color w:val="000000" w:themeColor="text1"/>
          <w:sz w:val="19"/>
          <w:szCs w:val="19"/>
        </w:rPr>
        <w:t>Ibídem.</w:t>
      </w:r>
      <w:r w:rsidRPr="00CF344A">
        <w:rPr>
          <w:rFonts w:ascii="Arial" w:hAnsi="Arial" w:cs="Arial"/>
          <w:color w:val="000000" w:themeColor="text1"/>
          <w:sz w:val="19"/>
          <w:szCs w:val="19"/>
        </w:rPr>
        <w:t xml:space="preserve"> </w:t>
      </w:r>
    </w:p>
    <w:p w14:paraId="20E6A772" w14:textId="77777777" w:rsidR="002A114C" w:rsidRPr="00CF344A" w:rsidRDefault="002A114C" w:rsidP="00CF344A">
      <w:pPr>
        <w:pStyle w:val="Textonotapie"/>
        <w:ind w:firstLine="708"/>
        <w:jc w:val="both"/>
        <w:rPr>
          <w:rFonts w:ascii="Arial" w:hAnsi="Arial" w:cs="Arial"/>
          <w:color w:val="000000" w:themeColor="text1"/>
          <w:sz w:val="19"/>
          <w:szCs w:val="19"/>
          <w:lang w:val="es-CO"/>
        </w:rPr>
      </w:pPr>
    </w:p>
  </w:footnote>
  <w:footnote w:id="15">
    <w:p w14:paraId="4BB27563" w14:textId="77777777" w:rsidR="002A114C" w:rsidRPr="00CF344A" w:rsidRDefault="002A114C" w:rsidP="00816F3D">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Decreto 1082 de 2015 «Artículo 2.2.1.2.1.2.14. Selección del comisionista. La Entidad Estatal debe seleccionar al comisionista de acuerdo con el procedimiento interno aplicable en la bolsa de productos, el cual debe ser competitivo. </w:t>
      </w:r>
    </w:p>
    <w:p w14:paraId="184E40EB" w14:textId="239F3A2E" w:rsidR="002A114C" w:rsidRPr="00CF344A" w:rsidRDefault="002A114C">
      <w:pPr>
        <w:pStyle w:val="Textonotapie"/>
        <w:ind w:firstLine="708"/>
        <w:jc w:val="both"/>
        <w:rPr>
          <w:rFonts w:ascii="Arial" w:hAnsi="Arial" w:cs="Arial"/>
          <w:color w:val="000000" w:themeColor="text1"/>
          <w:sz w:val="19"/>
          <w:szCs w:val="19"/>
          <w:lang w:val="es-CO"/>
        </w:rPr>
      </w:pPr>
      <w:r w:rsidRPr="00CF344A">
        <w:rPr>
          <w:rFonts w:ascii="Arial" w:hAnsi="Arial" w:cs="Arial"/>
          <w:color w:val="000000" w:themeColor="text1"/>
          <w:sz w:val="19"/>
          <w:szCs w:val="19"/>
        </w:rPr>
        <w:t>»</w:t>
      </w:r>
      <w:r w:rsidR="006677CE" w:rsidRPr="00CF344A">
        <w:rPr>
          <w:rFonts w:ascii="Arial" w:hAnsi="Arial" w:cs="Arial"/>
          <w:color w:val="000000" w:themeColor="text1"/>
          <w:sz w:val="19"/>
          <w:szCs w:val="19"/>
        </w:rPr>
        <w:t xml:space="preserve">La </w:t>
      </w:r>
      <w:r w:rsidRPr="00CF344A">
        <w:rPr>
          <w:rFonts w:ascii="Arial" w:hAnsi="Arial" w:cs="Arial"/>
          <w:color w:val="000000" w:themeColor="text1"/>
          <w:sz w:val="19"/>
          <w:szCs w:val="19"/>
        </w:rPr>
        <w:t>Entidad Estatal debe publicar el contrato suscrito con el comisionista seleccionado y sus modificaciones en el Secop».</w:t>
      </w:r>
    </w:p>
  </w:footnote>
  <w:footnote w:id="16">
    <w:p w14:paraId="0D1D24B5" w14:textId="77777777" w:rsidR="002A114C" w:rsidRPr="00CF344A" w:rsidRDefault="002A114C" w:rsidP="00CF344A">
      <w:pPr>
        <w:pStyle w:val="Textonotapie"/>
        <w:jc w:val="both"/>
        <w:rPr>
          <w:rFonts w:ascii="Arial" w:hAnsi="Arial" w:cs="Arial"/>
          <w:color w:val="000000" w:themeColor="text1"/>
          <w:sz w:val="19"/>
          <w:szCs w:val="19"/>
        </w:rPr>
      </w:pPr>
    </w:p>
    <w:p w14:paraId="3215E31C" w14:textId="77777777" w:rsidR="002A114C" w:rsidRPr="00CF344A" w:rsidRDefault="002A114C" w:rsidP="00CF344A">
      <w:pPr>
        <w:pStyle w:val="NormalWeb"/>
        <w:spacing w:after="0" w:line="240" w:lineRule="auto"/>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Decreto 1082 de 2015 «Artículo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0CB67B39" w14:textId="170C861B" w:rsidR="002A114C" w:rsidRPr="00CF344A" w:rsidRDefault="002A114C" w:rsidP="00CF344A">
      <w:pPr>
        <w:spacing w:after="0" w:line="240" w:lineRule="auto"/>
        <w:ind w:firstLine="708"/>
        <w:jc w:val="both"/>
        <w:rPr>
          <w:rFonts w:ascii="Arial" w:eastAsia="Times New Roman" w:hAnsi="Arial" w:cs="Arial"/>
          <w:color w:val="000000" w:themeColor="text1"/>
          <w:sz w:val="19"/>
          <w:szCs w:val="19"/>
          <w:lang w:eastAsia="es-CO"/>
        </w:rPr>
      </w:pPr>
      <w:bookmarkStart w:id="7" w:name="ver_30051355"/>
      <w:bookmarkEnd w:id="7"/>
      <w:r w:rsidRPr="00CF344A">
        <w:rPr>
          <w:rFonts w:ascii="Arial" w:eastAsia="Times New Roman" w:hAnsi="Arial" w:cs="Arial"/>
          <w:color w:val="000000" w:themeColor="text1"/>
          <w:sz w:val="19"/>
          <w:szCs w:val="19"/>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w:t>
      </w:r>
      <w:r w:rsidR="008963CF" w:rsidRPr="00816F3D">
        <w:rPr>
          <w:rFonts w:ascii="Arial" w:eastAsia="Times New Roman" w:hAnsi="Arial" w:cs="Arial"/>
          <w:color w:val="000000" w:themeColor="text1"/>
          <w:sz w:val="19"/>
          <w:szCs w:val="19"/>
          <w:lang w:eastAsia="es-CO"/>
        </w:rPr>
        <w:t xml:space="preserve"> </w:t>
      </w:r>
      <w:r w:rsidR="008963CF" w:rsidRPr="00816F3D">
        <w:rPr>
          <w:rFonts w:ascii="Arial" w:eastAsia="Times New Roman" w:hAnsi="Arial" w:cs="Arial"/>
          <w:color w:val="000000" w:themeColor="text1"/>
          <w:sz w:val="19"/>
          <w:szCs w:val="19"/>
          <w:lang w:eastAsia="es-CO"/>
        </w:rPr>
        <w:tab/>
      </w:r>
      <w:r w:rsidRPr="00CF344A">
        <w:rPr>
          <w:rFonts w:ascii="Arial" w:eastAsia="Times New Roman" w:hAnsi="Arial" w:cs="Arial"/>
          <w:color w:val="000000" w:themeColor="text1"/>
          <w:sz w:val="19"/>
          <w:szCs w:val="19"/>
          <w:lang w:eastAsia="es-CO"/>
        </w:rPr>
        <w:t xml:space="preserve"> negociaciones mediante las cuales la Entidad Estatal adquiere Bienes y Servicios de Características Técnicas Uniformes. </w:t>
      </w:r>
    </w:p>
    <w:p w14:paraId="4FA1E936" w14:textId="77777777" w:rsidR="002A114C" w:rsidRPr="00CF344A" w:rsidRDefault="002A114C" w:rsidP="00CF344A">
      <w:pPr>
        <w:spacing w:after="0" w:line="240" w:lineRule="auto"/>
        <w:jc w:val="both"/>
        <w:rPr>
          <w:rFonts w:ascii="Arial" w:eastAsia="Times New Roman" w:hAnsi="Arial" w:cs="Arial"/>
          <w:color w:val="000000" w:themeColor="text1"/>
          <w:sz w:val="19"/>
          <w:szCs w:val="19"/>
          <w:lang w:eastAsia="es-CO"/>
        </w:rPr>
      </w:pPr>
      <w:r w:rsidRPr="00CF344A">
        <w:rPr>
          <w:rFonts w:ascii="Arial" w:eastAsia="Times New Roman" w:hAnsi="Arial" w:cs="Arial"/>
          <w:color w:val="000000" w:themeColor="text1"/>
          <w:sz w:val="19"/>
          <w:szCs w:val="19"/>
          <w:lang w:eastAsia="es-CO"/>
        </w:rPr>
        <w:t>  </w:t>
      </w:r>
      <w:r w:rsidRPr="00CF344A">
        <w:rPr>
          <w:rFonts w:ascii="Arial" w:eastAsia="Times New Roman" w:hAnsi="Arial" w:cs="Arial"/>
          <w:color w:val="000000" w:themeColor="text1"/>
          <w:sz w:val="19"/>
          <w:szCs w:val="19"/>
          <w:lang w:eastAsia="es-CO"/>
        </w:rPr>
        <w:tab/>
        <w:t>»Las Entidades Estatales pueden exigir al comitente vendedor garantías adicionales a las señaladas en el presente artículo, siempre y cuando resulten adecuadas y proporcionales al objeto a contratar y a su valor». </w:t>
      </w:r>
    </w:p>
    <w:p w14:paraId="117C9C9A" w14:textId="77777777" w:rsidR="002A114C" w:rsidRPr="00CF344A" w:rsidRDefault="002A114C" w:rsidP="00CF344A">
      <w:pPr>
        <w:pStyle w:val="Textonotapie"/>
        <w:ind w:firstLine="708"/>
        <w:jc w:val="both"/>
        <w:rPr>
          <w:rFonts w:ascii="Arial" w:hAnsi="Arial" w:cs="Arial"/>
          <w:color w:val="000000" w:themeColor="text1"/>
          <w:sz w:val="19"/>
          <w:szCs w:val="19"/>
          <w:lang w:val="es-CO"/>
        </w:rPr>
      </w:pPr>
      <w:r w:rsidRPr="00CF344A">
        <w:rPr>
          <w:rFonts w:ascii="Arial" w:hAnsi="Arial" w:cs="Arial"/>
          <w:color w:val="000000" w:themeColor="text1"/>
          <w:sz w:val="19"/>
          <w:szCs w:val="19"/>
        </w:rPr>
        <w:t xml:space="preserve"> </w:t>
      </w:r>
    </w:p>
  </w:footnote>
  <w:footnote w:id="17">
    <w:p w14:paraId="599BE5CC" w14:textId="7A400AF2" w:rsidR="0064416C" w:rsidRPr="00CF344A" w:rsidRDefault="0064416C" w:rsidP="00CF344A">
      <w:pPr>
        <w:pStyle w:val="Textonotapie"/>
        <w:ind w:firstLine="708"/>
        <w:jc w:val="both"/>
        <w:rPr>
          <w:rFonts w:ascii="Arial" w:hAnsi="Arial" w:cs="Arial"/>
          <w:sz w:val="19"/>
          <w:szCs w:val="19"/>
        </w:rPr>
      </w:pPr>
      <w:r w:rsidRPr="00CF344A">
        <w:rPr>
          <w:rStyle w:val="Refdenotaalpie"/>
          <w:rFonts w:ascii="Arial" w:hAnsi="Arial" w:cs="Arial"/>
          <w:sz w:val="19"/>
          <w:szCs w:val="19"/>
        </w:rPr>
        <w:footnoteRef/>
      </w:r>
      <w:r w:rsidRPr="00CF344A">
        <w:rPr>
          <w:rFonts w:ascii="Arial" w:hAnsi="Arial" w:cs="Arial"/>
          <w:sz w:val="19"/>
          <w:szCs w:val="19"/>
        </w:rPr>
        <w:t xml:space="preserve"> El artículo 2.2.1.2.1.2.12. del Decreto 1082 de 2015, modificado por el artículo 2 del Decreto 310 del 25 de marzo de 2021 establece: </w:t>
      </w:r>
      <w:r w:rsidR="00816F3D">
        <w:rPr>
          <w:rFonts w:ascii="Arial" w:hAnsi="Arial" w:cs="Arial"/>
          <w:sz w:val="19"/>
          <w:szCs w:val="19"/>
        </w:rPr>
        <w:t>«</w:t>
      </w:r>
      <w:r w:rsidRPr="00CF344A">
        <w:rPr>
          <w:rFonts w:ascii="Arial" w:hAnsi="Arial" w:cs="Arial"/>
          <w:sz w:val="19"/>
          <w:szCs w:val="19"/>
        </w:rPr>
        <w:t xml:space="preserve">Planeación de una adquisición en la bolsa de productos.​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3C6D4FA3" w14:textId="05F0D782"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15190A78" w14:textId="038857CB"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 xml:space="preserve">Aún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0861D862" w14:textId="209CB7C0"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001BC7A1" w14:textId="374212A6"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7E6E091C" w14:textId="7CD2323C"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 xml:space="preserve">Parágrafo 2. Para los efectos de este Decreto, entiéndase por Bolsa de Productos, las sociedades vigiladas por la Superintendencia Financiera de Colombia y definidas en el artículo 2.11.1.1.1 del Decreto 2555 de 2010 o la norma que la modifique, adicione o sustituya. </w:t>
      </w:r>
    </w:p>
    <w:p w14:paraId="6F90B260" w14:textId="35343250" w:rsidR="0064416C" w:rsidRPr="00CF344A" w:rsidRDefault="00816F3D" w:rsidP="00CF344A">
      <w:pPr>
        <w:pStyle w:val="Textonotapie"/>
        <w:ind w:firstLine="708"/>
        <w:jc w:val="both"/>
        <w:rPr>
          <w:rFonts w:ascii="Arial" w:hAnsi="Arial" w:cs="Arial"/>
          <w:sz w:val="19"/>
          <w:szCs w:val="19"/>
        </w:rPr>
      </w:pPr>
      <w:r>
        <w:rPr>
          <w:rFonts w:ascii="Arial" w:hAnsi="Arial" w:cs="Arial"/>
          <w:sz w:val="19"/>
          <w:szCs w:val="19"/>
        </w:rPr>
        <w:t>»</w:t>
      </w:r>
      <w:r w:rsidR="0064416C" w:rsidRPr="00CF344A">
        <w:rPr>
          <w:rFonts w:ascii="Arial" w:hAnsi="Arial" w:cs="Arial"/>
          <w:sz w:val="19"/>
          <w:szCs w:val="19"/>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r>
        <w:rPr>
          <w:rFonts w:ascii="Arial" w:hAnsi="Arial" w:cs="Arial"/>
          <w:sz w:val="19"/>
          <w:szCs w:val="19"/>
        </w:rPr>
        <w:t>»</w:t>
      </w:r>
      <w:r w:rsidR="0064416C" w:rsidRPr="00CF344A">
        <w:rPr>
          <w:rFonts w:ascii="Arial" w:hAnsi="Arial" w:cs="Arial"/>
          <w:sz w:val="19"/>
          <w:szCs w:val="19"/>
        </w:rPr>
        <w:t>.​</w:t>
      </w:r>
    </w:p>
  </w:footnote>
  <w:footnote w:id="18">
    <w:p w14:paraId="6893FAC5" w14:textId="77777777" w:rsidR="002A114C" w:rsidRPr="00CF344A" w:rsidRDefault="002A114C" w:rsidP="00816F3D">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PIAGGIO, H. Las operaciones de Bolsa. Revista de la Facultad de Derecho. Pontificia Universidad Católica del Perú, No. 2, 1945, pp. 37-43. Recuperado en: </w:t>
      </w:r>
      <w:hyperlink r:id="rId1" w:history="1">
        <w:r w:rsidRPr="00CF344A">
          <w:rPr>
            <w:rStyle w:val="Hipervnculo1"/>
            <w:rFonts w:ascii="Arial" w:hAnsi="Arial" w:cs="Arial"/>
            <w:color w:val="000000" w:themeColor="text1"/>
            <w:sz w:val="19"/>
            <w:szCs w:val="19"/>
          </w:rPr>
          <w:t>http://revistas.pucp.edu.pe/index.php/derechopucp/article/view/6348/6396</w:t>
        </w:r>
      </w:hyperlink>
    </w:p>
    <w:p w14:paraId="10084497" w14:textId="77777777" w:rsidR="002A114C" w:rsidRPr="00CF344A" w:rsidRDefault="002A114C" w:rsidP="00CF344A">
      <w:pPr>
        <w:pStyle w:val="Textonotapie"/>
        <w:ind w:firstLine="708"/>
        <w:jc w:val="both"/>
        <w:rPr>
          <w:rFonts w:ascii="Arial" w:hAnsi="Arial" w:cs="Arial"/>
          <w:color w:val="000000" w:themeColor="text1"/>
          <w:sz w:val="19"/>
          <w:szCs w:val="19"/>
          <w:lang w:val="es-CO"/>
        </w:rPr>
      </w:pPr>
      <w:r w:rsidRPr="00CF344A">
        <w:rPr>
          <w:rFonts w:ascii="Arial" w:hAnsi="Arial" w:cs="Arial"/>
          <w:color w:val="000000" w:themeColor="text1"/>
          <w:sz w:val="19"/>
          <w:szCs w:val="19"/>
        </w:rPr>
        <w:t xml:space="preserve"> </w:t>
      </w:r>
    </w:p>
  </w:footnote>
  <w:footnote w:id="19">
    <w:p w14:paraId="283C1359" w14:textId="77777777" w:rsidR="002A114C" w:rsidRPr="00CF344A" w:rsidRDefault="002A114C" w:rsidP="00CF344A">
      <w:pPr>
        <w:pStyle w:val="Textonotapie"/>
        <w:ind w:firstLine="708"/>
        <w:jc w:val="both"/>
        <w:rPr>
          <w:rFonts w:ascii="Arial" w:hAnsi="Arial" w:cs="Arial"/>
          <w:color w:val="000000" w:themeColor="text1"/>
          <w:sz w:val="19"/>
          <w:szCs w:val="19"/>
          <w:lang w:val="es-CO"/>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w:t>
      </w:r>
      <w:r w:rsidRPr="00CF344A">
        <w:rPr>
          <w:rFonts w:ascii="Arial" w:hAnsi="Arial" w:cs="Arial"/>
          <w:i/>
          <w:iCs/>
          <w:color w:val="000000" w:themeColor="text1"/>
          <w:sz w:val="19"/>
          <w:szCs w:val="19"/>
        </w:rPr>
        <w:t>Ibídem</w:t>
      </w:r>
      <w:r w:rsidRPr="00CF344A">
        <w:rPr>
          <w:rFonts w:ascii="Arial" w:hAnsi="Arial" w:cs="Arial"/>
          <w:color w:val="000000" w:themeColor="text1"/>
          <w:sz w:val="19"/>
          <w:szCs w:val="19"/>
        </w:rPr>
        <w:t xml:space="preserve"> </w:t>
      </w:r>
    </w:p>
  </w:footnote>
  <w:footnote w:id="20">
    <w:p w14:paraId="048F62D1" w14:textId="77777777" w:rsidR="002A114C" w:rsidRPr="00CF344A" w:rsidRDefault="002A114C" w:rsidP="00816F3D">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Decreto 1082 de 2015 «</w:t>
      </w:r>
      <w:r w:rsidRPr="00CF344A">
        <w:rPr>
          <w:rStyle w:val="Textoennegrita"/>
          <w:rFonts w:ascii="Arial" w:hAnsi="Arial" w:cs="Arial"/>
          <w:b w:val="0"/>
          <w:bCs w:val="0"/>
          <w:color w:val="000000" w:themeColor="text1"/>
          <w:sz w:val="19"/>
          <w:szCs w:val="19"/>
        </w:rPr>
        <w:t>Artículo 2.2.1.2.1.2.11.</w:t>
      </w:r>
      <w:r w:rsidRPr="00CF344A">
        <w:rPr>
          <w:rStyle w:val="Textoennegrita"/>
          <w:rFonts w:ascii="Arial" w:hAnsi="Arial" w:cs="Arial"/>
          <w:color w:val="000000" w:themeColor="text1"/>
          <w:sz w:val="19"/>
          <w:szCs w:val="19"/>
        </w:rPr>
        <w:t> </w:t>
      </w:r>
      <w:r w:rsidRPr="00CF344A">
        <w:rPr>
          <w:rStyle w:val="nfasis"/>
          <w:rFonts w:ascii="Arial" w:hAnsi="Arial" w:cs="Arial"/>
          <w:color w:val="000000" w:themeColor="text1"/>
          <w:sz w:val="19"/>
          <w:szCs w:val="19"/>
        </w:rPr>
        <w:t>Régimen aplicable</w:t>
      </w:r>
      <w:r w:rsidRPr="00CF344A">
        <w:rPr>
          <w:rStyle w:val="nfasis"/>
          <w:rFonts w:ascii="Arial" w:hAnsi="Arial" w:cs="Arial"/>
          <w:b/>
          <w:bCs/>
          <w:color w:val="000000" w:themeColor="text1"/>
          <w:sz w:val="19"/>
          <w:szCs w:val="19"/>
        </w:rPr>
        <w:t>. </w:t>
      </w:r>
      <w:r w:rsidRPr="00CF344A">
        <w:rPr>
          <w:rFonts w:ascii="Arial" w:hAnsi="Arial" w:cs="Arial"/>
          <w:color w:val="000000" w:themeColor="text1"/>
          <w:sz w:val="19"/>
          <w:szCs w:val="19"/>
        </w:rPr>
        <w:t>Además de lo previsto en el Decreto 2555 de 2010 y las normas que lo modifiquen, aclaren, adicionen o sustituyan y los reglamentos internos de las bolsas de productos, las siguientes disposiciones son aplicables a la adquisición de Bienes y Servicios de Características Técnicas Uniformes en bolsas de productos».</w:t>
      </w:r>
    </w:p>
    <w:p w14:paraId="0BCEA925" w14:textId="77777777" w:rsidR="002A114C" w:rsidRPr="00CF344A" w:rsidRDefault="002A114C">
      <w:pPr>
        <w:pStyle w:val="Textonotapie"/>
        <w:ind w:firstLine="708"/>
        <w:jc w:val="both"/>
        <w:rPr>
          <w:rFonts w:ascii="Arial" w:hAnsi="Arial" w:cs="Arial"/>
          <w:color w:val="000000" w:themeColor="text1"/>
          <w:sz w:val="19"/>
          <w:szCs w:val="19"/>
          <w:lang w:val="es-CO"/>
        </w:rPr>
      </w:pPr>
      <w:r w:rsidRPr="00CF344A">
        <w:rPr>
          <w:rFonts w:ascii="Arial" w:hAnsi="Arial" w:cs="Arial"/>
          <w:color w:val="000000" w:themeColor="text1"/>
          <w:sz w:val="19"/>
          <w:szCs w:val="19"/>
        </w:rPr>
        <w:t> </w:t>
      </w:r>
    </w:p>
  </w:footnote>
  <w:footnote w:id="21">
    <w:p w14:paraId="123BB348" w14:textId="77777777" w:rsidR="002A114C" w:rsidRPr="00CF344A" w:rsidRDefault="002A114C" w:rsidP="00CF344A">
      <w:pPr>
        <w:pStyle w:val="NormalWeb"/>
        <w:spacing w:after="0" w:line="240" w:lineRule="auto"/>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Decreto 2555 de 2010 «Artículo 2.11.1.1.5</w:t>
      </w:r>
      <w:r w:rsidRPr="00CF344A">
        <w:rPr>
          <w:rFonts w:ascii="Arial" w:hAnsi="Arial" w:cs="Arial"/>
          <w:i/>
          <w:iCs/>
          <w:color w:val="000000" w:themeColor="text1"/>
          <w:sz w:val="19"/>
          <w:szCs w:val="19"/>
        </w:rPr>
        <w:t xml:space="preserve">. </w:t>
      </w:r>
      <w:r w:rsidRPr="00CF344A">
        <w:rPr>
          <w:rFonts w:ascii="Arial" w:hAnsi="Arial" w:cs="Arial"/>
          <w:color w:val="000000" w:themeColor="text1"/>
          <w:sz w:val="19"/>
          <w:szCs w:val="19"/>
        </w:rPr>
        <w:t>Reglamentos generales de las bolsas.   </w:t>
      </w:r>
      <w:r w:rsidRPr="00CF344A">
        <w:rPr>
          <w:rFonts w:ascii="Arial" w:hAnsi="Arial" w:cs="Arial"/>
          <w:color w:val="000000" w:themeColor="text1"/>
          <w:sz w:val="19"/>
          <w:szCs w:val="19"/>
        </w:rPr>
        <w:tab/>
      </w:r>
      <w:r w:rsidRPr="00CF344A">
        <w:rPr>
          <w:rFonts w:ascii="Arial" w:hAnsi="Arial" w:cs="Arial"/>
          <w:color w:val="000000" w:themeColor="text1"/>
          <w:sz w:val="19"/>
          <w:szCs w:val="19"/>
        </w:rPr>
        <w:t xml:space="preserve">»Las bolsas de bienes y productos agropecuarios, agroindustriales o de otros </w:t>
      </w:r>
      <w:r w:rsidRPr="00CF344A">
        <w:rPr>
          <w:rFonts w:ascii="Arial" w:hAnsi="Arial" w:cs="Arial"/>
          <w:i/>
          <w:iCs/>
          <w:color w:val="000000" w:themeColor="text1"/>
          <w:sz w:val="19"/>
          <w:szCs w:val="19"/>
        </w:rPr>
        <w:t>commodities</w:t>
      </w:r>
      <w:r w:rsidRPr="00CF344A">
        <w:rPr>
          <w:rFonts w:ascii="Arial" w:hAnsi="Arial" w:cs="Arial"/>
          <w:color w:val="000000" w:themeColor="text1"/>
          <w:sz w:val="19"/>
          <w:szCs w:val="19"/>
        </w:rPr>
        <w:t xml:space="preserve"> deberán contar con reglamentos que rijan su organización, administración, funcionamiento, así como las operaciones y actividades que se realicen por conducto de los mercados que administren. </w:t>
      </w:r>
    </w:p>
    <w:p w14:paraId="17598589" w14:textId="77777777" w:rsidR="002A114C" w:rsidRPr="00CF344A" w:rsidRDefault="002A114C" w:rsidP="00CF344A">
      <w:pPr>
        <w:spacing w:after="0" w:line="240" w:lineRule="auto"/>
        <w:jc w:val="both"/>
        <w:rPr>
          <w:rFonts w:ascii="Arial" w:eastAsia="Times New Roman" w:hAnsi="Arial" w:cs="Arial"/>
          <w:color w:val="000000" w:themeColor="text1"/>
          <w:sz w:val="19"/>
          <w:szCs w:val="19"/>
          <w:lang w:eastAsia="es-CO"/>
        </w:rPr>
      </w:pPr>
      <w:r w:rsidRPr="00CF344A">
        <w:rPr>
          <w:rFonts w:ascii="Arial" w:eastAsia="Times New Roman" w:hAnsi="Arial" w:cs="Arial"/>
          <w:color w:val="000000" w:themeColor="text1"/>
          <w:sz w:val="19"/>
          <w:szCs w:val="19"/>
          <w:lang w:eastAsia="es-CO"/>
        </w:rPr>
        <w:t>  </w:t>
      </w:r>
      <w:r w:rsidRPr="00CF344A">
        <w:rPr>
          <w:rFonts w:ascii="Arial" w:eastAsia="Times New Roman" w:hAnsi="Arial" w:cs="Arial"/>
          <w:color w:val="000000" w:themeColor="text1"/>
          <w:sz w:val="19"/>
          <w:szCs w:val="19"/>
          <w:lang w:eastAsia="es-CO"/>
        </w:rPr>
        <w:tab/>
        <w:t xml:space="preserve">»Las bolsas de bienes y productos agropecuarios, agroindustriales o de otros </w:t>
      </w:r>
      <w:r w:rsidRPr="00CF344A">
        <w:rPr>
          <w:rFonts w:ascii="Arial" w:eastAsia="Times New Roman" w:hAnsi="Arial" w:cs="Arial"/>
          <w:i/>
          <w:iCs/>
          <w:color w:val="000000" w:themeColor="text1"/>
          <w:sz w:val="19"/>
          <w:szCs w:val="19"/>
          <w:lang w:eastAsia="es-CO"/>
        </w:rPr>
        <w:t>commodities</w:t>
      </w:r>
      <w:r w:rsidRPr="00CF344A">
        <w:rPr>
          <w:rFonts w:ascii="Arial" w:eastAsia="Times New Roman" w:hAnsi="Arial" w:cs="Arial"/>
          <w:color w:val="000000" w:themeColor="text1"/>
          <w:sz w:val="19"/>
          <w:szCs w:val="19"/>
          <w:lang w:eastAsia="es-CO"/>
        </w:rPr>
        <w:t xml:space="preserve"> que administren sistemas de registro de operaciones, deberán establecer las normas que regulen la organización, administración y funcionamiento de dichos sistemas. </w:t>
      </w:r>
    </w:p>
    <w:p w14:paraId="60648AF8" w14:textId="77777777" w:rsidR="002A114C" w:rsidRPr="00CF344A" w:rsidRDefault="002A114C" w:rsidP="00CF344A">
      <w:pPr>
        <w:spacing w:after="0" w:line="240" w:lineRule="auto"/>
        <w:jc w:val="both"/>
        <w:rPr>
          <w:rFonts w:ascii="Arial" w:eastAsia="Times New Roman" w:hAnsi="Arial" w:cs="Arial"/>
          <w:color w:val="000000" w:themeColor="text1"/>
          <w:sz w:val="19"/>
          <w:szCs w:val="19"/>
          <w:lang w:eastAsia="es-CO"/>
        </w:rPr>
      </w:pPr>
      <w:r w:rsidRPr="00CF344A">
        <w:rPr>
          <w:rFonts w:ascii="Arial" w:eastAsia="Times New Roman" w:hAnsi="Arial" w:cs="Arial"/>
          <w:color w:val="000000" w:themeColor="text1"/>
          <w:sz w:val="19"/>
          <w:szCs w:val="19"/>
          <w:lang w:eastAsia="es-CO"/>
        </w:rPr>
        <w:t>  </w:t>
      </w:r>
      <w:r w:rsidRPr="00CF344A">
        <w:rPr>
          <w:rFonts w:ascii="Arial" w:eastAsia="Times New Roman" w:hAnsi="Arial" w:cs="Arial"/>
          <w:color w:val="000000" w:themeColor="text1"/>
          <w:sz w:val="19"/>
          <w:szCs w:val="19"/>
          <w:lang w:eastAsia="es-CO"/>
        </w:rPr>
        <w:tab/>
        <w:t>»Estos reglamentos y sus modificaciones deberán ser aprobados por la junta directiva y autorizados por la Superintendencia Financiera de Colombia. </w:t>
      </w:r>
    </w:p>
    <w:p w14:paraId="0C3440C3" w14:textId="2E7B01CD" w:rsidR="002A114C" w:rsidRDefault="002A114C" w:rsidP="0064416C">
      <w:pPr>
        <w:spacing w:after="0" w:line="240" w:lineRule="auto"/>
        <w:ind w:firstLine="708"/>
        <w:jc w:val="both"/>
        <w:rPr>
          <w:rFonts w:ascii="Arial" w:eastAsia="Times New Roman" w:hAnsi="Arial" w:cs="Arial"/>
          <w:color w:val="000000" w:themeColor="text1"/>
          <w:sz w:val="19"/>
          <w:szCs w:val="19"/>
          <w:lang w:eastAsia="es-CO"/>
        </w:rPr>
      </w:pPr>
      <w:r w:rsidRPr="00CF344A">
        <w:rPr>
          <w:rFonts w:ascii="Arial" w:eastAsia="Times New Roman" w:hAnsi="Arial" w:cs="Arial"/>
          <w:color w:val="000000" w:themeColor="text1"/>
          <w:sz w:val="19"/>
          <w:szCs w:val="19"/>
          <w:lang w:eastAsia="es-CO"/>
        </w:rPr>
        <w:t>»Parágrafo 1°. Cuando se trate de las subastas y los servicios a cargo del gestor del mercado de gas natural realizados en desarrollo de la regulación establecida por la Comisión de Regulación de Energía y Gas Combustible (CREG) respecto del funcionamiento del mercado mayorista de gas combustible, no será necesario que las bolsas de bienes y productos agropecuarios, agroindustriales o de otros </w:t>
      </w:r>
      <w:r w:rsidRPr="00CF344A">
        <w:rPr>
          <w:rFonts w:ascii="Arial" w:eastAsia="Times New Roman" w:hAnsi="Arial" w:cs="Arial"/>
          <w:i/>
          <w:iCs/>
          <w:color w:val="000000" w:themeColor="text1"/>
          <w:sz w:val="19"/>
          <w:szCs w:val="19"/>
          <w:lang w:eastAsia="es-CO"/>
        </w:rPr>
        <w:t>commodities </w:t>
      </w:r>
      <w:r w:rsidRPr="00CF344A">
        <w:rPr>
          <w:rFonts w:ascii="Arial" w:eastAsia="Times New Roman" w:hAnsi="Arial" w:cs="Arial"/>
          <w:color w:val="000000" w:themeColor="text1"/>
          <w:sz w:val="19"/>
          <w:szCs w:val="19"/>
          <w:lang w:eastAsia="es-CO"/>
        </w:rPr>
        <w:t>tengan reglamentos autorizados por la Superintendencia Financiera de Colombia».</w:t>
      </w:r>
    </w:p>
    <w:p w14:paraId="4000EE0A" w14:textId="77777777" w:rsidR="00816F3D" w:rsidRPr="00CF344A" w:rsidRDefault="00816F3D" w:rsidP="00CF344A">
      <w:pPr>
        <w:spacing w:after="0" w:line="240" w:lineRule="auto"/>
        <w:ind w:firstLine="708"/>
        <w:jc w:val="both"/>
        <w:rPr>
          <w:rFonts w:ascii="Arial" w:hAnsi="Arial" w:cs="Arial"/>
          <w:color w:val="000000" w:themeColor="text1"/>
          <w:sz w:val="19"/>
          <w:szCs w:val="19"/>
        </w:rPr>
      </w:pPr>
    </w:p>
  </w:footnote>
  <w:footnote w:id="22">
    <w:p w14:paraId="4BA52532" w14:textId="77777777" w:rsidR="002A114C" w:rsidRPr="00CF344A" w:rsidRDefault="002A114C">
      <w:pPr>
        <w:pStyle w:val="Textonotapie"/>
        <w:ind w:firstLine="708"/>
        <w:jc w:val="both"/>
        <w:rPr>
          <w:rFonts w:ascii="Arial" w:hAnsi="Arial" w:cs="Arial"/>
          <w:color w:val="000000" w:themeColor="text1"/>
          <w:sz w:val="19"/>
          <w:szCs w:val="19"/>
        </w:rPr>
      </w:pPr>
      <w:r w:rsidRPr="00CF344A">
        <w:rPr>
          <w:rStyle w:val="Refdenotaalpie"/>
          <w:rFonts w:ascii="Arial" w:hAnsi="Arial" w:cs="Arial"/>
          <w:color w:val="000000" w:themeColor="text1"/>
          <w:sz w:val="19"/>
          <w:szCs w:val="19"/>
        </w:rPr>
        <w:footnoteRef/>
      </w:r>
      <w:r w:rsidRPr="00CF344A">
        <w:rPr>
          <w:rFonts w:ascii="Arial" w:hAnsi="Arial" w:cs="Arial"/>
          <w:color w:val="000000" w:themeColor="text1"/>
          <w:sz w:val="19"/>
          <w:szCs w:val="19"/>
        </w:rPr>
        <w:t xml:space="preserve"> Reglamento Bolsa Mercantil de Colombia, aprobado por la Resolución No. 2023 de 2008 de la Superintendencia Financiera de Colombia. «Artículo 3.2.2.1.8.- Comprobantes de transacción. Aprobado por Resolución No. 2023 de 2008 de la Superintendencia Financiera de Colombia. De las operaciones realizadas a través de la Bolsa se dejará constancia en un documento idóneo, suscrito por las sociedades comisionistas miembros de la Bolsa que lo celebren y por un representante de la Bolsa debidamente facultado para tal efecto. </w:t>
      </w:r>
    </w:p>
    <w:p w14:paraId="1990DD63" w14:textId="77777777" w:rsidR="002A114C" w:rsidRPr="00CF344A" w:rsidRDefault="002A114C">
      <w:pPr>
        <w:pStyle w:val="Textonotapie"/>
        <w:ind w:firstLine="708"/>
        <w:jc w:val="both"/>
        <w:rPr>
          <w:rFonts w:ascii="Arial" w:hAnsi="Arial" w:cs="Arial"/>
          <w:color w:val="000000" w:themeColor="text1"/>
          <w:sz w:val="19"/>
          <w:szCs w:val="19"/>
          <w:lang w:val="es-CO"/>
        </w:rPr>
      </w:pPr>
      <w:r w:rsidRPr="00CF344A">
        <w:rPr>
          <w:rFonts w:ascii="Arial" w:hAnsi="Arial" w:cs="Arial"/>
          <w:color w:val="000000" w:themeColor="text1"/>
          <w:sz w:val="19"/>
          <w:szCs w:val="19"/>
        </w:rPr>
        <w:t>»Los comprobantes deberán expresar al menos el activo, la calidad y cantidad del objeto de la operación, su precio, lugar y plazo de entrega, y la comisión cobrada. El documento original se le entregará a las sociedades comisionistas miembros de la Bolsa la copia del original será conservada por la Bolsa».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9D9DB" w14:textId="77777777" w:rsidR="00FC1901" w:rsidRDefault="00E95F2C">
    <w:pPr>
      <w:pStyle w:val="Encabezado"/>
    </w:pPr>
    <w:r>
      <w:rPr>
        <w:noProof/>
        <w:lang w:val="es-ES_tradnl" w:eastAsia="es-ES_tradnl"/>
      </w:rPr>
      <w:drawing>
        <wp:anchor distT="0" distB="0" distL="114300" distR="114300" simplePos="0" relativeHeight="251659264" behindDoc="1" locked="0" layoutInCell="1" allowOverlap="1" wp14:anchorId="37DF49CB" wp14:editId="0C1EC319">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779DEB" w14:textId="77777777" w:rsidR="00FC1901" w:rsidRDefault="003C3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6"/>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4C"/>
    <w:rsid w:val="00073223"/>
    <w:rsid w:val="00184C63"/>
    <w:rsid w:val="002544FB"/>
    <w:rsid w:val="002547E2"/>
    <w:rsid w:val="002654E4"/>
    <w:rsid w:val="002A114C"/>
    <w:rsid w:val="002E1EC9"/>
    <w:rsid w:val="002F2C95"/>
    <w:rsid w:val="00385D87"/>
    <w:rsid w:val="003C37EF"/>
    <w:rsid w:val="00407A7A"/>
    <w:rsid w:val="0044071B"/>
    <w:rsid w:val="004811BD"/>
    <w:rsid w:val="005047A4"/>
    <w:rsid w:val="005436AE"/>
    <w:rsid w:val="00616AD9"/>
    <w:rsid w:val="0064416C"/>
    <w:rsid w:val="006615EA"/>
    <w:rsid w:val="006677CE"/>
    <w:rsid w:val="00680A4B"/>
    <w:rsid w:val="006C2F35"/>
    <w:rsid w:val="006F42BC"/>
    <w:rsid w:val="007119D9"/>
    <w:rsid w:val="007A5DAC"/>
    <w:rsid w:val="007E5880"/>
    <w:rsid w:val="007E66EC"/>
    <w:rsid w:val="00816F3D"/>
    <w:rsid w:val="0086172B"/>
    <w:rsid w:val="008963CF"/>
    <w:rsid w:val="008C0A94"/>
    <w:rsid w:val="008D7549"/>
    <w:rsid w:val="00962CC1"/>
    <w:rsid w:val="00995C15"/>
    <w:rsid w:val="00A50489"/>
    <w:rsid w:val="00A6245B"/>
    <w:rsid w:val="00A74545"/>
    <w:rsid w:val="00A95034"/>
    <w:rsid w:val="00AF5109"/>
    <w:rsid w:val="00BB79C4"/>
    <w:rsid w:val="00BD16C5"/>
    <w:rsid w:val="00C17370"/>
    <w:rsid w:val="00C970B1"/>
    <w:rsid w:val="00CF06CC"/>
    <w:rsid w:val="00CF344A"/>
    <w:rsid w:val="00D23296"/>
    <w:rsid w:val="00D363C5"/>
    <w:rsid w:val="00DA14F4"/>
    <w:rsid w:val="00E51F33"/>
    <w:rsid w:val="00E77376"/>
    <w:rsid w:val="00E95F2C"/>
    <w:rsid w:val="00ED6139"/>
    <w:rsid w:val="00EE5F96"/>
    <w:rsid w:val="00F144CD"/>
    <w:rsid w:val="00F22A9E"/>
    <w:rsid w:val="00F32F67"/>
    <w:rsid w:val="00F838B0"/>
    <w:rsid w:val="00F87939"/>
    <w:rsid w:val="00FD35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0206"/>
  <w15:chartTrackingRefBased/>
  <w15:docId w15:val="{2FF56CC9-0A0A-4B87-80A1-F7F6D615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11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114C"/>
  </w:style>
  <w:style w:type="paragraph" w:styleId="NormalWeb">
    <w:name w:val="Normal (Web)"/>
    <w:basedOn w:val="Normal"/>
    <w:uiPriority w:val="99"/>
    <w:semiHidden/>
    <w:unhideWhenUsed/>
    <w:rsid w:val="002A114C"/>
    <w:rPr>
      <w:rFonts w:ascii="Times New Roman" w:hAnsi="Times New Roman" w:cs="Times New Roman"/>
      <w:sz w:val="24"/>
      <w:szCs w:val="24"/>
    </w:rPr>
  </w:style>
  <w:style w:type="paragraph" w:styleId="Piedepgina">
    <w:name w:val="footer"/>
    <w:basedOn w:val="Normal"/>
    <w:link w:val="PiedepginaCar"/>
    <w:uiPriority w:val="99"/>
    <w:unhideWhenUsed/>
    <w:rsid w:val="002A114C"/>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2A114C"/>
    <w:rPr>
      <w:sz w:val="24"/>
      <w:lang w:val="es-MX"/>
    </w:rPr>
  </w:style>
  <w:style w:type="table" w:styleId="Tablaconcuadrcula">
    <w:name w:val="Table Grid"/>
    <w:basedOn w:val="Tablanormal"/>
    <w:uiPriority w:val="59"/>
    <w:rsid w:val="002A1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2A114C"/>
    <w:rPr>
      <w:color w:val="F2F2F2"/>
      <w:u w:val="single"/>
    </w:rPr>
  </w:style>
  <w:style w:type="paragraph" w:styleId="Sinespaciado">
    <w:name w:val="No Spacing"/>
    <w:uiPriority w:val="1"/>
    <w:qFormat/>
    <w:rsid w:val="002A114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2A114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2A114C"/>
    <w:pPr>
      <w:spacing w:after="0" w:line="240" w:lineRule="auto"/>
    </w:pPr>
    <w:rPr>
      <w:sz w:val="20"/>
      <w:szCs w:val="20"/>
      <w:lang w:val="es-MX"/>
    </w:rPr>
  </w:style>
  <w:style w:type="character" w:customStyle="1" w:styleId="TextonotapieCar1">
    <w:name w:val="Texto nota pie Car1"/>
    <w:basedOn w:val="Fuentedeprrafopredeter"/>
    <w:uiPriority w:val="99"/>
    <w:semiHidden/>
    <w:rsid w:val="002A114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2A114C"/>
    <w:rPr>
      <w:vertAlign w:val="superscript"/>
    </w:rPr>
  </w:style>
  <w:style w:type="character" w:styleId="Textoennegrita">
    <w:name w:val="Strong"/>
    <w:basedOn w:val="Fuentedeprrafopredeter"/>
    <w:uiPriority w:val="22"/>
    <w:qFormat/>
    <w:rsid w:val="002A114C"/>
    <w:rPr>
      <w:b/>
      <w:bCs/>
    </w:rPr>
  </w:style>
  <w:style w:type="character" w:styleId="nfasis">
    <w:name w:val="Emphasis"/>
    <w:basedOn w:val="Fuentedeprrafopredeter"/>
    <w:uiPriority w:val="20"/>
    <w:qFormat/>
    <w:rsid w:val="002A114C"/>
    <w:rPr>
      <w:i/>
      <w:iCs/>
    </w:rPr>
  </w:style>
  <w:style w:type="character" w:styleId="Hipervnculo">
    <w:name w:val="Hyperlink"/>
    <w:basedOn w:val="Fuentedeprrafopredeter"/>
    <w:uiPriority w:val="99"/>
    <w:semiHidden/>
    <w:unhideWhenUsed/>
    <w:rsid w:val="002A114C"/>
    <w:rPr>
      <w:color w:val="0563C1" w:themeColor="hyperlink"/>
      <w:u w:val="single"/>
    </w:rPr>
  </w:style>
  <w:style w:type="character" w:styleId="Refdecomentario">
    <w:name w:val="annotation reference"/>
    <w:basedOn w:val="Fuentedeprrafopredeter"/>
    <w:uiPriority w:val="99"/>
    <w:semiHidden/>
    <w:unhideWhenUsed/>
    <w:rsid w:val="00CF06CC"/>
    <w:rPr>
      <w:sz w:val="16"/>
      <w:szCs w:val="16"/>
    </w:rPr>
  </w:style>
  <w:style w:type="paragraph" w:styleId="Textocomentario">
    <w:name w:val="annotation text"/>
    <w:basedOn w:val="Normal"/>
    <w:link w:val="TextocomentarioCar"/>
    <w:uiPriority w:val="99"/>
    <w:unhideWhenUsed/>
    <w:rsid w:val="00CF06CC"/>
    <w:pPr>
      <w:spacing w:line="240" w:lineRule="auto"/>
    </w:pPr>
    <w:rPr>
      <w:sz w:val="20"/>
      <w:szCs w:val="20"/>
    </w:rPr>
  </w:style>
  <w:style w:type="character" w:customStyle="1" w:styleId="TextocomentarioCar">
    <w:name w:val="Texto comentario Car"/>
    <w:basedOn w:val="Fuentedeprrafopredeter"/>
    <w:link w:val="Textocomentario"/>
    <w:uiPriority w:val="99"/>
    <w:rsid w:val="00CF06CC"/>
    <w:rPr>
      <w:sz w:val="20"/>
      <w:szCs w:val="20"/>
    </w:rPr>
  </w:style>
  <w:style w:type="paragraph" w:styleId="Asuntodelcomentario">
    <w:name w:val="annotation subject"/>
    <w:basedOn w:val="Textocomentario"/>
    <w:next w:val="Textocomentario"/>
    <w:link w:val="AsuntodelcomentarioCar"/>
    <w:uiPriority w:val="99"/>
    <w:semiHidden/>
    <w:unhideWhenUsed/>
    <w:rsid w:val="00CF06CC"/>
    <w:rPr>
      <w:b/>
      <w:bCs/>
    </w:rPr>
  </w:style>
  <w:style w:type="character" w:customStyle="1" w:styleId="AsuntodelcomentarioCar">
    <w:name w:val="Asunto del comentario Car"/>
    <w:basedOn w:val="TextocomentarioCar"/>
    <w:link w:val="Asuntodelcomentario"/>
    <w:uiPriority w:val="99"/>
    <w:semiHidden/>
    <w:rsid w:val="00CF06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72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vistas.pucp.edu.pe/index.php/derechopucp/article/view/6348/63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D2BED-E12C-4FFF-9C65-7350907B490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7F2A0B6-5992-4F69-80E0-4B3382FA38F4}">
  <ds:schemaRefs>
    <ds:schemaRef ds:uri="http://schemas.openxmlformats.org/officeDocument/2006/bibliography"/>
  </ds:schemaRefs>
</ds:datastoreItem>
</file>

<file path=customXml/itemProps3.xml><?xml version="1.0" encoding="utf-8"?>
<ds:datastoreItem xmlns:ds="http://schemas.openxmlformats.org/officeDocument/2006/customXml" ds:itemID="{CDA2F85D-C0F1-408B-907C-9AABF1291564}">
  <ds:schemaRefs>
    <ds:schemaRef ds:uri="http://schemas.microsoft.com/sharepoint/v3/contenttype/forms"/>
  </ds:schemaRefs>
</ds:datastoreItem>
</file>

<file path=customXml/itemProps4.xml><?xml version="1.0" encoding="utf-8"?>
<ds:datastoreItem xmlns:ds="http://schemas.openxmlformats.org/officeDocument/2006/customXml" ds:itemID="{FA9584C3-9EDF-4192-905C-203D2E934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4861</Words>
  <Characters>26740</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JUAN CAMILO VESGA BONILLA</cp:lastModifiedBy>
  <cp:revision>5</cp:revision>
  <dcterms:created xsi:type="dcterms:W3CDTF">2021-05-06T14:25:00Z</dcterms:created>
  <dcterms:modified xsi:type="dcterms:W3CDTF">2021-05-08T02:16:00Z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