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325B05"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325B05">
        <w:rPr>
          <w:rFonts w:ascii="Arial" w:hAnsi="Arial" w:cs="Arial"/>
          <w:bCs/>
          <w:color w:val="000000" w:themeColor="text1"/>
          <w:sz w:val="16"/>
          <w:szCs w:val="16"/>
          <w:lang w:val="es-ES_tradnl" w:eastAsia="es-ES"/>
        </w:rPr>
        <w:t>CCE-DES-FM-17</w:t>
      </w:r>
      <w:bookmarkEnd w:id="0"/>
      <w:bookmarkEnd w:id="1"/>
    </w:p>
    <w:p w14:paraId="55FBD910" w14:textId="77777777" w:rsidR="008536BB" w:rsidRPr="00325B05" w:rsidRDefault="008536BB" w:rsidP="00B95C30">
      <w:pPr>
        <w:spacing w:line="276" w:lineRule="auto"/>
        <w:jc w:val="both"/>
        <w:rPr>
          <w:rFonts w:ascii="Arial" w:hAnsi="Arial" w:cs="Arial"/>
          <w:noProof/>
          <w:color w:val="000000" w:themeColor="text1"/>
          <w:sz w:val="22"/>
          <w:lang w:val="es-ES_tradnl"/>
        </w:rPr>
      </w:pPr>
    </w:p>
    <w:p w14:paraId="6A9E6ADF" w14:textId="5947DF78" w:rsidR="00EC224E" w:rsidRPr="00325B05" w:rsidRDefault="00EC224E" w:rsidP="00EC224E">
      <w:pPr>
        <w:jc w:val="both"/>
        <w:rPr>
          <w:rFonts w:ascii="Arial" w:eastAsia="Calibri" w:hAnsi="Arial" w:cs="Arial"/>
          <w:b/>
          <w:sz w:val="22"/>
          <w:lang w:val="es-ES_tradnl"/>
        </w:rPr>
      </w:pPr>
      <w:r w:rsidRPr="00325B05">
        <w:rPr>
          <w:rFonts w:ascii="Arial" w:eastAsia="Calibri" w:hAnsi="Arial" w:cs="Arial"/>
          <w:b/>
          <w:sz w:val="22"/>
          <w:lang w:val="es-ES_tradnl"/>
        </w:rPr>
        <w:t xml:space="preserve">LEY DE EMPRENDIMIENTO </w:t>
      </w:r>
      <w:r w:rsidRPr="00325B05">
        <w:rPr>
          <w:rFonts w:ascii="Arial" w:eastAsia="Calibri" w:hAnsi="Arial" w:cs="Arial"/>
          <w:b/>
          <w:color w:val="000000" w:themeColor="text1"/>
          <w:sz w:val="22"/>
          <w:lang w:val="es-ES_tradnl"/>
        </w:rPr>
        <w:t>–</w:t>
      </w:r>
      <w:r w:rsidRPr="00325B05">
        <w:rPr>
          <w:rFonts w:ascii="Arial" w:eastAsia="Calibri" w:hAnsi="Arial" w:cs="Arial"/>
          <w:b/>
          <w:sz w:val="22"/>
          <w:lang w:val="es-ES_tradnl"/>
        </w:rPr>
        <w:t xml:space="preserve"> Ley </w:t>
      </w:r>
      <w:r w:rsidR="001F0325" w:rsidRPr="00325B05">
        <w:rPr>
          <w:rFonts w:ascii="Arial" w:eastAsia="Calibri" w:hAnsi="Arial" w:cs="Arial"/>
          <w:b/>
          <w:sz w:val="22"/>
          <w:lang w:val="es-ES_tradnl"/>
        </w:rPr>
        <w:t>2069</w:t>
      </w:r>
      <w:r w:rsidRPr="00325B05">
        <w:rPr>
          <w:rFonts w:ascii="Arial" w:eastAsia="Calibri" w:hAnsi="Arial" w:cs="Arial"/>
          <w:b/>
          <w:sz w:val="22"/>
          <w:lang w:val="es-ES_tradnl"/>
        </w:rPr>
        <w:t xml:space="preserve"> de 2020 </w:t>
      </w:r>
      <w:r w:rsidRPr="00325B05">
        <w:rPr>
          <w:rFonts w:ascii="Arial" w:eastAsia="Calibri" w:hAnsi="Arial" w:cs="Arial"/>
          <w:b/>
          <w:color w:val="000000" w:themeColor="text1"/>
          <w:sz w:val="22"/>
          <w:lang w:val="es-ES_tradnl"/>
        </w:rPr>
        <w:t>– Vigenci</w:t>
      </w:r>
      <w:r w:rsidR="0084073E" w:rsidRPr="00325B05">
        <w:rPr>
          <w:rFonts w:ascii="Arial" w:eastAsia="Calibri" w:hAnsi="Arial" w:cs="Arial"/>
          <w:b/>
          <w:color w:val="000000" w:themeColor="text1"/>
          <w:sz w:val="22"/>
          <w:lang w:val="es-ES_tradnl"/>
        </w:rPr>
        <w:t>a</w:t>
      </w:r>
      <w:r w:rsidRPr="00325B05">
        <w:rPr>
          <w:rFonts w:ascii="Arial" w:eastAsia="Calibri" w:hAnsi="Arial" w:cs="Arial"/>
          <w:b/>
          <w:color w:val="000000" w:themeColor="text1"/>
          <w:sz w:val="22"/>
          <w:lang w:val="es-ES_tradnl"/>
        </w:rPr>
        <w:t xml:space="preserve"> </w:t>
      </w:r>
    </w:p>
    <w:p w14:paraId="5A76D430" w14:textId="77777777" w:rsidR="00EC224E" w:rsidRPr="00325B05" w:rsidRDefault="00EC224E" w:rsidP="00EC224E">
      <w:pPr>
        <w:jc w:val="both"/>
        <w:rPr>
          <w:rFonts w:ascii="Arial" w:eastAsia="Calibri" w:hAnsi="Arial" w:cs="Arial"/>
          <w:b/>
          <w:sz w:val="22"/>
          <w:lang w:val="es-ES_tradnl"/>
        </w:rPr>
      </w:pPr>
    </w:p>
    <w:p w14:paraId="6DFECEDB" w14:textId="77777777" w:rsidR="00F87E53" w:rsidRPr="00F87E53" w:rsidRDefault="00F87E53" w:rsidP="00F87E53">
      <w:pPr>
        <w:jc w:val="both"/>
        <w:rPr>
          <w:rFonts w:ascii="Arial" w:eastAsia="Calibri" w:hAnsi="Arial" w:cs="Arial"/>
          <w:color w:val="000000" w:themeColor="text1"/>
          <w:sz w:val="20"/>
          <w:szCs w:val="20"/>
          <w:lang w:val="es-ES_tradnl"/>
        </w:rPr>
      </w:pPr>
      <w:r w:rsidRPr="00F87E53">
        <w:rPr>
          <w:rFonts w:ascii="Arial" w:eastAsia="Calibri" w:hAnsi="Arial" w:cs="Arial"/>
          <w:color w:val="000000" w:themeColor="text1"/>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D8A5EC4" w14:textId="77777777" w:rsidR="00F87E53" w:rsidRDefault="00F87E53" w:rsidP="00F87E53">
      <w:pPr>
        <w:jc w:val="both"/>
        <w:rPr>
          <w:rFonts w:ascii="Arial" w:eastAsia="Calibri" w:hAnsi="Arial" w:cs="Arial"/>
          <w:color w:val="000000" w:themeColor="text1"/>
          <w:sz w:val="20"/>
          <w:szCs w:val="20"/>
          <w:lang w:val="es-ES_tradnl"/>
        </w:rPr>
      </w:pPr>
    </w:p>
    <w:p w14:paraId="63528B70" w14:textId="6D9C3AD8" w:rsidR="00F87E53" w:rsidRPr="00F87E53" w:rsidRDefault="00F87E53" w:rsidP="00F87E53">
      <w:pPr>
        <w:jc w:val="both"/>
        <w:rPr>
          <w:rFonts w:ascii="Arial" w:eastAsia="Calibri" w:hAnsi="Arial" w:cs="Arial"/>
          <w:color w:val="000000" w:themeColor="text1"/>
          <w:sz w:val="20"/>
          <w:szCs w:val="20"/>
          <w:lang w:val="es-ES_tradnl"/>
        </w:rPr>
      </w:pPr>
      <w:r w:rsidRPr="00F87E53">
        <w:rPr>
          <w:rFonts w:ascii="Arial" w:eastAsia="Calibri" w:hAnsi="Arial" w:cs="Arial"/>
          <w:color w:val="000000" w:themeColor="text1"/>
          <w:sz w:val="20"/>
          <w:szCs w:val="20"/>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F87E53">
        <w:rPr>
          <w:rFonts w:ascii="Arial" w:eastAsia="Calibri" w:hAnsi="Arial" w:cs="Arial"/>
          <w:color w:val="000000" w:themeColor="text1"/>
          <w:sz w:val="20"/>
          <w:szCs w:val="20"/>
          <w:lang w:val="es-ES_tradnl"/>
        </w:rPr>
        <w:t>mipymes</w:t>
      </w:r>
      <w:proofErr w:type="spellEnd"/>
      <w:r w:rsidRPr="00F87E53">
        <w:rPr>
          <w:rFonts w:ascii="Arial" w:eastAsia="Calibri" w:hAnsi="Arial" w:cs="Arial"/>
          <w:color w:val="000000" w:themeColor="text1"/>
          <w:sz w:val="20"/>
          <w:szCs w:val="20"/>
          <w:lang w:val="es-ES_tradnl"/>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2DDB93AD" w14:textId="4767A3AC" w:rsidR="00C167F7" w:rsidRPr="00325B05" w:rsidRDefault="00C167F7" w:rsidP="00C167F7">
      <w:pPr>
        <w:jc w:val="both"/>
        <w:rPr>
          <w:rFonts w:ascii="Arial" w:eastAsia="Calibri" w:hAnsi="Arial" w:cs="Arial"/>
          <w:sz w:val="20"/>
          <w:szCs w:val="20"/>
          <w:lang w:val="es-ES_tradnl"/>
        </w:rPr>
      </w:pPr>
    </w:p>
    <w:p w14:paraId="30A0AA2C" w14:textId="0FDD8BDA" w:rsidR="00EC224E" w:rsidRPr="00325B05" w:rsidRDefault="00EC224E" w:rsidP="00EC224E">
      <w:pPr>
        <w:jc w:val="both"/>
        <w:rPr>
          <w:rFonts w:ascii="Arial" w:eastAsia="Calibri" w:hAnsi="Arial" w:cs="Arial"/>
          <w:b/>
          <w:sz w:val="22"/>
          <w:lang w:val="es-ES_tradnl"/>
        </w:rPr>
      </w:pPr>
      <w:r w:rsidRPr="00325B05">
        <w:rPr>
          <w:rFonts w:ascii="Arial" w:eastAsia="Calibri" w:hAnsi="Arial" w:cs="Arial"/>
          <w:b/>
          <w:sz w:val="22"/>
          <w:lang w:val="es-ES_tradnl"/>
        </w:rPr>
        <w:t xml:space="preserve">MIPYMES </w:t>
      </w:r>
      <w:r w:rsidRPr="00325B05">
        <w:rPr>
          <w:rFonts w:ascii="Arial" w:eastAsia="Calibri" w:hAnsi="Arial" w:cs="Arial"/>
          <w:b/>
          <w:color w:val="000000" w:themeColor="text1"/>
          <w:sz w:val="22"/>
          <w:lang w:val="es-ES_tradnl"/>
        </w:rPr>
        <w:t>–</w:t>
      </w:r>
      <w:r w:rsidRPr="00325B05">
        <w:rPr>
          <w:rFonts w:ascii="Arial" w:eastAsia="Calibri" w:hAnsi="Arial" w:cs="Arial"/>
          <w:b/>
          <w:sz w:val="22"/>
          <w:lang w:val="es-ES_tradnl"/>
        </w:rPr>
        <w:t xml:space="preserve"> Ley </w:t>
      </w:r>
      <w:r w:rsidR="001F0325" w:rsidRPr="00325B05">
        <w:rPr>
          <w:rFonts w:ascii="Arial" w:eastAsia="Calibri" w:hAnsi="Arial" w:cs="Arial"/>
          <w:b/>
          <w:sz w:val="22"/>
          <w:lang w:val="es-ES_tradnl"/>
        </w:rPr>
        <w:t>2069</w:t>
      </w:r>
      <w:r w:rsidRPr="00325B05">
        <w:rPr>
          <w:rFonts w:ascii="Arial" w:eastAsia="Calibri" w:hAnsi="Arial" w:cs="Arial"/>
          <w:b/>
          <w:sz w:val="22"/>
          <w:lang w:val="es-ES_tradnl"/>
        </w:rPr>
        <w:t xml:space="preserve"> </w:t>
      </w:r>
      <w:r w:rsidRPr="00325B05">
        <w:rPr>
          <w:rFonts w:ascii="Arial" w:eastAsia="Calibri" w:hAnsi="Arial" w:cs="Arial"/>
          <w:b/>
          <w:color w:val="000000" w:themeColor="text1"/>
          <w:sz w:val="22"/>
          <w:lang w:val="es-ES_tradnl"/>
        </w:rPr>
        <w:t xml:space="preserve">– Artículo 34 – Convocatorias limitadas – </w:t>
      </w:r>
      <w:r w:rsidR="009220F6" w:rsidRPr="00325B05">
        <w:rPr>
          <w:rFonts w:ascii="Arial" w:eastAsia="Calibri" w:hAnsi="Arial" w:cs="Arial"/>
          <w:b/>
          <w:color w:val="000000" w:themeColor="text1"/>
          <w:sz w:val="22"/>
          <w:lang w:val="es-ES_tradnl"/>
        </w:rPr>
        <w:t>Vigencia</w:t>
      </w:r>
    </w:p>
    <w:p w14:paraId="1EAD2F08" w14:textId="77777777" w:rsidR="00EC224E" w:rsidRPr="00325B05" w:rsidRDefault="00EC224E" w:rsidP="00EC224E">
      <w:pPr>
        <w:jc w:val="both"/>
        <w:rPr>
          <w:rFonts w:ascii="Arial" w:eastAsia="Calibri" w:hAnsi="Arial" w:cs="Arial"/>
          <w:sz w:val="20"/>
          <w:szCs w:val="20"/>
          <w:lang w:val="es-ES_tradnl"/>
        </w:rPr>
      </w:pPr>
    </w:p>
    <w:p w14:paraId="1AB6C16B" w14:textId="3AC2F331" w:rsidR="00573728" w:rsidRPr="00573728" w:rsidRDefault="00573728" w:rsidP="00573728">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r w:rsidRPr="00573728">
        <w:rPr>
          <w:rFonts w:ascii="Arial" w:eastAsia="Calibri" w:hAnsi="Arial" w:cs="Arial"/>
          <w:color w:val="000000" w:themeColor="text1"/>
          <w:sz w:val="20"/>
          <w:szCs w:val="20"/>
          <w:lang w:val="es-ES_tradnl"/>
        </w:rPr>
        <w:t>,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esta «deroga […] todas las disposiciones que le sean contrarias». Entonces, puede afirmarse que, además del decaimiento del artículo 2.2.1.2.4.2.2. del Decreto 1082 de 2015, debe entenderse derogado.</w:t>
      </w:r>
    </w:p>
    <w:p w14:paraId="7DA12ACC" w14:textId="77777777" w:rsidR="00573728" w:rsidRDefault="00573728" w:rsidP="00573728">
      <w:pPr>
        <w:jc w:val="both"/>
        <w:rPr>
          <w:rFonts w:ascii="Arial" w:eastAsia="Calibri" w:hAnsi="Arial" w:cs="Arial"/>
          <w:color w:val="000000" w:themeColor="text1"/>
          <w:sz w:val="20"/>
          <w:szCs w:val="20"/>
          <w:lang w:val="es-ES_tradnl"/>
        </w:rPr>
      </w:pPr>
    </w:p>
    <w:p w14:paraId="7026E3D6" w14:textId="7ED99E77" w:rsidR="00573728" w:rsidRPr="00573728" w:rsidRDefault="00573728" w:rsidP="00573728">
      <w:pPr>
        <w:jc w:val="both"/>
        <w:rPr>
          <w:rFonts w:ascii="Arial" w:eastAsia="Calibri" w:hAnsi="Arial" w:cs="Arial"/>
          <w:color w:val="000000" w:themeColor="text1"/>
          <w:sz w:val="20"/>
          <w:szCs w:val="20"/>
          <w:lang w:val="es-ES_tradnl"/>
        </w:rPr>
      </w:pPr>
      <w:r w:rsidRPr="00573728">
        <w:rPr>
          <w:rFonts w:ascii="Arial" w:eastAsia="Calibri" w:hAnsi="Arial" w:cs="Arial"/>
          <w:color w:val="000000" w:themeColor="text1"/>
          <w:sz w:val="20"/>
          <w:szCs w:val="20"/>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573728">
        <w:rPr>
          <w:rFonts w:ascii="Arial" w:eastAsia="Calibri" w:hAnsi="Arial" w:cs="Arial"/>
          <w:color w:val="000000" w:themeColor="text1"/>
          <w:sz w:val="20"/>
          <w:szCs w:val="20"/>
          <w:lang w:val="es-ES_tradnl"/>
        </w:rPr>
        <w:t>mipymes</w:t>
      </w:r>
      <w:proofErr w:type="spellEnd"/>
      <w:r w:rsidRPr="00573728">
        <w:rPr>
          <w:rFonts w:ascii="Arial" w:eastAsia="Calibri" w:hAnsi="Arial" w:cs="Arial"/>
          <w:color w:val="000000" w:themeColor="text1"/>
          <w:sz w:val="20"/>
          <w:szCs w:val="20"/>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573728">
        <w:rPr>
          <w:rFonts w:ascii="Arial" w:eastAsia="Calibri" w:hAnsi="Arial" w:cs="Arial"/>
          <w:color w:val="000000" w:themeColor="text1"/>
          <w:sz w:val="20"/>
          <w:szCs w:val="20"/>
          <w:lang w:val="es-ES_tradnl"/>
        </w:rPr>
        <w:t>mipymes</w:t>
      </w:r>
      <w:proofErr w:type="spellEnd"/>
      <w:r w:rsidRPr="00573728">
        <w:rPr>
          <w:rFonts w:ascii="Arial" w:eastAsia="Calibri" w:hAnsi="Arial" w:cs="Arial"/>
          <w:color w:val="000000" w:themeColor="text1"/>
          <w:sz w:val="20"/>
          <w:szCs w:val="20"/>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573728">
        <w:rPr>
          <w:rFonts w:ascii="Arial" w:eastAsia="Calibri" w:hAnsi="Arial" w:cs="Arial"/>
          <w:color w:val="000000" w:themeColor="text1"/>
          <w:sz w:val="20"/>
          <w:szCs w:val="20"/>
          <w:lang w:val="es-ES_tradnl"/>
        </w:rPr>
        <w:t>mipymes</w:t>
      </w:r>
      <w:proofErr w:type="spellEnd"/>
      <w:r w:rsidRPr="00573728">
        <w:rPr>
          <w:rFonts w:ascii="Arial" w:eastAsia="Calibri" w:hAnsi="Arial" w:cs="Arial"/>
          <w:color w:val="000000" w:themeColor="text1"/>
          <w:sz w:val="20"/>
          <w:szCs w:val="20"/>
          <w:lang w:val="es-ES_tradnl"/>
        </w:rPr>
        <w:t xml:space="preserve">, pues al tenor del artículo 34 de la Ley 2069 de 2020, la eficacia de esta norma quedó condicionada a la expedición del decreto reglamentario que fije las condiciones de su operatividad.    </w:t>
      </w:r>
    </w:p>
    <w:p w14:paraId="6247A6F0" w14:textId="77777777" w:rsidR="00365AE5" w:rsidRPr="00325B05" w:rsidRDefault="00365AE5" w:rsidP="00C978D4">
      <w:pPr>
        <w:jc w:val="both"/>
        <w:rPr>
          <w:rFonts w:ascii="Arial" w:eastAsia="Calibri" w:hAnsi="Arial" w:cs="Arial"/>
          <w:b/>
          <w:sz w:val="22"/>
          <w:lang w:val="es-ES_tradnl"/>
        </w:rPr>
      </w:pPr>
    </w:p>
    <w:p w14:paraId="76308A45" w14:textId="77777777" w:rsidR="00D96E12" w:rsidRPr="00325B05" w:rsidRDefault="00D96E12" w:rsidP="00C978D4">
      <w:pPr>
        <w:jc w:val="both"/>
        <w:rPr>
          <w:rFonts w:ascii="Arial" w:eastAsia="Calibri" w:hAnsi="Arial" w:cs="Arial"/>
          <w:b/>
          <w:sz w:val="22"/>
          <w:lang w:val="es-ES_tradnl"/>
        </w:rPr>
      </w:pPr>
    </w:p>
    <w:p w14:paraId="01494017" w14:textId="77777777" w:rsidR="00D96E12" w:rsidRPr="00325B05" w:rsidRDefault="00D96E12" w:rsidP="00C978D4">
      <w:pPr>
        <w:jc w:val="both"/>
        <w:rPr>
          <w:rFonts w:ascii="Arial" w:eastAsia="Calibri" w:hAnsi="Arial" w:cs="Arial"/>
          <w:b/>
          <w:sz w:val="22"/>
          <w:lang w:val="es-ES_tradnl"/>
        </w:rPr>
      </w:pPr>
    </w:p>
    <w:p w14:paraId="6A654097" w14:textId="3F3577FF" w:rsidR="00C978D4" w:rsidRPr="00325B05" w:rsidRDefault="00272945" w:rsidP="00C978D4">
      <w:pPr>
        <w:jc w:val="both"/>
        <w:rPr>
          <w:rFonts w:ascii="Arial" w:eastAsia="Calibri" w:hAnsi="Arial" w:cs="Arial"/>
          <w:b/>
          <w:sz w:val="22"/>
          <w:lang w:val="es-ES_tradnl"/>
        </w:rPr>
      </w:pPr>
      <w:r w:rsidRPr="00325B05">
        <w:rPr>
          <w:rFonts w:ascii="Arial" w:eastAsia="Calibri" w:hAnsi="Arial" w:cs="Arial"/>
          <w:b/>
          <w:sz w:val="22"/>
          <w:lang w:val="es-ES_tradnl"/>
        </w:rPr>
        <w:lastRenderedPageBreak/>
        <w:t>SELECCIÓN OBJETIVA</w:t>
      </w:r>
      <w:r w:rsidR="00C978D4" w:rsidRPr="00325B05">
        <w:rPr>
          <w:rFonts w:ascii="Arial" w:eastAsia="Calibri" w:hAnsi="Arial" w:cs="Arial"/>
          <w:b/>
          <w:sz w:val="22"/>
          <w:lang w:val="es-ES_tradnl"/>
        </w:rPr>
        <w:t xml:space="preserve"> </w:t>
      </w:r>
      <w:r w:rsidR="00C978D4" w:rsidRPr="00325B05">
        <w:rPr>
          <w:rFonts w:ascii="Arial" w:eastAsia="Calibri" w:hAnsi="Arial" w:cs="Arial"/>
          <w:b/>
          <w:color w:val="000000" w:themeColor="text1"/>
          <w:sz w:val="22"/>
          <w:lang w:val="es-ES_tradnl"/>
        </w:rPr>
        <w:t>–</w:t>
      </w:r>
      <w:r w:rsidR="00C978D4" w:rsidRPr="00325B05">
        <w:rPr>
          <w:rFonts w:ascii="Arial" w:eastAsia="Calibri" w:hAnsi="Arial" w:cs="Arial"/>
          <w:b/>
          <w:sz w:val="22"/>
          <w:lang w:val="es-ES_tradnl"/>
        </w:rPr>
        <w:t xml:space="preserve"> </w:t>
      </w:r>
      <w:r w:rsidR="00003D39" w:rsidRPr="00325B05">
        <w:rPr>
          <w:rFonts w:ascii="Arial" w:eastAsia="Calibri" w:hAnsi="Arial" w:cs="Arial"/>
          <w:b/>
          <w:sz w:val="22"/>
          <w:lang w:val="es-ES_tradnl"/>
        </w:rPr>
        <w:t>Contratación estatal</w:t>
      </w:r>
      <w:r w:rsidR="00616D7F" w:rsidRPr="00325B05">
        <w:rPr>
          <w:rFonts w:ascii="Arial" w:eastAsia="Calibri" w:hAnsi="Arial" w:cs="Arial"/>
          <w:b/>
          <w:sz w:val="22"/>
          <w:lang w:val="es-ES_tradnl"/>
        </w:rPr>
        <w:t xml:space="preserve"> </w:t>
      </w:r>
      <w:r w:rsidR="00C978D4" w:rsidRPr="00325B05">
        <w:rPr>
          <w:rFonts w:ascii="Arial" w:eastAsia="Calibri" w:hAnsi="Arial" w:cs="Arial"/>
          <w:b/>
          <w:color w:val="000000" w:themeColor="text1"/>
          <w:sz w:val="22"/>
          <w:lang w:val="es-ES_tradnl"/>
        </w:rPr>
        <w:t xml:space="preserve">– </w:t>
      </w:r>
      <w:r w:rsidRPr="00325B05">
        <w:rPr>
          <w:rFonts w:ascii="Arial" w:eastAsia="Calibri" w:hAnsi="Arial" w:cs="Arial"/>
          <w:b/>
          <w:color w:val="000000" w:themeColor="text1"/>
          <w:sz w:val="22"/>
          <w:lang w:val="es-ES_tradnl"/>
        </w:rPr>
        <w:t>Concepto</w:t>
      </w:r>
    </w:p>
    <w:p w14:paraId="4AAB8DDD" w14:textId="537B898C" w:rsidR="00C978D4" w:rsidRPr="00325B05" w:rsidRDefault="00C978D4" w:rsidP="0099531F">
      <w:pPr>
        <w:jc w:val="both"/>
        <w:rPr>
          <w:rFonts w:ascii="Arial" w:eastAsia="Calibri" w:hAnsi="Arial" w:cs="Arial"/>
          <w:b/>
          <w:sz w:val="22"/>
          <w:lang w:val="es-ES_tradnl"/>
        </w:rPr>
      </w:pPr>
    </w:p>
    <w:p w14:paraId="120F932C" w14:textId="77777777" w:rsidR="009351E2" w:rsidRPr="009351E2" w:rsidRDefault="009351E2" w:rsidP="009351E2">
      <w:pPr>
        <w:jc w:val="both"/>
        <w:rPr>
          <w:rFonts w:ascii="Arial" w:eastAsia="Calibri" w:hAnsi="Arial" w:cs="Arial"/>
          <w:color w:val="000000" w:themeColor="text1"/>
          <w:sz w:val="20"/>
          <w:szCs w:val="20"/>
          <w:lang w:val="es-ES_tradnl"/>
        </w:rPr>
      </w:pPr>
      <w:r w:rsidRPr="009351E2">
        <w:rPr>
          <w:rFonts w:ascii="Arial" w:eastAsia="Calibri" w:hAnsi="Arial" w:cs="Arial"/>
          <w:color w:val="000000" w:themeColor="text1"/>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0EA25C4D" w14:textId="77777777" w:rsidR="00AF6DEC" w:rsidRPr="00325B05" w:rsidRDefault="00AF6DEC" w:rsidP="0099531F">
      <w:pPr>
        <w:jc w:val="both"/>
        <w:rPr>
          <w:rFonts w:ascii="Arial" w:eastAsia="Calibri" w:hAnsi="Arial" w:cs="Arial"/>
          <w:b/>
          <w:sz w:val="22"/>
          <w:lang w:val="es-ES_tradnl"/>
        </w:rPr>
      </w:pPr>
    </w:p>
    <w:p w14:paraId="73365DCF" w14:textId="63E2A713" w:rsidR="00272945" w:rsidRPr="00325B05" w:rsidRDefault="00B54215" w:rsidP="00272945">
      <w:pPr>
        <w:jc w:val="both"/>
        <w:rPr>
          <w:rFonts w:ascii="Arial" w:eastAsia="Calibri" w:hAnsi="Arial" w:cs="Arial"/>
          <w:b/>
          <w:sz w:val="22"/>
          <w:lang w:val="es-ES_tradnl"/>
        </w:rPr>
      </w:pPr>
      <w:r w:rsidRPr="00325B05">
        <w:rPr>
          <w:rFonts w:ascii="Arial" w:eastAsia="Calibri" w:hAnsi="Arial" w:cs="Arial"/>
          <w:b/>
          <w:sz w:val="22"/>
          <w:lang w:val="es-ES_tradnl"/>
        </w:rPr>
        <w:t>EMPATE</w:t>
      </w:r>
      <w:r w:rsidR="00272945" w:rsidRPr="00325B05">
        <w:rPr>
          <w:rFonts w:ascii="Arial" w:eastAsia="Calibri" w:hAnsi="Arial" w:cs="Arial"/>
          <w:b/>
          <w:sz w:val="22"/>
          <w:lang w:val="es-ES_tradnl"/>
        </w:rPr>
        <w:t xml:space="preserve"> </w:t>
      </w:r>
      <w:r w:rsidR="00272945" w:rsidRPr="00325B05">
        <w:rPr>
          <w:rFonts w:ascii="Arial" w:eastAsia="Calibri" w:hAnsi="Arial" w:cs="Arial"/>
          <w:b/>
          <w:color w:val="000000" w:themeColor="text1"/>
          <w:sz w:val="22"/>
          <w:lang w:val="es-ES_tradnl"/>
        </w:rPr>
        <w:t>–</w:t>
      </w:r>
      <w:r w:rsidR="00272945" w:rsidRPr="00325B05">
        <w:rPr>
          <w:rFonts w:ascii="Arial" w:eastAsia="Calibri" w:hAnsi="Arial" w:cs="Arial"/>
          <w:b/>
          <w:sz w:val="22"/>
          <w:lang w:val="es-ES_tradnl"/>
        </w:rPr>
        <w:t xml:space="preserve"> </w:t>
      </w:r>
      <w:r w:rsidRPr="00325B05">
        <w:rPr>
          <w:rFonts w:ascii="Arial" w:eastAsia="Calibri" w:hAnsi="Arial" w:cs="Arial"/>
          <w:b/>
          <w:sz w:val="22"/>
          <w:lang w:val="es-ES_tradnl"/>
        </w:rPr>
        <w:t>Procedimiento de selección</w:t>
      </w:r>
      <w:r w:rsidR="00272945" w:rsidRPr="00325B05">
        <w:rPr>
          <w:rFonts w:ascii="Arial" w:eastAsia="Calibri" w:hAnsi="Arial" w:cs="Arial"/>
          <w:b/>
          <w:sz w:val="22"/>
          <w:lang w:val="es-ES_tradnl"/>
        </w:rPr>
        <w:t xml:space="preserve"> </w:t>
      </w:r>
      <w:r w:rsidR="00272945" w:rsidRPr="00325B05">
        <w:rPr>
          <w:rFonts w:ascii="Arial" w:eastAsia="Calibri" w:hAnsi="Arial" w:cs="Arial"/>
          <w:b/>
          <w:color w:val="000000" w:themeColor="text1"/>
          <w:sz w:val="22"/>
          <w:lang w:val="es-ES_tradnl"/>
        </w:rPr>
        <w:t>– Concepto</w:t>
      </w:r>
    </w:p>
    <w:p w14:paraId="182F8CB9" w14:textId="246E5B50" w:rsidR="00272945" w:rsidRPr="00325B05" w:rsidRDefault="00272945" w:rsidP="0099531F">
      <w:pPr>
        <w:jc w:val="both"/>
        <w:rPr>
          <w:rFonts w:ascii="Arial" w:eastAsia="Calibri" w:hAnsi="Arial" w:cs="Arial"/>
          <w:b/>
          <w:sz w:val="22"/>
          <w:lang w:val="es-ES_tradnl"/>
        </w:rPr>
      </w:pPr>
    </w:p>
    <w:p w14:paraId="6C1D632B" w14:textId="77777777" w:rsidR="00EC4277" w:rsidRPr="00EC4277" w:rsidRDefault="00EC4277" w:rsidP="00EC4277">
      <w:pPr>
        <w:jc w:val="both"/>
        <w:rPr>
          <w:rFonts w:ascii="Arial" w:eastAsia="Calibri" w:hAnsi="Arial" w:cs="Arial"/>
          <w:color w:val="000000" w:themeColor="text1"/>
          <w:sz w:val="20"/>
          <w:szCs w:val="20"/>
          <w:lang w:val="es-ES_tradnl"/>
        </w:rPr>
      </w:pPr>
      <w:r w:rsidRPr="00EC4277">
        <w:rPr>
          <w:rFonts w:ascii="Arial" w:eastAsia="Calibri" w:hAnsi="Arial" w:cs="Arial"/>
          <w:color w:val="000000" w:themeColor="text1"/>
          <w:sz w:val="20"/>
          <w:szCs w:val="20"/>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2B2F279A" w14:textId="77777777" w:rsidR="005C6D19" w:rsidRPr="00325B05" w:rsidRDefault="005C6D19" w:rsidP="00DF71EA">
      <w:pPr>
        <w:jc w:val="both"/>
        <w:rPr>
          <w:rFonts w:ascii="Arial" w:eastAsia="Calibri" w:hAnsi="Arial" w:cs="Arial"/>
          <w:b/>
          <w:sz w:val="22"/>
          <w:lang w:val="es-ES_tradnl"/>
        </w:rPr>
      </w:pPr>
    </w:p>
    <w:p w14:paraId="04086EC5" w14:textId="5C2FA739" w:rsidR="00DF71EA" w:rsidRPr="00325B05" w:rsidRDefault="00D73881" w:rsidP="00DF71EA">
      <w:pPr>
        <w:jc w:val="both"/>
        <w:rPr>
          <w:rFonts w:ascii="Arial" w:eastAsia="Calibri" w:hAnsi="Arial" w:cs="Arial"/>
          <w:b/>
          <w:sz w:val="22"/>
          <w:lang w:val="es-ES_tradnl"/>
        </w:rPr>
      </w:pPr>
      <w:r w:rsidRPr="00325B05">
        <w:rPr>
          <w:rFonts w:ascii="Arial" w:eastAsia="Calibri" w:hAnsi="Arial" w:cs="Arial"/>
          <w:b/>
          <w:sz w:val="22"/>
          <w:lang w:val="es-ES_tradnl"/>
        </w:rPr>
        <w:t>FACTORES DE DESEMPATE</w:t>
      </w:r>
      <w:r w:rsidR="00DF71EA" w:rsidRPr="00325B05">
        <w:rPr>
          <w:rFonts w:ascii="Arial" w:eastAsia="Calibri" w:hAnsi="Arial" w:cs="Arial"/>
          <w:b/>
          <w:sz w:val="22"/>
          <w:lang w:val="es-ES_tradnl"/>
        </w:rPr>
        <w:t xml:space="preserve"> </w:t>
      </w:r>
      <w:r w:rsidR="00DF71EA" w:rsidRPr="00325B05">
        <w:rPr>
          <w:rFonts w:ascii="Arial" w:eastAsia="Calibri" w:hAnsi="Arial" w:cs="Arial"/>
          <w:b/>
          <w:color w:val="000000" w:themeColor="text1"/>
          <w:sz w:val="22"/>
          <w:lang w:val="es-ES_tradnl"/>
        </w:rPr>
        <w:t>–</w:t>
      </w:r>
      <w:r w:rsidR="00DF71EA" w:rsidRPr="00325B05">
        <w:rPr>
          <w:rFonts w:ascii="Arial" w:eastAsia="Calibri" w:hAnsi="Arial" w:cs="Arial"/>
          <w:b/>
          <w:sz w:val="22"/>
          <w:lang w:val="es-ES_tradnl"/>
        </w:rPr>
        <w:t xml:space="preserve"> </w:t>
      </w:r>
      <w:r w:rsidRPr="00325B05">
        <w:rPr>
          <w:rFonts w:ascii="Arial" w:eastAsia="Calibri" w:hAnsi="Arial" w:cs="Arial"/>
          <w:b/>
          <w:sz w:val="22"/>
          <w:lang w:val="es-ES_tradnl"/>
        </w:rPr>
        <w:t>Características</w:t>
      </w:r>
      <w:r w:rsidR="00DF71EA" w:rsidRPr="00325B05">
        <w:rPr>
          <w:rFonts w:ascii="Arial" w:eastAsia="Calibri" w:hAnsi="Arial" w:cs="Arial"/>
          <w:b/>
          <w:sz w:val="22"/>
          <w:lang w:val="es-ES_tradnl"/>
        </w:rPr>
        <w:t xml:space="preserve"> </w:t>
      </w:r>
      <w:r w:rsidR="00DF71EA" w:rsidRPr="00325B05">
        <w:rPr>
          <w:rFonts w:ascii="Arial" w:eastAsia="Calibri" w:hAnsi="Arial" w:cs="Arial"/>
          <w:b/>
          <w:color w:val="000000" w:themeColor="text1"/>
          <w:sz w:val="22"/>
          <w:lang w:val="es-ES_tradnl"/>
        </w:rPr>
        <w:t xml:space="preserve">– </w:t>
      </w:r>
      <w:r w:rsidRPr="00325B05">
        <w:rPr>
          <w:rFonts w:ascii="Arial" w:eastAsia="Calibri" w:hAnsi="Arial" w:cs="Arial"/>
          <w:b/>
          <w:color w:val="000000" w:themeColor="text1"/>
          <w:sz w:val="22"/>
          <w:lang w:val="es-ES_tradnl"/>
        </w:rPr>
        <w:t>Límites</w:t>
      </w:r>
    </w:p>
    <w:p w14:paraId="583F00A4" w14:textId="390EB1EB" w:rsidR="00DF71EA" w:rsidRPr="00325B05" w:rsidRDefault="00DF71EA" w:rsidP="00B95C30">
      <w:pPr>
        <w:spacing w:line="276" w:lineRule="auto"/>
        <w:jc w:val="both"/>
        <w:rPr>
          <w:rFonts w:ascii="Arial" w:hAnsi="Arial" w:cs="Arial"/>
          <w:noProof/>
          <w:color w:val="000000" w:themeColor="text1"/>
          <w:sz w:val="22"/>
          <w:lang w:val="es-ES_tradnl"/>
        </w:rPr>
      </w:pPr>
    </w:p>
    <w:p w14:paraId="6876FDA0" w14:textId="2B69AFEC" w:rsidR="00CA2EB5" w:rsidRPr="00CA2EB5" w:rsidRDefault="00CA2EB5" w:rsidP="00CA2EB5">
      <w:pPr>
        <w:jc w:val="both"/>
        <w:rPr>
          <w:rFonts w:ascii="Arial" w:eastAsia="Calibri" w:hAnsi="Arial" w:cs="Arial"/>
          <w:color w:val="000000" w:themeColor="text1"/>
          <w:sz w:val="20"/>
          <w:szCs w:val="20"/>
          <w:lang w:val="es-ES_tradnl"/>
        </w:rPr>
      </w:pPr>
      <w:r w:rsidRPr="00CA2EB5">
        <w:rPr>
          <w:rFonts w:ascii="Arial" w:eastAsia="Calibri" w:hAnsi="Arial" w:cs="Arial"/>
          <w:color w:val="000000" w:themeColor="text1"/>
          <w:sz w:val="20"/>
          <w:szCs w:val="20"/>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2069 de 2020. La jurisprudencia comparte la idea de que los criterios de desempate deben estar establecidos de antemano y constituyen un límite a la discrecionalidad administrativa en los procedimientos de selección. </w:t>
      </w:r>
    </w:p>
    <w:p w14:paraId="61D15816" w14:textId="77777777" w:rsidR="00CA2EB5" w:rsidRDefault="00CA2EB5" w:rsidP="00CA2EB5">
      <w:pPr>
        <w:jc w:val="both"/>
        <w:rPr>
          <w:rFonts w:ascii="Arial" w:eastAsia="Calibri" w:hAnsi="Arial" w:cs="Arial"/>
          <w:color w:val="000000" w:themeColor="text1"/>
          <w:sz w:val="20"/>
          <w:szCs w:val="20"/>
          <w:lang w:val="es-ES_tradnl"/>
        </w:rPr>
      </w:pPr>
    </w:p>
    <w:p w14:paraId="37ECC3C9" w14:textId="75448C90" w:rsidR="00CA2EB5" w:rsidRPr="00CA2EB5" w:rsidRDefault="00CA2EB5" w:rsidP="00CA2EB5">
      <w:pPr>
        <w:jc w:val="both"/>
        <w:rPr>
          <w:rFonts w:ascii="Arial" w:eastAsia="Calibri" w:hAnsi="Arial" w:cs="Arial"/>
          <w:color w:val="000000" w:themeColor="text1"/>
          <w:sz w:val="20"/>
          <w:szCs w:val="20"/>
          <w:lang w:val="es-ES_tradnl"/>
        </w:rPr>
      </w:pPr>
      <w:r w:rsidRPr="00CA2EB5">
        <w:rPr>
          <w:rFonts w:ascii="Arial" w:eastAsia="Calibri" w:hAnsi="Arial" w:cs="Arial"/>
          <w:color w:val="000000" w:themeColor="text1"/>
          <w:sz w:val="20"/>
          <w:szCs w:val="20"/>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Más aún, según el Consejo de Estado, ir en contra de los factores de desempate establecidos expresamente genera la nulidad del contrato, conforme al artículo 44, inciso 1º de la Ley 80 de 1993.</w:t>
      </w:r>
    </w:p>
    <w:p w14:paraId="7B24A529" w14:textId="298FAC10" w:rsidR="008410B1" w:rsidRPr="00325B05" w:rsidRDefault="00D73881" w:rsidP="008410B1">
      <w:pPr>
        <w:jc w:val="both"/>
        <w:rPr>
          <w:rFonts w:ascii="Arial" w:eastAsia="Calibri" w:hAnsi="Arial" w:cs="Arial"/>
          <w:sz w:val="20"/>
          <w:szCs w:val="20"/>
          <w:lang w:val="es-ES_tradnl"/>
        </w:rPr>
      </w:pPr>
      <w:r w:rsidRPr="00325B05">
        <w:rPr>
          <w:rFonts w:ascii="Arial" w:eastAsia="Calibri" w:hAnsi="Arial" w:cs="Arial"/>
          <w:sz w:val="20"/>
          <w:szCs w:val="20"/>
          <w:lang w:val="es-ES_tradnl"/>
        </w:rPr>
        <w:t xml:space="preserve"> </w:t>
      </w:r>
    </w:p>
    <w:p w14:paraId="5C894141" w14:textId="587C5B71" w:rsidR="00D73881" w:rsidRPr="00325B05" w:rsidRDefault="00D73881" w:rsidP="00D73881">
      <w:pPr>
        <w:jc w:val="both"/>
        <w:rPr>
          <w:rFonts w:ascii="Arial" w:eastAsia="Calibri" w:hAnsi="Arial" w:cs="Arial"/>
          <w:b/>
          <w:sz w:val="22"/>
          <w:lang w:val="es-ES_tradnl"/>
        </w:rPr>
      </w:pPr>
      <w:r w:rsidRPr="00325B05">
        <w:rPr>
          <w:rFonts w:ascii="Arial" w:eastAsia="Calibri" w:hAnsi="Arial" w:cs="Arial"/>
          <w:b/>
          <w:sz w:val="22"/>
          <w:lang w:val="es-ES_tradnl"/>
        </w:rPr>
        <w:t xml:space="preserve">FACTORES DE DESEMPATE </w:t>
      </w:r>
      <w:r w:rsidRPr="00325B05">
        <w:rPr>
          <w:rFonts w:ascii="Arial" w:eastAsia="Calibri" w:hAnsi="Arial" w:cs="Arial"/>
          <w:b/>
          <w:color w:val="000000" w:themeColor="text1"/>
          <w:sz w:val="22"/>
          <w:lang w:val="es-ES_tradnl"/>
        </w:rPr>
        <w:t>–</w:t>
      </w:r>
      <w:r w:rsidRPr="00325B05">
        <w:rPr>
          <w:rFonts w:ascii="Arial" w:eastAsia="Calibri" w:hAnsi="Arial" w:cs="Arial"/>
          <w:b/>
          <w:sz w:val="22"/>
          <w:lang w:val="es-ES_tradnl"/>
        </w:rPr>
        <w:t xml:space="preserve"> Ley </w:t>
      </w:r>
      <w:r w:rsidR="001F0325" w:rsidRPr="00325B05">
        <w:rPr>
          <w:rFonts w:ascii="Arial" w:eastAsia="Calibri" w:hAnsi="Arial" w:cs="Arial"/>
          <w:b/>
          <w:sz w:val="22"/>
          <w:lang w:val="es-ES_tradnl"/>
        </w:rPr>
        <w:t>2069</w:t>
      </w:r>
      <w:r w:rsidRPr="00325B05">
        <w:rPr>
          <w:rFonts w:ascii="Arial" w:eastAsia="Calibri" w:hAnsi="Arial" w:cs="Arial"/>
          <w:b/>
          <w:sz w:val="22"/>
          <w:lang w:val="es-ES_tradnl"/>
        </w:rPr>
        <w:t xml:space="preserve"> </w:t>
      </w:r>
      <w:r w:rsidRPr="00325B05">
        <w:rPr>
          <w:rFonts w:ascii="Arial" w:eastAsia="Calibri" w:hAnsi="Arial" w:cs="Arial"/>
          <w:b/>
          <w:color w:val="000000" w:themeColor="text1"/>
          <w:sz w:val="22"/>
          <w:lang w:val="es-ES_tradnl"/>
        </w:rPr>
        <w:t>– Artículo 35 – Acreditación</w:t>
      </w:r>
    </w:p>
    <w:p w14:paraId="4D9EB4C1" w14:textId="20D03020" w:rsidR="00D73881" w:rsidRPr="00325B05" w:rsidRDefault="00D73881" w:rsidP="00B95C30">
      <w:pPr>
        <w:spacing w:line="276" w:lineRule="auto"/>
        <w:jc w:val="both"/>
        <w:rPr>
          <w:rFonts w:ascii="Arial" w:hAnsi="Arial" w:cs="Arial"/>
          <w:noProof/>
          <w:color w:val="000000" w:themeColor="text1"/>
          <w:sz w:val="22"/>
          <w:lang w:val="es-ES_tradnl"/>
        </w:rPr>
      </w:pPr>
    </w:p>
    <w:p w14:paraId="3AA310A3" w14:textId="77777777" w:rsidR="00B37E65" w:rsidRPr="00B37E65" w:rsidRDefault="00B37E65" w:rsidP="00B37E65">
      <w:pPr>
        <w:jc w:val="both"/>
        <w:rPr>
          <w:rFonts w:ascii="Arial" w:eastAsia="Calibri" w:hAnsi="Arial" w:cs="Arial"/>
          <w:color w:val="000000" w:themeColor="text1"/>
          <w:sz w:val="20"/>
          <w:szCs w:val="20"/>
          <w:lang w:val="es-ES_tradnl"/>
        </w:rPr>
      </w:pPr>
      <w:r w:rsidRPr="00B37E65">
        <w:rPr>
          <w:rFonts w:ascii="Arial" w:eastAsia="Calibri" w:hAnsi="Arial" w:cs="Arial"/>
          <w:color w:val="000000" w:themeColor="text1"/>
          <w:sz w:val="20"/>
          <w:szCs w:val="20"/>
          <w:lang w:val="es-ES_tradnl"/>
        </w:rPr>
        <w:t xml:space="preserve">Los numerales del artículo 35 de la Ley 2069 de 2020 no establecen un medio específico para acreditar las circunstancias a las que se refieren. Por lo tanto, corresponde a la entidad contratante </w:t>
      </w:r>
      <w:r w:rsidRPr="00B37E65">
        <w:rPr>
          <w:rFonts w:ascii="Arial" w:eastAsia="Calibri" w:hAnsi="Arial" w:cs="Arial"/>
          <w:color w:val="000000" w:themeColor="text1"/>
          <w:sz w:val="20"/>
          <w:szCs w:val="20"/>
          <w:lang w:val="es-ES_tradnl"/>
        </w:rPr>
        <w:lastRenderedPageBreak/>
        <w:t>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5B078637" w14:textId="77777777" w:rsidR="00B167C8" w:rsidRPr="00325B05" w:rsidRDefault="00B167C8" w:rsidP="00B95C30">
      <w:pPr>
        <w:spacing w:line="276" w:lineRule="auto"/>
        <w:jc w:val="both"/>
        <w:rPr>
          <w:rFonts w:ascii="Arial" w:hAnsi="Arial" w:cs="Arial"/>
          <w:noProof/>
          <w:color w:val="000000" w:themeColor="text1"/>
          <w:sz w:val="22"/>
          <w:lang w:val="es-ES_tradnl"/>
        </w:rPr>
      </w:pPr>
    </w:p>
    <w:p w14:paraId="13C27EB7" w14:textId="77777777" w:rsidR="00B167C8" w:rsidRPr="00325B05" w:rsidRDefault="00B167C8" w:rsidP="00B95C30">
      <w:pPr>
        <w:spacing w:line="276" w:lineRule="auto"/>
        <w:jc w:val="both"/>
        <w:rPr>
          <w:rFonts w:ascii="Arial" w:hAnsi="Arial" w:cs="Arial"/>
          <w:noProof/>
          <w:color w:val="000000" w:themeColor="text1"/>
          <w:sz w:val="22"/>
          <w:lang w:val="es-ES_tradnl"/>
        </w:rPr>
      </w:pPr>
    </w:p>
    <w:p w14:paraId="0AB212D3" w14:textId="77777777" w:rsidR="00B167C8" w:rsidRPr="00325B05" w:rsidRDefault="00B167C8" w:rsidP="00B95C30">
      <w:pPr>
        <w:spacing w:line="276" w:lineRule="auto"/>
        <w:jc w:val="both"/>
        <w:rPr>
          <w:rFonts w:ascii="Arial" w:hAnsi="Arial" w:cs="Arial"/>
          <w:noProof/>
          <w:color w:val="000000" w:themeColor="text1"/>
          <w:sz w:val="22"/>
          <w:lang w:val="es-ES_tradnl"/>
        </w:rPr>
      </w:pPr>
    </w:p>
    <w:p w14:paraId="5B23BC21" w14:textId="77777777" w:rsidR="00B167C8" w:rsidRPr="00325B05" w:rsidRDefault="00B167C8" w:rsidP="00B95C30">
      <w:pPr>
        <w:spacing w:line="276" w:lineRule="auto"/>
        <w:jc w:val="both"/>
        <w:rPr>
          <w:rFonts w:ascii="Arial" w:hAnsi="Arial" w:cs="Arial"/>
          <w:noProof/>
          <w:color w:val="000000" w:themeColor="text1"/>
          <w:sz w:val="22"/>
          <w:lang w:val="es-ES_tradnl"/>
        </w:rPr>
      </w:pPr>
    </w:p>
    <w:p w14:paraId="47C05A37" w14:textId="1069F92E" w:rsidR="00F53F4F" w:rsidRPr="00325B05" w:rsidRDefault="00F53F4F" w:rsidP="00B95C30">
      <w:pPr>
        <w:spacing w:line="276" w:lineRule="auto"/>
        <w:jc w:val="both"/>
        <w:rPr>
          <w:rFonts w:ascii="Arial" w:hAnsi="Arial" w:cs="Arial"/>
          <w:noProof/>
          <w:color w:val="000000" w:themeColor="text1"/>
          <w:sz w:val="22"/>
          <w:lang w:val="es-ES_tradnl"/>
        </w:rPr>
      </w:pPr>
    </w:p>
    <w:p w14:paraId="4C890ADD" w14:textId="4072A01E" w:rsidR="00160C01" w:rsidRPr="00325B05" w:rsidRDefault="00160C01" w:rsidP="00B95C30">
      <w:pPr>
        <w:spacing w:line="276" w:lineRule="auto"/>
        <w:jc w:val="both"/>
        <w:rPr>
          <w:rFonts w:ascii="Arial" w:hAnsi="Arial" w:cs="Arial"/>
          <w:noProof/>
          <w:color w:val="000000" w:themeColor="text1"/>
          <w:sz w:val="22"/>
          <w:lang w:val="es-ES_tradnl"/>
        </w:rPr>
      </w:pPr>
    </w:p>
    <w:p w14:paraId="087584F4" w14:textId="1F7A4741" w:rsidR="00160C01" w:rsidRPr="00325B05" w:rsidRDefault="00160C01" w:rsidP="00B95C30">
      <w:pPr>
        <w:spacing w:line="276" w:lineRule="auto"/>
        <w:jc w:val="both"/>
        <w:rPr>
          <w:rFonts w:ascii="Arial" w:hAnsi="Arial" w:cs="Arial"/>
          <w:noProof/>
          <w:color w:val="000000" w:themeColor="text1"/>
          <w:sz w:val="22"/>
          <w:lang w:val="es-ES_tradnl"/>
        </w:rPr>
      </w:pPr>
    </w:p>
    <w:p w14:paraId="310C4E73" w14:textId="402A5058" w:rsidR="00160C01" w:rsidRPr="00325B05" w:rsidRDefault="00160C01" w:rsidP="00B95C30">
      <w:pPr>
        <w:spacing w:line="276" w:lineRule="auto"/>
        <w:jc w:val="both"/>
        <w:rPr>
          <w:rFonts w:ascii="Arial" w:hAnsi="Arial" w:cs="Arial"/>
          <w:noProof/>
          <w:color w:val="000000" w:themeColor="text1"/>
          <w:sz w:val="22"/>
          <w:lang w:val="es-ES_tradnl"/>
        </w:rPr>
      </w:pPr>
    </w:p>
    <w:p w14:paraId="32590D25" w14:textId="1D5A21BB" w:rsidR="00160C01" w:rsidRPr="00325B05" w:rsidRDefault="00160C01" w:rsidP="00B95C30">
      <w:pPr>
        <w:spacing w:line="276" w:lineRule="auto"/>
        <w:jc w:val="both"/>
        <w:rPr>
          <w:rFonts w:ascii="Arial" w:hAnsi="Arial" w:cs="Arial"/>
          <w:noProof/>
          <w:color w:val="000000" w:themeColor="text1"/>
          <w:sz w:val="22"/>
          <w:lang w:val="es-ES_tradnl"/>
        </w:rPr>
      </w:pPr>
    </w:p>
    <w:p w14:paraId="25CCBBE2" w14:textId="3A508260" w:rsidR="00160C01" w:rsidRPr="00325B05" w:rsidRDefault="00160C01" w:rsidP="00B95C30">
      <w:pPr>
        <w:spacing w:line="276" w:lineRule="auto"/>
        <w:jc w:val="both"/>
        <w:rPr>
          <w:rFonts w:ascii="Arial" w:hAnsi="Arial" w:cs="Arial"/>
          <w:noProof/>
          <w:color w:val="000000" w:themeColor="text1"/>
          <w:sz w:val="22"/>
          <w:lang w:val="es-ES_tradnl"/>
        </w:rPr>
      </w:pPr>
    </w:p>
    <w:p w14:paraId="3DA67C56" w14:textId="77777777" w:rsidR="00160C01" w:rsidRPr="00325B05" w:rsidRDefault="00160C01" w:rsidP="00B95C30">
      <w:pPr>
        <w:spacing w:line="276" w:lineRule="auto"/>
        <w:jc w:val="both"/>
        <w:rPr>
          <w:rFonts w:ascii="Arial" w:hAnsi="Arial" w:cs="Arial"/>
          <w:noProof/>
          <w:color w:val="000000" w:themeColor="text1"/>
          <w:sz w:val="22"/>
          <w:lang w:val="es-ES_tradnl"/>
        </w:rPr>
      </w:pPr>
    </w:p>
    <w:p w14:paraId="12A9C41A" w14:textId="77777777" w:rsidR="00F53F4F" w:rsidRPr="00325B05" w:rsidRDefault="00F53F4F" w:rsidP="00B95C30">
      <w:pPr>
        <w:spacing w:line="276" w:lineRule="auto"/>
        <w:jc w:val="both"/>
        <w:rPr>
          <w:rFonts w:ascii="Arial" w:hAnsi="Arial" w:cs="Arial"/>
          <w:noProof/>
          <w:color w:val="000000" w:themeColor="text1"/>
          <w:sz w:val="22"/>
          <w:lang w:val="es-ES_tradnl"/>
        </w:rPr>
      </w:pPr>
    </w:p>
    <w:p w14:paraId="4656B165"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66FE663B"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743C273C"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7A8FF912"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11C0CED8"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27401B6D"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1315AA73"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391143F9"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77615FFD"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074AECAC"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49960E0B"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16EDCA5E"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3223EF74"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27C4CE6D"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00F16F80"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0122D04E"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58DEACE6"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03EDBD31"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095ECC05"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7908CE12"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7EC72D14" w14:textId="77777777" w:rsidR="00D96E12" w:rsidRPr="00325B05" w:rsidRDefault="00D96E12" w:rsidP="00B95C30">
      <w:pPr>
        <w:spacing w:line="276" w:lineRule="auto"/>
        <w:jc w:val="both"/>
        <w:rPr>
          <w:rFonts w:ascii="Arial" w:hAnsi="Arial" w:cs="Arial"/>
          <w:noProof/>
          <w:color w:val="000000" w:themeColor="text1"/>
          <w:sz w:val="22"/>
          <w:lang w:val="es-ES_tradnl"/>
        </w:rPr>
      </w:pPr>
    </w:p>
    <w:p w14:paraId="7DD48F49" w14:textId="5747B71D" w:rsidR="00B95C30" w:rsidRPr="00325B05" w:rsidRDefault="00B95C30" w:rsidP="00B95C30">
      <w:pPr>
        <w:spacing w:line="276" w:lineRule="auto"/>
        <w:jc w:val="both"/>
        <w:rPr>
          <w:rFonts w:ascii="Arial" w:hAnsi="Arial" w:cs="Arial"/>
          <w:b/>
          <w:bCs/>
          <w:noProof/>
          <w:color w:val="000000" w:themeColor="text1"/>
          <w:sz w:val="22"/>
          <w:lang w:val="es-ES_tradnl"/>
        </w:rPr>
      </w:pPr>
      <w:r w:rsidRPr="00325B05">
        <w:rPr>
          <w:rFonts w:ascii="Arial" w:hAnsi="Arial" w:cs="Arial"/>
          <w:noProof/>
          <w:color w:val="000000" w:themeColor="text1"/>
          <w:sz w:val="22"/>
          <w:lang w:val="es-ES_tradnl"/>
        </w:rPr>
        <w:t xml:space="preserve">Bogotá D.C., </w:t>
      </w:r>
      <w:r w:rsidR="00535714">
        <w:rPr>
          <w:rFonts w:ascii="Arial" w:hAnsi="Arial" w:cs="Arial"/>
          <w:b/>
          <w:bCs/>
          <w:noProof/>
          <w:color w:val="000000" w:themeColor="text1"/>
          <w:sz w:val="22"/>
          <w:lang w:val="es-ES_tradnl"/>
        </w:rPr>
        <w:t>12/03/</w:t>
      </w:r>
      <w:r w:rsidR="00D56E27">
        <w:rPr>
          <w:rFonts w:ascii="Arial" w:hAnsi="Arial" w:cs="Arial"/>
          <w:b/>
          <w:bCs/>
          <w:noProof/>
          <w:color w:val="000000" w:themeColor="text1"/>
          <w:sz w:val="22"/>
          <w:lang w:val="es-ES_tradnl"/>
        </w:rPr>
        <w:t>2021 08:17:09</w:t>
      </w:r>
    </w:p>
    <w:p w14:paraId="1F928DBD" w14:textId="77777777" w:rsidR="00F53F4F" w:rsidRPr="00325B05" w:rsidRDefault="00F53F4F" w:rsidP="00B95C30">
      <w:pPr>
        <w:spacing w:line="276" w:lineRule="auto"/>
        <w:jc w:val="both"/>
        <w:rPr>
          <w:rFonts w:ascii="Arial" w:eastAsia="Calibri" w:hAnsi="Arial" w:cs="Arial"/>
          <w:noProof/>
          <w:color w:val="000000" w:themeColor="text1"/>
          <w:sz w:val="22"/>
          <w:szCs w:val="22"/>
          <w:lang w:val="es-ES_tradnl"/>
        </w:rPr>
      </w:pPr>
    </w:p>
    <w:p w14:paraId="784449EB" w14:textId="26DCB71F" w:rsidR="00535714" w:rsidRPr="00535714" w:rsidRDefault="00535714" w:rsidP="00535714">
      <w:pPr>
        <w:jc w:val="right"/>
      </w:pPr>
      <w:r w:rsidRPr="00535714">
        <w:fldChar w:fldCharType="begin"/>
      </w:r>
      <w:r w:rsidRPr="00535714">
        <w:instrText xml:space="preserve"> INCLUDEPICTURE "/var/folders/5l/v1rdjm0x1x9416lmbj7_vjt40000gn/T/com.microsoft.Word/WebArchiveCopyPasteTempFiles/page1image3830656" \* MERGEFORMATINET </w:instrText>
      </w:r>
      <w:r w:rsidRPr="00535714">
        <w:fldChar w:fldCharType="separate"/>
      </w:r>
      <w:r w:rsidRPr="00535714">
        <w:rPr>
          <w:noProof/>
        </w:rPr>
        <w:drawing>
          <wp:inline distT="0" distB="0" distL="0" distR="0" wp14:anchorId="3EC0748E" wp14:editId="2838D1FE">
            <wp:extent cx="2397760" cy="612140"/>
            <wp:effectExtent l="0" t="0" r="2540" b="0"/>
            <wp:docPr id="4" name="Imagen 4" descr="page1image3830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8306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7760" cy="612140"/>
                    </a:xfrm>
                    <a:prstGeom prst="rect">
                      <a:avLst/>
                    </a:prstGeom>
                    <a:noFill/>
                    <a:ln>
                      <a:noFill/>
                    </a:ln>
                  </pic:spPr>
                </pic:pic>
              </a:graphicData>
            </a:graphic>
          </wp:inline>
        </w:drawing>
      </w:r>
      <w:r w:rsidRPr="00535714">
        <w:fldChar w:fldCharType="end"/>
      </w:r>
    </w:p>
    <w:p w14:paraId="6A8A869B" w14:textId="514D7C5B" w:rsidR="00B95C30" w:rsidRPr="00325B05" w:rsidRDefault="00B95C30" w:rsidP="00B95C30">
      <w:pPr>
        <w:jc w:val="both"/>
        <w:rPr>
          <w:rFonts w:ascii="Arial" w:hAnsi="Arial" w:cs="Arial"/>
          <w:b/>
          <w:color w:val="000000" w:themeColor="text1"/>
          <w:sz w:val="22"/>
          <w:lang w:val="es-ES_tradnl"/>
        </w:rPr>
      </w:pPr>
    </w:p>
    <w:p w14:paraId="24A88D3F" w14:textId="77777777" w:rsidR="00F53F4F" w:rsidRPr="00325B05" w:rsidRDefault="00F53F4F" w:rsidP="00B95C30">
      <w:pPr>
        <w:jc w:val="both"/>
        <w:rPr>
          <w:rFonts w:ascii="Arial" w:hAnsi="Arial" w:cs="Arial"/>
          <w:b/>
          <w:color w:val="000000" w:themeColor="text1"/>
          <w:sz w:val="22"/>
          <w:lang w:val="es-ES_tradnl"/>
        </w:rPr>
      </w:pPr>
    </w:p>
    <w:p w14:paraId="5F5AE9EF" w14:textId="32E4063D" w:rsidR="00B95C30" w:rsidRPr="00325B05" w:rsidRDefault="00BE4FBF" w:rsidP="00B95C30">
      <w:pPr>
        <w:jc w:val="both"/>
        <w:rPr>
          <w:rFonts w:ascii="Arial" w:eastAsia="Calibri" w:hAnsi="Arial" w:cs="Arial"/>
          <w:color w:val="000000" w:themeColor="text1"/>
          <w:sz w:val="22"/>
          <w:lang w:val="es-ES_tradnl"/>
        </w:rPr>
      </w:pPr>
      <w:r w:rsidRPr="00325B05">
        <w:rPr>
          <w:rFonts w:ascii="Arial" w:eastAsia="Calibri" w:hAnsi="Arial" w:cs="Arial"/>
          <w:color w:val="000000" w:themeColor="text1"/>
          <w:sz w:val="22"/>
          <w:lang w:val="es-ES_tradnl"/>
        </w:rPr>
        <w:t>Señor</w:t>
      </w:r>
      <w:r w:rsidR="008B4668" w:rsidRPr="00325B05">
        <w:rPr>
          <w:rFonts w:ascii="Arial" w:eastAsia="Calibri" w:hAnsi="Arial" w:cs="Arial"/>
          <w:color w:val="000000" w:themeColor="text1"/>
          <w:sz w:val="22"/>
          <w:lang w:val="es-ES_tradnl"/>
        </w:rPr>
        <w:t>a</w:t>
      </w:r>
    </w:p>
    <w:p w14:paraId="0D495FF0" w14:textId="77777777" w:rsidR="008B4668" w:rsidRPr="00325B05" w:rsidRDefault="008B4668" w:rsidP="008B4668">
      <w:pPr>
        <w:jc w:val="both"/>
        <w:rPr>
          <w:rFonts w:ascii="Arial" w:eastAsia="Calibri" w:hAnsi="Arial" w:cs="Arial"/>
          <w:b/>
          <w:color w:val="000000" w:themeColor="text1"/>
          <w:sz w:val="22"/>
          <w:lang w:val="es-ES_tradnl"/>
        </w:rPr>
      </w:pPr>
      <w:r w:rsidRPr="00325B05">
        <w:rPr>
          <w:rFonts w:ascii="Arial" w:eastAsia="Calibri" w:hAnsi="Arial" w:cs="Arial"/>
          <w:b/>
          <w:color w:val="000000" w:themeColor="text1"/>
          <w:sz w:val="22"/>
          <w:lang w:val="es-ES_tradnl"/>
        </w:rPr>
        <w:t>Mariana Triana Ortiz</w:t>
      </w:r>
    </w:p>
    <w:p w14:paraId="09D4AEA8" w14:textId="658189A9" w:rsidR="00B95C30" w:rsidRPr="00325B05" w:rsidRDefault="00716BB0" w:rsidP="00B95C30">
      <w:pPr>
        <w:jc w:val="both"/>
        <w:rPr>
          <w:rFonts w:ascii="Arial" w:eastAsia="Calibri" w:hAnsi="Arial" w:cs="Arial"/>
          <w:color w:val="000000" w:themeColor="text1"/>
          <w:sz w:val="22"/>
          <w:lang w:val="es-ES_tradnl"/>
        </w:rPr>
      </w:pPr>
      <w:r w:rsidRPr="00325B05">
        <w:rPr>
          <w:rFonts w:ascii="Arial" w:eastAsia="Calibri" w:hAnsi="Arial" w:cs="Arial"/>
          <w:color w:val="000000" w:themeColor="text1"/>
          <w:sz w:val="22"/>
          <w:lang w:val="es-ES_tradnl"/>
        </w:rPr>
        <w:t>Bogotá D.C.</w:t>
      </w:r>
    </w:p>
    <w:p w14:paraId="3B584A57" w14:textId="4528CA3D" w:rsidR="00F53F4F" w:rsidRPr="00325B05" w:rsidRDefault="00F53F4F" w:rsidP="00B95C30">
      <w:pPr>
        <w:jc w:val="both"/>
        <w:rPr>
          <w:rFonts w:ascii="Arial" w:eastAsia="Calibri" w:hAnsi="Arial" w:cs="Arial"/>
          <w:color w:val="000000" w:themeColor="text1"/>
          <w:sz w:val="22"/>
          <w:lang w:val="es-ES_tradnl"/>
        </w:rPr>
      </w:pPr>
    </w:p>
    <w:p w14:paraId="48E36FCF" w14:textId="77777777" w:rsidR="00F53F4F" w:rsidRPr="00325B05" w:rsidRDefault="00F53F4F" w:rsidP="00B95C30">
      <w:pPr>
        <w:jc w:val="both"/>
        <w:rPr>
          <w:rFonts w:ascii="Arial" w:eastAsia="Calibri" w:hAnsi="Arial" w:cs="Arial"/>
          <w:color w:val="000000" w:themeColor="text1"/>
          <w:sz w:val="22"/>
          <w:lang w:val="es-ES_tradnl"/>
        </w:rPr>
      </w:pPr>
    </w:p>
    <w:p w14:paraId="12E66182" w14:textId="2731115B" w:rsidR="00B95C30" w:rsidRPr="00325B05" w:rsidRDefault="00F53F4F" w:rsidP="001D6CD2">
      <w:pPr>
        <w:rPr>
          <w:rFonts w:ascii="Arial" w:eastAsia="Calibri" w:hAnsi="Arial" w:cs="Arial"/>
          <w:b/>
          <w:bCs/>
          <w:color w:val="000000" w:themeColor="text1"/>
          <w:sz w:val="22"/>
          <w:lang w:val="es-ES_tradnl"/>
        </w:rPr>
      </w:pPr>
      <w:r w:rsidRPr="00325B05">
        <w:rPr>
          <w:rFonts w:ascii="Arial" w:eastAsia="Calibri" w:hAnsi="Arial" w:cs="Arial"/>
          <w:b/>
          <w:bCs/>
          <w:color w:val="000000" w:themeColor="text1"/>
          <w:sz w:val="22"/>
          <w:lang w:val="es-ES_tradnl"/>
        </w:rPr>
        <w:t xml:space="preserve">                                            </w:t>
      </w:r>
      <w:r w:rsidR="00B95C30" w:rsidRPr="00325B05">
        <w:rPr>
          <w:rFonts w:ascii="Arial" w:eastAsia="Calibri" w:hAnsi="Arial" w:cs="Arial"/>
          <w:b/>
          <w:bCs/>
          <w:color w:val="000000" w:themeColor="text1"/>
          <w:sz w:val="22"/>
          <w:lang w:val="es-ES_tradnl"/>
        </w:rPr>
        <w:t xml:space="preserve">Concepto C ‒ </w:t>
      </w:r>
      <w:r w:rsidR="00983D75" w:rsidRPr="00325B05">
        <w:rPr>
          <w:rFonts w:ascii="Arial" w:eastAsia="Calibri" w:hAnsi="Arial" w:cs="Arial"/>
          <w:b/>
          <w:bCs/>
          <w:color w:val="000000" w:themeColor="text1"/>
          <w:sz w:val="22"/>
          <w:lang w:val="es-ES_tradnl"/>
        </w:rPr>
        <w:t>069</w:t>
      </w:r>
      <w:r w:rsidR="00B95C30" w:rsidRPr="00325B05">
        <w:rPr>
          <w:rFonts w:ascii="Arial" w:eastAsia="Calibri" w:hAnsi="Arial" w:cs="Arial"/>
          <w:b/>
          <w:bCs/>
          <w:color w:val="000000" w:themeColor="text1"/>
          <w:sz w:val="22"/>
          <w:lang w:val="es-ES_tradnl"/>
        </w:rPr>
        <w:t xml:space="preserve"> de 202</w:t>
      </w:r>
      <w:r w:rsidR="005E781C" w:rsidRPr="00325B05">
        <w:rPr>
          <w:rFonts w:ascii="Arial" w:eastAsia="Calibri" w:hAnsi="Arial" w:cs="Arial"/>
          <w:b/>
          <w:bCs/>
          <w:color w:val="000000" w:themeColor="text1"/>
          <w:sz w:val="22"/>
          <w:lang w:val="es-ES_tradnl"/>
        </w:rPr>
        <w:t>1</w:t>
      </w:r>
    </w:p>
    <w:p w14:paraId="1BD594F9" w14:textId="77777777" w:rsidR="00B95C30" w:rsidRPr="00325B05"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325B05" w14:paraId="19DFC051" w14:textId="77777777" w:rsidTr="008F4163">
        <w:tc>
          <w:tcPr>
            <w:tcW w:w="2689" w:type="dxa"/>
          </w:tcPr>
          <w:p w14:paraId="6BC0D1AC" w14:textId="77777777" w:rsidR="00B95C30" w:rsidRPr="00325B05" w:rsidRDefault="00B95C30" w:rsidP="008F4163">
            <w:pPr>
              <w:jc w:val="both"/>
              <w:rPr>
                <w:rFonts w:ascii="Arial" w:eastAsia="Calibri" w:hAnsi="Arial" w:cs="Arial"/>
                <w:color w:val="000000" w:themeColor="text1"/>
                <w:sz w:val="22"/>
                <w:lang w:val="es-ES_tradnl"/>
              </w:rPr>
            </w:pPr>
            <w:r w:rsidRPr="00325B05">
              <w:rPr>
                <w:rFonts w:ascii="Arial" w:eastAsia="Calibri" w:hAnsi="Arial" w:cs="Arial"/>
                <w:b/>
                <w:color w:val="000000" w:themeColor="text1"/>
                <w:sz w:val="22"/>
                <w:lang w:val="es-ES_tradnl"/>
              </w:rPr>
              <w:t>Temas:</w:t>
            </w:r>
            <w:r w:rsidRPr="00325B05">
              <w:rPr>
                <w:rFonts w:ascii="Arial" w:eastAsia="Calibri" w:hAnsi="Arial" w:cs="Arial"/>
                <w:color w:val="000000" w:themeColor="text1"/>
                <w:sz w:val="22"/>
                <w:lang w:val="es-ES_tradnl"/>
              </w:rPr>
              <w:t xml:space="preserve">                                      </w:t>
            </w:r>
          </w:p>
        </w:tc>
        <w:tc>
          <w:tcPr>
            <w:tcW w:w="6237" w:type="dxa"/>
          </w:tcPr>
          <w:p w14:paraId="5F389CAF" w14:textId="49C378E8" w:rsidR="00B95C30" w:rsidRPr="00325B05" w:rsidRDefault="000578FF" w:rsidP="008F4163">
            <w:pPr>
              <w:jc w:val="both"/>
              <w:rPr>
                <w:rFonts w:ascii="Arial" w:eastAsia="Calibri" w:hAnsi="Arial" w:cs="Arial"/>
                <w:color w:val="000000" w:themeColor="text1"/>
                <w:sz w:val="22"/>
                <w:lang w:val="es-ES_tradnl"/>
              </w:rPr>
            </w:pPr>
            <w:r w:rsidRPr="00325B05">
              <w:rPr>
                <w:rFonts w:ascii="Arial" w:eastAsia="Calibri" w:hAnsi="Arial" w:cs="Arial"/>
                <w:bCs/>
                <w:sz w:val="22"/>
                <w:lang w:val="es-ES_tradnl"/>
              </w:rPr>
              <w:t xml:space="preserve">LEY DE EMPRENDIMIENTO – Ley </w:t>
            </w:r>
            <w:r w:rsidR="001F0325" w:rsidRPr="00325B05">
              <w:rPr>
                <w:rFonts w:ascii="Arial" w:eastAsia="Calibri" w:hAnsi="Arial" w:cs="Arial"/>
                <w:bCs/>
                <w:sz w:val="22"/>
                <w:lang w:val="es-ES_tradnl"/>
              </w:rPr>
              <w:t>2069</w:t>
            </w:r>
            <w:r w:rsidRPr="00325B05">
              <w:rPr>
                <w:rFonts w:ascii="Arial" w:eastAsia="Calibri" w:hAnsi="Arial" w:cs="Arial"/>
                <w:bCs/>
                <w:sz w:val="22"/>
                <w:lang w:val="es-ES_tradnl"/>
              </w:rPr>
              <w:t xml:space="preserve"> de 2020 – Vigencia </w:t>
            </w:r>
            <w:r w:rsidR="00B95C30" w:rsidRPr="00325B05">
              <w:rPr>
                <w:rFonts w:ascii="Arial" w:eastAsia="Calibri" w:hAnsi="Arial" w:cs="Arial"/>
                <w:bCs/>
                <w:sz w:val="22"/>
                <w:lang w:val="es-ES_tradnl"/>
              </w:rPr>
              <w:t>/</w:t>
            </w:r>
            <w:r w:rsidR="008B63FE" w:rsidRPr="00325B05">
              <w:rPr>
                <w:rFonts w:ascii="Arial" w:eastAsia="Calibri" w:hAnsi="Arial" w:cs="Arial"/>
                <w:bCs/>
                <w:sz w:val="22"/>
                <w:lang w:val="es-ES_tradnl"/>
              </w:rPr>
              <w:t xml:space="preserve"> </w:t>
            </w:r>
            <w:r w:rsidRPr="00325B05">
              <w:rPr>
                <w:rFonts w:ascii="Arial" w:eastAsia="Calibri" w:hAnsi="Arial" w:cs="Arial"/>
                <w:bCs/>
                <w:sz w:val="22"/>
                <w:lang w:val="es-ES_tradnl"/>
              </w:rPr>
              <w:t xml:space="preserve">MIPYMES – Ley </w:t>
            </w:r>
            <w:r w:rsidR="001F0325" w:rsidRPr="00325B05">
              <w:rPr>
                <w:rFonts w:ascii="Arial" w:eastAsia="Calibri" w:hAnsi="Arial" w:cs="Arial"/>
                <w:bCs/>
                <w:sz w:val="22"/>
                <w:lang w:val="es-ES_tradnl"/>
              </w:rPr>
              <w:t>2069</w:t>
            </w:r>
            <w:r w:rsidRPr="00325B05">
              <w:rPr>
                <w:rFonts w:ascii="Arial" w:eastAsia="Calibri" w:hAnsi="Arial" w:cs="Arial"/>
                <w:bCs/>
                <w:sz w:val="22"/>
                <w:lang w:val="es-ES_tradnl"/>
              </w:rPr>
              <w:t xml:space="preserve"> – Artículo 34 – Convocatorias limitadas – </w:t>
            </w:r>
            <w:r w:rsidR="009220F6" w:rsidRPr="00325B05">
              <w:rPr>
                <w:rFonts w:ascii="Arial" w:eastAsia="Calibri" w:hAnsi="Arial" w:cs="Arial"/>
                <w:bCs/>
                <w:sz w:val="22"/>
                <w:lang w:val="es-ES_tradnl"/>
              </w:rPr>
              <w:t>Vigencia</w:t>
            </w:r>
            <w:r w:rsidRPr="00325B05">
              <w:rPr>
                <w:rFonts w:ascii="Arial" w:eastAsia="Calibri" w:hAnsi="Arial" w:cs="Arial"/>
                <w:bCs/>
                <w:sz w:val="22"/>
                <w:lang w:val="es-ES_tradnl"/>
              </w:rPr>
              <w:t xml:space="preserve"> </w:t>
            </w:r>
            <w:r w:rsidR="008B63FE" w:rsidRPr="00325B05">
              <w:rPr>
                <w:rFonts w:ascii="Arial" w:eastAsia="Calibri" w:hAnsi="Arial" w:cs="Arial"/>
                <w:bCs/>
                <w:sz w:val="22"/>
                <w:lang w:val="es-ES_tradnl"/>
              </w:rPr>
              <w:t xml:space="preserve">/ </w:t>
            </w:r>
            <w:r w:rsidRPr="00325B05">
              <w:rPr>
                <w:rFonts w:ascii="Arial" w:eastAsia="Calibri" w:hAnsi="Arial" w:cs="Arial"/>
                <w:bCs/>
                <w:sz w:val="22"/>
                <w:lang w:val="es-ES_tradnl"/>
              </w:rPr>
              <w:t>SELECCIÓN OBJETIVA – Contratación estatal – Concepto</w:t>
            </w:r>
            <w:r w:rsidR="008B63FE" w:rsidRPr="00325B05">
              <w:rPr>
                <w:rFonts w:ascii="Arial" w:eastAsia="Calibri" w:hAnsi="Arial" w:cs="Arial"/>
                <w:bCs/>
                <w:sz w:val="22"/>
                <w:lang w:val="es-ES_tradnl"/>
              </w:rPr>
              <w:t xml:space="preserve"> / </w:t>
            </w:r>
            <w:r w:rsidR="00AD5740" w:rsidRPr="00325B05">
              <w:rPr>
                <w:rFonts w:ascii="Arial" w:eastAsia="Calibri" w:hAnsi="Arial" w:cs="Arial"/>
                <w:bCs/>
                <w:sz w:val="22"/>
                <w:lang w:val="es-ES_tradnl"/>
              </w:rPr>
              <w:t>EMPATE – Procedimiento de selección – Concepto</w:t>
            </w:r>
            <w:r w:rsidR="008B63FE" w:rsidRPr="00325B05">
              <w:rPr>
                <w:rFonts w:ascii="Arial" w:eastAsia="Calibri" w:hAnsi="Arial" w:cs="Arial"/>
                <w:bCs/>
                <w:sz w:val="22"/>
                <w:lang w:val="es-ES_tradnl"/>
              </w:rPr>
              <w:t xml:space="preserve"> / </w:t>
            </w:r>
            <w:r w:rsidR="00AD5740" w:rsidRPr="00325B05">
              <w:rPr>
                <w:rFonts w:ascii="Arial" w:eastAsia="Calibri" w:hAnsi="Arial" w:cs="Arial"/>
                <w:bCs/>
                <w:sz w:val="22"/>
                <w:lang w:val="es-ES_tradnl"/>
              </w:rPr>
              <w:t xml:space="preserve">FACTORES DE DESEMPATE – Características – Límites / FACTORES DE DESEMPATE – Ley </w:t>
            </w:r>
            <w:r w:rsidR="001F0325" w:rsidRPr="00325B05">
              <w:rPr>
                <w:rFonts w:ascii="Arial" w:eastAsia="Calibri" w:hAnsi="Arial" w:cs="Arial"/>
                <w:bCs/>
                <w:sz w:val="22"/>
                <w:lang w:val="es-ES_tradnl"/>
              </w:rPr>
              <w:t>2069</w:t>
            </w:r>
            <w:r w:rsidR="00AD5740" w:rsidRPr="00325B05">
              <w:rPr>
                <w:rFonts w:ascii="Arial" w:eastAsia="Calibri" w:hAnsi="Arial" w:cs="Arial"/>
                <w:bCs/>
                <w:sz w:val="22"/>
                <w:lang w:val="es-ES_tradnl"/>
              </w:rPr>
              <w:t xml:space="preserve"> – Artículo 35 – Acreditación</w:t>
            </w:r>
            <w:r w:rsidR="00B95C30" w:rsidRPr="00325B05">
              <w:rPr>
                <w:rFonts w:ascii="Arial" w:eastAsia="Arial" w:hAnsi="Arial" w:cs="Arial"/>
                <w:sz w:val="22"/>
                <w:lang w:val="es-ES_tradnl"/>
              </w:rPr>
              <w:t>.</w:t>
            </w:r>
          </w:p>
        </w:tc>
      </w:tr>
      <w:tr w:rsidR="00B95C30" w:rsidRPr="00325B05" w14:paraId="27CD52AB" w14:textId="77777777" w:rsidTr="008F4163">
        <w:tc>
          <w:tcPr>
            <w:tcW w:w="2689" w:type="dxa"/>
          </w:tcPr>
          <w:p w14:paraId="37E195A1" w14:textId="1BA218D5" w:rsidR="00B95C30" w:rsidRPr="00325B05" w:rsidRDefault="00B95C30" w:rsidP="008F4163">
            <w:pPr>
              <w:spacing w:before="120"/>
              <w:jc w:val="both"/>
              <w:rPr>
                <w:rFonts w:ascii="Arial" w:eastAsia="Calibri" w:hAnsi="Arial" w:cs="Arial"/>
                <w:b/>
                <w:color w:val="000000" w:themeColor="text1"/>
                <w:sz w:val="22"/>
                <w:lang w:val="es-ES_tradnl"/>
              </w:rPr>
            </w:pPr>
            <w:r w:rsidRPr="00325B05">
              <w:rPr>
                <w:rFonts w:ascii="Arial" w:eastAsia="Calibri" w:hAnsi="Arial" w:cs="Arial"/>
                <w:b/>
                <w:color w:val="000000" w:themeColor="text1"/>
                <w:sz w:val="22"/>
                <w:lang w:val="es-ES_tradnl"/>
              </w:rPr>
              <w:t>Radicación:</w:t>
            </w:r>
            <w:r w:rsidRPr="00325B05">
              <w:rPr>
                <w:rFonts w:ascii="Arial" w:eastAsia="Calibri" w:hAnsi="Arial" w:cs="Arial"/>
                <w:color w:val="000000" w:themeColor="text1"/>
                <w:sz w:val="22"/>
                <w:lang w:val="es-ES_tradnl"/>
              </w:rPr>
              <w:t xml:space="preserve">                              </w:t>
            </w:r>
          </w:p>
        </w:tc>
        <w:tc>
          <w:tcPr>
            <w:tcW w:w="6237" w:type="dxa"/>
          </w:tcPr>
          <w:p w14:paraId="09088B1B" w14:textId="4889B511" w:rsidR="00B95C30" w:rsidRPr="00325B05" w:rsidRDefault="00B95C30" w:rsidP="008F4163">
            <w:pPr>
              <w:spacing w:before="120"/>
              <w:jc w:val="both"/>
              <w:rPr>
                <w:rFonts w:ascii="Arial" w:eastAsia="Calibri" w:hAnsi="Arial" w:cs="Arial"/>
                <w:color w:val="000000" w:themeColor="text1"/>
                <w:sz w:val="22"/>
                <w:lang w:val="es-ES_tradnl"/>
              </w:rPr>
            </w:pPr>
            <w:r w:rsidRPr="00325B05">
              <w:rPr>
                <w:rFonts w:ascii="Arial" w:eastAsia="Calibri" w:hAnsi="Arial" w:cs="Arial"/>
                <w:color w:val="000000" w:themeColor="text1"/>
                <w:sz w:val="22"/>
                <w:lang w:val="es-ES_tradnl"/>
              </w:rPr>
              <w:t xml:space="preserve">Respuesta a consulta # </w:t>
            </w:r>
            <w:r w:rsidR="002C1D61" w:rsidRPr="00325B05">
              <w:rPr>
                <w:rFonts w:ascii="Arial" w:eastAsia="Calibri" w:hAnsi="Arial" w:cs="Arial"/>
                <w:color w:val="000000" w:themeColor="text1"/>
                <w:sz w:val="22"/>
                <w:lang w:val="es-ES_tradnl"/>
              </w:rPr>
              <w:t>P20210202000829</w:t>
            </w:r>
          </w:p>
        </w:tc>
      </w:tr>
    </w:tbl>
    <w:p w14:paraId="61B55CA4" w14:textId="77777777" w:rsidR="00716BB0" w:rsidRPr="00325B05" w:rsidRDefault="00716BB0" w:rsidP="003C3339">
      <w:pPr>
        <w:jc w:val="both"/>
        <w:rPr>
          <w:rFonts w:ascii="Arial" w:eastAsia="Calibri" w:hAnsi="Arial" w:cs="Arial"/>
          <w:color w:val="000000" w:themeColor="text1"/>
          <w:sz w:val="22"/>
          <w:lang w:val="es-ES_tradnl"/>
        </w:rPr>
      </w:pPr>
    </w:p>
    <w:p w14:paraId="4B9B5156" w14:textId="77777777" w:rsidR="00716BB0" w:rsidRPr="00325B05" w:rsidRDefault="00716BB0" w:rsidP="003C3339">
      <w:pPr>
        <w:jc w:val="both"/>
        <w:rPr>
          <w:rFonts w:ascii="Arial" w:eastAsia="Calibri" w:hAnsi="Arial" w:cs="Arial"/>
          <w:color w:val="000000" w:themeColor="text1"/>
          <w:sz w:val="22"/>
          <w:lang w:val="es-ES_tradnl"/>
        </w:rPr>
      </w:pPr>
    </w:p>
    <w:p w14:paraId="1CF4AEA0" w14:textId="79F00570" w:rsidR="003C3339" w:rsidRPr="00325B05" w:rsidRDefault="003C3339" w:rsidP="003C3339">
      <w:pPr>
        <w:jc w:val="both"/>
        <w:rPr>
          <w:rFonts w:ascii="Arial" w:eastAsia="Calibri" w:hAnsi="Arial" w:cs="Arial"/>
          <w:color w:val="000000" w:themeColor="text1"/>
          <w:sz w:val="22"/>
          <w:lang w:val="es-ES_tradnl"/>
        </w:rPr>
      </w:pPr>
      <w:r w:rsidRPr="00325B05">
        <w:rPr>
          <w:rFonts w:ascii="Arial" w:eastAsia="Calibri" w:hAnsi="Arial" w:cs="Arial"/>
          <w:color w:val="000000" w:themeColor="text1"/>
          <w:sz w:val="22"/>
          <w:lang w:val="es-ES_tradnl"/>
        </w:rPr>
        <w:t>Estimad</w:t>
      </w:r>
      <w:r w:rsidR="003349E8" w:rsidRPr="00325B05">
        <w:rPr>
          <w:rFonts w:ascii="Arial" w:eastAsia="Calibri" w:hAnsi="Arial" w:cs="Arial"/>
          <w:color w:val="000000" w:themeColor="text1"/>
          <w:sz w:val="22"/>
          <w:lang w:val="es-ES_tradnl"/>
        </w:rPr>
        <w:t>a</w:t>
      </w:r>
      <w:r w:rsidRPr="00325B05">
        <w:rPr>
          <w:rFonts w:ascii="Arial" w:eastAsia="Calibri" w:hAnsi="Arial" w:cs="Arial"/>
          <w:color w:val="000000" w:themeColor="text1"/>
          <w:sz w:val="22"/>
          <w:lang w:val="es-ES_tradnl"/>
        </w:rPr>
        <w:t xml:space="preserve"> </w:t>
      </w:r>
      <w:r w:rsidR="0063732C" w:rsidRPr="00325B05">
        <w:rPr>
          <w:rFonts w:ascii="Arial" w:eastAsia="Calibri" w:hAnsi="Arial" w:cs="Arial"/>
          <w:color w:val="000000" w:themeColor="text1"/>
          <w:sz w:val="22"/>
          <w:lang w:val="es-ES_tradnl"/>
        </w:rPr>
        <w:t>señor</w:t>
      </w:r>
      <w:r w:rsidR="003349E8" w:rsidRPr="00325B05">
        <w:rPr>
          <w:rFonts w:ascii="Arial" w:eastAsia="Calibri" w:hAnsi="Arial" w:cs="Arial"/>
          <w:color w:val="000000" w:themeColor="text1"/>
          <w:sz w:val="22"/>
          <w:lang w:val="es-ES_tradnl"/>
        </w:rPr>
        <w:t>a</w:t>
      </w:r>
      <w:r w:rsidR="00BE4FBF" w:rsidRPr="00325B05">
        <w:rPr>
          <w:rFonts w:ascii="Arial" w:eastAsia="Calibri" w:hAnsi="Arial" w:cs="Arial"/>
          <w:color w:val="000000" w:themeColor="text1"/>
          <w:sz w:val="22"/>
          <w:lang w:val="es-ES_tradnl"/>
        </w:rPr>
        <w:t xml:space="preserve"> </w:t>
      </w:r>
      <w:r w:rsidR="003349E8" w:rsidRPr="00325B05">
        <w:rPr>
          <w:rFonts w:ascii="Arial" w:eastAsia="Calibri" w:hAnsi="Arial" w:cs="Arial"/>
          <w:color w:val="000000" w:themeColor="text1"/>
          <w:sz w:val="22"/>
          <w:lang w:val="es-ES_tradnl"/>
        </w:rPr>
        <w:t>Triana</w:t>
      </w:r>
      <w:r w:rsidRPr="00325B05">
        <w:rPr>
          <w:rFonts w:ascii="Arial" w:eastAsia="Calibri" w:hAnsi="Arial" w:cs="Arial"/>
          <w:color w:val="000000" w:themeColor="text1"/>
          <w:sz w:val="22"/>
          <w:lang w:val="es-ES_tradnl"/>
        </w:rPr>
        <w:t>:</w:t>
      </w:r>
    </w:p>
    <w:p w14:paraId="1EAE5543" w14:textId="77777777" w:rsidR="00DD5B04" w:rsidRPr="00325B05" w:rsidRDefault="00DD5B04" w:rsidP="00DF76A2">
      <w:pPr>
        <w:jc w:val="both"/>
        <w:rPr>
          <w:rFonts w:ascii="Arial" w:eastAsia="Calibri" w:hAnsi="Arial" w:cs="Arial"/>
          <w:color w:val="000000" w:themeColor="text1"/>
          <w:sz w:val="22"/>
          <w:lang w:val="es-ES_tradnl"/>
        </w:rPr>
      </w:pPr>
    </w:p>
    <w:p w14:paraId="2109B2D3" w14:textId="6CF61FF1" w:rsidR="00DD5B04" w:rsidRPr="00325B05" w:rsidRDefault="00DD5B04" w:rsidP="00DF76A2">
      <w:pPr>
        <w:spacing w:line="276" w:lineRule="auto"/>
        <w:jc w:val="both"/>
        <w:rPr>
          <w:rFonts w:ascii="Arial" w:eastAsia="Calibri" w:hAnsi="Arial" w:cs="Arial"/>
          <w:color w:val="000000" w:themeColor="text1"/>
          <w:sz w:val="22"/>
          <w:lang w:val="es-ES_tradnl"/>
        </w:rPr>
      </w:pPr>
      <w:r w:rsidRPr="00325B05">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325B05">
        <w:rPr>
          <w:rFonts w:ascii="Arial" w:eastAsia="Calibri" w:hAnsi="Arial" w:cs="Arial"/>
          <w:color w:val="000000" w:themeColor="text1"/>
          <w:sz w:val="22"/>
          <w:lang w:val="es-ES_tradnl"/>
        </w:rPr>
        <w:t xml:space="preserve"> </w:t>
      </w:r>
      <w:r w:rsidRPr="00325B05">
        <w:rPr>
          <w:rFonts w:ascii="Arial" w:eastAsia="Calibri" w:hAnsi="Arial" w:cs="Arial"/>
          <w:color w:val="000000" w:themeColor="text1"/>
          <w:sz w:val="22"/>
          <w:lang w:val="es-ES_tradnl"/>
        </w:rPr>
        <w:t xml:space="preserve">responde su consulta del </w:t>
      </w:r>
      <w:r w:rsidR="003349E8" w:rsidRPr="00325B05">
        <w:rPr>
          <w:rFonts w:ascii="Arial" w:eastAsia="Calibri" w:hAnsi="Arial" w:cs="Arial"/>
          <w:color w:val="000000" w:themeColor="text1"/>
          <w:sz w:val="22"/>
          <w:lang w:val="es-ES_tradnl"/>
        </w:rPr>
        <w:t>2</w:t>
      </w:r>
      <w:r w:rsidR="00FD4AF3" w:rsidRPr="00325B05">
        <w:rPr>
          <w:rFonts w:ascii="Arial" w:eastAsia="Calibri" w:hAnsi="Arial" w:cs="Arial"/>
          <w:color w:val="000000" w:themeColor="text1"/>
          <w:sz w:val="22"/>
          <w:lang w:val="es-ES_tradnl"/>
        </w:rPr>
        <w:t xml:space="preserve"> de </w:t>
      </w:r>
      <w:r w:rsidR="003349E8" w:rsidRPr="00325B05">
        <w:rPr>
          <w:rFonts w:ascii="Arial" w:eastAsia="Calibri" w:hAnsi="Arial" w:cs="Arial"/>
          <w:color w:val="000000" w:themeColor="text1"/>
          <w:sz w:val="22"/>
          <w:lang w:val="es-ES_tradnl"/>
        </w:rPr>
        <w:t>febrero</w:t>
      </w:r>
      <w:r w:rsidRPr="00325B05">
        <w:rPr>
          <w:rFonts w:ascii="Arial" w:eastAsia="Calibri" w:hAnsi="Arial" w:cs="Arial"/>
          <w:color w:val="000000" w:themeColor="text1"/>
          <w:sz w:val="22"/>
          <w:lang w:val="es-ES_tradnl"/>
        </w:rPr>
        <w:t xml:space="preserve"> del</w:t>
      </w:r>
      <w:r w:rsidR="007E74BF" w:rsidRPr="00325B05">
        <w:rPr>
          <w:rFonts w:ascii="Arial" w:eastAsia="Calibri" w:hAnsi="Arial" w:cs="Arial"/>
          <w:color w:val="000000" w:themeColor="text1"/>
          <w:sz w:val="22"/>
          <w:lang w:val="es-ES_tradnl"/>
        </w:rPr>
        <w:t xml:space="preserve"> </w:t>
      </w:r>
      <w:r w:rsidRPr="00325B05">
        <w:rPr>
          <w:rFonts w:ascii="Arial" w:eastAsia="Calibri" w:hAnsi="Arial" w:cs="Arial"/>
          <w:color w:val="000000" w:themeColor="text1"/>
          <w:sz w:val="22"/>
          <w:lang w:val="es-ES_tradnl"/>
        </w:rPr>
        <w:t>202</w:t>
      </w:r>
      <w:r w:rsidR="00FB0880" w:rsidRPr="00325B05">
        <w:rPr>
          <w:rFonts w:ascii="Arial" w:eastAsia="Calibri" w:hAnsi="Arial" w:cs="Arial"/>
          <w:color w:val="000000" w:themeColor="text1"/>
          <w:sz w:val="22"/>
          <w:lang w:val="es-ES_tradnl"/>
        </w:rPr>
        <w:t>1</w:t>
      </w:r>
      <w:r w:rsidR="008C3C57" w:rsidRPr="00325B05">
        <w:rPr>
          <w:rFonts w:ascii="Arial" w:eastAsia="Calibri" w:hAnsi="Arial" w:cs="Arial"/>
          <w:color w:val="000000" w:themeColor="text1"/>
          <w:sz w:val="22"/>
          <w:lang w:val="es-ES_tradnl"/>
        </w:rPr>
        <w:t>.</w:t>
      </w:r>
    </w:p>
    <w:p w14:paraId="0C1E0712" w14:textId="77777777" w:rsidR="00DD5B04" w:rsidRPr="00325B05"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325B05"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25B05">
        <w:rPr>
          <w:rFonts w:ascii="Arial" w:eastAsia="Calibri" w:hAnsi="Arial" w:cs="Arial"/>
          <w:b/>
          <w:color w:val="000000" w:themeColor="text1"/>
          <w:sz w:val="22"/>
          <w:lang w:val="es-ES_tradnl"/>
        </w:rPr>
        <w:t xml:space="preserve">Problema planteado </w:t>
      </w:r>
    </w:p>
    <w:p w14:paraId="224B43D3" w14:textId="77777777" w:rsidR="00DD5B04" w:rsidRPr="00325B05"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3C435CD4" w:rsidR="00443B55" w:rsidRPr="00325B05" w:rsidRDefault="00DD5B04" w:rsidP="0099583D">
      <w:pPr>
        <w:spacing w:line="276" w:lineRule="auto"/>
        <w:jc w:val="both"/>
        <w:rPr>
          <w:rFonts w:ascii="Arial" w:hAnsi="Arial" w:cs="Arial"/>
          <w:color w:val="000000" w:themeColor="text1"/>
          <w:sz w:val="22"/>
          <w:lang w:val="es-ES_tradnl"/>
        </w:rPr>
      </w:pPr>
      <w:r w:rsidRPr="00325B05">
        <w:rPr>
          <w:rFonts w:ascii="Arial" w:hAnsi="Arial" w:cs="Arial"/>
          <w:color w:val="000000" w:themeColor="text1"/>
          <w:sz w:val="22"/>
          <w:lang w:val="es-ES_tradnl"/>
        </w:rPr>
        <w:t xml:space="preserve">Usted </w:t>
      </w:r>
      <w:r w:rsidR="00B422C0" w:rsidRPr="00325B05">
        <w:rPr>
          <w:rFonts w:ascii="Arial" w:hAnsi="Arial" w:cs="Arial"/>
          <w:color w:val="000000" w:themeColor="text1"/>
          <w:sz w:val="22"/>
          <w:lang w:val="es-ES_tradnl"/>
        </w:rPr>
        <w:t>formula</w:t>
      </w:r>
      <w:r w:rsidR="006D46A3" w:rsidRPr="00325B05">
        <w:rPr>
          <w:rFonts w:ascii="Arial" w:hAnsi="Arial" w:cs="Arial"/>
          <w:color w:val="000000" w:themeColor="text1"/>
          <w:sz w:val="22"/>
          <w:lang w:val="es-ES_tradnl"/>
        </w:rPr>
        <w:t xml:space="preserve"> la siguient</w:t>
      </w:r>
      <w:r w:rsidR="003A4C7B" w:rsidRPr="00325B05">
        <w:rPr>
          <w:rFonts w:ascii="Arial" w:hAnsi="Arial" w:cs="Arial"/>
          <w:color w:val="000000" w:themeColor="text1"/>
          <w:sz w:val="22"/>
          <w:lang w:val="es-ES_tradnl"/>
        </w:rPr>
        <w:t>e consulta</w:t>
      </w:r>
      <w:r w:rsidR="00B422C0" w:rsidRPr="00325B05">
        <w:rPr>
          <w:rFonts w:ascii="Arial" w:hAnsi="Arial" w:cs="Arial"/>
          <w:color w:val="000000" w:themeColor="text1"/>
          <w:sz w:val="22"/>
          <w:lang w:val="es-ES_tradnl"/>
        </w:rPr>
        <w:t>:</w:t>
      </w:r>
      <w:r w:rsidR="007E18DF" w:rsidRPr="00325B05">
        <w:rPr>
          <w:rFonts w:ascii="Arial" w:hAnsi="Arial" w:cs="Arial"/>
          <w:color w:val="000000" w:themeColor="text1"/>
          <w:sz w:val="22"/>
          <w:lang w:val="es-ES_tradnl"/>
        </w:rPr>
        <w:t xml:space="preserve"> </w:t>
      </w:r>
    </w:p>
    <w:p w14:paraId="559EE20C" w14:textId="77777777" w:rsidR="00443B55" w:rsidRPr="00325B05" w:rsidRDefault="00443B55" w:rsidP="0099583D">
      <w:pPr>
        <w:spacing w:line="276" w:lineRule="auto"/>
        <w:jc w:val="both"/>
        <w:rPr>
          <w:rFonts w:ascii="Arial" w:hAnsi="Arial" w:cs="Arial"/>
          <w:color w:val="000000" w:themeColor="text1"/>
          <w:sz w:val="22"/>
          <w:lang w:val="es-ES_tradnl"/>
        </w:rPr>
      </w:pPr>
    </w:p>
    <w:p w14:paraId="79D0132C" w14:textId="3EA591C1" w:rsidR="004275A7" w:rsidRPr="00325B05" w:rsidRDefault="003C0818" w:rsidP="003A4C7B">
      <w:pPr>
        <w:ind w:left="709" w:right="709"/>
        <w:jc w:val="both"/>
        <w:rPr>
          <w:rFonts w:ascii="Arial" w:hAnsi="Arial" w:cs="Arial"/>
          <w:color w:val="000000" w:themeColor="text1"/>
          <w:sz w:val="21"/>
          <w:szCs w:val="21"/>
          <w:lang w:val="es-ES_tradnl"/>
        </w:rPr>
      </w:pPr>
      <w:r w:rsidRPr="00325B05">
        <w:rPr>
          <w:rFonts w:ascii="Arial" w:hAnsi="Arial" w:cs="Arial"/>
          <w:color w:val="000000" w:themeColor="text1"/>
          <w:sz w:val="21"/>
          <w:szCs w:val="21"/>
          <w:lang w:val="es-ES_tradnl"/>
        </w:rPr>
        <w:t xml:space="preserve">«El 31 de diciembre de 2020 se sancionó la ley 2069 de 2020, dentro de la cual se presentan varios cambios en materia de contratación, entre los cuales están los criterios de desempate y la acreditación y manifestación de participar de las </w:t>
      </w:r>
      <w:proofErr w:type="spellStart"/>
      <w:r w:rsidRPr="00325B05">
        <w:rPr>
          <w:rFonts w:ascii="Arial" w:hAnsi="Arial" w:cs="Arial"/>
          <w:color w:val="000000" w:themeColor="text1"/>
          <w:sz w:val="21"/>
          <w:szCs w:val="21"/>
          <w:lang w:val="es-ES_tradnl"/>
        </w:rPr>
        <w:t>mipymes</w:t>
      </w:r>
      <w:proofErr w:type="spellEnd"/>
      <w:r w:rsidRPr="00325B05">
        <w:rPr>
          <w:rFonts w:ascii="Arial" w:hAnsi="Arial" w:cs="Arial"/>
          <w:color w:val="000000" w:themeColor="text1"/>
          <w:sz w:val="21"/>
          <w:szCs w:val="21"/>
          <w:lang w:val="es-ES_tradnl"/>
        </w:rPr>
        <w:t xml:space="preserve">, ante los cual nos surgen a las Entidades Estatales varios interrogantes, por ejemplo modificarán los pliegos tipo con estos nuevos criterios? Cómo se deben acreditar los criterios de desempate mediante declaración juramentada? Tienen algún concepto sobre la aplicación de dicha </w:t>
      </w:r>
      <w:r w:rsidRPr="00325B05">
        <w:rPr>
          <w:rFonts w:ascii="Arial" w:hAnsi="Arial" w:cs="Arial"/>
          <w:color w:val="000000" w:themeColor="text1"/>
          <w:sz w:val="21"/>
          <w:szCs w:val="21"/>
          <w:lang w:val="es-ES_tradnl"/>
        </w:rPr>
        <w:lastRenderedPageBreak/>
        <w:t xml:space="preserve">ley? Por último, si no modifica el Decreto 1082, de igual manera debemos ajustar los pliegos actuales que no son pliegos tipo? Por ejemplo la manifestación de </w:t>
      </w:r>
      <w:proofErr w:type="spellStart"/>
      <w:r w:rsidRPr="00325B05">
        <w:rPr>
          <w:rFonts w:ascii="Arial" w:hAnsi="Arial" w:cs="Arial"/>
          <w:color w:val="000000" w:themeColor="text1"/>
          <w:sz w:val="21"/>
          <w:szCs w:val="21"/>
          <w:lang w:val="es-ES_tradnl"/>
        </w:rPr>
        <w:t>mipymes</w:t>
      </w:r>
      <w:proofErr w:type="spellEnd"/>
      <w:r w:rsidRPr="00325B05">
        <w:rPr>
          <w:rFonts w:ascii="Arial" w:hAnsi="Arial" w:cs="Arial"/>
          <w:color w:val="000000" w:themeColor="text1"/>
          <w:sz w:val="21"/>
          <w:szCs w:val="21"/>
          <w:lang w:val="es-ES_tradnl"/>
        </w:rPr>
        <w:t xml:space="preserve"> ya no sería de 3 sino de 2</w:t>
      </w:r>
      <w:r w:rsidR="00AD33A1" w:rsidRPr="00325B05">
        <w:rPr>
          <w:rFonts w:ascii="Arial" w:hAnsi="Arial" w:cs="Arial"/>
          <w:color w:val="000000" w:themeColor="text1"/>
          <w:sz w:val="21"/>
          <w:szCs w:val="21"/>
          <w:lang w:val="es-ES_tradnl"/>
        </w:rPr>
        <w:t>».</w:t>
      </w:r>
    </w:p>
    <w:p w14:paraId="3830C92C" w14:textId="77777777" w:rsidR="00507066" w:rsidRPr="00325B05" w:rsidRDefault="00507066" w:rsidP="00AD33A1">
      <w:pPr>
        <w:ind w:left="709" w:right="709"/>
        <w:jc w:val="both"/>
        <w:rPr>
          <w:rFonts w:ascii="Arial" w:hAnsi="Arial" w:cs="Arial"/>
          <w:color w:val="000000" w:themeColor="text1"/>
          <w:sz w:val="21"/>
          <w:szCs w:val="21"/>
          <w:lang w:val="es-ES_tradnl"/>
        </w:rPr>
      </w:pPr>
    </w:p>
    <w:p w14:paraId="124D2DCA" w14:textId="77777777" w:rsidR="00DD5B04" w:rsidRPr="00325B05"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325B05">
        <w:rPr>
          <w:rFonts w:ascii="Arial" w:eastAsia="Calibri" w:hAnsi="Arial" w:cs="Arial"/>
          <w:b/>
          <w:color w:val="000000" w:themeColor="text1"/>
          <w:sz w:val="22"/>
          <w:lang w:val="es-ES_tradnl"/>
        </w:rPr>
        <w:t>Consideraciones</w:t>
      </w:r>
    </w:p>
    <w:p w14:paraId="7D050D2E" w14:textId="77777777" w:rsidR="00435703" w:rsidRPr="00325B05" w:rsidRDefault="00435703" w:rsidP="00DF76A2">
      <w:pPr>
        <w:spacing w:line="276" w:lineRule="auto"/>
        <w:jc w:val="both"/>
        <w:rPr>
          <w:rFonts w:ascii="Arial" w:eastAsia="Calibri" w:hAnsi="Arial" w:cs="Arial"/>
          <w:color w:val="000000" w:themeColor="text1"/>
          <w:sz w:val="22"/>
          <w:szCs w:val="22"/>
          <w:lang w:val="es-ES_tradnl"/>
        </w:rPr>
      </w:pPr>
    </w:p>
    <w:p w14:paraId="305BC2F1" w14:textId="2E41EC8F" w:rsidR="003C4317" w:rsidRPr="00325B05" w:rsidRDefault="008E30C4" w:rsidP="00271230">
      <w:pPr>
        <w:spacing w:line="276" w:lineRule="auto"/>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La Subdirección de Gestión Contractual responderá </w:t>
      </w:r>
      <w:r w:rsidR="00271230" w:rsidRPr="00325B05">
        <w:rPr>
          <w:rFonts w:ascii="Arial" w:eastAsia="Calibri" w:hAnsi="Arial" w:cs="Arial"/>
          <w:color w:val="000000" w:themeColor="text1"/>
          <w:sz w:val="22"/>
          <w:szCs w:val="22"/>
          <w:lang w:val="es-ES_tradnl"/>
        </w:rPr>
        <w:t>la consulta</w:t>
      </w:r>
      <w:r w:rsidRPr="00325B05">
        <w:rPr>
          <w:rFonts w:ascii="Arial" w:eastAsia="Calibri" w:hAnsi="Arial" w:cs="Arial"/>
          <w:color w:val="000000" w:themeColor="text1"/>
          <w:sz w:val="22"/>
          <w:szCs w:val="22"/>
          <w:lang w:val="es-ES_tradnl"/>
        </w:rPr>
        <w:t xml:space="preserve">, </w:t>
      </w:r>
      <w:r w:rsidR="00271230" w:rsidRPr="00325B05">
        <w:rPr>
          <w:rFonts w:ascii="Arial" w:eastAsia="Calibri" w:hAnsi="Arial" w:cs="Arial"/>
          <w:color w:val="000000" w:themeColor="text1"/>
          <w:sz w:val="22"/>
          <w:szCs w:val="22"/>
          <w:lang w:val="es-ES_tradnl"/>
        </w:rPr>
        <w:t>luego de analizar los</w:t>
      </w:r>
      <w:r w:rsidR="00822EC4" w:rsidRPr="00325B05">
        <w:rPr>
          <w:rFonts w:ascii="Arial" w:eastAsia="Calibri" w:hAnsi="Arial" w:cs="Arial"/>
          <w:color w:val="000000" w:themeColor="text1"/>
          <w:sz w:val="22"/>
          <w:szCs w:val="22"/>
          <w:lang w:val="es-ES_tradnl"/>
        </w:rPr>
        <w:t xml:space="preserve"> siguientes temas: </w:t>
      </w:r>
      <w:r w:rsidR="00833ADA" w:rsidRPr="00325B05">
        <w:rPr>
          <w:rFonts w:ascii="Arial" w:eastAsia="Calibri" w:hAnsi="Arial" w:cs="Arial"/>
          <w:color w:val="000000" w:themeColor="text1"/>
          <w:sz w:val="22"/>
          <w:szCs w:val="22"/>
          <w:lang w:val="es-ES_tradnl"/>
        </w:rPr>
        <w:t>i)</w:t>
      </w:r>
      <w:r w:rsidR="008F40DC" w:rsidRPr="00325B05">
        <w:rPr>
          <w:rFonts w:ascii="Arial" w:eastAsia="Calibri" w:hAnsi="Arial" w:cs="Arial"/>
          <w:color w:val="000000" w:themeColor="text1"/>
          <w:sz w:val="22"/>
          <w:szCs w:val="22"/>
          <w:lang w:val="es-ES_tradnl"/>
        </w:rPr>
        <w:t xml:space="preserve"> vigencia y ámbito de aplicación de la Ley </w:t>
      </w:r>
      <w:r w:rsidR="001F0325" w:rsidRPr="00325B05">
        <w:rPr>
          <w:rFonts w:ascii="Arial" w:eastAsia="Calibri" w:hAnsi="Arial" w:cs="Arial"/>
          <w:color w:val="000000" w:themeColor="text1"/>
          <w:sz w:val="22"/>
          <w:szCs w:val="22"/>
          <w:lang w:val="es-ES_tradnl"/>
        </w:rPr>
        <w:t>2069</w:t>
      </w:r>
      <w:r w:rsidR="008F40DC" w:rsidRPr="00325B05">
        <w:rPr>
          <w:rFonts w:ascii="Arial" w:eastAsia="Calibri" w:hAnsi="Arial" w:cs="Arial"/>
          <w:color w:val="000000" w:themeColor="text1"/>
          <w:sz w:val="22"/>
          <w:szCs w:val="22"/>
          <w:lang w:val="es-ES_tradnl"/>
        </w:rPr>
        <w:t xml:space="preserve"> de 2020, ii) </w:t>
      </w:r>
      <w:r w:rsidR="006C2CC0" w:rsidRPr="00325B05">
        <w:rPr>
          <w:rFonts w:ascii="Arial" w:eastAsia="Calibri" w:hAnsi="Arial" w:cs="Arial"/>
          <w:color w:val="000000" w:themeColor="text1"/>
          <w:sz w:val="22"/>
          <w:szCs w:val="22"/>
          <w:lang w:val="es-ES_tradnl"/>
        </w:rPr>
        <w:t xml:space="preserve">regulación de las convocatorias limitadas a </w:t>
      </w:r>
      <w:proofErr w:type="spellStart"/>
      <w:r w:rsidR="006C2CC0" w:rsidRPr="00325B05">
        <w:rPr>
          <w:rFonts w:ascii="Arial" w:eastAsia="Calibri" w:hAnsi="Arial" w:cs="Arial"/>
          <w:color w:val="000000" w:themeColor="text1"/>
          <w:sz w:val="22"/>
          <w:szCs w:val="22"/>
          <w:lang w:val="es-ES_tradnl"/>
        </w:rPr>
        <w:t>mipymes</w:t>
      </w:r>
      <w:proofErr w:type="spellEnd"/>
      <w:r w:rsidR="006C2CC0" w:rsidRPr="00325B05">
        <w:rPr>
          <w:rFonts w:ascii="Arial" w:eastAsia="Calibri" w:hAnsi="Arial" w:cs="Arial"/>
          <w:color w:val="000000" w:themeColor="text1"/>
          <w:sz w:val="22"/>
          <w:szCs w:val="22"/>
          <w:lang w:val="es-ES_tradnl"/>
        </w:rPr>
        <w:t xml:space="preserve"> en el artículo 34 de dicha Ley,</w:t>
      </w:r>
      <w:r w:rsidR="008F40DC" w:rsidRPr="00325B05">
        <w:rPr>
          <w:rFonts w:ascii="Arial" w:eastAsia="Calibri" w:hAnsi="Arial" w:cs="Arial"/>
          <w:color w:val="000000" w:themeColor="text1"/>
          <w:sz w:val="22"/>
          <w:szCs w:val="22"/>
          <w:lang w:val="es-ES_tradnl"/>
        </w:rPr>
        <w:t xml:space="preserve"> iii)</w:t>
      </w:r>
      <w:r w:rsidR="00E420B7" w:rsidRPr="00325B05">
        <w:rPr>
          <w:rFonts w:ascii="Arial" w:eastAsia="Calibri" w:hAnsi="Arial" w:cs="Arial"/>
          <w:color w:val="000000" w:themeColor="text1"/>
          <w:sz w:val="22"/>
          <w:szCs w:val="22"/>
          <w:lang w:val="es-ES_tradnl"/>
        </w:rPr>
        <w:t xml:space="preserve"> </w:t>
      </w:r>
      <w:r w:rsidR="00833ADA" w:rsidRPr="00325B05">
        <w:rPr>
          <w:rFonts w:ascii="Arial" w:eastAsia="Calibri" w:hAnsi="Arial" w:cs="Arial"/>
          <w:color w:val="000000" w:themeColor="text1"/>
          <w:sz w:val="22"/>
          <w:szCs w:val="22"/>
          <w:lang w:val="es-ES_tradnl"/>
        </w:rPr>
        <w:t xml:space="preserve">definición de los criterios de desempate en la contratación estatal </w:t>
      </w:r>
      <w:r w:rsidR="00A12574" w:rsidRPr="00325B05">
        <w:rPr>
          <w:rFonts w:ascii="Arial" w:eastAsia="Calibri" w:hAnsi="Arial" w:cs="Arial"/>
          <w:color w:val="000000" w:themeColor="text1"/>
          <w:sz w:val="22"/>
          <w:szCs w:val="22"/>
          <w:lang w:val="es-ES_tradnl"/>
        </w:rPr>
        <w:t>y</w:t>
      </w:r>
      <w:r w:rsidR="00833ADA" w:rsidRPr="00325B05">
        <w:rPr>
          <w:rFonts w:ascii="Arial" w:eastAsia="Calibri" w:hAnsi="Arial" w:cs="Arial"/>
          <w:color w:val="000000" w:themeColor="text1"/>
          <w:sz w:val="22"/>
          <w:szCs w:val="22"/>
          <w:lang w:val="es-ES_tradnl"/>
        </w:rPr>
        <w:t xml:space="preserve"> </w:t>
      </w:r>
      <w:r w:rsidR="00523F41" w:rsidRPr="00325B05">
        <w:rPr>
          <w:rFonts w:ascii="Arial" w:eastAsia="Calibri" w:hAnsi="Arial" w:cs="Arial"/>
          <w:color w:val="000000" w:themeColor="text1"/>
          <w:sz w:val="22"/>
          <w:szCs w:val="22"/>
          <w:lang w:val="es-ES_tradnl"/>
        </w:rPr>
        <w:t>i</w:t>
      </w:r>
      <w:r w:rsidR="008F40DC" w:rsidRPr="00325B05">
        <w:rPr>
          <w:rFonts w:ascii="Arial" w:eastAsia="Calibri" w:hAnsi="Arial" w:cs="Arial"/>
          <w:color w:val="000000" w:themeColor="text1"/>
          <w:sz w:val="22"/>
          <w:szCs w:val="22"/>
          <w:lang w:val="es-ES_tradnl"/>
        </w:rPr>
        <w:t>v</w:t>
      </w:r>
      <w:r w:rsidR="00523F41" w:rsidRPr="00325B05">
        <w:rPr>
          <w:rFonts w:ascii="Arial" w:eastAsia="Calibri" w:hAnsi="Arial" w:cs="Arial"/>
          <w:color w:val="000000" w:themeColor="text1"/>
          <w:sz w:val="22"/>
          <w:szCs w:val="22"/>
          <w:lang w:val="es-ES_tradnl"/>
        </w:rPr>
        <w:t xml:space="preserve">) </w:t>
      </w:r>
      <w:r w:rsidR="003C4317" w:rsidRPr="00325B05">
        <w:rPr>
          <w:rFonts w:ascii="Arial" w:eastAsia="Calibri" w:hAnsi="Arial" w:cs="Arial"/>
          <w:color w:val="000000" w:themeColor="text1"/>
          <w:sz w:val="22"/>
          <w:szCs w:val="22"/>
          <w:lang w:val="es-ES_tradnl"/>
        </w:rPr>
        <w:t xml:space="preserve">forma de </w:t>
      </w:r>
      <w:r w:rsidR="009D6909" w:rsidRPr="00325B05">
        <w:rPr>
          <w:rFonts w:ascii="Arial" w:eastAsia="Calibri" w:hAnsi="Arial" w:cs="Arial"/>
          <w:color w:val="000000" w:themeColor="text1"/>
          <w:sz w:val="22"/>
          <w:szCs w:val="22"/>
          <w:lang w:val="es-ES_tradnl"/>
        </w:rPr>
        <w:t>acreditación de los factores de desempate</w:t>
      </w:r>
      <w:r w:rsidR="003C4317" w:rsidRPr="00325B05">
        <w:rPr>
          <w:rFonts w:ascii="Arial" w:eastAsia="Calibri" w:hAnsi="Arial" w:cs="Arial"/>
          <w:color w:val="000000" w:themeColor="text1"/>
          <w:sz w:val="22"/>
          <w:szCs w:val="22"/>
          <w:lang w:val="es-ES_tradnl"/>
        </w:rPr>
        <w:t xml:space="preserve"> consagrados en el artículo 35 </w:t>
      </w:r>
      <w:r w:rsidR="00137440" w:rsidRPr="00325B05">
        <w:rPr>
          <w:rFonts w:ascii="Arial" w:eastAsia="Calibri" w:hAnsi="Arial" w:cs="Arial"/>
          <w:color w:val="000000" w:themeColor="text1"/>
          <w:sz w:val="22"/>
          <w:szCs w:val="22"/>
          <w:lang w:val="es-ES_tradnl"/>
        </w:rPr>
        <w:t xml:space="preserve">de la mencionada </w:t>
      </w:r>
      <w:r w:rsidR="003C4317" w:rsidRPr="00325B05">
        <w:rPr>
          <w:rFonts w:ascii="Arial" w:eastAsia="Calibri" w:hAnsi="Arial" w:cs="Arial"/>
          <w:color w:val="000000" w:themeColor="text1"/>
          <w:sz w:val="22"/>
          <w:szCs w:val="22"/>
          <w:lang w:val="es-ES_tradnl"/>
        </w:rPr>
        <w:t>Ley.</w:t>
      </w:r>
    </w:p>
    <w:p w14:paraId="1144E6B3" w14:textId="2DE2B135" w:rsidR="00C8331F" w:rsidRPr="00325B05" w:rsidRDefault="00EC1DAE" w:rsidP="00C8331F">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E</w:t>
      </w:r>
      <w:r w:rsidR="00C8331F" w:rsidRPr="00325B05">
        <w:rPr>
          <w:rFonts w:ascii="Arial" w:eastAsia="Calibri" w:hAnsi="Arial" w:cs="Arial"/>
          <w:color w:val="000000" w:themeColor="text1"/>
          <w:sz w:val="22"/>
          <w:szCs w:val="22"/>
          <w:lang w:val="es-ES_tradnl"/>
        </w:rPr>
        <w:t>s importante destacar que la Agencia Nacional de Contratación Pública</w:t>
      </w:r>
      <w:r w:rsidRPr="00325B05">
        <w:rPr>
          <w:rFonts w:ascii="Arial" w:eastAsia="Calibri" w:hAnsi="Arial" w:cs="Arial"/>
          <w:color w:val="000000" w:themeColor="text1"/>
          <w:sz w:val="22"/>
          <w:szCs w:val="22"/>
          <w:lang w:val="es-ES_tradnl"/>
        </w:rPr>
        <w:t xml:space="preserve"> – Colombia Compra Eficiente se pronunció, en términos generales, sobre los factores de desempate en los procedimientos de contratación estatal</w:t>
      </w:r>
      <w:r w:rsidR="00442D13" w:rsidRPr="00325B05">
        <w:rPr>
          <w:rFonts w:ascii="Arial" w:eastAsia="Calibri" w:hAnsi="Arial" w:cs="Arial"/>
          <w:color w:val="000000" w:themeColor="text1"/>
          <w:sz w:val="22"/>
          <w:szCs w:val="22"/>
          <w:lang w:val="es-ES_tradnl"/>
        </w:rPr>
        <w:t>,</w:t>
      </w:r>
      <w:r w:rsidR="0091310F" w:rsidRPr="00325B05">
        <w:rPr>
          <w:rFonts w:ascii="Arial" w:eastAsia="Calibri" w:hAnsi="Arial" w:cs="Arial"/>
          <w:color w:val="000000" w:themeColor="text1"/>
          <w:sz w:val="22"/>
          <w:szCs w:val="22"/>
          <w:lang w:val="es-ES_tradnl"/>
        </w:rPr>
        <w:t xml:space="preserve"> en los conceptos C-285 del </w:t>
      </w:r>
      <w:r w:rsidR="00677212" w:rsidRPr="00325B05">
        <w:rPr>
          <w:rFonts w:ascii="Arial" w:eastAsia="Calibri" w:hAnsi="Arial" w:cs="Arial"/>
          <w:color w:val="000000" w:themeColor="text1"/>
          <w:sz w:val="22"/>
          <w:szCs w:val="22"/>
          <w:lang w:val="es-ES_tradnl"/>
        </w:rPr>
        <w:t>4</w:t>
      </w:r>
      <w:r w:rsidR="0091310F" w:rsidRPr="00325B05">
        <w:rPr>
          <w:rFonts w:ascii="Arial" w:eastAsia="Calibri" w:hAnsi="Arial" w:cs="Arial"/>
          <w:color w:val="000000" w:themeColor="text1"/>
          <w:sz w:val="22"/>
          <w:szCs w:val="22"/>
          <w:lang w:val="es-ES_tradnl"/>
        </w:rPr>
        <w:t xml:space="preserve"> de </w:t>
      </w:r>
      <w:r w:rsidR="00677212" w:rsidRPr="00325B05">
        <w:rPr>
          <w:rFonts w:ascii="Arial" w:eastAsia="Calibri" w:hAnsi="Arial" w:cs="Arial"/>
          <w:color w:val="000000" w:themeColor="text1"/>
          <w:sz w:val="22"/>
          <w:szCs w:val="22"/>
          <w:lang w:val="es-ES_tradnl"/>
        </w:rPr>
        <w:t>mayo</w:t>
      </w:r>
      <w:r w:rsidR="0091310F" w:rsidRPr="00325B05">
        <w:rPr>
          <w:rFonts w:ascii="Arial" w:eastAsia="Calibri" w:hAnsi="Arial" w:cs="Arial"/>
          <w:color w:val="000000" w:themeColor="text1"/>
          <w:sz w:val="22"/>
          <w:szCs w:val="22"/>
          <w:lang w:val="es-ES_tradnl"/>
        </w:rPr>
        <w:t xml:space="preserve"> de 2020, </w:t>
      </w:r>
      <w:r w:rsidR="006361C9" w:rsidRPr="00325B05">
        <w:rPr>
          <w:rFonts w:ascii="Arial" w:eastAsia="Calibri" w:hAnsi="Arial" w:cs="Arial"/>
          <w:color w:val="000000" w:themeColor="text1"/>
          <w:sz w:val="22"/>
          <w:szCs w:val="22"/>
          <w:lang w:val="es-ES_tradnl"/>
        </w:rPr>
        <w:t xml:space="preserve">C-481 del </w:t>
      </w:r>
      <w:r w:rsidR="004060DC" w:rsidRPr="00325B05">
        <w:rPr>
          <w:rFonts w:ascii="Arial" w:eastAsia="Calibri" w:hAnsi="Arial" w:cs="Arial"/>
          <w:color w:val="000000" w:themeColor="text1"/>
          <w:sz w:val="22"/>
          <w:szCs w:val="22"/>
          <w:lang w:val="es-ES_tradnl"/>
        </w:rPr>
        <w:t>27</w:t>
      </w:r>
      <w:r w:rsidR="00184219" w:rsidRPr="00325B05">
        <w:rPr>
          <w:rFonts w:ascii="Arial" w:eastAsia="Calibri" w:hAnsi="Arial" w:cs="Arial"/>
          <w:color w:val="000000" w:themeColor="text1"/>
          <w:sz w:val="22"/>
          <w:szCs w:val="22"/>
          <w:lang w:val="es-ES_tradnl"/>
        </w:rPr>
        <w:t xml:space="preserve"> de julio de 2020</w:t>
      </w:r>
      <w:r w:rsidR="006606A4" w:rsidRPr="00325B05">
        <w:rPr>
          <w:rFonts w:ascii="Arial" w:eastAsia="Calibri" w:hAnsi="Arial" w:cs="Arial"/>
          <w:color w:val="000000" w:themeColor="text1"/>
          <w:sz w:val="22"/>
          <w:szCs w:val="22"/>
          <w:lang w:val="es-ES_tradnl"/>
        </w:rPr>
        <w:t xml:space="preserve">, C-514 </w:t>
      </w:r>
      <w:r w:rsidR="002F7961" w:rsidRPr="00325B05">
        <w:rPr>
          <w:rFonts w:ascii="Arial" w:eastAsia="Calibri" w:hAnsi="Arial" w:cs="Arial"/>
          <w:color w:val="000000" w:themeColor="text1"/>
          <w:sz w:val="22"/>
          <w:szCs w:val="22"/>
          <w:lang w:val="es-ES_tradnl"/>
        </w:rPr>
        <w:t xml:space="preserve">y C-535 </w:t>
      </w:r>
      <w:r w:rsidR="006606A4" w:rsidRPr="00325B05">
        <w:rPr>
          <w:rFonts w:ascii="Arial" w:eastAsia="Calibri" w:hAnsi="Arial" w:cs="Arial"/>
          <w:color w:val="000000" w:themeColor="text1"/>
          <w:sz w:val="22"/>
          <w:szCs w:val="22"/>
          <w:lang w:val="es-ES_tradnl"/>
        </w:rPr>
        <w:t>del 26 de agosto de 2020</w:t>
      </w:r>
      <w:r w:rsidR="004060DC" w:rsidRPr="00325B05">
        <w:rPr>
          <w:rFonts w:ascii="Arial" w:eastAsia="Calibri" w:hAnsi="Arial" w:cs="Arial"/>
          <w:color w:val="000000" w:themeColor="text1"/>
          <w:sz w:val="22"/>
          <w:szCs w:val="22"/>
          <w:lang w:val="es-ES_tradnl"/>
        </w:rPr>
        <w:t xml:space="preserve"> y </w:t>
      </w:r>
      <w:r w:rsidR="00F96079" w:rsidRPr="00325B05">
        <w:rPr>
          <w:rFonts w:ascii="Arial" w:eastAsia="Calibri" w:hAnsi="Arial" w:cs="Arial"/>
          <w:color w:val="000000" w:themeColor="text1"/>
          <w:sz w:val="22"/>
          <w:szCs w:val="22"/>
          <w:lang w:val="es-ES_tradnl"/>
        </w:rPr>
        <w:t xml:space="preserve">C-556 del </w:t>
      </w:r>
      <w:r w:rsidR="00E820F4" w:rsidRPr="00325B05">
        <w:rPr>
          <w:rFonts w:ascii="Arial" w:eastAsia="Calibri" w:hAnsi="Arial" w:cs="Arial"/>
          <w:color w:val="000000" w:themeColor="text1"/>
          <w:sz w:val="22"/>
          <w:szCs w:val="22"/>
          <w:lang w:val="es-ES_tradnl"/>
        </w:rPr>
        <w:t>31 de agosto de 2020</w:t>
      </w:r>
      <w:r w:rsidR="004060DC" w:rsidRPr="00325B05">
        <w:rPr>
          <w:rFonts w:ascii="Arial" w:eastAsia="Calibri" w:hAnsi="Arial" w:cs="Arial"/>
          <w:color w:val="000000" w:themeColor="text1"/>
          <w:sz w:val="22"/>
          <w:szCs w:val="22"/>
          <w:lang w:val="es-ES_tradnl"/>
        </w:rPr>
        <w:t>.</w:t>
      </w:r>
      <w:r w:rsidR="00032689" w:rsidRPr="00325B05">
        <w:rPr>
          <w:rFonts w:ascii="Arial" w:eastAsia="Calibri" w:hAnsi="Arial" w:cs="Arial"/>
          <w:color w:val="000000" w:themeColor="text1"/>
          <w:sz w:val="22"/>
          <w:szCs w:val="22"/>
          <w:lang w:val="es-ES_tradnl"/>
        </w:rPr>
        <w:t xml:space="preserve"> Además, recientemente se expidieron los conceptos </w:t>
      </w:r>
      <w:r w:rsidR="00547778" w:rsidRPr="00325B05">
        <w:rPr>
          <w:rFonts w:ascii="Arial" w:eastAsia="Calibri" w:hAnsi="Arial" w:cs="Arial"/>
          <w:color w:val="000000" w:themeColor="text1"/>
          <w:sz w:val="22"/>
          <w:szCs w:val="22"/>
          <w:lang w:val="es-ES_tradnl"/>
        </w:rPr>
        <w:t xml:space="preserve">C-009, C-012, C-013, </w:t>
      </w:r>
      <w:r w:rsidR="00A51D65" w:rsidRPr="00325B05">
        <w:rPr>
          <w:rFonts w:ascii="Arial" w:eastAsia="Calibri" w:hAnsi="Arial" w:cs="Arial"/>
          <w:color w:val="000000" w:themeColor="text1"/>
          <w:sz w:val="22"/>
          <w:szCs w:val="22"/>
          <w:lang w:val="es-ES_tradnl"/>
        </w:rPr>
        <w:t>C-015, C-016 y C-026, del 4 de febrero de 2020, en los que s</w:t>
      </w:r>
      <w:r w:rsidR="00C43E53" w:rsidRPr="00325B05">
        <w:rPr>
          <w:rFonts w:ascii="Arial" w:eastAsia="Calibri" w:hAnsi="Arial" w:cs="Arial"/>
          <w:color w:val="000000" w:themeColor="text1"/>
          <w:sz w:val="22"/>
          <w:szCs w:val="22"/>
          <w:lang w:val="es-ES_tradnl"/>
        </w:rPr>
        <w:t>e analizó la vigencia y forma de acreditación de los factores de desempate contenidos en el artículo 35 de la Ley 2069 de 202</w:t>
      </w:r>
      <w:r w:rsidR="00F32356" w:rsidRPr="00325B05">
        <w:rPr>
          <w:rFonts w:ascii="Arial" w:eastAsia="Calibri" w:hAnsi="Arial" w:cs="Arial"/>
          <w:color w:val="000000" w:themeColor="text1"/>
          <w:sz w:val="22"/>
          <w:szCs w:val="22"/>
          <w:lang w:val="es-ES_tradnl"/>
        </w:rPr>
        <w:t>1</w:t>
      </w:r>
      <w:r w:rsidR="00C43E53" w:rsidRPr="00325B05">
        <w:rPr>
          <w:rFonts w:ascii="Arial" w:eastAsia="Calibri" w:hAnsi="Arial" w:cs="Arial"/>
          <w:color w:val="000000" w:themeColor="text1"/>
          <w:sz w:val="22"/>
          <w:szCs w:val="22"/>
          <w:lang w:val="es-ES_tradnl"/>
        </w:rPr>
        <w:t>.</w:t>
      </w:r>
      <w:r w:rsidR="004060DC" w:rsidRPr="00325B05">
        <w:rPr>
          <w:rFonts w:ascii="Arial" w:eastAsia="Calibri" w:hAnsi="Arial" w:cs="Arial"/>
          <w:color w:val="000000" w:themeColor="text1"/>
          <w:sz w:val="22"/>
          <w:szCs w:val="22"/>
          <w:lang w:val="es-ES_tradnl"/>
        </w:rPr>
        <w:t xml:space="preserve"> Algunas de las consideraciones </w:t>
      </w:r>
      <w:r w:rsidR="00A6144B" w:rsidRPr="00325B05">
        <w:rPr>
          <w:rFonts w:ascii="Arial" w:eastAsia="Calibri" w:hAnsi="Arial" w:cs="Arial"/>
          <w:color w:val="000000" w:themeColor="text1"/>
          <w:sz w:val="22"/>
          <w:szCs w:val="22"/>
          <w:lang w:val="es-ES_tradnl"/>
        </w:rPr>
        <w:t>de estos</w:t>
      </w:r>
      <w:r w:rsidR="004060DC" w:rsidRPr="00325B05">
        <w:rPr>
          <w:rFonts w:ascii="Arial" w:eastAsia="Calibri" w:hAnsi="Arial" w:cs="Arial"/>
          <w:color w:val="000000" w:themeColor="text1"/>
          <w:sz w:val="22"/>
          <w:szCs w:val="22"/>
          <w:lang w:val="es-ES_tradnl"/>
        </w:rPr>
        <w:t xml:space="preserve"> conceptos se </w:t>
      </w:r>
      <w:r w:rsidR="00F24BB1" w:rsidRPr="00325B05">
        <w:rPr>
          <w:rFonts w:ascii="Arial" w:eastAsia="Calibri" w:hAnsi="Arial" w:cs="Arial"/>
          <w:color w:val="000000" w:themeColor="text1"/>
          <w:sz w:val="22"/>
          <w:szCs w:val="22"/>
          <w:lang w:val="es-ES_tradnl"/>
        </w:rPr>
        <w:t>reiteran</w:t>
      </w:r>
      <w:r w:rsidR="004060DC" w:rsidRPr="00325B05">
        <w:rPr>
          <w:rFonts w:ascii="Arial" w:eastAsia="Calibri" w:hAnsi="Arial" w:cs="Arial"/>
          <w:color w:val="000000" w:themeColor="text1"/>
          <w:sz w:val="22"/>
          <w:szCs w:val="22"/>
          <w:lang w:val="es-ES_tradnl"/>
        </w:rPr>
        <w:t xml:space="preserve"> a continuación.</w:t>
      </w:r>
    </w:p>
    <w:p w14:paraId="331D0ECA" w14:textId="0CEC4B0A" w:rsidR="003C4317" w:rsidRPr="00325B05" w:rsidRDefault="003C4317" w:rsidP="00271230">
      <w:pPr>
        <w:spacing w:line="276" w:lineRule="auto"/>
        <w:jc w:val="both"/>
        <w:rPr>
          <w:rFonts w:ascii="Arial" w:eastAsia="Calibri" w:hAnsi="Arial" w:cs="Arial"/>
          <w:color w:val="000000" w:themeColor="text1"/>
          <w:sz w:val="22"/>
          <w:szCs w:val="22"/>
          <w:lang w:val="es-ES_tradnl"/>
        </w:rPr>
      </w:pPr>
    </w:p>
    <w:p w14:paraId="1BB98AEE" w14:textId="1CE81C6A" w:rsidR="005C6397" w:rsidRPr="00325B05" w:rsidRDefault="005C6397" w:rsidP="005C6397">
      <w:pPr>
        <w:spacing w:line="276" w:lineRule="auto"/>
        <w:jc w:val="both"/>
        <w:rPr>
          <w:rFonts w:ascii="Arial" w:eastAsia="Calibri" w:hAnsi="Arial" w:cs="Arial"/>
          <w:b/>
          <w:bCs/>
          <w:color w:val="000000" w:themeColor="text1"/>
          <w:sz w:val="22"/>
          <w:szCs w:val="22"/>
          <w:lang w:val="es-ES_tradnl"/>
        </w:rPr>
      </w:pPr>
      <w:r w:rsidRPr="00325B05">
        <w:rPr>
          <w:rFonts w:ascii="Arial" w:eastAsia="Calibri" w:hAnsi="Arial" w:cs="Arial"/>
          <w:b/>
          <w:bCs/>
          <w:color w:val="000000" w:themeColor="text1"/>
          <w:sz w:val="22"/>
          <w:szCs w:val="22"/>
          <w:lang w:val="es-ES_tradnl"/>
        </w:rPr>
        <w:t>2.</w:t>
      </w:r>
      <w:r w:rsidR="00B43718" w:rsidRPr="00325B05">
        <w:rPr>
          <w:rFonts w:ascii="Arial" w:eastAsia="Calibri" w:hAnsi="Arial" w:cs="Arial"/>
          <w:b/>
          <w:bCs/>
          <w:color w:val="000000" w:themeColor="text1"/>
          <w:sz w:val="22"/>
          <w:szCs w:val="22"/>
          <w:lang w:val="es-ES_tradnl"/>
        </w:rPr>
        <w:t>1</w:t>
      </w:r>
      <w:r w:rsidRPr="00325B05">
        <w:rPr>
          <w:rFonts w:ascii="Arial" w:eastAsia="Calibri" w:hAnsi="Arial" w:cs="Arial"/>
          <w:b/>
          <w:bCs/>
          <w:color w:val="000000" w:themeColor="text1"/>
          <w:sz w:val="22"/>
          <w:szCs w:val="22"/>
          <w:lang w:val="es-ES_tradnl"/>
        </w:rPr>
        <w:t xml:space="preserve">. Vigencia y ámbito de aplicación de la Ley </w:t>
      </w:r>
      <w:r w:rsidR="001F0325" w:rsidRPr="00325B05">
        <w:rPr>
          <w:rFonts w:ascii="Arial" w:eastAsia="Calibri" w:hAnsi="Arial" w:cs="Arial"/>
          <w:b/>
          <w:bCs/>
          <w:color w:val="000000" w:themeColor="text1"/>
          <w:sz w:val="22"/>
          <w:szCs w:val="22"/>
          <w:lang w:val="es-ES_tradnl"/>
        </w:rPr>
        <w:t>2069</w:t>
      </w:r>
      <w:r w:rsidRPr="00325B05">
        <w:rPr>
          <w:rFonts w:ascii="Arial" w:eastAsia="Calibri" w:hAnsi="Arial" w:cs="Arial"/>
          <w:b/>
          <w:bCs/>
          <w:color w:val="000000" w:themeColor="text1"/>
          <w:sz w:val="22"/>
          <w:szCs w:val="22"/>
          <w:lang w:val="es-ES_tradnl"/>
        </w:rPr>
        <w:t xml:space="preserve"> de 2020</w:t>
      </w:r>
    </w:p>
    <w:p w14:paraId="38137F57" w14:textId="77777777" w:rsidR="005C6397" w:rsidRPr="00325B05" w:rsidRDefault="005C6397" w:rsidP="005C6397">
      <w:pPr>
        <w:spacing w:line="276" w:lineRule="auto"/>
        <w:jc w:val="both"/>
        <w:rPr>
          <w:rFonts w:ascii="Arial" w:eastAsia="Calibri" w:hAnsi="Arial" w:cs="Arial"/>
          <w:color w:val="000000" w:themeColor="text1"/>
          <w:sz w:val="22"/>
          <w:szCs w:val="22"/>
          <w:lang w:val="es-ES_tradnl"/>
        </w:rPr>
      </w:pPr>
    </w:p>
    <w:p w14:paraId="33320CB6" w14:textId="77777777" w:rsidR="00C47F18" w:rsidRPr="00325B05" w:rsidRDefault="00C47F18" w:rsidP="00C47F18">
      <w:pPr>
        <w:spacing w:line="276" w:lineRule="auto"/>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221E74D7" w14:textId="77777777" w:rsidR="00C47F18" w:rsidRPr="00325B05" w:rsidRDefault="00C47F18" w:rsidP="00C47F18">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325B05">
        <w:rPr>
          <w:rFonts w:ascii="Arial" w:eastAsia="Calibri" w:hAnsi="Arial" w:cs="Arial"/>
          <w:color w:val="000000" w:themeColor="text1"/>
          <w:sz w:val="22"/>
          <w:szCs w:val="22"/>
          <w:lang w:val="es-ES_tradnl"/>
        </w:rPr>
        <w:t>mipymes</w:t>
      </w:r>
      <w:proofErr w:type="spellEnd"/>
      <w:r w:rsidRPr="00325B05">
        <w:rPr>
          <w:rFonts w:ascii="Arial" w:eastAsia="Calibri" w:hAnsi="Arial" w:cs="Arial"/>
          <w:color w:val="000000" w:themeColor="text1"/>
          <w:sz w:val="22"/>
          <w:szCs w:val="22"/>
          <w:lang w:val="es-ES_tradnl"/>
        </w:rPr>
        <w:t>–, mediante la racionalización y simplificación de los trámites y tarifas</w:t>
      </w:r>
      <w:r w:rsidRPr="00325B05">
        <w:rPr>
          <w:rStyle w:val="Refdenotaalpie"/>
          <w:rFonts w:ascii="Arial" w:eastAsia="Calibri" w:hAnsi="Arial" w:cs="Arial"/>
          <w:color w:val="000000" w:themeColor="text1"/>
          <w:sz w:val="22"/>
          <w:szCs w:val="22"/>
          <w:lang w:val="es-ES_tradnl"/>
        </w:rPr>
        <w:footnoteReference w:id="2"/>
      </w:r>
      <w:r w:rsidRPr="00325B05">
        <w:rPr>
          <w:rFonts w:ascii="Arial" w:eastAsia="Calibri" w:hAnsi="Arial" w:cs="Arial"/>
          <w:color w:val="000000" w:themeColor="text1"/>
          <w:sz w:val="22"/>
          <w:szCs w:val="22"/>
          <w:lang w:val="es-ES_tradnl"/>
        </w:rPr>
        <w:t xml:space="preserve">, así como </w:t>
      </w:r>
      <w:r w:rsidRPr="00325B05">
        <w:rPr>
          <w:rFonts w:ascii="Arial" w:eastAsia="Calibri" w:hAnsi="Arial" w:cs="Arial"/>
          <w:color w:val="000000" w:themeColor="text1"/>
          <w:sz w:val="22"/>
          <w:szCs w:val="22"/>
          <w:lang w:val="es-ES_tradnl"/>
        </w:rPr>
        <w:lastRenderedPageBreak/>
        <w:t>incentivos a favor de aquellas dentro del sistema de compras y contratación pública</w:t>
      </w:r>
      <w:r w:rsidRPr="00325B05">
        <w:rPr>
          <w:rStyle w:val="Refdenotaalpie"/>
          <w:rFonts w:ascii="Arial" w:eastAsia="Calibri" w:hAnsi="Arial" w:cs="Arial"/>
          <w:color w:val="000000" w:themeColor="text1"/>
          <w:sz w:val="22"/>
          <w:szCs w:val="22"/>
          <w:lang w:val="es-ES_tradnl"/>
        </w:rPr>
        <w:footnoteReference w:id="3"/>
      </w:r>
      <w:r w:rsidRPr="00325B05">
        <w:rPr>
          <w:rFonts w:ascii="Arial" w:eastAsia="Calibri" w:hAnsi="Arial" w:cs="Arial"/>
          <w:color w:val="000000" w:themeColor="text1"/>
          <w:sz w:val="22"/>
          <w:szCs w:val="22"/>
          <w:lang w:val="es-ES_tradnl"/>
        </w:rPr>
        <w:t>. También se consagran mecanismos de acceso al financiamiento</w:t>
      </w:r>
      <w:r w:rsidRPr="00325B05">
        <w:rPr>
          <w:rStyle w:val="Refdenotaalpie"/>
          <w:rFonts w:ascii="Arial" w:eastAsia="Calibri" w:hAnsi="Arial" w:cs="Arial"/>
          <w:color w:val="000000" w:themeColor="text1"/>
          <w:sz w:val="22"/>
          <w:szCs w:val="22"/>
          <w:lang w:val="es-ES_tradnl"/>
        </w:rPr>
        <w:footnoteReference w:id="4"/>
      </w:r>
      <w:r w:rsidRPr="00325B05">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325B05">
        <w:rPr>
          <w:rStyle w:val="Refdenotaalpie"/>
          <w:rFonts w:ascii="Arial" w:eastAsia="Calibri" w:hAnsi="Arial" w:cs="Arial"/>
          <w:color w:val="000000" w:themeColor="text1"/>
          <w:sz w:val="22"/>
          <w:szCs w:val="22"/>
          <w:lang w:val="es-ES_tradnl"/>
        </w:rPr>
        <w:footnoteReference w:id="5"/>
      </w:r>
      <w:r w:rsidRPr="00325B05">
        <w:rPr>
          <w:rFonts w:ascii="Arial" w:eastAsia="Calibri" w:hAnsi="Arial" w:cs="Arial"/>
          <w:color w:val="000000" w:themeColor="text1"/>
          <w:sz w:val="22"/>
          <w:szCs w:val="22"/>
          <w:lang w:val="es-ES_tradnl"/>
        </w:rPr>
        <w:t xml:space="preserve"> y se prevén medidas de educación para el emprendimiento y la innovación</w:t>
      </w:r>
      <w:r w:rsidRPr="00325B05">
        <w:rPr>
          <w:rStyle w:val="Refdenotaalpie"/>
          <w:rFonts w:ascii="Arial" w:eastAsia="Calibri" w:hAnsi="Arial" w:cs="Arial"/>
          <w:color w:val="000000" w:themeColor="text1"/>
          <w:sz w:val="22"/>
          <w:szCs w:val="22"/>
          <w:lang w:val="es-ES_tradnl"/>
        </w:rPr>
        <w:footnoteReference w:id="6"/>
      </w:r>
      <w:r w:rsidRPr="00325B05">
        <w:rPr>
          <w:rFonts w:ascii="Arial" w:eastAsia="Calibri" w:hAnsi="Arial" w:cs="Arial"/>
          <w:color w:val="000000" w:themeColor="text1"/>
          <w:sz w:val="22"/>
          <w:szCs w:val="22"/>
          <w:lang w:val="es-ES_tradnl"/>
        </w:rPr>
        <w:t>.</w:t>
      </w:r>
    </w:p>
    <w:p w14:paraId="42EFB9AA" w14:textId="45CCBAC2" w:rsidR="005C6397" w:rsidRPr="00325B05" w:rsidRDefault="005C6397" w:rsidP="005C6397">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Como se indicó, parte de la Ley </w:t>
      </w:r>
      <w:r w:rsidR="001F0325" w:rsidRPr="00325B05">
        <w:rPr>
          <w:rFonts w:ascii="Arial" w:eastAsia="Calibri" w:hAnsi="Arial" w:cs="Arial"/>
          <w:color w:val="000000" w:themeColor="text1"/>
          <w:sz w:val="22"/>
          <w:szCs w:val="22"/>
          <w:lang w:val="es-ES_tradnl"/>
        </w:rPr>
        <w:t>2069</w:t>
      </w:r>
      <w:r w:rsidRPr="00325B05">
        <w:rPr>
          <w:rFonts w:ascii="Arial" w:eastAsia="Calibri" w:hAnsi="Arial" w:cs="Arial"/>
          <w:color w:val="000000" w:themeColor="text1"/>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325B05">
        <w:rPr>
          <w:rFonts w:ascii="Arial" w:eastAsia="Calibri" w:hAnsi="Arial" w:cs="Arial"/>
          <w:color w:val="000000" w:themeColor="text1"/>
          <w:sz w:val="22"/>
          <w:szCs w:val="22"/>
          <w:lang w:val="es-ES_tradnl"/>
        </w:rPr>
        <w:t>mipymes</w:t>
      </w:r>
      <w:proofErr w:type="spellEnd"/>
      <w:r w:rsidRPr="00325B05">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325B05">
        <w:rPr>
          <w:rFonts w:ascii="Arial" w:eastAsia="Calibri" w:hAnsi="Arial" w:cs="Arial"/>
          <w:color w:val="000000" w:themeColor="text1"/>
          <w:sz w:val="22"/>
          <w:szCs w:val="22"/>
          <w:lang w:val="es-ES_tradnl"/>
        </w:rPr>
        <w:t>mipymes</w:t>
      </w:r>
      <w:proofErr w:type="spellEnd"/>
      <w:r w:rsidRPr="00325B05">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325B05">
        <w:rPr>
          <w:rFonts w:ascii="Arial" w:eastAsia="Calibri" w:hAnsi="Arial" w:cs="Arial"/>
          <w:color w:val="000000" w:themeColor="text1"/>
          <w:sz w:val="22"/>
          <w:szCs w:val="22"/>
          <w:lang w:val="es-ES_tradnl"/>
        </w:rPr>
        <w:t>mipymes</w:t>
      </w:r>
      <w:proofErr w:type="spellEnd"/>
      <w:r w:rsidRPr="00325B05">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w:t>
      </w:r>
      <w:r w:rsidR="00BA55E0" w:rsidRPr="00325B05">
        <w:rPr>
          <w:rFonts w:ascii="Arial" w:eastAsia="Calibri" w:hAnsi="Arial" w:cs="Arial"/>
          <w:color w:val="000000" w:themeColor="text1"/>
          <w:sz w:val="22"/>
          <w:szCs w:val="22"/>
          <w:lang w:val="es-ES_tradnl"/>
        </w:rPr>
        <w:t>de los artículos 34 y</w:t>
      </w:r>
      <w:r w:rsidRPr="00325B05">
        <w:rPr>
          <w:rFonts w:ascii="Arial" w:eastAsia="Calibri" w:hAnsi="Arial" w:cs="Arial"/>
          <w:color w:val="000000" w:themeColor="text1"/>
          <w:sz w:val="22"/>
          <w:szCs w:val="22"/>
          <w:lang w:val="es-ES_tradnl"/>
        </w:rPr>
        <w:t xml:space="preserve"> 35 de la referida </w:t>
      </w:r>
      <w:r w:rsidR="00D40DBF">
        <w:rPr>
          <w:rFonts w:ascii="Arial" w:eastAsia="Calibri" w:hAnsi="Arial" w:cs="Arial"/>
          <w:color w:val="000000" w:themeColor="text1"/>
          <w:sz w:val="22"/>
          <w:szCs w:val="22"/>
          <w:lang w:val="es-ES_tradnl"/>
        </w:rPr>
        <w:t>l</w:t>
      </w:r>
      <w:r w:rsidRPr="00325B05">
        <w:rPr>
          <w:rFonts w:ascii="Arial" w:eastAsia="Calibri" w:hAnsi="Arial" w:cs="Arial"/>
          <w:color w:val="000000" w:themeColor="text1"/>
          <w:sz w:val="22"/>
          <w:szCs w:val="22"/>
          <w:lang w:val="es-ES_tradnl"/>
        </w:rPr>
        <w:t>ey, a continuación se estudiará el contenido y alcance de dicha</w:t>
      </w:r>
      <w:r w:rsidR="00BA55E0" w:rsidRPr="00325B05">
        <w:rPr>
          <w:rFonts w:ascii="Arial" w:eastAsia="Calibri" w:hAnsi="Arial" w:cs="Arial"/>
          <w:color w:val="000000" w:themeColor="text1"/>
          <w:sz w:val="22"/>
          <w:szCs w:val="22"/>
          <w:lang w:val="es-ES_tradnl"/>
        </w:rPr>
        <w:t>s</w:t>
      </w:r>
      <w:r w:rsidRPr="00325B05">
        <w:rPr>
          <w:rFonts w:ascii="Arial" w:eastAsia="Calibri" w:hAnsi="Arial" w:cs="Arial"/>
          <w:color w:val="000000" w:themeColor="text1"/>
          <w:sz w:val="22"/>
          <w:szCs w:val="22"/>
          <w:lang w:val="es-ES_tradnl"/>
        </w:rPr>
        <w:t xml:space="preserve"> norma</w:t>
      </w:r>
      <w:r w:rsidR="00BA55E0" w:rsidRPr="00325B05">
        <w:rPr>
          <w:rFonts w:ascii="Arial" w:eastAsia="Calibri" w:hAnsi="Arial" w:cs="Arial"/>
          <w:color w:val="000000" w:themeColor="text1"/>
          <w:sz w:val="22"/>
          <w:szCs w:val="22"/>
          <w:lang w:val="es-ES_tradnl"/>
        </w:rPr>
        <w:t>s</w:t>
      </w:r>
      <w:r w:rsidRPr="00325B05">
        <w:rPr>
          <w:rFonts w:ascii="Arial" w:eastAsia="Calibri" w:hAnsi="Arial" w:cs="Arial"/>
          <w:color w:val="000000" w:themeColor="text1"/>
          <w:sz w:val="22"/>
          <w:szCs w:val="22"/>
          <w:lang w:val="es-ES_tradnl"/>
        </w:rPr>
        <w:t xml:space="preserve">.  </w:t>
      </w:r>
    </w:p>
    <w:p w14:paraId="60078656" w14:textId="20CE103E" w:rsidR="005C6397" w:rsidRPr="00325B05" w:rsidRDefault="005C6397" w:rsidP="00271230">
      <w:pPr>
        <w:spacing w:line="276" w:lineRule="auto"/>
        <w:jc w:val="both"/>
        <w:rPr>
          <w:rFonts w:ascii="Arial" w:eastAsia="Calibri" w:hAnsi="Arial" w:cs="Arial"/>
          <w:color w:val="000000" w:themeColor="text1"/>
          <w:sz w:val="22"/>
          <w:szCs w:val="22"/>
          <w:lang w:val="es-ES_tradnl"/>
        </w:rPr>
      </w:pPr>
    </w:p>
    <w:p w14:paraId="1C51DF3C" w14:textId="1DB0D884" w:rsidR="00A04532" w:rsidRPr="00325B05" w:rsidRDefault="00A04532" w:rsidP="00271230">
      <w:pPr>
        <w:spacing w:line="276" w:lineRule="auto"/>
        <w:jc w:val="both"/>
        <w:rPr>
          <w:rFonts w:ascii="Arial" w:eastAsia="Calibri" w:hAnsi="Arial" w:cs="Arial"/>
          <w:b/>
          <w:bCs/>
          <w:color w:val="000000" w:themeColor="text1"/>
          <w:sz w:val="22"/>
          <w:szCs w:val="22"/>
          <w:lang w:val="es-ES_tradnl"/>
        </w:rPr>
      </w:pPr>
      <w:r w:rsidRPr="00325B05">
        <w:rPr>
          <w:rFonts w:ascii="Arial" w:eastAsia="Calibri" w:hAnsi="Arial" w:cs="Arial"/>
          <w:b/>
          <w:bCs/>
          <w:color w:val="000000" w:themeColor="text1"/>
          <w:sz w:val="22"/>
          <w:szCs w:val="22"/>
          <w:lang w:val="es-ES_tradnl"/>
        </w:rPr>
        <w:t xml:space="preserve">2.2. Regulación de las convocatorias limitadas a </w:t>
      </w:r>
      <w:proofErr w:type="spellStart"/>
      <w:r w:rsidRPr="00325B05">
        <w:rPr>
          <w:rFonts w:ascii="Arial" w:eastAsia="Calibri" w:hAnsi="Arial" w:cs="Arial"/>
          <w:b/>
          <w:bCs/>
          <w:color w:val="000000" w:themeColor="text1"/>
          <w:sz w:val="22"/>
          <w:szCs w:val="22"/>
          <w:lang w:val="es-ES_tradnl"/>
        </w:rPr>
        <w:t>mipymes</w:t>
      </w:r>
      <w:proofErr w:type="spellEnd"/>
      <w:r w:rsidRPr="00325B05">
        <w:rPr>
          <w:rFonts w:ascii="Arial" w:eastAsia="Calibri" w:hAnsi="Arial" w:cs="Arial"/>
          <w:b/>
          <w:bCs/>
          <w:color w:val="000000" w:themeColor="text1"/>
          <w:sz w:val="22"/>
          <w:szCs w:val="22"/>
          <w:lang w:val="es-ES_tradnl"/>
        </w:rPr>
        <w:t xml:space="preserve"> en el artículo 34 de la Ley </w:t>
      </w:r>
      <w:r w:rsidR="001F0325" w:rsidRPr="00325B05">
        <w:rPr>
          <w:rFonts w:ascii="Arial" w:eastAsia="Calibri" w:hAnsi="Arial" w:cs="Arial"/>
          <w:b/>
          <w:bCs/>
          <w:color w:val="000000" w:themeColor="text1"/>
          <w:sz w:val="22"/>
          <w:szCs w:val="22"/>
          <w:lang w:val="es-ES_tradnl"/>
        </w:rPr>
        <w:t>2069</w:t>
      </w:r>
      <w:r w:rsidRPr="00325B05">
        <w:rPr>
          <w:rFonts w:ascii="Arial" w:eastAsia="Calibri" w:hAnsi="Arial" w:cs="Arial"/>
          <w:b/>
          <w:bCs/>
          <w:color w:val="000000" w:themeColor="text1"/>
          <w:sz w:val="22"/>
          <w:szCs w:val="22"/>
          <w:lang w:val="es-ES_tradnl"/>
        </w:rPr>
        <w:t xml:space="preserve"> de 2020. Eficacia y alcance de la potestad reglamentaria</w:t>
      </w:r>
    </w:p>
    <w:p w14:paraId="0D50FD63" w14:textId="23BCDBD8" w:rsidR="00A04532" w:rsidRPr="00325B05" w:rsidRDefault="00A04532" w:rsidP="00271230">
      <w:pPr>
        <w:spacing w:line="276" w:lineRule="auto"/>
        <w:jc w:val="both"/>
        <w:rPr>
          <w:rFonts w:ascii="Arial" w:eastAsia="Calibri" w:hAnsi="Arial" w:cs="Arial"/>
          <w:color w:val="000000" w:themeColor="text1"/>
          <w:sz w:val="22"/>
          <w:szCs w:val="22"/>
          <w:lang w:val="es-ES_tradnl"/>
        </w:rPr>
      </w:pPr>
    </w:p>
    <w:p w14:paraId="645CC861" w14:textId="13B87C8C" w:rsidR="009A2B60" w:rsidRPr="00325B05" w:rsidRDefault="00E3212A" w:rsidP="00271230">
      <w:pPr>
        <w:spacing w:line="276" w:lineRule="auto"/>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El artículo 34 de la Ley 2069 de 2020 </w:t>
      </w:r>
      <w:r w:rsidR="002A3F66" w:rsidRPr="00325B05">
        <w:rPr>
          <w:rFonts w:ascii="Arial" w:eastAsia="Calibri" w:hAnsi="Arial" w:cs="Arial"/>
          <w:color w:val="000000" w:themeColor="text1"/>
          <w:sz w:val="22"/>
          <w:szCs w:val="22"/>
          <w:lang w:val="es-ES_tradnl"/>
        </w:rPr>
        <w:t>establece</w:t>
      </w:r>
      <w:r w:rsidR="0063247E" w:rsidRPr="00325B05">
        <w:rPr>
          <w:rFonts w:ascii="Arial" w:eastAsia="Calibri" w:hAnsi="Arial" w:cs="Arial"/>
          <w:color w:val="000000" w:themeColor="text1"/>
          <w:sz w:val="22"/>
          <w:szCs w:val="22"/>
          <w:lang w:val="es-ES_tradnl"/>
        </w:rPr>
        <w:t xml:space="preserve"> nuevas reglas sobre </w:t>
      </w:r>
      <w:r w:rsidR="00F87F37" w:rsidRPr="00325B05">
        <w:rPr>
          <w:rFonts w:ascii="Arial" w:eastAsia="Calibri" w:hAnsi="Arial" w:cs="Arial"/>
          <w:color w:val="000000" w:themeColor="text1"/>
          <w:sz w:val="22"/>
          <w:szCs w:val="22"/>
          <w:lang w:val="es-ES_tradnl"/>
        </w:rPr>
        <w:t xml:space="preserve">la </w:t>
      </w:r>
      <w:r w:rsidR="0063247E" w:rsidRPr="00325B05">
        <w:rPr>
          <w:rFonts w:ascii="Arial" w:eastAsia="Calibri" w:hAnsi="Arial" w:cs="Arial"/>
          <w:color w:val="000000" w:themeColor="text1"/>
          <w:sz w:val="22"/>
          <w:szCs w:val="22"/>
          <w:lang w:val="es-ES_tradnl"/>
        </w:rPr>
        <w:t>promoción al desarrollo en la contratación estatal</w:t>
      </w:r>
      <w:r w:rsidR="000F55A8" w:rsidRPr="00325B05">
        <w:rPr>
          <w:rFonts w:ascii="Arial" w:eastAsia="Calibri" w:hAnsi="Arial" w:cs="Arial"/>
          <w:color w:val="000000" w:themeColor="text1"/>
          <w:sz w:val="22"/>
          <w:szCs w:val="22"/>
          <w:lang w:val="es-ES_tradnl"/>
        </w:rPr>
        <w:t xml:space="preserve">. Concretamente, modifica </w:t>
      </w:r>
      <w:r w:rsidR="00D500ED" w:rsidRPr="00325B05">
        <w:rPr>
          <w:rFonts w:ascii="Arial" w:eastAsia="Calibri" w:hAnsi="Arial" w:cs="Arial"/>
          <w:color w:val="000000" w:themeColor="text1"/>
          <w:sz w:val="22"/>
          <w:szCs w:val="22"/>
          <w:lang w:val="es-ES_tradnl"/>
        </w:rPr>
        <w:t>el contenido del artículo 12 de la Ley 1150 de 2007</w:t>
      </w:r>
      <w:r w:rsidR="00903C57" w:rsidRPr="00325B05">
        <w:rPr>
          <w:rStyle w:val="Refdenotaalpie"/>
          <w:rFonts w:ascii="Arial" w:eastAsia="Calibri" w:hAnsi="Arial" w:cs="Arial"/>
          <w:color w:val="000000" w:themeColor="text1"/>
          <w:sz w:val="22"/>
          <w:szCs w:val="22"/>
          <w:lang w:val="es-ES_tradnl"/>
        </w:rPr>
        <w:footnoteReference w:id="7"/>
      </w:r>
      <w:r w:rsidR="007E7E80" w:rsidRPr="00325B05">
        <w:rPr>
          <w:rFonts w:ascii="Arial" w:eastAsia="Calibri" w:hAnsi="Arial" w:cs="Arial"/>
          <w:color w:val="000000" w:themeColor="text1"/>
          <w:sz w:val="22"/>
          <w:szCs w:val="22"/>
          <w:lang w:val="es-ES_tradnl"/>
        </w:rPr>
        <w:t xml:space="preserve">, prescribiendo </w:t>
      </w:r>
      <w:r w:rsidR="00D11687" w:rsidRPr="00325B05">
        <w:rPr>
          <w:rFonts w:ascii="Arial" w:eastAsia="Calibri" w:hAnsi="Arial" w:cs="Arial"/>
          <w:color w:val="000000" w:themeColor="text1"/>
          <w:sz w:val="22"/>
          <w:szCs w:val="22"/>
          <w:lang w:val="es-ES_tradnl"/>
        </w:rPr>
        <w:t>lo que se indica a continuación</w:t>
      </w:r>
      <w:r w:rsidR="007E7E80" w:rsidRPr="00325B05">
        <w:rPr>
          <w:rFonts w:ascii="Arial" w:eastAsia="Calibri" w:hAnsi="Arial" w:cs="Arial"/>
          <w:color w:val="000000" w:themeColor="text1"/>
          <w:sz w:val="22"/>
          <w:szCs w:val="22"/>
          <w:lang w:val="es-ES_tradnl"/>
        </w:rPr>
        <w:t>:</w:t>
      </w:r>
    </w:p>
    <w:p w14:paraId="04501723" w14:textId="7DE0E9FC" w:rsidR="007E7E80" w:rsidRPr="00325B05" w:rsidRDefault="007E7E80" w:rsidP="009A2B60">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lastRenderedPageBreak/>
        <w:t xml:space="preserve">i) </w:t>
      </w:r>
      <w:r w:rsidR="00741B0C" w:rsidRPr="00325B05">
        <w:rPr>
          <w:rFonts w:ascii="Arial" w:eastAsia="Calibri" w:hAnsi="Arial" w:cs="Arial"/>
          <w:color w:val="000000" w:themeColor="text1"/>
          <w:sz w:val="22"/>
          <w:szCs w:val="22"/>
          <w:lang w:val="es-ES_tradnl"/>
        </w:rPr>
        <w:t xml:space="preserve">Encomienda, con carácter imperativo, al gobierno nacional </w:t>
      </w:r>
      <w:r w:rsidR="00255AD7" w:rsidRPr="00325B05">
        <w:rPr>
          <w:rFonts w:ascii="Arial" w:eastAsia="Calibri" w:hAnsi="Arial" w:cs="Arial"/>
          <w:color w:val="000000" w:themeColor="text1"/>
          <w:sz w:val="22"/>
          <w:szCs w:val="22"/>
          <w:lang w:val="es-ES_tradnl"/>
        </w:rPr>
        <w:t>definir</w:t>
      </w:r>
      <w:r w:rsidR="00741B0C" w:rsidRPr="00325B05">
        <w:rPr>
          <w:rFonts w:ascii="Arial" w:eastAsia="Calibri" w:hAnsi="Arial" w:cs="Arial"/>
          <w:color w:val="000000" w:themeColor="text1"/>
          <w:sz w:val="22"/>
          <w:szCs w:val="22"/>
          <w:lang w:val="es-ES_tradnl"/>
        </w:rPr>
        <w:t xml:space="preserve"> </w:t>
      </w:r>
      <w:r w:rsidR="00C2186B" w:rsidRPr="00325B05">
        <w:rPr>
          <w:rFonts w:ascii="Arial" w:eastAsia="Calibri" w:hAnsi="Arial" w:cs="Arial"/>
          <w:color w:val="000000" w:themeColor="text1"/>
          <w:sz w:val="22"/>
          <w:szCs w:val="22"/>
          <w:lang w:val="es-ES_tradnl"/>
        </w:rPr>
        <w:t>las condiciones y los montos para que las entidades estatales</w:t>
      </w:r>
      <w:r w:rsidR="003F02A2" w:rsidRPr="00325B05">
        <w:rPr>
          <w:rFonts w:ascii="Arial" w:eastAsia="Calibri" w:hAnsi="Arial" w:cs="Arial"/>
          <w:color w:val="000000" w:themeColor="text1"/>
          <w:sz w:val="22"/>
          <w:szCs w:val="22"/>
          <w:lang w:val="es-ES_tradnl"/>
        </w:rPr>
        <w:t xml:space="preserve"> –cualquiera sea su régimen contractual–</w:t>
      </w:r>
      <w:r w:rsidR="003D4F41" w:rsidRPr="00325B05">
        <w:rPr>
          <w:rFonts w:ascii="Arial" w:eastAsia="Calibri" w:hAnsi="Arial" w:cs="Arial"/>
          <w:color w:val="000000" w:themeColor="text1"/>
          <w:sz w:val="22"/>
          <w:szCs w:val="22"/>
          <w:lang w:val="es-ES_tradnl"/>
        </w:rPr>
        <w:t>, los patrimonios autónomos constituidos por aquellas y los particulares que administren recursos públicos</w:t>
      </w:r>
      <w:r w:rsidR="003F02A2" w:rsidRPr="00325B05">
        <w:rPr>
          <w:rFonts w:ascii="Arial" w:eastAsia="Calibri" w:hAnsi="Arial" w:cs="Arial"/>
          <w:color w:val="000000" w:themeColor="text1"/>
          <w:sz w:val="22"/>
          <w:szCs w:val="22"/>
          <w:lang w:val="es-ES_tradnl"/>
        </w:rPr>
        <w:t xml:space="preserve">, efectúen convocatorias limitadas a </w:t>
      </w:r>
      <w:proofErr w:type="spellStart"/>
      <w:r w:rsidR="00AA47FA" w:rsidRPr="00325B05">
        <w:rPr>
          <w:rFonts w:ascii="Arial" w:eastAsia="Calibri" w:hAnsi="Arial" w:cs="Arial"/>
          <w:color w:val="000000" w:themeColor="text1"/>
          <w:sz w:val="22"/>
          <w:szCs w:val="22"/>
          <w:lang w:val="es-ES_tradnl"/>
        </w:rPr>
        <w:t>m</w:t>
      </w:r>
      <w:r w:rsidR="003F02A2" w:rsidRPr="00325B05">
        <w:rPr>
          <w:rFonts w:ascii="Arial" w:eastAsia="Calibri" w:hAnsi="Arial" w:cs="Arial"/>
          <w:color w:val="000000" w:themeColor="text1"/>
          <w:sz w:val="22"/>
          <w:szCs w:val="22"/>
          <w:lang w:val="es-ES_tradnl"/>
        </w:rPr>
        <w:t>ipymes</w:t>
      </w:r>
      <w:proofErr w:type="spellEnd"/>
      <w:r w:rsidR="00206F4D" w:rsidRPr="00325B05">
        <w:rPr>
          <w:rFonts w:ascii="Arial" w:eastAsia="Calibri" w:hAnsi="Arial" w:cs="Arial"/>
          <w:color w:val="000000" w:themeColor="text1"/>
          <w:sz w:val="22"/>
          <w:szCs w:val="22"/>
          <w:lang w:val="es-ES_tradnl"/>
        </w:rPr>
        <w:t xml:space="preserve"> en los procesos de contratación.</w:t>
      </w:r>
      <w:r w:rsidR="0082520B" w:rsidRPr="00325B05">
        <w:rPr>
          <w:rFonts w:ascii="Arial" w:eastAsia="Calibri" w:hAnsi="Arial" w:cs="Arial"/>
          <w:color w:val="000000" w:themeColor="text1"/>
          <w:sz w:val="22"/>
          <w:szCs w:val="22"/>
          <w:lang w:val="es-ES_tradnl"/>
        </w:rPr>
        <w:t xml:space="preserve"> </w:t>
      </w:r>
      <w:r w:rsidR="00DC50AA" w:rsidRPr="00325B05">
        <w:rPr>
          <w:rFonts w:ascii="Arial" w:eastAsia="Calibri" w:hAnsi="Arial" w:cs="Arial"/>
          <w:color w:val="000000" w:themeColor="text1"/>
          <w:sz w:val="22"/>
          <w:szCs w:val="22"/>
          <w:lang w:val="es-ES_tradnl"/>
        </w:rPr>
        <w:t xml:space="preserve">Y agrega que estas convocatorias se pueden realizar </w:t>
      </w:r>
      <w:r w:rsidR="003D65E0" w:rsidRPr="00325B05">
        <w:rPr>
          <w:rFonts w:ascii="Arial" w:eastAsia="Calibri" w:hAnsi="Arial" w:cs="Arial"/>
          <w:color w:val="000000" w:themeColor="text1"/>
          <w:sz w:val="22"/>
          <w:szCs w:val="22"/>
          <w:lang w:val="es-ES_tradnl"/>
        </w:rPr>
        <w:t>también en el ámbito municipal o departamental en el que se ejecute el contrato.</w:t>
      </w:r>
      <w:r w:rsidR="00DC50AA" w:rsidRPr="00325B05">
        <w:rPr>
          <w:rFonts w:ascii="Arial" w:eastAsia="Calibri" w:hAnsi="Arial" w:cs="Arial"/>
          <w:color w:val="000000" w:themeColor="text1"/>
          <w:sz w:val="22"/>
          <w:szCs w:val="22"/>
          <w:lang w:val="es-ES_tradnl"/>
        </w:rPr>
        <w:t xml:space="preserve"> </w:t>
      </w:r>
    </w:p>
    <w:p w14:paraId="3B240066" w14:textId="1ADE6963" w:rsidR="00AA47FA" w:rsidRPr="00325B05" w:rsidRDefault="00206F4D" w:rsidP="009A2B60">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ii) Indica que</w:t>
      </w:r>
      <w:r w:rsidR="005E665F" w:rsidRPr="00325B05">
        <w:rPr>
          <w:rFonts w:ascii="Arial" w:eastAsia="Calibri" w:hAnsi="Arial" w:cs="Arial"/>
          <w:color w:val="000000" w:themeColor="text1"/>
          <w:sz w:val="22"/>
          <w:szCs w:val="22"/>
          <w:lang w:val="es-ES_tradnl"/>
        </w:rPr>
        <w:t xml:space="preserve"> dichas convocatorias se deben efectuar –y así lo deberá reglamentar el gobierno nacional–</w:t>
      </w:r>
      <w:r w:rsidR="009A2B60" w:rsidRPr="00325B05">
        <w:rPr>
          <w:rFonts w:ascii="Arial" w:eastAsia="Calibri" w:hAnsi="Arial" w:cs="Arial"/>
          <w:color w:val="000000" w:themeColor="text1"/>
          <w:sz w:val="22"/>
          <w:szCs w:val="22"/>
          <w:lang w:val="es-ES_tradnl"/>
        </w:rPr>
        <w:t xml:space="preserve"> siempre </w:t>
      </w:r>
      <w:r w:rsidR="00D22BDD" w:rsidRPr="00325B05">
        <w:rPr>
          <w:rFonts w:ascii="Arial" w:eastAsia="Calibri" w:hAnsi="Arial" w:cs="Arial"/>
          <w:color w:val="000000" w:themeColor="text1"/>
          <w:sz w:val="22"/>
          <w:szCs w:val="22"/>
          <w:lang w:val="es-ES_tradnl"/>
        </w:rPr>
        <w:t>y cuando,</w:t>
      </w:r>
      <w:r w:rsidR="009A2B60" w:rsidRPr="00325B05">
        <w:rPr>
          <w:rFonts w:ascii="Arial" w:eastAsia="Calibri" w:hAnsi="Arial" w:cs="Arial"/>
          <w:color w:val="000000" w:themeColor="text1"/>
          <w:sz w:val="22"/>
          <w:szCs w:val="22"/>
          <w:lang w:val="es-ES_tradnl"/>
        </w:rPr>
        <w:t xml:space="preserve"> antes del acto administrativo de apertura del proceso de selección</w:t>
      </w:r>
      <w:r w:rsidR="00D22BDD" w:rsidRPr="00325B05">
        <w:rPr>
          <w:rFonts w:ascii="Arial" w:eastAsia="Calibri" w:hAnsi="Arial" w:cs="Arial"/>
          <w:color w:val="000000" w:themeColor="text1"/>
          <w:sz w:val="22"/>
          <w:szCs w:val="22"/>
          <w:lang w:val="es-ES_tradnl"/>
        </w:rPr>
        <w:t>,</w:t>
      </w:r>
      <w:r w:rsidR="009A2B60" w:rsidRPr="00325B05">
        <w:rPr>
          <w:rFonts w:ascii="Arial" w:eastAsia="Calibri" w:hAnsi="Arial" w:cs="Arial"/>
          <w:color w:val="000000" w:themeColor="text1"/>
          <w:sz w:val="22"/>
          <w:szCs w:val="22"/>
          <w:lang w:val="es-ES_tradnl"/>
        </w:rPr>
        <w:t xml:space="preserve"> </w:t>
      </w:r>
      <w:r w:rsidR="00AA47FA" w:rsidRPr="00325B05">
        <w:rPr>
          <w:rFonts w:ascii="Arial" w:eastAsia="Calibri" w:hAnsi="Arial" w:cs="Arial"/>
          <w:color w:val="000000" w:themeColor="text1"/>
          <w:sz w:val="22"/>
          <w:szCs w:val="22"/>
          <w:lang w:val="es-ES_tradnl"/>
        </w:rPr>
        <w:t>por lo menos dos</w:t>
      </w:r>
      <w:r w:rsidR="00857638" w:rsidRPr="00325B05">
        <w:rPr>
          <w:rFonts w:ascii="Arial" w:eastAsia="Calibri" w:hAnsi="Arial" w:cs="Arial"/>
          <w:color w:val="000000" w:themeColor="text1"/>
          <w:sz w:val="22"/>
          <w:szCs w:val="22"/>
          <w:lang w:val="es-ES_tradnl"/>
        </w:rPr>
        <w:t xml:space="preserve"> (2)</w:t>
      </w:r>
      <w:r w:rsidR="00AA47FA" w:rsidRPr="00325B05">
        <w:rPr>
          <w:rFonts w:ascii="Arial" w:eastAsia="Calibri" w:hAnsi="Arial" w:cs="Arial"/>
          <w:color w:val="000000" w:themeColor="text1"/>
          <w:sz w:val="22"/>
          <w:szCs w:val="22"/>
          <w:lang w:val="es-ES_tradnl"/>
        </w:rPr>
        <w:t xml:space="preserve"> </w:t>
      </w:r>
      <w:proofErr w:type="spellStart"/>
      <w:r w:rsidR="00AA47FA" w:rsidRPr="00325B05">
        <w:rPr>
          <w:rFonts w:ascii="Arial" w:eastAsia="Calibri" w:hAnsi="Arial" w:cs="Arial"/>
          <w:color w:val="000000" w:themeColor="text1"/>
          <w:sz w:val="22"/>
          <w:szCs w:val="22"/>
          <w:lang w:val="es-ES_tradnl"/>
        </w:rPr>
        <w:t>mipymes</w:t>
      </w:r>
      <w:proofErr w:type="spellEnd"/>
      <w:r w:rsidR="00AA47FA" w:rsidRPr="00325B05">
        <w:rPr>
          <w:rFonts w:ascii="Arial" w:eastAsia="Calibri" w:hAnsi="Arial" w:cs="Arial"/>
          <w:color w:val="000000" w:themeColor="text1"/>
          <w:sz w:val="22"/>
          <w:szCs w:val="22"/>
          <w:lang w:val="es-ES_tradnl"/>
        </w:rPr>
        <w:t xml:space="preserve"> hayan manifestado su interés.</w:t>
      </w:r>
    </w:p>
    <w:p w14:paraId="065EDECD" w14:textId="7D4261AC" w:rsidR="00597516" w:rsidRPr="00325B05" w:rsidRDefault="00AA47FA" w:rsidP="009A2B60">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iii) Determina que uno de los parámetros que deberá tener en cuenta el gobierno nacional para </w:t>
      </w:r>
      <w:r w:rsidR="001858C9" w:rsidRPr="00325B05">
        <w:rPr>
          <w:rFonts w:ascii="Arial" w:eastAsia="Calibri" w:hAnsi="Arial" w:cs="Arial"/>
          <w:color w:val="000000" w:themeColor="text1"/>
          <w:sz w:val="22"/>
          <w:szCs w:val="22"/>
          <w:lang w:val="es-ES_tradnl"/>
        </w:rPr>
        <w:t>reglamentar</w:t>
      </w:r>
      <w:r w:rsidRPr="00325B05">
        <w:rPr>
          <w:rFonts w:ascii="Arial" w:eastAsia="Calibri" w:hAnsi="Arial" w:cs="Arial"/>
          <w:color w:val="000000" w:themeColor="text1"/>
          <w:sz w:val="22"/>
          <w:szCs w:val="22"/>
          <w:lang w:val="es-ES_tradnl"/>
        </w:rPr>
        <w:t xml:space="preserve"> la mate</w:t>
      </w:r>
      <w:r w:rsidR="00400A1B" w:rsidRPr="00325B05">
        <w:rPr>
          <w:rFonts w:ascii="Arial" w:eastAsia="Calibri" w:hAnsi="Arial" w:cs="Arial"/>
          <w:color w:val="000000" w:themeColor="text1"/>
          <w:sz w:val="22"/>
          <w:szCs w:val="22"/>
          <w:lang w:val="es-ES_tradnl"/>
        </w:rPr>
        <w:t xml:space="preserve">ria </w:t>
      </w:r>
      <w:r w:rsidR="006A6D7B" w:rsidRPr="00325B05">
        <w:rPr>
          <w:rFonts w:ascii="Arial" w:eastAsia="Calibri" w:hAnsi="Arial" w:cs="Arial"/>
          <w:color w:val="000000" w:themeColor="text1"/>
          <w:sz w:val="22"/>
          <w:szCs w:val="22"/>
          <w:lang w:val="es-ES_tradnl"/>
        </w:rPr>
        <w:t>es el cumplimiento de</w:t>
      </w:r>
      <w:r w:rsidR="00400A1B" w:rsidRPr="00325B05">
        <w:rPr>
          <w:rFonts w:ascii="Arial" w:eastAsia="Calibri" w:hAnsi="Arial" w:cs="Arial"/>
          <w:color w:val="000000" w:themeColor="text1"/>
          <w:sz w:val="22"/>
          <w:szCs w:val="22"/>
          <w:lang w:val="es-ES_tradnl"/>
        </w:rPr>
        <w:t xml:space="preserve"> los compromisos internacionales vigentes. Es decir que se deberán considerar las estipulaciones</w:t>
      </w:r>
      <w:r w:rsidR="00597516" w:rsidRPr="00325B05">
        <w:rPr>
          <w:rFonts w:ascii="Arial" w:eastAsia="Calibri" w:hAnsi="Arial" w:cs="Arial"/>
          <w:color w:val="000000" w:themeColor="text1"/>
          <w:sz w:val="22"/>
          <w:szCs w:val="22"/>
          <w:lang w:val="es-ES_tradnl"/>
        </w:rPr>
        <w:t xml:space="preserve"> contenidas en los tratados comerciales suscritos entre Colombia y otros Estados.</w:t>
      </w:r>
    </w:p>
    <w:p w14:paraId="7C504D48" w14:textId="74451E22" w:rsidR="00D175B2" w:rsidRPr="00325B05" w:rsidRDefault="00597516" w:rsidP="009A2B60">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iv)</w:t>
      </w:r>
      <w:r w:rsidR="00AA31C5" w:rsidRPr="00325B05">
        <w:rPr>
          <w:rFonts w:ascii="Arial" w:eastAsia="Calibri" w:hAnsi="Arial" w:cs="Arial"/>
          <w:color w:val="000000" w:themeColor="text1"/>
          <w:sz w:val="22"/>
          <w:szCs w:val="22"/>
          <w:lang w:val="es-ES_tradnl"/>
        </w:rPr>
        <w:t xml:space="preserve"> </w:t>
      </w:r>
      <w:r w:rsidR="00244FC3" w:rsidRPr="00325B05">
        <w:rPr>
          <w:rFonts w:ascii="Arial" w:eastAsia="Calibri" w:hAnsi="Arial" w:cs="Arial"/>
          <w:color w:val="000000" w:themeColor="text1"/>
          <w:sz w:val="22"/>
          <w:szCs w:val="22"/>
          <w:lang w:val="es-ES_tradnl"/>
        </w:rPr>
        <w:t>Establece que</w:t>
      </w:r>
      <w:r w:rsidR="001858C9" w:rsidRPr="00325B05">
        <w:rPr>
          <w:rFonts w:ascii="Arial" w:eastAsia="Calibri" w:hAnsi="Arial" w:cs="Arial"/>
          <w:color w:val="000000" w:themeColor="text1"/>
          <w:sz w:val="22"/>
          <w:szCs w:val="22"/>
          <w:lang w:val="es-ES_tradnl"/>
        </w:rPr>
        <w:t>,</w:t>
      </w:r>
      <w:r w:rsidR="00244FC3" w:rsidRPr="00325B05">
        <w:rPr>
          <w:rFonts w:ascii="Arial" w:eastAsia="Calibri" w:hAnsi="Arial" w:cs="Arial"/>
          <w:color w:val="000000" w:themeColor="text1"/>
          <w:sz w:val="22"/>
          <w:szCs w:val="22"/>
          <w:lang w:val="es-ES_tradnl"/>
        </w:rPr>
        <w:t xml:space="preserve"> en el reglamento</w:t>
      </w:r>
      <w:r w:rsidR="001858C9" w:rsidRPr="00325B05">
        <w:rPr>
          <w:rFonts w:ascii="Arial" w:eastAsia="Calibri" w:hAnsi="Arial" w:cs="Arial"/>
          <w:color w:val="000000" w:themeColor="text1"/>
          <w:sz w:val="22"/>
          <w:szCs w:val="22"/>
          <w:lang w:val="es-ES_tradnl"/>
        </w:rPr>
        <w:t>,</w:t>
      </w:r>
      <w:r w:rsidR="00244FC3" w:rsidRPr="00325B05">
        <w:rPr>
          <w:rFonts w:ascii="Arial" w:eastAsia="Calibri" w:hAnsi="Arial" w:cs="Arial"/>
          <w:color w:val="000000" w:themeColor="text1"/>
          <w:sz w:val="22"/>
          <w:szCs w:val="22"/>
          <w:lang w:val="es-ES_tradnl"/>
        </w:rPr>
        <w:t xml:space="preserve"> el gobierno nacional podría</w:t>
      </w:r>
      <w:r w:rsidR="00D175B2" w:rsidRPr="00325B05">
        <w:rPr>
          <w:rFonts w:ascii="Arial" w:eastAsia="Calibri" w:hAnsi="Arial" w:cs="Arial"/>
          <w:color w:val="000000" w:themeColor="text1"/>
          <w:sz w:val="22"/>
          <w:szCs w:val="22"/>
          <w:lang w:val="es-ES_tradnl"/>
        </w:rPr>
        <w:t xml:space="preserve"> establecer condiciones preferenciales para los bienes y servicios producidos por las </w:t>
      </w:r>
      <w:proofErr w:type="spellStart"/>
      <w:r w:rsidR="00D175B2" w:rsidRPr="00325B05">
        <w:rPr>
          <w:rFonts w:ascii="Arial" w:eastAsia="Calibri" w:hAnsi="Arial" w:cs="Arial"/>
          <w:color w:val="000000" w:themeColor="text1"/>
          <w:sz w:val="22"/>
          <w:szCs w:val="22"/>
          <w:lang w:val="es-ES_tradnl"/>
        </w:rPr>
        <w:t>mipymes</w:t>
      </w:r>
      <w:proofErr w:type="spellEnd"/>
      <w:r w:rsidR="00D26DE7" w:rsidRPr="00325B05">
        <w:rPr>
          <w:rFonts w:ascii="Arial" w:eastAsia="Calibri" w:hAnsi="Arial" w:cs="Arial"/>
          <w:color w:val="000000" w:themeColor="text1"/>
          <w:sz w:val="22"/>
          <w:szCs w:val="22"/>
          <w:lang w:val="es-ES_tradnl"/>
        </w:rPr>
        <w:t xml:space="preserve">, sin contrariar los </w:t>
      </w:r>
      <w:r w:rsidR="00AA31C5" w:rsidRPr="00325B05">
        <w:rPr>
          <w:rFonts w:ascii="Arial" w:eastAsia="Calibri" w:hAnsi="Arial" w:cs="Arial"/>
          <w:color w:val="000000" w:themeColor="text1"/>
          <w:sz w:val="22"/>
          <w:szCs w:val="22"/>
          <w:lang w:val="es-ES_tradnl"/>
        </w:rPr>
        <w:t>compromisos internacionales</w:t>
      </w:r>
      <w:r w:rsidR="00D26DE7" w:rsidRPr="00325B05">
        <w:rPr>
          <w:rFonts w:ascii="Arial" w:eastAsia="Calibri" w:hAnsi="Arial" w:cs="Arial"/>
          <w:color w:val="000000" w:themeColor="text1"/>
          <w:sz w:val="22"/>
          <w:szCs w:val="22"/>
          <w:lang w:val="es-ES_tradnl"/>
        </w:rPr>
        <w:t xml:space="preserve"> vigentes.</w:t>
      </w:r>
    </w:p>
    <w:p w14:paraId="45F36E6C" w14:textId="3D4CFBCB" w:rsidR="005A1F51" w:rsidRPr="00325B05" w:rsidRDefault="00D175B2" w:rsidP="009A2B60">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v) </w:t>
      </w:r>
      <w:r w:rsidR="009A2B60" w:rsidRPr="00325B05">
        <w:rPr>
          <w:rFonts w:ascii="Arial" w:eastAsia="Calibri" w:hAnsi="Arial" w:cs="Arial"/>
          <w:color w:val="000000" w:themeColor="text1"/>
          <w:sz w:val="22"/>
          <w:szCs w:val="22"/>
          <w:lang w:val="es-ES_tradnl"/>
        </w:rPr>
        <w:t xml:space="preserve"> </w:t>
      </w:r>
      <w:r w:rsidR="00AA31C5" w:rsidRPr="00325B05">
        <w:rPr>
          <w:rFonts w:ascii="Arial" w:eastAsia="Calibri" w:hAnsi="Arial" w:cs="Arial"/>
          <w:color w:val="000000" w:themeColor="text1"/>
          <w:sz w:val="22"/>
          <w:szCs w:val="22"/>
          <w:lang w:val="es-ES_tradnl"/>
        </w:rPr>
        <w:t xml:space="preserve">Aclara que tanto las convocatorias limitadas a </w:t>
      </w:r>
      <w:proofErr w:type="spellStart"/>
      <w:r w:rsidR="00AA31C5" w:rsidRPr="00325B05">
        <w:rPr>
          <w:rFonts w:ascii="Arial" w:eastAsia="Calibri" w:hAnsi="Arial" w:cs="Arial"/>
          <w:color w:val="000000" w:themeColor="text1"/>
          <w:sz w:val="22"/>
          <w:szCs w:val="22"/>
          <w:lang w:val="es-ES_tradnl"/>
        </w:rPr>
        <w:t>mipymes</w:t>
      </w:r>
      <w:proofErr w:type="spellEnd"/>
      <w:r w:rsidR="00AA31C5" w:rsidRPr="00325B05">
        <w:rPr>
          <w:rFonts w:ascii="Arial" w:eastAsia="Calibri" w:hAnsi="Arial" w:cs="Arial"/>
          <w:color w:val="000000" w:themeColor="text1"/>
          <w:sz w:val="22"/>
          <w:szCs w:val="22"/>
          <w:lang w:val="es-ES_tradnl"/>
        </w:rPr>
        <w:t>, como</w:t>
      </w:r>
      <w:r w:rsidR="00977F52" w:rsidRPr="00325B05">
        <w:rPr>
          <w:rFonts w:ascii="Arial" w:eastAsia="Calibri" w:hAnsi="Arial" w:cs="Arial"/>
          <w:color w:val="000000" w:themeColor="text1"/>
          <w:sz w:val="22"/>
          <w:szCs w:val="22"/>
          <w:lang w:val="es-ES_tradnl"/>
        </w:rPr>
        <w:t xml:space="preserve"> las condiciones preferenciales a favor de los bienes y servicios producidos por estas, no es óbice para que deban cumplir l</w:t>
      </w:r>
      <w:r w:rsidR="005A1F51" w:rsidRPr="00325B05">
        <w:rPr>
          <w:rFonts w:ascii="Arial" w:eastAsia="Calibri" w:hAnsi="Arial" w:cs="Arial"/>
          <w:color w:val="000000" w:themeColor="text1"/>
          <w:sz w:val="22"/>
          <w:szCs w:val="22"/>
          <w:lang w:val="es-ES_tradnl"/>
        </w:rPr>
        <w:t xml:space="preserve">as </w:t>
      </w:r>
      <w:r w:rsidR="00AD30DB" w:rsidRPr="00325B05">
        <w:rPr>
          <w:rFonts w:ascii="Arial" w:eastAsia="Calibri" w:hAnsi="Arial" w:cs="Arial"/>
          <w:color w:val="000000" w:themeColor="text1"/>
          <w:sz w:val="22"/>
          <w:szCs w:val="22"/>
          <w:lang w:val="es-ES_tradnl"/>
        </w:rPr>
        <w:t>exigencias</w:t>
      </w:r>
      <w:r w:rsidR="005A1F51" w:rsidRPr="00325B05">
        <w:rPr>
          <w:rFonts w:ascii="Arial" w:eastAsia="Calibri" w:hAnsi="Arial" w:cs="Arial"/>
          <w:color w:val="000000" w:themeColor="text1"/>
          <w:sz w:val="22"/>
          <w:szCs w:val="22"/>
          <w:lang w:val="es-ES_tradnl"/>
        </w:rPr>
        <w:t xml:space="preserve"> técnicas y económicas </w:t>
      </w:r>
      <w:r w:rsidR="00AD30DB" w:rsidRPr="00325B05">
        <w:rPr>
          <w:rFonts w:ascii="Arial" w:eastAsia="Calibri" w:hAnsi="Arial" w:cs="Arial"/>
          <w:color w:val="000000" w:themeColor="text1"/>
          <w:sz w:val="22"/>
          <w:szCs w:val="22"/>
          <w:lang w:val="es-ES_tradnl"/>
        </w:rPr>
        <w:t>d</w:t>
      </w:r>
      <w:r w:rsidR="005A1F51" w:rsidRPr="00325B05">
        <w:rPr>
          <w:rFonts w:ascii="Arial" w:eastAsia="Calibri" w:hAnsi="Arial" w:cs="Arial"/>
          <w:color w:val="000000" w:themeColor="text1"/>
          <w:sz w:val="22"/>
          <w:szCs w:val="22"/>
          <w:lang w:val="es-ES_tradnl"/>
        </w:rPr>
        <w:t>el proceso de selección.</w:t>
      </w:r>
    </w:p>
    <w:p w14:paraId="41608704" w14:textId="37352778" w:rsidR="009E7068" w:rsidRPr="00325B05" w:rsidRDefault="005A1F51" w:rsidP="003A058E">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vi) </w:t>
      </w:r>
      <w:r w:rsidR="002C0589" w:rsidRPr="00325B05">
        <w:rPr>
          <w:rFonts w:ascii="Arial" w:eastAsia="Calibri" w:hAnsi="Arial" w:cs="Arial"/>
          <w:color w:val="000000" w:themeColor="text1"/>
          <w:sz w:val="22"/>
          <w:szCs w:val="22"/>
          <w:lang w:val="es-ES_tradnl"/>
        </w:rPr>
        <w:t>Señala que el reglamento que expida el gobierno nacional</w:t>
      </w:r>
      <w:r w:rsidR="00446709" w:rsidRPr="00325B05">
        <w:rPr>
          <w:rFonts w:ascii="Arial" w:eastAsia="Calibri" w:hAnsi="Arial" w:cs="Arial"/>
          <w:color w:val="000000" w:themeColor="text1"/>
          <w:sz w:val="22"/>
          <w:szCs w:val="22"/>
          <w:lang w:val="es-ES_tradnl"/>
        </w:rPr>
        <w:t xml:space="preserve">, además de las convocatorias limitadas a </w:t>
      </w:r>
      <w:proofErr w:type="spellStart"/>
      <w:r w:rsidR="00446709" w:rsidRPr="00325B05">
        <w:rPr>
          <w:rFonts w:ascii="Arial" w:eastAsia="Calibri" w:hAnsi="Arial" w:cs="Arial"/>
          <w:color w:val="000000" w:themeColor="text1"/>
          <w:sz w:val="22"/>
          <w:szCs w:val="22"/>
          <w:lang w:val="es-ES_tradnl"/>
        </w:rPr>
        <w:t>mipymes</w:t>
      </w:r>
      <w:proofErr w:type="spellEnd"/>
      <w:r w:rsidR="00446709" w:rsidRPr="00325B05">
        <w:rPr>
          <w:rFonts w:ascii="Arial" w:eastAsia="Calibri" w:hAnsi="Arial" w:cs="Arial"/>
          <w:color w:val="000000" w:themeColor="text1"/>
          <w:sz w:val="22"/>
          <w:szCs w:val="22"/>
          <w:lang w:val="es-ES_tradnl"/>
        </w:rPr>
        <w:t xml:space="preserve">, deberá contener disposiciones normativas que </w:t>
      </w:r>
      <w:r w:rsidR="00446709" w:rsidRPr="00325B05">
        <w:rPr>
          <w:rFonts w:ascii="Arial" w:eastAsia="Calibri" w:hAnsi="Arial" w:cs="Arial"/>
          <w:color w:val="000000" w:themeColor="text1"/>
          <w:sz w:val="22"/>
          <w:szCs w:val="22"/>
          <w:lang w:val="es-ES_tradnl"/>
        </w:rPr>
        <w:lastRenderedPageBreak/>
        <w:t>permitan la provisión de bienes y servicios, a través de la celebración de contratos estatales</w:t>
      </w:r>
      <w:r w:rsidR="00C04F1B" w:rsidRPr="00325B05">
        <w:rPr>
          <w:rFonts w:ascii="Arial" w:eastAsia="Calibri" w:hAnsi="Arial" w:cs="Arial"/>
          <w:color w:val="000000" w:themeColor="text1"/>
          <w:sz w:val="22"/>
          <w:szCs w:val="22"/>
          <w:lang w:val="es-ES_tradnl"/>
        </w:rPr>
        <w:t xml:space="preserve"> con </w:t>
      </w:r>
      <w:r w:rsidR="00446709" w:rsidRPr="00325B05">
        <w:rPr>
          <w:rFonts w:ascii="Arial" w:eastAsia="Calibri" w:hAnsi="Arial" w:cs="Arial"/>
          <w:color w:val="000000" w:themeColor="text1"/>
          <w:sz w:val="22"/>
          <w:szCs w:val="22"/>
          <w:lang w:val="es-ES_tradnl"/>
        </w:rPr>
        <w:t>algunas personas que gozan de especial protección constitucional.</w:t>
      </w:r>
      <w:r w:rsidR="00206F4D" w:rsidRPr="00325B05">
        <w:rPr>
          <w:rFonts w:ascii="Arial" w:eastAsia="Calibri" w:hAnsi="Arial" w:cs="Arial"/>
          <w:color w:val="000000" w:themeColor="text1"/>
          <w:sz w:val="22"/>
          <w:szCs w:val="22"/>
          <w:lang w:val="es-ES_tradnl"/>
        </w:rPr>
        <w:t xml:space="preserve"> </w:t>
      </w:r>
      <w:r w:rsidR="00C04F1B" w:rsidRPr="00325B05">
        <w:rPr>
          <w:rFonts w:ascii="Arial" w:eastAsia="Calibri" w:hAnsi="Arial" w:cs="Arial"/>
          <w:color w:val="000000" w:themeColor="text1"/>
          <w:sz w:val="22"/>
          <w:szCs w:val="22"/>
          <w:lang w:val="es-ES_tradnl"/>
        </w:rPr>
        <w:t>Entre tales personas se encuentran</w:t>
      </w:r>
      <w:r w:rsidR="00785FB2" w:rsidRPr="00325B05">
        <w:rPr>
          <w:rFonts w:ascii="Arial" w:eastAsia="Calibri" w:hAnsi="Arial" w:cs="Arial"/>
          <w:color w:val="000000" w:themeColor="text1"/>
          <w:sz w:val="22"/>
          <w:szCs w:val="22"/>
          <w:lang w:val="es-ES_tradnl"/>
        </w:rPr>
        <w:t xml:space="preserve"> las que tengan condiciones de pobreza extrema, las desplazadas por la violencia</w:t>
      </w:r>
      <w:r w:rsidR="007E7B55" w:rsidRPr="00325B05">
        <w:rPr>
          <w:rFonts w:ascii="Arial" w:eastAsia="Calibri" w:hAnsi="Arial" w:cs="Arial"/>
          <w:color w:val="000000" w:themeColor="text1"/>
          <w:sz w:val="22"/>
          <w:szCs w:val="22"/>
          <w:lang w:val="es-ES_tradnl"/>
        </w:rPr>
        <w:t xml:space="preserve"> y </w:t>
      </w:r>
      <w:r w:rsidR="00452A7C" w:rsidRPr="00325B05">
        <w:rPr>
          <w:rFonts w:ascii="Arial" w:eastAsia="Calibri" w:hAnsi="Arial" w:cs="Arial"/>
          <w:color w:val="000000" w:themeColor="text1"/>
          <w:sz w:val="22"/>
          <w:szCs w:val="22"/>
          <w:lang w:val="es-ES_tradnl"/>
        </w:rPr>
        <w:t>quienes estén en procesos de reintegración o reincorporación, entre otr</w:t>
      </w:r>
      <w:r w:rsidR="00F47026" w:rsidRPr="00325B05">
        <w:rPr>
          <w:rFonts w:ascii="Arial" w:eastAsia="Calibri" w:hAnsi="Arial" w:cs="Arial"/>
          <w:color w:val="000000" w:themeColor="text1"/>
          <w:sz w:val="22"/>
          <w:szCs w:val="22"/>
          <w:lang w:val="es-ES_tradnl"/>
        </w:rPr>
        <w:t>a</w:t>
      </w:r>
      <w:r w:rsidR="00452A7C" w:rsidRPr="00325B05">
        <w:rPr>
          <w:rFonts w:ascii="Arial" w:eastAsia="Calibri" w:hAnsi="Arial" w:cs="Arial"/>
          <w:color w:val="000000" w:themeColor="text1"/>
          <w:sz w:val="22"/>
          <w:szCs w:val="22"/>
          <w:lang w:val="es-ES_tradnl"/>
        </w:rPr>
        <w:t>s que incluya el reglamento.</w:t>
      </w:r>
    </w:p>
    <w:p w14:paraId="37CB71F7" w14:textId="253BDB69" w:rsidR="003351FF" w:rsidRPr="00325B05" w:rsidRDefault="003351FF" w:rsidP="003A058E">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vii) Precisa que la posibilidad de participar en convocatorias limitadas a </w:t>
      </w:r>
      <w:proofErr w:type="spellStart"/>
      <w:r w:rsidRPr="00325B05">
        <w:rPr>
          <w:rFonts w:ascii="Arial" w:eastAsia="Calibri" w:hAnsi="Arial" w:cs="Arial"/>
          <w:color w:val="000000" w:themeColor="text1"/>
          <w:sz w:val="22"/>
          <w:szCs w:val="22"/>
          <w:lang w:val="es-ES_tradnl"/>
        </w:rPr>
        <w:t>mipymes</w:t>
      </w:r>
      <w:proofErr w:type="spellEnd"/>
      <w:r w:rsidRPr="00325B05">
        <w:rPr>
          <w:rFonts w:ascii="Arial" w:eastAsia="Calibri" w:hAnsi="Arial" w:cs="Arial"/>
          <w:color w:val="000000" w:themeColor="text1"/>
          <w:sz w:val="22"/>
          <w:szCs w:val="22"/>
          <w:lang w:val="es-ES_tradnl"/>
        </w:rPr>
        <w:t xml:space="preserve"> se encuentra condicionada a que estas</w:t>
      </w:r>
      <w:r w:rsidR="000C084E" w:rsidRPr="00325B05">
        <w:rPr>
          <w:rFonts w:ascii="Arial" w:eastAsia="Calibri" w:hAnsi="Arial" w:cs="Arial"/>
          <w:color w:val="000000" w:themeColor="text1"/>
          <w:sz w:val="22"/>
          <w:szCs w:val="22"/>
          <w:lang w:val="es-ES_tradnl"/>
        </w:rPr>
        <w:t xml:space="preserve"> acrediten como mínimo un año de existencia, con el certificado expedido por la cámara de comercio respectiva</w:t>
      </w:r>
      <w:r w:rsidR="00A84935" w:rsidRPr="00325B05">
        <w:rPr>
          <w:rFonts w:ascii="Arial" w:eastAsia="Calibri" w:hAnsi="Arial" w:cs="Arial"/>
          <w:color w:val="000000" w:themeColor="text1"/>
          <w:sz w:val="22"/>
          <w:szCs w:val="22"/>
          <w:lang w:val="es-ES_tradnl"/>
        </w:rPr>
        <w:t xml:space="preserve"> o por la autoridad que sea competente para ello.</w:t>
      </w:r>
    </w:p>
    <w:p w14:paraId="1B793D8D" w14:textId="6CEF958B" w:rsidR="00DB387B" w:rsidRPr="00325B05" w:rsidRDefault="00A84935" w:rsidP="00DB387B">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viii) Hace </w:t>
      </w:r>
      <w:r w:rsidR="00DE4E67" w:rsidRPr="00325B05">
        <w:rPr>
          <w:rFonts w:ascii="Arial" w:eastAsia="Calibri" w:hAnsi="Arial" w:cs="Arial"/>
          <w:color w:val="000000" w:themeColor="text1"/>
          <w:sz w:val="22"/>
          <w:szCs w:val="22"/>
          <w:lang w:val="es-ES_tradnl"/>
        </w:rPr>
        <w:t xml:space="preserve">obligatorio el cumplimiento </w:t>
      </w:r>
      <w:r w:rsidR="00772E2A" w:rsidRPr="00325B05">
        <w:rPr>
          <w:rFonts w:ascii="Arial" w:eastAsia="Calibri" w:hAnsi="Arial" w:cs="Arial"/>
          <w:color w:val="000000" w:themeColor="text1"/>
          <w:sz w:val="22"/>
          <w:szCs w:val="22"/>
          <w:lang w:val="es-ES_tradnl"/>
        </w:rPr>
        <w:t>de lo dispuesto en los artículos 90 a 95 de la Ley 418</w:t>
      </w:r>
      <w:r w:rsidR="00AE1713" w:rsidRPr="00325B05">
        <w:rPr>
          <w:rFonts w:ascii="Arial" w:eastAsia="Calibri" w:hAnsi="Arial" w:cs="Arial"/>
          <w:color w:val="000000" w:themeColor="text1"/>
          <w:sz w:val="22"/>
          <w:szCs w:val="22"/>
          <w:lang w:val="es-ES_tradnl"/>
        </w:rPr>
        <w:t xml:space="preserve"> de 1997</w:t>
      </w:r>
      <w:r w:rsidR="00496AC4" w:rsidRPr="00325B05">
        <w:rPr>
          <w:rFonts w:ascii="Arial" w:eastAsia="Calibri" w:hAnsi="Arial" w:cs="Arial"/>
          <w:color w:val="000000" w:themeColor="text1"/>
          <w:sz w:val="22"/>
          <w:szCs w:val="22"/>
          <w:lang w:val="es-ES_tradnl"/>
        </w:rPr>
        <w:t xml:space="preserve"> –</w:t>
      </w:r>
      <w:r w:rsidR="00FA66F9" w:rsidRPr="00325B05">
        <w:rPr>
          <w:rFonts w:ascii="Arial" w:eastAsia="Calibri" w:hAnsi="Arial" w:cs="Arial"/>
          <w:color w:val="000000" w:themeColor="text1"/>
          <w:sz w:val="22"/>
          <w:szCs w:val="22"/>
          <w:lang w:val="es-ES_tradnl"/>
        </w:rPr>
        <w:t xml:space="preserve">normas </w:t>
      </w:r>
      <w:r w:rsidR="00496AC4" w:rsidRPr="00325B05">
        <w:rPr>
          <w:rFonts w:ascii="Arial" w:eastAsia="Calibri" w:hAnsi="Arial" w:cs="Arial"/>
          <w:color w:val="000000" w:themeColor="text1"/>
          <w:sz w:val="22"/>
          <w:szCs w:val="22"/>
          <w:lang w:val="es-ES_tradnl"/>
        </w:rPr>
        <w:t>que establecen la obligación de declarar la caducidad y la liquidación unilateral</w:t>
      </w:r>
      <w:r w:rsidR="00A46A5F" w:rsidRPr="00325B05">
        <w:rPr>
          <w:rFonts w:ascii="Arial" w:eastAsia="Calibri" w:hAnsi="Arial" w:cs="Arial"/>
          <w:color w:val="000000" w:themeColor="text1"/>
          <w:sz w:val="22"/>
          <w:szCs w:val="22"/>
          <w:lang w:val="es-ES_tradnl"/>
        </w:rPr>
        <w:t xml:space="preserve"> cuando el contratista beneficie grupos armados </w:t>
      </w:r>
      <w:r w:rsidR="005F7DE2" w:rsidRPr="00325B05">
        <w:rPr>
          <w:rFonts w:ascii="Arial" w:eastAsia="Calibri" w:hAnsi="Arial" w:cs="Arial"/>
          <w:color w:val="000000" w:themeColor="text1"/>
          <w:sz w:val="22"/>
          <w:szCs w:val="22"/>
          <w:lang w:val="es-ES_tradnl"/>
        </w:rPr>
        <w:t>organizados al margen de la ley–</w:t>
      </w:r>
      <w:r w:rsidR="00AE1713" w:rsidRPr="00325B05">
        <w:rPr>
          <w:rFonts w:ascii="Arial" w:eastAsia="Calibri" w:hAnsi="Arial" w:cs="Arial"/>
          <w:color w:val="000000" w:themeColor="text1"/>
          <w:sz w:val="22"/>
          <w:szCs w:val="22"/>
          <w:lang w:val="es-ES_tradnl"/>
        </w:rPr>
        <w:t xml:space="preserve"> en la ejecución de los contratos celebrados </w:t>
      </w:r>
      <w:r w:rsidR="00496AC4" w:rsidRPr="00325B05">
        <w:rPr>
          <w:rFonts w:ascii="Arial" w:eastAsia="Calibri" w:hAnsi="Arial" w:cs="Arial"/>
          <w:color w:val="000000" w:themeColor="text1"/>
          <w:sz w:val="22"/>
          <w:szCs w:val="22"/>
          <w:lang w:val="es-ES_tradnl"/>
        </w:rPr>
        <w:t>en virtud del artículo 34 de la Ley 2069 de 2020.</w:t>
      </w:r>
    </w:p>
    <w:p w14:paraId="1909D750" w14:textId="5255C8D6" w:rsidR="00F128D9" w:rsidRPr="00325B05" w:rsidRDefault="00BC30B3" w:rsidP="00772AAF">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Luego de explicar </w:t>
      </w:r>
      <w:r w:rsidR="009715E1" w:rsidRPr="00325B05">
        <w:rPr>
          <w:rFonts w:ascii="Arial" w:eastAsia="Calibri" w:hAnsi="Arial" w:cs="Arial"/>
          <w:color w:val="000000" w:themeColor="text1"/>
          <w:sz w:val="22"/>
          <w:szCs w:val="22"/>
          <w:lang w:val="es-ES_tradnl"/>
        </w:rPr>
        <w:t xml:space="preserve">las reglas incluidas en la nueva regulación de la promoción del desarrollo en la contratación estatal, </w:t>
      </w:r>
      <w:r w:rsidR="0062267E" w:rsidRPr="00325B05">
        <w:rPr>
          <w:rFonts w:ascii="Arial" w:eastAsia="Calibri" w:hAnsi="Arial" w:cs="Arial"/>
          <w:color w:val="000000" w:themeColor="text1"/>
          <w:sz w:val="22"/>
          <w:szCs w:val="22"/>
          <w:lang w:val="es-ES_tradnl"/>
        </w:rPr>
        <w:t>previstas</w:t>
      </w:r>
      <w:r w:rsidR="009715E1" w:rsidRPr="00325B05">
        <w:rPr>
          <w:rFonts w:ascii="Arial" w:eastAsia="Calibri" w:hAnsi="Arial" w:cs="Arial"/>
          <w:color w:val="000000" w:themeColor="text1"/>
          <w:sz w:val="22"/>
          <w:szCs w:val="22"/>
          <w:lang w:val="es-ES_tradnl"/>
        </w:rPr>
        <w:t xml:space="preserve"> en el artículo 34 de la Ley 2069 de 2020</w:t>
      </w:r>
      <w:r w:rsidR="00FA66F9" w:rsidRPr="00325B05">
        <w:rPr>
          <w:rFonts w:ascii="Arial" w:eastAsia="Calibri" w:hAnsi="Arial" w:cs="Arial"/>
          <w:color w:val="000000" w:themeColor="text1"/>
          <w:sz w:val="22"/>
          <w:szCs w:val="22"/>
          <w:lang w:val="es-ES_tradnl"/>
        </w:rPr>
        <w:t>,</w:t>
      </w:r>
      <w:r w:rsidR="000F4A7F" w:rsidRPr="00325B05">
        <w:rPr>
          <w:rFonts w:ascii="Arial" w:eastAsia="Calibri" w:hAnsi="Arial" w:cs="Arial"/>
          <w:color w:val="000000" w:themeColor="text1"/>
          <w:sz w:val="22"/>
          <w:szCs w:val="22"/>
          <w:lang w:val="es-ES_tradnl"/>
        </w:rPr>
        <w:t xml:space="preserve"> y habiendo aclarado que dicha norma </w:t>
      </w:r>
      <w:r w:rsidR="00735CA5" w:rsidRPr="00325B05">
        <w:rPr>
          <w:rFonts w:ascii="Arial" w:eastAsia="Calibri" w:hAnsi="Arial" w:cs="Arial"/>
          <w:color w:val="000000" w:themeColor="text1"/>
          <w:sz w:val="22"/>
          <w:szCs w:val="22"/>
          <w:lang w:val="es-ES_tradnl"/>
        </w:rPr>
        <w:t>modificó</w:t>
      </w:r>
      <w:r w:rsidR="000F4A7F" w:rsidRPr="00325B05">
        <w:rPr>
          <w:rFonts w:ascii="Arial" w:eastAsia="Calibri" w:hAnsi="Arial" w:cs="Arial"/>
          <w:color w:val="000000" w:themeColor="text1"/>
          <w:sz w:val="22"/>
          <w:szCs w:val="22"/>
          <w:lang w:val="es-ES_tradnl"/>
        </w:rPr>
        <w:t xml:space="preserve"> el artículo 12 de la Ley 1150 de 2007, conviene preguntarse qué sucede con la vigencia del artículo</w:t>
      </w:r>
      <w:r w:rsidR="00425B2E" w:rsidRPr="00325B05">
        <w:rPr>
          <w:rFonts w:ascii="Arial" w:eastAsia="Calibri" w:hAnsi="Arial" w:cs="Arial"/>
          <w:color w:val="000000" w:themeColor="text1"/>
          <w:sz w:val="22"/>
          <w:szCs w:val="22"/>
          <w:lang w:val="es-ES_tradnl"/>
        </w:rPr>
        <w:t xml:space="preserve"> 2.2.1.2.4.2.2. del Decreto 1082 de 2015</w:t>
      </w:r>
      <w:r w:rsidR="00384494" w:rsidRPr="00325B05">
        <w:rPr>
          <w:rFonts w:ascii="Arial" w:eastAsia="Calibri" w:hAnsi="Arial" w:cs="Arial"/>
          <w:color w:val="000000" w:themeColor="text1"/>
          <w:sz w:val="22"/>
          <w:szCs w:val="22"/>
          <w:lang w:val="es-ES_tradnl"/>
        </w:rPr>
        <w:t>, que</w:t>
      </w:r>
      <w:r w:rsidR="00735CA5" w:rsidRPr="00325B05">
        <w:rPr>
          <w:rFonts w:ascii="Arial" w:eastAsia="Calibri" w:hAnsi="Arial" w:cs="Arial"/>
          <w:color w:val="000000" w:themeColor="text1"/>
          <w:sz w:val="22"/>
          <w:szCs w:val="22"/>
          <w:lang w:val="es-ES_tradnl"/>
        </w:rPr>
        <w:t>,</w:t>
      </w:r>
      <w:r w:rsidR="00384494" w:rsidRPr="00325B05">
        <w:rPr>
          <w:rFonts w:ascii="Arial" w:eastAsia="Calibri" w:hAnsi="Arial" w:cs="Arial"/>
          <w:color w:val="000000" w:themeColor="text1"/>
          <w:sz w:val="22"/>
          <w:szCs w:val="22"/>
          <w:lang w:val="es-ES_tradnl"/>
        </w:rPr>
        <w:t xml:space="preserve"> hasta la expedición de la Ley 2069 de 2020</w:t>
      </w:r>
      <w:r w:rsidR="00735CA5" w:rsidRPr="00325B05">
        <w:rPr>
          <w:rFonts w:ascii="Arial" w:eastAsia="Calibri" w:hAnsi="Arial" w:cs="Arial"/>
          <w:color w:val="000000" w:themeColor="text1"/>
          <w:sz w:val="22"/>
          <w:szCs w:val="22"/>
          <w:lang w:val="es-ES_tradnl"/>
        </w:rPr>
        <w:t>,</w:t>
      </w:r>
      <w:r w:rsidR="00384494" w:rsidRPr="00325B05">
        <w:rPr>
          <w:rFonts w:ascii="Arial" w:eastAsia="Calibri" w:hAnsi="Arial" w:cs="Arial"/>
          <w:color w:val="000000" w:themeColor="text1"/>
          <w:sz w:val="22"/>
          <w:szCs w:val="22"/>
          <w:lang w:val="es-ES_tradnl"/>
        </w:rPr>
        <w:t xml:space="preserve"> </w:t>
      </w:r>
      <w:r w:rsidR="000323C6" w:rsidRPr="00325B05">
        <w:rPr>
          <w:rFonts w:ascii="Arial" w:eastAsia="Calibri" w:hAnsi="Arial" w:cs="Arial"/>
          <w:color w:val="000000" w:themeColor="text1"/>
          <w:sz w:val="22"/>
          <w:szCs w:val="22"/>
          <w:lang w:val="es-ES_tradnl"/>
        </w:rPr>
        <w:t>regía</w:t>
      </w:r>
      <w:r w:rsidR="00384494" w:rsidRPr="00325B05">
        <w:rPr>
          <w:rFonts w:ascii="Arial" w:eastAsia="Calibri" w:hAnsi="Arial" w:cs="Arial"/>
          <w:color w:val="000000" w:themeColor="text1"/>
          <w:sz w:val="22"/>
          <w:szCs w:val="22"/>
          <w:lang w:val="es-ES_tradnl"/>
        </w:rPr>
        <w:t xml:space="preserve"> las convocatorias limitadas a </w:t>
      </w:r>
      <w:proofErr w:type="spellStart"/>
      <w:r w:rsidR="00384494" w:rsidRPr="00325B05">
        <w:rPr>
          <w:rFonts w:ascii="Arial" w:eastAsia="Calibri" w:hAnsi="Arial" w:cs="Arial"/>
          <w:color w:val="000000" w:themeColor="text1"/>
          <w:sz w:val="22"/>
          <w:szCs w:val="22"/>
          <w:lang w:val="es-ES_tradnl"/>
        </w:rPr>
        <w:t>mipymes</w:t>
      </w:r>
      <w:proofErr w:type="spellEnd"/>
      <w:r w:rsidR="00384494" w:rsidRPr="00325B05">
        <w:rPr>
          <w:rFonts w:ascii="Arial" w:eastAsia="Calibri" w:hAnsi="Arial" w:cs="Arial"/>
          <w:color w:val="000000" w:themeColor="text1"/>
          <w:sz w:val="22"/>
          <w:szCs w:val="22"/>
          <w:lang w:val="es-ES_tradnl"/>
        </w:rPr>
        <w:t>.</w:t>
      </w:r>
      <w:r w:rsidR="009477BD" w:rsidRPr="00325B05">
        <w:rPr>
          <w:rFonts w:ascii="Arial" w:eastAsia="Calibri" w:hAnsi="Arial" w:cs="Arial"/>
          <w:color w:val="000000" w:themeColor="text1"/>
          <w:sz w:val="22"/>
          <w:szCs w:val="22"/>
          <w:lang w:val="es-ES_tradnl"/>
        </w:rPr>
        <w:t xml:space="preserve"> En opinión de esta Agencia</w:t>
      </w:r>
      <w:r w:rsidR="000323C6" w:rsidRPr="00325B05">
        <w:rPr>
          <w:rFonts w:ascii="Arial" w:eastAsia="Calibri" w:hAnsi="Arial" w:cs="Arial"/>
          <w:color w:val="000000" w:themeColor="text1"/>
          <w:sz w:val="22"/>
          <w:szCs w:val="22"/>
          <w:lang w:val="es-ES_tradnl"/>
        </w:rPr>
        <w:t>,</w:t>
      </w:r>
      <w:r w:rsidR="009477BD" w:rsidRPr="00325B05">
        <w:rPr>
          <w:rFonts w:ascii="Arial" w:eastAsia="Calibri" w:hAnsi="Arial" w:cs="Arial"/>
          <w:color w:val="000000" w:themeColor="text1"/>
          <w:sz w:val="22"/>
          <w:szCs w:val="22"/>
          <w:lang w:val="es-ES_tradnl"/>
        </w:rPr>
        <w:t xml:space="preserve"> dicho artículo del Decreto reglamentario</w:t>
      </w:r>
      <w:r w:rsidR="00ED572F" w:rsidRPr="00325B05">
        <w:rPr>
          <w:rFonts w:ascii="Arial" w:eastAsia="Calibri" w:hAnsi="Arial" w:cs="Arial"/>
          <w:color w:val="000000" w:themeColor="text1"/>
          <w:sz w:val="22"/>
          <w:szCs w:val="22"/>
          <w:lang w:val="es-ES_tradnl"/>
        </w:rPr>
        <w:t xml:space="preserve"> </w:t>
      </w:r>
      <w:r w:rsidR="00BF775D" w:rsidRPr="00325B05">
        <w:rPr>
          <w:rFonts w:ascii="Arial" w:eastAsia="Calibri" w:hAnsi="Arial" w:cs="Arial"/>
          <w:color w:val="000000" w:themeColor="text1"/>
          <w:sz w:val="22"/>
          <w:szCs w:val="22"/>
          <w:lang w:val="es-ES_tradnl"/>
        </w:rPr>
        <w:t>no está vigente</w:t>
      </w:r>
      <w:r w:rsidR="00ED572F" w:rsidRPr="00325B05">
        <w:rPr>
          <w:rFonts w:ascii="Arial" w:eastAsia="Calibri" w:hAnsi="Arial" w:cs="Arial"/>
          <w:color w:val="000000" w:themeColor="text1"/>
          <w:sz w:val="22"/>
          <w:szCs w:val="22"/>
          <w:lang w:val="es-ES_tradnl"/>
        </w:rPr>
        <w:t>, porque su contenido es contrario a</w:t>
      </w:r>
      <w:r w:rsidR="0062267E" w:rsidRPr="00325B05">
        <w:rPr>
          <w:rFonts w:ascii="Arial" w:eastAsia="Calibri" w:hAnsi="Arial" w:cs="Arial"/>
          <w:color w:val="000000" w:themeColor="text1"/>
          <w:sz w:val="22"/>
          <w:szCs w:val="22"/>
          <w:lang w:val="es-ES_tradnl"/>
        </w:rPr>
        <w:t>l del artículo 34 de la Ley 2069 de 2020. En tal sentido, ha perdido fuerza ejecutoria</w:t>
      </w:r>
      <w:r w:rsidR="00F802B0" w:rsidRPr="00325B05">
        <w:rPr>
          <w:rFonts w:ascii="Arial" w:eastAsia="Calibri" w:hAnsi="Arial" w:cs="Arial"/>
          <w:color w:val="000000" w:themeColor="text1"/>
          <w:sz w:val="22"/>
          <w:szCs w:val="22"/>
          <w:lang w:val="es-ES_tradnl"/>
        </w:rPr>
        <w:t xml:space="preserve">, de conformidad con el artículo </w:t>
      </w:r>
      <w:r w:rsidR="007034D9" w:rsidRPr="00325B05">
        <w:rPr>
          <w:rFonts w:ascii="Arial" w:eastAsia="Calibri" w:hAnsi="Arial" w:cs="Arial"/>
          <w:color w:val="000000" w:themeColor="text1"/>
          <w:sz w:val="22"/>
          <w:szCs w:val="22"/>
          <w:lang w:val="es-ES_tradnl"/>
        </w:rPr>
        <w:t>91, numeral 2, de la Ley 1437 de 2011</w:t>
      </w:r>
      <w:r w:rsidR="007936E2" w:rsidRPr="00325B05">
        <w:rPr>
          <w:rFonts w:ascii="Arial" w:eastAsia="Calibri" w:hAnsi="Arial" w:cs="Arial"/>
          <w:color w:val="000000" w:themeColor="text1"/>
          <w:sz w:val="22"/>
          <w:szCs w:val="22"/>
          <w:lang w:val="es-ES_tradnl"/>
        </w:rPr>
        <w:t>, el cual establece que los actos administrativos –categoría que</w:t>
      </w:r>
      <w:r w:rsidR="00AD0861" w:rsidRPr="00325B05">
        <w:rPr>
          <w:rFonts w:ascii="Arial" w:eastAsia="Calibri" w:hAnsi="Arial" w:cs="Arial"/>
          <w:color w:val="000000" w:themeColor="text1"/>
          <w:sz w:val="22"/>
          <w:szCs w:val="22"/>
          <w:lang w:val="es-ES_tradnl"/>
        </w:rPr>
        <w:t>,</w:t>
      </w:r>
      <w:r w:rsidR="004278D8" w:rsidRPr="00325B05">
        <w:rPr>
          <w:rFonts w:ascii="Arial" w:eastAsia="Calibri" w:hAnsi="Arial" w:cs="Arial"/>
          <w:color w:val="000000" w:themeColor="text1"/>
          <w:sz w:val="22"/>
          <w:szCs w:val="22"/>
          <w:lang w:val="es-ES_tradnl"/>
        </w:rPr>
        <w:t xml:space="preserve"> como es sabido, </w:t>
      </w:r>
      <w:r w:rsidR="007936E2" w:rsidRPr="00325B05">
        <w:rPr>
          <w:rFonts w:ascii="Arial" w:eastAsia="Calibri" w:hAnsi="Arial" w:cs="Arial"/>
          <w:color w:val="000000" w:themeColor="text1"/>
          <w:sz w:val="22"/>
          <w:szCs w:val="22"/>
          <w:lang w:val="es-ES_tradnl"/>
        </w:rPr>
        <w:t>incluye los decretos reglamentarios–</w:t>
      </w:r>
      <w:r w:rsidR="008D4596" w:rsidRPr="00325B05">
        <w:rPr>
          <w:rFonts w:ascii="Arial" w:eastAsia="Calibri" w:hAnsi="Arial" w:cs="Arial"/>
          <w:color w:val="000000" w:themeColor="text1"/>
          <w:sz w:val="22"/>
          <w:szCs w:val="22"/>
          <w:lang w:val="es-ES_tradnl"/>
        </w:rPr>
        <w:t xml:space="preserve"> dejan de ser obligatorios o decaen «Cuando desaparezcan sus fundamentos de hecho o de derecho».</w:t>
      </w:r>
      <w:r w:rsidR="00772AAF" w:rsidRPr="00325B05">
        <w:rPr>
          <w:rFonts w:ascii="Arial" w:eastAsia="Calibri" w:hAnsi="Arial" w:cs="Arial"/>
          <w:color w:val="000000" w:themeColor="text1"/>
          <w:sz w:val="22"/>
          <w:szCs w:val="22"/>
          <w:lang w:val="es-ES_tradnl"/>
        </w:rPr>
        <w:t xml:space="preserve"> </w:t>
      </w:r>
    </w:p>
    <w:p w14:paraId="5D1BA105" w14:textId="3C48BEB7" w:rsidR="00A06EB6" w:rsidRPr="00325B05" w:rsidRDefault="008D4596" w:rsidP="00772AAF">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Si</w:t>
      </w:r>
      <w:r w:rsidR="00772AAF" w:rsidRPr="00325B05">
        <w:rPr>
          <w:rFonts w:ascii="Arial" w:eastAsia="Calibri" w:hAnsi="Arial" w:cs="Arial"/>
          <w:color w:val="000000" w:themeColor="text1"/>
          <w:sz w:val="22"/>
          <w:szCs w:val="22"/>
          <w:lang w:val="es-ES_tradnl"/>
        </w:rPr>
        <w:t xml:space="preserve"> los decretos reglamentarios que profiere el Presidente de la República en ejercicio de la potestad que le confiere el artículo 189, numeral 11, de la Constitución Política</w:t>
      </w:r>
      <w:r w:rsidR="00F128D9" w:rsidRPr="00325B05">
        <w:rPr>
          <w:rFonts w:ascii="Arial" w:eastAsia="Calibri" w:hAnsi="Arial" w:cs="Arial"/>
          <w:color w:val="000000" w:themeColor="text1"/>
          <w:sz w:val="22"/>
          <w:szCs w:val="22"/>
          <w:lang w:val="es-ES_tradnl"/>
        </w:rPr>
        <w:t>, buscan «la cumplida ejecución de las leyes»</w:t>
      </w:r>
      <w:r w:rsidR="008673AE" w:rsidRPr="00325B05">
        <w:rPr>
          <w:rFonts w:ascii="Arial" w:eastAsia="Calibri" w:hAnsi="Arial" w:cs="Arial"/>
          <w:color w:val="000000" w:themeColor="text1"/>
          <w:sz w:val="22"/>
          <w:szCs w:val="22"/>
          <w:lang w:val="es-ES_tradnl"/>
        </w:rPr>
        <w:t>,</w:t>
      </w:r>
      <w:r w:rsidR="00F128D9" w:rsidRPr="00325B05">
        <w:rPr>
          <w:rFonts w:ascii="Arial" w:eastAsia="Calibri" w:hAnsi="Arial" w:cs="Arial"/>
          <w:color w:val="000000" w:themeColor="text1"/>
          <w:sz w:val="22"/>
          <w:szCs w:val="22"/>
          <w:lang w:val="es-ES_tradnl"/>
        </w:rPr>
        <w:t xml:space="preserve"> y si la disposición legal que había servido de fundamento a la expedición del artículo 2.2.1.2.4.2.2. del Decreto 1082 de 2015 –es decir, el artículo 12 de la Ley 1150 de 2007– fue </w:t>
      </w:r>
      <w:r w:rsidR="00EF19A5" w:rsidRPr="00325B05">
        <w:rPr>
          <w:rFonts w:ascii="Arial" w:eastAsia="Calibri" w:hAnsi="Arial" w:cs="Arial"/>
          <w:color w:val="000000" w:themeColor="text1"/>
          <w:sz w:val="22"/>
          <w:szCs w:val="22"/>
          <w:lang w:val="es-ES_tradnl"/>
        </w:rPr>
        <w:t>modificado</w:t>
      </w:r>
      <w:r w:rsidR="00F128D9" w:rsidRPr="00325B05">
        <w:rPr>
          <w:rFonts w:ascii="Arial" w:eastAsia="Calibri" w:hAnsi="Arial" w:cs="Arial"/>
          <w:color w:val="000000" w:themeColor="text1"/>
          <w:sz w:val="22"/>
          <w:szCs w:val="22"/>
          <w:lang w:val="es-ES_tradnl"/>
        </w:rPr>
        <w:t xml:space="preserve"> por el artículo </w:t>
      </w:r>
      <w:r w:rsidR="00744273" w:rsidRPr="00325B05">
        <w:rPr>
          <w:rFonts w:ascii="Arial" w:eastAsia="Calibri" w:hAnsi="Arial" w:cs="Arial"/>
          <w:color w:val="000000" w:themeColor="text1"/>
          <w:sz w:val="22"/>
          <w:szCs w:val="22"/>
          <w:lang w:val="es-ES_tradnl"/>
        </w:rPr>
        <w:t>34 de la Ley 2069 de 2020, puede concluirse que la disposición reglamentaria decayó</w:t>
      </w:r>
      <w:r w:rsidR="008673AE" w:rsidRPr="00325B05">
        <w:rPr>
          <w:rFonts w:ascii="Arial" w:eastAsia="Calibri" w:hAnsi="Arial" w:cs="Arial"/>
          <w:color w:val="000000" w:themeColor="text1"/>
          <w:sz w:val="22"/>
          <w:szCs w:val="22"/>
          <w:lang w:val="es-ES_tradnl"/>
        </w:rPr>
        <w:t>,</w:t>
      </w:r>
      <w:r w:rsidR="00744273" w:rsidRPr="00325B05">
        <w:rPr>
          <w:rFonts w:ascii="Arial" w:eastAsia="Calibri" w:hAnsi="Arial" w:cs="Arial"/>
          <w:color w:val="000000" w:themeColor="text1"/>
          <w:sz w:val="22"/>
          <w:szCs w:val="22"/>
          <w:lang w:val="es-ES_tradnl"/>
        </w:rPr>
        <w:t xml:space="preserve"> por </w:t>
      </w:r>
      <w:r w:rsidR="008673AE" w:rsidRPr="00325B05">
        <w:rPr>
          <w:rFonts w:ascii="Arial" w:eastAsia="Calibri" w:hAnsi="Arial" w:cs="Arial"/>
          <w:color w:val="000000" w:themeColor="text1"/>
          <w:sz w:val="22"/>
          <w:szCs w:val="22"/>
          <w:lang w:val="es-ES_tradnl"/>
        </w:rPr>
        <w:t>desaparición de su fundamento de derecho</w:t>
      </w:r>
      <w:r w:rsidR="0011318E" w:rsidRPr="00325B05">
        <w:rPr>
          <w:rFonts w:ascii="Arial" w:eastAsia="Calibri" w:hAnsi="Arial" w:cs="Arial"/>
          <w:color w:val="000000" w:themeColor="text1"/>
          <w:sz w:val="22"/>
          <w:szCs w:val="22"/>
          <w:lang w:val="es-ES_tradnl"/>
        </w:rPr>
        <w:t>.</w:t>
      </w:r>
      <w:r w:rsidR="00EF19A5" w:rsidRPr="00325B05">
        <w:rPr>
          <w:rFonts w:ascii="Arial" w:eastAsia="Calibri" w:hAnsi="Arial" w:cs="Arial"/>
          <w:color w:val="000000" w:themeColor="text1"/>
          <w:sz w:val="22"/>
          <w:szCs w:val="22"/>
          <w:lang w:val="es-ES_tradnl"/>
        </w:rPr>
        <w:t xml:space="preserve"> Es decir, el fundamento de derecho</w:t>
      </w:r>
      <w:r w:rsidR="00FF44D7" w:rsidRPr="00325B05">
        <w:rPr>
          <w:rFonts w:ascii="Arial" w:eastAsia="Calibri" w:hAnsi="Arial" w:cs="Arial"/>
          <w:color w:val="000000" w:themeColor="text1"/>
          <w:sz w:val="22"/>
          <w:szCs w:val="22"/>
          <w:lang w:val="es-ES_tradnl"/>
        </w:rPr>
        <w:t xml:space="preserve">, </w:t>
      </w:r>
      <w:r w:rsidR="00EF19A5" w:rsidRPr="00325B05">
        <w:rPr>
          <w:rFonts w:ascii="Arial" w:eastAsia="Calibri" w:hAnsi="Arial" w:cs="Arial"/>
          <w:color w:val="000000" w:themeColor="text1"/>
          <w:sz w:val="22"/>
          <w:szCs w:val="22"/>
          <w:lang w:val="es-ES_tradnl"/>
        </w:rPr>
        <w:t>que era el contenido del artículo 12</w:t>
      </w:r>
      <w:r w:rsidR="00FF44D7" w:rsidRPr="00325B05">
        <w:rPr>
          <w:rFonts w:ascii="Arial" w:eastAsia="Calibri" w:hAnsi="Arial" w:cs="Arial"/>
          <w:color w:val="000000" w:themeColor="text1"/>
          <w:sz w:val="22"/>
          <w:szCs w:val="22"/>
          <w:lang w:val="es-ES_tradnl"/>
        </w:rPr>
        <w:t xml:space="preserve"> de la Ley 1150 de 2007</w:t>
      </w:r>
      <w:r w:rsidR="004774C3" w:rsidRPr="00325B05">
        <w:rPr>
          <w:rFonts w:ascii="Arial" w:eastAsia="Calibri" w:hAnsi="Arial" w:cs="Arial"/>
          <w:color w:val="000000" w:themeColor="text1"/>
          <w:sz w:val="22"/>
          <w:szCs w:val="22"/>
          <w:lang w:val="es-ES_tradnl"/>
        </w:rPr>
        <w:t xml:space="preserve">, </w:t>
      </w:r>
      <w:r w:rsidR="00FF44D7" w:rsidRPr="00325B05">
        <w:rPr>
          <w:rFonts w:ascii="Arial" w:eastAsia="Calibri" w:hAnsi="Arial" w:cs="Arial"/>
          <w:color w:val="000000" w:themeColor="text1"/>
          <w:sz w:val="22"/>
          <w:szCs w:val="22"/>
          <w:lang w:val="es-ES_tradnl"/>
        </w:rPr>
        <w:t>fue subrogado por el artículo 34 de la Ley 2069 de 2020.</w:t>
      </w:r>
      <w:r w:rsidR="0011318E" w:rsidRPr="00325B05">
        <w:rPr>
          <w:rFonts w:ascii="Arial" w:eastAsia="Calibri" w:hAnsi="Arial" w:cs="Arial"/>
          <w:color w:val="000000" w:themeColor="text1"/>
          <w:sz w:val="22"/>
          <w:szCs w:val="22"/>
          <w:lang w:val="es-ES_tradnl"/>
        </w:rPr>
        <w:t xml:space="preserve"> Sin embargo, no es solo por una razón formal</w:t>
      </w:r>
      <w:r w:rsidR="006F50C2" w:rsidRPr="00325B05">
        <w:rPr>
          <w:rFonts w:ascii="Arial" w:eastAsia="Calibri" w:hAnsi="Arial" w:cs="Arial"/>
          <w:color w:val="000000" w:themeColor="text1"/>
          <w:sz w:val="22"/>
          <w:szCs w:val="22"/>
          <w:lang w:val="es-ES_tradnl"/>
        </w:rPr>
        <w:t xml:space="preserve"> que se deduce la pérdida de fuerza ejecutoria del artículo 2.2.1.2.4.2.2. del Decreto 1082 de 2015, sino también por un argumento material, como</w:t>
      </w:r>
      <w:r w:rsidR="00576C8A" w:rsidRPr="00325B05">
        <w:rPr>
          <w:rFonts w:ascii="Arial" w:eastAsia="Calibri" w:hAnsi="Arial" w:cs="Arial"/>
          <w:color w:val="000000" w:themeColor="text1"/>
          <w:sz w:val="22"/>
          <w:szCs w:val="22"/>
          <w:lang w:val="es-ES_tradnl"/>
        </w:rPr>
        <w:t xml:space="preserve"> se explica a continuación.</w:t>
      </w:r>
    </w:p>
    <w:p w14:paraId="045D18D9" w14:textId="7C5502A8" w:rsidR="00A84935" w:rsidRPr="00325B05" w:rsidRDefault="00A06EB6" w:rsidP="00772AAF">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Además de que el artículo 2.2.1.2.4.2.2. del Decreto 1082 de 2015 perdió </w:t>
      </w:r>
      <w:r w:rsidR="004727B1" w:rsidRPr="00325B05">
        <w:rPr>
          <w:rFonts w:ascii="Arial" w:eastAsia="Calibri" w:hAnsi="Arial" w:cs="Arial"/>
          <w:color w:val="000000" w:themeColor="text1"/>
          <w:sz w:val="22"/>
          <w:szCs w:val="22"/>
          <w:lang w:val="es-ES_tradnl"/>
        </w:rPr>
        <w:t>el</w:t>
      </w:r>
      <w:r w:rsidRPr="00325B05">
        <w:rPr>
          <w:rFonts w:ascii="Arial" w:eastAsia="Calibri" w:hAnsi="Arial" w:cs="Arial"/>
          <w:color w:val="000000" w:themeColor="text1"/>
          <w:sz w:val="22"/>
          <w:szCs w:val="22"/>
          <w:lang w:val="es-ES_tradnl"/>
        </w:rPr>
        <w:t xml:space="preserve"> fundamento legal</w:t>
      </w:r>
      <w:r w:rsidR="00576C8A" w:rsidRPr="00325B05">
        <w:rPr>
          <w:rFonts w:ascii="Arial" w:eastAsia="Calibri" w:hAnsi="Arial" w:cs="Arial"/>
          <w:color w:val="000000" w:themeColor="text1"/>
          <w:sz w:val="22"/>
          <w:szCs w:val="22"/>
          <w:lang w:val="es-ES_tradnl"/>
        </w:rPr>
        <w:t>, su contenido es contrario</w:t>
      </w:r>
      <w:r w:rsidR="00F0749E" w:rsidRPr="00325B05">
        <w:rPr>
          <w:rFonts w:ascii="Arial" w:eastAsia="Calibri" w:hAnsi="Arial" w:cs="Arial"/>
          <w:color w:val="000000" w:themeColor="text1"/>
          <w:sz w:val="22"/>
          <w:szCs w:val="22"/>
          <w:lang w:val="es-ES_tradnl"/>
        </w:rPr>
        <w:t xml:space="preserve"> al del nuevo artículo 12 de la Ley 1150 de 2007, </w:t>
      </w:r>
      <w:r w:rsidR="00F0749E" w:rsidRPr="00325B05">
        <w:rPr>
          <w:rFonts w:ascii="Arial" w:eastAsia="Calibri" w:hAnsi="Arial" w:cs="Arial"/>
          <w:color w:val="000000" w:themeColor="text1"/>
          <w:sz w:val="22"/>
          <w:szCs w:val="22"/>
          <w:lang w:val="es-ES_tradnl"/>
        </w:rPr>
        <w:lastRenderedPageBreak/>
        <w:t>modificado por el artículo 34 de la Ley 2069 de 2020.</w:t>
      </w:r>
      <w:r w:rsidR="00641899" w:rsidRPr="00325B05">
        <w:rPr>
          <w:rFonts w:ascii="Arial" w:eastAsia="Calibri" w:hAnsi="Arial" w:cs="Arial"/>
          <w:color w:val="000000" w:themeColor="text1"/>
          <w:sz w:val="22"/>
          <w:szCs w:val="22"/>
          <w:lang w:val="es-ES_tradnl"/>
        </w:rPr>
        <w:t xml:space="preserve"> En efecto, </w:t>
      </w:r>
      <w:r w:rsidR="00E40FB8" w:rsidRPr="00325B05">
        <w:rPr>
          <w:rFonts w:ascii="Arial" w:eastAsia="Calibri" w:hAnsi="Arial" w:cs="Arial"/>
          <w:color w:val="000000" w:themeColor="text1"/>
          <w:sz w:val="22"/>
          <w:szCs w:val="22"/>
          <w:lang w:val="es-ES_tradnl"/>
        </w:rPr>
        <w:t xml:space="preserve">este </w:t>
      </w:r>
      <w:r w:rsidR="006D62EA" w:rsidRPr="00325B05">
        <w:rPr>
          <w:rFonts w:ascii="Arial" w:eastAsia="Calibri" w:hAnsi="Arial" w:cs="Arial"/>
          <w:color w:val="000000" w:themeColor="text1"/>
          <w:sz w:val="22"/>
          <w:szCs w:val="22"/>
          <w:lang w:val="es-ES_tradnl"/>
        </w:rPr>
        <w:t xml:space="preserve">último </w:t>
      </w:r>
      <w:r w:rsidR="00E40FB8" w:rsidRPr="00325B05">
        <w:rPr>
          <w:rFonts w:ascii="Arial" w:eastAsia="Calibri" w:hAnsi="Arial" w:cs="Arial"/>
          <w:color w:val="000000" w:themeColor="text1"/>
          <w:sz w:val="22"/>
          <w:szCs w:val="22"/>
          <w:lang w:val="es-ES_tradnl"/>
        </w:rPr>
        <w:t>artículo no consagra las mismas exigencias para la</w:t>
      </w:r>
      <w:r w:rsidR="001B3B25" w:rsidRPr="00325B05">
        <w:rPr>
          <w:rFonts w:ascii="Arial" w:eastAsia="Calibri" w:hAnsi="Arial" w:cs="Arial"/>
          <w:color w:val="000000" w:themeColor="text1"/>
          <w:sz w:val="22"/>
          <w:szCs w:val="22"/>
          <w:lang w:val="es-ES_tradnl"/>
        </w:rPr>
        <w:t>s</w:t>
      </w:r>
      <w:r w:rsidR="00E40FB8" w:rsidRPr="00325B05">
        <w:rPr>
          <w:rFonts w:ascii="Arial" w:eastAsia="Calibri" w:hAnsi="Arial" w:cs="Arial"/>
          <w:color w:val="000000" w:themeColor="text1"/>
          <w:sz w:val="22"/>
          <w:szCs w:val="22"/>
          <w:lang w:val="es-ES_tradnl"/>
        </w:rPr>
        <w:t xml:space="preserve"> convocatoria</w:t>
      </w:r>
      <w:r w:rsidR="001B3B25" w:rsidRPr="00325B05">
        <w:rPr>
          <w:rFonts w:ascii="Arial" w:eastAsia="Calibri" w:hAnsi="Arial" w:cs="Arial"/>
          <w:color w:val="000000" w:themeColor="text1"/>
          <w:sz w:val="22"/>
          <w:szCs w:val="22"/>
          <w:lang w:val="es-ES_tradnl"/>
        </w:rPr>
        <w:t>s</w:t>
      </w:r>
      <w:r w:rsidR="00E40FB8" w:rsidRPr="00325B05">
        <w:rPr>
          <w:rFonts w:ascii="Arial" w:eastAsia="Calibri" w:hAnsi="Arial" w:cs="Arial"/>
          <w:color w:val="000000" w:themeColor="text1"/>
          <w:sz w:val="22"/>
          <w:szCs w:val="22"/>
          <w:lang w:val="es-ES_tradnl"/>
        </w:rPr>
        <w:t xml:space="preserve"> limitada</w:t>
      </w:r>
      <w:r w:rsidR="001B3B25" w:rsidRPr="00325B05">
        <w:rPr>
          <w:rFonts w:ascii="Arial" w:eastAsia="Calibri" w:hAnsi="Arial" w:cs="Arial"/>
          <w:color w:val="000000" w:themeColor="text1"/>
          <w:sz w:val="22"/>
          <w:szCs w:val="22"/>
          <w:lang w:val="es-ES_tradnl"/>
        </w:rPr>
        <w:t>s</w:t>
      </w:r>
      <w:r w:rsidR="00E40FB8" w:rsidRPr="00325B05">
        <w:rPr>
          <w:rFonts w:ascii="Arial" w:eastAsia="Calibri" w:hAnsi="Arial" w:cs="Arial"/>
          <w:color w:val="000000" w:themeColor="text1"/>
          <w:sz w:val="22"/>
          <w:szCs w:val="22"/>
          <w:lang w:val="es-ES_tradnl"/>
        </w:rPr>
        <w:t xml:space="preserve"> a </w:t>
      </w:r>
      <w:proofErr w:type="spellStart"/>
      <w:r w:rsidR="00E40FB8" w:rsidRPr="00325B05">
        <w:rPr>
          <w:rFonts w:ascii="Arial" w:eastAsia="Calibri" w:hAnsi="Arial" w:cs="Arial"/>
          <w:color w:val="000000" w:themeColor="text1"/>
          <w:sz w:val="22"/>
          <w:szCs w:val="22"/>
          <w:lang w:val="es-ES_tradnl"/>
        </w:rPr>
        <w:t>mipymes</w:t>
      </w:r>
      <w:proofErr w:type="spellEnd"/>
      <w:r w:rsidR="001B3B25" w:rsidRPr="00325B05">
        <w:rPr>
          <w:rFonts w:ascii="Arial" w:eastAsia="Calibri" w:hAnsi="Arial" w:cs="Arial"/>
          <w:color w:val="000000" w:themeColor="text1"/>
          <w:sz w:val="22"/>
          <w:szCs w:val="22"/>
          <w:lang w:val="es-ES_tradnl"/>
        </w:rPr>
        <w:t>. Concretamente</w:t>
      </w:r>
      <w:r w:rsidR="004774C3" w:rsidRPr="00325B05">
        <w:rPr>
          <w:rFonts w:ascii="Arial" w:eastAsia="Calibri" w:hAnsi="Arial" w:cs="Arial"/>
          <w:color w:val="000000" w:themeColor="text1"/>
          <w:sz w:val="22"/>
          <w:szCs w:val="22"/>
          <w:lang w:val="es-ES_tradnl"/>
        </w:rPr>
        <w:t xml:space="preserve">, </w:t>
      </w:r>
      <w:r w:rsidR="001B3B25" w:rsidRPr="00325B05">
        <w:rPr>
          <w:rFonts w:ascii="Arial" w:eastAsia="Calibri" w:hAnsi="Arial" w:cs="Arial"/>
          <w:color w:val="000000" w:themeColor="text1"/>
          <w:sz w:val="22"/>
          <w:szCs w:val="22"/>
          <w:lang w:val="es-ES_tradnl"/>
        </w:rPr>
        <w:t xml:space="preserve">no incluye </w:t>
      </w:r>
      <w:r w:rsidR="00940207" w:rsidRPr="00325B05">
        <w:rPr>
          <w:rFonts w:ascii="Arial" w:eastAsia="Calibri" w:hAnsi="Arial" w:cs="Arial"/>
          <w:color w:val="000000" w:themeColor="text1"/>
          <w:sz w:val="22"/>
          <w:szCs w:val="22"/>
          <w:lang w:val="es-ES_tradnl"/>
        </w:rPr>
        <w:t xml:space="preserve">todos </w:t>
      </w:r>
      <w:r w:rsidR="001B3B25" w:rsidRPr="00325B05">
        <w:rPr>
          <w:rFonts w:ascii="Arial" w:eastAsia="Calibri" w:hAnsi="Arial" w:cs="Arial"/>
          <w:color w:val="000000" w:themeColor="text1"/>
          <w:sz w:val="22"/>
          <w:szCs w:val="22"/>
          <w:lang w:val="es-ES_tradnl"/>
        </w:rPr>
        <w:t>los requisitos</w:t>
      </w:r>
      <w:r w:rsidR="00940207" w:rsidRPr="00325B05">
        <w:rPr>
          <w:rFonts w:ascii="Arial" w:eastAsia="Calibri" w:hAnsi="Arial" w:cs="Arial"/>
          <w:color w:val="000000" w:themeColor="text1"/>
          <w:sz w:val="22"/>
          <w:szCs w:val="22"/>
          <w:lang w:val="es-ES_tradnl"/>
        </w:rPr>
        <w:t xml:space="preserve"> </w:t>
      </w:r>
      <w:r w:rsidR="001B3B25" w:rsidRPr="00325B05">
        <w:rPr>
          <w:rFonts w:ascii="Arial" w:eastAsia="Calibri" w:hAnsi="Arial" w:cs="Arial"/>
          <w:color w:val="000000" w:themeColor="text1"/>
          <w:sz w:val="22"/>
          <w:szCs w:val="22"/>
          <w:lang w:val="es-ES_tradnl"/>
        </w:rPr>
        <w:t>que</w:t>
      </w:r>
      <w:r w:rsidR="00940207" w:rsidRPr="00325B05">
        <w:rPr>
          <w:rFonts w:ascii="Arial" w:eastAsia="Calibri" w:hAnsi="Arial" w:cs="Arial"/>
          <w:color w:val="000000" w:themeColor="text1"/>
          <w:sz w:val="22"/>
          <w:szCs w:val="22"/>
          <w:lang w:val="es-ES_tradnl"/>
        </w:rPr>
        <w:t>,</w:t>
      </w:r>
      <w:r w:rsidR="001B3B25" w:rsidRPr="00325B05">
        <w:rPr>
          <w:rFonts w:ascii="Arial" w:eastAsia="Calibri" w:hAnsi="Arial" w:cs="Arial"/>
          <w:color w:val="000000" w:themeColor="text1"/>
          <w:sz w:val="22"/>
          <w:szCs w:val="22"/>
          <w:lang w:val="es-ES_tradnl"/>
        </w:rPr>
        <w:t xml:space="preserve"> hasta la entrada en vigencia de la Ley 2069 de 2020, establecía el </w:t>
      </w:r>
      <w:r w:rsidR="00E90067" w:rsidRPr="00325B05">
        <w:rPr>
          <w:rFonts w:ascii="Arial" w:eastAsia="Calibri" w:hAnsi="Arial" w:cs="Arial"/>
          <w:color w:val="000000" w:themeColor="text1"/>
          <w:sz w:val="22"/>
          <w:szCs w:val="22"/>
          <w:lang w:val="es-ES_tradnl"/>
        </w:rPr>
        <w:t>artículo 2.2.1.2.4.2.2. del Decreto 1082 de 2015. Esta norma indicaba</w:t>
      </w:r>
      <w:r w:rsidR="000C47E0" w:rsidRPr="00325B05">
        <w:rPr>
          <w:rFonts w:ascii="Arial" w:eastAsia="Calibri" w:hAnsi="Arial" w:cs="Arial"/>
          <w:color w:val="000000" w:themeColor="text1"/>
          <w:sz w:val="22"/>
          <w:szCs w:val="22"/>
          <w:lang w:val="es-ES_tradnl"/>
        </w:rPr>
        <w:t xml:space="preserve"> en </w:t>
      </w:r>
      <w:r w:rsidR="00BF0B32" w:rsidRPr="00325B05">
        <w:rPr>
          <w:rFonts w:ascii="Arial" w:eastAsia="Calibri" w:hAnsi="Arial" w:cs="Arial"/>
          <w:color w:val="000000" w:themeColor="text1"/>
          <w:sz w:val="22"/>
          <w:szCs w:val="22"/>
          <w:lang w:val="es-ES_tradnl"/>
        </w:rPr>
        <w:t>su</w:t>
      </w:r>
      <w:r w:rsidR="000C47E0" w:rsidRPr="00325B05">
        <w:rPr>
          <w:rFonts w:ascii="Arial" w:eastAsia="Calibri" w:hAnsi="Arial" w:cs="Arial"/>
          <w:color w:val="000000" w:themeColor="text1"/>
          <w:sz w:val="22"/>
          <w:szCs w:val="22"/>
          <w:lang w:val="es-ES_tradnl"/>
        </w:rPr>
        <w:t xml:space="preserve"> </w:t>
      </w:r>
      <w:r w:rsidR="00BF0B32" w:rsidRPr="00325B05">
        <w:rPr>
          <w:rFonts w:ascii="Arial" w:eastAsia="Calibri" w:hAnsi="Arial" w:cs="Arial"/>
          <w:color w:val="000000" w:themeColor="text1"/>
          <w:sz w:val="22"/>
          <w:szCs w:val="22"/>
          <w:lang w:val="es-ES_tradnl"/>
        </w:rPr>
        <w:t>primer inciso</w:t>
      </w:r>
      <w:r w:rsidR="000C47E0" w:rsidRPr="00325B05">
        <w:rPr>
          <w:rFonts w:ascii="Arial" w:eastAsia="Calibri" w:hAnsi="Arial" w:cs="Arial"/>
          <w:color w:val="000000" w:themeColor="text1"/>
          <w:sz w:val="22"/>
          <w:szCs w:val="22"/>
          <w:lang w:val="es-ES_tradnl"/>
        </w:rPr>
        <w:t xml:space="preserve"> que</w:t>
      </w:r>
      <w:r w:rsidR="009E13D2" w:rsidRPr="00325B05">
        <w:rPr>
          <w:rFonts w:ascii="Arial" w:eastAsia="Calibri" w:hAnsi="Arial" w:cs="Arial"/>
          <w:color w:val="000000" w:themeColor="text1"/>
          <w:sz w:val="22"/>
          <w:szCs w:val="22"/>
          <w:lang w:val="es-ES_tradnl"/>
        </w:rPr>
        <w:t xml:space="preserve"> </w:t>
      </w:r>
      <w:r w:rsidR="000C47E0" w:rsidRPr="00325B05">
        <w:rPr>
          <w:rFonts w:ascii="Arial" w:eastAsia="Calibri" w:hAnsi="Arial" w:cs="Arial"/>
          <w:color w:val="000000" w:themeColor="text1"/>
          <w:sz w:val="22"/>
          <w:szCs w:val="22"/>
          <w:lang w:val="es-ES_tradnl"/>
        </w:rPr>
        <w:t xml:space="preserve">la entidad estatal </w:t>
      </w:r>
      <w:r w:rsidR="00BF0B32" w:rsidRPr="00325B05">
        <w:rPr>
          <w:rFonts w:ascii="Arial" w:eastAsia="Calibri" w:hAnsi="Arial" w:cs="Arial"/>
          <w:color w:val="000000" w:themeColor="text1"/>
          <w:sz w:val="22"/>
          <w:szCs w:val="22"/>
          <w:lang w:val="es-ES_tradnl"/>
        </w:rPr>
        <w:t>solo podía</w:t>
      </w:r>
      <w:r w:rsidR="000C47E0" w:rsidRPr="00325B05">
        <w:rPr>
          <w:rFonts w:ascii="Arial" w:eastAsia="Calibri" w:hAnsi="Arial" w:cs="Arial"/>
          <w:color w:val="000000" w:themeColor="text1"/>
          <w:sz w:val="22"/>
          <w:szCs w:val="22"/>
          <w:lang w:val="es-ES_tradnl"/>
        </w:rPr>
        <w:t xml:space="preserve"> limitar</w:t>
      </w:r>
      <w:r w:rsidR="00BF0B32" w:rsidRPr="00325B05">
        <w:rPr>
          <w:rFonts w:ascii="Arial" w:eastAsia="Calibri" w:hAnsi="Arial" w:cs="Arial"/>
          <w:color w:val="000000" w:themeColor="text1"/>
          <w:sz w:val="22"/>
          <w:szCs w:val="22"/>
          <w:lang w:val="es-ES_tradnl"/>
        </w:rPr>
        <w:t xml:space="preserve"> la convocatoria a las </w:t>
      </w:r>
      <w:proofErr w:type="spellStart"/>
      <w:r w:rsidR="00BF0B32" w:rsidRPr="00325B05">
        <w:rPr>
          <w:rFonts w:ascii="Arial" w:eastAsia="Calibri" w:hAnsi="Arial" w:cs="Arial"/>
          <w:color w:val="000000" w:themeColor="text1"/>
          <w:sz w:val="22"/>
          <w:szCs w:val="22"/>
          <w:lang w:val="es-ES_tradnl"/>
        </w:rPr>
        <w:t>mipymes</w:t>
      </w:r>
      <w:proofErr w:type="spellEnd"/>
      <w:r w:rsidR="00BF0B32" w:rsidRPr="00325B05">
        <w:rPr>
          <w:rFonts w:ascii="Arial" w:eastAsia="Calibri" w:hAnsi="Arial" w:cs="Arial"/>
          <w:color w:val="000000" w:themeColor="text1"/>
          <w:sz w:val="22"/>
          <w:szCs w:val="22"/>
          <w:lang w:val="es-ES_tradnl"/>
        </w:rPr>
        <w:t xml:space="preserve"> nacionales</w:t>
      </w:r>
      <w:r w:rsidR="0075022F" w:rsidRPr="00325B05">
        <w:rPr>
          <w:rFonts w:ascii="Arial" w:eastAsia="Calibri" w:hAnsi="Arial" w:cs="Arial"/>
          <w:color w:val="000000" w:themeColor="text1"/>
          <w:sz w:val="22"/>
          <w:szCs w:val="22"/>
          <w:lang w:val="es-ES_tradnl"/>
        </w:rPr>
        <w:t xml:space="preserve"> si se trataba de procesos de selección de licitación pública, selección abreviada y concursos de méritos</w:t>
      </w:r>
      <w:r w:rsidR="00503534" w:rsidRPr="00325B05">
        <w:rPr>
          <w:rFonts w:ascii="Arial" w:eastAsia="Calibri" w:hAnsi="Arial" w:cs="Arial"/>
          <w:color w:val="000000" w:themeColor="text1"/>
          <w:sz w:val="22"/>
          <w:szCs w:val="22"/>
          <w:lang w:val="es-ES_tradnl"/>
        </w:rPr>
        <w:t>. Por su parte, tal restricción no se encuentra en el artículo 34 de la Ley 2069 de 2020.</w:t>
      </w:r>
    </w:p>
    <w:p w14:paraId="63F6170C" w14:textId="58D5D25C" w:rsidR="00503534" w:rsidRPr="00325B05" w:rsidRDefault="00503534" w:rsidP="00772AAF">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Adicionalmente, el numeral 1 del artículo 2.2.1.2.4.2.2. del Decreto 1082 de 2015</w:t>
      </w:r>
      <w:r w:rsidR="00B12FBB" w:rsidRPr="00325B05">
        <w:rPr>
          <w:rFonts w:ascii="Arial" w:eastAsia="Calibri" w:hAnsi="Arial" w:cs="Arial"/>
          <w:color w:val="000000" w:themeColor="text1"/>
          <w:sz w:val="22"/>
          <w:szCs w:val="22"/>
          <w:lang w:val="es-ES_tradnl"/>
        </w:rPr>
        <w:t xml:space="preserve"> exigía que el valor del proceso de contratación</w:t>
      </w:r>
      <w:r w:rsidR="009838C1" w:rsidRPr="00325B05">
        <w:rPr>
          <w:rFonts w:ascii="Arial" w:eastAsia="Calibri" w:hAnsi="Arial" w:cs="Arial"/>
          <w:color w:val="000000" w:themeColor="text1"/>
          <w:sz w:val="22"/>
          <w:szCs w:val="22"/>
          <w:lang w:val="es-ES_tradnl"/>
        </w:rPr>
        <w:t xml:space="preserve"> en el que pretendiera limitarse la convocatoria a </w:t>
      </w:r>
      <w:proofErr w:type="spellStart"/>
      <w:r w:rsidR="009838C1" w:rsidRPr="00325B05">
        <w:rPr>
          <w:rFonts w:ascii="Arial" w:eastAsia="Calibri" w:hAnsi="Arial" w:cs="Arial"/>
          <w:color w:val="000000" w:themeColor="text1"/>
          <w:sz w:val="22"/>
          <w:szCs w:val="22"/>
          <w:lang w:val="es-ES_tradnl"/>
        </w:rPr>
        <w:t>mipymes</w:t>
      </w:r>
      <w:proofErr w:type="spellEnd"/>
      <w:r w:rsidR="009838C1" w:rsidRPr="00325B05">
        <w:rPr>
          <w:rFonts w:ascii="Arial" w:eastAsia="Calibri" w:hAnsi="Arial" w:cs="Arial"/>
          <w:color w:val="000000" w:themeColor="text1"/>
          <w:sz w:val="22"/>
          <w:szCs w:val="22"/>
          <w:lang w:val="es-ES_tradnl"/>
        </w:rPr>
        <w:t xml:space="preserve"> fuera «[…] menor a ciento veinticinco mil dólares de los Estados Unidos de América (US$125.000), liquidados con la tasa de cambio que para el efecto determina cada dos años el Ministerio de Comercio, Industria y Turismo». Este requisito tampoco se observa en</w:t>
      </w:r>
      <w:r w:rsidR="006A4249" w:rsidRPr="00325B05">
        <w:rPr>
          <w:rFonts w:ascii="Arial" w:eastAsia="Calibri" w:hAnsi="Arial" w:cs="Arial"/>
          <w:color w:val="000000" w:themeColor="text1"/>
          <w:sz w:val="22"/>
          <w:szCs w:val="22"/>
          <w:lang w:val="es-ES_tradnl"/>
        </w:rPr>
        <w:t xml:space="preserve"> el artículo 34 de la Ley 2069 de 2020.</w:t>
      </w:r>
    </w:p>
    <w:p w14:paraId="69F50883" w14:textId="77777777" w:rsidR="00430D44" w:rsidRPr="00325B05" w:rsidRDefault="00773131" w:rsidP="00772AAF">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A lo anterior debe agregarse que mientras la nueva disposición legal</w:t>
      </w:r>
      <w:r w:rsidR="00BB7B13" w:rsidRPr="00325B05">
        <w:rPr>
          <w:rFonts w:ascii="Arial" w:eastAsia="Calibri" w:hAnsi="Arial" w:cs="Arial"/>
          <w:color w:val="000000" w:themeColor="text1"/>
          <w:sz w:val="22"/>
          <w:szCs w:val="22"/>
          <w:lang w:val="es-ES_tradnl"/>
        </w:rPr>
        <w:t xml:space="preserve"> indica que la convocatoria limitada a </w:t>
      </w:r>
      <w:proofErr w:type="spellStart"/>
      <w:r w:rsidR="00BB7B13" w:rsidRPr="00325B05">
        <w:rPr>
          <w:rFonts w:ascii="Arial" w:eastAsia="Calibri" w:hAnsi="Arial" w:cs="Arial"/>
          <w:color w:val="000000" w:themeColor="text1"/>
          <w:sz w:val="22"/>
          <w:szCs w:val="22"/>
          <w:lang w:val="es-ES_tradnl"/>
        </w:rPr>
        <w:t>mipymes</w:t>
      </w:r>
      <w:proofErr w:type="spellEnd"/>
      <w:r w:rsidR="00BB7B13" w:rsidRPr="00325B05">
        <w:rPr>
          <w:rFonts w:ascii="Arial" w:eastAsia="Calibri" w:hAnsi="Arial" w:cs="Arial"/>
          <w:color w:val="000000" w:themeColor="text1"/>
          <w:sz w:val="22"/>
          <w:szCs w:val="22"/>
          <w:lang w:val="es-ES_tradnl"/>
        </w:rPr>
        <w:t xml:space="preserve"> </w:t>
      </w:r>
      <w:r w:rsidR="0034713F" w:rsidRPr="00325B05">
        <w:rPr>
          <w:rFonts w:ascii="Arial" w:eastAsia="Calibri" w:hAnsi="Arial" w:cs="Arial"/>
          <w:color w:val="000000" w:themeColor="text1"/>
          <w:sz w:val="22"/>
          <w:szCs w:val="22"/>
          <w:lang w:val="es-ES_tradnl"/>
        </w:rPr>
        <w:t xml:space="preserve">debe hacerse cuando por lo menos </w:t>
      </w:r>
      <w:r w:rsidR="0034713F" w:rsidRPr="00325B05">
        <w:rPr>
          <w:rFonts w:ascii="Arial" w:eastAsia="Calibri" w:hAnsi="Arial" w:cs="Arial"/>
          <w:i/>
          <w:iCs/>
          <w:color w:val="000000" w:themeColor="text1"/>
          <w:sz w:val="22"/>
          <w:szCs w:val="22"/>
          <w:lang w:val="es-ES_tradnl"/>
        </w:rPr>
        <w:t>dos (2)</w:t>
      </w:r>
      <w:r w:rsidR="0034713F" w:rsidRPr="00325B05">
        <w:rPr>
          <w:rFonts w:ascii="Arial" w:eastAsia="Calibri" w:hAnsi="Arial" w:cs="Arial"/>
          <w:color w:val="000000" w:themeColor="text1"/>
          <w:sz w:val="22"/>
          <w:szCs w:val="22"/>
          <w:lang w:val="es-ES_tradnl"/>
        </w:rPr>
        <w:t xml:space="preserve"> de estas hayan manifestado su interés antes de la resolución de apertura del proceso respectivo, el artículo</w:t>
      </w:r>
      <w:r w:rsidR="00636C0C" w:rsidRPr="00325B05">
        <w:rPr>
          <w:rFonts w:ascii="Arial" w:eastAsia="Calibri" w:hAnsi="Arial" w:cs="Arial"/>
          <w:color w:val="000000" w:themeColor="text1"/>
          <w:sz w:val="22"/>
          <w:szCs w:val="22"/>
          <w:lang w:val="es-ES_tradnl"/>
        </w:rPr>
        <w:t xml:space="preserve"> 2.2.1.2.4.2.2. del Decreto 1082 de 2015 condicionaba la limitación de la convocatoria a que la entidad estatal hubiera recibido</w:t>
      </w:r>
      <w:r w:rsidR="00401533" w:rsidRPr="00325B05">
        <w:rPr>
          <w:rFonts w:ascii="Arial" w:eastAsia="Calibri" w:hAnsi="Arial" w:cs="Arial"/>
          <w:color w:val="000000" w:themeColor="text1"/>
          <w:sz w:val="22"/>
          <w:szCs w:val="22"/>
          <w:lang w:val="es-ES_tradnl"/>
        </w:rPr>
        <w:t xml:space="preserve"> solicitudes de por lo menos </w:t>
      </w:r>
      <w:r w:rsidR="00401533" w:rsidRPr="00325B05">
        <w:rPr>
          <w:rFonts w:ascii="Arial" w:eastAsia="Calibri" w:hAnsi="Arial" w:cs="Arial"/>
          <w:i/>
          <w:iCs/>
          <w:color w:val="000000" w:themeColor="text1"/>
          <w:sz w:val="22"/>
          <w:szCs w:val="22"/>
          <w:lang w:val="es-ES_tradnl"/>
        </w:rPr>
        <w:t>tres (3)</w:t>
      </w:r>
      <w:r w:rsidR="00401533" w:rsidRPr="00325B05">
        <w:rPr>
          <w:rFonts w:ascii="Arial" w:eastAsia="Calibri" w:hAnsi="Arial" w:cs="Arial"/>
          <w:color w:val="000000" w:themeColor="text1"/>
          <w:sz w:val="22"/>
          <w:szCs w:val="22"/>
          <w:lang w:val="es-ES_tradnl"/>
        </w:rPr>
        <w:t xml:space="preserve"> </w:t>
      </w:r>
      <w:proofErr w:type="spellStart"/>
      <w:r w:rsidR="00401533" w:rsidRPr="00325B05">
        <w:rPr>
          <w:rFonts w:ascii="Arial" w:eastAsia="Calibri" w:hAnsi="Arial" w:cs="Arial"/>
          <w:color w:val="000000" w:themeColor="text1"/>
          <w:sz w:val="22"/>
          <w:szCs w:val="22"/>
          <w:lang w:val="es-ES_tradnl"/>
        </w:rPr>
        <w:t>mipymes</w:t>
      </w:r>
      <w:proofErr w:type="spellEnd"/>
      <w:r w:rsidR="00401533" w:rsidRPr="00325B05">
        <w:rPr>
          <w:rFonts w:ascii="Arial" w:eastAsia="Calibri" w:hAnsi="Arial" w:cs="Arial"/>
          <w:color w:val="000000" w:themeColor="text1"/>
          <w:sz w:val="22"/>
          <w:szCs w:val="22"/>
          <w:lang w:val="es-ES_tradnl"/>
        </w:rPr>
        <w:t>, a más tardar un día hábil antes de la apertura del proceso de selección.</w:t>
      </w:r>
    </w:p>
    <w:p w14:paraId="1E77B196" w14:textId="7DD3F464" w:rsidR="00C21F0C" w:rsidRPr="00325B05" w:rsidRDefault="00430D44" w:rsidP="00772AAF">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Las diferencias </w:t>
      </w:r>
      <w:r w:rsidR="001D2552" w:rsidRPr="00325B05">
        <w:rPr>
          <w:rFonts w:ascii="Arial" w:eastAsia="Calibri" w:hAnsi="Arial" w:cs="Arial"/>
          <w:color w:val="000000" w:themeColor="text1"/>
          <w:sz w:val="22"/>
          <w:szCs w:val="22"/>
          <w:lang w:val="es-ES_tradnl"/>
        </w:rPr>
        <w:t>evidenciadas son suficientes para mostrar que, además de la pérdida de fuerza ejecutoria del artículo 2.2.1.2.4.2.2. del Decreto 1082 de 2015</w:t>
      </w:r>
      <w:r w:rsidR="002E3931" w:rsidRPr="00325B05">
        <w:rPr>
          <w:rFonts w:ascii="Arial" w:eastAsia="Calibri" w:hAnsi="Arial" w:cs="Arial"/>
          <w:color w:val="000000" w:themeColor="text1"/>
          <w:sz w:val="22"/>
          <w:szCs w:val="22"/>
          <w:lang w:val="es-ES_tradnl"/>
        </w:rPr>
        <w:t xml:space="preserve">, </w:t>
      </w:r>
      <w:r w:rsidR="001D2552" w:rsidRPr="00325B05">
        <w:rPr>
          <w:rFonts w:ascii="Arial" w:eastAsia="Calibri" w:hAnsi="Arial" w:cs="Arial"/>
          <w:color w:val="000000" w:themeColor="text1"/>
          <w:sz w:val="22"/>
          <w:szCs w:val="22"/>
          <w:lang w:val="es-ES_tradnl"/>
        </w:rPr>
        <w:t xml:space="preserve">por </w:t>
      </w:r>
      <w:r w:rsidR="0039047D" w:rsidRPr="00325B05">
        <w:rPr>
          <w:rFonts w:ascii="Arial" w:eastAsia="Calibri" w:hAnsi="Arial" w:cs="Arial"/>
          <w:color w:val="000000" w:themeColor="text1"/>
          <w:sz w:val="22"/>
          <w:szCs w:val="22"/>
          <w:lang w:val="es-ES_tradnl"/>
        </w:rPr>
        <w:t xml:space="preserve">la </w:t>
      </w:r>
      <w:r w:rsidR="001D2552" w:rsidRPr="00325B05">
        <w:rPr>
          <w:rFonts w:ascii="Arial" w:eastAsia="Calibri" w:hAnsi="Arial" w:cs="Arial"/>
          <w:color w:val="000000" w:themeColor="text1"/>
          <w:sz w:val="22"/>
          <w:szCs w:val="22"/>
          <w:lang w:val="es-ES_tradnl"/>
        </w:rPr>
        <w:t>desaparición de</w:t>
      </w:r>
      <w:r w:rsidR="0039047D" w:rsidRPr="00325B05">
        <w:rPr>
          <w:rFonts w:ascii="Arial" w:eastAsia="Calibri" w:hAnsi="Arial" w:cs="Arial"/>
          <w:color w:val="000000" w:themeColor="text1"/>
          <w:sz w:val="22"/>
          <w:szCs w:val="22"/>
          <w:lang w:val="es-ES_tradnl"/>
        </w:rPr>
        <w:t xml:space="preserve"> su</w:t>
      </w:r>
      <w:r w:rsidR="001D2552" w:rsidRPr="00325B05">
        <w:rPr>
          <w:rFonts w:ascii="Arial" w:eastAsia="Calibri" w:hAnsi="Arial" w:cs="Arial"/>
          <w:color w:val="000000" w:themeColor="text1"/>
          <w:sz w:val="22"/>
          <w:szCs w:val="22"/>
          <w:lang w:val="es-ES_tradnl"/>
        </w:rPr>
        <w:t xml:space="preserve"> fundamento de derecho</w:t>
      </w:r>
      <w:r w:rsidR="0043741B" w:rsidRPr="00325B05">
        <w:rPr>
          <w:rFonts w:ascii="Arial" w:eastAsia="Calibri" w:hAnsi="Arial" w:cs="Arial"/>
          <w:color w:val="000000" w:themeColor="text1"/>
          <w:sz w:val="22"/>
          <w:szCs w:val="22"/>
          <w:lang w:val="es-ES_tradnl"/>
        </w:rPr>
        <w:t>,</w:t>
      </w:r>
      <w:r w:rsidR="00F06CA4" w:rsidRPr="00325B05">
        <w:rPr>
          <w:rFonts w:ascii="Arial" w:eastAsia="Calibri" w:hAnsi="Arial" w:cs="Arial"/>
          <w:color w:val="000000" w:themeColor="text1"/>
          <w:sz w:val="22"/>
          <w:szCs w:val="22"/>
          <w:lang w:val="es-ES_tradnl"/>
        </w:rPr>
        <w:t xml:space="preserve"> se advierte una manifiesta oposición entre dicho enunciado normativo y el nuevo contenido del artículo 12 de la Ley 1150 de 2007, modificado por el artículo </w:t>
      </w:r>
      <w:r w:rsidR="007A7775" w:rsidRPr="00325B05">
        <w:rPr>
          <w:rFonts w:ascii="Arial" w:eastAsia="Calibri" w:hAnsi="Arial" w:cs="Arial"/>
          <w:color w:val="000000" w:themeColor="text1"/>
          <w:sz w:val="22"/>
          <w:szCs w:val="22"/>
          <w:lang w:val="es-ES_tradnl"/>
        </w:rPr>
        <w:t>34 de la Ley 2069 de 2020. Ante esta contradicción, se debe aplicar la consecuencia jurídica</w:t>
      </w:r>
      <w:r w:rsidR="00AF7E8F" w:rsidRPr="00325B05">
        <w:rPr>
          <w:rFonts w:ascii="Arial" w:eastAsia="Calibri" w:hAnsi="Arial" w:cs="Arial"/>
          <w:color w:val="000000" w:themeColor="text1"/>
          <w:sz w:val="22"/>
          <w:szCs w:val="22"/>
          <w:lang w:val="es-ES_tradnl"/>
        </w:rPr>
        <w:t xml:space="preserve"> prevista en el artículo </w:t>
      </w:r>
      <w:r w:rsidR="00260523" w:rsidRPr="00325B05">
        <w:rPr>
          <w:rFonts w:ascii="Arial" w:eastAsia="Calibri" w:hAnsi="Arial" w:cs="Arial"/>
          <w:color w:val="000000" w:themeColor="text1"/>
          <w:sz w:val="22"/>
          <w:szCs w:val="22"/>
          <w:lang w:val="es-ES_tradnl"/>
        </w:rPr>
        <w:t>84 de la Ley 2069 de 2020, según la cual esta «deroga […]</w:t>
      </w:r>
      <w:r w:rsidR="00F32F80" w:rsidRPr="00325B05">
        <w:rPr>
          <w:rFonts w:ascii="Arial" w:eastAsia="Calibri" w:hAnsi="Arial" w:cs="Arial"/>
          <w:color w:val="000000" w:themeColor="text1"/>
          <w:sz w:val="22"/>
          <w:szCs w:val="22"/>
          <w:lang w:val="es-ES_tradnl"/>
        </w:rPr>
        <w:t xml:space="preserve"> todas las disposiciones que le sean contrarias». </w:t>
      </w:r>
      <w:r w:rsidR="006937EA" w:rsidRPr="00325B05">
        <w:rPr>
          <w:rFonts w:ascii="Arial" w:eastAsia="Calibri" w:hAnsi="Arial" w:cs="Arial"/>
          <w:color w:val="000000" w:themeColor="text1"/>
          <w:sz w:val="22"/>
          <w:szCs w:val="22"/>
          <w:lang w:val="es-ES_tradnl"/>
        </w:rPr>
        <w:t>Entonces, puede afirmarse que, además del decaimiento del artículo 2.2.1.2.4.2.2. del Decreto 1082 de 2015, debe entenderse derogado.</w:t>
      </w:r>
    </w:p>
    <w:p w14:paraId="1DF3F462" w14:textId="2FFFA137" w:rsidR="00773131" w:rsidRPr="00325B05" w:rsidRDefault="00C21F0C" w:rsidP="00774337">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Por último, no es válido aducir que </w:t>
      </w:r>
      <w:r w:rsidR="00CC45A5" w:rsidRPr="00325B05">
        <w:rPr>
          <w:rFonts w:ascii="Arial" w:eastAsia="Calibri" w:hAnsi="Arial" w:cs="Arial"/>
          <w:color w:val="000000" w:themeColor="text1"/>
          <w:sz w:val="22"/>
          <w:szCs w:val="22"/>
          <w:lang w:val="es-ES_tradnl"/>
        </w:rPr>
        <w:t>los apartados normativos del artículo</w:t>
      </w:r>
      <w:r w:rsidR="0042226E" w:rsidRPr="00325B05">
        <w:rPr>
          <w:rFonts w:ascii="Arial" w:eastAsia="Calibri" w:hAnsi="Arial" w:cs="Arial"/>
          <w:color w:val="000000" w:themeColor="text1"/>
          <w:sz w:val="22"/>
          <w:szCs w:val="22"/>
          <w:lang w:val="es-ES_tradnl"/>
        </w:rPr>
        <w:t xml:space="preserve"> 2.2.1.2.4.2.2. del Decreto 1082 de 2015 que</w:t>
      </w:r>
      <w:r w:rsidR="0003535C" w:rsidRPr="00325B05">
        <w:rPr>
          <w:rFonts w:ascii="Arial" w:eastAsia="Calibri" w:hAnsi="Arial" w:cs="Arial"/>
          <w:color w:val="000000" w:themeColor="text1"/>
          <w:sz w:val="22"/>
          <w:szCs w:val="22"/>
          <w:lang w:val="es-ES_tradnl"/>
        </w:rPr>
        <w:t>,</w:t>
      </w:r>
      <w:r w:rsidR="0042226E" w:rsidRPr="00325B05">
        <w:rPr>
          <w:rFonts w:ascii="Arial" w:eastAsia="Calibri" w:hAnsi="Arial" w:cs="Arial"/>
          <w:color w:val="000000" w:themeColor="text1"/>
          <w:sz w:val="22"/>
          <w:szCs w:val="22"/>
          <w:lang w:val="es-ES_tradnl"/>
        </w:rPr>
        <w:t xml:space="preserve"> en su texto</w:t>
      </w:r>
      <w:r w:rsidR="0003535C" w:rsidRPr="00325B05">
        <w:rPr>
          <w:rFonts w:ascii="Arial" w:eastAsia="Calibri" w:hAnsi="Arial" w:cs="Arial"/>
          <w:color w:val="000000" w:themeColor="text1"/>
          <w:sz w:val="22"/>
          <w:szCs w:val="22"/>
          <w:lang w:val="es-ES_tradnl"/>
        </w:rPr>
        <w:t>,</w:t>
      </w:r>
      <w:r w:rsidR="0042226E" w:rsidRPr="00325B05">
        <w:rPr>
          <w:rFonts w:ascii="Arial" w:eastAsia="Calibri" w:hAnsi="Arial" w:cs="Arial"/>
          <w:color w:val="000000" w:themeColor="text1"/>
          <w:sz w:val="22"/>
          <w:szCs w:val="22"/>
          <w:lang w:val="es-ES_tradnl"/>
        </w:rPr>
        <w:t xml:space="preserve"> no sean contrarios a la nueva regulación contenida en el artículo 34 de la Ley 2069 de 2020 pueden seguirse aplicando. </w:t>
      </w:r>
      <w:r w:rsidR="00011EA4" w:rsidRPr="00325B05">
        <w:rPr>
          <w:rFonts w:ascii="Arial" w:eastAsia="Calibri" w:hAnsi="Arial" w:cs="Arial"/>
          <w:color w:val="000000" w:themeColor="text1"/>
          <w:sz w:val="22"/>
          <w:szCs w:val="22"/>
          <w:lang w:val="es-ES_tradnl"/>
        </w:rPr>
        <w:t xml:space="preserve">Tal aseveración no </w:t>
      </w:r>
      <w:r w:rsidR="0003535C" w:rsidRPr="00325B05">
        <w:rPr>
          <w:rFonts w:ascii="Arial" w:eastAsia="Calibri" w:hAnsi="Arial" w:cs="Arial"/>
          <w:color w:val="000000" w:themeColor="text1"/>
          <w:sz w:val="22"/>
          <w:szCs w:val="22"/>
          <w:lang w:val="es-ES_tradnl"/>
        </w:rPr>
        <w:t>es</w:t>
      </w:r>
      <w:r w:rsidR="00011EA4" w:rsidRPr="00325B05">
        <w:rPr>
          <w:rFonts w:ascii="Arial" w:eastAsia="Calibri" w:hAnsi="Arial" w:cs="Arial"/>
          <w:color w:val="000000" w:themeColor="text1"/>
          <w:sz w:val="22"/>
          <w:szCs w:val="22"/>
          <w:lang w:val="es-ES_tradnl"/>
        </w:rPr>
        <w:t xml:space="preserve"> admisible, porque el artículo 34</w:t>
      </w:r>
      <w:r w:rsidR="00C94065" w:rsidRPr="00325B05">
        <w:rPr>
          <w:rFonts w:ascii="Arial" w:eastAsia="Calibri" w:hAnsi="Arial" w:cs="Arial"/>
          <w:color w:val="000000" w:themeColor="text1"/>
          <w:sz w:val="22"/>
          <w:szCs w:val="22"/>
          <w:lang w:val="es-ES_tradnl"/>
        </w:rPr>
        <w:t>,</w:t>
      </w:r>
      <w:r w:rsidR="005C721D" w:rsidRPr="00325B05">
        <w:rPr>
          <w:rFonts w:ascii="Arial" w:eastAsia="Calibri" w:hAnsi="Arial" w:cs="Arial"/>
          <w:color w:val="000000" w:themeColor="text1"/>
          <w:sz w:val="22"/>
          <w:szCs w:val="22"/>
          <w:lang w:val="es-ES_tradnl"/>
        </w:rPr>
        <w:t xml:space="preserve"> reiteradamente</w:t>
      </w:r>
      <w:r w:rsidR="00C94065" w:rsidRPr="00325B05">
        <w:rPr>
          <w:rFonts w:ascii="Arial" w:eastAsia="Calibri" w:hAnsi="Arial" w:cs="Arial"/>
          <w:color w:val="000000" w:themeColor="text1"/>
          <w:sz w:val="22"/>
          <w:szCs w:val="22"/>
          <w:lang w:val="es-ES_tradnl"/>
        </w:rPr>
        <w:t>,</w:t>
      </w:r>
      <w:r w:rsidR="005C721D" w:rsidRPr="00325B05">
        <w:rPr>
          <w:rFonts w:ascii="Arial" w:eastAsia="Calibri" w:hAnsi="Arial" w:cs="Arial"/>
          <w:color w:val="000000" w:themeColor="text1"/>
          <w:sz w:val="22"/>
          <w:szCs w:val="22"/>
          <w:lang w:val="es-ES_tradnl"/>
        </w:rPr>
        <w:t xml:space="preserve"> </w:t>
      </w:r>
      <w:r w:rsidR="00774337" w:rsidRPr="00325B05">
        <w:rPr>
          <w:rFonts w:ascii="Arial" w:eastAsia="Calibri" w:hAnsi="Arial" w:cs="Arial"/>
          <w:color w:val="000000" w:themeColor="text1"/>
          <w:sz w:val="22"/>
          <w:szCs w:val="22"/>
          <w:lang w:val="es-ES_tradnl"/>
        </w:rPr>
        <w:t xml:space="preserve">señala </w:t>
      </w:r>
      <w:r w:rsidR="0068420B" w:rsidRPr="00325B05">
        <w:rPr>
          <w:rFonts w:ascii="Arial" w:eastAsia="Calibri" w:hAnsi="Arial" w:cs="Arial"/>
          <w:color w:val="000000" w:themeColor="text1"/>
          <w:sz w:val="22"/>
          <w:szCs w:val="22"/>
          <w:lang w:val="es-ES_tradnl"/>
        </w:rPr>
        <w:t>que el gobierno nacional debe definir las condiciones para la aplicación de las reglas recientemente expedidas</w:t>
      </w:r>
      <w:r w:rsidR="00774337" w:rsidRPr="00325B05">
        <w:rPr>
          <w:rFonts w:ascii="Arial" w:eastAsia="Calibri" w:hAnsi="Arial" w:cs="Arial"/>
          <w:color w:val="000000" w:themeColor="text1"/>
          <w:sz w:val="22"/>
          <w:szCs w:val="22"/>
          <w:lang w:val="es-ES_tradnl"/>
        </w:rPr>
        <w:t>,</w:t>
      </w:r>
      <w:r w:rsidR="0068420B" w:rsidRPr="00325B05">
        <w:rPr>
          <w:rFonts w:ascii="Arial" w:eastAsia="Calibri" w:hAnsi="Arial" w:cs="Arial"/>
          <w:color w:val="000000" w:themeColor="text1"/>
          <w:sz w:val="22"/>
          <w:szCs w:val="22"/>
          <w:lang w:val="es-ES_tradnl"/>
        </w:rPr>
        <w:t xml:space="preserve"> que permitan </w:t>
      </w:r>
      <w:r w:rsidR="002212FB" w:rsidRPr="00325B05">
        <w:rPr>
          <w:rFonts w:ascii="Arial" w:eastAsia="Calibri" w:hAnsi="Arial" w:cs="Arial"/>
          <w:color w:val="000000" w:themeColor="text1"/>
          <w:sz w:val="22"/>
          <w:szCs w:val="22"/>
          <w:lang w:val="es-ES_tradnl"/>
        </w:rPr>
        <w:t xml:space="preserve">llevar a cabo las convocatorias limitadas a </w:t>
      </w:r>
      <w:proofErr w:type="spellStart"/>
      <w:r w:rsidR="002212FB" w:rsidRPr="00325B05">
        <w:rPr>
          <w:rFonts w:ascii="Arial" w:eastAsia="Calibri" w:hAnsi="Arial" w:cs="Arial"/>
          <w:color w:val="000000" w:themeColor="text1"/>
          <w:sz w:val="22"/>
          <w:szCs w:val="22"/>
          <w:lang w:val="es-ES_tradnl"/>
        </w:rPr>
        <w:t>mipymes</w:t>
      </w:r>
      <w:proofErr w:type="spellEnd"/>
      <w:r w:rsidR="002212FB" w:rsidRPr="00325B05">
        <w:rPr>
          <w:rFonts w:ascii="Arial" w:eastAsia="Calibri" w:hAnsi="Arial" w:cs="Arial"/>
          <w:color w:val="000000" w:themeColor="text1"/>
          <w:sz w:val="22"/>
          <w:szCs w:val="22"/>
          <w:lang w:val="es-ES_tradnl"/>
        </w:rPr>
        <w:t>, lo cual demuestra la voluntad legislativa de</w:t>
      </w:r>
      <w:r w:rsidR="00607860" w:rsidRPr="00325B05">
        <w:rPr>
          <w:rFonts w:ascii="Arial" w:eastAsia="Calibri" w:hAnsi="Arial" w:cs="Arial"/>
          <w:color w:val="000000" w:themeColor="text1"/>
          <w:sz w:val="22"/>
          <w:szCs w:val="22"/>
          <w:lang w:val="es-ES_tradnl"/>
        </w:rPr>
        <w:t xml:space="preserve"> </w:t>
      </w:r>
      <w:r w:rsidR="00774337" w:rsidRPr="00325B05">
        <w:rPr>
          <w:rFonts w:ascii="Arial" w:eastAsia="Calibri" w:hAnsi="Arial" w:cs="Arial"/>
          <w:color w:val="000000" w:themeColor="text1"/>
          <w:sz w:val="22"/>
          <w:szCs w:val="22"/>
          <w:lang w:val="es-ES_tradnl"/>
        </w:rPr>
        <w:t xml:space="preserve">establecer </w:t>
      </w:r>
      <w:r w:rsidR="00607860" w:rsidRPr="00325B05">
        <w:rPr>
          <w:rFonts w:ascii="Arial" w:eastAsia="Calibri" w:hAnsi="Arial" w:cs="Arial"/>
          <w:color w:val="000000" w:themeColor="text1"/>
          <w:sz w:val="22"/>
          <w:szCs w:val="22"/>
          <w:lang w:val="es-ES_tradnl"/>
        </w:rPr>
        <w:t>la necesidad de una nueva reglamentación de dicha materia.</w:t>
      </w:r>
      <w:r w:rsidR="00774337" w:rsidRPr="00325B05">
        <w:rPr>
          <w:rFonts w:ascii="Arial" w:eastAsia="Calibri" w:hAnsi="Arial" w:cs="Arial"/>
          <w:color w:val="000000" w:themeColor="text1"/>
          <w:sz w:val="22"/>
          <w:szCs w:val="22"/>
          <w:lang w:val="es-ES_tradnl"/>
        </w:rPr>
        <w:t xml:space="preserve"> En tal sentido, el gobierno nacional podría, mediante el decreto reglamentario que expida, definir nuevas condiciones </w:t>
      </w:r>
      <w:r w:rsidR="00402FAF" w:rsidRPr="00325B05">
        <w:rPr>
          <w:rFonts w:ascii="Arial" w:eastAsia="Calibri" w:hAnsi="Arial" w:cs="Arial"/>
          <w:color w:val="000000" w:themeColor="text1"/>
          <w:sz w:val="22"/>
          <w:szCs w:val="22"/>
          <w:lang w:val="es-ES_tradnl"/>
        </w:rPr>
        <w:t xml:space="preserve">y montos para </w:t>
      </w:r>
      <w:r w:rsidR="00962C93" w:rsidRPr="00325B05">
        <w:rPr>
          <w:rFonts w:ascii="Arial" w:eastAsia="Calibri" w:hAnsi="Arial" w:cs="Arial"/>
          <w:color w:val="000000" w:themeColor="text1"/>
          <w:sz w:val="22"/>
          <w:szCs w:val="22"/>
          <w:lang w:val="es-ES_tradnl"/>
        </w:rPr>
        <w:t>las</w:t>
      </w:r>
      <w:r w:rsidR="00402FAF" w:rsidRPr="00325B05">
        <w:rPr>
          <w:rFonts w:ascii="Arial" w:eastAsia="Calibri" w:hAnsi="Arial" w:cs="Arial"/>
          <w:color w:val="000000" w:themeColor="text1"/>
          <w:sz w:val="22"/>
          <w:szCs w:val="22"/>
          <w:lang w:val="es-ES_tradnl"/>
        </w:rPr>
        <w:t xml:space="preserve"> </w:t>
      </w:r>
      <w:r w:rsidR="00402FAF" w:rsidRPr="00325B05">
        <w:rPr>
          <w:rFonts w:ascii="Arial" w:eastAsia="Calibri" w:hAnsi="Arial" w:cs="Arial"/>
          <w:color w:val="000000" w:themeColor="text1"/>
          <w:sz w:val="22"/>
          <w:szCs w:val="22"/>
          <w:lang w:val="es-ES_tradnl"/>
        </w:rPr>
        <w:lastRenderedPageBreak/>
        <w:t>convocatorias</w:t>
      </w:r>
      <w:r w:rsidR="00962C93" w:rsidRPr="00325B05">
        <w:rPr>
          <w:rFonts w:ascii="Arial" w:eastAsia="Calibri" w:hAnsi="Arial" w:cs="Arial"/>
          <w:color w:val="000000" w:themeColor="text1"/>
          <w:sz w:val="22"/>
          <w:szCs w:val="22"/>
          <w:lang w:val="es-ES_tradnl"/>
        </w:rPr>
        <w:t xml:space="preserve"> limitadas a</w:t>
      </w:r>
      <w:r w:rsidR="007C21E1" w:rsidRPr="00325B05">
        <w:rPr>
          <w:rFonts w:ascii="Arial" w:eastAsia="Calibri" w:hAnsi="Arial" w:cs="Arial"/>
          <w:color w:val="000000" w:themeColor="text1"/>
          <w:sz w:val="22"/>
          <w:szCs w:val="22"/>
          <w:lang w:val="es-ES_tradnl"/>
        </w:rPr>
        <w:t xml:space="preserve"> </w:t>
      </w:r>
      <w:proofErr w:type="spellStart"/>
      <w:r w:rsidR="007C21E1" w:rsidRPr="00325B05">
        <w:rPr>
          <w:rFonts w:ascii="Arial" w:eastAsia="Calibri" w:hAnsi="Arial" w:cs="Arial"/>
          <w:color w:val="000000" w:themeColor="text1"/>
          <w:sz w:val="22"/>
          <w:szCs w:val="22"/>
          <w:lang w:val="es-ES_tradnl"/>
        </w:rPr>
        <w:t>mipymes</w:t>
      </w:r>
      <w:proofErr w:type="spellEnd"/>
      <w:r w:rsidR="00402FAF" w:rsidRPr="00325B05">
        <w:rPr>
          <w:rFonts w:ascii="Arial" w:eastAsia="Calibri" w:hAnsi="Arial" w:cs="Arial"/>
          <w:color w:val="000000" w:themeColor="text1"/>
          <w:sz w:val="22"/>
          <w:szCs w:val="22"/>
          <w:lang w:val="es-ES_tradnl"/>
        </w:rPr>
        <w:t xml:space="preserve">. Por ende, mientras ello no suceda, </w:t>
      </w:r>
      <w:r w:rsidR="00D50DB9" w:rsidRPr="00325B05">
        <w:rPr>
          <w:rFonts w:ascii="Arial" w:eastAsia="Calibri" w:hAnsi="Arial" w:cs="Arial"/>
          <w:color w:val="000000" w:themeColor="text1"/>
          <w:sz w:val="22"/>
          <w:szCs w:val="22"/>
          <w:lang w:val="es-ES_tradnl"/>
        </w:rPr>
        <w:t>las entidades estatales, los patrimonios autónomos constituidos por estas y los particulares que ejecuten recursos públicos, no pueden</w:t>
      </w:r>
      <w:r w:rsidR="00400E06" w:rsidRPr="00325B05">
        <w:rPr>
          <w:rFonts w:ascii="Arial" w:eastAsia="Calibri" w:hAnsi="Arial" w:cs="Arial"/>
          <w:color w:val="000000" w:themeColor="text1"/>
          <w:sz w:val="22"/>
          <w:szCs w:val="22"/>
          <w:lang w:val="es-ES_tradnl"/>
        </w:rPr>
        <w:t xml:space="preserve"> adoptar convocatorias limitadas a </w:t>
      </w:r>
      <w:proofErr w:type="spellStart"/>
      <w:r w:rsidR="00400E06" w:rsidRPr="00325B05">
        <w:rPr>
          <w:rFonts w:ascii="Arial" w:eastAsia="Calibri" w:hAnsi="Arial" w:cs="Arial"/>
          <w:color w:val="000000" w:themeColor="text1"/>
          <w:sz w:val="22"/>
          <w:szCs w:val="22"/>
          <w:lang w:val="es-ES_tradnl"/>
        </w:rPr>
        <w:t>mipymes</w:t>
      </w:r>
      <w:proofErr w:type="spellEnd"/>
      <w:r w:rsidR="00400E06" w:rsidRPr="00325B05">
        <w:rPr>
          <w:rFonts w:ascii="Arial" w:eastAsia="Calibri" w:hAnsi="Arial" w:cs="Arial"/>
          <w:color w:val="000000" w:themeColor="text1"/>
          <w:sz w:val="22"/>
          <w:szCs w:val="22"/>
          <w:lang w:val="es-ES_tradnl"/>
        </w:rPr>
        <w:t xml:space="preserve">, pues al tenor del artículo 34 de la Ley 2069 de 2020, la eficacia de esta norma quedó condicionada a la expedición del decreto reglamentario que fije las condiciones de su operatividad.   </w:t>
      </w:r>
      <w:r w:rsidR="00D50DB9" w:rsidRPr="00325B05">
        <w:rPr>
          <w:rFonts w:ascii="Arial" w:eastAsia="Calibri" w:hAnsi="Arial" w:cs="Arial"/>
          <w:color w:val="000000" w:themeColor="text1"/>
          <w:sz w:val="22"/>
          <w:szCs w:val="22"/>
          <w:lang w:val="es-ES_tradnl"/>
        </w:rPr>
        <w:t xml:space="preserve"> </w:t>
      </w:r>
    </w:p>
    <w:p w14:paraId="093B22A4" w14:textId="77777777" w:rsidR="00C85528" w:rsidRPr="00325B05" w:rsidRDefault="00C85528" w:rsidP="00271230">
      <w:pPr>
        <w:spacing w:line="276" w:lineRule="auto"/>
        <w:jc w:val="both"/>
        <w:rPr>
          <w:rFonts w:ascii="Arial" w:eastAsia="Calibri" w:hAnsi="Arial" w:cs="Arial"/>
          <w:color w:val="000000" w:themeColor="text1"/>
          <w:sz w:val="22"/>
          <w:szCs w:val="22"/>
          <w:lang w:val="es-ES_tradnl"/>
        </w:rPr>
      </w:pPr>
    </w:p>
    <w:p w14:paraId="0F39B6EF" w14:textId="663189D1" w:rsidR="005244FC" w:rsidRPr="00325B05" w:rsidRDefault="005244FC" w:rsidP="005244FC">
      <w:pPr>
        <w:spacing w:line="276" w:lineRule="auto"/>
        <w:jc w:val="both"/>
        <w:rPr>
          <w:rFonts w:ascii="Arial" w:eastAsia="Calibri" w:hAnsi="Arial" w:cs="Arial"/>
          <w:b/>
          <w:bCs/>
          <w:color w:val="000000" w:themeColor="text1"/>
          <w:sz w:val="22"/>
          <w:szCs w:val="22"/>
          <w:lang w:val="es-ES_tradnl"/>
        </w:rPr>
      </w:pPr>
      <w:r w:rsidRPr="00325B05">
        <w:rPr>
          <w:rFonts w:ascii="Arial" w:eastAsia="Calibri" w:hAnsi="Arial" w:cs="Arial"/>
          <w:b/>
          <w:bCs/>
          <w:color w:val="000000" w:themeColor="text1"/>
          <w:sz w:val="22"/>
          <w:szCs w:val="22"/>
          <w:lang w:val="es-ES_tradnl"/>
        </w:rPr>
        <w:t>2.</w:t>
      </w:r>
      <w:r w:rsidR="003906FD" w:rsidRPr="00325B05">
        <w:rPr>
          <w:rFonts w:ascii="Arial" w:eastAsia="Calibri" w:hAnsi="Arial" w:cs="Arial"/>
          <w:b/>
          <w:bCs/>
          <w:color w:val="000000" w:themeColor="text1"/>
          <w:sz w:val="22"/>
          <w:szCs w:val="22"/>
          <w:lang w:val="es-ES_tradnl"/>
        </w:rPr>
        <w:t>3</w:t>
      </w:r>
      <w:r w:rsidRPr="00325B05">
        <w:rPr>
          <w:rFonts w:ascii="Arial" w:eastAsia="Calibri" w:hAnsi="Arial" w:cs="Arial"/>
          <w:b/>
          <w:bCs/>
          <w:color w:val="000000" w:themeColor="text1"/>
          <w:sz w:val="22"/>
          <w:szCs w:val="22"/>
          <w:lang w:val="es-ES_tradnl"/>
        </w:rPr>
        <w:t>. Factores de desempate en la contratación estatal: concepto y características</w:t>
      </w:r>
    </w:p>
    <w:p w14:paraId="342BA812" w14:textId="77777777" w:rsidR="005244FC" w:rsidRPr="00325B05" w:rsidRDefault="005244FC" w:rsidP="005244FC">
      <w:pPr>
        <w:spacing w:line="276" w:lineRule="auto"/>
        <w:jc w:val="both"/>
        <w:rPr>
          <w:rFonts w:ascii="Arial" w:eastAsia="Calibri" w:hAnsi="Arial" w:cs="Arial"/>
          <w:color w:val="000000" w:themeColor="text1"/>
          <w:sz w:val="22"/>
          <w:szCs w:val="22"/>
          <w:lang w:val="es-ES_tradnl"/>
        </w:rPr>
      </w:pPr>
    </w:p>
    <w:p w14:paraId="7EE28DCC" w14:textId="77777777" w:rsidR="00BC3DD4" w:rsidRPr="00325B05" w:rsidRDefault="00BC3DD4" w:rsidP="00BC3DD4">
      <w:pPr>
        <w:spacing w:line="276" w:lineRule="auto"/>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5466C7F0" w14:textId="77777777" w:rsidR="00BC3DD4" w:rsidRPr="00325B05" w:rsidRDefault="00BC3DD4" w:rsidP="00BC3DD4">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061133B5" w14:textId="77777777" w:rsidR="00BC3DD4" w:rsidRPr="00325B05" w:rsidRDefault="00BC3DD4" w:rsidP="00BC3DD4">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2069 de 2020. La jurisprudencia comparte la idea de que los criterios </w:t>
      </w:r>
      <w:r w:rsidRPr="00325B05">
        <w:rPr>
          <w:rFonts w:ascii="Arial" w:eastAsia="Calibri" w:hAnsi="Arial" w:cs="Arial"/>
          <w:color w:val="000000" w:themeColor="text1"/>
          <w:sz w:val="22"/>
          <w:szCs w:val="22"/>
          <w:lang w:val="es-ES_tradnl"/>
        </w:rPr>
        <w:lastRenderedPageBreak/>
        <w:t>de desempate deben estar establecidos de antemano y constituyen un límite a la discrecionalidad administrativa en los procedimientos de selección</w:t>
      </w:r>
      <w:r w:rsidRPr="00325B05">
        <w:rPr>
          <w:rStyle w:val="Refdenotaalpie"/>
          <w:rFonts w:ascii="Arial" w:hAnsi="Arial" w:cs="Arial"/>
          <w:sz w:val="21"/>
          <w:szCs w:val="21"/>
          <w:lang w:val="es-ES_tradnl"/>
        </w:rPr>
        <w:footnoteReference w:id="8"/>
      </w:r>
      <w:r w:rsidRPr="00325B05">
        <w:rPr>
          <w:rFonts w:ascii="Arial" w:eastAsia="Calibri" w:hAnsi="Arial" w:cs="Arial"/>
          <w:color w:val="000000" w:themeColor="text1"/>
          <w:sz w:val="22"/>
          <w:szCs w:val="22"/>
          <w:lang w:val="es-ES_tradnl"/>
        </w:rPr>
        <w:t xml:space="preserve">. </w:t>
      </w:r>
    </w:p>
    <w:p w14:paraId="5CF96159" w14:textId="5A258475" w:rsidR="00BC3DD4" w:rsidRPr="00325B05" w:rsidRDefault="00BC3DD4" w:rsidP="00BC3DD4">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325B05">
        <w:rPr>
          <w:rStyle w:val="Refdenotaalpie"/>
          <w:rFonts w:ascii="Arial" w:eastAsia="Calibri" w:hAnsi="Arial" w:cs="Arial"/>
          <w:color w:val="000000" w:themeColor="text1"/>
          <w:sz w:val="22"/>
          <w:szCs w:val="22"/>
          <w:lang w:val="es-ES_tradnl"/>
        </w:rPr>
        <w:footnoteReference w:id="9"/>
      </w:r>
      <w:r w:rsidRPr="00325B05">
        <w:rPr>
          <w:rFonts w:ascii="Arial" w:eastAsia="Calibri" w:hAnsi="Arial" w:cs="Arial"/>
          <w:color w:val="000000" w:themeColor="text1"/>
          <w:sz w:val="22"/>
          <w:szCs w:val="22"/>
          <w:lang w:val="es-ES_tradnl"/>
        </w:rPr>
        <w:t xml:space="preserve">. </w:t>
      </w:r>
      <w:r w:rsidR="00C44E99">
        <w:rPr>
          <w:rFonts w:ascii="Arial" w:eastAsia="Calibri" w:hAnsi="Arial" w:cs="Arial"/>
          <w:color w:val="000000" w:themeColor="text1"/>
          <w:sz w:val="22"/>
          <w:szCs w:val="22"/>
          <w:lang w:val="es-ES_tradnl"/>
        </w:rPr>
        <w:t>M</w:t>
      </w:r>
      <w:r w:rsidRPr="00325B05">
        <w:rPr>
          <w:rFonts w:ascii="Arial" w:eastAsia="Calibri" w:hAnsi="Arial" w:cs="Arial"/>
          <w:color w:val="000000" w:themeColor="text1"/>
          <w:sz w:val="22"/>
          <w:szCs w:val="22"/>
          <w:lang w:val="es-ES_tradnl"/>
        </w:rPr>
        <w:t>ás</w:t>
      </w:r>
      <w:r w:rsidR="00C44E99">
        <w:rPr>
          <w:rFonts w:ascii="Arial" w:eastAsia="Calibri" w:hAnsi="Arial" w:cs="Arial"/>
          <w:color w:val="000000" w:themeColor="text1"/>
          <w:sz w:val="22"/>
          <w:szCs w:val="22"/>
          <w:lang w:val="es-ES_tradnl"/>
        </w:rPr>
        <w:t xml:space="preserve"> aún</w:t>
      </w:r>
      <w:r w:rsidRPr="00325B05">
        <w:rPr>
          <w:rFonts w:ascii="Arial" w:eastAsia="Calibri" w:hAnsi="Arial" w:cs="Arial"/>
          <w:color w:val="000000" w:themeColor="text1"/>
          <w:sz w:val="22"/>
          <w:szCs w:val="22"/>
          <w:lang w:val="es-ES_tradnl"/>
        </w:rPr>
        <w:t>, según el Consejo de Estado, ir en contra de los factores de desempate establecidos expresamente genera la nulidad del contrato, conforme al artículo 44, inciso 1º de la Ley 80 de 1993</w:t>
      </w:r>
      <w:r w:rsidRPr="00325B05">
        <w:rPr>
          <w:rStyle w:val="Refdenotaalpie"/>
          <w:rFonts w:ascii="Arial" w:eastAsia="Calibri" w:hAnsi="Arial" w:cs="Arial"/>
          <w:color w:val="000000" w:themeColor="text1"/>
          <w:sz w:val="22"/>
          <w:szCs w:val="22"/>
          <w:lang w:val="es-ES_tradnl"/>
        </w:rPr>
        <w:footnoteReference w:id="10"/>
      </w:r>
      <w:r w:rsidRPr="00325B05">
        <w:rPr>
          <w:rFonts w:ascii="Arial" w:eastAsia="Calibri" w:hAnsi="Arial" w:cs="Arial"/>
          <w:color w:val="000000" w:themeColor="text1"/>
          <w:sz w:val="22"/>
          <w:szCs w:val="22"/>
          <w:lang w:val="es-ES_tradnl"/>
        </w:rPr>
        <w:t>.</w:t>
      </w:r>
    </w:p>
    <w:p w14:paraId="66186ED1" w14:textId="77777777" w:rsidR="00BC3DD4" w:rsidRPr="00325B05" w:rsidRDefault="00BC3DD4" w:rsidP="00BC3DD4">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Ahora bien, en cumplimiento de los principios de reciprocidad y de </w:t>
      </w:r>
      <w:r w:rsidRPr="00325B05">
        <w:rPr>
          <w:rFonts w:ascii="Arial" w:eastAsia="Calibri" w:hAnsi="Arial" w:cs="Arial"/>
          <w:i/>
          <w:iCs/>
          <w:color w:val="000000" w:themeColor="text1"/>
          <w:sz w:val="22"/>
          <w:szCs w:val="22"/>
          <w:lang w:val="es-ES_tradnl"/>
        </w:rPr>
        <w:t xml:space="preserve">pacta </w:t>
      </w:r>
      <w:proofErr w:type="spellStart"/>
      <w:r w:rsidRPr="00325B05">
        <w:rPr>
          <w:rFonts w:ascii="Arial" w:eastAsia="Calibri" w:hAnsi="Arial" w:cs="Arial"/>
          <w:i/>
          <w:iCs/>
          <w:color w:val="000000" w:themeColor="text1"/>
          <w:sz w:val="22"/>
          <w:szCs w:val="22"/>
          <w:lang w:val="es-ES_tradnl"/>
        </w:rPr>
        <w:t>sunt</w:t>
      </w:r>
      <w:proofErr w:type="spellEnd"/>
      <w:r w:rsidRPr="00325B05">
        <w:rPr>
          <w:rFonts w:ascii="Arial" w:eastAsia="Calibri" w:hAnsi="Arial" w:cs="Arial"/>
          <w:i/>
          <w:iCs/>
          <w:color w:val="000000" w:themeColor="text1"/>
          <w:sz w:val="22"/>
          <w:szCs w:val="22"/>
          <w:lang w:val="es-ES_tradnl"/>
        </w:rPr>
        <w:t xml:space="preserve"> </w:t>
      </w:r>
      <w:proofErr w:type="spellStart"/>
      <w:r w:rsidRPr="00325B05">
        <w:rPr>
          <w:rFonts w:ascii="Arial" w:eastAsia="Calibri" w:hAnsi="Arial" w:cs="Arial"/>
          <w:i/>
          <w:iCs/>
          <w:color w:val="000000" w:themeColor="text1"/>
          <w:sz w:val="22"/>
          <w:szCs w:val="22"/>
          <w:lang w:val="es-ES_tradnl"/>
        </w:rPr>
        <w:t>servanda</w:t>
      </w:r>
      <w:proofErr w:type="spellEnd"/>
      <w:r w:rsidRPr="00325B05">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6B333DBB" w14:textId="77777777" w:rsidR="005244FC" w:rsidRPr="00325B05" w:rsidRDefault="005244FC" w:rsidP="005244FC">
      <w:pPr>
        <w:spacing w:line="276" w:lineRule="auto"/>
        <w:rPr>
          <w:rFonts w:ascii="Arial" w:eastAsia="Calibri" w:hAnsi="Arial" w:cs="Arial"/>
          <w:color w:val="000000" w:themeColor="text1"/>
          <w:sz w:val="22"/>
          <w:szCs w:val="22"/>
          <w:lang w:val="es-ES_tradnl"/>
        </w:rPr>
      </w:pPr>
    </w:p>
    <w:p w14:paraId="2C2833A6" w14:textId="26FBD833" w:rsidR="00833ADA" w:rsidRPr="00325B05" w:rsidRDefault="00523F41" w:rsidP="00833ADA">
      <w:pPr>
        <w:spacing w:line="276" w:lineRule="auto"/>
        <w:jc w:val="both"/>
        <w:rPr>
          <w:rFonts w:ascii="Arial" w:eastAsia="Calibri" w:hAnsi="Arial" w:cs="Arial"/>
          <w:b/>
          <w:bCs/>
          <w:color w:val="000000" w:themeColor="text1"/>
          <w:sz w:val="22"/>
          <w:szCs w:val="22"/>
          <w:lang w:val="es-ES_tradnl"/>
        </w:rPr>
      </w:pPr>
      <w:r w:rsidRPr="00325B05">
        <w:rPr>
          <w:rFonts w:ascii="Arial" w:eastAsia="Calibri" w:hAnsi="Arial" w:cs="Arial"/>
          <w:b/>
          <w:bCs/>
          <w:color w:val="000000" w:themeColor="text1"/>
          <w:sz w:val="22"/>
          <w:szCs w:val="22"/>
          <w:lang w:val="es-ES_tradnl"/>
        </w:rPr>
        <w:t>2.</w:t>
      </w:r>
      <w:r w:rsidR="00391867" w:rsidRPr="00325B05">
        <w:rPr>
          <w:rFonts w:ascii="Arial" w:eastAsia="Calibri" w:hAnsi="Arial" w:cs="Arial"/>
          <w:b/>
          <w:bCs/>
          <w:color w:val="000000" w:themeColor="text1"/>
          <w:sz w:val="22"/>
          <w:szCs w:val="22"/>
          <w:lang w:val="es-ES_tradnl"/>
        </w:rPr>
        <w:t>4</w:t>
      </w:r>
      <w:r w:rsidRPr="00325B05">
        <w:rPr>
          <w:rFonts w:ascii="Arial" w:eastAsia="Calibri" w:hAnsi="Arial" w:cs="Arial"/>
          <w:b/>
          <w:bCs/>
          <w:color w:val="000000" w:themeColor="text1"/>
          <w:sz w:val="22"/>
          <w:szCs w:val="22"/>
          <w:lang w:val="es-ES_tradnl"/>
        </w:rPr>
        <w:t>.</w:t>
      </w:r>
      <w:r w:rsidR="00833ADA" w:rsidRPr="00325B05">
        <w:rPr>
          <w:rFonts w:ascii="Arial" w:eastAsia="Calibri" w:hAnsi="Arial" w:cs="Arial"/>
          <w:b/>
          <w:bCs/>
          <w:color w:val="000000" w:themeColor="text1"/>
          <w:sz w:val="22"/>
          <w:szCs w:val="22"/>
          <w:lang w:val="es-ES_tradnl"/>
        </w:rPr>
        <w:t xml:space="preserve"> Forma de acreditación de los factores de desempate consagrados en el artículo 35 de la</w:t>
      </w:r>
      <w:r w:rsidR="00755229" w:rsidRPr="00325B05">
        <w:rPr>
          <w:rFonts w:ascii="Arial" w:eastAsia="Calibri" w:hAnsi="Arial" w:cs="Arial"/>
          <w:b/>
          <w:bCs/>
          <w:color w:val="000000" w:themeColor="text1"/>
          <w:sz w:val="22"/>
          <w:szCs w:val="22"/>
          <w:lang w:val="es-ES_tradnl"/>
        </w:rPr>
        <w:t xml:space="preserve"> Ley </w:t>
      </w:r>
      <w:r w:rsidR="001F0325" w:rsidRPr="00325B05">
        <w:rPr>
          <w:rFonts w:ascii="Arial" w:eastAsia="Calibri" w:hAnsi="Arial" w:cs="Arial"/>
          <w:b/>
          <w:bCs/>
          <w:color w:val="000000" w:themeColor="text1"/>
          <w:sz w:val="22"/>
          <w:szCs w:val="22"/>
          <w:lang w:val="es-ES_tradnl"/>
        </w:rPr>
        <w:t>2069</w:t>
      </w:r>
      <w:r w:rsidR="00755229" w:rsidRPr="00325B05">
        <w:rPr>
          <w:rFonts w:ascii="Arial" w:eastAsia="Calibri" w:hAnsi="Arial" w:cs="Arial"/>
          <w:b/>
          <w:bCs/>
          <w:color w:val="000000" w:themeColor="text1"/>
          <w:sz w:val="22"/>
          <w:szCs w:val="22"/>
          <w:lang w:val="es-ES_tradnl"/>
        </w:rPr>
        <w:t xml:space="preserve"> de 2020</w:t>
      </w:r>
    </w:p>
    <w:p w14:paraId="39B77F09" w14:textId="77777777" w:rsidR="00FC6DB9" w:rsidRPr="00325B05" w:rsidRDefault="00FC6DB9" w:rsidP="00271230">
      <w:pPr>
        <w:spacing w:line="276" w:lineRule="auto"/>
        <w:jc w:val="both"/>
        <w:rPr>
          <w:rFonts w:ascii="Arial" w:eastAsia="Calibri" w:hAnsi="Arial" w:cs="Arial"/>
          <w:color w:val="000000" w:themeColor="text1"/>
          <w:sz w:val="22"/>
          <w:szCs w:val="22"/>
          <w:lang w:val="es-ES_tradnl"/>
        </w:rPr>
      </w:pPr>
    </w:p>
    <w:p w14:paraId="57EDB361" w14:textId="0643F9C9" w:rsidR="00C6031F" w:rsidRPr="00325B05" w:rsidRDefault="00C6031F" w:rsidP="00C6031F">
      <w:pPr>
        <w:spacing w:line="276" w:lineRule="auto"/>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 la </w:t>
      </w:r>
      <w:r w:rsidR="00FE1E8C" w:rsidRPr="00325B05">
        <w:rPr>
          <w:rFonts w:ascii="Arial" w:eastAsia="Calibri" w:hAnsi="Arial" w:cs="Arial"/>
          <w:color w:val="000000" w:themeColor="text1"/>
          <w:sz w:val="22"/>
          <w:szCs w:val="22"/>
          <w:lang w:val="es-ES_tradnl"/>
        </w:rPr>
        <w:t>Agencia</w:t>
      </w:r>
      <w:r w:rsidRPr="00325B05">
        <w:rPr>
          <w:rFonts w:ascii="Arial" w:eastAsia="Calibri" w:hAnsi="Arial" w:cs="Arial"/>
          <w:color w:val="000000" w:themeColor="text1"/>
          <w:sz w:val="22"/>
          <w:szCs w:val="22"/>
          <w:lang w:val="es-ES_tradnl"/>
        </w:rPr>
        <w:t xml:space="preserve"> se pronunciará sobre el alcance que otorga a tales disposiciones,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550765E1" w14:textId="77777777" w:rsidR="00C6031F" w:rsidRPr="00325B05" w:rsidRDefault="00C6031F" w:rsidP="00C6031F">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lastRenderedPageBreak/>
        <w:t xml:space="preserve">Al respecto, </w:t>
      </w:r>
      <w:r w:rsidRPr="00325B05">
        <w:rPr>
          <w:rFonts w:ascii="Arial" w:eastAsia="Calibri" w:hAnsi="Arial" w:cs="Arial"/>
          <w:sz w:val="22"/>
          <w:szCs w:val="22"/>
          <w:lang w:val="es-ES_tradnl"/>
        </w:rPr>
        <w:t>pese a que el parágrafo 3 dispone que el Gobierno Nacional podrá regular los supuestos en que concurran dos o más factores de desempate,</w:t>
      </w:r>
      <w:r w:rsidRPr="00325B05">
        <w:rPr>
          <w:rFonts w:ascii="Arial" w:eastAsia="Calibri" w:hAnsi="Arial" w:cs="Arial"/>
          <w:color w:val="000000" w:themeColor="text1"/>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17DC5A2F" w14:textId="77777777" w:rsidR="00C6031F" w:rsidRPr="00325B05" w:rsidRDefault="00C6031F" w:rsidP="00C6031F">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325B05">
        <w:rPr>
          <w:rFonts w:ascii="Arial" w:eastAsia="Calibri" w:hAnsi="Arial" w:cs="Arial"/>
          <w:color w:val="000000" w:themeColor="text1"/>
          <w:sz w:val="22"/>
          <w:szCs w:val="22"/>
          <w:lang w:val="es-ES_tradnl"/>
        </w:rPr>
        <w:t>mipymes</w:t>
      </w:r>
      <w:proofErr w:type="spellEnd"/>
      <w:r w:rsidRPr="00325B05">
        <w:rPr>
          <w:rFonts w:ascii="Arial" w:eastAsia="Calibri" w:hAnsi="Arial" w:cs="Arial"/>
          <w:color w:val="000000" w:themeColor="text1"/>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325B05">
        <w:rPr>
          <w:rFonts w:ascii="Arial" w:eastAsia="Calibri" w:hAnsi="Arial" w:cs="Arial"/>
          <w:color w:val="000000" w:themeColor="text1"/>
          <w:sz w:val="22"/>
          <w:szCs w:val="22"/>
          <w:lang w:val="es-ES_tradnl"/>
        </w:rPr>
        <w:t>Mipymes</w:t>
      </w:r>
      <w:proofErr w:type="spellEnd"/>
      <w:r w:rsidRPr="00325B05">
        <w:rPr>
          <w:rFonts w:ascii="Arial" w:eastAsia="Calibri" w:hAnsi="Arial" w:cs="Arial"/>
          <w:color w:val="000000" w:themeColor="text1"/>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7B7C70B2" w14:textId="77777777" w:rsidR="00C6031F" w:rsidRPr="00325B05" w:rsidRDefault="00C6031F" w:rsidP="00C6031F">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6FFC62A2" w14:textId="77777777" w:rsidR="00C6031F" w:rsidRPr="00325B05" w:rsidRDefault="00C6031F" w:rsidP="00C6031F">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Lo mismo no sucede con el artículo 35</w:t>
      </w:r>
      <w:r w:rsidRPr="00325B05">
        <w:rPr>
          <w:rFonts w:ascii="Arial" w:eastAsia="Calibri" w:hAnsi="Arial" w:cs="Arial"/>
          <w:sz w:val="22"/>
          <w:szCs w:val="22"/>
          <w:lang w:val="es-ES_tradnl"/>
        </w:rPr>
        <w:t xml:space="preserve">. En efecto, </w:t>
      </w:r>
      <w:r w:rsidRPr="00325B05">
        <w:rPr>
          <w:rFonts w:ascii="Arial" w:hAnsi="Arial" w:cs="Arial"/>
          <w:color w:val="000000" w:themeColor="text1"/>
          <w:sz w:val="22"/>
          <w:szCs w:val="22"/>
          <w:lang w:val="es-ES_tradnl"/>
        </w:rPr>
        <w:t>si bien los factores de desempate regulados en el artículo 35 deben aplicarse «</w:t>
      </w:r>
      <w:r w:rsidRPr="00325B05">
        <w:rPr>
          <w:rFonts w:ascii="Arial" w:hAnsi="Arial" w:cs="Arial"/>
          <w:lang w:val="es-ES_tradnl"/>
        </w:rPr>
        <w:t xml:space="preserve">[…] </w:t>
      </w:r>
      <w:r w:rsidRPr="00325B05">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325B05">
        <w:rPr>
          <w:rFonts w:ascii="Arial" w:eastAsia="Calibri" w:hAnsi="Arial" w:cs="Arial"/>
          <w:color w:val="000000" w:themeColor="text1"/>
          <w:sz w:val="22"/>
          <w:szCs w:val="22"/>
          <w:lang w:val="es-ES_tradnl"/>
        </w:rPr>
        <w:t xml:space="preserve">  </w:t>
      </w:r>
    </w:p>
    <w:p w14:paraId="4060D85D" w14:textId="77777777" w:rsidR="00C6031F" w:rsidRPr="00325B05" w:rsidRDefault="00C6031F" w:rsidP="00C6031F">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w:t>
      </w:r>
      <w:r w:rsidRPr="00325B05">
        <w:rPr>
          <w:rFonts w:ascii="Arial" w:eastAsia="Calibri" w:hAnsi="Arial" w:cs="Arial"/>
          <w:color w:val="000000" w:themeColor="text1"/>
          <w:sz w:val="22"/>
          <w:szCs w:val="22"/>
          <w:lang w:val="es-ES_tradnl"/>
        </w:rPr>
        <w:lastRenderedPageBreak/>
        <w:t xml:space="preserve">condicionar la aplicación de todo lo dispuesto en aquel, sino para indicar que «El Gobierno Nacional </w:t>
      </w:r>
      <w:r w:rsidRPr="00325B05">
        <w:rPr>
          <w:rFonts w:ascii="Arial" w:eastAsia="Calibri" w:hAnsi="Arial" w:cs="Arial"/>
          <w:i/>
          <w:iCs/>
          <w:color w:val="000000" w:themeColor="text1"/>
          <w:sz w:val="22"/>
          <w:szCs w:val="22"/>
          <w:lang w:val="es-ES_tradnl"/>
        </w:rPr>
        <w:t>podrá reglamentar</w:t>
      </w:r>
      <w:r w:rsidRPr="00325B05">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p>
    <w:p w14:paraId="5E1207E2" w14:textId="2B75D79E" w:rsidR="00766D49" w:rsidRPr="00325B05" w:rsidRDefault="00C6031F" w:rsidP="007F722E">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6169B33D" w14:textId="592CB177" w:rsidR="004E71B7" w:rsidRDefault="007F722E" w:rsidP="00D43423">
      <w:pPr>
        <w:spacing w:before="120" w:after="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Los</w:t>
      </w:r>
      <w:r w:rsidR="004E71B7" w:rsidRPr="00325B05">
        <w:rPr>
          <w:rFonts w:ascii="Arial" w:eastAsia="Calibri" w:hAnsi="Arial" w:cs="Arial"/>
          <w:color w:val="000000" w:themeColor="text1"/>
          <w:sz w:val="22"/>
          <w:szCs w:val="22"/>
          <w:lang w:val="es-ES_tradnl"/>
        </w:rPr>
        <w:t xml:space="preserve"> numerales</w:t>
      </w:r>
      <w:r w:rsidRPr="00325B05">
        <w:rPr>
          <w:rFonts w:ascii="Arial" w:eastAsia="Calibri" w:hAnsi="Arial" w:cs="Arial"/>
          <w:color w:val="000000" w:themeColor="text1"/>
          <w:sz w:val="22"/>
          <w:szCs w:val="22"/>
          <w:lang w:val="es-ES_tradnl"/>
        </w:rPr>
        <w:t xml:space="preserve"> del artículo 35 de la Ley 2069 de 2020</w:t>
      </w:r>
      <w:r w:rsidR="004E71B7" w:rsidRPr="00325B05">
        <w:rPr>
          <w:rFonts w:ascii="Arial" w:eastAsia="Calibri" w:hAnsi="Arial" w:cs="Arial"/>
          <w:color w:val="000000" w:themeColor="text1"/>
          <w:sz w:val="22"/>
          <w:szCs w:val="22"/>
          <w:lang w:val="es-ES_tradnl"/>
        </w:rPr>
        <w:t xml:space="preserve"> </w:t>
      </w:r>
      <w:bookmarkStart w:id="2" w:name="_Hlk62459524"/>
      <w:r w:rsidR="004E71B7" w:rsidRPr="00325B05">
        <w:rPr>
          <w:rFonts w:ascii="Arial" w:eastAsia="Calibri" w:hAnsi="Arial" w:cs="Arial"/>
          <w:color w:val="000000" w:themeColor="text1"/>
          <w:sz w:val="22"/>
          <w:szCs w:val="22"/>
          <w:lang w:val="es-ES_tradnl"/>
        </w:rPr>
        <w:t xml:space="preserve">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w:t>
      </w:r>
      <w:r w:rsidR="004E71B7" w:rsidRPr="00325B05">
        <w:rPr>
          <w:rFonts w:ascii="Arial" w:eastAsia="Calibri" w:hAnsi="Arial" w:cs="Arial"/>
          <w:color w:val="000000" w:themeColor="text1"/>
          <w:sz w:val="22"/>
          <w:szCs w:val="22"/>
          <w:lang w:val="es-ES_tradnl"/>
        </w:rPr>
        <w:t>encargadas de certificar las circunstancias del artículo 35. Sin embargo, mientras ello no suceda, deberá aplicarse el criterio indicado con anterioridad.</w:t>
      </w:r>
    </w:p>
    <w:p w14:paraId="09D69459" w14:textId="385BA825" w:rsidR="00204A41" w:rsidRPr="00A87091" w:rsidRDefault="00204A41" w:rsidP="00204A41">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Pr="00A87091">
        <w:rPr>
          <w:rFonts w:ascii="Arial" w:eastAsia="Calibri" w:hAnsi="Arial" w:cs="Arial"/>
          <w:bCs/>
          <w:color w:val="000000" w:themeColor="text1"/>
          <w:sz w:val="22"/>
        </w:rPr>
        <w:t xml:space="preserve">Este criterio también es aplicable a los documentos tipo adoptados </w:t>
      </w:r>
      <w:r>
        <w:rPr>
          <w:rFonts w:ascii="Arial" w:eastAsia="Calibri" w:hAnsi="Arial" w:cs="Arial"/>
          <w:bCs/>
          <w:color w:val="000000" w:themeColor="text1"/>
          <w:sz w:val="22"/>
        </w:rPr>
        <w:t>por la Agencia</w:t>
      </w:r>
      <w:r w:rsidRPr="00A87091">
        <w:rPr>
          <w:rFonts w:ascii="Arial" w:eastAsia="Calibri" w:hAnsi="Arial" w:cs="Arial"/>
          <w:bCs/>
          <w:color w:val="000000" w:themeColor="text1"/>
          <w:sz w:val="22"/>
        </w:rPr>
        <w:t xml:space="preserve">, pues si bien </w:t>
      </w:r>
      <w:r>
        <w:rPr>
          <w:rFonts w:ascii="Arial" w:eastAsia="Calibri" w:hAnsi="Arial" w:cs="Arial"/>
          <w:bCs/>
          <w:color w:val="000000" w:themeColor="text1"/>
          <w:sz w:val="22"/>
        </w:rPr>
        <w:t xml:space="preserve">los </w:t>
      </w:r>
      <w:r w:rsidRPr="00A87091">
        <w:rPr>
          <w:rFonts w:ascii="Arial" w:eastAsia="Calibri" w:hAnsi="Arial" w:cs="Arial"/>
          <w:bCs/>
          <w:color w:val="000000" w:themeColor="text1"/>
          <w:sz w:val="22"/>
        </w:rPr>
        <w:t>documento</w:t>
      </w:r>
      <w:r>
        <w:rPr>
          <w:rFonts w:ascii="Arial" w:eastAsia="Calibri" w:hAnsi="Arial" w:cs="Arial"/>
          <w:bCs/>
          <w:color w:val="000000" w:themeColor="text1"/>
          <w:sz w:val="22"/>
        </w:rPr>
        <w:t>s</w:t>
      </w:r>
      <w:r w:rsidRPr="00A87091">
        <w:rPr>
          <w:rFonts w:ascii="Arial" w:eastAsia="Calibri" w:hAnsi="Arial" w:cs="Arial"/>
          <w:bCs/>
          <w:color w:val="000000" w:themeColor="text1"/>
          <w:sz w:val="22"/>
        </w:rPr>
        <w:t xml:space="preserve"> base se refiere</w:t>
      </w:r>
      <w:r>
        <w:rPr>
          <w:rFonts w:ascii="Arial" w:eastAsia="Calibri" w:hAnsi="Arial" w:cs="Arial"/>
          <w:bCs/>
          <w:color w:val="000000" w:themeColor="text1"/>
          <w:sz w:val="22"/>
        </w:rPr>
        <w:t>n</w:t>
      </w:r>
      <w:r w:rsidRPr="00A87091">
        <w:rPr>
          <w:rFonts w:ascii="Arial" w:eastAsia="Calibri" w:hAnsi="Arial" w:cs="Arial"/>
          <w:bCs/>
          <w:color w:val="000000" w:themeColor="text1"/>
          <w:sz w:val="22"/>
        </w:rPr>
        <w:t xml:space="preserve"> a los factores de desempate del artículo 2.2.1.1.2.2.9 del Decreto 1082 de 2015, </w:t>
      </w:r>
      <w:r>
        <w:rPr>
          <w:rFonts w:ascii="Arial" w:eastAsia="Calibri" w:hAnsi="Arial" w:cs="Arial"/>
          <w:bCs/>
          <w:color w:val="000000" w:themeColor="text1"/>
          <w:sz w:val="22"/>
        </w:rPr>
        <w:t xml:space="preserve">en el acápite relacionado con la interpretación de los pliegos también </w:t>
      </w:r>
      <w:r w:rsidRPr="00A87091">
        <w:rPr>
          <w:rFonts w:ascii="Arial" w:eastAsia="Calibri" w:hAnsi="Arial" w:cs="Arial"/>
          <w:bCs/>
          <w:color w:val="000000" w:themeColor="text1"/>
          <w:sz w:val="22"/>
        </w:rPr>
        <w:t>dispone</w:t>
      </w:r>
      <w:r>
        <w:rPr>
          <w:rFonts w:ascii="Arial" w:eastAsia="Calibri" w:hAnsi="Arial" w:cs="Arial"/>
          <w:bCs/>
          <w:color w:val="000000" w:themeColor="text1"/>
          <w:sz w:val="22"/>
        </w:rPr>
        <w:t>n</w:t>
      </w:r>
      <w:r w:rsidRPr="00A87091">
        <w:rPr>
          <w:rFonts w:ascii="Arial" w:eastAsia="Calibri" w:hAnsi="Arial" w:cs="Arial"/>
          <w:bCs/>
          <w:color w:val="000000" w:themeColor="text1"/>
          <w:sz w:val="22"/>
        </w:rPr>
        <w:t xml:space="preserve"> específicamente que «Las referencias a normas jurídicas incluyen las disposiciones que las modifiquen, adicionen, sustituyan o complementen». Dado que con el artículo 35 de la Ley de Emprendimiento decaen los factores de desempate del decreto único reglamentario, los previstos en la Ley 2069 de 2020 son obligatorios en los documentos tipo conforme </w:t>
      </w:r>
      <w:r>
        <w:rPr>
          <w:rFonts w:ascii="Arial" w:eastAsia="Calibri" w:hAnsi="Arial" w:cs="Arial"/>
          <w:bCs/>
          <w:color w:val="000000" w:themeColor="text1"/>
          <w:sz w:val="22"/>
        </w:rPr>
        <w:t xml:space="preserve">a lo dispuesto en </w:t>
      </w:r>
      <w:r w:rsidRPr="00A87091">
        <w:rPr>
          <w:rFonts w:ascii="Arial" w:eastAsia="Calibri" w:hAnsi="Arial" w:cs="Arial"/>
          <w:bCs/>
          <w:color w:val="000000" w:themeColor="text1"/>
          <w:sz w:val="22"/>
        </w:rPr>
        <w:t>el pliego de condiciones.</w:t>
      </w:r>
    </w:p>
    <w:p w14:paraId="0805D827" w14:textId="77777777" w:rsidR="00204A41" w:rsidRPr="00A87091" w:rsidRDefault="00204A41" w:rsidP="00204A41">
      <w:pPr>
        <w:shd w:val="clear" w:color="auto" w:fill="FFFFFF"/>
        <w:spacing w:after="120" w:line="276" w:lineRule="auto"/>
        <w:ind w:right="51" w:firstLine="709"/>
        <w:jc w:val="both"/>
        <w:rPr>
          <w:rFonts w:ascii="Arial" w:eastAsia="Calibri" w:hAnsi="Arial" w:cs="Arial"/>
          <w:bCs/>
          <w:sz w:val="22"/>
        </w:rPr>
      </w:pPr>
      <w:r w:rsidRPr="00A87091">
        <w:rPr>
          <w:rFonts w:ascii="Arial" w:eastAsia="Calibri" w:hAnsi="Arial" w:cs="Arial"/>
          <w:bCs/>
          <w:sz w:val="22"/>
        </w:rPr>
        <w:t xml:space="preserve">Sin embargo, también es preciso mencionar que la Agencia, en el marco de la competencia atribuida por el artículo 1 de la Ley 2022 de 2020, actualmente está trabajando en un proyecto para estandarizar la acreditación de los factores de desempate del artículo 35 de la Ley 2069 de 2020, dirigido a procesos de selección que deban adelantarse con </w:t>
      </w:r>
      <w:r w:rsidRPr="00A87091">
        <w:rPr>
          <w:rFonts w:ascii="Arial" w:eastAsia="Calibri" w:hAnsi="Arial" w:cs="Arial"/>
          <w:bCs/>
          <w:sz w:val="22"/>
        </w:rPr>
        <w:lastRenderedPageBreak/>
        <w:t xml:space="preserve">documentos tipo. Expedida la resolución correspondiente quedará limitada la discrecionalidad de las entidades estatales en lo que se refiere a la forma de acreditar los factores de desempate, dado que –conforme a la Ley 2022 de 2020– las entidades deberán aplicar obligatoriamente las modificaciones que se hagan a los documentos tipo.  </w:t>
      </w:r>
      <w:r w:rsidRPr="00A87091">
        <w:rPr>
          <w:rFonts w:ascii="Arial" w:eastAsia="Calibri" w:hAnsi="Arial" w:cs="Arial"/>
          <w:bCs/>
          <w:color w:val="000000" w:themeColor="text1"/>
          <w:sz w:val="22"/>
        </w:rPr>
        <w:t xml:space="preserve"> </w:t>
      </w:r>
    </w:p>
    <w:p w14:paraId="22A100F1" w14:textId="77777777" w:rsidR="00204A41" w:rsidRPr="00325B05" w:rsidRDefault="00204A41" w:rsidP="007F722E">
      <w:pPr>
        <w:spacing w:before="120" w:line="276" w:lineRule="auto"/>
        <w:ind w:firstLine="709"/>
        <w:jc w:val="both"/>
        <w:rPr>
          <w:rFonts w:ascii="Arial" w:eastAsia="Calibri" w:hAnsi="Arial" w:cs="Arial"/>
          <w:color w:val="000000" w:themeColor="text1"/>
          <w:sz w:val="22"/>
          <w:szCs w:val="22"/>
          <w:lang w:val="es-ES_tradnl"/>
        </w:rPr>
      </w:pPr>
    </w:p>
    <w:bookmarkEnd w:id="2"/>
    <w:p w14:paraId="08005E80" w14:textId="59363600" w:rsidR="005F361A" w:rsidRPr="00325B05" w:rsidRDefault="002A7D84" w:rsidP="00DB4DF0">
      <w:pPr>
        <w:spacing w:before="120" w:line="276" w:lineRule="auto"/>
        <w:ind w:firstLine="709"/>
        <w:jc w:val="both"/>
        <w:rPr>
          <w:rFonts w:ascii="Arial" w:hAnsi="Arial" w:cs="Arial"/>
          <w:color w:val="000000" w:themeColor="text1"/>
          <w:sz w:val="22"/>
          <w:szCs w:val="22"/>
          <w:lang w:val="es-ES_tradnl"/>
        </w:rPr>
      </w:pPr>
      <w:r w:rsidRPr="00325B05">
        <w:rPr>
          <w:rFonts w:ascii="Arial" w:hAnsi="Arial" w:cs="Arial"/>
          <w:color w:val="000000" w:themeColor="text1"/>
          <w:sz w:val="22"/>
          <w:szCs w:val="22"/>
          <w:lang w:val="es-ES_tradnl"/>
        </w:rPr>
        <w:t>Finalmente, si bien los factores de desempate regulados en el artículo 35 deben aplicarse «</w:t>
      </w:r>
      <w:r w:rsidRPr="00325B05">
        <w:rPr>
          <w:rFonts w:ascii="Arial" w:hAnsi="Arial" w:cs="Arial"/>
          <w:sz w:val="22"/>
          <w:szCs w:val="22"/>
          <w:lang w:val="es-ES_tradnl"/>
        </w:rPr>
        <w:t xml:space="preserve">[…] </w:t>
      </w:r>
      <w:r w:rsidRPr="00325B05">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1523A9FF" w14:textId="38B10A89" w:rsidR="0016204B" w:rsidRPr="00325B05" w:rsidRDefault="005F361A" w:rsidP="00AC4AD2">
      <w:pPr>
        <w:spacing w:before="120" w:line="276" w:lineRule="auto"/>
        <w:ind w:firstLine="709"/>
        <w:jc w:val="both"/>
        <w:rPr>
          <w:rFonts w:ascii="Arial" w:hAnsi="Arial" w:cs="Arial"/>
          <w:color w:val="000000" w:themeColor="text1"/>
          <w:sz w:val="22"/>
          <w:szCs w:val="22"/>
          <w:lang w:val="es-ES_tradnl"/>
        </w:rPr>
      </w:pPr>
      <w:r w:rsidRPr="00325B05">
        <w:rPr>
          <w:rFonts w:ascii="Arial" w:hAnsi="Arial" w:cs="Arial"/>
          <w:color w:val="000000" w:themeColor="text1"/>
          <w:sz w:val="22"/>
          <w:szCs w:val="22"/>
          <w:lang w:val="es-ES_tradnl"/>
        </w:rPr>
        <w:t>S</w:t>
      </w:r>
      <w:r w:rsidR="00FD5443" w:rsidRPr="00325B05">
        <w:rPr>
          <w:rFonts w:ascii="Arial" w:hAnsi="Arial" w:cs="Arial"/>
          <w:color w:val="000000" w:themeColor="text1"/>
          <w:sz w:val="22"/>
          <w:szCs w:val="22"/>
          <w:lang w:val="es-ES_tradnl"/>
        </w:rPr>
        <w:t xml:space="preserve">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w:t>
      </w:r>
      <w:r w:rsidR="001F0325" w:rsidRPr="00325B05">
        <w:rPr>
          <w:rFonts w:ascii="Arial" w:hAnsi="Arial" w:cs="Arial"/>
          <w:color w:val="000000" w:themeColor="text1"/>
          <w:sz w:val="22"/>
          <w:szCs w:val="22"/>
          <w:lang w:val="es-ES_tradnl"/>
        </w:rPr>
        <w:t>2069</w:t>
      </w:r>
      <w:r w:rsidR="00FD5443" w:rsidRPr="00325B05">
        <w:rPr>
          <w:rFonts w:ascii="Arial" w:hAnsi="Arial" w:cs="Arial"/>
          <w:color w:val="000000" w:themeColor="text1"/>
          <w:sz w:val="22"/>
          <w:szCs w:val="22"/>
          <w:lang w:val="es-ES_tradnl"/>
        </w:rPr>
        <w:t xml:space="preserve">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r w:rsidR="002A7D84" w:rsidRPr="00325B05">
        <w:rPr>
          <w:rFonts w:ascii="Arial" w:hAnsi="Arial" w:cs="Arial"/>
          <w:color w:val="000000" w:themeColor="text1"/>
          <w:sz w:val="22"/>
          <w:szCs w:val="22"/>
          <w:lang w:val="es-ES_tradnl"/>
        </w:rPr>
        <w:t xml:space="preserve"> </w:t>
      </w:r>
    </w:p>
    <w:p w14:paraId="7E83BEFA" w14:textId="77777777" w:rsidR="0060009C" w:rsidRPr="00325B05" w:rsidRDefault="0060009C" w:rsidP="00510DE9">
      <w:pPr>
        <w:tabs>
          <w:tab w:val="left" w:pos="0"/>
        </w:tabs>
        <w:jc w:val="both"/>
        <w:rPr>
          <w:rFonts w:ascii="Arial" w:eastAsia="Calibri" w:hAnsi="Arial" w:cs="Arial"/>
          <w:b/>
          <w:color w:val="000000" w:themeColor="text1"/>
          <w:sz w:val="22"/>
          <w:lang w:val="es-ES_tradnl"/>
        </w:rPr>
      </w:pPr>
    </w:p>
    <w:p w14:paraId="37CA9805" w14:textId="122A5ECE" w:rsidR="00DD5B04" w:rsidRPr="00325B05" w:rsidRDefault="004177A6" w:rsidP="00510DE9">
      <w:pPr>
        <w:tabs>
          <w:tab w:val="left" w:pos="0"/>
        </w:tabs>
        <w:jc w:val="both"/>
        <w:rPr>
          <w:rFonts w:ascii="Arial" w:eastAsia="Calibri" w:hAnsi="Arial" w:cs="Arial"/>
          <w:b/>
          <w:color w:val="000000" w:themeColor="text1"/>
          <w:sz w:val="22"/>
          <w:lang w:val="es-ES_tradnl"/>
        </w:rPr>
      </w:pPr>
      <w:r w:rsidRPr="00325B05">
        <w:rPr>
          <w:rFonts w:ascii="Arial" w:eastAsia="Calibri" w:hAnsi="Arial" w:cs="Arial"/>
          <w:b/>
          <w:color w:val="000000" w:themeColor="text1"/>
          <w:sz w:val="22"/>
          <w:lang w:val="es-ES_tradnl"/>
        </w:rPr>
        <w:t>3</w:t>
      </w:r>
      <w:r w:rsidR="00B011A9" w:rsidRPr="00325B05">
        <w:rPr>
          <w:rFonts w:ascii="Arial" w:eastAsia="Calibri" w:hAnsi="Arial" w:cs="Arial"/>
          <w:b/>
          <w:color w:val="000000" w:themeColor="text1"/>
          <w:sz w:val="22"/>
          <w:lang w:val="es-ES_tradnl"/>
        </w:rPr>
        <w:t xml:space="preserve">. </w:t>
      </w:r>
      <w:r w:rsidR="00DD5B04" w:rsidRPr="00325B05">
        <w:rPr>
          <w:rFonts w:ascii="Arial" w:eastAsia="Calibri" w:hAnsi="Arial" w:cs="Arial"/>
          <w:b/>
          <w:color w:val="000000" w:themeColor="text1"/>
          <w:sz w:val="22"/>
          <w:lang w:val="es-ES_tradnl"/>
        </w:rPr>
        <w:t>Respuesta</w:t>
      </w:r>
      <w:r w:rsidR="002A7D84" w:rsidRPr="00325B05">
        <w:rPr>
          <w:rFonts w:ascii="Arial" w:eastAsia="Calibri" w:hAnsi="Arial" w:cs="Arial"/>
          <w:b/>
          <w:color w:val="000000" w:themeColor="text1"/>
          <w:sz w:val="22"/>
          <w:lang w:val="es-ES_tradnl"/>
        </w:rPr>
        <w:t>s</w:t>
      </w:r>
    </w:p>
    <w:p w14:paraId="12DCA9F3" w14:textId="77777777" w:rsidR="004B25D8" w:rsidRPr="00325B05" w:rsidRDefault="004B25D8" w:rsidP="001C2119">
      <w:pPr>
        <w:ind w:right="709"/>
        <w:jc w:val="both"/>
        <w:rPr>
          <w:rFonts w:ascii="Arial" w:hAnsi="Arial" w:cs="Arial"/>
          <w:color w:val="000000" w:themeColor="text1"/>
          <w:sz w:val="21"/>
          <w:szCs w:val="21"/>
          <w:lang w:val="es-ES_tradnl"/>
        </w:rPr>
      </w:pPr>
    </w:p>
    <w:p w14:paraId="442EB4C3" w14:textId="77777777" w:rsidR="003C0818" w:rsidRPr="00325B05" w:rsidRDefault="003C0818" w:rsidP="003C0818">
      <w:pPr>
        <w:ind w:left="709" w:right="709"/>
        <w:jc w:val="both"/>
        <w:rPr>
          <w:rFonts w:ascii="Arial" w:hAnsi="Arial" w:cs="Arial"/>
          <w:color w:val="000000" w:themeColor="text1"/>
          <w:sz w:val="21"/>
          <w:szCs w:val="21"/>
          <w:lang w:val="es-ES_tradnl"/>
        </w:rPr>
      </w:pPr>
      <w:r w:rsidRPr="00325B05">
        <w:rPr>
          <w:rFonts w:ascii="Arial" w:hAnsi="Arial" w:cs="Arial"/>
          <w:color w:val="000000" w:themeColor="text1"/>
          <w:sz w:val="21"/>
          <w:szCs w:val="21"/>
          <w:lang w:val="es-ES_tradnl"/>
        </w:rPr>
        <w:t xml:space="preserve">«El 31 de diciembre de 2020 se sancionó la ley 2069 de 2020, dentro de la cual se presentan varios cambios en materia de contratación, entre los cuales están los criterios de desempate y la acreditación y manifestación de participar de las </w:t>
      </w:r>
      <w:proofErr w:type="spellStart"/>
      <w:r w:rsidRPr="00325B05">
        <w:rPr>
          <w:rFonts w:ascii="Arial" w:hAnsi="Arial" w:cs="Arial"/>
          <w:color w:val="000000" w:themeColor="text1"/>
          <w:sz w:val="21"/>
          <w:szCs w:val="21"/>
          <w:lang w:val="es-ES_tradnl"/>
        </w:rPr>
        <w:t>mipymes</w:t>
      </w:r>
      <w:proofErr w:type="spellEnd"/>
      <w:r w:rsidRPr="00325B05">
        <w:rPr>
          <w:rFonts w:ascii="Arial" w:hAnsi="Arial" w:cs="Arial"/>
          <w:color w:val="000000" w:themeColor="text1"/>
          <w:sz w:val="21"/>
          <w:szCs w:val="21"/>
          <w:lang w:val="es-ES_tradnl"/>
        </w:rPr>
        <w:t xml:space="preserve">, ante los cual nos surgen a las Entidades Estatales varios interrogantes, por ejemplo modificarán los pliegos tipo con estos nuevos criterios? Cómo se deben acreditar los criterios de desempate mediante declaración juramentada? Tienen algún concepto sobre la aplicación de dicha ley? Por último, si no modifica el Decreto 1082, de igual manera debemos ajustar los pliegos actuales que no son pliegos tipo? Por ejemplo la manifestación de </w:t>
      </w:r>
      <w:proofErr w:type="spellStart"/>
      <w:r w:rsidRPr="00325B05">
        <w:rPr>
          <w:rFonts w:ascii="Arial" w:hAnsi="Arial" w:cs="Arial"/>
          <w:color w:val="000000" w:themeColor="text1"/>
          <w:sz w:val="21"/>
          <w:szCs w:val="21"/>
          <w:lang w:val="es-ES_tradnl"/>
        </w:rPr>
        <w:t>mipymes</w:t>
      </w:r>
      <w:proofErr w:type="spellEnd"/>
      <w:r w:rsidRPr="00325B05">
        <w:rPr>
          <w:rFonts w:ascii="Arial" w:hAnsi="Arial" w:cs="Arial"/>
          <w:color w:val="000000" w:themeColor="text1"/>
          <w:sz w:val="21"/>
          <w:szCs w:val="21"/>
          <w:lang w:val="es-ES_tradnl"/>
        </w:rPr>
        <w:t xml:space="preserve"> ya no sería de 3 sino de 2».</w:t>
      </w:r>
    </w:p>
    <w:p w14:paraId="3E7CB55C" w14:textId="77777777" w:rsidR="00DE7C6E" w:rsidRPr="00325B05" w:rsidRDefault="00DE7C6E" w:rsidP="004B25D8">
      <w:pPr>
        <w:ind w:left="709" w:right="709"/>
        <w:jc w:val="both"/>
        <w:rPr>
          <w:rFonts w:ascii="Arial" w:hAnsi="Arial" w:cs="Arial"/>
          <w:color w:val="000000" w:themeColor="text1"/>
          <w:sz w:val="21"/>
          <w:szCs w:val="21"/>
          <w:lang w:val="es-ES_tradnl"/>
        </w:rPr>
      </w:pPr>
    </w:p>
    <w:p w14:paraId="017C9E12" w14:textId="15526938" w:rsidR="0039047D" w:rsidRPr="00325B05" w:rsidRDefault="0039047D" w:rsidP="0039047D">
      <w:pPr>
        <w:spacing w:before="120" w:line="276" w:lineRule="auto"/>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De las consideraciones efectuadas con anterioridad</w:t>
      </w:r>
      <w:r w:rsidR="000D6C10" w:rsidRPr="00325B05">
        <w:rPr>
          <w:rFonts w:ascii="Arial" w:eastAsia="Calibri" w:hAnsi="Arial" w:cs="Arial"/>
          <w:color w:val="000000" w:themeColor="text1"/>
          <w:sz w:val="22"/>
          <w:szCs w:val="22"/>
          <w:lang w:val="es-ES_tradnl"/>
        </w:rPr>
        <w:t xml:space="preserve"> por </w:t>
      </w:r>
      <w:r w:rsidR="00916907" w:rsidRPr="00325B05">
        <w:rPr>
          <w:rFonts w:ascii="Arial" w:eastAsia="Calibri" w:hAnsi="Arial" w:cs="Arial"/>
          <w:color w:val="000000" w:themeColor="text1"/>
          <w:sz w:val="22"/>
          <w:szCs w:val="22"/>
          <w:lang w:val="es-ES_tradnl"/>
        </w:rPr>
        <w:t>la</w:t>
      </w:r>
      <w:r w:rsidR="000D6C10" w:rsidRPr="00325B05">
        <w:rPr>
          <w:rFonts w:ascii="Arial" w:eastAsia="Calibri" w:hAnsi="Arial" w:cs="Arial"/>
          <w:color w:val="000000" w:themeColor="text1"/>
          <w:sz w:val="22"/>
          <w:szCs w:val="22"/>
          <w:lang w:val="es-ES_tradnl"/>
        </w:rPr>
        <w:t xml:space="preserve"> Agencia,</w:t>
      </w:r>
      <w:r w:rsidRPr="00325B05">
        <w:rPr>
          <w:rFonts w:ascii="Arial" w:eastAsia="Calibri" w:hAnsi="Arial" w:cs="Arial"/>
          <w:color w:val="000000" w:themeColor="text1"/>
          <w:sz w:val="22"/>
          <w:szCs w:val="22"/>
          <w:lang w:val="es-ES_tradnl"/>
        </w:rPr>
        <w:t xml:space="preserve"> se puede concluir que, además de la pérdida de fuerza ejecutoria del artículo 2.2.1.2.4.2.2. del Decreto 1082 de </w:t>
      </w:r>
      <w:r w:rsidRPr="00325B05">
        <w:rPr>
          <w:rFonts w:ascii="Arial" w:eastAsia="Calibri" w:hAnsi="Arial" w:cs="Arial"/>
          <w:color w:val="000000" w:themeColor="text1"/>
          <w:sz w:val="22"/>
          <w:szCs w:val="22"/>
          <w:lang w:val="es-ES_tradnl"/>
        </w:rPr>
        <w:lastRenderedPageBreak/>
        <w:t xml:space="preserve">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esta «deroga […] todas las disposiciones que le sean contrarias». </w:t>
      </w:r>
      <w:r w:rsidR="00C44E99">
        <w:rPr>
          <w:rFonts w:ascii="Arial" w:eastAsia="Calibri" w:hAnsi="Arial" w:cs="Arial"/>
          <w:color w:val="000000" w:themeColor="text1"/>
          <w:sz w:val="22"/>
          <w:szCs w:val="22"/>
          <w:lang w:val="es-ES_tradnl"/>
        </w:rPr>
        <w:t>Po</w:t>
      </w:r>
      <w:r w:rsidR="00707617">
        <w:rPr>
          <w:rFonts w:ascii="Arial" w:eastAsia="Calibri" w:hAnsi="Arial" w:cs="Arial"/>
          <w:color w:val="000000" w:themeColor="text1"/>
          <w:sz w:val="22"/>
          <w:szCs w:val="22"/>
          <w:lang w:val="es-ES_tradnl"/>
        </w:rPr>
        <w:t>r</w:t>
      </w:r>
      <w:r w:rsidR="00C44E99">
        <w:rPr>
          <w:rFonts w:ascii="Arial" w:eastAsia="Calibri" w:hAnsi="Arial" w:cs="Arial"/>
          <w:color w:val="000000" w:themeColor="text1"/>
          <w:sz w:val="22"/>
          <w:szCs w:val="22"/>
          <w:lang w:val="es-ES_tradnl"/>
        </w:rPr>
        <w:t xml:space="preserve"> ello</w:t>
      </w:r>
      <w:r w:rsidRPr="00325B05">
        <w:rPr>
          <w:rFonts w:ascii="Arial" w:eastAsia="Calibri" w:hAnsi="Arial" w:cs="Arial"/>
          <w:color w:val="000000" w:themeColor="text1"/>
          <w:sz w:val="22"/>
          <w:szCs w:val="22"/>
          <w:lang w:val="es-ES_tradnl"/>
        </w:rPr>
        <w:t>, puede afirmarse que, además del decaimiento del artículo 2.2.1.2.4.2.2. del Decreto 1082 de 2015, debe entenderse derogado.</w:t>
      </w:r>
    </w:p>
    <w:p w14:paraId="75A0076A" w14:textId="159B5267" w:rsidR="00A579F9" w:rsidRPr="00325B05" w:rsidRDefault="00753E86" w:rsidP="00707617">
      <w:pPr>
        <w:spacing w:before="120" w:after="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Además</w:t>
      </w:r>
      <w:r w:rsidR="0039047D" w:rsidRPr="00325B05">
        <w:rPr>
          <w:rFonts w:ascii="Arial" w:eastAsia="Calibri" w:hAnsi="Arial" w:cs="Arial"/>
          <w:color w:val="000000" w:themeColor="text1"/>
          <w:sz w:val="22"/>
          <w:szCs w:val="22"/>
          <w:lang w:val="es-ES_tradnl"/>
        </w:rPr>
        <w:t>, no es válido aducir que los apartados normativos del artículo 2.2.1.2.4.2.2. del Decreto 1082 de 2015 que, en su texto, no sean contrarios a la nueva regulación contenida en el artículo 34 de la Ley 2069 de 2020 pueden seguirse aplicando. Tal aseveración no es admisible, p</w:t>
      </w:r>
      <w:r w:rsidR="00C44E99">
        <w:rPr>
          <w:rFonts w:ascii="Arial" w:eastAsia="Calibri" w:hAnsi="Arial" w:cs="Arial"/>
          <w:color w:val="000000" w:themeColor="text1"/>
          <w:sz w:val="22"/>
          <w:szCs w:val="22"/>
          <w:lang w:val="es-ES_tradnl"/>
        </w:rPr>
        <w:t>ues</w:t>
      </w:r>
      <w:r w:rsidR="0039047D" w:rsidRPr="00325B05">
        <w:rPr>
          <w:rFonts w:ascii="Arial" w:eastAsia="Calibri" w:hAnsi="Arial" w:cs="Arial"/>
          <w:color w:val="000000" w:themeColor="text1"/>
          <w:sz w:val="22"/>
          <w:szCs w:val="22"/>
          <w:lang w:val="es-ES_tradnl"/>
        </w:rPr>
        <w:t xml:space="preserve"> el artículo 34, reiteradamente, señala que el gobierno nacional debe definir las condiciones para la aplicación de las reglas recientemente expedidas, que permitan llevar a cabo las convocatorias limitadas a </w:t>
      </w:r>
      <w:proofErr w:type="spellStart"/>
      <w:r w:rsidR="0039047D" w:rsidRPr="00325B05">
        <w:rPr>
          <w:rFonts w:ascii="Arial" w:eastAsia="Calibri" w:hAnsi="Arial" w:cs="Arial"/>
          <w:color w:val="000000" w:themeColor="text1"/>
          <w:sz w:val="22"/>
          <w:szCs w:val="22"/>
          <w:lang w:val="es-ES_tradnl"/>
        </w:rPr>
        <w:t>mipymes</w:t>
      </w:r>
      <w:proofErr w:type="spellEnd"/>
      <w:r w:rsidR="0039047D" w:rsidRPr="00325B05">
        <w:rPr>
          <w:rFonts w:ascii="Arial" w:eastAsia="Calibri" w:hAnsi="Arial" w:cs="Arial"/>
          <w:color w:val="000000" w:themeColor="text1"/>
          <w:sz w:val="22"/>
          <w:szCs w:val="22"/>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0039047D" w:rsidRPr="00325B05">
        <w:rPr>
          <w:rFonts w:ascii="Arial" w:eastAsia="Calibri" w:hAnsi="Arial" w:cs="Arial"/>
          <w:color w:val="000000" w:themeColor="text1"/>
          <w:sz w:val="22"/>
          <w:szCs w:val="22"/>
          <w:lang w:val="es-ES_tradnl"/>
        </w:rPr>
        <w:t>mipymes</w:t>
      </w:r>
      <w:proofErr w:type="spellEnd"/>
      <w:r w:rsidR="0039047D" w:rsidRPr="00325B05">
        <w:rPr>
          <w:rFonts w:ascii="Arial" w:eastAsia="Calibri" w:hAnsi="Arial" w:cs="Arial"/>
          <w:color w:val="000000" w:themeColor="text1"/>
          <w:sz w:val="22"/>
          <w:szCs w:val="22"/>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0039047D" w:rsidRPr="00325B05">
        <w:rPr>
          <w:rFonts w:ascii="Arial" w:eastAsia="Calibri" w:hAnsi="Arial" w:cs="Arial"/>
          <w:color w:val="000000" w:themeColor="text1"/>
          <w:sz w:val="22"/>
          <w:szCs w:val="22"/>
          <w:lang w:val="es-ES_tradnl"/>
        </w:rPr>
        <w:t>mipymes</w:t>
      </w:r>
      <w:proofErr w:type="spellEnd"/>
      <w:r w:rsidR="0039047D" w:rsidRPr="00325B05">
        <w:rPr>
          <w:rFonts w:ascii="Arial" w:eastAsia="Calibri" w:hAnsi="Arial" w:cs="Arial"/>
          <w:color w:val="000000" w:themeColor="text1"/>
          <w:sz w:val="22"/>
          <w:szCs w:val="22"/>
          <w:lang w:val="es-ES_tradnl"/>
        </w:rPr>
        <w:t>, pues al tenor del artículo 34 de la Ley 2069 de 2020, la eficacia de esta norma quedó condicionada a la expedición del decreto reglamentario que fije las condiciones de su operatividad.</w:t>
      </w:r>
    </w:p>
    <w:p w14:paraId="7B9E0335" w14:textId="5C80E28A" w:rsidR="00F22810" w:rsidRDefault="00A579F9" w:rsidP="00707617">
      <w:pPr>
        <w:spacing w:before="120" w:after="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Por otro lado, </w:t>
      </w:r>
      <w:r w:rsidR="00F22810" w:rsidRPr="00325B05">
        <w:rPr>
          <w:rFonts w:ascii="Arial" w:eastAsia="Calibri" w:hAnsi="Arial" w:cs="Arial"/>
          <w:color w:val="000000" w:themeColor="text1"/>
          <w:sz w:val="22"/>
          <w:szCs w:val="22"/>
          <w:lang w:val="es-ES_tradnl"/>
        </w:rPr>
        <w:t>como se indicó en las consideraciones de este concepto, varias de las disposiciones normativas contenidas en la Ley 2069 de 2020 condicionan su aplicación a que el gobierno nacional expida el decreto reglamentario que establezca los requisitos para su eficacia. Esto sucede con el artículo 34, no así con el artículo 35. Por tanto, al confeccionar los pliegos de condiciones particulares, respetando la regla de la inalterabilidad de los pliegos tipo –en los procesos en que sean obligatorios–, las entidades estatales deben aplicar las normas de la Ley 2069 de 2020 que gozan de eficacia directa, entre ellas el artículo 35.</w:t>
      </w:r>
    </w:p>
    <w:p w14:paraId="28D60F98" w14:textId="08972363" w:rsidR="00D40DBF" w:rsidRPr="00A87091" w:rsidRDefault="00F22810" w:rsidP="00D40DBF">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 xml:space="preserve">Al respecto, </w:t>
      </w:r>
      <w:r w:rsidR="00D40DBF" w:rsidRPr="00A87091">
        <w:rPr>
          <w:rFonts w:ascii="Arial" w:eastAsia="Calibri" w:hAnsi="Arial" w:cs="Arial"/>
          <w:bCs/>
          <w:color w:val="000000" w:themeColor="text1"/>
          <w:sz w:val="22"/>
        </w:rPr>
        <w:t xml:space="preserve">el artículo 35 de la Ley 2069 de 2020 no establece un medio específico para acreditar las circunstancias a las que se refiere cada causal.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3720F9E9" w14:textId="77777777" w:rsidR="00D40DBF" w:rsidRPr="00A87091" w:rsidRDefault="00D40DBF" w:rsidP="00D40DBF">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t xml:space="preserve">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w:t>
      </w:r>
      <w:r w:rsidRPr="00A87091">
        <w:rPr>
          <w:rFonts w:ascii="Arial" w:eastAsia="Calibri" w:hAnsi="Arial" w:cs="Arial"/>
          <w:bCs/>
          <w:color w:val="000000" w:themeColor="text1"/>
          <w:sz w:val="22"/>
        </w:rPr>
        <w:lastRenderedPageBreak/>
        <w:t>se halla en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353F1DC2" w14:textId="26FB0CBA" w:rsidR="00717F8F" w:rsidRPr="00325B05" w:rsidRDefault="00D40DBF" w:rsidP="00D40DBF">
      <w:pPr>
        <w:spacing w:before="120" w:line="276" w:lineRule="auto"/>
        <w:ind w:firstLine="709"/>
        <w:jc w:val="both"/>
        <w:rPr>
          <w:rFonts w:ascii="Arial" w:eastAsia="Calibri" w:hAnsi="Arial" w:cs="Arial"/>
          <w:color w:val="000000" w:themeColor="text1"/>
          <w:sz w:val="22"/>
          <w:szCs w:val="22"/>
          <w:lang w:val="es-ES_tradnl"/>
        </w:rPr>
      </w:pPr>
      <w:bookmarkStart w:id="3" w:name="_Hlk65085389"/>
      <w:r w:rsidRPr="00A87091">
        <w:rPr>
          <w:rFonts w:ascii="Arial" w:eastAsia="Calibri" w:hAnsi="Arial" w:cs="Arial"/>
          <w:bCs/>
          <w:sz w:val="22"/>
        </w:rPr>
        <w:t>Sin embargo, también es preciso mencionar que la Agencia, en el marco de la competencia atribuida por el artículo 1 de la Ley 2022 de 2020, actualmente está trabajando en un proyecto para estandarizar la acreditación de los factores de desempate del artículo 35 de la Ley 2069 de 2020, dirigido a procesos de selección que deban adelantarse con documentos tipo. Expedida la resolución correspondiente quedará limitada la discrecionalidad de las entidades estatales en lo que se refiere a la forma de acreditar los factores de desempate, dado que –conforme a la Ley 2022 de 2020– las entidades deberán aplicar obligatoriamente las modificaciones que se hagan a los documentos tipo</w:t>
      </w:r>
      <w:bookmarkEnd w:id="3"/>
      <w:r w:rsidR="00DB3024" w:rsidRPr="00325B05">
        <w:rPr>
          <w:rFonts w:ascii="Arial" w:eastAsia="Calibri" w:hAnsi="Arial" w:cs="Arial"/>
          <w:color w:val="000000" w:themeColor="text1"/>
          <w:sz w:val="22"/>
          <w:szCs w:val="22"/>
          <w:lang w:val="es-ES_tradnl"/>
        </w:rPr>
        <w:t>.</w:t>
      </w:r>
    </w:p>
    <w:p w14:paraId="64E1CB54" w14:textId="77777777" w:rsidR="00DA36B3" w:rsidRPr="00325B05" w:rsidRDefault="00DA36B3" w:rsidP="00717F8F">
      <w:pPr>
        <w:spacing w:before="120" w:line="276" w:lineRule="auto"/>
        <w:ind w:firstLine="709"/>
        <w:jc w:val="both"/>
        <w:rPr>
          <w:rFonts w:ascii="Arial" w:hAnsi="Arial" w:cs="Arial"/>
          <w:color w:val="000000" w:themeColor="text1"/>
          <w:sz w:val="22"/>
          <w:szCs w:val="22"/>
          <w:lang w:val="es-ES_tradnl"/>
        </w:rPr>
      </w:pPr>
    </w:p>
    <w:p w14:paraId="7B2C921D" w14:textId="49442F1C" w:rsidR="00DD5B04" w:rsidRPr="00325B05" w:rsidRDefault="00DD5B04" w:rsidP="00DF76A2">
      <w:pPr>
        <w:spacing w:line="276" w:lineRule="auto"/>
        <w:jc w:val="both"/>
        <w:rPr>
          <w:rFonts w:ascii="Arial" w:hAnsi="Arial" w:cs="Arial"/>
          <w:color w:val="000000" w:themeColor="text1"/>
          <w:sz w:val="22"/>
          <w:lang w:val="es-ES_tradnl"/>
        </w:rPr>
      </w:pPr>
      <w:r w:rsidRPr="00325B05">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325B05"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325B05"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325B05">
        <w:rPr>
          <w:rFonts w:ascii="Arial" w:hAnsi="Arial" w:cs="Arial"/>
          <w:color w:val="000000" w:themeColor="text1"/>
          <w:sz w:val="22"/>
          <w:szCs w:val="22"/>
          <w:lang w:val="es-ES_tradnl"/>
        </w:rPr>
        <w:t>Atentamente,</w:t>
      </w:r>
    </w:p>
    <w:p w14:paraId="692FC307" w14:textId="210AA6B5" w:rsidR="00921304" w:rsidRPr="00325B05"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15738978" w:rsidR="00921304" w:rsidRPr="00325B05" w:rsidRDefault="00694736"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0C6D8F7F" wp14:editId="6226B8E0">
            <wp:extent cx="2514600" cy="1114425"/>
            <wp:effectExtent l="0" t="0" r="0" b="0"/>
            <wp:docPr id="2066894487" name="Imagen 206689448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CBAE239" w14:textId="77777777" w:rsidR="00425C43" w:rsidRPr="00325B05" w:rsidRDefault="00425C43" w:rsidP="00B37657">
      <w:pPr>
        <w:jc w:val="center"/>
        <w:rPr>
          <w:rFonts w:ascii="Arial" w:hAnsi="Arial" w:cs="Arial"/>
          <w:color w:val="000000" w:themeColor="text1"/>
          <w:sz w:val="18"/>
          <w:szCs w:val="20"/>
          <w:lang w:val="es-ES_tradnl" w:eastAsia="es-CO"/>
        </w:rPr>
      </w:pPr>
    </w:p>
    <w:p w14:paraId="49730030" w14:textId="217D35F3" w:rsidR="00DD5B04" w:rsidRPr="00325B05"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325B05" w14:paraId="0C7DC5F7" w14:textId="77777777" w:rsidTr="008F4163">
        <w:trPr>
          <w:trHeight w:val="315"/>
        </w:trPr>
        <w:tc>
          <w:tcPr>
            <w:tcW w:w="812" w:type="dxa"/>
            <w:vAlign w:val="center"/>
            <w:hideMark/>
          </w:tcPr>
          <w:p w14:paraId="5BDB1AC9" w14:textId="77777777" w:rsidR="00DD5B04" w:rsidRPr="00325B05" w:rsidRDefault="00DD5B04" w:rsidP="00DF76A2">
            <w:pPr>
              <w:jc w:val="both"/>
              <w:rPr>
                <w:rFonts w:ascii="Arial" w:hAnsi="Arial" w:cs="Arial"/>
                <w:color w:val="000000" w:themeColor="text1"/>
                <w:sz w:val="16"/>
                <w:szCs w:val="16"/>
                <w:lang w:val="es-ES_tradnl" w:eastAsia="es-ES"/>
              </w:rPr>
            </w:pPr>
            <w:r w:rsidRPr="00325B05">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325B05" w:rsidRDefault="00DD5B04" w:rsidP="00DF76A2">
            <w:pPr>
              <w:jc w:val="both"/>
              <w:rPr>
                <w:rFonts w:ascii="Arial" w:hAnsi="Arial" w:cs="Arial"/>
                <w:color w:val="000000" w:themeColor="text1"/>
                <w:sz w:val="16"/>
                <w:szCs w:val="16"/>
                <w:lang w:val="es-ES_tradnl" w:eastAsia="es-ES"/>
              </w:rPr>
            </w:pPr>
            <w:r w:rsidRPr="00325B05">
              <w:rPr>
                <w:rFonts w:ascii="Arial" w:hAnsi="Arial" w:cs="Arial"/>
                <w:color w:val="000000" w:themeColor="text1"/>
                <w:sz w:val="16"/>
                <w:szCs w:val="16"/>
                <w:lang w:val="es-ES_tradnl" w:eastAsia="es-ES"/>
              </w:rPr>
              <w:t>Cristian Andrés Díaz Díez</w:t>
            </w:r>
          </w:p>
          <w:p w14:paraId="240C71FD" w14:textId="31312C95" w:rsidR="00DD5B04" w:rsidRPr="00325B05" w:rsidRDefault="00DD5B04" w:rsidP="00DF76A2">
            <w:pPr>
              <w:jc w:val="both"/>
              <w:rPr>
                <w:rFonts w:ascii="Arial" w:hAnsi="Arial" w:cs="Arial"/>
                <w:color w:val="000000" w:themeColor="text1"/>
                <w:sz w:val="16"/>
                <w:szCs w:val="16"/>
                <w:lang w:val="es-ES_tradnl" w:eastAsia="es-ES"/>
              </w:rPr>
            </w:pPr>
            <w:r w:rsidRPr="00325B05">
              <w:rPr>
                <w:rFonts w:ascii="Arial" w:hAnsi="Arial" w:cs="Arial"/>
                <w:color w:val="000000" w:themeColor="text1"/>
                <w:sz w:val="16"/>
                <w:szCs w:val="16"/>
                <w:lang w:val="es-ES_tradnl" w:eastAsia="es-ES"/>
              </w:rPr>
              <w:t>Contratista</w:t>
            </w:r>
            <w:r w:rsidR="00FF0050" w:rsidRPr="00325B05">
              <w:rPr>
                <w:rFonts w:ascii="Arial" w:hAnsi="Arial" w:cs="Arial"/>
                <w:color w:val="000000" w:themeColor="text1"/>
                <w:sz w:val="16"/>
                <w:szCs w:val="16"/>
                <w:lang w:val="es-ES_tradnl" w:eastAsia="es-ES"/>
              </w:rPr>
              <w:t xml:space="preserve"> de la </w:t>
            </w:r>
            <w:r w:rsidRPr="00325B05">
              <w:rPr>
                <w:rFonts w:ascii="Arial" w:hAnsi="Arial" w:cs="Arial"/>
                <w:color w:val="000000" w:themeColor="text1"/>
                <w:sz w:val="16"/>
                <w:szCs w:val="16"/>
                <w:lang w:val="es-ES_tradnl" w:eastAsia="es-ES"/>
              </w:rPr>
              <w:t>Subdirección de Gestión Contractual</w:t>
            </w:r>
          </w:p>
        </w:tc>
      </w:tr>
      <w:tr w:rsidR="00DD5B04" w:rsidRPr="00325B05" w14:paraId="2F8FD650" w14:textId="77777777" w:rsidTr="008F4163">
        <w:trPr>
          <w:trHeight w:val="330"/>
        </w:trPr>
        <w:tc>
          <w:tcPr>
            <w:tcW w:w="812" w:type="dxa"/>
            <w:vAlign w:val="center"/>
            <w:hideMark/>
          </w:tcPr>
          <w:p w14:paraId="50203A0B" w14:textId="77777777" w:rsidR="00DD5B04" w:rsidRPr="00325B05" w:rsidRDefault="00DD5B04" w:rsidP="00DF76A2">
            <w:pPr>
              <w:jc w:val="both"/>
              <w:rPr>
                <w:rFonts w:ascii="Arial" w:hAnsi="Arial" w:cs="Arial"/>
                <w:color w:val="000000" w:themeColor="text1"/>
                <w:sz w:val="16"/>
                <w:szCs w:val="16"/>
                <w:lang w:val="es-ES_tradnl" w:eastAsia="es-ES"/>
              </w:rPr>
            </w:pPr>
            <w:r w:rsidRPr="00325B05">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766FA4D" w14:textId="77777777" w:rsidR="00561DC9" w:rsidRPr="00325B05" w:rsidRDefault="00561DC9" w:rsidP="00561DC9">
            <w:pPr>
              <w:jc w:val="both"/>
              <w:rPr>
                <w:rFonts w:ascii="Arial" w:hAnsi="Arial" w:cs="Arial"/>
                <w:color w:val="000000" w:themeColor="text1"/>
                <w:sz w:val="16"/>
                <w:szCs w:val="16"/>
                <w:lang w:val="es-ES_tradnl" w:eastAsia="es-ES"/>
              </w:rPr>
            </w:pPr>
            <w:r w:rsidRPr="00325B05">
              <w:rPr>
                <w:rFonts w:ascii="Arial" w:hAnsi="Arial" w:cs="Arial"/>
                <w:color w:val="000000" w:themeColor="text1"/>
                <w:sz w:val="16"/>
                <w:szCs w:val="16"/>
                <w:lang w:val="es-ES_tradnl" w:eastAsia="es-ES"/>
              </w:rPr>
              <w:t>Juan David Montoya Penagos</w:t>
            </w:r>
          </w:p>
          <w:p w14:paraId="130B3228" w14:textId="649D2939" w:rsidR="00DD5B04" w:rsidRPr="00325B05" w:rsidRDefault="00561DC9" w:rsidP="00561DC9">
            <w:pPr>
              <w:jc w:val="both"/>
              <w:rPr>
                <w:rFonts w:ascii="Arial" w:hAnsi="Arial" w:cs="Arial"/>
                <w:color w:val="000000" w:themeColor="text1"/>
                <w:sz w:val="16"/>
                <w:szCs w:val="16"/>
                <w:lang w:val="es-ES_tradnl" w:eastAsia="es-ES"/>
              </w:rPr>
            </w:pPr>
            <w:r w:rsidRPr="00325B05">
              <w:rPr>
                <w:rFonts w:ascii="Arial" w:hAnsi="Arial" w:cs="Arial"/>
                <w:color w:val="000000" w:themeColor="text1"/>
                <w:sz w:val="16"/>
                <w:szCs w:val="16"/>
                <w:lang w:val="es-ES_tradnl" w:eastAsia="es-ES"/>
              </w:rPr>
              <w:t>Gestor T1-15 de la Subdirección de Gestión Contractual</w:t>
            </w:r>
          </w:p>
        </w:tc>
      </w:tr>
      <w:tr w:rsidR="00DD5B04" w:rsidRPr="005419DA" w14:paraId="0FCBCA4A" w14:textId="77777777" w:rsidTr="008F4163">
        <w:trPr>
          <w:trHeight w:val="300"/>
        </w:trPr>
        <w:tc>
          <w:tcPr>
            <w:tcW w:w="812" w:type="dxa"/>
            <w:vAlign w:val="center"/>
            <w:hideMark/>
          </w:tcPr>
          <w:p w14:paraId="3C1D943A" w14:textId="77777777" w:rsidR="00DD5B04" w:rsidRPr="00325B05" w:rsidRDefault="00DD5B04" w:rsidP="00DF76A2">
            <w:pPr>
              <w:jc w:val="both"/>
              <w:rPr>
                <w:rFonts w:ascii="Arial" w:hAnsi="Arial" w:cs="Arial"/>
                <w:color w:val="000000" w:themeColor="text1"/>
                <w:sz w:val="16"/>
                <w:szCs w:val="16"/>
                <w:lang w:val="es-ES_tradnl" w:eastAsia="es-ES"/>
              </w:rPr>
            </w:pPr>
            <w:r w:rsidRPr="00325B05">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325B05" w:rsidRDefault="00C05A61" w:rsidP="00DF76A2">
            <w:pPr>
              <w:jc w:val="both"/>
              <w:rPr>
                <w:rFonts w:ascii="Arial" w:hAnsi="Arial" w:cs="Arial"/>
                <w:color w:val="000000" w:themeColor="text1"/>
                <w:sz w:val="16"/>
                <w:szCs w:val="16"/>
                <w:lang w:val="es-ES_tradnl" w:eastAsia="es-ES"/>
              </w:rPr>
            </w:pPr>
            <w:r w:rsidRPr="00325B05">
              <w:rPr>
                <w:rFonts w:ascii="Arial" w:hAnsi="Arial" w:cs="Arial"/>
                <w:color w:val="000000" w:themeColor="text1"/>
                <w:sz w:val="16"/>
                <w:szCs w:val="16"/>
                <w:lang w:val="es-ES_tradnl" w:eastAsia="es-ES"/>
              </w:rPr>
              <w:t xml:space="preserve">Jorge </w:t>
            </w:r>
            <w:r w:rsidR="00647A36" w:rsidRPr="00325B05">
              <w:rPr>
                <w:rFonts w:ascii="Arial" w:hAnsi="Arial" w:cs="Arial"/>
                <w:color w:val="000000" w:themeColor="text1"/>
                <w:sz w:val="16"/>
                <w:szCs w:val="16"/>
                <w:lang w:val="es-ES_tradnl" w:eastAsia="es-ES"/>
              </w:rPr>
              <w:t xml:space="preserve">Augusto </w:t>
            </w:r>
            <w:r w:rsidRPr="00325B05">
              <w:rPr>
                <w:rFonts w:ascii="Arial" w:hAnsi="Arial" w:cs="Arial"/>
                <w:color w:val="000000" w:themeColor="text1"/>
                <w:sz w:val="16"/>
                <w:szCs w:val="16"/>
                <w:lang w:val="es-ES_tradnl" w:eastAsia="es-ES"/>
              </w:rPr>
              <w:t>Tirado Navarro</w:t>
            </w:r>
          </w:p>
          <w:p w14:paraId="1ADC483B" w14:textId="2E3B66D0" w:rsidR="00DD5B04" w:rsidRPr="005419DA" w:rsidRDefault="00DD5B04" w:rsidP="00DF76A2">
            <w:pPr>
              <w:jc w:val="both"/>
              <w:rPr>
                <w:rFonts w:ascii="Arial" w:hAnsi="Arial" w:cs="Arial"/>
                <w:color w:val="000000" w:themeColor="text1"/>
                <w:sz w:val="16"/>
                <w:szCs w:val="16"/>
                <w:lang w:val="es-ES_tradnl" w:eastAsia="es-ES"/>
              </w:rPr>
            </w:pPr>
            <w:r w:rsidRPr="00325B05">
              <w:rPr>
                <w:rFonts w:ascii="Arial" w:hAnsi="Arial" w:cs="Arial"/>
                <w:color w:val="000000" w:themeColor="text1"/>
                <w:sz w:val="16"/>
                <w:szCs w:val="16"/>
                <w:lang w:val="es-ES_tradnl" w:eastAsia="es-ES"/>
              </w:rPr>
              <w:t>Subdirector de Gestión Contractual</w:t>
            </w:r>
            <w:r w:rsidR="008201DE" w:rsidRPr="00325B05">
              <w:rPr>
                <w:rFonts w:ascii="Arial" w:hAnsi="Arial" w:cs="Arial"/>
                <w:color w:val="000000" w:themeColor="text1"/>
                <w:sz w:val="16"/>
                <w:szCs w:val="16"/>
                <w:lang w:val="es-ES_tradnl" w:eastAsia="es-ES"/>
              </w:rPr>
              <w:t xml:space="preserve"> ANCP – CCE</w:t>
            </w:r>
          </w:p>
        </w:tc>
      </w:tr>
    </w:tbl>
    <w:p w14:paraId="35B56F46" w14:textId="77777777" w:rsidR="00746E08" w:rsidRPr="005419DA" w:rsidRDefault="00746E08" w:rsidP="00215B8E">
      <w:pPr>
        <w:jc w:val="both"/>
        <w:rPr>
          <w:rFonts w:ascii="Arial" w:hAnsi="Arial" w:cs="Arial"/>
          <w:lang w:val="es-ES_tradnl"/>
        </w:rPr>
      </w:pPr>
    </w:p>
    <w:sectPr w:rsidR="00746E08" w:rsidRPr="005419D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CAEB09" w14:textId="77777777" w:rsidR="005E6396" w:rsidRDefault="005E6396">
      <w:r>
        <w:separator/>
      </w:r>
    </w:p>
  </w:endnote>
  <w:endnote w:type="continuationSeparator" w:id="0">
    <w:p w14:paraId="1D3AA447" w14:textId="77777777" w:rsidR="005E6396" w:rsidRDefault="005E6396">
      <w:r>
        <w:continuationSeparator/>
      </w:r>
    </w:p>
  </w:endnote>
  <w:endnote w:type="continuationNotice" w:id="1">
    <w:p w14:paraId="06F04155" w14:textId="77777777" w:rsidR="005E6396" w:rsidRDefault="005E63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9A77F0" w14:textId="77777777" w:rsidR="005E6396" w:rsidRDefault="005E6396">
      <w:r>
        <w:separator/>
      </w:r>
    </w:p>
  </w:footnote>
  <w:footnote w:type="continuationSeparator" w:id="0">
    <w:p w14:paraId="0EADEB5D" w14:textId="77777777" w:rsidR="005E6396" w:rsidRDefault="005E6396">
      <w:r>
        <w:continuationSeparator/>
      </w:r>
    </w:p>
  </w:footnote>
  <w:footnote w:type="continuationNotice" w:id="1">
    <w:p w14:paraId="28E8E2B0" w14:textId="77777777" w:rsidR="005E6396" w:rsidRDefault="005E6396"/>
  </w:footnote>
  <w:footnote w:id="2">
    <w:p w14:paraId="79F1759F"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3F3A4C1F" w14:textId="77777777" w:rsidR="00C47F18" w:rsidRPr="008640C4" w:rsidRDefault="00C47F18" w:rsidP="00C47F18">
      <w:pPr>
        <w:pStyle w:val="Textonotapie"/>
        <w:ind w:firstLine="709"/>
        <w:jc w:val="both"/>
        <w:rPr>
          <w:rFonts w:ascii="Arial" w:hAnsi="Arial" w:cs="Arial"/>
          <w:sz w:val="19"/>
          <w:szCs w:val="19"/>
          <w:lang w:val="es-ES"/>
        </w:rPr>
      </w:pPr>
    </w:p>
  </w:footnote>
  <w:footnote w:id="3">
    <w:p w14:paraId="3A8728BD"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6E32AE94" w14:textId="77777777" w:rsidR="00C47F18" w:rsidRPr="008640C4" w:rsidRDefault="00C47F18" w:rsidP="00C47F18">
      <w:pPr>
        <w:pStyle w:val="Textonotapie"/>
        <w:ind w:firstLine="709"/>
        <w:jc w:val="both"/>
        <w:rPr>
          <w:rFonts w:ascii="Arial" w:hAnsi="Arial" w:cs="Arial"/>
          <w:sz w:val="19"/>
          <w:szCs w:val="19"/>
          <w:lang w:val="es-ES"/>
        </w:rPr>
      </w:pPr>
    </w:p>
  </w:footnote>
  <w:footnote w:id="4">
    <w:p w14:paraId="29604E64"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6EAC1815" w14:textId="77777777" w:rsidR="00C47F18" w:rsidRPr="008640C4" w:rsidRDefault="00C47F18" w:rsidP="00C47F18">
      <w:pPr>
        <w:pStyle w:val="Textonotapie"/>
        <w:ind w:firstLine="709"/>
        <w:jc w:val="both"/>
        <w:rPr>
          <w:rFonts w:ascii="Arial" w:hAnsi="Arial" w:cs="Arial"/>
          <w:sz w:val="19"/>
          <w:szCs w:val="19"/>
          <w:lang w:val="es-ES"/>
        </w:rPr>
      </w:pPr>
    </w:p>
  </w:footnote>
  <w:footnote w:id="5">
    <w:p w14:paraId="5B24E1F3"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30FD1F17" w14:textId="77777777" w:rsidR="00C47F18" w:rsidRPr="008640C4" w:rsidRDefault="00C47F18" w:rsidP="00C47F18">
      <w:pPr>
        <w:pStyle w:val="Textonotapie"/>
        <w:ind w:firstLine="709"/>
        <w:jc w:val="both"/>
        <w:rPr>
          <w:rFonts w:ascii="Arial" w:hAnsi="Arial" w:cs="Arial"/>
          <w:sz w:val="19"/>
          <w:szCs w:val="19"/>
          <w:lang w:val="es-ES"/>
        </w:rPr>
      </w:pPr>
    </w:p>
  </w:footnote>
  <w:footnote w:id="6">
    <w:p w14:paraId="799E79D6"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4FB507B1" w14:textId="77777777" w:rsidR="00C47F18" w:rsidRPr="008640C4" w:rsidRDefault="00C47F18" w:rsidP="00C47F18">
      <w:pPr>
        <w:pStyle w:val="Textonotapie"/>
        <w:ind w:firstLine="709"/>
        <w:jc w:val="both"/>
        <w:rPr>
          <w:rFonts w:ascii="Arial" w:hAnsi="Arial" w:cs="Arial"/>
          <w:sz w:val="19"/>
          <w:szCs w:val="19"/>
          <w:lang w:val="es-ES"/>
        </w:rPr>
      </w:pPr>
    </w:p>
  </w:footnote>
  <w:footnote w:id="7">
    <w:p w14:paraId="007B2DE8" w14:textId="11F1F723" w:rsidR="005F0B10" w:rsidRPr="005F0B10" w:rsidRDefault="00903C57" w:rsidP="005F0B10">
      <w:pPr>
        <w:ind w:firstLine="709"/>
        <w:jc w:val="both"/>
        <w:rPr>
          <w:rFonts w:ascii="Arial" w:hAnsi="Arial" w:cs="Arial"/>
          <w:sz w:val="19"/>
          <w:szCs w:val="19"/>
        </w:rPr>
      </w:pPr>
      <w:r w:rsidRPr="005F0B10">
        <w:rPr>
          <w:rStyle w:val="Refdenotaalpie"/>
          <w:rFonts w:ascii="Arial" w:hAnsi="Arial" w:cs="Arial"/>
          <w:sz w:val="19"/>
          <w:szCs w:val="19"/>
        </w:rPr>
        <w:footnoteRef/>
      </w:r>
      <w:r w:rsidRPr="005F0B10">
        <w:rPr>
          <w:rFonts w:ascii="Arial" w:hAnsi="Arial" w:cs="Arial"/>
          <w:sz w:val="19"/>
          <w:szCs w:val="19"/>
        </w:rPr>
        <w:t xml:space="preserve"> </w:t>
      </w:r>
      <w:r w:rsidRPr="005F0B10">
        <w:rPr>
          <w:rFonts w:ascii="Arial" w:hAnsi="Arial" w:cs="Arial"/>
          <w:sz w:val="19"/>
          <w:szCs w:val="19"/>
          <w:lang w:val="es-ES"/>
        </w:rPr>
        <w:t xml:space="preserve">En efecto, el artículo </w:t>
      </w:r>
      <w:r w:rsidR="00231A18" w:rsidRPr="005F0B10">
        <w:rPr>
          <w:rFonts w:ascii="Arial" w:hAnsi="Arial" w:cs="Arial"/>
          <w:sz w:val="19"/>
          <w:szCs w:val="19"/>
          <w:lang w:val="es-ES"/>
        </w:rPr>
        <w:t xml:space="preserve">34 de la Ley 2069 de 2020 establece: </w:t>
      </w:r>
      <w:r w:rsidR="005F0B10" w:rsidRPr="005F0B10">
        <w:rPr>
          <w:rFonts w:ascii="Arial" w:hAnsi="Arial" w:cs="Arial"/>
          <w:sz w:val="19"/>
          <w:szCs w:val="19"/>
          <w:lang w:val="es-ES"/>
        </w:rPr>
        <w:t>«</w:t>
      </w:r>
      <w:r w:rsidR="005F0B10" w:rsidRPr="005F0B10">
        <w:rPr>
          <w:rFonts w:ascii="Arial" w:hAnsi="Arial" w:cs="Arial"/>
          <w:sz w:val="19"/>
          <w:szCs w:val="19"/>
        </w:rPr>
        <w:t xml:space="preserve">Modifíquese el artículo 12 de la Ley 1150 de 2007, el cual quedará así: </w:t>
      </w:r>
    </w:p>
    <w:p w14:paraId="5B3EECC1" w14:textId="7C5050AB"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rPr>
        <w:t>»</w:t>
      </w:r>
      <w:r w:rsidR="00231A18" w:rsidRPr="005F0B10">
        <w:rPr>
          <w:rFonts w:ascii="Arial" w:eastAsia="Calibri" w:hAnsi="Arial" w:cs="Arial"/>
          <w:color w:val="000000" w:themeColor="text1"/>
          <w:sz w:val="19"/>
          <w:szCs w:val="19"/>
          <w:lang w:val="es-ES_tradnl"/>
        </w:rPr>
        <w:t>"</w:t>
      </w:r>
      <w:r w:rsidRPr="005F0B10">
        <w:rPr>
          <w:rFonts w:ascii="Arial" w:eastAsia="Calibri" w:hAnsi="Arial" w:cs="Arial"/>
          <w:color w:val="000000" w:themeColor="text1"/>
          <w:sz w:val="19"/>
          <w:szCs w:val="19"/>
          <w:lang w:val="es-ES_tradnl"/>
        </w:rPr>
        <w:t>Artículo</w:t>
      </w:r>
      <w:r w:rsidR="00231A18" w:rsidRPr="005F0B10">
        <w:rPr>
          <w:rFonts w:ascii="Arial" w:eastAsia="Calibri" w:hAnsi="Arial" w:cs="Arial"/>
          <w:color w:val="000000" w:themeColor="text1"/>
          <w:sz w:val="19"/>
          <w:szCs w:val="19"/>
          <w:lang w:val="es-ES_tradnl"/>
        </w:rPr>
        <w:t xml:space="preserve">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w:t>
      </w:r>
      <w:proofErr w:type="spellStart"/>
      <w:r w:rsidR="00231A18" w:rsidRPr="005F0B10">
        <w:rPr>
          <w:rFonts w:ascii="Arial" w:eastAsia="Calibri" w:hAnsi="Arial" w:cs="Arial"/>
          <w:color w:val="000000" w:themeColor="text1"/>
          <w:sz w:val="19"/>
          <w:szCs w:val="19"/>
          <w:lang w:val="es-ES_tradnl"/>
        </w:rPr>
        <w:t>Mipyme</w:t>
      </w:r>
      <w:proofErr w:type="spellEnd"/>
      <w:r w:rsidR="00231A18" w:rsidRPr="005F0B10">
        <w:rPr>
          <w:rFonts w:ascii="Arial" w:eastAsia="Calibri" w:hAnsi="Arial" w:cs="Arial"/>
          <w:color w:val="000000" w:themeColor="text1"/>
          <w:sz w:val="19"/>
          <w:szCs w:val="19"/>
          <w:lang w:val="es-ES_tradnl"/>
        </w:rPr>
        <w:t xml:space="preserve">, convocatorias limitadas a estas en las que, previo a la Resolución de apertura del proceso respectivo, se haya manifestado el interés de por lo menos dos (2) </w:t>
      </w:r>
      <w:proofErr w:type="spellStart"/>
      <w:r w:rsidR="00231A18" w:rsidRPr="005F0B10">
        <w:rPr>
          <w:rFonts w:ascii="Arial" w:eastAsia="Calibri" w:hAnsi="Arial" w:cs="Arial"/>
          <w:color w:val="000000" w:themeColor="text1"/>
          <w:sz w:val="19"/>
          <w:szCs w:val="19"/>
          <w:lang w:val="es-ES_tradnl"/>
        </w:rPr>
        <w:t>Mipyme</w:t>
      </w:r>
      <w:proofErr w:type="spellEnd"/>
      <w:r w:rsidR="00231A18" w:rsidRPr="005F0B10">
        <w:rPr>
          <w:rFonts w:ascii="Arial" w:eastAsia="Calibri" w:hAnsi="Arial" w:cs="Arial"/>
          <w:color w:val="000000" w:themeColor="text1"/>
          <w:sz w:val="19"/>
          <w:szCs w:val="19"/>
          <w:lang w:val="es-ES_tradnl"/>
        </w:rPr>
        <w:t>.</w:t>
      </w:r>
    </w:p>
    <w:p w14:paraId="58FA426A" w14:textId="303369BB"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 xml:space="preserve">Asimismo, el reglamento podrá establecer condiciones preferenciales a favor de la oferta de bienes y servicios producidos por las </w:t>
      </w:r>
      <w:proofErr w:type="spellStart"/>
      <w:r w:rsidR="00231A18" w:rsidRPr="005F0B10">
        <w:rPr>
          <w:rFonts w:ascii="Arial" w:eastAsia="Calibri" w:hAnsi="Arial" w:cs="Arial"/>
          <w:color w:val="000000" w:themeColor="text1"/>
          <w:sz w:val="19"/>
          <w:szCs w:val="19"/>
          <w:lang w:val="es-ES_tradnl"/>
        </w:rPr>
        <w:t>Mipyme</w:t>
      </w:r>
      <w:proofErr w:type="spellEnd"/>
      <w:r w:rsidR="00231A18" w:rsidRPr="005F0B10">
        <w:rPr>
          <w:rFonts w:ascii="Arial" w:eastAsia="Calibri" w:hAnsi="Arial" w:cs="Arial"/>
          <w:color w:val="000000" w:themeColor="text1"/>
          <w:sz w:val="19"/>
          <w:szCs w:val="19"/>
          <w:lang w:val="es-ES_tradnl"/>
        </w:rPr>
        <w:t xml:space="preserve"> respetando los montos y las condiciones contenidas en los compromisos internacionales vigentes, cuando sean aplicables.</w:t>
      </w:r>
    </w:p>
    <w:p w14:paraId="18EBE081" w14:textId="1BBDB92E"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En todo caso, se deberá garantizar la satisfacción de las condiciones técnicas y económicas requeridas en el Proceso de Contratación.</w:t>
      </w:r>
    </w:p>
    <w:p w14:paraId="0B8E2E25" w14:textId="120EFCBF"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02ADEC45" w14:textId="314C7AA9"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»Parágrafo Primero</w:t>
      </w:r>
      <w:r w:rsidR="00231A18" w:rsidRPr="005F0B10">
        <w:rPr>
          <w:rFonts w:ascii="Arial" w:eastAsia="Calibri" w:hAnsi="Arial" w:cs="Arial"/>
          <w:color w:val="000000" w:themeColor="text1"/>
          <w:sz w:val="19"/>
          <w:szCs w:val="19"/>
          <w:lang w:val="es-ES_tradnl"/>
        </w:rPr>
        <w:t xml:space="preserve">. En los Procesos de Contratación que se desarrollen con base en el primer inciso, las entidades podrán realizar las convocatorias limitadas que beneficien a las </w:t>
      </w:r>
      <w:proofErr w:type="spellStart"/>
      <w:r w:rsidR="00231A18" w:rsidRPr="005F0B10">
        <w:rPr>
          <w:rFonts w:ascii="Arial" w:eastAsia="Calibri" w:hAnsi="Arial" w:cs="Arial"/>
          <w:color w:val="000000" w:themeColor="text1"/>
          <w:sz w:val="19"/>
          <w:szCs w:val="19"/>
          <w:lang w:val="es-ES_tradnl"/>
        </w:rPr>
        <w:t>Mipyme</w:t>
      </w:r>
      <w:proofErr w:type="spellEnd"/>
      <w:r w:rsidR="00231A18" w:rsidRPr="005F0B10">
        <w:rPr>
          <w:rFonts w:ascii="Arial" w:eastAsia="Calibri" w:hAnsi="Arial" w:cs="Arial"/>
          <w:color w:val="000000" w:themeColor="text1"/>
          <w:sz w:val="19"/>
          <w:szCs w:val="19"/>
          <w:lang w:val="es-ES_tradnl"/>
        </w:rPr>
        <w:t xml:space="preserve"> del ámbito municipal o departamental correspondiente al de la ejecución del contrato.</w:t>
      </w:r>
    </w:p>
    <w:p w14:paraId="75C07D68" w14:textId="4D11C44A"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»Parágrafo Segundo</w:t>
      </w:r>
      <w:r w:rsidR="00231A18" w:rsidRPr="005F0B10">
        <w:rPr>
          <w:rFonts w:ascii="Arial" w:eastAsia="Calibri" w:hAnsi="Arial" w:cs="Arial"/>
          <w:color w:val="000000" w:themeColor="text1"/>
          <w:sz w:val="19"/>
          <w:szCs w:val="19"/>
          <w:lang w:val="es-ES_tradnl"/>
        </w:rPr>
        <w:t xml:space="preserve">. Sin perjuicio de lo dispuesto en los artículos 5 y 6 de la Ley 1150 de 2007, para que las </w:t>
      </w:r>
      <w:proofErr w:type="spellStart"/>
      <w:r w:rsidR="00231A18" w:rsidRPr="005F0B10">
        <w:rPr>
          <w:rFonts w:ascii="Arial" w:eastAsia="Calibri" w:hAnsi="Arial" w:cs="Arial"/>
          <w:color w:val="000000" w:themeColor="text1"/>
          <w:sz w:val="19"/>
          <w:szCs w:val="19"/>
          <w:lang w:val="es-ES_tradnl"/>
        </w:rPr>
        <w:t>Mipymes</w:t>
      </w:r>
      <w:proofErr w:type="spellEnd"/>
      <w:r w:rsidR="00231A18" w:rsidRPr="005F0B10">
        <w:rPr>
          <w:rFonts w:ascii="Arial" w:eastAsia="Calibri" w:hAnsi="Arial" w:cs="Arial"/>
          <w:color w:val="000000" w:themeColor="text1"/>
          <w:sz w:val="19"/>
          <w:szCs w:val="19"/>
          <w:lang w:val="es-ES_tradnl"/>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7497F2C4" w14:textId="3858EBC9"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»Parágrafo Tercero</w:t>
      </w:r>
      <w:r w:rsidR="00231A18" w:rsidRPr="005F0B10">
        <w:rPr>
          <w:rFonts w:ascii="Arial" w:eastAsia="Calibri" w:hAnsi="Arial" w:cs="Arial"/>
          <w:color w:val="000000" w:themeColor="text1"/>
          <w:sz w:val="19"/>
          <w:szCs w:val="19"/>
          <w:lang w:val="es-ES_tradnl"/>
        </w:rPr>
        <w:t>. En la ejecución de los contratos a que se refiere el presente artículo, las entidades y los contratistas, deberán observar lo dispuesto en los artículos 90 a 95 de la Ley 418 de 1997 y las normas que la modifiquen, adicionen o subroguen."</w:t>
      </w:r>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 xml:space="preserve">  </w:t>
      </w:r>
    </w:p>
    <w:p w14:paraId="415AFBE5" w14:textId="0449504E" w:rsidR="00903C57" w:rsidRPr="005F0B10" w:rsidRDefault="00903C57" w:rsidP="005F0B10">
      <w:pPr>
        <w:pStyle w:val="Textonotapie"/>
        <w:ind w:firstLine="709"/>
        <w:jc w:val="both"/>
        <w:rPr>
          <w:rFonts w:ascii="Arial" w:hAnsi="Arial" w:cs="Arial"/>
          <w:sz w:val="19"/>
          <w:szCs w:val="19"/>
          <w:lang w:val="es-ES_tradnl"/>
        </w:rPr>
      </w:pPr>
    </w:p>
  </w:footnote>
  <w:footnote w:id="8">
    <w:p w14:paraId="52603FCF" w14:textId="77777777" w:rsidR="00BC3DD4" w:rsidRPr="00EA10E4" w:rsidRDefault="00BC3DD4" w:rsidP="00BC3DD4">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14:paraId="517CDA04" w14:textId="77777777" w:rsidR="00BC3DD4" w:rsidRPr="00EA10E4" w:rsidRDefault="00BC3DD4" w:rsidP="00BC3DD4">
      <w:pPr>
        <w:pStyle w:val="Textonotapie"/>
        <w:ind w:firstLine="709"/>
        <w:jc w:val="both"/>
        <w:rPr>
          <w:rFonts w:ascii="Arial" w:hAnsi="Arial" w:cs="Arial"/>
          <w:sz w:val="19"/>
          <w:szCs w:val="19"/>
          <w:lang w:val="es-ES"/>
        </w:rPr>
      </w:pPr>
    </w:p>
  </w:footnote>
  <w:footnote w:id="9">
    <w:p w14:paraId="3DC4A1EC" w14:textId="77777777" w:rsidR="00BC3DD4" w:rsidRPr="008640C4" w:rsidRDefault="00BC3DD4" w:rsidP="00BC3DD4">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14:paraId="3B84A5BD" w14:textId="77777777" w:rsidR="00BC3DD4" w:rsidRPr="008640C4" w:rsidRDefault="00BC3DD4" w:rsidP="00BC3DD4">
      <w:pPr>
        <w:pStyle w:val="Textonotapie"/>
        <w:ind w:firstLine="709"/>
        <w:jc w:val="both"/>
        <w:rPr>
          <w:rFonts w:ascii="Arial" w:hAnsi="Arial" w:cs="Arial"/>
          <w:sz w:val="19"/>
          <w:szCs w:val="19"/>
          <w:lang w:val="es-ES"/>
        </w:rPr>
      </w:pPr>
    </w:p>
  </w:footnote>
  <w:footnote w:id="10">
    <w:p w14:paraId="6AD716AE" w14:textId="77777777" w:rsidR="00BC3DD4" w:rsidRPr="008640C4" w:rsidRDefault="00BC3DD4" w:rsidP="00BC3DD4">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588DF4F0" w14:textId="77777777" w:rsidR="00BC3DD4" w:rsidRPr="008640C4" w:rsidRDefault="00BC3DD4" w:rsidP="00BC3DD4">
      <w:pPr>
        <w:pStyle w:val="Textonotapie"/>
        <w:ind w:firstLine="709"/>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7"/>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12B4"/>
    <w:rsid w:val="00011DCC"/>
    <w:rsid w:val="00011EA4"/>
    <w:rsid w:val="00012532"/>
    <w:rsid w:val="00012B9E"/>
    <w:rsid w:val="00012F37"/>
    <w:rsid w:val="00012FBA"/>
    <w:rsid w:val="00013C6B"/>
    <w:rsid w:val="0001406B"/>
    <w:rsid w:val="000140E5"/>
    <w:rsid w:val="000143F8"/>
    <w:rsid w:val="00014624"/>
    <w:rsid w:val="00015126"/>
    <w:rsid w:val="00015B44"/>
    <w:rsid w:val="00016081"/>
    <w:rsid w:val="000165AC"/>
    <w:rsid w:val="00016651"/>
    <w:rsid w:val="000171A2"/>
    <w:rsid w:val="00017B65"/>
    <w:rsid w:val="00017FCD"/>
    <w:rsid w:val="00020158"/>
    <w:rsid w:val="000207E0"/>
    <w:rsid w:val="000209E2"/>
    <w:rsid w:val="00020F8F"/>
    <w:rsid w:val="00021A95"/>
    <w:rsid w:val="00021C8A"/>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23C6"/>
    <w:rsid w:val="00032689"/>
    <w:rsid w:val="0003339A"/>
    <w:rsid w:val="000341F2"/>
    <w:rsid w:val="00035046"/>
    <w:rsid w:val="000351F2"/>
    <w:rsid w:val="0003535C"/>
    <w:rsid w:val="00035768"/>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578FF"/>
    <w:rsid w:val="00061010"/>
    <w:rsid w:val="00061D06"/>
    <w:rsid w:val="00062CDD"/>
    <w:rsid w:val="00062DB3"/>
    <w:rsid w:val="00063472"/>
    <w:rsid w:val="000640AF"/>
    <w:rsid w:val="00064940"/>
    <w:rsid w:val="00064CAE"/>
    <w:rsid w:val="00064DB7"/>
    <w:rsid w:val="00064FA7"/>
    <w:rsid w:val="00065195"/>
    <w:rsid w:val="0006536C"/>
    <w:rsid w:val="0006626E"/>
    <w:rsid w:val="00066A7F"/>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ED"/>
    <w:rsid w:val="00081D62"/>
    <w:rsid w:val="00082B74"/>
    <w:rsid w:val="00083099"/>
    <w:rsid w:val="00083EDC"/>
    <w:rsid w:val="00084B97"/>
    <w:rsid w:val="00084F87"/>
    <w:rsid w:val="00085033"/>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1E"/>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0B1"/>
    <w:rsid w:val="000A52C0"/>
    <w:rsid w:val="000A5AAF"/>
    <w:rsid w:val="000A5ACE"/>
    <w:rsid w:val="000A5F97"/>
    <w:rsid w:val="000A648E"/>
    <w:rsid w:val="000A7268"/>
    <w:rsid w:val="000A73BB"/>
    <w:rsid w:val="000A73E8"/>
    <w:rsid w:val="000A7EF4"/>
    <w:rsid w:val="000B0A15"/>
    <w:rsid w:val="000B103F"/>
    <w:rsid w:val="000B1437"/>
    <w:rsid w:val="000B1470"/>
    <w:rsid w:val="000B244D"/>
    <w:rsid w:val="000B2A1A"/>
    <w:rsid w:val="000B2B86"/>
    <w:rsid w:val="000B3051"/>
    <w:rsid w:val="000B419B"/>
    <w:rsid w:val="000B5781"/>
    <w:rsid w:val="000B5CB1"/>
    <w:rsid w:val="000B75F4"/>
    <w:rsid w:val="000C0185"/>
    <w:rsid w:val="000C084E"/>
    <w:rsid w:val="000C0F81"/>
    <w:rsid w:val="000C128D"/>
    <w:rsid w:val="000C17A3"/>
    <w:rsid w:val="000C1D4B"/>
    <w:rsid w:val="000C2DC4"/>
    <w:rsid w:val="000C3260"/>
    <w:rsid w:val="000C3B77"/>
    <w:rsid w:val="000C3F6D"/>
    <w:rsid w:val="000C47E0"/>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6C10"/>
    <w:rsid w:val="000D728B"/>
    <w:rsid w:val="000D7541"/>
    <w:rsid w:val="000D75E1"/>
    <w:rsid w:val="000E05E2"/>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4403"/>
    <w:rsid w:val="000F480B"/>
    <w:rsid w:val="000F4A7F"/>
    <w:rsid w:val="000F4E17"/>
    <w:rsid w:val="000F55A8"/>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18E"/>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BCD"/>
    <w:rsid w:val="00134E09"/>
    <w:rsid w:val="001350AB"/>
    <w:rsid w:val="00135DB9"/>
    <w:rsid w:val="00135E5D"/>
    <w:rsid w:val="0013695C"/>
    <w:rsid w:val="00136BF7"/>
    <w:rsid w:val="00136C78"/>
    <w:rsid w:val="00137440"/>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77EAA"/>
    <w:rsid w:val="001805C1"/>
    <w:rsid w:val="00180A2E"/>
    <w:rsid w:val="00180F75"/>
    <w:rsid w:val="001813AF"/>
    <w:rsid w:val="001826C9"/>
    <w:rsid w:val="001829CD"/>
    <w:rsid w:val="00182F01"/>
    <w:rsid w:val="00184219"/>
    <w:rsid w:val="00184F27"/>
    <w:rsid w:val="0018519B"/>
    <w:rsid w:val="001858C9"/>
    <w:rsid w:val="00185966"/>
    <w:rsid w:val="00185A2D"/>
    <w:rsid w:val="00185AFE"/>
    <w:rsid w:val="00185E78"/>
    <w:rsid w:val="001868D9"/>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3B25"/>
    <w:rsid w:val="001B449C"/>
    <w:rsid w:val="001B4AA2"/>
    <w:rsid w:val="001B4ADE"/>
    <w:rsid w:val="001B5530"/>
    <w:rsid w:val="001B5EF8"/>
    <w:rsid w:val="001B71E8"/>
    <w:rsid w:val="001C033E"/>
    <w:rsid w:val="001C07C6"/>
    <w:rsid w:val="001C120D"/>
    <w:rsid w:val="001C16DA"/>
    <w:rsid w:val="001C19CD"/>
    <w:rsid w:val="001C2119"/>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552"/>
    <w:rsid w:val="001D2EEE"/>
    <w:rsid w:val="001D30F3"/>
    <w:rsid w:val="001D31A0"/>
    <w:rsid w:val="001D338E"/>
    <w:rsid w:val="001D4562"/>
    <w:rsid w:val="001D56E9"/>
    <w:rsid w:val="001D6944"/>
    <w:rsid w:val="001D6CD2"/>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325"/>
    <w:rsid w:val="001F0806"/>
    <w:rsid w:val="001F0D15"/>
    <w:rsid w:val="001F0FA0"/>
    <w:rsid w:val="001F1349"/>
    <w:rsid w:val="001F1863"/>
    <w:rsid w:val="001F2356"/>
    <w:rsid w:val="001F2462"/>
    <w:rsid w:val="001F2A68"/>
    <w:rsid w:val="001F2C47"/>
    <w:rsid w:val="001F4773"/>
    <w:rsid w:val="001F5008"/>
    <w:rsid w:val="001F56AA"/>
    <w:rsid w:val="001F57EB"/>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A41"/>
    <w:rsid w:val="00204BF5"/>
    <w:rsid w:val="00204E6B"/>
    <w:rsid w:val="002053EF"/>
    <w:rsid w:val="002058D4"/>
    <w:rsid w:val="0020632A"/>
    <w:rsid w:val="0020697F"/>
    <w:rsid w:val="00206F4D"/>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2FB"/>
    <w:rsid w:val="0022194E"/>
    <w:rsid w:val="002220B1"/>
    <w:rsid w:val="002221CE"/>
    <w:rsid w:val="00222BE8"/>
    <w:rsid w:val="00222DF6"/>
    <w:rsid w:val="00223102"/>
    <w:rsid w:val="002232CB"/>
    <w:rsid w:val="00224022"/>
    <w:rsid w:val="00226055"/>
    <w:rsid w:val="0022609C"/>
    <w:rsid w:val="0022613B"/>
    <w:rsid w:val="0022613F"/>
    <w:rsid w:val="0022614F"/>
    <w:rsid w:val="00226236"/>
    <w:rsid w:val="002266AF"/>
    <w:rsid w:val="002270C9"/>
    <w:rsid w:val="00227A8B"/>
    <w:rsid w:val="0023146B"/>
    <w:rsid w:val="002315A0"/>
    <w:rsid w:val="00231748"/>
    <w:rsid w:val="00231A1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4FC3"/>
    <w:rsid w:val="00245718"/>
    <w:rsid w:val="002457E9"/>
    <w:rsid w:val="00245E07"/>
    <w:rsid w:val="0024665E"/>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604AA"/>
    <w:rsid w:val="00260523"/>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2D0"/>
    <w:rsid w:val="0027482E"/>
    <w:rsid w:val="002748F1"/>
    <w:rsid w:val="00274DB5"/>
    <w:rsid w:val="00275BB1"/>
    <w:rsid w:val="00276EF7"/>
    <w:rsid w:val="0027770B"/>
    <w:rsid w:val="00277933"/>
    <w:rsid w:val="00277F8D"/>
    <w:rsid w:val="00277FA7"/>
    <w:rsid w:val="00280046"/>
    <w:rsid w:val="002809B4"/>
    <w:rsid w:val="00280B4F"/>
    <w:rsid w:val="00280F3D"/>
    <w:rsid w:val="0028106A"/>
    <w:rsid w:val="00281EB4"/>
    <w:rsid w:val="00282E03"/>
    <w:rsid w:val="0028308E"/>
    <w:rsid w:val="002834E9"/>
    <w:rsid w:val="002837BA"/>
    <w:rsid w:val="00283A52"/>
    <w:rsid w:val="00283C5E"/>
    <w:rsid w:val="00283E26"/>
    <w:rsid w:val="0028428F"/>
    <w:rsid w:val="00284CFC"/>
    <w:rsid w:val="00285832"/>
    <w:rsid w:val="00285969"/>
    <w:rsid w:val="0028599C"/>
    <w:rsid w:val="0028663B"/>
    <w:rsid w:val="00286CEC"/>
    <w:rsid w:val="002870F9"/>
    <w:rsid w:val="002871A9"/>
    <w:rsid w:val="00287505"/>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3F66"/>
    <w:rsid w:val="002A4736"/>
    <w:rsid w:val="002A4B1C"/>
    <w:rsid w:val="002A55FE"/>
    <w:rsid w:val="002A625C"/>
    <w:rsid w:val="002A6AFB"/>
    <w:rsid w:val="002A733D"/>
    <w:rsid w:val="002A774A"/>
    <w:rsid w:val="002A7840"/>
    <w:rsid w:val="002A78F3"/>
    <w:rsid w:val="002A7D84"/>
    <w:rsid w:val="002A7E5C"/>
    <w:rsid w:val="002A7F6D"/>
    <w:rsid w:val="002B0D83"/>
    <w:rsid w:val="002B1342"/>
    <w:rsid w:val="002B1F83"/>
    <w:rsid w:val="002B27C8"/>
    <w:rsid w:val="002B2A7F"/>
    <w:rsid w:val="002B330B"/>
    <w:rsid w:val="002B39BE"/>
    <w:rsid w:val="002B3DE5"/>
    <w:rsid w:val="002B438C"/>
    <w:rsid w:val="002B48DB"/>
    <w:rsid w:val="002B4B34"/>
    <w:rsid w:val="002B541A"/>
    <w:rsid w:val="002B5EAB"/>
    <w:rsid w:val="002B5F2E"/>
    <w:rsid w:val="002B6407"/>
    <w:rsid w:val="002B6416"/>
    <w:rsid w:val="002B6459"/>
    <w:rsid w:val="002B6F22"/>
    <w:rsid w:val="002B7014"/>
    <w:rsid w:val="002B73B0"/>
    <w:rsid w:val="002C0589"/>
    <w:rsid w:val="002C1D61"/>
    <w:rsid w:val="002C24B4"/>
    <w:rsid w:val="002C2B3A"/>
    <w:rsid w:val="002C2B87"/>
    <w:rsid w:val="002C3CF4"/>
    <w:rsid w:val="002C441A"/>
    <w:rsid w:val="002C4A2B"/>
    <w:rsid w:val="002C4A73"/>
    <w:rsid w:val="002C4B84"/>
    <w:rsid w:val="002C4C0C"/>
    <w:rsid w:val="002C5016"/>
    <w:rsid w:val="002C5C2F"/>
    <w:rsid w:val="002C5D0F"/>
    <w:rsid w:val="002C60B9"/>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931"/>
    <w:rsid w:val="002E3D76"/>
    <w:rsid w:val="002E40A1"/>
    <w:rsid w:val="002E48EC"/>
    <w:rsid w:val="002E4B44"/>
    <w:rsid w:val="002E4ECB"/>
    <w:rsid w:val="002E4F23"/>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408A"/>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B05"/>
    <w:rsid w:val="00325D79"/>
    <w:rsid w:val="00325D98"/>
    <w:rsid w:val="0032682A"/>
    <w:rsid w:val="00327A5C"/>
    <w:rsid w:val="003305BD"/>
    <w:rsid w:val="0033092C"/>
    <w:rsid w:val="0033122A"/>
    <w:rsid w:val="003315AC"/>
    <w:rsid w:val="00331932"/>
    <w:rsid w:val="00331F74"/>
    <w:rsid w:val="00332382"/>
    <w:rsid w:val="00332453"/>
    <w:rsid w:val="0033251B"/>
    <w:rsid w:val="00333A88"/>
    <w:rsid w:val="003349E8"/>
    <w:rsid w:val="003351FF"/>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713F"/>
    <w:rsid w:val="00347202"/>
    <w:rsid w:val="0034778E"/>
    <w:rsid w:val="00347A5A"/>
    <w:rsid w:val="003501E2"/>
    <w:rsid w:val="003514B8"/>
    <w:rsid w:val="00351E10"/>
    <w:rsid w:val="003533F4"/>
    <w:rsid w:val="003536F6"/>
    <w:rsid w:val="00353DD5"/>
    <w:rsid w:val="00353F36"/>
    <w:rsid w:val="00355131"/>
    <w:rsid w:val="00355F74"/>
    <w:rsid w:val="003560DB"/>
    <w:rsid w:val="003564DB"/>
    <w:rsid w:val="00356F87"/>
    <w:rsid w:val="00357E83"/>
    <w:rsid w:val="00360CF3"/>
    <w:rsid w:val="00361A59"/>
    <w:rsid w:val="00363348"/>
    <w:rsid w:val="00363857"/>
    <w:rsid w:val="00363D59"/>
    <w:rsid w:val="00363F08"/>
    <w:rsid w:val="003640F7"/>
    <w:rsid w:val="0036594A"/>
    <w:rsid w:val="00365AE5"/>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EDF"/>
    <w:rsid w:val="00384494"/>
    <w:rsid w:val="00384C5E"/>
    <w:rsid w:val="00384DF1"/>
    <w:rsid w:val="00384FF3"/>
    <w:rsid w:val="00386456"/>
    <w:rsid w:val="003865A9"/>
    <w:rsid w:val="0039047D"/>
    <w:rsid w:val="003906FD"/>
    <w:rsid w:val="0039092B"/>
    <w:rsid w:val="00390BD9"/>
    <w:rsid w:val="00390F32"/>
    <w:rsid w:val="0039135E"/>
    <w:rsid w:val="00391867"/>
    <w:rsid w:val="0039285D"/>
    <w:rsid w:val="0039319C"/>
    <w:rsid w:val="00393577"/>
    <w:rsid w:val="00393CAE"/>
    <w:rsid w:val="003945F4"/>
    <w:rsid w:val="00394EB5"/>
    <w:rsid w:val="003953B4"/>
    <w:rsid w:val="00395558"/>
    <w:rsid w:val="0039615F"/>
    <w:rsid w:val="003966A0"/>
    <w:rsid w:val="00396A29"/>
    <w:rsid w:val="00397FF0"/>
    <w:rsid w:val="003A058E"/>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4C7B"/>
    <w:rsid w:val="003A563C"/>
    <w:rsid w:val="003A581E"/>
    <w:rsid w:val="003A5E7E"/>
    <w:rsid w:val="003A6160"/>
    <w:rsid w:val="003A65A5"/>
    <w:rsid w:val="003A65AC"/>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C0491"/>
    <w:rsid w:val="003C0818"/>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21C1"/>
    <w:rsid w:val="003D3B15"/>
    <w:rsid w:val="003D3B2E"/>
    <w:rsid w:val="003D3F28"/>
    <w:rsid w:val="003D4101"/>
    <w:rsid w:val="003D484D"/>
    <w:rsid w:val="003D49CB"/>
    <w:rsid w:val="003D4F41"/>
    <w:rsid w:val="003D5F10"/>
    <w:rsid w:val="003D65E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2A2"/>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DE1"/>
    <w:rsid w:val="00402EEB"/>
    <w:rsid w:val="00402FAF"/>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5B2E"/>
    <w:rsid w:val="00425C43"/>
    <w:rsid w:val="004273FA"/>
    <w:rsid w:val="004275A7"/>
    <w:rsid w:val="004278D8"/>
    <w:rsid w:val="00430186"/>
    <w:rsid w:val="00430D44"/>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3741B"/>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6709"/>
    <w:rsid w:val="00446922"/>
    <w:rsid w:val="0044772C"/>
    <w:rsid w:val="00450846"/>
    <w:rsid w:val="00451A52"/>
    <w:rsid w:val="0045271D"/>
    <w:rsid w:val="00452755"/>
    <w:rsid w:val="00452803"/>
    <w:rsid w:val="004529C6"/>
    <w:rsid w:val="00452A7C"/>
    <w:rsid w:val="00452EAD"/>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27B1"/>
    <w:rsid w:val="004734CF"/>
    <w:rsid w:val="00473F33"/>
    <w:rsid w:val="0047480D"/>
    <w:rsid w:val="0047586C"/>
    <w:rsid w:val="00475C5A"/>
    <w:rsid w:val="00475C9C"/>
    <w:rsid w:val="0047676B"/>
    <w:rsid w:val="004774C3"/>
    <w:rsid w:val="0047773C"/>
    <w:rsid w:val="00477C5F"/>
    <w:rsid w:val="00480050"/>
    <w:rsid w:val="0048011C"/>
    <w:rsid w:val="004808DE"/>
    <w:rsid w:val="00480F9A"/>
    <w:rsid w:val="00481912"/>
    <w:rsid w:val="00481AC4"/>
    <w:rsid w:val="00481DC1"/>
    <w:rsid w:val="00482507"/>
    <w:rsid w:val="0048268A"/>
    <w:rsid w:val="00482A64"/>
    <w:rsid w:val="004835CA"/>
    <w:rsid w:val="004836F8"/>
    <w:rsid w:val="004836FE"/>
    <w:rsid w:val="00484A39"/>
    <w:rsid w:val="00484F0F"/>
    <w:rsid w:val="00484F40"/>
    <w:rsid w:val="0048540C"/>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41CD"/>
    <w:rsid w:val="0049530F"/>
    <w:rsid w:val="00496664"/>
    <w:rsid w:val="00496786"/>
    <w:rsid w:val="0049695B"/>
    <w:rsid w:val="00496AC4"/>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05A"/>
    <w:rsid w:val="004B2197"/>
    <w:rsid w:val="004B25D8"/>
    <w:rsid w:val="004B298A"/>
    <w:rsid w:val="004B2BB8"/>
    <w:rsid w:val="004B50CB"/>
    <w:rsid w:val="004B578D"/>
    <w:rsid w:val="004B5BE7"/>
    <w:rsid w:val="004B5E2D"/>
    <w:rsid w:val="004B6C07"/>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1B7"/>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534"/>
    <w:rsid w:val="00503A17"/>
    <w:rsid w:val="005042E8"/>
    <w:rsid w:val="00505892"/>
    <w:rsid w:val="00505DCB"/>
    <w:rsid w:val="0050674C"/>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0EC1"/>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46AD"/>
    <w:rsid w:val="00534EFB"/>
    <w:rsid w:val="00534F60"/>
    <w:rsid w:val="00535714"/>
    <w:rsid w:val="005357F1"/>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7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9C4"/>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DC9"/>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728"/>
    <w:rsid w:val="00573BA3"/>
    <w:rsid w:val="00574708"/>
    <w:rsid w:val="00574D81"/>
    <w:rsid w:val="005756AA"/>
    <w:rsid w:val="0057696F"/>
    <w:rsid w:val="00576C8A"/>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94B"/>
    <w:rsid w:val="00584233"/>
    <w:rsid w:val="005842D0"/>
    <w:rsid w:val="005845FB"/>
    <w:rsid w:val="005855AE"/>
    <w:rsid w:val="00585829"/>
    <w:rsid w:val="00585CA8"/>
    <w:rsid w:val="00586412"/>
    <w:rsid w:val="005864B9"/>
    <w:rsid w:val="00586564"/>
    <w:rsid w:val="005866C4"/>
    <w:rsid w:val="00590F1A"/>
    <w:rsid w:val="00591C03"/>
    <w:rsid w:val="00591E2A"/>
    <w:rsid w:val="005923C4"/>
    <w:rsid w:val="0059397D"/>
    <w:rsid w:val="00593EA2"/>
    <w:rsid w:val="00593F75"/>
    <w:rsid w:val="005940A0"/>
    <w:rsid w:val="0059429A"/>
    <w:rsid w:val="00594CBE"/>
    <w:rsid w:val="00595561"/>
    <w:rsid w:val="00596AF7"/>
    <w:rsid w:val="00596CCE"/>
    <w:rsid w:val="00597516"/>
    <w:rsid w:val="005A1976"/>
    <w:rsid w:val="005A1F51"/>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1C"/>
    <w:rsid w:val="005B74AD"/>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6397"/>
    <w:rsid w:val="005C6CF7"/>
    <w:rsid w:val="005C6D19"/>
    <w:rsid w:val="005C721D"/>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6396"/>
    <w:rsid w:val="005E665F"/>
    <w:rsid w:val="005E781C"/>
    <w:rsid w:val="005F0B10"/>
    <w:rsid w:val="005F2D8B"/>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5F7DE2"/>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860"/>
    <w:rsid w:val="00607996"/>
    <w:rsid w:val="00607A37"/>
    <w:rsid w:val="00607E9F"/>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247E"/>
    <w:rsid w:val="00632CE0"/>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1078"/>
    <w:rsid w:val="00641242"/>
    <w:rsid w:val="00641761"/>
    <w:rsid w:val="00641899"/>
    <w:rsid w:val="00642126"/>
    <w:rsid w:val="00642A32"/>
    <w:rsid w:val="00642B8E"/>
    <w:rsid w:val="00642F7C"/>
    <w:rsid w:val="006433D5"/>
    <w:rsid w:val="00643412"/>
    <w:rsid w:val="00643CF5"/>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BE"/>
    <w:rsid w:val="006811C9"/>
    <w:rsid w:val="006812CE"/>
    <w:rsid w:val="006826C1"/>
    <w:rsid w:val="00682C89"/>
    <w:rsid w:val="006832B8"/>
    <w:rsid w:val="00683329"/>
    <w:rsid w:val="006837B2"/>
    <w:rsid w:val="00683800"/>
    <w:rsid w:val="0068420B"/>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7EA"/>
    <w:rsid w:val="00693984"/>
    <w:rsid w:val="00693B77"/>
    <w:rsid w:val="00694156"/>
    <w:rsid w:val="00694160"/>
    <w:rsid w:val="00694736"/>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2CC0"/>
    <w:rsid w:val="006C37CA"/>
    <w:rsid w:val="006C39AE"/>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2EA"/>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4147"/>
    <w:rsid w:val="006F4315"/>
    <w:rsid w:val="006F47A7"/>
    <w:rsid w:val="006F4CB0"/>
    <w:rsid w:val="006F4F78"/>
    <w:rsid w:val="006F50C2"/>
    <w:rsid w:val="006F5389"/>
    <w:rsid w:val="006F547E"/>
    <w:rsid w:val="006F5CCF"/>
    <w:rsid w:val="006F6F04"/>
    <w:rsid w:val="006F71F5"/>
    <w:rsid w:val="006F72A8"/>
    <w:rsid w:val="006F79BB"/>
    <w:rsid w:val="007000A6"/>
    <w:rsid w:val="00700610"/>
    <w:rsid w:val="0070138A"/>
    <w:rsid w:val="0070157E"/>
    <w:rsid w:val="007030D4"/>
    <w:rsid w:val="00703279"/>
    <w:rsid w:val="007034D9"/>
    <w:rsid w:val="00703B61"/>
    <w:rsid w:val="00703E11"/>
    <w:rsid w:val="00704102"/>
    <w:rsid w:val="0070437C"/>
    <w:rsid w:val="0070461C"/>
    <w:rsid w:val="00704F37"/>
    <w:rsid w:val="00705631"/>
    <w:rsid w:val="00705818"/>
    <w:rsid w:val="00705F62"/>
    <w:rsid w:val="00706813"/>
    <w:rsid w:val="00707617"/>
    <w:rsid w:val="0070773F"/>
    <w:rsid w:val="00707A2E"/>
    <w:rsid w:val="00707ED3"/>
    <w:rsid w:val="007101B7"/>
    <w:rsid w:val="00710668"/>
    <w:rsid w:val="00711019"/>
    <w:rsid w:val="007110F4"/>
    <w:rsid w:val="007112B1"/>
    <w:rsid w:val="0071130F"/>
    <w:rsid w:val="00712507"/>
    <w:rsid w:val="00712714"/>
    <w:rsid w:val="007129AB"/>
    <w:rsid w:val="00712B63"/>
    <w:rsid w:val="00712E5F"/>
    <w:rsid w:val="00713526"/>
    <w:rsid w:val="00713FC5"/>
    <w:rsid w:val="00714BB9"/>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BFF"/>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CA5"/>
    <w:rsid w:val="00735DA7"/>
    <w:rsid w:val="00736700"/>
    <w:rsid w:val="007368B4"/>
    <w:rsid w:val="007378E0"/>
    <w:rsid w:val="0074040E"/>
    <w:rsid w:val="00740529"/>
    <w:rsid w:val="00740876"/>
    <w:rsid w:val="00741358"/>
    <w:rsid w:val="00741626"/>
    <w:rsid w:val="00741B0C"/>
    <w:rsid w:val="00742332"/>
    <w:rsid w:val="00742886"/>
    <w:rsid w:val="00742A3A"/>
    <w:rsid w:val="00742DD2"/>
    <w:rsid w:val="007437C6"/>
    <w:rsid w:val="007441A2"/>
    <w:rsid w:val="00744273"/>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20F0"/>
    <w:rsid w:val="0075226F"/>
    <w:rsid w:val="007522E8"/>
    <w:rsid w:val="007529DB"/>
    <w:rsid w:val="007534AD"/>
    <w:rsid w:val="00753BAC"/>
    <w:rsid w:val="00753E86"/>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E6C"/>
    <w:rsid w:val="00762F54"/>
    <w:rsid w:val="007634AD"/>
    <w:rsid w:val="0076445F"/>
    <w:rsid w:val="00764EC5"/>
    <w:rsid w:val="007651EF"/>
    <w:rsid w:val="00766D49"/>
    <w:rsid w:val="00766ECC"/>
    <w:rsid w:val="007672F3"/>
    <w:rsid w:val="007677B5"/>
    <w:rsid w:val="007678B1"/>
    <w:rsid w:val="007708A8"/>
    <w:rsid w:val="00772100"/>
    <w:rsid w:val="00772275"/>
    <w:rsid w:val="00772AAF"/>
    <w:rsid w:val="00772C9A"/>
    <w:rsid w:val="00772E2A"/>
    <w:rsid w:val="00773131"/>
    <w:rsid w:val="007734E4"/>
    <w:rsid w:val="0077380D"/>
    <w:rsid w:val="00773BC8"/>
    <w:rsid w:val="00774337"/>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47A"/>
    <w:rsid w:val="0078410A"/>
    <w:rsid w:val="00784938"/>
    <w:rsid w:val="00784FC4"/>
    <w:rsid w:val="00785BBB"/>
    <w:rsid w:val="00785FB2"/>
    <w:rsid w:val="00786937"/>
    <w:rsid w:val="00786FAD"/>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30D3"/>
    <w:rsid w:val="007936E2"/>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A7775"/>
    <w:rsid w:val="007B0302"/>
    <w:rsid w:val="007B0313"/>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1E1"/>
    <w:rsid w:val="007C24EE"/>
    <w:rsid w:val="007C312A"/>
    <w:rsid w:val="007C3538"/>
    <w:rsid w:val="007C3570"/>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564D"/>
    <w:rsid w:val="007E5C4A"/>
    <w:rsid w:val="007E64D4"/>
    <w:rsid w:val="007E66E9"/>
    <w:rsid w:val="007E69F2"/>
    <w:rsid w:val="007E7432"/>
    <w:rsid w:val="007E74BF"/>
    <w:rsid w:val="007E7657"/>
    <w:rsid w:val="007E7B55"/>
    <w:rsid w:val="007E7D2E"/>
    <w:rsid w:val="007E7E80"/>
    <w:rsid w:val="007F14D3"/>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2E"/>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566"/>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F04"/>
    <w:rsid w:val="0081513E"/>
    <w:rsid w:val="00815DA5"/>
    <w:rsid w:val="00816221"/>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0B"/>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39E"/>
    <w:rsid w:val="00836E74"/>
    <w:rsid w:val="00836EAB"/>
    <w:rsid w:val="00837673"/>
    <w:rsid w:val="00837937"/>
    <w:rsid w:val="00837D82"/>
    <w:rsid w:val="0084073E"/>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10A1"/>
    <w:rsid w:val="0085304C"/>
    <w:rsid w:val="008536BB"/>
    <w:rsid w:val="00853A3C"/>
    <w:rsid w:val="00853AD5"/>
    <w:rsid w:val="008548CA"/>
    <w:rsid w:val="008563B0"/>
    <w:rsid w:val="00856C06"/>
    <w:rsid w:val="00857638"/>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BE"/>
    <w:rsid w:val="00865EAF"/>
    <w:rsid w:val="0086633B"/>
    <w:rsid w:val="00866495"/>
    <w:rsid w:val="00866881"/>
    <w:rsid w:val="00866931"/>
    <w:rsid w:val="008673AE"/>
    <w:rsid w:val="00867512"/>
    <w:rsid w:val="008678A3"/>
    <w:rsid w:val="00867C13"/>
    <w:rsid w:val="00867C1D"/>
    <w:rsid w:val="0087033C"/>
    <w:rsid w:val="008715ED"/>
    <w:rsid w:val="008717D8"/>
    <w:rsid w:val="00871E3C"/>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668"/>
    <w:rsid w:val="008B47A6"/>
    <w:rsid w:val="008B5C7C"/>
    <w:rsid w:val="008B63FE"/>
    <w:rsid w:val="008B672C"/>
    <w:rsid w:val="008B7108"/>
    <w:rsid w:val="008C065F"/>
    <w:rsid w:val="008C0743"/>
    <w:rsid w:val="008C0B4C"/>
    <w:rsid w:val="008C11F0"/>
    <w:rsid w:val="008C1918"/>
    <w:rsid w:val="008C1DBA"/>
    <w:rsid w:val="008C24E7"/>
    <w:rsid w:val="008C2500"/>
    <w:rsid w:val="008C2CAC"/>
    <w:rsid w:val="008C3C57"/>
    <w:rsid w:val="008C3E2A"/>
    <w:rsid w:val="008C45BD"/>
    <w:rsid w:val="008C4B19"/>
    <w:rsid w:val="008C5983"/>
    <w:rsid w:val="008C62D4"/>
    <w:rsid w:val="008C6B89"/>
    <w:rsid w:val="008C6B97"/>
    <w:rsid w:val="008C7EF7"/>
    <w:rsid w:val="008D094D"/>
    <w:rsid w:val="008D0ECE"/>
    <w:rsid w:val="008D18AA"/>
    <w:rsid w:val="008D1A2A"/>
    <w:rsid w:val="008D1ADE"/>
    <w:rsid w:val="008D3199"/>
    <w:rsid w:val="008D35D9"/>
    <w:rsid w:val="008D3B36"/>
    <w:rsid w:val="008D3B85"/>
    <w:rsid w:val="008D42D2"/>
    <w:rsid w:val="008D4596"/>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0DC"/>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3E"/>
    <w:rsid w:val="00903788"/>
    <w:rsid w:val="00903C57"/>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907"/>
    <w:rsid w:val="00916AFE"/>
    <w:rsid w:val="00916FC8"/>
    <w:rsid w:val="009170D3"/>
    <w:rsid w:val="0091759C"/>
    <w:rsid w:val="00917CBE"/>
    <w:rsid w:val="00920026"/>
    <w:rsid w:val="009203E2"/>
    <w:rsid w:val="00920BF5"/>
    <w:rsid w:val="00920F61"/>
    <w:rsid w:val="00921304"/>
    <w:rsid w:val="00921395"/>
    <w:rsid w:val="00921805"/>
    <w:rsid w:val="00921E63"/>
    <w:rsid w:val="009220F6"/>
    <w:rsid w:val="00923396"/>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1E2"/>
    <w:rsid w:val="0093576F"/>
    <w:rsid w:val="00935E70"/>
    <w:rsid w:val="0093609A"/>
    <w:rsid w:val="00937401"/>
    <w:rsid w:val="009376FB"/>
    <w:rsid w:val="00937D6B"/>
    <w:rsid w:val="00940207"/>
    <w:rsid w:val="00940477"/>
    <w:rsid w:val="00940876"/>
    <w:rsid w:val="00940A53"/>
    <w:rsid w:val="00940F3C"/>
    <w:rsid w:val="009410E0"/>
    <w:rsid w:val="00941FA9"/>
    <w:rsid w:val="009439B6"/>
    <w:rsid w:val="009444B4"/>
    <w:rsid w:val="00944644"/>
    <w:rsid w:val="00946A24"/>
    <w:rsid w:val="009470D4"/>
    <w:rsid w:val="00947337"/>
    <w:rsid w:val="009477BD"/>
    <w:rsid w:val="00947E6E"/>
    <w:rsid w:val="009512FA"/>
    <w:rsid w:val="009516A9"/>
    <w:rsid w:val="00951E57"/>
    <w:rsid w:val="00952350"/>
    <w:rsid w:val="00952505"/>
    <w:rsid w:val="00953018"/>
    <w:rsid w:val="009533E2"/>
    <w:rsid w:val="00953554"/>
    <w:rsid w:val="0095385A"/>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2C93"/>
    <w:rsid w:val="00963550"/>
    <w:rsid w:val="00964138"/>
    <w:rsid w:val="009648D6"/>
    <w:rsid w:val="00964B3F"/>
    <w:rsid w:val="00964C98"/>
    <w:rsid w:val="00971441"/>
    <w:rsid w:val="00971555"/>
    <w:rsid w:val="009715D4"/>
    <w:rsid w:val="009715E1"/>
    <w:rsid w:val="0097179A"/>
    <w:rsid w:val="00971B0A"/>
    <w:rsid w:val="009731F4"/>
    <w:rsid w:val="009732A4"/>
    <w:rsid w:val="00973AB3"/>
    <w:rsid w:val="00973C05"/>
    <w:rsid w:val="0097494E"/>
    <w:rsid w:val="00974999"/>
    <w:rsid w:val="00974B58"/>
    <w:rsid w:val="00974CBD"/>
    <w:rsid w:val="00975445"/>
    <w:rsid w:val="009761ED"/>
    <w:rsid w:val="00977F52"/>
    <w:rsid w:val="0098022F"/>
    <w:rsid w:val="009810DE"/>
    <w:rsid w:val="00981B91"/>
    <w:rsid w:val="009822D7"/>
    <w:rsid w:val="009827E6"/>
    <w:rsid w:val="00982F84"/>
    <w:rsid w:val="009831C3"/>
    <w:rsid w:val="009838C1"/>
    <w:rsid w:val="00983D75"/>
    <w:rsid w:val="0098427D"/>
    <w:rsid w:val="00984567"/>
    <w:rsid w:val="00985102"/>
    <w:rsid w:val="009854BC"/>
    <w:rsid w:val="00985A66"/>
    <w:rsid w:val="0098606C"/>
    <w:rsid w:val="009865D5"/>
    <w:rsid w:val="009866A4"/>
    <w:rsid w:val="00986CD7"/>
    <w:rsid w:val="009876F2"/>
    <w:rsid w:val="00987C77"/>
    <w:rsid w:val="00987FED"/>
    <w:rsid w:val="00990345"/>
    <w:rsid w:val="00990701"/>
    <w:rsid w:val="0099119C"/>
    <w:rsid w:val="0099137A"/>
    <w:rsid w:val="0099211C"/>
    <w:rsid w:val="00993013"/>
    <w:rsid w:val="009930AB"/>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0B2"/>
    <w:rsid w:val="009A1351"/>
    <w:rsid w:val="009A2041"/>
    <w:rsid w:val="009A2435"/>
    <w:rsid w:val="009A2B60"/>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2374"/>
    <w:rsid w:val="009B28D6"/>
    <w:rsid w:val="009B2E29"/>
    <w:rsid w:val="009B3163"/>
    <w:rsid w:val="009B422F"/>
    <w:rsid w:val="009B46BC"/>
    <w:rsid w:val="009B4D1A"/>
    <w:rsid w:val="009B519D"/>
    <w:rsid w:val="009B558B"/>
    <w:rsid w:val="009B663F"/>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3D2"/>
    <w:rsid w:val="009E16DA"/>
    <w:rsid w:val="009E1CD4"/>
    <w:rsid w:val="009E2391"/>
    <w:rsid w:val="009E2A11"/>
    <w:rsid w:val="009E476A"/>
    <w:rsid w:val="009E4A16"/>
    <w:rsid w:val="009E4E05"/>
    <w:rsid w:val="009E56FF"/>
    <w:rsid w:val="009E5CB1"/>
    <w:rsid w:val="009E5E56"/>
    <w:rsid w:val="009E61EA"/>
    <w:rsid w:val="009E6990"/>
    <w:rsid w:val="009E6FEE"/>
    <w:rsid w:val="009E7068"/>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532"/>
    <w:rsid w:val="00A046D2"/>
    <w:rsid w:val="00A04A54"/>
    <w:rsid w:val="00A058B8"/>
    <w:rsid w:val="00A05B4B"/>
    <w:rsid w:val="00A066C3"/>
    <w:rsid w:val="00A06754"/>
    <w:rsid w:val="00A069E0"/>
    <w:rsid w:val="00A06E4A"/>
    <w:rsid w:val="00A06EB6"/>
    <w:rsid w:val="00A070E9"/>
    <w:rsid w:val="00A078FB"/>
    <w:rsid w:val="00A07BC7"/>
    <w:rsid w:val="00A10209"/>
    <w:rsid w:val="00A1036D"/>
    <w:rsid w:val="00A1069F"/>
    <w:rsid w:val="00A10ACA"/>
    <w:rsid w:val="00A10D08"/>
    <w:rsid w:val="00A11720"/>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A5F"/>
    <w:rsid w:val="00A47701"/>
    <w:rsid w:val="00A47849"/>
    <w:rsid w:val="00A500B1"/>
    <w:rsid w:val="00A51D65"/>
    <w:rsid w:val="00A52A53"/>
    <w:rsid w:val="00A52EE5"/>
    <w:rsid w:val="00A53037"/>
    <w:rsid w:val="00A532B9"/>
    <w:rsid w:val="00A5351D"/>
    <w:rsid w:val="00A53E79"/>
    <w:rsid w:val="00A5402C"/>
    <w:rsid w:val="00A54031"/>
    <w:rsid w:val="00A5426D"/>
    <w:rsid w:val="00A54FC2"/>
    <w:rsid w:val="00A55122"/>
    <w:rsid w:val="00A55806"/>
    <w:rsid w:val="00A55CEA"/>
    <w:rsid w:val="00A560A9"/>
    <w:rsid w:val="00A56DE7"/>
    <w:rsid w:val="00A579F9"/>
    <w:rsid w:val="00A57EB2"/>
    <w:rsid w:val="00A6009E"/>
    <w:rsid w:val="00A60265"/>
    <w:rsid w:val="00A60540"/>
    <w:rsid w:val="00A60B1F"/>
    <w:rsid w:val="00A611B1"/>
    <w:rsid w:val="00A6144B"/>
    <w:rsid w:val="00A61C60"/>
    <w:rsid w:val="00A62589"/>
    <w:rsid w:val="00A62AD0"/>
    <w:rsid w:val="00A62C3A"/>
    <w:rsid w:val="00A6319C"/>
    <w:rsid w:val="00A63812"/>
    <w:rsid w:val="00A63DF7"/>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35"/>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A40"/>
    <w:rsid w:val="00A97C93"/>
    <w:rsid w:val="00AA06C6"/>
    <w:rsid w:val="00AA08E7"/>
    <w:rsid w:val="00AA0A06"/>
    <w:rsid w:val="00AA1351"/>
    <w:rsid w:val="00AA184C"/>
    <w:rsid w:val="00AA1AF4"/>
    <w:rsid w:val="00AA1C84"/>
    <w:rsid w:val="00AA31C5"/>
    <w:rsid w:val="00AA3D7B"/>
    <w:rsid w:val="00AA42A0"/>
    <w:rsid w:val="00AA442B"/>
    <w:rsid w:val="00AA46A4"/>
    <w:rsid w:val="00AA47FA"/>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6106"/>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861"/>
    <w:rsid w:val="00AD09F7"/>
    <w:rsid w:val="00AD1EFA"/>
    <w:rsid w:val="00AD2072"/>
    <w:rsid w:val="00AD2DBD"/>
    <w:rsid w:val="00AD2FBF"/>
    <w:rsid w:val="00AD30DB"/>
    <w:rsid w:val="00AD33A1"/>
    <w:rsid w:val="00AD340E"/>
    <w:rsid w:val="00AD455D"/>
    <w:rsid w:val="00AD463C"/>
    <w:rsid w:val="00AD4F60"/>
    <w:rsid w:val="00AD5044"/>
    <w:rsid w:val="00AD5114"/>
    <w:rsid w:val="00AD5740"/>
    <w:rsid w:val="00AD6236"/>
    <w:rsid w:val="00AD69D5"/>
    <w:rsid w:val="00AD7619"/>
    <w:rsid w:val="00AD7770"/>
    <w:rsid w:val="00AE1713"/>
    <w:rsid w:val="00AE1772"/>
    <w:rsid w:val="00AE1990"/>
    <w:rsid w:val="00AE25E8"/>
    <w:rsid w:val="00AE2AD4"/>
    <w:rsid w:val="00AE2CA7"/>
    <w:rsid w:val="00AE2F1D"/>
    <w:rsid w:val="00AE4C81"/>
    <w:rsid w:val="00AE586F"/>
    <w:rsid w:val="00AE62FE"/>
    <w:rsid w:val="00AE6582"/>
    <w:rsid w:val="00AE6DC5"/>
    <w:rsid w:val="00AE7686"/>
    <w:rsid w:val="00AE799A"/>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AF7E8F"/>
    <w:rsid w:val="00B011A9"/>
    <w:rsid w:val="00B01BAF"/>
    <w:rsid w:val="00B024ED"/>
    <w:rsid w:val="00B026B8"/>
    <w:rsid w:val="00B02EB3"/>
    <w:rsid w:val="00B02F7C"/>
    <w:rsid w:val="00B02FCB"/>
    <w:rsid w:val="00B033F8"/>
    <w:rsid w:val="00B0343B"/>
    <w:rsid w:val="00B03C1E"/>
    <w:rsid w:val="00B04400"/>
    <w:rsid w:val="00B04835"/>
    <w:rsid w:val="00B05A55"/>
    <w:rsid w:val="00B05DE1"/>
    <w:rsid w:val="00B06595"/>
    <w:rsid w:val="00B06862"/>
    <w:rsid w:val="00B10109"/>
    <w:rsid w:val="00B1085E"/>
    <w:rsid w:val="00B10FD1"/>
    <w:rsid w:val="00B112D5"/>
    <w:rsid w:val="00B11378"/>
    <w:rsid w:val="00B1219D"/>
    <w:rsid w:val="00B12735"/>
    <w:rsid w:val="00B12F44"/>
    <w:rsid w:val="00B12FBB"/>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37E65"/>
    <w:rsid w:val="00B4046F"/>
    <w:rsid w:val="00B406B3"/>
    <w:rsid w:val="00B40A36"/>
    <w:rsid w:val="00B41BCA"/>
    <w:rsid w:val="00B41D39"/>
    <w:rsid w:val="00B422C0"/>
    <w:rsid w:val="00B426CA"/>
    <w:rsid w:val="00B426E1"/>
    <w:rsid w:val="00B43718"/>
    <w:rsid w:val="00B4387A"/>
    <w:rsid w:val="00B44746"/>
    <w:rsid w:val="00B44854"/>
    <w:rsid w:val="00B44BA5"/>
    <w:rsid w:val="00B458D0"/>
    <w:rsid w:val="00B4792C"/>
    <w:rsid w:val="00B50CAE"/>
    <w:rsid w:val="00B512AD"/>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663B"/>
    <w:rsid w:val="00B771F4"/>
    <w:rsid w:val="00B7762A"/>
    <w:rsid w:val="00B777FA"/>
    <w:rsid w:val="00B77850"/>
    <w:rsid w:val="00B7796B"/>
    <w:rsid w:val="00B80C72"/>
    <w:rsid w:val="00B8101E"/>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1D07"/>
    <w:rsid w:val="00BA20B6"/>
    <w:rsid w:val="00BA20D8"/>
    <w:rsid w:val="00BA22FC"/>
    <w:rsid w:val="00BA2C2A"/>
    <w:rsid w:val="00BA2F30"/>
    <w:rsid w:val="00BA3982"/>
    <w:rsid w:val="00BA405F"/>
    <w:rsid w:val="00BA4771"/>
    <w:rsid w:val="00BA482B"/>
    <w:rsid w:val="00BA5027"/>
    <w:rsid w:val="00BA55E0"/>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B13"/>
    <w:rsid w:val="00BB7CD1"/>
    <w:rsid w:val="00BC0F33"/>
    <w:rsid w:val="00BC14A7"/>
    <w:rsid w:val="00BC17CC"/>
    <w:rsid w:val="00BC209F"/>
    <w:rsid w:val="00BC24AD"/>
    <w:rsid w:val="00BC2898"/>
    <w:rsid w:val="00BC2928"/>
    <w:rsid w:val="00BC29BD"/>
    <w:rsid w:val="00BC2BB1"/>
    <w:rsid w:val="00BC30B3"/>
    <w:rsid w:val="00BC34A3"/>
    <w:rsid w:val="00BC3DD4"/>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D73"/>
    <w:rsid w:val="00BE7257"/>
    <w:rsid w:val="00BF020D"/>
    <w:rsid w:val="00BF0532"/>
    <w:rsid w:val="00BF0609"/>
    <w:rsid w:val="00BF0B32"/>
    <w:rsid w:val="00BF0EE8"/>
    <w:rsid w:val="00BF10ED"/>
    <w:rsid w:val="00BF1DD2"/>
    <w:rsid w:val="00BF23A3"/>
    <w:rsid w:val="00BF2A7E"/>
    <w:rsid w:val="00BF3331"/>
    <w:rsid w:val="00BF3A45"/>
    <w:rsid w:val="00BF436F"/>
    <w:rsid w:val="00BF5C05"/>
    <w:rsid w:val="00BF6A12"/>
    <w:rsid w:val="00BF6FC6"/>
    <w:rsid w:val="00BF775D"/>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4F1B"/>
    <w:rsid w:val="00C052C6"/>
    <w:rsid w:val="00C05A61"/>
    <w:rsid w:val="00C05FBA"/>
    <w:rsid w:val="00C05FEE"/>
    <w:rsid w:val="00C066B4"/>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7F7"/>
    <w:rsid w:val="00C16DCE"/>
    <w:rsid w:val="00C176D5"/>
    <w:rsid w:val="00C17D24"/>
    <w:rsid w:val="00C2082C"/>
    <w:rsid w:val="00C20EB0"/>
    <w:rsid w:val="00C21004"/>
    <w:rsid w:val="00C21005"/>
    <w:rsid w:val="00C2186B"/>
    <w:rsid w:val="00C218DF"/>
    <w:rsid w:val="00C21F0C"/>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490"/>
    <w:rsid w:val="00C27D37"/>
    <w:rsid w:val="00C309E8"/>
    <w:rsid w:val="00C30C6E"/>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8A2"/>
    <w:rsid w:val="00C439BE"/>
    <w:rsid w:val="00C43E53"/>
    <w:rsid w:val="00C44E99"/>
    <w:rsid w:val="00C451B2"/>
    <w:rsid w:val="00C4539B"/>
    <w:rsid w:val="00C45466"/>
    <w:rsid w:val="00C455C1"/>
    <w:rsid w:val="00C4581D"/>
    <w:rsid w:val="00C47472"/>
    <w:rsid w:val="00C47F18"/>
    <w:rsid w:val="00C500F0"/>
    <w:rsid w:val="00C504A7"/>
    <w:rsid w:val="00C506C9"/>
    <w:rsid w:val="00C50A16"/>
    <w:rsid w:val="00C51C9A"/>
    <w:rsid w:val="00C52C68"/>
    <w:rsid w:val="00C52D98"/>
    <w:rsid w:val="00C52DA1"/>
    <w:rsid w:val="00C53508"/>
    <w:rsid w:val="00C53D24"/>
    <w:rsid w:val="00C54640"/>
    <w:rsid w:val="00C547A6"/>
    <w:rsid w:val="00C54A3A"/>
    <w:rsid w:val="00C55C32"/>
    <w:rsid w:val="00C56A67"/>
    <w:rsid w:val="00C56CC2"/>
    <w:rsid w:val="00C56D8D"/>
    <w:rsid w:val="00C57498"/>
    <w:rsid w:val="00C5763C"/>
    <w:rsid w:val="00C5780C"/>
    <w:rsid w:val="00C5796B"/>
    <w:rsid w:val="00C57C64"/>
    <w:rsid w:val="00C6031F"/>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528"/>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065"/>
    <w:rsid w:val="00C946CC"/>
    <w:rsid w:val="00C959BD"/>
    <w:rsid w:val="00C95DFE"/>
    <w:rsid w:val="00C95F44"/>
    <w:rsid w:val="00C96331"/>
    <w:rsid w:val="00C96D1B"/>
    <w:rsid w:val="00C97106"/>
    <w:rsid w:val="00C978D4"/>
    <w:rsid w:val="00CA0031"/>
    <w:rsid w:val="00CA0413"/>
    <w:rsid w:val="00CA043A"/>
    <w:rsid w:val="00CA0E51"/>
    <w:rsid w:val="00CA1691"/>
    <w:rsid w:val="00CA2EB5"/>
    <w:rsid w:val="00CA41E7"/>
    <w:rsid w:val="00CA4A99"/>
    <w:rsid w:val="00CA4CCC"/>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5A5"/>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687"/>
    <w:rsid w:val="00D11807"/>
    <w:rsid w:val="00D11DB3"/>
    <w:rsid w:val="00D12D82"/>
    <w:rsid w:val="00D12F77"/>
    <w:rsid w:val="00D1306E"/>
    <w:rsid w:val="00D130B7"/>
    <w:rsid w:val="00D134CD"/>
    <w:rsid w:val="00D1401E"/>
    <w:rsid w:val="00D14B5F"/>
    <w:rsid w:val="00D14E13"/>
    <w:rsid w:val="00D14F23"/>
    <w:rsid w:val="00D160F6"/>
    <w:rsid w:val="00D165EE"/>
    <w:rsid w:val="00D16740"/>
    <w:rsid w:val="00D16A8B"/>
    <w:rsid w:val="00D16E39"/>
    <w:rsid w:val="00D171DE"/>
    <w:rsid w:val="00D172A4"/>
    <w:rsid w:val="00D175B2"/>
    <w:rsid w:val="00D17951"/>
    <w:rsid w:val="00D17AD8"/>
    <w:rsid w:val="00D2104A"/>
    <w:rsid w:val="00D21A58"/>
    <w:rsid w:val="00D21BB5"/>
    <w:rsid w:val="00D21FFC"/>
    <w:rsid w:val="00D223B6"/>
    <w:rsid w:val="00D223E8"/>
    <w:rsid w:val="00D224E1"/>
    <w:rsid w:val="00D22BDD"/>
    <w:rsid w:val="00D22DC8"/>
    <w:rsid w:val="00D2477B"/>
    <w:rsid w:val="00D2522A"/>
    <w:rsid w:val="00D2531C"/>
    <w:rsid w:val="00D25428"/>
    <w:rsid w:val="00D2553E"/>
    <w:rsid w:val="00D2587F"/>
    <w:rsid w:val="00D26DE7"/>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DB0"/>
    <w:rsid w:val="00D40DBF"/>
    <w:rsid w:val="00D41093"/>
    <w:rsid w:val="00D41858"/>
    <w:rsid w:val="00D41EEB"/>
    <w:rsid w:val="00D422DB"/>
    <w:rsid w:val="00D42AC2"/>
    <w:rsid w:val="00D43423"/>
    <w:rsid w:val="00D4498E"/>
    <w:rsid w:val="00D4515F"/>
    <w:rsid w:val="00D451E8"/>
    <w:rsid w:val="00D466C9"/>
    <w:rsid w:val="00D47275"/>
    <w:rsid w:val="00D500ED"/>
    <w:rsid w:val="00D50DB9"/>
    <w:rsid w:val="00D517F6"/>
    <w:rsid w:val="00D51AB7"/>
    <w:rsid w:val="00D51E15"/>
    <w:rsid w:val="00D52B7E"/>
    <w:rsid w:val="00D52E2F"/>
    <w:rsid w:val="00D52F59"/>
    <w:rsid w:val="00D53445"/>
    <w:rsid w:val="00D53E3E"/>
    <w:rsid w:val="00D54620"/>
    <w:rsid w:val="00D55904"/>
    <w:rsid w:val="00D55DFF"/>
    <w:rsid w:val="00D5614E"/>
    <w:rsid w:val="00D5616F"/>
    <w:rsid w:val="00D56E27"/>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1B68"/>
    <w:rsid w:val="00D728F5"/>
    <w:rsid w:val="00D72E9D"/>
    <w:rsid w:val="00D73249"/>
    <w:rsid w:val="00D73419"/>
    <w:rsid w:val="00D73881"/>
    <w:rsid w:val="00D73CA9"/>
    <w:rsid w:val="00D751B7"/>
    <w:rsid w:val="00D7524B"/>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A7D"/>
    <w:rsid w:val="00D82B57"/>
    <w:rsid w:val="00D82CE5"/>
    <w:rsid w:val="00D831E3"/>
    <w:rsid w:val="00D8342C"/>
    <w:rsid w:val="00D83D08"/>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6594"/>
    <w:rsid w:val="00D967CB"/>
    <w:rsid w:val="00D968D4"/>
    <w:rsid w:val="00D96E12"/>
    <w:rsid w:val="00D96EE0"/>
    <w:rsid w:val="00D97BD1"/>
    <w:rsid w:val="00D97EF0"/>
    <w:rsid w:val="00DA00C3"/>
    <w:rsid w:val="00DA01E9"/>
    <w:rsid w:val="00DA06B8"/>
    <w:rsid w:val="00DA14A9"/>
    <w:rsid w:val="00DA286D"/>
    <w:rsid w:val="00DA2969"/>
    <w:rsid w:val="00DA29B7"/>
    <w:rsid w:val="00DA2E5F"/>
    <w:rsid w:val="00DA337C"/>
    <w:rsid w:val="00DA36B3"/>
    <w:rsid w:val="00DA422F"/>
    <w:rsid w:val="00DA4842"/>
    <w:rsid w:val="00DA4C97"/>
    <w:rsid w:val="00DA5989"/>
    <w:rsid w:val="00DA5AB1"/>
    <w:rsid w:val="00DA5F9D"/>
    <w:rsid w:val="00DA6719"/>
    <w:rsid w:val="00DA69B2"/>
    <w:rsid w:val="00DA7462"/>
    <w:rsid w:val="00DA7AD0"/>
    <w:rsid w:val="00DB02D7"/>
    <w:rsid w:val="00DB03CC"/>
    <w:rsid w:val="00DB03F3"/>
    <w:rsid w:val="00DB12D4"/>
    <w:rsid w:val="00DB14F0"/>
    <w:rsid w:val="00DB1745"/>
    <w:rsid w:val="00DB19BB"/>
    <w:rsid w:val="00DB1A00"/>
    <w:rsid w:val="00DB1AFF"/>
    <w:rsid w:val="00DB219A"/>
    <w:rsid w:val="00DB244C"/>
    <w:rsid w:val="00DB3024"/>
    <w:rsid w:val="00DB3165"/>
    <w:rsid w:val="00DB387B"/>
    <w:rsid w:val="00DB4292"/>
    <w:rsid w:val="00DB4DF0"/>
    <w:rsid w:val="00DB5023"/>
    <w:rsid w:val="00DB6E46"/>
    <w:rsid w:val="00DB7117"/>
    <w:rsid w:val="00DB7760"/>
    <w:rsid w:val="00DB7DD4"/>
    <w:rsid w:val="00DC00B4"/>
    <w:rsid w:val="00DC0954"/>
    <w:rsid w:val="00DC0DF8"/>
    <w:rsid w:val="00DC15BA"/>
    <w:rsid w:val="00DC18CD"/>
    <w:rsid w:val="00DC1A68"/>
    <w:rsid w:val="00DC30B8"/>
    <w:rsid w:val="00DC478F"/>
    <w:rsid w:val="00DC50AA"/>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D7FBE"/>
    <w:rsid w:val="00DE0159"/>
    <w:rsid w:val="00DE064A"/>
    <w:rsid w:val="00DE082D"/>
    <w:rsid w:val="00DE1410"/>
    <w:rsid w:val="00DE20C6"/>
    <w:rsid w:val="00DE3119"/>
    <w:rsid w:val="00DE3C24"/>
    <w:rsid w:val="00DE3FF0"/>
    <w:rsid w:val="00DE4105"/>
    <w:rsid w:val="00DE4BEA"/>
    <w:rsid w:val="00DE4E67"/>
    <w:rsid w:val="00DE5189"/>
    <w:rsid w:val="00DE7108"/>
    <w:rsid w:val="00DE78D1"/>
    <w:rsid w:val="00DE78FF"/>
    <w:rsid w:val="00DE7C6E"/>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E49"/>
    <w:rsid w:val="00E31A4A"/>
    <w:rsid w:val="00E3212A"/>
    <w:rsid w:val="00E3344A"/>
    <w:rsid w:val="00E33B29"/>
    <w:rsid w:val="00E33B62"/>
    <w:rsid w:val="00E3403D"/>
    <w:rsid w:val="00E344BD"/>
    <w:rsid w:val="00E34548"/>
    <w:rsid w:val="00E34E6C"/>
    <w:rsid w:val="00E353E2"/>
    <w:rsid w:val="00E36345"/>
    <w:rsid w:val="00E36C86"/>
    <w:rsid w:val="00E36CEB"/>
    <w:rsid w:val="00E37A28"/>
    <w:rsid w:val="00E400C7"/>
    <w:rsid w:val="00E40189"/>
    <w:rsid w:val="00E40430"/>
    <w:rsid w:val="00E40690"/>
    <w:rsid w:val="00E40AEB"/>
    <w:rsid w:val="00E40E82"/>
    <w:rsid w:val="00E40FB8"/>
    <w:rsid w:val="00E41141"/>
    <w:rsid w:val="00E4143A"/>
    <w:rsid w:val="00E420B7"/>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513"/>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5C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3F3"/>
    <w:rsid w:val="00E8556F"/>
    <w:rsid w:val="00E86556"/>
    <w:rsid w:val="00E86D35"/>
    <w:rsid w:val="00E86DC2"/>
    <w:rsid w:val="00E86E32"/>
    <w:rsid w:val="00E86F2E"/>
    <w:rsid w:val="00E8732E"/>
    <w:rsid w:val="00E879C7"/>
    <w:rsid w:val="00E90067"/>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87"/>
    <w:rsid w:val="00EC04F7"/>
    <w:rsid w:val="00EC05E2"/>
    <w:rsid w:val="00EC0E84"/>
    <w:rsid w:val="00EC16E2"/>
    <w:rsid w:val="00EC1CE7"/>
    <w:rsid w:val="00EC1DAE"/>
    <w:rsid w:val="00EC224E"/>
    <w:rsid w:val="00EC26F1"/>
    <w:rsid w:val="00EC33A8"/>
    <w:rsid w:val="00EC3ABE"/>
    <w:rsid w:val="00EC3BA2"/>
    <w:rsid w:val="00EC3C94"/>
    <w:rsid w:val="00EC4277"/>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39AC"/>
    <w:rsid w:val="00ED43A2"/>
    <w:rsid w:val="00ED4967"/>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41AA"/>
    <w:rsid w:val="00EE5454"/>
    <w:rsid w:val="00EE59B5"/>
    <w:rsid w:val="00EE5FB7"/>
    <w:rsid w:val="00EE6783"/>
    <w:rsid w:val="00EE678B"/>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986"/>
    <w:rsid w:val="00F04ECA"/>
    <w:rsid w:val="00F04F8B"/>
    <w:rsid w:val="00F06CA4"/>
    <w:rsid w:val="00F06E19"/>
    <w:rsid w:val="00F06F84"/>
    <w:rsid w:val="00F0749E"/>
    <w:rsid w:val="00F076E7"/>
    <w:rsid w:val="00F07A86"/>
    <w:rsid w:val="00F07AA1"/>
    <w:rsid w:val="00F105AE"/>
    <w:rsid w:val="00F10618"/>
    <w:rsid w:val="00F10E7D"/>
    <w:rsid w:val="00F1108B"/>
    <w:rsid w:val="00F114FA"/>
    <w:rsid w:val="00F11768"/>
    <w:rsid w:val="00F11951"/>
    <w:rsid w:val="00F12262"/>
    <w:rsid w:val="00F12564"/>
    <w:rsid w:val="00F128D9"/>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2810"/>
    <w:rsid w:val="00F23113"/>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2356"/>
    <w:rsid w:val="00F32F80"/>
    <w:rsid w:val="00F3399B"/>
    <w:rsid w:val="00F33F4B"/>
    <w:rsid w:val="00F346ED"/>
    <w:rsid w:val="00F34945"/>
    <w:rsid w:val="00F34E1E"/>
    <w:rsid w:val="00F3570C"/>
    <w:rsid w:val="00F363A4"/>
    <w:rsid w:val="00F36765"/>
    <w:rsid w:val="00F368FF"/>
    <w:rsid w:val="00F37068"/>
    <w:rsid w:val="00F37E5F"/>
    <w:rsid w:val="00F37F3F"/>
    <w:rsid w:val="00F40190"/>
    <w:rsid w:val="00F40992"/>
    <w:rsid w:val="00F40F72"/>
    <w:rsid w:val="00F41596"/>
    <w:rsid w:val="00F41D8B"/>
    <w:rsid w:val="00F42121"/>
    <w:rsid w:val="00F424B3"/>
    <w:rsid w:val="00F428B1"/>
    <w:rsid w:val="00F428B4"/>
    <w:rsid w:val="00F4345D"/>
    <w:rsid w:val="00F4387B"/>
    <w:rsid w:val="00F45921"/>
    <w:rsid w:val="00F45B91"/>
    <w:rsid w:val="00F46639"/>
    <w:rsid w:val="00F47026"/>
    <w:rsid w:val="00F476FD"/>
    <w:rsid w:val="00F50183"/>
    <w:rsid w:val="00F50D92"/>
    <w:rsid w:val="00F51765"/>
    <w:rsid w:val="00F51A51"/>
    <w:rsid w:val="00F51BC6"/>
    <w:rsid w:val="00F51CB4"/>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6768"/>
    <w:rsid w:val="00F76C11"/>
    <w:rsid w:val="00F77021"/>
    <w:rsid w:val="00F770AB"/>
    <w:rsid w:val="00F77E61"/>
    <w:rsid w:val="00F80221"/>
    <w:rsid w:val="00F802B0"/>
    <w:rsid w:val="00F80A0A"/>
    <w:rsid w:val="00F80C81"/>
    <w:rsid w:val="00F815AC"/>
    <w:rsid w:val="00F82E28"/>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E53"/>
    <w:rsid w:val="00F87F18"/>
    <w:rsid w:val="00F87F37"/>
    <w:rsid w:val="00F87F68"/>
    <w:rsid w:val="00F90C4D"/>
    <w:rsid w:val="00F9165C"/>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817"/>
    <w:rsid w:val="00FA1DA2"/>
    <w:rsid w:val="00FA313F"/>
    <w:rsid w:val="00FA3414"/>
    <w:rsid w:val="00FA347A"/>
    <w:rsid w:val="00FA3CDE"/>
    <w:rsid w:val="00FA49B7"/>
    <w:rsid w:val="00FA5043"/>
    <w:rsid w:val="00FA60C1"/>
    <w:rsid w:val="00FA65A3"/>
    <w:rsid w:val="00FA66F9"/>
    <w:rsid w:val="00FA6BCA"/>
    <w:rsid w:val="00FA6F8B"/>
    <w:rsid w:val="00FA727C"/>
    <w:rsid w:val="00FA7A30"/>
    <w:rsid w:val="00FB033F"/>
    <w:rsid w:val="00FB0880"/>
    <w:rsid w:val="00FB12E3"/>
    <w:rsid w:val="00FB1570"/>
    <w:rsid w:val="00FB193B"/>
    <w:rsid w:val="00FB1FBC"/>
    <w:rsid w:val="00FB1FC2"/>
    <w:rsid w:val="00FB27B7"/>
    <w:rsid w:val="00FB35E3"/>
    <w:rsid w:val="00FB4743"/>
    <w:rsid w:val="00FB4C98"/>
    <w:rsid w:val="00FB4CE3"/>
    <w:rsid w:val="00FB583C"/>
    <w:rsid w:val="00FB630E"/>
    <w:rsid w:val="00FB6738"/>
    <w:rsid w:val="00FB691B"/>
    <w:rsid w:val="00FB6BE6"/>
    <w:rsid w:val="00FB731C"/>
    <w:rsid w:val="00FB7628"/>
    <w:rsid w:val="00FC0363"/>
    <w:rsid w:val="00FC05A0"/>
    <w:rsid w:val="00FC0811"/>
    <w:rsid w:val="00FC09B3"/>
    <w:rsid w:val="00FC0ED2"/>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E8C"/>
    <w:rsid w:val="00FE24F4"/>
    <w:rsid w:val="00FE2560"/>
    <w:rsid w:val="00FE35D0"/>
    <w:rsid w:val="00FE42ED"/>
    <w:rsid w:val="00FE4E06"/>
    <w:rsid w:val="00FE55A7"/>
    <w:rsid w:val="00FE5C5A"/>
    <w:rsid w:val="00FE601E"/>
    <w:rsid w:val="00FE6432"/>
    <w:rsid w:val="00FE72A0"/>
    <w:rsid w:val="00FF0050"/>
    <w:rsid w:val="00FF045F"/>
    <w:rsid w:val="00FF0816"/>
    <w:rsid w:val="00FF13D4"/>
    <w:rsid w:val="00FF2053"/>
    <w:rsid w:val="00FF3B37"/>
    <w:rsid w:val="00FF3CC7"/>
    <w:rsid w:val="00FF3D6F"/>
    <w:rsid w:val="00FF441A"/>
    <w:rsid w:val="00FF44D7"/>
    <w:rsid w:val="00FF4BD8"/>
    <w:rsid w:val="00FF4D11"/>
    <w:rsid w:val="00FF5214"/>
    <w:rsid w:val="00FF54D1"/>
    <w:rsid w:val="00FF596E"/>
    <w:rsid w:val="00FF5B59"/>
    <w:rsid w:val="00FF5BFD"/>
    <w:rsid w:val="00FF6095"/>
    <w:rsid w:val="00FF62FE"/>
    <w:rsid w:val="00FF6553"/>
    <w:rsid w:val="00FF70BD"/>
    <w:rsid w:val="00FF712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76127">
      <w:bodyDiv w:val="1"/>
      <w:marLeft w:val="0"/>
      <w:marRight w:val="0"/>
      <w:marTop w:val="0"/>
      <w:marBottom w:val="0"/>
      <w:divBdr>
        <w:top w:val="none" w:sz="0" w:space="0" w:color="auto"/>
        <w:left w:val="none" w:sz="0" w:space="0" w:color="auto"/>
        <w:bottom w:val="none" w:sz="0" w:space="0" w:color="auto"/>
        <w:right w:val="none" w:sz="0" w:space="0" w:color="auto"/>
      </w:divBdr>
      <w:divsChild>
        <w:div w:id="194925050">
          <w:marLeft w:val="0"/>
          <w:marRight w:val="0"/>
          <w:marTop w:val="0"/>
          <w:marBottom w:val="0"/>
          <w:divBdr>
            <w:top w:val="none" w:sz="0" w:space="0" w:color="auto"/>
            <w:left w:val="none" w:sz="0" w:space="0" w:color="auto"/>
            <w:bottom w:val="none" w:sz="0" w:space="0" w:color="auto"/>
            <w:right w:val="none" w:sz="0" w:space="0" w:color="auto"/>
          </w:divBdr>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58756519">
      <w:bodyDiv w:val="1"/>
      <w:marLeft w:val="0"/>
      <w:marRight w:val="0"/>
      <w:marTop w:val="0"/>
      <w:marBottom w:val="0"/>
      <w:divBdr>
        <w:top w:val="none" w:sz="0" w:space="0" w:color="auto"/>
        <w:left w:val="none" w:sz="0" w:space="0" w:color="auto"/>
        <w:bottom w:val="none" w:sz="0" w:space="0" w:color="auto"/>
        <w:right w:val="none" w:sz="0" w:space="0" w:color="auto"/>
      </w:divBdr>
      <w:divsChild>
        <w:div w:id="846481954">
          <w:marLeft w:val="0"/>
          <w:marRight w:val="0"/>
          <w:marTop w:val="0"/>
          <w:marBottom w:val="0"/>
          <w:divBdr>
            <w:top w:val="none" w:sz="0" w:space="0" w:color="auto"/>
            <w:left w:val="none" w:sz="0" w:space="0" w:color="auto"/>
            <w:bottom w:val="none" w:sz="0" w:space="0" w:color="auto"/>
            <w:right w:val="none" w:sz="0" w:space="0" w:color="auto"/>
          </w:divBdr>
          <w:divsChild>
            <w:div w:id="1949779267">
              <w:marLeft w:val="0"/>
              <w:marRight w:val="0"/>
              <w:marTop w:val="0"/>
              <w:marBottom w:val="0"/>
              <w:divBdr>
                <w:top w:val="none" w:sz="0" w:space="0" w:color="auto"/>
                <w:left w:val="none" w:sz="0" w:space="0" w:color="auto"/>
                <w:bottom w:val="none" w:sz="0" w:space="0" w:color="auto"/>
                <w:right w:val="none" w:sz="0" w:space="0" w:color="auto"/>
              </w:divBdr>
              <w:divsChild>
                <w:div w:id="10119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24</TotalTime>
  <Pages>16</Pages>
  <Words>6358</Words>
  <Characters>34970</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23</cp:revision>
  <cp:lastPrinted>2020-01-30T15:05:00Z</cp:lastPrinted>
  <dcterms:created xsi:type="dcterms:W3CDTF">2021-03-11T21:41:00Z</dcterms:created>
  <dcterms:modified xsi:type="dcterms:W3CDTF">2021-03-12T13:20:00Z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