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A91786" w14:textId="77777777" w:rsidR="0018665E" w:rsidRPr="007A62CA" w:rsidRDefault="0018665E" w:rsidP="0018665E">
      <w:pPr>
        <w:spacing w:after="0" w:line="240" w:lineRule="auto"/>
        <w:contextualSpacing/>
        <w:jc w:val="both"/>
        <w:rPr>
          <w:rFonts w:ascii="Arial" w:eastAsia="Arial" w:hAnsi="Arial" w:cs="Arial"/>
          <w:b/>
          <w:bCs/>
        </w:rPr>
      </w:pPr>
      <w:bookmarkStart w:id="0" w:name="_Hlk97552212"/>
      <w:r w:rsidRPr="007A62CA">
        <w:rPr>
          <w:rFonts w:ascii="Arial" w:eastAsia="Arial" w:hAnsi="Arial" w:cs="Arial"/>
          <w:b/>
          <w:bCs/>
        </w:rPr>
        <w:t>CAPACIDAD RESIDUAL – Concepto</w:t>
      </w:r>
    </w:p>
    <w:p w14:paraId="75F841F3" w14:textId="77777777" w:rsidR="0018665E" w:rsidRPr="007A62CA" w:rsidRDefault="0018665E" w:rsidP="0018665E">
      <w:pPr>
        <w:spacing w:after="0" w:line="240" w:lineRule="auto"/>
        <w:contextualSpacing/>
        <w:jc w:val="both"/>
        <w:rPr>
          <w:rFonts w:ascii="Arial" w:eastAsia="Arial" w:hAnsi="Arial" w:cs="Arial"/>
          <w:sz w:val="20"/>
          <w:szCs w:val="20"/>
        </w:rPr>
      </w:pPr>
    </w:p>
    <w:p w14:paraId="5006F20D" w14:textId="77777777" w:rsidR="0018665E" w:rsidRPr="007A62CA" w:rsidRDefault="0018665E" w:rsidP="0018665E">
      <w:pPr>
        <w:spacing w:after="0" w:line="240" w:lineRule="auto"/>
        <w:contextualSpacing/>
        <w:jc w:val="both"/>
        <w:rPr>
          <w:rFonts w:ascii="Arial" w:eastAsia="Arial" w:hAnsi="Arial" w:cs="Arial"/>
          <w:sz w:val="20"/>
          <w:szCs w:val="20"/>
        </w:rPr>
      </w:pPr>
      <w:r w:rsidRPr="007A62CA">
        <w:rPr>
          <w:rFonts w:ascii="Arial" w:eastAsia="Arial" w:hAnsi="Arial" w:cs="Arial"/>
          <w:sz w:val="20"/>
          <w:szCs w:val="20"/>
        </w:rPr>
        <w:t>La capacidad residual es una aptitud que se le exige a los oferentes en los procesos de selección de contratistas con el objetivo de establecer o determinar si éstos pueden o no cumplir de manera oportuna y a cabalidad con las obligaciones derivadas del contrato de obra pública, sin que los demás compromisos contractuales que hubieran adquirido afecten su capacidad para cumplir con el objeto del contrato que está en proceso de selección.</w:t>
      </w:r>
    </w:p>
    <w:p w14:paraId="3580B06B" w14:textId="77777777" w:rsidR="0018665E" w:rsidRPr="00FB7C66" w:rsidRDefault="0018665E" w:rsidP="0018665E">
      <w:pPr>
        <w:spacing w:after="0" w:line="240" w:lineRule="auto"/>
        <w:contextualSpacing/>
        <w:jc w:val="both"/>
        <w:rPr>
          <w:rFonts w:ascii="Arial" w:eastAsia="Arial" w:hAnsi="Arial" w:cs="Arial"/>
          <w:sz w:val="20"/>
          <w:szCs w:val="20"/>
        </w:rPr>
      </w:pPr>
    </w:p>
    <w:p w14:paraId="24FCCE97" w14:textId="77777777" w:rsidR="0018665E" w:rsidRPr="007A62CA" w:rsidRDefault="0018665E" w:rsidP="0018665E">
      <w:pPr>
        <w:spacing w:after="0" w:line="240" w:lineRule="auto"/>
        <w:contextualSpacing/>
        <w:jc w:val="both"/>
        <w:rPr>
          <w:rFonts w:ascii="Arial" w:eastAsia="Arial" w:hAnsi="Arial" w:cs="Arial"/>
          <w:sz w:val="20"/>
          <w:szCs w:val="20"/>
        </w:rPr>
      </w:pPr>
      <w:r w:rsidRPr="007A62CA">
        <w:rPr>
          <w:rFonts w:ascii="Arial" w:eastAsia="Arial" w:hAnsi="Arial" w:cs="Arial"/>
          <w:sz w:val="20"/>
          <w:szCs w:val="20"/>
        </w:rPr>
        <w:t>Por su parte, esta Agencia, en los conceptos C-033 del 25 de marzo de 2021 y C-143 del 9 de abril de 2021, definió la capacidad residual como la suficiencia que se predica del proponente para asumir nuevas obligaciones que se derivan del contrato objeto del proceso de contratación, en relación con las obligaciones que ha adquirido simultáneamente en contratos ya perfeccionados y en ejecución.</w:t>
      </w:r>
    </w:p>
    <w:p w14:paraId="118E48E8" w14:textId="77777777" w:rsidR="0018665E" w:rsidRPr="007A62CA" w:rsidRDefault="0018665E" w:rsidP="0018665E">
      <w:pPr>
        <w:spacing w:after="0" w:line="240" w:lineRule="auto"/>
        <w:contextualSpacing/>
        <w:jc w:val="both"/>
        <w:rPr>
          <w:rFonts w:ascii="Arial" w:eastAsia="Arial" w:hAnsi="Arial" w:cs="Arial"/>
          <w:sz w:val="20"/>
          <w:szCs w:val="20"/>
        </w:rPr>
      </w:pPr>
    </w:p>
    <w:p w14:paraId="1A8F9BCA" w14:textId="77777777" w:rsidR="0018665E" w:rsidRPr="007A62CA" w:rsidRDefault="0018665E" w:rsidP="0018665E">
      <w:pPr>
        <w:spacing w:after="0" w:line="240" w:lineRule="auto"/>
        <w:contextualSpacing/>
        <w:jc w:val="both"/>
        <w:rPr>
          <w:rFonts w:ascii="Arial" w:eastAsia="Arial" w:hAnsi="Arial" w:cs="Arial"/>
          <w:sz w:val="20"/>
          <w:szCs w:val="20"/>
        </w:rPr>
      </w:pPr>
      <w:r w:rsidRPr="007A62CA">
        <w:rPr>
          <w:rFonts w:ascii="Arial" w:eastAsia="Arial" w:hAnsi="Arial" w:cs="Arial"/>
          <w:sz w:val="20"/>
          <w:szCs w:val="20"/>
        </w:rPr>
        <w:t xml:space="preserve">Del recuento realizado hasta aquí se concluye que la capacidad residual se entiende como la suficiencia que se predica del proponente para asumir y cumplir de manera oportuna y a cabalidad con las nuevas obligaciones que se derivan del contrato objeto del proceso de contratación, en relación con las obligaciones que ha adquirido simultáneamente en otros contratos. Así mismo, de acuerdo con la reglamentación vigente, para su cálculo se tienen en cuenta solamente los contratos de obras civiles, por lo cual, el interesado deberá aportar únicamente los documentos de los contratos en ejecución de este tipo. </w:t>
      </w:r>
    </w:p>
    <w:p w14:paraId="12584E01" w14:textId="77777777" w:rsidR="0018665E" w:rsidRPr="007A62CA" w:rsidRDefault="0018665E" w:rsidP="0018665E">
      <w:pPr>
        <w:spacing w:after="0" w:line="240" w:lineRule="auto"/>
        <w:contextualSpacing/>
        <w:jc w:val="both"/>
        <w:rPr>
          <w:rFonts w:ascii="Arial" w:eastAsia="Arial" w:hAnsi="Arial" w:cs="Arial"/>
          <w:sz w:val="20"/>
          <w:szCs w:val="20"/>
        </w:rPr>
      </w:pPr>
    </w:p>
    <w:p w14:paraId="60B549FD" w14:textId="77777777" w:rsidR="0018665E" w:rsidRPr="007A62CA" w:rsidRDefault="0018665E" w:rsidP="0018665E">
      <w:pPr>
        <w:spacing w:after="0" w:line="240" w:lineRule="auto"/>
        <w:contextualSpacing/>
        <w:jc w:val="both"/>
        <w:rPr>
          <w:rFonts w:ascii="Arial" w:eastAsia="Arial" w:hAnsi="Arial" w:cs="Arial"/>
          <w:b/>
          <w:bCs/>
        </w:rPr>
      </w:pPr>
      <w:r w:rsidRPr="007A62CA">
        <w:rPr>
          <w:rFonts w:ascii="Arial" w:eastAsia="Arial" w:hAnsi="Arial" w:cs="Arial"/>
          <w:b/>
          <w:bCs/>
        </w:rPr>
        <w:t>CÁLCULO DE LA CAPACIDAD RESIDUAL – Documentos requeridos - Cálculo</w:t>
      </w:r>
    </w:p>
    <w:p w14:paraId="25E44FA5" w14:textId="77777777" w:rsidR="0018665E" w:rsidRPr="007A62CA" w:rsidRDefault="0018665E" w:rsidP="0018665E">
      <w:pPr>
        <w:spacing w:after="0" w:line="240" w:lineRule="auto"/>
        <w:contextualSpacing/>
        <w:jc w:val="both"/>
        <w:rPr>
          <w:rFonts w:ascii="Arial" w:eastAsia="Arial" w:hAnsi="Arial" w:cs="Arial"/>
          <w:sz w:val="20"/>
          <w:szCs w:val="20"/>
        </w:rPr>
      </w:pPr>
      <w:r w:rsidRPr="007A62CA">
        <w:rPr>
          <w:rFonts w:ascii="Arial" w:eastAsia="Arial" w:hAnsi="Arial" w:cs="Arial"/>
          <w:sz w:val="20"/>
          <w:szCs w:val="20"/>
        </w:rPr>
        <w:t xml:space="preserve"> </w:t>
      </w:r>
    </w:p>
    <w:p w14:paraId="42D03386" w14:textId="77777777" w:rsidR="0018665E" w:rsidRPr="007A62CA" w:rsidRDefault="0018665E" w:rsidP="0018665E">
      <w:pPr>
        <w:spacing w:after="0" w:line="240" w:lineRule="auto"/>
        <w:contextualSpacing/>
        <w:jc w:val="both"/>
        <w:rPr>
          <w:rFonts w:ascii="Arial" w:eastAsia="Arial" w:hAnsi="Arial" w:cs="Arial"/>
          <w:sz w:val="20"/>
          <w:szCs w:val="20"/>
        </w:rPr>
      </w:pPr>
      <w:r w:rsidRPr="007A62CA">
        <w:rPr>
          <w:rFonts w:ascii="Arial" w:eastAsia="Arial" w:hAnsi="Arial" w:cs="Arial"/>
          <w:sz w:val="20"/>
          <w:szCs w:val="20"/>
        </w:rPr>
        <w:t xml:space="preserve">El artículo 2.2.1.1.1.6.4 del Decreto 1082 de 2015 dispuso que las entidades estatales deben calcular la capacidad residual conforme a la metodología definida por Colombia Compre Eficiente y precisó que, para tales fines, resulta necesario tener en cuenta los factores de: i) experiencia; </w:t>
      </w:r>
      <w:proofErr w:type="spellStart"/>
      <w:r w:rsidRPr="007A62CA">
        <w:rPr>
          <w:rFonts w:ascii="Arial" w:eastAsia="Arial" w:hAnsi="Arial" w:cs="Arial"/>
          <w:sz w:val="20"/>
          <w:szCs w:val="20"/>
        </w:rPr>
        <w:t>ii</w:t>
      </w:r>
      <w:proofErr w:type="spellEnd"/>
      <w:r w:rsidRPr="007A62CA">
        <w:rPr>
          <w:rFonts w:ascii="Arial" w:eastAsia="Arial" w:hAnsi="Arial" w:cs="Arial"/>
          <w:sz w:val="20"/>
          <w:szCs w:val="20"/>
        </w:rPr>
        <w:t xml:space="preserve">) capacidad financiera; </w:t>
      </w:r>
      <w:proofErr w:type="spellStart"/>
      <w:r w:rsidRPr="007A62CA">
        <w:rPr>
          <w:rFonts w:ascii="Arial" w:eastAsia="Arial" w:hAnsi="Arial" w:cs="Arial"/>
          <w:sz w:val="20"/>
          <w:szCs w:val="20"/>
        </w:rPr>
        <w:t>iii</w:t>
      </w:r>
      <w:proofErr w:type="spellEnd"/>
      <w:r w:rsidRPr="007A62CA">
        <w:rPr>
          <w:rFonts w:ascii="Arial" w:eastAsia="Arial" w:hAnsi="Arial" w:cs="Arial"/>
          <w:sz w:val="20"/>
          <w:szCs w:val="20"/>
        </w:rPr>
        <w:t xml:space="preserve">) capacidad técnica; </w:t>
      </w:r>
      <w:proofErr w:type="spellStart"/>
      <w:r w:rsidRPr="007A62CA">
        <w:rPr>
          <w:rFonts w:ascii="Arial" w:eastAsia="Arial" w:hAnsi="Arial" w:cs="Arial"/>
          <w:sz w:val="20"/>
          <w:szCs w:val="20"/>
        </w:rPr>
        <w:t>iv</w:t>
      </w:r>
      <w:proofErr w:type="spellEnd"/>
      <w:r w:rsidRPr="007A62CA">
        <w:rPr>
          <w:rFonts w:ascii="Arial" w:eastAsia="Arial" w:hAnsi="Arial" w:cs="Arial"/>
          <w:sz w:val="20"/>
          <w:szCs w:val="20"/>
        </w:rPr>
        <w:t>) capacidad de organización; y v) los saldos de los contratos en ejecución […]</w:t>
      </w:r>
    </w:p>
    <w:p w14:paraId="48557991" w14:textId="77777777" w:rsidR="0018665E" w:rsidRPr="007A62CA" w:rsidRDefault="0018665E" w:rsidP="0018665E">
      <w:pPr>
        <w:spacing w:after="0" w:line="240" w:lineRule="auto"/>
        <w:contextualSpacing/>
        <w:jc w:val="both"/>
        <w:rPr>
          <w:rFonts w:ascii="Arial" w:eastAsia="Arial" w:hAnsi="Arial" w:cs="Arial"/>
          <w:sz w:val="20"/>
          <w:szCs w:val="20"/>
        </w:rPr>
      </w:pPr>
    </w:p>
    <w:p w14:paraId="12257A02" w14:textId="25F3424C" w:rsidR="0018665E" w:rsidRPr="007A62CA" w:rsidRDefault="0018665E" w:rsidP="0018665E">
      <w:pPr>
        <w:spacing w:after="0" w:line="240" w:lineRule="auto"/>
        <w:contextualSpacing/>
        <w:jc w:val="both"/>
        <w:rPr>
          <w:rFonts w:ascii="Arial" w:eastAsia="Arial" w:hAnsi="Arial" w:cs="Arial"/>
          <w:sz w:val="20"/>
          <w:szCs w:val="20"/>
        </w:rPr>
      </w:pPr>
      <w:r w:rsidRPr="007A62CA">
        <w:rPr>
          <w:rFonts w:ascii="Arial" w:eastAsia="Arial" w:hAnsi="Arial" w:cs="Arial"/>
          <w:sz w:val="20"/>
          <w:szCs w:val="20"/>
        </w:rPr>
        <w:t xml:space="preserve">Así mismo, esta Agencia expidió la «Guía para Determinar y Verificar la </w:t>
      </w:r>
      <w:r w:rsidR="00422D9E">
        <w:rPr>
          <w:rFonts w:ascii="Arial" w:eastAsia="Arial" w:hAnsi="Arial" w:cs="Arial"/>
          <w:sz w:val="20"/>
          <w:szCs w:val="20"/>
        </w:rPr>
        <w:t>c</w:t>
      </w:r>
      <w:r w:rsidRPr="007A62CA">
        <w:rPr>
          <w:rFonts w:ascii="Arial" w:eastAsia="Arial" w:hAnsi="Arial" w:cs="Arial"/>
          <w:sz w:val="20"/>
          <w:szCs w:val="20"/>
        </w:rPr>
        <w:t xml:space="preserve">apacidad </w:t>
      </w:r>
      <w:r w:rsidR="00422D9E">
        <w:rPr>
          <w:rFonts w:ascii="Arial" w:eastAsia="Arial" w:hAnsi="Arial" w:cs="Arial"/>
          <w:sz w:val="20"/>
          <w:szCs w:val="20"/>
        </w:rPr>
        <w:t>r</w:t>
      </w:r>
      <w:r w:rsidRPr="007A62CA">
        <w:rPr>
          <w:rFonts w:ascii="Arial" w:eastAsia="Arial" w:hAnsi="Arial" w:cs="Arial"/>
          <w:sz w:val="20"/>
          <w:szCs w:val="20"/>
        </w:rPr>
        <w:t>esidual del Proponente en los Procesos de Contratación de Obra Pública», en la cual dispone, entre otras cuestiones, que a la entidad contratante le corresponde, primero, establecer la capacidad residual del proceso de contratación «CRPC» y, segundo, determinar si los proponentes cumplen con la capacidad residual del proceso de contratación […]</w:t>
      </w:r>
    </w:p>
    <w:p w14:paraId="42C65965" w14:textId="77777777" w:rsidR="0018665E" w:rsidRPr="007A62CA" w:rsidRDefault="0018665E" w:rsidP="0018665E">
      <w:pPr>
        <w:spacing w:after="0" w:line="240" w:lineRule="auto"/>
        <w:contextualSpacing/>
        <w:jc w:val="both"/>
        <w:rPr>
          <w:rFonts w:ascii="Arial" w:eastAsia="Arial" w:hAnsi="Arial" w:cs="Arial"/>
          <w:sz w:val="20"/>
          <w:szCs w:val="20"/>
        </w:rPr>
      </w:pPr>
    </w:p>
    <w:p w14:paraId="4E605A26" w14:textId="77777777" w:rsidR="0018665E" w:rsidRPr="007A62CA" w:rsidRDefault="0018665E" w:rsidP="0018665E">
      <w:pPr>
        <w:spacing w:after="0" w:line="240" w:lineRule="auto"/>
        <w:contextualSpacing/>
        <w:jc w:val="both"/>
        <w:rPr>
          <w:rFonts w:ascii="Arial" w:eastAsia="Arial" w:hAnsi="Arial" w:cs="Arial"/>
          <w:sz w:val="20"/>
          <w:szCs w:val="20"/>
        </w:rPr>
      </w:pPr>
      <w:r w:rsidRPr="007A62CA">
        <w:rPr>
          <w:rFonts w:ascii="Arial" w:eastAsia="Arial" w:hAnsi="Arial" w:cs="Arial"/>
          <w:sz w:val="20"/>
          <w:szCs w:val="20"/>
        </w:rPr>
        <w:t>Se observa que la guía expedida por esta Agencia para calcular la capacidad residual señala que el proponente debe allegar, entre otros documentos, los contratos en ejecución y define estos como aquellos contratos que a la fecha de presentación de la oferta obligan al proponente con entidades estatales y con entidades privadas para ejecutar «obras civiles».</w:t>
      </w:r>
    </w:p>
    <w:p w14:paraId="616F3134" w14:textId="77777777" w:rsidR="0018665E" w:rsidRPr="007A62CA" w:rsidRDefault="0018665E" w:rsidP="0018665E">
      <w:pPr>
        <w:spacing w:after="0" w:line="240" w:lineRule="auto"/>
        <w:contextualSpacing/>
        <w:jc w:val="both"/>
        <w:rPr>
          <w:rFonts w:ascii="Arial" w:eastAsia="Arial" w:hAnsi="Arial" w:cs="Arial"/>
          <w:sz w:val="20"/>
          <w:szCs w:val="20"/>
        </w:rPr>
      </w:pPr>
    </w:p>
    <w:p w14:paraId="01BF8A16" w14:textId="534219E9" w:rsidR="0018665E" w:rsidRPr="007A62CA" w:rsidRDefault="0018665E" w:rsidP="0018665E">
      <w:pPr>
        <w:spacing w:after="0" w:line="240" w:lineRule="auto"/>
        <w:contextualSpacing/>
        <w:jc w:val="both"/>
        <w:rPr>
          <w:rFonts w:ascii="Arial" w:eastAsia="Arial" w:hAnsi="Arial" w:cs="Arial"/>
          <w:b/>
          <w:bCs/>
        </w:rPr>
      </w:pPr>
      <w:r w:rsidRPr="007A62CA">
        <w:rPr>
          <w:rFonts w:ascii="Arial" w:eastAsia="Arial" w:hAnsi="Arial" w:cs="Arial"/>
          <w:b/>
          <w:bCs/>
        </w:rPr>
        <w:t>CAPACIDAD RESIDUAL – Documentos tipo – Licitación de</w:t>
      </w:r>
      <w:r w:rsidR="00FE2E15">
        <w:rPr>
          <w:rFonts w:ascii="Arial" w:eastAsia="Arial" w:hAnsi="Arial" w:cs="Arial"/>
          <w:b/>
          <w:bCs/>
        </w:rPr>
        <w:t xml:space="preserve"> Obra de</w:t>
      </w:r>
      <w:r w:rsidRPr="007A62CA">
        <w:rPr>
          <w:rFonts w:ascii="Arial" w:eastAsia="Arial" w:hAnsi="Arial" w:cs="Arial"/>
          <w:b/>
          <w:bCs/>
        </w:rPr>
        <w:t xml:space="preserve"> Infraestructura de Transporte </w:t>
      </w:r>
    </w:p>
    <w:p w14:paraId="2C211A93" w14:textId="77777777" w:rsidR="0018665E" w:rsidRPr="007A62CA" w:rsidRDefault="0018665E" w:rsidP="0018665E">
      <w:pPr>
        <w:spacing w:after="0" w:line="240" w:lineRule="auto"/>
        <w:contextualSpacing/>
        <w:jc w:val="both"/>
        <w:rPr>
          <w:rFonts w:ascii="Arial" w:eastAsia="Arial" w:hAnsi="Arial" w:cs="Arial"/>
          <w:sz w:val="20"/>
          <w:szCs w:val="20"/>
        </w:rPr>
      </w:pPr>
    </w:p>
    <w:p w14:paraId="0D05562B" w14:textId="373A9395" w:rsidR="0018665E" w:rsidRPr="007A62CA" w:rsidRDefault="0018665E" w:rsidP="0018665E">
      <w:pPr>
        <w:spacing w:after="0" w:line="240" w:lineRule="auto"/>
        <w:contextualSpacing/>
        <w:jc w:val="both"/>
        <w:rPr>
          <w:rFonts w:ascii="Arial" w:eastAsia="Arial" w:hAnsi="Arial" w:cs="Arial"/>
          <w:sz w:val="20"/>
          <w:szCs w:val="20"/>
        </w:rPr>
      </w:pPr>
      <w:r w:rsidRPr="007A62CA">
        <w:rPr>
          <w:rFonts w:ascii="Arial" w:eastAsia="Arial" w:hAnsi="Arial" w:cs="Arial"/>
          <w:sz w:val="20"/>
          <w:szCs w:val="20"/>
        </w:rPr>
        <w:t xml:space="preserve">Se advierte que, de acuerdo con los requisitos establecidos en el numeral 3.10.2. del pliego tipo de licitación de obra de infraestructura de transporte, para el cálculo de la capacidad residual, concretamente, en lo relacionado con los saldos de contratos en ejecución, se tienen en cuenta los contratos de obras civiles que tenga el proponente –aclarándose que debe incluir las obras civiles de los contratos de concesión y los contratos de obra suscritos con concesionarios–, sin que se haga referencia al deber de remitir el listado o acreditar la existencia de contratos de otro tipo. Por ello, se entiende que en dicho documento tipo se replicaron las reglas establecidas en el Decreto 1082 de </w:t>
      </w:r>
      <w:r w:rsidRPr="007A62CA">
        <w:rPr>
          <w:rFonts w:ascii="Arial" w:eastAsia="Arial" w:hAnsi="Arial" w:cs="Arial"/>
          <w:sz w:val="20"/>
          <w:szCs w:val="20"/>
        </w:rPr>
        <w:lastRenderedPageBreak/>
        <w:t xml:space="preserve">2015 y en la «Guía para Determinar y Verificar la </w:t>
      </w:r>
      <w:r w:rsidR="00422D9E">
        <w:rPr>
          <w:rFonts w:ascii="Arial" w:eastAsia="Arial" w:hAnsi="Arial" w:cs="Arial"/>
          <w:sz w:val="20"/>
          <w:szCs w:val="20"/>
        </w:rPr>
        <w:t>c</w:t>
      </w:r>
      <w:r w:rsidRPr="007A62CA">
        <w:rPr>
          <w:rFonts w:ascii="Arial" w:eastAsia="Arial" w:hAnsi="Arial" w:cs="Arial"/>
          <w:sz w:val="20"/>
          <w:szCs w:val="20"/>
        </w:rPr>
        <w:t xml:space="preserve">apacidad </w:t>
      </w:r>
      <w:r w:rsidR="00422D9E">
        <w:rPr>
          <w:rFonts w:ascii="Arial" w:eastAsia="Arial" w:hAnsi="Arial" w:cs="Arial"/>
          <w:sz w:val="20"/>
          <w:szCs w:val="20"/>
        </w:rPr>
        <w:t>r</w:t>
      </w:r>
      <w:r w:rsidRPr="007A62CA">
        <w:rPr>
          <w:rFonts w:ascii="Arial" w:eastAsia="Arial" w:hAnsi="Arial" w:cs="Arial"/>
          <w:sz w:val="20"/>
          <w:szCs w:val="20"/>
        </w:rPr>
        <w:t xml:space="preserve">esidual del Proponente en los Procesos de Contratación de Obra Pública», limitando solo los contratos en ejecución a aquellos que correspondan a «obras civiles». </w:t>
      </w:r>
    </w:p>
    <w:p w14:paraId="20C77528" w14:textId="77777777" w:rsidR="0018665E" w:rsidRPr="007A62CA" w:rsidRDefault="0018665E" w:rsidP="0018665E">
      <w:pPr>
        <w:spacing w:after="0" w:line="240" w:lineRule="auto"/>
        <w:contextualSpacing/>
        <w:jc w:val="both"/>
        <w:rPr>
          <w:rFonts w:ascii="Arial" w:eastAsia="Arial" w:hAnsi="Arial" w:cs="Arial"/>
          <w:sz w:val="20"/>
          <w:szCs w:val="20"/>
        </w:rPr>
      </w:pPr>
    </w:p>
    <w:p w14:paraId="1EE64897" w14:textId="77777777" w:rsidR="0018665E" w:rsidRPr="007A62CA" w:rsidRDefault="0018665E" w:rsidP="0018665E">
      <w:pPr>
        <w:spacing w:after="0" w:line="240" w:lineRule="auto"/>
        <w:contextualSpacing/>
        <w:jc w:val="both"/>
        <w:rPr>
          <w:rFonts w:ascii="Arial" w:eastAsia="Arial" w:hAnsi="Arial" w:cs="Arial"/>
          <w:b/>
          <w:bCs/>
        </w:rPr>
      </w:pPr>
      <w:r w:rsidRPr="007A62CA">
        <w:rPr>
          <w:rFonts w:ascii="Arial" w:eastAsia="Arial" w:hAnsi="Arial" w:cs="Arial"/>
          <w:b/>
          <w:bCs/>
        </w:rPr>
        <w:t xml:space="preserve">CAPACIDAD RESIDUAL – Contratos de obras civiles </w:t>
      </w:r>
    </w:p>
    <w:p w14:paraId="037B8028" w14:textId="77777777" w:rsidR="0018665E" w:rsidRPr="007A62CA" w:rsidRDefault="0018665E" w:rsidP="0018665E">
      <w:pPr>
        <w:spacing w:after="0" w:line="240" w:lineRule="auto"/>
        <w:contextualSpacing/>
        <w:jc w:val="both"/>
        <w:rPr>
          <w:rFonts w:ascii="Arial" w:eastAsia="Arial" w:hAnsi="Arial" w:cs="Arial"/>
          <w:sz w:val="20"/>
          <w:szCs w:val="20"/>
        </w:rPr>
      </w:pPr>
    </w:p>
    <w:p w14:paraId="33F033F5" w14:textId="73979525" w:rsidR="0018665E" w:rsidRDefault="0018665E" w:rsidP="0018665E">
      <w:pPr>
        <w:spacing w:after="0" w:line="240" w:lineRule="auto"/>
        <w:contextualSpacing/>
        <w:jc w:val="both"/>
        <w:rPr>
          <w:rFonts w:ascii="Arial" w:eastAsia="Arial" w:hAnsi="Arial" w:cs="Arial"/>
          <w:sz w:val="20"/>
          <w:szCs w:val="20"/>
        </w:rPr>
      </w:pPr>
      <w:r w:rsidRPr="007A62CA">
        <w:rPr>
          <w:rFonts w:ascii="Arial" w:eastAsia="Arial" w:hAnsi="Arial" w:cs="Arial"/>
          <w:sz w:val="20"/>
          <w:szCs w:val="20"/>
        </w:rPr>
        <w:t xml:space="preserve">De acuerdo con las consideraciones de este concepto, y en armonía con la regulación vigente sobre la capacidad residual, para su cálculo se tendrán en cuenta únicamente los contratos de «obras civiles» que tenga en ejecución el proponente, tanto con entidades estatales como con particulares –aclarándose que debe incluir las obras civiles de los contratos de concesión y los contratos de obra suscritos con concesionarios–, excluyendo los contratos del proponente que no correspondan a la ejecución de obras. Lo anterior, de conformidad con el artículo 72 de la Ley 1682 de 2013, el artículo 2.2.1.1.1.6.4. del Decreto 1082 de 2015, la «Guía para Determinar y Verificar la </w:t>
      </w:r>
      <w:r w:rsidR="00422D9E">
        <w:rPr>
          <w:rFonts w:ascii="Arial" w:eastAsia="Arial" w:hAnsi="Arial" w:cs="Arial"/>
          <w:sz w:val="20"/>
          <w:szCs w:val="20"/>
        </w:rPr>
        <w:t>c</w:t>
      </w:r>
      <w:r w:rsidRPr="007A62CA">
        <w:rPr>
          <w:rFonts w:ascii="Arial" w:eastAsia="Arial" w:hAnsi="Arial" w:cs="Arial"/>
          <w:sz w:val="20"/>
          <w:szCs w:val="20"/>
        </w:rPr>
        <w:t xml:space="preserve">apacidad </w:t>
      </w:r>
      <w:r w:rsidR="00422D9E">
        <w:rPr>
          <w:rFonts w:ascii="Arial" w:eastAsia="Arial" w:hAnsi="Arial" w:cs="Arial"/>
          <w:sz w:val="20"/>
          <w:szCs w:val="20"/>
        </w:rPr>
        <w:t>r</w:t>
      </w:r>
      <w:r w:rsidRPr="007A62CA">
        <w:rPr>
          <w:rFonts w:ascii="Arial" w:eastAsia="Arial" w:hAnsi="Arial" w:cs="Arial"/>
          <w:sz w:val="20"/>
          <w:szCs w:val="20"/>
        </w:rPr>
        <w:t>esidual del Proponente en los Procesos de Contratación de Obra Pública» y los documentos tipo de licitación de obra de infraestructura de transporte.</w:t>
      </w:r>
    </w:p>
    <w:p w14:paraId="2106050A" w14:textId="77777777" w:rsidR="0018665E" w:rsidRPr="007A62CA" w:rsidRDefault="0018665E" w:rsidP="0018665E">
      <w:pPr>
        <w:spacing w:after="0" w:line="240" w:lineRule="auto"/>
        <w:contextualSpacing/>
        <w:jc w:val="both"/>
        <w:rPr>
          <w:rFonts w:ascii="Arial" w:eastAsia="Arial" w:hAnsi="Arial" w:cs="Arial"/>
          <w:sz w:val="20"/>
          <w:szCs w:val="20"/>
        </w:rPr>
      </w:pPr>
    </w:p>
    <w:p w14:paraId="7EFC0B99" w14:textId="77777777" w:rsidR="0018665E" w:rsidRPr="007A62CA" w:rsidRDefault="0018665E" w:rsidP="0018665E">
      <w:pPr>
        <w:spacing w:after="0" w:line="240" w:lineRule="auto"/>
        <w:contextualSpacing/>
        <w:jc w:val="both"/>
        <w:rPr>
          <w:rFonts w:ascii="Arial" w:eastAsia="Arial" w:hAnsi="Arial" w:cs="Arial"/>
          <w:sz w:val="20"/>
          <w:szCs w:val="20"/>
        </w:rPr>
      </w:pPr>
      <w:r w:rsidRPr="007A62CA">
        <w:rPr>
          <w:rFonts w:ascii="Arial" w:eastAsia="Arial" w:hAnsi="Arial" w:cs="Arial"/>
          <w:sz w:val="20"/>
          <w:szCs w:val="20"/>
        </w:rPr>
        <w:t>En consecuencia, el proponente solo deberá reportar en su oferta los contratos de obras civiles en ejecución, en los términos en los que lo exige el artículo 2.2.1.1.1.6.4. del Decreto 1082 de 2015, la «Guía para Determinar y Verificar la Capacidad Residual del Proponente en los Procesos de Contratación de Obra Pública» y los documentos tipo, sin que sea necesario reportar aquellos contratos en ejecución que no correspondan a obras civiles, en los términos indicados.</w:t>
      </w:r>
    </w:p>
    <w:bookmarkEnd w:id="0"/>
    <w:p w14:paraId="0D47CFAC" w14:textId="77777777" w:rsidR="00FB7C66" w:rsidRPr="00FB7C66" w:rsidRDefault="00FB7C66" w:rsidP="00FB7C66">
      <w:pPr>
        <w:spacing w:after="0"/>
        <w:contextualSpacing/>
        <w:rPr>
          <w:rFonts w:ascii="Arial" w:hAnsi="Arial" w:cs="Arial"/>
          <w:lang w:val="es-ES" w:eastAsia="es-CO"/>
        </w:rPr>
      </w:pPr>
      <w:r w:rsidRPr="00FB7C66">
        <w:rPr>
          <w:rFonts w:ascii="Arial" w:hAnsi="Arial" w:cs="Arial"/>
          <w:lang w:val="es-ES" w:eastAsia="es-CO"/>
        </w:rPr>
        <w:br w:type="page"/>
      </w:r>
    </w:p>
    <w:p w14:paraId="16F6A372" w14:textId="36F39D11" w:rsidR="00FB7C66" w:rsidRPr="00FB7C66" w:rsidRDefault="00FB7C66" w:rsidP="00FB7C66">
      <w:pPr>
        <w:spacing w:after="0" w:line="276" w:lineRule="auto"/>
        <w:contextualSpacing/>
        <w:jc w:val="both"/>
        <w:rPr>
          <w:rFonts w:ascii="Arial" w:hAnsi="Arial" w:cs="Arial"/>
          <w:highlight w:val="yellow"/>
          <w:lang w:val="es-ES" w:eastAsia="es-CO"/>
        </w:rPr>
      </w:pPr>
      <w:r w:rsidRPr="00FB7C66">
        <w:rPr>
          <w:rFonts w:ascii="Arial" w:hAnsi="Arial" w:cs="Arial"/>
          <w:lang w:val="es-ES" w:eastAsia="es-CO"/>
        </w:rPr>
        <w:lastRenderedPageBreak/>
        <w:t xml:space="preserve">Bogotá, D.C. </w:t>
      </w:r>
    </w:p>
    <w:p w14:paraId="0E46A797" w14:textId="2084793A" w:rsidR="003711A4" w:rsidRDefault="003711A4" w:rsidP="00FB7C66">
      <w:pPr>
        <w:spacing w:after="0" w:line="276" w:lineRule="auto"/>
        <w:contextualSpacing/>
        <w:rPr>
          <w:noProof/>
        </w:rPr>
      </w:pPr>
      <w:r>
        <w:rPr>
          <w:noProof/>
        </w:rPr>
        <w:drawing>
          <wp:anchor distT="0" distB="0" distL="114300" distR="114300" simplePos="0" relativeHeight="251658240" behindDoc="0" locked="0" layoutInCell="1" allowOverlap="1" wp14:anchorId="607E99F5" wp14:editId="1CBCFB00">
            <wp:simplePos x="0" y="0"/>
            <wp:positionH relativeFrom="column">
              <wp:posOffset>3501390</wp:posOffset>
            </wp:positionH>
            <wp:positionV relativeFrom="paragraph">
              <wp:posOffset>119380</wp:posOffset>
            </wp:positionV>
            <wp:extent cx="2152650" cy="609600"/>
            <wp:effectExtent l="0" t="0" r="0" b="0"/>
            <wp:wrapNone/>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rotWithShape="1">
                    <a:blip r:embed="rId11" cstate="print">
                      <a:extLst>
                        <a:ext uri="{28A0092B-C50C-407E-A947-70E740481C1C}">
                          <a14:useLocalDpi xmlns:a14="http://schemas.microsoft.com/office/drawing/2010/main" val="0"/>
                        </a:ext>
                      </a:extLst>
                    </a:blip>
                    <a:srcRect l="46164" t="40451" r="15479" b="40229"/>
                    <a:stretch/>
                  </pic:blipFill>
                  <pic:spPr bwMode="auto">
                    <a:xfrm>
                      <a:off x="0" y="0"/>
                      <a:ext cx="2152650" cy="609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EE91B77" w14:textId="61E4C5C8" w:rsidR="00FB7C66" w:rsidRPr="00FB7C66" w:rsidRDefault="00FB7C66" w:rsidP="00FB7C66">
      <w:pPr>
        <w:spacing w:after="0" w:line="276" w:lineRule="auto"/>
        <w:contextualSpacing/>
        <w:rPr>
          <w:rFonts w:ascii="Arial" w:eastAsia="Calibri" w:hAnsi="Arial" w:cs="Arial"/>
          <w:lang w:eastAsia="es-CO"/>
        </w:rPr>
      </w:pPr>
    </w:p>
    <w:p w14:paraId="1FCF6FE9" w14:textId="77777777" w:rsidR="00FB7C66" w:rsidRPr="00FB7C66" w:rsidRDefault="00FB7C66" w:rsidP="00FB7C66">
      <w:pPr>
        <w:spacing w:after="0" w:line="276" w:lineRule="auto"/>
        <w:contextualSpacing/>
        <w:rPr>
          <w:rFonts w:ascii="Arial" w:eastAsia="Calibri" w:hAnsi="Arial" w:cs="Arial"/>
          <w:lang w:eastAsia="es-CO"/>
        </w:rPr>
      </w:pPr>
    </w:p>
    <w:p w14:paraId="740502A7" w14:textId="77777777" w:rsidR="00FB7C66" w:rsidRPr="00FB7C66" w:rsidRDefault="00FB7C66" w:rsidP="00FB7C66">
      <w:pPr>
        <w:spacing w:after="0" w:line="276" w:lineRule="auto"/>
        <w:contextualSpacing/>
        <w:rPr>
          <w:rFonts w:ascii="Arial" w:eastAsia="Calibri" w:hAnsi="Arial" w:cs="Arial"/>
          <w:lang w:eastAsia="es-CO"/>
        </w:rPr>
      </w:pPr>
    </w:p>
    <w:p w14:paraId="7F43A5AB" w14:textId="77777777" w:rsidR="00FB7C66" w:rsidRPr="00FB7C66" w:rsidRDefault="00FB7C66" w:rsidP="00FB7C66">
      <w:pPr>
        <w:spacing w:after="0" w:line="276" w:lineRule="auto"/>
        <w:contextualSpacing/>
        <w:rPr>
          <w:rFonts w:ascii="Arial" w:eastAsia="Calibri" w:hAnsi="Arial" w:cs="Arial"/>
          <w:lang w:eastAsia="es-CO"/>
        </w:rPr>
      </w:pPr>
      <w:r w:rsidRPr="00FB7C66">
        <w:rPr>
          <w:rFonts w:ascii="Arial" w:eastAsia="Calibri" w:hAnsi="Arial" w:cs="Arial"/>
          <w:lang w:eastAsia="es-CO"/>
        </w:rPr>
        <w:t>Señor:</w:t>
      </w:r>
    </w:p>
    <w:p w14:paraId="61378BA1" w14:textId="77777777" w:rsidR="00FB7C66" w:rsidRPr="00FB7C66" w:rsidRDefault="00FB7C66" w:rsidP="00FB7C66">
      <w:pPr>
        <w:spacing w:after="0" w:line="276" w:lineRule="auto"/>
        <w:contextualSpacing/>
        <w:rPr>
          <w:rFonts w:ascii="Arial" w:eastAsia="Calibri" w:hAnsi="Arial" w:cs="Arial"/>
          <w:b/>
          <w:lang w:eastAsia="es-CO"/>
        </w:rPr>
      </w:pPr>
      <w:r w:rsidRPr="00FB7C66">
        <w:rPr>
          <w:rFonts w:ascii="Arial" w:eastAsia="Calibri" w:hAnsi="Arial" w:cs="Arial"/>
          <w:b/>
          <w:lang w:eastAsia="es-CO"/>
        </w:rPr>
        <w:t>JULIÁN GARCÍA TORRES</w:t>
      </w:r>
    </w:p>
    <w:p w14:paraId="2AF478BB" w14:textId="77777777" w:rsidR="00FB7C66" w:rsidRPr="00FB7C66" w:rsidRDefault="00FB7C66" w:rsidP="00FB7C66">
      <w:pPr>
        <w:spacing w:after="0" w:line="276" w:lineRule="auto"/>
        <w:contextualSpacing/>
        <w:rPr>
          <w:rFonts w:ascii="Arial" w:eastAsia="Calibri" w:hAnsi="Arial" w:cs="Arial"/>
          <w:b/>
          <w:lang w:eastAsia="es-CO"/>
        </w:rPr>
      </w:pPr>
      <w:r w:rsidRPr="00FB7C66">
        <w:rPr>
          <w:rFonts w:ascii="Arial" w:eastAsia="Calibri" w:hAnsi="Arial" w:cs="Arial"/>
          <w:b/>
          <w:lang w:eastAsia="es-CO"/>
        </w:rPr>
        <w:t>SECRETARIO DE PLANEACIÓN E INFRAESTRUCTURA</w:t>
      </w:r>
    </w:p>
    <w:p w14:paraId="7FC85E38" w14:textId="77777777" w:rsidR="00FB7C66" w:rsidRPr="00FB7C66" w:rsidRDefault="00FB7C66" w:rsidP="00FB7C66">
      <w:pPr>
        <w:spacing w:after="0" w:line="276" w:lineRule="auto"/>
        <w:contextualSpacing/>
        <w:rPr>
          <w:rFonts w:ascii="Arial" w:eastAsia="Calibri" w:hAnsi="Arial" w:cs="Arial"/>
          <w:bCs/>
          <w:lang w:eastAsia="es-CO"/>
        </w:rPr>
      </w:pPr>
      <w:r w:rsidRPr="00FB7C66">
        <w:rPr>
          <w:rFonts w:ascii="Arial" w:eastAsia="Calibri" w:hAnsi="Arial" w:cs="Arial"/>
          <w:bCs/>
          <w:lang w:eastAsia="es-CO"/>
        </w:rPr>
        <w:t>Municipio de Convención (N. de S.)</w:t>
      </w:r>
    </w:p>
    <w:p w14:paraId="44D384B4" w14:textId="77777777" w:rsidR="00FB7C66" w:rsidRPr="00FB7C66" w:rsidRDefault="00FB7C66" w:rsidP="00FB7C66">
      <w:pPr>
        <w:spacing w:after="0" w:line="276" w:lineRule="auto"/>
        <w:contextualSpacing/>
        <w:rPr>
          <w:rFonts w:ascii="Arial" w:eastAsia="Calibri" w:hAnsi="Arial" w:cs="Arial"/>
          <w:color w:val="FF0000"/>
          <w:lang w:eastAsia="es-CO"/>
        </w:rPr>
      </w:pPr>
    </w:p>
    <w:p w14:paraId="0196B8B3" w14:textId="77777777" w:rsidR="00FB7C66" w:rsidRPr="00FB7C66" w:rsidRDefault="00FB7C66" w:rsidP="00FB7C66">
      <w:pPr>
        <w:spacing w:after="0" w:line="276" w:lineRule="auto"/>
        <w:contextualSpacing/>
        <w:rPr>
          <w:rFonts w:ascii="Arial" w:eastAsia="Calibri" w:hAnsi="Arial" w:cs="Arial"/>
          <w:lang w:eastAsia="es-CO"/>
        </w:rPr>
      </w:pPr>
    </w:p>
    <w:p w14:paraId="0E384D33" w14:textId="333503DD" w:rsidR="00FB7C66" w:rsidRPr="00FB7C66" w:rsidRDefault="00FB7C66" w:rsidP="00FB7C66">
      <w:pPr>
        <w:spacing w:after="0" w:line="276" w:lineRule="auto"/>
        <w:ind w:left="2124" w:firstLine="708"/>
        <w:contextualSpacing/>
        <w:rPr>
          <w:rFonts w:ascii="Arial" w:eastAsia="Calibri" w:hAnsi="Arial" w:cs="Arial"/>
          <w:b/>
          <w:lang w:eastAsia="es-CO"/>
        </w:rPr>
      </w:pPr>
      <w:r w:rsidRPr="00FB7C66">
        <w:rPr>
          <w:rFonts w:ascii="Arial" w:eastAsia="Calibri" w:hAnsi="Arial" w:cs="Arial"/>
          <w:b/>
          <w:lang w:eastAsia="es-CO"/>
        </w:rPr>
        <w:t>Concepto C</w:t>
      </w:r>
      <w:r w:rsidR="00E47734">
        <w:rPr>
          <w:rFonts w:ascii="Arial" w:eastAsia="Calibri" w:hAnsi="Arial" w:cs="Arial"/>
          <w:b/>
          <w:lang w:eastAsia="es-CO"/>
        </w:rPr>
        <w:t>–</w:t>
      </w:r>
      <w:r w:rsidRPr="00FB7C66">
        <w:rPr>
          <w:rFonts w:ascii="Arial" w:eastAsia="Calibri" w:hAnsi="Arial" w:cs="Arial"/>
          <w:b/>
          <w:lang w:eastAsia="es-CO"/>
        </w:rPr>
        <w:t>070</w:t>
      </w:r>
      <w:r w:rsidR="00E47734">
        <w:rPr>
          <w:rFonts w:ascii="Arial" w:eastAsia="Calibri" w:hAnsi="Arial" w:cs="Arial"/>
          <w:b/>
          <w:lang w:eastAsia="es-CO"/>
        </w:rPr>
        <w:t xml:space="preserve"> de 2022</w:t>
      </w:r>
    </w:p>
    <w:p w14:paraId="20F64A6A" w14:textId="77777777" w:rsidR="00FB7C66" w:rsidRPr="00FB7C66" w:rsidRDefault="00FB7C66" w:rsidP="00FB7C66">
      <w:pPr>
        <w:spacing w:after="0" w:line="276" w:lineRule="auto"/>
        <w:ind w:left="2124" w:firstLine="708"/>
        <w:contextualSpacing/>
        <w:rPr>
          <w:rFonts w:ascii="Arial" w:eastAsia="Calibri" w:hAnsi="Arial" w:cs="Arial"/>
          <w:b/>
          <w:lang w:eastAsia="es-CO"/>
        </w:rPr>
      </w:pPr>
    </w:p>
    <w:p w14:paraId="23917BEB" w14:textId="77777777" w:rsidR="00FB7C66" w:rsidRPr="00FB7C66" w:rsidRDefault="00FB7C66" w:rsidP="00FB7C66">
      <w:pPr>
        <w:spacing w:after="0" w:line="276" w:lineRule="auto"/>
        <w:contextualSpacing/>
        <w:rPr>
          <w:rFonts w:ascii="Arial" w:eastAsia="Calibri" w:hAnsi="Arial" w:cs="Arial"/>
          <w:lang w:eastAsia="es-CO"/>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FB7C66" w:rsidRPr="00FB7C66" w14:paraId="016741D4" w14:textId="77777777" w:rsidTr="003A2E08">
        <w:tc>
          <w:tcPr>
            <w:tcW w:w="2552" w:type="dxa"/>
            <w:hideMark/>
          </w:tcPr>
          <w:p w14:paraId="1F4BB96E" w14:textId="77777777" w:rsidR="00FB7C66" w:rsidRPr="00FB7C66" w:rsidRDefault="00FB7C66" w:rsidP="00FB7C66">
            <w:pPr>
              <w:spacing w:line="276" w:lineRule="auto"/>
              <w:contextualSpacing/>
              <w:rPr>
                <w:rFonts w:ascii="Arial" w:eastAsia="Calibri" w:hAnsi="Arial" w:cs="Arial"/>
                <w:lang w:eastAsia="es-CO"/>
              </w:rPr>
            </w:pPr>
            <w:r w:rsidRPr="00FB7C66">
              <w:rPr>
                <w:rFonts w:ascii="Arial" w:eastAsia="Calibri" w:hAnsi="Arial" w:cs="Arial"/>
                <w:b/>
                <w:lang w:eastAsia="es-CO"/>
              </w:rPr>
              <w:t>Temas:</w:t>
            </w:r>
            <w:r w:rsidRPr="00FB7C66">
              <w:rPr>
                <w:rFonts w:ascii="Arial" w:eastAsia="Calibri" w:hAnsi="Arial" w:cs="Arial"/>
                <w:lang w:eastAsia="es-CO"/>
              </w:rPr>
              <w:t xml:space="preserve">           </w:t>
            </w:r>
          </w:p>
          <w:p w14:paraId="371584FE" w14:textId="77777777" w:rsidR="00FB7C66" w:rsidRPr="00FB7C66" w:rsidRDefault="00FB7C66" w:rsidP="00FB7C66">
            <w:pPr>
              <w:spacing w:line="276" w:lineRule="auto"/>
              <w:contextualSpacing/>
              <w:rPr>
                <w:rFonts w:ascii="Arial" w:eastAsia="Calibri" w:hAnsi="Arial" w:cs="Arial"/>
                <w:lang w:eastAsia="es-CO"/>
              </w:rPr>
            </w:pPr>
            <w:r w:rsidRPr="00FB7C66">
              <w:rPr>
                <w:rFonts w:ascii="Arial" w:eastAsia="Calibri" w:hAnsi="Arial" w:cs="Arial"/>
                <w:lang w:eastAsia="es-CO"/>
              </w:rPr>
              <w:t xml:space="preserve">                           </w:t>
            </w:r>
          </w:p>
        </w:tc>
        <w:tc>
          <w:tcPr>
            <w:tcW w:w="6374" w:type="dxa"/>
            <w:hideMark/>
          </w:tcPr>
          <w:p w14:paraId="4F9BE62B" w14:textId="4FC3F0BA" w:rsidR="00FB7C66" w:rsidRPr="00AC0A61" w:rsidRDefault="00FB7C66" w:rsidP="00FB7C66">
            <w:pPr>
              <w:jc w:val="both"/>
              <w:rPr>
                <w:rFonts w:ascii="Arial" w:eastAsia="Calibri" w:hAnsi="Arial" w:cs="Arial"/>
                <w:lang w:eastAsia="es-MX"/>
              </w:rPr>
            </w:pPr>
            <w:r w:rsidRPr="00AC0A61">
              <w:rPr>
                <w:rFonts w:ascii="Arial" w:eastAsia="Calibri" w:hAnsi="Arial" w:cs="Arial"/>
                <w:lang w:eastAsia="es-MX"/>
              </w:rPr>
              <w:t xml:space="preserve">CAPACIDAD RESIDUAL – Concepto </w:t>
            </w:r>
            <w:r w:rsidRPr="00E47734">
              <w:rPr>
                <w:rFonts w:ascii="Arial" w:eastAsia="Calibri" w:hAnsi="Arial" w:cs="Arial"/>
                <w:lang w:eastAsia="es-CO"/>
              </w:rPr>
              <w:t xml:space="preserve">/ </w:t>
            </w:r>
            <w:r w:rsidRPr="00AC0A61">
              <w:rPr>
                <w:rFonts w:ascii="Arial" w:eastAsia="Calibri" w:hAnsi="Arial" w:cs="Arial"/>
                <w:lang w:eastAsia="es-MX"/>
              </w:rPr>
              <w:t>CÁLCULO DE LA CAPACIDAD RESIDUAL – Documentos requeridos – Cálculo / CAPACIDAD RESIDUAL –</w:t>
            </w:r>
            <w:r w:rsidR="003F3225">
              <w:rPr>
                <w:rFonts w:ascii="Arial" w:eastAsia="Calibri" w:hAnsi="Arial" w:cs="Arial"/>
                <w:b/>
                <w:bCs/>
                <w:lang w:eastAsia="es-MX"/>
              </w:rPr>
              <w:t xml:space="preserve"> </w:t>
            </w:r>
            <w:r w:rsidR="003F3225" w:rsidRPr="00AC0A61">
              <w:rPr>
                <w:rFonts w:ascii="Arial" w:eastAsia="Calibri" w:hAnsi="Arial" w:cs="Arial"/>
                <w:lang w:eastAsia="es-MX"/>
              </w:rPr>
              <w:t>Documentos tipo – Licitación de</w:t>
            </w:r>
            <w:r w:rsidR="00FE2E15">
              <w:rPr>
                <w:rFonts w:ascii="Arial" w:eastAsia="Calibri" w:hAnsi="Arial" w:cs="Arial"/>
                <w:lang w:eastAsia="es-MX"/>
              </w:rPr>
              <w:t xml:space="preserve"> Obra de</w:t>
            </w:r>
            <w:r w:rsidR="003F3225" w:rsidRPr="00AC0A61">
              <w:rPr>
                <w:rFonts w:ascii="Arial" w:eastAsia="Calibri" w:hAnsi="Arial" w:cs="Arial"/>
                <w:lang w:eastAsia="es-MX"/>
              </w:rPr>
              <w:t xml:space="preserve"> Infraestructura de Transporte</w:t>
            </w:r>
            <w:r w:rsidRPr="00AC0A61">
              <w:rPr>
                <w:rFonts w:ascii="Arial" w:eastAsia="Calibri" w:hAnsi="Arial" w:cs="Arial"/>
                <w:lang w:eastAsia="es-MX"/>
              </w:rPr>
              <w:t xml:space="preserve"> / CAPACIDAD RESIDUAL – Contratos de obras civiles</w:t>
            </w:r>
          </w:p>
          <w:p w14:paraId="2AD9D258" w14:textId="77777777" w:rsidR="00FB7C66" w:rsidRPr="00FB7C66" w:rsidRDefault="00FB7C66" w:rsidP="00FB7C66">
            <w:pPr>
              <w:spacing w:line="276" w:lineRule="auto"/>
              <w:contextualSpacing/>
              <w:jc w:val="both"/>
              <w:rPr>
                <w:rFonts w:ascii="Arial" w:eastAsia="Calibri" w:hAnsi="Arial" w:cs="Arial"/>
                <w:lang w:val="es-ES_tradnl" w:eastAsia="es-CO"/>
              </w:rPr>
            </w:pPr>
          </w:p>
        </w:tc>
      </w:tr>
      <w:tr w:rsidR="00FB7C66" w:rsidRPr="00FB7C66" w14:paraId="7605F325" w14:textId="77777777" w:rsidTr="003A2E08">
        <w:tc>
          <w:tcPr>
            <w:tcW w:w="2552" w:type="dxa"/>
          </w:tcPr>
          <w:p w14:paraId="71551CE8" w14:textId="77777777" w:rsidR="00FB7C66" w:rsidRPr="00FB7C66" w:rsidRDefault="00FB7C66" w:rsidP="00FB7C66">
            <w:pPr>
              <w:spacing w:line="276" w:lineRule="auto"/>
              <w:contextualSpacing/>
              <w:rPr>
                <w:rFonts w:ascii="Arial" w:eastAsia="Calibri" w:hAnsi="Arial" w:cs="Arial"/>
                <w:b/>
                <w:lang w:eastAsia="es-CO"/>
              </w:rPr>
            </w:pPr>
          </w:p>
          <w:p w14:paraId="6942E7A4" w14:textId="77777777" w:rsidR="00FB7C66" w:rsidRPr="00FB7C66" w:rsidRDefault="00FB7C66" w:rsidP="00FB7C66">
            <w:pPr>
              <w:spacing w:line="276" w:lineRule="auto"/>
              <w:contextualSpacing/>
              <w:rPr>
                <w:rFonts w:ascii="Arial" w:eastAsia="Calibri" w:hAnsi="Arial" w:cs="Arial"/>
                <w:b/>
                <w:lang w:eastAsia="es-CO"/>
              </w:rPr>
            </w:pPr>
            <w:r w:rsidRPr="00FB7C66">
              <w:rPr>
                <w:rFonts w:ascii="Arial" w:eastAsia="Calibri" w:hAnsi="Arial" w:cs="Arial"/>
                <w:b/>
                <w:lang w:eastAsia="es-CO"/>
              </w:rPr>
              <w:t>Radicación:</w:t>
            </w:r>
            <w:r w:rsidRPr="00FB7C66">
              <w:rPr>
                <w:rFonts w:ascii="Arial" w:eastAsia="Calibri" w:hAnsi="Arial" w:cs="Arial"/>
                <w:lang w:eastAsia="es-CO"/>
              </w:rPr>
              <w:t xml:space="preserve">                              </w:t>
            </w:r>
          </w:p>
        </w:tc>
        <w:tc>
          <w:tcPr>
            <w:tcW w:w="6374" w:type="dxa"/>
          </w:tcPr>
          <w:p w14:paraId="46BD7198" w14:textId="77777777" w:rsidR="00FB7C66" w:rsidRPr="00FB7C66" w:rsidRDefault="00FB7C66" w:rsidP="00FB7C66">
            <w:pPr>
              <w:spacing w:line="276" w:lineRule="auto"/>
              <w:contextualSpacing/>
              <w:jc w:val="both"/>
              <w:rPr>
                <w:rFonts w:ascii="Arial" w:eastAsia="Calibri" w:hAnsi="Arial" w:cs="Arial"/>
                <w:bCs/>
                <w:lang w:eastAsia="es-CO"/>
              </w:rPr>
            </w:pPr>
          </w:p>
          <w:p w14:paraId="6CBBA716" w14:textId="77777777" w:rsidR="00FB7C66" w:rsidRPr="00FB7C66" w:rsidRDefault="00FB7C66" w:rsidP="00FB7C66">
            <w:pPr>
              <w:spacing w:line="276" w:lineRule="auto"/>
              <w:contextualSpacing/>
              <w:jc w:val="both"/>
              <w:rPr>
                <w:rFonts w:ascii="Arial" w:eastAsia="Calibri" w:hAnsi="Arial" w:cs="Arial"/>
                <w:bCs/>
                <w:lang w:eastAsia="es-CO"/>
              </w:rPr>
            </w:pPr>
            <w:r w:rsidRPr="00FB7C66">
              <w:rPr>
                <w:rFonts w:ascii="Arial" w:eastAsia="Calibri" w:hAnsi="Arial" w:cs="Arial"/>
                <w:bCs/>
                <w:lang w:eastAsia="es-CO"/>
              </w:rPr>
              <w:t xml:space="preserve">Respuesta a consulta </w:t>
            </w:r>
            <w:r w:rsidRPr="00FB7C66">
              <w:rPr>
                <w:rFonts w:ascii="Arial" w:hAnsi="Arial" w:cs="Arial"/>
                <w:shd w:val="clear" w:color="auto" w:fill="FFFFFF"/>
                <w:lang w:eastAsia="es-CO"/>
              </w:rPr>
              <w:t>P20220131000846.</w:t>
            </w:r>
            <w:r w:rsidRPr="00FB7C66">
              <w:rPr>
                <w:rFonts w:ascii="Arial" w:hAnsi="Arial" w:cs="Arial"/>
                <w:b/>
                <w:bCs/>
                <w:shd w:val="clear" w:color="auto" w:fill="FFFFFF"/>
                <w:lang w:eastAsia="es-CO"/>
              </w:rPr>
              <w:t xml:space="preserve"> </w:t>
            </w:r>
          </w:p>
        </w:tc>
      </w:tr>
      <w:tr w:rsidR="00FB7C66" w:rsidRPr="00FB7C66" w14:paraId="1FD07E64" w14:textId="77777777" w:rsidTr="003A2E08">
        <w:trPr>
          <w:trHeight w:val="80"/>
        </w:trPr>
        <w:tc>
          <w:tcPr>
            <w:tcW w:w="2552" w:type="dxa"/>
          </w:tcPr>
          <w:p w14:paraId="5D4DD1E5" w14:textId="77777777" w:rsidR="00FB7C66" w:rsidRPr="00FB7C66" w:rsidRDefault="00FB7C66" w:rsidP="00FB7C66">
            <w:pPr>
              <w:spacing w:line="276" w:lineRule="auto"/>
              <w:contextualSpacing/>
              <w:rPr>
                <w:rFonts w:ascii="Arial" w:eastAsia="Calibri" w:hAnsi="Arial" w:cs="Arial"/>
                <w:b/>
                <w:lang w:eastAsia="es-CO"/>
              </w:rPr>
            </w:pPr>
          </w:p>
        </w:tc>
        <w:tc>
          <w:tcPr>
            <w:tcW w:w="6374" w:type="dxa"/>
          </w:tcPr>
          <w:p w14:paraId="0D7A16FC" w14:textId="77777777" w:rsidR="00FB7C66" w:rsidRPr="00FB7C66" w:rsidRDefault="00FB7C66" w:rsidP="00FB7C66">
            <w:pPr>
              <w:spacing w:line="276" w:lineRule="auto"/>
              <w:contextualSpacing/>
              <w:jc w:val="both"/>
              <w:rPr>
                <w:rFonts w:ascii="Arial" w:eastAsia="Calibri" w:hAnsi="Arial" w:cs="Arial"/>
                <w:lang w:eastAsia="es-CO"/>
              </w:rPr>
            </w:pPr>
          </w:p>
        </w:tc>
      </w:tr>
    </w:tbl>
    <w:p w14:paraId="1C8D88B0" w14:textId="77777777" w:rsidR="00FB7C66" w:rsidRPr="00FB7C66" w:rsidRDefault="00FB7C66" w:rsidP="00FB7C66">
      <w:pPr>
        <w:spacing w:after="0" w:line="276" w:lineRule="auto"/>
        <w:contextualSpacing/>
        <w:rPr>
          <w:rFonts w:ascii="Arial" w:eastAsia="Calibri" w:hAnsi="Arial" w:cs="Arial"/>
          <w:lang w:eastAsia="es-CO"/>
        </w:rPr>
      </w:pPr>
    </w:p>
    <w:p w14:paraId="7CC190EA" w14:textId="77777777" w:rsidR="00FB7C66" w:rsidRPr="00FB7C66" w:rsidRDefault="00FB7C66" w:rsidP="00FB7C66">
      <w:pPr>
        <w:spacing w:after="0" w:line="276" w:lineRule="auto"/>
        <w:contextualSpacing/>
        <w:rPr>
          <w:rFonts w:ascii="Arial" w:eastAsia="Calibri" w:hAnsi="Arial" w:cs="Arial"/>
          <w:lang w:eastAsia="es-CO"/>
        </w:rPr>
      </w:pPr>
      <w:r w:rsidRPr="00FB7C66">
        <w:rPr>
          <w:rFonts w:ascii="Arial" w:eastAsia="Calibri" w:hAnsi="Arial" w:cs="Arial"/>
          <w:lang w:eastAsia="es-CO"/>
        </w:rPr>
        <w:t>Estimado señor García:</w:t>
      </w:r>
    </w:p>
    <w:p w14:paraId="28E15E11" w14:textId="77777777" w:rsidR="00FB7C66" w:rsidRPr="00FB7C66" w:rsidRDefault="00FB7C66" w:rsidP="00FB7C66">
      <w:pPr>
        <w:spacing w:after="0" w:line="276" w:lineRule="auto"/>
        <w:contextualSpacing/>
        <w:rPr>
          <w:rFonts w:ascii="Arial" w:eastAsia="Calibri" w:hAnsi="Arial" w:cs="Arial"/>
          <w:lang w:eastAsia="es-CO"/>
        </w:rPr>
      </w:pPr>
    </w:p>
    <w:p w14:paraId="68E26BCB" w14:textId="77777777" w:rsidR="00FB7C66" w:rsidRPr="00FB7C66" w:rsidRDefault="00FB7C66" w:rsidP="00FB7C66">
      <w:pPr>
        <w:spacing w:after="0" w:line="276" w:lineRule="auto"/>
        <w:contextualSpacing/>
        <w:jc w:val="both"/>
        <w:rPr>
          <w:rFonts w:ascii="Arial" w:eastAsia="Calibri" w:hAnsi="Arial" w:cs="Arial"/>
          <w:lang w:eastAsia="es-CO"/>
        </w:rPr>
      </w:pPr>
      <w:r w:rsidRPr="00FB7C66">
        <w:rPr>
          <w:rFonts w:ascii="Arial" w:eastAsia="Calibri" w:hAnsi="Arial" w:cs="Arial"/>
          <w:lang w:eastAsia="es-CO"/>
        </w:rPr>
        <w:t xml:space="preserve">En ejercicio de la competencia otorgada por los artículos 11, numeral 8º, y 3º, numeral 5º, del Decreto Ley 4170 de 2011, la Agencia Nacional de Contratación Pública − Colombia Compra Eficiente responde su consulta del 31 de enero de 2022. </w:t>
      </w:r>
    </w:p>
    <w:p w14:paraId="514E3EBC" w14:textId="77777777" w:rsidR="00FB7C66" w:rsidRPr="00FB7C66" w:rsidRDefault="00FB7C66" w:rsidP="00FB7C66">
      <w:pPr>
        <w:spacing w:after="0" w:line="276" w:lineRule="auto"/>
        <w:contextualSpacing/>
        <w:jc w:val="both"/>
        <w:rPr>
          <w:rFonts w:ascii="Arial" w:eastAsia="Calibri" w:hAnsi="Arial" w:cs="Arial"/>
          <w:lang w:eastAsia="es-CO"/>
        </w:rPr>
      </w:pPr>
    </w:p>
    <w:p w14:paraId="41C99308" w14:textId="77777777" w:rsidR="00FB7C66" w:rsidRPr="00FB7C66" w:rsidRDefault="00FB7C66" w:rsidP="00FB7C66">
      <w:pPr>
        <w:numPr>
          <w:ilvl w:val="0"/>
          <w:numId w:val="6"/>
        </w:numPr>
        <w:tabs>
          <w:tab w:val="left" w:pos="284"/>
        </w:tabs>
        <w:spacing w:after="0" w:line="276" w:lineRule="auto"/>
        <w:ind w:left="0" w:firstLine="0"/>
        <w:contextualSpacing/>
        <w:jc w:val="both"/>
        <w:rPr>
          <w:rFonts w:ascii="Arial" w:eastAsia="Calibri" w:hAnsi="Arial" w:cs="Arial"/>
          <w:b/>
        </w:rPr>
      </w:pPr>
      <w:r w:rsidRPr="00FB7C66">
        <w:rPr>
          <w:rFonts w:ascii="Arial" w:eastAsia="Calibri" w:hAnsi="Arial" w:cs="Arial"/>
          <w:b/>
        </w:rPr>
        <w:t>Problema planteado</w:t>
      </w:r>
    </w:p>
    <w:p w14:paraId="6D1A607C" w14:textId="77777777" w:rsidR="00FB7C66" w:rsidRPr="00FB7C66" w:rsidRDefault="00FB7C66" w:rsidP="00FB7C66">
      <w:pPr>
        <w:tabs>
          <w:tab w:val="left" w:pos="284"/>
        </w:tabs>
        <w:spacing w:after="0" w:line="276" w:lineRule="auto"/>
        <w:contextualSpacing/>
        <w:jc w:val="both"/>
        <w:rPr>
          <w:rFonts w:ascii="Arial" w:eastAsia="Calibri" w:hAnsi="Arial" w:cs="Arial"/>
          <w:b/>
        </w:rPr>
      </w:pPr>
    </w:p>
    <w:p w14:paraId="27F4794C" w14:textId="77777777" w:rsidR="00FB7C66" w:rsidRPr="00FB7C66" w:rsidRDefault="00FB7C66" w:rsidP="00FB7C66">
      <w:pPr>
        <w:tabs>
          <w:tab w:val="left" w:pos="284"/>
        </w:tabs>
        <w:spacing w:after="0" w:line="276" w:lineRule="auto"/>
        <w:contextualSpacing/>
        <w:jc w:val="both"/>
        <w:rPr>
          <w:rFonts w:ascii="Arial" w:eastAsia="Calibri" w:hAnsi="Arial" w:cs="Arial"/>
        </w:rPr>
      </w:pPr>
      <w:r w:rsidRPr="00FB7C66">
        <w:rPr>
          <w:rFonts w:ascii="Arial" w:eastAsia="Calibri" w:hAnsi="Arial" w:cs="Arial"/>
        </w:rPr>
        <w:t>Usted realiza la siguiente pregunta:</w:t>
      </w:r>
    </w:p>
    <w:p w14:paraId="68DE2303" w14:textId="77777777" w:rsidR="00FB7C66" w:rsidRPr="00FB7C66" w:rsidRDefault="00FB7C66" w:rsidP="00FB7C66">
      <w:pPr>
        <w:tabs>
          <w:tab w:val="left" w:pos="284"/>
        </w:tabs>
        <w:spacing w:after="0" w:line="276" w:lineRule="auto"/>
        <w:contextualSpacing/>
        <w:jc w:val="both"/>
        <w:rPr>
          <w:rFonts w:ascii="Arial" w:eastAsia="Calibri" w:hAnsi="Arial" w:cs="Arial"/>
        </w:rPr>
      </w:pPr>
    </w:p>
    <w:p w14:paraId="2CF21218" w14:textId="77777777" w:rsidR="00FB7C66" w:rsidRPr="00FB7C66" w:rsidRDefault="00FB7C66" w:rsidP="00FB7C66">
      <w:pPr>
        <w:spacing w:after="0" w:line="240" w:lineRule="auto"/>
        <w:ind w:left="709" w:right="709"/>
        <w:contextualSpacing/>
        <w:jc w:val="both"/>
        <w:rPr>
          <w:rFonts w:ascii="Arial" w:eastAsia="Calibri" w:hAnsi="Arial" w:cs="Arial"/>
          <w:color w:val="000000" w:themeColor="text1"/>
          <w:sz w:val="21"/>
          <w:szCs w:val="21"/>
          <w:lang w:eastAsia="es-MX"/>
        </w:rPr>
      </w:pPr>
      <w:r w:rsidRPr="00FB7C66">
        <w:rPr>
          <w:rFonts w:ascii="Arial" w:eastAsia="Calibri" w:hAnsi="Arial" w:cs="Arial"/>
          <w:color w:val="000000" w:themeColor="text1"/>
          <w:sz w:val="21"/>
          <w:szCs w:val="21"/>
          <w:lang w:eastAsia="es-MX"/>
        </w:rPr>
        <w:t xml:space="preserve"> «</w:t>
      </w:r>
      <w:proofErr w:type="gramStart"/>
      <w:r w:rsidRPr="00FB7C66">
        <w:rPr>
          <w:rFonts w:ascii="Arial" w:eastAsia="Calibri" w:hAnsi="Arial" w:cs="Arial"/>
          <w:color w:val="000000" w:themeColor="text1"/>
          <w:sz w:val="21"/>
          <w:szCs w:val="21"/>
          <w:lang w:eastAsia="es-MX"/>
        </w:rPr>
        <w:t>Cuando se va a realizar el Cálculo de la Capacidad Residual de un proponente en un proceso bajo la modalidad de licitación Pública con pliegos Tipo, el oferente debe reportar dentro de su propuesta todos los contratos que están en ejecución, sin importar el tipo de contrato?</w:t>
      </w:r>
      <w:proofErr w:type="gramEnd"/>
      <w:r w:rsidRPr="00FB7C66">
        <w:rPr>
          <w:rFonts w:ascii="Arial" w:eastAsia="Calibri" w:hAnsi="Arial" w:cs="Arial"/>
          <w:color w:val="000000" w:themeColor="text1"/>
          <w:sz w:val="21"/>
          <w:szCs w:val="21"/>
          <w:lang w:eastAsia="es-MX"/>
        </w:rPr>
        <w:t xml:space="preserve"> o solo debe reportar los contratos de obra pública».</w:t>
      </w:r>
    </w:p>
    <w:p w14:paraId="5DACDAB0" w14:textId="77777777" w:rsidR="00FB7C66" w:rsidRPr="00FB7C66" w:rsidRDefault="00FB7C66" w:rsidP="00FB7C66">
      <w:pPr>
        <w:spacing w:after="0" w:line="276" w:lineRule="auto"/>
        <w:ind w:left="709" w:right="709"/>
        <w:contextualSpacing/>
        <w:jc w:val="both"/>
        <w:rPr>
          <w:rFonts w:ascii="Arial" w:hAnsi="Arial" w:cs="Arial"/>
          <w:bdr w:val="none" w:sz="0" w:space="0" w:color="auto" w:frame="1"/>
          <w:lang w:eastAsia="es-CO"/>
        </w:rPr>
      </w:pPr>
    </w:p>
    <w:p w14:paraId="4B4E8613" w14:textId="77777777" w:rsidR="00FB7C66" w:rsidRPr="00FB7C66" w:rsidRDefault="00FB7C66" w:rsidP="00FB7C66">
      <w:pPr>
        <w:numPr>
          <w:ilvl w:val="0"/>
          <w:numId w:val="6"/>
        </w:numPr>
        <w:shd w:val="clear" w:color="auto" w:fill="FFFFFF"/>
        <w:spacing w:after="0" w:line="276" w:lineRule="auto"/>
        <w:contextualSpacing/>
        <w:jc w:val="both"/>
        <w:textAlignment w:val="baseline"/>
        <w:rPr>
          <w:rFonts w:ascii="Arial" w:eastAsia="Times New Roman" w:hAnsi="Arial" w:cs="Arial"/>
          <w:b/>
          <w:bCs/>
          <w:bdr w:val="none" w:sz="0" w:space="0" w:color="auto" w:frame="1"/>
          <w:lang w:eastAsia="es-MX"/>
        </w:rPr>
      </w:pPr>
      <w:r w:rsidRPr="00FB7C66">
        <w:rPr>
          <w:rFonts w:ascii="Arial" w:eastAsia="Calibri" w:hAnsi="Arial" w:cs="Arial"/>
          <w:b/>
          <w:bCs/>
          <w:lang w:eastAsia="es-MX"/>
        </w:rPr>
        <w:t>Consideraciones</w:t>
      </w:r>
    </w:p>
    <w:p w14:paraId="1E7A7593" w14:textId="77777777" w:rsidR="00FB7C66" w:rsidRPr="00FB7C66" w:rsidRDefault="00FB7C66" w:rsidP="00FB7C66">
      <w:pPr>
        <w:spacing w:after="0" w:line="276" w:lineRule="auto"/>
        <w:contextualSpacing/>
        <w:jc w:val="both"/>
        <w:rPr>
          <w:rFonts w:ascii="Arial" w:hAnsi="Arial" w:cs="Arial"/>
          <w:highlight w:val="yellow"/>
          <w:lang w:val="es-ES" w:eastAsia="es-CO"/>
        </w:rPr>
      </w:pPr>
    </w:p>
    <w:p w14:paraId="418FC5A8" w14:textId="6BB53E26" w:rsidR="00FB7C66" w:rsidRPr="00FB7C66" w:rsidRDefault="00FB7C66" w:rsidP="00FE2E15">
      <w:pPr>
        <w:spacing w:after="120" w:line="276" w:lineRule="auto"/>
        <w:jc w:val="both"/>
        <w:rPr>
          <w:rFonts w:ascii="Arial" w:hAnsi="Arial" w:cs="Arial"/>
          <w:highlight w:val="yellow"/>
          <w:lang w:val="es-ES" w:eastAsia="es-CO"/>
        </w:rPr>
      </w:pPr>
      <w:r w:rsidRPr="00FB7C66">
        <w:rPr>
          <w:rFonts w:ascii="Arial" w:eastAsia="Calibri" w:hAnsi="Arial" w:cs="Arial"/>
          <w:color w:val="000000" w:themeColor="text1"/>
          <w:lang w:eastAsia="es-MX"/>
        </w:rPr>
        <w:lastRenderedPageBreak/>
        <w:t xml:space="preserve">Para responder a sus interrogantes se estudiarán los siguientes temas: i) la capacidad residual en la contratación de contratos de obra pública; </w:t>
      </w:r>
      <w:proofErr w:type="spellStart"/>
      <w:r w:rsidRPr="00FB7C66">
        <w:rPr>
          <w:rFonts w:ascii="Arial" w:eastAsia="Calibri" w:hAnsi="Arial" w:cs="Arial"/>
          <w:color w:val="000000" w:themeColor="text1"/>
          <w:lang w:eastAsia="es-MX"/>
        </w:rPr>
        <w:t>ii</w:t>
      </w:r>
      <w:proofErr w:type="spellEnd"/>
      <w:r w:rsidRPr="00FB7C66">
        <w:rPr>
          <w:rFonts w:ascii="Arial" w:eastAsia="Calibri" w:hAnsi="Arial" w:cs="Arial"/>
          <w:color w:val="000000" w:themeColor="text1"/>
          <w:lang w:eastAsia="es-MX"/>
        </w:rPr>
        <w:t>) lo</w:t>
      </w:r>
      <w:r w:rsidR="00FE2E15">
        <w:rPr>
          <w:rFonts w:ascii="Arial" w:eastAsia="Calibri" w:hAnsi="Arial" w:cs="Arial"/>
          <w:color w:val="000000" w:themeColor="text1"/>
          <w:lang w:eastAsia="es-MX"/>
        </w:rPr>
        <w:t>s</w:t>
      </w:r>
      <w:r w:rsidRPr="00FB7C66">
        <w:rPr>
          <w:rFonts w:ascii="Arial" w:eastAsia="Calibri" w:hAnsi="Arial" w:cs="Arial"/>
          <w:color w:val="000000" w:themeColor="text1"/>
          <w:lang w:eastAsia="es-MX"/>
        </w:rPr>
        <w:t xml:space="preserve"> documentos requeridos para el cálculo de la capacidad residual por parte de las </w:t>
      </w:r>
      <w:r w:rsidR="00E47734">
        <w:rPr>
          <w:rFonts w:ascii="Arial" w:eastAsia="Calibri" w:hAnsi="Arial" w:cs="Arial"/>
          <w:color w:val="000000" w:themeColor="text1"/>
          <w:lang w:eastAsia="es-MX"/>
        </w:rPr>
        <w:t>e</w:t>
      </w:r>
      <w:r w:rsidRPr="00FB7C66">
        <w:rPr>
          <w:rFonts w:ascii="Arial" w:eastAsia="Calibri" w:hAnsi="Arial" w:cs="Arial"/>
          <w:color w:val="000000" w:themeColor="text1"/>
          <w:lang w:eastAsia="es-MX"/>
        </w:rPr>
        <w:t xml:space="preserve">ntidades </w:t>
      </w:r>
      <w:r w:rsidR="00E47734">
        <w:rPr>
          <w:rFonts w:ascii="Arial" w:eastAsia="Calibri" w:hAnsi="Arial" w:cs="Arial"/>
          <w:color w:val="000000" w:themeColor="text1"/>
          <w:lang w:eastAsia="es-MX"/>
        </w:rPr>
        <w:t>e</w:t>
      </w:r>
      <w:r w:rsidRPr="00FB7C66">
        <w:rPr>
          <w:rFonts w:ascii="Arial" w:eastAsia="Calibri" w:hAnsi="Arial" w:cs="Arial"/>
          <w:color w:val="000000" w:themeColor="text1"/>
          <w:lang w:eastAsia="es-MX"/>
        </w:rPr>
        <w:t xml:space="preserve">statales y </w:t>
      </w:r>
      <w:proofErr w:type="spellStart"/>
      <w:r w:rsidRPr="00FB7C66">
        <w:rPr>
          <w:rFonts w:ascii="Arial" w:eastAsia="Calibri" w:hAnsi="Arial" w:cs="Arial"/>
          <w:color w:val="000000" w:themeColor="text1"/>
          <w:lang w:eastAsia="es-MX"/>
        </w:rPr>
        <w:t>iii</w:t>
      </w:r>
      <w:proofErr w:type="spellEnd"/>
      <w:r w:rsidRPr="00FB7C66">
        <w:rPr>
          <w:rFonts w:ascii="Arial" w:eastAsia="Calibri" w:hAnsi="Arial" w:cs="Arial"/>
          <w:color w:val="000000" w:themeColor="text1"/>
          <w:lang w:eastAsia="es-MX"/>
        </w:rPr>
        <w:t xml:space="preserve">) la regulación sobre la </w:t>
      </w:r>
      <w:r w:rsidR="00422D9E">
        <w:rPr>
          <w:rFonts w:ascii="Arial" w:eastAsia="Calibri" w:hAnsi="Arial" w:cs="Arial"/>
          <w:color w:val="000000" w:themeColor="text1"/>
          <w:lang w:eastAsia="es-MX"/>
        </w:rPr>
        <w:t>c</w:t>
      </w:r>
      <w:r w:rsidRPr="00FB7C66">
        <w:rPr>
          <w:rFonts w:ascii="Arial" w:eastAsia="Calibri" w:hAnsi="Arial" w:cs="Arial"/>
          <w:color w:val="000000" w:themeColor="text1"/>
          <w:lang w:eastAsia="es-MX"/>
        </w:rPr>
        <w:t xml:space="preserve">apacidad </w:t>
      </w:r>
      <w:r w:rsidR="00422D9E">
        <w:rPr>
          <w:rFonts w:ascii="Arial" w:eastAsia="Calibri" w:hAnsi="Arial" w:cs="Arial"/>
          <w:color w:val="000000" w:themeColor="text1"/>
          <w:lang w:eastAsia="es-MX"/>
        </w:rPr>
        <w:t>r</w:t>
      </w:r>
      <w:r w:rsidRPr="00FB7C66">
        <w:rPr>
          <w:rFonts w:ascii="Arial" w:eastAsia="Calibri" w:hAnsi="Arial" w:cs="Arial"/>
          <w:color w:val="000000" w:themeColor="text1"/>
          <w:lang w:eastAsia="es-MX"/>
        </w:rPr>
        <w:t xml:space="preserve">esidual contenida en los </w:t>
      </w:r>
      <w:r w:rsidR="00E47734">
        <w:rPr>
          <w:rFonts w:ascii="Arial" w:eastAsia="Calibri" w:hAnsi="Arial" w:cs="Arial"/>
          <w:color w:val="000000" w:themeColor="text1"/>
          <w:lang w:eastAsia="es-MX"/>
        </w:rPr>
        <w:t>documentos tipo</w:t>
      </w:r>
      <w:r w:rsidRPr="00FB7C66">
        <w:rPr>
          <w:rFonts w:ascii="Arial" w:eastAsia="Calibri" w:hAnsi="Arial" w:cs="Arial"/>
          <w:color w:val="000000" w:themeColor="text1"/>
          <w:lang w:eastAsia="es-MX"/>
        </w:rPr>
        <w:t xml:space="preserve"> de </w:t>
      </w:r>
      <w:r w:rsidR="00E47734">
        <w:rPr>
          <w:rFonts w:ascii="Arial" w:eastAsia="Calibri" w:hAnsi="Arial" w:cs="Arial"/>
          <w:color w:val="000000" w:themeColor="text1"/>
          <w:lang w:eastAsia="es-MX"/>
        </w:rPr>
        <w:t>l</w:t>
      </w:r>
      <w:r w:rsidRPr="00FB7C66">
        <w:rPr>
          <w:rFonts w:ascii="Arial" w:eastAsia="Calibri" w:hAnsi="Arial" w:cs="Arial"/>
          <w:color w:val="000000" w:themeColor="text1"/>
          <w:lang w:eastAsia="es-MX"/>
        </w:rPr>
        <w:t xml:space="preserve">icitación de </w:t>
      </w:r>
      <w:r w:rsidR="00E47734">
        <w:rPr>
          <w:rFonts w:ascii="Arial" w:eastAsia="Calibri" w:hAnsi="Arial" w:cs="Arial"/>
          <w:color w:val="000000" w:themeColor="text1"/>
          <w:lang w:eastAsia="es-MX"/>
        </w:rPr>
        <w:t>obra de i</w:t>
      </w:r>
      <w:r w:rsidRPr="00FB7C66">
        <w:rPr>
          <w:rFonts w:ascii="Arial" w:eastAsia="Calibri" w:hAnsi="Arial" w:cs="Arial"/>
          <w:color w:val="000000" w:themeColor="text1"/>
          <w:lang w:eastAsia="es-MX"/>
        </w:rPr>
        <w:t xml:space="preserve">nfraestructura de </w:t>
      </w:r>
      <w:r w:rsidR="00E47734">
        <w:rPr>
          <w:rFonts w:ascii="Arial" w:eastAsia="Calibri" w:hAnsi="Arial" w:cs="Arial"/>
          <w:color w:val="000000" w:themeColor="text1"/>
          <w:lang w:eastAsia="es-MX"/>
        </w:rPr>
        <w:t>t</w:t>
      </w:r>
      <w:r w:rsidRPr="00FB7C66">
        <w:rPr>
          <w:rFonts w:ascii="Arial" w:eastAsia="Calibri" w:hAnsi="Arial" w:cs="Arial"/>
          <w:color w:val="000000" w:themeColor="text1"/>
          <w:lang w:eastAsia="es-MX"/>
        </w:rPr>
        <w:t>ransporte.</w:t>
      </w:r>
    </w:p>
    <w:p w14:paraId="439EA7AE" w14:textId="77777777" w:rsidR="00FB7C66" w:rsidRPr="00FB7C66" w:rsidRDefault="00FB7C66" w:rsidP="00FB7C66">
      <w:pPr>
        <w:spacing w:after="0" w:line="276" w:lineRule="auto"/>
        <w:ind w:firstLine="708"/>
        <w:contextualSpacing/>
        <w:jc w:val="both"/>
        <w:rPr>
          <w:rFonts w:ascii="Arial" w:eastAsia="Calibri" w:hAnsi="Arial" w:cs="Arial"/>
          <w:szCs w:val="24"/>
          <w:lang w:eastAsia="es-MX"/>
        </w:rPr>
      </w:pPr>
      <w:bookmarkStart w:id="1" w:name="_Hlk97536947"/>
      <w:r w:rsidRPr="00FB7C66">
        <w:rPr>
          <w:rFonts w:ascii="Arial" w:eastAsia="Calibri" w:hAnsi="Arial" w:cs="Arial"/>
          <w:szCs w:val="24"/>
          <w:lang w:eastAsia="es-MX"/>
        </w:rPr>
        <w:t>La Agencia Nacional de Contratación Pública − Colombia Compra Eficiente se ha pronunciado sobre la capacidad residual y la forma como esta se debe acreditar en los conceptos</w:t>
      </w:r>
      <w:bookmarkEnd w:id="1"/>
      <w:r w:rsidRPr="00FB7C66">
        <w:rPr>
          <w:rFonts w:ascii="Arial" w:eastAsia="Calibri" w:hAnsi="Arial" w:cs="Arial"/>
          <w:szCs w:val="24"/>
          <w:lang w:eastAsia="es-MX"/>
        </w:rPr>
        <w:t xml:space="preserve"> con radicado 2201913000009642, del 26 de diciembre de 2019, C – 003 de 2021, del 25 de marzo de 2021, y C – 143 de 2021, del 9 de abril de 2021.  Las tesis propuestas en dichos conceptos se reiteran y, en lo necesario, se complementan conforme a las siguientes consideraciones:</w:t>
      </w:r>
    </w:p>
    <w:p w14:paraId="38939C66" w14:textId="77777777" w:rsidR="00FB7C66" w:rsidRPr="00FB7C66" w:rsidRDefault="00FB7C66" w:rsidP="00FB7C66">
      <w:pPr>
        <w:spacing w:after="0" w:line="276" w:lineRule="auto"/>
        <w:contextualSpacing/>
        <w:jc w:val="both"/>
        <w:rPr>
          <w:rFonts w:ascii="Arial" w:eastAsia="Calibri" w:hAnsi="Arial" w:cs="Arial"/>
          <w:color w:val="FF0000"/>
          <w:lang w:eastAsia="es-CO"/>
        </w:rPr>
      </w:pPr>
    </w:p>
    <w:p w14:paraId="11E3B4E6" w14:textId="389BBFD0" w:rsidR="00FB7C66" w:rsidRPr="00FB7C66" w:rsidRDefault="00FB7C66" w:rsidP="00FB7C66">
      <w:pPr>
        <w:spacing w:after="0" w:line="276" w:lineRule="auto"/>
        <w:contextualSpacing/>
        <w:jc w:val="both"/>
        <w:rPr>
          <w:rFonts w:ascii="Arial" w:hAnsi="Arial" w:cs="Arial"/>
          <w:b/>
          <w:bCs/>
          <w:lang w:eastAsia="es-CO"/>
        </w:rPr>
      </w:pPr>
      <w:bookmarkStart w:id="2" w:name="_Hlk97544404"/>
      <w:r w:rsidRPr="00FB7C66">
        <w:rPr>
          <w:rFonts w:ascii="Arial" w:hAnsi="Arial" w:cs="Arial"/>
          <w:b/>
          <w:bCs/>
          <w:lang w:eastAsia="es-CO"/>
        </w:rPr>
        <w:t>2.1.</w:t>
      </w:r>
      <w:bookmarkStart w:id="3" w:name="_Hlk97544963"/>
      <w:r w:rsidRPr="00FB7C66">
        <w:rPr>
          <w:rFonts w:ascii="Arial" w:hAnsi="Arial" w:cs="Arial"/>
          <w:b/>
          <w:bCs/>
          <w:lang w:eastAsia="es-CO"/>
        </w:rPr>
        <w:t xml:space="preserve"> Capacidad Residual en Contratos de Obra Pública </w:t>
      </w:r>
    </w:p>
    <w:bookmarkEnd w:id="2"/>
    <w:p w14:paraId="679F85BD" w14:textId="77777777" w:rsidR="00FB7C66" w:rsidRPr="00FB7C66" w:rsidRDefault="00FB7C66" w:rsidP="00FB7C66">
      <w:pPr>
        <w:spacing w:after="0" w:line="276" w:lineRule="auto"/>
        <w:contextualSpacing/>
        <w:jc w:val="both"/>
        <w:rPr>
          <w:rFonts w:ascii="Arial" w:hAnsi="Arial" w:cs="Arial"/>
          <w:color w:val="FF0000"/>
          <w:lang w:eastAsia="es-CO"/>
        </w:rPr>
      </w:pPr>
    </w:p>
    <w:p w14:paraId="2EAA6DB1" w14:textId="69EBDC22" w:rsidR="00FB7C66" w:rsidRPr="00FB7C66" w:rsidRDefault="00FB7C66" w:rsidP="00FE2E15">
      <w:pPr>
        <w:widowControl w:val="0"/>
        <w:autoSpaceDE w:val="0"/>
        <w:autoSpaceDN w:val="0"/>
        <w:spacing w:after="120" w:line="276" w:lineRule="auto"/>
        <w:ind w:firstLine="709"/>
        <w:jc w:val="both"/>
        <w:rPr>
          <w:rFonts w:ascii="Arial" w:eastAsia="Arial" w:hAnsi="Arial" w:cs="Arial"/>
        </w:rPr>
      </w:pPr>
      <w:bookmarkStart w:id="4" w:name="_Hlk98159514"/>
      <w:r w:rsidRPr="00FB7C66">
        <w:rPr>
          <w:rFonts w:ascii="Arial" w:eastAsia="Arial" w:hAnsi="Arial" w:cs="Arial"/>
        </w:rPr>
        <w:t xml:space="preserve">La capacidad residual es una aptitud que se le exige a los oferentes en los procesos de selección </w:t>
      </w:r>
      <w:r w:rsidR="00E47734">
        <w:rPr>
          <w:rFonts w:ascii="Arial" w:eastAsia="Arial" w:hAnsi="Arial" w:cs="Arial"/>
        </w:rPr>
        <w:t>de contratistas</w:t>
      </w:r>
      <w:r w:rsidR="00E47734" w:rsidRPr="00FB7C66">
        <w:rPr>
          <w:rFonts w:ascii="Arial" w:eastAsia="Arial" w:hAnsi="Arial" w:cs="Arial"/>
        </w:rPr>
        <w:t xml:space="preserve"> </w:t>
      </w:r>
      <w:r w:rsidRPr="00FB7C66">
        <w:rPr>
          <w:rFonts w:ascii="Arial" w:eastAsia="Arial" w:hAnsi="Arial" w:cs="Arial"/>
        </w:rPr>
        <w:t>con el objetivo de establecer o determinar si éstos pueden o no cumplir de manera oportuna y a cabalidad con las obligaciones derivadas del contrato de obra pública, sin que los demás compromisos contractuales que hubieran adquirido afecten su capacidad para cumplir con el objeto del contrato que está en proceso de selección</w:t>
      </w:r>
      <w:r w:rsidRPr="00FE2E15">
        <w:rPr>
          <w:rFonts w:ascii="Arial" w:eastAsia="Arial" w:hAnsi="Arial" w:cs="Arial"/>
          <w:vertAlign w:val="superscript"/>
        </w:rPr>
        <w:footnoteReference w:id="1"/>
      </w:r>
      <w:r w:rsidRPr="00FB7C66">
        <w:rPr>
          <w:rFonts w:ascii="Arial" w:eastAsia="Arial" w:hAnsi="Arial" w:cs="Arial"/>
        </w:rPr>
        <w:t xml:space="preserve">. </w:t>
      </w:r>
      <w:bookmarkEnd w:id="3"/>
      <w:bookmarkEnd w:id="4"/>
      <w:r w:rsidRPr="00FB7C66">
        <w:rPr>
          <w:rFonts w:ascii="Arial" w:eastAsia="Arial" w:hAnsi="Arial" w:cs="Arial"/>
        </w:rPr>
        <w:t>El Consejo de Estado ha definido la capacidad residual como: «la diferencia que existe entre el potencial de contratación que se tiene y los compromisos que haya adquirido y que se encuentren en ejecución, para la fecha de presentación de la oferta»</w:t>
      </w:r>
      <w:r w:rsidRPr="00FB7C66">
        <w:rPr>
          <w:rFonts w:ascii="Arial" w:eastAsia="Arial" w:hAnsi="Arial" w:cs="Arial"/>
          <w:vertAlign w:val="superscript"/>
        </w:rPr>
        <w:footnoteReference w:id="2"/>
      </w:r>
      <w:r w:rsidRPr="00FB7C66">
        <w:rPr>
          <w:rFonts w:ascii="Arial" w:eastAsia="Arial" w:hAnsi="Arial" w:cs="Arial"/>
        </w:rPr>
        <w:t>.</w:t>
      </w:r>
    </w:p>
    <w:p w14:paraId="117FC62C" w14:textId="129AFB8A" w:rsidR="00FB7C66" w:rsidRPr="00FB7C66" w:rsidRDefault="00FB7C66" w:rsidP="00FB7C66">
      <w:pPr>
        <w:widowControl w:val="0"/>
        <w:autoSpaceDE w:val="0"/>
        <w:autoSpaceDN w:val="0"/>
        <w:spacing w:after="0" w:line="276" w:lineRule="auto"/>
        <w:ind w:firstLine="709"/>
        <w:contextualSpacing/>
        <w:jc w:val="both"/>
        <w:rPr>
          <w:rFonts w:ascii="Arial" w:eastAsia="Arial" w:hAnsi="Arial" w:cs="Arial"/>
        </w:rPr>
      </w:pPr>
      <w:bookmarkStart w:id="5" w:name="_Hlk98159554"/>
      <w:bookmarkStart w:id="6" w:name="_Hlk97545054"/>
      <w:r w:rsidRPr="00FB7C66">
        <w:rPr>
          <w:rFonts w:ascii="Arial" w:eastAsia="Arial" w:hAnsi="Arial" w:cs="Arial"/>
        </w:rPr>
        <w:t xml:space="preserve">Por su parte, esta Agencia, en </w:t>
      </w:r>
      <w:r w:rsidR="00E47734">
        <w:rPr>
          <w:rFonts w:ascii="Arial" w:eastAsia="Arial" w:hAnsi="Arial" w:cs="Arial"/>
        </w:rPr>
        <w:t xml:space="preserve">los </w:t>
      </w:r>
      <w:r w:rsidRPr="00FB7C66">
        <w:rPr>
          <w:rFonts w:ascii="Arial" w:eastAsia="Arial" w:hAnsi="Arial" w:cs="Arial"/>
        </w:rPr>
        <w:t xml:space="preserve">conceptos C-033 del 25 de marzo de 2021 y C-143 del 9 de abril de 2021, </w:t>
      </w:r>
      <w:r w:rsidR="004936C0">
        <w:rPr>
          <w:rFonts w:ascii="Arial" w:eastAsia="Arial" w:hAnsi="Arial" w:cs="Arial"/>
        </w:rPr>
        <w:t>definió</w:t>
      </w:r>
      <w:r w:rsidRPr="00FB7C66">
        <w:rPr>
          <w:rFonts w:ascii="Arial" w:eastAsia="Arial" w:hAnsi="Arial" w:cs="Arial"/>
        </w:rPr>
        <w:t xml:space="preserve"> la capacidad residual como la suficiencia que se predica del proponente para asumir nuevas obligaciones que se derivan del contrato objeto del proceso de contratación, en relación con las obligaciones que ha adquirido simultáneamente en contratos ya perfeccionados y en ejecución.</w:t>
      </w:r>
      <w:bookmarkEnd w:id="5"/>
      <w:r w:rsidRPr="00FB7C66">
        <w:rPr>
          <w:rFonts w:ascii="Arial" w:eastAsia="Arial" w:hAnsi="Arial" w:cs="Arial"/>
        </w:rPr>
        <w:t xml:space="preserve"> </w:t>
      </w:r>
      <w:bookmarkEnd w:id="6"/>
      <w:r w:rsidRPr="00FB7C66">
        <w:rPr>
          <w:rFonts w:ascii="Arial" w:eastAsia="Arial" w:hAnsi="Arial" w:cs="Arial"/>
        </w:rPr>
        <w:t xml:space="preserve">La exigencia de la </w:t>
      </w:r>
      <w:r w:rsidR="004936C0">
        <w:rPr>
          <w:rFonts w:ascii="Arial" w:eastAsia="Arial" w:hAnsi="Arial" w:cs="Arial"/>
        </w:rPr>
        <w:t>c</w:t>
      </w:r>
      <w:r w:rsidRPr="00FB7C66">
        <w:rPr>
          <w:rFonts w:ascii="Arial" w:eastAsia="Arial" w:hAnsi="Arial" w:cs="Arial"/>
        </w:rPr>
        <w:t xml:space="preserve">apacidad </w:t>
      </w:r>
      <w:r w:rsidR="004936C0">
        <w:rPr>
          <w:rFonts w:ascii="Arial" w:eastAsia="Arial" w:hAnsi="Arial" w:cs="Arial"/>
        </w:rPr>
        <w:t>r</w:t>
      </w:r>
      <w:r w:rsidRPr="00FB7C66">
        <w:rPr>
          <w:rFonts w:ascii="Arial" w:eastAsia="Arial" w:hAnsi="Arial" w:cs="Arial"/>
        </w:rPr>
        <w:t xml:space="preserve">esidual o K de contratación </w:t>
      </w:r>
      <w:r w:rsidR="004936C0">
        <w:rPr>
          <w:rFonts w:ascii="Arial" w:eastAsia="Arial" w:hAnsi="Arial" w:cs="Arial"/>
        </w:rPr>
        <w:t xml:space="preserve">está regulada en la </w:t>
      </w:r>
      <w:r w:rsidRPr="00FB7C66">
        <w:rPr>
          <w:rFonts w:ascii="Arial" w:eastAsia="Arial" w:hAnsi="Arial" w:cs="Arial"/>
        </w:rPr>
        <w:t>Ley 1150 de 2007, que en el parágrafo 1° del artículo 6 dispone:</w:t>
      </w:r>
    </w:p>
    <w:p w14:paraId="6DE243F3" w14:textId="77777777" w:rsidR="00FB7C66" w:rsidRPr="00AC0A61" w:rsidRDefault="00FB7C66" w:rsidP="00FB7C66">
      <w:pPr>
        <w:widowControl w:val="0"/>
        <w:autoSpaceDE w:val="0"/>
        <w:autoSpaceDN w:val="0"/>
        <w:spacing w:after="0" w:line="276" w:lineRule="auto"/>
        <w:contextualSpacing/>
        <w:jc w:val="both"/>
        <w:rPr>
          <w:rFonts w:ascii="Arial" w:eastAsia="Arial" w:hAnsi="Arial" w:cs="Arial"/>
          <w:color w:val="FF0000"/>
        </w:rPr>
      </w:pPr>
    </w:p>
    <w:p w14:paraId="1C55A370"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r w:rsidRPr="00FB7C66">
        <w:rPr>
          <w:rFonts w:ascii="Arial" w:eastAsia="Calibri" w:hAnsi="Arial" w:cs="Arial"/>
          <w:color w:val="000000" w:themeColor="text1"/>
          <w:sz w:val="21"/>
          <w:szCs w:val="21"/>
          <w:lang w:val="es-ES"/>
        </w:rPr>
        <w:t>«Para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1C6BB15E"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p>
    <w:p w14:paraId="6A802708"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r w:rsidRPr="00FB7C66">
        <w:rPr>
          <w:rFonts w:ascii="Arial" w:eastAsia="Calibri" w:hAnsi="Arial" w:cs="Arial"/>
          <w:color w:val="000000" w:themeColor="text1"/>
          <w:sz w:val="21"/>
          <w:szCs w:val="21"/>
          <w:lang w:val="es-ES"/>
        </w:rPr>
        <w:t xml:space="preserve">Para establecer la capacidad residual del proponente o K de contratación, se deberán considerar todos los contratos que tenga en ejecución el proponente al </w:t>
      </w:r>
      <w:r w:rsidRPr="00FB7C66">
        <w:rPr>
          <w:rFonts w:ascii="Arial" w:eastAsia="Calibri" w:hAnsi="Arial" w:cs="Arial"/>
          <w:color w:val="000000" w:themeColor="text1"/>
          <w:sz w:val="21"/>
          <w:szCs w:val="21"/>
          <w:lang w:val="es-ES"/>
        </w:rPr>
        <w:lastRenderedPageBreak/>
        <w:t>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51664D79" w14:textId="77777777" w:rsidR="00FB7C66" w:rsidRPr="00FB7C66" w:rsidRDefault="00FB7C66" w:rsidP="00FB7C66">
      <w:pPr>
        <w:widowControl w:val="0"/>
        <w:autoSpaceDE w:val="0"/>
        <w:autoSpaceDN w:val="0"/>
        <w:spacing w:after="0" w:line="276" w:lineRule="auto"/>
        <w:contextualSpacing/>
        <w:jc w:val="both"/>
        <w:rPr>
          <w:rFonts w:ascii="Arial" w:eastAsia="Arial" w:hAnsi="Arial" w:cs="Arial"/>
          <w:lang w:val="es-ES"/>
        </w:rPr>
      </w:pPr>
    </w:p>
    <w:p w14:paraId="5CB7068D" w14:textId="77777777" w:rsidR="00FB7C66" w:rsidRPr="00FB7C66" w:rsidRDefault="00FB7C66" w:rsidP="00FB7C66">
      <w:pPr>
        <w:widowControl w:val="0"/>
        <w:autoSpaceDE w:val="0"/>
        <w:autoSpaceDN w:val="0"/>
        <w:spacing w:after="0" w:line="276" w:lineRule="auto"/>
        <w:ind w:firstLine="709"/>
        <w:contextualSpacing/>
        <w:jc w:val="both"/>
        <w:rPr>
          <w:rFonts w:ascii="Arial" w:eastAsia="Arial" w:hAnsi="Arial" w:cs="Arial"/>
        </w:rPr>
      </w:pPr>
      <w:r w:rsidRPr="00FB7C66">
        <w:rPr>
          <w:rFonts w:ascii="Arial" w:eastAsia="Arial" w:hAnsi="Arial" w:cs="Arial"/>
        </w:rPr>
        <w:t>La anterior disposición fue inicialmente reglamentada mediante el artículo 2 del Decreto 4881 de 2008, que definía la capacidad residual como:</w:t>
      </w:r>
    </w:p>
    <w:p w14:paraId="74834921" w14:textId="77777777" w:rsidR="00FB7C66" w:rsidRPr="00FB7C66" w:rsidRDefault="00FB7C66" w:rsidP="00FB7C66">
      <w:pPr>
        <w:widowControl w:val="0"/>
        <w:autoSpaceDE w:val="0"/>
        <w:autoSpaceDN w:val="0"/>
        <w:spacing w:after="0" w:line="276" w:lineRule="auto"/>
        <w:ind w:left="709" w:right="709"/>
        <w:contextualSpacing/>
        <w:jc w:val="both"/>
        <w:rPr>
          <w:rFonts w:ascii="Arial" w:eastAsia="Arial" w:hAnsi="Arial" w:cs="Arial"/>
          <w:lang w:val="es-ES"/>
        </w:rPr>
      </w:pPr>
    </w:p>
    <w:p w14:paraId="6B996521"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r w:rsidRPr="00FB7C66">
        <w:rPr>
          <w:rFonts w:ascii="Arial" w:eastAsia="Calibri" w:hAnsi="Arial" w:cs="Arial"/>
          <w:color w:val="000000" w:themeColor="text1"/>
          <w:sz w:val="21"/>
          <w:szCs w:val="21"/>
          <w:lang w:val="es-ES"/>
        </w:rPr>
        <w:t>«</w:t>
      </w:r>
      <w:r w:rsidRPr="00FB7C66">
        <w:rPr>
          <w:rFonts w:ascii="Arial" w:eastAsia="Calibri" w:hAnsi="Arial" w:cs="Arial"/>
          <w:b/>
          <w:bCs/>
          <w:color w:val="000000" w:themeColor="text1"/>
          <w:sz w:val="21"/>
          <w:szCs w:val="21"/>
          <w:lang w:val="es-ES"/>
        </w:rPr>
        <w:t>2. Capacidad residual.</w:t>
      </w:r>
      <w:r w:rsidRPr="00FB7C66">
        <w:rPr>
          <w:rFonts w:ascii="Arial" w:eastAsia="Calibri" w:hAnsi="Arial" w:cs="Arial"/>
          <w:color w:val="000000" w:themeColor="text1"/>
          <w:sz w:val="21"/>
          <w:szCs w:val="21"/>
          <w:lang w:val="es-ES"/>
        </w:rPr>
        <w:t xml:space="preserve"> Es la capacidad real de contratación que resulta de restarle a la capacidad máxima de contratación, la sumatoria de los valores de los contratos que tenga en ejecución el contratista. El cálculo de la capacidad residual se exigirá por las entidades estatales para el momento en que se presente la propuesta, cualquiera que sea la modalidad del contrato.</w:t>
      </w:r>
    </w:p>
    <w:p w14:paraId="76C9A3C9"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p>
    <w:p w14:paraId="309D5F84"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r w:rsidRPr="00FB7C66">
        <w:rPr>
          <w:rFonts w:ascii="Arial" w:eastAsia="Calibri" w:hAnsi="Arial" w:cs="Arial"/>
          <w:color w:val="000000" w:themeColor="text1"/>
          <w:sz w:val="21"/>
          <w:szCs w:val="21"/>
          <w:lang w:val="es-ES"/>
        </w:rPr>
        <w:t>Para establecer la capacidad residual del proponente o K de contratación, la entidad contratante deberá considerar los contratos relevantes que tenga en ejecución el proponente al momento de presentar la oferta, de acuerdo con lo señalado en el respectivo pliego de condiciones, incluyendo los que tenga por su participación en sociedades, consorcios o uniones temporales, según se haya dispuesto en el pliego de condiciones del proceso. […]».</w:t>
      </w:r>
    </w:p>
    <w:p w14:paraId="20660A6B" w14:textId="77777777" w:rsidR="00FB7C66" w:rsidRPr="00FB7C66" w:rsidRDefault="00FB7C66" w:rsidP="00FB7C66">
      <w:pPr>
        <w:widowControl w:val="0"/>
        <w:autoSpaceDE w:val="0"/>
        <w:autoSpaceDN w:val="0"/>
        <w:spacing w:after="0" w:line="276" w:lineRule="auto"/>
        <w:contextualSpacing/>
        <w:jc w:val="both"/>
        <w:rPr>
          <w:rFonts w:ascii="Arial" w:eastAsia="Arial" w:hAnsi="Arial" w:cs="Arial"/>
          <w:color w:val="FF0000"/>
          <w:lang w:val="es-ES"/>
        </w:rPr>
      </w:pPr>
    </w:p>
    <w:p w14:paraId="05AA7EF2" w14:textId="6F89B4ED" w:rsidR="00FB7C66" w:rsidRPr="00FB7C66" w:rsidRDefault="00FB7C66" w:rsidP="00FB7C66">
      <w:pPr>
        <w:widowControl w:val="0"/>
        <w:autoSpaceDE w:val="0"/>
        <w:autoSpaceDN w:val="0"/>
        <w:spacing w:after="0" w:line="276" w:lineRule="auto"/>
        <w:ind w:firstLine="709"/>
        <w:contextualSpacing/>
        <w:jc w:val="both"/>
        <w:rPr>
          <w:rFonts w:ascii="Arial" w:eastAsia="Arial" w:hAnsi="Arial" w:cs="Arial"/>
        </w:rPr>
      </w:pPr>
      <w:r w:rsidRPr="00FB7C66">
        <w:rPr>
          <w:rFonts w:ascii="Arial" w:eastAsia="Arial" w:hAnsi="Arial" w:cs="Arial"/>
        </w:rPr>
        <w:t xml:space="preserve">Posteriormente, el Decreto 734 de 2012 derogó el Decreto 4881 de 2008 y estableció una nueva definición para </w:t>
      </w:r>
      <w:r w:rsidR="004936C0">
        <w:rPr>
          <w:rFonts w:ascii="Arial" w:eastAsia="Arial" w:hAnsi="Arial" w:cs="Arial"/>
        </w:rPr>
        <w:t xml:space="preserve">la </w:t>
      </w:r>
      <w:r w:rsidRPr="00FB7C66">
        <w:rPr>
          <w:rFonts w:ascii="Arial" w:eastAsia="Arial" w:hAnsi="Arial" w:cs="Arial"/>
        </w:rPr>
        <w:t>capacidad residual, así:</w:t>
      </w:r>
    </w:p>
    <w:p w14:paraId="78D4B5BE" w14:textId="77777777" w:rsidR="00FB7C66" w:rsidRPr="00FB7C66" w:rsidRDefault="00FB7C66" w:rsidP="00FB7C66">
      <w:pPr>
        <w:widowControl w:val="0"/>
        <w:autoSpaceDE w:val="0"/>
        <w:autoSpaceDN w:val="0"/>
        <w:spacing w:after="0" w:line="276" w:lineRule="auto"/>
        <w:contextualSpacing/>
        <w:jc w:val="both"/>
        <w:rPr>
          <w:rFonts w:ascii="Arial" w:eastAsia="Arial" w:hAnsi="Arial" w:cs="Arial"/>
          <w:lang w:val="es-ES"/>
        </w:rPr>
      </w:pPr>
    </w:p>
    <w:p w14:paraId="134D4432"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b/>
          <w:bCs/>
          <w:color w:val="000000" w:themeColor="text1"/>
          <w:sz w:val="21"/>
          <w:szCs w:val="21"/>
          <w:u w:val="single"/>
          <w:lang w:val="es-ES"/>
        </w:rPr>
      </w:pPr>
      <w:r w:rsidRPr="00FB7C66">
        <w:rPr>
          <w:rFonts w:ascii="Arial" w:eastAsia="Calibri" w:hAnsi="Arial" w:cs="Arial"/>
          <w:color w:val="000000" w:themeColor="text1"/>
          <w:sz w:val="21"/>
          <w:szCs w:val="21"/>
          <w:lang w:val="es-ES"/>
        </w:rPr>
        <w:t>«</w:t>
      </w:r>
      <w:r w:rsidRPr="00AC0A61">
        <w:rPr>
          <w:rFonts w:ascii="Arial" w:eastAsia="Calibri" w:hAnsi="Arial" w:cs="Arial"/>
          <w:i/>
          <w:iCs/>
          <w:color w:val="000000" w:themeColor="text1"/>
          <w:sz w:val="21"/>
          <w:szCs w:val="21"/>
          <w:lang w:val="es-ES"/>
        </w:rPr>
        <w:t>1. Capacidad residual para la contratación de cualquier obra</w:t>
      </w:r>
      <w:r w:rsidRPr="00AC0A61">
        <w:rPr>
          <w:rFonts w:ascii="Arial" w:eastAsia="Calibri" w:hAnsi="Arial" w:cs="Arial"/>
          <w:color w:val="000000" w:themeColor="text1"/>
          <w:sz w:val="21"/>
          <w:szCs w:val="21"/>
          <w:lang w:val="es-ES"/>
        </w:rPr>
        <w:t>.</w:t>
      </w:r>
      <w:r w:rsidRPr="00FB7C66">
        <w:rPr>
          <w:rFonts w:ascii="Arial" w:eastAsia="Calibri" w:hAnsi="Arial" w:cs="Arial"/>
          <w:b/>
          <w:bCs/>
          <w:color w:val="000000" w:themeColor="text1"/>
          <w:sz w:val="21"/>
          <w:szCs w:val="21"/>
          <w:lang w:val="es-ES"/>
        </w:rPr>
        <w:t xml:space="preserve"> </w:t>
      </w:r>
      <w:r w:rsidRPr="00FB7C66">
        <w:rPr>
          <w:rFonts w:ascii="Arial" w:eastAsia="Calibri" w:hAnsi="Arial" w:cs="Arial"/>
          <w:color w:val="000000" w:themeColor="text1"/>
          <w:sz w:val="21"/>
          <w:szCs w:val="21"/>
          <w:lang w:val="es-ES"/>
        </w:rPr>
        <w:t xml:space="preserve">Es el indicador que resulta de restarle al indicador financiero de capital de trabajo, </w:t>
      </w:r>
      <w:r w:rsidRPr="00AC0A61">
        <w:rPr>
          <w:rFonts w:ascii="Arial" w:eastAsia="Calibri" w:hAnsi="Arial" w:cs="Arial"/>
          <w:i/>
          <w:iCs/>
          <w:color w:val="000000" w:themeColor="text1"/>
          <w:sz w:val="21"/>
          <w:szCs w:val="21"/>
          <w:lang w:val="es-ES"/>
        </w:rPr>
        <w:t xml:space="preserve">la sumatoria de todos los valores de los contratos que tenga en ejecución el contratista en la actividad de construcción al momento de participar en un determinado proceso de selección con el fin de señalar su nivel de saturación y que se acreditará ante la entidad </w:t>
      </w:r>
      <w:proofErr w:type="gramStart"/>
      <w:r w:rsidRPr="00AC0A61">
        <w:rPr>
          <w:rFonts w:ascii="Arial" w:eastAsia="Calibri" w:hAnsi="Arial" w:cs="Arial"/>
          <w:i/>
          <w:iCs/>
          <w:color w:val="000000" w:themeColor="text1"/>
          <w:sz w:val="21"/>
          <w:szCs w:val="21"/>
          <w:lang w:val="es-ES"/>
        </w:rPr>
        <w:t>de acuerdo a</w:t>
      </w:r>
      <w:proofErr w:type="gramEnd"/>
      <w:r w:rsidRPr="00AC0A61">
        <w:rPr>
          <w:rFonts w:ascii="Arial" w:eastAsia="Calibri" w:hAnsi="Arial" w:cs="Arial"/>
          <w:i/>
          <w:iCs/>
          <w:color w:val="000000" w:themeColor="text1"/>
          <w:sz w:val="21"/>
          <w:szCs w:val="21"/>
          <w:lang w:val="es-ES"/>
        </w:rPr>
        <w:t xml:space="preserve"> los parámetros señalados en el presente decreto y en los respectivos pliegos de condiciones.</w:t>
      </w:r>
    </w:p>
    <w:p w14:paraId="163DE38B"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p>
    <w:p w14:paraId="5F4F19DF"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r w:rsidRPr="00FB7C66">
        <w:rPr>
          <w:rFonts w:ascii="Arial" w:eastAsia="Calibri" w:hAnsi="Arial" w:cs="Arial"/>
          <w:color w:val="000000" w:themeColor="text1"/>
          <w:sz w:val="21"/>
          <w:szCs w:val="21"/>
          <w:lang w:val="es-ES"/>
        </w:rPr>
        <w:t>El referido nivel de saturación debe ser igual o superior al que la entidad estatal establezca en los respectivos pliegos de condiciones.</w:t>
      </w:r>
    </w:p>
    <w:p w14:paraId="78A059B3"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p>
    <w:p w14:paraId="3A9E1220"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r w:rsidRPr="00FB7C66">
        <w:rPr>
          <w:rFonts w:ascii="Arial" w:eastAsia="Calibri" w:hAnsi="Arial" w:cs="Arial"/>
          <w:color w:val="000000" w:themeColor="text1"/>
          <w:sz w:val="21"/>
          <w:szCs w:val="21"/>
          <w:lang w:val="es-ES"/>
        </w:rPr>
        <w:t>Para establecer la capacidad residual del proponente, la entidad contratante deberá considerar los contratos que tenga en ejecución el proponente al momento de presentar la oferta, de acuerdo con lo señalado en el respectivo pliego de condiciones, incluyendo los que tenga por su participación en sociedades, consorcios o uniones temporales y sobre estos se aplicará la información que sobre el capital de trabajo incorpora el RUP. El pliego también definirá la forma en que se tendrá en cuenta el porcentaje de ejecución de contratos no finalizados que se consideren en el cálculo de la capacidad residual para obtener su resultado.</w:t>
      </w:r>
    </w:p>
    <w:p w14:paraId="5D2A3741"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p>
    <w:p w14:paraId="3796AC74" w14:textId="7E08B3DF"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r w:rsidRPr="00FB7C66">
        <w:rPr>
          <w:rFonts w:ascii="Arial" w:eastAsia="Calibri" w:hAnsi="Arial" w:cs="Arial"/>
          <w:color w:val="000000" w:themeColor="text1"/>
          <w:sz w:val="21"/>
          <w:szCs w:val="21"/>
          <w:lang w:val="es-ES"/>
        </w:rPr>
        <w:t xml:space="preserve">La Capacidad Residual (CR) tiene como objetivo evaluar el equilibrio patrimonial a corto plazo de un oferente a una contratación de una obra específica. El valor </w:t>
      </w:r>
      <w:r w:rsidRPr="00FB7C66">
        <w:rPr>
          <w:rFonts w:ascii="Arial" w:eastAsia="Calibri" w:hAnsi="Arial" w:cs="Arial"/>
          <w:color w:val="000000" w:themeColor="text1"/>
          <w:sz w:val="21"/>
          <w:szCs w:val="21"/>
          <w:lang w:val="es-ES"/>
        </w:rPr>
        <w:lastRenderedPageBreak/>
        <w:t>de este indicador solo tendrá vigencia al momento de la presentación de oferta y para la contratación específica de la oferta en cuestión». (</w:t>
      </w:r>
      <w:r w:rsidR="004936C0">
        <w:rPr>
          <w:rFonts w:ascii="Arial" w:eastAsia="Calibri" w:hAnsi="Arial" w:cs="Arial"/>
          <w:color w:val="000000" w:themeColor="text1"/>
          <w:sz w:val="21"/>
          <w:szCs w:val="21"/>
          <w:lang w:val="es-ES"/>
        </w:rPr>
        <w:t>Cursivas</w:t>
      </w:r>
      <w:r w:rsidRPr="00FB7C66">
        <w:rPr>
          <w:rFonts w:ascii="Arial" w:eastAsia="Calibri" w:hAnsi="Arial" w:cs="Arial"/>
          <w:color w:val="000000" w:themeColor="text1"/>
          <w:sz w:val="21"/>
          <w:szCs w:val="21"/>
          <w:lang w:val="es-ES"/>
        </w:rPr>
        <w:t xml:space="preserve"> fuera del texto original).</w:t>
      </w:r>
    </w:p>
    <w:p w14:paraId="2A62B0F0" w14:textId="77777777" w:rsidR="00FB7C66" w:rsidRPr="00FB7C66" w:rsidRDefault="00FB7C66" w:rsidP="00FB7C66">
      <w:pPr>
        <w:widowControl w:val="0"/>
        <w:autoSpaceDE w:val="0"/>
        <w:autoSpaceDN w:val="0"/>
        <w:spacing w:after="0" w:line="276" w:lineRule="auto"/>
        <w:contextualSpacing/>
        <w:jc w:val="both"/>
        <w:rPr>
          <w:rFonts w:ascii="Arial" w:eastAsia="Arial" w:hAnsi="Arial" w:cs="Arial"/>
          <w:color w:val="FF0000"/>
          <w:lang w:val="es-ES"/>
        </w:rPr>
      </w:pPr>
    </w:p>
    <w:p w14:paraId="2C956E3A" w14:textId="370C2706" w:rsidR="00FB7C66" w:rsidRPr="00FB7C66" w:rsidRDefault="00FB7C66" w:rsidP="00AC0A61">
      <w:pPr>
        <w:widowControl w:val="0"/>
        <w:autoSpaceDE w:val="0"/>
        <w:autoSpaceDN w:val="0"/>
        <w:spacing w:after="120" w:line="276" w:lineRule="auto"/>
        <w:ind w:firstLine="709"/>
        <w:jc w:val="both"/>
        <w:rPr>
          <w:rFonts w:ascii="Arial" w:eastAsia="Arial" w:hAnsi="Arial" w:cs="Arial"/>
        </w:rPr>
      </w:pPr>
      <w:r w:rsidRPr="00FB7C66">
        <w:rPr>
          <w:rFonts w:ascii="Arial" w:eastAsia="Arial" w:hAnsi="Arial" w:cs="Arial"/>
        </w:rPr>
        <w:t xml:space="preserve">Nótese que en esta definición de capacidad residual se señalaba que para su obtención se debían sumar los valores de los contratos en ejecución que tuviera el contratista, relacionados específicamente con la actividad de construcción, limitando así a este objeto contractual </w:t>
      </w:r>
      <w:r w:rsidR="004936C0">
        <w:rPr>
          <w:rFonts w:ascii="Arial" w:eastAsia="Arial" w:hAnsi="Arial" w:cs="Arial"/>
        </w:rPr>
        <w:t>–</w:t>
      </w:r>
      <w:r w:rsidRPr="00FB7C66">
        <w:rPr>
          <w:rFonts w:ascii="Arial" w:eastAsia="Arial" w:hAnsi="Arial" w:cs="Arial"/>
        </w:rPr>
        <w:t>actividad de construcción</w:t>
      </w:r>
      <w:r w:rsidR="004936C0">
        <w:rPr>
          <w:rFonts w:ascii="Arial" w:eastAsia="Arial" w:hAnsi="Arial" w:cs="Arial"/>
        </w:rPr>
        <w:t>–</w:t>
      </w:r>
      <w:r w:rsidRPr="00FB7C66">
        <w:rPr>
          <w:rFonts w:ascii="Arial" w:eastAsia="Arial" w:hAnsi="Arial" w:cs="Arial"/>
        </w:rPr>
        <w:t xml:space="preserve"> los contratos </w:t>
      </w:r>
      <w:proofErr w:type="gramStart"/>
      <w:r w:rsidRPr="00FB7C66">
        <w:rPr>
          <w:rFonts w:ascii="Arial" w:eastAsia="Arial" w:hAnsi="Arial" w:cs="Arial"/>
        </w:rPr>
        <w:t>a</w:t>
      </w:r>
      <w:proofErr w:type="gramEnd"/>
      <w:r w:rsidRPr="00FB7C66">
        <w:rPr>
          <w:rFonts w:ascii="Arial" w:eastAsia="Arial" w:hAnsi="Arial" w:cs="Arial"/>
        </w:rPr>
        <w:t xml:space="preserve"> tener en cuenta en el cálculo de la capacidad residual. </w:t>
      </w:r>
    </w:p>
    <w:p w14:paraId="7BB27870" w14:textId="334E7C76" w:rsidR="00FB7C66" w:rsidRPr="00FB7C66" w:rsidRDefault="00FB7C66" w:rsidP="00FB7C66">
      <w:pPr>
        <w:widowControl w:val="0"/>
        <w:autoSpaceDE w:val="0"/>
        <w:autoSpaceDN w:val="0"/>
        <w:spacing w:after="0" w:line="276" w:lineRule="auto"/>
        <w:ind w:firstLine="709"/>
        <w:contextualSpacing/>
        <w:jc w:val="both"/>
        <w:rPr>
          <w:rFonts w:ascii="Arial" w:eastAsia="Arial" w:hAnsi="Arial" w:cs="Arial"/>
        </w:rPr>
      </w:pPr>
      <w:r w:rsidRPr="00FB7C66">
        <w:rPr>
          <w:rFonts w:ascii="Arial" w:eastAsia="Arial" w:hAnsi="Arial" w:cs="Arial"/>
        </w:rPr>
        <w:t xml:space="preserve">Con posterioridad, el artículo 72 de la Ley 1682 de 2013 estableció, de forma más precisa, los componentes que se deben tener en cuenta para calcular la </w:t>
      </w:r>
      <w:r w:rsidR="00422D9E">
        <w:rPr>
          <w:rFonts w:ascii="Arial" w:eastAsia="Arial" w:hAnsi="Arial" w:cs="Arial"/>
        </w:rPr>
        <w:t>c</w:t>
      </w:r>
      <w:r w:rsidRPr="00FB7C66">
        <w:rPr>
          <w:rFonts w:ascii="Arial" w:eastAsia="Arial" w:hAnsi="Arial" w:cs="Arial"/>
        </w:rPr>
        <w:t xml:space="preserve">apacidad </w:t>
      </w:r>
      <w:r w:rsidR="00422D9E">
        <w:rPr>
          <w:rFonts w:ascii="Arial" w:eastAsia="Arial" w:hAnsi="Arial" w:cs="Arial"/>
        </w:rPr>
        <w:t>r</w:t>
      </w:r>
      <w:r w:rsidRPr="00FB7C66">
        <w:rPr>
          <w:rFonts w:ascii="Arial" w:eastAsia="Arial" w:hAnsi="Arial" w:cs="Arial"/>
        </w:rPr>
        <w:t>esidual en procesos contractuales de obra pública de la siguiente forma:</w:t>
      </w:r>
    </w:p>
    <w:p w14:paraId="08C36AEF" w14:textId="77777777" w:rsidR="00FB7C66" w:rsidRPr="00FB7C66" w:rsidRDefault="00FB7C66" w:rsidP="00FB7C66">
      <w:pPr>
        <w:widowControl w:val="0"/>
        <w:autoSpaceDE w:val="0"/>
        <w:autoSpaceDN w:val="0"/>
        <w:spacing w:after="0" w:line="276" w:lineRule="auto"/>
        <w:contextualSpacing/>
        <w:jc w:val="both"/>
        <w:rPr>
          <w:rFonts w:ascii="Arial" w:eastAsia="Arial" w:hAnsi="Arial" w:cs="Arial"/>
          <w:color w:val="FF0000"/>
          <w:lang w:val="es-ES"/>
        </w:rPr>
      </w:pPr>
    </w:p>
    <w:p w14:paraId="4BEA0B3F"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r w:rsidRPr="00FB7C66">
        <w:rPr>
          <w:rFonts w:ascii="Arial" w:eastAsia="Calibri" w:hAnsi="Arial" w:cs="Arial"/>
          <w:color w:val="000000" w:themeColor="text1"/>
          <w:sz w:val="21"/>
          <w:szCs w:val="21"/>
          <w:lang w:val="es-ES"/>
        </w:rPr>
        <w:t>«</w:t>
      </w:r>
      <w:r w:rsidRPr="00AC0A61">
        <w:rPr>
          <w:rFonts w:ascii="Arial" w:eastAsia="Calibri" w:hAnsi="Arial" w:cs="Arial"/>
          <w:color w:val="000000" w:themeColor="text1"/>
          <w:sz w:val="21"/>
          <w:szCs w:val="21"/>
          <w:lang w:val="es-ES"/>
        </w:rPr>
        <w:t>Capacidad residual de contratación para contratos de obra pública.</w:t>
      </w:r>
      <w:r w:rsidRPr="00FB7C66">
        <w:rPr>
          <w:rFonts w:ascii="Arial" w:eastAsia="Calibri" w:hAnsi="Arial" w:cs="Arial"/>
          <w:color w:val="000000" w:themeColor="text1"/>
          <w:sz w:val="21"/>
          <w:szCs w:val="21"/>
          <w:lang w:val="es-ES"/>
        </w:rPr>
        <w:t xml:space="preserve"> La capacidad residual de contratación cuando se realicen contratos de obra pública se obtendrá de sustraer de la capacidad de contratación, el saldo del valor de los contratos en ejecución.</w:t>
      </w:r>
    </w:p>
    <w:p w14:paraId="6CBE411B"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p>
    <w:p w14:paraId="59D4A51D"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r w:rsidRPr="00FB7C66">
        <w:rPr>
          <w:rFonts w:ascii="Arial" w:eastAsia="Calibri" w:hAnsi="Arial" w:cs="Arial"/>
          <w:color w:val="000000" w:themeColor="text1"/>
          <w:sz w:val="21"/>
          <w:szCs w:val="21"/>
          <w:lang w:val="es-ES"/>
        </w:rPr>
        <w:t>La capacidad de contratación se deberá calcular mediante la evaluación de los siguientes factores: Experiencia (E), Capacidad Financiera (CF), Capacidad Técnica (CT), y Capacidad de Organización (CO).</w:t>
      </w:r>
    </w:p>
    <w:p w14:paraId="4DCF3090"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p>
    <w:p w14:paraId="2086D4CA"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r w:rsidRPr="00FB7C66">
        <w:rPr>
          <w:rFonts w:ascii="Arial" w:eastAsia="Calibri" w:hAnsi="Arial" w:cs="Arial"/>
          <w:color w:val="000000" w:themeColor="text1"/>
          <w:sz w:val="21"/>
          <w:szCs w:val="21"/>
          <w:lang w:val="es-ES"/>
        </w:rPr>
        <w:t>El Gobierno Nacional reglamentará la materia, dentro de los sesenta (60) días siguientes a la promulgación de la presente ley, acudiendo al concepto técnico de la Sociedad Colombiana de ingenieros, en virtud de la Ley 46 de 1904, para propender por una reglamentación equitativa en la implementación de mínimos y máximos que garanticen los derechos de los pequeños contratistas». </w:t>
      </w:r>
    </w:p>
    <w:p w14:paraId="6F9E0001" w14:textId="77777777" w:rsidR="00FB7C66" w:rsidRPr="00FB7C66" w:rsidRDefault="00FB7C66" w:rsidP="00FB7C66">
      <w:pPr>
        <w:widowControl w:val="0"/>
        <w:autoSpaceDE w:val="0"/>
        <w:autoSpaceDN w:val="0"/>
        <w:spacing w:after="0" w:line="276" w:lineRule="auto"/>
        <w:contextualSpacing/>
        <w:jc w:val="both"/>
        <w:rPr>
          <w:rFonts w:ascii="Arial" w:eastAsia="Arial" w:hAnsi="Arial" w:cs="Arial"/>
          <w:color w:val="FF0000"/>
          <w:lang w:val="es-ES"/>
        </w:rPr>
      </w:pPr>
    </w:p>
    <w:p w14:paraId="1B73102A" w14:textId="1F4A74E7" w:rsidR="00FB7C66" w:rsidRPr="00FB7C66" w:rsidRDefault="00FB7C66" w:rsidP="00AC0A61">
      <w:pPr>
        <w:widowControl w:val="0"/>
        <w:tabs>
          <w:tab w:val="left" w:pos="3119"/>
        </w:tabs>
        <w:autoSpaceDE w:val="0"/>
        <w:autoSpaceDN w:val="0"/>
        <w:spacing w:after="0" w:line="276" w:lineRule="auto"/>
        <w:ind w:firstLine="709"/>
        <w:contextualSpacing/>
        <w:jc w:val="both"/>
        <w:rPr>
          <w:rFonts w:ascii="Arial" w:eastAsia="Arial" w:hAnsi="Arial" w:cs="Arial"/>
        </w:rPr>
      </w:pPr>
      <w:r w:rsidRPr="00FB7C66">
        <w:rPr>
          <w:rFonts w:ascii="Arial" w:eastAsia="Arial" w:hAnsi="Arial" w:cs="Arial"/>
        </w:rPr>
        <w:t>Más tarde, el Decreto 1510 de 2013 recog</w:t>
      </w:r>
      <w:r w:rsidR="00B04DD7">
        <w:rPr>
          <w:rFonts w:ascii="Arial" w:eastAsia="Arial" w:hAnsi="Arial" w:cs="Arial"/>
        </w:rPr>
        <w:t>ió</w:t>
      </w:r>
      <w:r w:rsidRPr="00FB7C66">
        <w:rPr>
          <w:rFonts w:ascii="Arial" w:eastAsia="Arial" w:hAnsi="Arial" w:cs="Arial"/>
        </w:rPr>
        <w:t xml:space="preserve"> lo regulado en la Ley 1682 de 2013, y establec</w:t>
      </w:r>
      <w:r w:rsidR="00B04DD7">
        <w:rPr>
          <w:rFonts w:ascii="Arial" w:eastAsia="Arial" w:hAnsi="Arial" w:cs="Arial"/>
        </w:rPr>
        <w:t>ió</w:t>
      </w:r>
      <w:r w:rsidRPr="00FB7C66">
        <w:rPr>
          <w:rFonts w:ascii="Arial" w:eastAsia="Arial" w:hAnsi="Arial" w:cs="Arial"/>
        </w:rPr>
        <w:t xml:space="preserve"> una nueva definición de la </w:t>
      </w:r>
      <w:r w:rsidR="00B020CE">
        <w:rPr>
          <w:rFonts w:ascii="Arial" w:eastAsia="Arial" w:hAnsi="Arial" w:cs="Arial"/>
        </w:rPr>
        <w:t>c</w:t>
      </w:r>
      <w:r w:rsidRPr="00FB7C66">
        <w:rPr>
          <w:rFonts w:ascii="Arial" w:eastAsia="Arial" w:hAnsi="Arial" w:cs="Arial"/>
        </w:rPr>
        <w:t xml:space="preserve">apacidad </w:t>
      </w:r>
      <w:r w:rsidR="00B020CE">
        <w:rPr>
          <w:rFonts w:ascii="Arial" w:eastAsia="Arial" w:hAnsi="Arial" w:cs="Arial"/>
        </w:rPr>
        <w:t>r</w:t>
      </w:r>
      <w:r w:rsidRPr="00FB7C66">
        <w:rPr>
          <w:rFonts w:ascii="Arial" w:eastAsia="Arial" w:hAnsi="Arial" w:cs="Arial"/>
        </w:rPr>
        <w:t>esidual en su artículo 3, señalando lo siguiente:</w:t>
      </w:r>
    </w:p>
    <w:p w14:paraId="283FE105" w14:textId="77777777" w:rsidR="00FB7C66" w:rsidRPr="00FB7C66" w:rsidRDefault="00FB7C66" w:rsidP="00FB7C66">
      <w:pPr>
        <w:widowControl w:val="0"/>
        <w:autoSpaceDE w:val="0"/>
        <w:autoSpaceDN w:val="0"/>
        <w:spacing w:after="0" w:line="276" w:lineRule="auto"/>
        <w:contextualSpacing/>
        <w:jc w:val="both"/>
        <w:rPr>
          <w:rFonts w:ascii="Arial" w:eastAsia="Arial" w:hAnsi="Arial" w:cs="Arial"/>
          <w:lang w:val="es-ES"/>
        </w:rPr>
      </w:pPr>
    </w:p>
    <w:p w14:paraId="35A8346A"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r w:rsidRPr="00FB7C66">
        <w:rPr>
          <w:rFonts w:ascii="Arial" w:eastAsia="Calibri" w:hAnsi="Arial" w:cs="Arial"/>
          <w:color w:val="000000" w:themeColor="text1"/>
          <w:sz w:val="21"/>
          <w:szCs w:val="21"/>
          <w:lang w:val="es-ES"/>
        </w:rPr>
        <w:t>«Artículo 3. Definiciones. Los términos no definidos en el presente decreto y utilizados frecuentemente deben entenderse de acuerdo con su significado natural y obvio. Para la interpretación del presente decreto, las expresiones aquí utilizadas con mayúscula inicial deben ser entendidas con el significado que a continuación se indica. Los términos definidos son utilizados en singular y en plural de acuerdo como lo requiera el contexto en el cual son utilizados.</w:t>
      </w:r>
    </w:p>
    <w:p w14:paraId="10EF97CF"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p>
    <w:p w14:paraId="529F96BF" w14:textId="5772414F"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r w:rsidRPr="00AC0A61">
        <w:rPr>
          <w:rFonts w:ascii="Arial" w:eastAsia="Calibri" w:hAnsi="Arial" w:cs="Arial"/>
          <w:i/>
          <w:iCs/>
          <w:color w:val="000000" w:themeColor="text1"/>
          <w:sz w:val="21"/>
          <w:szCs w:val="21"/>
          <w:lang w:val="es-ES"/>
        </w:rPr>
        <w:t>Capacidad Residual o K de Contratación es la aptitud de un oferente para cumplir oportuna y cabalmente con el objeto de un contrato de obra, sin que sus otros compromisos contractuales afecten su habilidad de cumplir con el contrato que está en proceso de selección».</w:t>
      </w:r>
      <w:r w:rsidRPr="00FB7C66">
        <w:rPr>
          <w:rFonts w:ascii="Arial" w:eastAsia="Calibri" w:hAnsi="Arial" w:cs="Arial"/>
          <w:color w:val="000000" w:themeColor="text1"/>
          <w:sz w:val="21"/>
          <w:szCs w:val="21"/>
          <w:lang w:val="es-ES"/>
        </w:rPr>
        <w:t> (</w:t>
      </w:r>
      <w:r w:rsidR="00B04DD7">
        <w:rPr>
          <w:rFonts w:ascii="Arial" w:eastAsia="Calibri" w:hAnsi="Arial" w:cs="Arial"/>
          <w:color w:val="000000" w:themeColor="text1"/>
          <w:sz w:val="21"/>
          <w:szCs w:val="21"/>
          <w:lang w:val="es-ES"/>
        </w:rPr>
        <w:t>Cursiva</w:t>
      </w:r>
      <w:r w:rsidRPr="00FB7C66">
        <w:rPr>
          <w:rFonts w:ascii="Arial" w:eastAsia="Calibri" w:hAnsi="Arial" w:cs="Arial"/>
          <w:color w:val="000000" w:themeColor="text1"/>
          <w:sz w:val="21"/>
          <w:szCs w:val="21"/>
          <w:lang w:val="es-ES"/>
        </w:rPr>
        <w:t xml:space="preserve"> fuera del texto original). </w:t>
      </w:r>
    </w:p>
    <w:p w14:paraId="4F670037" w14:textId="77777777" w:rsidR="00FB7C66" w:rsidRPr="00FB7C66" w:rsidRDefault="00FB7C66" w:rsidP="00FB7C66">
      <w:pPr>
        <w:widowControl w:val="0"/>
        <w:autoSpaceDE w:val="0"/>
        <w:autoSpaceDN w:val="0"/>
        <w:spacing w:after="0" w:line="276" w:lineRule="auto"/>
        <w:ind w:left="1008" w:right="956"/>
        <w:contextualSpacing/>
        <w:jc w:val="both"/>
        <w:rPr>
          <w:rFonts w:ascii="Arial" w:eastAsia="Arial" w:hAnsi="Arial" w:cs="Arial"/>
          <w:lang w:val="es-ES"/>
        </w:rPr>
      </w:pPr>
    </w:p>
    <w:p w14:paraId="52C6158B" w14:textId="09B1A32D" w:rsidR="00B04DD7" w:rsidRPr="00FB7C66" w:rsidRDefault="00FB7C66" w:rsidP="00FE2E15">
      <w:pPr>
        <w:widowControl w:val="0"/>
        <w:autoSpaceDE w:val="0"/>
        <w:autoSpaceDN w:val="0"/>
        <w:spacing w:after="120" w:line="276" w:lineRule="auto"/>
        <w:ind w:firstLine="709"/>
        <w:jc w:val="both"/>
        <w:rPr>
          <w:rFonts w:ascii="Arial" w:eastAsia="Arial" w:hAnsi="Arial" w:cs="Arial"/>
        </w:rPr>
      </w:pPr>
      <w:r w:rsidRPr="00FB7C66">
        <w:rPr>
          <w:rFonts w:ascii="Arial" w:eastAsia="Arial" w:hAnsi="Arial" w:cs="Arial"/>
        </w:rPr>
        <w:lastRenderedPageBreak/>
        <w:t xml:space="preserve">Finalmente, el artículo anterior fue modificado por el artículo 1 del Decreto 791 de 2014 y compilado en el Decreto </w:t>
      </w:r>
      <w:r w:rsidR="00B04DD7">
        <w:rPr>
          <w:rFonts w:ascii="Arial" w:eastAsia="Arial" w:hAnsi="Arial" w:cs="Arial"/>
        </w:rPr>
        <w:t xml:space="preserve">1082 de 2015, </w:t>
      </w:r>
      <w:r w:rsidRPr="00FB7C66">
        <w:rPr>
          <w:rFonts w:ascii="Arial" w:eastAsia="Arial" w:hAnsi="Arial" w:cs="Arial"/>
        </w:rPr>
        <w:t xml:space="preserve">Único del Sector de Planeación Nacional. En consecuencia, el texto definitivo que se encuentra vigente en la actualidad es el contenido en los artículos 2.2.1.1.1.3.1 y 2.2.1.1.1.6.4. del Decreto 1082 de 2015, que recoge el desarrollo legislativo de </w:t>
      </w:r>
      <w:r w:rsidR="00B04DD7">
        <w:rPr>
          <w:rFonts w:ascii="Arial" w:eastAsia="Arial" w:hAnsi="Arial" w:cs="Arial"/>
        </w:rPr>
        <w:t>la c</w:t>
      </w:r>
      <w:r w:rsidRPr="00FB7C66">
        <w:rPr>
          <w:rFonts w:ascii="Arial" w:eastAsia="Arial" w:hAnsi="Arial" w:cs="Arial"/>
        </w:rPr>
        <w:t xml:space="preserve">apacidad </w:t>
      </w:r>
      <w:r w:rsidR="00B04DD7">
        <w:rPr>
          <w:rFonts w:ascii="Arial" w:eastAsia="Arial" w:hAnsi="Arial" w:cs="Arial"/>
        </w:rPr>
        <w:t>r</w:t>
      </w:r>
      <w:r w:rsidRPr="00FB7C66">
        <w:rPr>
          <w:rFonts w:ascii="Arial" w:eastAsia="Arial" w:hAnsi="Arial" w:cs="Arial"/>
        </w:rPr>
        <w:t xml:space="preserve">esidual, en especial los componentes establecidos por la Ley 1682 de 2013. </w:t>
      </w:r>
    </w:p>
    <w:p w14:paraId="3098CA79" w14:textId="27416354" w:rsidR="00FB7C66" w:rsidRPr="00AC0A61" w:rsidRDefault="00FB7C66" w:rsidP="00FE2E15">
      <w:pPr>
        <w:widowControl w:val="0"/>
        <w:autoSpaceDE w:val="0"/>
        <w:autoSpaceDN w:val="0"/>
        <w:spacing w:after="120" w:line="276" w:lineRule="auto"/>
        <w:ind w:firstLine="709"/>
        <w:jc w:val="both"/>
        <w:rPr>
          <w:rFonts w:ascii="Arial" w:eastAsia="Arial" w:hAnsi="Arial" w:cs="Arial"/>
        </w:rPr>
      </w:pPr>
      <w:r w:rsidRPr="00FB7C66">
        <w:rPr>
          <w:rFonts w:ascii="Arial" w:eastAsia="Arial" w:hAnsi="Arial" w:cs="Arial"/>
        </w:rPr>
        <w:t xml:space="preserve">Por un lado, el artículo 2.2.1.1.1.3.1 del Decreto 1082 de 2015 define la capacidad residual como: </w:t>
      </w:r>
      <w:r w:rsidRPr="00AC0A61">
        <w:rPr>
          <w:rFonts w:ascii="Arial" w:eastAsia="Arial" w:hAnsi="Arial" w:cs="Arial"/>
        </w:rPr>
        <w:t xml:space="preserve">«Aptitud de un oferente para cumplir oportuna y cabalmente con el objeto de un contrato de obra, sin que sus otros compromisos contractuales afecten su habilidad de cumplir con el contrato que está en proceso de selección». </w:t>
      </w:r>
    </w:p>
    <w:p w14:paraId="1097A194" w14:textId="3B8838E1" w:rsidR="00F94F06" w:rsidRPr="00FB7C66" w:rsidRDefault="00FB7C66" w:rsidP="00FB7C66">
      <w:pPr>
        <w:widowControl w:val="0"/>
        <w:autoSpaceDE w:val="0"/>
        <w:autoSpaceDN w:val="0"/>
        <w:spacing w:after="0" w:line="276" w:lineRule="auto"/>
        <w:ind w:firstLine="709"/>
        <w:contextualSpacing/>
        <w:jc w:val="both"/>
        <w:rPr>
          <w:rFonts w:ascii="Arial" w:eastAsia="Arial" w:hAnsi="Arial" w:cs="Arial"/>
        </w:rPr>
      </w:pPr>
      <w:r w:rsidRPr="00FB7C66">
        <w:rPr>
          <w:rFonts w:ascii="Arial" w:eastAsia="Arial" w:hAnsi="Arial" w:cs="Arial"/>
        </w:rPr>
        <w:t xml:space="preserve">Por su parte, el artículo 2.2.1.1.1.6.4. del Decreto 1082 de 2015 señala </w:t>
      </w:r>
      <w:r w:rsidR="00B04DD7">
        <w:rPr>
          <w:rFonts w:ascii="Arial" w:eastAsia="Arial" w:hAnsi="Arial" w:cs="Arial"/>
        </w:rPr>
        <w:t>la información</w:t>
      </w:r>
      <w:r w:rsidRPr="00FB7C66">
        <w:rPr>
          <w:rFonts w:ascii="Arial" w:eastAsia="Arial" w:hAnsi="Arial" w:cs="Arial"/>
        </w:rPr>
        <w:t xml:space="preserve"> que debe entregar el proponente interesado en un proceso de contratación para acreditar su Capacidad </w:t>
      </w:r>
      <w:r w:rsidR="00B852BB" w:rsidRPr="00FB7C66">
        <w:rPr>
          <w:rFonts w:ascii="Arial" w:eastAsia="Arial" w:hAnsi="Arial" w:cs="Arial"/>
        </w:rPr>
        <w:t>Residual</w:t>
      </w:r>
      <w:r w:rsidRPr="00FB7C66">
        <w:rPr>
          <w:rFonts w:ascii="Arial" w:eastAsia="Arial" w:hAnsi="Arial" w:cs="Arial"/>
        </w:rPr>
        <w:t xml:space="preserve">, de la siguiente forma: </w:t>
      </w:r>
    </w:p>
    <w:p w14:paraId="60C36DD5" w14:textId="77777777" w:rsidR="00B04DD7" w:rsidRPr="00FB7C66" w:rsidRDefault="00B04DD7" w:rsidP="00AC0A61">
      <w:pPr>
        <w:widowControl w:val="0"/>
        <w:autoSpaceDE w:val="0"/>
        <w:autoSpaceDN w:val="0"/>
        <w:spacing w:after="0" w:line="276" w:lineRule="auto"/>
        <w:ind w:firstLine="709"/>
        <w:contextualSpacing/>
        <w:jc w:val="both"/>
        <w:rPr>
          <w:rFonts w:ascii="Arial" w:eastAsia="Arial" w:hAnsi="Arial" w:cs="Arial"/>
          <w:lang w:val="es-ES"/>
        </w:rPr>
      </w:pPr>
    </w:p>
    <w:p w14:paraId="60D3B531"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r w:rsidRPr="00FB7C66">
        <w:rPr>
          <w:rFonts w:ascii="Arial" w:eastAsia="Calibri" w:hAnsi="Arial" w:cs="Arial"/>
          <w:color w:val="000000" w:themeColor="text1"/>
          <w:sz w:val="21"/>
          <w:szCs w:val="21"/>
          <w:lang w:val="es-ES"/>
        </w:rPr>
        <w:t>«El interesado en celebrar contratos de obra pública con Entidades Estatales debe acreditar su Capacidad Residual o K de Contratación con los siguientes documentos:  </w:t>
      </w:r>
    </w:p>
    <w:p w14:paraId="34DAFB08"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p>
    <w:p w14:paraId="4FDD40C4"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r w:rsidRPr="00FB7C66">
        <w:rPr>
          <w:rFonts w:ascii="Arial" w:eastAsia="Calibri" w:hAnsi="Arial" w:cs="Arial"/>
          <w:color w:val="000000" w:themeColor="text1"/>
          <w:sz w:val="21"/>
          <w:szCs w:val="21"/>
          <w:lang w:val="es-ES"/>
        </w:rPr>
        <w:t>1. </w:t>
      </w:r>
      <w:r w:rsidRPr="00AC0A61">
        <w:rPr>
          <w:rFonts w:ascii="Arial" w:eastAsia="Calibri" w:hAnsi="Arial" w:cs="Arial"/>
          <w:i/>
          <w:iCs/>
          <w:color w:val="000000" w:themeColor="text1"/>
          <w:sz w:val="21"/>
          <w:szCs w:val="21"/>
          <w:lang w:val="es-ES"/>
        </w:rPr>
        <w:t>La lista de los contratos de obras civiles en ejecución suscritos con Entidades Estatales y con entidades privadas</w:t>
      </w:r>
      <w:r w:rsidRPr="00FB7C66">
        <w:rPr>
          <w:rFonts w:ascii="Arial" w:eastAsia="Calibri" w:hAnsi="Arial" w:cs="Arial"/>
          <w:color w:val="000000" w:themeColor="text1"/>
          <w:sz w:val="21"/>
          <w:szCs w:val="21"/>
          <w:lang w:val="es-ES"/>
        </w:rPr>
        <w:t>, así como el valor y plazo de tales contratos, incluyendo contratos de concesión y los contratos de obra suscritos con concesionarios.  </w:t>
      </w:r>
    </w:p>
    <w:p w14:paraId="760A7764"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p>
    <w:p w14:paraId="0A932F84" w14:textId="12B04F3D"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r w:rsidRPr="00FB7C66">
        <w:rPr>
          <w:rFonts w:ascii="Arial" w:eastAsia="Calibri" w:hAnsi="Arial" w:cs="Arial"/>
          <w:color w:val="000000" w:themeColor="text1"/>
          <w:sz w:val="21"/>
          <w:szCs w:val="21"/>
          <w:lang w:val="es-ES"/>
        </w:rPr>
        <w:t>2. </w:t>
      </w:r>
      <w:r w:rsidRPr="00AC0A61">
        <w:rPr>
          <w:rFonts w:ascii="Arial" w:eastAsia="Calibri" w:hAnsi="Arial" w:cs="Arial"/>
          <w:i/>
          <w:iCs/>
          <w:color w:val="000000" w:themeColor="text1"/>
          <w:sz w:val="21"/>
          <w:szCs w:val="21"/>
          <w:lang w:val="es-ES"/>
        </w:rPr>
        <w:t>La lista de los contratos de obras civiles en ejecución, suscritos por sociedades, consorcios o uniones temporales, en los cuales el proponente tenga participación, con Entidades Estatales y con entidades privadas</w:t>
      </w:r>
      <w:r w:rsidRPr="00FB7C66">
        <w:rPr>
          <w:rFonts w:ascii="Arial" w:eastAsia="Calibri" w:hAnsi="Arial" w:cs="Arial"/>
          <w:color w:val="000000" w:themeColor="text1"/>
          <w:sz w:val="21"/>
          <w:szCs w:val="21"/>
          <w:lang w:val="es-ES"/>
        </w:rPr>
        <w:t>, así como el valor y plazo de tales contratos, incluyendo los contratos de concesión y los contratos de obra suscritos con concesionarios. […]». (</w:t>
      </w:r>
      <w:r w:rsidR="00B04DD7">
        <w:rPr>
          <w:rFonts w:ascii="Arial" w:eastAsia="Calibri" w:hAnsi="Arial" w:cs="Arial"/>
          <w:color w:val="000000" w:themeColor="text1"/>
          <w:sz w:val="21"/>
          <w:szCs w:val="21"/>
          <w:lang w:val="es-ES"/>
        </w:rPr>
        <w:t>Cursivas</w:t>
      </w:r>
      <w:r w:rsidRPr="00FB7C66">
        <w:rPr>
          <w:rFonts w:ascii="Arial" w:eastAsia="Calibri" w:hAnsi="Arial" w:cs="Arial"/>
          <w:color w:val="000000" w:themeColor="text1"/>
          <w:sz w:val="21"/>
          <w:szCs w:val="21"/>
          <w:lang w:val="es-ES"/>
        </w:rPr>
        <w:t xml:space="preserve"> fuera del texto original).</w:t>
      </w:r>
    </w:p>
    <w:p w14:paraId="4B929BEA" w14:textId="77777777" w:rsidR="00FB7C66" w:rsidRPr="00FB7C66" w:rsidRDefault="00FB7C66" w:rsidP="00FB7C66">
      <w:pPr>
        <w:spacing w:after="0" w:line="276" w:lineRule="auto"/>
        <w:ind w:left="850" w:right="850"/>
        <w:contextualSpacing/>
        <w:jc w:val="both"/>
        <w:rPr>
          <w:rFonts w:ascii="Arial" w:hAnsi="Arial" w:cs="Arial"/>
          <w:i/>
          <w:iCs/>
          <w:color w:val="FF0000"/>
          <w:lang w:eastAsia="es-CO"/>
        </w:rPr>
      </w:pPr>
    </w:p>
    <w:p w14:paraId="52744C5A" w14:textId="543D2EC0" w:rsidR="00FB7C66" w:rsidRPr="00FB7C66" w:rsidRDefault="00FB7C66" w:rsidP="00AC0A61">
      <w:pPr>
        <w:widowControl w:val="0"/>
        <w:autoSpaceDE w:val="0"/>
        <w:autoSpaceDN w:val="0"/>
        <w:spacing w:after="120" w:line="276" w:lineRule="auto"/>
        <w:ind w:firstLine="709"/>
        <w:jc w:val="both"/>
        <w:rPr>
          <w:rFonts w:ascii="Arial" w:eastAsia="Arial" w:hAnsi="Arial" w:cs="Arial"/>
        </w:rPr>
      </w:pPr>
      <w:r w:rsidRPr="00FB7C66">
        <w:rPr>
          <w:rFonts w:ascii="Arial" w:eastAsia="Arial" w:hAnsi="Arial" w:cs="Arial"/>
        </w:rPr>
        <w:t xml:space="preserve">El artículo </w:t>
      </w:r>
      <w:r w:rsidR="009038F2">
        <w:rPr>
          <w:rFonts w:ascii="Arial" w:eastAsia="Arial" w:hAnsi="Arial" w:cs="Arial"/>
        </w:rPr>
        <w:t xml:space="preserve">citado </w:t>
      </w:r>
      <w:r w:rsidR="00317B3B">
        <w:rPr>
          <w:rFonts w:ascii="Arial" w:eastAsia="Arial" w:hAnsi="Arial" w:cs="Arial"/>
        </w:rPr>
        <w:t xml:space="preserve">establece </w:t>
      </w:r>
      <w:r w:rsidRPr="00FB7C66">
        <w:rPr>
          <w:rFonts w:ascii="Arial" w:eastAsia="Arial" w:hAnsi="Arial" w:cs="Arial"/>
        </w:rPr>
        <w:t xml:space="preserve">que el interesado debe allegar la lista de contratos, </w:t>
      </w:r>
      <w:r w:rsidR="00317B3B">
        <w:rPr>
          <w:rFonts w:ascii="Arial" w:eastAsia="Arial" w:hAnsi="Arial" w:cs="Arial"/>
        </w:rPr>
        <w:t>concretamente</w:t>
      </w:r>
      <w:r w:rsidRPr="00FB7C66">
        <w:rPr>
          <w:rFonts w:ascii="Arial" w:eastAsia="Arial" w:hAnsi="Arial" w:cs="Arial"/>
        </w:rPr>
        <w:t xml:space="preserve">, de obras civiles, suscritos con </w:t>
      </w:r>
      <w:r w:rsidR="00317B3B">
        <w:rPr>
          <w:rFonts w:ascii="Arial" w:eastAsia="Arial" w:hAnsi="Arial" w:cs="Arial"/>
        </w:rPr>
        <w:t>e</w:t>
      </w:r>
      <w:r w:rsidRPr="00FB7C66">
        <w:rPr>
          <w:rFonts w:ascii="Arial" w:eastAsia="Arial" w:hAnsi="Arial" w:cs="Arial"/>
        </w:rPr>
        <w:t xml:space="preserve">ntidades </w:t>
      </w:r>
      <w:r w:rsidR="00317B3B">
        <w:rPr>
          <w:rFonts w:ascii="Arial" w:eastAsia="Arial" w:hAnsi="Arial" w:cs="Arial"/>
        </w:rPr>
        <w:t>p</w:t>
      </w:r>
      <w:r w:rsidRPr="00FB7C66">
        <w:rPr>
          <w:rFonts w:ascii="Arial" w:eastAsia="Arial" w:hAnsi="Arial" w:cs="Arial"/>
        </w:rPr>
        <w:t xml:space="preserve">úblicas o con privados, limitando de esta forma los contratos </w:t>
      </w:r>
      <w:proofErr w:type="gramStart"/>
      <w:r w:rsidRPr="00FB7C66">
        <w:rPr>
          <w:rFonts w:ascii="Arial" w:eastAsia="Arial" w:hAnsi="Arial" w:cs="Arial"/>
        </w:rPr>
        <w:t>a</w:t>
      </w:r>
      <w:proofErr w:type="gramEnd"/>
      <w:r w:rsidRPr="00FB7C66">
        <w:rPr>
          <w:rFonts w:ascii="Arial" w:eastAsia="Arial" w:hAnsi="Arial" w:cs="Arial"/>
        </w:rPr>
        <w:t xml:space="preserve"> tener en cuenta para calcular la capacidad residual de un proponente únicamente a los contratos de obra y excluyendo para su cálculo los contratos de otra tipología diferente</w:t>
      </w:r>
      <w:r w:rsidR="00317B3B">
        <w:rPr>
          <w:rFonts w:ascii="Arial" w:eastAsia="Arial" w:hAnsi="Arial" w:cs="Arial"/>
        </w:rPr>
        <w:t>; sin perjuicio de lo establecido en relación con los contratos de concesión.</w:t>
      </w:r>
      <w:r w:rsidRPr="00FB7C66">
        <w:rPr>
          <w:rFonts w:ascii="Arial" w:eastAsia="Arial" w:hAnsi="Arial" w:cs="Arial"/>
        </w:rPr>
        <w:t xml:space="preserve">    </w:t>
      </w:r>
    </w:p>
    <w:p w14:paraId="1AD3A4B3" w14:textId="4D1B8571" w:rsidR="00317B3B" w:rsidRPr="00FB7C66" w:rsidRDefault="00FB7C66" w:rsidP="00FB7C66">
      <w:pPr>
        <w:widowControl w:val="0"/>
        <w:autoSpaceDE w:val="0"/>
        <w:autoSpaceDN w:val="0"/>
        <w:spacing w:after="0" w:line="276" w:lineRule="auto"/>
        <w:ind w:firstLine="709"/>
        <w:contextualSpacing/>
        <w:jc w:val="both"/>
        <w:rPr>
          <w:rFonts w:ascii="Arial" w:eastAsia="Arial" w:hAnsi="Arial" w:cs="Arial"/>
        </w:rPr>
      </w:pPr>
      <w:bookmarkStart w:id="7" w:name="_Hlk98159579"/>
      <w:bookmarkStart w:id="8" w:name="_Hlk97547169"/>
      <w:r w:rsidRPr="00FB7C66">
        <w:rPr>
          <w:rFonts w:ascii="Arial" w:eastAsia="Arial" w:hAnsi="Arial" w:cs="Arial"/>
        </w:rPr>
        <w:t xml:space="preserve">Del recuento realizado hasta aquí se concluye que la capacidad residual se entiende como la suficiencia que se predica del proponente para asumir y cumplir de manera oportuna y a cabalidad con las nuevas obligaciones que se derivan del contrato objeto del proceso de contratación, en relación con las obligaciones que ha adquirido simultáneamente en </w:t>
      </w:r>
      <w:r w:rsidR="00317B3B">
        <w:rPr>
          <w:rFonts w:ascii="Arial" w:eastAsia="Arial" w:hAnsi="Arial" w:cs="Arial"/>
        </w:rPr>
        <w:t>otros contratos</w:t>
      </w:r>
      <w:r w:rsidRPr="00FB7C66">
        <w:rPr>
          <w:rFonts w:ascii="Arial" w:eastAsia="Arial" w:hAnsi="Arial" w:cs="Arial"/>
        </w:rPr>
        <w:t xml:space="preserve">. Así mismo, de acuerdo con la reglamentación vigente, </w:t>
      </w:r>
      <w:r w:rsidRPr="00FB7C66">
        <w:rPr>
          <w:rFonts w:ascii="Arial" w:eastAsia="Arial" w:hAnsi="Arial" w:cs="Arial"/>
        </w:rPr>
        <w:lastRenderedPageBreak/>
        <w:t>para su cálculo se tienen en cuenta solamente los contratos de obras civiles, por lo cual, el interesado deberá aportar únicamente los documentos de los contratos en ejecución de este tipo</w:t>
      </w:r>
      <w:bookmarkEnd w:id="7"/>
      <w:r w:rsidRPr="00FB7C66">
        <w:rPr>
          <w:rFonts w:ascii="Arial" w:eastAsia="Arial" w:hAnsi="Arial" w:cs="Arial"/>
        </w:rPr>
        <w:t xml:space="preserve">, conforme se procede a exponer. </w:t>
      </w:r>
    </w:p>
    <w:bookmarkEnd w:id="8"/>
    <w:p w14:paraId="482046EC" w14:textId="77777777" w:rsidR="00FB7C66" w:rsidRPr="00FB7C66" w:rsidRDefault="00FB7C66" w:rsidP="00AC0A61">
      <w:pPr>
        <w:widowControl w:val="0"/>
        <w:autoSpaceDE w:val="0"/>
        <w:autoSpaceDN w:val="0"/>
        <w:spacing w:after="0" w:line="276" w:lineRule="auto"/>
        <w:ind w:firstLine="709"/>
        <w:contextualSpacing/>
        <w:jc w:val="both"/>
        <w:rPr>
          <w:rFonts w:ascii="Arial" w:eastAsia="Arial" w:hAnsi="Arial" w:cs="Arial"/>
          <w:color w:val="FF0000"/>
          <w:lang w:val="es-ES"/>
        </w:rPr>
      </w:pPr>
    </w:p>
    <w:p w14:paraId="23C8FBBB" w14:textId="41DA89A6" w:rsidR="00317B3B" w:rsidRPr="00FB7C66" w:rsidRDefault="00FB7C66" w:rsidP="00FB7C66">
      <w:pPr>
        <w:spacing w:after="0" w:line="276" w:lineRule="auto"/>
        <w:contextualSpacing/>
        <w:jc w:val="both"/>
        <w:rPr>
          <w:rFonts w:ascii="Arial" w:hAnsi="Arial" w:cs="Arial"/>
          <w:b/>
          <w:bCs/>
          <w:lang w:eastAsia="es-CO"/>
        </w:rPr>
      </w:pPr>
      <w:bookmarkStart w:id="9" w:name="_Hlk97552360"/>
      <w:r w:rsidRPr="00FB7C66">
        <w:rPr>
          <w:rFonts w:ascii="Arial" w:hAnsi="Arial" w:cs="Arial"/>
          <w:b/>
          <w:bCs/>
          <w:lang w:eastAsia="es-CO"/>
        </w:rPr>
        <w:t xml:space="preserve">2.2. </w:t>
      </w:r>
      <w:bookmarkStart w:id="10" w:name="_Hlk97547246"/>
      <w:r w:rsidRPr="00FB7C66">
        <w:rPr>
          <w:rFonts w:ascii="Arial" w:hAnsi="Arial" w:cs="Arial"/>
          <w:b/>
          <w:bCs/>
          <w:lang w:eastAsia="es-CO"/>
        </w:rPr>
        <w:t xml:space="preserve">Documentos requeridos para el cálculo de la </w:t>
      </w:r>
      <w:r w:rsidR="00B020CE">
        <w:rPr>
          <w:rFonts w:ascii="Arial" w:hAnsi="Arial" w:cs="Arial"/>
          <w:b/>
          <w:bCs/>
          <w:lang w:eastAsia="es-CO"/>
        </w:rPr>
        <w:t>c</w:t>
      </w:r>
      <w:r w:rsidRPr="00FB7C66">
        <w:rPr>
          <w:rFonts w:ascii="Arial" w:hAnsi="Arial" w:cs="Arial"/>
          <w:b/>
          <w:bCs/>
          <w:lang w:eastAsia="es-CO"/>
        </w:rPr>
        <w:t xml:space="preserve">apacidad </w:t>
      </w:r>
      <w:r w:rsidR="00B020CE">
        <w:rPr>
          <w:rFonts w:ascii="Arial" w:hAnsi="Arial" w:cs="Arial"/>
          <w:b/>
          <w:bCs/>
          <w:lang w:eastAsia="es-CO"/>
        </w:rPr>
        <w:t>r</w:t>
      </w:r>
      <w:r w:rsidRPr="00FB7C66">
        <w:rPr>
          <w:rFonts w:ascii="Arial" w:hAnsi="Arial" w:cs="Arial"/>
          <w:b/>
          <w:bCs/>
          <w:lang w:eastAsia="es-CO"/>
        </w:rPr>
        <w:t>esidual</w:t>
      </w:r>
      <w:bookmarkEnd w:id="10"/>
    </w:p>
    <w:bookmarkEnd w:id="9"/>
    <w:p w14:paraId="52996CCA" w14:textId="77777777" w:rsidR="00FB7C66" w:rsidRPr="00FB7C66" w:rsidRDefault="00FB7C66" w:rsidP="00AC0A61">
      <w:pPr>
        <w:spacing w:after="0" w:line="276" w:lineRule="auto"/>
        <w:contextualSpacing/>
        <w:jc w:val="both"/>
        <w:rPr>
          <w:rFonts w:ascii="Arial" w:eastAsia="Arial" w:hAnsi="Arial" w:cs="Arial"/>
          <w:lang w:val="es-ES"/>
        </w:rPr>
      </w:pPr>
    </w:p>
    <w:p w14:paraId="62EF6496" w14:textId="566598BF" w:rsidR="00FB7C66" w:rsidRPr="00FB7C66" w:rsidRDefault="00317B3B" w:rsidP="00FB7C66">
      <w:pPr>
        <w:widowControl w:val="0"/>
        <w:autoSpaceDE w:val="0"/>
        <w:autoSpaceDN w:val="0"/>
        <w:spacing w:after="0" w:line="276" w:lineRule="auto"/>
        <w:contextualSpacing/>
        <w:jc w:val="both"/>
        <w:rPr>
          <w:rFonts w:ascii="Arial" w:eastAsia="Arial" w:hAnsi="Arial" w:cs="Arial"/>
        </w:rPr>
      </w:pPr>
      <w:r>
        <w:rPr>
          <w:rFonts w:ascii="Arial" w:eastAsia="Arial" w:hAnsi="Arial" w:cs="Arial"/>
        </w:rPr>
        <w:t>E</w:t>
      </w:r>
      <w:r w:rsidR="00FB7C66" w:rsidRPr="00FB7C66">
        <w:rPr>
          <w:rFonts w:ascii="Arial" w:eastAsia="Arial" w:hAnsi="Arial" w:cs="Arial"/>
        </w:rPr>
        <w:t xml:space="preserve">l artículo 72 de la Ley 1682 de 2013, por la cual se adoptan medidas y disposiciones para los proyectos de infraestructura de transporte, establece frente a la forma en que se calcula la </w:t>
      </w:r>
      <w:r w:rsidR="00B020CE">
        <w:rPr>
          <w:rFonts w:ascii="Arial" w:eastAsia="Arial" w:hAnsi="Arial" w:cs="Arial"/>
        </w:rPr>
        <w:t>c</w:t>
      </w:r>
      <w:r w:rsidR="00FB7C66" w:rsidRPr="00FB7C66">
        <w:rPr>
          <w:rFonts w:ascii="Arial" w:eastAsia="Arial" w:hAnsi="Arial" w:cs="Arial"/>
        </w:rPr>
        <w:t xml:space="preserve">apacidad </w:t>
      </w:r>
      <w:r w:rsidR="00B020CE">
        <w:rPr>
          <w:rFonts w:ascii="Arial" w:eastAsia="Arial" w:hAnsi="Arial" w:cs="Arial"/>
        </w:rPr>
        <w:t>r</w:t>
      </w:r>
      <w:r w:rsidR="00FB7C66" w:rsidRPr="00FB7C66">
        <w:rPr>
          <w:rFonts w:ascii="Arial" w:eastAsia="Arial" w:hAnsi="Arial" w:cs="Arial"/>
        </w:rPr>
        <w:t xml:space="preserve">esidual: </w:t>
      </w:r>
    </w:p>
    <w:p w14:paraId="14F2BB37" w14:textId="77777777" w:rsidR="00FB7C66" w:rsidRPr="00FB7C66" w:rsidRDefault="00FB7C66" w:rsidP="00FB7C66">
      <w:pPr>
        <w:widowControl w:val="0"/>
        <w:autoSpaceDE w:val="0"/>
        <w:autoSpaceDN w:val="0"/>
        <w:spacing w:after="0" w:line="276" w:lineRule="auto"/>
        <w:contextualSpacing/>
        <w:jc w:val="both"/>
        <w:rPr>
          <w:rFonts w:ascii="Arial" w:eastAsia="Arial" w:hAnsi="Arial" w:cs="Arial"/>
        </w:rPr>
      </w:pPr>
    </w:p>
    <w:p w14:paraId="3F04F5F6"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r w:rsidRPr="00FB7C66">
        <w:rPr>
          <w:rFonts w:ascii="Arial" w:eastAsia="Calibri" w:hAnsi="Arial" w:cs="Arial"/>
          <w:color w:val="000000" w:themeColor="text1"/>
          <w:sz w:val="21"/>
          <w:szCs w:val="21"/>
          <w:lang w:val="es-ES"/>
        </w:rPr>
        <w:t xml:space="preserve"> «La capacidad residual de contratación cuando se realicen contratos de obra pública se obtendrá de sustraer de la capacidad de contratación, el saldo del valor de los contratos en ejecución.</w:t>
      </w:r>
    </w:p>
    <w:p w14:paraId="3C5CB50F"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p>
    <w:p w14:paraId="62B8DCEA" w14:textId="2E1E1FB5" w:rsidR="00317B3B"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r w:rsidRPr="00FB7C66">
        <w:rPr>
          <w:rFonts w:ascii="Arial" w:eastAsia="Calibri" w:hAnsi="Arial" w:cs="Arial"/>
          <w:color w:val="000000" w:themeColor="text1"/>
          <w:sz w:val="21"/>
          <w:szCs w:val="21"/>
          <w:lang w:val="es-ES"/>
        </w:rPr>
        <w:t xml:space="preserve">La capacidad de contratación se deberá calcular mediante la evaluación de los siguientes factores: Experiencia (E), Capacidad Financiera (CF), Capacidad Técnica (CT), y Capacidad de Organización (CO) […]». </w:t>
      </w:r>
    </w:p>
    <w:p w14:paraId="0F9DF015" w14:textId="77777777" w:rsidR="00FB7C66" w:rsidRPr="00FB7C66" w:rsidRDefault="00FB7C66" w:rsidP="00AC0A61">
      <w:pPr>
        <w:widowControl w:val="0"/>
        <w:autoSpaceDE w:val="0"/>
        <w:autoSpaceDN w:val="0"/>
        <w:spacing w:after="0" w:line="240" w:lineRule="auto"/>
        <w:ind w:left="709" w:right="709"/>
        <w:contextualSpacing/>
        <w:jc w:val="both"/>
        <w:rPr>
          <w:rFonts w:ascii="Arial" w:eastAsia="Arial" w:hAnsi="Arial" w:cs="Arial"/>
          <w:lang w:val="es-ES"/>
        </w:rPr>
      </w:pPr>
    </w:p>
    <w:p w14:paraId="3910141F" w14:textId="52BF563E" w:rsidR="00FB7C66" w:rsidRPr="00FB7C66" w:rsidRDefault="00FB7C66" w:rsidP="00FB7C66">
      <w:pPr>
        <w:widowControl w:val="0"/>
        <w:autoSpaceDE w:val="0"/>
        <w:autoSpaceDN w:val="0"/>
        <w:spacing w:after="0" w:line="276" w:lineRule="auto"/>
        <w:ind w:firstLine="709"/>
        <w:contextualSpacing/>
        <w:jc w:val="both"/>
        <w:rPr>
          <w:rFonts w:ascii="Arial" w:eastAsia="Arial" w:hAnsi="Arial" w:cs="Arial"/>
        </w:rPr>
      </w:pPr>
      <w:r w:rsidRPr="00FB7C66">
        <w:rPr>
          <w:rFonts w:ascii="Arial" w:eastAsia="Arial" w:hAnsi="Arial" w:cs="Arial"/>
        </w:rPr>
        <w:t xml:space="preserve">Por su parte, </w:t>
      </w:r>
      <w:bookmarkStart w:id="11" w:name="_Hlk97547683"/>
      <w:r w:rsidRPr="00FB7C66">
        <w:rPr>
          <w:rFonts w:ascii="Arial" w:eastAsia="Arial" w:hAnsi="Arial" w:cs="Arial"/>
        </w:rPr>
        <w:t xml:space="preserve">el artículo 2.2.1.1.1.6.4 del Decreto 1082 de 2015 dispuso que las </w:t>
      </w:r>
      <w:r w:rsidR="00F94F06">
        <w:rPr>
          <w:rFonts w:ascii="Arial" w:eastAsia="Arial" w:hAnsi="Arial" w:cs="Arial"/>
        </w:rPr>
        <w:t>e</w:t>
      </w:r>
      <w:r w:rsidRPr="00FB7C66">
        <w:rPr>
          <w:rFonts w:ascii="Arial" w:eastAsia="Arial" w:hAnsi="Arial" w:cs="Arial"/>
        </w:rPr>
        <w:t xml:space="preserve">ntidades </w:t>
      </w:r>
      <w:r w:rsidR="00F94F06">
        <w:rPr>
          <w:rFonts w:ascii="Arial" w:eastAsia="Arial" w:hAnsi="Arial" w:cs="Arial"/>
        </w:rPr>
        <w:t>e</w:t>
      </w:r>
      <w:r w:rsidRPr="00FB7C66">
        <w:rPr>
          <w:rFonts w:ascii="Arial" w:eastAsia="Arial" w:hAnsi="Arial" w:cs="Arial"/>
        </w:rPr>
        <w:t xml:space="preserve">statales deben calcular la capacidad residual conforme a la metodología definida por Colombia Compre Eficiente y precisó que, para tales fines, resulta necesario tener en cuenta los factores de: i) experiencia; </w:t>
      </w:r>
      <w:proofErr w:type="spellStart"/>
      <w:r w:rsidRPr="00FB7C66">
        <w:rPr>
          <w:rFonts w:ascii="Arial" w:eastAsia="Arial" w:hAnsi="Arial" w:cs="Arial"/>
        </w:rPr>
        <w:t>ii</w:t>
      </w:r>
      <w:proofErr w:type="spellEnd"/>
      <w:r w:rsidRPr="00FB7C66">
        <w:rPr>
          <w:rFonts w:ascii="Arial" w:eastAsia="Arial" w:hAnsi="Arial" w:cs="Arial"/>
        </w:rPr>
        <w:t xml:space="preserve">) capacidad financiera; </w:t>
      </w:r>
      <w:proofErr w:type="spellStart"/>
      <w:r w:rsidRPr="00FB7C66">
        <w:rPr>
          <w:rFonts w:ascii="Arial" w:eastAsia="Arial" w:hAnsi="Arial" w:cs="Arial"/>
        </w:rPr>
        <w:t>iii</w:t>
      </w:r>
      <w:proofErr w:type="spellEnd"/>
      <w:r w:rsidRPr="00FB7C66">
        <w:rPr>
          <w:rFonts w:ascii="Arial" w:eastAsia="Arial" w:hAnsi="Arial" w:cs="Arial"/>
        </w:rPr>
        <w:t xml:space="preserve">) capacidad técnica; </w:t>
      </w:r>
      <w:proofErr w:type="spellStart"/>
      <w:r w:rsidRPr="00FB7C66">
        <w:rPr>
          <w:rFonts w:ascii="Arial" w:eastAsia="Arial" w:hAnsi="Arial" w:cs="Arial"/>
        </w:rPr>
        <w:t>iv</w:t>
      </w:r>
      <w:proofErr w:type="spellEnd"/>
      <w:r w:rsidRPr="00FB7C66">
        <w:rPr>
          <w:rFonts w:ascii="Arial" w:eastAsia="Arial" w:hAnsi="Arial" w:cs="Arial"/>
        </w:rPr>
        <w:t>) capacidad de organización; y v) los saldos de los contratos en ejecución</w:t>
      </w:r>
      <w:bookmarkEnd w:id="11"/>
      <w:r w:rsidRPr="00FB7C66">
        <w:rPr>
          <w:rFonts w:ascii="Arial" w:eastAsia="Arial" w:hAnsi="Arial" w:cs="Arial"/>
        </w:rPr>
        <w:t>, así:</w:t>
      </w:r>
    </w:p>
    <w:p w14:paraId="38E0AF78" w14:textId="77777777" w:rsidR="00FB7C66" w:rsidRPr="00FB7C66" w:rsidRDefault="00FB7C66" w:rsidP="00FB7C66">
      <w:pPr>
        <w:widowControl w:val="0"/>
        <w:autoSpaceDE w:val="0"/>
        <w:autoSpaceDN w:val="0"/>
        <w:spacing w:after="0" w:line="276" w:lineRule="auto"/>
        <w:ind w:right="49"/>
        <w:contextualSpacing/>
        <w:jc w:val="both"/>
        <w:rPr>
          <w:rFonts w:ascii="Arial" w:eastAsia="Arial" w:hAnsi="Arial" w:cs="Arial"/>
        </w:rPr>
      </w:pPr>
    </w:p>
    <w:p w14:paraId="1EB87001"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r w:rsidRPr="00FB7C66">
        <w:rPr>
          <w:rFonts w:ascii="Arial" w:eastAsia="Calibri" w:hAnsi="Arial" w:cs="Arial"/>
          <w:color w:val="000000" w:themeColor="text1"/>
          <w:sz w:val="21"/>
          <w:szCs w:val="21"/>
          <w:lang w:val="es-ES"/>
        </w:rPr>
        <w:t xml:space="preserve">«El interesado en celebrar contratos de obra pública con Entidades Estatales debe acreditar su Capacidad Residual o K de Contratación con los siguientes documentos: </w:t>
      </w:r>
    </w:p>
    <w:p w14:paraId="315145FC"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r w:rsidRPr="00FB7C66">
        <w:rPr>
          <w:rFonts w:ascii="Arial" w:eastAsia="Calibri" w:hAnsi="Arial" w:cs="Arial"/>
          <w:color w:val="000000" w:themeColor="text1"/>
          <w:sz w:val="21"/>
          <w:szCs w:val="21"/>
          <w:lang w:val="es-ES"/>
        </w:rPr>
        <w:t>[…]</w:t>
      </w:r>
    </w:p>
    <w:p w14:paraId="31BB3297"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r w:rsidRPr="00FB7C66">
        <w:rPr>
          <w:rFonts w:ascii="Arial" w:eastAsia="Calibri" w:hAnsi="Arial" w:cs="Arial"/>
          <w:color w:val="000000" w:themeColor="text1"/>
          <w:sz w:val="21"/>
          <w:szCs w:val="21"/>
          <w:lang w:val="es-ES"/>
        </w:rPr>
        <w:t xml:space="preserve">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 </w:t>
      </w:r>
    </w:p>
    <w:p w14:paraId="75908D50" w14:textId="77777777" w:rsidR="00FB7C66" w:rsidRPr="00FB7C66" w:rsidRDefault="00FB7C66" w:rsidP="00FB7C66">
      <w:pPr>
        <w:widowControl w:val="0"/>
        <w:autoSpaceDE w:val="0"/>
        <w:autoSpaceDN w:val="0"/>
        <w:spacing w:after="0" w:line="276" w:lineRule="auto"/>
        <w:ind w:right="49"/>
        <w:contextualSpacing/>
        <w:jc w:val="both"/>
        <w:rPr>
          <w:rFonts w:ascii="Arial" w:eastAsia="Arial" w:hAnsi="Arial" w:cs="Arial"/>
          <w:color w:val="FF0000"/>
        </w:rPr>
      </w:pPr>
    </w:p>
    <w:p w14:paraId="458A3AB0" w14:textId="26F01CAE" w:rsidR="00FB7C66" w:rsidRPr="00FB7C66" w:rsidRDefault="00FB7C66" w:rsidP="00FB7C66">
      <w:pPr>
        <w:widowControl w:val="0"/>
        <w:autoSpaceDE w:val="0"/>
        <w:autoSpaceDN w:val="0"/>
        <w:spacing w:after="0" w:line="276" w:lineRule="auto"/>
        <w:ind w:firstLine="709"/>
        <w:contextualSpacing/>
        <w:jc w:val="both"/>
        <w:rPr>
          <w:rFonts w:ascii="Arial" w:eastAsia="Arial" w:hAnsi="Arial" w:cs="Arial"/>
        </w:rPr>
      </w:pPr>
      <w:bookmarkStart w:id="12" w:name="_Hlk98159657"/>
      <w:bookmarkStart w:id="13" w:name="_Hlk97547847"/>
      <w:r w:rsidRPr="00FB7C66">
        <w:rPr>
          <w:rFonts w:ascii="Arial" w:eastAsia="Arial" w:hAnsi="Arial" w:cs="Arial"/>
        </w:rPr>
        <w:t xml:space="preserve">Así mismo, esta Agencia expidió la «Guía para Determinar y Verificar la Capacidad Residual del Proponente en los Procesos de Contratación de Obra Pública», en la cual dispone, entre otras cuestiones, que a la </w:t>
      </w:r>
      <w:r w:rsidR="00F94F06">
        <w:rPr>
          <w:rFonts w:ascii="Arial" w:eastAsia="Arial" w:hAnsi="Arial" w:cs="Arial"/>
        </w:rPr>
        <w:t>e</w:t>
      </w:r>
      <w:r w:rsidRPr="00FB7C66">
        <w:rPr>
          <w:rFonts w:ascii="Arial" w:eastAsia="Arial" w:hAnsi="Arial" w:cs="Arial"/>
        </w:rPr>
        <w:t>ntidad contratante le corresponde, primero, establecer la capacidad residual del proceso de contratación «CRPC» y, segundo, determinar si los proponentes cumplen con la capacidad residual del proceso de contratación</w:t>
      </w:r>
      <w:bookmarkEnd w:id="12"/>
      <w:r w:rsidRPr="00FB7C66">
        <w:rPr>
          <w:rFonts w:ascii="Arial" w:eastAsia="Arial" w:hAnsi="Arial" w:cs="Arial"/>
        </w:rPr>
        <w:t>, teniendo en cuenta la siguiente información aportada por el proponente:</w:t>
      </w:r>
    </w:p>
    <w:p w14:paraId="62FA38E5" w14:textId="77777777" w:rsidR="00FB7C66" w:rsidRPr="00FB7C66" w:rsidRDefault="00FB7C66" w:rsidP="00FB7C66">
      <w:pPr>
        <w:widowControl w:val="0"/>
        <w:autoSpaceDE w:val="0"/>
        <w:autoSpaceDN w:val="0"/>
        <w:spacing w:after="0" w:line="276" w:lineRule="auto"/>
        <w:ind w:left="709" w:right="760"/>
        <w:contextualSpacing/>
        <w:jc w:val="both"/>
        <w:rPr>
          <w:rFonts w:ascii="Arial" w:eastAsia="Arial" w:hAnsi="Arial" w:cs="Arial"/>
        </w:rPr>
      </w:pPr>
    </w:p>
    <w:p w14:paraId="3465838E"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r w:rsidRPr="00FB7C66">
        <w:rPr>
          <w:rFonts w:ascii="Arial" w:eastAsia="Calibri" w:hAnsi="Arial" w:cs="Arial"/>
          <w:color w:val="000000" w:themeColor="text1"/>
          <w:sz w:val="21"/>
          <w:szCs w:val="21"/>
          <w:lang w:val="es-ES"/>
        </w:rPr>
        <w:t>«La lista de los Contratos en Ejecución, así como el valor y plazo de tales contratos.</w:t>
      </w:r>
    </w:p>
    <w:p w14:paraId="3574BAAC"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p>
    <w:p w14:paraId="5A2A3B63"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r w:rsidRPr="00FB7C66">
        <w:rPr>
          <w:rFonts w:ascii="Arial" w:eastAsia="Calibri" w:hAnsi="Arial" w:cs="Arial"/>
          <w:color w:val="000000" w:themeColor="text1"/>
          <w:sz w:val="21"/>
          <w:szCs w:val="21"/>
          <w:lang w:val="es-ES"/>
        </w:rPr>
        <w:t>La lista de los Contratos en Ejecución, suscritos por sociedades, consorcios o uniones temporales, en los cuales el proponente tenga participación, así como el valor y plazo de tales contratos.</w:t>
      </w:r>
    </w:p>
    <w:p w14:paraId="21353C2E"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p>
    <w:p w14:paraId="125263D1"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r w:rsidRPr="00FB7C66">
        <w:rPr>
          <w:rFonts w:ascii="Arial" w:eastAsia="Calibri" w:hAnsi="Arial" w:cs="Arial"/>
          <w:color w:val="000000" w:themeColor="text1"/>
          <w:sz w:val="21"/>
          <w:szCs w:val="21"/>
          <w:lang w:val="es-ES"/>
        </w:rPr>
        <w:t>El estado de resultados auditado que contiene el mejor ingreso operacional de los últimos cinco (5) años y el balance general auditado del último año, suscrito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que contiene el mejor ingreso operacional de los últimos cinco (5) años puesto que la información de la liquidez se encuentra en el RUP».</w:t>
      </w:r>
    </w:p>
    <w:bookmarkEnd w:id="13"/>
    <w:p w14:paraId="7DCBF7C1" w14:textId="77777777" w:rsidR="00FB7C66" w:rsidRPr="00FB7C66" w:rsidRDefault="00FB7C66" w:rsidP="00FB7C66">
      <w:pPr>
        <w:widowControl w:val="0"/>
        <w:autoSpaceDE w:val="0"/>
        <w:autoSpaceDN w:val="0"/>
        <w:spacing w:after="0" w:line="276" w:lineRule="auto"/>
        <w:ind w:right="51"/>
        <w:contextualSpacing/>
        <w:jc w:val="both"/>
        <w:rPr>
          <w:rFonts w:ascii="Arial" w:eastAsia="Arial" w:hAnsi="Arial" w:cs="Arial"/>
        </w:rPr>
      </w:pPr>
    </w:p>
    <w:p w14:paraId="14EC951C" w14:textId="4530774D" w:rsidR="00FB7C66" w:rsidRPr="00FB7C66" w:rsidRDefault="00FB7C66" w:rsidP="00FB7C66">
      <w:pPr>
        <w:widowControl w:val="0"/>
        <w:autoSpaceDE w:val="0"/>
        <w:autoSpaceDN w:val="0"/>
        <w:spacing w:after="0" w:line="276" w:lineRule="auto"/>
        <w:ind w:firstLine="709"/>
        <w:contextualSpacing/>
        <w:jc w:val="both"/>
        <w:rPr>
          <w:rFonts w:ascii="Arial" w:eastAsia="Arial" w:hAnsi="Arial" w:cs="Arial"/>
        </w:rPr>
      </w:pPr>
      <w:bookmarkStart w:id="14" w:name="_Hlk97551389"/>
      <w:r w:rsidRPr="00FB7C66">
        <w:rPr>
          <w:rFonts w:ascii="Arial" w:eastAsia="Arial" w:hAnsi="Arial" w:cs="Arial"/>
        </w:rPr>
        <w:t xml:space="preserve">La misma «Guía para Determinar y Verificar la Capacidad Residual del Proponente en los Procesos de Contratación de Obra Pública» define </w:t>
      </w:r>
      <w:r w:rsidR="00F94F06">
        <w:rPr>
          <w:rFonts w:ascii="Arial" w:eastAsia="Arial" w:hAnsi="Arial" w:cs="Arial"/>
        </w:rPr>
        <w:t>«</w:t>
      </w:r>
      <w:r w:rsidRPr="00FB7C66">
        <w:rPr>
          <w:rFonts w:ascii="Arial" w:eastAsia="Arial" w:hAnsi="Arial" w:cs="Arial"/>
        </w:rPr>
        <w:t>Contratos en Ejecución</w:t>
      </w:r>
      <w:r w:rsidR="00F94F06">
        <w:rPr>
          <w:rFonts w:ascii="Arial" w:eastAsia="Arial" w:hAnsi="Arial" w:cs="Arial"/>
        </w:rPr>
        <w:t>»</w:t>
      </w:r>
      <w:r w:rsidRPr="00FB7C66">
        <w:rPr>
          <w:rFonts w:ascii="Arial" w:eastAsia="Arial" w:hAnsi="Arial" w:cs="Arial"/>
        </w:rPr>
        <w:t xml:space="preserve"> de la siguiente manera: </w:t>
      </w:r>
    </w:p>
    <w:p w14:paraId="53211F86" w14:textId="77777777" w:rsidR="00FB7C66" w:rsidRPr="00FB7C66" w:rsidRDefault="00FB7C66" w:rsidP="00FB7C66">
      <w:pPr>
        <w:spacing w:after="0" w:line="276" w:lineRule="auto"/>
        <w:ind w:left="850" w:right="850"/>
        <w:contextualSpacing/>
        <w:jc w:val="both"/>
        <w:rPr>
          <w:rFonts w:ascii="Arial" w:hAnsi="Arial" w:cs="Arial"/>
          <w:i/>
          <w:iCs/>
          <w:lang w:eastAsia="es-CO"/>
        </w:rPr>
      </w:pPr>
    </w:p>
    <w:p w14:paraId="38C3350B" w14:textId="7EFC8889"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r w:rsidRPr="00FB7C66">
        <w:rPr>
          <w:rFonts w:ascii="Arial" w:eastAsia="Calibri" w:hAnsi="Arial" w:cs="Arial"/>
          <w:color w:val="000000" w:themeColor="text1"/>
          <w:sz w:val="21"/>
          <w:szCs w:val="21"/>
          <w:lang w:val="es-ES"/>
        </w:rPr>
        <w:t xml:space="preserve">«Son los contratos que a la fecha de presentación de la oferta obligan al proponente con Entidades Estatales y con entidades privadas </w:t>
      </w:r>
      <w:r w:rsidRPr="00AC0A61">
        <w:rPr>
          <w:rFonts w:ascii="Arial" w:eastAsia="Calibri" w:hAnsi="Arial" w:cs="Arial"/>
          <w:i/>
          <w:iCs/>
          <w:color w:val="000000" w:themeColor="text1"/>
          <w:sz w:val="21"/>
          <w:szCs w:val="21"/>
          <w:lang w:val="es-ES"/>
        </w:rPr>
        <w:t>para ejecutar obras civiles, incluyendo la ejecución de obras civiles en los contratos de concesión y los contratos de obra suscritos con concesionarios,</w:t>
      </w:r>
      <w:r w:rsidRPr="00FB7C66">
        <w:rPr>
          <w:rFonts w:ascii="Arial" w:eastAsia="Calibri" w:hAnsi="Arial" w:cs="Arial"/>
          <w:color w:val="000000" w:themeColor="text1"/>
          <w:sz w:val="21"/>
          <w:szCs w:val="21"/>
          <w:lang w:val="es-ES"/>
        </w:rPr>
        <w:t xml:space="preserve"> incluyendo los contratos suspendidos y aquellos que no tengan acta de inicio. No se entenderán como contratos en ejecución los que se encuentren en liquidación». </w:t>
      </w:r>
      <w:bookmarkEnd w:id="14"/>
      <w:r w:rsidRPr="00FB7C66">
        <w:rPr>
          <w:rFonts w:ascii="Arial" w:eastAsia="Calibri" w:hAnsi="Arial" w:cs="Arial"/>
          <w:color w:val="000000" w:themeColor="text1"/>
          <w:sz w:val="21"/>
          <w:szCs w:val="21"/>
          <w:lang w:val="es-ES"/>
        </w:rPr>
        <w:t>(</w:t>
      </w:r>
      <w:r w:rsidR="00F94F06">
        <w:rPr>
          <w:rFonts w:ascii="Arial" w:eastAsia="Calibri" w:hAnsi="Arial" w:cs="Arial"/>
          <w:color w:val="000000" w:themeColor="text1"/>
          <w:sz w:val="21"/>
          <w:szCs w:val="21"/>
          <w:lang w:val="es-ES"/>
        </w:rPr>
        <w:t>Cursivas</w:t>
      </w:r>
      <w:r w:rsidRPr="00FB7C66">
        <w:rPr>
          <w:rFonts w:ascii="Arial" w:eastAsia="Calibri" w:hAnsi="Arial" w:cs="Arial"/>
          <w:color w:val="000000" w:themeColor="text1"/>
          <w:sz w:val="21"/>
          <w:szCs w:val="21"/>
          <w:lang w:val="es-ES"/>
        </w:rPr>
        <w:t xml:space="preserve"> fuera del texto original).</w:t>
      </w:r>
    </w:p>
    <w:p w14:paraId="33D6A6E9" w14:textId="77777777" w:rsidR="00FB7C66" w:rsidRPr="00FB7C66" w:rsidRDefault="00FB7C66" w:rsidP="00FB7C66">
      <w:pPr>
        <w:widowControl w:val="0"/>
        <w:autoSpaceDE w:val="0"/>
        <w:autoSpaceDN w:val="0"/>
        <w:spacing w:after="0" w:line="276" w:lineRule="auto"/>
        <w:contextualSpacing/>
        <w:jc w:val="both"/>
        <w:rPr>
          <w:rFonts w:ascii="Arial" w:eastAsia="Arial" w:hAnsi="Arial" w:cs="Arial"/>
        </w:rPr>
      </w:pPr>
    </w:p>
    <w:p w14:paraId="184ED4BB" w14:textId="268976C6" w:rsidR="00FB7C66" w:rsidRPr="00FB7C66" w:rsidRDefault="00FB7C66" w:rsidP="00FE2E15">
      <w:pPr>
        <w:widowControl w:val="0"/>
        <w:autoSpaceDE w:val="0"/>
        <w:autoSpaceDN w:val="0"/>
        <w:spacing w:after="120" w:line="276" w:lineRule="auto"/>
        <w:ind w:firstLine="709"/>
        <w:jc w:val="both"/>
        <w:rPr>
          <w:rFonts w:ascii="Arial" w:eastAsia="Arial" w:hAnsi="Arial" w:cs="Arial"/>
        </w:rPr>
      </w:pPr>
      <w:bookmarkStart w:id="15" w:name="_Hlk97547857"/>
      <w:r w:rsidRPr="00FB7C66">
        <w:rPr>
          <w:rFonts w:ascii="Arial" w:eastAsia="Arial" w:hAnsi="Arial" w:cs="Arial"/>
        </w:rPr>
        <w:t xml:space="preserve">Se observa que la </w:t>
      </w:r>
      <w:r w:rsidR="00F94F06">
        <w:rPr>
          <w:rFonts w:ascii="Arial" w:eastAsia="Arial" w:hAnsi="Arial" w:cs="Arial"/>
        </w:rPr>
        <w:t>g</w:t>
      </w:r>
      <w:r w:rsidRPr="00FB7C66">
        <w:rPr>
          <w:rFonts w:ascii="Arial" w:eastAsia="Arial" w:hAnsi="Arial" w:cs="Arial"/>
        </w:rPr>
        <w:t xml:space="preserve">uía expedida por esta Agencia para calcular la </w:t>
      </w:r>
      <w:r w:rsidR="00F94F06">
        <w:rPr>
          <w:rFonts w:ascii="Arial" w:eastAsia="Arial" w:hAnsi="Arial" w:cs="Arial"/>
        </w:rPr>
        <w:t>c</w:t>
      </w:r>
      <w:r w:rsidRPr="00FB7C66">
        <w:rPr>
          <w:rFonts w:ascii="Arial" w:eastAsia="Arial" w:hAnsi="Arial" w:cs="Arial"/>
        </w:rPr>
        <w:t xml:space="preserve">apacidad </w:t>
      </w:r>
      <w:r w:rsidR="00F94F06">
        <w:rPr>
          <w:rFonts w:ascii="Arial" w:eastAsia="Arial" w:hAnsi="Arial" w:cs="Arial"/>
        </w:rPr>
        <w:t>r</w:t>
      </w:r>
      <w:r w:rsidRPr="00FB7C66">
        <w:rPr>
          <w:rFonts w:ascii="Arial" w:eastAsia="Arial" w:hAnsi="Arial" w:cs="Arial"/>
        </w:rPr>
        <w:t>esidual</w:t>
      </w:r>
      <w:r w:rsidR="008757E7">
        <w:rPr>
          <w:rFonts w:ascii="Arial" w:eastAsia="Arial" w:hAnsi="Arial" w:cs="Arial"/>
        </w:rPr>
        <w:t xml:space="preserve"> </w:t>
      </w:r>
      <w:r w:rsidRPr="00FB7C66">
        <w:rPr>
          <w:rFonts w:ascii="Arial" w:eastAsia="Arial" w:hAnsi="Arial" w:cs="Arial"/>
        </w:rPr>
        <w:t xml:space="preserve">señala que el proponente debe allegar, entre otros documentos, los contratos en ejecución y define estos como aquellos contratos que a la fecha de presentación de la oferta obligan al proponente con </w:t>
      </w:r>
      <w:r w:rsidR="008757E7">
        <w:rPr>
          <w:rFonts w:ascii="Arial" w:eastAsia="Arial" w:hAnsi="Arial" w:cs="Arial"/>
        </w:rPr>
        <w:t>e</w:t>
      </w:r>
      <w:r w:rsidRPr="00FB7C66">
        <w:rPr>
          <w:rFonts w:ascii="Arial" w:eastAsia="Arial" w:hAnsi="Arial" w:cs="Arial"/>
        </w:rPr>
        <w:t xml:space="preserve">ntidades </w:t>
      </w:r>
      <w:r w:rsidR="008757E7">
        <w:rPr>
          <w:rFonts w:ascii="Arial" w:eastAsia="Arial" w:hAnsi="Arial" w:cs="Arial"/>
        </w:rPr>
        <w:t>e</w:t>
      </w:r>
      <w:r w:rsidRPr="00FB7C66">
        <w:rPr>
          <w:rFonts w:ascii="Arial" w:eastAsia="Arial" w:hAnsi="Arial" w:cs="Arial"/>
        </w:rPr>
        <w:t xml:space="preserve">statales y con entidades privadas para </w:t>
      </w:r>
      <w:r w:rsidRPr="00AC0A61">
        <w:rPr>
          <w:rFonts w:ascii="Arial" w:eastAsia="Arial" w:hAnsi="Arial" w:cs="Arial"/>
        </w:rPr>
        <w:t xml:space="preserve">ejecutar </w:t>
      </w:r>
      <w:r w:rsidR="008757E7">
        <w:rPr>
          <w:rFonts w:ascii="Arial" w:eastAsia="Arial" w:hAnsi="Arial" w:cs="Arial"/>
        </w:rPr>
        <w:t>«</w:t>
      </w:r>
      <w:r w:rsidRPr="00AC0A61">
        <w:rPr>
          <w:rFonts w:ascii="Arial" w:eastAsia="Arial" w:hAnsi="Arial" w:cs="Arial"/>
        </w:rPr>
        <w:t>obras civiles</w:t>
      </w:r>
      <w:r w:rsidR="008757E7">
        <w:rPr>
          <w:rFonts w:ascii="Arial" w:eastAsia="Arial" w:hAnsi="Arial" w:cs="Arial"/>
        </w:rPr>
        <w:t>».</w:t>
      </w:r>
      <w:r w:rsidRPr="00FB7C66">
        <w:rPr>
          <w:rFonts w:ascii="Arial" w:eastAsia="Arial" w:hAnsi="Arial" w:cs="Arial"/>
        </w:rPr>
        <w:t xml:space="preserve"> </w:t>
      </w:r>
      <w:bookmarkEnd w:id="15"/>
    </w:p>
    <w:p w14:paraId="2343C9A0" w14:textId="0580B356" w:rsidR="00FB7C66" w:rsidRPr="00FB7C66" w:rsidRDefault="00FB7C66" w:rsidP="00FB7C66">
      <w:pPr>
        <w:widowControl w:val="0"/>
        <w:autoSpaceDE w:val="0"/>
        <w:autoSpaceDN w:val="0"/>
        <w:spacing w:after="0" w:line="276" w:lineRule="auto"/>
        <w:ind w:firstLine="709"/>
        <w:contextualSpacing/>
        <w:jc w:val="both"/>
        <w:rPr>
          <w:rFonts w:ascii="Arial" w:eastAsia="Arial" w:hAnsi="Arial" w:cs="Arial"/>
        </w:rPr>
      </w:pPr>
      <w:r w:rsidRPr="00FB7C66">
        <w:rPr>
          <w:rFonts w:ascii="Arial" w:eastAsia="Arial" w:hAnsi="Arial" w:cs="Arial"/>
        </w:rPr>
        <w:t xml:space="preserve">Por otro lado, el literal e) de la </w:t>
      </w:r>
      <w:r w:rsidRPr="00AC0A61">
        <w:rPr>
          <w:rFonts w:ascii="Arial" w:eastAsia="Arial" w:hAnsi="Arial" w:cs="Arial"/>
        </w:rPr>
        <w:t>«Guía para Determinar y Verificar la Capacidad Residual del Proponente en los Procesos de Contratación de Obra Pública»</w:t>
      </w:r>
      <w:r w:rsidRPr="00FB7C66">
        <w:rPr>
          <w:rFonts w:ascii="Arial" w:eastAsia="Arial" w:hAnsi="Arial" w:cs="Arial"/>
        </w:rPr>
        <w:t xml:space="preserve"> dispone cómo presentar la lista de </w:t>
      </w:r>
      <w:r w:rsidR="008757E7">
        <w:rPr>
          <w:rFonts w:ascii="Arial" w:eastAsia="Arial" w:hAnsi="Arial" w:cs="Arial"/>
        </w:rPr>
        <w:t>c</w:t>
      </w:r>
      <w:r w:rsidRPr="00FB7C66">
        <w:rPr>
          <w:rFonts w:ascii="Arial" w:eastAsia="Arial" w:hAnsi="Arial" w:cs="Arial"/>
        </w:rPr>
        <w:t xml:space="preserve">ontratos en </w:t>
      </w:r>
      <w:r w:rsidR="008757E7">
        <w:rPr>
          <w:rFonts w:ascii="Arial" w:eastAsia="Arial" w:hAnsi="Arial" w:cs="Arial"/>
        </w:rPr>
        <w:t>e</w:t>
      </w:r>
      <w:r w:rsidRPr="00FB7C66">
        <w:rPr>
          <w:rFonts w:ascii="Arial" w:eastAsia="Arial" w:hAnsi="Arial" w:cs="Arial"/>
        </w:rPr>
        <w:t xml:space="preserve">jecución así:  </w:t>
      </w:r>
    </w:p>
    <w:p w14:paraId="7A9AC1BC" w14:textId="77777777" w:rsidR="00FB7C66" w:rsidRPr="00FB7C66" w:rsidRDefault="00FB7C66" w:rsidP="00FB7C66">
      <w:pPr>
        <w:spacing w:after="0" w:line="276" w:lineRule="auto"/>
        <w:contextualSpacing/>
        <w:jc w:val="both"/>
        <w:rPr>
          <w:rFonts w:ascii="Arial" w:hAnsi="Arial" w:cs="Arial"/>
          <w:color w:val="FF0000"/>
          <w:lang w:eastAsia="es-CO"/>
        </w:rPr>
      </w:pPr>
    </w:p>
    <w:p w14:paraId="1E07357F"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r w:rsidRPr="00FB7C66">
        <w:rPr>
          <w:rFonts w:ascii="Arial" w:eastAsia="Calibri" w:hAnsi="Arial" w:cs="Arial"/>
          <w:color w:val="000000" w:themeColor="text1"/>
          <w:sz w:val="21"/>
          <w:szCs w:val="21"/>
          <w:lang w:val="es-ES"/>
        </w:rPr>
        <w:t>«El proponente debe presentar un certificado suscrito por su representante legal y su revisor fiscal, si el proponente está obligado a tenerlo, o por el contador o su auditor independiente, el cual contenga la lista de los Contratos en Ejecución, tanto a nivel nacional como internacional, indicando: (i) el valor del contrato; (</w:t>
      </w:r>
      <w:proofErr w:type="spellStart"/>
      <w:r w:rsidRPr="00FB7C66">
        <w:rPr>
          <w:rFonts w:ascii="Arial" w:eastAsia="Calibri" w:hAnsi="Arial" w:cs="Arial"/>
          <w:color w:val="000000" w:themeColor="text1"/>
          <w:sz w:val="21"/>
          <w:szCs w:val="21"/>
          <w:lang w:val="es-ES"/>
        </w:rPr>
        <w:t>ii</w:t>
      </w:r>
      <w:proofErr w:type="spellEnd"/>
      <w:r w:rsidRPr="00FB7C66">
        <w:rPr>
          <w:rFonts w:ascii="Arial" w:eastAsia="Calibri" w:hAnsi="Arial" w:cs="Arial"/>
          <w:color w:val="000000" w:themeColor="text1"/>
          <w:sz w:val="21"/>
          <w:szCs w:val="21"/>
          <w:lang w:val="es-ES"/>
        </w:rPr>
        <w:t>) el plazo del contrato en meses; (</w:t>
      </w:r>
      <w:proofErr w:type="spellStart"/>
      <w:r w:rsidRPr="00FB7C66">
        <w:rPr>
          <w:rFonts w:ascii="Arial" w:eastAsia="Calibri" w:hAnsi="Arial" w:cs="Arial"/>
          <w:color w:val="000000" w:themeColor="text1"/>
          <w:sz w:val="21"/>
          <w:szCs w:val="21"/>
          <w:lang w:val="es-ES"/>
        </w:rPr>
        <w:t>iii</w:t>
      </w:r>
      <w:proofErr w:type="spellEnd"/>
      <w:r w:rsidRPr="00FB7C66">
        <w:rPr>
          <w:rFonts w:ascii="Arial" w:eastAsia="Calibri" w:hAnsi="Arial" w:cs="Arial"/>
          <w:color w:val="000000" w:themeColor="text1"/>
          <w:sz w:val="21"/>
          <w:szCs w:val="21"/>
          <w:lang w:val="es-ES"/>
        </w:rPr>
        <w:t xml:space="preserve">) </w:t>
      </w:r>
      <w:r w:rsidRPr="00AC0A61">
        <w:rPr>
          <w:rFonts w:ascii="Arial" w:eastAsia="Calibri" w:hAnsi="Arial" w:cs="Arial"/>
          <w:i/>
          <w:iCs/>
          <w:color w:val="000000" w:themeColor="text1"/>
          <w:sz w:val="21"/>
          <w:szCs w:val="21"/>
          <w:lang w:val="es-ES"/>
        </w:rPr>
        <w:t>la fecha de inicio de las obras</w:t>
      </w:r>
      <w:r w:rsidRPr="00FB7C66">
        <w:rPr>
          <w:rFonts w:ascii="Arial" w:eastAsia="Calibri" w:hAnsi="Arial" w:cs="Arial"/>
          <w:color w:val="000000" w:themeColor="text1"/>
          <w:sz w:val="21"/>
          <w:szCs w:val="21"/>
          <w:lang w:val="es-ES"/>
        </w:rPr>
        <w:t xml:space="preserve"> objeto del contrato, día, mes, año; y (</w:t>
      </w:r>
      <w:proofErr w:type="spellStart"/>
      <w:r w:rsidRPr="00FB7C66">
        <w:rPr>
          <w:rFonts w:ascii="Arial" w:eastAsia="Calibri" w:hAnsi="Arial" w:cs="Arial"/>
          <w:color w:val="000000" w:themeColor="text1"/>
          <w:sz w:val="21"/>
          <w:szCs w:val="21"/>
          <w:lang w:val="es-ES"/>
        </w:rPr>
        <w:t>iv</w:t>
      </w:r>
      <w:proofErr w:type="spellEnd"/>
      <w:r w:rsidRPr="00FB7C66">
        <w:rPr>
          <w:rFonts w:ascii="Arial" w:eastAsia="Calibri" w:hAnsi="Arial" w:cs="Arial"/>
          <w:color w:val="000000" w:themeColor="text1"/>
          <w:sz w:val="21"/>
          <w:szCs w:val="21"/>
          <w:lang w:val="es-ES"/>
        </w:rPr>
        <w:t xml:space="preserve">) </w:t>
      </w:r>
      <w:r w:rsidRPr="00AC0A61">
        <w:rPr>
          <w:rFonts w:ascii="Arial" w:eastAsia="Calibri" w:hAnsi="Arial" w:cs="Arial"/>
          <w:i/>
          <w:iCs/>
          <w:color w:val="000000" w:themeColor="text1"/>
          <w:sz w:val="21"/>
          <w:szCs w:val="21"/>
          <w:lang w:val="es-ES"/>
        </w:rPr>
        <w:t>si la obra la ejecuta un consorcio, unión temporal o sociedad de propósito especial,</w:t>
      </w:r>
      <w:r w:rsidRPr="00FB7C66">
        <w:rPr>
          <w:rFonts w:ascii="Arial" w:eastAsia="Calibri" w:hAnsi="Arial" w:cs="Arial"/>
          <w:color w:val="000000" w:themeColor="text1"/>
          <w:sz w:val="21"/>
          <w:szCs w:val="21"/>
          <w:lang w:val="es-ES"/>
        </w:rPr>
        <w:t xml:space="preserve"> junto con el porcentaje de participación del oferente que presenta el certificado. Si el proponente no tiene Contratos en Ejecución, en el certificado debe constar expresamente esa circunstancia». (Subrayas y negrillas fuera del texto original).</w:t>
      </w:r>
    </w:p>
    <w:p w14:paraId="159C07B4" w14:textId="77777777" w:rsidR="00FB7C66" w:rsidRPr="00FB7C66" w:rsidRDefault="00FB7C66" w:rsidP="00FB7C66">
      <w:pPr>
        <w:spacing w:after="0" w:line="276" w:lineRule="auto"/>
        <w:contextualSpacing/>
        <w:jc w:val="both"/>
        <w:rPr>
          <w:rFonts w:ascii="Arial" w:hAnsi="Arial" w:cs="Arial"/>
          <w:color w:val="FF0000"/>
          <w:lang w:eastAsia="es-CO"/>
        </w:rPr>
      </w:pPr>
    </w:p>
    <w:p w14:paraId="1DE05192" w14:textId="0675B36F" w:rsidR="00FB7C66" w:rsidRPr="00FB7C66" w:rsidRDefault="00FB7C66" w:rsidP="00FB7C66">
      <w:pPr>
        <w:widowControl w:val="0"/>
        <w:autoSpaceDE w:val="0"/>
        <w:autoSpaceDN w:val="0"/>
        <w:spacing w:after="0" w:line="276" w:lineRule="auto"/>
        <w:ind w:firstLine="709"/>
        <w:contextualSpacing/>
        <w:jc w:val="both"/>
        <w:rPr>
          <w:rFonts w:ascii="Arial" w:eastAsia="Arial" w:hAnsi="Arial" w:cs="Arial"/>
        </w:rPr>
      </w:pPr>
      <w:r w:rsidRPr="00FB7C66">
        <w:rPr>
          <w:rFonts w:ascii="Arial" w:eastAsia="Arial" w:hAnsi="Arial" w:cs="Arial"/>
        </w:rPr>
        <w:t xml:space="preserve">Así las cosas, es claro que la regulación existente en materia de </w:t>
      </w:r>
      <w:r w:rsidR="008757E7">
        <w:rPr>
          <w:rFonts w:ascii="Arial" w:eastAsia="Arial" w:hAnsi="Arial" w:cs="Arial"/>
        </w:rPr>
        <w:t>c</w:t>
      </w:r>
      <w:r w:rsidRPr="00FB7C66">
        <w:rPr>
          <w:rFonts w:ascii="Arial" w:eastAsia="Arial" w:hAnsi="Arial" w:cs="Arial"/>
        </w:rPr>
        <w:t xml:space="preserve">apacidad </w:t>
      </w:r>
      <w:r w:rsidR="008757E7">
        <w:rPr>
          <w:rFonts w:ascii="Arial" w:eastAsia="Arial" w:hAnsi="Arial" w:cs="Arial"/>
        </w:rPr>
        <w:t>r</w:t>
      </w:r>
      <w:r w:rsidRPr="00FB7C66">
        <w:rPr>
          <w:rFonts w:ascii="Arial" w:eastAsia="Arial" w:hAnsi="Arial" w:cs="Arial"/>
        </w:rPr>
        <w:t xml:space="preserve">esidual establece que, para el cálculo de esta, el oferente debe allegar, entre otros documentos, el listado de los contratos en ejecución, </w:t>
      </w:r>
      <w:r w:rsidR="008757E7">
        <w:rPr>
          <w:rFonts w:ascii="Arial" w:eastAsia="Arial" w:hAnsi="Arial" w:cs="Arial"/>
        </w:rPr>
        <w:t>concretamente</w:t>
      </w:r>
      <w:r w:rsidRPr="00FB7C66">
        <w:rPr>
          <w:rFonts w:ascii="Arial" w:eastAsia="Arial" w:hAnsi="Arial" w:cs="Arial"/>
        </w:rPr>
        <w:t xml:space="preserve">, de obras civiles. </w:t>
      </w:r>
    </w:p>
    <w:p w14:paraId="41A604F6" w14:textId="77777777" w:rsidR="00FB7C66" w:rsidRPr="00FB7C66" w:rsidRDefault="00FB7C66" w:rsidP="00FB7C66">
      <w:pPr>
        <w:spacing w:after="0" w:line="276" w:lineRule="auto"/>
        <w:contextualSpacing/>
        <w:jc w:val="both"/>
        <w:rPr>
          <w:rFonts w:ascii="Arial" w:eastAsia="Calibri" w:hAnsi="Arial" w:cs="Arial"/>
          <w:bCs/>
          <w:lang w:eastAsia="es-CO"/>
        </w:rPr>
      </w:pPr>
    </w:p>
    <w:p w14:paraId="191930AE" w14:textId="59057941" w:rsidR="00FB7C66" w:rsidRPr="00FB7C66" w:rsidRDefault="00FB7C66" w:rsidP="00FB7C66">
      <w:pPr>
        <w:spacing w:after="0" w:line="276" w:lineRule="auto"/>
        <w:contextualSpacing/>
        <w:jc w:val="both"/>
        <w:rPr>
          <w:rFonts w:ascii="Arial" w:hAnsi="Arial" w:cs="Arial"/>
          <w:b/>
          <w:bCs/>
          <w:lang w:eastAsia="es-CO"/>
        </w:rPr>
      </w:pPr>
      <w:r w:rsidRPr="00FB7C66">
        <w:rPr>
          <w:rFonts w:ascii="Arial" w:hAnsi="Arial" w:cs="Arial"/>
          <w:b/>
          <w:bCs/>
          <w:lang w:eastAsia="es-CO"/>
        </w:rPr>
        <w:t xml:space="preserve">2.3. </w:t>
      </w:r>
      <w:bookmarkStart w:id="16" w:name="_Hlk97552366"/>
      <w:r w:rsidRPr="00FB7C66">
        <w:rPr>
          <w:rFonts w:ascii="Arial" w:hAnsi="Arial" w:cs="Arial"/>
          <w:b/>
          <w:bCs/>
          <w:lang w:eastAsia="es-CO"/>
        </w:rPr>
        <w:t xml:space="preserve">Regulación de la </w:t>
      </w:r>
      <w:r w:rsidR="00B020CE">
        <w:rPr>
          <w:rFonts w:ascii="Arial" w:hAnsi="Arial" w:cs="Arial"/>
          <w:b/>
          <w:bCs/>
          <w:lang w:eastAsia="es-CO"/>
        </w:rPr>
        <w:t>c</w:t>
      </w:r>
      <w:r w:rsidRPr="00FB7C66">
        <w:rPr>
          <w:rFonts w:ascii="Arial" w:hAnsi="Arial" w:cs="Arial"/>
          <w:b/>
          <w:bCs/>
          <w:lang w:eastAsia="es-CO"/>
        </w:rPr>
        <w:t xml:space="preserve">apacidad </w:t>
      </w:r>
      <w:r w:rsidR="00B020CE">
        <w:rPr>
          <w:rFonts w:ascii="Arial" w:hAnsi="Arial" w:cs="Arial"/>
          <w:b/>
          <w:bCs/>
          <w:lang w:eastAsia="es-CO"/>
        </w:rPr>
        <w:t>r</w:t>
      </w:r>
      <w:r w:rsidRPr="00FB7C66">
        <w:rPr>
          <w:rFonts w:ascii="Arial" w:hAnsi="Arial" w:cs="Arial"/>
          <w:b/>
          <w:bCs/>
          <w:lang w:eastAsia="es-CO"/>
        </w:rPr>
        <w:t>esidual en</w:t>
      </w:r>
      <w:r w:rsidRPr="00FB7C66">
        <w:rPr>
          <w:rFonts w:ascii="Arial" w:hAnsi="Arial" w:cs="Arial"/>
          <w:b/>
          <w:bCs/>
          <w:lang w:val="es-ES" w:eastAsia="es-CO"/>
        </w:rPr>
        <w:t xml:space="preserve"> los </w:t>
      </w:r>
      <w:r w:rsidR="008757E7">
        <w:rPr>
          <w:rFonts w:ascii="Arial" w:hAnsi="Arial" w:cs="Arial"/>
          <w:b/>
          <w:bCs/>
          <w:lang w:val="es-ES" w:eastAsia="es-CO"/>
        </w:rPr>
        <w:t>documentos tipo</w:t>
      </w:r>
      <w:r w:rsidRPr="00FB7C66">
        <w:rPr>
          <w:rFonts w:ascii="Arial" w:hAnsi="Arial" w:cs="Arial"/>
          <w:b/>
          <w:bCs/>
          <w:lang w:val="es-ES" w:eastAsia="es-CO"/>
        </w:rPr>
        <w:t xml:space="preserve"> de </w:t>
      </w:r>
      <w:r w:rsidR="008757E7">
        <w:rPr>
          <w:rFonts w:ascii="Arial" w:hAnsi="Arial" w:cs="Arial"/>
          <w:b/>
          <w:bCs/>
          <w:lang w:eastAsia="es-CO"/>
        </w:rPr>
        <w:t>l</w:t>
      </w:r>
      <w:r w:rsidRPr="00FB7C66">
        <w:rPr>
          <w:rFonts w:ascii="Arial" w:hAnsi="Arial" w:cs="Arial"/>
          <w:b/>
          <w:bCs/>
          <w:lang w:eastAsia="es-CO"/>
        </w:rPr>
        <w:t xml:space="preserve">icitación de </w:t>
      </w:r>
      <w:r w:rsidR="008757E7">
        <w:rPr>
          <w:rFonts w:ascii="Arial" w:hAnsi="Arial" w:cs="Arial"/>
          <w:b/>
          <w:bCs/>
          <w:lang w:eastAsia="es-CO"/>
        </w:rPr>
        <w:t>obra de i</w:t>
      </w:r>
      <w:r w:rsidRPr="00FB7C66">
        <w:rPr>
          <w:rFonts w:ascii="Arial" w:hAnsi="Arial" w:cs="Arial"/>
          <w:b/>
          <w:bCs/>
          <w:lang w:eastAsia="es-CO"/>
        </w:rPr>
        <w:t xml:space="preserve">nfraestructura de </w:t>
      </w:r>
      <w:r w:rsidR="008757E7">
        <w:rPr>
          <w:rFonts w:ascii="Arial" w:hAnsi="Arial" w:cs="Arial"/>
          <w:b/>
          <w:bCs/>
          <w:lang w:eastAsia="es-CO"/>
        </w:rPr>
        <w:t>t</w:t>
      </w:r>
      <w:r w:rsidRPr="00FB7C66">
        <w:rPr>
          <w:rFonts w:ascii="Arial" w:hAnsi="Arial" w:cs="Arial"/>
          <w:b/>
          <w:bCs/>
          <w:lang w:eastAsia="es-CO"/>
        </w:rPr>
        <w:t>ransporte</w:t>
      </w:r>
      <w:bookmarkEnd w:id="16"/>
    </w:p>
    <w:p w14:paraId="766D387B" w14:textId="77777777" w:rsidR="00FB7C66" w:rsidRPr="00FB7C66" w:rsidRDefault="00FB7C66" w:rsidP="00FB7C66">
      <w:pPr>
        <w:spacing w:after="0" w:line="276" w:lineRule="auto"/>
        <w:contextualSpacing/>
        <w:jc w:val="both"/>
        <w:rPr>
          <w:rFonts w:ascii="Arial" w:hAnsi="Arial" w:cs="Arial"/>
          <w:b/>
          <w:bCs/>
          <w:lang w:eastAsia="es-CO"/>
        </w:rPr>
      </w:pPr>
    </w:p>
    <w:p w14:paraId="571CCC81" w14:textId="229A89BC" w:rsidR="00FB7C66" w:rsidRPr="00FB7C66" w:rsidRDefault="008757E7" w:rsidP="00FB7C66">
      <w:pPr>
        <w:widowControl w:val="0"/>
        <w:autoSpaceDE w:val="0"/>
        <w:autoSpaceDN w:val="0"/>
        <w:spacing w:after="0" w:line="276" w:lineRule="auto"/>
        <w:contextualSpacing/>
        <w:jc w:val="both"/>
        <w:rPr>
          <w:rFonts w:ascii="Arial" w:eastAsia="Arial" w:hAnsi="Arial" w:cs="Arial"/>
        </w:rPr>
      </w:pPr>
      <w:r>
        <w:rPr>
          <w:rFonts w:ascii="Arial" w:eastAsia="Arial" w:hAnsi="Arial" w:cs="Arial"/>
        </w:rPr>
        <w:t>Luego de analizados los fundamentos jurídicos anteriores</w:t>
      </w:r>
      <w:r w:rsidR="00FB7C66" w:rsidRPr="00FB7C66">
        <w:rPr>
          <w:rFonts w:ascii="Arial" w:eastAsia="Arial" w:hAnsi="Arial" w:cs="Arial"/>
        </w:rPr>
        <w:t xml:space="preserve">, </w:t>
      </w:r>
      <w:r w:rsidR="00445ECE">
        <w:rPr>
          <w:rFonts w:ascii="Arial" w:eastAsia="Arial" w:hAnsi="Arial" w:cs="Arial"/>
        </w:rPr>
        <w:t>corresponde</w:t>
      </w:r>
      <w:r w:rsidR="00FB7C66" w:rsidRPr="00FB7C66">
        <w:rPr>
          <w:rFonts w:ascii="Arial" w:eastAsia="Arial" w:hAnsi="Arial" w:cs="Arial"/>
        </w:rPr>
        <w:t xml:space="preserve"> señalar que las reglas dispuestas en el Decreto 1082 de 2015 fueron replicadas en el </w:t>
      </w:r>
      <w:r w:rsidR="00445ECE">
        <w:rPr>
          <w:rFonts w:ascii="Arial" w:eastAsia="Arial" w:hAnsi="Arial" w:cs="Arial"/>
        </w:rPr>
        <w:t>documento tipo</w:t>
      </w:r>
      <w:r w:rsidR="00FB7C66" w:rsidRPr="00FB7C66">
        <w:rPr>
          <w:rFonts w:ascii="Arial" w:eastAsia="Arial" w:hAnsi="Arial" w:cs="Arial"/>
        </w:rPr>
        <w:t xml:space="preserve"> de </w:t>
      </w:r>
      <w:r w:rsidR="00445ECE">
        <w:rPr>
          <w:rFonts w:ascii="Arial" w:eastAsia="Arial" w:hAnsi="Arial" w:cs="Arial"/>
        </w:rPr>
        <w:t>l</w:t>
      </w:r>
      <w:r w:rsidR="00FB7C66" w:rsidRPr="00FB7C66">
        <w:rPr>
          <w:rFonts w:ascii="Arial" w:eastAsia="Arial" w:hAnsi="Arial" w:cs="Arial"/>
        </w:rPr>
        <w:t xml:space="preserve">icitación de </w:t>
      </w:r>
      <w:r w:rsidR="00445ECE">
        <w:rPr>
          <w:rFonts w:ascii="Arial" w:eastAsia="Arial" w:hAnsi="Arial" w:cs="Arial"/>
        </w:rPr>
        <w:t>obra de i</w:t>
      </w:r>
      <w:r w:rsidR="00FB7C66" w:rsidRPr="00FB7C66">
        <w:rPr>
          <w:rFonts w:ascii="Arial" w:eastAsia="Arial" w:hAnsi="Arial" w:cs="Arial"/>
        </w:rPr>
        <w:t xml:space="preserve">nfraestructura de </w:t>
      </w:r>
      <w:r w:rsidR="00445ECE">
        <w:rPr>
          <w:rFonts w:ascii="Arial" w:eastAsia="Arial" w:hAnsi="Arial" w:cs="Arial"/>
        </w:rPr>
        <w:t>t</w:t>
      </w:r>
      <w:r w:rsidR="00FB7C66" w:rsidRPr="00FB7C66">
        <w:rPr>
          <w:rFonts w:ascii="Arial" w:eastAsia="Arial" w:hAnsi="Arial" w:cs="Arial"/>
        </w:rPr>
        <w:t xml:space="preserve">ransporte. Así las cosas, el numeral 3.10.2. </w:t>
      </w:r>
      <w:bookmarkStart w:id="17" w:name="_Toc84411343"/>
      <w:r w:rsidR="00445ECE">
        <w:rPr>
          <w:rFonts w:ascii="Arial" w:eastAsia="Arial" w:hAnsi="Arial" w:cs="Arial"/>
        </w:rPr>
        <w:t>«</w:t>
      </w:r>
      <w:r w:rsidR="00FB7C66" w:rsidRPr="00FB7C66">
        <w:rPr>
          <w:rFonts w:ascii="Arial" w:eastAsia="Arial" w:hAnsi="Arial" w:cs="Arial"/>
        </w:rPr>
        <w:t>CÁLCULO DE LA CAPACIDAD RESIDUAL DEL PROPONENTE (CRP)</w:t>
      </w:r>
      <w:bookmarkEnd w:id="17"/>
      <w:r w:rsidR="00445ECE">
        <w:rPr>
          <w:rFonts w:ascii="Arial" w:eastAsia="Arial" w:hAnsi="Arial" w:cs="Arial"/>
        </w:rPr>
        <w:t>»</w:t>
      </w:r>
      <w:r w:rsidR="00FB7C66" w:rsidRPr="00FB7C66">
        <w:rPr>
          <w:rFonts w:ascii="Arial" w:eastAsia="Arial" w:hAnsi="Arial" w:cs="Arial"/>
        </w:rPr>
        <w:t xml:space="preserve"> del mencionado documento, señala: </w:t>
      </w:r>
    </w:p>
    <w:p w14:paraId="06DE5A97" w14:textId="77777777" w:rsidR="00FB7C66" w:rsidRPr="00FB7C66" w:rsidRDefault="00FB7C66" w:rsidP="00FB7C66">
      <w:pPr>
        <w:spacing w:after="0" w:line="276" w:lineRule="auto"/>
        <w:contextualSpacing/>
        <w:jc w:val="both"/>
        <w:rPr>
          <w:rFonts w:ascii="Arial" w:hAnsi="Arial" w:cs="Arial"/>
          <w:color w:val="FF0000"/>
          <w:lang w:val="es-ES" w:eastAsia="es-CO"/>
        </w:rPr>
      </w:pPr>
    </w:p>
    <w:p w14:paraId="1B4611A6"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r w:rsidRPr="00FB7C66">
        <w:rPr>
          <w:rFonts w:ascii="Arial" w:eastAsia="Calibri" w:hAnsi="Arial" w:cs="Arial"/>
          <w:color w:val="000000" w:themeColor="text1"/>
          <w:sz w:val="21"/>
          <w:szCs w:val="21"/>
          <w:lang w:val="es-ES"/>
        </w:rPr>
        <w:t>«</w:t>
      </w:r>
      <w:r w:rsidRPr="00FB7C66">
        <w:rPr>
          <w:rFonts w:ascii="Arial" w:eastAsia="Calibri" w:hAnsi="Arial" w:cs="Arial"/>
          <w:b/>
          <w:bCs/>
          <w:color w:val="000000" w:themeColor="text1"/>
          <w:sz w:val="21"/>
          <w:szCs w:val="21"/>
          <w:lang w:val="es-ES"/>
        </w:rPr>
        <w:t>A. Saldos Contratos en Ejecución (SCE):</w:t>
      </w:r>
    </w:p>
    <w:p w14:paraId="6A1FC905"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p>
    <w:p w14:paraId="606FBC1A"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r w:rsidRPr="00FB7C66">
        <w:rPr>
          <w:rFonts w:ascii="Arial" w:eastAsia="Calibri" w:hAnsi="Arial" w:cs="Arial"/>
          <w:color w:val="000000" w:themeColor="text1"/>
          <w:sz w:val="21"/>
          <w:szCs w:val="21"/>
          <w:lang w:val="es-ES"/>
        </w:rPr>
        <w:t xml:space="preserve">El proponente debe presentar el Formato 5 – Capacidad residual suscrito por su representante legal y su revisor fiscal si el proponente está obligado a tenerlo, o por el contador o su auditor independiente el cual contenga la lista de los contratos en ejecución tanto a nivel nacional como internacional indicando: i) el valor del contrato; </w:t>
      </w:r>
      <w:proofErr w:type="spellStart"/>
      <w:r w:rsidRPr="00FB7C66">
        <w:rPr>
          <w:rFonts w:ascii="Arial" w:eastAsia="Calibri" w:hAnsi="Arial" w:cs="Arial"/>
          <w:color w:val="000000" w:themeColor="text1"/>
          <w:sz w:val="21"/>
          <w:szCs w:val="21"/>
          <w:lang w:val="es-ES"/>
        </w:rPr>
        <w:t>ii</w:t>
      </w:r>
      <w:proofErr w:type="spellEnd"/>
      <w:r w:rsidRPr="00FB7C66">
        <w:rPr>
          <w:rFonts w:ascii="Arial" w:eastAsia="Calibri" w:hAnsi="Arial" w:cs="Arial"/>
          <w:color w:val="000000" w:themeColor="text1"/>
          <w:sz w:val="21"/>
          <w:szCs w:val="21"/>
          <w:lang w:val="es-ES"/>
        </w:rPr>
        <w:t xml:space="preserve">) el plazo del contrato en meses; </w:t>
      </w:r>
      <w:proofErr w:type="spellStart"/>
      <w:r w:rsidRPr="00FB7C66">
        <w:rPr>
          <w:rFonts w:ascii="Arial" w:eastAsia="Calibri" w:hAnsi="Arial" w:cs="Arial"/>
          <w:color w:val="000000" w:themeColor="text1"/>
          <w:sz w:val="21"/>
          <w:szCs w:val="21"/>
          <w:lang w:val="es-ES"/>
        </w:rPr>
        <w:t>iii</w:t>
      </w:r>
      <w:proofErr w:type="spellEnd"/>
      <w:r w:rsidRPr="00AC0A61">
        <w:rPr>
          <w:rFonts w:ascii="Arial" w:eastAsia="Calibri" w:hAnsi="Arial" w:cs="Arial"/>
          <w:i/>
          <w:iCs/>
          <w:color w:val="000000" w:themeColor="text1"/>
          <w:sz w:val="21"/>
          <w:szCs w:val="21"/>
          <w:lang w:val="es-ES"/>
        </w:rPr>
        <w:t>) la fecha de inicio de las obras del contrato</w:t>
      </w:r>
      <w:r w:rsidRPr="00FB7C66">
        <w:rPr>
          <w:rFonts w:ascii="Arial" w:eastAsia="Calibri" w:hAnsi="Arial" w:cs="Arial"/>
          <w:color w:val="000000" w:themeColor="text1"/>
          <w:sz w:val="21"/>
          <w:szCs w:val="21"/>
          <w:lang w:val="es-ES"/>
        </w:rPr>
        <w:t xml:space="preserve">, día, mes, año; </w:t>
      </w:r>
      <w:proofErr w:type="spellStart"/>
      <w:r w:rsidRPr="00FB7C66">
        <w:rPr>
          <w:rFonts w:ascii="Arial" w:eastAsia="Calibri" w:hAnsi="Arial" w:cs="Arial"/>
          <w:color w:val="000000" w:themeColor="text1"/>
          <w:sz w:val="21"/>
          <w:szCs w:val="21"/>
          <w:lang w:val="es-ES"/>
        </w:rPr>
        <w:t>iv</w:t>
      </w:r>
      <w:proofErr w:type="spellEnd"/>
      <w:r w:rsidRPr="00FB7C66">
        <w:rPr>
          <w:rFonts w:ascii="Arial" w:eastAsia="Calibri" w:hAnsi="Arial" w:cs="Arial"/>
          <w:color w:val="000000" w:themeColor="text1"/>
          <w:sz w:val="21"/>
          <w:szCs w:val="21"/>
          <w:lang w:val="es-ES"/>
        </w:rPr>
        <w:t xml:space="preserve">) </w:t>
      </w:r>
      <w:r w:rsidRPr="00AC0A61">
        <w:rPr>
          <w:rFonts w:ascii="Arial" w:eastAsia="Calibri" w:hAnsi="Arial" w:cs="Arial"/>
          <w:i/>
          <w:iCs/>
          <w:color w:val="000000" w:themeColor="text1"/>
          <w:sz w:val="21"/>
          <w:szCs w:val="21"/>
          <w:lang w:val="es-ES"/>
        </w:rPr>
        <w:t>si la obra</w:t>
      </w:r>
      <w:r w:rsidRPr="00FB7C66">
        <w:rPr>
          <w:rFonts w:ascii="Arial" w:eastAsia="Calibri" w:hAnsi="Arial" w:cs="Arial"/>
          <w:color w:val="000000" w:themeColor="text1"/>
          <w:sz w:val="21"/>
          <w:szCs w:val="21"/>
          <w:lang w:val="es-ES"/>
        </w:rPr>
        <w:t xml:space="preserve"> la ejecuta un consorcio o unión temporal junto con el porcentaje de participación del integrante que presenta el certificado, y v) si el contrato se encuentra suspendido, de ser así, la fecha de suspensión. En el certificado debe constar expresamente si el proponente no tiene contratos en ejecución. </w:t>
      </w:r>
    </w:p>
    <w:p w14:paraId="399011E1"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p>
    <w:p w14:paraId="670AB5CF"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r w:rsidRPr="00FB7C66">
        <w:rPr>
          <w:rFonts w:ascii="Arial" w:eastAsia="Calibri" w:hAnsi="Arial" w:cs="Arial"/>
          <w:color w:val="000000" w:themeColor="text1"/>
          <w:sz w:val="21"/>
          <w:szCs w:val="21"/>
          <w:lang w:val="es-ES"/>
        </w:rPr>
        <w:t xml:space="preserve">Para acreditar el factor (SCE) el proponente tendrá en cuenta lo siguiente: </w:t>
      </w:r>
    </w:p>
    <w:p w14:paraId="20EDB492" w14:textId="77777777" w:rsidR="00FB7C66" w:rsidRPr="00FB7C66" w:rsidRDefault="00FB7C66" w:rsidP="00FB7C66">
      <w:pPr>
        <w:spacing w:after="0" w:line="276" w:lineRule="auto"/>
        <w:ind w:left="850" w:right="850"/>
        <w:contextualSpacing/>
        <w:jc w:val="both"/>
        <w:rPr>
          <w:rFonts w:ascii="Arial" w:hAnsi="Arial" w:cs="Arial"/>
          <w:i/>
          <w:iCs/>
          <w:lang w:val="es-MX" w:eastAsia="es-CO"/>
        </w:rPr>
      </w:pPr>
    </w:p>
    <w:p w14:paraId="5A350DDE" w14:textId="77777777" w:rsidR="00FB7C66" w:rsidRPr="00FB7C66" w:rsidRDefault="00FB7C66" w:rsidP="00FB7C66">
      <w:pPr>
        <w:widowControl w:val="0"/>
        <w:numPr>
          <w:ilvl w:val="0"/>
          <w:numId w:val="5"/>
        </w:numPr>
        <w:autoSpaceDE w:val="0"/>
        <w:autoSpaceDN w:val="0"/>
        <w:spacing w:after="0" w:line="240" w:lineRule="auto"/>
        <w:ind w:left="709" w:right="709" w:firstLine="0"/>
        <w:contextualSpacing/>
        <w:jc w:val="both"/>
        <w:rPr>
          <w:rFonts w:ascii="Arial" w:eastAsia="Calibri" w:hAnsi="Arial" w:cs="Arial"/>
          <w:color w:val="000000" w:themeColor="text1"/>
          <w:sz w:val="21"/>
          <w:szCs w:val="21"/>
          <w:lang w:val="es-ES"/>
        </w:rPr>
      </w:pPr>
      <w:r w:rsidRPr="00FB7C66">
        <w:rPr>
          <w:rFonts w:ascii="Arial" w:eastAsia="Calibri" w:hAnsi="Arial" w:cs="Arial"/>
          <w:color w:val="000000" w:themeColor="text1"/>
          <w:sz w:val="21"/>
          <w:szCs w:val="21"/>
          <w:lang w:val="es-ES"/>
        </w:rPr>
        <w:t>El factor SCE es la suma de los montos por ejecutar de los contratos vigentes durante los 12 meses siguientes. Si el número de días por ejecutar en un contrato es superior a 12 meses, es decir 360 días, el factor (SCE) solo tendrá en cuenta la proporción lineal de 12 meses.</w:t>
      </w:r>
    </w:p>
    <w:p w14:paraId="4061ECC4"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p>
    <w:p w14:paraId="07C5035B" w14:textId="77777777" w:rsidR="00FB7C66" w:rsidRPr="00AC0A61" w:rsidRDefault="00FB7C66" w:rsidP="00FB7C66">
      <w:pPr>
        <w:widowControl w:val="0"/>
        <w:numPr>
          <w:ilvl w:val="0"/>
          <w:numId w:val="5"/>
        </w:numPr>
        <w:autoSpaceDE w:val="0"/>
        <w:autoSpaceDN w:val="0"/>
        <w:spacing w:after="0" w:line="240" w:lineRule="auto"/>
        <w:ind w:left="709" w:right="709" w:firstLine="0"/>
        <w:contextualSpacing/>
        <w:jc w:val="both"/>
        <w:rPr>
          <w:rFonts w:ascii="Arial" w:eastAsia="Calibri" w:hAnsi="Arial" w:cs="Arial"/>
          <w:i/>
          <w:iCs/>
          <w:color w:val="000000" w:themeColor="text1"/>
          <w:sz w:val="21"/>
          <w:szCs w:val="21"/>
          <w:lang w:val="es-ES"/>
        </w:rPr>
      </w:pPr>
      <w:r w:rsidRPr="00AC0A61">
        <w:rPr>
          <w:rFonts w:ascii="Arial" w:eastAsia="Calibri" w:hAnsi="Arial" w:cs="Arial"/>
          <w:i/>
          <w:iCs/>
          <w:color w:val="000000" w:themeColor="text1"/>
          <w:sz w:val="21"/>
          <w:szCs w:val="21"/>
          <w:lang w:val="es-ES"/>
        </w:rPr>
        <w:t>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w:t>
      </w:r>
    </w:p>
    <w:p w14:paraId="2C1E7FF8" w14:textId="77777777" w:rsidR="00FB7C66" w:rsidRPr="00AC0A61" w:rsidRDefault="00FB7C66" w:rsidP="00FB7C66">
      <w:pPr>
        <w:widowControl w:val="0"/>
        <w:autoSpaceDE w:val="0"/>
        <w:autoSpaceDN w:val="0"/>
        <w:spacing w:after="0" w:line="240" w:lineRule="auto"/>
        <w:ind w:left="709" w:right="709"/>
        <w:contextualSpacing/>
        <w:jc w:val="both"/>
        <w:rPr>
          <w:rFonts w:ascii="Arial" w:eastAsia="Calibri" w:hAnsi="Arial" w:cs="Arial"/>
          <w:i/>
          <w:iCs/>
          <w:color w:val="000000" w:themeColor="text1"/>
          <w:sz w:val="21"/>
          <w:szCs w:val="21"/>
          <w:lang w:val="es-ES"/>
        </w:rPr>
      </w:pPr>
    </w:p>
    <w:p w14:paraId="292012A1" w14:textId="77777777" w:rsidR="00FB7C66" w:rsidRPr="00AC0A61" w:rsidRDefault="00FB7C66" w:rsidP="00FB7C66">
      <w:pPr>
        <w:widowControl w:val="0"/>
        <w:numPr>
          <w:ilvl w:val="0"/>
          <w:numId w:val="5"/>
        </w:numPr>
        <w:autoSpaceDE w:val="0"/>
        <w:autoSpaceDN w:val="0"/>
        <w:spacing w:after="0" w:line="240" w:lineRule="auto"/>
        <w:ind w:left="709" w:right="709" w:firstLine="0"/>
        <w:contextualSpacing/>
        <w:jc w:val="both"/>
        <w:rPr>
          <w:rFonts w:ascii="Arial" w:eastAsia="Calibri" w:hAnsi="Arial" w:cs="Arial"/>
          <w:i/>
          <w:iCs/>
          <w:color w:val="000000" w:themeColor="text1"/>
          <w:sz w:val="21"/>
          <w:szCs w:val="21"/>
          <w:lang w:val="es-ES"/>
        </w:rPr>
      </w:pPr>
      <w:r w:rsidRPr="00AC0A61">
        <w:rPr>
          <w:rFonts w:ascii="Arial" w:eastAsia="Calibri" w:hAnsi="Arial" w:cs="Arial"/>
          <w:i/>
          <w:iCs/>
          <w:color w:val="000000" w:themeColor="text1"/>
          <w:sz w:val="21"/>
          <w:szCs w:val="21"/>
          <w:lang w:val="es-ES"/>
        </w:rPr>
        <w:t xml:space="preserve">Se tendrán en cuenta los contratos de obras civiles en ejecución suscritos por el proponente o por sociedades, consorcios o uniones temporales en los cuales el proponente tenga participación. </w:t>
      </w:r>
    </w:p>
    <w:p w14:paraId="4E77738B"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p>
    <w:p w14:paraId="57987928" w14:textId="77777777" w:rsidR="00FB7C66" w:rsidRPr="00FB7C66" w:rsidRDefault="00FB7C66" w:rsidP="00FB7C66">
      <w:pPr>
        <w:widowControl w:val="0"/>
        <w:numPr>
          <w:ilvl w:val="0"/>
          <w:numId w:val="5"/>
        </w:numPr>
        <w:autoSpaceDE w:val="0"/>
        <w:autoSpaceDN w:val="0"/>
        <w:spacing w:after="0" w:line="240" w:lineRule="auto"/>
        <w:ind w:left="709" w:right="709" w:firstLine="0"/>
        <w:contextualSpacing/>
        <w:jc w:val="both"/>
        <w:rPr>
          <w:rFonts w:ascii="Arial" w:eastAsia="Calibri" w:hAnsi="Arial" w:cs="Arial"/>
          <w:color w:val="000000" w:themeColor="text1"/>
          <w:sz w:val="21"/>
          <w:szCs w:val="21"/>
          <w:lang w:val="es-ES"/>
        </w:rPr>
      </w:pPr>
      <w:r w:rsidRPr="00FB7C66">
        <w:rPr>
          <w:rFonts w:ascii="Arial" w:eastAsia="Calibri" w:hAnsi="Arial" w:cs="Arial"/>
          <w:color w:val="000000" w:themeColor="text1"/>
          <w:sz w:val="21"/>
          <w:szCs w:val="21"/>
          <w:lang w:val="es-ES"/>
        </w:rPr>
        <w:t>Si un contrato se encuentra suspendido, el cálculo del (SCE) de dicho contrato debe efectuarse asumiendo que lo que falta por ejecutar iniciara en la fecha de presentación de la oferta del Proceso de Contratación. Si el contrato está suspendido el proponente debe informar el saldo pendiente por ejecutar.</w:t>
      </w:r>
    </w:p>
    <w:p w14:paraId="0F6CCF52"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p>
    <w:p w14:paraId="5C5A43D2" w14:textId="77777777" w:rsidR="00FB7C66" w:rsidRPr="00FB7C66" w:rsidRDefault="00FB7C66" w:rsidP="00FB7C66">
      <w:pPr>
        <w:widowControl w:val="0"/>
        <w:numPr>
          <w:ilvl w:val="0"/>
          <w:numId w:val="5"/>
        </w:numPr>
        <w:autoSpaceDE w:val="0"/>
        <w:autoSpaceDN w:val="0"/>
        <w:spacing w:after="0" w:line="240" w:lineRule="auto"/>
        <w:ind w:left="709" w:right="709" w:firstLine="0"/>
        <w:contextualSpacing/>
        <w:jc w:val="both"/>
        <w:rPr>
          <w:rFonts w:ascii="Arial" w:eastAsia="Calibri" w:hAnsi="Arial" w:cs="Arial"/>
          <w:color w:val="000000" w:themeColor="text1"/>
          <w:sz w:val="21"/>
          <w:szCs w:val="21"/>
          <w:lang w:val="es-ES"/>
        </w:rPr>
      </w:pPr>
      <w:r w:rsidRPr="00FB7C66">
        <w:rPr>
          <w:rFonts w:ascii="Arial" w:eastAsia="Calibri" w:hAnsi="Arial" w:cs="Arial"/>
          <w:color w:val="000000" w:themeColor="text1"/>
          <w:sz w:val="21"/>
          <w:szCs w:val="21"/>
          <w:lang w:val="es-ES"/>
        </w:rPr>
        <w:t xml:space="preserve">El cálculo del factor (SCE) debe hacerse linealmente calculando una ejecución diaria equivalente al valor del contrato dividido por el plazo del contrato expresado en días. Este resultado se multiplica por el número de días pendientes para cumplir el plazo del contrato y si el contrato es ejecutado por una estructura plural por la participación del proponente en la respectiva estructura. </w:t>
      </w:r>
    </w:p>
    <w:p w14:paraId="0DE8B0A0"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p>
    <w:p w14:paraId="32CC9BBB" w14:textId="77777777" w:rsidR="00FB7C66" w:rsidRPr="00FB7C66" w:rsidRDefault="00FB7C66" w:rsidP="00FB7C66">
      <w:pPr>
        <w:widowControl w:val="0"/>
        <w:numPr>
          <w:ilvl w:val="0"/>
          <w:numId w:val="5"/>
        </w:numPr>
        <w:autoSpaceDE w:val="0"/>
        <w:autoSpaceDN w:val="0"/>
        <w:spacing w:after="0" w:line="240" w:lineRule="auto"/>
        <w:ind w:left="709" w:right="709" w:firstLine="0"/>
        <w:contextualSpacing/>
        <w:jc w:val="both"/>
        <w:rPr>
          <w:rFonts w:ascii="Arial" w:eastAsia="Calibri" w:hAnsi="Arial" w:cs="Arial"/>
          <w:color w:val="000000" w:themeColor="text1"/>
          <w:sz w:val="21"/>
          <w:szCs w:val="21"/>
          <w:lang w:val="es-ES"/>
        </w:rPr>
      </w:pPr>
      <w:r w:rsidRPr="00FB7C66">
        <w:rPr>
          <w:rFonts w:ascii="Arial" w:eastAsia="Calibri" w:hAnsi="Arial" w:cs="Arial"/>
          <w:color w:val="000000" w:themeColor="text1"/>
          <w:sz w:val="21"/>
          <w:szCs w:val="21"/>
          <w:lang w:val="es-ES"/>
        </w:rPr>
        <w:t>Para los proponentes o integrantes extranjeros sin domicilio o sin sucursal en Colombia deben diligenciar el Formato 5 – Capacidad residual firmado por la persona natural o el representante legal de la persona jurídica y el contador público colombiano que los hubiere convertido a pesos colombianos usando para ello la sección 1.13 del pliego de condiciones». (Subrayas y negrillas fuera del texto original).</w:t>
      </w:r>
    </w:p>
    <w:p w14:paraId="6E7F11D9" w14:textId="77777777" w:rsidR="00FB7C66" w:rsidRPr="00FB7C66" w:rsidRDefault="00FB7C66" w:rsidP="00FB7C66">
      <w:pPr>
        <w:spacing w:after="0" w:line="276" w:lineRule="auto"/>
        <w:ind w:right="850"/>
        <w:contextualSpacing/>
        <w:rPr>
          <w:rFonts w:ascii="Arial" w:hAnsi="Arial" w:cs="Arial"/>
          <w:i/>
          <w:iCs/>
          <w:color w:val="FF0000"/>
          <w:lang w:val="es-MX" w:eastAsia="es-CO"/>
        </w:rPr>
      </w:pPr>
    </w:p>
    <w:p w14:paraId="1BDCA586" w14:textId="68E40014" w:rsidR="00FB7C66" w:rsidRPr="00FB7C66" w:rsidRDefault="00FB7C66" w:rsidP="00FB7C66">
      <w:pPr>
        <w:widowControl w:val="0"/>
        <w:autoSpaceDE w:val="0"/>
        <w:autoSpaceDN w:val="0"/>
        <w:spacing w:after="0" w:line="276" w:lineRule="auto"/>
        <w:ind w:firstLine="709"/>
        <w:contextualSpacing/>
        <w:jc w:val="both"/>
        <w:rPr>
          <w:rFonts w:ascii="Arial" w:eastAsia="Arial" w:hAnsi="Arial" w:cs="Arial"/>
        </w:rPr>
      </w:pPr>
      <w:bookmarkStart w:id="18" w:name="_Hlk97551821"/>
      <w:r w:rsidRPr="00FB7C66">
        <w:rPr>
          <w:rFonts w:ascii="Arial" w:eastAsia="Arial" w:hAnsi="Arial" w:cs="Arial"/>
        </w:rPr>
        <w:t xml:space="preserve">Se </w:t>
      </w:r>
      <w:r w:rsidR="00445ECE">
        <w:rPr>
          <w:rFonts w:ascii="Arial" w:eastAsia="Arial" w:hAnsi="Arial" w:cs="Arial"/>
        </w:rPr>
        <w:t>advierte</w:t>
      </w:r>
      <w:r w:rsidR="00445ECE" w:rsidRPr="00FB7C66">
        <w:rPr>
          <w:rFonts w:ascii="Arial" w:eastAsia="Arial" w:hAnsi="Arial" w:cs="Arial"/>
        </w:rPr>
        <w:t xml:space="preserve"> </w:t>
      </w:r>
      <w:r w:rsidRPr="00FB7C66">
        <w:rPr>
          <w:rFonts w:ascii="Arial" w:eastAsia="Arial" w:hAnsi="Arial" w:cs="Arial"/>
        </w:rPr>
        <w:t xml:space="preserve">que, de acuerdo con los requisitos establecidos en el numeral 3.10.2. del </w:t>
      </w:r>
      <w:r w:rsidR="00445ECE">
        <w:rPr>
          <w:rFonts w:ascii="Arial" w:eastAsia="Arial" w:hAnsi="Arial" w:cs="Arial"/>
        </w:rPr>
        <w:t>p</w:t>
      </w:r>
      <w:r w:rsidRPr="00FB7C66">
        <w:rPr>
          <w:rFonts w:ascii="Arial" w:eastAsia="Arial" w:hAnsi="Arial" w:cs="Arial"/>
        </w:rPr>
        <w:t xml:space="preserve">liego </w:t>
      </w:r>
      <w:r w:rsidR="00445ECE">
        <w:rPr>
          <w:rFonts w:ascii="Arial" w:eastAsia="Arial" w:hAnsi="Arial" w:cs="Arial"/>
        </w:rPr>
        <w:t>t</w:t>
      </w:r>
      <w:r w:rsidRPr="00FB7C66">
        <w:rPr>
          <w:rFonts w:ascii="Arial" w:eastAsia="Arial" w:hAnsi="Arial" w:cs="Arial"/>
        </w:rPr>
        <w:t xml:space="preserve">ipo de </w:t>
      </w:r>
      <w:r w:rsidR="00445ECE">
        <w:rPr>
          <w:rFonts w:ascii="Arial" w:eastAsia="Arial" w:hAnsi="Arial" w:cs="Arial"/>
        </w:rPr>
        <w:t>l</w:t>
      </w:r>
      <w:r w:rsidRPr="00FB7C66">
        <w:rPr>
          <w:rFonts w:ascii="Arial" w:eastAsia="Arial" w:hAnsi="Arial" w:cs="Arial"/>
        </w:rPr>
        <w:t xml:space="preserve">icitación de </w:t>
      </w:r>
      <w:r w:rsidR="00445ECE">
        <w:rPr>
          <w:rFonts w:ascii="Arial" w:eastAsia="Arial" w:hAnsi="Arial" w:cs="Arial"/>
        </w:rPr>
        <w:t>obra de i</w:t>
      </w:r>
      <w:r w:rsidRPr="00FB7C66">
        <w:rPr>
          <w:rFonts w:ascii="Arial" w:eastAsia="Arial" w:hAnsi="Arial" w:cs="Arial"/>
        </w:rPr>
        <w:t xml:space="preserve">nfraestructura de </w:t>
      </w:r>
      <w:r w:rsidR="00445ECE">
        <w:rPr>
          <w:rFonts w:ascii="Arial" w:eastAsia="Arial" w:hAnsi="Arial" w:cs="Arial"/>
        </w:rPr>
        <w:t>t</w:t>
      </w:r>
      <w:r w:rsidRPr="00FB7C66">
        <w:rPr>
          <w:rFonts w:ascii="Arial" w:eastAsia="Arial" w:hAnsi="Arial" w:cs="Arial"/>
        </w:rPr>
        <w:t>ransporte</w:t>
      </w:r>
      <w:r w:rsidR="00445ECE">
        <w:rPr>
          <w:rFonts w:ascii="Arial" w:eastAsia="Arial" w:hAnsi="Arial" w:cs="Arial"/>
        </w:rPr>
        <w:t>,</w:t>
      </w:r>
      <w:r w:rsidRPr="00FB7C66">
        <w:rPr>
          <w:rFonts w:ascii="Arial" w:eastAsia="Arial" w:hAnsi="Arial" w:cs="Arial"/>
        </w:rPr>
        <w:t xml:space="preserve"> para el cálculo de la </w:t>
      </w:r>
      <w:r w:rsidR="00445ECE">
        <w:rPr>
          <w:rFonts w:ascii="Arial" w:eastAsia="Arial" w:hAnsi="Arial" w:cs="Arial"/>
        </w:rPr>
        <w:t>c</w:t>
      </w:r>
      <w:r w:rsidRPr="00FB7C66">
        <w:rPr>
          <w:rFonts w:ascii="Arial" w:eastAsia="Arial" w:hAnsi="Arial" w:cs="Arial"/>
        </w:rPr>
        <w:t xml:space="preserve">apacidad </w:t>
      </w:r>
      <w:r w:rsidR="00445ECE">
        <w:rPr>
          <w:rFonts w:ascii="Arial" w:eastAsia="Arial" w:hAnsi="Arial" w:cs="Arial"/>
        </w:rPr>
        <w:t>r</w:t>
      </w:r>
      <w:r w:rsidRPr="00FB7C66">
        <w:rPr>
          <w:rFonts w:ascii="Arial" w:eastAsia="Arial" w:hAnsi="Arial" w:cs="Arial"/>
        </w:rPr>
        <w:t xml:space="preserve">esidual, </w:t>
      </w:r>
      <w:r w:rsidR="00C735D0">
        <w:rPr>
          <w:rFonts w:ascii="Arial" w:eastAsia="Arial" w:hAnsi="Arial" w:cs="Arial"/>
        </w:rPr>
        <w:t>concretamente</w:t>
      </w:r>
      <w:r w:rsidRPr="00FB7C66">
        <w:rPr>
          <w:rFonts w:ascii="Arial" w:eastAsia="Arial" w:hAnsi="Arial" w:cs="Arial"/>
        </w:rPr>
        <w:t xml:space="preserve">, en lo </w:t>
      </w:r>
      <w:r w:rsidR="00C735D0">
        <w:rPr>
          <w:rFonts w:ascii="Arial" w:eastAsia="Arial" w:hAnsi="Arial" w:cs="Arial"/>
        </w:rPr>
        <w:t>relacionado con</w:t>
      </w:r>
      <w:r w:rsidRPr="00FB7C66">
        <w:rPr>
          <w:rFonts w:ascii="Arial" w:eastAsia="Arial" w:hAnsi="Arial" w:cs="Arial"/>
        </w:rPr>
        <w:t xml:space="preserve"> los saldos de contratos en ejecución, se tienen en cuenta los contratos de obras civiles que tenga el proponente</w:t>
      </w:r>
      <w:r w:rsidR="00445ECE">
        <w:rPr>
          <w:rFonts w:ascii="Arial" w:eastAsia="Arial" w:hAnsi="Arial" w:cs="Arial"/>
        </w:rPr>
        <w:t xml:space="preserve"> –</w:t>
      </w:r>
      <w:r w:rsidR="00445ECE" w:rsidRPr="00AC0A61">
        <w:rPr>
          <w:rFonts w:ascii="Arial" w:eastAsia="Arial" w:hAnsi="Arial" w:cs="Arial"/>
        </w:rPr>
        <w:t xml:space="preserve">aclarándose que debe incluir </w:t>
      </w:r>
      <w:r w:rsidR="00C735D0">
        <w:rPr>
          <w:rFonts w:ascii="Arial" w:eastAsia="Arial" w:hAnsi="Arial" w:cs="Arial"/>
        </w:rPr>
        <w:t>las obras civiles de los</w:t>
      </w:r>
      <w:r w:rsidR="00445ECE" w:rsidRPr="00AC0A61">
        <w:rPr>
          <w:rFonts w:ascii="Arial" w:eastAsia="Arial" w:hAnsi="Arial" w:cs="Arial"/>
        </w:rPr>
        <w:t xml:space="preserve"> contratos de concesión y los contratos de obra suscritos con concesionarios–</w:t>
      </w:r>
      <w:r w:rsidRPr="00FB7C66">
        <w:rPr>
          <w:rFonts w:ascii="Arial" w:eastAsia="Arial" w:hAnsi="Arial" w:cs="Arial"/>
        </w:rPr>
        <w:t xml:space="preserve">, </w:t>
      </w:r>
      <w:r w:rsidR="00C735D0">
        <w:rPr>
          <w:rFonts w:ascii="Arial" w:eastAsia="Arial" w:hAnsi="Arial" w:cs="Arial"/>
        </w:rPr>
        <w:t>sin que se haga referencia al deber de</w:t>
      </w:r>
      <w:r w:rsidRPr="00FB7C66">
        <w:rPr>
          <w:rFonts w:ascii="Arial" w:eastAsia="Arial" w:hAnsi="Arial" w:cs="Arial"/>
        </w:rPr>
        <w:t xml:space="preserve"> remitir el listado o acreditar la existencia de contratos de otro tipo</w:t>
      </w:r>
      <w:r w:rsidR="00C735D0">
        <w:rPr>
          <w:rFonts w:ascii="Arial" w:eastAsia="Arial" w:hAnsi="Arial" w:cs="Arial"/>
        </w:rPr>
        <w:t>. Por ello,</w:t>
      </w:r>
      <w:r w:rsidRPr="00FB7C66">
        <w:rPr>
          <w:rFonts w:ascii="Arial" w:eastAsia="Arial" w:hAnsi="Arial" w:cs="Arial"/>
        </w:rPr>
        <w:t xml:space="preserve"> se entiende que en dicho documento </w:t>
      </w:r>
      <w:r w:rsidR="00C735D0">
        <w:rPr>
          <w:rFonts w:ascii="Arial" w:eastAsia="Arial" w:hAnsi="Arial" w:cs="Arial"/>
        </w:rPr>
        <w:t xml:space="preserve">tipo </w:t>
      </w:r>
      <w:r w:rsidRPr="00FB7C66">
        <w:rPr>
          <w:rFonts w:ascii="Arial" w:eastAsia="Arial" w:hAnsi="Arial" w:cs="Arial"/>
        </w:rPr>
        <w:t xml:space="preserve">se replicaron las reglas establecidas en el Decreto 1082 de 2015 y en la </w:t>
      </w:r>
      <w:r w:rsidRPr="00AC0A61">
        <w:rPr>
          <w:rFonts w:ascii="Arial" w:eastAsia="Arial" w:hAnsi="Arial" w:cs="Arial"/>
        </w:rPr>
        <w:t>«Guía para Determinar y Verificar la Capacidad Residual del Proponente en los Procesos de Contratación de Obra Pública»</w:t>
      </w:r>
      <w:r w:rsidRPr="00FB7C66">
        <w:rPr>
          <w:rFonts w:ascii="Arial" w:eastAsia="Arial" w:hAnsi="Arial" w:cs="Arial"/>
        </w:rPr>
        <w:t xml:space="preserve">, limitando solo los contratos en ejecución a aquellos </w:t>
      </w:r>
      <w:r w:rsidR="00C735D0">
        <w:rPr>
          <w:rFonts w:ascii="Arial" w:eastAsia="Arial" w:hAnsi="Arial" w:cs="Arial"/>
        </w:rPr>
        <w:t>que correspondan a «obras civiles»</w:t>
      </w:r>
      <w:r w:rsidRPr="00FB7C66">
        <w:rPr>
          <w:rFonts w:ascii="Arial" w:eastAsia="Arial" w:hAnsi="Arial" w:cs="Arial"/>
        </w:rPr>
        <w:t xml:space="preserve">. </w:t>
      </w:r>
    </w:p>
    <w:bookmarkEnd w:id="18"/>
    <w:p w14:paraId="7AC6CA89" w14:textId="77777777" w:rsidR="00FB7C66" w:rsidRPr="00FB7C66" w:rsidRDefault="00FB7C66" w:rsidP="00FB7C66">
      <w:pPr>
        <w:spacing w:after="0" w:line="276" w:lineRule="auto"/>
        <w:contextualSpacing/>
        <w:jc w:val="both"/>
        <w:rPr>
          <w:rFonts w:ascii="Arial" w:hAnsi="Arial" w:cs="Arial"/>
          <w:color w:val="FF0000"/>
          <w:lang w:eastAsia="es-CO"/>
        </w:rPr>
      </w:pPr>
    </w:p>
    <w:p w14:paraId="3754E733" w14:textId="77777777" w:rsidR="00FB7C66" w:rsidRPr="00FB7C66" w:rsidRDefault="00FB7C66" w:rsidP="00FB7C66">
      <w:pPr>
        <w:numPr>
          <w:ilvl w:val="0"/>
          <w:numId w:val="6"/>
        </w:numPr>
        <w:spacing w:after="0" w:line="276" w:lineRule="auto"/>
        <w:contextualSpacing/>
        <w:jc w:val="both"/>
        <w:rPr>
          <w:rFonts w:ascii="Arial" w:hAnsi="Arial" w:cs="Arial"/>
          <w:b/>
          <w:bCs/>
        </w:rPr>
      </w:pPr>
      <w:r w:rsidRPr="00FB7C66">
        <w:rPr>
          <w:rFonts w:ascii="Arial" w:hAnsi="Arial" w:cs="Arial"/>
          <w:b/>
          <w:bCs/>
        </w:rPr>
        <w:t xml:space="preserve">Respuesta: </w:t>
      </w:r>
    </w:p>
    <w:p w14:paraId="286091BF" w14:textId="77777777" w:rsidR="00FB7C66" w:rsidRPr="00FB7C66" w:rsidRDefault="00FB7C66" w:rsidP="00FB7C66">
      <w:pPr>
        <w:spacing w:after="0" w:line="276" w:lineRule="auto"/>
        <w:contextualSpacing/>
        <w:jc w:val="both"/>
        <w:rPr>
          <w:rFonts w:ascii="Arial" w:hAnsi="Arial" w:cs="Arial"/>
          <w:lang w:eastAsia="es-CO"/>
        </w:rPr>
      </w:pPr>
    </w:p>
    <w:p w14:paraId="1BC401D0" w14:textId="77777777" w:rsidR="00FB7C66" w:rsidRPr="00FB7C66" w:rsidRDefault="00FB7C66" w:rsidP="00FB7C66">
      <w:pPr>
        <w:widowControl w:val="0"/>
        <w:autoSpaceDE w:val="0"/>
        <w:autoSpaceDN w:val="0"/>
        <w:spacing w:after="0" w:line="240" w:lineRule="auto"/>
        <w:ind w:left="709" w:right="709"/>
        <w:contextualSpacing/>
        <w:jc w:val="both"/>
        <w:rPr>
          <w:rFonts w:ascii="Arial" w:eastAsia="Calibri" w:hAnsi="Arial" w:cs="Arial"/>
          <w:color w:val="000000" w:themeColor="text1"/>
          <w:sz w:val="21"/>
          <w:szCs w:val="21"/>
          <w:lang w:val="es-ES"/>
        </w:rPr>
      </w:pPr>
      <w:r w:rsidRPr="00FB7C66">
        <w:rPr>
          <w:rFonts w:ascii="Arial" w:eastAsia="Calibri" w:hAnsi="Arial" w:cs="Arial"/>
          <w:color w:val="000000" w:themeColor="text1"/>
          <w:sz w:val="21"/>
          <w:szCs w:val="21"/>
          <w:lang w:val="es-ES"/>
        </w:rPr>
        <w:t>«</w:t>
      </w:r>
      <w:proofErr w:type="gramStart"/>
      <w:r w:rsidRPr="00FB7C66">
        <w:rPr>
          <w:rFonts w:ascii="Arial" w:eastAsia="Calibri" w:hAnsi="Arial" w:cs="Arial"/>
          <w:color w:val="000000" w:themeColor="text1"/>
          <w:sz w:val="21"/>
          <w:szCs w:val="21"/>
          <w:lang w:val="es-ES"/>
        </w:rPr>
        <w:t>Cuando se va a realizar el Cálculo de la Capacidad Residual de un proponente en un proceso bajo la modalidad de licitación Pública con pliegos Tipo, el oferente debe reportar dentro de su propuesta todos los contratos que están en ejecución, sin importar el tipo de contrato?</w:t>
      </w:r>
      <w:proofErr w:type="gramEnd"/>
      <w:r w:rsidRPr="00FB7C66">
        <w:rPr>
          <w:rFonts w:ascii="Arial" w:eastAsia="Calibri" w:hAnsi="Arial" w:cs="Arial"/>
          <w:color w:val="000000" w:themeColor="text1"/>
          <w:sz w:val="21"/>
          <w:szCs w:val="21"/>
          <w:lang w:val="es-ES"/>
        </w:rPr>
        <w:t xml:space="preserve"> o solo debe reportar los contratos de obra pública» [SIC]</w:t>
      </w:r>
    </w:p>
    <w:p w14:paraId="49864F98" w14:textId="77777777" w:rsidR="00FB7C66" w:rsidRPr="00FB7C66" w:rsidRDefault="00FB7C66" w:rsidP="00FB7C66">
      <w:pPr>
        <w:spacing w:after="0" w:line="276" w:lineRule="auto"/>
        <w:contextualSpacing/>
        <w:jc w:val="both"/>
        <w:rPr>
          <w:rFonts w:ascii="Arial" w:hAnsi="Arial" w:cs="Arial"/>
          <w:lang w:eastAsia="es-CO"/>
        </w:rPr>
      </w:pPr>
    </w:p>
    <w:p w14:paraId="15CD0831" w14:textId="53ED3441" w:rsidR="00FB7C66" w:rsidRPr="00FB7C66" w:rsidRDefault="00D63163" w:rsidP="00AC0A61">
      <w:pPr>
        <w:widowControl w:val="0"/>
        <w:autoSpaceDE w:val="0"/>
        <w:autoSpaceDN w:val="0"/>
        <w:spacing w:after="120" w:line="276" w:lineRule="auto"/>
        <w:jc w:val="both"/>
        <w:rPr>
          <w:rFonts w:ascii="Arial" w:eastAsia="Arial" w:hAnsi="Arial" w:cs="Arial"/>
        </w:rPr>
      </w:pPr>
      <w:bookmarkStart w:id="19" w:name="_Hlk98159739"/>
      <w:r>
        <w:rPr>
          <w:rFonts w:ascii="Arial" w:eastAsia="Arial" w:hAnsi="Arial" w:cs="Arial"/>
        </w:rPr>
        <w:t>De acuerdo con las consideraciones de este concepto</w:t>
      </w:r>
      <w:r w:rsidR="00AC6AEB">
        <w:rPr>
          <w:rFonts w:ascii="Arial" w:eastAsia="Arial" w:hAnsi="Arial" w:cs="Arial"/>
        </w:rPr>
        <w:t>,</w:t>
      </w:r>
      <w:r>
        <w:rPr>
          <w:rFonts w:ascii="Arial" w:eastAsia="Arial" w:hAnsi="Arial" w:cs="Arial"/>
        </w:rPr>
        <w:t xml:space="preserve"> y en armonía</w:t>
      </w:r>
      <w:r w:rsidR="00FB7C66" w:rsidRPr="00FB7C66">
        <w:rPr>
          <w:rFonts w:ascii="Arial" w:eastAsia="Arial" w:hAnsi="Arial" w:cs="Arial"/>
        </w:rPr>
        <w:t xml:space="preserve"> con la </w:t>
      </w:r>
      <w:r w:rsidR="006E605E">
        <w:rPr>
          <w:rFonts w:ascii="Arial" w:eastAsia="Arial" w:hAnsi="Arial" w:cs="Arial"/>
        </w:rPr>
        <w:t>regulación</w:t>
      </w:r>
      <w:r w:rsidR="006E605E" w:rsidRPr="00FB7C66">
        <w:rPr>
          <w:rFonts w:ascii="Arial" w:eastAsia="Arial" w:hAnsi="Arial" w:cs="Arial"/>
        </w:rPr>
        <w:t xml:space="preserve"> </w:t>
      </w:r>
      <w:r w:rsidR="00FB7C66" w:rsidRPr="00FB7C66">
        <w:rPr>
          <w:rFonts w:ascii="Arial" w:eastAsia="Arial" w:hAnsi="Arial" w:cs="Arial"/>
        </w:rPr>
        <w:t xml:space="preserve">vigente sobre la </w:t>
      </w:r>
      <w:r w:rsidR="006E605E">
        <w:rPr>
          <w:rFonts w:ascii="Arial" w:eastAsia="Arial" w:hAnsi="Arial" w:cs="Arial"/>
        </w:rPr>
        <w:t>c</w:t>
      </w:r>
      <w:r w:rsidR="00FB7C66" w:rsidRPr="00FB7C66">
        <w:rPr>
          <w:rFonts w:ascii="Arial" w:eastAsia="Arial" w:hAnsi="Arial" w:cs="Arial"/>
        </w:rPr>
        <w:t xml:space="preserve">apacidad </w:t>
      </w:r>
      <w:r w:rsidR="006E605E">
        <w:rPr>
          <w:rFonts w:ascii="Arial" w:eastAsia="Arial" w:hAnsi="Arial" w:cs="Arial"/>
        </w:rPr>
        <w:t>r</w:t>
      </w:r>
      <w:r w:rsidR="00FB7C66" w:rsidRPr="00FB7C66">
        <w:rPr>
          <w:rFonts w:ascii="Arial" w:eastAsia="Arial" w:hAnsi="Arial" w:cs="Arial"/>
        </w:rPr>
        <w:t xml:space="preserve">esidual, </w:t>
      </w:r>
      <w:r w:rsidR="005E162A" w:rsidRPr="00FB7C66">
        <w:rPr>
          <w:rFonts w:ascii="Arial" w:eastAsia="Arial" w:hAnsi="Arial" w:cs="Arial"/>
        </w:rPr>
        <w:t xml:space="preserve">para </w:t>
      </w:r>
      <w:r w:rsidR="005E162A">
        <w:rPr>
          <w:rFonts w:ascii="Arial" w:eastAsia="Arial" w:hAnsi="Arial" w:cs="Arial"/>
        </w:rPr>
        <w:t>su</w:t>
      </w:r>
      <w:r w:rsidR="005E162A" w:rsidRPr="00FB7C66">
        <w:rPr>
          <w:rFonts w:ascii="Arial" w:eastAsia="Arial" w:hAnsi="Arial" w:cs="Arial"/>
        </w:rPr>
        <w:t xml:space="preserve"> cálculo se tendrán en cuenta únicamente los contratos de </w:t>
      </w:r>
      <w:r w:rsidR="005E162A">
        <w:rPr>
          <w:rFonts w:ascii="Arial" w:eastAsia="Arial" w:hAnsi="Arial" w:cs="Arial"/>
        </w:rPr>
        <w:t>«</w:t>
      </w:r>
      <w:r w:rsidR="005E162A" w:rsidRPr="00FB7C66">
        <w:rPr>
          <w:rFonts w:ascii="Arial" w:eastAsia="Arial" w:hAnsi="Arial" w:cs="Arial"/>
        </w:rPr>
        <w:t>obras civiles</w:t>
      </w:r>
      <w:r w:rsidR="005E162A">
        <w:rPr>
          <w:rFonts w:ascii="Arial" w:eastAsia="Arial" w:hAnsi="Arial" w:cs="Arial"/>
        </w:rPr>
        <w:t>»</w:t>
      </w:r>
      <w:r w:rsidR="005E162A" w:rsidRPr="00FB7C66">
        <w:rPr>
          <w:rFonts w:ascii="Arial" w:eastAsia="Arial" w:hAnsi="Arial" w:cs="Arial"/>
        </w:rPr>
        <w:t xml:space="preserve"> que tenga en ejecución el proponente, tanto con </w:t>
      </w:r>
      <w:r w:rsidR="005E162A">
        <w:rPr>
          <w:rFonts w:ascii="Arial" w:eastAsia="Arial" w:hAnsi="Arial" w:cs="Arial"/>
        </w:rPr>
        <w:t>e</w:t>
      </w:r>
      <w:r w:rsidR="005E162A" w:rsidRPr="00FB7C66">
        <w:rPr>
          <w:rFonts w:ascii="Arial" w:eastAsia="Arial" w:hAnsi="Arial" w:cs="Arial"/>
        </w:rPr>
        <w:t xml:space="preserve">ntidades </w:t>
      </w:r>
      <w:r w:rsidR="005E162A">
        <w:rPr>
          <w:rFonts w:ascii="Arial" w:eastAsia="Arial" w:hAnsi="Arial" w:cs="Arial"/>
        </w:rPr>
        <w:t>e</w:t>
      </w:r>
      <w:r w:rsidR="005E162A" w:rsidRPr="00FB7C66">
        <w:rPr>
          <w:rFonts w:ascii="Arial" w:eastAsia="Arial" w:hAnsi="Arial" w:cs="Arial"/>
        </w:rPr>
        <w:t>statales como con particulares</w:t>
      </w:r>
      <w:r w:rsidR="005E162A">
        <w:rPr>
          <w:rFonts w:ascii="Arial" w:eastAsia="Arial" w:hAnsi="Arial" w:cs="Arial"/>
        </w:rPr>
        <w:t xml:space="preserve"> –</w:t>
      </w:r>
      <w:r w:rsidR="005E162A" w:rsidRPr="00CB5573">
        <w:rPr>
          <w:rFonts w:ascii="Arial" w:eastAsia="Arial" w:hAnsi="Arial" w:cs="Arial"/>
        </w:rPr>
        <w:t xml:space="preserve">aclarándose que debe incluir </w:t>
      </w:r>
      <w:r w:rsidR="005E162A">
        <w:rPr>
          <w:rFonts w:ascii="Arial" w:eastAsia="Arial" w:hAnsi="Arial" w:cs="Arial"/>
        </w:rPr>
        <w:t>las obras civiles de los</w:t>
      </w:r>
      <w:r w:rsidR="005E162A" w:rsidRPr="00CB5573">
        <w:rPr>
          <w:rFonts w:ascii="Arial" w:eastAsia="Arial" w:hAnsi="Arial" w:cs="Arial"/>
        </w:rPr>
        <w:t xml:space="preserve"> contratos de concesión y los contratos de obra suscritos con concesionarios–</w:t>
      </w:r>
      <w:r w:rsidR="005E162A" w:rsidRPr="00FB7C66">
        <w:rPr>
          <w:rFonts w:ascii="Arial" w:eastAsia="Arial" w:hAnsi="Arial" w:cs="Arial"/>
        </w:rPr>
        <w:t xml:space="preserve">, excluyendo </w:t>
      </w:r>
      <w:r w:rsidR="005E162A" w:rsidRPr="00FB7C66">
        <w:rPr>
          <w:rFonts w:ascii="Arial" w:eastAsia="Arial" w:hAnsi="Arial" w:cs="Arial"/>
        </w:rPr>
        <w:lastRenderedPageBreak/>
        <w:t xml:space="preserve">los contratos </w:t>
      </w:r>
      <w:r w:rsidR="005E162A">
        <w:rPr>
          <w:rFonts w:ascii="Arial" w:eastAsia="Arial" w:hAnsi="Arial" w:cs="Arial"/>
        </w:rPr>
        <w:t xml:space="preserve">del proponente </w:t>
      </w:r>
      <w:r w:rsidR="00662A4B">
        <w:rPr>
          <w:rFonts w:ascii="Arial" w:eastAsia="Arial" w:hAnsi="Arial" w:cs="Arial"/>
        </w:rPr>
        <w:t xml:space="preserve">que </w:t>
      </w:r>
      <w:r w:rsidR="005E162A">
        <w:rPr>
          <w:rFonts w:ascii="Arial" w:eastAsia="Arial" w:hAnsi="Arial" w:cs="Arial"/>
        </w:rPr>
        <w:t>no correspondan a la ejecución de obras.</w:t>
      </w:r>
      <w:r w:rsidR="006E605E">
        <w:rPr>
          <w:rFonts w:ascii="Arial" w:eastAsia="Arial" w:hAnsi="Arial" w:cs="Arial"/>
        </w:rPr>
        <w:t xml:space="preserve"> Lo anterior, de conformidad con </w:t>
      </w:r>
      <w:r w:rsidR="00FB7C66" w:rsidRPr="00FB7C66">
        <w:rPr>
          <w:rFonts w:ascii="Arial" w:eastAsia="Arial" w:hAnsi="Arial" w:cs="Arial"/>
        </w:rPr>
        <w:t xml:space="preserve">el artículo 72 de la Ley 1682 de 2013, el artículo 2.2.1.1.1.6.4. del Decreto 1082 de 2015, la </w:t>
      </w:r>
      <w:r w:rsidR="00FB7C66" w:rsidRPr="00AC0A61">
        <w:rPr>
          <w:rFonts w:ascii="Arial" w:eastAsia="Arial" w:hAnsi="Arial" w:cs="Arial"/>
        </w:rPr>
        <w:t>«Guía para Determinar y Verificar la Capacidad Residual del Proponente en los Procesos de Contratación de Obra Pública»</w:t>
      </w:r>
      <w:r w:rsidR="00FB7C66" w:rsidRPr="00FB7C66">
        <w:rPr>
          <w:rFonts w:ascii="Arial" w:eastAsia="Arial" w:hAnsi="Arial" w:cs="Arial"/>
        </w:rPr>
        <w:t xml:space="preserve"> y los </w:t>
      </w:r>
      <w:r>
        <w:rPr>
          <w:rFonts w:ascii="Arial" w:eastAsia="Arial" w:hAnsi="Arial" w:cs="Arial"/>
        </w:rPr>
        <w:t>documentos</w:t>
      </w:r>
      <w:r w:rsidR="00FB7C66" w:rsidRPr="00FB7C66">
        <w:rPr>
          <w:rFonts w:ascii="Arial" w:eastAsia="Arial" w:hAnsi="Arial" w:cs="Arial"/>
        </w:rPr>
        <w:t xml:space="preserve"> </w:t>
      </w:r>
      <w:r>
        <w:rPr>
          <w:rFonts w:ascii="Arial" w:eastAsia="Arial" w:hAnsi="Arial" w:cs="Arial"/>
        </w:rPr>
        <w:t>t</w:t>
      </w:r>
      <w:r w:rsidR="00FB7C66" w:rsidRPr="00FB7C66">
        <w:rPr>
          <w:rFonts w:ascii="Arial" w:eastAsia="Arial" w:hAnsi="Arial" w:cs="Arial"/>
        </w:rPr>
        <w:t xml:space="preserve">ipo de </w:t>
      </w:r>
      <w:r>
        <w:rPr>
          <w:rFonts w:ascii="Arial" w:eastAsia="Arial" w:hAnsi="Arial" w:cs="Arial"/>
        </w:rPr>
        <w:t>l</w:t>
      </w:r>
      <w:r w:rsidR="00FB7C66" w:rsidRPr="00FB7C66">
        <w:rPr>
          <w:rFonts w:ascii="Arial" w:eastAsia="Arial" w:hAnsi="Arial" w:cs="Arial"/>
        </w:rPr>
        <w:t xml:space="preserve">icitación de </w:t>
      </w:r>
      <w:r>
        <w:rPr>
          <w:rFonts w:ascii="Arial" w:eastAsia="Arial" w:hAnsi="Arial" w:cs="Arial"/>
        </w:rPr>
        <w:t>obra de i</w:t>
      </w:r>
      <w:r w:rsidR="00FB7C66" w:rsidRPr="00FB7C66">
        <w:rPr>
          <w:rFonts w:ascii="Arial" w:eastAsia="Arial" w:hAnsi="Arial" w:cs="Arial"/>
        </w:rPr>
        <w:t xml:space="preserve">nfraestructura de </w:t>
      </w:r>
      <w:r>
        <w:rPr>
          <w:rFonts w:ascii="Arial" w:eastAsia="Arial" w:hAnsi="Arial" w:cs="Arial"/>
        </w:rPr>
        <w:t>t</w:t>
      </w:r>
      <w:r w:rsidR="00FB7C66" w:rsidRPr="00FB7C66">
        <w:rPr>
          <w:rFonts w:ascii="Arial" w:eastAsia="Arial" w:hAnsi="Arial" w:cs="Arial"/>
        </w:rPr>
        <w:t>ransporte</w:t>
      </w:r>
      <w:r w:rsidR="004239F1">
        <w:rPr>
          <w:rFonts w:ascii="Arial" w:eastAsia="Arial" w:hAnsi="Arial" w:cs="Arial"/>
        </w:rPr>
        <w:t>.</w:t>
      </w:r>
    </w:p>
    <w:p w14:paraId="75BFFCB7" w14:textId="19110531" w:rsidR="00FB7C66" w:rsidRPr="00FB7C66" w:rsidRDefault="00FB7C66" w:rsidP="00FB7C66">
      <w:pPr>
        <w:widowControl w:val="0"/>
        <w:autoSpaceDE w:val="0"/>
        <w:autoSpaceDN w:val="0"/>
        <w:spacing w:after="0" w:line="276" w:lineRule="auto"/>
        <w:ind w:firstLine="709"/>
        <w:contextualSpacing/>
        <w:jc w:val="both"/>
        <w:rPr>
          <w:rFonts w:ascii="Arial" w:eastAsia="Arial" w:hAnsi="Arial" w:cs="Arial"/>
        </w:rPr>
      </w:pPr>
      <w:r w:rsidRPr="00FB7C66">
        <w:rPr>
          <w:rFonts w:ascii="Arial" w:eastAsia="Arial" w:hAnsi="Arial" w:cs="Arial"/>
        </w:rPr>
        <w:t xml:space="preserve">En consecuencia, el proponente solo deberá reportar en su oferta los contratos de obras civiles en ejecución, en los términos en los que lo exige el artículo 2.2.1.1.1.6.4. del Decreto 1082 de 2015, la </w:t>
      </w:r>
      <w:r w:rsidRPr="00AC0A61">
        <w:rPr>
          <w:rFonts w:ascii="Arial" w:eastAsia="Arial" w:hAnsi="Arial" w:cs="Arial"/>
        </w:rPr>
        <w:t>«Guía para Determinar y Verificar la Capacidad Residual del Proponente en los Procesos de Contratación de Obra Pública»</w:t>
      </w:r>
      <w:r w:rsidRPr="00FB7C66">
        <w:rPr>
          <w:rFonts w:ascii="Arial" w:eastAsia="Arial" w:hAnsi="Arial" w:cs="Arial"/>
          <w:i/>
          <w:iCs/>
        </w:rPr>
        <w:t xml:space="preserve"> </w:t>
      </w:r>
      <w:r w:rsidRPr="00FB7C66">
        <w:rPr>
          <w:rFonts w:ascii="Arial" w:eastAsia="Arial" w:hAnsi="Arial" w:cs="Arial"/>
        </w:rPr>
        <w:t xml:space="preserve">y los </w:t>
      </w:r>
      <w:r w:rsidR="004239F1">
        <w:rPr>
          <w:rFonts w:ascii="Arial" w:eastAsia="Arial" w:hAnsi="Arial" w:cs="Arial"/>
        </w:rPr>
        <w:t>documentos tipo</w:t>
      </w:r>
      <w:r w:rsidRPr="00FB7C66">
        <w:rPr>
          <w:rFonts w:ascii="Arial" w:eastAsia="Arial" w:hAnsi="Arial" w:cs="Arial"/>
        </w:rPr>
        <w:t xml:space="preserve">, sin que sea necesario </w:t>
      </w:r>
      <w:r w:rsidR="004239F1">
        <w:rPr>
          <w:rFonts w:ascii="Arial" w:eastAsia="Arial" w:hAnsi="Arial" w:cs="Arial"/>
        </w:rPr>
        <w:t xml:space="preserve">reportar </w:t>
      </w:r>
      <w:r w:rsidRPr="00FB7C66">
        <w:rPr>
          <w:rFonts w:ascii="Arial" w:eastAsia="Arial" w:hAnsi="Arial" w:cs="Arial"/>
        </w:rPr>
        <w:t xml:space="preserve">aquellos contratos en ejecución </w:t>
      </w:r>
      <w:r w:rsidR="004239F1">
        <w:rPr>
          <w:rFonts w:ascii="Arial" w:eastAsia="Arial" w:hAnsi="Arial" w:cs="Arial"/>
        </w:rPr>
        <w:t>que no correspondan a obras civiles, en los términos indicados.</w:t>
      </w:r>
    </w:p>
    <w:bookmarkEnd w:id="19"/>
    <w:p w14:paraId="614EEC2B" w14:textId="77777777" w:rsidR="00FB7C66" w:rsidRPr="00FB7C66" w:rsidRDefault="00FB7C66" w:rsidP="00FB7C66">
      <w:pPr>
        <w:widowControl w:val="0"/>
        <w:autoSpaceDE w:val="0"/>
        <w:autoSpaceDN w:val="0"/>
        <w:spacing w:after="0" w:line="276" w:lineRule="auto"/>
        <w:ind w:firstLine="709"/>
        <w:contextualSpacing/>
        <w:jc w:val="both"/>
        <w:rPr>
          <w:rFonts w:ascii="Arial" w:eastAsia="Arial" w:hAnsi="Arial" w:cs="Arial"/>
        </w:rPr>
      </w:pPr>
    </w:p>
    <w:p w14:paraId="2BC718D8" w14:textId="77777777" w:rsidR="00FB7C66" w:rsidRPr="00FB7C66" w:rsidRDefault="00FB7C66" w:rsidP="00FB7C66">
      <w:pPr>
        <w:spacing w:after="0" w:line="276" w:lineRule="auto"/>
        <w:contextualSpacing/>
        <w:jc w:val="both"/>
        <w:rPr>
          <w:rFonts w:ascii="Arial" w:eastAsia="Calibri" w:hAnsi="Arial" w:cs="Arial"/>
          <w:color w:val="000000" w:themeColor="text1"/>
          <w:lang w:eastAsia="es-CO"/>
        </w:rPr>
      </w:pPr>
      <w:r w:rsidRPr="00FB7C66">
        <w:rPr>
          <w:rFonts w:ascii="Arial" w:eastAsia="Calibri" w:hAnsi="Arial" w:cs="Arial"/>
          <w:color w:val="000000" w:themeColor="text1"/>
          <w:lang w:eastAsia="es-CO"/>
        </w:rPr>
        <w:t>Este concepto tiene el alcance previsto en el artículo 28 del Código de Procedimiento Administrativo y de lo Contencioso Administrativo.</w:t>
      </w:r>
    </w:p>
    <w:p w14:paraId="1010ED8A" w14:textId="6FF1819D" w:rsidR="00FB7C66" w:rsidRPr="00FB7C66" w:rsidRDefault="006442D3" w:rsidP="006442D3">
      <w:pPr>
        <w:spacing w:after="0" w:line="240" w:lineRule="auto"/>
        <w:ind w:firstLine="709"/>
        <w:contextualSpacing/>
        <w:jc w:val="center"/>
        <w:rPr>
          <w:rFonts w:ascii="Arial" w:eastAsia="Calibri" w:hAnsi="Arial" w:cs="Arial"/>
          <w:color w:val="000000" w:themeColor="text1"/>
          <w:lang w:eastAsia="es-CO"/>
        </w:rPr>
      </w:pPr>
      <w:r w:rsidRPr="0007099C">
        <w:rPr>
          <w:rFonts w:ascii="Arial" w:hAnsi="Arial" w:cs="Arial"/>
          <w:noProof/>
          <w:color w:val="000000" w:themeColor="text1"/>
          <w:lang w:val="en-US"/>
        </w:rPr>
        <w:drawing>
          <wp:inline distT="0" distB="0" distL="0" distR="0" wp14:anchorId="723A993F" wp14:editId="4D160830">
            <wp:extent cx="2342661" cy="1038225"/>
            <wp:effectExtent l="0" t="0" r="635"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352265" cy="1042481"/>
                    </a:xfrm>
                    <a:prstGeom prst="rect">
                      <a:avLst/>
                    </a:prstGeom>
                  </pic:spPr>
                </pic:pic>
              </a:graphicData>
            </a:graphic>
          </wp:inline>
        </w:drawing>
      </w:r>
    </w:p>
    <w:p w14:paraId="74757D27" w14:textId="1EE14C53" w:rsidR="00FB7C66" w:rsidRPr="00FB7C66" w:rsidRDefault="00FB7C66" w:rsidP="00FB7C66">
      <w:pPr>
        <w:spacing w:after="0" w:line="240" w:lineRule="auto"/>
        <w:contextualSpacing/>
        <w:jc w:val="both"/>
        <w:rPr>
          <w:rFonts w:ascii="Arial" w:hAnsi="Arial" w:cs="Arial"/>
          <w:color w:val="000000" w:themeColor="text1"/>
          <w:lang w:eastAsia="es-CO"/>
        </w:rPr>
      </w:pPr>
      <w:r w:rsidRPr="00FB7C66">
        <w:rPr>
          <w:rFonts w:ascii="Arial" w:hAnsi="Arial" w:cs="Arial"/>
          <w:color w:val="000000" w:themeColor="text1"/>
          <w:lang w:eastAsia="es-CO"/>
        </w:rPr>
        <w:t>Atentamente,</w:t>
      </w:r>
    </w:p>
    <w:p w14:paraId="5A4F3FF2" w14:textId="3B54343F" w:rsidR="00FB7C66" w:rsidRPr="00FB7C66" w:rsidRDefault="00FB7C66" w:rsidP="00FB7C66">
      <w:pPr>
        <w:spacing w:after="0" w:line="240" w:lineRule="auto"/>
        <w:contextualSpacing/>
        <w:jc w:val="center"/>
        <w:rPr>
          <w:rFonts w:ascii="Arial" w:hAnsi="Arial" w:cs="Arial"/>
          <w:color w:val="000000" w:themeColor="text1"/>
          <w:lang w:eastAsia="es-CO"/>
        </w:rPr>
      </w:pPr>
    </w:p>
    <w:p w14:paraId="32F9278B" w14:textId="77777777" w:rsidR="00FB7C66" w:rsidRPr="00FB7C66" w:rsidRDefault="00FB7C66" w:rsidP="00FB7C66">
      <w:pPr>
        <w:spacing w:after="0" w:line="240" w:lineRule="auto"/>
        <w:contextualSpacing/>
        <w:jc w:val="center"/>
        <w:rPr>
          <w:rFonts w:ascii="Arial"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B7C66" w:rsidRPr="00FB7C66" w14:paraId="6A7E5796" w14:textId="77777777" w:rsidTr="003A2E08">
        <w:trPr>
          <w:trHeight w:val="315"/>
        </w:trPr>
        <w:tc>
          <w:tcPr>
            <w:tcW w:w="812" w:type="dxa"/>
            <w:vAlign w:val="center"/>
            <w:hideMark/>
          </w:tcPr>
          <w:p w14:paraId="1B6EC69B" w14:textId="77777777" w:rsidR="00FB7C66" w:rsidRPr="00FB7C66" w:rsidRDefault="00FB7C66" w:rsidP="00FB7C66">
            <w:pPr>
              <w:contextualSpacing/>
              <w:rPr>
                <w:rFonts w:ascii="Arial" w:hAnsi="Arial" w:cs="Arial"/>
                <w:color w:val="000000" w:themeColor="text1"/>
                <w:sz w:val="16"/>
                <w:szCs w:val="16"/>
                <w:lang w:eastAsia="es-ES"/>
              </w:rPr>
            </w:pPr>
            <w:r w:rsidRPr="00FB7C66">
              <w:rPr>
                <w:rFonts w:ascii="Arial"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03C5EA40" w14:textId="77777777" w:rsidR="00FB7C66" w:rsidRPr="00FB7C66" w:rsidRDefault="00FB7C66" w:rsidP="00FB7C66">
            <w:pPr>
              <w:contextualSpacing/>
              <w:rPr>
                <w:rFonts w:ascii="Arial" w:hAnsi="Arial" w:cs="Arial"/>
                <w:color w:val="000000" w:themeColor="text1"/>
                <w:sz w:val="16"/>
                <w:szCs w:val="16"/>
                <w:lang w:eastAsia="es-ES"/>
              </w:rPr>
            </w:pPr>
            <w:r w:rsidRPr="00FB7C66">
              <w:rPr>
                <w:rFonts w:ascii="Arial" w:hAnsi="Arial" w:cs="Arial"/>
                <w:color w:val="000000" w:themeColor="text1"/>
                <w:sz w:val="16"/>
                <w:szCs w:val="16"/>
                <w:lang w:eastAsia="es-ES"/>
              </w:rPr>
              <w:t>Diana Lucia Saavedra Castañeda</w:t>
            </w:r>
          </w:p>
          <w:p w14:paraId="5AB846BB" w14:textId="77777777" w:rsidR="00FB7C66" w:rsidRPr="00FB7C66" w:rsidRDefault="00FB7C66" w:rsidP="00FB7C66">
            <w:pPr>
              <w:contextualSpacing/>
              <w:rPr>
                <w:rFonts w:ascii="Arial" w:hAnsi="Arial" w:cs="Arial"/>
                <w:color w:val="000000" w:themeColor="text1"/>
                <w:sz w:val="16"/>
                <w:szCs w:val="16"/>
                <w:lang w:eastAsia="es-ES"/>
              </w:rPr>
            </w:pPr>
            <w:r w:rsidRPr="00FB7C66">
              <w:rPr>
                <w:rFonts w:ascii="Arial" w:hAnsi="Arial" w:cs="Arial"/>
                <w:color w:val="000000" w:themeColor="text1"/>
                <w:sz w:val="16"/>
                <w:szCs w:val="16"/>
                <w:lang w:eastAsia="es-ES"/>
              </w:rPr>
              <w:t>Contratista de la Subdirección de Gestión Contractual</w:t>
            </w:r>
          </w:p>
        </w:tc>
      </w:tr>
      <w:tr w:rsidR="00FB7C66" w:rsidRPr="00FB7C66" w14:paraId="72CAACAF" w14:textId="77777777" w:rsidTr="003A2E08">
        <w:trPr>
          <w:trHeight w:val="330"/>
        </w:trPr>
        <w:tc>
          <w:tcPr>
            <w:tcW w:w="812" w:type="dxa"/>
            <w:vAlign w:val="center"/>
            <w:hideMark/>
          </w:tcPr>
          <w:p w14:paraId="0BF305AA" w14:textId="77777777" w:rsidR="00FB7C66" w:rsidRPr="00FB7C66" w:rsidRDefault="00FB7C66" w:rsidP="00FB7C66">
            <w:pPr>
              <w:contextualSpacing/>
              <w:rPr>
                <w:rFonts w:ascii="Arial" w:hAnsi="Arial" w:cs="Arial"/>
                <w:color w:val="000000" w:themeColor="text1"/>
                <w:sz w:val="16"/>
                <w:szCs w:val="16"/>
                <w:lang w:eastAsia="es-ES"/>
              </w:rPr>
            </w:pPr>
            <w:r w:rsidRPr="00FB7C66">
              <w:rPr>
                <w:rFonts w:ascii="Arial"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52CFB04" w14:textId="77777777" w:rsidR="00FB7C66" w:rsidRPr="00FB7C66" w:rsidRDefault="00FB7C66" w:rsidP="00FB7C66">
            <w:pPr>
              <w:contextualSpacing/>
              <w:rPr>
                <w:rFonts w:ascii="Arial" w:hAnsi="Arial" w:cs="Arial"/>
                <w:color w:val="000000" w:themeColor="text1"/>
                <w:sz w:val="16"/>
                <w:szCs w:val="16"/>
                <w:lang w:eastAsia="es-ES"/>
              </w:rPr>
            </w:pPr>
            <w:r w:rsidRPr="00FB7C66">
              <w:rPr>
                <w:rFonts w:ascii="Arial" w:hAnsi="Arial" w:cs="Arial"/>
                <w:color w:val="000000" w:themeColor="text1"/>
                <w:sz w:val="16"/>
                <w:szCs w:val="16"/>
                <w:lang w:eastAsia="es-ES"/>
              </w:rPr>
              <w:t>Sebastián Ramírez Grisales</w:t>
            </w:r>
          </w:p>
          <w:p w14:paraId="29A67B08" w14:textId="77777777" w:rsidR="00FB7C66" w:rsidRPr="00FB7C66" w:rsidRDefault="00FB7C66" w:rsidP="00FB7C66">
            <w:pPr>
              <w:contextualSpacing/>
              <w:rPr>
                <w:rFonts w:ascii="Arial" w:hAnsi="Arial" w:cs="Arial"/>
                <w:color w:val="000000" w:themeColor="text1"/>
                <w:sz w:val="16"/>
                <w:szCs w:val="16"/>
                <w:lang w:eastAsia="es-ES"/>
              </w:rPr>
            </w:pPr>
            <w:r w:rsidRPr="00FB7C66">
              <w:rPr>
                <w:rFonts w:ascii="Arial" w:hAnsi="Arial" w:cs="Arial"/>
                <w:color w:val="000000" w:themeColor="text1"/>
                <w:sz w:val="16"/>
                <w:szCs w:val="16"/>
                <w:lang w:eastAsia="es-ES"/>
              </w:rPr>
              <w:t>Contratista de la Subdirección de Gestión Contractual</w:t>
            </w:r>
          </w:p>
        </w:tc>
      </w:tr>
      <w:tr w:rsidR="00FB7C66" w:rsidRPr="00FB7C66" w14:paraId="62BEBF5A" w14:textId="77777777" w:rsidTr="003A2E08">
        <w:trPr>
          <w:trHeight w:val="300"/>
        </w:trPr>
        <w:tc>
          <w:tcPr>
            <w:tcW w:w="812" w:type="dxa"/>
            <w:vAlign w:val="center"/>
            <w:hideMark/>
          </w:tcPr>
          <w:p w14:paraId="644F9A0D" w14:textId="77777777" w:rsidR="00FB7C66" w:rsidRPr="00FB7C66" w:rsidRDefault="00FB7C66" w:rsidP="00FB7C66">
            <w:pPr>
              <w:contextualSpacing/>
              <w:rPr>
                <w:rFonts w:ascii="Arial" w:hAnsi="Arial" w:cs="Arial"/>
                <w:color w:val="000000" w:themeColor="text1"/>
                <w:sz w:val="16"/>
                <w:szCs w:val="16"/>
                <w:lang w:eastAsia="es-ES"/>
              </w:rPr>
            </w:pPr>
            <w:r w:rsidRPr="00FB7C66">
              <w:rPr>
                <w:rFonts w:ascii="Arial"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CD5D4E4" w14:textId="77777777" w:rsidR="00FB7C66" w:rsidRPr="00FB7C66" w:rsidRDefault="00FB7C66" w:rsidP="00FB7C66">
            <w:pPr>
              <w:contextualSpacing/>
              <w:rPr>
                <w:rFonts w:ascii="Arial" w:hAnsi="Arial" w:cs="Arial"/>
                <w:color w:val="000000" w:themeColor="text1"/>
                <w:sz w:val="16"/>
                <w:szCs w:val="16"/>
                <w:lang w:eastAsia="es-ES"/>
              </w:rPr>
            </w:pPr>
            <w:r w:rsidRPr="00FB7C66">
              <w:rPr>
                <w:rFonts w:ascii="Arial" w:hAnsi="Arial" w:cs="Arial"/>
                <w:color w:val="000000" w:themeColor="text1"/>
                <w:sz w:val="16"/>
                <w:szCs w:val="16"/>
                <w:lang w:eastAsia="es-ES"/>
              </w:rPr>
              <w:t>Jorge Augusto Tirado Navarro</w:t>
            </w:r>
          </w:p>
          <w:p w14:paraId="12550573" w14:textId="77777777" w:rsidR="00FB7C66" w:rsidRPr="00FB7C66" w:rsidRDefault="00FB7C66" w:rsidP="00FB7C66">
            <w:pPr>
              <w:contextualSpacing/>
              <w:rPr>
                <w:rFonts w:ascii="Arial" w:hAnsi="Arial" w:cs="Arial"/>
                <w:color w:val="000000" w:themeColor="text1"/>
                <w:sz w:val="16"/>
                <w:szCs w:val="16"/>
                <w:lang w:eastAsia="es-ES"/>
              </w:rPr>
            </w:pPr>
            <w:r w:rsidRPr="00FB7C66">
              <w:rPr>
                <w:rFonts w:ascii="Arial" w:hAnsi="Arial" w:cs="Arial"/>
                <w:color w:val="000000" w:themeColor="text1"/>
                <w:sz w:val="16"/>
                <w:szCs w:val="16"/>
                <w:lang w:eastAsia="es-ES"/>
              </w:rPr>
              <w:t>Subdirector de Gestión Contractual ANCP – CCE</w:t>
            </w:r>
          </w:p>
        </w:tc>
      </w:tr>
    </w:tbl>
    <w:p w14:paraId="4ABFD0D6" w14:textId="77777777" w:rsidR="00FB7C66" w:rsidRPr="00FB7C66" w:rsidRDefault="00FB7C66" w:rsidP="00FB7C66">
      <w:pPr>
        <w:widowControl w:val="0"/>
        <w:autoSpaceDE w:val="0"/>
        <w:autoSpaceDN w:val="0"/>
        <w:spacing w:after="0" w:line="276" w:lineRule="auto"/>
        <w:ind w:firstLine="709"/>
        <w:contextualSpacing/>
        <w:jc w:val="both"/>
        <w:rPr>
          <w:rFonts w:ascii="Arial" w:eastAsia="Arial" w:hAnsi="Arial" w:cs="Arial"/>
        </w:rPr>
      </w:pPr>
    </w:p>
    <w:p w14:paraId="62ACBE50" w14:textId="77777777" w:rsidR="00725332" w:rsidRPr="00FB7C66" w:rsidRDefault="00725332" w:rsidP="00FB7C66"/>
    <w:sectPr w:rsidR="00725332" w:rsidRPr="00FB7C66" w:rsidSect="003A2E08">
      <w:headerReference w:type="even" r:id="rId13"/>
      <w:headerReference w:type="default" r:id="rId14"/>
      <w:footerReference w:type="even" r:id="rId15"/>
      <w:footerReference w:type="default" r:id="rId16"/>
      <w:headerReference w:type="first" r:id="rId17"/>
      <w:footerReference w:type="first" r:id="rId18"/>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4D5884" w14:textId="77777777" w:rsidR="00035E2D" w:rsidRDefault="00035E2D" w:rsidP="00725332">
      <w:pPr>
        <w:spacing w:after="0" w:line="240" w:lineRule="auto"/>
      </w:pPr>
      <w:r>
        <w:separator/>
      </w:r>
    </w:p>
  </w:endnote>
  <w:endnote w:type="continuationSeparator" w:id="0">
    <w:p w14:paraId="21E2FAD4" w14:textId="77777777" w:rsidR="00035E2D" w:rsidRDefault="00035E2D" w:rsidP="007253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3FE2A" w14:textId="77777777" w:rsidR="00304BD8" w:rsidRDefault="00304BD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B8EAB" w14:textId="063A82A3" w:rsidR="00304BD8" w:rsidRDefault="00304BD8" w:rsidP="003A2E08">
    <w:pPr>
      <w:pStyle w:val="Piedepgina"/>
      <w:jc w:val="right"/>
      <w:rPr>
        <w:rFonts w:ascii="Arial" w:hAnsi="Arial" w:cs="Arial"/>
        <w:bCs/>
        <w:color w:val="7F7F7F" w:themeColor="text1" w:themeTint="80"/>
        <w:sz w:val="16"/>
        <w:szCs w:val="16"/>
      </w:rPr>
    </w:pPr>
  </w:p>
  <w:p w14:paraId="0DB25945" w14:textId="77777777" w:rsidR="00304BD8" w:rsidRDefault="00304BD8" w:rsidP="003A2E08">
    <w:pPr>
      <w:pStyle w:val="Piedepgina"/>
      <w:jc w:val="right"/>
      <w:rPr>
        <w:rFonts w:ascii="Arial" w:hAnsi="Arial" w:cs="Arial"/>
        <w:bCs/>
        <w:color w:val="7F7F7F" w:themeColor="text1" w:themeTint="80"/>
        <w:sz w:val="16"/>
        <w:szCs w:val="16"/>
      </w:rPr>
    </w:pPr>
  </w:p>
  <w:p w14:paraId="2153D790" w14:textId="2596168B" w:rsidR="003A2E08" w:rsidRPr="008217B7" w:rsidRDefault="00063E01" w:rsidP="003A2E0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28816A95" w14:textId="77777777" w:rsidR="003A2E08" w:rsidRDefault="00063E01" w:rsidP="003A2E08">
    <w:pPr>
      <w:pStyle w:val="Piedepgina"/>
      <w:jc w:val="center"/>
      <w:rPr>
        <w:lang w:val="es-ES"/>
      </w:rPr>
    </w:pPr>
    <w:r>
      <w:rPr>
        <w:noProof/>
      </w:rPr>
      <w:drawing>
        <wp:inline distT="0" distB="0" distL="0" distR="0" wp14:anchorId="0C1CBDE9" wp14:editId="45AE47DF">
          <wp:extent cx="3700130" cy="519139"/>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07E2A39C" w14:textId="77777777" w:rsidR="003A2E08" w:rsidRPr="00E756AC" w:rsidRDefault="003A2E08" w:rsidP="003A2E08">
    <w:pPr>
      <w:pStyle w:val="Piedepgina"/>
      <w:jc w:val="center"/>
      <w:rPr>
        <w:sz w:val="18"/>
        <w:szCs w:val="18"/>
        <w:lang w:val="es-ES"/>
      </w:rPr>
    </w:pPr>
  </w:p>
  <w:p w14:paraId="1CAB441B" w14:textId="77777777" w:rsidR="003A2E08" w:rsidRPr="00E756AC" w:rsidRDefault="003A2E08" w:rsidP="003A2E08">
    <w:pPr>
      <w:pStyle w:val="Piedepgina"/>
      <w:jc w:val="center"/>
      <w:rPr>
        <w:sz w:val="18"/>
        <w:szCs w:val="18"/>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FB6DE" w14:textId="77777777" w:rsidR="00304BD8" w:rsidRDefault="00304BD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41AB0" w14:textId="77777777" w:rsidR="00035E2D" w:rsidRDefault="00035E2D" w:rsidP="00725332">
      <w:pPr>
        <w:spacing w:after="0" w:line="240" w:lineRule="auto"/>
      </w:pPr>
      <w:r>
        <w:separator/>
      </w:r>
    </w:p>
  </w:footnote>
  <w:footnote w:type="continuationSeparator" w:id="0">
    <w:p w14:paraId="7F513B25" w14:textId="77777777" w:rsidR="00035E2D" w:rsidRDefault="00035E2D" w:rsidP="00725332">
      <w:pPr>
        <w:spacing w:after="0" w:line="240" w:lineRule="auto"/>
      </w:pPr>
      <w:r>
        <w:continuationSeparator/>
      </w:r>
    </w:p>
  </w:footnote>
  <w:footnote w:id="1">
    <w:p w14:paraId="6E7F5255" w14:textId="77777777" w:rsidR="00FB7C66" w:rsidRPr="00A75318" w:rsidRDefault="00FB7C66" w:rsidP="00FB7C66">
      <w:pPr>
        <w:contextualSpacing/>
        <w:jc w:val="both"/>
        <w:rPr>
          <w:rFonts w:ascii="Arial" w:hAnsi="Arial" w:cs="Arial"/>
          <w:sz w:val="18"/>
          <w:szCs w:val="18"/>
        </w:rPr>
      </w:pPr>
      <w:r w:rsidRPr="00A75318">
        <w:rPr>
          <w:rStyle w:val="Refdenotaalpie"/>
          <w:rFonts w:ascii="Arial" w:hAnsi="Arial" w:cs="Arial"/>
          <w:sz w:val="18"/>
          <w:szCs w:val="18"/>
        </w:rPr>
        <w:footnoteRef/>
      </w:r>
      <w:r w:rsidRPr="00A75318">
        <w:rPr>
          <w:rFonts w:ascii="Arial" w:hAnsi="Arial" w:cs="Arial"/>
          <w:sz w:val="18"/>
          <w:szCs w:val="18"/>
        </w:rPr>
        <w:t xml:space="preserve"> Definición desarrollada en el Concepto 003 de 2021 y el Concepto C-143 de 2021. </w:t>
      </w:r>
    </w:p>
  </w:footnote>
  <w:footnote w:id="2">
    <w:p w14:paraId="25868A4E" w14:textId="77777777" w:rsidR="00FB7C66" w:rsidRPr="00A75318" w:rsidRDefault="00FB7C66" w:rsidP="00FB7C66">
      <w:pPr>
        <w:contextualSpacing/>
        <w:jc w:val="both"/>
        <w:rPr>
          <w:rFonts w:ascii="Arial" w:hAnsi="Arial" w:cs="Arial"/>
          <w:sz w:val="18"/>
          <w:szCs w:val="18"/>
        </w:rPr>
      </w:pPr>
      <w:r w:rsidRPr="00A75318">
        <w:rPr>
          <w:rStyle w:val="Refdenotaalpie"/>
          <w:rFonts w:ascii="Arial" w:hAnsi="Arial" w:cs="Arial"/>
          <w:sz w:val="18"/>
          <w:szCs w:val="18"/>
        </w:rPr>
        <w:footnoteRef/>
      </w:r>
      <w:r w:rsidRPr="00A75318">
        <w:rPr>
          <w:rFonts w:ascii="Arial" w:hAnsi="Arial" w:cs="Arial"/>
          <w:sz w:val="18"/>
          <w:szCs w:val="18"/>
        </w:rPr>
        <w:t xml:space="preserve"> Consejo de Estado. Sección Tercera. Providencia del 26 de junio de 2003. Expediente: 13.354.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16837" w14:textId="77777777" w:rsidR="00304BD8" w:rsidRDefault="00304BD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C2A1F" w14:textId="77777777" w:rsidR="003A2E08" w:rsidRDefault="00063E01">
    <w:pPr>
      <w:pStyle w:val="Encabezado"/>
    </w:pPr>
    <w:r>
      <w:rPr>
        <w:noProof/>
        <w:lang w:eastAsia="es-CO"/>
      </w:rPr>
      <w:drawing>
        <wp:anchor distT="0" distB="0" distL="114300" distR="114300" simplePos="0" relativeHeight="251659264" behindDoc="1" locked="0" layoutInCell="1" allowOverlap="1" wp14:anchorId="204CB9FD" wp14:editId="60B1C8C9">
          <wp:simplePos x="0" y="0"/>
          <wp:positionH relativeFrom="margin">
            <wp:align>right</wp:align>
          </wp:positionH>
          <wp:positionV relativeFrom="paragraph">
            <wp:posOffset>409118</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0FFBC" w14:textId="77777777" w:rsidR="00304BD8" w:rsidRDefault="00304BD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D2D0F12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6E2531A"/>
    <w:multiLevelType w:val="hybridMultilevel"/>
    <w:tmpl w:val="AE56CDCA"/>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43F253A8"/>
    <w:multiLevelType w:val="multilevel"/>
    <w:tmpl w:val="186671A4"/>
    <w:lvl w:ilvl="0">
      <w:start w:val="4"/>
      <w:numFmt w:val="decimal"/>
      <w:lvlText w:val="%1"/>
      <w:lvlJc w:val="left"/>
      <w:pPr>
        <w:ind w:left="360" w:hanging="360"/>
      </w:pPr>
      <w:rPr>
        <w:rFonts w:hint="default"/>
      </w:rPr>
    </w:lvl>
    <w:lvl w:ilvl="1">
      <w:start w:val="4"/>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3" w15:restartNumberingAfterBreak="0">
    <w:nsid w:val="578B3D84"/>
    <w:multiLevelType w:val="multilevel"/>
    <w:tmpl w:val="17FEB804"/>
    <w:lvl w:ilvl="0">
      <w:start w:val="1"/>
      <w:numFmt w:val="decimal"/>
      <w:lvlText w:val="%1."/>
      <w:lvlJc w:val="left"/>
      <w:pPr>
        <w:ind w:left="360" w:hanging="360"/>
      </w:pPr>
      <w:rPr>
        <w:rFonts w:hint="default"/>
      </w:rPr>
    </w:lvl>
    <w:lvl w:ilvl="1">
      <w:start w:val="1"/>
      <w:numFmt w:val="decimal"/>
      <w:pStyle w:val="Ttulo2"/>
      <w:lvlText w:val="%1.%2."/>
      <w:lvlJc w:val="left"/>
      <w:pPr>
        <w:ind w:left="644" w:hanging="360"/>
      </w:pPr>
      <w:rPr>
        <w:rFonts w:hint="default"/>
      </w:rPr>
    </w:lvl>
    <w:lvl w:ilvl="2">
      <w:start w:val="1"/>
      <w:numFmt w:val="decimal"/>
      <w:pStyle w:val="Ttulo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6CC9261C"/>
    <w:multiLevelType w:val="multilevel"/>
    <w:tmpl w:val="24C6254A"/>
    <w:lvl w:ilvl="0">
      <w:start w:val="1"/>
      <w:numFmt w:val="decimal"/>
      <w:lvlText w:val="%1."/>
      <w:lvlJc w:val="left"/>
      <w:pPr>
        <w:ind w:left="720" w:hanging="360"/>
      </w:pPr>
      <w:rPr>
        <w:rFonts w:hint="default"/>
        <w:b/>
        <w:bCs/>
      </w:rPr>
    </w:lvl>
    <w:lvl w:ilvl="1">
      <w:start w:val="1"/>
      <w:numFmt w:val="decimal"/>
      <w:isLgl/>
      <w:lvlText w:val="%1.%2"/>
      <w:lvlJc w:val="left"/>
      <w:pPr>
        <w:ind w:left="1083" w:hanging="375"/>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670910546">
    <w:abstractNumId w:val="3"/>
  </w:num>
  <w:num w:numId="2" w16cid:durableId="1055082555">
    <w:abstractNumId w:val="2"/>
  </w:num>
  <w:num w:numId="3" w16cid:durableId="466508834">
    <w:abstractNumId w:val="5"/>
  </w:num>
  <w:num w:numId="4" w16cid:durableId="470828752">
    <w:abstractNumId w:val="4"/>
  </w:num>
  <w:num w:numId="5" w16cid:durableId="1220214883">
    <w:abstractNumId w:val="1"/>
  </w:num>
  <w:num w:numId="6" w16cid:durableId="61703108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332"/>
    <w:rsid w:val="000027B8"/>
    <w:rsid w:val="00021F58"/>
    <w:rsid w:val="00035E2D"/>
    <w:rsid w:val="00041CF6"/>
    <w:rsid w:val="0004792B"/>
    <w:rsid w:val="00063E01"/>
    <w:rsid w:val="00065B49"/>
    <w:rsid w:val="000854EB"/>
    <w:rsid w:val="00093D73"/>
    <w:rsid w:val="000B2037"/>
    <w:rsid w:val="000B5737"/>
    <w:rsid w:val="000B7F33"/>
    <w:rsid w:val="000C7827"/>
    <w:rsid w:val="000D2FD8"/>
    <w:rsid w:val="000D3A36"/>
    <w:rsid w:val="000F0208"/>
    <w:rsid w:val="0010446B"/>
    <w:rsid w:val="00130C11"/>
    <w:rsid w:val="00141650"/>
    <w:rsid w:val="001425C6"/>
    <w:rsid w:val="00142C6D"/>
    <w:rsid w:val="00161F3E"/>
    <w:rsid w:val="001805E7"/>
    <w:rsid w:val="00181A0F"/>
    <w:rsid w:val="0018665E"/>
    <w:rsid w:val="00197B94"/>
    <w:rsid w:val="001A04D6"/>
    <w:rsid w:val="001A5C14"/>
    <w:rsid w:val="001B6E7D"/>
    <w:rsid w:val="001C15C2"/>
    <w:rsid w:val="001E13D9"/>
    <w:rsid w:val="001E1679"/>
    <w:rsid w:val="001E1821"/>
    <w:rsid w:val="001F162D"/>
    <w:rsid w:val="00211980"/>
    <w:rsid w:val="002368FD"/>
    <w:rsid w:val="0023794B"/>
    <w:rsid w:val="00257AED"/>
    <w:rsid w:val="00274021"/>
    <w:rsid w:val="002833A7"/>
    <w:rsid w:val="00290EEF"/>
    <w:rsid w:val="002A3717"/>
    <w:rsid w:val="002A3B6D"/>
    <w:rsid w:val="002B50A5"/>
    <w:rsid w:val="002C766D"/>
    <w:rsid w:val="002D544F"/>
    <w:rsid w:val="002F23B6"/>
    <w:rsid w:val="002F326B"/>
    <w:rsid w:val="002F61B8"/>
    <w:rsid w:val="00301555"/>
    <w:rsid w:val="00304BD8"/>
    <w:rsid w:val="00307402"/>
    <w:rsid w:val="00317B3B"/>
    <w:rsid w:val="00327D42"/>
    <w:rsid w:val="0033643B"/>
    <w:rsid w:val="00350CB4"/>
    <w:rsid w:val="0035188F"/>
    <w:rsid w:val="0036153B"/>
    <w:rsid w:val="00361BB0"/>
    <w:rsid w:val="003711A4"/>
    <w:rsid w:val="00381427"/>
    <w:rsid w:val="003942EF"/>
    <w:rsid w:val="003A2E08"/>
    <w:rsid w:val="003B72DB"/>
    <w:rsid w:val="003C59B3"/>
    <w:rsid w:val="003D110F"/>
    <w:rsid w:val="003F3225"/>
    <w:rsid w:val="003F34E4"/>
    <w:rsid w:val="003F5D20"/>
    <w:rsid w:val="00402B99"/>
    <w:rsid w:val="00404ABF"/>
    <w:rsid w:val="00407A6E"/>
    <w:rsid w:val="00422D9E"/>
    <w:rsid w:val="004239F1"/>
    <w:rsid w:val="00431DFF"/>
    <w:rsid w:val="00431EDF"/>
    <w:rsid w:val="00433094"/>
    <w:rsid w:val="0043528A"/>
    <w:rsid w:val="00445ECE"/>
    <w:rsid w:val="00461C2E"/>
    <w:rsid w:val="004734BB"/>
    <w:rsid w:val="004760E5"/>
    <w:rsid w:val="00483025"/>
    <w:rsid w:val="004854F4"/>
    <w:rsid w:val="004936C0"/>
    <w:rsid w:val="004A473E"/>
    <w:rsid w:val="004A7BE9"/>
    <w:rsid w:val="004C309F"/>
    <w:rsid w:val="004E0E4F"/>
    <w:rsid w:val="00501F74"/>
    <w:rsid w:val="00514F82"/>
    <w:rsid w:val="00545375"/>
    <w:rsid w:val="00555942"/>
    <w:rsid w:val="00560A9A"/>
    <w:rsid w:val="005751DB"/>
    <w:rsid w:val="00584B26"/>
    <w:rsid w:val="00587773"/>
    <w:rsid w:val="005A3892"/>
    <w:rsid w:val="005C3435"/>
    <w:rsid w:val="005C4F19"/>
    <w:rsid w:val="005C50FF"/>
    <w:rsid w:val="005D5F06"/>
    <w:rsid w:val="005E162A"/>
    <w:rsid w:val="005E46E5"/>
    <w:rsid w:val="005F20D9"/>
    <w:rsid w:val="00600EB3"/>
    <w:rsid w:val="00627244"/>
    <w:rsid w:val="00634B2E"/>
    <w:rsid w:val="006424C0"/>
    <w:rsid w:val="006442D3"/>
    <w:rsid w:val="00662A4B"/>
    <w:rsid w:val="0066479F"/>
    <w:rsid w:val="006C7CE6"/>
    <w:rsid w:val="006E605E"/>
    <w:rsid w:val="006E788F"/>
    <w:rsid w:val="00722E8C"/>
    <w:rsid w:val="00725332"/>
    <w:rsid w:val="00734F51"/>
    <w:rsid w:val="00740F44"/>
    <w:rsid w:val="00745CB6"/>
    <w:rsid w:val="007842F2"/>
    <w:rsid w:val="007967C9"/>
    <w:rsid w:val="007A7F89"/>
    <w:rsid w:val="007F49D9"/>
    <w:rsid w:val="00806F36"/>
    <w:rsid w:val="008075C4"/>
    <w:rsid w:val="008153A2"/>
    <w:rsid w:val="00827F7C"/>
    <w:rsid w:val="00860466"/>
    <w:rsid w:val="0087018B"/>
    <w:rsid w:val="008721A6"/>
    <w:rsid w:val="008757E7"/>
    <w:rsid w:val="008777F5"/>
    <w:rsid w:val="008805AA"/>
    <w:rsid w:val="008860AF"/>
    <w:rsid w:val="008A176E"/>
    <w:rsid w:val="008A3041"/>
    <w:rsid w:val="008C2656"/>
    <w:rsid w:val="008F6C05"/>
    <w:rsid w:val="009015D2"/>
    <w:rsid w:val="009038F2"/>
    <w:rsid w:val="00903979"/>
    <w:rsid w:val="00906962"/>
    <w:rsid w:val="00933A6A"/>
    <w:rsid w:val="00942E1E"/>
    <w:rsid w:val="00976E22"/>
    <w:rsid w:val="00981B34"/>
    <w:rsid w:val="00985C01"/>
    <w:rsid w:val="00996A59"/>
    <w:rsid w:val="009A600F"/>
    <w:rsid w:val="009B6694"/>
    <w:rsid w:val="009F7E04"/>
    <w:rsid w:val="00A01ABF"/>
    <w:rsid w:val="00A07E20"/>
    <w:rsid w:val="00A228A5"/>
    <w:rsid w:val="00A26733"/>
    <w:rsid w:val="00A26F75"/>
    <w:rsid w:val="00A56652"/>
    <w:rsid w:val="00A61ED8"/>
    <w:rsid w:val="00A65AC4"/>
    <w:rsid w:val="00A80055"/>
    <w:rsid w:val="00A814A7"/>
    <w:rsid w:val="00AA0125"/>
    <w:rsid w:val="00AA5E7E"/>
    <w:rsid w:val="00AB2560"/>
    <w:rsid w:val="00AB32E0"/>
    <w:rsid w:val="00AC0A61"/>
    <w:rsid w:val="00AC26B4"/>
    <w:rsid w:val="00AC6AEB"/>
    <w:rsid w:val="00AC7112"/>
    <w:rsid w:val="00AE0B27"/>
    <w:rsid w:val="00AF0DDD"/>
    <w:rsid w:val="00B0089F"/>
    <w:rsid w:val="00B020CE"/>
    <w:rsid w:val="00B04DD7"/>
    <w:rsid w:val="00B31C16"/>
    <w:rsid w:val="00B52ABB"/>
    <w:rsid w:val="00B750DE"/>
    <w:rsid w:val="00B831CD"/>
    <w:rsid w:val="00B852BB"/>
    <w:rsid w:val="00BA0850"/>
    <w:rsid w:val="00BA6F5F"/>
    <w:rsid w:val="00BC4AA5"/>
    <w:rsid w:val="00BE1136"/>
    <w:rsid w:val="00BF1069"/>
    <w:rsid w:val="00C11E84"/>
    <w:rsid w:val="00C4073B"/>
    <w:rsid w:val="00C44921"/>
    <w:rsid w:val="00C50077"/>
    <w:rsid w:val="00C55006"/>
    <w:rsid w:val="00C57534"/>
    <w:rsid w:val="00C71D26"/>
    <w:rsid w:val="00C735D0"/>
    <w:rsid w:val="00C86AE8"/>
    <w:rsid w:val="00CC1508"/>
    <w:rsid w:val="00CD64C5"/>
    <w:rsid w:val="00D0566A"/>
    <w:rsid w:val="00D06B04"/>
    <w:rsid w:val="00D31D12"/>
    <w:rsid w:val="00D33649"/>
    <w:rsid w:val="00D37606"/>
    <w:rsid w:val="00D44330"/>
    <w:rsid w:val="00D44D12"/>
    <w:rsid w:val="00D61BB1"/>
    <w:rsid w:val="00D63163"/>
    <w:rsid w:val="00D671BE"/>
    <w:rsid w:val="00D75580"/>
    <w:rsid w:val="00D82329"/>
    <w:rsid w:val="00D832CA"/>
    <w:rsid w:val="00DC2EAF"/>
    <w:rsid w:val="00DC5FF2"/>
    <w:rsid w:val="00DD6AE3"/>
    <w:rsid w:val="00DE0AE5"/>
    <w:rsid w:val="00DE7237"/>
    <w:rsid w:val="00E20040"/>
    <w:rsid w:val="00E358CA"/>
    <w:rsid w:val="00E40617"/>
    <w:rsid w:val="00E42439"/>
    <w:rsid w:val="00E47734"/>
    <w:rsid w:val="00E826A8"/>
    <w:rsid w:val="00EA5C02"/>
    <w:rsid w:val="00EB37C4"/>
    <w:rsid w:val="00EB5460"/>
    <w:rsid w:val="00EC0173"/>
    <w:rsid w:val="00EC7FAA"/>
    <w:rsid w:val="00ED733C"/>
    <w:rsid w:val="00EF213E"/>
    <w:rsid w:val="00F10CF3"/>
    <w:rsid w:val="00F311D3"/>
    <w:rsid w:val="00F5275A"/>
    <w:rsid w:val="00F548B9"/>
    <w:rsid w:val="00F56BEF"/>
    <w:rsid w:val="00F7330E"/>
    <w:rsid w:val="00F7486B"/>
    <w:rsid w:val="00F8625E"/>
    <w:rsid w:val="00F92259"/>
    <w:rsid w:val="00F94DED"/>
    <w:rsid w:val="00F94F06"/>
    <w:rsid w:val="00FB347B"/>
    <w:rsid w:val="00FB6ADD"/>
    <w:rsid w:val="00FB7C66"/>
    <w:rsid w:val="00FD3090"/>
    <w:rsid w:val="00FE2E15"/>
    <w:rsid w:val="00FF061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E7E23"/>
  <w15:docId w15:val="{B1368DDC-179F-4FF9-AA49-54A6492BD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860466"/>
    <w:pPr>
      <w:keepNext/>
      <w:keepLines/>
      <w:numPr>
        <w:ilvl w:val="1"/>
        <w:numId w:val="1"/>
      </w:numPr>
      <w:spacing w:before="40" w:after="120"/>
      <w:jc w:val="both"/>
      <w:outlineLvl w:val="1"/>
    </w:pPr>
    <w:rPr>
      <w:rFonts w:ascii="Arial" w:eastAsiaTheme="majorEastAsia" w:hAnsi="Arial" w:cstheme="majorBidi"/>
      <w:b/>
      <w:caps/>
      <w:color w:val="000000" w:themeColor="text1"/>
      <w:sz w:val="20"/>
      <w:szCs w:val="26"/>
      <w:lang w:val="es-MX"/>
    </w:rPr>
  </w:style>
  <w:style w:type="paragraph" w:styleId="Ttulo3">
    <w:name w:val="heading 3"/>
    <w:basedOn w:val="Normal"/>
    <w:next w:val="Normal"/>
    <w:link w:val="Ttulo3Car"/>
    <w:uiPriority w:val="9"/>
    <w:unhideWhenUsed/>
    <w:qFormat/>
    <w:rsid w:val="00860466"/>
    <w:pPr>
      <w:keepNext/>
      <w:keepLines/>
      <w:numPr>
        <w:ilvl w:val="2"/>
        <w:numId w:val="1"/>
      </w:numPr>
      <w:spacing w:before="40" w:after="120"/>
      <w:jc w:val="both"/>
      <w:outlineLvl w:val="2"/>
    </w:pPr>
    <w:rPr>
      <w:rFonts w:ascii="Arial" w:eastAsiaTheme="majorEastAsia" w:hAnsi="Arial" w:cstheme="majorBidi"/>
      <w:b/>
      <w:caps/>
      <w:color w:val="000000" w:themeColor="text1"/>
      <w:sz w:val="20"/>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2533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25332"/>
  </w:style>
  <w:style w:type="paragraph" w:styleId="Piedepgina">
    <w:name w:val="footer"/>
    <w:basedOn w:val="Normal"/>
    <w:link w:val="PiedepginaCar"/>
    <w:uiPriority w:val="99"/>
    <w:unhideWhenUsed/>
    <w:rsid w:val="00725332"/>
    <w:pPr>
      <w:tabs>
        <w:tab w:val="center" w:pos="4419"/>
        <w:tab w:val="right" w:pos="8838"/>
      </w:tabs>
      <w:spacing w:after="0" w:line="240" w:lineRule="auto"/>
    </w:pPr>
    <w:rPr>
      <w:sz w:val="24"/>
      <w:lang w:val="es-MX"/>
    </w:rPr>
  </w:style>
  <w:style w:type="character" w:customStyle="1" w:styleId="PiedepginaCar">
    <w:name w:val="Pie de página Car"/>
    <w:basedOn w:val="Fuentedeprrafopredeter"/>
    <w:link w:val="Piedepgina"/>
    <w:uiPriority w:val="99"/>
    <w:rsid w:val="00725332"/>
    <w:rPr>
      <w:sz w:val="24"/>
      <w:lang w:val="es-MX"/>
    </w:rPr>
  </w:style>
  <w:style w:type="table" w:styleId="Tablaconcuadrcula">
    <w:name w:val="Table Grid"/>
    <w:basedOn w:val="Tablanormal"/>
    <w:uiPriority w:val="39"/>
    <w:qFormat/>
    <w:rsid w:val="007253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725332"/>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2533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25332"/>
    <w:pPr>
      <w:spacing w:after="0" w:line="240" w:lineRule="auto"/>
    </w:pPr>
    <w:rPr>
      <w:sz w:val="20"/>
      <w:szCs w:val="20"/>
      <w:lang w:val="es-MX"/>
    </w:rPr>
  </w:style>
  <w:style w:type="character" w:customStyle="1" w:styleId="TextonotapieCar1">
    <w:name w:val="Texto nota pie Car1"/>
    <w:basedOn w:val="Fuentedeprrafopredeter"/>
    <w:uiPriority w:val="99"/>
    <w:semiHidden/>
    <w:rsid w:val="00725332"/>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725332"/>
    <w:rPr>
      <w:vertAlign w:val="superscript"/>
    </w:rPr>
  </w:style>
  <w:style w:type="paragraph" w:customStyle="1" w:styleId="Appelnotedebasde">
    <w:name w:val="Appel note de bas de..."/>
    <w:basedOn w:val="Normal"/>
    <w:link w:val="Refdenotaalpie"/>
    <w:uiPriority w:val="99"/>
    <w:rsid w:val="00725332"/>
    <w:pPr>
      <w:spacing w:line="240" w:lineRule="exact"/>
    </w:pPr>
    <w:rPr>
      <w:vertAlign w:val="superscript"/>
    </w:rPr>
  </w:style>
  <w:style w:type="character" w:customStyle="1" w:styleId="Ttulo2Car">
    <w:name w:val="Título 2 Car"/>
    <w:basedOn w:val="Fuentedeprrafopredeter"/>
    <w:link w:val="Ttulo2"/>
    <w:uiPriority w:val="9"/>
    <w:rsid w:val="00860466"/>
    <w:rPr>
      <w:rFonts w:ascii="Arial" w:eastAsiaTheme="majorEastAsia" w:hAnsi="Arial" w:cstheme="majorBidi"/>
      <w:b/>
      <w:caps/>
      <w:color w:val="000000" w:themeColor="text1"/>
      <w:sz w:val="20"/>
      <w:szCs w:val="26"/>
      <w:lang w:val="es-MX"/>
    </w:rPr>
  </w:style>
  <w:style w:type="character" w:customStyle="1" w:styleId="Ttulo3Car">
    <w:name w:val="Título 3 Car"/>
    <w:basedOn w:val="Fuentedeprrafopredeter"/>
    <w:link w:val="Ttulo3"/>
    <w:uiPriority w:val="9"/>
    <w:rsid w:val="00860466"/>
    <w:rPr>
      <w:rFonts w:ascii="Arial" w:eastAsiaTheme="majorEastAsia" w:hAnsi="Arial" w:cstheme="majorBidi"/>
      <w:b/>
      <w:caps/>
      <w:color w:val="000000" w:themeColor="text1"/>
      <w:sz w:val="20"/>
      <w:szCs w:val="24"/>
    </w:rPr>
  </w:style>
  <w:style w:type="paragraph" w:styleId="Prrafodelista">
    <w:name w:val="List Paragraph"/>
    <w:basedOn w:val="Normal"/>
    <w:uiPriority w:val="34"/>
    <w:qFormat/>
    <w:rsid w:val="00274021"/>
    <w:pPr>
      <w:ind w:left="720"/>
      <w:contextualSpacing/>
    </w:pPr>
  </w:style>
  <w:style w:type="paragraph" w:styleId="Textodeglobo">
    <w:name w:val="Balloon Text"/>
    <w:basedOn w:val="Normal"/>
    <w:link w:val="TextodegloboCar"/>
    <w:uiPriority w:val="99"/>
    <w:semiHidden/>
    <w:unhideWhenUsed/>
    <w:rsid w:val="00FB6ADD"/>
    <w:pPr>
      <w:spacing w:after="0"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FB6ADD"/>
    <w:rPr>
      <w:rFonts w:ascii="Times New Roman" w:hAnsi="Times New Roman" w:cs="Times New Roman"/>
      <w:sz w:val="18"/>
      <w:szCs w:val="18"/>
    </w:rPr>
  </w:style>
  <w:style w:type="paragraph" w:styleId="Revisin">
    <w:name w:val="Revision"/>
    <w:hidden/>
    <w:uiPriority w:val="99"/>
    <w:semiHidden/>
    <w:rsid w:val="005E46E5"/>
    <w:pPr>
      <w:spacing w:after="0" w:line="240" w:lineRule="auto"/>
    </w:pPr>
  </w:style>
  <w:style w:type="paragraph" w:styleId="NormalWeb">
    <w:name w:val="Normal (Web)"/>
    <w:basedOn w:val="Normal"/>
    <w:link w:val="NormalWebCar"/>
    <w:uiPriority w:val="99"/>
    <w:unhideWhenUsed/>
    <w:rsid w:val="00B831CD"/>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B831CD"/>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E47734"/>
    <w:rPr>
      <w:sz w:val="16"/>
      <w:szCs w:val="16"/>
    </w:rPr>
  </w:style>
  <w:style w:type="paragraph" w:styleId="Textocomentario">
    <w:name w:val="annotation text"/>
    <w:basedOn w:val="Normal"/>
    <w:link w:val="TextocomentarioCar"/>
    <w:uiPriority w:val="99"/>
    <w:unhideWhenUsed/>
    <w:rsid w:val="00E47734"/>
    <w:pPr>
      <w:spacing w:line="240" w:lineRule="auto"/>
    </w:pPr>
    <w:rPr>
      <w:sz w:val="20"/>
      <w:szCs w:val="20"/>
    </w:rPr>
  </w:style>
  <w:style w:type="character" w:customStyle="1" w:styleId="TextocomentarioCar">
    <w:name w:val="Texto comentario Car"/>
    <w:basedOn w:val="Fuentedeprrafopredeter"/>
    <w:link w:val="Textocomentario"/>
    <w:uiPriority w:val="99"/>
    <w:rsid w:val="00E47734"/>
    <w:rPr>
      <w:sz w:val="20"/>
      <w:szCs w:val="20"/>
    </w:rPr>
  </w:style>
  <w:style w:type="paragraph" w:styleId="Asuntodelcomentario">
    <w:name w:val="annotation subject"/>
    <w:basedOn w:val="Textocomentario"/>
    <w:next w:val="Textocomentario"/>
    <w:link w:val="AsuntodelcomentarioCar"/>
    <w:uiPriority w:val="99"/>
    <w:semiHidden/>
    <w:unhideWhenUsed/>
    <w:rsid w:val="00E47734"/>
    <w:rPr>
      <w:b/>
      <w:bCs/>
    </w:rPr>
  </w:style>
  <w:style w:type="character" w:customStyle="1" w:styleId="AsuntodelcomentarioCar">
    <w:name w:val="Asunto del comentario Car"/>
    <w:basedOn w:val="TextocomentarioCar"/>
    <w:link w:val="Asuntodelcomentario"/>
    <w:uiPriority w:val="99"/>
    <w:semiHidden/>
    <w:rsid w:val="00E4773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6292">
      <w:bodyDiv w:val="1"/>
      <w:marLeft w:val="0"/>
      <w:marRight w:val="0"/>
      <w:marTop w:val="0"/>
      <w:marBottom w:val="0"/>
      <w:divBdr>
        <w:top w:val="none" w:sz="0" w:space="0" w:color="auto"/>
        <w:left w:val="none" w:sz="0" w:space="0" w:color="auto"/>
        <w:bottom w:val="none" w:sz="0" w:space="0" w:color="auto"/>
        <w:right w:val="none" w:sz="0" w:space="0" w:color="auto"/>
      </w:divBdr>
    </w:div>
    <w:div w:id="95908553">
      <w:bodyDiv w:val="1"/>
      <w:marLeft w:val="0"/>
      <w:marRight w:val="0"/>
      <w:marTop w:val="0"/>
      <w:marBottom w:val="0"/>
      <w:divBdr>
        <w:top w:val="none" w:sz="0" w:space="0" w:color="auto"/>
        <w:left w:val="none" w:sz="0" w:space="0" w:color="auto"/>
        <w:bottom w:val="none" w:sz="0" w:space="0" w:color="auto"/>
        <w:right w:val="none" w:sz="0" w:space="0" w:color="auto"/>
      </w:divBdr>
    </w:div>
    <w:div w:id="200169172">
      <w:bodyDiv w:val="1"/>
      <w:marLeft w:val="0"/>
      <w:marRight w:val="0"/>
      <w:marTop w:val="0"/>
      <w:marBottom w:val="0"/>
      <w:divBdr>
        <w:top w:val="none" w:sz="0" w:space="0" w:color="auto"/>
        <w:left w:val="none" w:sz="0" w:space="0" w:color="auto"/>
        <w:bottom w:val="none" w:sz="0" w:space="0" w:color="auto"/>
        <w:right w:val="none" w:sz="0" w:space="0" w:color="auto"/>
      </w:divBdr>
    </w:div>
    <w:div w:id="720901777">
      <w:bodyDiv w:val="1"/>
      <w:marLeft w:val="0"/>
      <w:marRight w:val="0"/>
      <w:marTop w:val="0"/>
      <w:marBottom w:val="0"/>
      <w:divBdr>
        <w:top w:val="none" w:sz="0" w:space="0" w:color="auto"/>
        <w:left w:val="none" w:sz="0" w:space="0" w:color="auto"/>
        <w:bottom w:val="none" w:sz="0" w:space="0" w:color="auto"/>
        <w:right w:val="none" w:sz="0" w:space="0" w:color="auto"/>
      </w:divBdr>
    </w:div>
    <w:div w:id="1575428805">
      <w:bodyDiv w:val="1"/>
      <w:marLeft w:val="0"/>
      <w:marRight w:val="0"/>
      <w:marTop w:val="0"/>
      <w:marBottom w:val="0"/>
      <w:divBdr>
        <w:top w:val="none" w:sz="0" w:space="0" w:color="auto"/>
        <w:left w:val="none" w:sz="0" w:space="0" w:color="auto"/>
        <w:bottom w:val="none" w:sz="0" w:space="0" w:color="auto"/>
        <w:right w:val="none" w:sz="0" w:space="0" w:color="auto"/>
      </w:divBdr>
      <w:divsChild>
        <w:div w:id="788165108">
          <w:marLeft w:val="0"/>
          <w:marRight w:val="0"/>
          <w:marTop w:val="0"/>
          <w:marBottom w:val="0"/>
          <w:divBdr>
            <w:top w:val="none" w:sz="0" w:space="0" w:color="auto"/>
            <w:left w:val="none" w:sz="0" w:space="0" w:color="auto"/>
            <w:bottom w:val="none" w:sz="0" w:space="0" w:color="auto"/>
            <w:right w:val="none" w:sz="0" w:space="0" w:color="auto"/>
          </w:divBdr>
          <w:divsChild>
            <w:div w:id="1960187136">
              <w:marLeft w:val="0"/>
              <w:marRight w:val="0"/>
              <w:marTop w:val="0"/>
              <w:marBottom w:val="0"/>
              <w:divBdr>
                <w:top w:val="none" w:sz="0" w:space="0" w:color="auto"/>
                <w:left w:val="none" w:sz="0" w:space="0" w:color="auto"/>
                <w:bottom w:val="none" w:sz="0" w:space="0" w:color="auto"/>
                <w:right w:val="none" w:sz="0" w:space="0" w:color="auto"/>
              </w:divBdr>
              <w:divsChild>
                <w:div w:id="102101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180679">
          <w:marLeft w:val="0"/>
          <w:marRight w:val="0"/>
          <w:marTop w:val="0"/>
          <w:marBottom w:val="0"/>
          <w:divBdr>
            <w:top w:val="none" w:sz="0" w:space="0" w:color="auto"/>
            <w:left w:val="none" w:sz="0" w:space="0" w:color="auto"/>
            <w:bottom w:val="none" w:sz="0" w:space="0" w:color="auto"/>
            <w:right w:val="none" w:sz="0" w:space="0" w:color="auto"/>
          </w:divBdr>
          <w:divsChild>
            <w:div w:id="1797722112">
              <w:marLeft w:val="0"/>
              <w:marRight w:val="0"/>
              <w:marTop w:val="0"/>
              <w:marBottom w:val="0"/>
              <w:divBdr>
                <w:top w:val="none" w:sz="0" w:space="0" w:color="auto"/>
                <w:left w:val="none" w:sz="0" w:space="0" w:color="auto"/>
                <w:bottom w:val="none" w:sz="0" w:space="0" w:color="auto"/>
                <w:right w:val="none" w:sz="0" w:space="0" w:color="auto"/>
              </w:divBdr>
              <w:divsChild>
                <w:div w:id="135387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984147">
      <w:bodyDiv w:val="1"/>
      <w:marLeft w:val="0"/>
      <w:marRight w:val="0"/>
      <w:marTop w:val="0"/>
      <w:marBottom w:val="0"/>
      <w:divBdr>
        <w:top w:val="none" w:sz="0" w:space="0" w:color="auto"/>
        <w:left w:val="none" w:sz="0" w:space="0" w:color="auto"/>
        <w:bottom w:val="none" w:sz="0" w:space="0" w:color="auto"/>
        <w:right w:val="none" w:sz="0" w:space="0" w:color="auto"/>
      </w:divBdr>
      <w:divsChild>
        <w:div w:id="426463107">
          <w:marLeft w:val="0"/>
          <w:marRight w:val="0"/>
          <w:marTop w:val="0"/>
          <w:marBottom w:val="0"/>
          <w:divBdr>
            <w:top w:val="none" w:sz="0" w:space="0" w:color="auto"/>
            <w:left w:val="none" w:sz="0" w:space="0" w:color="auto"/>
            <w:bottom w:val="none" w:sz="0" w:space="0" w:color="auto"/>
            <w:right w:val="none" w:sz="0" w:space="0" w:color="auto"/>
          </w:divBdr>
          <w:divsChild>
            <w:div w:id="1081566706">
              <w:marLeft w:val="0"/>
              <w:marRight w:val="0"/>
              <w:marTop w:val="0"/>
              <w:marBottom w:val="0"/>
              <w:divBdr>
                <w:top w:val="none" w:sz="0" w:space="0" w:color="auto"/>
                <w:left w:val="none" w:sz="0" w:space="0" w:color="auto"/>
                <w:bottom w:val="none" w:sz="0" w:space="0" w:color="auto"/>
                <w:right w:val="none" w:sz="0" w:space="0" w:color="auto"/>
              </w:divBdr>
              <w:divsChild>
                <w:div w:id="19025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920883-63A7-4987-96B0-C7EA21598F16}">
  <ds:schemaRefs>
    <ds:schemaRef ds:uri="http://schemas.microsoft.com/sharepoint/v3/contenttype/forms"/>
  </ds:schemaRefs>
</ds:datastoreItem>
</file>

<file path=customXml/itemProps2.xml><?xml version="1.0" encoding="utf-8"?>
<ds:datastoreItem xmlns:ds="http://schemas.openxmlformats.org/officeDocument/2006/customXml" ds:itemID="{98E944E9-A8EC-4A34-8DBC-3680D114CE34}">
  <ds:schemaRefs>
    <ds:schemaRef ds:uri="http://schemas.openxmlformats.org/officeDocument/2006/bibliography"/>
  </ds:schemaRefs>
</ds:datastoreItem>
</file>

<file path=customXml/itemProps3.xml><?xml version="1.0" encoding="utf-8"?>
<ds:datastoreItem xmlns:ds="http://schemas.openxmlformats.org/officeDocument/2006/customXml" ds:itemID="{94547431-04AC-43F2-BDA2-91DAAC64B2ED}">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0E689B4F-4189-41E9-9902-E181C07AE3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4459</Words>
  <Characters>24526</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Castrillon Endo</dc:creator>
  <cp:keywords/>
  <dc:description/>
  <cp:lastModifiedBy>Manuela Mantilla Pacheco</cp:lastModifiedBy>
  <cp:revision>4</cp:revision>
  <dcterms:created xsi:type="dcterms:W3CDTF">2022-03-14T19:50:00Z</dcterms:created>
  <dcterms:modified xsi:type="dcterms:W3CDTF">2022-04-18T21:12:00Z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