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7D07F" w14:textId="77777777" w:rsidR="00B22E10" w:rsidRPr="00C96FA1" w:rsidRDefault="00B22E10" w:rsidP="00B22E10">
      <w:pPr>
        <w:spacing w:after="0" w:line="240" w:lineRule="auto"/>
        <w:jc w:val="both"/>
        <w:rPr>
          <w:rFonts w:ascii="Century Gothic" w:eastAsia="Calibri" w:hAnsi="Century Gothic" w:cs="Arial"/>
          <w:b/>
          <w:lang w:val="es-ES_tradnl"/>
        </w:rPr>
      </w:pPr>
      <w:bookmarkStart w:id="0" w:name="_Hlk94281581"/>
      <w:bookmarkStart w:id="1" w:name="_Hlk102489058"/>
      <w:bookmarkStart w:id="2" w:name="_Hlk34951122"/>
    </w:p>
    <w:p w14:paraId="6E167173" w14:textId="77777777" w:rsidR="00B22E10" w:rsidRPr="00C96FA1" w:rsidRDefault="00B22E10" w:rsidP="00B22E10">
      <w:pPr>
        <w:spacing w:after="0" w:line="240" w:lineRule="auto"/>
        <w:jc w:val="both"/>
        <w:rPr>
          <w:rFonts w:ascii="Century Gothic" w:eastAsia="Calibri" w:hAnsi="Century Gothic" w:cs="Arial"/>
          <w:b/>
          <w:lang w:val="es-ES_tradnl"/>
        </w:rPr>
      </w:pPr>
      <w:r w:rsidRPr="00C96FA1">
        <w:rPr>
          <w:rFonts w:ascii="Century Gothic" w:eastAsia="Calibri" w:hAnsi="Century Gothic" w:cs="Arial"/>
          <w:b/>
          <w:lang w:val="es-ES_tradnl"/>
        </w:rPr>
        <w:t>FACTORES DE DESEMPATE – Características – Límites</w:t>
      </w:r>
    </w:p>
    <w:p w14:paraId="6E0B3665" w14:textId="77777777" w:rsidR="00B22E10" w:rsidRPr="00C96FA1" w:rsidRDefault="00B22E10" w:rsidP="00B22E10">
      <w:pPr>
        <w:spacing w:after="0" w:line="240" w:lineRule="auto"/>
        <w:jc w:val="both"/>
        <w:rPr>
          <w:rFonts w:ascii="Century Gothic" w:hAnsi="Century Gothic" w:cs="Arial"/>
          <w:noProof/>
          <w:highlight w:val="yellow"/>
          <w:lang w:val="es-ES_tradnl"/>
        </w:rPr>
      </w:pPr>
    </w:p>
    <w:p w14:paraId="3F32B701" w14:textId="77777777" w:rsidR="00B22E10" w:rsidRPr="00C96FA1" w:rsidRDefault="00B22E10" w:rsidP="00B22E10">
      <w:pPr>
        <w:spacing w:after="0" w:line="240" w:lineRule="auto"/>
        <w:jc w:val="both"/>
        <w:rPr>
          <w:rFonts w:ascii="Century Gothic" w:eastAsia="Calibri" w:hAnsi="Century Gothic" w:cs="Arial"/>
          <w:sz w:val="20"/>
          <w:szCs w:val="20"/>
          <w:lang w:val="es-ES_tradnl"/>
        </w:rPr>
      </w:pPr>
      <w:r w:rsidRPr="00C96FA1">
        <w:rPr>
          <w:rFonts w:ascii="Century Gothic" w:eastAsia="Calibri" w:hAnsi="Century Gothic" w:cs="Arial"/>
          <w:sz w:val="20"/>
          <w:szCs w:val="20"/>
          <w:lang w:val="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w:t>
      </w:r>
      <w:r>
        <w:rPr>
          <w:rFonts w:ascii="Century Gothic" w:eastAsia="Calibri" w:hAnsi="Century Gothic" w:cs="Arial"/>
          <w:sz w:val="20"/>
          <w:szCs w:val="20"/>
          <w:lang w:val="es-ES_tradnl"/>
        </w:rPr>
        <w:t>“</w:t>
      </w:r>
      <w:r w:rsidRPr="00C96FA1">
        <w:rPr>
          <w:rFonts w:ascii="Century Gothic" w:eastAsia="Calibri" w:hAnsi="Century Gothic" w:cs="Arial"/>
          <w:sz w:val="20"/>
          <w:szCs w:val="20"/>
          <w:lang w:val="es-ES_tradnl"/>
        </w:rPr>
        <w:t>Es objetiva la selección en la cual la escogencia se haga al ofrecimiento más favorable a la entidad y a los fines que ella busca, sin tener en consideración factores de afecto o de interés y, en general, cualquier clase de motivación subjetiva</w:t>
      </w:r>
      <w:r>
        <w:rPr>
          <w:rFonts w:ascii="Century Gothic" w:eastAsia="Calibri" w:hAnsi="Century Gothic" w:cs="Arial"/>
          <w:sz w:val="20"/>
          <w:szCs w:val="20"/>
          <w:lang w:val="es-ES_tradnl"/>
        </w:rPr>
        <w:t>”</w:t>
      </w:r>
      <w:r w:rsidRPr="00C96FA1">
        <w:rPr>
          <w:rFonts w:ascii="Century Gothic" w:eastAsia="Calibri" w:hAnsi="Century Gothic" w:cs="Arial"/>
          <w:sz w:val="20"/>
          <w:szCs w:val="20"/>
          <w:lang w:val="es-ES_tradnl"/>
        </w:rPr>
        <w:t>.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17A37403" w14:textId="77777777" w:rsidR="00B22E10" w:rsidRPr="00C96FA1" w:rsidRDefault="00B22E10" w:rsidP="00B22E10">
      <w:pPr>
        <w:spacing w:after="0" w:line="240" w:lineRule="auto"/>
        <w:jc w:val="both"/>
        <w:rPr>
          <w:rFonts w:ascii="Century Gothic" w:eastAsia="Calibri" w:hAnsi="Century Gothic" w:cs="Arial"/>
          <w:b/>
          <w:highlight w:val="yellow"/>
          <w:lang w:val="es-ES_tradnl"/>
        </w:rPr>
      </w:pPr>
    </w:p>
    <w:p w14:paraId="74A657FA" w14:textId="77777777" w:rsidR="00B22E10" w:rsidRPr="00C96FA1" w:rsidRDefault="00B22E10" w:rsidP="00B22E10">
      <w:pPr>
        <w:spacing w:after="0" w:line="240" w:lineRule="auto"/>
        <w:jc w:val="both"/>
        <w:rPr>
          <w:rFonts w:ascii="Century Gothic" w:eastAsia="Calibri" w:hAnsi="Century Gothic" w:cs="Arial"/>
          <w:b/>
          <w:lang w:val="es-ES_tradnl"/>
        </w:rPr>
      </w:pPr>
      <w:r w:rsidRPr="00C96FA1">
        <w:rPr>
          <w:rFonts w:ascii="Century Gothic" w:eastAsia="Calibri" w:hAnsi="Century Gothic" w:cs="Arial"/>
          <w:b/>
          <w:lang w:val="es-ES_tradnl"/>
        </w:rPr>
        <w:t>LEY DE EMPRENDIMIENTO – Ley 2069 de 2020 – Reglamentación – Decreto 1860 de 2021 – Vigencia</w:t>
      </w:r>
    </w:p>
    <w:p w14:paraId="2C89F733" w14:textId="77777777" w:rsidR="00B22E10" w:rsidRPr="00C96FA1" w:rsidRDefault="00B22E10" w:rsidP="00B22E10">
      <w:pPr>
        <w:spacing w:after="0" w:line="240" w:lineRule="auto"/>
        <w:jc w:val="both"/>
        <w:rPr>
          <w:rFonts w:ascii="Century Gothic" w:eastAsia="Calibri" w:hAnsi="Century Gothic" w:cs="Arial"/>
          <w:b/>
          <w:highlight w:val="yellow"/>
          <w:lang w:val="es-ES_tradnl"/>
        </w:rPr>
      </w:pPr>
    </w:p>
    <w:p w14:paraId="43DD303A" w14:textId="77777777" w:rsidR="00B22E10" w:rsidRPr="00C96FA1" w:rsidRDefault="00B22E10" w:rsidP="00B22E10">
      <w:pPr>
        <w:spacing w:after="0" w:line="240" w:lineRule="auto"/>
        <w:jc w:val="both"/>
        <w:rPr>
          <w:rFonts w:ascii="Century Gothic" w:eastAsia="Calibri" w:hAnsi="Century Gothic" w:cs="Arial"/>
          <w:bCs/>
          <w:sz w:val="20"/>
          <w:szCs w:val="20"/>
          <w:lang w:val="es-ES_tradnl"/>
        </w:rPr>
      </w:pPr>
      <w:r w:rsidRPr="00C96FA1">
        <w:rPr>
          <w:rFonts w:ascii="Century Gothic" w:eastAsia="Calibri" w:hAnsi="Century Gothic" w:cs="Arial"/>
          <w:bCs/>
          <w:sz w:val="20"/>
          <w:szCs w:val="20"/>
          <w:lang w:val="es-ES_tradnl"/>
        </w:rPr>
        <w:t xml:space="preserve">[…] el pasado 24 de diciembre, el gobierno nacional expidió el Decreto 1860 de 2021, </w:t>
      </w:r>
      <w:r>
        <w:rPr>
          <w:rFonts w:ascii="Century Gothic" w:eastAsia="Calibri" w:hAnsi="Century Gothic" w:cs="Arial"/>
          <w:bCs/>
          <w:sz w:val="20"/>
          <w:szCs w:val="20"/>
          <w:lang w:val="es-ES_tradnl"/>
        </w:rPr>
        <w:t>“</w:t>
      </w:r>
      <w:r w:rsidRPr="00C96FA1">
        <w:rPr>
          <w:rFonts w:ascii="Century Gothic" w:eastAsia="Calibri" w:hAnsi="Century Gothic" w:cs="Arial"/>
          <w:bCs/>
          <w:sz w:val="20"/>
          <w:szCs w:val="20"/>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Century Gothic" w:eastAsia="Calibri" w:hAnsi="Century Gothic" w:cs="Arial"/>
          <w:bCs/>
          <w:sz w:val="20"/>
          <w:szCs w:val="20"/>
          <w:lang w:val="es-ES_tradnl"/>
        </w:rPr>
        <w:t>”</w:t>
      </w:r>
      <w:r w:rsidRPr="00C96FA1">
        <w:rPr>
          <w:rFonts w:ascii="Century Gothic" w:eastAsia="Calibri" w:hAnsi="Century Gothic" w:cs="Arial"/>
          <w:bCs/>
          <w:sz w:val="20"/>
          <w:szCs w:val="20"/>
          <w:lang w:val="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178FEC9A" w14:textId="77777777" w:rsidR="00B22E10" w:rsidRPr="00C96FA1" w:rsidRDefault="00B22E10" w:rsidP="00B22E10">
      <w:pPr>
        <w:spacing w:after="0" w:line="240" w:lineRule="auto"/>
        <w:jc w:val="both"/>
        <w:rPr>
          <w:rFonts w:ascii="Century Gothic" w:eastAsia="Calibri" w:hAnsi="Century Gothic" w:cs="Arial"/>
          <w:b/>
          <w:lang w:val="es-ES_tradnl"/>
        </w:rPr>
      </w:pPr>
    </w:p>
    <w:p w14:paraId="07748705" w14:textId="77777777" w:rsidR="00B22E10" w:rsidRPr="00C96FA1" w:rsidRDefault="00B22E10" w:rsidP="00B22E10">
      <w:pPr>
        <w:spacing w:after="0" w:line="240" w:lineRule="auto"/>
        <w:jc w:val="both"/>
        <w:rPr>
          <w:rFonts w:ascii="Century Gothic" w:eastAsia="Calibri" w:hAnsi="Century Gothic" w:cs="Arial"/>
          <w:b/>
          <w:lang w:val="es-ES_tradnl"/>
        </w:rPr>
      </w:pPr>
      <w:r w:rsidRPr="00431154">
        <w:rPr>
          <w:rFonts w:ascii="Century Gothic" w:eastAsia="Calibri" w:hAnsi="Century Gothic" w:cs="Arial"/>
          <w:b/>
          <w:lang w:val="es-ES_tradnl"/>
        </w:rPr>
        <w:t>FACTORES DE DESEMPATE – Personas mayores – Alcance – Prepensionados – Exclusión</w:t>
      </w:r>
    </w:p>
    <w:p w14:paraId="1C6C91B3" w14:textId="77777777" w:rsidR="00B22E10" w:rsidRPr="00C96FA1" w:rsidRDefault="00B22E10" w:rsidP="00B22E10">
      <w:pPr>
        <w:spacing w:after="0" w:line="240" w:lineRule="auto"/>
        <w:jc w:val="both"/>
        <w:rPr>
          <w:rFonts w:ascii="Century Gothic" w:hAnsi="Century Gothic" w:cs="Arial"/>
          <w:highlight w:val="yellow"/>
          <w:lang w:val="es-ES_tradnl"/>
        </w:rPr>
      </w:pPr>
    </w:p>
    <w:p w14:paraId="0C1E536D" w14:textId="77777777" w:rsidR="00B22E10" w:rsidRDefault="00B22E10" w:rsidP="00B22E10">
      <w:pPr>
        <w:spacing w:after="0" w:line="240" w:lineRule="auto"/>
        <w:jc w:val="both"/>
        <w:rPr>
          <w:rFonts w:ascii="Century Gothic" w:eastAsia="Calibri" w:hAnsi="Century Gothic" w:cs="Arial"/>
          <w:sz w:val="20"/>
          <w:szCs w:val="20"/>
          <w:lang w:val="es-ES_tradnl"/>
        </w:rPr>
      </w:pPr>
      <w:r w:rsidRPr="00431154">
        <w:rPr>
          <w:rFonts w:ascii="Century Gothic" w:eastAsia="Calibri" w:hAnsi="Century Gothic" w:cs="Arial"/>
          <w:sz w:val="20"/>
          <w:szCs w:val="20"/>
          <w:lang w:val="es-ES_tradnl"/>
        </w:rPr>
        <w:t xml:space="preserve">De acuerdo con la interpretación general del artículo 34.4 de la Ley de Emprendimiento,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w:t>
      </w:r>
    </w:p>
    <w:p w14:paraId="02733672" w14:textId="77777777" w:rsidR="00B22E10" w:rsidRPr="00431154" w:rsidRDefault="00B22E10" w:rsidP="00B22E10">
      <w:pPr>
        <w:spacing w:after="0" w:line="240" w:lineRule="auto"/>
        <w:jc w:val="both"/>
        <w:rPr>
          <w:rFonts w:ascii="Century Gothic" w:eastAsia="Calibri" w:hAnsi="Century Gothic" w:cs="Arial"/>
          <w:sz w:val="20"/>
          <w:szCs w:val="20"/>
          <w:lang w:val="es-ES_tradnl"/>
        </w:rPr>
      </w:pPr>
    </w:p>
    <w:p w14:paraId="18FC6F96" w14:textId="77777777" w:rsidR="00B22E10" w:rsidRDefault="00B22E10" w:rsidP="00B22E10">
      <w:pPr>
        <w:spacing w:after="0" w:line="240" w:lineRule="auto"/>
        <w:jc w:val="both"/>
        <w:rPr>
          <w:rFonts w:ascii="Century Gothic" w:eastAsia="Calibri" w:hAnsi="Century Gothic" w:cs="Arial"/>
          <w:sz w:val="20"/>
          <w:szCs w:val="20"/>
          <w:lang w:val="es-ES_tradnl"/>
        </w:rPr>
      </w:pPr>
      <w:r w:rsidRPr="00431154">
        <w:rPr>
          <w:rFonts w:ascii="Century Gothic" w:eastAsia="Calibri" w:hAnsi="Century Gothic" w:cs="Arial"/>
          <w:sz w:val="20"/>
          <w:szCs w:val="20"/>
          <w:lang w:val="es-ES_tradnl"/>
        </w:rPr>
        <w:t xml:space="preserve">Sin embargo, de la literalidad de la norma no se desprende la aplicación de este factor de desempate a los prepensionados, por lo que no son destinatarios de este incentivo. El </w:t>
      </w:r>
      <w:r w:rsidRPr="00431154">
        <w:rPr>
          <w:rFonts w:ascii="Century Gothic" w:eastAsia="Calibri" w:hAnsi="Century Gothic" w:cs="Arial"/>
          <w:sz w:val="20"/>
          <w:szCs w:val="20"/>
          <w:lang w:val="es-ES_tradnl"/>
        </w:rPr>
        <w:lastRenderedPageBreak/>
        <w:t>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w:t>
      </w:r>
    </w:p>
    <w:p w14:paraId="27517B81" w14:textId="77777777" w:rsidR="00B22E10" w:rsidRPr="00431154" w:rsidRDefault="00B22E10" w:rsidP="00B22E10">
      <w:pPr>
        <w:spacing w:after="0" w:line="240" w:lineRule="auto"/>
        <w:jc w:val="both"/>
        <w:rPr>
          <w:rFonts w:ascii="Century Gothic" w:eastAsia="Calibri" w:hAnsi="Century Gothic" w:cs="Arial"/>
          <w:sz w:val="20"/>
          <w:szCs w:val="20"/>
          <w:lang w:val="es-ES_tradnl"/>
        </w:rPr>
      </w:pPr>
    </w:p>
    <w:p w14:paraId="7BFBBC35" w14:textId="77777777" w:rsidR="00B22E10" w:rsidRPr="00C96FA1" w:rsidRDefault="00B22E10" w:rsidP="00B22E10">
      <w:pPr>
        <w:spacing w:after="0" w:line="240" w:lineRule="auto"/>
        <w:jc w:val="both"/>
        <w:rPr>
          <w:rFonts w:ascii="Century Gothic" w:eastAsia="Calibri" w:hAnsi="Century Gothic" w:cs="Arial"/>
          <w:sz w:val="20"/>
          <w:szCs w:val="20"/>
          <w:lang w:val="es-ES_tradnl"/>
        </w:rPr>
      </w:pPr>
      <w:r w:rsidRPr="00431154">
        <w:rPr>
          <w:rFonts w:ascii="Century Gothic" w:eastAsia="Calibri" w:hAnsi="Century Gothic" w:cs="Arial"/>
          <w:sz w:val="20"/>
          <w:szCs w:val="20"/>
          <w:lang w:val="es-ES_tradnl"/>
        </w:rPr>
        <w:t>Del numeral 4 del artículo 2.2.1.2.4.2.17 del Decreto 1082 de 2015 tampoco se refiere a los prepensionados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r w:rsidRPr="00C96FA1">
        <w:rPr>
          <w:rFonts w:ascii="Century Gothic" w:eastAsia="Calibri" w:hAnsi="Century Gothic" w:cs="Arial"/>
          <w:sz w:val="20"/>
          <w:szCs w:val="20"/>
          <w:lang w:val="es-ES_tradnl"/>
        </w:rPr>
        <w:t xml:space="preserve">  </w:t>
      </w:r>
    </w:p>
    <w:p w14:paraId="574E9308" w14:textId="77777777" w:rsidR="00B22E10" w:rsidRPr="00B22E10" w:rsidRDefault="00B22E10" w:rsidP="003F15AD">
      <w:pPr>
        <w:spacing w:after="0"/>
        <w:rPr>
          <w:rFonts w:ascii="Century Gothic" w:eastAsia="Geomanist Light" w:hAnsi="Century Gothic" w:cs="Arial"/>
          <w:color w:val="201F1E"/>
          <w:lang w:val="es-ES_tradnl"/>
        </w:rPr>
      </w:pPr>
    </w:p>
    <w:p w14:paraId="44CACF73" w14:textId="77777777" w:rsidR="00B22E10" w:rsidRDefault="00B22E10" w:rsidP="003F15AD">
      <w:pPr>
        <w:spacing w:after="0"/>
        <w:rPr>
          <w:rFonts w:ascii="Century Gothic" w:eastAsia="Geomanist Light" w:hAnsi="Century Gothic" w:cs="Arial"/>
          <w:color w:val="201F1E"/>
          <w:lang w:val="es-MX"/>
        </w:rPr>
      </w:pPr>
    </w:p>
    <w:p w14:paraId="1CBB1600" w14:textId="77777777" w:rsidR="00B22E10" w:rsidRDefault="00B22E10" w:rsidP="003F15AD">
      <w:pPr>
        <w:spacing w:after="0"/>
        <w:rPr>
          <w:rFonts w:ascii="Century Gothic" w:eastAsia="Geomanist Light" w:hAnsi="Century Gothic" w:cs="Arial"/>
          <w:color w:val="201F1E"/>
          <w:lang w:val="es-MX"/>
        </w:rPr>
      </w:pPr>
    </w:p>
    <w:p w14:paraId="0C739E76" w14:textId="77777777" w:rsidR="00B22E10" w:rsidRDefault="00B22E10" w:rsidP="003F15AD">
      <w:pPr>
        <w:spacing w:after="0"/>
        <w:rPr>
          <w:rFonts w:ascii="Century Gothic" w:eastAsia="Geomanist Light" w:hAnsi="Century Gothic" w:cs="Arial"/>
          <w:color w:val="201F1E"/>
          <w:lang w:val="es-MX"/>
        </w:rPr>
      </w:pPr>
    </w:p>
    <w:p w14:paraId="7F69C39E" w14:textId="77777777" w:rsidR="00B22E10" w:rsidRDefault="00B22E10" w:rsidP="003F15AD">
      <w:pPr>
        <w:spacing w:after="0"/>
        <w:rPr>
          <w:rFonts w:ascii="Century Gothic" w:eastAsia="Geomanist Light" w:hAnsi="Century Gothic" w:cs="Arial"/>
          <w:color w:val="201F1E"/>
          <w:lang w:val="es-MX"/>
        </w:rPr>
      </w:pPr>
    </w:p>
    <w:p w14:paraId="01BC0103" w14:textId="77777777" w:rsidR="00B22E10" w:rsidRDefault="00B22E10" w:rsidP="003F15AD">
      <w:pPr>
        <w:spacing w:after="0"/>
        <w:rPr>
          <w:rFonts w:ascii="Century Gothic" w:eastAsia="Geomanist Light" w:hAnsi="Century Gothic" w:cs="Arial"/>
          <w:color w:val="201F1E"/>
          <w:lang w:val="es-MX"/>
        </w:rPr>
      </w:pPr>
    </w:p>
    <w:p w14:paraId="49E74EDC" w14:textId="77777777" w:rsidR="00B22E10" w:rsidRDefault="00B22E10" w:rsidP="003F15AD">
      <w:pPr>
        <w:spacing w:after="0"/>
        <w:rPr>
          <w:rFonts w:ascii="Century Gothic" w:eastAsia="Geomanist Light" w:hAnsi="Century Gothic" w:cs="Arial"/>
          <w:color w:val="201F1E"/>
          <w:lang w:val="es-MX"/>
        </w:rPr>
      </w:pPr>
    </w:p>
    <w:p w14:paraId="45E1ABAF" w14:textId="77777777" w:rsidR="00B22E10" w:rsidRDefault="00B22E10" w:rsidP="003F15AD">
      <w:pPr>
        <w:spacing w:after="0"/>
        <w:rPr>
          <w:rFonts w:ascii="Century Gothic" w:eastAsia="Geomanist Light" w:hAnsi="Century Gothic" w:cs="Arial"/>
          <w:color w:val="201F1E"/>
          <w:lang w:val="es-MX"/>
        </w:rPr>
      </w:pPr>
    </w:p>
    <w:p w14:paraId="528C29D1" w14:textId="77777777" w:rsidR="00B22E10" w:rsidRDefault="00B22E10" w:rsidP="003F15AD">
      <w:pPr>
        <w:spacing w:after="0"/>
        <w:rPr>
          <w:rFonts w:ascii="Century Gothic" w:eastAsia="Geomanist Light" w:hAnsi="Century Gothic" w:cs="Arial"/>
          <w:color w:val="201F1E"/>
          <w:lang w:val="es-MX"/>
        </w:rPr>
      </w:pPr>
    </w:p>
    <w:p w14:paraId="6DAED56B" w14:textId="77777777" w:rsidR="00B22E10" w:rsidRDefault="00B22E10" w:rsidP="003F15AD">
      <w:pPr>
        <w:spacing w:after="0"/>
        <w:rPr>
          <w:rFonts w:ascii="Century Gothic" w:eastAsia="Geomanist Light" w:hAnsi="Century Gothic" w:cs="Arial"/>
          <w:color w:val="201F1E"/>
          <w:lang w:val="es-MX"/>
        </w:rPr>
      </w:pPr>
    </w:p>
    <w:p w14:paraId="5FDCF3A2" w14:textId="77777777" w:rsidR="00B22E10" w:rsidRDefault="00B22E10" w:rsidP="003F15AD">
      <w:pPr>
        <w:spacing w:after="0"/>
        <w:rPr>
          <w:rFonts w:ascii="Century Gothic" w:eastAsia="Geomanist Light" w:hAnsi="Century Gothic" w:cs="Arial"/>
          <w:color w:val="201F1E"/>
          <w:lang w:val="es-MX"/>
        </w:rPr>
      </w:pPr>
    </w:p>
    <w:p w14:paraId="2B1AA4EA" w14:textId="77777777" w:rsidR="00B22E10" w:rsidRDefault="00B22E10" w:rsidP="003F15AD">
      <w:pPr>
        <w:spacing w:after="0"/>
        <w:rPr>
          <w:rFonts w:ascii="Century Gothic" w:eastAsia="Geomanist Light" w:hAnsi="Century Gothic" w:cs="Arial"/>
          <w:color w:val="201F1E"/>
          <w:lang w:val="es-MX"/>
        </w:rPr>
      </w:pPr>
    </w:p>
    <w:p w14:paraId="7502D703" w14:textId="77777777" w:rsidR="00B22E10" w:rsidRDefault="00B22E10" w:rsidP="003F15AD">
      <w:pPr>
        <w:spacing w:after="0"/>
        <w:rPr>
          <w:rFonts w:ascii="Century Gothic" w:eastAsia="Geomanist Light" w:hAnsi="Century Gothic" w:cs="Arial"/>
          <w:color w:val="201F1E"/>
          <w:lang w:val="es-MX"/>
        </w:rPr>
      </w:pPr>
    </w:p>
    <w:p w14:paraId="4F110445" w14:textId="77777777" w:rsidR="00B22E10" w:rsidRDefault="00B22E10" w:rsidP="003F15AD">
      <w:pPr>
        <w:spacing w:after="0"/>
        <w:rPr>
          <w:rFonts w:ascii="Century Gothic" w:eastAsia="Geomanist Light" w:hAnsi="Century Gothic" w:cs="Arial"/>
          <w:color w:val="201F1E"/>
          <w:lang w:val="es-MX"/>
        </w:rPr>
      </w:pPr>
    </w:p>
    <w:p w14:paraId="06A42C15" w14:textId="77777777" w:rsidR="00B22E10" w:rsidRDefault="00B22E10" w:rsidP="003F15AD">
      <w:pPr>
        <w:spacing w:after="0"/>
        <w:rPr>
          <w:rFonts w:ascii="Century Gothic" w:eastAsia="Geomanist Light" w:hAnsi="Century Gothic" w:cs="Arial"/>
          <w:color w:val="201F1E"/>
          <w:lang w:val="es-MX"/>
        </w:rPr>
      </w:pPr>
    </w:p>
    <w:p w14:paraId="0A6B12F9" w14:textId="77777777" w:rsidR="00B22E10" w:rsidRDefault="00B22E10" w:rsidP="003F15AD">
      <w:pPr>
        <w:spacing w:after="0"/>
        <w:rPr>
          <w:rFonts w:ascii="Century Gothic" w:eastAsia="Geomanist Light" w:hAnsi="Century Gothic" w:cs="Arial"/>
          <w:color w:val="201F1E"/>
          <w:lang w:val="es-MX"/>
        </w:rPr>
      </w:pPr>
    </w:p>
    <w:p w14:paraId="139E5F2D" w14:textId="77777777" w:rsidR="00B22E10" w:rsidRDefault="00B22E10" w:rsidP="003F15AD">
      <w:pPr>
        <w:spacing w:after="0"/>
        <w:rPr>
          <w:rFonts w:ascii="Century Gothic" w:eastAsia="Geomanist Light" w:hAnsi="Century Gothic" w:cs="Arial"/>
          <w:color w:val="201F1E"/>
          <w:lang w:val="es-MX"/>
        </w:rPr>
      </w:pPr>
    </w:p>
    <w:p w14:paraId="0B2755AD" w14:textId="77777777" w:rsidR="00B22E10" w:rsidRDefault="00B22E10" w:rsidP="003F15AD">
      <w:pPr>
        <w:spacing w:after="0"/>
        <w:rPr>
          <w:rFonts w:ascii="Century Gothic" w:eastAsia="Geomanist Light" w:hAnsi="Century Gothic" w:cs="Arial"/>
          <w:color w:val="201F1E"/>
          <w:lang w:val="es-MX"/>
        </w:rPr>
      </w:pPr>
    </w:p>
    <w:p w14:paraId="6D8F1BC6" w14:textId="77777777" w:rsidR="00B22E10" w:rsidRDefault="00B22E10" w:rsidP="003F15AD">
      <w:pPr>
        <w:spacing w:after="0"/>
        <w:rPr>
          <w:rFonts w:ascii="Century Gothic" w:eastAsia="Geomanist Light" w:hAnsi="Century Gothic" w:cs="Arial"/>
          <w:color w:val="201F1E"/>
          <w:lang w:val="es-MX"/>
        </w:rPr>
      </w:pPr>
    </w:p>
    <w:p w14:paraId="1FB3611E" w14:textId="77777777" w:rsidR="00B22E10" w:rsidRDefault="00B22E10" w:rsidP="003F15AD">
      <w:pPr>
        <w:spacing w:after="0"/>
        <w:rPr>
          <w:rFonts w:ascii="Century Gothic" w:eastAsia="Geomanist Light" w:hAnsi="Century Gothic" w:cs="Arial"/>
          <w:color w:val="201F1E"/>
          <w:lang w:val="es-MX"/>
        </w:rPr>
      </w:pPr>
    </w:p>
    <w:p w14:paraId="34003096" w14:textId="77777777" w:rsidR="00B22E10" w:rsidRDefault="00B22E10" w:rsidP="003F15AD">
      <w:pPr>
        <w:spacing w:after="0"/>
        <w:rPr>
          <w:rFonts w:ascii="Century Gothic" w:eastAsia="Geomanist Light" w:hAnsi="Century Gothic" w:cs="Arial"/>
          <w:color w:val="201F1E"/>
          <w:lang w:val="es-MX"/>
        </w:rPr>
      </w:pPr>
    </w:p>
    <w:p w14:paraId="79288EA6" w14:textId="77777777" w:rsidR="00B22E10" w:rsidRDefault="00B22E10" w:rsidP="003F15AD">
      <w:pPr>
        <w:spacing w:after="0"/>
        <w:rPr>
          <w:rFonts w:ascii="Century Gothic" w:eastAsia="Geomanist Light" w:hAnsi="Century Gothic" w:cs="Arial"/>
          <w:color w:val="201F1E"/>
          <w:lang w:val="es-MX"/>
        </w:rPr>
      </w:pPr>
    </w:p>
    <w:p w14:paraId="189FA41F" w14:textId="77777777" w:rsidR="00B22E10" w:rsidRDefault="00B22E10" w:rsidP="003F15AD">
      <w:pPr>
        <w:spacing w:after="0"/>
        <w:rPr>
          <w:rFonts w:ascii="Century Gothic" w:eastAsia="Geomanist Light" w:hAnsi="Century Gothic" w:cs="Arial"/>
          <w:color w:val="201F1E"/>
          <w:lang w:val="es-MX"/>
        </w:rPr>
      </w:pPr>
    </w:p>
    <w:p w14:paraId="194BF1BA" w14:textId="77777777" w:rsidR="00B22E10" w:rsidRDefault="00B22E10" w:rsidP="003F15AD">
      <w:pPr>
        <w:spacing w:after="0"/>
        <w:rPr>
          <w:rFonts w:ascii="Century Gothic" w:eastAsia="Geomanist Light" w:hAnsi="Century Gothic" w:cs="Arial"/>
          <w:color w:val="201F1E"/>
          <w:lang w:val="es-MX"/>
        </w:rPr>
      </w:pPr>
    </w:p>
    <w:p w14:paraId="2F3D296D" w14:textId="781D5B7E" w:rsidR="003F15AD" w:rsidRDefault="003F15AD" w:rsidP="003F15AD">
      <w:pPr>
        <w:spacing w:after="0"/>
        <w:rPr>
          <w:rFonts w:ascii="Century Gothic" w:eastAsia="Geomanist Light" w:hAnsi="Century Gothic" w:cs="Arial"/>
          <w:color w:val="201F1E"/>
          <w:lang w:val="es-MX"/>
        </w:rPr>
      </w:pPr>
      <w:r w:rsidRPr="00035110">
        <w:rPr>
          <w:rFonts w:ascii="Century Gothic" w:eastAsia="Geomanist Light" w:hAnsi="Century Gothic" w:cs="Arial"/>
          <w:color w:val="201F1E"/>
          <w:lang w:val="es-MX"/>
        </w:rPr>
        <w:lastRenderedPageBreak/>
        <w:t xml:space="preserve">Bogotá D.C., </w:t>
      </w:r>
      <w:r w:rsidR="00F77BFC" w:rsidRPr="00F77BFC">
        <w:rPr>
          <w:rFonts w:ascii="Century Gothic" w:eastAsia="Geomanist Light" w:hAnsi="Century Gothic" w:cs="Arial"/>
          <w:color w:val="201F1E"/>
          <w:lang w:val="es-MX"/>
        </w:rPr>
        <w:t>28 de Mayo de 2024</w:t>
      </w:r>
    </w:p>
    <w:p w14:paraId="0A4FD220" w14:textId="77777777" w:rsidR="00F77BFC" w:rsidRDefault="00F77BFC" w:rsidP="003F15AD">
      <w:pPr>
        <w:spacing w:after="0"/>
        <w:rPr>
          <w:rFonts w:ascii="Century Gothic" w:eastAsia="Geomanist Light" w:hAnsi="Century Gothic" w:cs="Arial"/>
          <w:color w:val="201F1E"/>
          <w:lang w:val="es-MX"/>
        </w:rPr>
      </w:pPr>
    </w:p>
    <w:p w14:paraId="586B0813" w14:textId="1E04FD9B" w:rsidR="003F15AD" w:rsidRPr="00035110" w:rsidRDefault="00F77BFC" w:rsidP="00F77BFC">
      <w:pPr>
        <w:spacing w:after="0"/>
        <w:jc w:val="right"/>
        <w:rPr>
          <w:rFonts w:ascii="Century Gothic" w:eastAsia="Times New Roman" w:hAnsi="Century Gothic" w:cs="Arial"/>
          <w:lang w:val="es-MX" w:eastAsia="es-ES"/>
        </w:rPr>
      </w:pPr>
      <w:r>
        <w:rPr>
          <w:noProof/>
        </w:rPr>
        <w:drawing>
          <wp:inline distT="0" distB="0" distL="0" distR="0" wp14:anchorId="4081DC7B" wp14:editId="50F424DD">
            <wp:extent cx="3253476" cy="904813"/>
            <wp:effectExtent l="0" t="0" r="4445" b="0"/>
            <wp:docPr id="11757337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33705" name=""/>
                    <pic:cNvPicPr/>
                  </pic:nvPicPr>
                  <pic:blipFill>
                    <a:blip r:embed="rId10"/>
                    <a:stretch>
                      <a:fillRect/>
                    </a:stretch>
                  </pic:blipFill>
                  <pic:spPr>
                    <a:xfrm>
                      <a:off x="0" y="0"/>
                      <a:ext cx="3253476" cy="904813"/>
                    </a:xfrm>
                    <a:prstGeom prst="rect">
                      <a:avLst/>
                    </a:prstGeom>
                  </pic:spPr>
                </pic:pic>
              </a:graphicData>
            </a:graphic>
          </wp:inline>
        </w:drawing>
      </w:r>
    </w:p>
    <w:p w14:paraId="1D2193B3" w14:textId="77777777" w:rsidR="003F15AD" w:rsidRPr="00035110" w:rsidRDefault="003F15AD" w:rsidP="003F15AD">
      <w:pPr>
        <w:spacing w:after="0"/>
        <w:contextualSpacing/>
        <w:jc w:val="both"/>
        <w:rPr>
          <w:rFonts w:ascii="Century Gothic" w:eastAsia="Calibri" w:hAnsi="Century Gothic" w:cs="Arial"/>
          <w:lang w:val="es-ES_tradnl" w:eastAsia="es-ES_tradnl"/>
        </w:rPr>
      </w:pPr>
    </w:p>
    <w:p w14:paraId="2C2C08DA" w14:textId="77777777" w:rsidR="003F15AD" w:rsidRPr="00035110" w:rsidRDefault="003F15AD" w:rsidP="003F15AD">
      <w:pPr>
        <w:contextualSpacing/>
        <w:jc w:val="both"/>
        <w:rPr>
          <w:rFonts w:ascii="Century Gothic" w:eastAsia="Calibri" w:hAnsi="Century Gothic" w:cs="Arial"/>
          <w:lang w:eastAsia="es-ES_tradnl"/>
        </w:rPr>
      </w:pPr>
      <w:r w:rsidRPr="00035110">
        <w:rPr>
          <w:rFonts w:ascii="Century Gothic" w:eastAsia="Calibri" w:hAnsi="Century Gothic" w:cs="Arial"/>
          <w:lang w:eastAsia="es-ES_tradnl"/>
        </w:rPr>
        <w:t>Señor</w:t>
      </w:r>
    </w:p>
    <w:p w14:paraId="305C7055" w14:textId="77777777" w:rsidR="003F15AD" w:rsidRPr="00035110" w:rsidRDefault="003F15AD" w:rsidP="003F15AD">
      <w:pPr>
        <w:contextualSpacing/>
        <w:jc w:val="both"/>
        <w:rPr>
          <w:rFonts w:ascii="Century Gothic" w:eastAsia="Calibri" w:hAnsi="Century Gothic" w:cs="Arial"/>
          <w:b/>
          <w:lang w:eastAsia="es-ES_tradnl"/>
        </w:rPr>
      </w:pPr>
      <w:r w:rsidRPr="00716614">
        <w:rPr>
          <w:rFonts w:ascii="Century Gothic" w:eastAsia="Calibri" w:hAnsi="Century Gothic" w:cs="Arial"/>
          <w:b/>
          <w:lang w:eastAsia="es-ES_tradnl"/>
        </w:rPr>
        <w:t xml:space="preserve">Jairo Rojas Chivata </w:t>
      </w:r>
      <w:r w:rsidRPr="00035110">
        <w:rPr>
          <w:rFonts w:ascii="Century Gothic" w:eastAsia="Calibri" w:hAnsi="Century Gothic" w:cs="Arial"/>
          <w:b/>
          <w:lang w:eastAsia="es-ES_tradnl"/>
        </w:rPr>
        <w:t xml:space="preserve"> </w:t>
      </w:r>
    </w:p>
    <w:p w14:paraId="654E3E40" w14:textId="77777777" w:rsidR="003F15AD" w:rsidRPr="00035110" w:rsidRDefault="003F15AD" w:rsidP="003F15AD">
      <w:pPr>
        <w:contextualSpacing/>
        <w:jc w:val="both"/>
        <w:rPr>
          <w:rFonts w:ascii="Century Gothic" w:eastAsia="Calibri" w:hAnsi="Century Gothic" w:cs="Arial"/>
          <w:lang w:eastAsia="es-ES_tradnl"/>
        </w:rPr>
      </w:pPr>
      <w:r w:rsidRPr="00716614">
        <w:rPr>
          <w:rFonts w:ascii="Century Gothic" w:eastAsia="Calibri" w:hAnsi="Century Gothic" w:cs="Arial"/>
          <w:lang w:eastAsia="es-ES_tradnl"/>
        </w:rPr>
        <w:t>Bogotá D.C.</w:t>
      </w:r>
      <w:r w:rsidRPr="00035110">
        <w:rPr>
          <w:rFonts w:ascii="Century Gothic" w:eastAsia="Calibri" w:hAnsi="Century Gothic" w:cs="Arial"/>
          <w:lang w:eastAsia="es-ES_tradnl"/>
        </w:rPr>
        <w:t xml:space="preserve">  </w:t>
      </w:r>
    </w:p>
    <w:p w14:paraId="05B70122" w14:textId="77777777" w:rsidR="003F15AD" w:rsidRPr="00035110" w:rsidRDefault="003F15AD" w:rsidP="003F15AD">
      <w:pPr>
        <w:contextualSpacing/>
        <w:jc w:val="both"/>
        <w:rPr>
          <w:rFonts w:ascii="Century Gothic" w:eastAsia="Calibri" w:hAnsi="Century Gothic" w:cs="Arial"/>
          <w:lang w:val="es-ES_tradnl" w:eastAsia="es-ES_tradnl"/>
        </w:rPr>
      </w:pPr>
    </w:p>
    <w:p w14:paraId="58B32DB2" w14:textId="77777777" w:rsidR="003F15AD" w:rsidRPr="00035110" w:rsidRDefault="003F15AD" w:rsidP="003F15AD">
      <w:pPr>
        <w:contextualSpacing/>
        <w:rPr>
          <w:rFonts w:ascii="Century Gothic" w:eastAsia="Calibri" w:hAnsi="Century Gothic" w:cs="Arial"/>
          <w:b/>
          <w:lang w:val="es-ES_tradnl" w:eastAsia="es-ES_tradnl"/>
        </w:rPr>
      </w:pPr>
    </w:p>
    <w:p w14:paraId="6CECF647" w14:textId="467181E0" w:rsidR="003F15AD" w:rsidRPr="00035110" w:rsidRDefault="003F15AD" w:rsidP="003F15AD">
      <w:pPr>
        <w:ind w:left="2124" w:firstLine="570"/>
        <w:contextualSpacing/>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 xml:space="preserve">Concepto C – </w:t>
      </w:r>
      <w:r w:rsidR="00046D67">
        <w:rPr>
          <w:rFonts w:ascii="Century Gothic" w:eastAsia="Calibri" w:hAnsi="Century Gothic" w:cs="Arial"/>
          <w:b/>
          <w:lang w:val="es-ES_tradnl" w:eastAsia="es-ES_tradnl"/>
        </w:rPr>
        <w:t xml:space="preserve">070 </w:t>
      </w:r>
      <w:r w:rsidRPr="00035110">
        <w:rPr>
          <w:rFonts w:ascii="Century Gothic" w:eastAsia="Calibri" w:hAnsi="Century Gothic" w:cs="Arial"/>
          <w:b/>
          <w:lang w:val="es-ES_tradnl" w:eastAsia="es-ES_tradnl"/>
        </w:rPr>
        <w:t>de 2024</w:t>
      </w:r>
    </w:p>
    <w:p w14:paraId="59B10238" w14:textId="77777777" w:rsidR="003F15AD" w:rsidRPr="00035110" w:rsidRDefault="003F15AD" w:rsidP="003F15AD">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15AD" w:rsidRPr="00035110" w14:paraId="53856F22" w14:textId="77777777" w:rsidTr="006D3C0A">
        <w:tc>
          <w:tcPr>
            <w:tcW w:w="2689" w:type="dxa"/>
          </w:tcPr>
          <w:p w14:paraId="76AF0511" w14:textId="77777777" w:rsidR="003F15AD" w:rsidRPr="00035110" w:rsidRDefault="003F15AD" w:rsidP="006D3C0A">
            <w:pPr>
              <w:contextualSpacing/>
              <w:jc w:val="both"/>
              <w:rPr>
                <w:rFonts w:ascii="Century Gothic" w:eastAsia="Calibri" w:hAnsi="Century Gothic" w:cs="Arial"/>
                <w:lang w:val="es-ES_tradnl" w:eastAsia="es-ES_tradnl"/>
              </w:rPr>
            </w:pPr>
            <w:r w:rsidRPr="00035110">
              <w:rPr>
                <w:rFonts w:ascii="Century Gothic" w:eastAsia="Calibri" w:hAnsi="Century Gothic" w:cs="Arial"/>
                <w:b/>
                <w:lang w:val="es-ES_tradnl" w:eastAsia="es-ES_tradnl"/>
              </w:rPr>
              <w:t>Temas:</w:t>
            </w:r>
            <w:r w:rsidRPr="00035110">
              <w:rPr>
                <w:rFonts w:ascii="Century Gothic" w:eastAsia="Calibri" w:hAnsi="Century Gothic" w:cs="Arial"/>
                <w:lang w:val="es-ES_tradnl" w:eastAsia="es-ES_tradnl"/>
              </w:rPr>
              <w:t xml:space="preserve">                                      </w:t>
            </w:r>
          </w:p>
        </w:tc>
        <w:tc>
          <w:tcPr>
            <w:tcW w:w="6237" w:type="dxa"/>
          </w:tcPr>
          <w:p w14:paraId="33625E81" w14:textId="77777777" w:rsidR="003F15AD" w:rsidRPr="00035110" w:rsidRDefault="003F15AD" w:rsidP="006D3C0A">
            <w:pPr>
              <w:spacing w:after="120"/>
              <w:contextualSpacing/>
              <w:jc w:val="both"/>
              <w:rPr>
                <w:rFonts w:ascii="Century Gothic" w:eastAsia="Calibri" w:hAnsi="Century Gothic" w:cs="Arial"/>
                <w:lang w:val="es-MX" w:eastAsia="es-ES_tradnl"/>
              </w:rPr>
            </w:pPr>
            <w:r w:rsidRPr="00D974C7">
              <w:rPr>
                <w:rFonts w:ascii="Century Gothic" w:eastAsia="Calibri" w:hAnsi="Century Gothic" w:cs="Arial"/>
                <w:lang w:val="es-MX" w:eastAsia="es-ES_tradnl"/>
              </w:rPr>
              <w:t>FACTORES DE DESEMPATE – Características – Límites</w:t>
            </w:r>
            <w:r>
              <w:rPr>
                <w:rFonts w:ascii="Century Gothic" w:eastAsia="Calibri" w:hAnsi="Century Gothic" w:cs="Arial"/>
                <w:lang w:val="es-MX" w:eastAsia="es-ES_tradnl"/>
              </w:rPr>
              <w:t xml:space="preserve"> / </w:t>
            </w:r>
            <w:r w:rsidRPr="00D974C7">
              <w:rPr>
                <w:rFonts w:ascii="Century Gothic" w:eastAsia="Calibri" w:hAnsi="Century Gothic" w:cs="Arial"/>
                <w:lang w:val="es-MX" w:eastAsia="es-ES_tradnl"/>
              </w:rPr>
              <w:t>LEY DE EMPRENDIMIENTO – Ley 2069 de 2020 – Reglamentación – Decreto 1860 de 2021 – Vigencia</w:t>
            </w:r>
            <w:r>
              <w:rPr>
                <w:rFonts w:ascii="Century Gothic" w:eastAsia="Calibri" w:hAnsi="Century Gothic" w:cs="Arial"/>
                <w:lang w:val="es-MX" w:eastAsia="es-ES_tradnl"/>
              </w:rPr>
              <w:t xml:space="preserve"> / </w:t>
            </w:r>
            <w:r w:rsidRPr="00D974C7">
              <w:rPr>
                <w:rFonts w:ascii="Century Gothic" w:eastAsia="Calibri" w:hAnsi="Century Gothic" w:cs="Arial"/>
                <w:lang w:val="es-MX" w:eastAsia="es-ES_tradnl"/>
              </w:rPr>
              <w:t xml:space="preserve">FACTORES DE DESEMPATE – Personas mayores – </w:t>
            </w:r>
            <w:r>
              <w:rPr>
                <w:rFonts w:ascii="Century Gothic" w:eastAsia="Calibri" w:hAnsi="Century Gothic" w:cs="Arial"/>
                <w:lang w:val="es-MX" w:eastAsia="es-ES_tradnl"/>
              </w:rPr>
              <w:t>Alcance – Prepensionados – Exclusión</w:t>
            </w:r>
            <w:r w:rsidRPr="00035110">
              <w:rPr>
                <w:rFonts w:ascii="Century Gothic" w:eastAsia="Calibri" w:hAnsi="Century Gothic" w:cs="Arial"/>
                <w:lang w:val="es-MX" w:eastAsia="es-ES_tradnl"/>
              </w:rPr>
              <w:t xml:space="preserve">    </w:t>
            </w:r>
          </w:p>
          <w:p w14:paraId="5FD0421E" w14:textId="77777777" w:rsidR="003F15AD" w:rsidRPr="00035110" w:rsidRDefault="003F15AD" w:rsidP="006D3C0A">
            <w:pPr>
              <w:spacing w:after="120"/>
              <w:contextualSpacing/>
              <w:jc w:val="both"/>
              <w:rPr>
                <w:rFonts w:ascii="Century Gothic" w:eastAsia="Calibri" w:hAnsi="Century Gothic" w:cs="Arial"/>
                <w:sz w:val="12"/>
                <w:szCs w:val="12"/>
                <w:lang w:val="es-ES_tradnl" w:eastAsia="es-ES_tradnl"/>
              </w:rPr>
            </w:pPr>
          </w:p>
        </w:tc>
      </w:tr>
      <w:tr w:rsidR="003F15AD" w:rsidRPr="00035110" w14:paraId="102D3E25" w14:textId="77777777" w:rsidTr="006D3C0A">
        <w:trPr>
          <w:trHeight w:val="227"/>
        </w:trPr>
        <w:tc>
          <w:tcPr>
            <w:tcW w:w="2689" w:type="dxa"/>
          </w:tcPr>
          <w:p w14:paraId="41055D51" w14:textId="77777777" w:rsidR="003F15AD" w:rsidRPr="00035110" w:rsidRDefault="003F15AD" w:rsidP="006D3C0A">
            <w:pPr>
              <w:contextualSpacing/>
              <w:jc w:val="both"/>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Radicación:</w:t>
            </w:r>
            <w:r w:rsidRPr="00035110">
              <w:rPr>
                <w:rFonts w:ascii="Century Gothic" w:eastAsia="Calibri" w:hAnsi="Century Gothic" w:cs="Arial"/>
                <w:lang w:val="es-ES_tradnl" w:eastAsia="es-ES_tradnl"/>
              </w:rPr>
              <w:t xml:space="preserve">                             </w:t>
            </w:r>
          </w:p>
        </w:tc>
        <w:tc>
          <w:tcPr>
            <w:tcW w:w="6237" w:type="dxa"/>
          </w:tcPr>
          <w:p w14:paraId="05D9D0D5" w14:textId="77777777" w:rsidR="003F15AD" w:rsidRPr="00035110" w:rsidRDefault="003F15AD" w:rsidP="006D3C0A">
            <w:pPr>
              <w:contextualSpacing/>
              <w:jc w:val="both"/>
              <w:rPr>
                <w:rFonts w:ascii="Century Gothic" w:eastAsia="Calibri" w:hAnsi="Century Gothic" w:cs="Arial"/>
                <w:lang w:val="es-ES_tradnl" w:eastAsia="es-ES_tradnl"/>
              </w:rPr>
            </w:pPr>
            <w:r w:rsidRPr="00035110">
              <w:rPr>
                <w:rFonts w:ascii="Century Gothic" w:eastAsia="Calibri" w:hAnsi="Century Gothic" w:cs="Arial"/>
                <w:lang w:val="es-ES_tradnl" w:eastAsia="es-ES_tradnl"/>
              </w:rPr>
              <w:t xml:space="preserve">Respuesta a la consulta </w:t>
            </w:r>
            <w:r w:rsidRPr="00716614">
              <w:rPr>
                <w:rFonts w:ascii="Century Gothic" w:eastAsia="Calibri" w:hAnsi="Century Gothic" w:cs="Arial"/>
                <w:lang w:val="es-ES_tradnl" w:eastAsia="es-ES_tradnl"/>
              </w:rPr>
              <w:t>P20240412003826</w:t>
            </w:r>
          </w:p>
        </w:tc>
      </w:tr>
    </w:tbl>
    <w:p w14:paraId="32B5BED9" w14:textId="77777777" w:rsidR="003F15AD" w:rsidRPr="00035110" w:rsidRDefault="003F15AD" w:rsidP="003F15AD">
      <w:pPr>
        <w:contextualSpacing/>
        <w:jc w:val="both"/>
        <w:rPr>
          <w:rFonts w:ascii="Century Gothic" w:eastAsia="Calibri" w:hAnsi="Century Gothic" w:cs="Arial"/>
          <w:lang w:val="es-ES_tradnl" w:eastAsia="es-ES_tradnl"/>
        </w:rPr>
      </w:pPr>
    </w:p>
    <w:p w14:paraId="01676786" w14:textId="77777777" w:rsidR="003F15AD" w:rsidRPr="00035110" w:rsidRDefault="003F15AD" w:rsidP="003F15AD">
      <w:pPr>
        <w:contextualSpacing/>
        <w:jc w:val="both"/>
        <w:rPr>
          <w:rFonts w:ascii="Century Gothic" w:eastAsia="Calibri" w:hAnsi="Century Gothic" w:cs="Arial"/>
          <w:lang w:val="es-ES_tradnl" w:eastAsia="es-ES_tradnl"/>
        </w:rPr>
      </w:pPr>
    </w:p>
    <w:p w14:paraId="76FB273D" w14:textId="77777777" w:rsidR="003F15AD" w:rsidRPr="00035110" w:rsidRDefault="003F15AD" w:rsidP="003F15AD">
      <w:pPr>
        <w:contextualSpacing/>
        <w:jc w:val="both"/>
        <w:rPr>
          <w:rFonts w:ascii="Century Gothic" w:eastAsia="Calibri" w:hAnsi="Century Gothic" w:cs="Arial"/>
          <w:lang w:val="es-ES" w:eastAsia="es-ES"/>
        </w:rPr>
      </w:pPr>
      <w:r w:rsidRPr="00035110">
        <w:rPr>
          <w:rFonts w:ascii="Century Gothic" w:eastAsia="Calibri" w:hAnsi="Century Gothic" w:cs="Arial"/>
          <w:lang w:val="es-ES" w:eastAsia="es-ES"/>
        </w:rPr>
        <w:t xml:space="preserve">Respetado señor </w:t>
      </w:r>
      <w:r>
        <w:rPr>
          <w:rFonts w:ascii="Century Gothic" w:eastAsia="Times New Roman" w:hAnsi="Century Gothic" w:cs="Arial"/>
          <w:lang w:eastAsia="es-ES"/>
        </w:rPr>
        <w:t>Rojas</w:t>
      </w:r>
      <w:r w:rsidRPr="00035110">
        <w:rPr>
          <w:rFonts w:ascii="Century Gothic" w:eastAsia="Calibri" w:hAnsi="Century Gothic" w:cs="Arial"/>
          <w:lang w:val="es-ES" w:eastAsia="es-ES"/>
        </w:rPr>
        <w:t xml:space="preserve">: </w:t>
      </w:r>
    </w:p>
    <w:p w14:paraId="1C1D4BC5" w14:textId="77777777" w:rsidR="003F15AD" w:rsidRPr="00035110" w:rsidRDefault="003F15AD" w:rsidP="003F15AD">
      <w:pPr>
        <w:spacing w:line="276" w:lineRule="auto"/>
        <w:contextualSpacing/>
        <w:jc w:val="both"/>
        <w:rPr>
          <w:rFonts w:ascii="Century Gothic" w:eastAsia="Calibri" w:hAnsi="Century Gothic" w:cs="Arial"/>
          <w:szCs w:val="24"/>
          <w:lang w:val="es-ES_tradnl" w:eastAsia="es-ES_tradnl"/>
        </w:rPr>
      </w:pPr>
    </w:p>
    <w:bookmarkEnd w:id="0"/>
    <w:bookmarkEnd w:id="1"/>
    <w:p w14:paraId="2AF08648" w14:textId="77777777" w:rsidR="003F15AD" w:rsidRPr="00035110" w:rsidRDefault="003F15AD" w:rsidP="003F15AD">
      <w:pPr>
        <w:spacing w:after="0" w:line="276" w:lineRule="auto"/>
        <w:jc w:val="both"/>
        <w:rPr>
          <w:rFonts w:ascii="Century Gothic" w:eastAsia="Calibri" w:hAnsi="Century Gothic" w:cs="Arial"/>
          <w:color w:val="000000" w:themeColor="text1"/>
          <w:lang w:val="es-ES_tradnl"/>
        </w:rPr>
      </w:pPr>
      <w:r w:rsidRPr="0003511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035110">
        <w:rPr>
          <w:rFonts w:ascii="Century Gothic" w:eastAsia="Arial MT" w:hAnsi="Century Gothic" w:cs="Arial"/>
          <w:lang w:val="es-ES"/>
        </w:rPr>
        <w:t xml:space="preserve">, </w:t>
      </w:r>
      <w:bookmarkEnd w:id="3"/>
      <w:r w:rsidRPr="00035110">
        <w:rPr>
          <w:rFonts w:ascii="Century Gothic" w:eastAsia="Calibri" w:hAnsi="Century Gothic" w:cs="Arial"/>
          <w:color w:val="000000" w:themeColor="text1"/>
          <w:lang w:val="es-ES_tradnl"/>
        </w:rPr>
        <w:t xml:space="preserve">la Agencia Nacional de Contratación Pública – Colombia Compra Eficiente responde la petición radicada el </w:t>
      </w:r>
      <w:r>
        <w:rPr>
          <w:rFonts w:ascii="Century Gothic" w:eastAsia="Calibri" w:hAnsi="Century Gothic" w:cs="Arial"/>
          <w:color w:val="000000" w:themeColor="text1"/>
          <w:lang w:val="es-ES_tradnl"/>
        </w:rPr>
        <w:t>12</w:t>
      </w:r>
      <w:r w:rsidRPr="00035110">
        <w:rPr>
          <w:rFonts w:ascii="Century Gothic" w:eastAsia="Calibri" w:hAnsi="Century Gothic" w:cs="Arial"/>
          <w:color w:val="000000" w:themeColor="text1"/>
          <w:lang w:val="es-ES_tradnl"/>
        </w:rPr>
        <w:t xml:space="preserve"> de </w:t>
      </w:r>
      <w:r>
        <w:rPr>
          <w:rFonts w:ascii="Century Gothic" w:eastAsia="Calibri" w:hAnsi="Century Gothic" w:cs="Arial"/>
          <w:color w:val="000000" w:themeColor="text1"/>
          <w:lang w:val="es-ES_tradnl"/>
        </w:rPr>
        <w:t>abril</w:t>
      </w:r>
      <w:r w:rsidRPr="00035110">
        <w:rPr>
          <w:rFonts w:ascii="Century Gothic" w:eastAsia="Calibri" w:hAnsi="Century Gothic" w:cs="Arial"/>
          <w:color w:val="000000" w:themeColor="text1"/>
          <w:lang w:val="es-ES_tradnl"/>
        </w:rPr>
        <w:t xml:space="preserve"> de 2024.</w:t>
      </w:r>
    </w:p>
    <w:p w14:paraId="685C3718" w14:textId="77777777" w:rsidR="003F15AD" w:rsidRPr="00035110" w:rsidRDefault="003F15AD" w:rsidP="003F15AD">
      <w:pPr>
        <w:spacing w:after="0" w:line="276" w:lineRule="auto"/>
        <w:jc w:val="both"/>
        <w:rPr>
          <w:rFonts w:ascii="Century Gothic" w:eastAsia="Calibri" w:hAnsi="Century Gothic" w:cs="Arial"/>
          <w:b/>
          <w:color w:val="000000" w:themeColor="text1"/>
          <w:lang w:val="es-ES_tradnl"/>
        </w:rPr>
      </w:pPr>
    </w:p>
    <w:p w14:paraId="34BA83BD" w14:textId="77777777" w:rsidR="003F15AD" w:rsidRPr="00035110" w:rsidRDefault="003F15AD" w:rsidP="003F15AD">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 xml:space="preserve">Problema planteado </w:t>
      </w:r>
    </w:p>
    <w:p w14:paraId="725CB256" w14:textId="77777777" w:rsidR="003F15AD" w:rsidRPr="00035110" w:rsidRDefault="003F15AD" w:rsidP="003F15AD">
      <w:pPr>
        <w:tabs>
          <w:tab w:val="left" w:pos="426"/>
        </w:tabs>
        <w:spacing w:after="0" w:line="276" w:lineRule="auto"/>
        <w:jc w:val="both"/>
        <w:rPr>
          <w:rFonts w:ascii="Century Gothic" w:eastAsia="Calibri" w:hAnsi="Century Gothic" w:cs="Arial"/>
          <w:b/>
          <w:color w:val="000000" w:themeColor="text1"/>
          <w:lang w:val="es-ES_tradnl"/>
        </w:rPr>
      </w:pPr>
    </w:p>
    <w:p w14:paraId="693294C9" w14:textId="77777777" w:rsidR="003F15AD" w:rsidRPr="00035110" w:rsidRDefault="003F15AD" w:rsidP="003F15AD">
      <w:pPr>
        <w:spacing w:after="0" w:line="276" w:lineRule="auto"/>
        <w:jc w:val="both"/>
        <w:rPr>
          <w:rFonts w:ascii="Century Gothic" w:hAnsi="Century Gothic" w:cs="Arial"/>
          <w:color w:val="000000" w:themeColor="text1"/>
          <w:lang w:val="es-ES_tradnl"/>
        </w:rPr>
      </w:pPr>
      <w:bookmarkStart w:id="4" w:name="_Hlk132728388"/>
      <w:bookmarkStart w:id="5" w:name="_Hlk142917142"/>
      <w:r w:rsidRPr="00035110">
        <w:rPr>
          <w:rFonts w:ascii="Century Gothic" w:hAnsi="Century Gothic" w:cs="Arial"/>
          <w:color w:val="000000" w:themeColor="text1"/>
          <w:lang w:val="es-ES_tradnl"/>
        </w:rPr>
        <w:t>Usted realiza la siguiente pregunta:</w:t>
      </w:r>
      <w:r>
        <w:rPr>
          <w:rFonts w:ascii="Century Gothic" w:hAnsi="Century Gothic" w:cs="Arial"/>
          <w:color w:val="000000" w:themeColor="text1"/>
          <w:lang w:val="es-ES_tradnl"/>
        </w:rPr>
        <w:t xml:space="preserve"> </w:t>
      </w:r>
      <w:bookmarkStart w:id="6" w:name="_Hlk164173853"/>
      <w:r>
        <w:rPr>
          <w:rFonts w:ascii="Century Gothic" w:hAnsi="Century Gothic" w:cs="Arial"/>
          <w:color w:val="000000" w:themeColor="text1"/>
          <w:lang w:val="es-ES_tradnl"/>
        </w:rPr>
        <w:t>“</w:t>
      </w:r>
      <w:r w:rsidRPr="00716614">
        <w:rPr>
          <w:rFonts w:ascii="Century Gothic" w:hAnsi="Century Gothic" w:cs="Arial"/>
          <w:color w:val="000000" w:themeColor="text1"/>
          <w:lang w:val="es-ES_tradnl"/>
        </w:rPr>
        <w:t xml:space="preserve">¿La expresión </w:t>
      </w:r>
      <w:r>
        <w:rPr>
          <w:rFonts w:ascii="Century Gothic" w:hAnsi="Century Gothic" w:cs="Arial"/>
          <w:color w:val="000000" w:themeColor="text1"/>
          <w:lang w:val="es-ES_tradnl"/>
        </w:rPr>
        <w:t>‘</w:t>
      </w:r>
      <w:r w:rsidRPr="00716614">
        <w:rPr>
          <w:rFonts w:ascii="Century Gothic" w:hAnsi="Century Gothic" w:cs="Arial"/>
          <w:color w:val="000000" w:themeColor="text1"/>
          <w:lang w:val="es-ES_tradnl"/>
        </w:rPr>
        <w:t>personas mayores</w:t>
      </w:r>
      <w:r>
        <w:rPr>
          <w:rFonts w:ascii="Century Gothic" w:hAnsi="Century Gothic" w:cs="Arial"/>
          <w:color w:val="000000" w:themeColor="text1"/>
          <w:lang w:val="es-ES_tradnl"/>
        </w:rPr>
        <w:t>’</w:t>
      </w:r>
      <w:r w:rsidRPr="00716614">
        <w:rPr>
          <w:rFonts w:ascii="Century Gothic" w:hAnsi="Century Gothic" w:cs="Arial"/>
          <w:color w:val="000000" w:themeColor="text1"/>
          <w:lang w:val="es-ES_tradnl"/>
        </w:rPr>
        <w:t xml:space="preserve"> dispuesta en el factor de desempate del artículo 35.</w:t>
      </w:r>
      <w:r>
        <w:rPr>
          <w:rFonts w:ascii="Century Gothic" w:hAnsi="Century Gothic" w:cs="Arial"/>
          <w:color w:val="000000" w:themeColor="text1"/>
          <w:lang w:val="es-ES_tradnl"/>
        </w:rPr>
        <w:t>4</w:t>
      </w:r>
      <w:r w:rsidRPr="00716614">
        <w:rPr>
          <w:rFonts w:ascii="Century Gothic" w:hAnsi="Century Gothic" w:cs="Arial"/>
          <w:color w:val="000000" w:themeColor="text1"/>
          <w:lang w:val="es-ES_tradnl"/>
        </w:rPr>
        <w:t xml:space="preserve"> de la ley 2069 de 2020 incluye</w:t>
      </w:r>
      <w:r>
        <w:rPr>
          <w:rFonts w:ascii="Century Gothic" w:hAnsi="Century Gothic" w:cs="Arial"/>
          <w:color w:val="000000" w:themeColor="text1"/>
          <w:lang w:val="es-ES_tradnl"/>
        </w:rPr>
        <w:t xml:space="preserve"> </w:t>
      </w:r>
      <w:r w:rsidRPr="00716614">
        <w:rPr>
          <w:rFonts w:ascii="Century Gothic" w:hAnsi="Century Gothic" w:cs="Arial"/>
          <w:color w:val="000000" w:themeColor="text1"/>
          <w:lang w:val="es-ES_tradnl"/>
        </w:rPr>
        <w:t xml:space="preserve">tanto la definición que señala el artículo 3 de la Ley 1251 de 2008, es decir, como </w:t>
      </w:r>
      <w:r>
        <w:rPr>
          <w:rFonts w:ascii="Century Gothic" w:hAnsi="Century Gothic" w:cs="Arial"/>
          <w:color w:val="000000" w:themeColor="text1"/>
          <w:lang w:val="es-ES_tradnl"/>
        </w:rPr>
        <w:t>‘</w:t>
      </w:r>
      <w:r w:rsidRPr="00716614">
        <w:rPr>
          <w:rFonts w:ascii="Century Gothic" w:hAnsi="Century Gothic" w:cs="Arial"/>
          <w:color w:val="000000" w:themeColor="text1"/>
          <w:lang w:val="es-ES_tradnl"/>
        </w:rPr>
        <w:t>(…) aquella persona que cuenta con</w:t>
      </w:r>
      <w:r>
        <w:rPr>
          <w:rFonts w:ascii="Century Gothic" w:hAnsi="Century Gothic" w:cs="Arial"/>
          <w:color w:val="000000" w:themeColor="text1"/>
          <w:lang w:val="es-ES_tradnl"/>
        </w:rPr>
        <w:t xml:space="preserve"> </w:t>
      </w:r>
      <w:r w:rsidRPr="00716614">
        <w:rPr>
          <w:rFonts w:ascii="Century Gothic" w:hAnsi="Century Gothic" w:cs="Arial"/>
          <w:color w:val="000000" w:themeColor="text1"/>
          <w:lang w:val="es-ES_tradnl"/>
        </w:rPr>
        <w:t>sesenta (60) años o más, como a las personas que en el rango de edad correspondiente a cada género no han alcanzado</w:t>
      </w:r>
      <w:r>
        <w:rPr>
          <w:rFonts w:ascii="Century Gothic" w:hAnsi="Century Gothic" w:cs="Arial"/>
          <w:color w:val="000000" w:themeColor="text1"/>
          <w:lang w:val="es-ES_tradnl"/>
        </w:rPr>
        <w:t xml:space="preserve"> </w:t>
      </w:r>
      <w:r w:rsidRPr="00716614">
        <w:rPr>
          <w:rFonts w:ascii="Century Gothic" w:hAnsi="Century Gothic" w:cs="Arial"/>
          <w:color w:val="000000" w:themeColor="text1"/>
          <w:lang w:val="es-ES_tradnl"/>
        </w:rPr>
        <w:t>la pensión (artículos 33 y 36 de Ley 100 de 1993) y/o quienes gocen de calidad de prepensionados</w:t>
      </w:r>
      <w:r>
        <w:rPr>
          <w:rFonts w:ascii="Century Gothic" w:hAnsi="Century Gothic" w:cs="Arial"/>
          <w:color w:val="000000" w:themeColor="text1"/>
          <w:lang w:val="es-ES_tradnl"/>
        </w:rPr>
        <w:t xml:space="preserve"> […]</w:t>
      </w:r>
      <w:r w:rsidRPr="00716614">
        <w:rPr>
          <w:rFonts w:ascii="Century Gothic" w:hAnsi="Century Gothic" w:cs="Arial"/>
          <w:color w:val="000000" w:themeColor="text1"/>
          <w:lang w:val="es-ES_tradnl"/>
        </w:rPr>
        <w:t>?</w:t>
      </w:r>
      <w:r>
        <w:rPr>
          <w:rFonts w:ascii="Century Gothic" w:hAnsi="Century Gothic" w:cs="Arial"/>
          <w:color w:val="000000" w:themeColor="text1"/>
          <w:lang w:val="es-ES_tradnl"/>
        </w:rPr>
        <w:t>”</w:t>
      </w:r>
      <w:bookmarkEnd w:id="6"/>
      <w:r>
        <w:rPr>
          <w:rFonts w:ascii="Century Gothic" w:hAnsi="Century Gothic" w:cs="Arial"/>
          <w:color w:val="000000" w:themeColor="text1"/>
          <w:lang w:val="es-ES_tradnl"/>
        </w:rPr>
        <w:t>.</w:t>
      </w:r>
    </w:p>
    <w:p w14:paraId="5482D37C" w14:textId="77777777" w:rsidR="003F15AD" w:rsidRPr="00C96FA1" w:rsidRDefault="003F15AD" w:rsidP="003F15AD">
      <w:pPr>
        <w:spacing w:after="0" w:line="276" w:lineRule="auto"/>
        <w:jc w:val="both"/>
        <w:rPr>
          <w:rFonts w:ascii="Century Gothic" w:hAnsi="Century Gothic" w:cs="Arial"/>
          <w:color w:val="000000" w:themeColor="text1"/>
          <w:lang w:val="es-ES_tradnl"/>
        </w:rPr>
      </w:pPr>
    </w:p>
    <w:bookmarkEnd w:id="4"/>
    <w:bookmarkEnd w:id="5"/>
    <w:p w14:paraId="39F82E8A" w14:textId="77777777" w:rsidR="003F15AD" w:rsidRPr="00C96FA1" w:rsidRDefault="003F15AD" w:rsidP="003F15AD">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C96FA1">
        <w:rPr>
          <w:rFonts w:ascii="Century Gothic" w:eastAsia="Calibri" w:hAnsi="Century Gothic" w:cs="Arial"/>
          <w:b/>
          <w:color w:val="000000" w:themeColor="text1"/>
          <w:lang w:val="es-ES_tradnl"/>
        </w:rPr>
        <w:t>Consideraciones</w:t>
      </w:r>
    </w:p>
    <w:p w14:paraId="011E2C98" w14:textId="77777777" w:rsidR="003F15AD" w:rsidRPr="00C96FA1" w:rsidRDefault="003F15AD" w:rsidP="003F15AD">
      <w:pPr>
        <w:spacing w:after="0" w:line="276" w:lineRule="auto"/>
        <w:jc w:val="both"/>
        <w:rPr>
          <w:rFonts w:ascii="Century Gothic" w:eastAsia="Calibri" w:hAnsi="Century Gothic" w:cs="Arial"/>
          <w:color w:val="000000" w:themeColor="text1"/>
          <w:lang w:val="es-ES"/>
        </w:rPr>
      </w:pPr>
    </w:p>
    <w:p w14:paraId="7DA16921" w14:textId="77777777" w:rsidR="003F15AD" w:rsidRPr="00C96FA1" w:rsidRDefault="003F15AD" w:rsidP="003F15AD">
      <w:pPr>
        <w:spacing w:after="120" w:line="276" w:lineRule="auto"/>
        <w:jc w:val="both"/>
        <w:rPr>
          <w:rFonts w:ascii="Century Gothic" w:eastAsia="Calibri" w:hAnsi="Century Gothic" w:cs="Arial"/>
          <w:lang w:val="es-ES_tradnl"/>
        </w:rPr>
      </w:pPr>
      <w:r w:rsidRPr="00C96FA1">
        <w:rPr>
          <w:rFonts w:ascii="Century Gothic" w:eastAsia="Calibri" w:hAnsi="Century Gothic" w:cs="Arial"/>
          <w:lang w:val="es-ES_tradnl"/>
        </w:rPr>
        <w:t>La Agencia Nacional de Contratación Pública resolverá la consulta conforme a las normas generales del sistema de compras públicas. Para estos efectos, se analizarán los siguientes temas: i) factores de desempate en la contratación estatal; ii) ámbito de aplicación, vigencia y reglamentación de la Ley 2069 de 2020; y iii) vinculación en mayor proporción de personas mayores no beneficiarias de la pensión de vejez, familiar o sobrevivencia como factor de desempate y su acreditación.</w:t>
      </w:r>
    </w:p>
    <w:p w14:paraId="344B13BF" w14:textId="77777777" w:rsidR="003F15AD" w:rsidRPr="00C96FA1" w:rsidRDefault="003F15AD" w:rsidP="003F15AD">
      <w:pPr>
        <w:spacing w:after="0" w:line="276" w:lineRule="auto"/>
        <w:ind w:firstLine="709"/>
        <w:jc w:val="both"/>
        <w:rPr>
          <w:rFonts w:ascii="Century Gothic" w:eastAsia="Calibri" w:hAnsi="Century Gothic" w:cs="Arial"/>
          <w:lang w:val="es-ES_tradnl"/>
        </w:rPr>
      </w:pPr>
      <w:r w:rsidRPr="00C96FA1">
        <w:rPr>
          <w:rFonts w:ascii="Century Gothic" w:eastAsia="Calibri" w:hAnsi="Century Gothic" w:cs="Arial"/>
          <w:lang w:val="es-ES_tradnl"/>
        </w:rPr>
        <w:t xml:space="preserve">Colombia Compra Eficiente se pronunció, en términos generales, sobre los factores de desempate en los procedimientos de contratación estatal, en los conceptos </w:t>
      </w:r>
      <w:r w:rsidRPr="00C96FA1">
        <w:rPr>
          <w:rStyle w:val="normaltextrun"/>
          <w:rFonts w:ascii="Century Gothic" w:hAnsi="Century Gothic" w:cs="Arial"/>
          <w:shd w:val="clear" w:color="auto" w:fill="FFFFFF"/>
        </w:rPr>
        <w:t>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y C-750 del 4 de febrero de 2022 y C-322 del 20 de mayo de 2022 y C-468 del 22 de julio de 2022, entre otros</w:t>
      </w:r>
      <w:r w:rsidRPr="00C96FA1">
        <w:rPr>
          <w:rStyle w:val="Refdenotaalpie"/>
          <w:rFonts w:ascii="Century Gothic" w:eastAsia="Calibri" w:hAnsi="Century Gothic" w:cs="Arial"/>
        </w:rPr>
        <w:footnoteReference w:id="1"/>
      </w:r>
      <w:r w:rsidRPr="00C96FA1">
        <w:rPr>
          <w:rFonts w:ascii="Century Gothic" w:eastAsia="Calibri" w:hAnsi="Century Gothic" w:cs="Arial"/>
          <w:lang w:val="es-ES_tradnl"/>
        </w:rPr>
        <w:t>. Algunas de las consideraciones de estos conceptos se reiteran a continuación y se complementan en lo pertinente.</w:t>
      </w:r>
    </w:p>
    <w:p w14:paraId="3F415609" w14:textId="77777777" w:rsidR="003F15AD" w:rsidRPr="00C96FA1" w:rsidRDefault="003F15AD" w:rsidP="003F15AD">
      <w:pPr>
        <w:spacing w:after="0" w:line="276" w:lineRule="auto"/>
        <w:jc w:val="both"/>
        <w:rPr>
          <w:rFonts w:ascii="Century Gothic" w:eastAsia="Calibri" w:hAnsi="Century Gothic" w:cs="Arial"/>
          <w:lang w:val="es-ES_tradnl"/>
        </w:rPr>
      </w:pPr>
    </w:p>
    <w:p w14:paraId="488E7455" w14:textId="77777777" w:rsidR="003F15AD" w:rsidRPr="00C96FA1" w:rsidRDefault="003F15AD" w:rsidP="003F15AD">
      <w:pPr>
        <w:spacing w:after="0" w:line="276" w:lineRule="auto"/>
        <w:jc w:val="both"/>
        <w:rPr>
          <w:rFonts w:ascii="Century Gothic" w:eastAsia="Calibri" w:hAnsi="Century Gothic" w:cs="Arial"/>
          <w:b/>
          <w:bCs/>
          <w:lang w:val="es-ES_tradnl"/>
        </w:rPr>
      </w:pPr>
      <w:r w:rsidRPr="00C96FA1">
        <w:rPr>
          <w:rFonts w:ascii="Century Gothic" w:eastAsia="Calibri" w:hAnsi="Century Gothic" w:cs="Arial"/>
          <w:b/>
          <w:bCs/>
          <w:lang w:val="es-ES_tradnl"/>
        </w:rPr>
        <w:t>2.1. Factores de desempate en la contratación estatal: concepto y características</w:t>
      </w:r>
    </w:p>
    <w:p w14:paraId="1C11AB49" w14:textId="77777777" w:rsidR="003F15AD" w:rsidRPr="00C96FA1" w:rsidRDefault="003F15AD" w:rsidP="003F15AD">
      <w:pPr>
        <w:spacing w:after="0" w:line="276" w:lineRule="auto"/>
        <w:jc w:val="both"/>
        <w:rPr>
          <w:rFonts w:ascii="Century Gothic" w:eastAsia="Calibri" w:hAnsi="Century Gothic" w:cs="Arial"/>
          <w:lang w:val="es-ES_tradnl"/>
        </w:rPr>
      </w:pPr>
    </w:p>
    <w:p w14:paraId="6CE4D128" w14:textId="77777777" w:rsidR="003F15AD" w:rsidRPr="00C96FA1" w:rsidRDefault="003F15AD" w:rsidP="003F15AD">
      <w:pPr>
        <w:spacing w:after="120" w:line="276" w:lineRule="auto"/>
        <w:jc w:val="both"/>
        <w:rPr>
          <w:rFonts w:ascii="Century Gothic" w:eastAsia="Calibri" w:hAnsi="Century Gothic" w:cs="Arial"/>
          <w:lang w:val="es-ES_tradnl"/>
        </w:rPr>
      </w:pPr>
      <w:r w:rsidRPr="00C96FA1">
        <w:rPr>
          <w:rFonts w:ascii="Century Gothic" w:eastAsia="Calibri" w:hAnsi="Century Gothic" w:cs="Arial"/>
          <w:lang w:val="es-ES_tradnl"/>
        </w:rPr>
        <w:lastRenderedPageBreak/>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w:t>
      </w:r>
      <w:r>
        <w:rPr>
          <w:rFonts w:ascii="Century Gothic" w:eastAsia="Calibri" w:hAnsi="Century Gothic" w:cs="Arial"/>
          <w:lang w:val="es-ES_tradnl"/>
        </w:rPr>
        <w:t>“</w:t>
      </w:r>
      <w:r w:rsidRPr="00C96FA1">
        <w:rPr>
          <w:rFonts w:ascii="Century Gothic" w:eastAsia="Calibri" w:hAnsi="Century Gothic" w:cs="Arial"/>
          <w:lang w:val="es-ES_tradnl"/>
        </w:rPr>
        <w:t>Es objetiva la selección en la cual la escogencia se haga al ofrecimiento más favorable a la entidad y a los fines que ella busca, sin tener en consideración factores de afecto o de interés y, en general, cualquier clase de motivación subjetiva</w:t>
      </w:r>
      <w:r>
        <w:rPr>
          <w:rFonts w:ascii="Century Gothic" w:eastAsia="Calibri" w:hAnsi="Century Gothic" w:cs="Arial"/>
          <w:lang w:val="es-ES_tradnl"/>
        </w:rPr>
        <w:t>”</w:t>
      </w:r>
      <w:r w:rsidRPr="00C96FA1">
        <w:rPr>
          <w:rFonts w:ascii="Century Gothic" w:eastAsia="Calibri" w:hAnsi="Century Gothic" w:cs="Arial"/>
          <w:lang w:val="es-ES_tradnl"/>
        </w:rPr>
        <w:t>.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138C9DE"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1AA51780" w14:textId="77777777" w:rsidR="003F15AD" w:rsidRPr="00C96FA1" w:rsidRDefault="003F15AD" w:rsidP="003F15AD">
      <w:pPr>
        <w:spacing w:after="120" w:line="276" w:lineRule="auto"/>
        <w:ind w:firstLine="709"/>
        <w:jc w:val="both"/>
        <w:rPr>
          <w:rFonts w:ascii="Century Gothic" w:eastAsia="Calibri" w:hAnsi="Century Gothic" w:cs="Arial"/>
          <w:lang w:val="es-ES_tradnl"/>
        </w:rPr>
      </w:pPr>
      <w:bookmarkStart w:id="7" w:name="_Hlk81487365"/>
      <w:r w:rsidRPr="00C96FA1">
        <w:rPr>
          <w:rFonts w:ascii="Century Gothic" w:eastAsia="Calibri" w:hAnsi="Century Gothic" w:cs="Arial"/>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w:t>
      </w:r>
      <w:r w:rsidRPr="00C96FA1">
        <w:rPr>
          <w:rFonts w:ascii="Century Gothic" w:eastAsia="Calibri" w:hAnsi="Century Gothic" w:cs="Arial"/>
          <w:lang w:val="es-ES_tradnl"/>
        </w:rPr>
        <w:lastRenderedPageBreak/>
        <w:t>antemano y constituyen un límite a la discrecionalidad administrativa en los procedimientos de selección</w:t>
      </w:r>
      <w:r w:rsidRPr="00C96FA1">
        <w:rPr>
          <w:rStyle w:val="Refdenotaalpie"/>
          <w:rFonts w:ascii="Century Gothic" w:eastAsia="Calibri" w:hAnsi="Century Gothic" w:cs="Arial"/>
          <w:lang w:val="es-ES_tradnl"/>
        </w:rPr>
        <w:footnoteReference w:id="2"/>
      </w:r>
      <w:r w:rsidRPr="00C96FA1">
        <w:rPr>
          <w:rFonts w:ascii="Century Gothic" w:eastAsia="Calibri" w:hAnsi="Century Gothic" w:cs="Arial"/>
          <w:lang w:val="es-ES_tradnl"/>
        </w:rPr>
        <w:t xml:space="preserve">. </w:t>
      </w:r>
    </w:p>
    <w:p w14:paraId="4A8358C6" w14:textId="77777777" w:rsidR="003F15AD" w:rsidRPr="00C96FA1" w:rsidRDefault="003F15AD" w:rsidP="003F15AD">
      <w:pPr>
        <w:spacing w:after="0" w:line="276" w:lineRule="auto"/>
        <w:ind w:firstLine="709"/>
        <w:jc w:val="both"/>
        <w:rPr>
          <w:rFonts w:ascii="Century Gothic" w:eastAsia="Calibri" w:hAnsi="Century Gothic" w:cs="Arial"/>
          <w:lang w:val="es-ES_tradnl"/>
        </w:rPr>
      </w:pPr>
      <w:r w:rsidRPr="00C96FA1">
        <w:rPr>
          <w:rFonts w:ascii="Century Gothic" w:eastAsia="Calibri" w:hAnsi="Century Gothic" w:cs="Arial"/>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C96FA1">
        <w:rPr>
          <w:rStyle w:val="Refdenotaalpie"/>
          <w:rFonts w:ascii="Century Gothic" w:eastAsia="Calibri" w:hAnsi="Century Gothic" w:cs="Arial"/>
          <w:lang w:val="es-ES_tradnl"/>
        </w:rPr>
        <w:footnoteReference w:id="3"/>
      </w:r>
      <w:r w:rsidRPr="00C96FA1">
        <w:rPr>
          <w:rFonts w:ascii="Century Gothic" w:eastAsia="Calibri" w:hAnsi="Century Gothic" w:cs="Arial"/>
          <w:lang w:val="es-ES_tradnl"/>
        </w:rPr>
        <w:t xml:space="preserve">. </w:t>
      </w:r>
      <w:bookmarkEnd w:id="7"/>
      <w:r w:rsidRPr="00C96FA1">
        <w:rPr>
          <w:rFonts w:ascii="Century Gothic" w:eastAsia="Calibri" w:hAnsi="Century Gothic" w:cs="Arial"/>
          <w:lang w:val="es-ES_tradnl"/>
        </w:rPr>
        <w:t>Ahora bien, en cumplimiento de los principios de reciprocidad y de </w:t>
      </w:r>
      <w:r w:rsidRPr="00C96FA1">
        <w:rPr>
          <w:rFonts w:ascii="Century Gothic" w:eastAsia="Calibri" w:hAnsi="Century Gothic" w:cs="Arial"/>
          <w:i/>
          <w:iCs/>
          <w:lang w:val="es-ES_tradnl"/>
        </w:rPr>
        <w:t>pacta sunt servanda</w:t>
      </w:r>
      <w:r w:rsidRPr="00C96FA1">
        <w:rPr>
          <w:rFonts w:ascii="Century Gothic" w:eastAsia="Calibri" w:hAnsi="Century Gothic" w:cs="Arial"/>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w:t>
      </w:r>
      <w:r>
        <w:rPr>
          <w:rFonts w:ascii="Century Gothic" w:eastAsia="Calibri" w:hAnsi="Century Gothic" w:cs="Arial"/>
          <w:lang w:val="es-ES_tradnl"/>
        </w:rPr>
        <w:t>“</w:t>
      </w:r>
      <w:r w:rsidRPr="00C96FA1">
        <w:rPr>
          <w:rFonts w:ascii="Century Gothic" w:eastAsia="Calibri" w:hAnsi="Century Gothic" w:cs="Arial"/>
          <w:lang w:val="es-ES_tradnl"/>
        </w:rPr>
        <w:t>Manual para el manejo de los incentivos en los procesos de contratación</w:t>
      </w:r>
      <w:r>
        <w:rPr>
          <w:rFonts w:ascii="Century Gothic" w:hAnsi="Century Gothic" w:cs="Arial"/>
          <w:lang w:val="es-ES" w:eastAsia="es-CO"/>
        </w:rPr>
        <w:t>”</w:t>
      </w:r>
      <w:r w:rsidRPr="00C96FA1">
        <w:rPr>
          <w:rFonts w:ascii="Century Gothic" w:hAnsi="Century Gothic" w:cs="Arial"/>
          <w:lang w:val="es-ES" w:eastAsia="es-CO"/>
        </w:rPr>
        <w:t>.</w:t>
      </w:r>
    </w:p>
    <w:p w14:paraId="2BF18484" w14:textId="77777777" w:rsidR="003F15AD" w:rsidRPr="00C96FA1" w:rsidRDefault="003F15AD" w:rsidP="003F15AD">
      <w:pPr>
        <w:spacing w:after="0" w:line="276" w:lineRule="auto"/>
        <w:jc w:val="both"/>
        <w:rPr>
          <w:rFonts w:ascii="Century Gothic" w:eastAsia="Calibri" w:hAnsi="Century Gothic" w:cs="Arial"/>
          <w:lang w:val="es-ES_tradnl"/>
        </w:rPr>
      </w:pPr>
    </w:p>
    <w:p w14:paraId="6B757499" w14:textId="77777777" w:rsidR="003F15AD" w:rsidRPr="00C96FA1" w:rsidRDefault="003F15AD" w:rsidP="003F15AD">
      <w:pPr>
        <w:spacing w:after="0" w:line="276" w:lineRule="auto"/>
        <w:jc w:val="both"/>
        <w:rPr>
          <w:rFonts w:ascii="Century Gothic" w:eastAsia="Calibri" w:hAnsi="Century Gothic" w:cs="Arial"/>
          <w:b/>
          <w:bCs/>
          <w:lang w:val="es-ES_tradnl"/>
        </w:rPr>
      </w:pPr>
      <w:r w:rsidRPr="00C96FA1">
        <w:rPr>
          <w:rFonts w:ascii="Century Gothic" w:eastAsia="Calibri" w:hAnsi="Century Gothic" w:cs="Arial"/>
          <w:b/>
          <w:bCs/>
          <w:lang w:val="es-ES_tradnl"/>
        </w:rPr>
        <w:t xml:space="preserve">2.2. Ámbito de aplicación, vigencia y reglamentación de la Ley 2069 de 2020 </w:t>
      </w:r>
    </w:p>
    <w:p w14:paraId="1406F7B6" w14:textId="77777777" w:rsidR="003F15AD" w:rsidRPr="00C96FA1" w:rsidRDefault="003F15AD" w:rsidP="003F15AD">
      <w:pPr>
        <w:spacing w:after="0" w:line="276" w:lineRule="auto"/>
        <w:jc w:val="both"/>
        <w:rPr>
          <w:rFonts w:ascii="Century Gothic" w:eastAsia="Calibri" w:hAnsi="Century Gothic" w:cs="Arial"/>
          <w:lang w:val="es-ES_tradnl"/>
        </w:rPr>
      </w:pPr>
    </w:p>
    <w:p w14:paraId="6A59CAC5" w14:textId="77777777" w:rsidR="003F15AD" w:rsidRPr="00C96FA1" w:rsidRDefault="003F15AD" w:rsidP="003F15AD">
      <w:pPr>
        <w:spacing w:after="120" w:line="276" w:lineRule="auto"/>
        <w:jc w:val="both"/>
        <w:rPr>
          <w:rFonts w:ascii="Century Gothic" w:eastAsia="Calibri" w:hAnsi="Century Gothic" w:cs="Arial"/>
          <w:lang w:val="es-ES_tradnl"/>
        </w:rPr>
      </w:pPr>
      <w:r w:rsidRPr="00C96FA1">
        <w:rPr>
          <w:rFonts w:ascii="Century Gothic" w:eastAsia="Calibri" w:hAnsi="Century Gothic" w:cs="Arial"/>
          <w:lang w:val="es-ES_tradnl"/>
        </w:rPr>
        <w:t xml:space="preserve">El 31 de diciembre de 2020 se promulgó la Ley 2069, </w:t>
      </w:r>
      <w:r>
        <w:rPr>
          <w:rFonts w:ascii="Century Gothic" w:eastAsia="Calibri" w:hAnsi="Century Gothic" w:cs="Arial"/>
          <w:lang w:val="es-ES_tradnl"/>
        </w:rPr>
        <w:t>“</w:t>
      </w:r>
      <w:r w:rsidRPr="00C96FA1">
        <w:rPr>
          <w:rFonts w:ascii="Century Gothic" w:eastAsia="Calibri" w:hAnsi="Century Gothic" w:cs="Arial"/>
          <w:lang w:val="es-ES_tradnl"/>
        </w:rPr>
        <w:t>Por medio de la cual se impulsa el emprendimiento en Colombia</w:t>
      </w:r>
      <w:r>
        <w:rPr>
          <w:rFonts w:ascii="Century Gothic" w:eastAsia="Calibri" w:hAnsi="Century Gothic" w:cs="Arial"/>
          <w:lang w:val="es-ES_tradnl"/>
        </w:rPr>
        <w:t>”</w:t>
      </w:r>
      <w:r w:rsidRPr="00C96FA1">
        <w:rPr>
          <w:rFonts w:ascii="Century Gothic" w:eastAsia="Calibri" w:hAnsi="Century Gothic" w:cs="Arial"/>
          <w:lang w:val="es-ES_tradnl"/>
        </w:rPr>
        <w:t xml:space="preserve">. De acuerdo con el artículo 84, </w:t>
      </w:r>
      <w:r>
        <w:rPr>
          <w:rFonts w:ascii="Century Gothic" w:eastAsia="Calibri" w:hAnsi="Century Gothic" w:cs="Arial"/>
          <w:lang w:val="es-ES_tradnl"/>
        </w:rPr>
        <w:t>“</w:t>
      </w:r>
      <w:r w:rsidRPr="00C96FA1">
        <w:rPr>
          <w:rFonts w:ascii="Century Gothic" w:eastAsia="Calibri" w:hAnsi="Century Gothic" w:cs="Arial"/>
          <w:lang w:val="es-ES_tradnl"/>
        </w:rPr>
        <w:t>La presente Ley rige a partir del momento de su promulgación […]</w:t>
      </w:r>
      <w:r>
        <w:rPr>
          <w:rFonts w:ascii="Century Gothic" w:eastAsia="Calibri" w:hAnsi="Century Gothic" w:cs="Arial"/>
          <w:lang w:val="es-ES_tradnl"/>
        </w:rPr>
        <w:t>”</w:t>
      </w:r>
      <w:r w:rsidRPr="00C96FA1">
        <w:rPr>
          <w:rFonts w:ascii="Century Gothic" w:eastAsia="Calibri" w:hAnsi="Century Gothic" w:cs="Arial"/>
          <w:lang w:val="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14:paraId="11C4D69D"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r w:rsidRPr="758F89AC">
        <w:rPr>
          <w:rFonts w:ascii="Century Gothic" w:eastAsia="Calibri" w:hAnsi="Century Gothic" w:cs="Arial"/>
          <w:lang w:val="es-ES"/>
        </w:rPr>
        <w:lastRenderedPageBreak/>
        <w:t>mipymes–, mediante la racionalización y simplificación de los trámites y tarifas</w:t>
      </w:r>
      <w:r w:rsidRPr="758F89AC">
        <w:rPr>
          <w:rStyle w:val="Refdenotaalpie"/>
          <w:rFonts w:ascii="Century Gothic" w:eastAsia="Calibri" w:hAnsi="Century Gothic" w:cs="Arial"/>
          <w:lang w:val="es-ES"/>
        </w:rPr>
        <w:footnoteReference w:id="4"/>
      </w:r>
      <w:r w:rsidRPr="758F89AC">
        <w:rPr>
          <w:rFonts w:ascii="Century Gothic" w:eastAsia="Calibri" w:hAnsi="Century Gothic" w:cs="Arial"/>
          <w:lang w:val="es-ES"/>
        </w:rPr>
        <w:t>, así como incentivos a favor de aquellas dentro del sistema de compras y contratación pública</w:t>
      </w:r>
      <w:r w:rsidRPr="758F89AC">
        <w:rPr>
          <w:rStyle w:val="Refdenotaalpie"/>
          <w:rFonts w:ascii="Century Gothic" w:eastAsia="Calibri" w:hAnsi="Century Gothic" w:cs="Arial"/>
          <w:lang w:val="es-ES"/>
        </w:rPr>
        <w:footnoteReference w:id="5"/>
      </w:r>
      <w:r w:rsidRPr="758F89AC">
        <w:rPr>
          <w:rFonts w:ascii="Century Gothic" w:eastAsia="Calibri" w:hAnsi="Century Gothic" w:cs="Arial"/>
          <w:lang w:val="es-ES"/>
        </w:rPr>
        <w:t>. También se consagran mecanismos de acceso al financiamiento</w:t>
      </w:r>
      <w:r w:rsidRPr="758F89AC">
        <w:rPr>
          <w:rStyle w:val="Refdenotaalpie"/>
          <w:rFonts w:ascii="Century Gothic" w:eastAsia="Calibri" w:hAnsi="Century Gothic" w:cs="Arial"/>
          <w:lang w:val="es-ES"/>
        </w:rPr>
        <w:footnoteReference w:id="6"/>
      </w:r>
      <w:r w:rsidRPr="758F89AC">
        <w:rPr>
          <w:rFonts w:ascii="Century Gothic" w:eastAsia="Calibri" w:hAnsi="Century Gothic" w:cs="Arial"/>
          <w:lang w:val="es-ES"/>
        </w:rPr>
        <w:t>, se unifican las fuentes de emprendimiento y de desarrollo empresarial, para fortalecer y promover los distintos sectores de la economía</w:t>
      </w:r>
      <w:r w:rsidRPr="758F89AC">
        <w:rPr>
          <w:rStyle w:val="Refdenotaalpie"/>
          <w:rFonts w:ascii="Century Gothic" w:eastAsia="Calibri" w:hAnsi="Century Gothic" w:cs="Arial"/>
          <w:lang w:val="es-ES"/>
        </w:rPr>
        <w:footnoteReference w:id="7"/>
      </w:r>
      <w:r w:rsidRPr="758F89AC">
        <w:rPr>
          <w:rFonts w:ascii="Century Gothic" w:eastAsia="Calibri" w:hAnsi="Century Gothic" w:cs="Arial"/>
          <w:lang w:val="es-ES"/>
        </w:rPr>
        <w:t xml:space="preserve"> y se prevén medidas de educación para el emprendimiento y la innovación</w:t>
      </w:r>
      <w:r w:rsidRPr="758F89AC">
        <w:rPr>
          <w:rStyle w:val="Refdenotaalpie"/>
          <w:rFonts w:ascii="Century Gothic" w:eastAsia="Calibri" w:hAnsi="Century Gothic" w:cs="Arial"/>
          <w:lang w:val="es-ES"/>
        </w:rPr>
        <w:footnoteReference w:id="8"/>
      </w:r>
      <w:r w:rsidRPr="758F89AC">
        <w:rPr>
          <w:rFonts w:ascii="Century Gothic" w:eastAsia="Calibri" w:hAnsi="Century Gothic" w:cs="Arial"/>
          <w:lang w:val="es-ES"/>
        </w:rPr>
        <w:t>.</w:t>
      </w:r>
    </w:p>
    <w:p w14:paraId="4769FFDB"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48893E96" w14:textId="77777777" w:rsidR="003F15AD" w:rsidRPr="00C96FA1" w:rsidRDefault="003F15AD" w:rsidP="758F89AC">
      <w:pPr>
        <w:spacing w:after="120" w:line="276" w:lineRule="auto"/>
        <w:jc w:val="both"/>
        <w:rPr>
          <w:rFonts w:ascii="Century Gothic" w:eastAsia="Calibri" w:hAnsi="Century Gothic" w:cs="Arial"/>
          <w:lang w:val="es-ES"/>
        </w:rPr>
      </w:pPr>
      <w:r w:rsidRPr="00C96FA1">
        <w:rPr>
          <w:rFonts w:ascii="Century Gothic" w:eastAsia="Calibri" w:hAnsi="Century Gothic" w:cs="Arial"/>
          <w:lang w:val="es-ES_tradnl"/>
        </w:rPr>
        <w:tab/>
      </w:r>
      <w:r w:rsidRPr="758F89AC">
        <w:rPr>
          <w:rFonts w:ascii="Century Gothic" w:eastAsia="Calibri" w:hAnsi="Century Gothic" w:cs="Arial"/>
          <w:lang w:val="es-ES"/>
        </w:rPr>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14:paraId="5432EC03"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w:t>
      </w:r>
      <w:r w:rsidRPr="758F89AC">
        <w:rPr>
          <w:rFonts w:ascii="Century Gothic" w:eastAsia="Calibri" w:hAnsi="Century Gothic" w:cs="Arial"/>
          <w:lang w:val="es-ES"/>
        </w:rPr>
        <w:lastRenderedPageBreak/>
        <w:t xml:space="preserve">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40952208"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 xml:space="preserve">Lo mismo no sucede con el artículo 35. En efecto, </w:t>
      </w:r>
      <w:r w:rsidRPr="758F89AC">
        <w:rPr>
          <w:rFonts w:ascii="Century Gothic" w:hAnsi="Century Gothic" w:cs="Arial"/>
          <w:lang w:val="es-ES"/>
        </w:rPr>
        <w:t xml:space="preserve">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r w:rsidRPr="758F89AC">
        <w:rPr>
          <w:rFonts w:ascii="Century Gothic" w:eastAsia="Calibri" w:hAnsi="Century Gothic" w:cs="Arial"/>
          <w:lang w:val="es-ES"/>
        </w:rPr>
        <w:t xml:space="preserve">  </w:t>
      </w:r>
    </w:p>
    <w:p w14:paraId="344758CF" w14:textId="77777777" w:rsidR="003F15AD" w:rsidRPr="00C96FA1" w:rsidRDefault="003F15AD" w:rsidP="003F15AD">
      <w:pPr>
        <w:spacing w:after="120" w:line="276" w:lineRule="auto"/>
        <w:jc w:val="both"/>
        <w:rPr>
          <w:rFonts w:ascii="Century Gothic" w:eastAsia="Calibri" w:hAnsi="Century Gothic" w:cs="Arial"/>
          <w:lang w:val="es-ES_tradnl"/>
        </w:rPr>
      </w:pPr>
      <w:r w:rsidRPr="00C96FA1">
        <w:rPr>
          <w:rFonts w:ascii="Century Gothic" w:eastAsia="Calibri" w:hAnsi="Century Gothic" w:cs="Arial"/>
          <w:b/>
          <w:bCs/>
          <w:lang w:val="es-ES_tradnl"/>
        </w:rPr>
        <w:tab/>
      </w:r>
      <w:r w:rsidRPr="00C96FA1">
        <w:rPr>
          <w:rFonts w:ascii="Century Gothic" w:eastAsia="Calibri" w:hAnsi="Century Gothic" w:cs="Arial"/>
          <w:lang w:val="es-ES_tradnl"/>
        </w:rPr>
        <w:t>Lo explicado en los párrafos precedentes es importante, porque el 24 de diciembre de 2021, el gobierno nacional expidió el Decreto 1860,</w:t>
      </w:r>
      <w:r w:rsidRPr="00C96FA1">
        <w:rPr>
          <w:rFonts w:ascii="Century Gothic" w:hAnsi="Century Gothic"/>
        </w:rPr>
        <w:t xml:space="preserve"> </w:t>
      </w:r>
      <w:r>
        <w:rPr>
          <w:rFonts w:ascii="Century Gothic" w:eastAsia="Calibri" w:hAnsi="Century Gothic" w:cs="Arial"/>
          <w:lang w:val="es-ES_tradnl"/>
        </w:rPr>
        <w:t>“</w:t>
      </w:r>
      <w:r w:rsidRPr="00C96FA1">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Century Gothic" w:eastAsia="Calibri" w:hAnsi="Century Gothic" w:cs="Arial"/>
          <w:lang w:val="es-ES_tradnl"/>
        </w:rPr>
        <w:t>”</w:t>
      </w:r>
      <w:r w:rsidRPr="00C96FA1">
        <w:rPr>
          <w:rFonts w:ascii="Century Gothic" w:eastAsia="Calibri" w:hAnsi="Century Gothic" w:cs="Arial"/>
          <w:lang w:val="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C96FA1">
        <w:rPr>
          <w:rStyle w:val="Refdenotaalpie"/>
          <w:rFonts w:ascii="Century Gothic" w:eastAsia="Calibri" w:hAnsi="Century Gothic" w:cs="Arial"/>
          <w:lang w:val="es-ES_tradnl"/>
        </w:rPr>
        <w:footnoteReference w:id="9"/>
      </w:r>
      <w:r w:rsidRPr="00C96FA1">
        <w:rPr>
          <w:rFonts w:ascii="Century Gothic" w:eastAsia="Calibri" w:hAnsi="Century Gothic" w:cs="Arial"/>
          <w:lang w:val="es-ES_tradnl"/>
        </w:rPr>
        <w:t xml:space="preserve">.  </w:t>
      </w:r>
    </w:p>
    <w:p w14:paraId="3026D71D" w14:textId="77777777" w:rsidR="003F15AD" w:rsidRPr="00C96FA1" w:rsidRDefault="003F15AD" w:rsidP="003F15AD">
      <w:pPr>
        <w:spacing w:after="120" w:line="276" w:lineRule="auto"/>
        <w:jc w:val="both"/>
        <w:rPr>
          <w:rFonts w:ascii="Century Gothic" w:hAnsi="Century Gothic" w:cs="Arial"/>
        </w:rPr>
      </w:pPr>
      <w:r w:rsidRPr="00C96FA1">
        <w:rPr>
          <w:rFonts w:ascii="Century Gothic" w:eastAsia="Calibri" w:hAnsi="Century Gothic" w:cs="Arial"/>
          <w:lang w:val="es-ES_tradnl"/>
        </w:rPr>
        <w:tab/>
        <w:t xml:space="preserve">En lo relativo al artículo 35 de la Ley 2069 de 2020, el artículo 3 del Decreto 1860 de 2021 adiciona el artículo 2.2.1.2.4.2.17. a la Subsección 2 de la Sección 4 </w:t>
      </w:r>
      <w:r w:rsidRPr="00C96FA1">
        <w:rPr>
          <w:rFonts w:ascii="Century Gothic" w:eastAsia="Calibri" w:hAnsi="Century Gothic" w:cs="Arial"/>
          <w:lang w:val="es-ES_tradnl"/>
        </w:rPr>
        <w:lastRenderedPageBreak/>
        <w:t>del Capítulo 2 del Título 1 de la Parte 2 del Libro 2 del Decreto 1082 de 2015</w:t>
      </w:r>
      <w:r w:rsidRPr="00C96FA1">
        <w:rPr>
          <w:rFonts w:ascii="Century Gothic" w:hAnsi="Century Gothic" w:cs="Arial"/>
          <w:lang w:eastAsia="es-CO"/>
        </w:rPr>
        <w:t xml:space="preserve">, el cual reglamenta los factores de desempate del artículo 35 </w:t>
      </w:r>
      <w:r w:rsidRPr="00C96FA1">
        <w:rPr>
          <w:rFonts w:ascii="Century Gothic" w:hAnsi="Century Gothic" w:cs="Arial"/>
          <w:i/>
          <w:iCs/>
          <w:lang w:eastAsia="es-CO"/>
        </w:rPr>
        <w:t>ibídem</w:t>
      </w:r>
      <w:r w:rsidRPr="00C96FA1">
        <w:rPr>
          <w:rFonts w:ascii="Century Gothic" w:hAnsi="Century Gothic" w:cs="Arial"/>
          <w:lang w:eastAsia="es-CO"/>
        </w:rPr>
        <w:t xml:space="preserve">, estableciendo los medios de acreditación de cada uno de los supuestos de hecho en función de los cuales operan. </w:t>
      </w:r>
      <w:r w:rsidRPr="00C96FA1">
        <w:rPr>
          <w:rFonts w:ascii="Century Gothic" w:hAnsi="Century Gothic" w:cs="Arial"/>
        </w:rPr>
        <w:t xml:space="preserve">De otra parte, el artículo 7 del Decreto recientemente expedido modificó el contenido del artículo 2.2.1.2.4.2.8 </w:t>
      </w:r>
      <w:r w:rsidRPr="00C96FA1">
        <w:rPr>
          <w:rFonts w:ascii="Century Gothic" w:hAnsi="Century Gothic"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C96FA1">
        <w:rPr>
          <w:rFonts w:ascii="Century Gothic" w:hAnsi="Century Gothic"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5D174C2D" w14:textId="77777777" w:rsidR="003F15AD" w:rsidRPr="00C96FA1" w:rsidRDefault="003F15AD" w:rsidP="003F15AD">
      <w:pPr>
        <w:spacing w:after="0" w:line="276" w:lineRule="auto"/>
        <w:jc w:val="both"/>
        <w:rPr>
          <w:rFonts w:ascii="Century Gothic" w:hAnsi="Century Gothic" w:cs="Arial"/>
          <w:lang w:eastAsia="es-CO"/>
        </w:rPr>
      </w:pPr>
      <w:r w:rsidRPr="00C96FA1">
        <w:rPr>
          <w:rFonts w:ascii="Century Gothic" w:hAnsi="Century Gothic" w:cs="Arial"/>
          <w:lang w:eastAsia="es-CO"/>
        </w:rPr>
        <w:tab/>
        <w:t xml:space="preserve">Por último, debe precisarse que la vigencia del Decreto 1860 de 2021 es regulada por su artículo 8, el cual establece que </w:t>
      </w:r>
      <w:r>
        <w:rPr>
          <w:rFonts w:ascii="Century Gothic" w:hAnsi="Century Gothic" w:cs="Arial"/>
          <w:lang w:eastAsia="es-CO"/>
        </w:rPr>
        <w:t>“</w:t>
      </w:r>
      <w:r w:rsidRPr="00C96FA1">
        <w:rPr>
          <w:rFonts w:ascii="Century Gothic" w:hAnsi="Century Gothic" w:cs="Arial"/>
          <w:lang w:eastAsia="es-CO"/>
        </w:rPr>
        <w:t>Las disposiciones contenidas en el presente Decreto se aplicarán a los procedimientos de selección cuya invitación, aviso de convocatoria o documento equivalente se publique a los tres (3) meses contados a partir de su expedición</w:t>
      </w:r>
      <w:r>
        <w:rPr>
          <w:rFonts w:ascii="Century Gothic" w:hAnsi="Century Gothic" w:cs="Arial"/>
          <w:lang w:eastAsia="es-CO"/>
        </w:rPr>
        <w:t>”</w:t>
      </w:r>
      <w:r w:rsidRPr="00C96FA1">
        <w:rPr>
          <w:rFonts w:ascii="Century Gothic" w:hAnsi="Century Gothic" w:cs="Arial"/>
          <w:lang w:eastAsia="es-CO"/>
        </w:rPr>
        <w:t>.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C96FA1">
        <w:rPr>
          <w:rStyle w:val="Refdenotaalpie"/>
          <w:rFonts w:ascii="Century Gothic" w:hAnsi="Century Gothic" w:cs="Arial"/>
          <w:lang w:eastAsia="es-CO"/>
        </w:rPr>
        <w:footnoteReference w:id="10"/>
      </w:r>
      <w:r w:rsidRPr="00C96FA1">
        <w:rPr>
          <w:rFonts w:ascii="Century Gothic" w:hAnsi="Century Gothic" w:cs="Arial"/>
          <w:lang w:eastAsia="es-CO"/>
        </w:rPr>
        <w:t xml:space="preserve">. </w:t>
      </w:r>
    </w:p>
    <w:p w14:paraId="61D22F9D" w14:textId="77777777" w:rsidR="003F15AD" w:rsidRPr="00C96FA1" w:rsidRDefault="003F15AD" w:rsidP="003F15AD">
      <w:pPr>
        <w:spacing w:after="0" w:line="276" w:lineRule="auto"/>
        <w:jc w:val="both"/>
        <w:rPr>
          <w:rFonts w:ascii="Century Gothic" w:hAnsi="Century Gothic" w:cs="Arial"/>
          <w:lang w:eastAsia="es-CO"/>
        </w:rPr>
      </w:pPr>
    </w:p>
    <w:p w14:paraId="57798EFF" w14:textId="77777777" w:rsidR="003F15AD" w:rsidRPr="00C96FA1" w:rsidRDefault="003F15AD" w:rsidP="003F15AD">
      <w:pPr>
        <w:spacing w:after="0" w:line="276" w:lineRule="auto"/>
        <w:jc w:val="both"/>
        <w:rPr>
          <w:rFonts w:ascii="Century Gothic" w:eastAsia="Calibri" w:hAnsi="Century Gothic" w:cs="Arial"/>
          <w:b/>
          <w:i/>
          <w:iCs/>
          <w:lang w:val="es-ES_tradnl"/>
        </w:rPr>
      </w:pPr>
      <w:r w:rsidRPr="00C96FA1">
        <w:rPr>
          <w:rFonts w:ascii="Century Gothic" w:eastAsia="Calibri" w:hAnsi="Century Gothic" w:cs="Arial"/>
          <w:b/>
          <w:bCs/>
          <w:lang w:val="es-ES_tradnl"/>
        </w:rPr>
        <w:t xml:space="preserve">2.3. </w:t>
      </w:r>
      <w:bookmarkStart w:id="8" w:name="_Hlk102639925"/>
      <w:r w:rsidRPr="00C96FA1">
        <w:rPr>
          <w:rFonts w:ascii="Century Gothic" w:eastAsia="Calibri" w:hAnsi="Century Gothic" w:cs="Arial"/>
          <w:b/>
          <w:bCs/>
          <w:i/>
          <w:iCs/>
          <w:lang w:val="es-ES_tradnl"/>
        </w:rPr>
        <w:t xml:space="preserve"> </w:t>
      </w:r>
      <w:bookmarkEnd w:id="8"/>
      <w:r w:rsidRPr="00C96FA1">
        <w:rPr>
          <w:rFonts w:ascii="Century Gothic" w:eastAsia="Calibri" w:hAnsi="Century Gothic" w:cs="Arial"/>
          <w:b/>
          <w:iCs/>
          <w:lang w:val="es-ES_tradnl"/>
        </w:rPr>
        <w:t>La vinculación en mayor proporción de personas mayores no beneficiarias de la pensión de vejez, familiar o sobrevivencia como factor de desempate y su acreditación</w:t>
      </w:r>
    </w:p>
    <w:p w14:paraId="6D6FBB3A" w14:textId="77777777" w:rsidR="003F15AD" w:rsidRPr="00C96FA1" w:rsidRDefault="003F15AD" w:rsidP="003F15AD">
      <w:pPr>
        <w:tabs>
          <w:tab w:val="left" w:pos="0"/>
        </w:tabs>
        <w:spacing w:after="0"/>
        <w:jc w:val="both"/>
        <w:rPr>
          <w:rFonts w:ascii="Century Gothic" w:eastAsia="Calibri" w:hAnsi="Century Gothic" w:cs="Arial"/>
          <w:b/>
          <w:i/>
          <w:iCs/>
          <w:lang w:val="es-ES_tradnl"/>
        </w:rPr>
      </w:pPr>
    </w:p>
    <w:p w14:paraId="726EA42B" w14:textId="77777777" w:rsidR="003F15AD" w:rsidRPr="00C96FA1" w:rsidRDefault="003F15AD" w:rsidP="003F15AD">
      <w:pPr>
        <w:tabs>
          <w:tab w:val="left" w:pos="6551"/>
        </w:tabs>
        <w:spacing w:after="120" w:line="276" w:lineRule="auto"/>
        <w:jc w:val="both"/>
        <w:rPr>
          <w:rFonts w:ascii="Century Gothic" w:eastAsia="Calibri" w:hAnsi="Century Gothic" w:cs="Arial"/>
          <w:color w:val="000000" w:themeColor="text1"/>
          <w:lang w:val="es-ES_tradnl"/>
        </w:rPr>
      </w:pPr>
      <w:r w:rsidRPr="00C96FA1">
        <w:rPr>
          <w:rFonts w:ascii="Century Gothic" w:eastAsia="Calibri" w:hAnsi="Century Gothic" w:cs="Arial"/>
          <w:bCs/>
          <w:lang w:val="es-ES_tradnl"/>
        </w:rPr>
        <w:t xml:space="preserve">Con respecto al numeral 4 del artículo </w:t>
      </w:r>
      <w:r w:rsidRPr="00C96FA1">
        <w:rPr>
          <w:rFonts w:ascii="Century Gothic" w:eastAsia="Calibri" w:hAnsi="Century Gothic" w:cs="Arial"/>
          <w:color w:val="000000" w:themeColor="text1"/>
          <w:lang w:val="es-ES_tradnl"/>
        </w:rPr>
        <w:t>2.2.1.2.4.2.17 del Decreto 1082 de 2015 adicionado por el</w:t>
      </w:r>
      <w:r w:rsidRPr="00C96FA1">
        <w:rPr>
          <w:rFonts w:ascii="Century Gothic" w:eastAsia="Calibri" w:hAnsi="Century Gothic" w:cs="Arial"/>
          <w:bCs/>
          <w:color w:val="000000" w:themeColor="text1"/>
          <w:lang w:val="es-ES_tradnl"/>
        </w:rPr>
        <w:t xml:space="preserve"> artículo 3 del Decreto 1860 de 2021 </w:t>
      </w:r>
      <w:r w:rsidRPr="00C96FA1">
        <w:rPr>
          <w:rFonts w:ascii="Century Gothic" w:eastAsia="Calibri" w:hAnsi="Century Gothic" w:cs="Arial"/>
          <w:color w:val="000000" w:themeColor="text1"/>
          <w:lang w:val="es-ES_tradnl"/>
        </w:rPr>
        <w:t xml:space="preserve">que reglamenta el numeral 4 </w:t>
      </w:r>
      <w:r w:rsidRPr="00C96FA1">
        <w:rPr>
          <w:rFonts w:ascii="Century Gothic" w:eastAsia="Calibri" w:hAnsi="Century Gothic" w:cs="Arial"/>
          <w:bCs/>
          <w:lang w:val="es-ES_tradnl"/>
        </w:rPr>
        <w:t>del artículo 35 de la Ley 2069 de 2020, se</w:t>
      </w:r>
      <w:r w:rsidRPr="00C96FA1">
        <w:rPr>
          <w:rFonts w:ascii="Century Gothic" w:eastAsia="Calibri" w:hAnsi="Century Gothic" w:cs="Arial"/>
          <w:bCs/>
          <w:color w:val="000000" w:themeColor="text1"/>
          <w:lang w:val="es-ES_tradnl"/>
        </w:rPr>
        <w:t xml:space="preserve"> señalarán las consideraciones que esta Agencia en su momento expresó, en relación con la acreditación de este factor de desempate, previo a la expedición del Decreto 1860 de 2021, para, posteriormente, indicar cuál es el alcance que la norma reglamentaria brinda al referido factor de desempate. </w:t>
      </w:r>
    </w:p>
    <w:p w14:paraId="199CE874" w14:textId="77777777" w:rsidR="003F15AD" w:rsidRPr="00C96FA1" w:rsidRDefault="003F15AD" w:rsidP="758F89AC">
      <w:pPr>
        <w:tabs>
          <w:tab w:val="left" w:pos="6551"/>
        </w:tabs>
        <w:spacing w:after="120" w:line="276" w:lineRule="auto"/>
        <w:ind w:firstLine="709"/>
        <w:jc w:val="both"/>
        <w:rPr>
          <w:rFonts w:ascii="Century Gothic" w:eastAsia="Calibri" w:hAnsi="Century Gothic" w:cs="Arial"/>
          <w:color w:val="000000" w:themeColor="text1"/>
          <w:lang w:val="es-ES"/>
        </w:rPr>
      </w:pPr>
      <w:bookmarkStart w:id="9" w:name="_Hlk93049677"/>
      <w:r w:rsidRPr="758F89AC">
        <w:rPr>
          <w:rFonts w:ascii="Century Gothic" w:eastAsia="Calibri" w:hAnsi="Century Gothic" w:cs="Arial"/>
          <w:color w:val="000000" w:themeColor="text1"/>
          <w:lang w:val="es-ES"/>
        </w:rPr>
        <w:t xml:space="preserve">En relación con lo previsto en el numeral </w:t>
      </w:r>
      <w:r w:rsidRPr="758F89AC">
        <w:rPr>
          <w:rFonts w:ascii="Century Gothic" w:eastAsia="Calibri" w:hAnsi="Century Gothic" w:cs="Arial"/>
          <w:i/>
          <w:iCs/>
          <w:color w:val="000000" w:themeColor="text1"/>
          <w:lang w:val="es-ES"/>
        </w:rPr>
        <w:t>ibidem</w:t>
      </w:r>
      <w:r w:rsidRPr="758F89AC">
        <w:rPr>
          <w:rFonts w:ascii="Century Gothic" w:eastAsia="Calibri" w:hAnsi="Century Gothic" w:cs="Arial"/>
          <w:color w:val="000000" w:themeColor="text1"/>
          <w:lang w:val="es-ES"/>
        </w:rPr>
        <w:t>,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Sin embargo, de la literalidad de la norma no se desprende la aplicación de este factor de desempate a los prepensionados, por lo que no son destinatarios de este incentivo.</w:t>
      </w:r>
    </w:p>
    <w:p w14:paraId="338E7419" w14:textId="77777777" w:rsidR="003F15AD" w:rsidRPr="00C96FA1" w:rsidRDefault="003F15AD" w:rsidP="003F15AD">
      <w:pPr>
        <w:tabs>
          <w:tab w:val="left" w:pos="6551"/>
        </w:tabs>
        <w:spacing w:after="120" w:line="276" w:lineRule="auto"/>
        <w:ind w:firstLine="709"/>
        <w:jc w:val="both"/>
        <w:rPr>
          <w:rFonts w:ascii="Century Gothic" w:hAnsi="Century Gothic" w:cs="Arial"/>
          <w:color w:val="000000" w:themeColor="text1"/>
          <w:lang w:val="es-ES_tradnl"/>
        </w:rPr>
      </w:pPr>
      <w:r w:rsidRPr="00C96FA1">
        <w:rPr>
          <w:rFonts w:ascii="Century Gothic" w:hAnsi="Century Gothic" w:cs="Arial"/>
          <w:color w:val="000000" w:themeColor="text1"/>
          <w:lang w:val="es-ES_tradnl"/>
        </w:rPr>
        <w:t xml:space="preserve">El numeral dice que en dicho evento la regla de desempate se aplica a favor del </w:t>
      </w:r>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 xml:space="preserve">[…] oferente que acredite la vinculación en </w:t>
      </w:r>
      <w:r w:rsidRPr="00C96FA1">
        <w:rPr>
          <w:rFonts w:ascii="Century Gothic" w:hAnsi="Century Gothic" w:cs="Arial"/>
          <w:i/>
          <w:iCs/>
          <w:color w:val="000000" w:themeColor="text1"/>
          <w:lang w:val="es-ES_tradnl"/>
        </w:rPr>
        <w:t>mayor proporción</w:t>
      </w:r>
      <w:r w:rsidRPr="00C96FA1">
        <w:rPr>
          <w:rFonts w:ascii="Century Gothic" w:hAnsi="Century Gothic" w:cs="Arial"/>
          <w:color w:val="000000" w:themeColor="text1"/>
          <w:lang w:val="es-ES_tradnl"/>
        </w:rPr>
        <w:t xml:space="preserve"> de personas mayores que no sean beneficiarios de la pensión de vejez, familiar o de sobrevivencia y que hayan cumplido el requisito de edad de pensión establecido en la Ley</w:t>
      </w:r>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 xml:space="preserve"> (Énfasis fuera de texto). De este modo, cuando la norma se refiere a la </w:t>
      </w:r>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mayor proporción</w:t>
      </w:r>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 xml:space="preserve"> alude al número de personas vinculadas por el oferente y que además reúnan la condición de ser mayores y que </w:t>
      </w:r>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no sean beneficiarios de la pensión de vejez, familiar o de sobrevivencia y que hayan cumplido el requisito de edad de pensión establecido en la Ley</w:t>
      </w:r>
      <w:bookmarkEnd w:id="9"/>
      <w:r>
        <w:rPr>
          <w:rFonts w:ascii="Century Gothic" w:hAnsi="Century Gothic" w:cs="Arial"/>
          <w:color w:val="000000" w:themeColor="text1"/>
          <w:lang w:val="es-ES_tradnl"/>
        </w:rPr>
        <w:t>”</w:t>
      </w:r>
      <w:r w:rsidRPr="00C96FA1">
        <w:rPr>
          <w:rFonts w:ascii="Century Gothic" w:hAnsi="Century Gothic" w:cs="Arial"/>
          <w:color w:val="000000" w:themeColor="text1"/>
          <w:lang w:val="es-ES_tradnl"/>
        </w:rPr>
        <w:t xml:space="preserve">. </w:t>
      </w:r>
    </w:p>
    <w:p w14:paraId="7B08A145" w14:textId="77777777" w:rsidR="003F15AD" w:rsidRPr="00C96FA1" w:rsidRDefault="003F15AD" w:rsidP="758F89AC">
      <w:pPr>
        <w:tabs>
          <w:tab w:val="left" w:pos="6551"/>
        </w:tabs>
        <w:spacing w:after="120" w:line="276" w:lineRule="auto"/>
        <w:ind w:firstLine="709"/>
        <w:jc w:val="both"/>
        <w:rPr>
          <w:rFonts w:ascii="Century Gothic" w:hAnsi="Century Gothic" w:cs="Arial"/>
          <w:color w:val="000000" w:themeColor="text1"/>
          <w:lang w:val="es-ES"/>
        </w:rPr>
      </w:pPr>
      <w:r w:rsidRPr="758F89AC">
        <w:rPr>
          <w:rFonts w:ascii="Century Gothic" w:hAnsi="Century Gothic" w:cs="Arial"/>
          <w:color w:val="000000" w:themeColor="text1"/>
          <w:lang w:val="es-ES"/>
        </w:rPr>
        <w:t xml:space="preserve">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w:t>
      </w:r>
      <w:r w:rsidRPr="758F89AC">
        <w:rPr>
          <w:rFonts w:ascii="Century Gothic" w:hAnsi="Century Gothic" w:cs="Arial"/>
          <w:color w:val="000000" w:themeColor="text1"/>
          <w:lang w:val="es-ES"/>
        </w:rPr>
        <w:lastRenderedPageBreak/>
        <w:t>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entrara en vigencia, existía libertad probatoria sobre el tema. En consecuencia, la entidad contratante podía determinar en el pliego de condiciones o documento equivalente cuál sería el medio para evidenciar la vinculación de las personas mayores por parte del oferente.</w:t>
      </w:r>
    </w:p>
    <w:p w14:paraId="151FCB21" w14:textId="77777777" w:rsidR="003F15AD" w:rsidRPr="00C96FA1" w:rsidRDefault="003F15AD" w:rsidP="758F89AC">
      <w:pPr>
        <w:tabs>
          <w:tab w:val="left" w:pos="6551"/>
        </w:tabs>
        <w:spacing w:after="120" w:line="276" w:lineRule="auto"/>
        <w:ind w:firstLine="709"/>
        <w:jc w:val="both"/>
        <w:rPr>
          <w:rFonts w:ascii="Century Gothic" w:hAnsi="Century Gothic" w:cs="Arial"/>
          <w:color w:val="000000" w:themeColor="text1"/>
          <w:lang w:val="es-ES"/>
        </w:rPr>
      </w:pPr>
      <w:r w:rsidRPr="758F89AC">
        <w:rPr>
          <w:rFonts w:ascii="Century Gothic" w:hAnsi="Century Gothic" w:cs="Arial"/>
          <w:color w:val="000000" w:themeColor="text1"/>
          <w:lang w:val="es-ES"/>
        </w:rPr>
        <w:t xml:space="preserve">Paralelamente, como lo indicó la Agencia en los conceptos </w:t>
      </w:r>
      <w:r w:rsidRPr="758F89AC">
        <w:rPr>
          <w:rFonts w:ascii="Century Gothic" w:eastAsia="Calibri" w:hAnsi="Century Gothic" w:cs="Arial"/>
          <w:color w:val="000000" w:themeColor="text1"/>
          <w:lang w:val="es-ES"/>
        </w:rPr>
        <w:t xml:space="preserve">C-206 del 3 de mayo de 2021 y C-487 del 3 de agosto de 2021, </w:t>
      </w:r>
      <w:r w:rsidRPr="758F89AC">
        <w:rPr>
          <w:rFonts w:ascii="Century Gothic" w:hAnsi="Century Gothic" w:cs="Arial"/>
          <w:color w:val="000000" w:themeColor="text1"/>
          <w:lang w:val="es-ES"/>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758F89AC">
        <w:rPr>
          <w:rFonts w:ascii="Century Gothic" w:hAnsi="Century Gothic" w:cs="Arial"/>
          <w:i/>
          <w:iCs/>
          <w:color w:val="000000" w:themeColor="text1"/>
          <w:lang w:val="es-ES"/>
        </w:rPr>
        <w:t>vinculación de capital humano</w:t>
      </w:r>
      <w:r w:rsidRPr="758F89AC">
        <w:rPr>
          <w:rFonts w:ascii="Century Gothic" w:hAnsi="Century Gothic" w:cs="Arial"/>
          <w:color w:val="000000" w:themeColor="text1"/>
          <w:lang w:val="es-ES"/>
        </w:rPr>
        <w:t xml:space="preserve">, el oferente deberá acreditar una antigüedad igual o mayor a un año. Para los casos de constitución inferior a un año </w:t>
      </w:r>
      <w:r w:rsidRPr="758F89AC">
        <w:rPr>
          <w:rFonts w:ascii="Century Gothic" w:hAnsi="Century Gothic" w:cs="Arial"/>
          <w:i/>
          <w:iCs/>
          <w:color w:val="000000" w:themeColor="text1"/>
          <w:lang w:val="es-ES"/>
        </w:rPr>
        <w:t>se tendrá en cuenta a aquellos trabajadores</w:t>
      </w:r>
      <w:r w:rsidRPr="758F89AC">
        <w:rPr>
          <w:rFonts w:ascii="Century Gothic" w:hAnsi="Century Gothic" w:cs="Arial"/>
          <w:color w:val="000000" w:themeColor="text1"/>
          <w:lang w:val="es-ES"/>
        </w:rPr>
        <w:t xml:space="preserve"> que hayan estado vinculados desde el momento de constitución de la misma” (Énfasis fuera de texto). Como se observa, la norma se refiere a la vinculación de trabajadores, lo cual excluye la posibilidad de acreditar el factor de desempate mediante contratistas de prestación de servicios.  </w:t>
      </w:r>
    </w:p>
    <w:p w14:paraId="7FC07C96" w14:textId="77777777" w:rsidR="003F15AD" w:rsidRPr="00C96FA1" w:rsidRDefault="003F15AD" w:rsidP="003F15AD">
      <w:pPr>
        <w:tabs>
          <w:tab w:val="left" w:pos="6551"/>
        </w:tabs>
        <w:spacing w:after="120" w:line="276" w:lineRule="auto"/>
        <w:ind w:firstLine="709"/>
        <w:jc w:val="both"/>
        <w:rPr>
          <w:rFonts w:ascii="Century Gothic" w:hAnsi="Century Gothic" w:cs="Arial"/>
          <w:color w:val="000000" w:themeColor="text1"/>
          <w:lang w:val="es-ES_tradnl"/>
        </w:rPr>
      </w:pPr>
      <w:r w:rsidRPr="00C96FA1">
        <w:rPr>
          <w:rFonts w:ascii="Century Gothic" w:hAnsi="Century Gothic" w:cs="Arial"/>
          <w:color w:val="000000" w:themeColor="text1"/>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16789143" w14:textId="77777777" w:rsidR="003F15AD" w:rsidRPr="00C96FA1" w:rsidRDefault="003F15AD" w:rsidP="003F15AD">
      <w:pPr>
        <w:spacing w:after="120" w:line="276" w:lineRule="auto"/>
        <w:ind w:firstLine="709"/>
        <w:jc w:val="both"/>
        <w:rPr>
          <w:rFonts w:ascii="Century Gothic" w:hAnsi="Century Gothic" w:cs="Arial"/>
          <w:lang w:val="es-ES_tradnl"/>
        </w:rPr>
      </w:pPr>
      <w:r w:rsidRPr="00C96FA1">
        <w:rPr>
          <w:rFonts w:ascii="Century Gothic" w:hAnsi="Century Gothic" w:cs="Arial"/>
          <w:color w:val="000000" w:themeColor="text1"/>
          <w:lang w:val="es-ES_tradnl"/>
        </w:rPr>
        <w:t xml:space="preserve">Además, como se señaló en el concepto C-390 de 2021, </w:t>
      </w:r>
      <w:r w:rsidRPr="00C96FA1">
        <w:rPr>
          <w:rFonts w:ascii="Century Gothic" w:hAnsi="Century Gothic" w:cs="Arial"/>
          <w:lang w:val="es-ES_tradnl"/>
        </w:rPr>
        <w:t xml:space="preserve">es necesario tener en cuenta que el artículo 28 del Código Civil dispone que </w:t>
      </w:r>
      <w:r>
        <w:rPr>
          <w:rFonts w:ascii="Century Gothic" w:hAnsi="Century Gothic" w:cs="Arial"/>
          <w:lang w:val="es-ES_tradnl"/>
        </w:rPr>
        <w:t>“</w:t>
      </w:r>
      <w:r w:rsidRPr="00C96FA1">
        <w:rPr>
          <w:rFonts w:ascii="Century Gothic" w:hAnsi="Century Gothic" w:cs="Arial"/>
          <w:lang w:val="es-ES_tradnl"/>
        </w:rPr>
        <w:t>Las palabras de la ley se entenderán en su sentido natural y obvio, según el uso general de las mismas palabras; pero cuando el legislador las haya definido expresamente para ciertas materias, se les dará en éstas su significado legal</w:t>
      </w:r>
      <w:r>
        <w:rPr>
          <w:rFonts w:ascii="Century Gothic" w:hAnsi="Century Gothic" w:cs="Arial"/>
          <w:lang w:val="es-ES_tradnl"/>
        </w:rPr>
        <w:t>”</w:t>
      </w:r>
      <w:r w:rsidRPr="00C96FA1">
        <w:rPr>
          <w:rFonts w:ascii="Century Gothic" w:hAnsi="Century Gothic" w:cs="Arial"/>
          <w:lang w:val="es-ES_tradnl"/>
        </w:rPr>
        <w:t xml:space="preserve">. Igualmente, en el artículo 29 </w:t>
      </w:r>
      <w:r w:rsidRPr="00C96FA1">
        <w:rPr>
          <w:rFonts w:ascii="Century Gothic" w:hAnsi="Century Gothic" w:cs="Arial"/>
          <w:lang w:val="es-ES_tradnl"/>
        </w:rPr>
        <w:lastRenderedPageBreak/>
        <w:t xml:space="preserve">ibidem, también prescribe que </w:t>
      </w:r>
      <w:r>
        <w:rPr>
          <w:rFonts w:ascii="Century Gothic" w:hAnsi="Century Gothic" w:cs="Arial"/>
          <w:lang w:val="es-ES_tradnl"/>
        </w:rPr>
        <w:t>“</w:t>
      </w:r>
      <w:r w:rsidRPr="00C96FA1">
        <w:rPr>
          <w:rFonts w:ascii="Century Gothic" w:hAnsi="Century Gothic" w:cs="Arial"/>
          <w:lang w:val="es-ES_tradnl"/>
        </w:rPr>
        <w:t>Las palabras técnicas de toda ciencia o arte se tomarán en el sentido que les den los que profesan la misma ciencia o arte; a menos que aparezca claramente que se han formado en sentido diverso</w:t>
      </w:r>
      <w:r>
        <w:rPr>
          <w:rFonts w:ascii="Century Gothic" w:hAnsi="Century Gothic" w:cs="Arial"/>
          <w:lang w:val="es-ES_tradnl"/>
        </w:rPr>
        <w:t>”</w:t>
      </w:r>
      <w:r w:rsidRPr="00C96FA1">
        <w:rPr>
          <w:rFonts w:ascii="Century Gothic" w:hAnsi="Century Gothic" w:cs="Arial"/>
          <w:lang w:val="es-ES_tradnl"/>
        </w:rPr>
        <w:t>.</w:t>
      </w:r>
    </w:p>
    <w:p w14:paraId="2A697A1A" w14:textId="77777777" w:rsidR="003F15AD" w:rsidRPr="00C96FA1" w:rsidRDefault="003F15AD" w:rsidP="003F15AD">
      <w:pPr>
        <w:spacing w:after="120" w:line="276" w:lineRule="auto"/>
        <w:ind w:firstLine="709"/>
        <w:jc w:val="both"/>
        <w:rPr>
          <w:rFonts w:ascii="Century Gothic" w:hAnsi="Century Gothic" w:cs="Arial"/>
          <w:lang w:val="es-ES_tradnl"/>
        </w:rPr>
      </w:pPr>
      <w:r w:rsidRPr="00C96FA1">
        <w:rPr>
          <w:rFonts w:ascii="Century Gothic" w:hAnsi="Century Gothic" w:cs="Arial"/>
          <w:lang w:val="es-ES_tradnl"/>
        </w:rPr>
        <w:t xml:space="preserve">Conforme a la definición del Diccionario de la RAE, la palabra </w:t>
      </w:r>
      <w:r>
        <w:rPr>
          <w:rFonts w:ascii="Century Gothic" w:hAnsi="Century Gothic" w:cs="Arial"/>
          <w:lang w:val="es-ES_tradnl"/>
        </w:rPr>
        <w:t>“</w:t>
      </w:r>
      <w:r w:rsidRPr="00C96FA1">
        <w:rPr>
          <w:rFonts w:ascii="Century Gothic" w:hAnsi="Century Gothic" w:cs="Arial"/>
          <w:lang w:val="es-ES_tradnl"/>
        </w:rPr>
        <w:t>proporción</w:t>
      </w:r>
      <w:r>
        <w:rPr>
          <w:rFonts w:ascii="Century Gothic" w:hAnsi="Century Gothic" w:cs="Arial"/>
          <w:lang w:val="es-ES_tradnl"/>
        </w:rPr>
        <w:t>”</w:t>
      </w:r>
      <w:r w:rsidRPr="00C96FA1">
        <w:rPr>
          <w:rFonts w:ascii="Century Gothic" w:hAnsi="Century Gothic" w:cs="Arial"/>
          <w:lang w:val="es-ES_tradnl"/>
        </w:rPr>
        <w:t xml:space="preserve"> es la </w:t>
      </w:r>
      <w:r>
        <w:rPr>
          <w:rFonts w:ascii="Century Gothic" w:hAnsi="Century Gothic" w:cs="Arial"/>
          <w:lang w:val="es-ES_tradnl"/>
        </w:rPr>
        <w:t>“</w:t>
      </w:r>
      <w:r w:rsidRPr="00C96FA1">
        <w:rPr>
          <w:rFonts w:ascii="Century Gothic" w:hAnsi="Century Gothic" w:cs="Arial"/>
          <w:lang w:val="es-ES_tradnl"/>
        </w:rPr>
        <w:t>Igualdad de dos razones</w:t>
      </w:r>
      <w:r>
        <w:rPr>
          <w:rFonts w:ascii="Century Gothic" w:hAnsi="Century Gothic" w:cs="Arial"/>
          <w:lang w:val="es-ES_tradnl"/>
        </w:rPr>
        <w:t>”</w:t>
      </w:r>
      <w:r w:rsidRPr="00C96FA1">
        <w:rPr>
          <w:rFonts w:ascii="Century Gothic" w:hAnsi="Century Gothic" w:cs="Arial"/>
          <w:lang w:val="es-ES_tradnl"/>
        </w:rPr>
        <w:t xml:space="preserve">. Esta expresión tiene una definición propia en el campo de las matemáticas, pues alude a una relación o razón constante entre diferentes magnitudes que se vayan a medir. Por esta razón, la </w:t>
      </w:r>
      <w:r>
        <w:rPr>
          <w:rFonts w:ascii="Century Gothic" w:hAnsi="Century Gothic" w:cs="Arial"/>
          <w:lang w:val="es-ES_tradnl"/>
        </w:rPr>
        <w:t>“</w:t>
      </w:r>
      <w:r w:rsidRPr="00C96FA1">
        <w:rPr>
          <w:rFonts w:ascii="Century Gothic" w:hAnsi="Century Gothic" w:cs="Arial"/>
          <w:lang w:val="es-ES_tradnl"/>
        </w:rPr>
        <w:t>[…] mayor proporción de personas mayores que no sean beneficiarios de la pensión de vejez, familiar o de sobrevivencia y que hayan cumplido el requisito de edad de pensión establecido en la Ley</w:t>
      </w:r>
      <w:r>
        <w:rPr>
          <w:rFonts w:ascii="Century Gothic" w:hAnsi="Century Gothic" w:cs="Arial"/>
          <w:lang w:val="es-ES_tradnl"/>
        </w:rPr>
        <w:t>”</w:t>
      </w:r>
      <w:r w:rsidRPr="00C96FA1">
        <w:rPr>
          <w:rFonts w:ascii="Century Gothic" w:hAnsi="Century Gothic" w:cs="Arial"/>
          <w:lang w:val="es-ES_tradnl"/>
        </w:rPr>
        <w:t xml:space="preserve"> no corresponde a un valor absoluto, sino relativo.</w:t>
      </w:r>
    </w:p>
    <w:p w14:paraId="2B7E0B37" w14:textId="77777777" w:rsidR="003F15AD" w:rsidRPr="00C96FA1" w:rsidRDefault="003F15AD" w:rsidP="003F15AD">
      <w:pPr>
        <w:spacing w:after="0" w:line="276" w:lineRule="auto"/>
        <w:ind w:firstLine="709"/>
        <w:jc w:val="both"/>
        <w:rPr>
          <w:rFonts w:ascii="Century Gothic" w:hAnsi="Century Gothic" w:cs="Arial"/>
          <w:lang w:val="es-ES_tradnl"/>
        </w:rPr>
      </w:pPr>
      <w:r w:rsidRPr="00C96FA1">
        <w:rPr>
          <w:rFonts w:ascii="Century Gothic" w:hAnsi="Century Gothic" w:cs="Arial"/>
          <w:lang w:val="es-ES_tradnl"/>
        </w:rPr>
        <w:t xml:space="preserve">El factor de desempate del artículo 35.4 de la Ley 2069 de 2020 </w:t>
      </w:r>
      <w:r w:rsidRPr="00C96FA1">
        <w:rPr>
          <w:rFonts w:ascii="Century Gothic" w:hAnsi="Century Gothic" w:cs="Arial"/>
          <w:i/>
          <w:iCs/>
          <w:lang w:val="es-ES_tradnl"/>
        </w:rPr>
        <w:t>no</w:t>
      </w:r>
      <w:r w:rsidRPr="00C96FA1">
        <w:rPr>
          <w:rFonts w:ascii="Century Gothic" w:hAnsi="Century Gothic" w:cs="Arial"/>
          <w:lang w:val="es-ES_tradnl"/>
        </w:rPr>
        <w:t xml:space="preserve"> se refiere a la vinculación en </w:t>
      </w:r>
      <w:r w:rsidRPr="00C96FA1">
        <w:rPr>
          <w:rFonts w:ascii="Century Gothic" w:hAnsi="Century Gothic" w:cs="Arial"/>
          <w:i/>
          <w:iCs/>
          <w:lang w:val="es-ES_tradnl"/>
        </w:rPr>
        <w:t>mayor cantidad</w:t>
      </w:r>
      <w:r w:rsidRPr="00C96FA1">
        <w:rPr>
          <w:rFonts w:ascii="Century Gothic" w:hAnsi="Century Gothic" w:cs="Arial"/>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10" w:name="_Hlk72758821"/>
      <w:r>
        <w:rPr>
          <w:rFonts w:ascii="Century Gothic" w:hAnsi="Century Gothic" w:cs="Arial"/>
          <w:lang w:val="es-ES_tradnl"/>
        </w:rPr>
        <w:t>“</w:t>
      </w:r>
      <w:r w:rsidRPr="00C96FA1">
        <w:rPr>
          <w:rFonts w:ascii="Century Gothic" w:hAnsi="Century Gothic" w:cs="Arial"/>
          <w:lang w:val="es-ES_tradnl"/>
        </w:rPr>
        <w:t>vinculación en mayor proporción</w:t>
      </w:r>
      <w:r>
        <w:rPr>
          <w:rFonts w:ascii="Century Gothic" w:hAnsi="Century Gothic" w:cs="Arial"/>
          <w:lang w:val="es-ES_tradnl"/>
        </w:rPr>
        <w:t>”</w:t>
      </w:r>
      <w:bookmarkEnd w:id="10"/>
      <w:r w:rsidRPr="00C96FA1">
        <w:rPr>
          <w:rFonts w:ascii="Century Gothic" w:hAnsi="Century Gothic" w:cs="Arial"/>
          <w:lang w:val="es-ES_tradnl"/>
        </w:rPr>
        <w:t xml:space="preserve">, es decir el número de personas vinculadas en relación con la planta de personal de los oferentes. </w:t>
      </w:r>
      <w:r w:rsidRPr="00C96FA1">
        <w:rPr>
          <w:rFonts w:ascii="Century Gothic" w:eastAsia="Calibri" w:hAnsi="Century Gothic" w:cs="Arial"/>
          <w:bCs/>
          <w:color w:val="000000" w:themeColor="text1"/>
          <w:lang w:val="es-ES_tradnl"/>
        </w:rPr>
        <w:t xml:space="preserve">Lo expuesto se ratifica en el artículo 3 del Decreto reglamentario 1860 de 2021, que adicionó el artículo </w:t>
      </w:r>
      <w:r w:rsidRPr="00C96FA1">
        <w:rPr>
          <w:rFonts w:ascii="Century Gothic" w:eastAsia="Calibri" w:hAnsi="Century Gothic" w:cs="Arial"/>
          <w:color w:val="000000" w:themeColor="text1"/>
          <w:lang w:val="es-ES_tradnl"/>
        </w:rPr>
        <w:t xml:space="preserve">2.2.1.2.4.2.17 al Decreto 1082 de 2015, cuyo numeral 4 desarrolla el factor de desempate que se está analizando: </w:t>
      </w:r>
    </w:p>
    <w:p w14:paraId="1D8119AB" w14:textId="77777777" w:rsidR="003F15AD" w:rsidRPr="00C96FA1" w:rsidRDefault="003F15AD" w:rsidP="003F15AD">
      <w:pPr>
        <w:tabs>
          <w:tab w:val="left" w:pos="0"/>
        </w:tabs>
        <w:spacing w:after="0" w:line="276" w:lineRule="auto"/>
        <w:ind w:firstLine="709"/>
        <w:jc w:val="both"/>
        <w:rPr>
          <w:rFonts w:ascii="Century Gothic" w:eastAsia="Calibri" w:hAnsi="Century Gothic" w:cs="Arial"/>
          <w:bCs/>
          <w:lang w:val="es-ES_tradnl"/>
        </w:rPr>
      </w:pPr>
    </w:p>
    <w:p w14:paraId="7CC2830B" w14:textId="77777777" w:rsidR="003F15AD" w:rsidRPr="00C96FA1" w:rsidRDefault="003F15AD" w:rsidP="003F15AD">
      <w:pPr>
        <w:pStyle w:val="NormalWeb"/>
        <w:shd w:val="clear" w:color="auto" w:fill="FFFFFF"/>
        <w:spacing w:before="0" w:beforeAutospacing="0" w:after="120" w:afterAutospacing="0"/>
        <w:ind w:left="709" w:right="709"/>
        <w:jc w:val="both"/>
        <w:rPr>
          <w:rFonts w:ascii="Century Gothic" w:hAnsi="Century Gothic" w:cs="Arial"/>
          <w:sz w:val="21"/>
          <w:szCs w:val="21"/>
        </w:rPr>
      </w:pPr>
      <w:r w:rsidRPr="00C96FA1">
        <w:rPr>
          <w:rFonts w:ascii="Century Gothic" w:hAnsi="Century Gothic" w:cs="Arial"/>
          <w:sz w:val="21"/>
          <w:szCs w:val="21"/>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4D2A399A" w14:textId="77777777" w:rsidR="003F15AD" w:rsidRPr="00C96FA1" w:rsidRDefault="003F15AD" w:rsidP="003F15AD">
      <w:pPr>
        <w:pStyle w:val="NormalWeb"/>
        <w:shd w:val="clear" w:color="auto" w:fill="FFFFFF"/>
        <w:spacing w:before="0" w:beforeAutospacing="0" w:after="120" w:afterAutospacing="0"/>
        <w:ind w:left="709" w:right="709"/>
        <w:jc w:val="both"/>
        <w:rPr>
          <w:rFonts w:ascii="Century Gothic" w:hAnsi="Century Gothic" w:cs="Arial"/>
          <w:sz w:val="21"/>
          <w:szCs w:val="21"/>
        </w:rPr>
      </w:pPr>
      <w:r w:rsidRPr="00C96FA1">
        <w:rPr>
          <w:rFonts w:ascii="Century Gothic" w:hAnsi="Century Gothic" w:cs="Arial"/>
          <w:sz w:val="21"/>
          <w:szCs w:val="21"/>
        </w:rPr>
        <w:t xml:space="preserve">El tiempo de vinculación en la planta referida, de que trata el inciso anterior, se acreditará con el certificado de aportes a seguridad social </w:t>
      </w:r>
      <w:r w:rsidRPr="00C96FA1">
        <w:rPr>
          <w:rFonts w:ascii="Century Gothic" w:hAnsi="Century Gothic" w:cs="Arial"/>
          <w:sz w:val="21"/>
          <w:szCs w:val="21"/>
        </w:rPr>
        <w:lastRenderedPageBreak/>
        <w:t>del último año o del tiempo de constitución de la persona jurídica, cuando su conformación es inferior a un (1) año, en el que se demuestren los pagos realizados por el empleador.</w:t>
      </w:r>
    </w:p>
    <w:p w14:paraId="67F0A57B" w14:textId="77777777" w:rsidR="003F15AD" w:rsidRPr="00C96FA1" w:rsidRDefault="003F15AD" w:rsidP="003F15AD">
      <w:pPr>
        <w:pStyle w:val="NormalWeb"/>
        <w:shd w:val="clear" w:color="auto" w:fill="FFFFFF"/>
        <w:spacing w:before="0" w:beforeAutospacing="0" w:after="120" w:afterAutospacing="0"/>
        <w:ind w:left="709" w:right="709"/>
        <w:jc w:val="both"/>
        <w:rPr>
          <w:rFonts w:ascii="Century Gothic" w:hAnsi="Century Gothic" w:cs="Arial"/>
          <w:sz w:val="21"/>
          <w:szCs w:val="21"/>
        </w:rPr>
      </w:pPr>
      <w:r w:rsidRPr="00C96FA1">
        <w:rPr>
          <w:rFonts w:ascii="Century Gothic" w:hAnsi="Century Gothic"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1609460A" w14:textId="77777777" w:rsidR="003F15AD" w:rsidRPr="00C96FA1" w:rsidRDefault="003F15AD" w:rsidP="003F15AD">
      <w:pPr>
        <w:pStyle w:val="NormalWeb"/>
        <w:shd w:val="clear" w:color="auto" w:fill="FFFFFF"/>
        <w:spacing w:before="0" w:beforeAutospacing="0" w:after="120" w:afterAutospacing="0"/>
        <w:ind w:left="709" w:right="709"/>
        <w:jc w:val="both"/>
        <w:rPr>
          <w:rFonts w:ascii="Century Gothic" w:hAnsi="Century Gothic" w:cs="Arial"/>
          <w:sz w:val="21"/>
          <w:szCs w:val="21"/>
        </w:rPr>
      </w:pPr>
      <w:r w:rsidRPr="00C96FA1">
        <w:rPr>
          <w:rFonts w:ascii="Century Gothic" w:hAnsi="Century Gothic"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7CD0A5C0" w14:textId="77777777" w:rsidR="003F15AD" w:rsidRPr="00C96FA1" w:rsidRDefault="003F15AD" w:rsidP="003F15AD">
      <w:pPr>
        <w:shd w:val="clear" w:color="auto" w:fill="FFFFFF"/>
        <w:spacing w:after="0" w:line="240" w:lineRule="auto"/>
        <w:ind w:left="709" w:right="709"/>
        <w:jc w:val="both"/>
        <w:rPr>
          <w:rFonts w:ascii="Century Gothic" w:eastAsia="Calibri" w:hAnsi="Century Gothic" w:cs="Arial"/>
          <w:lang w:val="es-ES_tradnl"/>
        </w:rPr>
      </w:pPr>
      <w:r w:rsidRPr="00C96FA1">
        <w:rPr>
          <w:rFonts w:ascii="Century Gothic" w:hAnsi="Century Gothic" w:cs="Arial"/>
          <w:i/>
          <w:iCs/>
          <w:sz w:val="21"/>
          <w:szCs w:val="21"/>
        </w:rPr>
        <w:t xml:space="preserve">La mayor proporción </w:t>
      </w:r>
      <w:bookmarkStart w:id="11" w:name="_Hlk102656704"/>
      <w:r w:rsidRPr="00C96FA1">
        <w:rPr>
          <w:rFonts w:ascii="Century Gothic" w:hAnsi="Century Gothic" w:cs="Arial"/>
          <w:i/>
          <w:iCs/>
          <w:sz w:val="21"/>
          <w:szCs w:val="21"/>
        </w:rPr>
        <w:t>se definirá en relación con el número total de trabajadores vinculados en la planta de personal, por lo que se preferirá al oferente que acredite un porcentaje mayor</w:t>
      </w:r>
      <w:bookmarkEnd w:id="11"/>
      <w:r w:rsidRPr="00C96FA1">
        <w:rPr>
          <w:rFonts w:ascii="Century Gothic" w:hAnsi="Century Gothic" w:cs="Arial"/>
          <w:i/>
          <w:iCs/>
          <w:sz w:val="21"/>
          <w:szCs w:val="21"/>
        </w:rPr>
        <w:t>. En el caso de proponentes plurales, la mayor proporción se definirá con la sumatoria de trabajadores vinculados en la planta de personal de cada uno de sus integrantes</w:t>
      </w:r>
      <w:r w:rsidRPr="00C96FA1">
        <w:rPr>
          <w:rFonts w:ascii="Century Gothic" w:hAnsi="Century Gothic" w:cs="Arial"/>
          <w:sz w:val="21"/>
          <w:szCs w:val="21"/>
        </w:rPr>
        <w:t>”.</w:t>
      </w:r>
      <w:r w:rsidRPr="00C96FA1">
        <w:rPr>
          <w:rFonts w:ascii="Century Gothic" w:eastAsia="Calibri" w:hAnsi="Century Gothic" w:cs="Arial"/>
          <w:lang w:val="es-ES_tradnl"/>
        </w:rPr>
        <w:t xml:space="preserve"> (Énfasis fuera de texto)</w:t>
      </w:r>
    </w:p>
    <w:p w14:paraId="6B73B8D3" w14:textId="77777777" w:rsidR="003F15AD" w:rsidRPr="00C96FA1" w:rsidRDefault="003F15AD" w:rsidP="003F15AD">
      <w:pPr>
        <w:tabs>
          <w:tab w:val="left" w:pos="0"/>
        </w:tabs>
        <w:spacing w:after="0" w:line="276" w:lineRule="auto"/>
        <w:ind w:firstLine="709"/>
        <w:jc w:val="both"/>
        <w:rPr>
          <w:rFonts w:ascii="Century Gothic" w:eastAsia="Calibri" w:hAnsi="Century Gothic" w:cs="Arial"/>
          <w:bCs/>
          <w:lang w:val="es-ES_tradnl"/>
        </w:rPr>
      </w:pPr>
    </w:p>
    <w:p w14:paraId="51865D14" w14:textId="77777777" w:rsidR="003F15AD" w:rsidRPr="00C96FA1" w:rsidRDefault="003F15AD" w:rsidP="758F89AC">
      <w:pPr>
        <w:spacing w:after="120" w:line="276" w:lineRule="auto"/>
        <w:ind w:firstLine="709"/>
        <w:jc w:val="both"/>
        <w:rPr>
          <w:rFonts w:ascii="Century Gothic" w:eastAsia="Calibri" w:hAnsi="Century Gothic" w:cs="Arial"/>
          <w:lang w:val="es-ES"/>
        </w:rPr>
      </w:pPr>
      <w:r w:rsidRPr="758F89AC">
        <w:rPr>
          <w:rFonts w:ascii="Century Gothic" w:eastAsia="Calibri" w:hAnsi="Century Gothic" w:cs="Arial"/>
          <w:lang w:val="es-ES"/>
        </w:rPr>
        <w:t>Como se observa, tampoco se refiere a los prepensionados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14:paraId="2AADADCC" w14:textId="77777777" w:rsidR="003F15AD" w:rsidRPr="00C96FA1" w:rsidRDefault="003F15AD" w:rsidP="003F15AD">
      <w:pPr>
        <w:tabs>
          <w:tab w:val="left" w:pos="0"/>
        </w:tabs>
        <w:spacing w:after="120" w:line="276" w:lineRule="auto"/>
        <w:ind w:firstLine="709"/>
        <w:jc w:val="both"/>
        <w:rPr>
          <w:rFonts w:ascii="Century Gothic" w:eastAsia="Calibri" w:hAnsi="Century Gothic" w:cs="Arial"/>
          <w:bCs/>
          <w:lang w:val="es-ES_tradnl"/>
        </w:rPr>
      </w:pPr>
      <w:r w:rsidRPr="00C96FA1">
        <w:rPr>
          <w:rFonts w:ascii="Century Gothic" w:eastAsia="Calibri" w:hAnsi="Century Gothic" w:cs="Arial"/>
          <w:bCs/>
          <w:lang w:val="es-ES_tradnl"/>
        </w:rPr>
        <w:t xml:space="preserve">Según la norma citada, se estipula que la vinculación de estas personas se tendrá en cuenta si han estado vinculadas con anterioridad a un año desde la </w:t>
      </w:r>
      <w:r w:rsidRPr="00C96FA1">
        <w:rPr>
          <w:rFonts w:ascii="Century Gothic" w:eastAsia="Calibri" w:hAnsi="Century Gothic" w:cs="Arial"/>
          <w:bCs/>
          <w:lang w:val="es-ES_tradnl"/>
        </w:rPr>
        <w:lastRenderedPageBreak/>
        <w:t xml:space="preserve">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14:paraId="63F1234E" w14:textId="77777777" w:rsidR="003F15AD" w:rsidRPr="00C96FA1" w:rsidRDefault="003F15AD" w:rsidP="003F15AD">
      <w:pPr>
        <w:tabs>
          <w:tab w:val="left" w:pos="0"/>
        </w:tabs>
        <w:spacing w:after="0" w:line="276" w:lineRule="auto"/>
        <w:ind w:firstLine="709"/>
        <w:jc w:val="both"/>
        <w:rPr>
          <w:rFonts w:ascii="Century Gothic" w:eastAsia="Calibri" w:hAnsi="Century Gothic" w:cs="Arial"/>
          <w:bCs/>
          <w:lang w:val="es-ES_tradnl"/>
        </w:rPr>
      </w:pPr>
      <w:r w:rsidRPr="00C96FA1">
        <w:rPr>
          <w:rFonts w:ascii="Century Gothic" w:eastAsia="Calibri" w:hAnsi="Century Gothic" w:cs="Arial"/>
          <w:bCs/>
          <w:lang w:val="es-ES_tradnl"/>
        </w:rPr>
        <w:t xml:space="preserve">Finalmente, de acuerdo con la norma, la expresión </w:t>
      </w:r>
      <w:r>
        <w:rPr>
          <w:rFonts w:ascii="Century Gothic" w:eastAsia="Calibri" w:hAnsi="Century Gothic" w:cs="Arial"/>
          <w:bCs/>
          <w:lang w:val="es-ES_tradnl"/>
        </w:rPr>
        <w:t>“</w:t>
      </w:r>
      <w:r w:rsidRPr="00C96FA1">
        <w:rPr>
          <w:rFonts w:ascii="Century Gothic" w:eastAsia="Calibri" w:hAnsi="Century Gothic" w:cs="Arial"/>
          <w:bCs/>
          <w:lang w:val="es-ES_tradnl"/>
        </w:rPr>
        <w:t>mayor proporción</w:t>
      </w:r>
      <w:r>
        <w:rPr>
          <w:rFonts w:ascii="Century Gothic" w:eastAsia="Calibri" w:hAnsi="Century Gothic" w:cs="Arial"/>
          <w:bCs/>
          <w:lang w:val="es-ES_tradnl"/>
        </w:rPr>
        <w:t>”</w:t>
      </w:r>
      <w:r w:rsidRPr="00C96FA1">
        <w:rPr>
          <w:rFonts w:ascii="Century Gothic" w:eastAsia="Calibri" w:hAnsi="Century Gothic" w:cs="Arial"/>
          <w:bCs/>
          <w:lang w:val="es-ES_tradnl"/>
        </w:rPr>
        <w:t xml:space="preserve"> alude al número de personas vinculadas por el oferente, la cual </w:t>
      </w:r>
      <w:r>
        <w:rPr>
          <w:rFonts w:ascii="Century Gothic" w:hAnsi="Century Gothic" w:cs="Arial"/>
          <w:lang w:val="es-ES_tradnl"/>
        </w:rPr>
        <w:t>“</w:t>
      </w:r>
      <w:r w:rsidRPr="00C96FA1">
        <w:rPr>
          <w:rFonts w:ascii="Century Gothic" w:eastAsia="Calibri" w:hAnsi="Century Gothic" w:cs="Arial"/>
          <w:bCs/>
          <w:lang w:val="es-ES_tradnl"/>
        </w:rPr>
        <w:t xml:space="preserve">se definirá en relación con el número total de trabajadores vinculados en la planta de personal, por lo que se preferirá al oferente que acredite un </w:t>
      </w:r>
      <w:r w:rsidRPr="00C96FA1">
        <w:rPr>
          <w:rFonts w:ascii="Century Gothic" w:eastAsia="Calibri" w:hAnsi="Century Gothic" w:cs="Arial"/>
          <w:bCs/>
          <w:i/>
          <w:iCs/>
          <w:lang w:val="es-ES_tradnl"/>
        </w:rPr>
        <w:t>porcentaje mayor</w:t>
      </w:r>
      <w:r>
        <w:rPr>
          <w:rFonts w:ascii="Century Gothic" w:hAnsi="Century Gothic" w:cs="Arial"/>
          <w:lang w:val="es-ES_tradnl"/>
        </w:rPr>
        <w:t>”</w:t>
      </w:r>
      <w:r w:rsidRPr="00C96FA1">
        <w:rPr>
          <w:rFonts w:ascii="Century Gothic" w:eastAsia="Calibri" w:hAnsi="Century Gothic" w:cs="Arial"/>
          <w:bCs/>
          <w:lang w:val="es-ES_tradnl"/>
        </w:rPr>
        <w:t xml:space="preserve"> de vinculación laboral de personas que reúnan la condición de ser mayores y que </w:t>
      </w:r>
      <w:r>
        <w:rPr>
          <w:rFonts w:ascii="Century Gothic" w:eastAsia="Calibri" w:hAnsi="Century Gothic" w:cs="Arial"/>
          <w:bCs/>
          <w:lang w:val="es-ES_tradnl"/>
        </w:rPr>
        <w:t>“</w:t>
      </w:r>
      <w:r w:rsidRPr="00C96FA1">
        <w:rPr>
          <w:rFonts w:ascii="Century Gothic" w:eastAsia="Calibri" w:hAnsi="Century Gothic" w:cs="Arial"/>
          <w:bCs/>
          <w:lang w:val="es-ES_tradnl"/>
        </w:rPr>
        <w:t>no sean beneficiarios de la pensión de vejez, familiar o de sobrevivencia y que hayan cumplido el requisito de edad de pensión establecido en la Ley</w:t>
      </w:r>
      <w:r>
        <w:rPr>
          <w:rFonts w:ascii="Century Gothic" w:eastAsia="Calibri" w:hAnsi="Century Gothic" w:cs="Arial"/>
          <w:bCs/>
          <w:lang w:val="es-ES_tradnl"/>
        </w:rPr>
        <w:t>”</w:t>
      </w:r>
      <w:r w:rsidRPr="00C96FA1">
        <w:rPr>
          <w:rFonts w:ascii="Century Gothic" w:eastAsia="Calibri" w:hAnsi="Century Gothic" w:cs="Arial"/>
          <w:bCs/>
          <w:lang w:val="es-ES_tradnl"/>
        </w:rPr>
        <w:t xml:space="preserve">. Para el caso de los proponentes plurales, </w:t>
      </w:r>
      <w:r>
        <w:rPr>
          <w:rFonts w:ascii="Century Gothic" w:hAnsi="Century Gothic" w:cs="Arial"/>
          <w:lang w:val="es-ES_tradnl"/>
        </w:rPr>
        <w:t>“</w:t>
      </w:r>
      <w:r w:rsidRPr="00C96FA1">
        <w:rPr>
          <w:rFonts w:ascii="Century Gothic" w:hAnsi="Century Gothic" w:cs="Arial"/>
          <w:lang w:val="es-ES_tradnl"/>
        </w:rPr>
        <w:t>la mayor proporción se definirá con la sumatoria de trabajadores vinculados en la planta de personal de cada uno de sus integrantes</w:t>
      </w:r>
      <w:r>
        <w:rPr>
          <w:rFonts w:ascii="Century Gothic" w:hAnsi="Century Gothic" w:cs="Arial"/>
          <w:lang w:val="es-ES_tradnl"/>
        </w:rPr>
        <w:t>”</w:t>
      </w:r>
      <w:r w:rsidRPr="00C96FA1">
        <w:rPr>
          <w:rFonts w:ascii="Century Gothic" w:hAnsi="Century Gothic" w:cs="Arial"/>
          <w:lang w:val="es-ES_tradnl"/>
        </w:rPr>
        <w:t xml:space="preserve">.  </w:t>
      </w:r>
    </w:p>
    <w:p w14:paraId="34E44A04" w14:textId="77777777" w:rsidR="003F15AD" w:rsidRPr="00C96FA1" w:rsidRDefault="003F15AD" w:rsidP="003F15AD">
      <w:pPr>
        <w:tabs>
          <w:tab w:val="left" w:pos="0"/>
        </w:tabs>
        <w:spacing w:after="0" w:line="276" w:lineRule="auto"/>
        <w:ind w:firstLine="709"/>
        <w:jc w:val="both"/>
        <w:rPr>
          <w:rFonts w:ascii="Century Gothic" w:eastAsia="Calibri" w:hAnsi="Century Gothic" w:cs="Arial"/>
          <w:bCs/>
          <w:lang w:val="es-ES_tradnl"/>
        </w:rPr>
      </w:pPr>
    </w:p>
    <w:p w14:paraId="34F85DC3" w14:textId="77777777" w:rsidR="003F15AD" w:rsidRPr="00C96FA1" w:rsidRDefault="003F15AD" w:rsidP="003F15AD">
      <w:pPr>
        <w:tabs>
          <w:tab w:val="left" w:pos="0"/>
        </w:tabs>
        <w:spacing w:after="0"/>
        <w:jc w:val="both"/>
        <w:rPr>
          <w:rFonts w:ascii="Century Gothic" w:eastAsia="Calibri" w:hAnsi="Century Gothic" w:cs="Arial"/>
          <w:b/>
          <w:color w:val="000000" w:themeColor="text1"/>
          <w:lang w:val="es-ES_tradnl"/>
        </w:rPr>
      </w:pPr>
      <w:r w:rsidRPr="00C96FA1">
        <w:rPr>
          <w:rFonts w:ascii="Century Gothic" w:eastAsia="Calibri" w:hAnsi="Century Gothic" w:cs="Arial"/>
          <w:b/>
          <w:color w:val="000000" w:themeColor="text1"/>
          <w:lang w:val="es-ES_tradnl"/>
        </w:rPr>
        <w:t>3. Respuesta</w:t>
      </w:r>
    </w:p>
    <w:p w14:paraId="3731C14E" w14:textId="77777777" w:rsidR="003F15AD" w:rsidRPr="00035110" w:rsidRDefault="003F15AD" w:rsidP="003F15AD">
      <w:pPr>
        <w:spacing w:after="0" w:line="276" w:lineRule="auto"/>
        <w:ind w:firstLine="709"/>
        <w:jc w:val="both"/>
        <w:rPr>
          <w:rFonts w:ascii="Century Gothic" w:eastAsia="Times New Roman" w:hAnsi="Century Gothic" w:cs="Arial"/>
          <w:lang w:eastAsia="es-CO"/>
        </w:rPr>
      </w:pPr>
      <w:bookmarkStart w:id="12" w:name="_Hlk131064197"/>
    </w:p>
    <w:p w14:paraId="0AD1A169" w14:textId="77777777" w:rsidR="003F15AD" w:rsidRPr="00035110" w:rsidRDefault="003F15AD" w:rsidP="758F89AC">
      <w:pPr>
        <w:spacing w:after="0" w:line="240" w:lineRule="auto"/>
        <w:ind w:left="709" w:right="709"/>
        <w:jc w:val="both"/>
        <w:rPr>
          <w:rFonts w:ascii="Century Gothic" w:hAnsi="Century Gothic" w:cs="Arial"/>
          <w:color w:val="000000" w:themeColor="text1"/>
          <w:sz w:val="21"/>
          <w:szCs w:val="21"/>
          <w:lang w:val="es-ES"/>
        </w:rPr>
      </w:pPr>
      <w:r w:rsidRPr="758F89AC">
        <w:rPr>
          <w:rFonts w:ascii="Century Gothic" w:hAnsi="Century Gothic" w:cs="Arial"/>
          <w:color w:val="000000" w:themeColor="text1"/>
          <w:sz w:val="21"/>
          <w:szCs w:val="21"/>
          <w:lang w:val="es-ES"/>
        </w:rPr>
        <w:t>“¿La expresión ‘personas mayores’ dispuesta en el factor de desempate del artículo 35.4 de la ley 2069 de 2020 incluye tanto la definición que señala el artículo 3 de la Ley 1251 de 2008, es decir, como ‘(…) aquella persona que cuenta con sesenta (60) años o más, como a las personas que en el rango de edad correspondiente a cada género no han alcanzado la pensión (artículos 33 y 36 de Ley 100 de 1993) y/o quienes gocen de calidad de prepensionados […]?”.</w:t>
      </w:r>
    </w:p>
    <w:p w14:paraId="2729E4FB" w14:textId="77777777" w:rsidR="003F15AD" w:rsidRPr="00035110" w:rsidRDefault="003F15AD" w:rsidP="003F15AD">
      <w:pPr>
        <w:spacing w:after="0" w:line="276" w:lineRule="auto"/>
        <w:jc w:val="both"/>
        <w:rPr>
          <w:rFonts w:ascii="Century Gothic" w:hAnsi="Century Gothic" w:cs="Arial"/>
          <w:color w:val="000000" w:themeColor="text1"/>
          <w:lang w:val="es-ES_tradnl"/>
        </w:rPr>
      </w:pPr>
    </w:p>
    <w:p w14:paraId="0D422EA1" w14:textId="77777777" w:rsidR="003F15AD" w:rsidRDefault="003F15AD" w:rsidP="758F89AC">
      <w:pPr>
        <w:spacing w:after="120" w:line="276" w:lineRule="auto"/>
        <w:jc w:val="both"/>
        <w:rPr>
          <w:rFonts w:ascii="Century Gothic" w:eastAsia="Calibri" w:hAnsi="Century Gothic" w:cs="Arial"/>
          <w:color w:val="000000" w:themeColor="text1"/>
          <w:lang w:val="es-ES"/>
        </w:rPr>
      </w:pPr>
      <w:bookmarkStart w:id="13" w:name="_Hlk164174895"/>
      <w:bookmarkEnd w:id="12"/>
      <w:r w:rsidRPr="758F89AC">
        <w:rPr>
          <w:rFonts w:ascii="Century Gothic" w:eastAsia="Calibri" w:hAnsi="Century Gothic" w:cs="Arial"/>
          <w:color w:val="000000" w:themeColor="text1"/>
          <w:lang w:val="es-ES"/>
        </w:rPr>
        <w:t xml:space="preserve">De acuerdo con la interpretación general del artículo 34.4 de la Ley de Emprendimiento,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también es posible entender que esta causal aplica a todas las personas que –en el rango de edad correspondiente a cada género– no han alcanzado la pensión, </w:t>
      </w:r>
      <w:r w:rsidRPr="758F89AC">
        <w:rPr>
          <w:rFonts w:ascii="Century Gothic" w:eastAsia="Calibri" w:hAnsi="Century Gothic" w:cs="Arial"/>
          <w:color w:val="000000" w:themeColor="text1"/>
          <w:lang w:val="es-ES"/>
        </w:rPr>
        <w:lastRenderedPageBreak/>
        <w:t xml:space="preserve">interpretación que está más ajustada al principio de favorabilidad y que, como se expresará, se acogió en la reglamentación realizada por el Decreto 1860 de 2021. </w:t>
      </w:r>
    </w:p>
    <w:p w14:paraId="3F0387DE" w14:textId="77777777" w:rsidR="003F15AD" w:rsidRDefault="003F15AD" w:rsidP="758F89AC">
      <w:pPr>
        <w:spacing w:after="120" w:line="276" w:lineRule="auto"/>
        <w:ind w:firstLine="708"/>
        <w:jc w:val="both"/>
        <w:rPr>
          <w:rFonts w:ascii="Century Gothic" w:hAnsi="Century Gothic" w:cs="Arial"/>
          <w:color w:val="000000" w:themeColor="text1"/>
          <w:lang w:val="es-ES"/>
        </w:rPr>
      </w:pPr>
      <w:r w:rsidRPr="758F89AC">
        <w:rPr>
          <w:rFonts w:ascii="Century Gothic" w:eastAsia="Calibri" w:hAnsi="Century Gothic" w:cs="Arial"/>
          <w:color w:val="000000" w:themeColor="text1"/>
          <w:lang w:val="es-ES"/>
        </w:rPr>
        <w:t xml:space="preserve">Sin embargo, de la literalidad de la norma no se desprende la aplicación de este factor de desempate a los prepensionados, por lo que no son destinatarios de este incentivo. </w:t>
      </w:r>
      <w:r w:rsidRPr="758F89AC">
        <w:rPr>
          <w:rFonts w:ascii="Century Gothic" w:hAnsi="Century Gothic" w:cs="Arial"/>
          <w:color w:val="000000" w:themeColor="text1"/>
          <w:lang w:val="es-ES"/>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w:t>
      </w:r>
    </w:p>
    <w:p w14:paraId="05801E07" w14:textId="77777777" w:rsidR="003F15AD" w:rsidRPr="00BE52AA" w:rsidRDefault="003F15AD" w:rsidP="758F89AC">
      <w:pPr>
        <w:spacing w:after="0" w:line="276" w:lineRule="auto"/>
        <w:ind w:firstLine="708"/>
        <w:jc w:val="both"/>
        <w:rPr>
          <w:rFonts w:ascii="Century Gothic" w:eastAsia="Times New Roman" w:hAnsi="Century Gothic" w:cs="Arial"/>
          <w:color w:val="000000"/>
          <w:lang w:val="es-ES" w:eastAsia="es-ES"/>
        </w:rPr>
      </w:pPr>
      <w:r w:rsidRPr="758F89AC">
        <w:rPr>
          <w:rFonts w:ascii="Century Gothic" w:eastAsia="Calibri" w:hAnsi="Century Gothic" w:cs="Arial"/>
          <w:lang w:val="es-ES"/>
        </w:rPr>
        <w:t xml:space="preserve">Del numeral 4 del artículo </w:t>
      </w:r>
      <w:r w:rsidRPr="758F89AC">
        <w:rPr>
          <w:rFonts w:ascii="Century Gothic" w:eastAsia="Calibri" w:hAnsi="Century Gothic" w:cs="Arial"/>
          <w:color w:val="000000" w:themeColor="text1"/>
          <w:lang w:val="es-ES"/>
        </w:rPr>
        <w:t xml:space="preserve">2.2.1.2.4.2.17 del Decreto 1082 de 2015 </w:t>
      </w:r>
      <w:r w:rsidRPr="758F89AC">
        <w:rPr>
          <w:rFonts w:ascii="Century Gothic" w:eastAsia="Calibri" w:hAnsi="Century Gothic" w:cs="Arial"/>
          <w:lang w:val="es-ES"/>
        </w:rPr>
        <w:t>tampoco se refiere a los prepensionados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bookmarkEnd w:id="13"/>
    <w:p w14:paraId="1F0CA5DF" w14:textId="77777777" w:rsidR="003F15AD" w:rsidRPr="00035110" w:rsidRDefault="003F15AD" w:rsidP="003F15AD">
      <w:pPr>
        <w:pBdr>
          <w:top w:val="nil"/>
          <w:left w:val="nil"/>
          <w:bottom w:val="nil"/>
          <w:right w:val="nil"/>
          <w:between w:val="nil"/>
        </w:pBdr>
        <w:spacing w:after="120" w:line="276" w:lineRule="auto"/>
        <w:jc w:val="both"/>
        <w:rPr>
          <w:rFonts w:ascii="Century Gothic" w:eastAsia="Arial" w:hAnsi="Century Gothic" w:cs="Arial"/>
          <w:color w:val="000000"/>
        </w:rPr>
      </w:pPr>
    </w:p>
    <w:p w14:paraId="43441FBF" w14:textId="77777777" w:rsidR="003F15AD" w:rsidRPr="00035110" w:rsidRDefault="003F15AD" w:rsidP="003F15AD">
      <w:pPr>
        <w:widowControl w:val="0"/>
        <w:autoSpaceDE w:val="0"/>
        <w:autoSpaceDN w:val="0"/>
        <w:spacing w:after="0" w:line="276" w:lineRule="auto"/>
        <w:jc w:val="both"/>
        <w:rPr>
          <w:rFonts w:ascii="Century Gothic" w:hAnsi="Century Gothic" w:cs="Arial"/>
          <w:color w:val="000000" w:themeColor="text1"/>
          <w:lang w:val="es-ES_tradnl" w:bidi="es-ES"/>
        </w:rPr>
      </w:pPr>
      <w:r w:rsidRPr="00035110">
        <w:rPr>
          <w:rFonts w:ascii="Century Gothic" w:hAnsi="Century Gothic" w:cs="Arial"/>
          <w:color w:val="000000" w:themeColor="text1"/>
          <w:lang w:val="es-ES_tradnl"/>
        </w:rPr>
        <w:t>Este concepto tiene el alcance previsto en el artículo 28 del Código de Procedimiento Administrativo y de lo Contencioso Administrativo.</w:t>
      </w:r>
      <w:r>
        <w:rPr>
          <w:rFonts w:ascii="Century Gothic" w:hAnsi="Century Gothic" w:cs="Arial"/>
          <w:color w:val="000000" w:themeColor="text1"/>
          <w:lang w:val="es-ES_tradnl"/>
        </w:rPr>
        <w:t xml:space="preserve"> </w:t>
      </w:r>
    </w:p>
    <w:p w14:paraId="2782C405" w14:textId="77777777" w:rsidR="003F15AD" w:rsidRPr="00035110" w:rsidRDefault="003F15AD" w:rsidP="003F15AD">
      <w:pPr>
        <w:widowControl w:val="0"/>
        <w:autoSpaceDE w:val="0"/>
        <w:autoSpaceDN w:val="0"/>
        <w:spacing w:after="0" w:line="276" w:lineRule="auto"/>
        <w:jc w:val="both"/>
        <w:rPr>
          <w:rFonts w:ascii="Century Gothic" w:hAnsi="Century Gothic" w:cs="Arial"/>
          <w:color w:val="000000" w:themeColor="text1"/>
          <w:lang w:val="es-ES_tradnl" w:bidi="es-ES"/>
        </w:rPr>
      </w:pPr>
    </w:p>
    <w:p w14:paraId="5EA6C14A" w14:textId="77777777" w:rsidR="003F15AD" w:rsidRPr="00035110" w:rsidRDefault="003F15AD" w:rsidP="003F15AD">
      <w:pPr>
        <w:tabs>
          <w:tab w:val="left" w:pos="426"/>
        </w:tabs>
        <w:spacing w:line="276" w:lineRule="auto"/>
        <w:jc w:val="both"/>
        <w:rPr>
          <w:rFonts w:ascii="Century Gothic" w:eastAsia="Times New Roman" w:hAnsi="Century Gothic" w:cs="Arial"/>
          <w:color w:val="000000" w:themeColor="text1"/>
        </w:rPr>
      </w:pPr>
      <w:r w:rsidRPr="00035110">
        <w:rPr>
          <w:rFonts w:ascii="Century Gothic" w:eastAsia="Times New Roman" w:hAnsi="Century Gothic" w:cs="Arial"/>
          <w:color w:val="000000" w:themeColor="text1"/>
        </w:rPr>
        <w:t>Atentamente,</w:t>
      </w:r>
    </w:p>
    <w:p w14:paraId="3E522D0B" w14:textId="3D340BA2" w:rsidR="003F15AD" w:rsidRPr="00035110" w:rsidRDefault="00AD7F58" w:rsidP="003F15AD">
      <w:pPr>
        <w:jc w:val="center"/>
        <w:rPr>
          <w:rFonts w:ascii="Century Gothic" w:eastAsia="Times New Roman" w:hAnsi="Century Gothic" w:cs="Arial"/>
          <w:lang w:eastAsia="es-CO"/>
        </w:rPr>
      </w:pPr>
      <w:r>
        <w:rPr>
          <w:noProof/>
        </w:rPr>
        <w:drawing>
          <wp:inline distT="0" distB="0" distL="0" distR="0" wp14:anchorId="10AF0B8A" wp14:editId="265A5DC3">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F15AD" w:rsidRPr="00035110" w14:paraId="431979D8" w14:textId="77777777" w:rsidTr="006D3C0A">
        <w:trPr>
          <w:trHeight w:val="409"/>
        </w:trPr>
        <w:tc>
          <w:tcPr>
            <w:tcW w:w="817" w:type="dxa"/>
            <w:tcBorders>
              <w:top w:val="nil"/>
              <w:left w:val="nil"/>
              <w:bottom w:val="nil"/>
              <w:right w:val="nil"/>
            </w:tcBorders>
            <w:vAlign w:val="center"/>
            <w:hideMark/>
          </w:tcPr>
          <w:p w14:paraId="7196CDD1"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lastRenderedPageBreak/>
              <w:t>Elaboró: </w:t>
            </w:r>
          </w:p>
        </w:tc>
        <w:tc>
          <w:tcPr>
            <w:tcW w:w="4937" w:type="dxa"/>
            <w:tcBorders>
              <w:top w:val="nil"/>
              <w:left w:val="nil"/>
              <w:bottom w:val="dotted" w:sz="6" w:space="0" w:color="7F7F7F" w:themeColor="text1" w:themeTint="80"/>
              <w:right w:val="nil"/>
            </w:tcBorders>
            <w:vAlign w:val="center"/>
            <w:hideMark/>
          </w:tcPr>
          <w:p w14:paraId="4162CE6D"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Juan David Montoya Penagos</w:t>
            </w:r>
          </w:p>
          <w:p w14:paraId="0695FD0C"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3F15AD" w:rsidRPr="00035110" w14:paraId="179FF840" w14:textId="77777777" w:rsidTr="006D3C0A">
        <w:trPr>
          <w:trHeight w:val="409"/>
        </w:trPr>
        <w:tc>
          <w:tcPr>
            <w:tcW w:w="817" w:type="dxa"/>
            <w:tcBorders>
              <w:top w:val="nil"/>
              <w:left w:val="nil"/>
              <w:right w:val="nil"/>
            </w:tcBorders>
            <w:vAlign w:val="center"/>
          </w:tcPr>
          <w:p w14:paraId="43642E0F" w14:textId="77777777" w:rsidR="003F15AD" w:rsidRPr="00035110" w:rsidRDefault="003F15AD" w:rsidP="006D3C0A">
            <w:pPr>
              <w:jc w:val="both"/>
              <w:rPr>
                <w:rFonts w:ascii="Century Gothic" w:hAnsi="Century Gothic" w:cs="Arial"/>
                <w:sz w:val="16"/>
                <w:szCs w:val="16"/>
              </w:rPr>
            </w:pPr>
            <w:r w:rsidRPr="0003511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547C013"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Juan David Cárdenas Cabeza </w:t>
            </w:r>
          </w:p>
          <w:p w14:paraId="5CA095CE"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3F15AD" w:rsidRPr="00035110" w14:paraId="0EE3BE6F" w14:textId="77777777" w:rsidTr="006D3C0A">
        <w:trPr>
          <w:trHeight w:val="389"/>
        </w:trPr>
        <w:tc>
          <w:tcPr>
            <w:tcW w:w="817" w:type="dxa"/>
            <w:tcBorders>
              <w:top w:val="nil"/>
              <w:left w:val="nil"/>
              <w:bottom w:val="nil"/>
              <w:right w:val="nil"/>
            </w:tcBorders>
            <w:vAlign w:val="center"/>
            <w:hideMark/>
          </w:tcPr>
          <w:p w14:paraId="6F035EC1"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F56F218"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Nohelia del Carmen Zawady Palacio</w:t>
            </w:r>
          </w:p>
          <w:p w14:paraId="759276C8" w14:textId="77777777" w:rsidR="003F15AD" w:rsidRPr="00035110" w:rsidRDefault="003F15AD" w:rsidP="006D3C0A">
            <w:pPr>
              <w:spacing w:after="0" w:line="240" w:lineRule="auto"/>
              <w:jc w:val="both"/>
              <w:rPr>
                <w:rFonts w:ascii="Century Gothic" w:hAnsi="Century Gothic" w:cs="Arial"/>
                <w:sz w:val="16"/>
                <w:szCs w:val="16"/>
              </w:rPr>
            </w:pPr>
            <w:r w:rsidRPr="00035110">
              <w:rPr>
                <w:rFonts w:ascii="Century Gothic" w:hAnsi="Century Gothic" w:cs="Arial"/>
                <w:sz w:val="16"/>
                <w:szCs w:val="16"/>
              </w:rPr>
              <w:t>Subdirectora de Gestión Contractual ANCP – CCE</w:t>
            </w:r>
          </w:p>
        </w:tc>
      </w:tr>
      <w:bookmarkEnd w:id="2"/>
    </w:tbl>
    <w:p w14:paraId="520D71D4" w14:textId="77777777" w:rsidR="003F15AD" w:rsidRPr="00035110" w:rsidRDefault="003F15AD" w:rsidP="003F15AD">
      <w:pPr>
        <w:tabs>
          <w:tab w:val="left" w:pos="0"/>
        </w:tabs>
        <w:spacing w:line="276" w:lineRule="auto"/>
        <w:contextualSpacing/>
        <w:jc w:val="both"/>
        <w:rPr>
          <w:rFonts w:ascii="Century Gothic" w:hAnsi="Century Gothic" w:cs="Arial"/>
          <w:lang w:val="es-MX"/>
        </w:rPr>
      </w:pPr>
    </w:p>
    <w:p w14:paraId="68D4B31F" w14:textId="77777777" w:rsidR="003F15AD" w:rsidRPr="00035110" w:rsidRDefault="003F15AD" w:rsidP="003F15AD">
      <w:pPr>
        <w:rPr>
          <w:rFonts w:ascii="Century Gothic" w:hAnsi="Century Gothic"/>
        </w:rPr>
      </w:pPr>
      <w:r w:rsidRPr="00035110">
        <w:rPr>
          <w:rFonts w:ascii="Century Gothic" w:hAnsi="Century Gothic"/>
        </w:rPr>
        <w:t xml:space="preserve"> </w:t>
      </w:r>
    </w:p>
    <w:p w14:paraId="0F293BF4" w14:textId="4E630EB9" w:rsidR="00127233" w:rsidRPr="005571E0" w:rsidRDefault="00E245AB" w:rsidP="005571E0">
      <w:r w:rsidRPr="005571E0">
        <w:t xml:space="preserve"> </w:t>
      </w:r>
    </w:p>
    <w:sectPr w:rsidR="00127233" w:rsidRPr="005571E0"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F9E6B" w14:textId="77777777" w:rsidR="009328DF" w:rsidRDefault="009328DF" w:rsidP="004A1847">
      <w:pPr>
        <w:spacing w:after="0" w:line="240" w:lineRule="auto"/>
      </w:pPr>
      <w:r>
        <w:separator/>
      </w:r>
    </w:p>
  </w:endnote>
  <w:endnote w:type="continuationSeparator" w:id="0">
    <w:p w14:paraId="3004E8B7" w14:textId="77777777" w:rsidR="009328DF" w:rsidRDefault="009328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63A9D" w14:textId="77777777" w:rsidR="009328DF" w:rsidRDefault="009328DF" w:rsidP="004A1847">
      <w:pPr>
        <w:spacing w:after="0" w:line="240" w:lineRule="auto"/>
      </w:pPr>
      <w:r>
        <w:separator/>
      </w:r>
    </w:p>
  </w:footnote>
  <w:footnote w:type="continuationSeparator" w:id="0">
    <w:p w14:paraId="7E56F46A" w14:textId="77777777" w:rsidR="009328DF" w:rsidRDefault="009328DF" w:rsidP="004A1847">
      <w:pPr>
        <w:spacing w:after="0" w:line="240" w:lineRule="auto"/>
      </w:pPr>
      <w:r>
        <w:continuationSeparator/>
      </w:r>
    </w:p>
  </w:footnote>
  <w:footnote w:id="1">
    <w:p w14:paraId="3AEB545C" w14:textId="77777777" w:rsidR="003F15AD" w:rsidRPr="00C96FA1" w:rsidRDefault="003F15AD" w:rsidP="003F15AD">
      <w:pPr>
        <w:pStyle w:val="Textonotapie"/>
        <w:ind w:firstLine="708"/>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96FA1">
          <w:rPr>
            <w:rStyle w:val="Hipervnculo"/>
            <w:rFonts w:ascii="Century Gothic" w:hAnsi="Century Gothic" w:cs="Arial"/>
            <w:sz w:val="16"/>
            <w:szCs w:val="16"/>
          </w:rPr>
          <w:t>https://relatoria.colombiacompra.gov.co/busqueda/conceptos</w:t>
        </w:r>
      </w:hyperlink>
      <w:r w:rsidRPr="00C96FA1">
        <w:rPr>
          <w:rStyle w:val="Hipervnculo"/>
          <w:rFonts w:ascii="Century Gothic" w:hAnsi="Century Gothic" w:cs="Arial"/>
          <w:sz w:val="16"/>
          <w:szCs w:val="16"/>
        </w:rPr>
        <w:t xml:space="preserve">. </w:t>
      </w:r>
      <w:r w:rsidRPr="00C96FA1">
        <w:rPr>
          <w:rFonts w:ascii="Century Gothic" w:hAnsi="Century Gothic" w:cs="Arial"/>
          <w:sz w:val="16"/>
          <w:szCs w:val="16"/>
          <w:shd w:val="clear" w:color="auto" w:fill="E6E6E6"/>
        </w:rPr>
        <w:t xml:space="preserve"> </w:t>
      </w:r>
    </w:p>
  </w:footnote>
  <w:footnote w:id="2">
    <w:p w14:paraId="71101C8B" w14:textId="77777777" w:rsidR="003F15AD" w:rsidRPr="00C96FA1" w:rsidRDefault="003F15AD" w:rsidP="003F15AD">
      <w:pPr>
        <w:pStyle w:val="Textonotapie"/>
        <w:ind w:firstLine="709"/>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Consejo de Estado. Sección Tercera. Sentencia del 29 de octubre de 2.015. Consejera Ponente: Stella Conto Díaz Del Castillo. Expediente: 31.918.</w:t>
      </w:r>
    </w:p>
  </w:footnote>
  <w:footnote w:id="3">
    <w:p w14:paraId="1223F982" w14:textId="77777777" w:rsidR="003F15AD" w:rsidRPr="00C96FA1" w:rsidRDefault="003F15AD" w:rsidP="003F15AD">
      <w:pPr>
        <w:pStyle w:val="Textonotapie"/>
        <w:ind w:firstLine="709"/>
        <w:jc w:val="both"/>
        <w:rPr>
          <w:rFonts w:ascii="Century Gothic" w:hAnsi="Century Gothic"/>
          <w:sz w:val="16"/>
          <w:szCs w:val="16"/>
        </w:rPr>
      </w:pPr>
      <w:r w:rsidRPr="00C96FA1">
        <w:rPr>
          <w:rStyle w:val="Refdenotaalpie"/>
          <w:rFonts w:ascii="Century Gothic" w:hAnsi="Century Gothic"/>
          <w:sz w:val="16"/>
          <w:szCs w:val="16"/>
        </w:rPr>
        <w:footnoteRef/>
      </w:r>
      <w:r w:rsidRPr="00C96FA1">
        <w:rPr>
          <w:rFonts w:ascii="Century Gothic" w:hAnsi="Century Gothic"/>
          <w:sz w:val="16"/>
          <w:szCs w:val="16"/>
        </w:rPr>
        <w:t xml:space="preserve"> </w:t>
      </w:r>
      <w:r w:rsidRPr="00C96FA1">
        <w:rPr>
          <w:rFonts w:ascii="Century Gothic" w:hAnsi="Century Gothic" w:cs="Arial"/>
          <w:sz w:val="16"/>
          <w:szCs w:val="16"/>
          <w:lang w:val="es-ES"/>
        </w:rPr>
        <w:t>Corte Constitucional. Sentencia T-684A del 14 de septiembre de 2011. Magistrado Ponente: Mauricio González Cuervo.</w:t>
      </w:r>
    </w:p>
  </w:footnote>
  <w:footnote w:id="4">
    <w:p w14:paraId="0927B131" w14:textId="77777777" w:rsidR="003F15AD" w:rsidRPr="00C96FA1" w:rsidRDefault="003F15AD" w:rsidP="003F15AD">
      <w:pPr>
        <w:pStyle w:val="Textonotapie"/>
        <w:ind w:firstLine="709"/>
        <w:jc w:val="both"/>
        <w:rPr>
          <w:rFonts w:ascii="Century Gothic" w:hAnsi="Century Gothic" w:cs="Arial"/>
          <w:sz w:val="16"/>
          <w:szCs w:val="16"/>
          <w:lang w:val="es-ES"/>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Artículos 2 al 29.</w:t>
      </w:r>
    </w:p>
  </w:footnote>
  <w:footnote w:id="5">
    <w:p w14:paraId="52C56AC8" w14:textId="77777777" w:rsidR="003F15AD" w:rsidRPr="00C96FA1" w:rsidRDefault="003F15AD" w:rsidP="003F15AD">
      <w:pPr>
        <w:pStyle w:val="Textonotapie"/>
        <w:ind w:firstLine="709"/>
        <w:jc w:val="both"/>
        <w:rPr>
          <w:rFonts w:ascii="Century Gothic" w:hAnsi="Century Gothic" w:cs="Arial"/>
          <w:sz w:val="16"/>
          <w:szCs w:val="16"/>
          <w:lang w:val="es-ES"/>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Artículos 30 al 36.</w:t>
      </w:r>
    </w:p>
  </w:footnote>
  <w:footnote w:id="6">
    <w:p w14:paraId="7A9E6D85" w14:textId="77777777" w:rsidR="003F15AD" w:rsidRPr="00C96FA1" w:rsidRDefault="003F15AD" w:rsidP="003F15AD">
      <w:pPr>
        <w:pStyle w:val="Textonotapie"/>
        <w:ind w:firstLine="709"/>
        <w:jc w:val="both"/>
        <w:rPr>
          <w:rFonts w:ascii="Century Gothic" w:hAnsi="Century Gothic" w:cs="Arial"/>
          <w:sz w:val="16"/>
          <w:szCs w:val="16"/>
          <w:lang w:val="es-ES"/>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Artículos 37 al 45.</w:t>
      </w:r>
    </w:p>
  </w:footnote>
  <w:footnote w:id="7">
    <w:p w14:paraId="2ADC729E" w14:textId="77777777" w:rsidR="003F15AD" w:rsidRPr="00C96FA1" w:rsidRDefault="003F15AD" w:rsidP="003F15AD">
      <w:pPr>
        <w:pStyle w:val="Textonotapie"/>
        <w:ind w:firstLine="709"/>
        <w:jc w:val="both"/>
        <w:rPr>
          <w:rFonts w:ascii="Century Gothic" w:hAnsi="Century Gothic" w:cs="Arial"/>
          <w:sz w:val="16"/>
          <w:szCs w:val="16"/>
          <w:lang w:val="es-ES"/>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Artículos 46 al 73.</w:t>
      </w:r>
    </w:p>
  </w:footnote>
  <w:footnote w:id="8">
    <w:p w14:paraId="6625CF11" w14:textId="77777777" w:rsidR="003F15AD" w:rsidRPr="00C96FA1" w:rsidRDefault="003F15AD" w:rsidP="003F15AD">
      <w:pPr>
        <w:pStyle w:val="Textonotapie"/>
        <w:ind w:firstLine="709"/>
        <w:jc w:val="both"/>
        <w:rPr>
          <w:rFonts w:ascii="Century Gothic" w:hAnsi="Century Gothic" w:cs="Arial"/>
          <w:sz w:val="16"/>
          <w:szCs w:val="16"/>
          <w:lang w:val="es-ES"/>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Artículos 74 al 83.</w:t>
      </w:r>
    </w:p>
  </w:footnote>
  <w:footnote w:id="9">
    <w:p w14:paraId="5385BDCE" w14:textId="77777777" w:rsidR="003F15AD" w:rsidRPr="00C96FA1" w:rsidRDefault="003F15AD" w:rsidP="003F15AD">
      <w:pPr>
        <w:pStyle w:val="Textonotapie"/>
        <w:ind w:firstLine="708"/>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Decreto 1860 de 2021. </w:t>
      </w:r>
      <w:r>
        <w:rPr>
          <w:rFonts w:ascii="Century Gothic" w:hAnsi="Century Gothic" w:cs="Arial"/>
          <w:sz w:val="16"/>
          <w:szCs w:val="16"/>
        </w:rPr>
        <w:t>“</w:t>
      </w:r>
      <w:r w:rsidRPr="00C96FA1">
        <w:rPr>
          <w:rFonts w:ascii="Century Gothic" w:hAnsi="Century Gothic" w:cs="Arial"/>
          <w:sz w:val="16"/>
          <w:szCs w:val="16"/>
        </w:rPr>
        <w:t>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r>
        <w:rPr>
          <w:rFonts w:ascii="Century Gothic" w:hAnsi="Century Gothic" w:cs="Arial"/>
          <w:sz w:val="16"/>
          <w:szCs w:val="16"/>
        </w:rPr>
        <w:t>”</w:t>
      </w:r>
      <w:r w:rsidRPr="00C96FA1">
        <w:rPr>
          <w:rFonts w:ascii="Century Gothic" w:hAnsi="Century Gothic" w:cs="Arial"/>
          <w:sz w:val="16"/>
          <w:szCs w:val="16"/>
        </w:rPr>
        <w:t>.</w:t>
      </w:r>
    </w:p>
  </w:footnote>
  <w:footnote w:id="10">
    <w:p w14:paraId="4CCF60A0" w14:textId="77777777" w:rsidR="003F15AD" w:rsidRPr="00C96FA1" w:rsidRDefault="003F15AD" w:rsidP="003F15AD">
      <w:pPr>
        <w:pStyle w:val="NormalWeb"/>
        <w:shd w:val="clear" w:color="auto" w:fill="FFFFFF"/>
        <w:spacing w:before="0" w:beforeAutospacing="0" w:after="0" w:afterAutospacing="0"/>
        <w:ind w:firstLine="709"/>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Decreto 1860 de 2021. </w:t>
      </w:r>
      <w:r>
        <w:rPr>
          <w:rFonts w:ascii="Century Gothic" w:hAnsi="Century Gothic" w:cs="Arial"/>
          <w:sz w:val="16"/>
          <w:szCs w:val="16"/>
        </w:rPr>
        <w:t>“</w:t>
      </w:r>
      <w:r w:rsidRPr="00C96FA1">
        <w:rPr>
          <w:rFonts w:ascii="Century Gothic" w:hAnsi="Century Gothic" w:cs="Arial"/>
          <w:sz w:val="16"/>
          <w:szCs w:val="16"/>
        </w:rPr>
        <w:t>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r w:rsidRPr="00C96FA1">
        <w:rPr>
          <w:rFonts w:ascii="Century Gothic" w:eastAsiaTheme="majorEastAsia" w:hAnsi="Century Gothic" w:cs="Arial"/>
          <w:sz w:val="16"/>
          <w:szCs w:val="16"/>
        </w:rPr>
        <w:t>5 </w:t>
      </w:r>
      <w:r w:rsidRPr="00C96FA1">
        <w:rPr>
          <w:rFonts w:ascii="Century Gothic" w:hAnsi="Century Gothic" w:cs="Arial"/>
          <w:sz w:val="16"/>
          <w:szCs w:val="16"/>
        </w:rPr>
        <w:t>de la Sección 1 del Capítulo 2 del Título 1 de la Parte 2 del Libro 2, así como los artículos </w:t>
      </w:r>
      <w:r w:rsidRPr="00C96FA1">
        <w:rPr>
          <w:rFonts w:ascii="Century Gothic" w:eastAsiaTheme="majorEastAsia" w:hAnsi="Century Gothic" w:cs="Arial"/>
          <w:sz w:val="16"/>
          <w:szCs w:val="16"/>
        </w:rPr>
        <w:t>2.2.1.2.4.2.2</w:t>
      </w:r>
      <w:r w:rsidRPr="00C96FA1">
        <w:rPr>
          <w:rFonts w:ascii="Century Gothic" w:hAnsi="Century Gothic" w:cs="Arial"/>
          <w:sz w:val="16"/>
          <w:szCs w:val="16"/>
        </w:rPr>
        <w:t>., </w:t>
      </w:r>
      <w:r w:rsidRPr="00C96FA1">
        <w:rPr>
          <w:rFonts w:ascii="Century Gothic" w:eastAsiaTheme="majorEastAsia" w:hAnsi="Century Gothic" w:cs="Arial"/>
          <w:sz w:val="16"/>
          <w:szCs w:val="16"/>
        </w:rPr>
        <w:t>2.2.1.2.4.2.3</w:t>
      </w:r>
      <w:r w:rsidRPr="00C96FA1">
        <w:rPr>
          <w:rFonts w:ascii="Century Gothic" w:hAnsi="Century Gothic" w:cs="Arial"/>
          <w:sz w:val="16"/>
          <w:szCs w:val="16"/>
        </w:rPr>
        <w:t>., </w:t>
      </w:r>
      <w:r w:rsidRPr="00C96FA1">
        <w:rPr>
          <w:rFonts w:ascii="Century Gothic" w:eastAsiaTheme="majorEastAsia" w:hAnsi="Century Gothic" w:cs="Arial"/>
          <w:sz w:val="16"/>
          <w:szCs w:val="16"/>
        </w:rPr>
        <w:t>2.2.1.2.4.2.4</w:t>
      </w:r>
      <w:r w:rsidRPr="00C96FA1">
        <w:rPr>
          <w:rFonts w:ascii="Century Gothic" w:hAnsi="Century Gothic" w:cs="Arial"/>
          <w:sz w:val="16"/>
          <w:szCs w:val="16"/>
        </w:rPr>
        <w:t>., </w:t>
      </w:r>
      <w:r w:rsidRPr="00C96FA1">
        <w:rPr>
          <w:rFonts w:ascii="Century Gothic" w:eastAsiaTheme="majorEastAsia" w:hAnsi="Century Gothic" w:cs="Arial"/>
          <w:sz w:val="16"/>
          <w:szCs w:val="16"/>
        </w:rPr>
        <w:t>2.2.1.2.1.2.2</w:t>
      </w:r>
      <w:r w:rsidRPr="00C96FA1">
        <w:rPr>
          <w:rFonts w:ascii="Century Gothic" w:hAnsi="Century Gothic" w:cs="Arial"/>
          <w:sz w:val="16"/>
          <w:szCs w:val="16"/>
        </w:rPr>
        <w:t xml:space="preserve"> y </w:t>
      </w:r>
      <w:r w:rsidRPr="00C96FA1">
        <w:rPr>
          <w:rFonts w:ascii="Century Gothic" w:eastAsiaTheme="majorEastAsia" w:hAnsi="Century Gothic" w:cs="Arial"/>
          <w:sz w:val="16"/>
          <w:szCs w:val="16"/>
        </w:rPr>
        <w:t>2.2.1.2.4.2.8</w:t>
      </w:r>
      <w:r w:rsidRPr="00C96FA1">
        <w:rPr>
          <w:rFonts w:ascii="Century Gothic" w:hAnsi="Century Gothic" w:cs="Arial"/>
          <w:sz w:val="16"/>
          <w:szCs w:val="16"/>
        </w:rPr>
        <w:t>.; adiciona los artículos </w:t>
      </w:r>
      <w:r w:rsidRPr="00C96FA1">
        <w:rPr>
          <w:rFonts w:ascii="Century Gothic" w:eastAsiaTheme="majorEastAsia" w:hAnsi="Century Gothic" w:cs="Arial"/>
          <w:sz w:val="16"/>
          <w:szCs w:val="16"/>
        </w:rPr>
        <w:t>2.2.1.2.4.2.14</w:t>
      </w:r>
      <w:r w:rsidRPr="00C96FA1">
        <w:rPr>
          <w:rFonts w:ascii="Century Gothic" w:hAnsi="Century Gothic" w:cs="Arial"/>
          <w:sz w:val="16"/>
          <w:szCs w:val="16"/>
        </w:rPr>
        <w:t>., </w:t>
      </w:r>
      <w:r w:rsidRPr="00C96FA1">
        <w:rPr>
          <w:rFonts w:ascii="Century Gothic" w:eastAsiaTheme="majorEastAsia" w:hAnsi="Century Gothic" w:cs="Arial"/>
          <w:sz w:val="16"/>
          <w:szCs w:val="16"/>
        </w:rPr>
        <w:t>2.2.1.2.4.2.15</w:t>
      </w:r>
      <w:r w:rsidRPr="00C96FA1">
        <w:rPr>
          <w:rFonts w:ascii="Century Gothic" w:hAnsi="Century Gothic" w:cs="Arial"/>
          <w:sz w:val="16"/>
          <w:szCs w:val="16"/>
        </w:rPr>
        <w:t>., </w:t>
      </w:r>
      <w:r w:rsidRPr="00C96FA1">
        <w:rPr>
          <w:rFonts w:ascii="Century Gothic" w:eastAsiaTheme="majorEastAsia" w:hAnsi="Century Gothic" w:cs="Arial"/>
          <w:sz w:val="16"/>
          <w:szCs w:val="16"/>
        </w:rPr>
        <w:t>2.2.1.2.4.2.16</w:t>
      </w:r>
      <w:r w:rsidRPr="00C96FA1">
        <w:rPr>
          <w:rFonts w:ascii="Century Gothic" w:hAnsi="Century Gothic" w:cs="Arial"/>
          <w:sz w:val="16"/>
          <w:szCs w:val="16"/>
        </w:rPr>
        <w:t>., </w:t>
      </w:r>
      <w:r w:rsidRPr="00C96FA1">
        <w:rPr>
          <w:rFonts w:ascii="Century Gothic" w:eastAsiaTheme="majorEastAsia" w:hAnsi="Century Gothic" w:cs="Arial"/>
          <w:sz w:val="16"/>
          <w:szCs w:val="16"/>
        </w:rPr>
        <w:t xml:space="preserve">2.2.1.2.4.2.17. </w:t>
      </w:r>
      <w:r w:rsidRPr="00C96FA1">
        <w:rPr>
          <w:rFonts w:ascii="Century Gothic" w:hAnsi="Century Gothic" w:cs="Arial"/>
          <w:sz w:val="16"/>
          <w:szCs w:val="16"/>
        </w:rPr>
        <w:t>y </w:t>
      </w:r>
      <w:r w:rsidRPr="00C96FA1">
        <w:rPr>
          <w:rFonts w:ascii="Century Gothic" w:eastAsiaTheme="majorEastAsia" w:hAnsi="Century Gothic" w:cs="Arial"/>
          <w:sz w:val="16"/>
          <w:szCs w:val="16"/>
        </w:rPr>
        <w:t>2.2.1.2.4.2.18</w:t>
      </w:r>
      <w:r w:rsidRPr="00C96FA1">
        <w:rPr>
          <w:rFonts w:ascii="Century Gothic" w:hAnsi="Century Gothic" w:cs="Arial"/>
          <w:sz w:val="16"/>
          <w:szCs w:val="16"/>
        </w:rPr>
        <w:t>.; adiciona un </w:t>
      </w:r>
      <w:r w:rsidRPr="00C96FA1">
        <w:rPr>
          <w:rFonts w:ascii="Century Gothic" w:eastAsiaTheme="majorEastAsia" w:hAnsi="Century Gothic" w:cs="Arial"/>
          <w:sz w:val="16"/>
          <w:szCs w:val="16"/>
        </w:rPr>
        <w:t>parágrafo </w:t>
      </w:r>
      <w:r w:rsidRPr="00C96FA1">
        <w:rPr>
          <w:rFonts w:ascii="Century Gothic" w:hAnsi="Century Gothic" w:cs="Arial"/>
          <w:sz w:val="16"/>
          <w:szCs w:val="16"/>
        </w:rPr>
        <w:t>al artículo </w:t>
      </w:r>
      <w:r w:rsidRPr="00C96FA1">
        <w:rPr>
          <w:rFonts w:ascii="Century Gothic" w:eastAsiaTheme="majorEastAsia" w:hAnsi="Century Gothic" w:cs="Arial"/>
          <w:sz w:val="16"/>
          <w:szCs w:val="16"/>
        </w:rPr>
        <w:t>2.2.1.2.3.1.9</w:t>
      </w:r>
      <w:r w:rsidRPr="00C96FA1">
        <w:rPr>
          <w:rFonts w:ascii="Century Gothic" w:hAnsi="Century Gothic" w:cs="Arial"/>
          <w:sz w:val="16"/>
          <w:szCs w:val="16"/>
        </w:rPr>
        <w:t>; y deroga el artículo </w:t>
      </w:r>
      <w:r w:rsidRPr="00C96FA1">
        <w:rPr>
          <w:rFonts w:ascii="Century Gothic" w:eastAsiaTheme="majorEastAsia" w:hAnsi="Century Gothic" w:cs="Arial"/>
          <w:sz w:val="16"/>
          <w:szCs w:val="16"/>
        </w:rPr>
        <w:t>2.2.1.1.2.2.9</w:t>
      </w:r>
      <w:r w:rsidRPr="00C96FA1">
        <w:rPr>
          <w:rFonts w:ascii="Century Gothic" w:hAnsi="Century Gothic" w:cs="Arial"/>
          <w:sz w:val="16"/>
          <w:szCs w:val="16"/>
        </w:rPr>
        <w:t>. del Decreto 1082 de 2015, Único Reglamentario del Sector Administrativo de Planeación Nacional.</w:t>
      </w:r>
    </w:p>
    <w:p w14:paraId="4ABABD54" w14:textId="77777777" w:rsidR="003F15AD" w:rsidRPr="00C96FA1" w:rsidRDefault="003F15AD" w:rsidP="003F15AD">
      <w:pPr>
        <w:pStyle w:val="NormalWeb"/>
        <w:shd w:val="clear" w:color="auto" w:fill="FFFFFF"/>
        <w:spacing w:before="0" w:beforeAutospacing="0" w:after="0" w:afterAutospacing="0"/>
        <w:jc w:val="both"/>
        <w:rPr>
          <w:rFonts w:ascii="Century Gothic" w:hAnsi="Century Gothic" w:cs="Arial"/>
          <w:sz w:val="16"/>
          <w:szCs w:val="16"/>
        </w:rPr>
      </w:pPr>
      <w:r w:rsidRPr="00C96FA1">
        <w:rPr>
          <w:rFonts w:ascii="Century Gothic" w:hAnsi="Century Gothic" w:cs="Arial"/>
          <w:b/>
          <w:bCs/>
          <w:sz w:val="16"/>
          <w:szCs w:val="16"/>
        </w:rPr>
        <w:t> </w:t>
      </w:r>
      <w:r w:rsidRPr="00C96FA1">
        <w:rPr>
          <w:rFonts w:ascii="Century Gothic" w:hAnsi="Century Gothic" w:cs="Arial"/>
          <w:b/>
          <w:bCs/>
          <w:sz w:val="16"/>
          <w:szCs w:val="16"/>
        </w:rPr>
        <w:tab/>
      </w:r>
      <w:r w:rsidRPr="00C96FA1">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8FE2C3C" w14:textId="77777777" w:rsidR="003F15AD" w:rsidRPr="00C96FA1" w:rsidRDefault="003F15AD" w:rsidP="003F15AD">
      <w:pPr>
        <w:pStyle w:val="NormalWeb"/>
        <w:shd w:val="clear" w:color="auto" w:fill="FFFFFF"/>
        <w:spacing w:before="0" w:beforeAutospacing="0" w:after="0" w:afterAutospacing="0"/>
        <w:jc w:val="both"/>
        <w:rPr>
          <w:rFonts w:ascii="Century Gothic" w:hAnsi="Century Gothic" w:cs="Arial"/>
          <w:sz w:val="16"/>
          <w:szCs w:val="16"/>
        </w:rPr>
      </w:pPr>
      <w:r w:rsidRPr="00C96FA1">
        <w:rPr>
          <w:rFonts w:ascii="Century Gothic" w:hAnsi="Century Gothic" w:cs="Arial"/>
          <w:sz w:val="16"/>
          <w:szCs w:val="16"/>
        </w:rPr>
        <w:t> </w:t>
      </w:r>
      <w:r w:rsidRPr="00C96FA1">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Pr>
          <w:rFonts w:ascii="Century Gothic" w:hAnsi="Century Gothic" w:cs="Arial"/>
          <w:sz w:val="16"/>
          <w:szCs w:val="16"/>
        </w:rPr>
        <w:t>”</w:t>
      </w:r>
      <w:r w:rsidRPr="00C96FA1">
        <w:rPr>
          <w:rFonts w:ascii="Century Gothic" w:hAnsi="Century Gothic"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7F43E3EF" w:rsidR="005B5D8B" w:rsidRPr="005571E0" w:rsidRDefault="004A305D" w:rsidP="005571E0">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639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46D67"/>
    <w:rsid w:val="000A683E"/>
    <w:rsid w:val="000B19B9"/>
    <w:rsid w:val="000D0334"/>
    <w:rsid w:val="000E4714"/>
    <w:rsid w:val="000F6486"/>
    <w:rsid w:val="00125105"/>
    <w:rsid w:val="00127233"/>
    <w:rsid w:val="001E4177"/>
    <w:rsid w:val="002177D2"/>
    <w:rsid w:val="002951A0"/>
    <w:rsid w:val="002962BC"/>
    <w:rsid w:val="002A093D"/>
    <w:rsid w:val="002A49AC"/>
    <w:rsid w:val="002A64FD"/>
    <w:rsid w:val="002C7A84"/>
    <w:rsid w:val="003448F4"/>
    <w:rsid w:val="00363AF7"/>
    <w:rsid w:val="003A779E"/>
    <w:rsid w:val="003D0F4D"/>
    <w:rsid w:val="003E0499"/>
    <w:rsid w:val="003F15AD"/>
    <w:rsid w:val="003F3941"/>
    <w:rsid w:val="00400548"/>
    <w:rsid w:val="004368BC"/>
    <w:rsid w:val="004A1847"/>
    <w:rsid w:val="004A305D"/>
    <w:rsid w:val="004F21C4"/>
    <w:rsid w:val="004F685F"/>
    <w:rsid w:val="00533E8F"/>
    <w:rsid w:val="005566E8"/>
    <w:rsid w:val="005571E0"/>
    <w:rsid w:val="00574867"/>
    <w:rsid w:val="005A6AA1"/>
    <w:rsid w:val="005B5D8B"/>
    <w:rsid w:val="005C5CDC"/>
    <w:rsid w:val="005D33C9"/>
    <w:rsid w:val="005D476C"/>
    <w:rsid w:val="006219F8"/>
    <w:rsid w:val="00645D59"/>
    <w:rsid w:val="00665D70"/>
    <w:rsid w:val="00706C16"/>
    <w:rsid w:val="00727370"/>
    <w:rsid w:val="00753738"/>
    <w:rsid w:val="00756841"/>
    <w:rsid w:val="00763C80"/>
    <w:rsid w:val="007649AB"/>
    <w:rsid w:val="007833AC"/>
    <w:rsid w:val="007A6080"/>
    <w:rsid w:val="007B7171"/>
    <w:rsid w:val="007C3DC2"/>
    <w:rsid w:val="007D4E9A"/>
    <w:rsid w:val="007E5497"/>
    <w:rsid w:val="00806F5F"/>
    <w:rsid w:val="00820278"/>
    <w:rsid w:val="008843B6"/>
    <w:rsid w:val="00891928"/>
    <w:rsid w:val="008A446D"/>
    <w:rsid w:val="008F0EA7"/>
    <w:rsid w:val="00923EEF"/>
    <w:rsid w:val="009328DF"/>
    <w:rsid w:val="009419F9"/>
    <w:rsid w:val="00961B09"/>
    <w:rsid w:val="00965334"/>
    <w:rsid w:val="0097093E"/>
    <w:rsid w:val="009C71FA"/>
    <w:rsid w:val="009C72E7"/>
    <w:rsid w:val="00A17F13"/>
    <w:rsid w:val="00A20739"/>
    <w:rsid w:val="00A33C78"/>
    <w:rsid w:val="00AB0ADB"/>
    <w:rsid w:val="00AD5E99"/>
    <w:rsid w:val="00AD7F58"/>
    <w:rsid w:val="00B22E10"/>
    <w:rsid w:val="00B41C0A"/>
    <w:rsid w:val="00B72CD3"/>
    <w:rsid w:val="00B72FFF"/>
    <w:rsid w:val="00BD15D4"/>
    <w:rsid w:val="00BD2E7A"/>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77BFC"/>
    <w:rsid w:val="00FA0A7D"/>
    <w:rsid w:val="00FB5DD1"/>
    <w:rsid w:val="00FC2B5D"/>
    <w:rsid w:val="00FF1449"/>
    <w:rsid w:val="687B05C8"/>
    <w:rsid w:val="758F89AC"/>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3F15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F15AD"/>
    <w:rPr>
      <w:rFonts w:ascii="Geomanist Light" w:hAnsi="Geomanist Light"/>
      <w:lang w:val="es-ES"/>
    </w:rPr>
  </w:style>
  <w:style w:type="character" w:styleId="Refdecomentario">
    <w:name w:val="annotation reference"/>
    <w:basedOn w:val="Fuentedeprrafopredeter"/>
    <w:uiPriority w:val="99"/>
    <w:semiHidden/>
    <w:unhideWhenUsed/>
    <w:rsid w:val="003F15AD"/>
    <w:rPr>
      <w:sz w:val="16"/>
      <w:szCs w:val="16"/>
    </w:rPr>
  </w:style>
  <w:style w:type="paragraph" w:styleId="Textocomentario">
    <w:name w:val="annotation text"/>
    <w:basedOn w:val="Normal"/>
    <w:link w:val="TextocomentarioCar"/>
    <w:uiPriority w:val="99"/>
    <w:unhideWhenUsed/>
    <w:rsid w:val="003F15AD"/>
    <w:pPr>
      <w:spacing w:line="240" w:lineRule="auto"/>
    </w:pPr>
    <w:rPr>
      <w:sz w:val="20"/>
      <w:szCs w:val="20"/>
    </w:rPr>
  </w:style>
  <w:style w:type="character" w:customStyle="1" w:styleId="TextocomentarioCar">
    <w:name w:val="Texto comentario Car"/>
    <w:basedOn w:val="Fuentedeprrafopredeter"/>
    <w:link w:val="Textocomentario"/>
    <w:uiPriority w:val="99"/>
    <w:rsid w:val="003F15AD"/>
    <w:rPr>
      <w:sz w:val="20"/>
      <w:szCs w:val="20"/>
    </w:rPr>
  </w:style>
  <w:style w:type="paragraph" w:styleId="NormalWeb">
    <w:name w:val="Normal (Web)"/>
    <w:basedOn w:val="Normal"/>
    <w:link w:val="NormalWebCar"/>
    <w:uiPriority w:val="99"/>
    <w:unhideWhenUsed/>
    <w:rsid w:val="003F15A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F15A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4A231172-915D-41F1-BECE-A724DE8E395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5368</Words>
  <Characters>29527</Characters>
  <Application>Microsoft Office Word</Application>
  <DocSecurity>0</DocSecurity>
  <Lines>246</Lines>
  <Paragraphs>69</Paragraphs>
  <ScaleCrop>false</ScaleCrop>
  <Company/>
  <LinksUpToDate>false</LinksUpToDate>
  <CharactersWithSpaces>34826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2024-05-28T14:54:00Z</dcterms:created>
  <dcterms:modified xsi:type="dcterms:W3CDTF">2024-06-04T16:13:00Z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