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CEF04" w14:textId="77777777" w:rsidR="001E234F" w:rsidRPr="008900F6" w:rsidRDefault="001E234F" w:rsidP="001E234F">
      <w:pPr>
        <w:spacing w:after="0" w:line="240" w:lineRule="auto"/>
        <w:contextualSpacing/>
        <w:jc w:val="both"/>
        <w:rPr>
          <w:rFonts w:ascii="Verdana" w:eastAsia="Calibri" w:hAnsi="Verdana" w:cs="Arial"/>
          <w:b/>
          <w:bCs/>
          <w:highlight w:val="yellow"/>
          <w:lang w:val="es-MX" w:eastAsia="es-ES_tradnl"/>
          <w14:ligatures w14:val="standardContextual"/>
        </w:rPr>
      </w:pPr>
      <w:r w:rsidRPr="008900F6">
        <w:rPr>
          <w:rFonts w:ascii="Verdana" w:eastAsia="Calibri" w:hAnsi="Verdana" w:cs="Arial"/>
          <w:b/>
          <w:bCs/>
          <w:lang w:val="es-MX"/>
          <w14:ligatures w14:val="standardContextual"/>
        </w:rPr>
        <w:t>CAUSALES DE RECHAZO – Carácter restrictivo – Determinación objetiva</w:t>
      </w:r>
    </w:p>
    <w:p w14:paraId="667A1D3B" w14:textId="77777777" w:rsidR="001E234F" w:rsidRPr="008900F6" w:rsidRDefault="001E234F" w:rsidP="001E234F">
      <w:pPr>
        <w:spacing w:after="0" w:line="240" w:lineRule="auto"/>
        <w:contextualSpacing/>
        <w:jc w:val="both"/>
        <w:rPr>
          <w:rFonts w:ascii="Verdana" w:eastAsia="Calibri" w:hAnsi="Verdana" w:cs="Arial"/>
          <w:b/>
          <w:bCs/>
          <w:highlight w:val="yellow"/>
          <w:lang w:val="es-MX" w:eastAsia="es-ES_tradnl"/>
          <w14:ligatures w14:val="standardContextual"/>
        </w:rPr>
      </w:pPr>
    </w:p>
    <w:p w14:paraId="75C043C9" w14:textId="77777777" w:rsidR="001E234F" w:rsidRPr="008900F6" w:rsidRDefault="001E234F" w:rsidP="001E234F">
      <w:pPr>
        <w:contextualSpacing/>
        <w:jc w:val="both"/>
        <w:rPr>
          <w:rFonts w:ascii="Verdana" w:hAnsi="Verdana" w:cs="Arial"/>
          <w:noProof/>
          <w:sz w:val="20"/>
          <w:szCs w:val="20"/>
          <w:lang w:val="es-ES_tradnl"/>
          <w14:ligatures w14:val="standardContextual"/>
        </w:rPr>
      </w:pPr>
      <w:r w:rsidRPr="008900F6">
        <w:rPr>
          <w:rFonts w:ascii="Verdana" w:hAnsi="Verdana" w:cs="Arial"/>
          <w:noProof/>
          <w:sz w:val="20"/>
          <w:szCs w:val="20"/>
          <w:lang w:val="es-ES_tradnl"/>
          <w14:ligatures w14:val="standardContextual"/>
        </w:rPr>
        <w:t>[…] por la naturaleza propia de las causales de rechazo, su aplicación es estricta y restrictiva, lo que significa que su interpretación gramatical prevale sobre una interpretación extensiva o de otra índole, mediante la cual se pretenda ampliar su alcance.</w:t>
      </w:r>
    </w:p>
    <w:p w14:paraId="6BF570AD" w14:textId="77777777" w:rsidR="001E234F" w:rsidRPr="008900F6" w:rsidRDefault="001E234F" w:rsidP="001E234F">
      <w:pPr>
        <w:contextualSpacing/>
        <w:jc w:val="both"/>
        <w:rPr>
          <w:rFonts w:ascii="Verdana" w:hAnsi="Verdana" w:cs="Arial"/>
          <w:noProof/>
          <w:sz w:val="20"/>
          <w:szCs w:val="20"/>
          <w:lang w:val="es-ES_tradnl"/>
          <w14:ligatures w14:val="standardContextual"/>
        </w:rPr>
      </w:pPr>
      <w:r w:rsidRPr="008900F6">
        <w:rPr>
          <w:rFonts w:ascii="Verdana" w:hAnsi="Verdana" w:cs="Arial"/>
          <w:noProof/>
          <w:sz w:val="20"/>
          <w:szCs w:val="20"/>
          <w:lang w:val="es-ES_tradnl"/>
          <w14:ligatures w14:val="standardContextual"/>
        </w:rPr>
        <w:t>[…]</w:t>
      </w:r>
    </w:p>
    <w:p w14:paraId="41F08406" w14:textId="77777777" w:rsidR="001E234F" w:rsidRPr="008900F6" w:rsidRDefault="001E234F" w:rsidP="001E234F">
      <w:pPr>
        <w:contextualSpacing/>
        <w:jc w:val="both"/>
        <w:rPr>
          <w:rFonts w:ascii="Verdana" w:hAnsi="Verdana" w:cs="Arial"/>
          <w:noProof/>
          <w:sz w:val="20"/>
          <w:szCs w:val="20"/>
          <w:lang w:val="es-ES_tradnl"/>
          <w14:ligatures w14:val="standardContextual"/>
        </w:rPr>
      </w:pPr>
      <w:r w:rsidRPr="008900F6">
        <w:rPr>
          <w:rFonts w:ascii="Verdana" w:hAnsi="Verdana" w:cs="Arial"/>
          <w:noProof/>
          <w:sz w:val="20"/>
          <w:szCs w:val="20"/>
          <w:lang w:val="es-ES_tradnl"/>
          <w14:ligatures w14:val="standardContextual"/>
        </w:rPr>
        <w:t>[…] puede colegirse que las causales de rechazo de la oferta deben emanar directamente de la ley o del pliego de condiciones o incluso, de los Documentos Tipo expedidos por Colombia Compra Eficiente cuando el proceso se rija por estos, pero en uno y en otro caso deberán guardan relación con defectos, omisiones o circunstancias impeditivas que permitan deducir que la oferta no resulta favorable para los intereses de la entidad, en los términos del inciso 1 del artículo 5 de la Ley 1150 de 2007. En otras palabras, la determinación de las causales de rechazo, no pueden fundamentarse en consideraciones subjetivas, que conviertan dichas causales en inhabilidades para participar en los procesos de selección.</w:t>
      </w:r>
    </w:p>
    <w:p w14:paraId="4305B8AA" w14:textId="77777777" w:rsidR="001E234F" w:rsidRPr="008900F6" w:rsidRDefault="001E234F" w:rsidP="001E234F">
      <w:pPr>
        <w:spacing w:line="276" w:lineRule="auto"/>
        <w:jc w:val="both"/>
        <w:rPr>
          <w:rFonts w:ascii="Arial" w:hAnsi="Arial" w:cs="Arial"/>
          <w:b/>
          <w:bCs/>
          <w:color w:val="000000" w:themeColor="text1"/>
          <w:sz w:val="20"/>
          <w:szCs w:val="20"/>
          <w:lang w:val="es-MX"/>
        </w:rPr>
      </w:pPr>
    </w:p>
    <w:p w14:paraId="4D8A2D78" w14:textId="77777777" w:rsidR="001E234F" w:rsidRPr="008900F6" w:rsidRDefault="001E234F" w:rsidP="001E234F">
      <w:pPr>
        <w:spacing w:after="0" w:line="240" w:lineRule="auto"/>
        <w:contextualSpacing/>
        <w:jc w:val="both"/>
        <w:rPr>
          <w:rFonts w:ascii="Verdana" w:eastAsia="Calibri" w:hAnsi="Verdana" w:cs="Arial"/>
          <w:b/>
          <w:bCs/>
          <w:highlight w:val="yellow"/>
          <w:lang w:val="es-MX" w:eastAsia="es-ES_tradnl"/>
          <w14:ligatures w14:val="standardContextual"/>
        </w:rPr>
      </w:pPr>
      <w:r w:rsidRPr="008900F6">
        <w:rPr>
          <w:rFonts w:ascii="Verdana" w:eastAsia="Calibri" w:hAnsi="Verdana" w:cs="Arial"/>
          <w:b/>
          <w:bCs/>
          <w:lang w:val="es-MX"/>
          <w14:ligatures w14:val="standardContextual"/>
        </w:rPr>
        <w:t>DOCUMENTOS TIPO DE LICITACIÓN PÚBLICA – Causales de rechazo – Anexo técnico</w:t>
      </w:r>
    </w:p>
    <w:p w14:paraId="48FF3B05" w14:textId="77777777" w:rsidR="001E234F" w:rsidRPr="008900F6" w:rsidRDefault="001E234F" w:rsidP="001E234F">
      <w:pPr>
        <w:spacing w:line="276" w:lineRule="auto"/>
        <w:jc w:val="both"/>
        <w:rPr>
          <w:rFonts w:ascii="Arial" w:hAnsi="Arial" w:cs="Arial"/>
          <w:b/>
          <w:bCs/>
          <w:color w:val="000000" w:themeColor="text1"/>
          <w:sz w:val="20"/>
          <w:szCs w:val="20"/>
          <w:lang w:val="es-MX"/>
        </w:rPr>
      </w:pPr>
    </w:p>
    <w:p w14:paraId="02881446" w14:textId="77777777" w:rsidR="001E234F" w:rsidRPr="008900F6" w:rsidRDefault="001E234F" w:rsidP="001E234F">
      <w:pPr>
        <w:spacing w:after="0" w:line="240" w:lineRule="auto"/>
        <w:contextualSpacing/>
        <w:jc w:val="both"/>
        <w:rPr>
          <w:rFonts w:ascii="Verdana" w:eastAsia="Geomanist Light" w:hAnsi="Verdana" w:cs="Arial"/>
          <w:lang w:val="es-MX"/>
        </w:rPr>
      </w:pPr>
      <w:r w:rsidRPr="008900F6">
        <w:rPr>
          <w:rFonts w:ascii="Verdana" w:hAnsi="Verdana" w:cs="Arial"/>
          <w:noProof/>
          <w:sz w:val="20"/>
          <w:szCs w:val="20"/>
          <w:lang w:val="es-ES_tradnl"/>
          <w14:ligatures w14:val="standardContextual"/>
        </w:rPr>
        <w:t>[…] en los Documentos Tipo para licitación de obra pública de infraestructura de transporte – Versión 4, expedidos por esta Agencia mediante la Resolución 465 del 10 de septiembre de 2024, se establece en el numeral 1.15 del “Documento Base” como causales de rechazo de las ofertas en lo relacionado con el “Anexo 1 - Anexo Técnico”, las siguientes:</w:t>
      </w:r>
      <w:r w:rsidRPr="008900F6">
        <w:t xml:space="preserve"> </w:t>
      </w:r>
      <w:r w:rsidRPr="008900F6">
        <w:rPr>
          <w:rFonts w:ascii="Verdana" w:hAnsi="Verdana" w:cs="Arial"/>
          <w:noProof/>
          <w:sz w:val="20"/>
          <w:szCs w:val="20"/>
          <w:lang w:val="es-ES_tradnl"/>
          <w14:ligatures w14:val="standardContextual"/>
        </w:rPr>
        <w:t>“Y. Ofrecer un plazo superior al señalado por la entidad en el Anexo 1 – Anexo Técnico. […] Z. 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397E72A9" w14:textId="77777777" w:rsidR="001E234F" w:rsidRPr="008900F6" w:rsidRDefault="001E234F" w:rsidP="001E234F">
      <w:pPr>
        <w:spacing w:after="0" w:line="240" w:lineRule="auto"/>
        <w:rPr>
          <w:rFonts w:ascii="Verdana" w:eastAsia="Geomanist Light" w:hAnsi="Verdana" w:cs="Arial"/>
          <w:lang w:val="es-MX"/>
        </w:rPr>
      </w:pPr>
    </w:p>
    <w:p w14:paraId="43017DD6" w14:textId="77777777" w:rsidR="001E234F" w:rsidRPr="008900F6" w:rsidRDefault="001E234F" w:rsidP="001E234F">
      <w:pPr>
        <w:spacing w:after="0" w:line="240" w:lineRule="auto"/>
        <w:rPr>
          <w:rFonts w:ascii="Verdana" w:eastAsia="Geomanist Light" w:hAnsi="Verdana" w:cs="Arial"/>
          <w:lang w:val="es-MX"/>
        </w:rPr>
      </w:pPr>
    </w:p>
    <w:p w14:paraId="2B454D51" w14:textId="77777777" w:rsidR="001E234F" w:rsidRPr="008900F6" w:rsidRDefault="001E234F" w:rsidP="001E234F">
      <w:pPr>
        <w:spacing w:after="0" w:line="240" w:lineRule="auto"/>
        <w:rPr>
          <w:rFonts w:ascii="Verdana" w:eastAsia="Geomanist Light" w:hAnsi="Verdana" w:cs="Arial"/>
          <w:lang w:val="es-MX"/>
        </w:rPr>
      </w:pPr>
    </w:p>
    <w:p w14:paraId="1CB3D659" w14:textId="77777777" w:rsidR="001E234F" w:rsidRPr="008900F6" w:rsidRDefault="001E234F" w:rsidP="001E234F">
      <w:pPr>
        <w:spacing w:after="0" w:line="240" w:lineRule="auto"/>
        <w:rPr>
          <w:rFonts w:ascii="Verdana" w:eastAsia="Geomanist Light" w:hAnsi="Verdana" w:cs="Arial"/>
          <w:lang w:val="es-MX"/>
        </w:rPr>
      </w:pPr>
    </w:p>
    <w:p w14:paraId="3A32D778" w14:textId="77777777" w:rsidR="001E234F" w:rsidRPr="008900F6" w:rsidRDefault="001E234F" w:rsidP="001E234F">
      <w:pPr>
        <w:spacing w:after="0" w:line="240" w:lineRule="auto"/>
        <w:rPr>
          <w:rFonts w:ascii="Verdana" w:eastAsia="Geomanist Light" w:hAnsi="Verdana" w:cs="Arial"/>
          <w:lang w:val="es-MX"/>
        </w:rPr>
      </w:pPr>
    </w:p>
    <w:p w14:paraId="4B80E6D7" w14:textId="77777777" w:rsidR="001E234F" w:rsidRPr="008900F6" w:rsidRDefault="001E234F" w:rsidP="001E234F">
      <w:pPr>
        <w:spacing w:after="0" w:line="240" w:lineRule="auto"/>
        <w:rPr>
          <w:rFonts w:ascii="Verdana" w:eastAsia="Geomanist Light" w:hAnsi="Verdana" w:cs="Arial"/>
          <w:lang w:val="es-MX"/>
        </w:rPr>
      </w:pPr>
    </w:p>
    <w:p w14:paraId="2B24B48D" w14:textId="77777777" w:rsidR="001E234F" w:rsidRPr="008900F6" w:rsidRDefault="001E234F" w:rsidP="001E234F">
      <w:pPr>
        <w:spacing w:after="0" w:line="240" w:lineRule="auto"/>
        <w:rPr>
          <w:rFonts w:ascii="Verdana" w:eastAsia="Geomanist Light" w:hAnsi="Verdana" w:cs="Arial"/>
          <w:lang w:val="es-MX"/>
        </w:rPr>
      </w:pPr>
    </w:p>
    <w:p w14:paraId="3A2F5506" w14:textId="77777777" w:rsidR="001E234F" w:rsidRPr="008900F6" w:rsidRDefault="001E234F" w:rsidP="001E234F">
      <w:pPr>
        <w:spacing w:after="0" w:line="240" w:lineRule="auto"/>
        <w:rPr>
          <w:rFonts w:ascii="Verdana" w:eastAsia="Geomanist Light" w:hAnsi="Verdana" w:cs="Arial"/>
          <w:lang w:val="es-MX"/>
        </w:rPr>
      </w:pPr>
    </w:p>
    <w:p w14:paraId="44DD8BD0" w14:textId="77777777" w:rsidR="001E234F" w:rsidRDefault="001E234F" w:rsidP="001E234F">
      <w:pPr>
        <w:spacing w:after="0" w:line="240" w:lineRule="auto"/>
        <w:rPr>
          <w:rFonts w:ascii="Verdana" w:eastAsia="Geomanist Light" w:hAnsi="Verdana" w:cs="Arial"/>
          <w:lang w:val="es-MX"/>
        </w:rPr>
      </w:pPr>
    </w:p>
    <w:p w14:paraId="02499317" w14:textId="77777777" w:rsidR="001E234F" w:rsidRDefault="001E234F" w:rsidP="001E234F">
      <w:pPr>
        <w:spacing w:after="0" w:line="240" w:lineRule="auto"/>
        <w:rPr>
          <w:rFonts w:ascii="Verdana" w:eastAsia="Geomanist Light" w:hAnsi="Verdana" w:cs="Arial"/>
          <w:lang w:val="es-MX"/>
        </w:rPr>
      </w:pPr>
    </w:p>
    <w:p w14:paraId="5B9C9BBE" w14:textId="77777777" w:rsidR="001E234F" w:rsidRDefault="001E234F" w:rsidP="001E234F">
      <w:pPr>
        <w:spacing w:after="0" w:line="240" w:lineRule="auto"/>
        <w:rPr>
          <w:rFonts w:ascii="Verdana" w:eastAsia="Geomanist Light" w:hAnsi="Verdana" w:cs="Arial"/>
          <w:lang w:val="es-MX"/>
        </w:rPr>
      </w:pPr>
    </w:p>
    <w:p w14:paraId="220F9F52" w14:textId="77777777" w:rsidR="001E234F" w:rsidRDefault="001E234F" w:rsidP="001E234F">
      <w:pPr>
        <w:spacing w:after="0" w:line="240" w:lineRule="auto"/>
        <w:rPr>
          <w:rFonts w:ascii="Verdana" w:eastAsia="Geomanist Light" w:hAnsi="Verdana" w:cs="Arial"/>
          <w:lang w:val="es-MX"/>
        </w:rPr>
      </w:pPr>
    </w:p>
    <w:p w14:paraId="4C5FC85B" w14:textId="77777777" w:rsidR="001E234F" w:rsidRPr="008900F6" w:rsidRDefault="001E234F" w:rsidP="001E234F">
      <w:pPr>
        <w:spacing w:after="0" w:line="240" w:lineRule="auto"/>
        <w:rPr>
          <w:rFonts w:ascii="Verdana" w:eastAsia="Geomanist Light" w:hAnsi="Verdana" w:cs="Arial"/>
          <w:lang w:val="es-MX"/>
        </w:rPr>
      </w:pPr>
    </w:p>
    <w:p w14:paraId="11963469" w14:textId="72341E0F" w:rsidR="001E234F" w:rsidRPr="008900F6" w:rsidRDefault="001E234F" w:rsidP="001E234F">
      <w:pPr>
        <w:spacing w:after="0" w:line="240" w:lineRule="auto"/>
        <w:rPr>
          <w:rFonts w:ascii="Verdana" w:eastAsia="Geomanist Light" w:hAnsi="Verdana" w:cs="Arial"/>
          <w:lang w:val="es-MX"/>
        </w:rPr>
      </w:pPr>
      <w:r w:rsidRPr="008900F6">
        <w:rPr>
          <w:rFonts w:ascii="Verdana" w:eastAsia="Geomanist Light" w:hAnsi="Verdana" w:cs="Arial"/>
          <w:lang w:val="es-MX"/>
        </w:rPr>
        <w:lastRenderedPageBreak/>
        <w:t>Bogotá D.C., </w:t>
      </w:r>
      <w:r w:rsidR="005024EF">
        <w:rPr>
          <w:rFonts w:ascii="Verdana" w:eastAsia="Geomanist Light" w:hAnsi="Verdana" w:cs="Arial"/>
          <w:lang w:val="es-MX"/>
        </w:rPr>
        <w:t>28 de febrero de 2025</w:t>
      </w:r>
    </w:p>
    <w:p w14:paraId="4A656275" w14:textId="77777777" w:rsidR="001E234F" w:rsidRPr="008900F6" w:rsidRDefault="001E234F" w:rsidP="001E234F">
      <w:pPr>
        <w:spacing w:after="0" w:line="240" w:lineRule="auto"/>
        <w:jc w:val="both"/>
        <w:rPr>
          <w:rFonts w:ascii="Verdana" w:eastAsia="Calibri" w:hAnsi="Verdana" w:cs="Arial"/>
          <w:lang w:val="es-ES"/>
        </w:rPr>
      </w:pPr>
    </w:p>
    <w:p w14:paraId="2E7EF2D4" w14:textId="01CDDC68" w:rsidR="001E234F" w:rsidRPr="008900F6" w:rsidRDefault="00A16719" w:rsidP="001E234F">
      <w:pPr>
        <w:spacing w:after="0" w:line="240" w:lineRule="auto"/>
        <w:jc w:val="right"/>
        <w:rPr>
          <w:rFonts w:ascii="Verdana" w:eastAsia="Calibri" w:hAnsi="Verdana" w:cs="Arial"/>
          <w:lang w:val="es-ES" w:eastAsia="es-ES"/>
        </w:rPr>
      </w:pPr>
      <w:r w:rsidRPr="00A16719">
        <w:rPr>
          <w:rFonts w:ascii="Verdana" w:eastAsia="Calibri" w:hAnsi="Verdana" w:cs="Arial"/>
          <w:lang w:val="es-ES" w:eastAsia="es-ES"/>
        </w:rPr>
        <w:drawing>
          <wp:inline distT="0" distB="0" distL="0" distR="0" wp14:anchorId="518D2585" wp14:editId="2EE551CF">
            <wp:extent cx="3258005" cy="952633"/>
            <wp:effectExtent l="0" t="0" r="0" b="0"/>
            <wp:docPr id="128419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9123" name=""/>
                    <pic:cNvPicPr/>
                  </pic:nvPicPr>
                  <pic:blipFill>
                    <a:blip r:embed="rId10"/>
                    <a:stretch>
                      <a:fillRect/>
                    </a:stretch>
                  </pic:blipFill>
                  <pic:spPr>
                    <a:xfrm>
                      <a:off x="0" y="0"/>
                      <a:ext cx="3258005" cy="952633"/>
                    </a:xfrm>
                    <a:prstGeom prst="rect">
                      <a:avLst/>
                    </a:prstGeom>
                  </pic:spPr>
                </pic:pic>
              </a:graphicData>
            </a:graphic>
          </wp:inline>
        </w:drawing>
      </w:r>
    </w:p>
    <w:p w14:paraId="57367E10" w14:textId="77777777" w:rsidR="001E234F" w:rsidRPr="008900F6" w:rsidRDefault="001E234F" w:rsidP="001E234F">
      <w:pPr>
        <w:spacing w:after="0" w:line="240" w:lineRule="auto"/>
        <w:jc w:val="both"/>
        <w:rPr>
          <w:rFonts w:ascii="Verdana" w:eastAsia="Calibri" w:hAnsi="Verdana" w:cs="Arial"/>
          <w:lang w:val="es-ES" w:eastAsia="es-ES"/>
        </w:rPr>
      </w:pPr>
    </w:p>
    <w:p w14:paraId="608F1DDA" w14:textId="77777777" w:rsidR="001E234F" w:rsidRPr="008900F6" w:rsidRDefault="001E234F" w:rsidP="001E234F">
      <w:pPr>
        <w:spacing w:after="0" w:line="240" w:lineRule="auto"/>
        <w:jc w:val="both"/>
        <w:rPr>
          <w:rFonts w:ascii="Verdana" w:eastAsia="Calibri" w:hAnsi="Verdana" w:cs="Arial"/>
          <w:lang w:val="es-ES" w:eastAsia="es-ES"/>
        </w:rPr>
      </w:pPr>
      <w:r w:rsidRPr="008900F6">
        <w:rPr>
          <w:rFonts w:ascii="Verdana" w:eastAsia="Calibri" w:hAnsi="Verdana" w:cs="Arial"/>
          <w:lang w:val="es-ES" w:eastAsia="es-ES"/>
        </w:rPr>
        <w:t>Señor(a)</w:t>
      </w:r>
    </w:p>
    <w:p w14:paraId="6D791F91" w14:textId="77777777" w:rsidR="001E234F" w:rsidRPr="008900F6" w:rsidRDefault="001E234F" w:rsidP="001E234F">
      <w:pPr>
        <w:spacing w:after="0" w:line="240" w:lineRule="auto"/>
        <w:rPr>
          <w:rFonts w:ascii="Verdana" w:eastAsia="Calibri" w:hAnsi="Verdana" w:cs="Arial"/>
          <w:b/>
          <w:lang w:val="es-ES_tradnl" w:eastAsia="es-ES_tradnl"/>
        </w:rPr>
      </w:pPr>
      <w:r w:rsidRPr="008900F6">
        <w:rPr>
          <w:rFonts w:ascii="Verdana" w:eastAsia="Calibri" w:hAnsi="Verdana" w:cs="Arial"/>
          <w:b/>
          <w:lang w:val="es-ES_tradnl" w:eastAsia="es-ES_tradnl"/>
        </w:rPr>
        <w:t>Ciudadano(a) Anónimo(a)</w:t>
      </w:r>
    </w:p>
    <w:p w14:paraId="5ABCE2AE" w14:textId="77777777" w:rsidR="001E234F" w:rsidRPr="008900F6" w:rsidRDefault="001E234F" w:rsidP="001E234F">
      <w:pPr>
        <w:spacing w:after="0" w:line="240" w:lineRule="auto"/>
        <w:rPr>
          <w:rFonts w:ascii="Verdana" w:eastAsia="Calibri" w:hAnsi="Verdana" w:cs="Arial"/>
          <w:b/>
          <w:lang w:val="es-ES" w:eastAsia="es-ES"/>
        </w:rPr>
      </w:pPr>
      <w:r w:rsidRPr="008900F6">
        <w:rPr>
          <w:rFonts w:ascii="Verdana" w:eastAsia="Calibri" w:hAnsi="Verdana" w:cs="Arial"/>
          <w:lang w:val="es-ES" w:eastAsia="es-ES"/>
        </w:rPr>
        <w:t>Ciudad</w:t>
      </w:r>
    </w:p>
    <w:p w14:paraId="1B51015C" w14:textId="77777777" w:rsidR="001E234F" w:rsidRPr="008900F6" w:rsidRDefault="001E234F" w:rsidP="001E234F">
      <w:pPr>
        <w:spacing w:after="0" w:line="240" w:lineRule="auto"/>
        <w:rPr>
          <w:rFonts w:ascii="Verdana" w:eastAsia="Calibri" w:hAnsi="Verdana" w:cs="Arial"/>
          <w:b/>
          <w:bCs/>
          <w:lang w:val="es-ES_tradnl" w:eastAsia="es-ES_tradnl"/>
        </w:rPr>
      </w:pPr>
    </w:p>
    <w:p w14:paraId="0DADD93A" w14:textId="77777777" w:rsidR="001E234F" w:rsidRPr="008900F6" w:rsidRDefault="001E234F" w:rsidP="001E234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E234F" w:rsidRPr="008900F6" w14:paraId="2FB15B45" w14:textId="77777777" w:rsidTr="008C24C9">
        <w:trPr>
          <w:trHeight w:val="884"/>
        </w:trPr>
        <w:tc>
          <w:tcPr>
            <w:tcW w:w="2689" w:type="dxa"/>
          </w:tcPr>
          <w:p w14:paraId="61733F64" w14:textId="77777777" w:rsidR="001E234F" w:rsidRPr="008900F6" w:rsidRDefault="001E234F" w:rsidP="008C24C9">
            <w:pPr>
              <w:jc w:val="both"/>
              <w:rPr>
                <w:rFonts w:ascii="Verdana" w:eastAsia="Calibri" w:hAnsi="Verdana" w:cs="Arial"/>
                <w:b/>
                <w:bCs/>
                <w:lang w:val="es-ES_tradnl" w:eastAsia="es-ES_tradnl"/>
              </w:rPr>
            </w:pPr>
          </w:p>
        </w:tc>
        <w:tc>
          <w:tcPr>
            <w:tcW w:w="6100" w:type="dxa"/>
          </w:tcPr>
          <w:p w14:paraId="1D53B772" w14:textId="77777777" w:rsidR="001E234F" w:rsidRPr="008900F6" w:rsidRDefault="001E234F" w:rsidP="008C24C9">
            <w:pPr>
              <w:jc w:val="both"/>
              <w:rPr>
                <w:rFonts w:ascii="Verdana" w:eastAsia="Calibri" w:hAnsi="Verdana" w:cs="Arial"/>
                <w:b/>
                <w:bCs/>
                <w:lang w:val="es-ES" w:eastAsia="es-ES"/>
              </w:rPr>
            </w:pPr>
            <w:r w:rsidRPr="008900F6">
              <w:rPr>
                <w:rFonts w:ascii="Verdana" w:eastAsia="Calibri" w:hAnsi="Verdana" w:cs="Arial"/>
                <w:b/>
                <w:bCs/>
                <w:lang w:val="es-ES" w:eastAsia="es-ES"/>
              </w:rPr>
              <w:t>Concepto C- 071 de 2025</w:t>
            </w:r>
          </w:p>
        </w:tc>
      </w:tr>
      <w:tr w:rsidR="001E234F" w:rsidRPr="008900F6" w14:paraId="44E3F2F7" w14:textId="77777777" w:rsidTr="008C24C9">
        <w:trPr>
          <w:trHeight w:val="884"/>
        </w:trPr>
        <w:tc>
          <w:tcPr>
            <w:tcW w:w="2689" w:type="dxa"/>
          </w:tcPr>
          <w:p w14:paraId="42072B27" w14:textId="77777777" w:rsidR="001E234F" w:rsidRPr="008900F6" w:rsidRDefault="001E234F" w:rsidP="008C24C9">
            <w:pPr>
              <w:jc w:val="both"/>
              <w:rPr>
                <w:rFonts w:ascii="Verdana" w:eastAsia="Calibri" w:hAnsi="Verdana" w:cs="Arial"/>
                <w:lang w:val="es-ES_tradnl" w:eastAsia="es-ES_tradnl"/>
              </w:rPr>
            </w:pPr>
            <w:r w:rsidRPr="008900F6">
              <w:rPr>
                <w:rFonts w:ascii="Verdana" w:eastAsia="Calibri" w:hAnsi="Verdana" w:cs="Arial"/>
                <w:b/>
                <w:lang w:val="es-ES_tradnl" w:eastAsia="es-ES_tradnl"/>
              </w:rPr>
              <w:t>Temas:</w:t>
            </w:r>
            <w:r w:rsidRPr="008900F6">
              <w:rPr>
                <w:rFonts w:ascii="Verdana" w:eastAsia="Calibri" w:hAnsi="Verdana" w:cs="Arial"/>
                <w:lang w:val="es-ES_tradnl" w:eastAsia="es-ES_tradnl"/>
              </w:rPr>
              <w:t xml:space="preserve">                   </w:t>
            </w:r>
          </w:p>
        </w:tc>
        <w:tc>
          <w:tcPr>
            <w:tcW w:w="6100" w:type="dxa"/>
          </w:tcPr>
          <w:p w14:paraId="280F3CC7" w14:textId="77777777" w:rsidR="001E234F" w:rsidRPr="008900F6" w:rsidRDefault="001E234F" w:rsidP="008C24C9">
            <w:pPr>
              <w:spacing w:line="276" w:lineRule="auto"/>
              <w:jc w:val="both"/>
              <w:rPr>
                <w:rFonts w:ascii="Verdana" w:eastAsia="Calibri" w:hAnsi="Verdana" w:cs="Arial"/>
                <w:lang w:val="es-ES" w:eastAsia="es-ES"/>
              </w:rPr>
            </w:pPr>
            <w:r w:rsidRPr="008900F6">
              <w:rPr>
                <w:rFonts w:ascii="Verdana" w:eastAsia="Calibri" w:hAnsi="Verdana" w:cs="Arial"/>
                <w:lang w:val="es-ES" w:eastAsia="es-ES"/>
              </w:rPr>
              <w:t>CAUSALES DE RECHAZO – Carácter restrictivo – Determinación objetiva / DOCUMENTOS TIPO DE LICITACIÓN PÚBLICA – Causales de rechazo – Anexo técnico</w:t>
            </w:r>
          </w:p>
          <w:p w14:paraId="6B9B6E50" w14:textId="77777777" w:rsidR="001E234F" w:rsidRPr="008900F6" w:rsidRDefault="001E234F" w:rsidP="008C24C9">
            <w:pPr>
              <w:spacing w:line="276" w:lineRule="auto"/>
              <w:jc w:val="both"/>
              <w:rPr>
                <w:rFonts w:ascii="Verdana" w:eastAsia="Calibri" w:hAnsi="Verdana" w:cs="Arial"/>
                <w:lang w:val="es-ES" w:eastAsia="es-ES"/>
              </w:rPr>
            </w:pPr>
          </w:p>
        </w:tc>
      </w:tr>
      <w:tr w:rsidR="001E234F" w:rsidRPr="008900F6" w14:paraId="56CF4528" w14:textId="77777777" w:rsidTr="008C24C9">
        <w:tc>
          <w:tcPr>
            <w:tcW w:w="2689" w:type="dxa"/>
          </w:tcPr>
          <w:p w14:paraId="77ECC9F7" w14:textId="77777777" w:rsidR="001E234F" w:rsidRPr="008900F6" w:rsidRDefault="001E234F" w:rsidP="008C24C9">
            <w:pPr>
              <w:jc w:val="both"/>
              <w:rPr>
                <w:rFonts w:ascii="Verdana" w:eastAsia="Calibri" w:hAnsi="Verdana" w:cs="Arial"/>
                <w:b/>
                <w:lang w:val="es-ES_tradnl" w:eastAsia="es-ES_tradnl"/>
              </w:rPr>
            </w:pPr>
            <w:r w:rsidRPr="008900F6">
              <w:rPr>
                <w:rFonts w:ascii="Verdana" w:eastAsia="Calibri" w:hAnsi="Verdana" w:cs="Arial"/>
                <w:b/>
                <w:lang w:val="es-ES_tradnl" w:eastAsia="es-ES_tradnl"/>
              </w:rPr>
              <w:t>Radicación:</w:t>
            </w:r>
            <w:r w:rsidRPr="008900F6">
              <w:rPr>
                <w:rFonts w:ascii="Verdana" w:eastAsia="Calibri" w:hAnsi="Verdana" w:cs="Arial"/>
                <w:lang w:val="es-ES_tradnl" w:eastAsia="es-ES_tradnl"/>
              </w:rPr>
              <w:t xml:space="preserve">               </w:t>
            </w:r>
          </w:p>
        </w:tc>
        <w:tc>
          <w:tcPr>
            <w:tcW w:w="6100" w:type="dxa"/>
          </w:tcPr>
          <w:p w14:paraId="520CF992" w14:textId="77777777" w:rsidR="001E234F" w:rsidRPr="008900F6" w:rsidRDefault="001E234F" w:rsidP="008C24C9">
            <w:pPr>
              <w:jc w:val="both"/>
              <w:rPr>
                <w:rFonts w:ascii="Verdana" w:eastAsia="Calibri" w:hAnsi="Verdana" w:cs="Arial"/>
                <w:lang w:val="es-ES_tradnl" w:eastAsia="es-ES_tradnl"/>
              </w:rPr>
            </w:pPr>
            <w:r w:rsidRPr="008900F6">
              <w:rPr>
                <w:rFonts w:ascii="Verdana" w:eastAsia="Calibri" w:hAnsi="Verdana" w:cs="Arial"/>
                <w:lang w:val="es-ES_tradnl" w:eastAsia="es-ES_tradnl"/>
              </w:rPr>
              <w:t>Respuesta a consulta con radicado No. P20250123000580</w:t>
            </w:r>
            <w:r w:rsidRPr="008900F6">
              <w:rPr>
                <w:rFonts w:ascii="Verdana" w:eastAsia="Calibri" w:hAnsi="Verdana" w:cs="Arial"/>
                <w:lang w:val="es-ES_tradnl" w:eastAsia="es-ES_tradnl"/>
              </w:rPr>
              <w:tab/>
            </w:r>
          </w:p>
        </w:tc>
      </w:tr>
    </w:tbl>
    <w:p w14:paraId="689CF7AE" w14:textId="77777777" w:rsidR="001E234F" w:rsidRPr="008900F6" w:rsidRDefault="001E234F" w:rsidP="001E234F">
      <w:pPr>
        <w:spacing w:after="0" w:line="240" w:lineRule="auto"/>
        <w:jc w:val="both"/>
        <w:rPr>
          <w:rFonts w:ascii="Verdana" w:eastAsia="Calibri" w:hAnsi="Verdana" w:cs="Arial"/>
          <w:lang w:val="es-ES_tradnl" w:eastAsia="es-ES_tradnl"/>
        </w:rPr>
      </w:pPr>
    </w:p>
    <w:p w14:paraId="68D6BA7B" w14:textId="77777777" w:rsidR="001E234F" w:rsidRPr="008900F6" w:rsidRDefault="001E234F" w:rsidP="001E234F">
      <w:pPr>
        <w:spacing w:after="0" w:line="240" w:lineRule="auto"/>
        <w:jc w:val="both"/>
        <w:rPr>
          <w:rFonts w:ascii="Verdana" w:eastAsia="Calibri" w:hAnsi="Verdana" w:cs="Arial"/>
          <w:lang w:val="es-ES_tradnl" w:eastAsia="es-ES_tradnl"/>
        </w:rPr>
      </w:pPr>
    </w:p>
    <w:p w14:paraId="10BCEC95" w14:textId="77777777" w:rsidR="001E234F" w:rsidRPr="008900F6" w:rsidRDefault="001E234F" w:rsidP="001E234F">
      <w:pPr>
        <w:spacing w:after="0" w:line="276" w:lineRule="auto"/>
        <w:jc w:val="both"/>
        <w:rPr>
          <w:rFonts w:ascii="Verdana" w:eastAsia="Calibri" w:hAnsi="Verdana" w:cs="Arial"/>
          <w:lang w:val="es-ES" w:eastAsia="es-ES"/>
        </w:rPr>
      </w:pPr>
      <w:r w:rsidRPr="008900F6">
        <w:rPr>
          <w:rFonts w:ascii="Verdana" w:eastAsia="Calibri" w:hAnsi="Verdana" w:cs="Arial"/>
          <w:lang w:val="es-ES" w:eastAsia="es-ES"/>
        </w:rPr>
        <w:t xml:space="preserve">Estimado(a) Ciudadano(a) Anónimo(a): </w:t>
      </w:r>
    </w:p>
    <w:p w14:paraId="3ACCD92F" w14:textId="77777777" w:rsidR="001E234F" w:rsidRPr="008900F6" w:rsidRDefault="001E234F" w:rsidP="001E234F">
      <w:pPr>
        <w:tabs>
          <w:tab w:val="left" w:pos="3768"/>
        </w:tabs>
        <w:spacing w:after="0" w:line="276" w:lineRule="auto"/>
        <w:jc w:val="both"/>
        <w:rPr>
          <w:rFonts w:ascii="Verdana" w:eastAsia="Calibri" w:hAnsi="Verdana" w:cs="Arial"/>
          <w:lang w:val="es-ES" w:eastAsia="es-ES"/>
        </w:rPr>
      </w:pPr>
    </w:p>
    <w:p w14:paraId="5FB4BDBC" w14:textId="77777777" w:rsidR="001E234F" w:rsidRPr="008900F6" w:rsidRDefault="001E234F" w:rsidP="001E234F">
      <w:pPr>
        <w:spacing w:after="0" w:line="276" w:lineRule="auto"/>
        <w:jc w:val="both"/>
        <w:rPr>
          <w:rFonts w:ascii="Verdana" w:eastAsia="Calibri" w:hAnsi="Verdana" w:cs="Arial"/>
          <w:lang w:val="es-ES" w:eastAsia="es-ES"/>
        </w:rPr>
      </w:pPr>
      <w:r w:rsidRPr="008900F6">
        <w:rPr>
          <w:rFonts w:ascii="Verdana" w:eastAsia="Calibri" w:hAnsi="Verdana" w:cs="Arial"/>
          <w:lang w:val="es-ES" w:eastAsia="es-ES"/>
        </w:rPr>
        <w:t>En ejercicio de la competencia otorgada por los artículos 3, numeral 5º, y 11, numeral 8º, del Decreto Ley 4170 de 2011,</w:t>
      </w:r>
      <w:r w:rsidRPr="008900F6">
        <w:rPr>
          <w:rFonts w:ascii="Verdana" w:eastAsia="Arial MT" w:hAnsi="Verdana" w:cs="Arial MT"/>
          <w:lang w:val="es-ES" w:eastAsia="es-ES"/>
        </w:rPr>
        <w:t xml:space="preserve"> </w:t>
      </w:r>
      <w:r w:rsidRPr="008900F6">
        <w:rPr>
          <w:rFonts w:ascii="Verdana" w:hAnsi="Verdana" w:cs="Arial"/>
        </w:rPr>
        <w:t xml:space="preserve">así como lo establecido en el artículo 4 de la Resolución 1707 de 2018 expedida por esta Entidad, </w:t>
      </w:r>
      <w:r w:rsidRPr="008900F6">
        <w:rPr>
          <w:rFonts w:ascii="Verdana" w:eastAsia="Calibri" w:hAnsi="Verdana" w:cs="Arial"/>
          <w:lang w:val="es-ES" w:eastAsia="es-ES"/>
        </w:rPr>
        <w:t xml:space="preserve">la Agencia Nacional de Contratación Pública – Colombia Compra Eficiente– responde su solicitud de fecha del 23 de enero de 2025, en la que realiza la siguiente consulta: </w:t>
      </w:r>
    </w:p>
    <w:p w14:paraId="33DFB116" w14:textId="77777777" w:rsidR="001E234F" w:rsidRPr="008900F6" w:rsidRDefault="001E234F" w:rsidP="001E234F">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27996007" w14:textId="77777777" w:rsidR="001E234F" w:rsidRPr="008900F6" w:rsidRDefault="001E234F" w:rsidP="001E234F">
      <w:pPr>
        <w:tabs>
          <w:tab w:val="left" w:pos="709"/>
        </w:tabs>
        <w:spacing w:after="0" w:line="240" w:lineRule="auto"/>
        <w:ind w:left="709" w:right="709"/>
        <w:jc w:val="both"/>
        <w:rPr>
          <w:rFonts w:ascii="Verdana" w:eastAsia="Calibri" w:hAnsi="Verdana" w:cs="Vrinda"/>
          <w:sz w:val="20"/>
          <w:szCs w:val="20"/>
          <w:lang w:val="es-MX"/>
        </w:rPr>
      </w:pPr>
      <w:r w:rsidRPr="008900F6">
        <w:rPr>
          <w:rFonts w:ascii="Verdana" w:eastAsia="Calibri" w:hAnsi="Verdana" w:cs="Vrinda"/>
          <w:sz w:val="20"/>
          <w:szCs w:val="20"/>
          <w:lang w:val="es-MX"/>
        </w:rPr>
        <w:t xml:space="preserve">“Para un proceso de Licitación Publica, adelantado por Secop ll, se tiene el Presupuesto oficial y el anexo técnico 1, los cuales presentan diferencias en cuanto a actividades a ejecutar, ningún proponente observo sobre estas diferencias, y en la etapa de apertura de sobre económico, la entidad quiere rechazar a todos los oferentes por no tener en cuenta actividades que estaban en el anexo técnico, mas no estaban en el presupuesto oficial, entonces que documento prevalece en caso de tener diferencias? si se modifica el presupuesto oficial para que cumpla con el anexo tecnico, se </w:t>
      </w:r>
      <w:r w:rsidRPr="008900F6">
        <w:rPr>
          <w:rFonts w:ascii="Verdana" w:eastAsia="Calibri" w:hAnsi="Verdana" w:cs="Vrinda"/>
          <w:sz w:val="20"/>
          <w:szCs w:val="20"/>
          <w:lang w:val="es-MX"/>
        </w:rPr>
        <w:lastRenderedPageBreak/>
        <w:t>estaría incurriendo en la causal de rechazo o. la cual manifiesta que no se debe modificar el presupuesto oficial? o se estaría incurriendo en la causal de rechazo gg. la cual manifiesta que no se cumple con el anexo técnico 1”. [sic]</w:t>
      </w:r>
    </w:p>
    <w:p w14:paraId="4205A783" w14:textId="77777777" w:rsidR="001E234F" w:rsidRPr="008900F6" w:rsidRDefault="001E234F" w:rsidP="001E234F">
      <w:pPr>
        <w:spacing w:after="0" w:line="276" w:lineRule="auto"/>
        <w:ind w:firstLine="709"/>
        <w:jc w:val="both"/>
        <w:rPr>
          <w:rFonts w:ascii="Verdana" w:hAnsi="Verdana" w:cs="Vrinda"/>
        </w:rPr>
      </w:pPr>
    </w:p>
    <w:p w14:paraId="6DF8248E" w14:textId="77777777" w:rsidR="001E234F" w:rsidRPr="008900F6" w:rsidRDefault="001E234F" w:rsidP="001E234F">
      <w:pPr>
        <w:spacing w:after="0" w:line="276" w:lineRule="auto"/>
        <w:ind w:firstLine="709"/>
        <w:jc w:val="both"/>
        <w:rPr>
          <w:rFonts w:ascii="Verdana" w:eastAsia="Calibri" w:hAnsi="Verdana" w:cs="Arial"/>
          <w:szCs w:val="24"/>
          <w:lang w:val="es-ES_tradnl" w:eastAsia="es-ES_tradnl"/>
        </w:rPr>
      </w:pPr>
      <w:r w:rsidRPr="008900F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39F3EDD" w14:textId="77777777" w:rsidR="001E234F" w:rsidRPr="008900F6" w:rsidRDefault="001E234F" w:rsidP="001E234F">
      <w:pPr>
        <w:spacing w:before="120" w:after="0" w:line="276" w:lineRule="auto"/>
        <w:ind w:firstLine="709"/>
        <w:jc w:val="both"/>
        <w:rPr>
          <w:rFonts w:ascii="Verdana" w:eastAsia="Calibri" w:hAnsi="Verdana" w:cs="Arial"/>
          <w:lang w:val="es-ES" w:eastAsia="es-ES"/>
        </w:rPr>
      </w:pPr>
      <w:r w:rsidRPr="008900F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F3B980C" w14:textId="77777777" w:rsidR="001E234F" w:rsidRPr="008900F6" w:rsidRDefault="001E234F" w:rsidP="001E234F">
      <w:pPr>
        <w:spacing w:after="0" w:line="276" w:lineRule="auto"/>
        <w:ind w:firstLine="709"/>
        <w:jc w:val="both"/>
        <w:rPr>
          <w:rFonts w:ascii="Verdana" w:eastAsia="Calibri" w:hAnsi="Verdana" w:cs="Arial"/>
          <w:lang w:val="es-ES" w:eastAsia="es-ES"/>
        </w:rPr>
      </w:pPr>
    </w:p>
    <w:p w14:paraId="5C44F68C" w14:textId="77777777" w:rsidR="001E234F" w:rsidRPr="008900F6" w:rsidRDefault="001E234F" w:rsidP="001E234F">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8900F6">
        <w:rPr>
          <w:rFonts w:ascii="Verdana" w:eastAsia="Arial" w:hAnsi="Verdana" w:cs="Arial"/>
          <w:b/>
          <w:bCs/>
          <w:lang w:val="es-ES"/>
        </w:rPr>
        <w:t>1. Problema planteado:</w:t>
      </w:r>
    </w:p>
    <w:p w14:paraId="5CB3522B" w14:textId="77777777" w:rsidR="001E234F" w:rsidRPr="008900F6" w:rsidRDefault="001E234F" w:rsidP="001E234F">
      <w:pPr>
        <w:tabs>
          <w:tab w:val="left" w:pos="426"/>
        </w:tabs>
        <w:spacing w:after="0" w:line="276" w:lineRule="auto"/>
        <w:jc w:val="both"/>
        <w:rPr>
          <w:rFonts w:ascii="Verdana" w:eastAsia="Century Gothic" w:hAnsi="Verdana" w:cs="Century Gothic"/>
          <w:lang w:val="es-ES"/>
        </w:rPr>
      </w:pPr>
    </w:p>
    <w:p w14:paraId="66641861" w14:textId="77777777" w:rsidR="001E234F" w:rsidRPr="008900F6" w:rsidRDefault="001E234F" w:rsidP="001E234F">
      <w:pPr>
        <w:spacing w:after="0" w:line="276" w:lineRule="auto"/>
        <w:jc w:val="both"/>
        <w:rPr>
          <w:rFonts w:ascii="Verdana" w:eastAsia="Century Gothic" w:hAnsi="Verdana" w:cs="Century Gothic"/>
        </w:rPr>
      </w:pPr>
      <w:r w:rsidRPr="008900F6">
        <w:rPr>
          <w:rFonts w:ascii="Verdana" w:eastAsia="Century Gothic" w:hAnsi="Verdana" w:cs="Century Gothic"/>
        </w:rPr>
        <w:t xml:space="preserve">De acuerdo con el contenido de su solicitud, le informamos que la misma se resolverá desde el siguiente interrogante: ¿cuál </w:t>
      </w:r>
      <w:r>
        <w:rPr>
          <w:rFonts w:ascii="Verdana" w:eastAsia="Century Gothic" w:hAnsi="Verdana" w:cs="Century Gothic"/>
        </w:rPr>
        <w:t xml:space="preserve"> es la naturaleza de las causales de rechazo</w:t>
      </w:r>
      <w:r w:rsidRPr="008900F6">
        <w:rPr>
          <w:rFonts w:ascii="Verdana" w:eastAsia="Century Gothic" w:hAnsi="Verdana" w:cs="Century Gothic"/>
        </w:rPr>
        <w:t>?</w:t>
      </w:r>
      <w:bookmarkStart w:id="0" w:name="_Hlk171070029"/>
    </w:p>
    <w:p w14:paraId="29083C7F" w14:textId="77777777" w:rsidR="001E234F" w:rsidRPr="008900F6" w:rsidRDefault="001E234F" w:rsidP="001E234F">
      <w:pPr>
        <w:spacing w:after="0" w:line="276" w:lineRule="auto"/>
        <w:jc w:val="both"/>
        <w:rPr>
          <w:rFonts w:ascii="Verdana" w:eastAsia="Calibri" w:hAnsi="Verdana" w:cs="Arial"/>
          <w:lang w:val="es-ES"/>
        </w:rPr>
      </w:pPr>
    </w:p>
    <w:bookmarkEnd w:id="0"/>
    <w:p w14:paraId="3C05A642" w14:textId="77777777" w:rsidR="001E234F" w:rsidRPr="008900F6" w:rsidRDefault="001E234F" w:rsidP="001E234F">
      <w:pPr>
        <w:widowControl w:val="0"/>
        <w:autoSpaceDE w:val="0"/>
        <w:autoSpaceDN w:val="0"/>
        <w:spacing w:before="1" w:after="0" w:line="240" w:lineRule="auto"/>
        <w:jc w:val="both"/>
        <w:outlineLvl w:val="0"/>
        <w:rPr>
          <w:rFonts w:ascii="Verdana" w:eastAsia="Arial" w:hAnsi="Verdana" w:cs="Arial"/>
          <w:b/>
          <w:bCs/>
          <w:lang w:val="es-ES"/>
        </w:rPr>
      </w:pPr>
      <w:r w:rsidRPr="008900F6">
        <w:rPr>
          <w:rFonts w:ascii="Verdana" w:eastAsia="Arial" w:hAnsi="Verdana" w:cs="Arial"/>
          <w:b/>
          <w:bCs/>
          <w:lang w:val="es-ES"/>
        </w:rPr>
        <w:t>2. Respuesta:</w:t>
      </w:r>
      <w:bookmarkStart w:id="1" w:name="_Hlk171069729"/>
    </w:p>
    <w:bookmarkEnd w:id="1"/>
    <w:p w14:paraId="3FC80ED0" w14:textId="77777777" w:rsidR="001E234F" w:rsidRPr="008900F6" w:rsidRDefault="001E234F" w:rsidP="001E234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E234F" w:rsidRPr="008900F6" w14:paraId="3F151BBA" w14:textId="77777777" w:rsidTr="008C24C9">
        <w:tc>
          <w:tcPr>
            <w:tcW w:w="8828" w:type="dxa"/>
          </w:tcPr>
          <w:p w14:paraId="78ED1D6C" w14:textId="77777777" w:rsidR="001E234F" w:rsidRPr="000448D3" w:rsidRDefault="001E234F" w:rsidP="008C24C9">
            <w:pPr>
              <w:tabs>
                <w:tab w:val="left" w:pos="142"/>
                <w:tab w:val="left" w:pos="935"/>
              </w:tabs>
              <w:spacing w:line="276" w:lineRule="auto"/>
              <w:jc w:val="both"/>
              <w:rPr>
                <w:rFonts w:ascii="Verdana" w:eastAsia="Calibri" w:hAnsi="Verdana" w:cs="Arial"/>
              </w:rPr>
            </w:pPr>
            <w:r w:rsidRPr="000448D3">
              <w:rPr>
                <w:rFonts w:ascii="Verdana" w:eastAsia="Calibri" w:hAnsi="Verdana" w:cs="Ari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p>
          <w:p w14:paraId="3B8EAC99" w14:textId="77777777" w:rsidR="001E234F" w:rsidRPr="000448D3" w:rsidRDefault="001E234F" w:rsidP="008C24C9">
            <w:pPr>
              <w:tabs>
                <w:tab w:val="left" w:pos="142"/>
                <w:tab w:val="left" w:pos="935"/>
              </w:tabs>
              <w:spacing w:line="276" w:lineRule="auto"/>
              <w:jc w:val="both"/>
              <w:rPr>
                <w:rFonts w:ascii="Verdana" w:eastAsia="Calibri" w:hAnsi="Verdana" w:cs="Arial"/>
              </w:rPr>
            </w:pPr>
            <w:r w:rsidRPr="000448D3">
              <w:rPr>
                <w:rFonts w:ascii="Verdana" w:eastAsia="Calibri" w:hAnsi="Verdana" w:cs="Arial"/>
              </w:rPr>
              <w:t> </w:t>
            </w:r>
          </w:p>
          <w:p w14:paraId="6B8046DE" w14:textId="77777777" w:rsidR="001E234F" w:rsidRPr="000448D3" w:rsidRDefault="001E234F" w:rsidP="008C24C9">
            <w:pPr>
              <w:tabs>
                <w:tab w:val="left" w:pos="142"/>
                <w:tab w:val="left" w:pos="935"/>
              </w:tabs>
              <w:spacing w:line="276" w:lineRule="auto"/>
              <w:jc w:val="both"/>
              <w:rPr>
                <w:rFonts w:ascii="Verdana" w:eastAsia="Calibri" w:hAnsi="Verdana" w:cs="Arial"/>
              </w:rPr>
            </w:pPr>
            <w:r w:rsidRPr="000448D3">
              <w:rPr>
                <w:rFonts w:ascii="Verdana" w:eastAsia="Calibri" w:hAnsi="Verdana" w:cs="Arial"/>
              </w:rPr>
              <w:lastRenderedPageBreak/>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bookmarkStart w:id="2" w:name="_ftnref1"/>
            <w:r w:rsidRPr="000448D3">
              <w:rPr>
                <w:rFonts w:ascii="Verdana" w:eastAsia="Calibri" w:hAnsi="Verdana" w:cs="Arial"/>
              </w:rPr>
              <w:fldChar w:fldCharType="begin"/>
            </w:r>
            <w:r w:rsidRPr="000448D3">
              <w:rPr>
                <w:rFonts w:ascii="Verdana" w:eastAsia="Calibri" w:hAnsi="Verdana" w:cs="Arial"/>
              </w:rPr>
              <w:instrText>HYPERLINK "https://relatoria.colombiacompra.gov.co/conceptos/c-1018-de-2024/" \l "_ftn1"</w:instrText>
            </w:r>
            <w:r w:rsidRPr="000448D3">
              <w:rPr>
                <w:rFonts w:ascii="Verdana" w:eastAsia="Calibri" w:hAnsi="Verdana" w:cs="Arial"/>
              </w:rPr>
            </w:r>
            <w:r w:rsidRPr="000448D3">
              <w:rPr>
                <w:rFonts w:ascii="Verdana" w:eastAsia="Calibri" w:hAnsi="Verdana" w:cs="Arial"/>
              </w:rPr>
              <w:fldChar w:fldCharType="separate"/>
            </w:r>
            <w:r w:rsidRPr="000448D3">
              <w:rPr>
                <w:rStyle w:val="Hipervnculo"/>
                <w:rFonts w:ascii="Verdana" w:eastAsia="Calibri" w:hAnsi="Verdana" w:cs="Arial"/>
              </w:rPr>
              <w:t>[1]</w:t>
            </w:r>
            <w:r w:rsidRPr="000448D3">
              <w:rPr>
                <w:rFonts w:ascii="Verdana" w:eastAsia="Calibri" w:hAnsi="Verdana" w:cs="Arial"/>
                <w:lang w:val="es-ES"/>
              </w:rPr>
              <w:fldChar w:fldCharType="end"/>
            </w:r>
            <w:bookmarkEnd w:id="2"/>
            <w:r w:rsidRPr="000448D3">
              <w:rPr>
                <w:rFonts w:ascii="Verdana" w:eastAsia="Calibri" w:hAnsi="Verdana" w:cs="Arial"/>
              </w:rPr>
              <w:t> sostuvo:</w:t>
            </w:r>
          </w:p>
          <w:p w14:paraId="332B91F5" w14:textId="77777777" w:rsidR="001E234F" w:rsidRPr="000448D3" w:rsidRDefault="001E234F" w:rsidP="008C24C9">
            <w:pPr>
              <w:tabs>
                <w:tab w:val="left" w:pos="142"/>
                <w:tab w:val="left" w:pos="935"/>
              </w:tabs>
              <w:spacing w:line="276" w:lineRule="auto"/>
              <w:jc w:val="both"/>
              <w:rPr>
                <w:rFonts w:ascii="Verdana" w:eastAsia="Calibri" w:hAnsi="Verdana" w:cs="Arial"/>
              </w:rPr>
            </w:pPr>
            <w:r w:rsidRPr="000448D3">
              <w:rPr>
                <w:rFonts w:ascii="Verdana" w:eastAsia="Calibri" w:hAnsi="Verdana" w:cs="Arial"/>
              </w:rPr>
              <w:t> </w:t>
            </w:r>
          </w:p>
          <w:p w14:paraId="298B3FA5" w14:textId="77777777" w:rsidR="001E234F" w:rsidRPr="000448D3" w:rsidRDefault="001E234F" w:rsidP="008C24C9">
            <w:pPr>
              <w:tabs>
                <w:tab w:val="left" w:pos="142"/>
                <w:tab w:val="left" w:pos="935"/>
              </w:tabs>
              <w:spacing w:line="276" w:lineRule="auto"/>
              <w:jc w:val="both"/>
              <w:rPr>
                <w:rFonts w:ascii="Verdana" w:eastAsia="Calibri" w:hAnsi="Verdana" w:cs="Arial"/>
              </w:rPr>
            </w:pPr>
            <w:r w:rsidRPr="000448D3">
              <w:rPr>
                <w:rFonts w:ascii="Verdana" w:eastAsia="Calibri" w:hAnsi="Verdana" w:cs="Arial"/>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5E155609" w14:textId="77777777" w:rsidR="001E234F" w:rsidRPr="000448D3" w:rsidRDefault="001E234F" w:rsidP="008C24C9">
            <w:pPr>
              <w:tabs>
                <w:tab w:val="left" w:pos="142"/>
                <w:tab w:val="left" w:pos="935"/>
              </w:tabs>
              <w:spacing w:line="276" w:lineRule="auto"/>
              <w:jc w:val="both"/>
              <w:rPr>
                <w:rFonts w:ascii="Verdana" w:eastAsia="Calibri" w:hAnsi="Verdana" w:cs="Arial"/>
              </w:rPr>
            </w:pPr>
            <w:r w:rsidRPr="000448D3">
              <w:rPr>
                <w:rFonts w:ascii="Verdana" w:eastAsia="Calibri" w:hAnsi="Verdana" w:cs="Arial"/>
                <w:b/>
                <w:bCs/>
              </w:rPr>
              <w:t> </w:t>
            </w:r>
          </w:p>
          <w:p w14:paraId="739280D7" w14:textId="77777777" w:rsidR="001E234F" w:rsidRPr="008900F6" w:rsidRDefault="001E234F" w:rsidP="008C24C9">
            <w:pPr>
              <w:tabs>
                <w:tab w:val="left" w:pos="142"/>
                <w:tab w:val="left" w:pos="935"/>
              </w:tabs>
              <w:spacing w:line="276" w:lineRule="auto"/>
              <w:jc w:val="both"/>
              <w:rPr>
                <w:rFonts w:ascii="Verdana" w:eastAsia="Calibri" w:hAnsi="Verdana" w:cs="Arial"/>
                <w:lang w:val="es-ES"/>
              </w:rPr>
            </w:pPr>
            <w:r w:rsidRPr="008900F6">
              <w:rPr>
                <w:rFonts w:ascii="Verdana" w:eastAsia="Calibri" w:hAnsi="Verdana" w:cs="Arial"/>
                <w:lang w:val="es-ES"/>
              </w:rPr>
              <w:t>Las causales de rechazo son las establecidas en la Ley y las fijadas por la Entidad Estatal en los pliegos de condiciones. Sin embargo, en el ejercicio de dicha facultad a las entidades no les es dable el establecer causales de rechazo que afecten la selección objetiva en la contratación pública. De esta forma, por la naturaleza propia de las causales de rechazo, su aplicación es estricta y restrictiva, lo que significa que su interpretación gramatical prevalece sobre una interpretación extensiva o de otra índole, mediante la cual, se pretenda ampliar su alcance.</w:t>
            </w:r>
          </w:p>
          <w:p w14:paraId="5665B5AF" w14:textId="77777777" w:rsidR="001E234F" w:rsidRPr="008900F6" w:rsidRDefault="001E234F" w:rsidP="008C24C9">
            <w:pPr>
              <w:tabs>
                <w:tab w:val="left" w:pos="142"/>
                <w:tab w:val="left" w:pos="935"/>
              </w:tabs>
              <w:spacing w:line="276" w:lineRule="auto"/>
              <w:jc w:val="both"/>
              <w:rPr>
                <w:rFonts w:ascii="Verdana" w:eastAsia="Calibri" w:hAnsi="Verdana" w:cs="Arial"/>
                <w:lang w:val="es-ES"/>
              </w:rPr>
            </w:pPr>
          </w:p>
          <w:p w14:paraId="16F7E4E6" w14:textId="77777777" w:rsidR="001E234F" w:rsidRPr="008900F6" w:rsidRDefault="001E234F" w:rsidP="008C24C9">
            <w:pPr>
              <w:tabs>
                <w:tab w:val="left" w:pos="142"/>
                <w:tab w:val="left" w:pos="935"/>
              </w:tabs>
              <w:spacing w:line="276" w:lineRule="auto"/>
              <w:jc w:val="both"/>
              <w:rPr>
                <w:rFonts w:ascii="Verdana" w:eastAsia="Calibri" w:hAnsi="Verdana" w:cs="Arial"/>
                <w:lang w:val="es-ES"/>
              </w:rPr>
            </w:pPr>
            <w:r w:rsidRPr="008900F6">
              <w:rPr>
                <w:rFonts w:ascii="Verdana" w:eastAsia="Calibri" w:hAnsi="Verdana" w:cs="Arial"/>
                <w:lang w:val="es-ES"/>
              </w:rPr>
              <w:t>Sin embargo, en caso de que el proceso de selección se adelante en aplicación de los Documentos Tipo expedidos por Colombia Compra Eficiente, deberán aplicarse las causales que, en el respectivo Documento Base, se establezca para cada situación particular y concreta.</w:t>
            </w:r>
          </w:p>
        </w:tc>
      </w:tr>
    </w:tbl>
    <w:p w14:paraId="27D5960C" w14:textId="77777777" w:rsidR="001E234F" w:rsidRPr="008900F6" w:rsidRDefault="001E234F" w:rsidP="001E234F">
      <w:pPr>
        <w:tabs>
          <w:tab w:val="left" w:pos="142"/>
          <w:tab w:val="left" w:pos="284"/>
        </w:tabs>
        <w:spacing w:after="0" w:line="276" w:lineRule="auto"/>
        <w:jc w:val="both"/>
        <w:rPr>
          <w:rFonts w:ascii="Verdana" w:eastAsia="Century Gothic" w:hAnsi="Verdana" w:cs="Century Gothic"/>
          <w:b/>
          <w:bCs/>
          <w:lang w:val="es-ES"/>
        </w:rPr>
      </w:pPr>
    </w:p>
    <w:p w14:paraId="47EA1E47" w14:textId="77777777" w:rsidR="001E234F" w:rsidRPr="008900F6" w:rsidRDefault="001E234F" w:rsidP="001E234F">
      <w:pPr>
        <w:widowControl w:val="0"/>
        <w:autoSpaceDE w:val="0"/>
        <w:autoSpaceDN w:val="0"/>
        <w:spacing w:before="1" w:after="0" w:line="240" w:lineRule="auto"/>
        <w:ind w:left="360" w:hanging="360"/>
        <w:outlineLvl w:val="0"/>
        <w:rPr>
          <w:rFonts w:ascii="Verdana" w:eastAsia="Arial" w:hAnsi="Verdana" w:cs="Arial"/>
          <w:b/>
          <w:bCs/>
          <w:lang w:val="es-ES"/>
        </w:rPr>
      </w:pPr>
      <w:r w:rsidRPr="008900F6">
        <w:rPr>
          <w:rFonts w:ascii="Verdana" w:eastAsia="Arial" w:hAnsi="Verdana" w:cs="Arial"/>
          <w:b/>
          <w:bCs/>
          <w:lang w:val="es-ES"/>
        </w:rPr>
        <w:t>3. Razones de la respuesta</w:t>
      </w:r>
    </w:p>
    <w:p w14:paraId="7B98746A" w14:textId="77777777" w:rsidR="001E234F" w:rsidRPr="008900F6" w:rsidRDefault="001E234F" w:rsidP="001E234F">
      <w:pPr>
        <w:spacing w:after="0" w:line="276" w:lineRule="auto"/>
        <w:jc w:val="both"/>
        <w:rPr>
          <w:rFonts w:ascii="Verdana" w:eastAsia="Calibri" w:hAnsi="Verdana" w:cs="Arial"/>
          <w:lang w:val="es-ES"/>
        </w:rPr>
      </w:pPr>
    </w:p>
    <w:p w14:paraId="22B6F28E" w14:textId="77777777" w:rsidR="001E234F" w:rsidRPr="008900F6" w:rsidRDefault="001E234F" w:rsidP="001E234F">
      <w:pPr>
        <w:spacing w:after="0" w:line="276" w:lineRule="auto"/>
        <w:jc w:val="both"/>
        <w:rPr>
          <w:rFonts w:ascii="Verdana" w:eastAsia="Calibri" w:hAnsi="Verdana" w:cs="Arial"/>
          <w:lang w:val="es-ES"/>
        </w:rPr>
      </w:pPr>
      <w:r w:rsidRPr="008900F6">
        <w:rPr>
          <w:rFonts w:ascii="Verdana" w:eastAsia="Calibri" w:hAnsi="Verdana" w:cs="Arial"/>
          <w:lang w:val="es-ES"/>
        </w:rPr>
        <w:lastRenderedPageBreak/>
        <w:t xml:space="preserve">Las respuestas anteriores se sustentan en las siguientes consideraciones: </w:t>
      </w:r>
    </w:p>
    <w:p w14:paraId="5F8408BA" w14:textId="77777777" w:rsidR="001E234F" w:rsidRPr="008900F6" w:rsidRDefault="001E234F" w:rsidP="001E234F">
      <w:pPr>
        <w:spacing w:after="0" w:line="276" w:lineRule="auto"/>
        <w:jc w:val="both"/>
        <w:rPr>
          <w:rFonts w:ascii="Verdana" w:eastAsia="Calibri" w:hAnsi="Verdana" w:cs="Arial"/>
          <w:lang w:val="es-ES"/>
        </w:rPr>
      </w:pPr>
    </w:p>
    <w:p w14:paraId="674FAAEC" w14:textId="77777777" w:rsidR="001E234F" w:rsidRPr="008900F6" w:rsidRDefault="001E234F" w:rsidP="001E234F">
      <w:pPr>
        <w:numPr>
          <w:ilvl w:val="0"/>
          <w:numId w:val="1"/>
        </w:numPr>
        <w:spacing w:after="0" w:line="276" w:lineRule="auto"/>
        <w:contextualSpacing/>
        <w:jc w:val="both"/>
        <w:rPr>
          <w:rFonts w:ascii="Verdana" w:eastAsia="Calibri" w:hAnsi="Verdana"/>
          <w:lang w:val="es-ES"/>
        </w:rPr>
      </w:pPr>
      <w:r w:rsidRPr="008900F6">
        <w:rPr>
          <w:rFonts w:ascii="Verdana" w:eastAsia="Calibri" w:hAnsi="Verdana"/>
          <w:lang w:val="es-ES"/>
        </w:rPr>
        <w:t>De manera preliminar, debe precisarse que, las causales de rechazo son las establecidas en la ley y las fijadas por la Entidad Estatal en los pliegos de condiciones o documento equivalente. Sin embargo, en el ejercicio de dicha facultad, a las entidades no les es dable fijar causales de rechazo que soslayen o afecten la selección objetiva en la contratación. Sobre el particular, el Consejo de Estado</w:t>
      </w:r>
      <w:r w:rsidRPr="008900F6">
        <w:rPr>
          <w:rFonts w:ascii="Verdana" w:eastAsia="Calibri" w:hAnsi="Verdana" w:cs="Arial"/>
          <w:i/>
          <w:iCs/>
          <w:vertAlign w:val="superscript"/>
        </w:rPr>
        <w:footnoteReference w:id="1"/>
      </w:r>
      <w:r w:rsidRPr="008900F6">
        <w:rPr>
          <w:rFonts w:ascii="Verdana" w:eastAsia="Calibri" w:hAnsi="Verdana" w:cs="Arial"/>
          <w:sz w:val="24"/>
          <w:szCs w:val="24"/>
        </w:rPr>
        <w:t xml:space="preserve"> </w:t>
      </w:r>
      <w:r w:rsidRPr="008900F6">
        <w:rPr>
          <w:rFonts w:ascii="Verdana" w:eastAsia="Calibri" w:hAnsi="Verdana"/>
          <w:lang w:val="es-ES"/>
        </w:rPr>
        <w:t>señaló:</w:t>
      </w:r>
    </w:p>
    <w:p w14:paraId="765D1A64" w14:textId="77777777" w:rsidR="001E234F" w:rsidRPr="008900F6" w:rsidRDefault="001E234F" w:rsidP="001E234F">
      <w:pPr>
        <w:spacing w:after="0" w:line="276" w:lineRule="auto"/>
        <w:ind w:left="720"/>
        <w:contextualSpacing/>
        <w:jc w:val="both"/>
        <w:rPr>
          <w:rFonts w:ascii="Verdana" w:eastAsia="Calibri" w:hAnsi="Verdana"/>
          <w:lang w:val="es-ES"/>
        </w:rPr>
      </w:pPr>
    </w:p>
    <w:p w14:paraId="6CCA556D" w14:textId="77777777" w:rsidR="001E234F" w:rsidRPr="008900F6" w:rsidRDefault="001E234F" w:rsidP="001E234F">
      <w:pPr>
        <w:spacing w:after="0" w:line="240" w:lineRule="auto"/>
        <w:ind w:left="1276" w:right="1276"/>
        <w:contextualSpacing/>
        <w:jc w:val="both"/>
        <w:rPr>
          <w:rFonts w:ascii="Verdana" w:eastAsia="Calibri" w:hAnsi="Verdana"/>
          <w:sz w:val="20"/>
          <w:szCs w:val="20"/>
          <w:lang w:val="es-ES"/>
        </w:rPr>
      </w:pPr>
      <w:r w:rsidRPr="008900F6">
        <w:rPr>
          <w:rFonts w:ascii="Verdana" w:eastAsia="Calibri" w:hAnsi="Verdana"/>
          <w:sz w:val="20"/>
          <w:szCs w:val="20"/>
          <w:lang w:val="es-ES"/>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293C3467" w14:textId="77777777" w:rsidR="001E234F" w:rsidRPr="008900F6" w:rsidRDefault="001E234F" w:rsidP="001E234F">
      <w:pPr>
        <w:spacing w:after="0" w:line="276" w:lineRule="auto"/>
        <w:ind w:left="720"/>
        <w:contextualSpacing/>
        <w:jc w:val="both"/>
        <w:rPr>
          <w:rFonts w:ascii="Verdana" w:eastAsia="Calibri" w:hAnsi="Verdana"/>
          <w:lang w:val="es-ES"/>
        </w:rPr>
      </w:pPr>
    </w:p>
    <w:p w14:paraId="05B32C5D" w14:textId="77777777" w:rsidR="001E234F" w:rsidRPr="008900F6" w:rsidRDefault="001E234F" w:rsidP="001E234F">
      <w:pPr>
        <w:numPr>
          <w:ilvl w:val="0"/>
          <w:numId w:val="1"/>
        </w:numPr>
        <w:spacing w:after="0" w:line="276" w:lineRule="auto"/>
        <w:contextualSpacing/>
        <w:jc w:val="both"/>
        <w:rPr>
          <w:rFonts w:ascii="Verdana" w:eastAsia="Calibri" w:hAnsi="Verdana"/>
          <w:lang w:val="es-ES"/>
        </w:rPr>
      </w:pPr>
      <w:r w:rsidRPr="008900F6">
        <w:rPr>
          <w:rFonts w:ascii="Verdana" w:eastAsia="Calibri" w:hAnsi="Verdana"/>
          <w:lang w:val="es-ES"/>
        </w:rPr>
        <w:t>Esta entidad ha reiterado la postura del Consejo de Estado, según la cual, por la naturaleza propia de las causales de rechazo, su aplicación es estricta y restrictiva, lo que significa que su interpretación gramatical prevale sobre una interpretación extensiva o de otra índole, mediante la cual se pretenda ampliar su alcance. Sobre el particular el Alto Tribunal Administrativo</w:t>
      </w:r>
      <w:r w:rsidRPr="008900F6">
        <w:rPr>
          <w:rFonts w:ascii="Verdana" w:eastAsia="Calibri" w:hAnsi="Verdana" w:cs="Arial"/>
          <w:i/>
          <w:vertAlign w:val="superscript"/>
        </w:rPr>
        <w:footnoteReference w:id="2"/>
      </w:r>
      <w:r w:rsidRPr="008900F6">
        <w:rPr>
          <w:rFonts w:ascii="Verdana" w:eastAsia="Calibri" w:hAnsi="Verdana"/>
          <w:lang w:val="es-ES"/>
        </w:rPr>
        <w:t>, sostuvo:</w:t>
      </w:r>
    </w:p>
    <w:p w14:paraId="45B99033" w14:textId="77777777" w:rsidR="001E234F" w:rsidRPr="008900F6" w:rsidRDefault="001E234F" w:rsidP="001E234F">
      <w:pPr>
        <w:spacing w:after="0" w:line="276" w:lineRule="auto"/>
        <w:ind w:left="720"/>
        <w:contextualSpacing/>
        <w:jc w:val="both"/>
        <w:rPr>
          <w:rFonts w:ascii="Verdana" w:eastAsia="Calibri" w:hAnsi="Verdana"/>
          <w:lang w:val="es-ES"/>
        </w:rPr>
      </w:pPr>
    </w:p>
    <w:p w14:paraId="7ADDD901" w14:textId="77777777" w:rsidR="001E234F" w:rsidRPr="008900F6" w:rsidRDefault="001E234F" w:rsidP="001E234F">
      <w:pPr>
        <w:spacing w:after="0" w:line="276" w:lineRule="auto"/>
        <w:ind w:left="1276" w:right="1276"/>
        <w:contextualSpacing/>
        <w:jc w:val="both"/>
        <w:rPr>
          <w:rFonts w:ascii="Verdana" w:eastAsia="Calibri" w:hAnsi="Verdana"/>
          <w:lang w:val="es-ES"/>
        </w:rPr>
      </w:pPr>
      <w:r w:rsidRPr="008900F6">
        <w:rPr>
          <w:rFonts w:ascii="Verdana" w:eastAsia="Calibri" w:hAnsi="Verdana"/>
          <w:sz w:val="20"/>
          <w:szCs w:val="20"/>
          <w:lang w:val="es-ES"/>
        </w:rPr>
        <w:t xml:space="preserve">“En esta línea de pensamiento, resulta claro que el rechazo o la descalificación de ofertas no puede depender de la libre discrecionalidad de la administración, en la medida en que el oferente, por el hecho de participar en el proceso licitatorio, </w:t>
      </w:r>
      <w:r w:rsidRPr="008900F6">
        <w:rPr>
          <w:rFonts w:ascii="Verdana" w:eastAsia="Calibri" w:hAnsi="Verdana"/>
          <w:sz w:val="20"/>
          <w:szCs w:val="20"/>
          <w:lang w:val="es-ES"/>
        </w:rPr>
        <w:lastRenderedPageBreak/>
        <w:t>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2BDAEB75" w14:textId="77777777" w:rsidR="001E234F" w:rsidRPr="008900F6" w:rsidRDefault="001E234F" w:rsidP="001E234F">
      <w:pPr>
        <w:spacing w:after="0" w:line="276" w:lineRule="auto"/>
        <w:ind w:left="720"/>
        <w:contextualSpacing/>
        <w:jc w:val="both"/>
        <w:rPr>
          <w:rFonts w:ascii="Verdana" w:eastAsia="Calibri" w:hAnsi="Verdana"/>
          <w:lang w:val="es-ES"/>
        </w:rPr>
      </w:pPr>
    </w:p>
    <w:p w14:paraId="0887B728" w14:textId="77777777" w:rsidR="001E234F" w:rsidRPr="008900F6" w:rsidRDefault="001E234F" w:rsidP="001E234F">
      <w:pPr>
        <w:numPr>
          <w:ilvl w:val="0"/>
          <w:numId w:val="1"/>
        </w:numPr>
        <w:spacing w:after="0" w:line="276" w:lineRule="auto"/>
        <w:contextualSpacing/>
        <w:jc w:val="both"/>
        <w:rPr>
          <w:rFonts w:ascii="Verdana" w:eastAsia="Calibri" w:hAnsi="Verdana"/>
          <w:lang w:val="es-ES"/>
        </w:rPr>
      </w:pPr>
      <w:r w:rsidRPr="008900F6">
        <w:rPr>
          <w:rFonts w:ascii="Verdana" w:eastAsia="Calibri" w:hAnsi="Verdana" w:cs="Arial"/>
          <w:lang w:val="es-ES"/>
        </w:rPr>
        <w:t>Ahora bien, debe precisarse que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al Estatuto General de Contratación de la Administración Pública como al de las exceptuadas de este, guardando una estrecha relación con el principio de selección objetiva.</w:t>
      </w:r>
    </w:p>
    <w:p w14:paraId="598A303A" w14:textId="77777777" w:rsidR="001E234F" w:rsidRPr="008900F6" w:rsidRDefault="001E234F" w:rsidP="001E234F">
      <w:pPr>
        <w:spacing w:after="0" w:line="276" w:lineRule="auto"/>
        <w:ind w:left="720"/>
        <w:contextualSpacing/>
        <w:jc w:val="both"/>
        <w:rPr>
          <w:rFonts w:ascii="Verdana" w:eastAsia="Calibri" w:hAnsi="Verdana"/>
          <w:lang w:val="es-ES"/>
        </w:rPr>
      </w:pPr>
    </w:p>
    <w:p w14:paraId="256911D7" w14:textId="77777777" w:rsidR="001E234F" w:rsidRPr="008900F6" w:rsidRDefault="001E234F" w:rsidP="001E234F">
      <w:pPr>
        <w:numPr>
          <w:ilvl w:val="0"/>
          <w:numId w:val="1"/>
        </w:numPr>
        <w:spacing w:after="0" w:line="276" w:lineRule="auto"/>
        <w:contextualSpacing/>
        <w:jc w:val="both"/>
        <w:rPr>
          <w:rFonts w:ascii="Verdana" w:eastAsia="Calibri" w:hAnsi="Verdana" w:cs="Arial"/>
          <w:lang w:val="es-ES"/>
        </w:rPr>
      </w:pPr>
      <w:r w:rsidRPr="008900F6">
        <w:rPr>
          <w:rFonts w:ascii="Verdana" w:eastAsia="Calibri" w:hAnsi="Verdana"/>
          <w:lang w:val="es-ES"/>
        </w:rPr>
        <w:t>Dichos principios tienen un papel relevante en la elaboración de los pliegos de condiciones o documentos equivalentes, pues si bien las entidades tienen un margen de autonomía para definir algunos aspectos del futuro negocio, las causales de rechazo de las propuestas deben ser razonables, bien porque algunas de éstas se encuentren previstas en el ordenamiento o porque conducen a que no se adjudique el contrato al proponente que no cumple con los requisitos técnicos y económicos para su ejecución. En esta medida, dichas causales no deben fundamentarse en el simple capricho o el mero arbitrio, lo cual –</w:t>
      </w:r>
      <w:r w:rsidRPr="008900F6">
        <w:rPr>
          <w:rFonts w:ascii="Verdana" w:eastAsia="Calibri" w:hAnsi="Verdana" w:cs="Arial"/>
          <w:lang w:val="es-ES"/>
        </w:rPr>
        <w:t>además de contrariar los principios analizados– limita la participación.</w:t>
      </w:r>
    </w:p>
    <w:p w14:paraId="4ADE26BE" w14:textId="77777777" w:rsidR="001E234F" w:rsidRPr="008900F6" w:rsidRDefault="001E234F" w:rsidP="001E234F">
      <w:pPr>
        <w:spacing w:line="276" w:lineRule="auto"/>
        <w:ind w:left="720"/>
        <w:contextualSpacing/>
        <w:rPr>
          <w:rFonts w:ascii="Verdana" w:eastAsia="Calibri" w:hAnsi="Verdana"/>
          <w:lang w:val="es-ES"/>
        </w:rPr>
      </w:pPr>
    </w:p>
    <w:p w14:paraId="4781255C" w14:textId="77777777" w:rsidR="001E234F" w:rsidRPr="008900F6" w:rsidRDefault="001E234F" w:rsidP="001E234F">
      <w:pPr>
        <w:numPr>
          <w:ilvl w:val="0"/>
          <w:numId w:val="1"/>
        </w:numPr>
        <w:spacing w:after="0" w:line="276" w:lineRule="auto"/>
        <w:contextualSpacing/>
        <w:jc w:val="both"/>
        <w:rPr>
          <w:rFonts w:ascii="Verdana" w:eastAsia="Calibri" w:hAnsi="Verdana" w:cs="Arial"/>
          <w:lang w:val="es-ES"/>
        </w:rPr>
      </w:pPr>
      <w:r w:rsidRPr="008900F6">
        <w:rPr>
          <w:rFonts w:ascii="Verdana" w:eastAsia="Calibri" w:hAnsi="Verdana"/>
          <w:lang w:val="es-ES"/>
        </w:rPr>
        <w:t>De esta forma, puede colegirse que las causales de rechazo de la oferta deben emanar directamente de la ley o del pliego de condiciones o incluso, de los Documentos Tipo expedidos por Colombia Compra Eficiente cuando el proceso se rija por estos, pero en uno y en otro caso deberán guardan relación con defectos, omisiones o circunstancias impeditivas que permitan deducir que la oferta no resulta favorable para los intereses de la entidad, en los términos del inciso 1 del artículo 5 de la Ley 1150 de 2007. En otras palabras, la determinación de las causales de rechazo, no pueden fundamentarse en consideraciones subjetivas, que conviertan dichas causales en inhabilidades para participar en los procesos de selección.</w:t>
      </w:r>
    </w:p>
    <w:p w14:paraId="40830833" w14:textId="77777777" w:rsidR="001E234F" w:rsidRPr="008900F6" w:rsidRDefault="001E234F" w:rsidP="001E234F">
      <w:pPr>
        <w:spacing w:after="0"/>
        <w:ind w:left="720"/>
        <w:contextualSpacing/>
        <w:rPr>
          <w:rFonts w:ascii="Verdana" w:eastAsia="Calibri" w:hAnsi="Verdana" w:cs="Arial"/>
          <w:lang w:val="es-ES"/>
        </w:rPr>
      </w:pPr>
    </w:p>
    <w:p w14:paraId="7DDE54D4" w14:textId="77777777" w:rsidR="001E234F" w:rsidRPr="008900F6" w:rsidRDefault="001E234F" w:rsidP="001E234F">
      <w:pPr>
        <w:numPr>
          <w:ilvl w:val="0"/>
          <w:numId w:val="1"/>
        </w:numPr>
        <w:spacing w:after="0" w:line="276" w:lineRule="auto"/>
        <w:contextualSpacing/>
        <w:jc w:val="both"/>
        <w:rPr>
          <w:rFonts w:ascii="Verdana" w:eastAsia="Calibri" w:hAnsi="Verdana" w:cs="Arial"/>
          <w:lang w:val="es-ES"/>
        </w:rPr>
      </w:pPr>
      <w:r w:rsidRPr="008900F6">
        <w:rPr>
          <w:rFonts w:ascii="Verdana" w:eastAsia="Calibri" w:hAnsi="Verdana" w:cs="Arial"/>
          <w:lang w:val="es-ES"/>
        </w:rPr>
        <w:t>Por otra parte, a modo de ejemplo se precisa que, en los Documentos Tipo para licitación de obra pública de infraestructura de transporte – Versión 4, expedidos por esta Agencia mediante la Resolución 465 del 10 de septiembre de 2024, se establece en el numeral 1.15 del “Documento Base” como causales de rechazo de las ofertas en lo relacionado con el “Anexo 1 - Anexo Técnico”, las siguientes:</w:t>
      </w:r>
    </w:p>
    <w:p w14:paraId="55695415" w14:textId="77777777" w:rsidR="001E234F" w:rsidRPr="008900F6" w:rsidRDefault="001E234F" w:rsidP="001E234F">
      <w:pPr>
        <w:spacing w:after="0" w:line="276" w:lineRule="auto"/>
        <w:ind w:left="720"/>
        <w:contextualSpacing/>
        <w:jc w:val="both"/>
        <w:rPr>
          <w:rFonts w:ascii="Verdana" w:eastAsia="Calibri" w:hAnsi="Verdana" w:cs="Arial"/>
          <w:lang w:val="es-ES"/>
        </w:rPr>
      </w:pPr>
    </w:p>
    <w:p w14:paraId="44CB8843" w14:textId="77777777" w:rsidR="001E234F" w:rsidRPr="008900F6" w:rsidRDefault="001E234F" w:rsidP="001E234F">
      <w:pPr>
        <w:spacing w:after="0" w:line="276" w:lineRule="auto"/>
        <w:ind w:left="1276" w:right="1276"/>
        <w:contextualSpacing/>
        <w:jc w:val="both"/>
        <w:rPr>
          <w:rFonts w:ascii="Verdana" w:eastAsia="Calibri" w:hAnsi="Verdana" w:cs="Arial"/>
          <w:lang w:val="es-ES"/>
        </w:rPr>
      </w:pPr>
      <w:r w:rsidRPr="008900F6">
        <w:rPr>
          <w:rFonts w:ascii="Verdana" w:eastAsia="Calibri" w:hAnsi="Verdana" w:cs="Arial"/>
          <w:lang w:val="es-ES"/>
        </w:rPr>
        <w:t>“Y. Ofrecer un plazo superior al señalado por la entidad en el Anexo 1 – Anexo Técnico.</w:t>
      </w:r>
    </w:p>
    <w:p w14:paraId="4F375BFD" w14:textId="77777777" w:rsidR="001E234F" w:rsidRPr="008900F6" w:rsidRDefault="001E234F" w:rsidP="001E234F">
      <w:pPr>
        <w:spacing w:after="0" w:line="276" w:lineRule="auto"/>
        <w:ind w:left="1276" w:right="1276"/>
        <w:contextualSpacing/>
        <w:jc w:val="both"/>
        <w:rPr>
          <w:rFonts w:ascii="Verdana" w:eastAsia="Calibri" w:hAnsi="Verdana" w:cs="Arial"/>
          <w:lang w:val="es-ES"/>
        </w:rPr>
      </w:pPr>
      <w:r w:rsidRPr="008900F6">
        <w:rPr>
          <w:rFonts w:ascii="Verdana" w:eastAsia="Calibri" w:hAnsi="Verdana" w:cs="Arial"/>
          <w:lang w:val="es-ES"/>
        </w:rPr>
        <w:t>[…]</w:t>
      </w:r>
    </w:p>
    <w:p w14:paraId="19D0D719" w14:textId="77777777" w:rsidR="001E234F" w:rsidRPr="008900F6" w:rsidRDefault="001E234F" w:rsidP="001E234F">
      <w:pPr>
        <w:spacing w:after="0" w:line="276" w:lineRule="auto"/>
        <w:ind w:left="1276" w:right="1276"/>
        <w:contextualSpacing/>
        <w:jc w:val="both"/>
        <w:rPr>
          <w:rFonts w:ascii="Verdana" w:eastAsia="Calibri" w:hAnsi="Verdana" w:cs="Arial"/>
          <w:lang w:val="es-ES"/>
        </w:rPr>
      </w:pPr>
      <w:r w:rsidRPr="008900F6">
        <w:rPr>
          <w:rFonts w:ascii="Verdana" w:eastAsia="Calibri" w:hAnsi="Verdana" w:cs="Arial"/>
          <w:lang w:val="es-ES"/>
        </w:rPr>
        <w:t>Z. 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7BD899EB" w14:textId="77777777" w:rsidR="001E234F" w:rsidRPr="008900F6" w:rsidRDefault="001E234F" w:rsidP="001E234F">
      <w:pPr>
        <w:spacing w:after="0" w:line="276" w:lineRule="auto"/>
        <w:ind w:right="1276"/>
        <w:contextualSpacing/>
        <w:jc w:val="both"/>
        <w:rPr>
          <w:rFonts w:ascii="Verdana" w:eastAsia="Calibri" w:hAnsi="Verdana" w:cs="Arial"/>
          <w:lang w:val="es-ES"/>
        </w:rPr>
      </w:pPr>
    </w:p>
    <w:p w14:paraId="3F95C348" w14:textId="77777777" w:rsidR="001E234F" w:rsidRPr="008900F6" w:rsidRDefault="001E234F" w:rsidP="001E234F">
      <w:pPr>
        <w:widowControl w:val="0"/>
        <w:numPr>
          <w:ilvl w:val="0"/>
          <w:numId w:val="3"/>
        </w:numPr>
        <w:autoSpaceDE w:val="0"/>
        <w:autoSpaceDN w:val="0"/>
        <w:spacing w:after="0" w:line="276" w:lineRule="auto"/>
        <w:contextualSpacing/>
        <w:jc w:val="both"/>
        <w:rPr>
          <w:rFonts w:ascii="Verdana" w:hAnsi="Verdana" w:cs="Arial"/>
        </w:rPr>
      </w:pPr>
      <w:r w:rsidRPr="008900F6">
        <w:rPr>
          <w:rFonts w:ascii="Verdana" w:eastAsia="Calibri" w:hAnsi="Verdana" w:cs="Arial"/>
          <w:lang w:val="es-ES"/>
        </w:rPr>
        <w:t xml:space="preserve">Con fundamento en todo lo expuesto, se colige que las causales de rechazo deben estar necesariamente nominadas en la ley o en el pliego de condiciones y no puede realizarse frente a su redacción, ninguna interpretación extensiva. Por ello, si el Estatuto General de Contratación de la Administración Pública o el pliego de condiciones no establecen de </w:t>
      </w:r>
      <w:r w:rsidRPr="008900F6">
        <w:rPr>
          <w:rFonts w:ascii="Verdana" w:eastAsia="Calibri" w:hAnsi="Verdana" w:cs="Arial"/>
          <w:lang w:val="es-ES"/>
        </w:rPr>
        <w:lastRenderedPageBreak/>
        <w:t>manera literal el supuesto de hecho relacionado por el peticionario en la consulta, no podrá rechazarse la oferta del proponente. Situación contraria, en caso de que dicho supuesto si se encuentre estipulado en la ley o en el pliego de condiciones o documento equivalente. Si embargo, si el proceso de contratación se adelanta en aplicación de los Documentos Tipo adoptados por esta Agencia, deberán tenerse como causales de rechazo las allí establecidas, pues las Entidades Estatales no podrán incluir causales distintas a las allí señaladas. Esto, de acuerdo con la regla de inalterabilidad de los Documentos Tipo.</w:t>
      </w:r>
    </w:p>
    <w:p w14:paraId="6F71852F" w14:textId="77777777" w:rsidR="001E234F" w:rsidRPr="008900F6" w:rsidRDefault="001E234F" w:rsidP="001E234F">
      <w:pPr>
        <w:widowControl w:val="0"/>
        <w:autoSpaceDE w:val="0"/>
        <w:autoSpaceDN w:val="0"/>
        <w:spacing w:after="0" w:line="276" w:lineRule="auto"/>
        <w:ind w:left="720"/>
        <w:contextualSpacing/>
        <w:jc w:val="both"/>
        <w:rPr>
          <w:rFonts w:ascii="Verdana" w:hAnsi="Verdana" w:cs="Arial"/>
        </w:rPr>
      </w:pPr>
    </w:p>
    <w:p w14:paraId="710F48B8" w14:textId="77777777" w:rsidR="001E234F" w:rsidRPr="008900F6" w:rsidRDefault="001E234F" w:rsidP="001E234F">
      <w:pPr>
        <w:widowControl w:val="0"/>
        <w:numPr>
          <w:ilvl w:val="0"/>
          <w:numId w:val="3"/>
        </w:numPr>
        <w:autoSpaceDE w:val="0"/>
        <w:autoSpaceDN w:val="0"/>
        <w:spacing w:after="0" w:line="276" w:lineRule="auto"/>
        <w:contextualSpacing/>
        <w:jc w:val="both"/>
        <w:rPr>
          <w:rFonts w:ascii="Verdana" w:hAnsi="Verdana" w:cs="Arial"/>
        </w:rPr>
      </w:pPr>
      <w:r w:rsidRPr="008900F6">
        <w:rPr>
          <w:rFonts w:ascii="Verdana" w:hAnsi="Verdana" w:cs="Arial"/>
        </w:rPr>
        <w:t>Finalmente debe advertirse, que el análisis requerido para resolver problemas específicos en torno al rechazo de las ofertas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265A35E" w14:textId="77777777" w:rsidR="001E234F" w:rsidRPr="008900F6" w:rsidRDefault="001E234F" w:rsidP="001E234F">
      <w:pPr>
        <w:ind w:left="720"/>
        <w:contextualSpacing/>
        <w:rPr>
          <w:rFonts w:ascii="Verdana" w:hAnsi="Verdana" w:cs="Arial"/>
        </w:rPr>
      </w:pPr>
    </w:p>
    <w:p w14:paraId="403935F9" w14:textId="77777777" w:rsidR="001E234F" w:rsidRPr="008900F6" w:rsidRDefault="001E234F" w:rsidP="001E234F">
      <w:pPr>
        <w:widowControl w:val="0"/>
        <w:numPr>
          <w:ilvl w:val="0"/>
          <w:numId w:val="3"/>
        </w:numPr>
        <w:autoSpaceDE w:val="0"/>
        <w:autoSpaceDN w:val="0"/>
        <w:spacing w:after="0" w:line="276" w:lineRule="auto"/>
        <w:contextualSpacing/>
        <w:jc w:val="both"/>
        <w:rPr>
          <w:rFonts w:ascii="Verdana" w:hAnsi="Verdana" w:cs="Arial"/>
        </w:rPr>
      </w:pPr>
      <w:r w:rsidRPr="008900F6">
        <w:rPr>
          <w:rFonts w:ascii="Verdana" w:hAnsi="Verdana" w:cs="Arial"/>
        </w:rPr>
        <w:t>En ese sentido, al tratarse de un análisis que debe realizarse en el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6DD86FCA" w14:textId="77777777" w:rsidR="001E234F" w:rsidRPr="008900F6" w:rsidRDefault="001E234F" w:rsidP="001E234F">
      <w:pPr>
        <w:spacing w:after="0"/>
        <w:ind w:left="720"/>
        <w:contextualSpacing/>
        <w:rPr>
          <w:rFonts w:ascii="Verdana" w:hAnsi="Verdana" w:cs="Arial"/>
        </w:rPr>
      </w:pPr>
    </w:p>
    <w:p w14:paraId="23458C86" w14:textId="77777777" w:rsidR="001E234F" w:rsidRPr="008900F6" w:rsidRDefault="001E234F" w:rsidP="001E234F">
      <w:pPr>
        <w:widowControl w:val="0"/>
        <w:autoSpaceDE w:val="0"/>
        <w:autoSpaceDN w:val="0"/>
        <w:spacing w:before="1" w:after="0" w:line="240" w:lineRule="auto"/>
        <w:outlineLvl w:val="0"/>
        <w:rPr>
          <w:rFonts w:ascii="Arial" w:eastAsia="Arial" w:hAnsi="Arial" w:cs="Arial"/>
          <w:b/>
          <w:bCs/>
          <w:lang w:val="es-ES"/>
        </w:rPr>
      </w:pPr>
      <w:r w:rsidRPr="008900F6">
        <w:rPr>
          <w:rFonts w:ascii="Arial" w:eastAsia="Arial" w:hAnsi="Arial" w:cs="Arial"/>
          <w:b/>
          <w:bCs/>
          <w:lang w:val="es-ES"/>
        </w:rPr>
        <w:t>4.</w:t>
      </w:r>
      <w:r w:rsidRPr="008900F6">
        <w:rPr>
          <w:rFonts w:ascii="Verdana" w:eastAsia="Arial" w:hAnsi="Verdana" w:cs="Arial"/>
          <w:b/>
          <w:bCs/>
          <w:lang w:val="es-ES"/>
        </w:rPr>
        <w:t>Referencias normativas, jurisprudenciales y otras fuentes:</w:t>
      </w:r>
    </w:p>
    <w:p w14:paraId="3E2CB923" w14:textId="77777777" w:rsidR="001E234F" w:rsidRPr="008900F6" w:rsidRDefault="001E234F" w:rsidP="001E234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E234F" w:rsidRPr="008900F6" w14:paraId="1EAFECC2" w14:textId="77777777" w:rsidTr="008C24C9">
        <w:trPr>
          <w:trHeight w:val="870"/>
        </w:trPr>
        <w:tc>
          <w:tcPr>
            <w:tcW w:w="8647" w:type="dxa"/>
          </w:tcPr>
          <w:p w14:paraId="54C73FFE" w14:textId="77777777" w:rsidR="001E234F" w:rsidRPr="008900F6" w:rsidRDefault="001E234F" w:rsidP="001E234F">
            <w:pPr>
              <w:widowControl w:val="0"/>
              <w:numPr>
                <w:ilvl w:val="0"/>
                <w:numId w:val="2"/>
              </w:numPr>
              <w:autoSpaceDE w:val="0"/>
              <w:autoSpaceDN w:val="0"/>
              <w:spacing w:after="120" w:line="276" w:lineRule="auto"/>
              <w:contextualSpacing/>
              <w:jc w:val="both"/>
              <w:rPr>
                <w:rFonts w:ascii="Verdana" w:eastAsia="Times New Roman" w:hAnsi="Verdana" w:cs="Arial"/>
              </w:rPr>
            </w:pPr>
            <w:r w:rsidRPr="008900F6">
              <w:rPr>
                <w:rFonts w:ascii="Verdana" w:eastAsia="Calibri" w:hAnsi="Verdana" w:cs="Arial"/>
                <w:lang w:val="es-ES"/>
              </w:rPr>
              <w:t>Ley 1437 de 2011. Artículo 3, Numeral 3</w:t>
            </w:r>
          </w:p>
          <w:p w14:paraId="7AEEC9AA" w14:textId="77777777" w:rsidR="001E234F" w:rsidRPr="008900F6" w:rsidRDefault="001E234F" w:rsidP="001E234F">
            <w:pPr>
              <w:widowControl w:val="0"/>
              <w:numPr>
                <w:ilvl w:val="0"/>
                <w:numId w:val="2"/>
              </w:numPr>
              <w:autoSpaceDE w:val="0"/>
              <w:autoSpaceDN w:val="0"/>
              <w:spacing w:after="120" w:line="276" w:lineRule="auto"/>
              <w:contextualSpacing/>
              <w:jc w:val="both"/>
              <w:rPr>
                <w:rFonts w:ascii="Verdana" w:eastAsia="Times New Roman" w:hAnsi="Verdana" w:cs="Arial"/>
              </w:rPr>
            </w:pPr>
            <w:r w:rsidRPr="008900F6">
              <w:rPr>
                <w:rFonts w:ascii="Verdana" w:eastAsia="Calibri" w:hAnsi="Verdana" w:cs="Arial"/>
                <w:lang w:val="es-ES"/>
              </w:rPr>
              <w:t>Ley 80 de 1993. Artículo 77</w:t>
            </w:r>
          </w:p>
          <w:p w14:paraId="35BB6928" w14:textId="77777777" w:rsidR="001E234F" w:rsidRPr="008900F6" w:rsidRDefault="001E234F" w:rsidP="001E234F">
            <w:pPr>
              <w:widowControl w:val="0"/>
              <w:numPr>
                <w:ilvl w:val="0"/>
                <w:numId w:val="2"/>
              </w:numPr>
              <w:autoSpaceDE w:val="0"/>
              <w:autoSpaceDN w:val="0"/>
              <w:spacing w:after="120" w:line="276" w:lineRule="auto"/>
              <w:contextualSpacing/>
              <w:jc w:val="both"/>
              <w:rPr>
                <w:rFonts w:ascii="Verdana" w:hAnsi="Verdana" w:cs="Arial"/>
              </w:rPr>
            </w:pPr>
            <w:r w:rsidRPr="008900F6">
              <w:rPr>
                <w:rFonts w:ascii="Verdana" w:eastAsia="Calibri" w:hAnsi="Verdana" w:cs="Arial"/>
                <w:lang w:val="es-ES"/>
              </w:rPr>
              <w:t>Ley 1150 de 007. Artículo 5, Inciso 1, Artículo 13</w:t>
            </w:r>
          </w:p>
          <w:p w14:paraId="71BDFAAC" w14:textId="77777777" w:rsidR="001E234F" w:rsidRPr="008900F6" w:rsidRDefault="001E234F" w:rsidP="001E234F">
            <w:pPr>
              <w:widowControl w:val="0"/>
              <w:numPr>
                <w:ilvl w:val="0"/>
                <w:numId w:val="2"/>
              </w:numPr>
              <w:autoSpaceDE w:val="0"/>
              <w:autoSpaceDN w:val="0"/>
              <w:spacing w:after="120" w:line="276" w:lineRule="auto"/>
              <w:contextualSpacing/>
              <w:jc w:val="both"/>
              <w:rPr>
                <w:rFonts w:ascii="Verdana" w:hAnsi="Verdana" w:cs="Arial"/>
              </w:rPr>
            </w:pPr>
            <w:r w:rsidRPr="008900F6">
              <w:rPr>
                <w:rFonts w:ascii="Verdana" w:hAnsi="Verdana" w:cs="Arial"/>
              </w:rPr>
              <w:t xml:space="preserve">Documentos Tipo para licitación de obra pública de infraestructura de transporte – Versión 4. Disponible </w:t>
            </w:r>
            <w:hyperlink r:id="rId11" w:history="1">
              <w:r w:rsidRPr="008900F6">
                <w:rPr>
                  <w:rFonts w:ascii="Verdana" w:hAnsi="Verdana" w:cs="Arial"/>
                  <w:color w:val="467886" w:themeColor="hyperlink"/>
                  <w:u w:val="single"/>
                </w:rPr>
                <w:t>aquí</w:t>
              </w:r>
            </w:hyperlink>
          </w:p>
          <w:p w14:paraId="20467BD7" w14:textId="77777777" w:rsidR="001E234F" w:rsidRPr="008900F6" w:rsidRDefault="001E234F" w:rsidP="001E234F">
            <w:pPr>
              <w:widowControl w:val="0"/>
              <w:numPr>
                <w:ilvl w:val="0"/>
                <w:numId w:val="2"/>
              </w:numPr>
              <w:autoSpaceDE w:val="0"/>
              <w:autoSpaceDN w:val="0"/>
              <w:spacing w:after="120" w:line="276" w:lineRule="auto"/>
              <w:contextualSpacing/>
              <w:jc w:val="both"/>
              <w:rPr>
                <w:rFonts w:ascii="Verdana" w:hAnsi="Verdana" w:cs="Arial"/>
              </w:rPr>
            </w:pPr>
            <w:r w:rsidRPr="008900F6">
              <w:rPr>
                <w:rFonts w:ascii="Verdana" w:hAnsi="Verdana" w:cs="Arial"/>
              </w:rPr>
              <w:lastRenderedPageBreak/>
              <w:t>Consejo de Estado. Sección Tercera. Sentencia del 27 de abril de 2011. Exp. 18.293. C.P. Ruth Stella Correa Palacio.</w:t>
            </w:r>
          </w:p>
          <w:p w14:paraId="4B09BB8D" w14:textId="77777777" w:rsidR="001E234F" w:rsidRPr="008900F6" w:rsidRDefault="001E234F" w:rsidP="001E234F">
            <w:pPr>
              <w:widowControl w:val="0"/>
              <w:numPr>
                <w:ilvl w:val="0"/>
                <w:numId w:val="2"/>
              </w:numPr>
              <w:autoSpaceDE w:val="0"/>
              <w:autoSpaceDN w:val="0"/>
              <w:spacing w:after="120" w:line="276" w:lineRule="auto"/>
              <w:contextualSpacing/>
              <w:jc w:val="both"/>
              <w:rPr>
                <w:rFonts w:ascii="Verdana" w:hAnsi="Verdana" w:cs="Arial"/>
              </w:rPr>
            </w:pPr>
            <w:r w:rsidRPr="008900F6">
              <w:rPr>
                <w:rFonts w:ascii="Verdana" w:hAnsi="Verdana" w:cs="Arial"/>
              </w:rPr>
              <w:t>Consejo de Estado. Sección Tercera. Sentencia del 21 de noviembre de 2013 Exp. 25397. C.P. Carlos Alberto Zambrano Barrera.</w:t>
            </w:r>
          </w:p>
          <w:p w14:paraId="4F6CDEE6" w14:textId="77777777" w:rsidR="001E234F" w:rsidRPr="008900F6" w:rsidRDefault="001E234F" w:rsidP="008C24C9">
            <w:pPr>
              <w:widowControl w:val="0"/>
              <w:autoSpaceDE w:val="0"/>
              <w:autoSpaceDN w:val="0"/>
              <w:spacing w:after="120" w:line="276" w:lineRule="auto"/>
              <w:contextualSpacing/>
              <w:jc w:val="both"/>
              <w:rPr>
                <w:rFonts w:ascii="Verdana" w:hAnsi="Verdana" w:cs="Arial"/>
              </w:rPr>
            </w:pPr>
          </w:p>
        </w:tc>
      </w:tr>
    </w:tbl>
    <w:p w14:paraId="5E1A81BA" w14:textId="77777777" w:rsidR="001E234F" w:rsidRPr="008900F6" w:rsidRDefault="001E234F" w:rsidP="001E234F">
      <w:pPr>
        <w:widowControl w:val="0"/>
        <w:autoSpaceDE w:val="0"/>
        <w:autoSpaceDN w:val="0"/>
        <w:spacing w:after="0" w:line="276" w:lineRule="auto"/>
        <w:jc w:val="both"/>
        <w:rPr>
          <w:rFonts w:ascii="Verdana" w:hAnsi="Verdana" w:cs="Arial"/>
        </w:rPr>
      </w:pPr>
    </w:p>
    <w:p w14:paraId="39EF9FB3" w14:textId="77777777" w:rsidR="001E234F" w:rsidRPr="008900F6" w:rsidRDefault="001E234F" w:rsidP="001E234F">
      <w:pPr>
        <w:widowControl w:val="0"/>
        <w:autoSpaceDE w:val="0"/>
        <w:autoSpaceDN w:val="0"/>
        <w:spacing w:before="1" w:after="0" w:line="240" w:lineRule="auto"/>
        <w:outlineLvl w:val="0"/>
        <w:rPr>
          <w:rFonts w:ascii="Verdana" w:eastAsia="Arial" w:hAnsi="Verdana" w:cs="Arial"/>
          <w:b/>
          <w:bCs/>
          <w:lang w:val="es-ES"/>
        </w:rPr>
      </w:pPr>
      <w:r w:rsidRPr="008900F6">
        <w:rPr>
          <w:rFonts w:ascii="Verdana" w:eastAsia="Arial" w:hAnsi="Verdana" w:cs="Arial"/>
          <w:b/>
          <w:bCs/>
          <w:lang w:val="es-ES"/>
        </w:rPr>
        <w:t>5. Doctrina de la Agencia Nacional de Contratación Pública:</w:t>
      </w:r>
    </w:p>
    <w:p w14:paraId="38CE7BC8" w14:textId="77777777" w:rsidR="001E234F" w:rsidRPr="008900F6" w:rsidRDefault="001E234F" w:rsidP="001E234F">
      <w:pPr>
        <w:widowControl w:val="0"/>
        <w:autoSpaceDE w:val="0"/>
        <w:autoSpaceDN w:val="0"/>
        <w:spacing w:after="0" w:line="276" w:lineRule="auto"/>
        <w:jc w:val="both"/>
        <w:rPr>
          <w:rFonts w:ascii="Verdana" w:hAnsi="Verdana" w:cs="Arial"/>
        </w:rPr>
      </w:pPr>
    </w:p>
    <w:p w14:paraId="646F74C1" w14:textId="77777777" w:rsidR="001E234F" w:rsidRPr="008900F6" w:rsidRDefault="001E234F" w:rsidP="001E234F">
      <w:pPr>
        <w:widowControl w:val="0"/>
        <w:autoSpaceDE w:val="0"/>
        <w:autoSpaceDN w:val="0"/>
        <w:spacing w:after="0" w:line="276" w:lineRule="auto"/>
        <w:jc w:val="both"/>
        <w:rPr>
          <w:rFonts w:ascii="Verdana" w:hAnsi="Verdana" w:cs="Arial"/>
          <w:shd w:val="clear" w:color="auto" w:fill="FFFFFF"/>
          <w:lang w:val="es-ES"/>
        </w:rPr>
      </w:pPr>
      <w:r w:rsidRPr="008900F6">
        <w:rPr>
          <w:rFonts w:ascii="Verdana" w:hAnsi="Verdana" w:cs="Arial"/>
          <w:shd w:val="clear" w:color="auto" w:fill="FFFFFF"/>
          <w:lang w:val="es-ES"/>
        </w:rPr>
        <w:t>Sobre la determinación las causales de rechazo en los procesos de contratación estatal, se pronunció esta Subdirección en los conceptos C-278 del 24 de agosto de 2023, C-271 del 15 de agosto de 2023, C-265 de 26 de julio de 2023, C-280 del 06 de junio de 2023, C-216 del 06 de junio de 2023, C-184 del 02 junio de 2023, C-141 de 30 de mayo de 2023, C-053 del 28 de marzo de 2023, entre otros. Es</w:t>
      </w:r>
      <w:r w:rsidRPr="008900F6">
        <w:rPr>
          <w:rFonts w:ascii="Verdana" w:hAnsi="Verdana"/>
        </w:rPr>
        <w:t>tos y otros conceptos se encuentran disponibles para consulta en el Sistema de relatoría de la Agencia, al cual se puede acceder a través del siguiente enlace:</w:t>
      </w:r>
      <w:r w:rsidRPr="008900F6">
        <w:rPr>
          <w:rFonts w:ascii="Verdana" w:hAnsi="Verdana" w:cs="Arial"/>
          <w:shd w:val="clear" w:color="auto" w:fill="FFFFFF"/>
          <w:lang w:val="es-ES"/>
        </w:rPr>
        <w:t xml:space="preserve"> </w:t>
      </w:r>
      <w:hyperlink r:id="rId12" w:history="1">
        <w:r w:rsidRPr="008900F6">
          <w:rPr>
            <w:rFonts w:ascii="Verdana" w:hAnsi="Verdana" w:cs="Arial"/>
            <w:color w:val="467886" w:themeColor="hyperlink"/>
            <w:u w:val="single"/>
            <w:shd w:val="clear" w:color="auto" w:fill="FFFFFF"/>
            <w:lang w:val="es-ES"/>
          </w:rPr>
          <w:t>https://relatoria.colombiacompra.gov.co/busqueda/conceptos</w:t>
        </w:r>
      </w:hyperlink>
      <w:r w:rsidRPr="008900F6">
        <w:rPr>
          <w:rFonts w:ascii="Verdana" w:hAnsi="Verdana" w:cs="Arial"/>
          <w:color w:val="FF0000"/>
          <w:shd w:val="clear" w:color="auto" w:fill="FFFFFF"/>
          <w:lang w:val="es-ES"/>
        </w:rPr>
        <w:t>.</w:t>
      </w:r>
    </w:p>
    <w:p w14:paraId="22DF0CCC" w14:textId="77777777" w:rsidR="001E234F" w:rsidRPr="008900F6" w:rsidRDefault="001E234F" w:rsidP="001E234F">
      <w:pPr>
        <w:widowControl w:val="0"/>
        <w:autoSpaceDE w:val="0"/>
        <w:autoSpaceDN w:val="0"/>
        <w:spacing w:after="0" w:line="276" w:lineRule="auto"/>
        <w:jc w:val="both"/>
        <w:rPr>
          <w:rFonts w:ascii="Verdana" w:hAnsi="Verdana" w:cs="Arial"/>
          <w:shd w:val="clear" w:color="auto" w:fill="FFFFFF"/>
          <w:lang w:val="es-ES"/>
        </w:rPr>
      </w:pPr>
    </w:p>
    <w:p w14:paraId="61FAAB2D" w14:textId="77777777" w:rsidR="001E234F" w:rsidRPr="008900F6" w:rsidRDefault="001E234F" w:rsidP="001E234F">
      <w:pPr>
        <w:spacing w:after="0" w:line="240" w:lineRule="auto"/>
        <w:jc w:val="both"/>
        <w:rPr>
          <w:rFonts w:ascii="Verdana" w:eastAsia="Times New Roman" w:hAnsi="Verdana" w:cs="Times New Roman"/>
          <w:color w:val="000000"/>
          <w:bdr w:val="none" w:sz="0" w:space="0" w:color="auto" w:frame="1"/>
          <w:lang w:eastAsia="es-CO"/>
        </w:rPr>
      </w:pPr>
      <w:r w:rsidRPr="008900F6">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 </w:t>
      </w:r>
    </w:p>
    <w:p w14:paraId="6885B89C" w14:textId="77777777" w:rsidR="001E234F" w:rsidRPr="008900F6" w:rsidRDefault="001E234F" w:rsidP="001E234F">
      <w:pPr>
        <w:spacing w:after="0" w:line="240" w:lineRule="auto"/>
        <w:jc w:val="both"/>
        <w:rPr>
          <w:rFonts w:ascii="Verdana" w:eastAsia="Times New Roman" w:hAnsi="Verdana" w:cs="Times New Roman"/>
          <w:color w:val="000000"/>
          <w:bdr w:val="none" w:sz="0" w:space="0" w:color="auto" w:frame="1"/>
          <w:lang w:eastAsia="es-CO"/>
        </w:rPr>
      </w:pPr>
    </w:p>
    <w:p w14:paraId="6D081BA6" w14:textId="77777777" w:rsidR="001E234F" w:rsidRPr="008900F6" w:rsidRDefault="001E234F" w:rsidP="001E234F">
      <w:pPr>
        <w:numPr>
          <w:ilvl w:val="0"/>
          <w:numId w:val="4"/>
        </w:numPr>
        <w:spacing w:after="0" w:line="240" w:lineRule="auto"/>
        <w:jc w:val="both"/>
        <w:rPr>
          <w:rFonts w:ascii="Verdana" w:eastAsia="Times New Roman" w:hAnsi="Verdana" w:cs="Times New Roman"/>
          <w:color w:val="000000"/>
          <w:bdr w:val="none" w:sz="0" w:space="0" w:color="auto" w:frame="1"/>
          <w:lang w:eastAsia="es-CO"/>
        </w:rPr>
      </w:pPr>
      <w:r w:rsidRPr="008900F6">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3" w:tgtFrame="_blank" w:history="1">
        <w:r w:rsidRPr="008900F6">
          <w:rPr>
            <w:rFonts w:ascii="Verdana" w:eastAsia="Times New Roman" w:hAnsi="Verdana" w:cs="Times New Roman"/>
            <w:color w:val="467886" w:themeColor="hyperlink"/>
            <w:u w:val="single"/>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8900F6">
        <w:rPr>
          <w:rFonts w:ascii="Verdana" w:eastAsia="Times New Roman" w:hAnsi="Verdana" w:cs="Times New Roman"/>
          <w:color w:val="000000"/>
          <w:bdr w:val="none" w:sz="0" w:space="0" w:color="auto" w:frame="1"/>
          <w:lang w:eastAsia="es-CO"/>
        </w:rPr>
        <w:t> </w:t>
      </w:r>
    </w:p>
    <w:p w14:paraId="6B19AD7B" w14:textId="77777777" w:rsidR="001E234F" w:rsidRPr="008900F6" w:rsidRDefault="001E234F" w:rsidP="001E234F">
      <w:pPr>
        <w:numPr>
          <w:ilvl w:val="0"/>
          <w:numId w:val="5"/>
        </w:numPr>
        <w:spacing w:after="0" w:line="240" w:lineRule="auto"/>
        <w:jc w:val="both"/>
        <w:rPr>
          <w:rFonts w:ascii="Verdana" w:eastAsia="Times New Roman" w:hAnsi="Verdana" w:cs="Times New Roman"/>
          <w:color w:val="000000"/>
          <w:bdr w:val="none" w:sz="0" w:space="0" w:color="auto" w:frame="1"/>
          <w:lang w:eastAsia="es-CO"/>
        </w:rPr>
      </w:pPr>
      <w:r w:rsidRPr="008900F6">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8900F6">
        <w:rPr>
          <w:rFonts w:ascii="Verdana" w:eastAsia="Times New Roman" w:hAnsi="Verdana" w:cs="Times New Roman"/>
          <w:color w:val="000000"/>
          <w:bdr w:val="none" w:sz="0" w:space="0" w:color="auto" w:frame="1"/>
          <w:lang w:eastAsia="es-CO"/>
        </w:rPr>
        <w:t> </w:t>
      </w:r>
      <w:hyperlink r:id="rId14" w:tgtFrame="_blank" w:history="1">
        <w:r w:rsidRPr="008900F6">
          <w:rPr>
            <w:rFonts w:ascii="Verdana" w:eastAsia="Times New Roman" w:hAnsi="Verdana" w:cs="Times New Roman"/>
            <w:color w:val="467886" w:themeColor="hyperlink"/>
            <w:u w:val="single"/>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8900F6">
        <w:rPr>
          <w:rFonts w:ascii="Verdana" w:eastAsia="Times New Roman" w:hAnsi="Verdana" w:cs="Times New Roman"/>
          <w:color w:val="000000"/>
          <w:bdr w:val="none" w:sz="0" w:space="0" w:color="auto" w:frame="1"/>
          <w:lang w:eastAsia="es-CO"/>
        </w:rPr>
        <w:t> </w:t>
      </w:r>
    </w:p>
    <w:p w14:paraId="53214364" w14:textId="77777777" w:rsidR="001E234F" w:rsidRPr="008900F6" w:rsidRDefault="001E234F" w:rsidP="001E234F">
      <w:pPr>
        <w:spacing w:after="0" w:line="240" w:lineRule="auto"/>
        <w:ind w:left="720"/>
        <w:jc w:val="both"/>
        <w:rPr>
          <w:rFonts w:ascii="Verdana" w:eastAsia="Times New Roman" w:hAnsi="Verdana" w:cs="Times New Roman"/>
          <w:color w:val="000000"/>
          <w:bdr w:val="none" w:sz="0" w:space="0" w:color="auto" w:frame="1"/>
          <w:lang w:eastAsia="es-CO"/>
        </w:rPr>
      </w:pPr>
    </w:p>
    <w:p w14:paraId="3E2328F9" w14:textId="77777777" w:rsidR="001E234F" w:rsidRPr="008900F6" w:rsidRDefault="001E234F" w:rsidP="001E234F">
      <w:pPr>
        <w:spacing w:after="0" w:line="240" w:lineRule="auto"/>
        <w:jc w:val="both"/>
        <w:rPr>
          <w:rFonts w:ascii="Verdana" w:eastAsia="Times New Roman" w:hAnsi="Verdana" w:cs="Times New Roman"/>
          <w:color w:val="000000"/>
          <w:bdr w:val="none" w:sz="0" w:space="0" w:color="auto" w:frame="1"/>
          <w:lang w:eastAsia="es-CO"/>
        </w:rPr>
      </w:pPr>
      <w:r w:rsidRPr="008900F6">
        <w:rPr>
          <w:rFonts w:ascii="Verdana" w:eastAsia="Times New Roman" w:hAnsi="Verdana" w:cs="Times New Roman"/>
          <w:color w:val="000000"/>
          <w:bdr w:val="none" w:sz="0" w:space="0" w:color="auto" w:frame="1"/>
          <w:lang w:eastAsia="es-CO"/>
        </w:rPr>
        <w:t>También, le contamos que ya publicamos </w:t>
      </w:r>
      <w:r w:rsidRPr="008900F6">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8900F6">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history="1">
        <w:r w:rsidRPr="008900F6">
          <w:rPr>
            <w:rFonts w:ascii="Verdana" w:eastAsia="Times New Roman" w:hAnsi="Verdana" w:cs="Times New Roman"/>
            <w:color w:val="467886" w:themeColor="hyperlink"/>
            <w:u w:val="single"/>
            <w:bdr w:val="none" w:sz="0" w:space="0" w:color="auto" w:frame="1"/>
            <w:lang w:eastAsia="es-CO"/>
          </w:rPr>
          <w:t xml:space="preserve">Guía de Contratación Pública Sostenible y Socialmente </w:t>
        </w:r>
        <w:r w:rsidRPr="008900F6">
          <w:rPr>
            <w:rFonts w:ascii="Verdana" w:eastAsia="Times New Roman" w:hAnsi="Verdana" w:cs="Times New Roman"/>
            <w:color w:val="467886" w:themeColor="hyperlink"/>
            <w:u w:val="single"/>
            <w:bdr w:val="none" w:sz="0" w:space="0" w:color="auto" w:frame="1"/>
            <w:lang w:eastAsia="es-CO"/>
          </w:rPr>
          <w:lastRenderedPageBreak/>
          <w:t>Responsable | Colombia Compra Eficiente | Agencia Nacional de Contratación Pública</w:t>
        </w:r>
      </w:hyperlink>
      <w:r w:rsidRPr="008900F6">
        <w:rPr>
          <w:rFonts w:ascii="Verdana" w:eastAsia="Times New Roman" w:hAnsi="Verdana" w:cs="Times New Roman"/>
          <w:color w:val="000000"/>
          <w:bdr w:val="none" w:sz="0" w:space="0" w:color="auto" w:frame="1"/>
          <w:lang w:eastAsia="es-CO"/>
        </w:rPr>
        <w:t> </w:t>
      </w:r>
    </w:p>
    <w:p w14:paraId="65E7A388" w14:textId="77777777" w:rsidR="001E234F" w:rsidRPr="008900F6" w:rsidRDefault="001E234F" w:rsidP="001E234F">
      <w:pPr>
        <w:spacing w:after="0" w:line="240" w:lineRule="auto"/>
        <w:jc w:val="both"/>
        <w:rPr>
          <w:rFonts w:ascii="Verdana" w:hAnsi="Verdana"/>
        </w:rPr>
      </w:pPr>
    </w:p>
    <w:p w14:paraId="027998C3" w14:textId="77777777" w:rsidR="001E234F" w:rsidRPr="008900F6" w:rsidRDefault="001E234F" w:rsidP="001E234F">
      <w:pPr>
        <w:spacing w:after="0" w:line="240" w:lineRule="auto"/>
        <w:jc w:val="both"/>
        <w:rPr>
          <w:rFonts w:ascii="Verdana" w:hAnsi="Verdana"/>
        </w:rPr>
      </w:pPr>
      <w:r w:rsidRPr="008900F6">
        <w:rPr>
          <w:rFonts w:ascii="Verdana" w:hAnsi="Verdana"/>
        </w:rPr>
        <w:t xml:space="preserve">Por último, lo invitamos a seguirnos en las redes sociales en las cuales se difunde información institucional: </w:t>
      </w:r>
    </w:p>
    <w:p w14:paraId="0DE62A17" w14:textId="77777777" w:rsidR="001E234F" w:rsidRPr="008900F6" w:rsidRDefault="001E234F" w:rsidP="001E234F">
      <w:pPr>
        <w:spacing w:after="0" w:line="240" w:lineRule="auto"/>
        <w:jc w:val="both"/>
        <w:rPr>
          <w:rFonts w:ascii="Verdana" w:hAnsi="Verdana"/>
        </w:rPr>
      </w:pPr>
    </w:p>
    <w:p w14:paraId="51E95F24" w14:textId="77777777" w:rsidR="001E234F" w:rsidRPr="008900F6" w:rsidRDefault="001E234F" w:rsidP="001E234F">
      <w:pPr>
        <w:spacing w:after="0" w:line="240" w:lineRule="auto"/>
        <w:jc w:val="both"/>
        <w:rPr>
          <w:rFonts w:ascii="Verdana" w:hAnsi="Verdana"/>
        </w:rPr>
      </w:pPr>
      <w:r w:rsidRPr="008900F6">
        <w:rPr>
          <w:rFonts w:ascii="Verdana" w:hAnsi="Verdana"/>
        </w:rPr>
        <w:t xml:space="preserve">Twitter: </w:t>
      </w:r>
      <w:r w:rsidRPr="008900F6">
        <w:rPr>
          <w:rFonts w:ascii="Verdana" w:hAnsi="Verdana"/>
          <w:color w:val="156082" w:themeColor="accent1"/>
          <w:u w:val="single"/>
        </w:rPr>
        <w:t>@colombiacompra</w:t>
      </w:r>
      <w:r w:rsidRPr="008900F6">
        <w:rPr>
          <w:rFonts w:ascii="Verdana" w:hAnsi="Verdana"/>
          <w:color w:val="156082" w:themeColor="accent1"/>
        </w:rPr>
        <w:t xml:space="preserve"> </w:t>
      </w:r>
    </w:p>
    <w:p w14:paraId="00F3CE0F" w14:textId="77777777" w:rsidR="001E234F" w:rsidRPr="008900F6" w:rsidRDefault="001E234F" w:rsidP="001E234F">
      <w:pPr>
        <w:spacing w:after="0" w:line="240" w:lineRule="auto"/>
        <w:jc w:val="both"/>
        <w:rPr>
          <w:rFonts w:ascii="Verdana" w:hAnsi="Verdana"/>
        </w:rPr>
      </w:pPr>
      <w:r w:rsidRPr="008900F6">
        <w:rPr>
          <w:rFonts w:ascii="Verdana" w:hAnsi="Verdana"/>
        </w:rPr>
        <w:t xml:space="preserve">Facebook: </w:t>
      </w:r>
      <w:r w:rsidRPr="008900F6">
        <w:rPr>
          <w:rFonts w:ascii="Verdana" w:hAnsi="Verdana"/>
          <w:color w:val="156082" w:themeColor="accent1"/>
          <w:u w:val="single"/>
        </w:rPr>
        <w:t>ColombiaCompraEficiente</w:t>
      </w:r>
    </w:p>
    <w:p w14:paraId="2434D118" w14:textId="77777777" w:rsidR="001E234F" w:rsidRPr="008900F6" w:rsidRDefault="001E234F" w:rsidP="001E234F">
      <w:pPr>
        <w:spacing w:after="0" w:line="240" w:lineRule="auto"/>
        <w:jc w:val="both"/>
        <w:rPr>
          <w:rFonts w:ascii="Verdana" w:hAnsi="Verdana"/>
        </w:rPr>
      </w:pPr>
      <w:r w:rsidRPr="008900F6">
        <w:rPr>
          <w:rFonts w:ascii="Verdana" w:hAnsi="Verdana"/>
        </w:rPr>
        <w:t xml:space="preserve">LinkedIn: </w:t>
      </w:r>
      <w:r w:rsidRPr="008900F6">
        <w:rPr>
          <w:rFonts w:ascii="Verdana" w:hAnsi="Verdana"/>
          <w:color w:val="156082" w:themeColor="accent1"/>
          <w:u w:val="single"/>
        </w:rPr>
        <w:t>Agencia Nacional de Contratación Pública - Colombia Compra Eficiente</w:t>
      </w:r>
      <w:r w:rsidRPr="008900F6">
        <w:rPr>
          <w:rFonts w:ascii="Verdana" w:hAnsi="Verdana"/>
          <w:color w:val="156082" w:themeColor="accent1"/>
        </w:rPr>
        <w:t xml:space="preserve"> </w:t>
      </w:r>
      <w:r w:rsidRPr="008900F6">
        <w:rPr>
          <w:rFonts w:ascii="Verdana" w:hAnsi="Verdana"/>
        </w:rPr>
        <w:t xml:space="preserve">Instagram: </w:t>
      </w:r>
      <w:r w:rsidRPr="008900F6">
        <w:rPr>
          <w:rFonts w:ascii="Verdana" w:hAnsi="Verdana"/>
          <w:color w:val="156082" w:themeColor="accent1"/>
          <w:u w:val="single"/>
        </w:rPr>
        <w:t>@colombiacompraeficiente_cce</w:t>
      </w:r>
    </w:p>
    <w:p w14:paraId="19464FAD" w14:textId="77777777" w:rsidR="001E234F" w:rsidRPr="008900F6" w:rsidRDefault="001E234F" w:rsidP="001E234F">
      <w:pPr>
        <w:widowControl w:val="0"/>
        <w:autoSpaceDE w:val="0"/>
        <w:autoSpaceDN w:val="0"/>
        <w:spacing w:after="0" w:line="276" w:lineRule="auto"/>
        <w:jc w:val="both"/>
        <w:rPr>
          <w:rFonts w:ascii="Verdana" w:hAnsi="Verdana" w:cs="Arial"/>
        </w:rPr>
      </w:pPr>
    </w:p>
    <w:p w14:paraId="396B698A" w14:textId="77777777" w:rsidR="001E234F" w:rsidRPr="008900F6" w:rsidRDefault="001E234F" w:rsidP="001E234F">
      <w:pPr>
        <w:widowControl w:val="0"/>
        <w:autoSpaceDE w:val="0"/>
        <w:autoSpaceDN w:val="0"/>
        <w:spacing w:after="0" w:line="276" w:lineRule="auto"/>
        <w:jc w:val="both"/>
        <w:rPr>
          <w:rFonts w:ascii="Verdana" w:hAnsi="Verdana" w:cs="Arial"/>
          <w:lang w:val="es-ES_tradnl"/>
        </w:rPr>
      </w:pPr>
      <w:r w:rsidRPr="008900F6">
        <w:rPr>
          <w:rFonts w:ascii="Verdana" w:hAnsi="Verdana" w:cs="Arial"/>
        </w:rPr>
        <w:t xml:space="preserve">Este concepto tiene el alcance previsto en el artículo 28 del Código de Procedimiento Administrativo y de lo Contencioso Administrativo </w:t>
      </w:r>
      <w:r w:rsidRPr="008900F6">
        <w:rPr>
          <w:rFonts w:ascii="Verdana" w:hAnsi="Verdana" w:cs="Arial"/>
          <w:lang w:val="es-ES_tradnl"/>
        </w:rPr>
        <w:t>y las expresiones aquí utilizadas con mayúscula inicial deben ser entendidas con el significado que les otorga el artículo 2.2.1.1.1.3.1. del Decreto 1082 de 2015.</w:t>
      </w:r>
    </w:p>
    <w:p w14:paraId="68BCB27A" w14:textId="77777777" w:rsidR="001E234F" w:rsidRPr="008900F6" w:rsidRDefault="001E234F" w:rsidP="001E234F">
      <w:pPr>
        <w:widowControl w:val="0"/>
        <w:autoSpaceDE w:val="0"/>
        <w:autoSpaceDN w:val="0"/>
        <w:spacing w:after="0" w:line="276" w:lineRule="auto"/>
        <w:jc w:val="both"/>
        <w:rPr>
          <w:rFonts w:ascii="Verdana" w:hAnsi="Verdana" w:cs="Arial"/>
        </w:rPr>
      </w:pPr>
    </w:p>
    <w:p w14:paraId="2A17E4AA" w14:textId="77777777" w:rsidR="001E234F" w:rsidRPr="008900F6" w:rsidRDefault="001E234F" w:rsidP="001E234F">
      <w:pPr>
        <w:spacing w:after="0" w:line="240" w:lineRule="auto"/>
        <w:rPr>
          <w:rFonts w:ascii="Verdana" w:hAnsi="Verdana" w:cs="Arial"/>
          <w:lang w:eastAsia="es-CO"/>
        </w:rPr>
      </w:pPr>
      <w:r w:rsidRPr="008900F6">
        <w:rPr>
          <w:rFonts w:ascii="Verdana" w:eastAsia="Times New Roman" w:hAnsi="Verdana" w:cs="Arial"/>
          <w:lang w:eastAsia="es-CO"/>
        </w:rPr>
        <w:t>Atentamente,</w:t>
      </w:r>
      <w:r w:rsidRPr="008900F6">
        <w:rPr>
          <w:rFonts w:ascii="Verdana" w:hAnsi="Verdana" w:cs="Arial"/>
          <w:lang w:eastAsia="es-CO"/>
        </w:rPr>
        <w:t xml:space="preserve"> </w:t>
      </w:r>
    </w:p>
    <w:p w14:paraId="71AC0846" w14:textId="08A2CC1C" w:rsidR="001E234F" w:rsidRPr="008900F6" w:rsidRDefault="00811345" w:rsidP="001E234F">
      <w:pPr>
        <w:spacing w:line="276" w:lineRule="auto"/>
        <w:jc w:val="center"/>
        <w:rPr>
          <w:rFonts w:ascii="Verdana" w:hAnsi="Verdana" w:cs="Arial"/>
          <w:lang w:val="es-ES_tradnl" w:eastAsia="es-CO"/>
        </w:rPr>
      </w:pPr>
      <w:r w:rsidRPr="00811345">
        <w:rPr>
          <w:rFonts w:ascii="Verdana" w:hAnsi="Verdana" w:cs="Arial"/>
          <w:lang w:eastAsia="es-CO"/>
        </w:rPr>
        <w:drawing>
          <wp:inline distT="0" distB="0" distL="0" distR="0" wp14:anchorId="6CFF83B3" wp14:editId="47FB240C">
            <wp:extent cx="3771900" cy="1400175"/>
            <wp:effectExtent l="0" t="0" r="0" b="9525"/>
            <wp:docPr id="90522637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811345">
        <w:rPr>
          <w:rFonts w:ascii="Verdana"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1E234F" w:rsidRPr="008900F6" w14:paraId="76D2693C" w14:textId="77777777" w:rsidTr="008C24C9">
        <w:trPr>
          <w:trHeight w:val="286"/>
        </w:trPr>
        <w:tc>
          <w:tcPr>
            <w:tcW w:w="901" w:type="dxa"/>
            <w:vAlign w:val="center"/>
            <w:hideMark/>
          </w:tcPr>
          <w:p w14:paraId="6FC6604F"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869B2B5"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Nasly Yeana Mosquera Rivas</w:t>
            </w:r>
          </w:p>
          <w:p w14:paraId="79F994E7"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Analista T2–06 de la Subdirección de Gestión Contractual</w:t>
            </w:r>
          </w:p>
        </w:tc>
      </w:tr>
      <w:tr w:rsidR="001E234F" w:rsidRPr="008900F6" w14:paraId="6D7FE4DB" w14:textId="77777777" w:rsidTr="008C24C9">
        <w:trPr>
          <w:trHeight w:val="299"/>
        </w:trPr>
        <w:tc>
          <w:tcPr>
            <w:tcW w:w="901" w:type="dxa"/>
            <w:vAlign w:val="center"/>
          </w:tcPr>
          <w:p w14:paraId="011C24CD"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FBC85A5"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Adriana Katerine López Rodríguez</w:t>
            </w:r>
          </w:p>
          <w:p w14:paraId="6E5FD51E"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Contratista de la Subdirección de Gestión Contractual</w:t>
            </w:r>
          </w:p>
        </w:tc>
      </w:tr>
      <w:tr w:rsidR="001E234F" w:rsidRPr="008900F6" w14:paraId="5143080D" w14:textId="77777777" w:rsidTr="008C24C9">
        <w:trPr>
          <w:trHeight w:val="272"/>
        </w:trPr>
        <w:tc>
          <w:tcPr>
            <w:tcW w:w="901" w:type="dxa"/>
            <w:vAlign w:val="center"/>
            <w:hideMark/>
          </w:tcPr>
          <w:p w14:paraId="5E7B9F04"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790473A"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Carolina Quintero Gacharná</w:t>
            </w:r>
          </w:p>
          <w:p w14:paraId="05094FB2" w14:textId="77777777" w:rsidR="001E234F" w:rsidRPr="008900F6" w:rsidRDefault="001E234F" w:rsidP="008C24C9">
            <w:pPr>
              <w:rPr>
                <w:rFonts w:ascii="Verdana" w:hAnsi="Verdana" w:cs="Arial"/>
                <w:sz w:val="14"/>
                <w:szCs w:val="14"/>
                <w:lang w:eastAsia="es-ES"/>
              </w:rPr>
            </w:pPr>
            <w:r w:rsidRPr="008900F6">
              <w:rPr>
                <w:rFonts w:ascii="Verdana" w:hAnsi="Verdana" w:cs="Arial"/>
                <w:sz w:val="14"/>
                <w:szCs w:val="14"/>
                <w:lang w:eastAsia="es-ES"/>
              </w:rPr>
              <w:t>Subdirectora de Gestión Contractual ANCP – CCE</w:t>
            </w:r>
          </w:p>
        </w:tc>
      </w:tr>
    </w:tbl>
    <w:p w14:paraId="1398B0E5" w14:textId="77777777" w:rsidR="001E234F" w:rsidRPr="008900F6" w:rsidRDefault="001E234F" w:rsidP="001E234F">
      <w:pPr>
        <w:spacing w:after="0" w:line="240" w:lineRule="auto"/>
        <w:rPr>
          <w:rFonts w:ascii="Verdana" w:eastAsia="Times New Roman" w:hAnsi="Verdana" w:cs="Arial"/>
          <w:sz w:val="24"/>
          <w:szCs w:val="24"/>
          <w:lang w:eastAsia="es-ES"/>
        </w:rPr>
      </w:pPr>
    </w:p>
    <w:p w14:paraId="63C6F052" w14:textId="77777777" w:rsidR="001E234F" w:rsidRPr="008900F6" w:rsidRDefault="001E234F" w:rsidP="001E234F"/>
    <w:p w14:paraId="61FE5D4B" w14:textId="77777777" w:rsidR="001E234F" w:rsidRPr="008900F6" w:rsidRDefault="001E234F" w:rsidP="001E234F"/>
    <w:p w14:paraId="764DE879" w14:textId="77777777" w:rsidR="001E234F" w:rsidRPr="008900F6" w:rsidRDefault="001E234F" w:rsidP="001E234F"/>
    <w:p w14:paraId="25DC6F2E" w14:textId="77777777" w:rsidR="001E234F" w:rsidRPr="008900F6" w:rsidRDefault="001E234F" w:rsidP="001E234F"/>
    <w:p w14:paraId="14A2100E" w14:textId="77777777" w:rsidR="001E234F" w:rsidRPr="008900F6" w:rsidRDefault="001E234F" w:rsidP="001E234F"/>
    <w:p w14:paraId="284EA27C" w14:textId="77777777" w:rsidR="001E234F" w:rsidRPr="008900F6" w:rsidRDefault="001E234F" w:rsidP="001E234F"/>
    <w:p w14:paraId="40379092" w14:textId="77777777" w:rsidR="008E5C2E" w:rsidRDefault="008E5C2E"/>
    <w:sectPr w:rsidR="008E5C2E" w:rsidSect="001E234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FE26D" w14:textId="77777777" w:rsidR="001E234F" w:rsidRDefault="001E234F" w:rsidP="001E234F">
      <w:pPr>
        <w:spacing w:after="0" w:line="240" w:lineRule="auto"/>
      </w:pPr>
      <w:r>
        <w:separator/>
      </w:r>
    </w:p>
  </w:endnote>
  <w:endnote w:type="continuationSeparator" w:id="0">
    <w:p w14:paraId="04336882" w14:textId="77777777" w:rsidR="001E234F" w:rsidRDefault="001E234F" w:rsidP="001E2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A698" w14:textId="77777777" w:rsidR="005024EF" w:rsidRDefault="005024EF">
    <w:pPr>
      <w:pStyle w:val="Piedepgina"/>
    </w:pPr>
  </w:p>
  <w:p w14:paraId="4B2DFB7F" w14:textId="77777777" w:rsidR="005024EF" w:rsidRPr="00174B77" w:rsidRDefault="005024E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E160EBA" w14:textId="77777777" w:rsidR="005024EF" w:rsidRDefault="005024E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F3FDC5F" w14:textId="77777777" w:rsidR="005024EF" w:rsidRPr="00E41027" w:rsidRDefault="005024EF" w:rsidP="00D520D8">
    <w:pPr>
      <w:spacing w:after="0"/>
      <w:jc w:val="both"/>
      <w:rPr>
        <w:rFonts w:ascii="Verdana" w:hAnsi="Verdana"/>
        <w:sz w:val="18"/>
        <w:szCs w:val="18"/>
      </w:rPr>
    </w:pPr>
    <w:r w:rsidRPr="00E41027">
      <w:rPr>
        <w:rFonts w:ascii="Verdana" w:hAnsi="Verdana"/>
        <w:sz w:val="18"/>
        <w:szCs w:val="18"/>
      </w:rPr>
      <w:t>Mesa de servicio: (+57) 601 7456788</w:t>
    </w:r>
  </w:p>
  <w:p w14:paraId="7FF60A70" w14:textId="77777777" w:rsidR="005024EF" w:rsidRDefault="005024E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FD2D6" w14:textId="77777777" w:rsidR="001E234F" w:rsidRDefault="001E234F" w:rsidP="001E234F">
      <w:pPr>
        <w:spacing w:after="0" w:line="240" w:lineRule="auto"/>
      </w:pPr>
      <w:r>
        <w:separator/>
      </w:r>
    </w:p>
  </w:footnote>
  <w:footnote w:type="continuationSeparator" w:id="0">
    <w:p w14:paraId="2DDACBA5" w14:textId="77777777" w:rsidR="001E234F" w:rsidRDefault="001E234F" w:rsidP="001E234F">
      <w:pPr>
        <w:spacing w:after="0" w:line="240" w:lineRule="auto"/>
      </w:pPr>
      <w:r>
        <w:continuationSeparator/>
      </w:r>
    </w:p>
  </w:footnote>
  <w:footnote w:id="1">
    <w:p w14:paraId="59438A6E" w14:textId="77777777" w:rsidR="001E234F" w:rsidRPr="002717C8" w:rsidRDefault="001E234F" w:rsidP="001E234F">
      <w:pPr>
        <w:pStyle w:val="Textonotapie"/>
        <w:ind w:firstLine="708"/>
        <w:jc w:val="both"/>
        <w:rPr>
          <w:rFonts w:ascii="Arial" w:eastAsia="Times New Roman" w:hAnsi="Arial" w:cs="Arial"/>
          <w:sz w:val="18"/>
          <w:szCs w:val="18"/>
          <w:lang w:val="es-CO" w:eastAsia="es-CO"/>
        </w:rPr>
      </w:pPr>
      <w:r w:rsidRPr="002717C8">
        <w:rPr>
          <w:rStyle w:val="Refdenotaalpie"/>
          <w:rFonts w:ascii="Arial" w:hAnsi="Arial" w:cs="Arial"/>
          <w:sz w:val="18"/>
          <w:szCs w:val="18"/>
        </w:rPr>
        <w:footnoteRef/>
      </w:r>
      <w:r w:rsidRPr="002717C8">
        <w:rPr>
          <w:rFonts w:ascii="Arial" w:hAnsi="Arial" w:cs="Arial"/>
          <w:sz w:val="18"/>
          <w:szCs w:val="18"/>
        </w:rPr>
        <w:t xml:space="preserve"> </w:t>
      </w:r>
      <w:r w:rsidRPr="002717C8">
        <w:rPr>
          <w:rFonts w:ascii="Arial" w:eastAsia="Times New Roman" w:hAnsi="Arial" w:cs="Arial"/>
          <w:sz w:val="18"/>
          <w:szCs w:val="18"/>
          <w:lang w:val="es-CO" w:eastAsia="es-CO"/>
        </w:rPr>
        <w:t>Consejo de Estado. Sección Tercera. Sentencia del 27 de abril de 2011. Exp. 18.293. C.P. Ruth Stella Correa Palacio.</w:t>
      </w:r>
    </w:p>
    <w:p w14:paraId="0F22866A" w14:textId="77777777" w:rsidR="001E234F" w:rsidRPr="002717C8" w:rsidRDefault="001E234F" w:rsidP="001E234F">
      <w:pPr>
        <w:pStyle w:val="Textonotapie"/>
        <w:ind w:firstLine="708"/>
        <w:jc w:val="both"/>
        <w:rPr>
          <w:rFonts w:ascii="Arial" w:eastAsia="Calibri" w:hAnsi="Arial" w:cs="Arial"/>
          <w:sz w:val="18"/>
          <w:szCs w:val="18"/>
          <w:lang w:val="es-CO"/>
        </w:rPr>
      </w:pPr>
    </w:p>
  </w:footnote>
  <w:footnote w:id="2">
    <w:p w14:paraId="3A8B4BED" w14:textId="77777777" w:rsidR="001E234F" w:rsidRPr="002717C8" w:rsidRDefault="001E234F" w:rsidP="001E234F">
      <w:pPr>
        <w:pStyle w:val="Textonotapie"/>
        <w:ind w:firstLine="708"/>
        <w:jc w:val="both"/>
        <w:rPr>
          <w:rFonts w:ascii="Arial" w:eastAsia="Times New Roman" w:hAnsi="Arial" w:cs="Arial"/>
          <w:sz w:val="18"/>
          <w:szCs w:val="18"/>
          <w:lang w:val="es-CO" w:eastAsia="es-CO"/>
        </w:rPr>
      </w:pPr>
      <w:r w:rsidRPr="002717C8">
        <w:rPr>
          <w:rStyle w:val="Refdenotaalpie"/>
          <w:rFonts w:ascii="Arial" w:hAnsi="Arial" w:cs="Arial"/>
          <w:sz w:val="18"/>
          <w:szCs w:val="18"/>
        </w:rPr>
        <w:footnoteRef/>
      </w:r>
      <w:r w:rsidRPr="002717C8">
        <w:rPr>
          <w:rFonts w:ascii="Arial" w:hAnsi="Arial" w:cs="Arial"/>
          <w:sz w:val="18"/>
          <w:szCs w:val="18"/>
        </w:rPr>
        <w:t xml:space="preserve"> </w:t>
      </w:r>
      <w:r w:rsidRPr="002717C8">
        <w:rPr>
          <w:rFonts w:ascii="Arial" w:eastAsia="Times New Roman" w:hAnsi="Arial" w:cs="Arial"/>
          <w:sz w:val="18"/>
          <w:szCs w:val="18"/>
          <w:lang w:val="es-CO" w:eastAsia="es-CO"/>
        </w:rPr>
        <w:t>Consejo de Estado. Sección Tercera. Sentencia del 21 de noviembre de 2013 Exp. 25397. C.P. Carlos Alberto Zambrano Barrera.</w:t>
      </w:r>
    </w:p>
    <w:p w14:paraId="0CEC9E83" w14:textId="77777777" w:rsidR="001E234F" w:rsidRPr="002717C8" w:rsidRDefault="001E234F" w:rsidP="001E234F">
      <w:pPr>
        <w:pStyle w:val="Textonotapie"/>
        <w:ind w:firstLine="708"/>
        <w:jc w:val="both"/>
        <w:rPr>
          <w:rFonts w:ascii="Arial" w:eastAsia="Calibri"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9D224" w14:textId="77777777" w:rsidR="005024EF" w:rsidRDefault="005024E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69663AC" wp14:editId="027AB706">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8CC0645" wp14:editId="06195B8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4FA503" w14:textId="77777777" w:rsidR="005024EF" w:rsidRDefault="005024EF">
    <w:pPr>
      <w:pStyle w:val="Encabezado"/>
    </w:pPr>
  </w:p>
  <w:p w14:paraId="507A60B2" w14:textId="77777777" w:rsidR="005024EF" w:rsidRDefault="005024EF" w:rsidP="004A305D">
    <w:pPr>
      <w:spacing w:after="0"/>
      <w:rPr>
        <w:rFonts w:ascii="Verdana" w:hAnsi="Verdana"/>
        <w:b/>
        <w:bCs/>
      </w:rPr>
    </w:pPr>
  </w:p>
  <w:p w14:paraId="01DC6934" w14:textId="77777777" w:rsidR="005024EF" w:rsidRPr="00DC39FC" w:rsidRDefault="005024EF" w:rsidP="004A305D">
    <w:pPr>
      <w:spacing w:after="0"/>
      <w:rPr>
        <w:rFonts w:ascii="Verdana" w:hAnsi="Verdana"/>
        <w:b/>
        <w:bCs/>
      </w:rPr>
    </w:pPr>
    <w:r w:rsidRPr="00DC39FC">
      <w:rPr>
        <w:rFonts w:ascii="Verdana" w:hAnsi="Verdana"/>
        <w:b/>
        <w:bCs/>
      </w:rPr>
      <w:t>FORMATO PQRSD</w:t>
    </w:r>
  </w:p>
  <w:p w14:paraId="7FBCAFE0" w14:textId="77777777" w:rsidR="005024EF" w:rsidRPr="004A305D" w:rsidRDefault="005024EF" w:rsidP="00B01B1A">
    <w:pPr>
      <w:spacing w:after="0" w:line="120" w:lineRule="auto"/>
      <w:rPr>
        <w:rFonts w:ascii="Century Gothic" w:eastAsia="Geo" w:hAnsi="Century Gothic" w:cs="Geo"/>
        <w:sz w:val="16"/>
        <w:szCs w:val="16"/>
        <w:lang w:eastAsia="es-CO"/>
      </w:rPr>
    </w:pPr>
  </w:p>
  <w:p w14:paraId="04B4293B" w14:textId="77777777" w:rsidR="005024EF" w:rsidRDefault="005024E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AD8"/>
    <w:multiLevelType w:val="hybridMultilevel"/>
    <w:tmpl w:val="1382B7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2209491">
    <w:abstractNumId w:val="2"/>
  </w:num>
  <w:num w:numId="2" w16cid:durableId="679089576">
    <w:abstractNumId w:val="3"/>
  </w:num>
  <w:num w:numId="3" w16cid:durableId="60297613">
    <w:abstractNumId w:val="0"/>
  </w:num>
  <w:num w:numId="4" w16cid:durableId="1518739868">
    <w:abstractNumId w:val="4"/>
  </w:num>
  <w:num w:numId="5" w16cid:durableId="333918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34F"/>
    <w:rsid w:val="001E234F"/>
    <w:rsid w:val="005024EF"/>
    <w:rsid w:val="005727E1"/>
    <w:rsid w:val="005818E2"/>
    <w:rsid w:val="00811345"/>
    <w:rsid w:val="008930C2"/>
    <w:rsid w:val="008E5C2E"/>
    <w:rsid w:val="00A16719"/>
    <w:rsid w:val="00BA212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8BB97"/>
  <w15:chartTrackingRefBased/>
  <w15:docId w15:val="{B6C77A7F-D7C5-4B77-93CC-D3C37A98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34F"/>
    <w:rPr>
      <w:kern w:val="0"/>
      <w14:ligatures w14:val="none"/>
    </w:rPr>
  </w:style>
  <w:style w:type="paragraph" w:styleId="Ttulo1">
    <w:name w:val="heading 1"/>
    <w:basedOn w:val="Normal"/>
    <w:next w:val="Normal"/>
    <w:link w:val="Ttulo1Car"/>
    <w:uiPriority w:val="9"/>
    <w:qFormat/>
    <w:rsid w:val="001E23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23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23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23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23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23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23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23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23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23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23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23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23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23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23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23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23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234F"/>
    <w:rPr>
      <w:rFonts w:eastAsiaTheme="majorEastAsia" w:cstheme="majorBidi"/>
      <w:color w:val="272727" w:themeColor="text1" w:themeTint="D8"/>
    </w:rPr>
  </w:style>
  <w:style w:type="paragraph" w:styleId="Ttulo">
    <w:name w:val="Title"/>
    <w:basedOn w:val="Normal"/>
    <w:next w:val="Normal"/>
    <w:link w:val="TtuloCar"/>
    <w:uiPriority w:val="10"/>
    <w:qFormat/>
    <w:rsid w:val="001E23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23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23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23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234F"/>
    <w:pPr>
      <w:spacing w:before="160"/>
      <w:jc w:val="center"/>
    </w:pPr>
    <w:rPr>
      <w:i/>
      <w:iCs/>
      <w:color w:val="404040" w:themeColor="text1" w:themeTint="BF"/>
    </w:rPr>
  </w:style>
  <w:style w:type="character" w:customStyle="1" w:styleId="CitaCar">
    <w:name w:val="Cita Car"/>
    <w:basedOn w:val="Fuentedeprrafopredeter"/>
    <w:link w:val="Cita"/>
    <w:uiPriority w:val="29"/>
    <w:rsid w:val="001E234F"/>
    <w:rPr>
      <w:i/>
      <w:iCs/>
      <w:color w:val="404040" w:themeColor="text1" w:themeTint="BF"/>
    </w:rPr>
  </w:style>
  <w:style w:type="paragraph" w:styleId="Prrafodelista">
    <w:name w:val="List Paragraph"/>
    <w:basedOn w:val="Normal"/>
    <w:uiPriority w:val="34"/>
    <w:qFormat/>
    <w:rsid w:val="001E234F"/>
    <w:pPr>
      <w:ind w:left="720"/>
      <w:contextualSpacing/>
    </w:pPr>
  </w:style>
  <w:style w:type="character" w:styleId="nfasisintenso">
    <w:name w:val="Intense Emphasis"/>
    <w:basedOn w:val="Fuentedeprrafopredeter"/>
    <w:uiPriority w:val="21"/>
    <w:qFormat/>
    <w:rsid w:val="001E234F"/>
    <w:rPr>
      <w:i/>
      <w:iCs/>
      <w:color w:val="0F4761" w:themeColor="accent1" w:themeShade="BF"/>
    </w:rPr>
  </w:style>
  <w:style w:type="paragraph" w:styleId="Citadestacada">
    <w:name w:val="Intense Quote"/>
    <w:basedOn w:val="Normal"/>
    <w:next w:val="Normal"/>
    <w:link w:val="CitadestacadaCar"/>
    <w:uiPriority w:val="30"/>
    <w:qFormat/>
    <w:rsid w:val="001E2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234F"/>
    <w:rPr>
      <w:i/>
      <w:iCs/>
      <w:color w:val="0F4761" w:themeColor="accent1" w:themeShade="BF"/>
    </w:rPr>
  </w:style>
  <w:style w:type="character" w:styleId="Referenciaintensa">
    <w:name w:val="Intense Reference"/>
    <w:basedOn w:val="Fuentedeprrafopredeter"/>
    <w:uiPriority w:val="32"/>
    <w:qFormat/>
    <w:rsid w:val="001E234F"/>
    <w:rPr>
      <w:b/>
      <w:bCs/>
      <w:smallCaps/>
      <w:color w:val="0F4761" w:themeColor="accent1" w:themeShade="BF"/>
      <w:spacing w:val="5"/>
    </w:rPr>
  </w:style>
  <w:style w:type="paragraph" w:styleId="Encabezado">
    <w:name w:val="header"/>
    <w:basedOn w:val="Normal"/>
    <w:link w:val="EncabezadoCar"/>
    <w:uiPriority w:val="99"/>
    <w:unhideWhenUsed/>
    <w:rsid w:val="001E234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34F"/>
    <w:rPr>
      <w:kern w:val="0"/>
      <w14:ligatures w14:val="none"/>
    </w:rPr>
  </w:style>
  <w:style w:type="paragraph" w:styleId="Piedepgina">
    <w:name w:val="footer"/>
    <w:basedOn w:val="Normal"/>
    <w:link w:val="PiedepginaCar"/>
    <w:uiPriority w:val="99"/>
    <w:unhideWhenUsed/>
    <w:rsid w:val="001E234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34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E234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E234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E234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E234F"/>
    <w:rPr>
      <w:vertAlign w:val="superscript"/>
    </w:rPr>
  </w:style>
  <w:style w:type="table" w:styleId="Tablaconcuadrcula">
    <w:name w:val="Table Grid"/>
    <w:basedOn w:val="Tablanormal"/>
    <w:uiPriority w:val="39"/>
    <w:qFormat/>
    <w:rsid w:val="001E23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E234F"/>
    <w:rPr>
      <w:color w:val="0000FF"/>
      <w:u w:val="single"/>
    </w:rPr>
  </w:style>
  <w:style w:type="paragraph" w:customStyle="1" w:styleId="Appelnotedebasde">
    <w:name w:val="Appel note de bas de..."/>
    <w:basedOn w:val="Normal"/>
    <w:link w:val="Refdenotaalpie"/>
    <w:uiPriority w:val="99"/>
    <w:rsid w:val="001E234F"/>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1E23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4B76FC-0D83-4CB3-865F-2CE4183BF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4D518-1C23-4ADE-AF0C-9290CEC8EE29}">
  <ds:schemaRefs>
    <ds:schemaRef ds:uri="http://schemas.microsoft.com/sharepoint/v3/contenttype/forms"/>
  </ds:schemaRefs>
</ds:datastoreItem>
</file>

<file path=customXml/itemProps3.xml><?xml version="1.0" encoding="utf-8"?>
<ds:datastoreItem xmlns:ds="http://schemas.openxmlformats.org/officeDocument/2006/customXml" ds:itemID="{3598E887-905F-4217-A971-51A8D5415ED1}">
  <ds:schemaRefs>
    <ds:schemaRef ds:uri="a6cb9e4b-f1d1-4245-83ec-6cad768d538a"/>
    <ds:schemaRef ds:uri="http://purl.org/dc/terms/"/>
    <ds:schemaRef ds:uri="9d85dbaf-23eb-4e57-a637-93dcacc8b1a1"/>
    <ds:schemaRef ds:uri="http://schemas.microsoft.com/office/2006/documentManagement/types"/>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3304</Words>
  <Characters>18176</Characters>
  <Application>Microsoft Office Word</Application>
  <DocSecurity>0</DocSecurity>
  <Lines>151</Lines>
  <Paragraphs>42</Paragraphs>
  <ScaleCrop>false</ScaleCrop>
  <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4</cp:revision>
  <dcterms:created xsi:type="dcterms:W3CDTF">2025-02-28T17:36:00Z</dcterms:created>
  <dcterms:modified xsi:type="dcterms:W3CDTF">2025-02-28T17:41:00Z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