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A0D3" w14:textId="77777777" w:rsidR="00833452" w:rsidRDefault="00833452" w:rsidP="00526E9D">
      <w:pPr>
        <w:rPr>
          <w:rFonts w:ascii="Geomanist Light" w:eastAsia="Times New Roman" w:hAnsi="Geomanist Light" w:cs="Arial"/>
          <w:b/>
          <w:bCs/>
          <w:lang w:val="es-MX" w:eastAsia="es-CO"/>
        </w:rPr>
      </w:pPr>
    </w:p>
    <w:p w14:paraId="0837CFC8" w14:textId="77777777" w:rsidR="003F6E3A" w:rsidRPr="002E7A97" w:rsidRDefault="003F6E3A" w:rsidP="003F6E3A">
      <w:pPr>
        <w:tabs>
          <w:tab w:val="left" w:pos="426"/>
        </w:tabs>
        <w:contextualSpacing/>
        <w:jc w:val="both"/>
        <w:rPr>
          <w:rFonts w:ascii="Arial" w:eastAsia="Calibri" w:hAnsi="Arial" w:cs="Arial"/>
          <w:b/>
          <w:bCs/>
          <w:lang w:val="es-MX"/>
        </w:rPr>
      </w:pPr>
      <w:bookmarkStart w:id="0" w:name="_Hlk77152637"/>
      <w:bookmarkStart w:id="1" w:name="_Hlk77157066"/>
      <w:bookmarkStart w:id="2" w:name="_Hlk78821436"/>
      <w:r w:rsidRPr="002E7A97">
        <w:rPr>
          <w:rFonts w:ascii="Arial" w:eastAsia="Calibri" w:hAnsi="Arial" w:cs="Arial"/>
          <w:b/>
          <w:bCs/>
          <w:lang w:val="es-MX"/>
        </w:rPr>
        <w:t>LEY DE GARANTÍAS ELECTORALES ‒ Finalidad</w:t>
      </w:r>
    </w:p>
    <w:p w14:paraId="602AD1A5" w14:textId="77777777" w:rsidR="003F6E3A" w:rsidRPr="006C314F" w:rsidRDefault="003F6E3A" w:rsidP="003F6E3A">
      <w:pPr>
        <w:tabs>
          <w:tab w:val="left" w:pos="426"/>
        </w:tabs>
        <w:contextualSpacing/>
        <w:jc w:val="both"/>
        <w:rPr>
          <w:rFonts w:ascii="Arial" w:eastAsia="Calibri" w:hAnsi="Arial" w:cs="Arial"/>
          <w:b/>
          <w:bCs/>
          <w:sz w:val="20"/>
          <w:szCs w:val="20"/>
          <w:lang w:val="es-MX"/>
        </w:rPr>
      </w:pPr>
    </w:p>
    <w:p w14:paraId="65B9844D" w14:textId="77777777" w:rsidR="003F6E3A" w:rsidRPr="006C314F" w:rsidRDefault="003F6E3A" w:rsidP="003F6E3A">
      <w:pPr>
        <w:tabs>
          <w:tab w:val="left" w:pos="426"/>
        </w:tabs>
        <w:contextualSpacing/>
        <w:jc w:val="both"/>
        <w:rPr>
          <w:rFonts w:ascii="Arial" w:eastAsia="Calibri" w:hAnsi="Arial" w:cs="Arial"/>
          <w:b/>
          <w:bCs/>
          <w:sz w:val="20"/>
          <w:szCs w:val="20"/>
          <w:lang w:val="es-MX"/>
        </w:rPr>
      </w:pPr>
      <w:r w:rsidRPr="006C314F">
        <w:rPr>
          <w:rFonts w:ascii="Arial" w:eastAsia="Calibri" w:hAnsi="Arial" w:cs="Arial"/>
          <w:noProof/>
          <w:sz w:val="20"/>
          <w:szCs w:val="20"/>
          <w:lang w:val="es-ES_tradnl"/>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6C314F">
        <w:rPr>
          <w:rFonts w:ascii="Arial" w:hAnsi="Arial" w:cs="Arial"/>
          <w:bCs/>
          <w:sz w:val="20"/>
          <w:szCs w:val="20"/>
          <w:lang w:val="es-MX" w:eastAsia="es-CO"/>
        </w:rPr>
        <w:t>.</w:t>
      </w:r>
    </w:p>
    <w:p w14:paraId="19156441" w14:textId="77777777" w:rsidR="003F6E3A" w:rsidRPr="006C314F" w:rsidRDefault="003F6E3A" w:rsidP="003F6E3A">
      <w:pPr>
        <w:tabs>
          <w:tab w:val="left" w:pos="426"/>
        </w:tabs>
        <w:contextualSpacing/>
        <w:jc w:val="both"/>
        <w:rPr>
          <w:rFonts w:ascii="Arial" w:eastAsia="Calibri" w:hAnsi="Arial" w:cs="Arial"/>
          <w:b/>
          <w:bCs/>
          <w:sz w:val="20"/>
          <w:szCs w:val="20"/>
          <w:lang w:val="es-MX"/>
        </w:rPr>
      </w:pPr>
    </w:p>
    <w:p w14:paraId="64B3C2C4" w14:textId="77777777" w:rsidR="003F6E3A" w:rsidRPr="002E7A97" w:rsidRDefault="003F6E3A" w:rsidP="003F6E3A">
      <w:pPr>
        <w:tabs>
          <w:tab w:val="left" w:pos="426"/>
        </w:tabs>
        <w:contextualSpacing/>
        <w:jc w:val="both"/>
        <w:rPr>
          <w:rFonts w:ascii="Arial" w:eastAsia="Calibri" w:hAnsi="Arial" w:cs="Arial"/>
          <w:b/>
          <w:bCs/>
          <w:lang w:val="es-MX"/>
        </w:rPr>
      </w:pPr>
      <w:r w:rsidRPr="002E7A97">
        <w:rPr>
          <w:rFonts w:ascii="Arial" w:eastAsia="Calibri" w:hAnsi="Arial" w:cs="Arial"/>
          <w:b/>
          <w:bCs/>
          <w:lang w:val="es-MX"/>
        </w:rPr>
        <w:t>LEY DE GARANTÍAS ELECTORALES ‒</w:t>
      </w:r>
      <w:bookmarkEnd w:id="0"/>
      <w:r w:rsidRPr="002E7A97">
        <w:rPr>
          <w:rFonts w:ascii="Arial" w:eastAsia="Calibri" w:hAnsi="Arial" w:cs="Arial"/>
          <w:b/>
          <w:bCs/>
          <w:lang w:val="es-MX"/>
        </w:rPr>
        <w:t xml:space="preserve"> Tipos de restricciones </w:t>
      </w:r>
      <w:bookmarkStart w:id="3" w:name="_Hlk77157034"/>
      <w:r w:rsidRPr="002E7A97">
        <w:rPr>
          <w:rFonts w:ascii="Arial" w:eastAsia="Calibri" w:hAnsi="Arial" w:cs="Arial"/>
          <w:b/>
          <w:bCs/>
          <w:lang w:val="es-MX"/>
        </w:rPr>
        <w:t xml:space="preserve">‒ </w:t>
      </w:r>
      <w:bookmarkStart w:id="4" w:name="_Hlk77153098"/>
      <w:bookmarkEnd w:id="3"/>
      <w:r w:rsidRPr="002E7A97">
        <w:rPr>
          <w:rFonts w:ascii="Arial" w:eastAsia="Calibri" w:hAnsi="Arial" w:cs="Arial"/>
          <w:b/>
          <w:bCs/>
          <w:lang w:val="es-MX"/>
        </w:rPr>
        <w:t xml:space="preserve">Ámbito temporal </w:t>
      </w:r>
      <w:bookmarkEnd w:id="4"/>
    </w:p>
    <w:p w14:paraId="5F43B909" w14:textId="77777777" w:rsidR="003F6E3A" w:rsidRPr="006C314F" w:rsidRDefault="003F6E3A" w:rsidP="003F6E3A">
      <w:pPr>
        <w:tabs>
          <w:tab w:val="left" w:pos="426"/>
        </w:tabs>
        <w:contextualSpacing/>
        <w:jc w:val="both"/>
        <w:rPr>
          <w:rFonts w:ascii="Arial" w:eastAsia="Calibri" w:hAnsi="Arial" w:cs="Arial"/>
          <w:b/>
          <w:bCs/>
          <w:sz w:val="20"/>
          <w:szCs w:val="20"/>
          <w:lang w:val="es-MX"/>
        </w:rPr>
      </w:pPr>
    </w:p>
    <w:bookmarkEnd w:id="1"/>
    <w:p w14:paraId="441E7452" w14:textId="77777777" w:rsidR="003F6E3A" w:rsidRPr="006C314F" w:rsidRDefault="003F6E3A" w:rsidP="003F6E3A">
      <w:pPr>
        <w:tabs>
          <w:tab w:val="left" w:pos="426"/>
        </w:tabs>
        <w:contextualSpacing/>
        <w:jc w:val="both"/>
        <w:rPr>
          <w:rFonts w:ascii="Arial" w:eastAsia="Calibri" w:hAnsi="Arial" w:cs="Arial"/>
          <w:noProof/>
          <w:sz w:val="20"/>
          <w:szCs w:val="20"/>
          <w:lang w:val="es-ES_tradnl"/>
        </w:rPr>
      </w:pPr>
      <w:r w:rsidRPr="006C314F">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5F6156C3" w14:textId="77777777" w:rsidR="003F6E3A" w:rsidRPr="006C314F" w:rsidRDefault="003F6E3A" w:rsidP="003F6E3A">
      <w:pPr>
        <w:tabs>
          <w:tab w:val="left" w:pos="426"/>
        </w:tabs>
        <w:contextualSpacing/>
        <w:jc w:val="both"/>
        <w:rPr>
          <w:rFonts w:ascii="Arial" w:eastAsia="Calibri" w:hAnsi="Arial" w:cs="Arial"/>
          <w:noProof/>
          <w:sz w:val="20"/>
          <w:szCs w:val="20"/>
          <w:lang w:val="es-ES_tradnl"/>
        </w:rPr>
      </w:pPr>
    </w:p>
    <w:p w14:paraId="344A630A" w14:textId="77777777" w:rsidR="003F6E3A" w:rsidRPr="002E7A97" w:rsidRDefault="003F6E3A" w:rsidP="003F6E3A">
      <w:pPr>
        <w:tabs>
          <w:tab w:val="left" w:pos="426"/>
        </w:tabs>
        <w:contextualSpacing/>
        <w:jc w:val="both"/>
        <w:rPr>
          <w:rFonts w:ascii="Arial" w:eastAsia="Calibri" w:hAnsi="Arial" w:cs="Arial"/>
          <w:b/>
          <w:bCs/>
          <w:lang w:val="es-MX"/>
        </w:rPr>
      </w:pPr>
      <w:bookmarkStart w:id="5" w:name="_Hlk77165666"/>
      <w:r w:rsidRPr="002E7A97">
        <w:rPr>
          <w:rFonts w:ascii="Arial" w:eastAsia="Calibri" w:hAnsi="Arial" w:cs="Arial"/>
          <w:b/>
          <w:bCs/>
          <w:lang w:val="es-MX"/>
        </w:rPr>
        <w:t xml:space="preserve">LEY DE GARANTÍAS ELECTORALES ─ Prohibición ‒ </w:t>
      </w:r>
      <w:bookmarkEnd w:id="5"/>
      <w:r w:rsidRPr="002E7A97">
        <w:rPr>
          <w:rFonts w:ascii="Arial" w:eastAsia="Calibri" w:hAnsi="Arial" w:cs="Arial"/>
          <w:b/>
          <w:bCs/>
          <w:lang w:val="es-MX"/>
        </w:rPr>
        <w:t>Contratación directa ‒ Alcance</w:t>
      </w:r>
    </w:p>
    <w:p w14:paraId="24C63533" w14:textId="77777777" w:rsidR="003F6E3A" w:rsidRPr="006C314F" w:rsidRDefault="003F6E3A" w:rsidP="003F6E3A">
      <w:pPr>
        <w:tabs>
          <w:tab w:val="left" w:pos="426"/>
        </w:tabs>
        <w:contextualSpacing/>
        <w:jc w:val="both"/>
        <w:rPr>
          <w:rFonts w:ascii="Arial" w:eastAsia="Calibri" w:hAnsi="Arial" w:cs="Arial"/>
          <w:noProof/>
          <w:sz w:val="20"/>
          <w:szCs w:val="20"/>
          <w:lang w:val="es-MX"/>
        </w:rPr>
      </w:pPr>
    </w:p>
    <w:p w14:paraId="62F3B2B4" w14:textId="77777777" w:rsidR="003F6E3A" w:rsidRPr="006C314F" w:rsidRDefault="003F6E3A" w:rsidP="003F6E3A">
      <w:pPr>
        <w:tabs>
          <w:tab w:val="left" w:pos="426"/>
        </w:tabs>
        <w:contextualSpacing/>
        <w:jc w:val="both"/>
        <w:rPr>
          <w:rFonts w:ascii="Arial" w:eastAsia="Calibri" w:hAnsi="Arial" w:cs="Arial"/>
          <w:noProof/>
          <w:sz w:val="20"/>
          <w:szCs w:val="20"/>
          <w:lang w:val="es-ES_tradnl"/>
        </w:rPr>
      </w:pPr>
      <w:r w:rsidRPr="006C314F">
        <w:rPr>
          <w:rFonts w:ascii="Arial" w:eastAsia="Calibri" w:hAnsi="Arial" w:cs="Arial"/>
          <w:noProof/>
          <w:sz w:val="20"/>
          <w:szCs w:val="20"/>
          <w:lang w:val="es-ES_tradnl"/>
        </w:rPr>
        <w:t>[…]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p>
    <w:p w14:paraId="3A1B80AD" w14:textId="77777777" w:rsidR="003F6E3A" w:rsidRPr="006C314F" w:rsidRDefault="003F6E3A" w:rsidP="003F6E3A">
      <w:pPr>
        <w:tabs>
          <w:tab w:val="left" w:pos="426"/>
        </w:tabs>
        <w:contextualSpacing/>
        <w:jc w:val="both"/>
        <w:rPr>
          <w:rFonts w:ascii="Arial" w:eastAsia="Calibri" w:hAnsi="Arial" w:cs="Arial"/>
          <w:noProof/>
          <w:sz w:val="20"/>
          <w:szCs w:val="20"/>
          <w:lang w:val="es-ES_tradnl"/>
        </w:rPr>
      </w:pPr>
      <w:r w:rsidRPr="006C314F">
        <w:rPr>
          <w:rFonts w:ascii="Arial" w:eastAsia="Calibri" w:hAnsi="Arial" w:cs="Arial"/>
          <w:noProof/>
          <w:sz w:val="20"/>
          <w:szCs w:val="20"/>
          <w:lang w:val="es-ES_tradnl"/>
        </w:rPr>
        <w:t xml:space="preserve"> </w:t>
      </w:r>
    </w:p>
    <w:p w14:paraId="4C244C28" w14:textId="77777777" w:rsidR="003F6E3A" w:rsidRPr="006C314F" w:rsidRDefault="003F6E3A" w:rsidP="003F6E3A">
      <w:pPr>
        <w:tabs>
          <w:tab w:val="left" w:pos="426"/>
        </w:tabs>
        <w:contextualSpacing/>
        <w:jc w:val="both"/>
        <w:rPr>
          <w:rFonts w:ascii="Arial" w:eastAsia="Calibri" w:hAnsi="Arial" w:cs="Arial"/>
          <w:noProof/>
          <w:sz w:val="20"/>
          <w:szCs w:val="20"/>
          <w:lang w:val="es-ES_tradnl"/>
        </w:rPr>
      </w:pPr>
      <w:r w:rsidRPr="006C314F">
        <w:rPr>
          <w:rFonts w:ascii="Arial" w:eastAsia="Calibri" w:hAnsi="Arial" w:cs="Arial"/>
          <w:noProof/>
          <w:sz w:val="20"/>
          <w:szCs w:val="20"/>
          <w:lang w:val="es-ES_tradnl"/>
        </w:rPr>
        <w:t>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278A762C" w14:textId="77777777" w:rsidR="003F6E3A" w:rsidRPr="006C314F" w:rsidRDefault="003F6E3A" w:rsidP="003F6E3A">
      <w:pPr>
        <w:tabs>
          <w:tab w:val="left" w:pos="426"/>
        </w:tabs>
        <w:contextualSpacing/>
        <w:jc w:val="both"/>
        <w:rPr>
          <w:rFonts w:ascii="Arial" w:eastAsia="Calibri" w:hAnsi="Arial" w:cs="Arial"/>
          <w:noProof/>
          <w:sz w:val="20"/>
          <w:szCs w:val="20"/>
          <w:lang w:val="es-ES_tradnl"/>
        </w:rPr>
      </w:pPr>
    </w:p>
    <w:p w14:paraId="05E42F15" w14:textId="77777777" w:rsidR="003F6E3A" w:rsidRPr="002E7A97" w:rsidRDefault="003F6E3A" w:rsidP="003F6E3A">
      <w:pPr>
        <w:tabs>
          <w:tab w:val="left" w:pos="426"/>
        </w:tabs>
        <w:contextualSpacing/>
        <w:jc w:val="both"/>
        <w:rPr>
          <w:rFonts w:ascii="Arial" w:eastAsia="Calibri" w:hAnsi="Arial" w:cs="Arial"/>
          <w:b/>
          <w:bCs/>
          <w:lang w:val="es-MX"/>
        </w:rPr>
      </w:pPr>
      <w:r w:rsidRPr="002E7A97">
        <w:rPr>
          <w:rFonts w:ascii="Arial" w:eastAsia="Calibri" w:hAnsi="Arial" w:cs="Arial"/>
          <w:b/>
          <w:bCs/>
          <w:lang w:val="es-MX"/>
        </w:rPr>
        <w:t xml:space="preserve">LEY DE GARANTÍAS ELECTORALES ─ Prohibición ‒ Contratación directa ‒ </w:t>
      </w:r>
      <w:r w:rsidRPr="002E7A97">
        <w:rPr>
          <w:rFonts w:ascii="Arial" w:hAnsi="Arial" w:cs="Arial"/>
          <w:b/>
          <w:bCs/>
          <w:lang w:eastAsia="es-CO"/>
        </w:rPr>
        <w:t>Excepciones</w:t>
      </w:r>
      <w:r w:rsidRPr="002E7A97">
        <w:rPr>
          <w:rFonts w:ascii="Arial" w:eastAsia="Calibri" w:hAnsi="Arial" w:cs="Arial"/>
          <w:b/>
          <w:bCs/>
          <w:lang w:val="es-MX"/>
        </w:rPr>
        <w:t xml:space="preserve"> </w:t>
      </w:r>
    </w:p>
    <w:p w14:paraId="1DEEFBD8" w14:textId="77777777" w:rsidR="003F6E3A" w:rsidRPr="006C314F" w:rsidRDefault="003F6E3A" w:rsidP="003F6E3A">
      <w:pPr>
        <w:tabs>
          <w:tab w:val="left" w:pos="426"/>
        </w:tabs>
        <w:contextualSpacing/>
        <w:jc w:val="both"/>
        <w:rPr>
          <w:rFonts w:ascii="Arial" w:hAnsi="Arial" w:cs="Arial"/>
          <w:sz w:val="20"/>
          <w:szCs w:val="20"/>
          <w:lang w:eastAsia="x-none"/>
        </w:rPr>
      </w:pPr>
    </w:p>
    <w:p w14:paraId="74403E52" w14:textId="77777777" w:rsidR="003F6E3A" w:rsidRPr="006C314F" w:rsidRDefault="003F6E3A" w:rsidP="003F6E3A">
      <w:pPr>
        <w:tabs>
          <w:tab w:val="left" w:pos="426"/>
        </w:tabs>
        <w:contextualSpacing/>
        <w:jc w:val="both"/>
        <w:rPr>
          <w:rFonts w:ascii="Arial" w:eastAsia="Calibri" w:hAnsi="Arial" w:cs="Arial"/>
          <w:noProof/>
          <w:sz w:val="20"/>
          <w:szCs w:val="20"/>
          <w:lang w:val="es-ES_tradnl"/>
        </w:rPr>
      </w:pPr>
      <w:r w:rsidRPr="006C314F">
        <w:rPr>
          <w:rFonts w:ascii="Arial" w:eastAsia="Calibri" w:hAnsi="Arial" w:cs="Arial"/>
          <w:noProof/>
          <w:sz w:val="20"/>
          <w:szCs w:val="20"/>
          <w:lang w:val="es-ES_tradnl"/>
        </w:rPr>
        <w:t xml:space="preserve">[…]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w:t>
      </w:r>
      <w:r w:rsidRPr="006C314F">
        <w:rPr>
          <w:rFonts w:ascii="Arial" w:eastAsia="Calibri" w:hAnsi="Arial" w:cs="Arial"/>
          <w:noProof/>
          <w:sz w:val="20"/>
          <w:szCs w:val="20"/>
          <w:lang w:val="es-ES_tradnl"/>
        </w:rPr>
        <w:lastRenderedPageBreak/>
        <w:t>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La misma disposición señala que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FA3BA1C" w14:textId="77777777" w:rsidR="003F6E3A" w:rsidRPr="006C314F" w:rsidRDefault="003F6E3A" w:rsidP="003F6E3A">
      <w:pPr>
        <w:tabs>
          <w:tab w:val="left" w:pos="426"/>
        </w:tabs>
        <w:contextualSpacing/>
        <w:jc w:val="both"/>
        <w:rPr>
          <w:rFonts w:ascii="Arial" w:eastAsia="Calibri" w:hAnsi="Arial" w:cs="Arial"/>
          <w:noProof/>
          <w:sz w:val="20"/>
          <w:szCs w:val="20"/>
        </w:rPr>
      </w:pPr>
    </w:p>
    <w:p w14:paraId="2727BAC9" w14:textId="77777777" w:rsidR="003F6E3A" w:rsidRPr="002E7A97" w:rsidRDefault="003F6E3A" w:rsidP="003F6E3A">
      <w:pPr>
        <w:contextualSpacing/>
        <w:jc w:val="both"/>
        <w:rPr>
          <w:rFonts w:ascii="Arial" w:hAnsi="Arial" w:cs="Arial"/>
          <w:b/>
          <w:lang w:val="es-ES" w:eastAsia="es-CO"/>
        </w:rPr>
      </w:pPr>
      <w:r w:rsidRPr="002E7A97">
        <w:rPr>
          <w:rFonts w:ascii="Arial" w:hAnsi="Arial" w:cs="Arial"/>
          <w:b/>
          <w:bCs/>
          <w:lang w:eastAsia="es-CO"/>
        </w:rPr>
        <w:t xml:space="preserve">LEY DE GARANTÍAS ELECTORALES </w:t>
      </w:r>
      <w:bookmarkStart w:id="6" w:name="_Hlk77166669"/>
      <w:r w:rsidRPr="002E7A97">
        <w:rPr>
          <w:rFonts w:ascii="Arial" w:hAnsi="Arial" w:cs="Arial"/>
          <w:b/>
          <w:bCs/>
          <w:lang w:eastAsia="es-CO"/>
        </w:rPr>
        <w:t>‒</w:t>
      </w:r>
      <w:bookmarkEnd w:id="6"/>
      <w:r w:rsidRPr="002E7A97">
        <w:rPr>
          <w:rFonts w:ascii="Arial" w:hAnsi="Arial" w:cs="Arial"/>
          <w:b/>
          <w:bCs/>
          <w:lang w:eastAsia="es-CO"/>
        </w:rPr>
        <w:t xml:space="preserve"> </w:t>
      </w:r>
      <w:r w:rsidRPr="002E7A97">
        <w:rPr>
          <w:rFonts w:ascii="Arial" w:hAnsi="Arial" w:cs="Arial"/>
          <w:b/>
          <w:lang w:val="es-ES" w:eastAsia="es-CO"/>
        </w:rPr>
        <w:t xml:space="preserve">Prohibición del artículo 33 </w:t>
      </w:r>
      <w:r w:rsidRPr="002E7A97">
        <w:rPr>
          <w:rFonts w:ascii="Arial" w:hAnsi="Arial" w:cs="Arial"/>
          <w:b/>
          <w:bCs/>
          <w:lang w:eastAsia="es-CO"/>
        </w:rPr>
        <w:t>‒ Destinatarios</w:t>
      </w:r>
    </w:p>
    <w:p w14:paraId="3A35791A" w14:textId="77777777" w:rsidR="003F6E3A" w:rsidRPr="006C314F" w:rsidRDefault="003F6E3A" w:rsidP="003F6E3A">
      <w:pPr>
        <w:tabs>
          <w:tab w:val="left" w:pos="426"/>
        </w:tabs>
        <w:contextualSpacing/>
        <w:jc w:val="both"/>
        <w:rPr>
          <w:rFonts w:ascii="Arial" w:eastAsia="Calibri" w:hAnsi="Arial" w:cs="Arial"/>
          <w:noProof/>
          <w:sz w:val="20"/>
          <w:szCs w:val="20"/>
          <w:lang w:val="es-ES"/>
        </w:rPr>
      </w:pPr>
    </w:p>
    <w:p w14:paraId="3073AA3F" w14:textId="77777777" w:rsidR="003F6E3A" w:rsidRPr="006C314F" w:rsidRDefault="003F6E3A" w:rsidP="003F6E3A">
      <w:pPr>
        <w:tabs>
          <w:tab w:val="left" w:pos="426"/>
        </w:tabs>
        <w:contextualSpacing/>
        <w:jc w:val="both"/>
        <w:rPr>
          <w:rFonts w:ascii="Arial" w:eastAsia="Calibri" w:hAnsi="Arial" w:cs="Arial"/>
          <w:sz w:val="20"/>
          <w:szCs w:val="20"/>
          <w:lang w:val="es-MX"/>
        </w:rPr>
      </w:pPr>
      <w:r w:rsidRPr="006C314F">
        <w:rPr>
          <w:rFonts w:ascii="Arial" w:eastAsia="Calibri" w:hAnsi="Arial" w:cs="Arial"/>
          <w:sz w:val="20"/>
          <w:szCs w:val="20"/>
          <w:lang w:val="es-MX"/>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6056F785" w14:textId="77777777" w:rsidR="003F6E3A" w:rsidRPr="006C314F" w:rsidRDefault="003F6E3A" w:rsidP="003F6E3A">
      <w:pPr>
        <w:tabs>
          <w:tab w:val="left" w:pos="426"/>
        </w:tabs>
        <w:contextualSpacing/>
        <w:jc w:val="both"/>
        <w:rPr>
          <w:rFonts w:ascii="Arial" w:eastAsia="Calibri" w:hAnsi="Arial" w:cs="Arial"/>
          <w:sz w:val="20"/>
          <w:szCs w:val="20"/>
          <w:lang w:val="es-MX"/>
        </w:rPr>
      </w:pPr>
    </w:p>
    <w:p w14:paraId="036291D8" w14:textId="77777777" w:rsidR="003F6E3A" w:rsidRPr="002E7A97" w:rsidRDefault="003F6E3A" w:rsidP="003F6E3A">
      <w:pPr>
        <w:tabs>
          <w:tab w:val="left" w:pos="426"/>
        </w:tabs>
        <w:contextualSpacing/>
        <w:jc w:val="both"/>
        <w:rPr>
          <w:rFonts w:ascii="Arial" w:eastAsia="Calibri" w:hAnsi="Arial" w:cs="Arial"/>
          <w:b/>
          <w:bCs/>
          <w:lang w:val="es-MX"/>
        </w:rPr>
      </w:pPr>
      <w:r w:rsidRPr="002E7A97">
        <w:rPr>
          <w:rFonts w:ascii="Arial" w:eastAsia="Calibri" w:hAnsi="Arial" w:cs="Arial"/>
          <w:b/>
          <w:bCs/>
          <w:lang w:val="es-MX"/>
        </w:rPr>
        <w:t xml:space="preserve">LEY DE GARANTÍAS ELECTORALES ‒ Prohibición por elección de cargos populares – Convenios y contratos interadministrativos </w:t>
      </w:r>
      <w:r w:rsidRPr="002E7A97">
        <w:rPr>
          <w:rFonts w:ascii="Arial" w:eastAsia="Calibri" w:hAnsi="Arial" w:cs="Arial"/>
          <w:b/>
          <w:lang w:val="es-MX"/>
        </w:rPr>
        <w:t>– Definición – Criterio orgánico</w:t>
      </w:r>
    </w:p>
    <w:p w14:paraId="7781CDDA" w14:textId="77777777" w:rsidR="003F6E3A" w:rsidRPr="006C314F" w:rsidRDefault="003F6E3A" w:rsidP="003F6E3A">
      <w:pPr>
        <w:tabs>
          <w:tab w:val="left" w:pos="426"/>
        </w:tabs>
        <w:contextualSpacing/>
        <w:jc w:val="both"/>
        <w:rPr>
          <w:rFonts w:ascii="Arial" w:eastAsia="Calibri" w:hAnsi="Arial" w:cs="Arial"/>
          <w:sz w:val="20"/>
          <w:szCs w:val="20"/>
          <w:lang w:val="es-MX"/>
        </w:rPr>
      </w:pPr>
    </w:p>
    <w:p w14:paraId="49C321DA" w14:textId="77777777" w:rsidR="003F6E3A" w:rsidRPr="006C314F" w:rsidRDefault="003F6E3A" w:rsidP="003F6E3A">
      <w:pPr>
        <w:tabs>
          <w:tab w:val="left" w:pos="426"/>
        </w:tabs>
        <w:contextualSpacing/>
        <w:jc w:val="both"/>
        <w:rPr>
          <w:rFonts w:ascii="Arial" w:eastAsia="Calibri" w:hAnsi="Arial" w:cs="Arial"/>
          <w:sz w:val="20"/>
          <w:szCs w:val="20"/>
          <w:lang w:val="es-MX"/>
        </w:rPr>
      </w:pPr>
      <w:r w:rsidRPr="006C314F">
        <w:rPr>
          <w:rFonts w:ascii="Arial" w:eastAsia="Calibri" w:hAnsi="Arial" w:cs="Arial"/>
          <w:sz w:val="20"/>
          <w:szCs w:val="20"/>
          <w:lang w:val="es-MX"/>
        </w:rPr>
        <w:t xml:space="preserve">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p>
    <w:p w14:paraId="5DF67332" w14:textId="77777777" w:rsidR="003F6E3A" w:rsidRPr="006C314F" w:rsidRDefault="003F6E3A" w:rsidP="003F6E3A">
      <w:pPr>
        <w:tabs>
          <w:tab w:val="left" w:pos="426"/>
        </w:tabs>
        <w:contextualSpacing/>
        <w:jc w:val="both"/>
        <w:rPr>
          <w:rFonts w:ascii="Arial" w:eastAsia="Calibri" w:hAnsi="Arial" w:cs="Arial"/>
          <w:sz w:val="20"/>
          <w:szCs w:val="20"/>
          <w:lang w:val="es-MX"/>
        </w:rPr>
      </w:pPr>
    </w:p>
    <w:p w14:paraId="52AE3E8C" w14:textId="77777777" w:rsidR="003F6E3A" w:rsidRPr="006C314F" w:rsidRDefault="003F6E3A" w:rsidP="003F6E3A">
      <w:pPr>
        <w:tabs>
          <w:tab w:val="left" w:pos="426"/>
        </w:tabs>
        <w:contextualSpacing/>
        <w:jc w:val="both"/>
        <w:rPr>
          <w:rFonts w:ascii="Arial" w:eastAsia="Calibri" w:hAnsi="Arial" w:cs="Arial"/>
          <w:sz w:val="20"/>
          <w:szCs w:val="20"/>
          <w:lang w:val="es-MX"/>
        </w:rPr>
      </w:pPr>
      <w:r w:rsidRPr="006C314F">
        <w:rPr>
          <w:rFonts w:ascii="Arial" w:eastAsia="Calibri" w:hAnsi="Arial" w:cs="Arial"/>
          <w:sz w:val="20"/>
          <w:szCs w:val="20"/>
          <w:lang w:val="es-MX"/>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01A26498" w14:textId="77777777" w:rsidR="003F6E3A" w:rsidRPr="006C314F" w:rsidRDefault="003F6E3A" w:rsidP="003F6E3A">
      <w:pPr>
        <w:tabs>
          <w:tab w:val="left" w:pos="426"/>
        </w:tabs>
        <w:contextualSpacing/>
        <w:jc w:val="both"/>
        <w:rPr>
          <w:rFonts w:ascii="Arial" w:eastAsia="Calibri" w:hAnsi="Arial" w:cs="Arial"/>
          <w:sz w:val="20"/>
          <w:szCs w:val="20"/>
          <w:lang w:val="es-MX"/>
        </w:rPr>
      </w:pPr>
    </w:p>
    <w:bookmarkEnd w:id="2"/>
    <w:p w14:paraId="4DF9C5A1" w14:textId="77777777" w:rsidR="003F6E3A" w:rsidRPr="006C314F" w:rsidRDefault="003F6E3A" w:rsidP="003F6E3A">
      <w:pPr>
        <w:contextualSpacing/>
        <w:jc w:val="both"/>
        <w:rPr>
          <w:rFonts w:ascii="Arial" w:eastAsia="Calibri" w:hAnsi="Arial" w:cs="Arial"/>
          <w:sz w:val="20"/>
          <w:szCs w:val="20"/>
          <w:lang w:val="es-MX"/>
        </w:rPr>
      </w:pPr>
    </w:p>
    <w:p w14:paraId="021F83FD" w14:textId="77777777" w:rsidR="003F6E3A" w:rsidRPr="004D7FDF" w:rsidRDefault="003F6E3A" w:rsidP="003F6E3A">
      <w:pPr>
        <w:jc w:val="both"/>
        <w:textAlignment w:val="baseline"/>
        <w:rPr>
          <w:rFonts w:ascii="Segoe UI" w:hAnsi="Segoe UI" w:cs="Segoe UI"/>
          <w:sz w:val="18"/>
          <w:szCs w:val="18"/>
          <w:lang w:eastAsia="es-CO"/>
        </w:rPr>
      </w:pPr>
      <w:r w:rsidRPr="004D7FDF">
        <w:rPr>
          <w:rFonts w:ascii="Arial" w:hAnsi="Arial" w:cs="Arial"/>
          <w:b/>
          <w:bCs/>
          <w:lang w:val="es-ES" w:eastAsia="es-CO"/>
        </w:rPr>
        <w:t>LEY DE GARANTÍAS ELECTORALES – Ley 996 de 2005 – Parágrafo del artículo 38 – Restricciones para elecciones – Cargos de elección popular</w:t>
      </w:r>
      <w:r w:rsidRPr="004D7FDF">
        <w:rPr>
          <w:rFonts w:ascii="Arial" w:hAnsi="Arial" w:cs="Arial"/>
          <w:lang w:eastAsia="es-CO"/>
        </w:rPr>
        <w:t> </w:t>
      </w:r>
    </w:p>
    <w:p w14:paraId="0E173F54" w14:textId="77777777" w:rsidR="003F6E3A" w:rsidRPr="004D7FDF" w:rsidRDefault="003F6E3A" w:rsidP="003F6E3A">
      <w:pPr>
        <w:jc w:val="both"/>
        <w:textAlignment w:val="baseline"/>
        <w:rPr>
          <w:rFonts w:ascii="Segoe UI" w:hAnsi="Segoe UI" w:cs="Segoe UI"/>
          <w:sz w:val="18"/>
          <w:szCs w:val="18"/>
          <w:lang w:eastAsia="es-CO"/>
        </w:rPr>
      </w:pPr>
      <w:r w:rsidRPr="004D7FDF">
        <w:rPr>
          <w:rFonts w:ascii="Arial" w:hAnsi="Arial" w:cs="Arial"/>
          <w:lang w:eastAsia="es-CO"/>
        </w:rPr>
        <w:t> </w:t>
      </w:r>
    </w:p>
    <w:p w14:paraId="2CE538C2" w14:textId="77777777" w:rsidR="003F6E3A" w:rsidRPr="004D7FDF" w:rsidRDefault="003F6E3A" w:rsidP="003F6E3A">
      <w:pPr>
        <w:jc w:val="both"/>
        <w:textAlignment w:val="baseline"/>
        <w:rPr>
          <w:rFonts w:ascii="Segoe UI" w:hAnsi="Segoe UI" w:cs="Segoe UI"/>
          <w:sz w:val="18"/>
          <w:szCs w:val="18"/>
          <w:lang w:eastAsia="es-CO"/>
        </w:rPr>
      </w:pPr>
      <w:r w:rsidRPr="004D7FDF">
        <w:rPr>
          <w:rFonts w:ascii="Arial" w:hAnsi="Arial" w:cs="Arial"/>
          <w:sz w:val="20"/>
          <w:szCs w:val="20"/>
          <w:lang w:val="es-ES" w:eastAsia="es-CO"/>
        </w:rPr>
        <w:t xml:space="preserve">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Los convenios o contratos </w:t>
      </w:r>
      <w:r w:rsidRPr="004D7FDF">
        <w:rPr>
          <w:rFonts w:ascii="Arial" w:hAnsi="Arial" w:cs="Arial"/>
          <w:sz w:val="20"/>
          <w:szCs w:val="20"/>
          <w:lang w:val="es-ES" w:eastAsia="es-CO"/>
        </w:rPr>
        <w:lastRenderedPageBreak/>
        <w:t>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r w:rsidRPr="004D7FDF">
        <w:rPr>
          <w:rFonts w:ascii="Arial" w:hAnsi="Arial" w:cs="Arial"/>
          <w:sz w:val="20"/>
          <w:szCs w:val="20"/>
          <w:lang w:eastAsia="es-CO"/>
        </w:rPr>
        <w:t> </w:t>
      </w:r>
    </w:p>
    <w:p w14:paraId="70BF40A4" w14:textId="77777777" w:rsidR="003F6E3A" w:rsidRPr="004D7FDF" w:rsidRDefault="003F6E3A" w:rsidP="003F6E3A">
      <w:pPr>
        <w:jc w:val="both"/>
        <w:textAlignment w:val="baseline"/>
        <w:rPr>
          <w:rFonts w:ascii="Segoe UI" w:hAnsi="Segoe UI" w:cs="Segoe UI"/>
          <w:sz w:val="18"/>
          <w:szCs w:val="18"/>
          <w:lang w:eastAsia="es-CO"/>
        </w:rPr>
      </w:pPr>
      <w:r w:rsidRPr="004D7FDF">
        <w:rPr>
          <w:rFonts w:ascii="Arial" w:hAnsi="Arial" w:cs="Arial"/>
          <w:sz w:val="20"/>
          <w:szCs w:val="20"/>
          <w:lang w:val="es-ES" w:eastAsia="es-CO"/>
        </w:rPr>
        <w:t>[…]</w:t>
      </w:r>
      <w:r w:rsidRPr="004D7FDF">
        <w:rPr>
          <w:rFonts w:ascii="Arial" w:hAnsi="Arial" w:cs="Arial"/>
          <w:sz w:val="20"/>
          <w:szCs w:val="20"/>
          <w:lang w:eastAsia="es-CO"/>
        </w:rPr>
        <w:t> </w:t>
      </w:r>
    </w:p>
    <w:p w14:paraId="741FCF6F" w14:textId="77777777" w:rsidR="003F6E3A" w:rsidRPr="004D7FDF" w:rsidRDefault="003F6E3A" w:rsidP="003F6E3A">
      <w:pPr>
        <w:jc w:val="both"/>
        <w:textAlignment w:val="baseline"/>
        <w:rPr>
          <w:rFonts w:ascii="Segoe UI" w:hAnsi="Segoe UI" w:cs="Segoe UI"/>
          <w:sz w:val="18"/>
          <w:szCs w:val="18"/>
          <w:lang w:eastAsia="es-CO"/>
        </w:rPr>
      </w:pPr>
      <w:r w:rsidRPr="004D7FDF">
        <w:rPr>
          <w:rFonts w:ascii="Arial" w:hAnsi="Arial" w:cs="Arial"/>
          <w:sz w:val="20"/>
          <w:szCs w:val="20"/>
          <w:lang w:val="es-ES"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4D7FDF">
        <w:rPr>
          <w:rFonts w:ascii="Arial" w:hAnsi="Arial" w:cs="Arial"/>
          <w:i/>
          <w:iCs/>
          <w:sz w:val="20"/>
          <w:szCs w:val="20"/>
          <w:lang w:val="es-ES" w:eastAsia="es-CO"/>
        </w:rPr>
        <w:t>ibidem</w:t>
      </w:r>
      <w:r w:rsidRPr="004D7FDF">
        <w:rPr>
          <w:rFonts w:ascii="Arial" w:hAnsi="Arial" w:cs="Arial"/>
          <w:sz w:val="20"/>
          <w:szCs w:val="20"/>
          <w:lang w:val="es-ES"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 </w:t>
      </w:r>
      <w:r w:rsidRPr="004D7FDF">
        <w:rPr>
          <w:rFonts w:ascii="Arial" w:hAnsi="Arial" w:cs="Arial"/>
          <w:sz w:val="20"/>
          <w:szCs w:val="20"/>
          <w:lang w:eastAsia="es-CO"/>
        </w:rPr>
        <w:t> </w:t>
      </w:r>
    </w:p>
    <w:p w14:paraId="0365B8E8" w14:textId="6EDD6830" w:rsidR="00706C03" w:rsidRDefault="00706C03">
      <w:pPr>
        <w:rPr>
          <w:rFonts w:ascii="Arial" w:hAnsi="Arial" w:cs="Arial"/>
          <w:b/>
          <w:bCs/>
        </w:rPr>
      </w:pPr>
      <w:r>
        <w:rPr>
          <w:rFonts w:ascii="Arial" w:hAnsi="Arial" w:cs="Arial"/>
          <w:b/>
          <w:bCs/>
        </w:rPr>
        <w:br w:type="page"/>
      </w:r>
    </w:p>
    <w:p w14:paraId="3EF2E87B" w14:textId="13A32DDC" w:rsidR="003F6E3A" w:rsidRPr="00706C03" w:rsidRDefault="000F2DC0" w:rsidP="00500AD4">
      <w:pPr>
        <w:spacing w:after="0" w:line="276" w:lineRule="auto"/>
        <w:contextualSpacing/>
        <w:jc w:val="right"/>
        <w:rPr>
          <w:rFonts w:ascii="Arial" w:hAnsi="Arial" w:cs="Arial"/>
          <w:b/>
          <w:bCs/>
        </w:rPr>
      </w:pPr>
      <w:r>
        <w:rPr>
          <w:noProof/>
        </w:rPr>
        <w:lastRenderedPageBreak/>
        <w:drawing>
          <wp:anchor distT="0" distB="0" distL="114300" distR="114300" simplePos="0" relativeHeight="251658240" behindDoc="0" locked="0" layoutInCell="1" allowOverlap="1" wp14:anchorId="4B7BCF12" wp14:editId="0234FE9E">
            <wp:simplePos x="0" y="0"/>
            <wp:positionH relativeFrom="column">
              <wp:posOffset>3315335</wp:posOffset>
            </wp:positionH>
            <wp:positionV relativeFrom="paragraph">
              <wp:posOffset>9525</wp:posOffset>
            </wp:positionV>
            <wp:extent cx="2698750" cy="752475"/>
            <wp:effectExtent l="0" t="0" r="6350" b="9525"/>
            <wp:wrapSquare wrapText="bothSides"/>
            <wp:docPr id="1"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ódigo QR&#10;&#10;Descripción generada automáticamente"/>
                    <pic:cNvPicPr/>
                  </pic:nvPicPr>
                  <pic:blipFill rotWithShape="1">
                    <a:blip r:embed="rId11" cstate="print">
                      <a:extLst>
                        <a:ext uri="{28A0092B-C50C-407E-A947-70E740481C1C}">
                          <a14:useLocalDpi xmlns:a14="http://schemas.microsoft.com/office/drawing/2010/main" val="0"/>
                        </a:ext>
                      </a:extLst>
                    </a:blip>
                    <a:srcRect l="23448" t="37146" r="4456" b="27127"/>
                    <a:stretch/>
                  </pic:blipFill>
                  <pic:spPr bwMode="auto">
                    <a:xfrm>
                      <a:off x="0" y="0"/>
                      <a:ext cx="2698750" cy="752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5A0BAB" w14:textId="36D6701F" w:rsidR="005D747C" w:rsidRPr="00500AD4" w:rsidRDefault="005D747C" w:rsidP="00500AD4">
      <w:pPr>
        <w:spacing w:after="0" w:line="276" w:lineRule="auto"/>
        <w:contextualSpacing/>
        <w:rPr>
          <w:rFonts w:ascii="Arial" w:eastAsia="Geomanist Light" w:hAnsi="Arial" w:cs="Arial"/>
          <w:color w:val="201F1E"/>
          <w:lang w:val="es-MX"/>
        </w:rPr>
      </w:pPr>
      <w:r w:rsidRPr="00500AD4">
        <w:rPr>
          <w:rFonts w:ascii="Arial" w:eastAsia="Geomanist Light" w:hAnsi="Arial" w:cs="Arial"/>
          <w:color w:val="000000" w:themeColor="text1"/>
          <w:lang w:val="es-MX"/>
        </w:rPr>
        <w:t>Bogotá D.C., </w:t>
      </w:r>
      <w:r w:rsidR="004F652F">
        <w:rPr>
          <w:rFonts w:ascii="Arial" w:eastAsia="Geomanist Light" w:hAnsi="Arial" w:cs="Arial"/>
          <w:color w:val="201F1E"/>
          <w:lang w:val="es-MX"/>
        </w:rPr>
        <w:t xml:space="preserve">15 de </w:t>
      </w:r>
      <w:r w:rsidR="00B53F08">
        <w:rPr>
          <w:rFonts w:ascii="Arial" w:eastAsia="Geomanist Light" w:hAnsi="Arial" w:cs="Arial"/>
          <w:color w:val="201F1E"/>
          <w:lang w:val="es-MX"/>
        </w:rPr>
        <w:t>marzo</w:t>
      </w:r>
      <w:r w:rsidR="004F652F">
        <w:rPr>
          <w:rFonts w:ascii="Arial" w:eastAsia="Geomanist Light" w:hAnsi="Arial" w:cs="Arial"/>
          <w:color w:val="201F1E"/>
          <w:lang w:val="es-MX"/>
        </w:rPr>
        <w:t xml:space="preserve"> de 2023</w:t>
      </w:r>
    </w:p>
    <w:p w14:paraId="6531ECBD" w14:textId="301AEA81" w:rsidR="00706C03" w:rsidRPr="00706C03" w:rsidRDefault="00706C03" w:rsidP="00172103">
      <w:pPr>
        <w:spacing w:after="0" w:line="276" w:lineRule="auto"/>
        <w:contextualSpacing/>
        <w:rPr>
          <w:rFonts w:ascii="Arial" w:eastAsia="Calibri" w:hAnsi="Arial" w:cs="Arial"/>
        </w:rPr>
      </w:pPr>
    </w:p>
    <w:p w14:paraId="3A7BF46A" w14:textId="77777777" w:rsidR="000F2DC0" w:rsidRDefault="000F2DC0" w:rsidP="00172103">
      <w:pPr>
        <w:spacing w:after="0" w:line="276" w:lineRule="auto"/>
        <w:contextualSpacing/>
        <w:rPr>
          <w:rFonts w:ascii="Arial" w:eastAsia="Calibri" w:hAnsi="Arial" w:cs="Arial"/>
          <w:color w:val="000000" w:themeColor="text1"/>
        </w:rPr>
      </w:pPr>
    </w:p>
    <w:p w14:paraId="2F59D100" w14:textId="77777777" w:rsidR="000F2DC0" w:rsidRDefault="000F2DC0" w:rsidP="00172103">
      <w:pPr>
        <w:spacing w:after="0" w:line="276" w:lineRule="auto"/>
        <w:contextualSpacing/>
        <w:rPr>
          <w:rFonts w:ascii="Arial" w:eastAsia="Calibri" w:hAnsi="Arial" w:cs="Arial"/>
          <w:color w:val="000000" w:themeColor="text1"/>
        </w:rPr>
      </w:pPr>
    </w:p>
    <w:p w14:paraId="431C5510" w14:textId="77777777" w:rsidR="000F2DC0" w:rsidRDefault="000F2DC0" w:rsidP="00172103">
      <w:pPr>
        <w:spacing w:after="0" w:line="276" w:lineRule="auto"/>
        <w:contextualSpacing/>
        <w:rPr>
          <w:rFonts w:ascii="Arial" w:eastAsia="Calibri" w:hAnsi="Arial" w:cs="Arial"/>
          <w:color w:val="000000" w:themeColor="text1"/>
        </w:rPr>
      </w:pPr>
    </w:p>
    <w:p w14:paraId="387FAA0F" w14:textId="77777777" w:rsidR="000F2DC0" w:rsidRDefault="000F2DC0" w:rsidP="00172103">
      <w:pPr>
        <w:spacing w:after="0" w:line="276" w:lineRule="auto"/>
        <w:contextualSpacing/>
        <w:rPr>
          <w:rFonts w:ascii="Arial" w:eastAsia="Calibri" w:hAnsi="Arial" w:cs="Arial"/>
          <w:color w:val="000000" w:themeColor="text1"/>
        </w:rPr>
      </w:pPr>
    </w:p>
    <w:p w14:paraId="323CC818" w14:textId="30F81663" w:rsidR="003F6E3A" w:rsidRPr="00706C03" w:rsidRDefault="003F6E3A" w:rsidP="00172103">
      <w:pPr>
        <w:spacing w:after="0" w:line="276" w:lineRule="auto"/>
        <w:contextualSpacing/>
        <w:rPr>
          <w:rFonts w:ascii="Arial" w:eastAsia="Calibri" w:hAnsi="Arial" w:cs="Arial"/>
          <w:color w:val="000000" w:themeColor="text1"/>
        </w:rPr>
      </w:pPr>
      <w:r w:rsidRPr="00706C03">
        <w:rPr>
          <w:rFonts w:ascii="Arial" w:eastAsia="Calibri" w:hAnsi="Arial" w:cs="Arial"/>
          <w:color w:val="000000" w:themeColor="text1"/>
        </w:rPr>
        <w:t>Señora</w:t>
      </w:r>
    </w:p>
    <w:p w14:paraId="60D51A55" w14:textId="6F0AB208" w:rsidR="003F6E3A" w:rsidRPr="00706C03" w:rsidRDefault="00C76561" w:rsidP="00172103">
      <w:pPr>
        <w:spacing w:after="0" w:line="276" w:lineRule="auto"/>
        <w:contextualSpacing/>
        <w:rPr>
          <w:rFonts w:ascii="Arial" w:eastAsia="Calibri" w:hAnsi="Arial" w:cs="Arial"/>
          <w:b/>
          <w:bCs/>
          <w:color w:val="000000" w:themeColor="text1"/>
        </w:rPr>
      </w:pPr>
      <w:r w:rsidRPr="00706C03">
        <w:rPr>
          <w:rFonts w:ascii="Arial" w:eastAsia="Calibri" w:hAnsi="Arial" w:cs="Arial"/>
          <w:b/>
          <w:bCs/>
          <w:color w:val="000000" w:themeColor="text1"/>
        </w:rPr>
        <w:t>Jenny Margoth Suarez Becerra</w:t>
      </w:r>
    </w:p>
    <w:p w14:paraId="6A601202" w14:textId="77777777" w:rsidR="003F6E3A" w:rsidRPr="00706C03" w:rsidRDefault="003F6E3A" w:rsidP="00172103">
      <w:pPr>
        <w:spacing w:after="0" w:line="276" w:lineRule="auto"/>
        <w:contextualSpacing/>
        <w:rPr>
          <w:rFonts w:ascii="Arial" w:eastAsia="Calibri" w:hAnsi="Arial" w:cs="Arial"/>
          <w:color w:val="000000" w:themeColor="text1"/>
        </w:rPr>
      </w:pPr>
      <w:r w:rsidRPr="00706C03">
        <w:rPr>
          <w:rFonts w:ascii="Arial" w:eastAsia="Calibri" w:hAnsi="Arial" w:cs="Arial"/>
          <w:color w:val="000000" w:themeColor="text1"/>
        </w:rPr>
        <w:t>jemasube@hotmail.com</w:t>
      </w:r>
    </w:p>
    <w:p w14:paraId="029FBC7C" w14:textId="77777777" w:rsidR="003F6E3A" w:rsidRPr="00706C03" w:rsidRDefault="003F6E3A" w:rsidP="00172103">
      <w:pPr>
        <w:spacing w:after="0" w:line="276" w:lineRule="auto"/>
        <w:contextualSpacing/>
        <w:rPr>
          <w:rFonts w:ascii="Arial" w:eastAsia="Calibri" w:hAnsi="Arial" w:cs="Arial"/>
          <w:color w:val="000000" w:themeColor="text1"/>
        </w:rPr>
      </w:pPr>
    </w:p>
    <w:p w14:paraId="450E87C9" w14:textId="77777777" w:rsidR="003F6E3A" w:rsidRPr="00706C03" w:rsidRDefault="003F6E3A" w:rsidP="00172103">
      <w:pPr>
        <w:spacing w:after="0" w:line="276" w:lineRule="auto"/>
        <w:contextualSpacing/>
        <w:rPr>
          <w:rFonts w:ascii="Arial" w:eastAsia="Calibri" w:hAnsi="Arial" w:cs="Arial"/>
          <w:color w:val="000000" w:themeColor="text1"/>
        </w:rPr>
      </w:pPr>
    </w:p>
    <w:p w14:paraId="597C0057" w14:textId="77777777" w:rsidR="003F6E3A" w:rsidRPr="00706C03" w:rsidRDefault="003F6E3A" w:rsidP="00172103">
      <w:pPr>
        <w:spacing w:after="0" w:line="276" w:lineRule="auto"/>
        <w:contextualSpacing/>
        <w:rPr>
          <w:rFonts w:ascii="Arial" w:eastAsia="Calibri" w:hAnsi="Arial" w:cs="Arial"/>
          <w:b/>
          <w:color w:val="000000" w:themeColor="text1"/>
        </w:rPr>
      </w:pPr>
      <w:r w:rsidRPr="00706C03">
        <w:rPr>
          <w:rFonts w:ascii="Arial" w:eastAsia="Calibri" w:hAnsi="Arial" w:cs="Arial"/>
          <w:b/>
          <w:color w:val="000000" w:themeColor="text1"/>
        </w:rPr>
        <w:t xml:space="preserve">                                Concepto C – 073 de 2023 </w:t>
      </w:r>
    </w:p>
    <w:p w14:paraId="0525DDAE" w14:textId="77777777" w:rsidR="003F6E3A" w:rsidRPr="00706C03" w:rsidRDefault="003F6E3A" w:rsidP="00172103">
      <w:pPr>
        <w:spacing w:after="0" w:line="276" w:lineRule="auto"/>
        <w:contextualSpacing/>
        <w:rPr>
          <w:rFonts w:ascii="Arial" w:eastAsia="Calibri" w:hAnsi="Arial" w:cs="Arial"/>
          <w:b/>
          <w:color w:val="000000" w:themeColor="text1"/>
        </w:rPr>
      </w:pPr>
    </w:p>
    <w:tbl>
      <w:tblPr>
        <w:tblStyle w:val="Tablaconcuadrcul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799"/>
      </w:tblGrid>
      <w:tr w:rsidR="003F6E3A" w:rsidRPr="00706C03" w14:paraId="37311DC0" w14:textId="77777777" w:rsidTr="0027730F">
        <w:trPr>
          <w:trHeight w:val="822"/>
        </w:trPr>
        <w:tc>
          <w:tcPr>
            <w:tcW w:w="1985" w:type="dxa"/>
          </w:tcPr>
          <w:p w14:paraId="18B6080C" w14:textId="77777777" w:rsidR="003F6E3A" w:rsidRPr="00706C03" w:rsidRDefault="003F6E3A" w:rsidP="00172103">
            <w:pPr>
              <w:pStyle w:val="Textoindependiente"/>
              <w:spacing w:line="276" w:lineRule="auto"/>
              <w:contextualSpacing/>
              <w:jc w:val="both"/>
              <w:rPr>
                <w:rFonts w:eastAsia="Calibri"/>
                <w:b/>
                <w:bCs/>
                <w:sz w:val="22"/>
                <w:szCs w:val="22"/>
                <w:lang w:val="es-CO"/>
              </w:rPr>
            </w:pPr>
            <w:r w:rsidRPr="00706C03">
              <w:rPr>
                <w:rFonts w:eastAsia="Calibri"/>
                <w:b/>
                <w:color w:val="000000" w:themeColor="text1"/>
                <w:sz w:val="22"/>
                <w:szCs w:val="22"/>
              </w:rPr>
              <w:t>Temas:</w:t>
            </w:r>
          </w:p>
          <w:p w14:paraId="1A5F71CE" w14:textId="77777777" w:rsidR="003F6E3A" w:rsidRPr="00706C03" w:rsidRDefault="003F6E3A" w:rsidP="00172103">
            <w:pPr>
              <w:pStyle w:val="Textoindependiente"/>
              <w:spacing w:line="276" w:lineRule="auto"/>
              <w:contextualSpacing/>
              <w:jc w:val="both"/>
              <w:rPr>
                <w:rFonts w:eastAsia="Calibri"/>
                <w:b/>
                <w:bCs/>
                <w:sz w:val="22"/>
                <w:szCs w:val="22"/>
                <w:lang w:val="es-CO"/>
              </w:rPr>
            </w:pPr>
          </w:p>
          <w:p w14:paraId="5A9D9D36" w14:textId="77777777" w:rsidR="003F6E3A" w:rsidRPr="00706C03" w:rsidRDefault="003F6E3A" w:rsidP="00172103">
            <w:pPr>
              <w:spacing w:line="276" w:lineRule="auto"/>
              <w:contextualSpacing/>
              <w:jc w:val="both"/>
              <w:rPr>
                <w:rFonts w:ascii="Arial" w:eastAsia="Calibri" w:hAnsi="Arial" w:cs="Arial"/>
                <w:color w:val="000000" w:themeColor="text1"/>
              </w:rPr>
            </w:pPr>
            <w:r w:rsidRPr="00706C03">
              <w:rPr>
                <w:rFonts w:ascii="Arial" w:eastAsia="Calibri" w:hAnsi="Arial" w:cs="Arial"/>
                <w:color w:val="000000" w:themeColor="text1"/>
              </w:rPr>
              <w:t xml:space="preserve">        </w:t>
            </w:r>
          </w:p>
        </w:tc>
        <w:tc>
          <w:tcPr>
            <w:tcW w:w="6799" w:type="dxa"/>
          </w:tcPr>
          <w:p w14:paraId="155687ED" w14:textId="6D6680B4" w:rsidR="003F6E3A" w:rsidRDefault="003F6E3A" w:rsidP="00706C03">
            <w:pPr>
              <w:pStyle w:val="Textoindependiente"/>
              <w:spacing w:line="276" w:lineRule="auto"/>
              <w:contextualSpacing/>
              <w:jc w:val="both"/>
              <w:rPr>
                <w:rFonts w:eastAsia="Calibri"/>
                <w:color w:val="000000" w:themeColor="text1"/>
                <w:sz w:val="22"/>
                <w:szCs w:val="22"/>
                <w:lang w:val="es-CO"/>
              </w:rPr>
            </w:pPr>
            <w:r w:rsidRPr="00706C03">
              <w:rPr>
                <w:rFonts w:eastAsia="Calibri"/>
                <w:bCs/>
                <w:color w:val="000000" w:themeColor="text1"/>
                <w:sz w:val="22"/>
                <w:szCs w:val="22"/>
              </w:rPr>
              <w:t xml:space="preserve">LEY DE GARANTÍAS ELECTORALES ‒ Finalidad / LEY DE GARANTÍAS ELECTORALES ‒ Tipos de restricciones ‒ Ámbito temporal / LEY DE GARANTÍAS ELECTORALES ─ Prohibición ‒ Contratación directa ‒ Alcance / LEY DE GARANTÍAS ELECTORALES ─ Prohibición ‒ Contratación directa ‒ Excepciones / LEY DE GARANTÍAS ELECTORALES ‒ Prohibición del artículo 33 ‒ Destinatarios / LEY DE GARANTÍAS ELECTORALES ‒ Prohibición por elección de cargos populares – Modalidad de selección / </w:t>
            </w:r>
          </w:p>
          <w:p w14:paraId="6BA5155A" w14:textId="1D02F3FA" w:rsidR="000C1171" w:rsidRPr="00706C03" w:rsidRDefault="000C1171" w:rsidP="00172103">
            <w:pPr>
              <w:pStyle w:val="Textoindependiente"/>
              <w:spacing w:line="276" w:lineRule="auto"/>
              <w:contextualSpacing/>
              <w:jc w:val="both"/>
              <w:rPr>
                <w:rFonts w:eastAsia="Calibri"/>
                <w:bCs/>
                <w:color w:val="000000" w:themeColor="text1"/>
                <w:sz w:val="22"/>
                <w:szCs w:val="22"/>
                <w:highlight w:val="yellow"/>
              </w:rPr>
            </w:pPr>
          </w:p>
        </w:tc>
      </w:tr>
      <w:tr w:rsidR="003F6E3A" w:rsidRPr="00706C03" w14:paraId="1DBE4A94" w14:textId="77777777" w:rsidTr="0027730F">
        <w:tc>
          <w:tcPr>
            <w:tcW w:w="1985" w:type="dxa"/>
          </w:tcPr>
          <w:p w14:paraId="724F128F" w14:textId="77777777" w:rsidR="003F6E3A" w:rsidRPr="00706C03" w:rsidRDefault="003F6E3A" w:rsidP="00172103">
            <w:pPr>
              <w:spacing w:line="276" w:lineRule="auto"/>
              <w:contextualSpacing/>
              <w:jc w:val="both"/>
              <w:rPr>
                <w:rFonts w:ascii="Arial" w:eastAsia="Calibri" w:hAnsi="Arial" w:cs="Arial"/>
                <w:color w:val="000000" w:themeColor="text1"/>
              </w:rPr>
            </w:pPr>
            <w:r w:rsidRPr="00706C03">
              <w:rPr>
                <w:rFonts w:ascii="Arial" w:eastAsia="Calibri" w:hAnsi="Arial" w:cs="Arial"/>
                <w:b/>
                <w:color w:val="000000" w:themeColor="text1"/>
              </w:rPr>
              <w:t>Radicación:</w:t>
            </w:r>
            <w:r w:rsidRPr="00706C03">
              <w:rPr>
                <w:rFonts w:ascii="Arial" w:eastAsia="Calibri" w:hAnsi="Arial" w:cs="Arial"/>
                <w:color w:val="000000" w:themeColor="text1"/>
              </w:rPr>
              <w:t xml:space="preserve">                              </w:t>
            </w:r>
          </w:p>
        </w:tc>
        <w:tc>
          <w:tcPr>
            <w:tcW w:w="6799" w:type="dxa"/>
          </w:tcPr>
          <w:p w14:paraId="5E87E08C" w14:textId="77777777" w:rsidR="003F6E3A" w:rsidRPr="00706C03" w:rsidRDefault="003F6E3A" w:rsidP="00172103">
            <w:pPr>
              <w:spacing w:line="276" w:lineRule="auto"/>
              <w:contextualSpacing/>
              <w:jc w:val="both"/>
              <w:rPr>
                <w:rFonts w:ascii="Arial" w:eastAsia="Calibri" w:hAnsi="Arial" w:cs="Arial"/>
                <w:color w:val="000000" w:themeColor="text1"/>
              </w:rPr>
            </w:pPr>
            <w:r w:rsidRPr="00706C03">
              <w:rPr>
                <w:rFonts w:ascii="Arial" w:eastAsia="Calibri" w:hAnsi="Arial" w:cs="Arial"/>
                <w:color w:val="000000" w:themeColor="text1"/>
              </w:rPr>
              <w:t xml:space="preserve">Respuesta a la consulta No. </w:t>
            </w:r>
            <w:r w:rsidRPr="00706C03">
              <w:rPr>
                <w:rFonts w:ascii="Arial" w:eastAsia="Calibri" w:hAnsi="Arial" w:cs="Arial"/>
                <w:bCs/>
                <w:color w:val="000000" w:themeColor="text1"/>
              </w:rPr>
              <w:t>P20230201000845</w:t>
            </w:r>
          </w:p>
        </w:tc>
      </w:tr>
    </w:tbl>
    <w:p w14:paraId="283FE2F0" w14:textId="77777777" w:rsidR="003F6E3A" w:rsidRPr="00706C03" w:rsidRDefault="003F6E3A" w:rsidP="00500AD4">
      <w:pPr>
        <w:spacing w:after="0" w:line="276" w:lineRule="auto"/>
        <w:contextualSpacing/>
        <w:rPr>
          <w:rFonts w:ascii="Arial" w:eastAsia="Calibri" w:hAnsi="Arial" w:cs="Arial"/>
          <w:color w:val="000000" w:themeColor="text1"/>
        </w:rPr>
      </w:pPr>
    </w:p>
    <w:p w14:paraId="35F1DC7E" w14:textId="77777777" w:rsidR="003F6E3A" w:rsidRPr="00706C03" w:rsidRDefault="003F6E3A" w:rsidP="00500AD4">
      <w:pPr>
        <w:spacing w:after="0" w:line="276" w:lineRule="auto"/>
        <w:contextualSpacing/>
        <w:rPr>
          <w:rFonts w:ascii="Arial" w:eastAsia="Calibri" w:hAnsi="Arial" w:cs="Arial"/>
          <w:color w:val="000000" w:themeColor="text1"/>
        </w:rPr>
      </w:pPr>
    </w:p>
    <w:p w14:paraId="1AA4964E" w14:textId="23AD44D2" w:rsidR="003F6E3A" w:rsidRPr="00706C03" w:rsidRDefault="003F6E3A" w:rsidP="00500AD4">
      <w:pPr>
        <w:tabs>
          <w:tab w:val="left" w:pos="3736"/>
        </w:tabs>
        <w:spacing w:after="0" w:line="276" w:lineRule="auto"/>
        <w:contextualSpacing/>
        <w:rPr>
          <w:rFonts w:ascii="Arial" w:eastAsia="Calibri" w:hAnsi="Arial" w:cs="Arial"/>
          <w:color w:val="000000" w:themeColor="text1"/>
        </w:rPr>
      </w:pPr>
      <w:r w:rsidRPr="00706C03">
        <w:rPr>
          <w:rFonts w:ascii="Arial" w:eastAsia="Calibri" w:hAnsi="Arial" w:cs="Arial"/>
          <w:color w:val="000000" w:themeColor="text1"/>
        </w:rPr>
        <w:t>Estimad</w:t>
      </w:r>
      <w:r w:rsidR="00C76561">
        <w:rPr>
          <w:rFonts w:ascii="Arial" w:eastAsia="Calibri" w:hAnsi="Arial" w:cs="Arial"/>
          <w:color w:val="000000" w:themeColor="text1"/>
        </w:rPr>
        <w:t>a</w:t>
      </w:r>
      <w:r w:rsidRPr="00706C03">
        <w:rPr>
          <w:rFonts w:ascii="Arial" w:eastAsia="Calibri" w:hAnsi="Arial" w:cs="Arial"/>
          <w:color w:val="000000" w:themeColor="text1"/>
        </w:rPr>
        <w:t xml:space="preserve"> señora </w:t>
      </w:r>
      <w:r w:rsidR="008D382F" w:rsidRPr="00706C03">
        <w:rPr>
          <w:rFonts w:ascii="Arial" w:eastAsia="Calibri" w:hAnsi="Arial" w:cs="Arial"/>
          <w:color w:val="000000" w:themeColor="text1"/>
        </w:rPr>
        <w:t>Suarez</w:t>
      </w:r>
      <w:r w:rsidRPr="00706C03">
        <w:rPr>
          <w:rFonts w:ascii="Arial" w:eastAsia="Calibri" w:hAnsi="Arial" w:cs="Arial"/>
          <w:color w:val="000000" w:themeColor="text1"/>
        </w:rPr>
        <w:t>:</w:t>
      </w:r>
      <w:r w:rsidRPr="00706C03">
        <w:rPr>
          <w:rFonts w:ascii="Arial" w:eastAsia="Calibri" w:hAnsi="Arial" w:cs="Arial"/>
          <w:color w:val="000000" w:themeColor="text1"/>
        </w:rPr>
        <w:tab/>
      </w:r>
    </w:p>
    <w:p w14:paraId="37270195" w14:textId="77777777" w:rsidR="003F6E3A" w:rsidRPr="00706C03" w:rsidRDefault="003F6E3A" w:rsidP="00500AD4">
      <w:pPr>
        <w:spacing w:after="0" w:line="276" w:lineRule="auto"/>
        <w:contextualSpacing/>
        <w:rPr>
          <w:rFonts w:ascii="Arial" w:eastAsia="Calibri" w:hAnsi="Arial" w:cs="Arial"/>
          <w:color w:val="000000" w:themeColor="text1"/>
        </w:rPr>
      </w:pPr>
    </w:p>
    <w:p w14:paraId="6E748366" w14:textId="18308ABF" w:rsidR="003F6E3A" w:rsidRPr="00706C03" w:rsidRDefault="003F6E3A" w:rsidP="00500AD4">
      <w:pPr>
        <w:pStyle w:val="Prrafodelista"/>
        <w:spacing w:after="0" w:line="276" w:lineRule="auto"/>
        <w:ind w:left="0"/>
        <w:jc w:val="both"/>
        <w:rPr>
          <w:rFonts w:ascii="Arial" w:eastAsia="Calibri" w:hAnsi="Arial" w:cs="Arial"/>
          <w:lang w:val="es-ES_tradnl"/>
        </w:rPr>
      </w:pPr>
      <w:r w:rsidRPr="00706C03">
        <w:rPr>
          <w:rFonts w:ascii="Arial" w:eastAsia="Calibri" w:hAnsi="Arial" w:cs="Arial"/>
          <w:lang w:val="es-ES_tradnl"/>
        </w:rPr>
        <w:t xml:space="preserve">En ejercicio de la competencia otorgada por </w:t>
      </w:r>
      <w:r w:rsidRPr="00706C03">
        <w:rPr>
          <w:rFonts w:ascii="Arial" w:eastAsia="Calibri" w:hAnsi="Arial" w:cs="Arial"/>
          <w:color w:val="000000" w:themeColor="text1"/>
          <w:lang w:val="es-ES_tradnl"/>
        </w:rPr>
        <w:t>el numeral 8 del artículo 11 y el numeral 5 del artículo 3 del Decreto Ley 4170 de 2011</w:t>
      </w:r>
      <w:r w:rsidRPr="00706C03">
        <w:rPr>
          <w:rFonts w:ascii="Arial" w:eastAsia="Calibri" w:hAnsi="Arial" w:cs="Arial"/>
          <w:lang w:val="es-ES_tradnl"/>
        </w:rPr>
        <w:t xml:space="preserve">, la Agencia Nacional de Contratación Pública − Colombia Compra Eficiente responde su consulta remitida </w:t>
      </w:r>
      <w:r w:rsidRPr="00706C03">
        <w:rPr>
          <w:rFonts w:ascii="Arial" w:eastAsia="Calibri" w:hAnsi="Arial" w:cs="Arial"/>
          <w:lang w:val="es-CO"/>
        </w:rPr>
        <w:t xml:space="preserve">el 01 de febrero de 2023. </w:t>
      </w:r>
    </w:p>
    <w:p w14:paraId="06E1CAD5" w14:textId="77777777" w:rsidR="003F6E3A" w:rsidRPr="00706C03" w:rsidRDefault="003F6E3A" w:rsidP="00500AD4">
      <w:pPr>
        <w:pStyle w:val="Prrafodelista"/>
        <w:spacing w:after="0" w:line="276" w:lineRule="auto"/>
        <w:ind w:left="0"/>
        <w:rPr>
          <w:rFonts w:ascii="Arial" w:eastAsia="Calibri" w:hAnsi="Arial" w:cs="Arial"/>
          <w:color w:val="000000" w:themeColor="text1"/>
        </w:rPr>
      </w:pPr>
    </w:p>
    <w:p w14:paraId="1F2EFAB6" w14:textId="77777777" w:rsidR="003F6E3A" w:rsidRPr="00706C03" w:rsidRDefault="003F6E3A" w:rsidP="00500AD4">
      <w:pPr>
        <w:tabs>
          <w:tab w:val="left" w:pos="0"/>
        </w:tabs>
        <w:spacing w:after="0" w:line="276" w:lineRule="auto"/>
        <w:contextualSpacing/>
        <w:jc w:val="both"/>
        <w:rPr>
          <w:rFonts w:ascii="Arial" w:eastAsia="Calibri" w:hAnsi="Arial" w:cs="Arial"/>
          <w:b/>
          <w:color w:val="000000" w:themeColor="text1"/>
        </w:rPr>
      </w:pPr>
      <w:r w:rsidRPr="00706C03">
        <w:rPr>
          <w:rFonts w:ascii="Arial" w:eastAsia="Calibri" w:hAnsi="Arial" w:cs="Arial"/>
          <w:b/>
          <w:color w:val="000000" w:themeColor="text1"/>
        </w:rPr>
        <w:t>1. Problema planteado</w:t>
      </w:r>
    </w:p>
    <w:p w14:paraId="6854EDD5" w14:textId="77777777" w:rsidR="003F6E3A" w:rsidRPr="0093085B" w:rsidRDefault="003F6E3A" w:rsidP="00500AD4">
      <w:pPr>
        <w:spacing w:after="0" w:line="276" w:lineRule="auto"/>
        <w:contextualSpacing/>
        <w:rPr>
          <w:rFonts w:ascii="Arial" w:eastAsia="Calibri" w:hAnsi="Arial" w:cs="Arial"/>
          <w:color w:val="000000" w:themeColor="text1"/>
        </w:rPr>
      </w:pPr>
    </w:p>
    <w:p w14:paraId="34B03A32" w14:textId="658911E3" w:rsidR="00ED0836" w:rsidRDefault="00ED0836" w:rsidP="00ED0836">
      <w:pPr>
        <w:spacing w:after="0" w:line="276" w:lineRule="auto"/>
        <w:contextualSpacing/>
        <w:jc w:val="both"/>
        <w:rPr>
          <w:rFonts w:ascii="Arial" w:eastAsia="Calibri" w:hAnsi="Arial" w:cs="Arial"/>
        </w:rPr>
      </w:pPr>
      <w:r>
        <w:rPr>
          <w:rFonts w:ascii="Arial" w:eastAsia="Calibri" w:hAnsi="Arial" w:cs="Arial"/>
        </w:rPr>
        <w:t>En relación con la Ley de Garantías Electorales</w:t>
      </w:r>
      <w:r w:rsidR="003F6E3A">
        <w:rPr>
          <w:rFonts w:ascii="Arial" w:eastAsia="Calibri" w:hAnsi="Arial" w:cs="Arial"/>
        </w:rPr>
        <w:t xml:space="preserve">, usted </w:t>
      </w:r>
      <w:r w:rsidR="00700518">
        <w:rPr>
          <w:rFonts w:ascii="Arial" w:eastAsia="Calibri" w:hAnsi="Arial" w:cs="Arial"/>
        </w:rPr>
        <w:t xml:space="preserve">consulta </w:t>
      </w:r>
      <w:r w:rsidR="003F6E3A">
        <w:rPr>
          <w:rFonts w:ascii="Arial" w:eastAsia="Calibri" w:hAnsi="Arial" w:cs="Arial"/>
        </w:rPr>
        <w:t>lo siguiente</w:t>
      </w:r>
      <w:r>
        <w:rPr>
          <w:rFonts w:ascii="Arial" w:eastAsia="Calibri" w:hAnsi="Arial" w:cs="Arial"/>
        </w:rPr>
        <w:t xml:space="preserve">: </w:t>
      </w:r>
    </w:p>
    <w:p w14:paraId="1EA99717" w14:textId="77777777" w:rsidR="00ED0836" w:rsidRDefault="00ED0836" w:rsidP="00500AD4">
      <w:pPr>
        <w:spacing w:after="0" w:line="276" w:lineRule="auto"/>
        <w:contextualSpacing/>
        <w:jc w:val="both"/>
        <w:rPr>
          <w:rFonts w:ascii="Arial" w:eastAsia="Calibri" w:hAnsi="Arial" w:cs="Arial"/>
        </w:rPr>
      </w:pPr>
    </w:p>
    <w:p w14:paraId="1D34FCCB" w14:textId="568015A5" w:rsidR="003F6E3A" w:rsidRPr="00500AD4" w:rsidRDefault="003F6E3A" w:rsidP="00500AD4">
      <w:pPr>
        <w:spacing w:line="240" w:lineRule="auto"/>
        <w:ind w:left="709" w:right="709"/>
        <w:jc w:val="both"/>
        <w:rPr>
          <w:rFonts w:ascii="Arial" w:eastAsia="Calibri" w:hAnsi="Arial" w:cs="Arial"/>
          <w:b/>
          <w:color w:val="000000" w:themeColor="text1"/>
          <w:sz w:val="21"/>
          <w:szCs w:val="21"/>
        </w:rPr>
      </w:pPr>
      <w:bookmarkStart w:id="7" w:name="_Hlk102459385"/>
      <w:r w:rsidRPr="00500AD4">
        <w:rPr>
          <w:rFonts w:ascii="Arial" w:eastAsia="Calibri" w:hAnsi="Arial" w:cs="Arial"/>
          <w:sz w:val="21"/>
          <w:szCs w:val="21"/>
        </w:rPr>
        <w:t>«[…]</w:t>
      </w:r>
      <w:r w:rsidRPr="00500AD4">
        <w:rPr>
          <w:sz w:val="21"/>
          <w:szCs w:val="21"/>
        </w:rPr>
        <w:t xml:space="preserve"> </w:t>
      </w:r>
      <w:bookmarkEnd w:id="7"/>
      <w:r w:rsidRPr="00500AD4">
        <w:rPr>
          <w:rFonts w:ascii="Arial" w:hAnsi="Arial" w:cs="Arial"/>
          <w:sz w:val="21"/>
          <w:szCs w:val="21"/>
        </w:rPr>
        <w:t>Teniendo en cuenta las elecciones para alcalde, Concejo Municipal, Gobernador y Asamblea Departamental que se van a realizar en este año, solicito se me aclara si es posible adelantar Contratación en la modalidad de Directa, teniendo en cuenta que no le aplica Ley de Garantías para entidades Territorial de orden Municipal</w:t>
      </w:r>
      <w:r w:rsidRPr="00500AD4">
        <w:rPr>
          <w:rFonts w:ascii="Arial" w:eastAsia="Calibri" w:hAnsi="Arial" w:cs="Arial"/>
          <w:sz w:val="21"/>
          <w:szCs w:val="21"/>
        </w:rPr>
        <w:t xml:space="preserve"> […]</w:t>
      </w:r>
      <w:r w:rsidR="008C7BCC" w:rsidRPr="007A0C25">
        <w:rPr>
          <w:rFonts w:ascii="Arial" w:hAnsi="Arial" w:cs="Arial"/>
          <w:sz w:val="21"/>
          <w:szCs w:val="21"/>
          <w:lang w:val="es-ES_tradnl"/>
        </w:rPr>
        <w:t>»</w:t>
      </w:r>
      <w:r w:rsidR="007B1C6A">
        <w:rPr>
          <w:rFonts w:ascii="Arial" w:hAnsi="Arial" w:cs="Arial"/>
          <w:sz w:val="21"/>
          <w:szCs w:val="21"/>
          <w:lang w:val="es-ES_tradnl"/>
        </w:rPr>
        <w:t>.</w:t>
      </w:r>
    </w:p>
    <w:p w14:paraId="14D2A741" w14:textId="77777777" w:rsidR="003F6E3A" w:rsidRPr="001B0D3D" w:rsidRDefault="003F6E3A" w:rsidP="00500AD4">
      <w:pPr>
        <w:spacing w:after="0" w:line="276" w:lineRule="auto"/>
        <w:contextualSpacing/>
        <w:rPr>
          <w:rFonts w:ascii="Arial" w:eastAsia="Calibri" w:hAnsi="Arial" w:cs="Arial"/>
          <w:b/>
          <w:color w:val="000000" w:themeColor="text1"/>
        </w:rPr>
      </w:pPr>
    </w:p>
    <w:p w14:paraId="7067223B" w14:textId="77777777" w:rsidR="003F6E3A" w:rsidRDefault="003F6E3A" w:rsidP="00500AD4">
      <w:pPr>
        <w:spacing w:after="0" w:line="276" w:lineRule="auto"/>
        <w:contextualSpacing/>
        <w:jc w:val="both"/>
        <w:rPr>
          <w:rFonts w:ascii="Arial" w:eastAsia="Calibri" w:hAnsi="Arial" w:cs="Arial"/>
          <w:color w:val="000000" w:themeColor="text1"/>
        </w:rPr>
      </w:pPr>
      <w:r>
        <w:rPr>
          <w:rFonts w:ascii="Arial" w:eastAsia="Calibri" w:hAnsi="Arial" w:cs="Arial"/>
          <w:b/>
          <w:color w:val="000000" w:themeColor="text1"/>
        </w:rPr>
        <w:t xml:space="preserve">2. </w:t>
      </w:r>
      <w:r w:rsidRPr="006C0EA1">
        <w:rPr>
          <w:rFonts w:ascii="Arial" w:eastAsia="Calibri" w:hAnsi="Arial" w:cs="Arial"/>
          <w:b/>
          <w:color w:val="000000" w:themeColor="text1"/>
        </w:rPr>
        <w:t>Consideraciones</w:t>
      </w:r>
    </w:p>
    <w:p w14:paraId="3F99256C" w14:textId="77777777" w:rsidR="003F6E3A" w:rsidRDefault="003F6E3A" w:rsidP="00500AD4">
      <w:pPr>
        <w:tabs>
          <w:tab w:val="left" w:pos="426"/>
        </w:tabs>
        <w:spacing w:after="0" w:line="276" w:lineRule="auto"/>
        <w:contextualSpacing/>
        <w:jc w:val="both"/>
        <w:rPr>
          <w:rFonts w:ascii="Arial" w:eastAsia="Calibri" w:hAnsi="Arial" w:cs="Arial"/>
          <w:color w:val="000000" w:themeColor="text1"/>
        </w:rPr>
      </w:pPr>
    </w:p>
    <w:p w14:paraId="713D80F7" w14:textId="77777777" w:rsidR="003F6E3A" w:rsidRPr="00E417A9" w:rsidRDefault="003F6E3A" w:rsidP="003F6E3A">
      <w:pPr>
        <w:tabs>
          <w:tab w:val="left" w:pos="426"/>
        </w:tabs>
        <w:spacing w:after="120" w:line="276" w:lineRule="auto"/>
        <w:jc w:val="both"/>
        <w:rPr>
          <w:rFonts w:ascii="Arial" w:eastAsia="Calibri" w:hAnsi="Arial" w:cs="Arial"/>
          <w:lang w:val="es-MX"/>
        </w:rPr>
      </w:pPr>
      <w:r>
        <w:rPr>
          <w:rFonts w:ascii="Arial" w:hAnsi="Arial" w:cs="Arial"/>
          <w:bCs/>
        </w:rPr>
        <w:t xml:space="preserve">Con el objetivo de resolver el problema planteado, </w:t>
      </w:r>
      <w:r w:rsidRPr="00A23BDA">
        <w:rPr>
          <w:rFonts w:ascii="Arial" w:hAnsi="Arial" w:cs="Arial"/>
          <w:bCs/>
          <w:lang w:val="es-ES"/>
        </w:rPr>
        <w:t>se analizarán los siguientes temas:</w:t>
      </w:r>
      <w:r w:rsidRPr="00C84F90">
        <w:rPr>
          <w:rFonts w:ascii="Arial" w:eastAsia="Calibri" w:hAnsi="Arial" w:cs="Arial"/>
          <w:bCs/>
        </w:rPr>
        <w:t xml:space="preserve"> </w:t>
      </w:r>
      <w:r w:rsidRPr="000D153E">
        <w:rPr>
          <w:rFonts w:ascii="Arial" w:eastAsia="Calibri" w:hAnsi="Arial" w:cs="Arial"/>
          <w:bCs/>
        </w:rPr>
        <w:t xml:space="preserve">i) definición y finalidad de la Ley de Garantías Electorales, ii) restricciones </w:t>
      </w:r>
      <w:r w:rsidRPr="000D153E">
        <w:rPr>
          <w:rFonts w:ascii="Arial" w:eastAsia="Calibri" w:hAnsi="Arial" w:cs="Arial"/>
          <w:bCs/>
          <w:lang w:val="es-MX"/>
        </w:rPr>
        <w:t xml:space="preserve">para elecciones presidenciales, iii) destinatarios de la prohibición del artículo 33 de la Ley 996 de 2005, iv) </w:t>
      </w:r>
      <w:r w:rsidRPr="000D153E">
        <w:rPr>
          <w:rFonts w:ascii="Arial" w:eastAsia="Calibri" w:hAnsi="Arial" w:cs="Arial"/>
          <w:lang w:val="es-MX"/>
        </w:rPr>
        <w:t>restricciones en los comicios de cargos de elección popular</w:t>
      </w:r>
      <w:bookmarkStart w:id="8" w:name="_Hlk76110351"/>
      <w:r>
        <w:rPr>
          <w:rFonts w:ascii="Arial" w:eastAsia="Calibri" w:hAnsi="Arial" w:cs="Arial"/>
          <w:lang w:val="es-MX"/>
        </w:rPr>
        <w:t xml:space="preserve"> y</w:t>
      </w:r>
      <w:r w:rsidRPr="000D153E">
        <w:rPr>
          <w:rFonts w:ascii="Arial" w:eastAsia="Calibri" w:hAnsi="Arial" w:cs="Arial"/>
          <w:lang w:val="es-MX"/>
        </w:rPr>
        <w:t xml:space="preserve"> v) </w:t>
      </w:r>
      <w:r>
        <w:rPr>
          <w:rFonts w:ascii="Arial" w:eastAsia="Calibri" w:hAnsi="Arial" w:cs="Arial"/>
          <w:lang w:val="es-MX"/>
        </w:rPr>
        <w:t>A</w:t>
      </w:r>
      <w:r w:rsidRPr="000D153E">
        <w:rPr>
          <w:rFonts w:ascii="Arial" w:hAnsi="Arial" w:cs="Arial"/>
          <w:bCs/>
          <w:lang w:val="es-MX" w:eastAsia="es-CO"/>
        </w:rPr>
        <w:t>plicación de la Ley de Garantías</w:t>
      </w:r>
      <w:r w:rsidRPr="000D153E">
        <w:rPr>
          <w:rFonts w:ascii="Arial" w:eastAsia="Calibri" w:hAnsi="Arial" w:cs="Arial"/>
          <w:lang w:val="es-MX"/>
        </w:rPr>
        <w:t>.</w:t>
      </w:r>
      <w:r w:rsidRPr="00C84F90">
        <w:rPr>
          <w:rFonts w:ascii="Arial" w:eastAsia="Calibri" w:hAnsi="Arial" w:cs="Arial"/>
          <w:lang w:val="es-MX"/>
        </w:rPr>
        <w:t xml:space="preserve"> </w:t>
      </w:r>
      <w:bookmarkEnd w:id="8"/>
    </w:p>
    <w:p w14:paraId="5F8970AD" w14:textId="139433E7" w:rsidR="003F6E3A" w:rsidRDefault="003F6E3A" w:rsidP="00500AD4">
      <w:pPr>
        <w:tabs>
          <w:tab w:val="left" w:pos="426"/>
        </w:tabs>
        <w:spacing w:after="0" w:line="276" w:lineRule="auto"/>
        <w:ind w:firstLine="709"/>
        <w:jc w:val="both"/>
        <w:rPr>
          <w:rFonts w:ascii="Arial" w:eastAsia="Calibri" w:hAnsi="Arial" w:cs="Arial"/>
          <w:bCs/>
        </w:rPr>
      </w:pPr>
      <w:r w:rsidRPr="00446B03">
        <w:rPr>
          <w:rFonts w:ascii="Arial" w:eastAsia="Calibri" w:hAnsi="Arial" w:cs="Arial"/>
          <w:bCs/>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w:t>
      </w:r>
      <w:r>
        <w:rPr>
          <w:rFonts w:ascii="Arial" w:eastAsia="Calibri" w:hAnsi="Arial" w:cs="Arial"/>
          <w:bCs/>
        </w:rPr>
        <w:t xml:space="preserve">C-074 del 17 de marzo de 2021, C-075 del 16 de marzo de 2021, </w:t>
      </w:r>
      <w:r w:rsidRPr="00446B03">
        <w:rPr>
          <w:rFonts w:ascii="Arial" w:eastAsia="Calibri" w:hAnsi="Arial" w:cs="Arial"/>
          <w:bCs/>
        </w:rPr>
        <w:t>C-227 de 2021 del 5 de mayo de 2021</w:t>
      </w:r>
      <w:r>
        <w:rPr>
          <w:rFonts w:ascii="Arial" w:eastAsia="Calibri" w:hAnsi="Arial" w:cs="Arial"/>
          <w:bCs/>
        </w:rPr>
        <w:t>,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C-715 del 21 de enero de 2022, C-718 del 24 de enero de 2022, C-726 del 24 de enero de 2022, C-023 del 22 de febrero de 2022, C-094 del 16 de marzo de 2022, C-147 del 25 de marzo de 2022, C-153 del 25 de marzo de 2022, C-229 del 26 de abril de 2022</w:t>
      </w:r>
      <w:r w:rsidR="00CC6E62">
        <w:rPr>
          <w:rStyle w:val="Refdenotaalpie"/>
          <w:rFonts w:ascii="Arial" w:eastAsia="Calibri" w:hAnsi="Arial" w:cs="Arial"/>
          <w:bCs/>
        </w:rPr>
        <w:footnoteReference w:id="2"/>
      </w:r>
      <w:r>
        <w:rPr>
          <w:rFonts w:ascii="Arial" w:eastAsia="Calibri" w:hAnsi="Arial" w:cs="Arial"/>
          <w:bCs/>
        </w:rPr>
        <w:t xml:space="preserve">. </w:t>
      </w:r>
      <w:r w:rsidR="000E6CC0" w:rsidRPr="007A0C25">
        <w:rPr>
          <w:rFonts w:ascii="Arial" w:eastAsia="Calibri" w:hAnsi="Arial" w:cs="Arial"/>
          <w:lang w:val="es-ES_tradnl"/>
        </w:rPr>
        <w:t>La tesis desarrollada en estos conceptos se reitera y complementa a continuación:</w:t>
      </w:r>
    </w:p>
    <w:p w14:paraId="6727EA4B" w14:textId="77777777" w:rsidR="000E6CC0" w:rsidRDefault="000E6CC0" w:rsidP="00500AD4">
      <w:pPr>
        <w:tabs>
          <w:tab w:val="left" w:pos="426"/>
        </w:tabs>
        <w:spacing w:after="0" w:line="276" w:lineRule="auto"/>
        <w:contextualSpacing/>
        <w:jc w:val="both"/>
        <w:rPr>
          <w:rFonts w:ascii="Arial" w:eastAsia="Calibri" w:hAnsi="Arial" w:cs="Arial"/>
          <w:b/>
          <w:bCs/>
        </w:rPr>
      </w:pPr>
    </w:p>
    <w:p w14:paraId="44DB085E" w14:textId="27399578" w:rsidR="003F6E3A" w:rsidRDefault="003F6E3A" w:rsidP="000E6CC0">
      <w:pPr>
        <w:tabs>
          <w:tab w:val="left" w:pos="426"/>
        </w:tabs>
        <w:spacing w:after="0" w:line="276" w:lineRule="auto"/>
        <w:contextualSpacing/>
        <w:jc w:val="both"/>
        <w:rPr>
          <w:rFonts w:ascii="Arial" w:eastAsia="Calibri" w:hAnsi="Arial" w:cs="Arial"/>
          <w:b/>
          <w:bCs/>
        </w:rPr>
      </w:pPr>
      <w:r w:rsidRPr="00C84F90">
        <w:rPr>
          <w:rFonts w:ascii="Arial" w:eastAsia="Calibri" w:hAnsi="Arial" w:cs="Arial"/>
          <w:b/>
          <w:bCs/>
        </w:rPr>
        <w:t>2.1. Definición y finalidad de la Ley de Garantías Electorales: alcance de las restricciones</w:t>
      </w:r>
    </w:p>
    <w:p w14:paraId="0CE17CEF" w14:textId="77777777" w:rsidR="000E6CC0" w:rsidRPr="00C84F90" w:rsidRDefault="000E6CC0" w:rsidP="00500AD4">
      <w:pPr>
        <w:tabs>
          <w:tab w:val="left" w:pos="426"/>
        </w:tabs>
        <w:spacing w:after="0" w:line="276" w:lineRule="auto"/>
        <w:contextualSpacing/>
        <w:jc w:val="both"/>
        <w:rPr>
          <w:rFonts w:ascii="Arial" w:eastAsia="Calibri" w:hAnsi="Arial" w:cs="Arial"/>
          <w:b/>
          <w:bCs/>
        </w:rPr>
      </w:pPr>
    </w:p>
    <w:p w14:paraId="302E9865" w14:textId="77777777" w:rsidR="003F6E3A" w:rsidRPr="00471C67" w:rsidRDefault="003F6E3A" w:rsidP="003F6E3A">
      <w:pPr>
        <w:tabs>
          <w:tab w:val="left" w:pos="426"/>
        </w:tabs>
        <w:spacing w:after="120" w:line="276" w:lineRule="auto"/>
        <w:jc w:val="both"/>
        <w:rPr>
          <w:rFonts w:ascii="Arial" w:hAnsi="Arial" w:cs="Arial"/>
          <w:bCs/>
          <w:lang w:eastAsia="es-CO"/>
        </w:rPr>
      </w:pPr>
      <w:r w:rsidRPr="00471C67">
        <w:rPr>
          <w:rFonts w:ascii="Arial" w:eastAsia="Calibri" w:hAnsi="Arial" w:cs="Arial"/>
          <w:bCs/>
        </w:rPr>
        <w:t>El ordenamiento jurídico colombiano contempla previsiones claras para evitar la obtención de beneficios personales en asuntos propios de la administración pública</w:t>
      </w:r>
      <w:r w:rsidRPr="00471C67">
        <w:rPr>
          <w:rFonts w:ascii="Arial" w:eastAsia="Calibri" w:hAnsi="Arial" w:cs="Arial"/>
          <w:bCs/>
          <w:i/>
          <w:iCs/>
        </w:rPr>
        <w:t xml:space="preserve">. </w:t>
      </w:r>
      <w:r w:rsidRPr="00471C67">
        <w:rPr>
          <w:rFonts w:ascii="Arial" w:eastAsia="Calibri" w:hAnsi="Arial" w:cs="Arial"/>
          <w:bCs/>
        </w:rPr>
        <w:t xml:space="preserve">Por ejemplo, el artículo 127 de la Constitución Política establece una prohibición contractual a los servidores públicos y </w:t>
      </w:r>
      <w:r w:rsidRPr="00471C67">
        <w:rPr>
          <w:rFonts w:ascii="Arial" w:eastAsia="Calibri" w:hAnsi="Arial" w:cs="Arial"/>
          <w:bCs/>
        </w:rPr>
        <w:lastRenderedPageBreak/>
        <w:t>en cuanto a aspectos políticos consagra restricciones a ciertos empleados del Estado, incluso en época no electoral</w:t>
      </w:r>
      <w:r w:rsidRPr="00471C67">
        <w:rPr>
          <w:rFonts w:ascii="Arial" w:eastAsia="Calibri" w:hAnsi="Arial" w:cs="Arial"/>
          <w:bCs/>
          <w:vertAlign w:val="superscript"/>
        </w:rPr>
        <w:footnoteReference w:id="3"/>
      </w:r>
      <w:r w:rsidRPr="00471C67">
        <w:rPr>
          <w:rFonts w:ascii="Arial" w:eastAsia="Calibri" w:hAnsi="Arial" w:cs="Arial"/>
          <w:bCs/>
        </w:rPr>
        <w:t xml:space="preserve">. </w:t>
      </w:r>
    </w:p>
    <w:p w14:paraId="0699210E" w14:textId="77777777" w:rsidR="003F6E3A" w:rsidRDefault="003F6E3A" w:rsidP="00D878C8">
      <w:pPr>
        <w:tabs>
          <w:tab w:val="left" w:pos="426"/>
        </w:tabs>
        <w:spacing w:after="0" w:line="276" w:lineRule="auto"/>
        <w:ind w:firstLine="709"/>
        <w:jc w:val="both"/>
        <w:rPr>
          <w:rFonts w:ascii="Arial" w:hAnsi="Arial" w:cs="Arial"/>
          <w:bCs/>
          <w:lang w:val="es-MX" w:eastAsia="es-CO"/>
        </w:rPr>
      </w:pPr>
      <w:r w:rsidRPr="00471C67">
        <w:rPr>
          <w:rFonts w:ascii="Arial" w:hAnsi="Arial" w:cs="Arial"/>
          <w:bCs/>
          <w:lang w:eastAsia="es-CO"/>
        </w:rPr>
        <w:t>En el mismo sentido</w:t>
      </w:r>
      <w:r w:rsidRPr="00471C67">
        <w:rPr>
          <w:rFonts w:ascii="Arial" w:hAnsi="Arial" w:cs="Arial"/>
          <w:bCs/>
          <w:lang w:val="es-MX" w:eastAsia="es-CO"/>
        </w:rPr>
        <w:t xml:space="preserve">, </w:t>
      </w:r>
      <w:bookmarkStart w:id="9" w:name="_Hlk99576829"/>
      <w:r w:rsidRPr="00471C67">
        <w:rPr>
          <w:rFonts w:ascii="Arial" w:hAnsi="Arial" w:cs="Arial"/>
          <w:bCs/>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71C67">
        <w:rPr>
          <w:rFonts w:ascii="Arial" w:hAnsi="Arial" w:cs="Arial"/>
          <w:bCs/>
          <w:vertAlign w:val="superscript"/>
          <w:lang w:val="es-MX" w:eastAsia="es-CO"/>
        </w:rPr>
        <w:footnoteReference w:id="4"/>
      </w:r>
      <w:r w:rsidRPr="00471C67">
        <w:rPr>
          <w:rFonts w:ascii="Arial" w:hAnsi="Arial"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471C67">
        <w:rPr>
          <w:rFonts w:ascii="Arial" w:eastAsia="Calibri" w:hAnsi="Arial" w:cs="Arial"/>
          <w:noProof/>
          <w:lang w:val="es-ES_tradnl"/>
        </w:rPr>
        <w:t xml:space="preserve"> </w:t>
      </w:r>
      <w:bookmarkEnd w:id="9"/>
      <w:r w:rsidRPr="00471C67">
        <w:rPr>
          <w:rFonts w:ascii="Arial" w:hAnsi="Arial" w:cs="Arial"/>
          <w:bCs/>
          <w:lang w:val="es-MX" w:eastAsia="es-CO"/>
        </w:rPr>
        <w:t>En armonía con lo anterior, la Corte Constitucional ha abordado la definición de la Ley de Garantías Electorales. De esta manera, explica que tiene como propósito:</w:t>
      </w:r>
    </w:p>
    <w:p w14:paraId="5C2CBB21" w14:textId="77777777" w:rsidR="00D878C8" w:rsidRPr="00471C67" w:rsidRDefault="00D878C8" w:rsidP="00500AD4">
      <w:pPr>
        <w:tabs>
          <w:tab w:val="left" w:pos="426"/>
        </w:tabs>
        <w:spacing w:after="0" w:line="276" w:lineRule="auto"/>
        <w:ind w:firstLine="709"/>
        <w:jc w:val="both"/>
        <w:rPr>
          <w:rFonts w:ascii="Arial" w:hAnsi="Arial" w:cs="Arial"/>
          <w:bCs/>
          <w:lang w:val="es-MX" w:eastAsia="es-CO"/>
        </w:rPr>
      </w:pPr>
    </w:p>
    <w:p w14:paraId="79DBA814" w14:textId="2B397092" w:rsidR="003F6E3A" w:rsidRPr="00D878C8" w:rsidRDefault="007117F3" w:rsidP="00500AD4">
      <w:pPr>
        <w:spacing w:after="0" w:line="240" w:lineRule="auto"/>
        <w:ind w:left="709" w:right="709"/>
        <w:contextualSpacing/>
        <w:jc w:val="both"/>
        <w:rPr>
          <w:rFonts w:ascii="Arial" w:hAnsi="Arial" w:cs="Arial"/>
          <w:bCs/>
          <w:sz w:val="21"/>
          <w:szCs w:val="21"/>
          <w:lang w:val="es-MX" w:eastAsia="es-CO"/>
        </w:rPr>
      </w:pPr>
      <w:r w:rsidRPr="00500AD4">
        <w:rPr>
          <w:rFonts w:ascii="Arial" w:hAnsi="Arial" w:cs="Arial"/>
          <w:bCs/>
          <w:sz w:val="21"/>
          <w:szCs w:val="21"/>
          <w:lang w:val="es-MX" w:eastAsia="es-CO"/>
        </w:rPr>
        <w:t>«</w:t>
      </w:r>
      <w:r w:rsidR="003F6E3A" w:rsidRPr="00D878C8">
        <w:rPr>
          <w:rFonts w:ascii="Arial" w:hAnsi="Arial" w:cs="Arial"/>
          <w:sz w:val="21"/>
          <w:szCs w:val="21"/>
          <w:lang w:val="es-ES" w:eastAsia="es-CO"/>
        </w:rPr>
        <w:t xml:space="preserve">[…] </w:t>
      </w:r>
      <w:r w:rsidR="003F6E3A" w:rsidRPr="00D878C8">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2A43D7F8" w14:textId="77777777" w:rsidR="00E006D2" w:rsidRDefault="00E006D2" w:rsidP="00D878C8">
      <w:pPr>
        <w:spacing w:after="0" w:line="240" w:lineRule="auto"/>
        <w:ind w:left="709" w:right="709"/>
        <w:contextualSpacing/>
        <w:jc w:val="both"/>
        <w:rPr>
          <w:rFonts w:ascii="Arial" w:hAnsi="Arial" w:cs="Arial"/>
          <w:bCs/>
          <w:sz w:val="21"/>
          <w:szCs w:val="21"/>
          <w:lang w:val="es-MX" w:eastAsia="es-CO"/>
        </w:rPr>
      </w:pPr>
    </w:p>
    <w:p w14:paraId="7ACC0D89" w14:textId="674A58F7" w:rsidR="003F6E3A" w:rsidRPr="00D878C8" w:rsidRDefault="003F6E3A" w:rsidP="00500AD4">
      <w:pPr>
        <w:spacing w:after="0" w:line="240" w:lineRule="auto"/>
        <w:ind w:left="709" w:right="709"/>
        <w:contextualSpacing/>
        <w:jc w:val="both"/>
        <w:rPr>
          <w:rFonts w:ascii="Arial" w:hAnsi="Arial" w:cs="Arial"/>
          <w:bCs/>
          <w:sz w:val="21"/>
          <w:szCs w:val="21"/>
          <w:lang w:val="es-MX" w:eastAsia="es-CO"/>
        </w:rPr>
      </w:pPr>
      <w:r w:rsidRPr="00D878C8">
        <w:rPr>
          <w:rFonts w:ascii="Arial" w:hAnsi="Arial" w:cs="Arial"/>
          <w:bCs/>
          <w:sz w:val="21"/>
          <w:szCs w:val="21"/>
          <w:lang w:val="es-MX" w:eastAsia="es-CO"/>
        </w:rPr>
        <w:t xml:space="preserve">[…] </w:t>
      </w:r>
    </w:p>
    <w:p w14:paraId="01302DCB" w14:textId="77777777" w:rsidR="003F6E3A" w:rsidRPr="00D878C8" w:rsidRDefault="003F6E3A" w:rsidP="00500AD4">
      <w:pPr>
        <w:spacing w:after="0" w:line="240" w:lineRule="auto"/>
        <w:ind w:left="709" w:right="709"/>
        <w:contextualSpacing/>
        <w:jc w:val="both"/>
        <w:rPr>
          <w:rFonts w:ascii="Arial" w:hAnsi="Arial" w:cs="Arial"/>
          <w:bCs/>
          <w:sz w:val="21"/>
          <w:szCs w:val="21"/>
          <w:lang w:val="es-MX" w:eastAsia="es-CO"/>
        </w:rPr>
      </w:pPr>
    </w:p>
    <w:p w14:paraId="30598350" w14:textId="21740532" w:rsidR="003F6E3A" w:rsidRPr="00D878C8" w:rsidRDefault="003F6E3A" w:rsidP="00500AD4">
      <w:pPr>
        <w:spacing w:after="0" w:line="240" w:lineRule="auto"/>
        <w:ind w:left="709" w:right="709"/>
        <w:contextualSpacing/>
        <w:jc w:val="both"/>
        <w:rPr>
          <w:rFonts w:ascii="Arial" w:hAnsi="Arial" w:cs="Arial"/>
          <w:bCs/>
          <w:sz w:val="21"/>
          <w:szCs w:val="21"/>
          <w:lang w:val="es-MX" w:eastAsia="es-CO"/>
        </w:rPr>
      </w:pPr>
      <w:r w:rsidRPr="00D878C8">
        <w:rPr>
          <w:rFonts w:ascii="Arial"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007117F3" w:rsidRPr="00500AD4">
        <w:rPr>
          <w:rFonts w:ascii="Arial" w:hAnsi="Arial" w:cs="Arial"/>
          <w:bCs/>
          <w:sz w:val="21"/>
          <w:szCs w:val="21"/>
          <w:lang w:val="es-MX" w:eastAsia="es-CO"/>
        </w:rPr>
        <w:t>»</w:t>
      </w:r>
      <w:r w:rsidRPr="00500AD4">
        <w:rPr>
          <w:rFonts w:ascii="Arial" w:eastAsia="Calibri" w:hAnsi="Arial" w:cs="Arial"/>
          <w:sz w:val="21"/>
          <w:szCs w:val="21"/>
          <w:vertAlign w:val="superscript"/>
          <w:lang w:val="es-MX"/>
        </w:rPr>
        <w:footnoteReference w:id="5"/>
      </w:r>
      <w:r w:rsidR="007117F3" w:rsidRPr="00D878C8">
        <w:rPr>
          <w:rFonts w:ascii="Arial" w:hAnsi="Arial" w:cs="Arial"/>
          <w:bCs/>
          <w:sz w:val="21"/>
          <w:szCs w:val="21"/>
          <w:lang w:val="es-MX" w:eastAsia="es-CO"/>
        </w:rPr>
        <w:t xml:space="preserve">. </w:t>
      </w:r>
    </w:p>
    <w:p w14:paraId="750F613D" w14:textId="77777777" w:rsidR="003F6E3A" w:rsidRPr="00471C67" w:rsidRDefault="003F6E3A" w:rsidP="003F6E3A">
      <w:pPr>
        <w:spacing w:line="276" w:lineRule="auto"/>
        <w:ind w:left="709" w:right="709"/>
        <w:contextualSpacing/>
        <w:jc w:val="both"/>
        <w:rPr>
          <w:rFonts w:ascii="Arial" w:hAnsi="Arial" w:cs="Arial"/>
          <w:bCs/>
          <w:lang w:val="es-MX" w:eastAsia="es-CO"/>
        </w:rPr>
      </w:pPr>
    </w:p>
    <w:p w14:paraId="6A1249F2" w14:textId="13DCCE3C" w:rsidR="003F6E3A" w:rsidRPr="00471C67" w:rsidRDefault="003F6E3A" w:rsidP="00500AD4">
      <w:pPr>
        <w:spacing w:after="0" w:line="276" w:lineRule="auto"/>
        <w:ind w:firstLine="709"/>
        <w:jc w:val="both"/>
        <w:rPr>
          <w:rFonts w:ascii="Arial" w:hAnsi="Arial" w:cs="Arial"/>
          <w:bCs/>
          <w:lang w:val="es-MX" w:eastAsia="es-CO"/>
        </w:rPr>
      </w:pPr>
      <w:bookmarkStart w:id="10" w:name="_Hlk78818186"/>
      <w:r w:rsidRPr="00471C67">
        <w:rPr>
          <w:rFonts w:ascii="Arial" w:hAnsi="Arial" w:cs="Arial"/>
          <w:bCs/>
          <w:lang w:val="es-MX" w:eastAsia="es-CO"/>
        </w:rPr>
        <w:t>En este contexto, la Ley de Garantías Electorales establece el marco jurídico para el desarrollo de las elecciones, procurando condiciones de igualdad y transparencia para los aspirantes y</w:t>
      </w:r>
      <w:r w:rsidR="00210558">
        <w:rPr>
          <w:rFonts w:ascii="Arial" w:hAnsi="Arial" w:cs="Arial"/>
          <w:bCs/>
          <w:lang w:val="es-MX" w:eastAsia="es-CO"/>
        </w:rPr>
        <w:t>,</w:t>
      </w:r>
      <w:r w:rsidRPr="00471C67">
        <w:rPr>
          <w:rFonts w:ascii="Arial" w:hAnsi="Arial" w:cs="Arial"/>
          <w:bCs/>
          <w:lang w:val="es-MX" w:eastAsia="es-CO"/>
        </w:rPr>
        <w:t xml:space="preserve"> paralelamente</w:t>
      </w:r>
      <w:r w:rsidR="00210558">
        <w:rPr>
          <w:rFonts w:ascii="Arial" w:hAnsi="Arial" w:cs="Arial"/>
          <w:bCs/>
          <w:lang w:val="es-MX" w:eastAsia="es-CO"/>
        </w:rPr>
        <w:t>,</w:t>
      </w:r>
      <w:r w:rsidRPr="00471C67">
        <w:rPr>
          <w:rFonts w:ascii="Arial" w:hAnsi="Arial" w:cs="Arial"/>
          <w:bCs/>
          <w:lang w:val="es-MX" w:eastAsia="es-CO"/>
        </w:rPr>
        <w:t xml:space="preserve"> se incluyen restricciones en el actuar de los servidores públicos, evitando interferencias en la contienda electoral, así como la posible desviación de recursos </w:t>
      </w:r>
      <w:r w:rsidRPr="00471C67">
        <w:rPr>
          <w:rFonts w:ascii="Arial" w:hAnsi="Arial" w:cs="Arial"/>
          <w:bCs/>
          <w:lang w:val="es-MX" w:eastAsia="es-CO"/>
        </w:rPr>
        <w:lastRenderedPageBreak/>
        <w:t xml:space="preserve">públicos en aspiraciones electorales. </w:t>
      </w:r>
      <w:bookmarkEnd w:id="10"/>
      <w:r w:rsidRPr="00471C67">
        <w:rPr>
          <w:rFonts w:ascii="Arial"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5AABB6FB" w14:textId="77777777" w:rsidR="003F6E3A" w:rsidRPr="00471C67" w:rsidRDefault="003F6E3A" w:rsidP="00500AD4">
      <w:pPr>
        <w:spacing w:after="0" w:line="276" w:lineRule="auto"/>
        <w:ind w:firstLine="709"/>
        <w:contextualSpacing/>
        <w:jc w:val="both"/>
        <w:rPr>
          <w:rFonts w:ascii="Arial" w:hAnsi="Arial" w:cs="Arial"/>
          <w:bCs/>
          <w:lang w:val="es-MX" w:eastAsia="es-CO"/>
        </w:rPr>
      </w:pPr>
    </w:p>
    <w:p w14:paraId="0897B4DF" w14:textId="65E42F59" w:rsidR="003F6E3A" w:rsidRPr="00A70DD3" w:rsidRDefault="00C05B84" w:rsidP="00500AD4">
      <w:pPr>
        <w:spacing w:after="0" w:line="240" w:lineRule="auto"/>
        <w:ind w:left="709" w:right="709"/>
        <w:contextualSpacing/>
        <w:jc w:val="both"/>
        <w:rPr>
          <w:rFonts w:ascii="Arial" w:hAnsi="Arial" w:cs="Arial"/>
          <w:bCs/>
          <w:sz w:val="21"/>
          <w:szCs w:val="21"/>
          <w:lang w:val="es-MX" w:eastAsia="es-CO"/>
        </w:rPr>
      </w:pPr>
      <w:r w:rsidRPr="0021304B">
        <w:rPr>
          <w:rFonts w:ascii="Arial" w:hAnsi="Arial" w:cs="Arial"/>
          <w:bCs/>
          <w:sz w:val="21"/>
          <w:szCs w:val="21"/>
          <w:lang w:val="es-MX" w:eastAsia="es-CO"/>
        </w:rPr>
        <w:t>«</w:t>
      </w:r>
      <w:r w:rsidR="003F6E3A" w:rsidRPr="00A70DD3">
        <w:rPr>
          <w:rFonts w:ascii="Arial" w:hAnsi="Arial" w:cs="Arial"/>
          <w:bCs/>
          <w:sz w:val="21"/>
          <w:szCs w:val="21"/>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F0281E3" w14:textId="77777777" w:rsidR="003F6E3A" w:rsidRPr="00A70DD3" w:rsidRDefault="003F6E3A" w:rsidP="00500AD4">
      <w:pPr>
        <w:spacing w:after="0" w:line="240" w:lineRule="auto"/>
        <w:ind w:left="709" w:right="709"/>
        <w:contextualSpacing/>
        <w:jc w:val="both"/>
        <w:rPr>
          <w:rFonts w:ascii="Arial" w:hAnsi="Arial" w:cs="Arial"/>
          <w:bCs/>
          <w:sz w:val="21"/>
          <w:szCs w:val="21"/>
          <w:lang w:val="es-MX" w:eastAsia="es-CO"/>
        </w:rPr>
      </w:pPr>
    </w:p>
    <w:p w14:paraId="5E3DC81D" w14:textId="317C25CE" w:rsidR="003F6E3A" w:rsidRPr="00A70DD3" w:rsidRDefault="003F6E3A" w:rsidP="00500AD4">
      <w:pPr>
        <w:spacing w:after="0" w:line="240" w:lineRule="auto"/>
        <w:ind w:left="709" w:right="709"/>
        <w:contextualSpacing/>
        <w:jc w:val="both"/>
        <w:rPr>
          <w:rFonts w:ascii="Arial" w:hAnsi="Arial" w:cs="Arial"/>
          <w:bCs/>
          <w:sz w:val="21"/>
          <w:szCs w:val="21"/>
          <w:lang w:val="es-MX" w:eastAsia="es-CO"/>
        </w:rPr>
      </w:pPr>
      <w:r w:rsidRPr="00A70DD3">
        <w:rPr>
          <w:rFonts w:ascii="Arial" w:hAnsi="Arial" w:cs="Arial"/>
          <w:bCs/>
          <w:sz w:val="21"/>
          <w:szCs w:val="21"/>
          <w:lang w:val="es-MX" w:eastAsia="es-CO"/>
        </w:rPr>
        <w:t>La jurisprudencia de la Corte Constitucional</w:t>
      </w:r>
      <w:r w:rsidRPr="00A70DD3">
        <w:rPr>
          <w:rFonts w:ascii="Arial" w:hAnsi="Arial" w:cs="Arial"/>
          <w:bCs/>
          <w:sz w:val="21"/>
          <w:szCs w:val="21"/>
          <w:vertAlign w:val="superscript"/>
          <w:lang w:val="es-MX" w:eastAsia="es-CO"/>
        </w:rPr>
        <w:footnoteReference w:id="6"/>
      </w:r>
      <w:r w:rsidRPr="00A70DD3">
        <w:rPr>
          <w:rFonts w:ascii="Arial" w:hAnsi="Arial" w:cs="Arial"/>
          <w:bCs/>
          <w:sz w:val="21"/>
          <w:szCs w:val="21"/>
          <w:lang w:val="es-MX" w:eastAsia="es-CO"/>
        </w:rPr>
        <w:t> y del Consejo de Estado</w:t>
      </w:r>
      <w:r w:rsidRPr="00A70DD3">
        <w:rPr>
          <w:rFonts w:ascii="Arial" w:hAnsi="Arial" w:cs="Arial"/>
          <w:bCs/>
          <w:sz w:val="21"/>
          <w:szCs w:val="21"/>
          <w:vertAlign w:val="superscript"/>
          <w:lang w:val="es-MX" w:eastAsia="es-CO"/>
        </w:rPr>
        <w:footnoteReference w:id="7"/>
      </w:r>
      <w:r w:rsidRPr="00A70DD3">
        <w:rPr>
          <w:rFonts w:ascii="Arial"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C05B84" w:rsidRPr="0021304B">
        <w:rPr>
          <w:rFonts w:ascii="Arial" w:hAnsi="Arial" w:cs="Arial"/>
          <w:bCs/>
          <w:sz w:val="21"/>
          <w:szCs w:val="21"/>
          <w:lang w:val="es-MX" w:eastAsia="es-CO"/>
        </w:rPr>
        <w:t>»</w:t>
      </w:r>
      <w:r w:rsidRPr="00500AD4">
        <w:rPr>
          <w:rFonts w:ascii="Arial" w:hAnsi="Arial" w:cs="Arial"/>
          <w:bCs/>
          <w:sz w:val="21"/>
          <w:szCs w:val="21"/>
          <w:vertAlign w:val="superscript"/>
          <w:lang w:val="es-MX" w:eastAsia="es-CO"/>
        </w:rPr>
        <w:footnoteReference w:id="8"/>
      </w:r>
      <w:r w:rsidRPr="00A70DD3">
        <w:rPr>
          <w:rFonts w:ascii="Arial" w:hAnsi="Arial" w:cs="Arial"/>
          <w:bCs/>
          <w:sz w:val="21"/>
          <w:szCs w:val="21"/>
          <w:lang w:val="es-MX" w:eastAsia="es-CO"/>
        </w:rPr>
        <w:t>.</w:t>
      </w:r>
    </w:p>
    <w:p w14:paraId="0332FAE6" w14:textId="77777777" w:rsidR="003F6E3A" w:rsidRPr="00471C67" w:rsidRDefault="003F6E3A" w:rsidP="00500AD4">
      <w:pPr>
        <w:spacing w:after="0" w:line="276" w:lineRule="auto"/>
        <w:ind w:right="709"/>
        <w:contextualSpacing/>
        <w:jc w:val="both"/>
        <w:rPr>
          <w:rFonts w:ascii="Arial" w:hAnsi="Arial" w:cs="Arial"/>
          <w:bCs/>
          <w:lang w:val="es-MX" w:eastAsia="es-CO"/>
        </w:rPr>
      </w:pPr>
    </w:p>
    <w:p w14:paraId="55CFEE6B" w14:textId="6F55D9F1" w:rsidR="003F6E3A" w:rsidRPr="00471C67" w:rsidRDefault="003F6E3A" w:rsidP="00E453AB">
      <w:pPr>
        <w:spacing w:after="120" w:line="276" w:lineRule="auto"/>
        <w:jc w:val="both"/>
        <w:rPr>
          <w:rFonts w:ascii="Arial" w:eastAsia="Arial" w:hAnsi="Arial" w:cs="Arial"/>
          <w:lang w:val="es-ES" w:eastAsia="es-ES" w:bidi="es-ES"/>
        </w:rPr>
      </w:pPr>
      <w:r w:rsidRPr="00471C67">
        <w:rPr>
          <w:rFonts w:ascii="Arial" w:hAnsi="Arial" w:cs="Arial"/>
          <w:bCs/>
          <w:lang w:val="es-MX" w:eastAsia="es-CO"/>
        </w:rPr>
        <w:tab/>
        <w:t>De</w:t>
      </w:r>
      <w:r w:rsidRPr="00471C67">
        <w:rPr>
          <w:rFonts w:ascii="Arial" w:eastAsia="Arial" w:hAnsi="Arial" w:cs="Arial"/>
          <w:lang w:val="es-ES" w:eastAsia="es-ES" w:bidi="es-ES"/>
        </w:rPr>
        <w:t xml:space="preserve"> conformidad con lo anterior, </w:t>
      </w:r>
      <w:bookmarkStart w:id="11" w:name="_Hlk77236098"/>
      <w:r w:rsidRPr="00471C67">
        <w:rPr>
          <w:rFonts w:ascii="Arial" w:eastAsia="Arial" w:hAnsi="Arial"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w:t>
      </w:r>
      <w:r w:rsidR="006D173A">
        <w:rPr>
          <w:rFonts w:ascii="Arial" w:eastAsia="Arial" w:hAnsi="Arial" w:cs="Arial"/>
          <w:lang w:val="es-ES" w:eastAsia="es-ES" w:bidi="es-ES"/>
        </w:rPr>
        <w:t>n</w:t>
      </w:r>
      <w:r w:rsidRPr="00471C67">
        <w:rPr>
          <w:rFonts w:ascii="Arial" w:eastAsia="Arial" w:hAnsi="Arial" w:cs="Arial"/>
          <w:lang w:val="es-ES" w:eastAsia="es-ES" w:bidi="es-ES"/>
        </w:rPr>
        <w:t xml:space="preserve"> las condiciones de igualdad entre los candidatos. Específicamente, las restricciones consagradas en la citada ley se dirigen a dos (2) tipos de campañas electorales claramente diferenciadas: </w:t>
      </w:r>
      <w:r w:rsidR="00E453AB">
        <w:rPr>
          <w:rFonts w:ascii="Arial" w:eastAsia="Arial" w:hAnsi="Arial" w:cs="Arial"/>
          <w:lang w:val="es-ES" w:eastAsia="es-ES" w:bidi="es-ES"/>
        </w:rPr>
        <w:t xml:space="preserve">i) </w:t>
      </w:r>
      <w:r w:rsidRPr="00471C67">
        <w:rPr>
          <w:rFonts w:ascii="Arial" w:eastAsia="Arial" w:hAnsi="Arial" w:cs="Arial"/>
          <w:lang w:val="es-ES" w:eastAsia="es-ES" w:bidi="es-ES"/>
        </w:rPr>
        <w:t xml:space="preserve">las presidenciales y </w:t>
      </w:r>
      <w:r w:rsidR="00E453AB">
        <w:rPr>
          <w:rFonts w:ascii="Arial" w:eastAsia="Arial" w:hAnsi="Arial" w:cs="Arial"/>
          <w:lang w:val="es-ES" w:eastAsia="es-ES" w:bidi="es-ES"/>
        </w:rPr>
        <w:t xml:space="preserve">ii) </w:t>
      </w:r>
      <w:r w:rsidRPr="00471C67">
        <w:rPr>
          <w:rFonts w:ascii="Arial" w:eastAsia="Arial" w:hAnsi="Arial" w:cs="Arial"/>
          <w:lang w:val="es-ES" w:eastAsia="es-ES" w:bidi="es-ES"/>
        </w:rPr>
        <w:t>las demás que se adelanten para la elección de los demás cargos de elección popular, tanto a nivel nacional como territorial.</w:t>
      </w:r>
      <w:bookmarkEnd w:id="11"/>
    </w:p>
    <w:p w14:paraId="24FA66CD" w14:textId="77777777" w:rsidR="003F6E3A" w:rsidRPr="00471C67" w:rsidRDefault="003F6E3A" w:rsidP="00E453AB">
      <w:pPr>
        <w:spacing w:after="120" w:line="276" w:lineRule="auto"/>
        <w:ind w:firstLine="708"/>
        <w:jc w:val="both"/>
        <w:rPr>
          <w:rFonts w:ascii="Arial" w:eastAsia="Calibri" w:hAnsi="Arial" w:cs="Arial"/>
        </w:rPr>
      </w:pPr>
      <w:r w:rsidRPr="00471C67">
        <w:rPr>
          <w:rFonts w:ascii="Arial" w:eastAsia="Calibri" w:hAnsi="Arial" w:cs="Arial"/>
        </w:rPr>
        <w:lastRenderedPageBreak/>
        <w:t xml:space="preserve">Por un lado, el artículo 33 de la Ley 996 de 2005 prohíbe </w:t>
      </w:r>
      <w:r w:rsidRPr="00471C67">
        <w:rPr>
          <w:rFonts w:ascii="Arial" w:eastAsia="Calibri" w:hAnsi="Arial" w:cs="Arial"/>
          <w:bCs/>
        </w:rPr>
        <w:t xml:space="preserve">«[…] </w:t>
      </w:r>
      <w:r w:rsidRPr="00471C67">
        <w:rPr>
          <w:rFonts w:ascii="Arial" w:eastAsia="Calibri" w:hAnsi="Arial" w:cs="Arial"/>
        </w:rPr>
        <w:t>la contratación directa por parte de todos los entes del Estado</w:t>
      </w:r>
      <w:r w:rsidRPr="00471C67">
        <w:rPr>
          <w:rFonts w:ascii="Arial" w:eastAsia="Calibri" w:hAnsi="Arial" w:cs="Arial"/>
          <w:bCs/>
        </w:rPr>
        <w:t>»</w:t>
      </w:r>
      <w:r w:rsidRPr="00471C67">
        <w:rPr>
          <w:rFonts w:ascii="Arial" w:eastAsia="Calibri" w:hAnsi="Arial" w:cs="Arial"/>
        </w:rPr>
        <w:t xml:space="preserve"> durante los cuatro (4) meses anteriores a las elecciones presidenciales, salvo </w:t>
      </w:r>
      <w:r w:rsidRPr="00471C67">
        <w:rPr>
          <w:rFonts w:ascii="Arial" w:eastAsia="Calibri" w:hAnsi="Arial" w:cs="Arial"/>
          <w:bCs/>
        </w:rPr>
        <w:t xml:space="preserve">«[…] </w:t>
      </w:r>
      <w:r w:rsidRPr="00471C67">
        <w:rPr>
          <w:rFonts w:ascii="Arial" w:eastAsia="Calibri" w:hAnsi="Arial"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71C67">
        <w:rPr>
          <w:rFonts w:ascii="Arial" w:eastAsia="Calibri" w:hAnsi="Arial" w:cs="Arial"/>
          <w:bCs/>
        </w:rPr>
        <w:t>»</w:t>
      </w:r>
      <w:r w:rsidRPr="00471C67">
        <w:rPr>
          <w:rFonts w:ascii="Arial" w:eastAsia="Calibri" w:hAnsi="Arial" w:cs="Arial"/>
          <w:bCs/>
          <w:vertAlign w:val="superscript"/>
        </w:rPr>
        <w:footnoteReference w:id="9"/>
      </w:r>
      <w:r w:rsidRPr="00471C67">
        <w:rPr>
          <w:rFonts w:ascii="Arial" w:eastAsia="Calibri" w:hAnsi="Arial" w:cs="Arial"/>
        </w:rPr>
        <w:t>.</w:t>
      </w:r>
    </w:p>
    <w:p w14:paraId="303CB459" w14:textId="77777777" w:rsidR="00C05B84" w:rsidRDefault="003F6E3A" w:rsidP="00500AD4">
      <w:pPr>
        <w:widowControl w:val="0"/>
        <w:autoSpaceDE w:val="0"/>
        <w:autoSpaceDN w:val="0"/>
        <w:spacing w:after="120" w:line="276" w:lineRule="auto"/>
        <w:ind w:right="113" w:firstLine="709"/>
        <w:jc w:val="both"/>
        <w:rPr>
          <w:rFonts w:ascii="Arial" w:eastAsia="Arial" w:hAnsi="Arial" w:cs="Arial"/>
          <w:lang w:val="es-ES" w:eastAsia="es-ES" w:bidi="es-ES"/>
        </w:rPr>
      </w:pPr>
      <w:r w:rsidRPr="00471C67">
        <w:rPr>
          <w:rFonts w:ascii="Arial" w:eastAsia="Calibri" w:hAnsi="Arial"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71C67">
        <w:rPr>
          <w:rFonts w:ascii="Arial" w:eastAsia="Calibri" w:hAnsi="Arial" w:cs="Arial"/>
          <w:bCs/>
        </w:rPr>
        <w:t xml:space="preserve">«[…] </w:t>
      </w:r>
      <w:r w:rsidRPr="00471C67">
        <w:rPr>
          <w:rFonts w:ascii="Arial" w:eastAsia="Calibri" w:hAnsi="Arial"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71C67">
        <w:rPr>
          <w:rFonts w:ascii="Arial" w:eastAsia="Calibri" w:hAnsi="Arial" w:cs="Arial"/>
          <w:bCs/>
        </w:rPr>
        <w:t>»</w:t>
      </w:r>
      <w:r w:rsidRPr="00471C67">
        <w:rPr>
          <w:rFonts w:ascii="Arial" w:eastAsia="Calibri" w:hAnsi="Arial" w:cs="Arial"/>
          <w:bCs/>
          <w:vertAlign w:val="superscript"/>
        </w:rPr>
        <w:footnoteReference w:id="10"/>
      </w:r>
      <w:r w:rsidRPr="00471C67">
        <w:rPr>
          <w:rFonts w:ascii="Arial" w:eastAsia="Calibri" w:hAnsi="Arial" w:cs="Arial"/>
          <w:lang w:val="es-MX"/>
        </w:rPr>
        <w:t>.</w:t>
      </w:r>
      <w:r w:rsidRPr="00471C67">
        <w:rPr>
          <w:rFonts w:ascii="Arial" w:eastAsia="Arial" w:hAnsi="Arial" w:cs="Arial"/>
          <w:lang w:val="es-ES" w:eastAsia="es-ES" w:bidi="es-ES"/>
        </w:rPr>
        <w:t xml:space="preserve"> </w:t>
      </w:r>
    </w:p>
    <w:p w14:paraId="35468E7B" w14:textId="218CC3B5" w:rsidR="003F6E3A" w:rsidRPr="00471C67" w:rsidRDefault="003F6E3A" w:rsidP="00500AD4">
      <w:pPr>
        <w:widowControl w:val="0"/>
        <w:autoSpaceDE w:val="0"/>
        <w:autoSpaceDN w:val="0"/>
        <w:spacing w:after="0" w:line="276" w:lineRule="auto"/>
        <w:ind w:right="113" w:firstLine="709"/>
        <w:contextualSpacing/>
        <w:jc w:val="both"/>
        <w:rPr>
          <w:rFonts w:ascii="Arial" w:eastAsia="Arial" w:hAnsi="Arial" w:cs="Arial"/>
          <w:lang w:val="es-ES" w:eastAsia="es-ES" w:bidi="es-ES"/>
        </w:rPr>
      </w:pPr>
      <w:r w:rsidRPr="00471C67">
        <w:rPr>
          <w:rFonts w:ascii="Arial" w:eastAsia="Arial" w:hAnsi="Arial"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6ED4CD83" w14:textId="77777777" w:rsidR="003F6E3A" w:rsidRPr="00471C67" w:rsidRDefault="003F6E3A" w:rsidP="00500AD4">
      <w:pPr>
        <w:widowControl w:val="0"/>
        <w:autoSpaceDE w:val="0"/>
        <w:autoSpaceDN w:val="0"/>
        <w:spacing w:after="0" w:line="276" w:lineRule="auto"/>
        <w:ind w:left="805" w:right="811"/>
        <w:contextualSpacing/>
        <w:jc w:val="both"/>
        <w:rPr>
          <w:rFonts w:ascii="Arial" w:eastAsia="Arial" w:hAnsi="Arial" w:cs="Arial"/>
          <w:lang w:val="es-ES" w:eastAsia="es-ES" w:bidi="es-ES"/>
        </w:rPr>
      </w:pPr>
    </w:p>
    <w:p w14:paraId="74DD09B5" w14:textId="455E284E" w:rsidR="003F6E3A" w:rsidRPr="006C314F" w:rsidRDefault="00C05B84" w:rsidP="00500AD4">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21304B">
        <w:rPr>
          <w:rFonts w:ascii="Arial" w:hAnsi="Arial" w:cs="Arial"/>
          <w:bCs/>
          <w:sz w:val="21"/>
          <w:szCs w:val="21"/>
          <w:lang w:val="es-MX" w:eastAsia="es-CO"/>
        </w:rPr>
        <w:t>«</w:t>
      </w:r>
      <w:r w:rsidR="003F6E3A" w:rsidRPr="006C314F">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4" w:name="_Hlk76109421"/>
      <w:r w:rsidR="003F6E3A" w:rsidRPr="006C314F">
        <w:rPr>
          <w:rFonts w:ascii="Arial" w:eastAsia="Arial" w:hAnsi="Arial" w:cs="Arial"/>
          <w:sz w:val="21"/>
          <w:szCs w:val="21"/>
          <w:lang w:val="es-ES" w:eastAsia="es-ES" w:bidi="es-ES"/>
        </w:rPr>
        <w:t>se integran parcialmente</w:t>
      </w:r>
      <w:bookmarkEnd w:id="14"/>
      <w:r w:rsidR="003F6E3A" w:rsidRPr="006C314F">
        <w:rPr>
          <w:rFonts w:ascii="Arial" w:eastAsia="Arial" w:hAnsi="Arial" w:cs="Arial"/>
          <w:sz w:val="21"/>
          <w:szCs w:val="21"/>
          <w:lang w:val="es-ES" w:eastAsia="es-ES" w:bidi="es-ES"/>
        </w:rPr>
        <w:t xml:space="preserve">, lo que permite concluir que en periodo preelectoral para elección de Presidente de la República, a todos los entes del </w:t>
      </w:r>
      <w:r w:rsidR="003F6E3A" w:rsidRPr="006C314F">
        <w:rPr>
          <w:rFonts w:ascii="Arial" w:eastAsia="Arial" w:hAnsi="Arial" w:cs="Arial"/>
          <w:sz w:val="21"/>
          <w:szCs w:val="21"/>
          <w:lang w:val="es-ES" w:eastAsia="es-ES" w:bidi="es-ES"/>
        </w:rPr>
        <w:lastRenderedPageBreak/>
        <w:t xml:space="preserve">Estado, incluidos los territoriales, se aplican las restricciones de los artículos 32 y 33 con sus excepciones, así como las del parágrafo del artículo 38. </w:t>
      </w:r>
      <w:r w:rsidR="003F6E3A" w:rsidRPr="006C314F">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21304B">
        <w:rPr>
          <w:rFonts w:ascii="Arial" w:hAnsi="Arial" w:cs="Arial"/>
          <w:bCs/>
          <w:sz w:val="21"/>
          <w:szCs w:val="21"/>
          <w:lang w:val="es-MX" w:eastAsia="es-CO"/>
        </w:rPr>
        <w:t>»</w:t>
      </w:r>
      <w:r w:rsidR="003F6E3A" w:rsidRPr="006C314F">
        <w:rPr>
          <w:rFonts w:ascii="Arial" w:eastAsia="Arial" w:hAnsi="Arial" w:cs="Arial"/>
          <w:sz w:val="21"/>
          <w:szCs w:val="21"/>
          <w:lang w:val="es-ES" w:eastAsia="es-ES" w:bidi="es-ES"/>
        </w:rPr>
        <w:t>.</w:t>
      </w:r>
      <w:r w:rsidR="003F6E3A" w:rsidRPr="006C314F">
        <w:rPr>
          <w:rFonts w:ascii="Arial" w:eastAsia="Arial" w:hAnsi="Arial" w:cs="Arial"/>
          <w:sz w:val="21"/>
          <w:szCs w:val="21"/>
          <w:vertAlign w:val="superscript"/>
          <w:lang w:val="es-ES" w:eastAsia="es-ES" w:bidi="es-ES"/>
        </w:rPr>
        <w:footnoteReference w:id="11"/>
      </w:r>
    </w:p>
    <w:p w14:paraId="5ECA4CFA" w14:textId="77777777" w:rsidR="003F6E3A" w:rsidRPr="00471C67" w:rsidRDefault="003F6E3A" w:rsidP="003F6E3A">
      <w:pPr>
        <w:widowControl w:val="0"/>
        <w:autoSpaceDE w:val="0"/>
        <w:autoSpaceDN w:val="0"/>
        <w:spacing w:line="276" w:lineRule="auto"/>
        <w:contextualSpacing/>
        <w:rPr>
          <w:rFonts w:ascii="Arial" w:eastAsia="Arial" w:hAnsi="Arial" w:cs="Arial"/>
          <w:lang w:val="es-ES" w:eastAsia="es-ES" w:bidi="es-ES"/>
        </w:rPr>
      </w:pPr>
    </w:p>
    <w:p w14:paraId="11F80623" w14:textId="1C9CE368" w:rsidR="003F6E3A" w:rsidRPr="00471C67" w:rsidRDefault="003F6E3A" w:rsidP="003F6E3A">
      <w:pPr>
        <w:spacing w:after="120" w:line="276" w:lineRule="auto"/>
        <w:ind w:firstLine="709"/>
        <w:jc w:val="both"/>
        <w:rPr>
          <w:rFonts w:ascii="Arial" w:eastAsia="Arial" w:hAnsi="Arial" w:cs="Arial"/>
          <w:lang w:val="es-ES" w:eastAsia="es-ES" w:bidi="es-ES"/>
        </w:rPr>
      </w:pPr>
      <w:r w:rsidRPr="00471C67">
        <w:rPr>
          <w:rFonts w:ascii="Arial" w:eastAsia="Arial" w:hAnsi="Arial" w:cs="Arial"/>
          <w:lang w:val="es-ES" w:eastAsia="es-ES" w:bidi="es-ES"/>
        </w:rPr>
        <w:t xml:space="preserve">De conformidad con lo anterior, </w:t>
      </w:r>
      <w:bookmarkStart w:id="15" w:name="_Hlk77236420"/>
      <w:bookmarkStart w:id="16" w:name="_Hlk78818435"/>
      <w:r w:rsidRPr="00471C67">
        <w:rPr>
          <w:rFonts w:ascii="Arial" w:eastAsia="Arial" w:hAnsi="Arial" w:cs="Arial"/>
          <w:lang w:val="es-ES" w:eastAsia="es-ES" w:bidi="es-ES"/>
        </w:rPr>
        <w:t xml:space="preserve">la Ley 996 de 2005 establece dos (2) tipos de restricciones en materia de contratación, las cuales coinciden parcialmente. </w:t>
      </w:r>
      <w:r w:rsidRPr="00471C67">
        <w:rPr>
          <w:rFonts w:ascii="Arial" w:eastAsia="Arial" w:hAnsi="Arial" w:cs="Arial"/>
          <w:i/>
          <w:iCs/>
          <w:lang w:val="es-ES" w:eastAsia="es-ES" w:bidi="es-ES"/>
        </w:rPr>
        <w:t>En primer lugar</w:t>
      </w:r>
      <w:r w:rsidRPr="00471C67">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71C67">
        <w:rPr>
          <w:rFonts w:ascii="Arial" w:eastAsia="Arial" w:hAnsi="Arial" w:cs="Arial"/>
          <w:i/>
          <w:iCs/>
          <w:lang w:val="es-ES" w:eastAsia="es-ES" w:bidi="es-ES"/>
        </w:rPr>
        <w:t>En segundo lugar</w:t>
      </w:r>
      <w:r w:rsidRPr="00471C67">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sidR="004D6A3A">
        <w:rPr>
          <w:rFonts w:ascii="Arial" w:eastAsia="Arial" w:hAnsi="Arial" w:cs="Arial"/>
          <w:lang w:val="es-ES" w:eastAsia="es-ES" w:bidi="es-ES"/>
        </w:rPr>
        <w:t>, como por ejemplo, las que se van a llevar a cabo en el año 2023.</w:t>
      </w:r>
      <w:bookmarkEnd w:id="15"/>
    </w:p>
    <w:bookmarkEnd w:id="16"/>
    <w:p w14:paraId="73103518" w14:textId="77777777" w:rsidR="003F6E3A" w:rsidRPr="00471C67" w:rsidRDefault="003F6E3A" w:rsidP="003F6E3A">
      <w:pPr>
        <w:spacing w:after="120" w:line="276" w:lineRule="auto"/>
        <w:ind w:firstLine="709"/>
        <w:jc w:val="both"/>
        <w:rPr>
          <w:rFonts w:ascii="Arial" w:eastAsia="Arial" w:hAnsi="Arial" w:cs="Arial"/>
          <w:lang w:val="es-ES" w:eastAsia="es-ES" w:bidi="es-ES"/>
        </w:rPr>
      </w:pPr>
      <w:r w:rsidRPr="00471C67">
        <w:rPr>
          <w:rFonts w:ascii="Arial" w:eastAsia="Arial" w:hAnsi="Arial"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4FD1C564" w14:textId="1CF50974" w:rsidR="003F6E3A" w:rsidRDefault="003F6E3A" w:rsidP="00500AD4">
      <w:pPr>
        <w:spacing w:after="0" w:line="276" w:lineRule="auto"/>
        <w:ind w:firstLine="709"/>
        <w:jc w:val="both"/>
        <w:rPr>
          <w:rFonts w:ascii="Arial" w:eastAsia="Arial" w:hAnsi="Arial" w:cs="Arial"/>
          <w:lang w:val="es-ES" w:eastAsia="es-ES" w:bidi="es-ES"/>
        </w:rPr>
      </w:pPr>
      <w:r w:rsidRPr="00471C67">
        <w:rPr>
          <w:rFonts w:ascii="Arial" w:eastAsia="Arial" w:hAnsi="Arial" w:cs="Arial"/>
          <w:lang w:val="es-ES" w:eastAsia="es-ES" w:bidi="es-ES"/>
        </w:rPr>
        <w:t xml:space="preserve">La Corte Constitucional, en la Sentencia C-1153 del 11 de noviembre de 2005, señaló que, para que la garantía sea plena, era necesario que la prohibición se aplicara para el Presidente o el </w:t>
      </w:r>
      <w:r w:rsidR="00516196" w:rsidRPr="00471C67">
        <w:rPr>
          <w:rFonts w:ascii="Arial" w:eastAsia="Arial" w:hAnsi="Arial" w:cs="Arial"/>
          <w:lang w:val="es-ES" w:eastAsia="es-ES" w:bidi="es-ES"/>
        </w:rPr>
        <w:t>Vicepresidente</w:t>
      </w:r>
      <w:r w:rsidRPr="00471C67">
        <w:rPr>
          <w:rFonts w:ascii="Arial" w:eastAsia="Arial" w:hAnsi="Arial" w:cs="Arial"/>
          <w:lang w:val="es-ES" w:eastAsia="es-ES" w:bidi="es-ES"/>
        </w:rPr>
        <w:t xml:space="preserv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w:t>
      </w:r>
      <w:r w:rsidRPr="00471C67">
        <w:rPr>
          <w:rFonts w:ascii="Arial" w:eastAsia="Arial" w:hAnsi="Arial" w:cs="Arial"/>
          <w:lang w:val="es-ES" w:eastAsia="es-ES" w:bidi="es-ES"/>
        </w:rPr>
        <w:lastRenderedPageBreak/>
        <w:t xml:space="preserve">por un tiempo inferior a tres (3) meses durante el respectivo cuatrienio, en forma continua o discontinua, conforme al artículo 197 de la Constitución Política.  </w:t>
      </w:r>
    </w:p>
    <w:p w14:paraId="36CB8D36" w14:textId="77777777" w:rsidR="00B14F57" w:rsidRPr="00471C67" w:rsidRDefault="00B14F57" w:rsidP="00500AD4">
      <w:pPr>
        <w:spacing w:after="0" w:line="276" w:lineRule="auto"/>
        <w:ind w:firstLine="709"/>
        <w:jc w:val="both"/>
        <w:rPr>
          <w:rFonts w:ascii="Arial" w:eastAsia="Arial" w:hAnsi="Arial" w:cs="Arial"/>
          <w:lang w:val="es-ES" w:eastAsia="es-ES" w:bidi="es-ES"/>
        </w:rPr>
      </w:pPr>
    </w:p>
    <w:p w14:paraId="1B356D01" w14:textId="02831E7C" w:rsidR="003F6E3A" w:rsidRDefault="003F6E3A" w:rsidP="003C7858">
      <w:pPr>
        <w:spacing w:after="0" w:line="276" w:lineRule="auto"/>
        <w:contextualSpacing/>
        <w:jc w:val="both"/>
        <w:rPr>
          <w:rFonts w:ascii="Arial" w:hAnsi="Arial" w:cs="Arial"/>
          <w:b/>
          <w:bCs/>
          <w:lang w:val="es-MX" w:eastAsia="es-CO"/>
        </w:rPr>
      </w:pPr>
      <w:r w:rsidRPr="00C84F90">
        <w:rPr>
          <w:rFonts w:ascii="Arial" w:hAnsi="Arial" w:cs="Arial"/>
          <w:b/>
          <w:lang w:val="es-ES" w:eastAsia="es-CO"/>
        </w:rPr>
        <w:t xml:space="preserve">2.2. </w:t>
      </w:r>
      <w:r w:rsidRPr="00C84F90">
        <w:rPr>
          <w:rFonts w:ascii="Arial" w:hAnsi="Arial" w:cs="Arial"/>
          <w:b/>
          <w:bCs/>
          <w:lang w:val="es-MX" w:eastAsia="es-CO"/>
        </w:rPr>
        <w:t>Restricciones en elecciones presidenciales</w:t>
      </w:r>
      <w:r w:rsidR="007937F9" w:rsidRPr="007A0C25">
        <w:rPr>
          <w:rFonts w:ascii="Arial" w:hAnsi="Arial" w:cs="Arial"/>
          <w:b/>
          <w:bCs/>
          <w:lang w:eastAsia="es-CO"/>
        </w:rPr>
        <w:t>: prohibición del artículo 33 de la Ley 996 de 2005</w:t>
      </w:r>
      <w:r w:rsidRPr="00C84F90">
        <w:rPr>
          <w:rFonts w:ascii="Arial" w:hAnsi="Arial" w:cs="Arial"/>
          <w:b/>
          <w:bCs/>
          <w:lang w:val="es-MX" w:eastAsia="es-CO"/>
        </w:rPr>
        <w:t xml:space="preserve"> </w:t>
      </w:r>
    </w:p>
    <w:p w14:paraId="55600D66" w14:textId="77777777" w:rsidR="003C7858" w:rsidRPr="00C84F90" w:rsidRDefault="003C7858" w:rsidP="00500AD4">
      <w:pPr>
        <w:spacing w:after="0" w:line="276" w:lineRule="auto"/>
        <w:contextualSpacing/>
        <w:jc w:val="both"/>
        <w:rPr>
          <w:rFonts w:ascii="Arial" w:hAnsi="Arial" w:cs="Arial"/>
          <w:b/>
          <w:lang w:val="es-ES" w:eastAsia="es-CO"/>
        </w:rPr>
      </w:pPr>
    </w:p>
    <w:p w14:paraId="77FAF977" w14:textId="66359F99" w:rsidR="003F6E3A" w:rsidRPr="009311DA" w:rsidRDefault="003C7858" w:rsidP="00500AD4">
      <w:pPr>
        <w:spacing w:after="0" w:line="276" w:lineRule="auto"/>
        <w:contextualSpacing/>
        <w:jc w:val="both"/>
        <w:rPr>
          <w:rFonts w:ascii="Arial" w:hAnsi="Arial" w:cs="Arial"/>
          <w:bCs/>
          <w:lang w:val="es-MX" w:eastAsia="es-CO"/>
        </w:rPr>
      </w:pPr>
      <w:bookmarkStart w:id="17" w:name="_Hlk75783800"/>
      <w:r>
        <w:rPr>
          <w:rFonts w:ascii="Arial" w:hAnsi="Arial" w:cs="Arial"/>
          <w:bCs/>
          <w:lang w:val="es-MX" w:eastAsia="x-none"/>
        </w:rPr>
        <w:t xml:space="preserve">Teniendo que en la consulta presentada por usted hace referencia a la contratación directa, es pertinente referirse a la limitación consagrada en el artículo 33 de la </w:t>
      </w:r>
      <w:r w:rsidR="00C7377C">
        <w:rPr>
          <w:rFonts w:ascii="Arial" w:hAnsi="Arial" w:cs="Arial"/>
          <w:bCs/>
          <w:lang w:val="es-MX" w:eastAsia="x-none"/>
        </w:rPr>
        <w:t xml:space="preserve">Ley 996 de 2005. </w:t>
      </w:r>
      <w:r w:rsidR="003F6E3A" w:rsidRPr="009311DA">
        <w:rPr>
          <w:rFonts w:ascii="Arial" w:hAnsi="Arial" w:cs="Arial"/>
          <w:bCs/>
          <w:lang w:val="es-MX" w:eastAsia="x-none"/>
        </w:rPr>
        <w:t xml:space="preserve">El ámbito material de la prohibición contenida </w:t>
      </w:r>
      <w:bookmarkStart w:id="18" w:name="_Hlk75628761"/>
      <w:r w:rsidR="003F6E3A" w:rsidRPr="009311DA">
        <w:rPr>
          <w:rFonts w:ascii="Arial" w:hAnsi="Arial" w:cs="Arial"/>
          <w:bCs/>
          <w:lang w:val="es-MX" w:eastAsia="x-none"/>
        </w:rPr>
        <w:t xml:space="preserve">en el artículo 33 de la Ley 996 de 2005 </w:t>
      </w:r>
      <w:bookmarkEnd w:id="18"/>
      <w:r w:rsidR="003F6E3A" w:rsidRPr="009311DA">
        <w:rPr>
          <w:rFonts w:ascii="Arial" w:hAnsi="Arial" w:cs="Arial"/>
          <w:bCs/>
          <w:lang w:val="es-MX" w:eastAsia="x-none"/>
        </w:rPr>
        <w:t xml:space="preserve">está delimitado por la expresión </w:t>
      </w:r>
      <w:r w:rsidR="003F6E3A" w:rsidRPr="009311DA">
        <w:rPr>
          <w:rFonts w:ascii="Arial" w:eastAsia="Calibri" w:hAnsi="Arial" w:cs="Arial"/>
          <w:bCs/>
          <w:lang w:val="es-MX"/>
        </w:rPr>
        <w:t>«</w:t>
      </w:r>
      <w:r w:rsidR="003F6E3A" w:rsidRPr="009311DA">
        <w:rPr>
          <w:rFonts w:ascii="Arial" w:hAnsi="Arial" w:cs="Arial"/>
          <w:bCs/>
          <w:lang w:val="es-MX" w:eastAsia="x-none"/>
        </w:rPr>
        <w:t>queda prohibida la contratación directa</w:t>
      </w:r>
      <w:r w:rsidR="003F6E3A" w:rsidRPr="009311DA">
        <w:rPr>
          <w:rFonts w:ascii="Arial" w:eastAsia="Calibri" w:hAnsi="Arial" w:cs="Arial"/>
          <w:lang w:val="es-MX"/>
        </w:rPr>
        <w:t>»</w:t>
      </w:r>
      <w:r w:rsidR="003F6E3A" w:rsidRPr="009311DA">
        <w:rPr>
          <w:rFonts w:ascii="Arial" w:hAnsi="Arial" w:cs="Arial"/>
          <w:bCs/>
          <w:lang w:val="es-MX" w:eastAsia="x-none"/>
        </w:rPr>
        <w:t>.</w:t>
      </w:r>
      <w:r w:rsidR="003F6E3A" w:rsidRPr="009311DA">
        <w:rPr>
          <w:rFonts w:ascii="Arial" w:hAnsi="Arial" w:cs="Arial"/>
          <w:lang w:val="es-MX" w:eastAsia="es-CO"/>
        </w:rPr>
        <w:t xml:space="preserve"> A propósito de </w:t>
      </w:r>
      <w:r w:rsidR="003F6E3A" w:rsidRPr="009311DA">
        <w:rPr>
          <w:rFonts w:ascii="Arial" w:hAnsi="Arial" w:cs="Arial"/>
          <w:lang w:eastAsia="es-CO"/>
        </w:rPr>
        <w:t>esta restricción de la Ley de Garantías Electorales, la Sala de Consulta y Servicio Civil del Consejo de Estado ha considerado que:</w:t>
      </w:r>
    </w:p>
    <w:p w14:paraId="72413FA4" w14:textId="77777777" w:rsidR="003F6E3A" w:rsidRPr="009311DA" w:rsidRDefault="003F6E3A" w:rsidP="00500AD4">
      <w:pPr>
        <w:spacing w:after="0" w:line="276" w:lineRule="auto"/>
        <w:ind w:left="709" w:right="709"/>
        <w:contextualSpacing/>
        <w:jc w:val="both"/>
        <w:rPr>
          <w:rFonts w:ascii="Arial" w:eastAsia="Calibri" w:hAnsi="Arial" w:cs="Arial"/>
          <w:lang w:val="es-MX"/>
        </w:rPr>
      </w:pPr>
    </w:p>
    <w:p w14:paraId="4C3368B2" w14:textId="6E9B785B" w:rsidR="003F6E3A" w:rsidRPr="005A5DA9" w:rsidRDefault="00534AB6" w:rsidP="00500AD4">
      <w:pPr>
        <w:spacing w:after="0" w:line="240" w:lineRule="auto"/>
        <w:ind w:left="709" w:right="709"/>
        <w:contextualSpacing/>
        <w:jc w:val="both"/>
        <w:rPr>
          <w:rFonts w:ascii="Arial" w:eastAsia="Calibri" w:hAnsi="Arial" w:cs="Arial"/>
          <w:sz w:val="21"/>
          <w:szCs w:val="21"/>
          <w:lang w:val="es-MX"/>
        </w:rPr>
      </w:pPr>
      <w:r w:rsidRPr="00500AD4">
        <w:rPr>
          <w:rFonts w:ascii="Arial" w:eastAsia="Calibri" w:hAnsi="Arial" w:cs="Arial"/>
          <w:bCs/>
          <w:sz w:val="21"/>
          <w:szCs w:val="21"/>
          <w:lang w:val="es-MX"/>
        </w:rPr>
        <w:t>«</w:t>
      </w:r>
      <w:r w:rsidR="003F6E3A" w:rsidRPr="005A5DA9">
        <w:rPr>
          <w:rFonts w:ascii="Arial" w:eastAsia="Calibri" w:hAnsi="Arial"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003F6E3A" w:rsidRPr="00500AD4">
        <w:rPr>
          <w:rFonts w:ascii="Arial" w:hAnsi="Arial" w:cs="Arial"/>
          <w:sz w:val="21"/>
          <w:szCs w:val="21"/>
          <w:vertAlign w:val="superscript"/>
          <w:lang w:eastAsia="es-CO"/>
        </w:rPr>
        <w:footnoteReference w:id="12"/>
      </w:r>
      <w:r w:rsidR="003F6E3A" w:rsidRPr="005A5DA9">
        <w:rPr>
          <w:rFonts w:ascii="Arial" w:eastAsia="Calibri" w:hAnsi="Arial" w:cs="Arial"/>
          <w:sz w:val="21"/>
          <w:szCs w:val="21"/>
          <w:lang w:val="es-MX"/>
        </w:rPr>
        <w:t>.</w:t>
      </w:r>
    </w:p>
    <w:p w14:paraId="6B4440B7" w14:textId="77777777" w:rsidR="003F6E3A" w:rsidRPr="005A5DA9" w:rsidRDefault="003F6E3A" w:rsidP="00500AD4">
      <w:pPr>
        <w:spacing w:after="0" w:line="240" w:lineRule="auto"/>
        <w:ind w:left="709" w:right="709"/>
        <w:contextualSpacing/>
        <w:jc w:val="both"/>
        <w:rPr>
          <w:rFonts w:ascii="Arial" w:eastAsia="Calibri" w:hAnsi="Arial" w:cs="Arial"/>
          <w:sz w:val="21"/>
          <w:szCs w:val="21"/>
          <w:lang w:val="es-MX"/>
        </w:rPr>
      </w:pPr>
    </w:p>
    <w:p w14:paraId="34739455" w14:textId="6573F2E6" w:rsidR="003F6E3A" w:rsidRPr="005A5DA9" w:rsidRDefault="003F6E3A" w:rsidP="00500AD4">
      <w:pPr>
        <w:spacing w:after="0" w:line="240" w:lineRule="auto"/>
        <w:ind w:left="708" w:right="709"/>
        <w:contextualSpacing/>
        <w:jc w:val="both"/>
        <w:rPr>
          <w:rFonts w:ascii="Arial" w:eastAsia="Calibri" w:hAnsi="Arial" w:cs="Arial"/>
          <w:sz w:val="21"/>
          <w:szCs w:val="21"/>
          <w:lang w:val="es-MX"/>
        </w:rPr>
      </w:pPr>
      <w:r w:rsidRPr="005A5DA9">
        <w:rPr>
          <w:rFonts w:ascii="Arial" w:eastAsia="Calibri" w:hAnsi="Arial" w:cs="Arial"/>
          <w:sz w:val="21"/>
          <w:szCs w:val="21"/>
          <w:lang w:val="es-MX"/>
        </w:rPr>
        <w:t xml:space="preserve">Esta Sala ha entendido que para los efectos de la ley de garantías, y dada su finalidad, el enunciado ´contratación directa´ es sinónimo </w:t>
      </w:r>
      <w:bookmarkStart w:id="21" w:name="_Hlk75741738"/>
      <w:r w:rsidRPr="005A5DA9">
        <w:rPr>
          <w:rFonts w:ascii="Arial" w:eastAsia="Calibri" w:hAnsi="Arial" w:cs="Arial"/>
          <w:sz w:val="21"/>
          <w:szCs w:val="21"/>
          <w:lang w:val="es-MX"/>
        </w:rPr>
        <w:t xml:space="preserve">de cualquier sistema que no implique convocatoria pública y posibilidad de pluralidad de oferentes, </w:t>
      </w:r>
      <w:bookmarkEnd w:id="21"/>
      <w:r w:rsidRPr="005A5DA9">
        <w:rPr>
          <w:rFonts w:ascii="Arial" w:eastAsia="Calibri" w:hAnsi="Arial" w:cs="Arial"/>
          <w:sz w:val="21"/>
          <w:szCs w:val="21"/>
          <w:lang w:val="es-MX"/>
        </w:rPr>
        <w:t>y que, además, no necesariamente hace referencia al procedimiento especial regulado por la ley de contratación estatal, sino a cualquier otro que prescinda de un proceso de licitación pública o concurso</w:t>
      </w:r>
      <w:r w:rsidRPr="005A5DA9">
        <w:rPr>
          <w:rFonts w:ascii="Arial" w:hAnsi="Arial" w:cs="Arial"/>
          <w:sz w:val="21"/>
          <w:szCs w:val="21"/>
          <w:vertAlign w:val="superscript"/>
          <w:lang w:val="es-MX"/>
        </w:rPr>
        <w:footnoteReference w:id="13"/>
      </w:r>
      <w:r w:rsidRPr="005A5DA9">
        <w:rPr>
          <w:rFonts w:ascii="Arial" w:hAnsi="Arial" w:cs="Arial"/>
          <w:sz w:val="21"/>
          <w:szCs w:val="21"/>
          <w:vertAlign w:val="superscript"/>
          <w:lang w:val="es-MX"/>
        </w:rPr>
        <w:t>.</w:t>
      </w:r>
      <w:r w:rsidRPr="005A5DA9">
        <w:rPr>
          <w:rFonts w:ascii="Arial" w:eastAsia="Calibri" w:hAnsi="Arial"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534AB6" w:rsidRPr="00500AD4">
        <w:rPr>
          <w:rFonts w:ascii="Arial" w:eastAsia="Calibri" w:hAnsi="Arial" w:cs="Arial"/>
          <w:sz w:val="21"/>
          <w:szCs w:val="21"/>
          <w:lang w:val="es-MX"/>
        </w:rPr>
        <w:t>»</w:t>
      </w:r>
      <w:r w:rsidRPr="00500AD4">
        <w:rPr>
          <w:rFonts w:ascii="Arial" w:hAnsi="Arial" w:cs="Arial"/>
          <w:sz w:val="21"/>
          <w:szCs w:val="21"/>
          <w:vertAlign w:val="superscript"/>
          <w:lang w:eastAsia="es-CO"/>
        </w:rPr>
        <w:footnoteReference w:id="14"/>
      </w:r>
      <w:r w:rsidRPr="005A5DA9">
        <w:rPr>
          <w:rFonts w:ascii="Arial" w:eastAsia="Calibri" w:hAnsi="Arial" w:cs="Arial"/>
          <w:sz w:val="21"/>
          <w:szCs w:val="21"/>
          <w:lang w:val="es-MX"/>
        </w:rPr>
        <w:t xml:space="preserve"> .</w:t>
      </w:r>
    </w:p>
    <w:p w14:paraId="510E516D" w14:textId="77777777" w:rsidR="003F6E3A" w:rsidRPr="009311DA" w:rsidRDefault="003F6E3A" w:rsidP="00500AD4">
      <w:pPr>
        <w:shd w:val="clear" w:color="auto" w:fill="FFFFFF"/>
        <w:spacing w:after="0" w:line="276" w:lineRule="auto"/>
        <w:ind w:firstLine="709"/>
        <w:contextualSpacing/>
        <w:jc w:val="both"/>
        <w:rPr>
          <w:rFonts w:ascii="Arial" w:hAnsi="Arial" w:cs="Arial"/>
          <w:lang w:eastAsia="x-none"/>
        </w:rPr>
      </w:pPr>
    </w:p>
    <w:p w14:paraId="2D56A68E" w14:textId="774E380B" w:rsidR="003F6E3A" w:rsidRPr="009311DA" w:rsidRDefault="003F6E3A" w:rsidP="003B0EA4">
      <w:pPr>
        <w:spacing w:after="120" w:line="276" w:lineRule="auto"/>
        <w:ind w:firstLine="709"/>
        <w:jc w:val="both"/>
        <w:rPr>
          <w:rFonts w:ascii="Arial" w:hAnsi="Arial" w:cs="Arial"/>
          <w:bCs/>
          <w:lang w:eastAsia="x-none"/>
        </w:rPr>
      </w:pPr>
      <w:bookmarkStart w:id="23" w:name="_Hlk94521748"/>
      <w:r w:rsidRPr="009311DA">
        <w:rPr>
          <w:rFonts w:ascii="Arial" w:hAnsi="Arial" w:cs="Arial"/>
          <w:lang w:eastAsia="x-none"/>
        </w:rPr>
        <w:t xml:space="preserve">De conformidad con el citado concepto, </w:t>
      </w:r>
      <w:bookmarkStart w:id="24" w:name="_Hlk78818702"/>
      <w:r w:rsidRPr="009311DA">
        <w:rPr>
          <w:rFonts w:ascii="Arial" w:hAnsi="Arial" w:cs="Arial"/>
          <w:lang w:eastAsia="x-none"/>
        </w:rPr>
        <w:t xml:space="preserve">la prohibición del artículo 33 de la Ley de Garantías Electorales se refiere a </w:t>
      </w:r>
      <w:bookmarkStart w:id="25" w:name="_Hlk74294635"/>
      <w:r w:rsidRPr="009311DA">
        <w:rPr>
          <w:rFonts w:ascii="Arial" w:hAnsi="Arial" w:cs="Arial"/>
          <w:lang w:eastAsia="en-GB"/>
        </w:rPr>
        <w:t>«</w:t>
      </w:r>
      <w:bookmarkEnd w:id="25"/>
      <w:r w:rsidRPr="009311DA">
        <w:rPr>
          <w:rFonts w:ascii="Arial" w:hAnsi="Arial" w:cs="Arial"/>
          <w:lang w:eastAsia="x-none"/>
        </w:rPr>
        <w:t>cualquier sistema que no implique convocatoria pública y posibilidad de pluralidad de oferentes</w:t>
      </w:r>
      <w:bookmarkStart w:id="26" w:name="_Hlk74404754"/>
      <w:r w:rsidRPr="009311DA">
        <w:rPr>
          <w:rFonts w:ascii="Arial" w:hAnsi="Arial" w:cs="Arial"/>
          <w:lang w:eastAsia="en-GB"/>
        </w:rPr>
        <w:t>»</w:t>
      </w:r>
      <w:bookmarkEnd w:id="26"/>
      <w:r w:rsidRPr="009311DA">
        <w:rPr>
          <w:rFonts w:ascii="Arial" w:hAnsi="Arial"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3"/>
      <w:bookmarkEnd w:id="24"/>
      <w:r w:rsidRPr="009311DA">
        <w:rPr>
          <w:rFonts w:ascii="Arial" w:hAnsi="Arial" w:cs="Arial"/>
          <w:lang w:eastAsia="x-none"/>
        </w:rPr>
        <w:t xml:space="preserve">Esta posición es congruente con la expedición de la Ley 1150 de 2007 que, entre otras reformas, introdujo la </w:t>
      </w:r>
      <w:r w:rsidRPr="009311DA">
        <w:rPr>
          <w:rFonts w:ascii="Arial" w:hAnsi="Arial" w:cs="Arial"/>
          <w:lang w:eastAsia="x-none"/>
        </w:rPr>
        <w:lastRenderedPageBreak/>
        <w:t>selección abreviada, rediseñó el concurso de méritos</w:t>
      </w:r>
      <w:r w:rsidRPr="009311DA">
        <w:rPr>
          <w:rFonts w:ascii="Arial" w:hAnsi="Arial" w:cs="Arial"/>
          <w:vertAlign w:val="superscript"/>
          <w:lang w:val="en-GB" w:eastAsia="x-none"/>
        </w:rPr>
        <w:footnoteReference w:id="15"/>
      </w:r>
      <w:r w:rsidRPr="009311DA">
        <w:rPr>
          <w:rFonts w:ascii="Arial" w:hAnsi="Arial" w:cs="Arial"/>
          <w:lang w:eastAsia="x-none"/>
        </w:rPr>
        <w:t xml:space="preserve"> y sistematizó las causales de contratación directa</w:t>
      </w:r>
      <w:r w:rsidRPr="009311DA">
        <w:rPr>
          <w:rFonts w:ascii="Arial" w:hAnsi="Arial" w:cs="Arial"/>
          <w:vertAlign w:val="superscript"/>
          <w:lang w:val="en-GB" w:eastAsia="x-none"/>
        </w:rPr>
        <w:footnoteReference w:id="16"/>
      </w:r>
      <w:r w:rsidR="00106A85" w:rsidRPr="007A0C25">
        <w:rPr>
          <w:rFonts w:ascii="Arial" w:hAnsi="Arial" w:cs="Arial"/>
          <w:lang w:eastAsia="x-none"/>
        </w:rPr>
        <w:t>, además lo es con la posterior creación de la modalidad de mínima cuantía establecida actualmente en el numeral 5 del artículo2 de la Ley 1150 de 2007, de acuerdo con las modificaciones realizadas por las leyes posteriores</w:t>
      </w:r>
      <w:r w:rsidRPr="009311DA">
        <w:rPr>
          <w:rFonts w:ascii="Arial" w:hAnsi="Arial" w:cs="Arial"/>
          <w:lang w:eastAsia="x-none"/>
        </w:rPr>
        <w:t xml:space="preserve">. </w:t>
      </w:r>
    </w:p>
    <w:p w14:paraId="704054E6" w14:textId="77777777" w:rsidR="003F6E3A" w:rsidRPr="009311DA" w:rsidRDefault="003F6E3A" w:rsidP="003B0EA4">
      <w:pPr>
        <w:spacing w:after="120" w:line="276" w:lineRule="auto"/>
        <w:ind w:firstLine="709"/>
        <w:jc w:val="both"/>
        <w:rPr>
          <w:rFonts w:ascii="Arial" w:hAnsi="Arial" w:cs="Arial"/>
          <w:lang w:val="es-MX" w:eastAsia="x-none"/>
        </w:rPr>
      </w:pPr>
      <w:r w:rsidRPr="009311DA">
        <w:rPr>
          <w:rFonts w:ascii="Arial" w:hAnsi="Arial" w:cs="Arial"/>
          <w:lang w:eastAsia="x-none"/>
        </w:rPr>
        <w:t xml:space="preserve">De esta forma, se ha depurado la noción de </w:t>
      </w:r>
      <w:r w:rsidRPr="009311DA">
        <w:rPr>
          <w:rFonts w:ascii="Arial" w:hAnsi="Arial" w:cs="Arial"/>
          <w:lang w:eastAsia="en-GB"/>
        </w:rPr>
        <w:t>«</w:t>
      </w:r>
      <w:r w:rsidRPr="009311DA">
        <w:rPr>
          <w:rFonts w:ascii="Arial" w:hAnsi="Arial" w:cs="Arial"/>
          <w:lang w:eastAsia="x-none"/>
        </w:rPr>
        <w:t>contratación directa</w:t>
      </w:r>
      <w:r w:rsidRPr="009311DA">
        <w:rPr>
          <w:rFonts w:ascii="Arial" w:hAnsi="Arial" w:cs="Arial"/>
          <w:lang w:eastAsia="en-GB"/>
        </w:rPr>
        <w:t>»</w:t>
      </w:r>
      <w:r w:rsidRPr="009311DA">
        <w:rPr>
          <w:rFonts w:ascii="Arial" w:hAnsi="Arial"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9311DA">
        <w:rPr>
          <w:rFonts w:ascii="Arial" w:hAnsi="Arial" w:cs="Arial"/>
          <w:vertAlign w:val="superscript"/>
          <w:lang w:val="en-GB" w:eastAsia="x-none"/>
        </w:rPr>
        <w:footnoteReference w:id="17"/>
      </w:r>
      <w:r w:rsidRPr="009311DA">
        <w:rPr>
          <w:rFonts w:ascii="Arial" w:hAnsi="Arial" w:cs="Arial"/>
          <w:lang w:eastAsia="x-none"/>
        </w:rPr>
        <w:t>, han establecido sistemas de contratación que implican convocatoria pública y participación de varios oferentes</w:t>
      </w:r>
      <w:r w:rsidRPr="009311DA">
        <w:rPr>
          <w:rFonts w:ascii="Arial" w:hAnsi="Arial" w:cs="Arial"/>
          <w:lang w:eastAsia="en-GB"/>
        </w:rPr>
        <w:t>»</w:t>
      </w:r>
      <w:r w:rsidRPr="009311DA">
        <w:rPr>
          <w:rFonts w:ascii="Arial" w:hAnsi="Arial" w:cs="Arial"/>
          <w:lang w:eastAsia="x-none"/>
        </w:rPr>
        <w:t xml:space="preserve">. </w:t>
      </w:r>
    </w:p>
    <w:p w14:paraId="6F05E80C" w14:textId="77777777" w:rsidR="003F6E3A" w:rsidRPr="009311DA" w:rsidRDefault="003F6E3A" w:rsidP="003B0EA4">
      <w:pPr>
        <w:spacing w:after="120" w:line="276" w:lineRule="auto"/>
        <w:ind w:firstLine="709"/>
        <w:jc w:val="both"/>
        <w:rPr>
          <w:rFonts w:ascii="Arial" w:hAnsi="Arial" w:cs="Arial"/>
          <w:bCs/>
          <w:lang w:val="es-MX" w:eastAsia="es-CO"/>
        </w:rPr>
      </w:pPr>
      <w:r w:rsidRPr="009311DA">
        <w:rPr>
          <w:rFonts w:ascii="Arial" w:hAnsi="Arial" w:cs="Arial"/>
          <w:bCs/>
          <w:lang w:val="es-MX" w:eastAsia="x-none"/>
        </w:rPr>
        <w:t>E</w:t>
      </w:r>
      <w:r w:rsidRPr="009311DA">
        <w:rPr>
          <w:rFonts w:ascii="Arial" w:hAnsi="Arial" w:cs="Arial"/>
          <w:lang w:eastAsia="x-none"/>
        </w:rPr>
        <w:t xml:space="preserve">n efecto, vale la pena mencionar que, </w:t>
      </w:r>
      <w:bookmarkStart w:id="28" w:name="_Hlk75636073"/>
      <w:r w:rsidRPr="009311DA">
        <w:rPr>
          <w:rFonts w:ascii="Arial" w:hAnsi="Arial"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8"/>
      <w:r w:rsidRPr="009311DA">
        <w:rPr>
          <w:rFonts w:ascii="Arial" w:hAnsi="Arial" w:cs="Arial"/>
          <w:vertAlign w:val="superscript"/>
          <w:lang w:eastAsia="x-none"/>
        </w:rPr>
        <w:footnoteReference w:id="18"/>
      </w:r>
      <w:r w:rsidRPr="009311DA">
        <w:rPr>
          <w:rFonts w:ascii="Arial" w:hAnsi="Arial" w:cs="Arial"/>
          <w:lang w:eastAsia="x-none"/>
        </w:rPr>
        <w:t xml:space="preserve">. </w:t>
      </w:r>
    </w:p>
    <w:p w14:paraId="50A41529" w14:textId="1E5EBD01" w:rsidR="003F6E3A" w:rsidRPr="009311DA" w:rsidRDefault="003F6E3A" w:rsidP="003B0EA4">
      <w:pPr>
        <w:spacing w:after="120" w:line="276" w:lineRule="auto"/>
        <w:ind w:firstLine="709"/>
        <w:jc w:val="both"/>
        <w:rPr>
          <w:rFonts w:ascii="Arial" w:hAnsi="Arial" w:cs="Arial"/>
          <w:bCs/>
          <w:lang w:val="es-MX" w:eastAsia="es-CO"/>
        </w:rPr>
      </w:pPr>
      <w:r w:rsidRPr="009311DA">
        <w:rPr>
          <w:rFonts w:ascii="Arial" w:hAnsi="Arial" w:cs="Arial"/>
          <w:bCs/>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00F57621">
        <w:rPr>
          <w:rFonts w:ascii="Arial" w:hAnsi="Arial" w:cs="Arial"/>
          <w:bCs/>
          <w:lang w:val="es-MX" w:eastAsia="es-CO"/>
        </w:rPr>
        <w:t xml:space="preserve"> -en adelante EGCAP-</w:t>
      </w:r>
      <w:r w:rsidRPr="009311DA">
        <w:rPr>
          <w:rFonts w:ascii="Arial" w:hAnsi="Arial" w:cs="Arial"/>
          <w:bCs/>
          <w:lang w:val="es-MX" w:eastAsia="es-CO"/>
        </w:rPr>
        <w:t>,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41CCA906" w14:textId="77777777" w:rsidR="003F6E3A" w:rsidRPr="009311DA" w:rsidRDefault="003F6E3A" w:rsidP="003B0EA4">
      <w:pPr>
        <w:spacing w:after="120" w:line="276" w:lineRule="auto"/>
        <w:ind w:firstLine="709"/>
        <w:jc w:val="both"/>
        <w:rPr>
          <w:rFonts w:ascii="Arial" w:hAnsi="Arial" w:cs="Arial"/>
          <w:bCs/>
          <w:lang w:val="es-MX" w:eastAsia="x-none"/>
        </w:rPr>
      </w:pPr>
      <w:bookmarkStart w:id="29" w:name="_Hlk78818796"/>
      <w:r w:rsidRPr="009311DA">
        <w:rPr>
          <w:rFonts w:ascii="Arial" w:hAnsi="Arial" w:cs="Arial"/>
          <w:bCs/>
          <w:lang w:val="es-MX" w:eastAsia="x-none"/>
        </w:rPr>
        <w:t xml:space="preserve"> Así las cosas, </w:t>
      </w:r>
      <w:bookmarkStart w:id="30" w:name="_Hlk99577798"/>
      <w:r w:rsidRPr="009311DA">
        <w:rPr>
          <w:rFonts w:ascii="Arial" w:hAnsi="Arial" w:cs="Arial"/>
          <w:bCs/>
          <w:lang w:val="es-MX" w:eastAsia="x-none"/>
        </w:rPr>
        <w:t xml:space="preserve">ha de entenderse que, para los efectos de la Ley de Garantías Electorales y, en particular, para la restricción temporal contenida en su artículo 33, «contratación directa» es cualquier sistema de selección o procedimiento de contratación utilizado por las entidades </w:t>
      </w:r>
      <w:r w:rsidRPr="009311DA">
        <w:rPr>
          <w:rFonts w:ascii="Arial" w:hAnsi="Arial" w:cs="Arial"/>
          <w:bCs/>
          <w:lang w:val="es-MX" w:eastAsia="x-none"/>
        </w:rPr>
        <w:lastRenderedPageBreak/>
        <w:t>estatales que no incluya la convocatoria pública en alguna de sus etapas, ni permita la participación de una pluralidad de oferentes</w:t>
      </w:r>
      <w:r w:rsidRPr="009311DA">
        <w:rPr>
          <w:rFonts w:ascii="Arial" w:hAnsi="Arial" w:cs="Arial"/>
          <w:vertAlign w:val="superscript"/>
          <w:lang w:eastAsia="x-none"/>
        </w:rPr>
        <w:footnoteReference w:id="19"/>
      </w:r>
      <w:r w:rsidRPr="009311DA">
        <w:rPr>
          <w:rFonts w:ascii="Arial" w:hAnsi="Arial" w:cs="Arial"/>
          <w:bCs/>
          <w:lang w:val="es-MX" w:eastAsia="x-none"/>
        </w:rPr>
        <w:t>.</w:t>
      </w:r>
      <w:r w:rsidRPr="009311DA">
        <w:rPr>
          <w:rFonts w:ascii="Arial" w:hAnsi="Arial" w:cs="Arial"/>
          <w:vertAlign w:val="superscript"/>
          <w:lang w:eastAsia="x-none"/>
        </w:rPr>
        <w:t xml:space="preserve"> </w:t>
      </w:r>
    </w:p>
    <w:bookmarkEnd w:id="29"/>
    <w:p w14:paraId="637D30EE" w14:textId="77777777" w:rsidR="003F6E3A" w:rsidRPr="009311DA" w:rsidRDefault="003F6E3A" w:rsidP="003B0EA4">
      <w:pPr>
        <w:spacing w:after="120" w:line="276" w:lineRule="auto"/>
        <w:ind w:firstLine="709"/>
        <w:jc w:val="both"/>
        <w:rPr>
          <w:rFonts w:ascii="Arial" w:hAnsi="Arial" w:cs="Arial"/>
          <w:lang w:eastAsia="x-none"/>
        </w:rPr>
      </w:pPr>
      <w:r w:rsidRPr="009311DA">
        <w:rPr>
          <w:rFonts w:ascii="Arial" w:hAnsi="Arial"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9311DA">
        <w:rPr>
          <w:rFonts w:ascii="Arial" w:hAnsi="Arial"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p w14:paraId="54CB0DED" w14:textId="7EE8F06B" w:rsidR="003F6E3A" w:rsidRPr="009311DA" w:rsidRDefault="003F6E3A" w:rsidP="003B0EA4">
      <w:pPr>
        <w:spacing w:after="120" w:line="276" w:lineRule="auto"/>
        <w:ind w:firstLine="709"/>
        <w:jc w:val="both"/>
        <w:rPr>
          <w:rFonts w:ascii="Arial" w:hAnsi="Arial" w:cs="Arial"/>
          <w:bCs/>
          <w:lang w:val="es-MX" w:eastAsia="x-none"/>
        </w:rPr>
      </w:pPr>
      <w:bookmarkStart w:id="31" w:name="_Hlk77237094"/>
      <w:bookmarkEnd w:id="30"/>
      <w:r w:rsidRPr="009311DA">
        <w:rPr>
          <w:rFonts w:ascii="Arial" w:hAnsi="Arial" w:cs="Arial"/>
          <w:bCs/>
          <w:lang w:val="es-MX" w:eastAsia="es-CO"/>
        </w:rPr>
        <w:t xml:space="preserve">Como en otras oportunidades lo ha manifestado esta Agencia, </w:t>
      </w:r>
      <w:r w:rsidR="00160D25">
        <w:rPr>
          <w:rFonts w:ascii="Arial" w:hAnsi="Arial" w:cs="Arial"/>
          <w:bCs/>
          <w:lang w:val="es-MX" w:eastAsia="es-CO"/>
        </w:rPr>
        <w:t xml:space="preserve">e incluso quedo consagrado en la Circular Externa Única de esta Entidad, </w:t>
      </w:r>
      <w:r w:rsidRPr="009311DA">
        <w:rPr>
          <w:rFonts w:ascii="Arial" w:hAnsi="Arial" w:cs="Arial"/>
          <w:bCs/>
          <w:lang w:val="es-MX" w:eastAsia="es-CO"/>
        </w:rPr>
        <w:t>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1"/>
    </w:p>
    <w:p w14:paraId="0CE2136B" w14:textId="77777777" w:rsidR="003F6E3A" w:rsidRPr="009311DA" w:rsidRDefault="003F6E3A" w:rsidP="003B0EA4">
      <w:pPr>
        <w:spacing w:after="120" w:line="276" w:lineRule="auto"/>
        <w:ind w:firstLine="709"/>
        <w:jc w:val="both"/>
        <w:rPr>
          <w:rFonts w:ascii="Arial" w:hAnsi="Arial" w:cs="Arial"/>
          <w:bCs/>
          <w:lang w:val="es-MX" w:eastAsia="es-CO"/>
        </w:rPr>
      </w:pPr>
      <w:r w:rsidRPr="009311DA">
        <w:rPr>
          <w:rFonts w:ascii="Arial" w:hAnsi="Arial" w:cs="Arial"/>
          <w:bCs/>
          <w:lang w:val="es-MX" w:eastAsia="x-none"/>
        </w:rPr>
        <w:t xml:space="preserve">De otro lado, </w:t>
      </w:r>
      <w:bookmarkStart w:id="32" w:name="_Hlk99577887"/>
      <w:r w:rsidRPr="009311DA">
        <w:rPr>
          <w:rFonts w:ascii="Arial" w:hAnsi="Arial" w:cs="Arial"/>
          <w:bCs/>
          <w:lang w:val="es-MX" w:eastAsia="x-none"/>
        </w:rPr>
        <w:t>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9311DA">
        <w:rPr>
          <w:rFonts w:ascii="Arial" w:hAnsi="Arial"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32"/>
    </w:p>
    <w:p w14:paraId="580FACF0" w14:textId="77777777" w:rsidR="003F6E3A" w:rsidRDefault="003F6E3A" w:rsidP="003B0EA4">
      <w:pPr>
        <w:spacing w:after="0" w:line="276" w:lineRule="auto"/>
        <w:ind w:firstLine="709"/>
        <w:jc w:val="both"/>
        <w:rPr>
          <w:rFonts w:ascii="Arial" w:hAnsi="Arial" w:cs="Arial"/>
          <w:bCs/>
          <w:lang w:val="es-MX" w:eastAsia="x-none"/>
        </w:rPr>
      </w:pPr>
      <w:r w:rsidRPr="009311DA">
        <w:rPr>
          <w:rFonts w:ascii="Arial" w:hAnsi="Arial" w:cs="Arial"/>
          <w:bCs/>
          <w:lang w:val="es-MX" w:eastAsia="x-none"/>
        </w:rPr>
        <w:t>En esta labor es importante tener en cuenta, como lo anotó la Corte Constitucional, en Sentencia C-1153 de noviembre 11 de 2005</w:t>
      </w:r>
      <w:r w:rsidRPr="009311DA">
        <w:rPr>
          <w:rFonts w:ascii="Arial" w:eastAsia="Calibri" w:hAnsi="Arial" w:cs="Arial"/>
          <w:lang w:val="es-MX"/>
        </w:rPr>
        <w:t>,</w:t>
      </w:r>
      <w:r w:rsidRPr="009311DA">
        <w:rPr>
          <w:rFonts w:ascii="Arial" w:hAnsi="Arial" w:cs="Arial"/>
          <w:bCs/>
          <w:lang w:val="es-MX" w:eastAsia="x-none"/>
        </w:rPr>
        <w:t xml:space="preserve"> </w:t>
      </w:r>
      <w:bookmarkStart w:id="33" w:name="_Hlk74309042"/>
      <w:r w:rsidRPr="009311DA">
        <w:rPr>
          <w:rFonts w:ascii="Arial" w:hAnsi="Arial" w:cs="Arial"/>
          <w:bCs/>
          <w:lang w:val="es-MX" w:eastAsia="x-none"/>
        </w:rPr>
        <w:t>que «</w:t>
      </w:r>
      <w:bookmarkEnd w:id="33"/>
      <w:r w:rsidRPr="009311DA">
        <w:rPr>
          <w:rFonts w:ascii="Arial" w:hAnsi="Arial" w:cs="Arial"/>
          <w:bCs/>
          <w:lang w:val="es-MX" w:eastAsia="x-none"/>
        </w:rPr>
        <w:t xml:space="preserve">si bien la limitación garantiza la igualdad de condiciones, también es necesario que tal limitación que pretende la igualdad </w:t>
      </w:r>
      <w:bookmarkStart w:id="34" w:name="_Hlk75768308"/>
      <w:r w:rsidRPr="009311DA">
        <w:rPr>
          <w:rFonts w:ascii="Arial" w:hAnsi="Arial" w:cs="Arial"/>
          <w:bCs/>
          <w:lang w:val="es-MX" w:eastAsia="x-none"/>
        </w:rPr>
        <w:t>no termine yendo en detrimento de intereses públicos, cuya garantía está en cabeza del ejecutivo, como son los inmersos en las excepciones para la prohibición de contratación</w:t>
      </w:r>
      <w:bookmarkStart w:id="35" w:name="_Hlk74309060"/>
      <w:r w:rsidRPr="009311DA">
        <w:rPr>
          <w:rFonts w:ascii="Arial" w:hAnsi="Arial" w:cs="Arial"/>
          <w:bCs/>
          <w:lang w:val="es-MX" w:eastAsia="x-none"/>
        </w:rPr>
        <w:t>»</w:t>
      </w:r>
      <w:bookmarkEnd w:id="35"/>
      <w:r w:rsidRPr="009311DA">
        <w:rPr>
          <w:rFonts w:ascii="Arial" w:eastAsia="Calibri" w:hAnsi="Arial" w:cs="Arial"/>
          <w:vertAlign w:val="superscript"/>
          <w:lang w:val="es-MX"/>
        </w:rPr>
        <w:footnoteReference w:id="20"/>
      </w:r>
      <w:r w:rsidRPr="009311DA">
        <w:rPr>
          <w:rFonts w:ascii="Arial" w:hAnsi="Arial" w:cs="Arial"/>
          <w:bCs/>
          <w:lang w:val="es-MX" w:eastAsia="x-none"/>
        </w:rPr>
        <w:t xml:space="preserve">. De ahí que la Corte haya hecho particular énfasis en que las excepciones a la restricción protegen diversos tipos de urgencias de defensa, salud, educación, infraestructura vial y de servicios públicos y ecológicas, </w:t>
      </w:r>
      <w:r w:rsidRPr="009311DA">
        <w:rPr>
          <w:rFonts w:ascii="Arial" w:hAnsi="Arial" w:cs="Arial"/>
          <w:bCs/>
          <w:lang w:val="es-MX" w:eastAsia="x-none"/>
        </w:rPr>
        <w:lastRenderedPageBreak/>
        <w:t>que tienden a no limitar desproporcionadamente la acción del Estado en el cumplimiento de sus fines, en procura de la igualdad entre los candidatos como garantía electoral.</w:t>
      </w:r>
      <w:bookmarkEnd w:id="34"/>
    </w:p>
    <w:p w14:paraId="228D2198" w14:textId="77777777" w:rsidR="003B0EA4" w:rsidRPr="002A6732" w:rsidRDefault="003B0EA4" w:rsidP="00500AD4">
      <w:pPr>
        <w:spacing w:after="0" w:line="276" w:lineRule="auto"/>
        <w:ind w:firstLine="709"/>
        <w:contextualSpacing/>
        <w:jc w:val="both"/>
        <w:rPr>
          <w:rFonts w:ascii="Arial" w:hAnsi="Arial" w:cs="Arial"/>
          <w:bCs/>
          <w:lang w:val="es-MX" w:eastAsia="x-none"/>
        </w:rPr>
      </w:pPr>
    </w:p>
    <w:p w14:paraId="5B676363" w14:textId="0F7EC206" w:rsidR="003F6E3A" w:rsidRDefault="003F6E3A" w:rsidP="002A6732">
      <w:pPr>
        <w:spacing w:after="0" w:line="276" w:lineRule="auto"/>
        <w:contextualSpacing/>
        <w:jc w:val="both"/>
        <w:rPr>
          <w:rFonts w:ascii="Arial" w:hAnsi="Arial" w:cs="Arial"/>
          <w:b/>
          <w:bCs/>
          <w:lang w:val="es-MX" w:eastAsia="es-CO"/>
        </w:rPr>
      </w:pPr>
      <w:r w:rsidRPr="002A6732">
        <w:rPr>
          <w:rFonts w:ascii="Arial" w:hAnsi="Arial" w:cs="Arial"/>
          <w:b/>
          <w:lang w:val="es-MX" w:eastAsia="x-none"/>
        </w:rPr>
        <w:t xml:space="preserve">2.3.  </w:t>
      </w:r>
      <w:bookmarkStart w:id="36" w:name="_Hlk77153296"/>
      <w:bookmarkStart w:id="37" w:name="_Hlk75784645"/>
      <w:bookmarkEnd w:id="17"/>
      <w:r w:rsidRPr="002A6732">
        <w:rPr>
          <w:rFonts w:ascii="Arial" w:hAnsi="Arial" w:cs="Arial"/>
          <w:b/>
          <w:bCs/>
          <w:lang w:val="es-MX" w:eastAsia="es-CO"/>
        </w:rPr>
        <w:t xml:space="preserve">Restricciones </w:t>
      </w:r>
      <w:bookmarkStart w:id="38" w:name="_Hlk75643279"/>
      <w:r w:rsidRPr="002A6732">
        <w:rPr>
          <w:rFonts w:ascii="Arial" w:hAnsi="Arial" w:cs="Arial"/>
          <w:b/>
          <w:bCs/>
          <w:lang w:val="es-MX" w:eastAsia="es-CO"/>
        </w:rPr>
        <w:t>para la celebración de contratos y convenios interadministrativos en los comicios de cargos de elección popular</w:t>
      </w:r>
    </w:p>
    <w:p w14:paraId="0A7D52E2" w14:textId="77777777" w:rsidR="002A6732" w:rsidRPr="002A6732" w:rsidRDefault="002A6732" w:rsidP="00500AD4">
      <w:pPr>
        <w:spacing w:after="0" w:line="276" w:lineRule="auto"/>
        <w:contextualSpacing/>
        <w:jc w:val="both"/>
        <w:rPr>
          <w:rFonts w:ascii="Arial" w:hAnsi="Arial" w:cs="Arial"/>
          <w:b/>
          <w:bCs/>
          <w:lang w:val="es-MX"/>
        </w:rPr>
      </w:pPr>
    </w:p>
    <w:p w14:paraId="285CA90E" w14:textId="77777777" w:rsidR="003F6E3A" w:rsidRPr="00C84F90" w:rsidRDefault="003F6E3A" w:rsidP="004E54DD">
      <w:pPr>
        <w:tabs>
          <w:tab w:val="left" w:pos="426"/>
        </w:tabs>
        <w:spacing w:after="120" w:line="276" w:lineRule="auto"/>
        <w:jc w:val="both"/>
        <w:rPr>
          <w:rFonts w:ascii="Arial" w:eastAsia="Calibri" w:hAnsi="Arial" w:cs="Arial"/>
          <w:bCs/>
        </w:rPr>
      </w:pPr>
      <w:bookmarkStart w:id="39" w:name="_Hlk101885981"/>
      <w:bookmarkEnd w:id="36"/>
      <w:bookmarkEnd w:id="38"/>
      <w:r w:rsidRPr="00C84F90">
        <w:rPr>
          <w:rFonts w:ascii="Arial" w:eastAsia="Calibri" w:hAnsi="Arial" w:cs="Arial"/>
          <w:bCs/>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C84F90">
        <w:rPr>
          <w:rFonts w:ascii="Arial" w:hAnsi="Arial" w:cs="Arial"/>
          <w:bCs/>
          <w:iCs/>
          <w:lang w:val="es-MX"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39"/>
      <w:r w:rsidRPr="00C84F90">
        <w:rPr>
          <w:rFonts w:ascii="Arial" w:hAnsi="Arial" w:cs="Arial"/>
          <w:bCs/>
          <w:iCs/>
          <w:vertAlign w:val="superscript"/>
          <w:lang w:val="es-MX" w:eastAsia="x-none"/>
        </w:rPr>
        <w:footnoteReference w:id="21"/>
      </w:r>
      <w:r w:rsidRPr="00C84F90">
        <w:rPr>
          <w:rFonts w:ascii="Arial" w:hAnsi="Arial" w:cs="Arial"/>
          <w:bCs/>
          <w:iCs/>
          <w:lang w:val="es-MX" w:eastAsia="x-none"/>
        </w:rPr>
        <w:t>.</w:t>
      </w:r>
      <w:r w:rsidRPr="00C84F90">
        <w:rPr>
          <w:rFonts w:ascii="Arial" w:hAnsi="Arial" w:cs="Arial"/>
          <w:lang w:val="es-MX"/>
        </w:rPr>
        <w:t xml:space="preserve"> </w:t>
      </w:r>
    </w:p>
    <w:p w14:paraId="05CE3AA2" w14:textId="77777777" w:rsidR="003F6E3A" w:rsidRPr="00C84F90" w:rsidRDefault="003F6E3A" w:rsidP="004E54DD">
      <w:pPr>
        <w:widowControl w:val="0"/>
        <w:autoSpaceDE w:val="0"/>
        <w:autoSpaceDN w:val="0"/>
        <w:spacing w:after="120" w:line="276" w:lineRule="auto"/>
        <w:ind w:firstLine="707"/>
        <w:jc w:val="both"/>
        <w:rPr>
          <w:rFonts w:ascii="Arial" w:eastAsia="Arial" w:hAnsi="Arial" w:cs="Arial"/>
          <w:lang w:val="es-ES" w:eastAsia="es-ES" w:bidi="es-ES"/>
        </w:rPr>
      </w:pPr>
      <w:r w:rsidRPr="00C84F90">
        <w:rPr>
          <w:rFonts w:ascii="Arial" w:eastAsia="Calibri" w:hAnsi="Arial" w:cs="Arial"/>
          <w:bCs/>
          <w:lang w:eastAsia="es-ES" w:bidi="es-ES"/>
        </w:rPr>
        <w:t xml:space="preserve">Ahora bien, </w:t>
      </w:r>
      <w:bookmarkStart w:id="40" w:name="_Hlk78820161"/>
      <w:r w:rsidRPr="00C84F90">
        <w:rPr>
          <w:rFonts w:ascii="Arial" w:eastAsia="Calibri" w:hAnsi="Arial" w:cs="Arial"/>
          <w:bCs/>
          <w:lang w:eastAsia="es-ES" w:bidi="es-ES"/>
        </w:rPr>
        <w:t xml:space="preserve">para determinar el alcance de la prohibición consagrada por la Ley de Garantías Electorales, conviene precisar la tipología de convenios o contratos interadministrativos. </w:t>
      </w:r>
      <w:r w:rsidRPr="00C84F90">
        <w:rPr>
          <w:rFonts w:ascii="Arial" w:eastAsia="Arial" w:hAnsi="Arial" w:cs="Arial"/>
          <w:lang w:val="es-ES" w:eastAsia="es-ES" w:bidi="es-ES"/>
        </w:rPr>
        <w:t>Aunque la ley no la definió ni desarrolló, el Decreto 1082 de 2015 califica a los convenios o contratos interadministrativos como aquella contratación entre entidades estatales</w:t>
      </w:r>
      <w:r w:rsidRPr="00C84F90">
        <w:rPr>
          <w:rFonts w:ascii="Arial" w:eastAsia="Arial" w:hAnsi="Arial" w:cs="Arial"/>
          <w:vertAlign w:val="superscript"/>
          <w:lang w:val="es-ES" w:eastAsia="es-ES" w:bidi="es-ES"/>
        </w:rPr>
        <w:footnoteReference w:id="22"/>
      </w:r>
      <w:r w:rsidRPr="00C84F90">
        <w:rPr>
          <w:rFonts w:ascii="Arial" w:eastAsia="Arial" w:hAnsi="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C84F90">
        <w:rPr>
          <w:rFonts w:ascii="Arial" w:eastAsia="Arial" w:hAnsi="Arial" w:cs="Arial"/>
          <w:spacing w:val="-6"/>
          <w:lang w:val="es-ES" w:eastAsia="es-ES" w:bidi="es-ES"/>
        </w:rPr>
        <w:t xml:space="preserve"> </w:t>
      </w:r>
      <w:r w:rsidRPr="00C84F90">
        <w:rPr>
          <w:rFonts w:ascii="Arial" w:eastAsia="Arial" w:hAnsi="Arial" w:cs="Arial"/>
          <w:lang w:val="es-ES" w:eastAsia="es-ES" w:bidi="es-ES"/>
        </w:rPr>
        <w:t>estatales.</w:t>
      </w:r>
    </w:p>
    <w:p w14:paraId="53AC0356" w14:textId="77777777" w:rsidR="003F6E3A" w:rsidRPr="00C84F90" w:rsidRDefault="003F6E3A" w:rsidP="00500AD4">
      <w:pPr>
        <w:widowControl w:val="0"/>
        <w:autoSpaceDE w:val="0"/>
        <w:autoSpaceDN w:val="0"/>
        <w:spacing w:after="120" w:line="276" w:lineRule="auto"/>
        <w:ind w:firstLine="707"/>
        <w:jc w:val="both"/>
        <w:rPr>
          <w:rFonts w:ascii="Arial" w:eastAsia="Arial" w:hAnsi="Arial" w:cs="Arial"/>
          <w:lang w:val="es-ES" w:eastAsia="es-ES" w:bidi="es-ES"/>
        </w:rPr>
      </w:pPr>
      <w:bookmarkStart w:id="41" w:name="_Hlk78820654"/>
      <w:bookmarkEnd w:id="40"/>
      <w:r w:rsidRPr="00C84F90">
        <w:rPr>
          <w:rFonts w:ascii="Arial" w:eastAsia="Arial" w:hAnsi="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41"/>
    <w:p w14:paraId="0908D3B6" w14:textId="77777777" w:rsidR="003F6E3A" w:rsidRPr="00C84F90" w:rsidRDefault="003F6E3A" w:rsidP="00500AD4">
      <w:pPr>
        <w:widowControl w:val="0"/>
        <w:autoSpaceDE w:val="0"/>
        <w:autoSpaceDN w:val="0"/>
        <w:spacing w:after="120" w:line="276" w:lineRule="auto"/>
        <w:ind w:firstLine="707"/>
        <w:jc w:val="both"/>
        <w:rPr>
          <w:rFonts w:ascii="Arial" w:eastAsia="Arial" w:hAnsi="Arial" w:cs="Arial"/>
          <w:lang w:val="es-ES" w:eastAsia="es-ES" w:bidi="es-ES"/>
        </w:rPr>
      </w:pPr>
      <w:r w:rsidRPr="00C84F90">
        <w:rPr>
          <w:rFonts w:ascii="Arial" w:eastAsia="Arial" w:hAnsi="Arial" w:cs="Arial"/>
          <w:lang w:val="es-ES" w:eastAsia="es-ES" w:bidi="es-ES"/>
        </w:rPr>
        <w:t xml:space="preserve">Un contrato o convenio interadministrativo no está determinado por la modalidad de </w:t>
      </w:r>
      <w:r w:rsidRPr="00C84F90">
        <w:rPr>
          <w:rFonts w:ascii="Arial" w:eastAsia="Arial" w:hAnsi="Arial" w:cs="Arial"/>
          <w:lang w:val="es-ES" w:eastAsia="es-ES" w:bidi="es-ES"/>
        </w:rPr>
        <w:lastRenderedPageBreak/>
        <w:t>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C84F90">
        <w:rPr>
          <w:rFonts w:ascii="Arial" w:eastAsia="Arial" w:hAnsi="Arial" w:cs="Arial"/>
          <w:vertAlign w:val="superscript"/>
          <w:lang w:val="es-ES" w:eastAsia="es-ES" w:bidi="es-ES"/>
        </w:rPr>
        <w:footnoteReference w:id="23"/>
      </w:r>
      <w:r w:rsidRPr="00C84F90">
        <w:rPr>
          <w:rFonts w:ascii="Arial" w:eastAsia="Arial" w:hAnsi="Arial" w:cs="Arial"/>
          <w:lang w:val="es-ES" w:eastAsia="es-ES" w:bidi="es-ES"/>
        </w:rPr>
        <w:t>. Nótese que, en este caso, lo que cambia es la modalidad de selección y no la naturaleza de contrato</w:t>
      </w:r>
      <w:r w:rsidRPr="00C84F90">
        <w:rPr>
          <w:rFonts w:ascii="Arial" w:eastAsia="Arial" w:hAnsi="Arial" w:cs="Arial"/>
          <w:spacing w:val="-18"/>
          <w:lang w:val="es-ES" w:eastAsia="es-ES" w:bidi="es-ES"/>
        </w:rPr>
        <w:t xml:space="preserve"> </w:t>
      </w:r>
      <w:r w:rsidRPr="00C84F90">
        <w:rPr>
          <w:rFonts w:ascii="Arial" w:eastAsia="Arial" w:hAnsi="Arial" w:cs="Arial"/>
          <w:lang w:val="es-ES" w:eastAsia="es-ES" w:bidi="es-ES"/>
        </w:rPr>
        <w:t>interadministrativo.</w:t>
      </w:r>
    </w:p>
    <w:p w14:paraId="32AE9BF3" w14:textId="77777777" w:rsidR="003F6E3A" w:rsidRDefault="003F6E3A" w:rsidP="00500AD4">
      <w:pPr>
        <w:widowControl w:val="0"/>
        <w:autoSpaceDE w:val="0"/>
        <w:autoSpaceDN w:val="0"/>
        <w:spacing w:after="0" w:line="276" w:lineRule="auto"/>
        <w:ind w:firstLine="709"/>
        <w:contextualSpacing/>
        <w:jc w:val="both"/>
        <w:rPr>
          <w:rFonts w:ascii="Arial" w:eastAsia="Arial" w:hAnsi="Arial" w:cs="Arial"/>
          <w:lang w:val="es-ES" w:eastAsia="es-ES" w:bidi="es-ES"/>
        </w:rPr>
      </w:pPr>
      <w:r w:rsidRPr="00C84F90">
        <w:rPr>
          <w:rFonts w:ascii="Arial" w:eastAsia="Arial" w:hAnsi="Arial"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C84F90">
        <w:rPr>
          <w:rFonts w:ascii="Arial" w:eastAsia="Arial" w:hAnsi="Arial" w:cs="Arial"/>
          <w:spacing w:val="-13"/>
          <w:lang w:val="es-ES" w:eastAsia="es-ES" w:bidi="es-ES"/>
        </w:rPr>
        <w:t xml:space="preserve"> </w:t>
      </w:r>
      <w:r w:rsidRPr="00C84F90">
        <w:rPr>
          <w:rFonts w:ascii="Arial" w:eastAsia="Arial" w:hAnsi="Arial" w:cs="Arial"/>
          <w:lang w:val="es-ES" w:eastAsia="es-ES" w:bidi="es-ES"/>
        </w:rPr>
        <w:t>que:</w:t>
      </w:r>
    </w:p>
    <w:p w14:paraId="4FBDE1C7" w14:textId="77777777" w:rsidR="004E54DD" w:rsidRPr="00C84F90" w:rsidRDefault="004E54DD" w:rsidP="00500AD4">
      <w:pPr>
        <w:widowControl w:val="0"/>
        <w:autoSpaceDE w:val="0"/>
        <w:autoSpaceDN w:val="0"/>
        <w:spacing w:after="0" w:line="276" w:lineRule="auto"/>
        <w:ind w:firstLine="709"/>
        <w:contextualSpacing/>
        <w:jc w:val="both"/>
        <w:rPr>
          <w:rFonts w:ascii="Arial" w:eastAsia="Arial" w:hAnsi="Arial" w:cs="Arial"/>
          <w:lang w:val="es-ES" w:eastAsia="es-ES" w:bidi="es-ES"/>
        </w:rPr>
      </w:pPr>
    </w:p>
    <w:p w14:paraId="21DB3700" w14:textId="3314AC10" w:rsidR="003F6E3A" w:rsidRDefault="004E54DD" w:rsidP="004E54DD">
      <w:pPr>
        <w:spacing w:after="0"/>
        <w:ind w:left="709" w:right="709"/>
        <w:contextualSpacing/>
        <w:jc w:val="both"/>
        <w:rPr>
          <w:rFonts w:ascii="Arial" w:hAnsi="Arial" w:cs="Arial"/>
          <w:sz w:val="21"/>
          <w:lang w:val="es-MX"/>
        </w:rPr>
      </w:pPr>
      <w:r w:rsidRPr="0021304B">
        <w:rPr>
          <w:rFonts w:ascii="Arial" w:eastAsia="Calibri" w:hAnsi="Arial" w:cs="Arial"/>
          <w:bCs/>
          <w:sz w:val="21"/>
          <w:szCs w:val="21"/>
          <w:lang w:val="es-MX"/>
        </w:rPr>
        <w:t>«</w:t>
      </w:r>
      <w:r w:rsidR="003F6E3A" w:rsidRPr="00C84F90">
        <w:rPr>
          <w:rFonts w:ascii="Arial" w:hAnsi="Arial"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21304B">
        <w:rPr>
          <w:rFonts w:ascii="Arial" w:eastAsia="Calibri" w:hAnsi="Arial" w:cs="Arial"/>
          <w:sz w:val="21"/>
          <w:szCs w:val="21"/>
          <w:lang w:val="es-MX"/>
        </w:rPr>
        <w:t>»</w:t>
      </w:r>
      <w:r w:rsidR="003F6E3A" w:rsidRPr="00C84F90">
        <w:rPr>
          <w:rFonts w:ascii="Arial" w:hAnsi="Arial" w:cs="Arial"/>
          <w:sz w:val="21"/>
          <w:vertAlign w:val="superscript"/>
          <w:lang w:val="es-MX"/>
        </w:rPr>
        <w:footnoteReference w:id="24"/>
      </w:r>
      <w:r w:rsidR="003F6E3A" w:rsidRPr="00C84F90">
        <w:rPr>
          <w:rFonts w:ascii="Arial" w:hAnsi="Arial" w:cs="Arial"/>
          <w:sz w:val="21"/>
          <w:lang w:val="es-MX"/>
        </w:rPr>
        <w:t>.</w:t>
      </w:r>
    </w:p>
    <w:p w14:paraId="796F0E95" w14:textId="77777777" w:rsidR="004E54DD" w:rsidRPr="00500AD4" w:rsidRDefault="004E54DD" w:rsidP="00500AD4">
      <w:pPr>
        <w:spacing w:after="0" w:line="276" w:lineRule="auto"/>
        <w:ind w:left="709" w:right="709"/>
        <w:contextualSpacing/>
        <w:jc w:val="both"/>
        <w:rPr>
          <w:rFonts w:ascii="Arial" w:hAnsi="Arial" w:cs="Arial"/>
          <w:lang w:val="es-MX"/>
        </w:rPr>
      </w:pPr>
    </w:p>
    <w:p w14:paraId="479149C9" w14:textId="161B27DC" w:rsidR="003F6E3A" w:rsidRPr="00C84F90" w:rsidRDefault="003F6E3A" w:rsidP="00B37155">
      <w:pPr>
        <w:widowControl w:val="0"/>
        <w:autoSpaceDE w:val="0"/>
        <w:autoSpaceDN w:val="0"/>
        <w:spacing w:after="120" w:line="276" w:lineRule="auto"/>
        <w:ind w:firstLine="707"/>
        <w:jc w:val="both"/>
        <w:rPr>
          <w:rFonts w:ascii="Arial" w:eastAsia="Arial" w:hAnsi="Arial" w:cs="Arial"/>
          <w:lang w:val="es-ES" w:eastAsia="es-ES" w:bidi="es-ES"/>
        </w:rPr>
      </w:pPr>
      <w:r w:rsidRPr="00C84F90">
        <w:rPr>
          <w:rFonts w:ascii="Arial" w:eastAsia="Arial" w:hAnsi="Arial" w:cs="Arial"/>
          <w:lang w:val="es-ES" w:eastAsia="es-ES" w:bidi="es-ES"/>
        </w:rPr>
        <w:lastRenderedPageBreak/>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EGC</w:t>
      </w:r>
      <w:r w:rsidR="00411EEE">
        <w:rPr>
          <w:rFonts w:ascii="Arial" w:eastAsia="Arial" w:hAnsi="Arial" w:cs="Arial"/>
          <w:lang w:val="es-ES" w:eastAsia="es-ES" w:bidi="es-ES"/>
        </w:rPr>
        <w:t xml:space="preserve">AP </w:t>
      </w:r>
      <w:r w:rsidRPr="00C84F90">
        <w:rPr>
          <w:rFonts w:ascii="Arial" w:eastAsia="Arial" w:hAnsi="Arial" w:cs="Arial"/>
          <w:lang w:val="es-ES" w:eastAsia="es-ES" w:bidi="es-ES"/>
        </w:rPr>
        <w:t>establece la contratación directa como la modalidad de selección aplicable, por regla general, a la celebración de los contratos interadministrativos.</w:t>
      </w:r>
    </w:p>
    <w:p w14:paraId="2BC87791" w14:textId="77777777" w:rsidR="003F6E3A" w:rsidRPr="00C84F90" w:rsidRDefault="003F6E3A" w:rsidP="00500AD4">
      <w:pPr>
        <w:widowControl w:val="0"/>
        <w:autoSpaceDE w:val="0"/>
        <w:autoSpaceDN w:val="0"/>
        <w:spacing w:after="120" w:line="276" w:lineRule="auto"/>
        <w:ind w:firstLine="707"/>
        <w:jc w:val="both"/>
        <w:rPr>
          <w:rFonts w:ascii="Arial" w:eastAsia="Arial" w:hAnsi="Arial" w:cs="Arial"/>
          <w:lang w:val="es-ES" w:eastAsia="es-ES" w:bidi="es-ES"/>
        </w:rPr>
      </w:pPr>
      <w:r w:rsidRPr="00C84F90">
        <w:rPr>
          <w:rFonts w:ascii="Arial" w:eastAsia="Arial" w:hAnsi="Arial"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C84F90">
        <w:rPr>
          <w:rFonts w:ascii="Arial" w:eastAsia="Arial" w:hAnsi="Arial" w:cs="Arial"/>
          <w:spacing w:val="-3"/>
          <w:lang w:val="es-ES" w:eastAsia="es-ES" w:bidi="es-ES"/>
        </w:rPr>
        <w:t xml:space="preserve"> </w:t>
      </w:r>
      <w:r w:rsidRPr="00C84F90">
        <w:rPr>
          <w:rFonts w:ascii="Arial" w:eastAsia="Arial" w:hAnsi="Arial" w:cs="Arial"/>
          <w:lang w:val="es-ES" w:eastAsia="es-ES" w:bidi="es-ES"/>
        </w:rPr>
        <w:t>estatales.</w:t>
      </w:r>
    </w:p>
    <w:p w14:paraId="449FBD75" w14:textId="77777777" w:rsidR="003F6E3A" w:rsidRPr="00C84F90" w:rsidRDefault="003F6E3A" w:rsidP="00500AD4">
      <w:pPr>
        <w:widowControl w:val="0"/>
        <w:autoSpaceDE w:val="0"/>
        <w:autoSpaceDN w:val="0"/>
        <w:spacing w:after="120" w:line="276" w:lineRule="auto"/>
        <w:ind w:firstLine="709"/>
        <w:jc w:val="both"/>
        <w:rPr>
          <w:rFonts w:ascii="Arial" w:eastAsia="Arial" w:hAnsi="Arial" w:cs="Arial"/>
          <w:lang w:val="es-ES" w:eastAsia="es-ES" w:bidi="es-ES"/>
        </w:rPr>
      </w:pPr>
      <w:r w:rsidRPr="00C84F90">
        <w:rPr>
          <w:rFonts w:ascii="Arial" w:eastAsia="Arial" w:hAnsi="Arial" w:cs="Arial"/>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C84F90">
        <w:rPr>
          <w:rFonts w:ascii="Arial" w:eastAsia="Arial" w:hAnsi="Arial" w:cs="Arial"/>
          <w:spacing w:val="-4"/>
          <w:lang w:val="es-ES" w:eastAsia="es-ES" w:bidi="es-ES"/>
        </w:rPr>
        <w:t xml:space="preserve"> </w:t>
      </w:r>
      <w:r w:rsidRPr="00C84F90">
        <w:rPr>
          <w:rFonts w:ascii="Arial" w:eastAsia="Arial" w:hAnsi="Arial" w:cs="Arial"/>
          <w:lang w:val="es-ES" w:eastAsia="es-ES" w:bidi="es-ES"/>
        </w:rPr>
        <w:t>estatales.</w:t>
      </w:r>
    </w:p>
    <w:p w14:paraId="3F340BCB" w14:textId="77777777" w:rsidR="003F6E3A" w:rsidRPr="00C84F90" w:rsidRDefault="003F6E3A" w:rsidP="00500AD4">
      <w:pPr>
        <w:widowControl w:val="0"/>
        <w:autoSpaceDE w:val="0"/>
        <w:autoSpaceDN w:val="0"/>
        <w:spacing w:after="120" w:line="276" w:lineRule="auto"/>
        <w:ind w:firstLine="708"/>
        <w:jc w:val="both"/>
        <w:rPr>
          <w:rFonts w:ascii="Arial" w:eastAsia="Arial" w:hAnsi="Arial" w:cs="Arial"/>
          <w:lang w:val="es-ES" w:eastAsia="es-ES" w:bidi="es-ES"/>
        </w:rPr>
      </w:pPr>
      <w:r w:rsidRPr="00C84F90">
        <w:rPr>
          <w:rFonts w:ascii="Arial" w:eastAsia="Arial" w:hAnsi="Arial" w:cs="Arial"/>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4AB53FDD" w14:textId="613300FB" w:rsidR="003F6E3A" w:rsidRPr="00C84F90" w:rsidRDefault="003F6E3A" w:rsidP="00500AD4">
      <w:pPr>
        <w:widowControl w:val="0"/>
        <w:autoSpaceDE w:val="0"/>
        <w:autoSpaceDN w:val="0"/>
        <w:spacing w:after="120" w:line="276" w:lineRule="auto"/>
        <w:ind w:firstLine="708"/>
        <w:jc w:val="both"/>
        <w:rPr>
          <w:rFonts w:ascii="Arial" w:eastAsia="Calibri" w:hAnsi="Arial" w:cs="Arial"/>
          <w:bCs/>
          <w:lang w:eastAsia="es-ES" w:bidi="es-ES"/>
        </w:rPr>
      </w:pPr>
      <w:r w:rsidRPr="00C84F90">
        <w:rPr>
          <w:rFonts w:ascii="Arial" w:eastAsia="Arial" w:hAnsi="Arial" w:cs="Arial"/>
          <w:lang w:val="es-ES" w:eastAsia="es-ES" w:bidi="es-ES"/>
        </w:rPr>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w:t>
      </w:r>
      <w:r w:rsidRPr="00C84F90">
        <w:rPr>
          <w:rFonts w:ascii="Arial" w:eastAsia="Arial" w:hAnsi="Arial" w:cs="Arial"/>
          <w:lang w:val="es-ES" w:eastAsia="es-ES" w:bidi="es-ES"/>
        </w:rPr>
        <w:lastRenderedPageBreak/>
        <w:t>convenios interadministrativos […]», esto no significa que dichos acuerdos estén exceptuados del EGCAP</w:t>
      </w:r>
      <w:r w:rsidR="00B37155">
        <w:rPr>
          <w:rFonts w:ascii="Arial" w:eastAsia="Arial" w:hAnsi="Arial" w:cs="Arial"/>
          <w:lang w:val="es-ES" w:eastAsia="es-ES" w:bidi="es-ES"/>
        </w:rPr>
        <w:t xml:space="preserve"> </w:t>
      </w:r>
      <w:r w:rsidRPr="00C84F90">
        <w:rPr>
          <w:rFonts w:ascii="Arial" w:eastAsia="Arial" w:hAnsi="Arial" w:cs="Arial"/>
          <w:lang w:val="es-ES" w:eastAsia="es-ES" w:bidi="es-ES"/>
        </w:rPr>
        <w:t>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C84F90">
        <w:rPr>
          <w:rFonts w:ascii="Arial" w:eastAsia="Arial" w:hAnsi="Arial" w:cs="Arial"/>
          <w:spacing w:val="-4"/>
          <w:lang w:val="es-ES" w:eastAsia="es-ES" w:bidi="es-ES"/>
        </w:rPr>
        <w:t xml:space="preserve"> </w:t>
      </w:r>
      <w:r w:rsidRPr="00C84F90">
        <w:rPr>
          <w:rFonts w:ascii="Arial" w:eastAsia="Arial" w:hAnsi="Arial" w:cs="Arial"/>
          <w:lang w:val="es-ES" w:eastAsia="es-ES" w:bidi="es-ES"/>
        </w:rPr>
        <w:t>[…]»</w:t>
      </w:r>
      <w:r w:rsidRPr="00C84F90">
        <w:rPr>
          <w:rFonts w:ascii="Arial" w:eastAsia="Arial" w:hAnsi="Arial" w:cs="Arial"/>
          <w:vertAlign w:val="superscript"/>
          <w:lang w:val="es-ES" w:eastAsia="es-ES" w:bidi="es-ES"/>
        </w:rPr>
        <w:footnoteReference w:id="25"/>
      </w:r>
      <w:r w:rsidRPr="00C84F90">
        <w:rPr>
          <w:rFonts w:ascii="Arial" w:eastAsia="Arial" w:hAnsi="Arial" w:cs="Arial"/>
          <w:lang w:val="es-ES" w:eastAsia="es-ES" w:bidi="es-ES"/>
        </w:rPr>
        <w:t>.</w:t>
      </w:r>
      <w:bookmarkStart w:id="42" w:name="_Hlk77171241"/>
    </w:p>
    <w:p w14:paraId="265FE850" w14:textId="77777777" w:rsidR="003F6E3A" w:rsidRPr="00C84F90" w:rsidRDefault="003F6E3A" w:rsidP="00500AD4">
      <w:pPr>
        <w:widowControl w:val="0"/>
        <w:autoSpaceDE w:val="0"/>
        <w:autoSpaceDN w:val="0"/>
        <w:spacing w:before="122" w:after="0" w:line="276" w:lineRule="auto"/>
        <w:ind w:firstLine="709"/>
        <w:jc w:val="both"/>
        <w:rPr>
          <w:rFonts w:ascii="Arial" w:eastAsia="Arial" w:hAnsi="Arial" w:cs="Arial"/>
          <w:lang w:val="es-ES" w:eastAsia="es-ES" w:bidi="es-ES"/>
        </w:rPr>
      </w:pPr>
      <w:r w:rsidRPr="00C84F90">
        <w:rPr>
          <w:rFonts w:ascii="Arial" w:eastAsia="Arial" w:hAnsi="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w:t>
      </w:r>
      <w:r>
        <w:rPr>
          <w:rFonts w:ascii="Arial" w:eastAsia="Arial" w:hAnsi="Arial" w:cs="Arial"/>
          <w:lang w:val="es-ES" w:eastAsia="es-ES" w:bidi="es-ES"/>
        </w:rPr>
        <w:t xml:space="preserve"> en</w:t>
      </w:r>
      <w:r w:rsidRPr="00C84F90">
        <w:rPr>
          <w:rFonts w:ascii="Arial" w:eastAsia="Arial" w:hAnsi="Arial" w:cs="Arial"/>
          <w:lang w:val="es-ES" w:eastAsia="es-ES" w:bidi="es-ES"/>
        </w:rPr>
        <w:t xml:space="preserve"> sentencia del 14 de junio de 2019 expresó:</w:t>
      </w:r>
    </w:p>
    <w:p w14:paraId="2B4FFCA6" w14:textId="77777777" w:rsidR="00B37155" w:rsidRPr="00500AD4" w:rsidRDefault="00B37155" w:rsidP="00500AD4">
      <w:pPr>
        <w:spacing w:after="0" w:line="276" w:lineRule="auto"/>
        <w:ind w:left="709" w:right="709"/>
        <w:jc w:val="both"/>
        <w:rPr>
          <w:rFonts w:ascii="Arial" w:hAnsi="Arial" w:cs="Arial"/>
          <w:lang w:val="es-ES_tradnl"/>
        </w:rPr>
      </w:pPr>
    </w:p>
    <w:p w14:paraId="48601589" w14:textId="7D23DEB2" w:rsidR="003F6E3A" w:rsidRDefault="00B37155" w:rsidP="00B37155">
      <w:pPr>
        <w:spacing w:after="0" w:line="240" w:lineRule="auto"/>
        <w:ind w:left="709" w:right="709"/>
        <w:contextualSpacing/>
        <w:jc w:val="both"/>
        <w:rPr>
          <w:rFonts w:ascii="Arial" w:hAnsi="Arial" w:cs="Arial"/>
          <w:sz w:val="21"/>
          <w:szCs w:val="21"/>
          <w:lang w:val="es-ES_tradnl"/>
        </w:rPr>
      </w:pPr>
      <w:r w:rsidRPr="0021304B">
        <w:rPr>
          <w:rFonts w:ascii="Arial" w:eastAsia="Calibri" w:hAnsi="Arial" w:cs="Arial"/>
          <w:bCs/>
          <w:sz w:val="21"/>
          <w:szCs w:val="21"/>
          <w:lang w:val="es-MX"/>
        </w:rPr>
        <w:t>«</w:t>
      </w:r>
      <w:r w:rsidR="003F6E3A" w:rsidRPr="00C84F90">
        <w:rPr>
          <w:rFonts w:ascii="Arial" w:hAnsi="Arial" w:cs="Arial"/>
          <w:sz w:val="21"/>
          <w:szCs w:val="21"/>
          <w:lang w:val="es-ES_tradnl"/>
        </w:rPr>
        <w:t>La Sala de Consulta y Servicio Civil</w:t>
      </w:r>
      <w:r w:rsidR="003F6E3A" w:rsidRPr="00C84F90">
        <w:rPr>
          <w:rFonts w:ascii="Arial" w:hAnsi="Arial" w:cs="Arial"/>
          <w:sz w:val="21"/>
          <w:szCs w:val="21"/>
          <w:vertAlign w:val="superscript"/>
          <w:lang w:val="es-ES_tradnl"/>
        </w:rPr>
        <w:footnoteReference w:id="26"/>
      </w:r>
      <w:r w:rsidR="003F6E3A" w:rsidRPr="00C84F90">
        <w:rPr>
          <w:rFonts w:ascii="Arial" w:hAnsi="Arial" w:cs="Arial"/>
          <w:sz w:val="21"/>
          <w:szCs w:val="21"/>
          <w:lang w:val="es-ES_tradnl"/>
        </w:rPr>
        <w:t xml:space="preserve"> de esta Corporación se ha referido a los </w:t>
      </w:r>
      <w:r w:rsidR="003F6E3A" w:rsidRPr="00C84F90">
        <w:rPr>
          <w:rFonts w:ascii="Arial" w:hAnsi="Arial" w:cs="Arial"/>
          <w:i/>
          <w:sz w:val="21"/>
          <w:szCs w:val="21"/>
          <w:lang w:val="es-ES_tradnl"/>
        </w:rPr>
        <w:t>“convenios interadministrativos”</w:t>
      </w:r>
      <w:r w:rsidR="003F6E3A" w:rsidRPr="00C84F90">
        <w:rPr>
          <w:rFonts w:ascii="Arial" w:hAnsi="Arial" w:cs="Arial"/>
          <w:sz w:val="21"/>
          <w:szCs w:val="21"/>
          <w:lang w:val="es-ES_tradnl"/>
        </w:rPr>
        <w:t xml:space="preserve"> a los cuales alude el artículo 95 de la Ley 489 de 1998, calificándolos de </w:t>
      </w:r>
      <w:r w:rsidR="003F6E3A" w:rsidRPr="00C84F90">
        <w:rPr>
          <w:rFonts w:ascii="Arial" w:hAnsi="Arial" w:cs="Arial"/>
          <w:i/>
          <w:sz w:val="21"/>
          <w:szCs w:val="21"/>
          <w:lang w:val="es-ES_tradnl"/>
        </w:rPr>
        <w:t xml:space="preserve">“puros” </w:t>
      </w:r>
      <w:r w:rsidR="003F6E3A" w:rsidRPr="00C84F90">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003F6E3A" w:rsidRPr="00C84F90">
        <w:rPr>
          <w:rFonts w:ascii="Arial" w:hAnsi="Arial" w:cs="Arial"/>
          <w:i/>
          <w:sz w:val="21"/>
          <w:szCs w:val="21"/>
          <w:lang w:val="es-ES_tradnl"/>
        </w:rPr>
        <w:t>“intercambio patrimonial”</w:t>
      </w:r>
      <w:r w:rsidR="003F6E3A" w:rsidRPr="00C84F90">
        <w:rPr>
          <w:rFonts w:ascii="Arial" w:hAnsi="Arial" w:cs="Arial"/>
          <w:sz w:val="21"/>
          <w:szCs w:val="21"/>
          <w:lang w:val="es-ES_tradnl"/>
        </w:rPr>
        <w:t>. Sin perjuicio de lo anterior, en otra oportunidad, la misma Sala</w:t>
      </w:r>
      <w:r w:rsidR="003F6E3A" w:rsidRPr="00C84F90">
        <w:rPr>
          <w:rFonts w:ascii="Arial" w:hAnsi="Arial" w:cs="Arial"/>
          <w:sz w:val="21"/>
          <w:szCs w:val="21"/>
          <w:vertAlign w:val="superscript"/>
          <w:lang w:val="es-ES_tradnl"/>
        </w:rPr>
        <w:footnoteReference w:id="27"/>
      </w:r>
      <w:r w:rsidR="003F6E3A" w:rsidRPr="00C84F90">
        <w:rPr>
          <w:rFonts w:ascii="Arial" w:hAnsi="Arial" w:cs="Arial"/>
          <w:sz w:val="21"/>
          <w:szCs w:val="21"/>
          <w:lang w:val="es-ES_tradnl"/>
        </w:rPr>
        <w:t xml:space="preserve"> había indicado que, si bien en dichos convenios no se daba un </w:t>
      </w:r>
      <w:r w:rsidR="003F6E3A" w:rsidRPr="00C84F90">
        <w:rPr>
          <w:rFonts w:ascii="Arial" w:hAnsi="Arial" w:cs="Arial"/>
          <w:i/>
          <w:sz w:val="21"/>
          <w:szCs w:val="21"/>
          <w:lang w:val="es-ES_tradnl"/>
        </w:rPr>
        <w:t>“verdadero intercambio de bienes o servicios (contrato conmutativo)”</w:t>
      </w:r>
      <w:r w:rsidR="003F6E3A" w:rsidRPr="00C84F90">
        <w:rPr>
          <w:rFonts w:ascii="Arial" w:hAnsi="Arial" w:cs="Arial"/>
          <w:sz w:val="21"/>
          <w:szCs w:val="21"/>
          <w:lang w:val="es-ES_tradnl"/>
        </w:rPr>
        <w:t>, ello no impedía que se conviniera una remuneración a cargo de alguna(s) entidad(es).</w:t>
      </w:r>
    </w:p>
    <w:p w14:paraId="2419A57D" w14:textId="77777777" w:rsidR="00B37155" w:rsidRPr="00C84F90" w:rsidRDefault="00B37155" w:rsidP="00500AD4">
      <w:pPr>
        <w:spacing w:after="0" w:line="240" w:lineRule="auto"/>
        <w:ind w:left="709" w:right="709"/>
        <w:contextualSpacing/>
        <w:jc w:val="both"/>
        <w:rPr>
          <w:rFonts w:ascii="Arial" w:hAnsi="Arial" w:cs="Arial"/>
          <w:sz w:val="21"/>
          <w:szCs w:val="21"/>
          <w:lang w:val="es-ES_tradnl"/>
        </w:rPr>
      </w:pPr>
    </w:p>
    <w:p w14:paraId="292705C2" w14:textId="018FA2C6" w:rsidR="003F6E3A" w:rsidRPr="00C84F90" w:rsidRDefault="003F6E3A" w:rsidP="00500AD4">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C84F90">
        <w:rPr>
          <w:rFonts w:ascii="Arial" w:eastAsia="Arial" w:hAnsi="Arial" w:cs="Arial"/>
          <w:sz w:val="21"/>
          <w:szCs w:val="21"/>
          <w:lang w:val="es-ES_tradnl" w:eastAsia="es-ES" w:bidi="es-ES"/>
        </w:rPr>
        <w:t xml:space="preserve">Lo expuesto evidencia que, en general, las interpretaciones en torno a los </w:t>
      </w:r>
      <w:r w:rsidRPr="00C84F90">
        <w:rPr>
          <w:rFonts w:ascii="Arial" w:eastAsia="Arial" w:hAnsi="Arial" w:cs="Arial"/>
          <w:i/>
          <w:sz w:val="21"/>
          <w:szCs w:val="21"/>
          <w:lang w:val="es-ES_tradnl" w:eastAsia="es-ES" w:bidi="es-ES"/>
        </w:rPr>
        <w:t>“convenios interadministrativos”</w:t>
      </w:r>
      <w:r w:rsidRPr="00C84F90">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00B37155" w:rsidRPr="0021304B">
        <w:rPr>
          <w:rFonts w:ascii="Arial" w:eastAsia="Calibri" w:hAnsi="Arial" w:cs="Arial"/>
          <w:sz w:val="21"/>
          <w:szCs w:val="21"/>
          <w:lang w:val="es-MX"/>
        </w:rPr>
        <w:t>»</w:t>
      </w:r>
      <w:r w:rsidRPr="00C84F90">
        <w:rPr>
          <w:rFonts w:ascii="Arial" w:eastAsia="Arial" w:hAnsi="Arial" w:cs="Arial"/>
          <w:sz w:val="21"/>
          <w:szCs w:val="21"/>
          <w:vertAlign w:val="superscript"/>
          <w:lang w:val="es-ES_tradnl" w:eastAsia="es-ES" w:bidi="es-ES"/>
        </w:rPr>
        <w:footnoteReference w:id="28"/>
      </w:r>
      <w:r w:rsidRPr="00C84F90">
        <w:rPr>
          <w:rFonts w:ascii="Arial" w:eastAsia="Arial" w:hAnsi="Arial" w:cs="Arial"/>
          <w:sz w:val="21"/>
          <w:szCs w:val="21"/>
          <w:vertAlign w:val="superscript"/>
          <w:lang w:val="es-ES_tradnl" w:eastAsia="es-ES" w:bidi="es-ES"/>
        </w:rPr>
        <w:footnoteReference w:id="29"/>
      </w:r>
      <w:r w:rsidRPr="00C84F90">
        <w:rPr>
          <w:rFonts w:ascii="Arial" w:eastAsia="Arial" w:hAnsi="Arial" w:cs="Arial"/>
          <w:sz w:val="21"/>
          <w:szCs w:val="21"/>
          <w:lang w:val="es-ES_tradnl" w:eastAsia="es-ES" w:bidi="es-ES"/>
        </w:rPr>
        <w:t>.</w:t>
      </w:r>
    </w:p>
    <w:p w14:paraId="5914A6E9" w14:textId="77777777" w:rsidR="003F6E3A" w:rsidRPr="00C84F90" w:rsidRDefault="003F6E3A" w:rsidP="00500AD4">
      <w:pPr>
        <w:widowControl w:val="0"/>
        <w:autoSpaceDE w:val="0"/>
        <w:autoSpaceDN w:val="0"/>
        <w:spacing w:after="0" w:line="276" w:lineRule="auto"/>
        <w:jc w:val="both"/>
        <w:rPr>
          <w:rFonts w:ascii="Arial" w:eastAsia="Arial" w:hAnsi="Arial" w:cs="Arial"/>
          <w:lang w:val="es-ES" w:eastAsia="es-ES" w:bidi="es-ES"/>
        </w:rPr>
      </w:pPr>
    </w:p>
    <w:p w14:paraId="085424C5" w14:textId="77777777" w:rsidR="003F6E3A" w:rsidRPr="00674165" w:rsidRDefault="003F6E3A" w:rsidP="00674165">
      <w:pPr>
        <w:widowControl w:val="0"/>
        <w:autoSpaceDE w:val="0"/>
        <w:autoSpaceDN w:val="0"/>
        <w:spacing w:after="120" w:line="276" w:lineRule="auto"/>
        <w:jc w:val="both"/>
        <w:rPr>
          <w:rFonts w:ascii="Arial" w:eastAsia="Arial" w:hAnsi="Arial" w:cs="Arial"/>
          <w:lang w:val="es-ES" w:eastAsia="es-ES" w:bidi="es-ES"/>
        </w:rPr>
      </w:pPr>
      <w:r w:rsidRPr="00C84F90">
        <w:rPr>
          <w:rFonts w:ascii="Arial" w:eastAsia="Arial" w:hAnsi="Arial" w:cs="Arial"/>
          <w:lang w:val="es-ES" w:eastAsia="es-ES" w:bidi="es-ES"/>
        </w:rPr>
        <w:tab/>
      </w:r>
      <w:r w:rsidRPr="00674165">
        <w:rPr>
          <w:rFonts w:ascii="Arial" w:eastAsia="Arial" w:hAnsi="Arial" w:cs="Arial"/>
          <w:lang w:val="es-ES" w:eastAsia="es-ES" w:bidi="es-ES"/>
        </w:rPr>
        <w:t>Vale la pena reiterar que el legislador y el ordenamiento jurídico, en general, en distintas ocasiones utiliza de forma indistinta los conceptos de contrato o convenio para referirse a la misma institución jurídica</w:t>
      </w:r>
      <w:r w:rsidRPr="00674165">
        <w:rPr>
          <w:rFonts w:ascii="Arial" w:eastAsia="Arial" w:hAnsi="Arial" w:cs="Arial"/>
          <w:vertAlign w:val="superscript"/>
          <w:lang w:val="es-ES" w:eastAsia="es-ES" w:bidi="es-ES"/>
        </w:rPr>
        <w:footnoteReference w:id="30"/>
      </w:r>
      <w:r w:rsidRPr="00674165">
        <w:rPr>
          <w:rFonts w:ascii="Arial" w:eastAsia="Arial" w:hAnsi="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674165">
        <w:rPr>
          <w:rFonts w:ascii="Arial" w:eastAsia="Arial" w:hAnsi="Arial" w:cs="Arial"/>
          <w:vertAlign w:val="superscript"/>
          <w:lang w:val="es-ES" w:eastAsia="es-ES" w:bidi="es-ES"/>
        </w:rPr>
        <w:footnoteReference w:id="31"/>
      </w:r>
      <w:r w:rsidRPr="00674165">
        <w:rPr>
          <w:rFonts w:ascii="Arial" w:eastAsia="Arial" w:hAnsi="Arial" w:cs="Arial"/>
          <w:lang w:val="es-ES" w:eastAsia="es-ES" w:bidi="es-ES"/>
        </w:rPr>
        <w:t>.</w:t>
      </w:r>
    </w:p>
    <w:p w14:paraId="1F7AC6D1" w14:textId="21705933" w:rsidR="003F6E3A" w:rsidRPr="00674165" w:rsidRDefault="003F6E3A" w:rsidP="00674165">
      <w:pPr>
        <w:widowControl w:val="0"/>
        <w:autoSpaceDE w:val="0"/>
        <w:autoSpaceDN w:val="0"/>
        <w:spacing w:after="120" w:line="276" w:lineRule="auto"/>
        <w:jc w:val="both"/>
        <w:rPr>
          <w:rFonts w:ascii="Arial" w:eastAsia="Calibri" w:hAnsi="Arial" w:cs="Arial"/>
          <w:bCs/>
          <w:lang w:eastAsia="es-ES" w:bidi="es-ES"/>
        </w:rPr>
      </w:pPr>
      <w:r w:rsidRPr="00674165">
        <w:rPr>
          <w:rFonts w:ascii="Arial" w:eastAsia="Arial" w:hAnsi="Arial" w:cs="Arial"/>
          <w:lang w:val="es-ES" w:eastAsia="es-ES" w:bidi="es-ES"/>
        </w:rPr>
        <w:tab/>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w:t>
      </w:r>
      <w:bookmarkEnd w:id="42"/>
    </w:p>
    <w:p w14:paraId="56686238" w14:textId="4FD5D424" w:rsidR="00DC7D8B" w:rsidRPr="00674165" w:rsidRDefault="009D0249" w:rsidP="00674165">
      <w:pPr>
        <w:tabs>
          <w:tab w:val="left" w:pos="426"/>
        </w:tabs>
        <w:spacing w:after="120" w:line="276" w:lineRule="auto"/>
        <w:ind w:firstLine="709"/>
        <w:jc w:val="both"/>
        <w:rPr>
          <w:rFonts w:ascii="Arial" w:eastAsia="Arial" w:hAnsi="Arial" w:cs="Arial"/>
          <w:lang w:val="es-ES" w:eastAsia="es-ES" w:bidi="es-ES"/>
        </w:rPr>
      </w:pPr>
      <w:r>
        <w:rPr>
          <w:rFonts w:ascii="Arial" w:hAnsi="Arial" w:cs="Arial"/>
          <w:bCs/>
          <w:lang w:eastAsia="es-CO"/>
        </w:rPr>
        <w:t xml:space="preserve">Conforme lo expuesto, de cara a la pregunta planteada, en relación </w:t>
      </w:r>
      <w:r w:rsidR="00C12204">
        <w:rPr>
          <w:rFonts w:ascii="Arial" w:hAnsi="Arial" w:cs="Arial"/>
          <w:bCs/>
          <w:lang w:eastAsia="es-CO"/>
        </w:rPr>
        <w:t>con</w:t>
      </w:r>
      <w:r>
        <w:rPr>
          <w:rFonts w:ascii="Arial" w:hAnsi="Arial" w:cs="Arial"/>
          <w:bCs/>
          <w:lang w:eastAsia="es-CO"/>
        </w:rPr>
        <w:t xml:space="preserve"> la</w:t>
      </w:r>
      <w:r w:rsidR="00C12204">
        <w:rPr>
          <w:rFonts w:ascii="Arial" w:hAnsi="Arial" w:cs="Arial"/>
          <w:bCs/>
          <w:lang w:eastAsia="es-CO"/>
        </w:rPr>
        <w:t>s</w:t>
      </w:r>
      <w:r>
        <w:rPr>
          <w:rFonts w:ascii="Arial" w:hAnsi="Arial" w:cs="Arial"/>
          <w:bCs/>
          <w:lang w:eastAsia="es-CO"/>
        </w:rPr>
        <w:t xml:space="preserve"> restricci</w:t>
      </w:r>
      <w:r w:rsidR="00C12204">
        <w:rPr>
          <w:rFonts w:ascii="Arial" w:hAnsi="Arial" w:cs="Arial"/>
          <w:bCs/>
          <w:lang w:eastAsia="es-CO"/>
        </w:rPr>
        <w:t>o</w:t>
      </w:r>
      <w:r>
        <w:rPr>
          <w:rFonts w:ascii="Arial" w:hAnsi="Arial" w:cs="Arial"/>
          <w:bCs/>
          <w:lang w:eastAsia="es-CO"/>
        </w:rPr>
        <w:t>n</w:t>
      </w:r>
      <w:r w:rsidR="00C12204">
        <w:rPr>
          <w:rFonts w:ascii="Arial" w:hAnsi="Arial" w:cs="Arial"/>
          <w:bCs/>
          <w:lang w:eastAsia="es-CO"/>
        </w:rPr>
        <w:t>es</w:t>
      </w:r>
      <w:r>
        <w:rPr>
          <w:rFonts w:ascii="Arial" w:hAnsi="Arial" w:cs="Arial"/>
          <w:bCs/>
          <w:lang w:eastAsia="es-CO"/>
        </w:rPr>
        <w:t xml:space="preserve"> que en materia de contratación aplica para las elecciones de este año</w:t>
      </w:r>
      <w:r w:rsidR="003F6E3A" w:rsidRPr="00674165">
        <w:rPr>
          <w:rFonts w:ascii="Arial" w:hAnsi="Arial" w:cs="Arial"/>
          <w:bCs/>
          <w:lang w:eastAsia="es-CO"/>
        </w:rPr>
        <w:t xml:space="preserve"> que</w:t>
      </w:r>
      <w:r w:rsidR="00B258BC">
        <w:rPr>
          <w:rFonts w:ascii="Arial" w:hAnsi="Arial" w:cs="Arial"/>
          <w:bCs/>
          <w:lang w:eastAsia="es-CO"/>
        </w:rPr>
        <w:t xml:space="preserve">, </w:t>
      </w:r>
      <w:r w:rsidR="00115958">
        <w:rPr>
          <w:rFonts w:ascii="Arial" w:hAnsi="Arial" w:cs="Arial"/>
          <w:bCs/>
          <w:lang w:eastAsia="es-CO"/>
        </w:rPr>
        <w:t xml:space="preserve">a partir del 29 de junio de 2023, </w:t>
      </w:r>
      <w:r w:rsidR="00B258BC">
        <w:rPr>
          <w:rFonts w:ascii="Arial" w:hAnsi="Arial" w:cs="Arial"/>
          <w:bCs/>
          <w:lang w:eastAsia="es-CO"/>
        </w:rPr>
        <w:t>en virtud</w:t>
      </w:r>
      <w:r w:rsidR="003F6E3A" w:rsidRPr="00674165">
        <w:rPr>
          <w:rFonts w:ascii="Arial" w:hAnsi="Arial" w:cs="Arial"/>
          <w:bCs/>
          <w:lang w:eastAsia="es-CO"/>
        </w:rPr>
        <w:t xml:space="preserve"> </w:t>
      </w:r>
      <w:r w:rsidR="00B258BC">
        <w:rPr>
          <w:rFonts w:ascii="Arial" w:hAnsi="Arial" w:cs="Arial"/>
          <w:bCs/>
          <w:lang w:eastAsia="es-CO"/>
        </w:rPr>
        <w:t>d</w:t>
      </w:r>
      <w:r w:rsidR="003F6E3A" w:rsidRPr="00674165">
        <w:rPr>
          <w:rFonts w:ascii="Arial" w:hAnsi="Arial" w:cs="Arial"/>
          <w:bCs/>
          <w:lang w:val="es-MX" w:eastAsia="es-CO"/>
        </w:rPr>
        <w:t xml:space="preserve">el parágrafo del artículo 38 de la Ley 996 de 2005 </w:t>
      </w:r>
      <w:r w:rsidR="00F6213B">
        <w:rPr>
          <w:rFonts w:ascii="Arial" w:hAnsi="Arial" w:cs="Arial"/>
          <w:bCs/>
          <w:lang w:val="es-MX" w:eastAsia="es-CO"/>
        </w:rPr>
        <w:t xml:space="preserve">se </w:t>
      </w:r>
      <w:r w:rsidR="003F6E3A" w:rsidRPr="00674165">
        <w:rPr>
          <w:rFonts w:ascii="Arial" w:hAnsi="Arial" w:cs="Arial"/>
          <w:bCs/>
          <w:lang w:val="es-MX" w:eastAsia="es-CO"/>
        </w:rPr>
        <w:t xml:space="preserve">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003F6E3A" w:rsidRPr="00674165">
        <w:rPr>
          <w:rFonts w:ascii="Arial" w:hAnsi="Arial" w:cs="Arial"/>
          <w:bCs/>
          <w:i/>
          <w:iCs/>
          <w:lang w:val="es-MX" w:eastAsia="es-CO"/>
        </w:rPr>
        <w:t>ibidem</w:t>
      </w:r>
      <w:r w:rsidR="003F6E3A" w:rsidRPr="00674165">
        <w:rPr>
          <w:rFonts w:ascii="Arial" w:hAnsi="Arial" w:cs="Arial"/>
          <w:bCs/>
          <w:lang w:val="es-MX"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003F6E3A" w:rsidRPr="00674165">
        <w:rPr>
          <w:rStyle w:val="Refdenotaalpie"/>
          <w:rFonts w:ascii="Arial" w:hAnsi="Arial" w:cs="Arial"/>
          <w:bCs/>
          <w:lang w:val="es-MX" w:eastAsia="es-CO"/>
        </w:rPr>
        <w:footnoteReference w:id="32"/>
      </w:r>
      <w:r w:rsidR="003F6E3A" w:rsidRPr="00674165">
        <w:rPr>
          <w:rFonts w:ascii="Arial" w:hAnsi="Arial" w:cs="Arial"/>
          <w:bCs/>
          <w:lang w:val="es-MX" w:eastAsia="es-CO"/>
        </w:rPr>
        <w:t xml:space="preserve">. </w:t>
      </w:r>
      <w:r w:rsidR="00122F4B" w:rsidRPr="00172738">
        <w:rPr>
          <w:rFonts w:ascii="Arial" w:eastAsia="Times New Roman" w:hAnsi="Arial" w:cs="Arial"/>
          <w:bCs/>
          <w:lang w:eastAsia="es-CO"/>
        </w:rPr>
        <w:t>De esta manera, la prohibición aplica a todos los contratos interadministrativos con independencia de que estén o no precedidos de un procedimiento de selección con pluralidad de oferentes.</w:t>
      </w:r>
      <w:r w:rsidR="00122F4B" w:rsidRPr="007A0C25">
        <w:rPr>
          <w:rFonts w:ascii="Arial" w:eastAsia="Times New Roman" w:hAnsi="Arial" w:cs="Arial"/>
          <w:bCs/>
          <w:lang w:eastAsia="es-CO"/>
        </w:rPr>
        <w:t xml:space="preserve"> Esto por cuanto, como se indicó, el contrato o convenio interadministrativo no se define por la modalidad de selección, sino por la naturaleza pública de quienes lo celebran, es decir, por un criterio orgánico.</w:t>
      </w:r>
      <w:r w:rsidR="00122F4B" w:rsidRPr="007A0C25">
        <w:rPr>
          <w:rFonts w:ascii="Arial" w:eastAsia="Calibri" w:hAnsi="Arial" w:cs="Arial"/>
          <w:color w:val="000000" w:themeColor="text1"/>
        </w:rPr>
        <w:t> </w:t>
      </w:r>
    </w:p>
    <w:p w14:paraId="0F3B6933" w14:textId="77777777" w:rsidR="003F6E3A" w:rsidRDefault="003F6E3A" w:rsidP="00500AD4">
      <w:pPr>
        <w:widowControl w:val="0"/>
        <w:autoSpaceDE w:val="0"/>
        <w:autoSpaceDN w:val="0"/>
        <w:spacing w:after="0" w:line="276" w:lineRule="auto"/>
        <w:ind w:firstLine="709"/>
        <w:contextualSpacing/>
        <w:jc w:val="both"/>
        <w:rPr>
          <w:rFonts w:ascii="Arial" w:eastAsia="Calibri" w:hAnsi="Arial" w:cs="Arial"/>
          <w:lang w:eastAsia="es-ES" w:bidi="es-ES"/>
        </w:rPr>
      </w:pPr>
      <w:r w:rsidRPr="002F0981">
        <w:rPr>
          <w:rFonts w:ascii="Arial" w:hAnsi="Arial" w:cs="Arial"/>
          <w:bCs/>
          <w:lang w:val="es-ES" w:eastAsia="es-CO" w:bidi="es-ES"/>
        </w:rPr>
        <w:t>En todo caso</w:t>
      </w:r>
      <w:bookmarkStart w:id="43" w:name="_Hlk77154098"/>
      <w:r w:rsidRPr="002F0981">
        <w:rPr>
          <w:rFonts w:ascii="Arial" w:eastAsia="Arial" w:hAnsi="Arial" w:cs="Arial"/>
          <w:lang w:val="es-ES" w:eastAsia="es-ES" w:bidi="es-ES"/>
        </w:rPr>
        <w:t xml:space="preserve">, es importante resaltar que la Sala de Consulta y Servicio Civil del Consejo de Estado se ha pronunciado en el sentido de que </w:t>
      </w:r>
      <w:bookmarkStart w:id="44" w:name="_Hlk78820889"/>
      <w:r w:rsidRPr="002F0981">
        <w:rPr>
          <w:rFonts w:ascii="Arial" w:eastAsia="Arial" w:hAnsi="Arial" w:cs="Arial"/>
          <w:lang w:val="es-ES" w:eastAsia="es-ES" w:bidi="es-ES"/>
        </w:rPr>
        <w:t xml:space="preserve">no se les aplica la restricción de la Ley de Garantías a los convenios o contratos interadministrativos que deben celebrarse en virtud de un </w:t>
      </w:r>
      <w:r w:rsidRPr="002F0981">
        <w:rPr>
          <w:rFonts w:ascii="Arial" w:eastAsia="Arial" w:hAnsi="Arial" w:cs="Arial"/>
          <w:lang w:val="es-ES" w:eastAsia="es-ES" w:bidi="es-ES"/>
        </w:rPr>
        <w:lastRenderedPageBreak/>
        <w:t>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44"/>
      <w:r w:rsidRPr="002F0981">
        <w:rPr>
          <w:rFonts w:ascii="Arial" w:eastAsia="Arial" w:hAnsi="Arial" w:cs="Arial"/>
          <w:vertAlign w:val="superscript"/>
          <w:lang w:val="es-ES" w:eastAsia="es-ES" w:bidi="es-ES"/>
        </w:rPr>
        <w:footnoteReference w:id="33"/>
      </w:r>
      <w:r w:rsidRPr="002F0981">
        <w:rPr>
          <w:rFonts w:ascii="Arial" w:eastAsia="Calibri" w:hAnsi="Arial" w:cs="Arial"/>
          <w:lang w:eastAsia="es-ES" w:bidi="es-ES"/>
        </w:rPr>
        <w:t>.</w:t>
      </w:r>
      <w:bookmarkEnd w:id="43"/>
    </w:p>
    <w:bookmarkEnd w:id="37"/>
    <w:p w14:paraId="75CFF841" w14:textId="77777777" w:rsidR="00723407" w:rsidRDefault="00723407" w:rsidP="00500AD4">
      <w:pPr>
        <w:tabs>
          <w:tab w:val="left" w:pos="709"/>
        </w:tabs>
        <w:spacing w:after="0" w:line="276" w:lineRule="auto"/>
        <w:contextualSpacing/>
        <w:jc w:val="both"/>
        <w:rPr>
          <w:rFonts w:ascii="Arial" w:eastAsia="Calibri" w:hAnsi="Arial" w:cs="Arial"/>
          <w:b/>
          <w:lang w:val="es-ES_tradnl"/>
        </w:rPr>
      </w:pPr>
    </w:p>
    <w:p w14:paraId="1E6C4F65" w14:textId="25B397B6" w:rsidR="003F6E3A" w:rsidRDefault="003F6E3A" w:rsidP="00723407">
      <w:pPr>
        <w:tabs>
          <w:tab w:val="left" w:pos="709"/>
        </w:tabs>
        <w:spacing w:after="0" w:line="276" w:lineRule="auto"/>
        <w:contextualSpacing/>
        <w:jc w:val="both"/>
        <w:rPr>
          <w:rFonts w:ascii="Arial" w:eastAsia="Calibri" w:hAnsi="Arial" w:cs="Arial"/>
          <w:b/>
          <w:lang w:val="es-ES_tradnl"/>
        </w:rPr>
      </w:pPr>
      <w:r w:rsidRPr="002F0981">
        <w:rPr>
          <w:rFonts w:ascii="Arial" w:eastAsia="Calibri" w:hAnsi="Arial" w:cs="Arial"/>
          <w:b/>
          <w:lang w:val="es-ES_tradnl"/>
        </w:rPr>
        <w:t>3. Respuesta</w:t>
      </w:r>
    </w:p>
    <w:p w14:paraId="7A73C46F" w14:textId="77777777" w:rsidR="00723407" w:rsidRPr="002F0981" w:rsidRDefault="00723407" w:rsidP="00500AD4">
      <w:pPr>
        <w:tabs>
          <w:tab w:val="left" w:pos="709"/>
        </w:tabs>
        <w:spacing w:after="0" w:line="276" w:lineRule="auto"/>
        <w:contextualSpacing/>
        <w:jc w:val="both"/>
        <w:rPr>
          <w:rFonts w:ascii="Arial" w:eastAsia="Calibri" w:hAnsi="Arial" w:cs="Arial"/>
          <w:b/>
          <w:lang w:val="es-ES_tradnl"/>
        </w:rPr>
      </w:pPr>
    </w:p>
    <w:p w14:paraId="5FD28DFB" w14:textId="77777777" w:rsidR="003F6E3A" w:rsidRDefault="003F6E3A" w:rsidP="00723407">
      <w:pPr>
        <w:spacing w:after="0" w:line="240" w:lineRule="auto"/>
        <w:ind w:left="709" w:right="709"/>
        <w:jc w:val="both"/>
        <w:rPr>
          <w:rFonts w:ascii="Arial" w:eastAsia="Calibri" w:hAnsi="Arial" w:cs="Arial"/>
          <w:sz w:val="21"/>
          <w:szCs w:val="21"/>
        </w:rPr>
      </w:pPr>
      <w:r w:rsidRPr="00723407">
        <w:rPr>
          <w:rFonts w:ascii="Arial" w:eastAsia="Calibri" w:hAnsi="Arial" w:cs="Arial"/>
          <w:sz w:val="21"/>
          <w:szCs w:val="21"/>
        </w:rPr>
        <w:t xml:space="preserve">«[…] </w:t>
      </w:r>
      <w:r w:rsidRPr="00500AD4">
        <w:rPr>
          <w:rFonts w:ascii="Arial" w:hAnsi="Arial" w:cs="Arial"/>
          <w:sz w:val="21"/>
          <w:szCs w:val="21"/>
        </w:rPr>
        <w:t>Teniendo en cuenta las elecciones para alcalde, Concejo Municipal, Gobernador y Asamblea Departamental que se van a realizar en este año, solicito se me aclara si es posible adelantar Contratación en la modalidad de Directa, teniendo en cuenta que no le aplica Ley de Garantías para entidades Territorial de orden Municipal</w:t>
      </w:r>
      <w:r w:rsidRPr="00723407">
        <w:rPr>
          <w:rFonts w:ascii="Arial" w:eastAsia="Calibri" w:hAnsi="Arial" w:cs="Arial"/>
          <w:sz w:val="21"/>
          <w:szCs w:val="21"/>
        </w:rPr>
        <w:t>».</w:t>
      </w:r>
    </w:p>
    <w:p w14:paraId="1A277714" w14:textId="77777777" w:rsidR="00723407" w:rsidRPr="00500AD4" w:rsidRDefault="00723407" w:rsidP="00500AD4">
      <w:pPr>
        <w:spacing w:after="0" w:line="276" w:lineRule="auto"/>
        <w:ind w:left="709" w:right="709"/>
        <w:jc w:val="both"/>
        <w:rPr>
          <w:rFonts w:ascii="Arial" w:eastAsia="Calibri" w:hAnsi="Arial" w:cs="Arial"/>
        </w:rPr>
      </w:pPr>
    </w:p>
    <w:p w14:paraId="1ABD9392" w14:textId="1F2EDC38" w:rsidR="003F6E3A" w:rsidRDefault="003F6E3A" w:rsidP="00500AD4">
      <w:pPr>
        <w:pStyle w:val="xmsonospacing"/>
        <w:spacing w:before="0" w:beforeAutospacing="0" w:after="120" w:afterAutospacing="0" w:line="276" w:lineRule="auto"/>
        <w:jc w:val="both"/>
        <w:rPr>
          <w:rStyle w:val="eop"/>
          <w:rFonts w:ascii="Arial" w:eastAsiaTheme="minorHAnsi" w:hAnsi="Arial" w:cs="Arial"/>
          <w:color w:val="000000"/>
          <w:sz w:val="22"/>
          <w:szCs w:val="22"/>
          <w:shd w:val="clear" w:color="auto" w:fill="FFFFFF"/>
          <w:lang w:eastAsia="en-US"/>
        </w:rPr>
      </w:pPr>
      <w:r>
        <w:rPr>
          <w:rStyle w:val="normaltextrun"/>
          <w:rFonts w:ascii="Arial" w:hAnsi="Arial" w:cs="Arial"/>
          <w:color w:val="000000"/>
          <w:sz w:val="22"/>
          <w:szCs w:val="22"/>
          <w:shd w:val="clear" w:color="auto" w:fill="FFFFFF"/>
          <w:lang w:val="es-MX"/>
        </w:rPr>
        <w:t xml:space="preserve">            Conforme a las consideraciones precedentes, la Ley 996 de 2005 establece dos (2) tipos de restricciones en materia de contratación, de las cuales solo aplica para efectos de las elecciones del presente año las del articulo 38 y no las del </w:t>
      </w:r>
      <w:r w:rsidR="00AD32A7">
        <w:rPr>
          <w:rStyle w:val="normaltextrun"/>
          <w:rFonts w:ascii="Arial" w:hAnsi="Arial" w:cs="Arial"/>
          <w:color w:val="000000"/>
          <w:sz w:val="22"/>
          <w:szCs w:val="22"/>
          <w:shd w:val="clear" w:color="auto" w:fill="FFFFFF"/>
          <w:lang w:val="es-MX"/>
        </w:rPr>
        <w:t xml:space="preserve">artículo </w:t>
      </w:r>
      <w:r>
        <w:rPr>
          <w:rStyle w:val="normaltextrun"/>
          <w:rFonts w:ascii="Arial" w:hAnsi="Arial" w:cs="Arial"/>
          <w:color w:val="000000"/>
          <w:sz w:val="22"/>
          <w:szCs w:val="22"/>
          <w:shd w:val="clear" w:color="auto" w:fill="FFFFFF"/>
          <w:lang w:val="es-MX"/>
        </w:rPr>
        <w:t>33. Lo anterior teniendo en cuenta que las del artículo 33 opera solo respecto de las elecciones presidenciales en virtud de la cual queda proscrita la contratación directa dentro de los cuatro (4) meses anteriores a la celebración de los comicios</w:t>
      </w:r>
      <w:r>
        <w:rPr>
          <w:rStyle w:val="Refdenotaalpie"/>
          <w:rFonts w:ascii="Arial" w:hAnsi="Arial" w:cs="Arial"/>
          <w:color w:val="000000"/>
          <w:sz w:val="22"/>
          <w:szCs w:val="22"/>
          <w:shd w:val="clear" w:color="auto" w:fill="FFFFFF"/>
          <w:lang w:val="es-MX"/>
        </w:rPr>
        <w:footnoteReference w:id="34"/>
      </w:r>
      <w:r>
        <w:rPr>
          <w:rStyle w:val="normaltextrun"/>
          <w:rFonts w:ascii="Arial" w:hAnsi="Arial" w:cs="Arial"/>
          <w:color w:val="000000"/>
          <w:sz w:val="22"/>
          <w:szCs w:val="22"/>
          <w:shd w:val="clear" w:color="auto" w:fill="FFFFFF"/>
          <w:lang w:val="es-MX"/>
        </w:rPr>
        <w:t xml:space="preserve">. Esto sin perjuicio de la prohibición del parágrafo del artículo 38, el cual debe aplicarse respecto de cualquier tipo de contienda electoral, </w:t>
      </w:r>
      <w:r w:rsidR="006A6788">
        <w:rPr>
          <w:rStyle w:val="normaltextrun"/>
          <w:rFonts w:ascii="Arial" w:hAnsi="Arial" w:cs="Arial"/>
          <w:color w:val="000000"/>
          <w:sz w:val="22"/>
          <w:szCs w:val="22"/>
          <w:shd w:val="clear" w:color="auto" w:fill="FFFFFF"/>
          <w:lang w:val="es-MX"/>
        </w:rPr>
        <w:t xml:space="preserve">como las elecciones que se llevaran a cabo en el presente año, </w:t>
      </w:r>
      <w:r>
        <w:rPr>
          <w:rStyle w:val="normaltextrun"/>
          <w:rFonts w:ascii="Arial" w:hAnsi="Arial" w:cs="Arial"/>
          <w:color w:val="000000"/>
          <w:sz w:val="22"/>
          <w:szCs w:val="22"/>
          <w:shd w:val="clear" w:color="auto" w:fill="FFFFFF"/>
          <w:lang w:val="es-MX"/>
        </w:rPr>
        <w:t>y que prohíbe la celebración de convenios interadministrativos que impliquen la ejecución de recursos públicos dentro de los cuatro (4) meses anteriores a la respectiva jornada de votaciones.</w:t>
      </w:r>
      <w:r>
        <w:rPr>
          <w:rStyle w:val="eop"/>
          <w:rFonts w:ascii="Arial" w:hAnsi="Arial" w:cs="Arial"/>
          <w:color w:val="000000"/>
          <w:sz w:val="22"/>
          <w:szCs w:val="22"/>
          <w:shd w:val="clear" w:color="auto" w:fill="FFFFFF"/>
        </w:rPr>
        <w:t> </w:t>
      </w:r>
    </w:p>
    <w:p w14:paraId="2A5F46F3" w14:textId="2B3D7950" w:rsidR="008C09F6" w:rsidRPr="007A0C25" w:rsidRDefault="003F6E3A" w:rsidP="008C09F6">
      <w:pPr>
        <w:tabs>
          <w:tab w:val="left" w:pos="426"/>
        </w:tabs>
        <w:spacing w:after="120" w:line="276" w:lineRule="auto"/>
        <w:ind w:firstLine="709"/>
        <w:jc w:val="both"/>
        <w:rPr>
          <w:rFonts w:ascii="Arial" w:hAnsi="Arial" w:cs="Arial"/>
          <w:bCs/>
          <w:lang w:eastAsia="es-CO"/>
        </w:rPr>
      </w:pPr>
      <w:r w:rsidRPr="0041726D">
        <w:rPr>
          <w:rFonts w:ascii="Arial" w:hAnsi="Arial" w:cs="Arial"/>
          <w:lang w:val="es-ES" w:eastAsia="es-CO"/>
        </w:rPr>
        <w:t> </w:t>
      </w:r>
      <w:r w:rsidRPr="0041726D">
        <w:rPr>
          <w:rFonts w:ascii="Arial" w:hAnsi="Arial" w:cs="Arial"/>
          <w:lang w:eastAsia="es-CO"/>
        </w:rPr>
        <w:t> </w:t>
      </w:r>
      <w:r w:rsidR="006A6788">
        <w:rPr>
          <w:rFonts w:ascii="Arial" w:hAnsi="Arial" w:cs="Arial"/>
          <w:bCs/>
          <w:lang w:eastAsia="es-CO"/>
        </w:rPr>
        <w:t>D</w:t>
      </w:r>
      <w:r w:rsidR="008C09F6" w:rsidRPr="00172738">
        <w:rPr>
          <w:rFonts w:ascii="Arial" w:hAnsi="Arial" w:cs="Arial"/>
          <w:bCs/>
          <w:lang w:eastAsia="es-CO"/>
        </w:rPr>
        <w:t>e cara a la pregunta planteada debe señalarse que</w:t>
      </w:r>
      <w:r w:rsidR="008C09F6" w:rsidRPr="1645D236">
        <w:rPr>
          <w:rFonts w:ascii="Arial" w:hAnsi="Arial" w:cs="Arial"/>
          <w:lang w:eastAsia="es-CO"/>
        </w:rPr>
        <w:t>,</w:t>
      </w:r>
      <w:r w:rsidR="008C09F6">
        <w:rPr>
          <w:rFonts w:ascii="Arial" w:hAnsi="Arial" w:cs="Arial"/>
          <w:bCs/>
          <w:lang w:eastAsia="es-CO"/>
        </w:rPr>
        <w:t xml:space="preserve"> a partir del 29 de junio de 2023, en virtud d</w:t>
      </w:r>
      <w:bookmarkStart w:id="45" w:name="_Hlk114828165"/>
      <w:r w:rsidR="008C09F6" w:rsidRPr="00172738">
        <w:rPr>
          <w:rFonts w:ascii="Arial" w:hAnsi="Arial" w:cs="Arial"/>
          <w:bCs/>
          <w:lang w:eastAsia="es-CO"/>
        </w:rPr>
        <w:t>el parágrafo del artículo 38 de la Ley 996 de 2005</w:t>
      </w:r>
      <w:r w:rsidR="008C09F6">
        <w:rPr>
          <w:rFonts w:ascii="Arial" w:hAnsi="Arial" w:cs="Arial"/>
          <w:bCs/>
          <w:lang w:eastAsia="es-CO"/>
        </w:rPr>
        <w:t>, se</w:t>
      </w:r>
      <w:r w:rsidR="008C09F6" w:rsidRPr="00172738">
        <w:rPr>
          <w:rFonts w:ascii="Arial" w:hAnsi="Arial" w:cs="Arial"/>
          <w:bCs/>
          <w:lang w:eastAsia="es-CO"/>
        </w:rPr>
        <w:t xml:space="preserve"> prohíbe a los alcaldes, gobernadores, secretarios, gerentes y directores de las entidades del orden municipal, departamental o distrital celebrar convenios y contratos interadministrativos para la ejecución de recursos públicos. En este sentido, los municipios no podrán celebrar tales convenios o contratos durante el periodo de aplicación de la Ley de Garantías Electorales, toda vez que la citada disposición hace referencia a dicha tipología contractual sin que el legislador hubiere contemplado excepción alguna frente a la modalidad de selección o naturaleza de su objeto.</w:t>
      </w:r>
      <w:r w:rsidR="008C09F6" w:rsidRPr="007A0C25">
        <w:rPr>
          <w:rFonts w:ascii="Arial" w:eastAsia="Times New Roman" w:hAnsi="Arial" w:cs="Arial"/>
          <w:bCs/>
          <w:lang w:eastAsia="es-CO"/>
        </w:rPr>
        <w:t xml:space="preserve"> </w:t>
      </w:r>
      <w:r w:rsidR="008C09F6" w:rsidRPr="00172738">
        <w:rPr>
          <w:rFonts w:ascii="Arial" w:eastAsia="Times New Roman" w:hAnsi="Arial" w:cs="Arial"/>
          <w:bCs/>
          <w:lang w:eastAsia="es-CO"/>
        </w:rPr>
        <w:t>De esta manera, la prohibición aplica a todos los contratos</w:t>
      </w:r>
      <w:r w:rsidR="008C09F6" w:rsidRPr="1645D236">
        <w:rPr>
          <w:rFonts w:ascii="Arial" w:eastAsia="Times New Roman" w:hAnsi="Arial" w:cs="Arial"/>
          <w:lang w:eastAsia="es-CO"/>
        </w:rPr>
        <w:t xml:space="preserve"> o convenios</w:t>
      </w:r>
      <w:r w:rsidR="008C09F6" w:rsidRPr="00172738">
        <w:rPr>
          <w:rFonts w:ascii="Arial" w:eastAsia="Times New Roman" w:hAnsi="Arial" w:cs="Arial"/>
          <w:bCs/>
          <w:lang w:eastAsia="es-CO"/>
        </w:rPr>
        <w:t xml:space="preserve"> interadministrativos con independencia de que estén o no precedidos de un procedimiento de selección con pluralidad de oferentes.</w:t>
      </w:r>
      <w:r w:rsidR="008C09F6" w:rsidRPr="007A0C25">
        <w:rPr>
          <w:rFonts w:ascii="Arial" w:eastAsia="Times New Roman" w:hAnsi="Arial" w:cs="Arial"/>
          <w:bCs/>
          <w:lang w:eastAsia="es-CO"/>
        </w:rPr>
        <w:t xml:space="preserve"> Esto por cuanto, como se indicó, el contrato o convenio interadministrativo no se define </w:t>
      </w:r>
      <w:r w:rsidR="008C09F6" w:rsidRPr="007A0C25">
        <w:rPr>
          <w:rFonts w:ascii="Arial" w:eastAsia="Times New Roman" w:hAnsi="Arial" w:cs="Arial"/>
          <w:bCs/>
          <w:lang w:eastAsia="es-CO"/>
        </w:rPr>
        <w:lastRenderedPageBreak/>
        <w:t>por la modalidad de selección, sino por la naturaleza pública de quienes lo celebran, es decir, por un criterio orgánico.</w:t>
      </w:r>
      <w:r w:rsidR="008C09F6" w:rsidRPr="007A0C25">
        <w:rPr>
          <w:rFonts w:ascii="Arial" w:eastAsia="Calibri" w:hAnsi="Arial" w:cs="Arial"/>
          <w:color w:val="000000" w:themeColor="text1"/>
        </w:rPr>
        <w:t> </w:t>
      </w:r>
      <w:bookmarkEnd w:id="45"/>
    </w:p>
    <w:p w14:paraId="2431A6BB" w14:textId="77777777" w:rsidR="008C09F6" w:rsidRDefault="008C09F6" w:rsidP="008C09F6">
      <w:pPr>
        <w:spacing w:after="0" w:line="276" w:lineRule="auto"/>
        <w:ind w:firstLine="709"/>
        <w:jc w:val="both"/>
        <w:rPr>
          <w:rFonts w:ascii="Arial" w:hAnsi="Arial" w:cs="Arial"/>
          <w:bCs/>
          <w:lang w:val="es-ES"/>
        </w:rPr>
      </w:pPr>
      <w:r w:rsidRPr="007A0C25">
        <w:rPr>
          <w:rFonts w:ascii="Arial" w:eastAsia="Calibri" w:hAnsi="Arial" w:cs="Arial"/>
          <w:bCs/>
          <w:lang w:eastAsia="es-CO"/>
        </w:rPr>
        <w:t>Bajo estas consideraciones, corresponde a cada entidad pública, en ejercicio de su competencia y previa valoración de los elementos fácticos y jurídicos, determinar si es procedente o no la celebración de un determinado contrato</w:t>
      </w:r>
      <w:r>
        <w:rPr>
          <w:rFonts w:ascii="Arial" w:eastAsia="Calibri" w:hAnsi="Arial" w:cs="Arial"/>
          <w:bCs/>
          <w:lang w:eastAsia="es-CO"/>
        </w:rPr>
        <w:t xml:space="preserve"> o convenio</w:t>
      </w:r>
      <w:r w:rsidRPr="007A0C25">
        <w:rPr>
          <w:rFonts w:ascii="Arial" w:eastAsia="Calibri" w:hAnsi="Arial" w:cs="Arial"/>
          <w:bCs/>
          <w:lang w:eastAsia="es-CO"/>
        </w:rPr>
        <w:t xml:space="preserve">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7A0C25">
        <w:rPr>
          <w:rFonts w:ascii="Arial" w:hAnsi="Arial" w:cs="Arial"/>
          <w:bCs/>
          <w:lang w:val="es-ES"/>
        </w:rPr>
        <w:t xml:space="preserve"> </w:t>
      </w:r>
    </w:p>
    <w:p w14:paraId="1A8D9C1A" w14:textId="77777777" w:rsidR="008C09F6" w:rsidRPr="007A0C25" w:rsidRDefault="008C09F6" w:rsidP="00500AD4">
      <w:pPr>
        <w:spacing w:after="0" w:line="276" w:lineRule="auto"/>
        <w:ind w:firstLine="709"/>
        <w:jc w:val="both"/>
        <w:rPr>
          <w:rFonts w:ascii="Arial" w:eastAsia="Calibri" w:hAnsi="Arial" w:cs="Arial"/>
        </w:rPr>
      </w:pPr>
    </w:p>
    <w:p w14:paraId="37E3FA64" w14:textId="778EA99F" w:rsidR="003F6E3A" w:rsidRPr="0041726D" w:rsidRDefault="003F6E3A" w:rsidP="003F6E3A">
      <w:pPr>
        <w:jc w:val="both"/>
        <w:textAlignment w:val="baseline"/>
        <w:rPr>
          <w:rFonts w:ascii="Segoe UI" w:hAnsi="Segoe UI" w:cs="Segoe UI"/>
          <w:sz w:val="18"/>
          <w:szCs w:val="18"/>
          <w:lang w:eastAsia="es-CO"/>
        </w:rPr>
      </w:pPr>
      <w:r>
        <w:rPr>
          <w:rFonts w:ascii="Arial" w:hAnsi="Arial" w:cs="Arial"/>
          <w:lang w:val="es-MX" w:eastAsia="es-CO"/>
        </w:rPr>
        <w:t xml:space="preserve"> </w:t>
      </w:r>
      <w:r w:rsidRPr="0041726D">
        <w:rPr>
          <w:rFonts w:ascii="Arial" w:hAnsi="Arial" w:cs="Arial"/>
          <w:lang w:val="es-MX" w:eastAsia="es-CO"/>
        </w:rPr>
        <w:t>Este concepto tiene el alcance previsto en el artículo 28 del Código de Procedimiento Administrativo y de lo Contencioso Administrativo.</w:t>
      </w:r>
    </w:p>
    <w:p w14:paraId="6F4B784C" w14:textId="77777777" w:rsidR="0042193B" w:rsidRPr="00CD211F" w:rsidRDefault="0042193B" w:rsidP="0042193B">
      <w:pPr>
        <w:spacing w:after="0" w:line="276" w:lineRule="auto"/>
        <w:contextualSpacing/>
        <w:jc w:val="both"/>
        <w:textAlignment w:val="baseline"/>
        <w:rPr>
          <w:rFonts w:ascii="Arial" w:eastAsia="Times New Roman" w:hAnsi="Arial" w:cs="Arial"/>
          <w:lang w:eastAsia="es-CO"/>
        </w:rPr>
      </w:pPr>
      <w:r w:rsidRPr="00CD211F">
        <w:rPr>
          <w:rFonts w:ascii="Arial" w:hAnsi="Arial" w:cs="Arial"/>
          <w:lang w:val="es-ES"/>
        </w:rPr>
        <w:t>Atentamente</w:t>
      </w:r>
      <w:r w:rsidRPr="00CD211F">
        <w:rPr>
          <w:rFonts w:ascii="Arial" w:eastAsia="Times New Roman" w:hAnsi="Arial" w:cs="Arial"/>
          <w:lang w:val="es-MX" w:eastAsia="es-CO"/>
        </w:rPr>
        <w:t>,</w:t>
      </w:r>
      <w:r w:rsidRPr="00CD211F">
        <w:rPr>
          <w:rFonts w:ascii="Arial" w:eastAsia="Times New Roman" w:hAnsi="Arial" w:cs="Arial"/>
          <w:lang w:eastAsia="es-CO"/>
        </w:rPr>
        <w:t> </w:t>
      </w:r>
    </w:p>
    <w:p w14:paraId="3D52F1C6" w14:textId="77777777" w:rsidR="0042193B" w:rsidRPr="00CD211F" w:rsidRDefault="0042193B" w:rsidP="0042193B">
      <w:pPr>
        <w:spacing w:after="0" w:line="276" w:lineRule="auto"/>
        <w:contextualSpacing/>
        <w:jc w:val="center"/>
        <w:textAlignment w:val="baseline"/>
        <w:rPr>
          <w:rFonts w:ascii="Arial" w:eastAsia="Times New Roman" w:hAnsi="Arial" w:cs="Arial"/>
          <w:lang w:eastAsia="es-CO"/>
        </w:rPr>
      </w:pPr>
    </w:p>
    <w:p w14:paraId="3211FDA4" w14:textId="19E6F186" w:rsidR="0042193B" w:rsidRPr="00CD211F" w:rsidRDefault="00B53F08" w:rsidP="0042193B">
      <w:pPr>
        <w:spacing w:after="0" w:line="276" w:lineRule="auto"/>
        <w:jc w:val="center"/>
        <w:textAlignment w:val="baseline"/>
        <w:rPr>
          <w:rFonts w:ascii="Arial" w:eastAsia="Times New Roman" w:hAnsi="Arial" w:cs="Arial"/>
          <w:sz w:val="18"/>
          <w:szCs w:val="18"/>
          <w:lang w:eastAsia="es-CO"/>
        </w:rPr>
      </w:pPr>
      <w:r w:rsidRPr="00B53F08">
        <w:rPr>
          <w:rFonts w:ascii="Arial" w:eastAsia="Times New Roman" w:hAnsi="Arial" w:cs="Arial"/>
          <w:noProof/>
          <w:sz w:val="18"/>
          <w:szCs w:val="18"/>
          <w:lang w:eastAsia="es-CO"/>
        </w:rPr>
        <w:drawing>
          <wp:inline distT="0" distB="0" distL="0" distR="0" wp14:anchorId="4942FA2E" wp14:editId="69B98E29">
            <wp:extent cx="3120390" cy="1200150"/>
            <wp:effectExtent l="0" t="0" r="3810" b="0"/>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25715" cy="1202198"/>
                    </a:xfrm>
                    <a:prstGeom prst="rect">
                      <a:avLst/>
                    </a:prstGeom>
                    <a:noFill/>
                    <a:ln>
                      <a:noFill/>
                    </a:ln>
                  </pic:spPr>
                </pic:pic>
              </a:graphicData>
            </a:graphic>
          </wp:inline>
        </w:drawing>
      </w:r>
    </w:p>
    <w:p w14:paraId="2C988658" w14:textId="77777777" w:rsidR="0042193B" w:rsidRPr="00CD211F" w:rsidRDefault="0042193B" w:rsidP="0042193B">
      <w:pPr>
        <w:spacing w:after="0" w:line="276" w:lineRule="auto"/>
        <w:textAlignment w:val="baseline"/>
        <w:rPr>
          <w:rFonts w:ascii="Arial" w:eastAsia="Times New Roman" w:hAnsi="Arial" w:cs="Arial"/>
          <w:sz w:val="16"/>
          <w:szCs w:val="16"/>
          <w:lang w:eastAsia="es-CO"/>
        </w:rPr>
      </w:pPr>
      <w:r w:rsidRPr="00CD211F">
        <w:rPr>
          <w:rFonts w:ascii="Arial" w:eastAsia="Times New Roman" w:hAnsi="Arial" w:cs="Arial"/>
          <w:sz w:val="16"/>
          <w:szCs w:val="16"/>
          <w:lang w:eastAsia="es-CO"/>
        </w:rPr>
        <w:t> </w:t>
      </w:r>
    </w:p>
    <w:tbl>
      <w:tblPr>
        <w:tblW w:w="85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5"/>
        <w:gridCol w:w="7706"/>
      </w:tblGrid>
      <w:tr w:rsidR="0042193B" w:rsidRPr="00CD211F" w14:paraId="1E06D864" w14:textId="77777777" w:rsidTr="00DE3BE9">
        <w:trPr>
          <w:trHeight w:val="383"/>
        </w:trPr>
        <w:tc>
          <w:tcPr>
            <w:tcW w:w="875" w:type="dxa"/>
            <w:tcBorders>
              <w:top w:val="nil"/>
              <w:left w:val="nil"/>
              <w:bottom w:val="nil"/>
              <w:right w:val="nil"/>
            </w:tcBorders>
            <w:vAlign w:val="center"/>
            <w:hideMark/>
          </w:tcPr>
          <w:p w14:paraId="7266B7A8" w14:textId="77777777" w:rsidR="0042193B" w:rsidRPr="00CD211F" w:rsidRDefault="0042193B" w:rsidP="0027730F">
            <w:pPr>
              <w:spacing w:after="0" w:line="276" w:lineRule="auto"/>
              <w:textAlignment w:val="baseline"/>
              <w:rPr>
                <w:rFonts w:ascii="Arial" w:eastAsia="Times New Roman" w:hAnsi="Arial" w:cs="Arial"/>
                <w:sz w:val="16"/>
                <w:szCs w:val="16"/>
                <w:lang w:eastAsia="es-CO"/>
              </w:rPr>
            </w:pPr>
            <w:r w:rsidRPr="00CD211F">
              <w:rPr>
                <w:rFonts w:ascii="Arial" w:eastAsia="Times New Roman" w:hAnsi="Arial" w:cs="Arial"/>
                <w:sz w:val="16"/>
                <w:szCs w:val="16"/>
                <w:lang w:val="es-MX" w:eastAsia="es-CO"/>
              </w:rPr>
              <w:t>Elaboró:</w:t>
            </w:r>
            <w:r w:rsidRPr="00CD211F">
              <w:rPr>
                <w:rFonts w:ascii="Arial" w:eastAsia="Times New Roman" w:hAnsi="Arial" w:cs="Arial"/>
                <w:sz w:val="16"/>
                <w:szCs w:val="16"/>
                <w:lang w:eastAsia="es-CO"/>
              </w:rPr>
              <w:t> </w:t>
            </w:r>
          </w:p>
        </w:tc>
        <w:tc>
          <w:tcPr>
            <w:tcW w:w="7706" w:type="dxa"/>
            <w:tcBorders>
              <w:top w:val="nil"/>
              <w:left w:val="nil"/>
              <w:bottom w:val="dotted" w:sz="6" w:space="0" w:color="7F7F7F"/>
              <w:right w:val="nil"/>
            </w:tcBorders>
            <w:vAlign w:val="center"/>
            <w:hideMark/>
          </w:tcPr>
          <w:p w14:paraId="69A09DA1" w14:textId="77777777" w:rsidR="0042193B" w:rsidRPr="00CD211F" w:rsidRDefault="0042193B" w:rsidP="0027730F">
            <w:pPr>
              <w:spacing w:after="0" w:line="240" w:lineRule="auto"/>
              <w:textAlignment w:val="baseline"/>
              <w:rPr>
                <w:rFonts w:ascii="Arial" w:eastAsia="Times New Roman" w:hAnsi="Arial" w:cs="Arial"/>
                <w:sz w:val="16"/>
                <w:szCs w:val="16"/>
                <w:lang w:val="es-MX" w:eastAsia="es-CO"/>
              </w:rPr>
            </w:pPr>
            <w:r>
              <w:rPr>
                <w:rFonts w:ascii="Arial" w:eastAsia="Times New Roman" w:hAnsi="Arial" w:cs="Arial"/>
                <w:sz w:val="16"/>
                <w:szCs w:val="16"/>
                <w:lang w:val="es-MX" w:eastAsia="es-CO"/>
              </w:rPr>
              <w:t>Christian Camilo Orjuela Galeano</w:t>
            </w:r>
            <w:r w:rsidRPr="00CD211F">
              <w:rPr>
                <w:rFonts w:ascii="Arial" w:eastAsia="Times New Roman" w:hAnsi="Arial" w:cs="Arial"/>
                <w:sz w:val="16"/>
                <w:szCs w:val="16"/>
                <w:lang w:val="es-MX" w:eastAsia="es-CO"/>
              </w:rPr>
              <w:t xml:space="preserve"> </w:t>
            </w:r>
          </w:p>
          <w:p w14:paraId="51CC19CE" w14:textId="77777777" w:rsidR="0042193B" w:rsidRPr="00CD211F" w:rsidRDefault="0042193B" w:rsidP="0027730F">
            <w:pPr>
              <w:spacing w:after="0" w:line="240" w:lineRule="auto"/>
              <w:textAlignment w:val="baseline"/>
              <w:rPr>
                <w:rFonts w:ascii="Arial" w:eastAsia="Times New Roman" w:hAnsi="Arial" w:cs="Arial"/>
                <w:sz w:val="16"/>
                <w:szCs w:val="16"/>
                <w:lang w:eastAsia="es-CO"/>
              </w:rPr>
            </w:pPr>
            <w:r>
              <w:rPr>
                <w:rFonts w:ascii="Arial" w:eastAsia="Times New Roman" w:hAnsi="Arial" w:cs="Arial"/>
                <w:sz w:val="16"/>
                <w:szCs w:val="16"/>
                <w:lang w:val="es-MX" w:eastAsia="es-CO"/>
              </w:rPr>
              <w:t>Contratista</w:t>
            </w:r>
            <w:r w:rsidRPr="00CD211F">
              <w:rPr>
                <w:rFonts w:ascii="Arial" w:eastAsia="Times New Roman" w:hAnsi="Arial" w:cs="Arial"/>
                <w:sz w:val="16"/>
                <w:szCs w:val="16"/>
                <w:lang w:val="es-MX" w:eastAsia="es-CO"/>
              </w:rPr>
              <w:t xml:space="preserve"> </w:t>
            </w:r>
            <w:r w:rsidRPr="00CD211F">
              <w:rPr>
                <w:rFonts w:ascii="Arial" w:eastAsia="Times New Roman" w:hAnsi="Arial" w:cs="Arial"/>
                <w:sz w:val="16"/>
                <w:szCs w:val="16"/>
                <w:lang w:eastAsia="es-CO"/>
              </w:rPr>
              <w:t>Subdirección de Gestión Contractual</w:t>
            </w:r>
          </w:p>
        </w:tc>
      </w:tr>
      <w:tr w:rsidR="0042193B" w:rsidRPr="00CD211F" w14:paraId="589B21B4" w14:textId="77777777" w:rsidTr="00DE3BE9">
        <w:trPr>
          <w:trHeight w:val="383"/>
        </w:trPr>
        <w:tc>
          <w:tcPr>
            <w:tcW w:w="875" w:type="dxa"/>
            <w:tcBorders>
              <w:top w:val="nil"/>
              <w:left w:val="nil"/>
              <w:bottom w:val="nil"/>
              <w:right w:val="nil"/>
            </w:tcBorders>
            <w:vAlign w:val="center"/>
            <w:hideMark/>
          </w:tcPr>
          <w:p w14:paraId="07A84508" w14:textId="77777777" w:rsidR="0042193B" w:rsidRPr="00CD211F" w:rsidRDefault="0042193B" w:rsidP="0027730F">
            <w:pPr>
              <w:spacing w:after="0" w:line="276" w:lineRule="auto"/>
              <w:textAlignment w:val="baseline"/>
              <w:rPr>
                <w:rFonts w:ascii="Arial" w:eastAsia="Times New Roman" w:hAnsi="Arial" w:cs="Arial"/>
                <w:sz w:val="16"/>
                <w:szCs w:val="16"/>
                <w:lang w:eastAsia="es-CO"/>
              </w:rPr>
            </w:pPr>
            <w:r w:rsidRPr="00CD211F">
              <w:rPr>
                <w:rFonts w:ascii="Arial" w:eastAsia="Times New Roman" w:hAnsi="Arial" w:cs="Arial"/>
                <w:sz w:val="16"/>
                <w:szCs w:val="16"/>
                <w:lang w:val="es-MX" w:eastAsia="es-CO"/>
              </w:rPr>
              <w:t>Revisó:</w:t>
            </w:r>
            <w:r w:rsidRPr="00CD211F">
              <w:rPr>
                <w:rFonts w:ascii="Arial" w:eastAsia="Times New Roman" w:hAnsi="Arial" w:cs="Arial"/>
                <w:sz w:val="16"/>
                <w:szCs w:val="16"/>
                <w:lang w:eastAsia="es-CO"/>
              </w:rPr>
              <w:t> </w:t>
            </w:r>
          </w:p>
        </w:tc>
        <w:tc>
          <w:tcPr>
            <w:tcW w:w="7706" w:type="dxa"/>
            <w:tcBorders>
              <w:top w:val="dotted" w:sz="6" w:space="0" w:color="7F7F7F"/>
              <w:left w:val="nil"/>
              <w:bottom w:val="dotted" w:sz="6" w:space="0" w:color="7F7F7F"/>
              <w:right w:val="nil"/>
            </w:tcBorders>
            <w:vAlign w:val="center"/>
            <w:hideMark/>
          </w:tcPr>
          <w:p w14:paraId="5D6CE912" w14:textId="6ABAE187" w:rsidR="0042193B" w:rsidRPr="00CD211F" w:rsidRDefault="00DE3BE9" w:rsidP="0027730F">
            <w:pPr>
              <w:spacing w:after="0" w:line="276" w:lineRule="auto"/>
              <w:textAlignment w:val="baseline"/>
              <w:rPr>
                <w:rFonts w:ascii="Arial" w:eastAsia="Times New Roman" w:hAnsi="Arial" w:cs="Arial"/>
                <w:sz w:val="16"/>
                <w:szCs w:val="16"/>
                <w:lang w:val="es-MX" w:eastAsia="es-CO"/>
              </w:rPr>
            </w:pPr>
            <w:r>
              <w:rPr>
                <w:rFonts w:ascii="Arial" w:eastAsia="Times New Roman" w:hAnsi="Arial" w:cs="Arial"/>
                <w:sz w:val="16"/>
                <w:szCs w:val="16"/>
                <w:lang w:val="es-MX" w:eastAsia="es-CO"/>
              </w:rPr>
              <w:t xml:space="preserve">Diana Lucia Saavedra </w:t>
            </w:r>
            <w:r w:rsidR="0056628B">
              <w:rPr>
                <w:rFonts w:ascii="Arial" w:eastAsia="Times New Roman" w:hAnsi="Arial" w:cs="Arial"/>
                <w:sz w:val="16"/>
                <w:szCs w:val="16"/>
                <w:lang w:val="es-MX" w:eastAsia="es-CO"/>
              </w:rPr>
              <w:t>Castañeda</w:t>
            </w:r>
          </w:p>
          <w:p w14:paraId="363634FA" w14:textId="1BA48D97" w:rsidR="0042193B" w:rsidRPr="00CD211F" w:rsidRDefault="00DE3BE9" w:rsidP="0027730F">
            <w:pPr>
              <w:spacing w:after="0" w:line="240" w:lineRule="auto"/>
              <w:textAlignment w:val="baseline"/>
              <w:rPr>
                <w:rFonts w:ascii="Arial" w:eastAsia="Times New Roman" w:hAnsi="Arial" w:cs="Arial"/>
                <w:sz w:val="16"/>
                <w:szCs w:val="16"/>
                <w:lang w:eastAsia="es-CO"/>
              </w:rPr>
            </w:pPr>
            <w:r>
              <w:rPr>
                <w:rFonts w:ascii="Arial" w:eastAsia="Times New Roman" w:hAnsi="Arial" w:cs="Arial"/>
                <w:sz w:val="16"/>
                <w:szCs w:val="16"/>
                <w:lang w:val="es-MX" w:eastAsia="es-CO"/>
              </w:rPr>
              <w:t>Contratista</w:t>
            </w:r>
            <w:r w:rsidR="0042193B" w:rsidRPr="00CD211F">
              <w:rPr>
                <w:rFonts w:ascii="Arial" w:eastAsia="Times New Roman" w:hAnsi="Arial" w:cs="Arial"/>
                <w:sz w:val="16"/>
                <w:szCs w:val="16"/>
                <w:lang w:val="es-MX" w:eastAsia="es-CO"/>
              </w:rPr>
              <w:t xml:space="preserve"> Subdirección de Gestión Contractual</w:t>
            </w:r>
          </w:p>
        </w:tc>
      </w:tr>
      <w:tr w:rsidR="0042193B" w:rsidRPr="00CD211F" w14:paraId="1DE57351" w14:textId="77777777" w:rsidTr="00DE3BE9">
        <w:trPr>
          <w:trHeight w:val="365"/>
        </w:trPr>
        <w:tc>
          <w:tcPr>
            <w:tcW w:w="875" w:type="dxa"/>
            <w:tcBorders>
              <w:top w:val="nil"/>
              <w:left w:val="nil"/>
              <w:bottom w:val="nil"/>
              <w:right w:val="nil"/>
            </w:tcBorders>
            <w:vAlign w:val="center"/>
            <w:hideMark/>
          </w:tcPr>
          <w:p w14:paraId="5268C9C9" w14:textId="77777777" w:rsidR="0042193B" w:rsidRPr="00CD211F" w:rsidRDefault="0042193B" w:rsidP="0027730F">
            <w:pPr>
              <w:spacing w:after="0" w:line="276" w:lineRule="auto"/>
              <w:textAlignment w:val="baseline"/>
              <w:rPr>
                <w:rFonts w:ascii="Arial" w:eastAsia="Times New Roman" w:hAnsi="Arial" w:cs="Arial"/>
                <w:sz w:val="16"/>
                <w:szCs w:val="16"/>
                <w:lang w:eastAsia="es-CO"/>
              </w:rPr>
            </w:pPr>
            <w:r w:rsidRPr="00CD211F">
              <w:rPr>
                <w:rFonts w:ascii="Arial" w:eastAsia="Times New Roman" w:hAnsi="Arial" w:cs="Arial"/>
                <w:sz w:val="16"/>
                <w:szCs w:val="16"/>
                <w:lang w:val="es-MX" w:eastAsia="es-CO"/>
              </w:rPr>
              <w:t>Aprobó:</w:t>
            </w:r>
            <w:r w:rsidRPr="00CD211F">
              <w:rPr>
                <w:rFonts w:ascii="Arial" w:eastAsia="Times New Roman" w:hAnsi="Arial" w:cs="Arial"/>
                <w:sz w:val="16"/>
                <w:szCs w:val="16"/>
                <w:lang w:eastAsia="es-CO"/>
              </w:rPr>
              <w:t> </w:t>
            </w:r>
          </w:p>
        </w:tc>
        <w:tc>
          <w:tcPr>
            <w:tcW w:w="7706" w:type="dxa"/>
            <w:tcBorders>
              <w:top w:val="dotted" w:sz="6" w:space="0" w:color="7F7F7F"/>
              <w:left w:val="nil"/>
              <w:bottom w:val="dotted" w:sz="6" w:space="0" w:color="7F7F7F"/>
              <w:right w:val="nil"/>
            </w:tcBorders>
            <w:vAlign w:val="center"/>
            <w:hideMark/>
          </w:tcPr>
          <w:p w14:paraId="1912043B" w14:textId="77777777" w:rsidR="0042193B" w:rsidRPr="00CD211F" w:rsidRDefault="0042193B" w:rsidP="0027730F">
            <w:pPr>
              <w:spacing w:after="0" w:line="240" w:lineRule="auto"/>
              <w:textAlignment w:val="baseline"/>
              <w:rPr>
                <w:rFonts w:ascii="Arial" w:eastAsia="Times New Roman" w:hAnsi="Arial" w:cs="Arial"/>
                <w:sz w:val="16"/>
                <w:szCs w:val="16"/>
                <w:lang w:val="es-ES_tradnl" w:eastAsia="es-CO"/>
              </w:rPr>
            </w:pPr>
            <w:r w:rsidRPr="00CD211F">
              <w:rPr>
                <w:rFonts w:ascii="Arial" w:eastAsia="Times New Roman" w:hAnsi="Arial" w:cs="Arial"/>
                <w:sz w:val="16"/>
                <w:szCs w:val="16"/>
                <w:lang w:val="es-ES_tradnl" w:eastAsia="es-CO"/>
              </w:rPr>
              <w:t>Nohelia del Carmen Zawady Palacio</w:t>
            </w:r>
          </w:p>
          <w:p w14:paraId="63390799" w14:textId="77777777" w:rsidR="0042193B" w:rsidRPr="00CD211F" w:rsidRDefault="0042193B" w:rsidP="0027730F">
            <w:pPr>
              <w:spacing w:after="0" w:line="240" w:lineRule="auto"/>
              <w:textAlignment w:val="baseline"/>
              <w:rPr>
                <w:rFonts w:ascii="Arial" w:eastAsia="Times New Roman" w:hAnsi="Arial" w:cs="Arial"/>
                <w:sz w:val="16"/>
                <w:szCs w:val="16"/>
                <w:lang w:eastAsia="es-CO"/>
              </w:rPr>
            </w:pPr>
            <w:r w:rsidRPr="00CD211F">
              <w:rPr>
                <w:rFonts w:ascii="Arial" w:eastAsia="Times New Roman" w:hAnsi="Arial" w:cs="Arial"/>
                <w:sz w:val="16"/>
                <w:szCs w:val="16"/>
                <w:lang w:val="es-ES_tradnl" w:eastAsia="es-CO"/>
              </w:rPr>
              <w:t>Subdirectora de Gestión Contractual ANCP-CCE</w:t>
            </w:r>
          </w:p>
        </w:tc>
      </w:tr>
    </w:tbl>
    <w:p w14:paraId="5A72D2EB" w14:textId="77777777" w:rsidR="00694A0E" w:rsidRPr="007566FE" w:rsidRDefault="00694A0E" w:rsidP="6B8BD3AC">
      <w:pPr>
        <w:rPr>
          <w:rFonts w:ascii="Geomanist Light" w:eastAsia="Geomanist Light" w:hAnsi="Geomanist Light" w:cs="Geomanist Light"/>
          <w:color w:val="201F1E"/>
          <w:lang w:val="es-MX"/>
        </w:rPr>
      </w:pPr>
    </w:p>
    <w:sectPr w:rsidR="00694A0E" w:rsidRPr="007566FE"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8AADF" w14:textId="77777777" w:rsidR="00317D3A" w:rsidRDefault="00317D3A" w:rsidP="004A1847">
      <w:pPr>
        <w:spacing w:after="0" w:line="240" w:lineRule="auto"/>
      </w:pPr>
      <w:r>
        <w:separator/>
      </w:r>
    </w:p>
  </w:endnote>
  <w:endnote w:type="continuationSeparator" w:id="0">
    <w:p w14:paraId="6A85455C" w14:textId="77777777" w:rsidR="00317D3A" w:rsidRDefault="00317D3A" w:rsidP="004A1847">
      <w:pPr>
        <w:spacing w:after="0" w:line="240" w:lineRule="auto"/>
      </w:pPr>
      <w:r>
        <w:continuationSeparator/>
      </w:r>
    </w:p>
  </w:endnote>
  <w:endnote w:type="continuationNotice" w:id="1">
    <w:p w14:paraId="6E5888A8" w14:textId="77777777" w:rsidR="00317D3A" w:rsidRDefault="00317D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8F072" w14:textId="77777777" w:rsidR="00317D3A" w:rsidRDefault="00317D3A" w:rsidP="004A1847">
      <w:pPr>
        <w:spacing w:after="0" w:line="240" w:lineRule="auto"/>
      </w:pPr>
      <w:r>
        <w:separator/>
      </w:r>
    </w:p>
  </w:footnote>
  <w:footnote w:type="continuationSeparator" w:id="0">
    <w:p w14:paraId="1C84243F" w14:textId="77777777" w:rsidR="00317D3A" w:rsidRDefault="00317D3A" w:rsidP="004A1847">
      <w:pPr>
        <w:spacing w:after="0" w:line="240" w:lineRule="auto"/>
      </w:pPr>
      <w:r>
        <w:continuationSeparator/>
      </w:r>
    </w:p>
  </w:footnote>
  <w:footnote w:type="continuationNotice" w:id="1">
    <w:p w14:paraId="0E1C280F" w14:textId="77777777" w:rsidR="00317D3A" w:rsidRDefault="00317D3A">
      <w:pPr>
        <w:spacing w:after="0" w:line="240" w:lineRule="auto"/>
      </w:pPr>
    </w:p>
  </w:footnote>
  <w:footnote w:id="2">
    <w:p w14:paraId="3797D1CD" w14:textId="7700EBC3" w:rsidR="00CC6E62" w:rsidRPr="00500AD4" w:rsidRDefault="00CC6E62" w:rsidP="00BC4997">
      <w:pPr>
        <w:pStyle w:val="Textonotapie"/>
        <w:ind w:firstLine="708"/>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w:t>
      </w:r>
      <w:r w:rsidRPr="005F2405">
        <w:rPr>
          <w:rFonts w:ascii="Arial" w:hAnsi="Arial" w:cs="Arial"/>
          <w:sz w:val="18"/>
          <w:szCs w:val="18"/>
          <w:lang w:val="es-CO"/>
        </w:rPr>
        <w:t xml:space="preserve">Estos conceptos pueden ser consultados en: </w:t>
      </w:r>
      <w:hyperlink r:id="rId1" w:history="1">
        <w:r w:rsidRPr="005F2405">
          <w:rPr>
            <w:rStyle w:val="Hipervnculo"/>
            <w:rFonts w:ascii="Arial" w:hAnsi="Arial" w:cs="Arial"/>
            <w:sz w:val="18"/>
            <w:szCs w:val="18"/>
          </w:rPr>
          <w:t>https://relatoria.colombiacompra.gov.co/busqueda/conceptos#</w:t>
        </w:r>
      </w:hyperlink>
    </w:p>
  </w:footnote>
  <w:footnote w:id="3">
    <w:p w14:paraId="0FC5B274" w14:textId="77777777" w:rsidR="003F6E3A" w:rsidRPr="00500AD4" w:rsidRDefault="003F6E3A" w:rsidP="005F2405">
      <w:pPr>
        <w:pStyle w:val="Textonotapie"/>
        <w:ind w:firstLine="709"/>
        <w:contextualSpacing/>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E5BD87E" w14:textId="77777777" w:rsidR="003F6E3A" w:rsidRPr="00500AD4" w:rsidRDefault="003F6E3A" w:rsidP="005F2405">
      <w:pPr>
        <w:pStyle w:val="Textonotapie"/>
        <w:ind w:firstLine="709"/>
        <w:contextualSpacing/>
        <w:jc w:val="both"/>
        <w:rPr>
          <w:rFonts w:ascii="Arial" w:hAnsi="Arial" w:cs="Arial"/>
          <w:sz w:val="18"/>
          <w:szCs w:val="18"/>
        </w:rPr>
      </w:pPr>
      <w:r w:rsidRPr="00500AD4">
        <w:rPr>
          <w:rFonts w:ascii="Arial" w:hAnsi="Arial" w:cs="Arial"/>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14:paraId="148D3723" w14:textId="77777777" w:rsidR="003F6E3A" w:rsidRPr="00500AD4" w:rsidRDefault="003F6E3A" w:rsidP="005F2405">
      <w:pPr>
        <w:pStyle w:val="Textonotapie"/>
        <w:ind w:firstLine="709"/>
        <w:contextualSpacing/>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Gaceta del Congreso de la República No. 71 del 2005.</w:t>
      </w:r>
    </w:p>
  </w:footnote>
  <w:footnote w:id="5">
    <w:p w14:paraId="0888F9A2" w14:textId="77777777" w:rsidR="003F6E3A" w:rsidRPr="00500AD4" w:rsidRDefault="003F6E3A" w:rsidP="005F2405">
      <w:pPr>
        <w:pStyle w:val="Textonotapie"/>
        <w:ind w:firstLine="709"/>
        <w:contextualSpacing/>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Corte Constitucional, Sentencia C- 1153 de 2005, M.P. Marco Gerardo Monroy Cabra.</w:t>
      </w:r>
    </w:p>
  </w:footnote>
  <w:footnote w:id="6">
    <w:p w14:paraId="09DD6D02" w14:textId="77777777" w:rsidR="003F6E3A" w:rsidRPr="00500AD4" w:rsidRDefault="003F6E3A" w:rsidP="005F2405">
      <w:pPr>
        <w:pStyle w:val="Textonotapie"/>
        <w:ind w:firstLine="709"/>
        <w:contextualSpacing/>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0EAB9F33" w14:textId="77777777" w:rsidR="003F6E3A" w:rsidRPr="00500AD4" w:rsidRDefault="003F6E3A" w:rsidP="005F2405">
      <w:pPr>
        <w:pStyle w:val="Textonotapie"/>
        <w:ind w:firstLine="709"/>
        <w:contextualSpacing/>
        <w:jc w:val="both"/>
        <w:rPr>
          <w:rFonts w:ascii="Arial" w:hAnsi="Arial" w:cs="Arial"/>
          <w:sz w:val="18"/>
          <w:szCs w:val="18"/>
          <w:lang w:val="es-CO"/>
        </w:rPr>
      </w:pPr>
      <w:r w:rsidRPr="00500AD4">
        <w:rPr>
          <w:rStyle w:val="Refdenotaalpie"/>
          <w:rFonts w:ascii="Arial" w:hAnsi="Arial" w:cs="Arial"/>
          <w:sz w:val="18"/>
          <w:szCs w:val="18"/>
        </w:rPr>
        <w:footnoteRef/>
      </w:r>
      <w:r w:rsidRPr="00500AD4">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69072737" w14:textId="77777777" w:rsidR="003F6E3A" w:rsidRPr="00500AD4" w:rsidRDefault="003F6E3A" w:rsidP="005F2405">
      <w:pPr>
        <w:pStyle w:val="Textonotapie"/>
        <w:ind w:firstLine="709"/>
        <w:contextualSpacing/>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Consejo de Estado, Sala de Consulta y Servicio Civil de fecha 24 de julio de 2013, radicado 2166, Consejero Ponente: Álvaro Namén Vargas.  </w:t>
      </w:r>
    </w:p>
  </w:footnote>
  <w:footnote w:id="9">
    <w:p w14:paraId="527851F4" w14:textId="77777777" w:rsidR="003F6E3A" w:rsidRPr="00500AD4" w:rsidRDefault="003F6E3A" w:rsidP="005F2405">
      <w:pPr>
        <w:ind w:firstLine="709"/>
        <w:contextualSpacing/>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w:t>
      </w:r>
      <w:bookmarkStart w:id="12" w:name="33"/>
      <w:r w:rsidRPr="00500AD4">
        <w:rPr>
          <w:rFonts w:ascii="Arial" w:eastAsia="Calibri" w:hAnsi="Arial" w:cs="Arial"/>
          <w:bCs/>
          <w:color w:val="000000"/>
          <w:sz w:val="18"/>
          <w:szCs w:val="18"/>
        </w:rPr>
        <w:t>«</w:t>
      </w:r>
      <w:r w:rsidRPr="00500AD4">
        <w:rPr>
          <w:rFonts w:ascii="Arial" w:hAnsi="Arial" w:cs="Arial"/>
          <w:sz w:val="18"/>
          <w:szCs w:val="18"/>
        </w:rPr>
        <w:t>Artículo 33. Restricciones a la contratación pública.</w:t>
      </w:r>
      <w:bookmarkEnd w:id="12"/>
      <w:r w:rsidRPr="00500AD4">
        <w:rPr>
          <w:rFonts w:ascii="Arial"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6CECE9D6" w14:textId="77777777" w:rsidR="003F6E3A" w:rsidRPr="00500AD4" w:rsidRDefault="003F6E3A" w:rsidP="005F2405">
      <w:pPr>
        <w:ind w:firstLine="709"/>
        <w:contextualSpacing/>
        <w:jc w:val="both"/>
        <w:rPr>
          <w:rFonts w:ascii="Arial" w:hAnsi="Arial" w:cs="Arial"/>
          <w:sz w:val="18"/>
          <w:szCs w:val="18"/>
        </w:rPr>
      </w:pPr>
      <w:r w:rsidRPr="00500AD4">
        <w:rPr>
          <w:rFonts w:ascii="Arial" w:eastAsia="Calibri" w:hAnsi="Arial" w:cs="Arial"/>
          <w:bCs/>
          <w:color w:val="000000"/>
          <w:sz w:val="18"/>
          <w:szCs w:val="18"/>
        </w:rPr>
        <w:t>»</w:t>
      </w:r>
      <w:r w:rsidRPr="00500AD4">
        <w:rPr>
          <w:rFonts w:ascii="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00AD4">
        <w:rPr>
          <w:rFonts w:ascii="Arial" w:eastAsia="Calibri" w:hAnsi="Arial" w:cs="Arial"/>
          <w:bCs/>
          <w:color w:val="000000"/>
          <w:sz w:val="18"/>
          <w:szCs w:val="18"/>
        </w:rPr>
        <w:t>»</w:t>
      </w:r>
      <w:r w:rsidRPr="00500AD4">
        <w:rPr>
          <w:rFonts w:ascii="Arial" w:hAnsi="Arial" w:cs="Arial"/>
          <w:sz w:val="18"/>
          <w:szCs w:val="18"/>
        </w:rPr>
        <w:t>.</w:t>
      </w:r>
    </w:p>
  </w:footnote>
  <w:footnote w:id="10">
    <w:p w14:paraId="57D39BAB" w14:textId="77777777" w:rsidR="003F6E3A" w:rsidRPr="00500AD4" w:rsidRDefault="003F6E3A" w:rsidP="005F2405">
      <w:pPr>
        <w:pStyle w:val="NormalWeb"/>
        <w:spacing w:before="0" w:beforeAutospacing="0" w:after="0" w:afterAutospacing="0"/>
        <w:ind w:firstLine="709"/>
        <w:contextualSpacing/>
        <w:jc w:val="both"/>
        <w:rPr>
          <w:rFonts w:ascii="Arial" w:hAnsi="Arial" w:cs="Arial"/>
          <w:sz w:val="18"/>
          <w:szCs w:val="18"/>
          <w:lang w:val="es-MX"/>
        </w:rPr>
      </w:pPr>
      <w:r w:rsidRPr="00500AD4">
        <w:rPr>
          <w:rStyle w:val="Refdenotaalpie"/>
          <w:rFonts w:ascii="Arial" w:hAnsi="Arial" w:cs="Arial"/>
          <w:sz w:val="18"/>
          <w:szCs w:val="18"/>
        </w:rPr>
        <w:footnoteRef/>
      </w:r>
      <w:r w:rsidRPr="00500AD4">
        <w:rPr>
          <w:rFonts w:ascii="Arial" w:hAnsi="Arial" w:cs="Arial"/>
          <w:sz w:val="18"/>
          <w:szCs w:val="18"/>
        </w:rPr>
        <w:t xml:space="preserve"> </w:t>
      </w:r>
      <w:bookmarkStart w:id="13" w:name="38"/>
      <w:r w:rsidRPr="00500AD4">
        <w:rPr>
          <w:rFonts w:ascii="Arial" w:eastAsia="Calibri" w:hAnsi="Arial" w:cs="Arial"/>
          <w:bCs/>
          <w:color w:val="000000"/>
          <w:sz w:val="18"/>
          <w:szCs w:val="18"/>
        </w:rPr>
        <w:t>«</w:t>
      </w:r>
      <w:r w:rsidRPr="00500AD4">
        <w:rPr>
          <w:rFonts w:ascii="Arial" w:hAnsi="Arial" w:cs="Arial"/>
          <w:sz w:val="18"/>
          <w:szCs w:val="18"/>
          <w:lang w:val="es-MX"/>
        </w:rPr>
        <w:t>Artículo 38. Prohibiciones para los servidores públicos. A los empleados del Estado les está prohibido:</w:t>
      </w:r>
      <w:bookmarkEnd w:id="13"/>
    </w:p>
    <w:p w14:paraId="6C07E2BC" w14:textId="77777777" w:rsidR="003F6E3A" w:rsidRPr="00500AD4" w:rsidRDefault="003F6E3A" w:rsidP="005F2405">
      <w:pPr>
        <w:pStyle w:val="NormalWeb"/>
        <w:spacing w:before="0" w:beforeAutospacing="0" w:after="0" w:afterAutospacing="0"/>
        <w:ind w:firstLine="709"/>
        <w:contextualSpacing/>
        <w:jc w:val="both"/>
        <w:rPr>
          <w:rFonts w:ascii="Arial" w:hAnsi="Arial" w:cs="Arial"/>
          <w:sz w:val="18"/>
          <w:szCs w:val="18"/>
          <w:lang w:val="es-MX"/>
        </w:rPr>
      </w:pPr>
      <w:r w:rsidRPr="00500AD4">
        <w:rPr>
          <w:rFonts w:ascii="Arial" w:eastAsia="Calibri" w:hAnsi="Arial" w:cs="Arial"/>
          <w:bCs/>
          <w:color w:val="000000"/>
          <w:sz w:val="18"/>
          <w:szCs w:val="18"/>
        </w:rPr>
        <w:t>»</w:t>
      </w:r>
      <w:r w:rsidRPr="00500AD4">
        <w:rPr>
          <w:rFonts w:ascii="Arial" w:hAnsi="Arial" w:cs="Arial"/>
          <w:sz w:val="18"/>
          <w:szCs w:val="18"/>
          <w:lang w:val="es-MX"/>
        </w:rPr>
        <w:t xml:space="preserve"> […]</w:t>
      </w:r>
    </w:p>
    <w:p w14:paraId="05922A8E" w14:textId="77777777" w:rsidR="003F6E3A" w:rsidRPr="00500AD4" w:rsidRDefault="003F6E3A" w:rsidP="005F2405">
      <w:pPr>
        <w:pStyle w:val="NormalWeb"/>
        <w:spacing w:before="0" w:beforeAutospacing="0" w:after="0" w:afterAutospacing="0"/>
        <w:ind w:firstLine="709"/>
        <w:contextualSpacing/>
        <w:jc w:val="both"/>
        <w:rPr>
          <w:rFonts w:ascii="Arial" w:hAnsi="Arial" w:cs="Arial"/>
          <w:sz w:val="18"/>
          <w:szCs w:val="18"/>
          <w:lang w:val="es-MX"/>
        </w:rPr>
      </w:pPr>
      <w:r w:rsidRPr="00500AD4">
        <w:rPr>
          <w:rFonts w:ascii="Arial" w:eastAsia="Calibri" w:hAnsi="Arial" w:cs="Arial"/>
          <w:bCs/>
          <w:color w:val="000000"/>
          <w:sz w:val="18"/>
          <w:szCs w:val="18"/>
        </w:rPr>
        <w:t>»</w:t>
      </w:r>
      <w:r w:rsidRPr="00500AD4">
        <w:rPr>
          <w:rStyle w:val="baj"/>
          <w:rFonts w:ascii="Arial" w:hAnsi="Arial" w:cs="Arial"/>
          <w:sz w:val="18"/>
          <w:szCs w:val="18"/>
          <w:lang w:val="es-MX"/>
        </w:rPr>
        <w:t xml:space="preserve"> Parágrafo.</w:t>
      </w:r>
      <w:r w:rsidRPr="00500AD4">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00AD4">
        <w:rPr>
          <w:rFonts w:ascii="Arial" w:eastAsia="Calibri" w:hAnsi="Arial" w:cs="Arial"/>
          <w:bCs/>
          <w:color w:val="000000"/>
          <w:sz w:val="18"/>
          <w:szCs w:val="18"/>
        </w:rPr>
        <w:t>»</w:t>
      </w:r>
      <w:r w:rsidRPr="00500AD4">
        <w:rPr>
          <w:rFonts w:ascii="Arial" w:hAnsi="Arial" w:cs="Arial"/>
          <w:sz w:val="18"/>
          <w:szCs w:val="18"/>
          <w:lang w:val="es-MX"/>
        </w:rPr>
        <w:t>.</w:t>
      </w:r>
    </w:p>
  </w:footnote>
  <w:footnote w:id="11">
    <w:p w14:paraId="53773E8F" w14:textId="77777777" w:rsidR="003F6E3A" w:rsidRPr="00500AD4" w:rsidRDefault="003F6E3A" w:rsidP="005F2405">
      <w:pPr>
        <w:ind w:firstLine="709"/>
        <w:contextualSpacing/>
        <w:jc w:val="both"/>
        <w:rPr>
          <w:rFonts w:ascii="Arial" w:hAnsi="Arial" w:cs="Arial"/>
          <w:sz w:val="18"/>
          <w:szCs w:val="18"/>
          <w:lang w:val="es-ES"/>
        </w:rPr>
      </w:pPr>
      <w:r w:rsidRPr="00500AD4">
        <w:rPr>
          <w:rStyle w:val="Refdenotaalpie"/>
          <w:rFonts w:ascii="Arial" w:hAnsi="Arial" w:cs="Arial"/>
          <w:sz w:val="18"/>
          <w:szCs w:val="18"/>
        </w:rPr>
        <w:footnoteRef/>
      </w:r>
      <w:r w:rsidRPr="00500AD4">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12">
    <w:p w14:paraId="20A7DDE6" w14:textId="77777777" w:rsidR="003F6E3A" w:rsidRPr="00500AD4" w:rsidRDefault="003F6E3A" w:rsidP="005F2405">
      <w:pPr>
        <w:pStyle w:val="Textonotapie"/>
        <w:ind w:right="51" w:firstLine="709"/>
        <w:contextualSpacing/>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w:t>
      </w:r>
      <w:bookmarkStart w:id="19" w:name="_Hlk74272731"/>
      <w:r w:rsidRPr="00500AD4">
        <w:rPr>
          <w:rFonts w:ascii="Arial" w:hAnsi="Arial" w:cs="Arial"/>
          <w:sz w:val="18"/>
          <w:szCs w:val="18"/>
        </w:rPr>
        <w:t>«</w:t>
      </w:r>
      <w:bookmarkEnd w:id="19"/>
      <w:r w:rsidRPr="00500AD4">
        <w:rPr>
          <w:rFonts w:ascii="Arial" w:hAnsi="Arial" w:cs="Arial"/>
          <w:sz w:val="18"/>
          <w:szCs w:val="18"/>
          <w:lang w:val="es-ES"/>
        </w:rPr>
        <w:t xml:space="preserve">[25] </w:t>
      </w:r>
      <w:r w:rsidRPr="00500AD4">
        <w:rPr>
          <w:rFonts w:ascii="Arial" w:hAnsi="Arial" w:cs="Arial"/>
          <w:sz w:val="18"/>
          <w:szCs w:val="18"/>
        </w:rPr>
        <w:t>Cfr. Consejo de Estado. Sección Tercera. Sentencia de 3 de diciembre de 2007. Radicados: 24.715, 25.206, 25.409, 24.524, 27.834, 25.410, 26.105, 28.244, 31.447 -acumulados-</w:t>
      </w:r>
      <w:bookmarkStart w:id="20" w:name="_Hlk74271358"/>
      <w:r w:rsidRPr="00500AD4">
        <w:rPr>
          <w:rFonts w:ascii="Arial" w:hAnsi="Arial" w:cs="Arial"/>
          <w:sz w:val="18"/>
          <w:szCs w:val="18"/>
        </w:rPr>
        <w:t>»</w:t>
      </w:r>
      <w:bookmarkEnd w:id="20"/>
      <w:r w:rsidRPr="00500AD4">
        <w:rPr>
          <w:rFonts w:ascii="Arial" w:hAnsi="Arial" w:cs="Arial"/>
          <w:sz w:val="18"/>
          <w:szCs w:val="18"/>
        </w:rPr>
        <w:t>.</w:t>
      </w:r>
    </w:p>
  </w:footnote>
  <w:footnote w:id="13">
    <w:p w14:paraId="62F8943F" w14:textId="77777777" w:rsidR="003F6E3A" w:rsidRPr="00500AD4" w:rsidRDefault="003F6E3A" w:rsidP="005F2405">
      <w:pPr>
        <w:pStyle w:val="Textonotapie"/>
        <w:ind w:right="51" w:firstLine="709"/>
        <w:contextualSpacing/>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w:t>
      </w:r>
      <w:bookmarkStart w:id="22" w:name="_Hlk74294506"/>
      <w:r w:rsidRPr="00500AD4">
        <w:rPr>
          <w:rFonts w:ascii="Arial" w:hAnsi="Arial" w:cs="Arial"/>
          <w:sz w:val="18"/>
          <w:szCs w:val="18"/>
        </w:rPr>
        <w:t>«</w:t>
      </w:r>
      <w:r w:rsidRPr="00500AD4">
        <w:rPr>
          <w:rFonts w:ascii="Arial" w:hAnsi="Arial" w:cs="Arial"/>
          <w:sz w:val="18"/>
          <w:szCs w:val="18"/>
          <w:lang w:val="es-ES"/>
        </w:rPr>
        <w:t xml:space="preserve">[26] </w:t>
      </w:r>
      <w:bookmarkEnd w:id="22"/>
      <w:r w:rsidRPr="00500AD4">
        <w:rPr>
          <w:rFonts w:ascii="Arial" w:hAnsi="Arial" w:cs="Arial"/>
          <w:sz w:val="18"/>
          <w:szCs w:val="18"/>
        </w:rPr>
        <w:t>Al respecto ver el concepto 1712 de 2 de febrero de 2006. Consejo de Estado Sala de Consulta y Servicio Civil».</w:t>
      </w:r>
    </w:p>
  </w:footnote>
  <w:footnote w:id="14">
    <w:p w14:paraId="755C30F7" w14:textId="77777777" w:rsidR="003F6E3A" w:rsidRPr="00500AD4" w:rsidRDefault="003F6E3A" w:rsidP="005F2405">
      <w:pPr>
        <w:pStyle w:val="Textonotapie"/>
        <w:ind w:firstLine="709"/>
        <w:contextualSpacing/>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Consejo de Estado. Sala de Consulta y Servicio Civil. Concepto del 2 de septiembre de 2013. Radicación número: 11001-03-06-000-2013-00412-00 (2168). Consejero Ponente: Álvaro Namén Vargas.</w:t>
      </w:r>
    </w:p>
  </w:footnote>
  <w:footnote w:id="15">
    <w:p w14:paraId="6CCF6C23" w14:textId="77777777" w:rsidR="003F6E3A" w:rsidRPr="00500AD4" w:rsidRDefault="003F6E3A" w:rsidP="005F2405">
      <w:pPr>
        <w:pStyle w:val="Textonotapie"/>
        <w:ind w:firstLine="709"/>
        <w:contextualSpacing/>
        <w:jc w:val="both"/>
        <w:rPr>
          <w:rFonts w:ascii="Arial" w:hAnsi="Arial" w:cs="Arial"/>
          <w:sz w:val="18"/>
          <w:szCs w:val="18"/>
          <w:lang w:val="es-ES"/>
        </w:rPr>
      </w:pPr>
      <w:r w:rsidRPr="00500AD4">
        <w:rPr>
          <w:rStyle w:val="Refdenotaalpie"/>
          <w:rFonts w:ascii="Arial" w:hAnsi="Arial" w:cs="Arial"/>
          <w:sz w:val="18"/>
          <w:szCs w:val="18"/>
        </w:rPr>
        <w:footnoteRef/>
      </w:r>
      <w:r w:rsidRPr="00500AD4">
        <w:rPr>
          <w:rFonts w:ascii="Arial" w:hAnsi="Arial" w:cs="Arial"/>
          <w:sz w:val="18"/>
          <w:szCs w:val="18"/>
        </w:rPr>
        <w:t xml:space="preserve"> </w:t>
      </w:r>
      <w:r w:rsidRPr="00500AD4">
        <w:rPr>
          <w:rFonts w:ascii="Arial" w:hAnsi="Arial" w:cs="Arial"/>
          <w:sz w:val="18"/>
          <w:szCs w:val="18"/>
          <w:lang w:val="es-ES"/>
        </w:rPr>
        <w:t xml:space="preserve">Artículo 2. </w:t>
      </w:r>
    </w:p>
  </w:footnote>
  <w:footnote w:id="16">
    <w:p w14:paraId="6C747705" w14:textId="77777777" w:rsidR="003F6E3A" w:rsidRPr="00500AD4" w:rsidRDefault="003F6E3A" w:rsidP="005F2405">
      <w:pPr>
        <w:pStyle w:val="Textonotapie"/>
        <w:ind w:firstLine="709"/>
        <w:contextualSpacing/>
        <w:jc w:val="both"/>
        <w:rPr>
          <w:rFonts w:ascii="Arial" w:hAnsi="Arial" w:cs="Arial"/>
          <w:sz w:val="18"/>
          <w:szCs w:val="18"/>
          <w:lang w:val="es-ES"/>
        </w:rPr>
      </w:pPr>
      <w:r w:rsidRPr="00500AD4">
        <w:rPr>
          <w:rStyle w:val="Refdenotaalpie"/>
          <w:rFonts w:ascii="Arial" w:hAnsi="Arial" w:cs="Arial"/>
          <w:sz w:val="18"/>
          <w:szCs w:val="18"/>
        </w:rPr>
        <w:footnoteRef/>
      </w:r>
      <w:r w:rsidRPr="00500AD4">
        <w:rPr>
          <w:rFonts w:ascii="Arial" w:hAnsi="Arial" w:cs="Arial"/>
          <w:sz w:val="18"/>
          <w:szCs w:val="18"/>
        </w:rPr>
        <w:t xml:space="preserve"> </w:t>
      </w:r>
      <w:r w:rsidRPr="00500AD4">
        <w:rPr>
          <w:rFonts w:ascii="Arial" w:hAnsi="Arial" w:cs="Arial"/>
          <w:i/>
          <w:sz w:val="18"/>
          <w:szCs w:val="18"/>
          <w:lang w:val="es-ES"/>
        </w:rPr>
        <w:t>Ídem</w:t>
      </w:r>
      <w:r w:rsidRPr="00500AD4">
        <w:rPr>
          <w:rFonts w:ascii="Arial" w:hAnsi="Arial" w:cs="Arial"/>
          <w:sz w:val="18"/>
          <w:szCs w:val="18"/>
          <w:lang w:val="es-ES"/>
        </w:rPr>
        <w:t>.</w:t>
      </w:r>
    </w:p>
  </w:footnote>
  <w:footnote w:id="17">
    <w:p w14:paraId="4B06E1D8" w14:textId="77777777" w:rsidR="003F6E3A" w:rsidRPr="00500AD4" w:rsidRDefault="003F6E3A" w:rsidP="005F2405">
      <w:pPr>
        <w:pStyle w:val="Textonotapie"/>
        <w:ind w:firstLine="709"/>
        <w:contextualSpacing/>
        <w:jc w:val="both"/>
        <w:rPr>
          <w:rFonts w:ascii="Arial" w:hAnsi="Arial" w:cs="Arial"/>
          <w:sz w:val="18"/>
          <w:szCs w:val="18"/>
          <w:lang w:val="es-ES"/>
        </w:rPr>
      </w:pPr>
      <w:r w:rsidRPr="00500AD4">
        <w:rPr>
          <w:rStyle w:val="Refdenotaalpie"/>
          <w:rFonts w:ascii="Arial" w:hAnsi="Arial" w:cs="Arial"/>
          <w:sz w:val="18"/>
          <w:szCs w:val="18"/>
        </w:rPr>
        <w:footnoteRef/>
      </w:r>
      <w:r w:rsidRPr="00500AD4">
        <w:rPr>
          <w:rStyle w:val="Refdenotaalpie"/>
          <w:rFonts w:ascii="Arial" w:hAnsi="Arial" w:cs="Arial"/>
          <w:sz w:val="18"/>
          <w:szCs w:val="18"/>
        </w:rPr>
        <w:t xml:space="preserve"> </w:t>
      </w:r>
      <w:bookmarkStart w:id="27" w:name="_Hlk74297130"/>
      <w:r w:rsidRPr="00500AD4">
        <w:rPr>
          <w:rFonts w:ascii="Arial" w:hAnsi="Arial" w:cs="Arial"/>
          <w:sz w:val="18"/>
          <w:szCs w:val="18"/>
          <w:lang w:val="es-ES"/>
        </w:rPr>
        <w:t>«</w:t>
      </w:r>
      <w:bookmarkEnd w:id="27"/>
      <w:r w:rsidRPr="00500AD4">
        <w:rPr>
          <w:rFonts w:ascii="Arial" w:hAnsi="Arial" w:cs="Arial"/>
          <w:sz w:val="18"/>
          <w:szCs w:val="18"/>
          <w:lang w:val="es-ES"/>
        </w:rPr>
        <w:t xml:space="preserve">[…] A este respecto, cabe recordar que el artículo 860 del Código de Comercio regula la licitación en el derecho privado». </w:t>
      </w:r>
    </w:p>
  </w:footnote>
  <w:footnote w:id="18">
    <w:p w14:paraId="6212EC04" w14:textId="77777777" w:rsidR="003F6E3A" w:rsidRPr="00500AD4" w:rsidRDefault="003F6E3A" w:rsidP="005F2405">
      <w:pPr>
        <w:shd w:val="clear" w:color="auto" w:fill="FFFFFF"/>
        <w:ind w:firstLine="709"/>
        <w:contextualSpacing/>
        <w:jc w:val="both"/>
        <w:rPr>
          <w:rFonts w:ascii="Arial" w:hAnsi="Arial" w:cs="Arial"/>
          <w:sz w:val="18"/>
          <w:szCs w:val="18"/>
          <w:lang w:val="es-ES"/>
        </w:rPr>
      </w:pPr>
      <w:r w:rsidRPr="00500AD4">
        <w:rPr>
          <w:rStyle w:val="Refdenotaalpie"/>
          <w:rFonts w:ascii="Arial" w:hAnsi="Arial" w:cs="Arial"/>
          <w:sz w:val="18"/>
          <w:szCs w:val="18"/>
        </w:rPr>
        <w:footnoteRef/>
      </w:r>
      <w:r w:rsidRPr="00500AD4">
        <w:rPr>
          <w:rStyle w:val="Refdenotaalpie"/>
          <w:rFonts w:ascii="Arial" w:hAnsi="Arial" w:cs="Arial"/>
          <w:sz w:val="18"/>
          <w:szCs w:val="18"/>
        </w:rPr>
        <w:t xml:space="preserve"> </w:t>
      </w:r>
      <w:r w:rsidRPr="00500AD4">
        <w:rPr>
          <w:rFonts w:ascii="Arial" w:hAnsi="Arial" w:cs="Arial"/>
          <w:sz w:val="18"/>
          <w:szCs w:val="18"/>
          <w:lang w:val="es-ES"/>
        </w:rPr>
        <w:t>Consejo de Estado. Sala de Consulta y Servicio Civil, Concepto de 8 de mayo de 2018. Radicación Número: 11001-03-06-000-2018-00095-00(2382). Consejero Ponente: Álvaro Namén Vargas.</w:t>
      </w:r>
    </w:p>
  </w:footnote>
  <w:footnote w:id="19">
    <w:p w14:paraId="0AF53969" w14:textId="77777777" w:rsidR="003F6E3A" w:rsidRPr="00500AD4" w:rsidRDefault="003F6E3A" w:rsidP="005F2405">
      <w:pPr>
        <w:pStyle w:val="Textonotapie"/>
        <w:ind w:firstLine="709"/>
        <w:contextualSpacing/>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Consejo de Estado. Sala de Consulta y Servicio Civil. Concepto del 08 de mayo de 2018. Exp. 2.382. C.P. Álvaro Namén Vargas.</w:t>
      </w:r>
    </w:p>
  </w:footnote>
  <w:footnote w:id="20">
    <w:p w14:paraId="7CA83075" w14:textId="77777777" w:rsidR="003F6E3A" w:rsidRPr="00500AD4" w:rsidRDefault="003F6E3A" w:rsidP="005F2405">
      <w:pPr>
        <w:pStyle w:val="Textonotapie"/>
        <w:ind w:firstLine="709"/>
        <w:contextualSpacing/>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3219EB6C" w14:textId="77777777" w:rsidR="003F6E3A" w:rsidRPr="00500AD4" w:rsidRDefault="003F6E3A" w:rsidP="005F2405">
      <w:pPr>
        <w:pStyle w:val="Textonotapie"/>
        <w:ind w:firstLine="709"/>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Consejo de Estado. Sala de Consulta y Servicio Civil. Concepto de 20 de febrero de2006. Radicación 11001-03-06-000-2006-00023-00(1724). Consejero Ponente: Flavio Augusto Rodríguez Arce.</w:t>
      </w:r>
    </w:p>
  </w:footnote>
  <w:footnote w:id="22">
    <w:p w14:paraId="2769642E" w14:textId="77777777" w:rsidR="003F6E3A" w:rsidRPr="00500AD4" w:rsidRDefault="003F6E3A" w:rsidP="005F2405">
      <w:pPr>
        <w:spacing w:before="78"/>
        <w:ind w:firstLine="709"/>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1134F94D" w14:textId="77777777" w:rsidR="003F6E3A" w:rsidRPr="00500AD4" w:rsidRDefault="003F6E3A" w:rsidP="005F2405">
      <w:pPr>
        <w:ind w:firstLine="709"/>
        <w:jc w:val="both"/>
        <w:rPr>
          <w:rFonts w:ascii="Arial" w:hAnsi="Arial" w:cs="Arial"/>
          <w:sz w:val="18"/>
          <w:szCs w:val="18"/>
        </w:rPr>
      </w:pPr>
      <w:r w:rsidRPr="00500AD4">
        <w:rPr>
          <w:rFonts w:ascii="Arial" w:hAnsi="Arial"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500AD4">
        <w:rPr>
          <w:rFonts w:ascii="Arial" w:hAnsi="Arial" w:cs="Arial"/>
          <w:spacing w:val="-1"/>
          <w:sz w:val="18"/>
          <w:szCs w:val="18"/>
        </w:rPr>
        <w:t xml:space="preserve"> </w:t>
      </w:r>
      <w:r w:rsidRPr="00500AD4">
        <w:rPr>
          <w:rFonts w:ascii="Arial" w:hAnsi="Arial" w:cs="Arial"/>
          <w:sz w:val="18"/>
          <w:szCs w:val="18"/>
        </w:rPr>
        <w:t>Estatales».</w:t>
      </w:r>
    </w:p>
  </w:footnote>
  <w:footnote w:id="23">
    <w:p w14:paraId="384CC87A" w14:textId="77777777" w:rsidR="003F6E3A" w:rsidRPr="00500AD4" w:rsidRDefault="003F6E3A" w:rsidP="005F2405">
      <w:pPr>
        <w:ind w:firstLine="709"/>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500AD4">
        <w:rPr>
          <w:rFonts w:ascii="Arial" w:hAnsi="Arial" w:cs="Arial"/>
          <w:spacing w:val="-6"/>
          <w:sz w:val="18"/>
          <w:szCs w:val="18"/>
        </w:rPr>
        <w:t xml:space="preserve"> </w:t>
      </w:r>
      <w:r w:rsidRPr="00500AD4">
        <w:rPr>
          <w:rFonts w:ascii="Arial" w:hAnsi="Arial" w:cs="Arial"/>
          <w:sz w:val="18"/>
          <w:szCs w:val="18"/>
        </w:rPr>
        <w:t>artículo».</w:t>
      </w:r>
    </w:p>
  </w:footnote>
  <w:footnote w:id="24">
    <w:p w14:paraId="74B3D16D" w14:textId="77777777" w:rsidR="003F6E3A" w:rsidRPr="00500AD4" w:rsidRDefault="003F6E3A" w:rsidP="005F2405">
      <w:pPr>
        <w:ind w:firstLine="709"/>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position w:val="7"/>
          <w:sz w:val="18"/>
          <w:szCs w:val="18"/>
        </w:rPr>
        <w:t xml:space="preserve"> </w:t>
      </w:r>
      <w:r w:rsidRPr="00500AD4">
        <w:rPr>
          <w:rFonts w:ascii="Arial" w:hAnsi="Arial" w:cs="Arial"/>
          <w:sz w:val="18"/>
          <w:szCs w:val="18"/>
        </w:rPr>
        <w:t>Consejo de Estado. Sección Tercera. Sentencia del 23 de junio de 2010. Radicación No. 66001-23-31-000-1998-00261-01(17.860). Consejero Ponente: Mauricio Fajardo Gómez.</w:t>
      </w:r>
    </w:p>
  </w:footnote>
  <w:footnote w:id="25">
    <w:p w14:paraId="31762C06" w14:textId="77777777" w:rsidR="003F6E3A" w:rsidRPr="00500AD4" w:rsidRDefault="003F6E3A" w:rsidP="005F2405">
      <w:pPr>
        <w:ind w:firstLine="709"/>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Consejo de Estado. Sección Tercera. Subsección C. Sentencia del 11 de diciembre de 2019. Exp. 46.986. C.P. Jaime Enrique Rodríguez Navas.</w:t>
      </w:r>
    </w:p>
  </w:footnote>
  <w:footnote w:id="26">
    <w:p w14:paraId="1D83AB89" w14:textId="77777777" w:rsidR="003F6E3A" w:rsidRPr="00500AD4" w:rsidRDefault="003F6E3A" w:rsidP="005F2405">
      <w:pPr>
        <w:pStyle w:val="Textonotapie"/>
        <w:ind w:firstLine="708"/>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[Referencia propia de la cita] «CE. SCSC. Concepto de 1 de noviembre de 2016 [Rad. 11001-03-06-000-2016-00125-00(2305)]. MP. Germán Alberto Bula Escobar».</w:t>
      </w:r>
    </w:p>
  </w:footnote>
  <w:footnote w:id="27">
    <w:p w14:paraId="5F5879F0" w14:textId="77777777" w:rsidR="003F6E3A" w:rsidRPr="00500AD4" w:rsidRDefault="003F6E3A" w:rsidP="005F2405">
      <w:pPr>
        <w:pStyle w:val="Textonotapie"/>
        <w:ind w:firstLine="708"/>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[Referencia propia de la cita] «CE. SCSC. Concepto de 30 de abril de 2008 [Rad. 11001-03-06-000-2008-00013-00(1881)]. MP. Enrique José Arboleda Perdomo. En esta oportunidad, la Sala indicó que el contenido </w:t>
      </w:r>
      <w:r w:rsidRPr="00500AD4">
        <w:rPr>
          <w:rFonts w:ascii="Arial" w:hAnsi="Arial" w:cs="Arial"/>
          <w:i/>
          <w:sz w:val="18"/>
          <w:szCs w:val="18"/>
        </w:rPr>
        <w:t>“obligacional”</w:t>
      </w:r>
      <w:r w:rsidRPr="00500AD4">
        <w:rPr>
          <w:rFonts w:ascii="Arial" w:hAnsi="Arial" w:cs="Arial"/>
          <w:sz w:val="18"/>
          <w:szCs w:val="18"/>
        </w:rPr>
        <w:t xml:space="preserve"> de los convenios se estructura definiendo el resultado querido por las partes y los medios que cada entidad despliega para la obtención del respectivo objeto».</w:t>
      </w:r>
    </w:p>
  </w:footnote>
  <w:footnote w:id="28">
    <w:p w14:paraId="604ADDDA" w14:textId="77777777" w:rsidR="003F6E3A" w:rsidRPr="00500AD4" w:rsidRDefault="003F6E3A" w:rsidP="005F2405">
      <w:pPr>
        <w:pStyle w:val="Textonotapie"/>
        <w:ind w:firstLine="708"/>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[Referencia propia de la cita] «La normativa vigente del EGCAP </w:t>
      </w:r>
      <w:r w:rsidRPr="00500AD4">
        <w:rPr>
          <w:rFonts w:ascii="Arial" w:hAnsi="Arial" w:cs="Arial"/>
          <w:i/>
          <w:sz w:val="18"/>
          <w:szCs w:val="18"/>
        </w:rPr>
        <w:t>[literal c) del numeral 4. del artículo 2 de la Ley 1150/07]</w:t>
      </w:r>
      <w:r w:rsidRPr="00500AD4">
        <w:rPr>
          <w:rFonts w:ascii="Arial" w:hAnsi="Arial" w:cs="Arial"/>
          <w:sz w:val="18"/>
          <w:szCs w:val="18"/>
        </w:rPr>
        <w:t xml:space="preserve"> se refiere a </w:t>
      </w:r>
      <w:r w:rsidRPr="00500AD4">
        <w:rPr>
          <w:rFonts w:ascii="Arial" w:hAnsi="Arial" w:cs="Arial"/>
          <w:i/>
          <w:sz w:val="18"/>
          <w:szCs w:val="18"/>
        </w:rPr>
        <w:t>“contratos interadministrativos”</w:t>
      </w:r>
      <w:r w:rsidRPr="00500AD4">
        <w:rPr>
          <w:rFonts w:ascii="Arial" w:hAnsi="Arial"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29">
    <w:p w14:paraId="332DE317" w14:textId="77777777" w:rsidR="003F6E3A" w:rsidRPr="00500AD4" w:rsidRDefault="003F6E3A" w:rsidP="005F2405">
      <w:pPr>
        <w:pStyle w:val="Textonotapie"/>
        <w:ind w:firstLine="708"/>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30">
    <w:p w14:paraId="026DBC9B" w14:textId="77777777" w:rsidR="003F6E3A" w:rsidRPr="00500AD4" w:rsidRDefault="003F6E3A" w:rsidP="005F2405">
      <w:pPr>
        <w:pStyle w:val="Textonotapie"/>
        <w:ind w:firstLine="708"/>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Es lo que sucede, por ejemplo, con el Decreto 092 de 2017, que en su desarrollo hace referencia tanto a los «contratos» como a los «convenios». </w:t>
      </w:r>
    </w:p>
  </w:footnote>
  <w:footnote w:id="31">
    <w:p w14:paraId="46E93237" w14:textId="77777777" w:rsidR="003F6E3A" w:rsidRPr="00500AD4" w:rsidRDefault="003F6E3A" w:rsidP="005F2405">
      <w:pPr>
        <w:pStyle w:val="Textonotapie"/>
        <w:ind w:firstLine="708"/>
        <w:jc w:val="both"/>
        <w:rPr>
          <w:rFonts w:ascii="Arial" w:hAnsi="Arial" w:cs="Arial"/>
          <w:sz w:val="18"/>
          <w:szCs w:val="18"/>
          <w:lang w:val="es-CO"/>
        </w:rPr>
      </w:pPr>
      <w:r w:rsidRPr="00500AD4">
        <w:rPr>
          <w:rStyle w:val="Refdenotaalpie"/>
          <w:rFonts w:ascii="Arial" w:hAnsi="Arial" w:cs="Arial"/>
          <w:sz w:val="18"/>
          <w:szCs w:val="18"/>
        </w:rPr>
        <w:footnoteRef/>
      </w:r>
      <w:r w:rsidRPr="00500AD4">
        <w:rPr>
          <w:rFonts w:ascii="Arial" w:hAnsi="Arial"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2">
    <w:p w14:paraId="7B3852C1" w14:textId="77777777" w:rsidR="003F6E3A" w:rsidRPr="00500AD4" w:rsidRDefault="003F6E3A" w:rsidP="005F2405">
      <w:pPr>
        <w:pStyle w:val="Textonotapie"/>
        <w:ind w:firstLine="708"/>
        <w:jc w:val="both"/>
        <w:rPr>
          <w:rFonts w:ascii="Arial" w:hAnsi="Arial" w:cs="Arial"/>
          <w:sz w:val="18"/>
          <w:szCs w:val="18"/>
        </w:rPr>
      </w:pPr>
      <w:r w:rsidRPr="00500AD4">
        <w:rPr>
          <w:rStyle w:val="Refdenotaalpie"/>
          <w:rFonts w:ascii="Arial" w:hAnsi="Arial" w:cs="Arial"/>
          <w:sz w:val="18"/>
          <w:szCs w:val="18"/>
        </w:rPr>
        <w:footnoteRef/>
      </w:r>
      <w:r w:rsidRPr="00500AD4">
        <w:rPr>
          <w:rFonts w:ascii="Arial" w:hAnsi="Arial" w:cs="Arial"/>
          <w:sz w:val="18"/>
          <w:szCs w:val="18"/>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3">
    <w:p w14:paraId="2FF8C3D6" w14:textId="77777777" w:rsidR="003F6E3A" w:rsidRPr="00500AD4" w:rsidRDefault="003F6E3A" w:rsidP="005F2405">
      <w:pPr>
        <w:pStyle w:val="Textonotapie"/>
        <w:ind w:firstLine="709"/>
        <w:jc w:val="both"/>
        <w:rPr>
          <w:rFonts w:ascii="Arial" w:hAnsi="Arial" w:cs="Arial"/>
          <w:sz w:val="18"/>
          <w:szCs w:val="18"/>
          <w:lang w:val="es-CO"/>
        </w:rPr>
      </w:pPr>
      <w:r w:rsidRPr="00500AD4">
        <w:rPr>
          <w:rStyle w:val="Refdenotaalpie"/>
          <w:rFonts w:ascii="Arial" w:hAnsi="Arial" w:cs="Arial"/>
          <w:sz w:val="18"/>
          <w:szCs w:val="18"/>
        </w:rPr>
        <w:footnoteRef/>
      </w:r>
      <w:r w:rsidRPr="00500AD4">
        <w:rPr>
          <w:rFonts w:ascii="Arial" w:hAnsi="Arial" w:cs="Arial"/>
          <w:sz w:val="18"/>
          <w:szCs w:val="18"/>
        </w:rPr>
        <w:t xml:space="preserve"> Consejo de Estado. Sala de Consulta y Servicio Civil. Concepto del 15 de noviembre de 2007. Expediente número 1863. Consejero Ponente: Luis Fernando Álvarez Jaramillo.</w:t>
      </w:r>
    </w:p>
  </w:footnote>
  <w:footnote w:id="34">
    <w:p w14:paraId="757DAC40" w14:textId="77777777" w:rsidR="003F6E3A" w:rsidRPr="00500AD4" w:rsidRDefault="003F6E3A" w:rsidP="005F2405">
      <w:pPr>
        <w:pStyle w:val="Textonotapie"/>
        <w:jc w:val="both"/>
        <w:rPr>
          <w:rFonts w:ascii="Arial" w:hAnsi="Arial" w:cs="Arial"/>
          <w:sz w:val="18"/>
          <w:szCs w:val="18"/>
          <w:lang w:val="es-ES"/>
        </w:rPr>
      </w:pPr>
      <w:r w:rsidRPr="00500AD4">
        <w:rPr>
          <w:rStyle w:val="Refdenotaalpie"/>
          <w:rFonts w:ascii="Arial" w:hAnsi="Arial" w:cs="Arial"/>
          <w:sz w:val="18"/>
          <w:szCs w:val="18"/>
        </w:rPr>
        <w:footnoteRef/>
      </w:r>
      <w:r w:rsidRPr="00500AD4">
        <w:rPr>
          <w:rFonts w:ascii="Arial" w:hAnsi="Arial" w:cs="Arial"/>
          <w:sz w:val="18"/>
          <w:szCs w:val="18"/>
          <w:lang w:val="es-ES"/>
        </w:rPr>
        <w:t xml:space="preserve"> </w:t>
      </w:r>
      <w:r w:rsidRPr="005F2405">
        <w:rPr>
          <w:rFonts w:ascii="Arial" w:hAnsi="Arial" w:cs="Arial"/>
          <w:sz w:val="18"/>
          <w:szCs w:val="18"/>
          <w:lang w:val="es-ES"/>
        </w:rPr>
        <w:t>Salvo las excepciones previstas en la norma.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En este caso, la restricción se extenderá hasta la fecha en la que se realice la segunda vuelta.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4ED1"/>
    <w:rsid w:val="000454AF"/>
    <w:rsid w:val="00083334"/>
    <w:rsid w:val="000956CF"/>
    <w:rsid w:val="000A683E"/>
    <w:rsid w:val="000C1171"/>
    <w:rsid w:val="000E6CC0"/>
    <w:rsid w:val="000F2DC0"/>
    <w:rsid w:val="00106A85"/>
    <w:rsid w:val="00115958"/>
    <w:rsid w:val="0011595A"/>
    <w:rsid w:val="001164F6"/>
    <w:rsid w:val="00116AC5"/>
    <w:rsid w:val="001220C5"/>
    <w:rsid w:val="00122F4B"/>
    <w:rsid w:val="001267F7"/>
    <w:rsid w:val="00127233"/>
    <w:rsid w:val="00130999"/>
    <w:rsid w:val="00160D25"/>
    <w:rsid w:val="00164D81"/>
    <w:rsid w:val="00172103"/>
    <w:rsid w:val="001752D9"/>
    <w:rsid w:val="001A1011"/>
    <w:rsid w:val="001A48D0"/>
    <w:rsid w:val="00210558"/>
    <w:rsid w:val="0021607B"/>
    <w:rsid w:val="002653C1"/>
    <w:rsid w:val="0026611D"/>
    <w:rsid w:val="002951A0"/>
    <w:rsid w:val="002A64FD"/>
    <w:rsid w:val="002A6732"/>
    <w:rsid w:val="002F0839"/>
    <w:rsid w:val="002F4C8B"/>
    <w:rsid w:val="00301469"/>
    <w:rsid w:val="00306EE1"/>
    <w:rsid w:val="00310B9B"/>
    <w:rsid w:val="00317D3A"/>
    <w:rsid w:val="00362119"/>
    <w:rsid w:val="0036461C"/>
    <w:rsid w:val="00367884"/>
    <w:rsid w:val="0039439C"/>
    <w:rsid w:val="003B0EA4"/>
    <w:rsid w:val="003B69E7"/>
    <w:rsid w:val="003C013B"/>
    <w:rsid w:val="003C2F04"/>
    <w:rsid w:val="003C7858"/>
    <w:rsid w:val="003D0F4D"/>
    <w:rsid w:val="003F58A1"/>
    <w:rsid w:val="003F6E3A"/>
    <w:rsid w:val="00410DD6"/>
    <w:rsid w:val="00411EEE"/>
    <w:rsid w:val="004133BE"/>
    <w:rsid w:val="004134C9"/>
    <w:rsid w:val="0042193B"/>
    <w:rsid w:val="0043138C"/>
    <w:rsid w:val="00442522"/>
    <w:rsid w:val="00462A59"/>
    <w:rsid w:val="004A1847"/>
    <w:rsid w:val="004B6B0E"/>
    <w:rsid w:val="004D25B3"/>
    <w:rsid w:val="004D6A3A"/>
    <w:rsid w:val="004E54DD"/>
    <w:rsid w:val="004F652F"/>
    <w:rsid w:val="00500AD4"/>
    <w:rsid w:val="00511405"/>
    <w:rsid w:val="00516196"/>
    <w:rsid w:val="00526E9D"/>
    <w:rsid w:val="00534AB6"/>
    <w:rsid w:val="00547856"/>
    <w:rsid w:val="00547A74"/>
    <w:rsid w:val="005566E8"/>
    <w:rsid w:val="0056628B"/>
    <w:rsid w:val="005746AB"/>
    <w:rsid w:val="0059357F"/>
    <w:rsid w:val="005A1130"/>
    <w:rsid w:val="005A5DA9"/>
    <w:rsid w:val="005D65C8"/>
    <w:rsid w:val="005D747C"/>
    <w:rsid w:val="005F2405"/>
    <w:rsid w:val="006219F8"/>
    <w:rsid w:val="00674165"/>
    <w:rsid w:val="00681FDB"/>
    <w:rsid w:val="00694A0E"/>
    <w:rsid w:val="006A6788"/>
    <w:rsid w:val="006A7DAD"/>
    <w:rsid w:val="006D173A"/>
    <w:rsid w:val="006D70BA"/>
    <w:rsid w:val="00700518"/>
    <w:rsid w:val="00706C03"/>
    <w:rsid w:val="007117F3"/>
    <w:rsid w:val="00723407"/>
    <w:rsid w:val="00732B5B"/>
    <w:rsid w:val="007566FE"/>
    <w:rsid w:val="0076726F"/>
    <w:rsid w:val="0077144B"/>
    <w:rsid w:val="00793403"/>
    <w:rsid w:val="007937F9"/>
    <w:rsid w:val="007B1C6A"/>
    <w:rsid w:val="007C0CDF"/>
    <w:rsid w:val="007E2A2F"/>
    <w:rsid w:val="007F2B7C"/>
    <w:rsid w:val="00811651"/>
    <w:rsid w:val="00820F5B"/>
    <w:rsid w:val="00830A4C"/>
    <w:rsid w:val="00833452"/>
    <w:rsid w:val="008356BC"/>
    <w:rsid w:val="008614E5"/>
    <w:rsid w:val="008678EB"/>
    <w:rsid w:val="00875894"/>
    <w:rsid w:val="00876DC1"/>
    <w:rsid w:val="00881C10"/>
    <w:rsid w:val="00890411"/>
    <w:rsid w:val="008C09F6"/>
    <w:rsid w:val="008C7BCC"/>
    <w:rsid w:val="008D382F"/>
    <w:rsid w:val="008D5C70"/>
    <w:rsid w:val="008E56E2"/>
    <w:rsid w:val="009025AF"/>
    <w:rsid w:val="00904F23"/>
    <w:rsid w:val="00905E82"/>
    <w:rsid w:val="00906B3C"/>
    <w:rsid w:val="00910886"/>
    <w:rsid w:val="0095342C"/>
    <w:rsid w:val="009D0249"/>
    <w:rsid w:val="009F33F2"/>
    <w:rsid w:val="009F6C77"/>
    <w:rsid w:val="00A07532"/>
    <w:rsid w:val="00A1085C"/>
    <w:rsid w:val="00A309E2"/>
    <w:rsid w:val="00A70DD3"/>
    <w:rsid w:val="00A8066E"/>
    <w:rsid w:val="00AA4B8A"/>
    <w:rsid w:val="00AA6BF7"/>
    <w:rsid w:val="00AD32A7"/>
    <w:rsid w:val="00B01ED6"/>
    <w:rsid w:val="00B06D09"/>
    <w:rsid w:val="00B14F57"/>
    <w:rsid w:val="00B258BC"/>
    <w:rsid w:val="00B37155"/>
    <w:rsid w:val="00B53F08"/>
    <w:rsid w:val="00B770E7"/>
    <w:rsid w:val="00B771A9"/>
    <w:rsid w:val="00B809BB"/>
    <w:rsid w:val="00B8248A"/>
    <w:rsid w:val="00BB7726"/>
    <w:rsid w:val="00BC4997"/>
    <w:rsid w:val="00BD0CCC"/>
    <w:rsid w:val="00C05B84"/>
    <w:rsid w:val="00C12204"/>
    <w:rsid w:val="00C2329E"/>
    <w:rsid w:val="00C30461"/>
    <w:rsid w:val="00C3784C"/>
    <w:rsid w:val="00C52838"/>
    <w:rsid w:val="00C7377C"/>
    <w:rsid w:val="00C754BE"/>
    <w:rsid w:val="00C76561"/>
    <w:rsid w:val="00C87572"/>
    <w:rsid w:val="00C9405D"/>
    <w:rsid w:val="00CC1B26"/>
    <w:rsid w:val="00CC6E62"/>
    <w:rsid w:val="00CD284F"/>
    <w:rsid w:val="00CF23AA"/>
    <w:rsid w:val="00CF47D5"/>
    <w:rsid w:val="00D01921"/>
    <w:rsid w:val="00D752B7"/>
    <w:rsid w:val="00D878C8"/>
    <w:rsid w:val="00DA1854"/>
    <w:rsid w:val="00DB0887"/>
    <w:rsid w:val="00DC7D8B"/>
    <w:rsid w:val="00DE3BE9"/>
    <w:rsid w:val="00DF0E9D"/>
    <w:rsid w:val="00DF1E43"/>
    <w:rsid w:val="00DF7B0B"/>
    <w:rsid w:val="00E006D2"/>
    <w:rsid w:val="00E20894"/>
    <w:rsid w:val="00E26B7C"/>
    <w:rsid w:val="00E361A0"/>
    <w:rsid w:val="00E453AB"/>
    <w:rsid w:val="00EA3003"/>
    <w:rsid w:val="00EB3C91"/>
    <w:rsid w:val="00EB66DA"/>
    <w:rsid w:val="00ED0836"/>
    <w:rsid w:val="00EF0270"/>
    <w:rsid w:val="00F57621"/>
    <w:rsid w:val="00F605F2"/>
    <w:rsid w:val="00F6213B"/>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F6E3A"/>
    <w:rPr>
      <w:rFonts w:ascii="Geomanist Light" w:hAnsi="Geomanist Light"/>
      <w:lang w:val="es-ES"/>
    </w:rPr>
  </w:style>
  <w:style w:type="paragraph" w:styleId="Textoindependiente">
    <w:name w:val="Body Text"/>
    <w:basedOn w:val="Normal"/>
    <w:link w:val="TextoindependienteCar"/>
    <w:uiPriority w:val="1"/>
    <w:qFormat/>
    <w:rsid w:val="003F6E3A"/>
    <w:pPr>
      <w:widowControl w:val="0"/>
      <w:autoSpaceDE w:val="0"/>
      <w:autoSpaceDN w:val="0"/>
      <w:spacing w:after="0" w:line="240" w:lineRule="auto"/>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3F6E3A"/>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F6E3A"/>
    <w:pPr>
      <w:spacing w:line="240" w:lineRule="exact"/>
    </w:pPr>
    <w:rPr>
      <w:vertAlign w:val="superscript"/>
    </w:rPr>
  </w:style>
  <w:style w:type="paragraph" w:styleId="NormalWeb">
    <w:name w:val="Normal (Web)"/>
    <w:basedOn w:val="Normal"/>
    <w:link w:val="NormalWebCar"/>
    <w:uiPriority w:val="99"/>
    <w:unhideWhenUsed/>
    <w:rsid w:val="003F6E3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eop">
    <w:name w:val="eop"/>
    <w:basedOn w:val="Fuentedeprrafopredeter"/>
    <w:rsid w:val="003F6E3A"/>
  </w:style>
  <w:style w:type="character" w:customStyle="1" w:styleId="NormalWebCar">
    <w:name w:val="Normal (Web) Car"/>
    <w:link w:val="NormalWeb"/>
    <w:uiPriority w:val="99"/>
    <w:rsid w:val="003F6E3A"/>
    <w:rPr>
      <w:rFonts w:ascii="Times New Roman" w:eastAsia="Times New Roman" w:hAnsi="Times New Roman" w:cs="Times New Roman"/>
      <w:sz w:val="24"/>
      <w:szCs w:val="24"/>
      <w:lang w:eastAsia="es-MX"/>
    </w:rPr>
  </w:style>
  <w:style w:type="paragraph" w:customStyle="1" w:styleId="xmsonospacing">
    <w:name w:val="x_msonospacing"/>
    <w:basedOn w:val="Normal"/>
    <w:rsid w:val="003F6E3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aj">
    <w:name w:val="b_aj"/>
    <w:basedOn w:val="Fuentedeprrafopredeter"/>
    <w:rsid w:val="003F6E3A"/>
  </w:style>
  <w:style w:type="character" w:styleId="Hipervnculo">
    <w:name w:val="Hyperlink"/>
    <w:basedOn w:val="Fuentedeprrafopredeter"/>
    <w:uiPriority w:val="99"/>
    <w:unhideWhenUsed/>
    <w:rsid w:val="00CC6E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9d85dbaf-23eb-4e57-a637-93dcacc8b1a1"/>
    <ds:schemaRef ds:uri="http://www.w3.org/XML/1998/namespace"/>
    <ds:schemaRef ds:uri="http://schemas.microsoft.com/office/2006/documentManagement/types"/>
    <ds:schemaRef ds:uri="http://schemas.openxmlformats.org/package/2006/metadata/core-properties"/>
    <ds:schemaRef ds:uri="http://purl.org/dc/terms/"/>
    <ds:schemaRef ds:uri="http://purl.org/dc/elements/1.1/"/>
    <ds:schemaRef ds:uri="http://purl.org/dc/dcmitype/"/>
    <ds:schemaRef ds:uri="http://schemas.microsoft.com/office/infopath/2007/PartnerControls"/>
    <ds:schemaRef ds:uri="a6cb9e4b-f1d1-4245-83ec-6cad768d538a"/>
    <ds:schemaRef ds:uri="http://schemas.microsoft.com/office/2006/metadata/properties"/>
  </ds:schemaRefs>
</ds:datastoreItem>
</file>

<file path=customXml/itemProps3.xml><?xml version="1.0" encoding="utf-8"?>
<ds:datastoreItem xmlns:ds="http://schemas.openxmlformats.org/officeDocument/2006/customXml" ds:itemID="{ECA57C4C-C093-41A8-BBA2-E65EFFC16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19</Pages>
  <Words>7220</Words>
  <Characters>39711</Characters>
  <Application>Microsoft Office Word</Application>
  <DocSecurity>0</DocSecurity>
  <Lines>330</Lines>
  <Paragraphs>93</Paragraphs>
  <ScaleCrop>false</ScaleCrop>
  <Company/>
  <LinksUpToDate>false</LinksUpToDate>
  <CharactersWithSpaces>46838</CharactersWithSpaces>
  <SharedDoc>false</SharedDoc>
  <HLinks>
    <vt:vector size="6" baseType="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10</cp:revision>
  <dcterms:created xsi:type="dcterms:W3CDTF">2023-03-15T23:10:00Z</dcterms:created>
  <dcterms:modified xsi:type="dcterms:W3CDTF">2023-04-24T16:24:00Z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