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A06D8" w14:textId="77777777" w:rsidR="00A71CEA" w:rsidRPr="004B27AF" w:rsidRDefault="00A71CEA" w:rsidP="00A71CEA">
      <w:pPr>
        <w:jc w:val="right"/>
        <w:rPr>
          <w:rFonts w:ascii="Arial" w:hAnsi="Arial" w:cs="Arial"/>
          <w:b/>
          <w:color w:val="000000" w:themeColor="text1"/>
          <w:sz w:val="16"/>
          <w:szCs w:val="16"/>
          <w:lang w:eastAsia="es-ES"/>
        </w:rPr>
      </w:pPr>
      <w:r w:rsidRPr="004B27AF">
        <w:rPr>
          <w:rFonts w:ascii="Arial" w:hAnsi="Arial" w:cs="Arial"/>
          <w:b/>
          <w:color w:val="000000" w:themeColor="text1"/>
          <w:sz w:val="16"/>
          <w:szCs w:val="16"/>
          <w:lang w:eastAsia="es-ES"/>
        </w:rPr>
        <w:t>CCE-DES-FM-17</w:t>
      </w:r>
    </w:p>
    <w:p w14:paraId="19255108" w14:textId="77777777" w:rsidR="00A71CEA" w:rsidRDefault="00A71CEA" w:rsidP="00A71CEA">
      <w:pPr>
        <w:spacing w:line="276" w:lineRule="auto"/>
        <w:jc w:val="both"/>
        <w:rPr>
          <w:rFonts w:ascii="Arial" w:eastAsia="Calibri" w:hAnsi="Arial" w:cs="Arial"/>
          <w:b/>
          <w:bCs/>
          <w:sz w:val="22"/>
          <w:szCs w:val="22"/>
        </w:rPr>
      </w:pPr>
    </w:p>
    <w:p w14:paraId="47A25B19" w14:textId="59E34719" w:rsidR="00A71CEA" w:rsidRDefault="00A53195" w:rsidP="00A71CEA">
      <w:pPr>
        <w:spacing w:line="276" w:lineRule="auto"/>
        <w:jc w:val="both"/>
        <w:rPr>
          <w:rFonts w:ascii="Arial" w:eastAsia="Calibri" w:hAnsi="Arial" w:cs="Arial"/>
          <w:b/>
          <w:bCs/>
          <w:sz w:val="22"/>
          <w:szCs w:val="22"/>
        </w:rPr>
      </w:pPr>
      <w:r>
        <w:rPr>
          <w:rFonts w:ascii="Arial" w:eastAsia="Calibri" w:hAnsi="Arial" w:cs="Arial"/>
          <w:b/>
          <w:bCs/>
          <w:sz w:val="22"/>
          <w:szCs w:val="22"/>
        </w:rPr>
        <w:t xml:space="preserve">LEY ANUAL DE PRESUPUESTO – Generalidades </w:t>
      </w:r>
    </w:p>
    <w:p w14:paraId="7F2B64F7" w14:textId="3ECD6499" w:rsidR="00A53195" w:rsidRDefault="00A53195" w:rsidP="00A71CEA">
      <w:pPr>
        <w:spacing w:line="276" w:lineRule="auto"/>
        <w:jc w:val="both"/>
        <w:rPr>
          <w:rFonts w:ascii="Arial" w:eastAsia="Calibri" w:hAnsi="Arial" w:cs="Arial"/>
          <w:b/>
          <w:bCs/>
          <w:sz w:val="22"/>
          <w:szCs w:val="22"/>
        </w:rPr>
      </w:pPr>
    </w:p>
    <w:p w14:paraId="236500EC" w14:textId="6B718337" w:rsidR="00A53195" w:rsidRPr="00531E6B" w:rsidRDefault="00AC44CB" w:rsidP="00547A9E">
      <w:pPr>
        <w:tabs>
          <w:tab w:val="left" w:pos="426"/>
        </w:tabs>
        <w:jc w:val="both"/>
        <w:rPr>
          <w:rFonts w:ascii="Arial" w:hAnsi="Arial" w:cs="Arial"/>
          <w:bCs/>
          <w:sz w:val="20"/>
          <w:szCs w:val="20"/>
          <w:lang w:val="es-ES_tradnl"/>
        </w:rPr>
      </w:pPr>
      <w:r w:rsidRPr="00547A9E">
        <w:rPr>
          <w:rFonts w:ascii="Arial" w:hAnsi="Arial" w:cs="Arial"/>
          <w:bCs/>
          <w:sz w:val="20"/>
          <w:szCs w:val="20"/>
          <w:lang w:val="es-ES_tradnl"/>
        </w:rPr>
        <w:t xml:space="preserve">[…] </w:t>
      </w:r>
      <w:r w:rsidR="00547A9E" w:rsidRPr="00531E6B">
        <w:rPr>
          <w:rFonts w:ascii="Arial" w:hAnsi="Arial" w:cs="Arial"/>
          <w:bCs/>
          <w:sz w:val="20"/>
          <w:szCs w:val="20"/>
          <w:lang w:val="es-ES_tradnl"/>
        </w:rPr>
        <w:t>el artículo 346 superior contiene el régimen general de la del presupuesto y la ley de apropiaciones, que deberá presentarse al Congreso dentro de los primeros diez días de cada legislatura, elaborarse y aprobarse dentro de un marco de sostenibilidad fiscal y corresponder al Plan Nacional de Desarrollo. De conformidad con la misma norma constitucional, el presupuesto tiene vigencia anual y, por tanto, tienen como finalidad fijar los gastos y las rentas nacionales del Estado para la respectiva vigencia fiscal anual, que se comprende entre el 1</w:t>
      </w:r>
      <w:r w:rsidR="00547A9E" w:rsidRPr="00531E6B">
        <w:rPr>
          <w:rFonts w:ascii="Arial" w:hAnsi="Arial" w:cs="Arial"/>
          <w:color w:val="000000"/>
          <w:sz w:val="20"/>
          <w:szCs w:val="20"/>
          <w:lang w:val="es-ES_tradnl"/>
        </w:rPr>
        <w:t xml:space="preserve"> de enero y el 31 de diciembre de cada año. </w:t>
      </w:r>
    </w:p>
    <w:p w14:paraId="03892CA4" w14:textId="77777777" w:rsidR="00AC44CB" w:rsidRDefault="00AC44CB" w:rsidP="00A53195">
      <w:pPr>
        <w:tabs>
          <w:tab w:val="left" w:pos="426"/>
        </w:tabs>
        <w:jc w:val="both"/>
        <w:rPr>
          <w:rFonts w:ascii="Arial" w:hAnsi="Arial" w:cs="Arial"/>
          <w:bCs/>
          <w:sz w:val="20"/>
          <w:szCs w:val="20"/>
          <w:lang w:val="es-ES_tradnl"/>
        </w:rPr>
      </w:pPr>
    </w:p>
    <w:p w14:paraId="131F291A" w14:textId="77777777" w:rsidR="00AC44CB" w:rsidRDefault="00AC44CB" w:rsidP="00A53195">
      <w:pPr>
        <w:tabs>
          <w:tab w:val="left" w:pos="426"/>
        </w:tabs>
        <w:jc w:val="both"/>
        <w:rPr>
          <w:rFonts w:ascii="Arial" w:hAnsi="Arial" w:cs="Arial"/>
          <w:color w:val="000000"/>
          <w:sz w:val="20"/>
          <w:szCs w:val="20"/>
          <w:shd w:val="clear" w:color="auto" w:fill="FFFFFF"/>
        </w:rPr>
      </w:pPr>
    </w:p>
    <w:p w14:paraId="7EB93899" w14:textId="18B9F0B2" w:rsidR="00A53195" w:rsidRDefault="00A53195" w:rsidP="00A53195">
      <w:pPr>
        <w:tabs>
          <w:tab w:val="left" w:pos="426"/>
        </w:tabs>
        <w:jc w:val="both"/>
        <w:rPr>
          <w:rFonts w:ascii="Arial" w:hAnsi="Arial" w:cs="Arial"/>
          <w:b/>
          <w:bCs/>
          <w:color w:val="000000"/>
          <w:sz w:val="22"/>
          <w:szCs w:val="22"/>
          <w:shd w:val="clear" w:color="auto" w:fill="FFFFFF"/>
        </w:rPr>
      </w:pPr>
      <w:r>
        <w:rPr>
          <w:rFonts w:ascii="Arial" w:hAnsi="Arial" w:cs="Arial"/>
          <w:b/>
          <w:bCs/>
          <w:color w:val="000000"/>
          <w:sz w:val="22"/>
          <w:szCs w:val="22"/>
          <w:shd w:val="clear" w:color="auto" w:fill="FFFFFF"/>
        </w:rPr>
        <w:t xml:space="preserve">PRESUPUESTO GENERAL DE LA NACIÓN </w:t>
      </w:r>
      <w:r w:rsidR="00B12F0E">
        <w:rPr>
          <w:rFonts w:ascii="Arial" w:hAnsi="Arial" w:cs="Arial"/>
          <w:b/>
          <w:bCs/>
          <w:color w:val="000000"/>
          <w:sz w:val="22"/>
          <w:szCs w:val="22"/>
          <w:shd w:val="clear" w:color="auto" w:fill="FFFFFF"/>
        </w:rPr>
        <w:t xml:space="preserve">– </w:t>
      </w:r>
      <w:r w:rsidR="00F96300">
        <w:rPr>
          <w:rFonts w:ascii="Arial" w:hAnsi="Arial" w:cs="Arial"/>
          <w:b/>
          <w:bCs/>
          <w:color w:val="000000"/>
          <w:sz w:val="22"/>
          <w:szCs w:val="22"/>
          <w:shd w:val="clear" w:color="auto" w:fill="FFFFFF"/>
        </w:rPr>
        <w:t>F</w:t>
      </w:r>
      <w:r w:rsidR="00B12F0E">
        <w:rPr>
          <w:rFonts w:ascii="Arial" w:hAnsi="Arial" w:cs="Arial"/>
          <w:b/>
          <w:bCs/>
          <w:color w:val="000000"/>
          <w:sz w:val="22"/>
          <w:szCs w:val="22"/>
          <w:shd w:val="clear" w:color="auto" w:fill="FFFFFF"/>
        </w:rPr>
        <w:t xml:space="preserve">inalidad </w:t>
      </w:r>
    </w:p>
    <w:p w14:paraId="49713F09" w14:textId="188C101E" w:rsidR="00A53195" w:rsidRPr="00531E6B" w:rsidRDefault="00A53195" w:rsidP="00531E6B">
      <w:pPr>
        <w:tabs>
          <w:tab w:val="left" w:pos="426"/>
        </w:tabs>
        <w:jc w:val="both"/>
        <w:rPr>
          <w:rFonts w:ascii="Arial" w:hAnsi="Arial" w:cs="Arial"/>
          <w:b/>
          <w:bCs/>
          <w:color w:val="000000"/>
          <w:sz w:val="20"/>
          <w:szCs w:val="20"/>
          <w:shd w:val="clear" w:color="auto" w:fill="FFFFFF"/>
        </w:rPr>
      </w:pPr>
    </w:p>
    <w:p w14:paraId="3D0F2F9F" w14:textId="77777777" w:rsidR="00547A9E" w:rsidRPr="00531E6B" w:rsidRDefault="00AC44CB" w:rsidP="00531E6B">
      <w:pPr>
        <w:jc w:val="both"/>
        <w:rPr>
          <w:rFonts w:ascii="Arial" w:hAnsi="Arial" w:cs="Arial"/>
          <w:color w:val="000000"/>
          <w:sz w:val="20"/>
          <w:szCs w:val="20"/>
        </w:rPr>
      </w:pPr>
      <w:r w:rsidRPr="00531E6B">
        <w:rPr>
          <w:rFonts w:ascii="Arial" w:hAnsi="Arial" w:cs="Arial"/>
          <w:bCs/>
          <w:sz w:val="20"/>
          <w:szCs w:val="20"/>
          <w:lang w:val="es-ES_tradnl"/>
        </w:rPr>
        <w:t xml:space="preserve">[…] </w:t>
      </w:r>
      <w:r w:rsidR="00547A9E" w:rsidRPr="00531E6B">
        <w:rPr>
          <w:rFonts w:ascii="Arial" w:hAnsi="Arial" w:cs="Arial"/>
          <w:color w:val="000000"/>
          <w:sz w:val="20"/>
          <w:szCs w:val="20"/>
        </w:rPr>
        <w:t>el presupuesto general de la nación constituye el instrumento jurídico mediante la cual se materializan las políticas públicas del país, igualmente se concibe como guía en materia del gasto público para determinado periodo o vigencia fiscal. La elaboración del presupuesto se materializa mediante la coordinación entre las entidades públicas del orden nacional, en procura de establecer de manera íntegra las necesidades de cada una de ellas. Por tanto, las entidades que hacen parte del presupuesto general de la nación plasman, en términos presupuestales, sus necesidades en el proyecto de ley respectivo que es presentado anualmente al Congreso, en donde se discute y aprueba.</w:t>
      </w:r>
    </w:p>
    <w:p w14:paraId="206E30A5" w14:textId="77777777" w:rsidR="00AC44CB" w:rsidRDefault="00AC44CB" w:rsidP="00A53195">
      <w:pPr>
        <w:jc w:val="both"/>
        <w:rPr>
          <w:rFonts w:ascii="Arial" w:hAnsi="Arial" w:cs="Arial"/>
          <w:color w:val="000000"/>
          <w:sz w:val="20"/>
          <w:szCs w:val="20"/>
        </w:rPr>
      </w:pPr>
    </w:p>
    <w:p w14:paraId="290A2EEB" w14:textId="336F02E8" w:rsidR="00A53195" w:rsidRPr="00F3683B" w:rsidRDefault="00A53195" w:rsidP="00A53195">
      <w:pPr>
        <w:jc w:val="both"/>
        <w:rPr>
          <w:rFonts w:ascii="Arial" w:hAnsi="Arial" w:cs="Arial"/>
          <w:b/>
          <w:bCs/>
          <w:color w:val="000000"/>
          <w:sz w:val="22"/>
          <w:szCs w:val="22"/>
        </w:rPr>
      </w:pPr>
      <w:r w:rsidRPr="00F3683B">
        <w:rPr>
          <w:rFonts w:ascii="Arial" w:hAnsi="Arial" w:cs="Arial"/>
          <w:b/>
          <w:bCs/>
          <w:color w:val="000000"/>
          <w:sz w:val="22"/>
          <w:szCs w:val="22"/>
        </w:rPr>
        <w:t xml:space="preserve">PARAFISCALES – </w:t>
      </w:r>
      <w:r w:rsidR="005A3884">
        <w:rPr>
          <w:rFonts w:ascii="Arial" w:hAnsi="Arial" w:cs="Arial"/>
          <w:b/>
          <w:bCs/>
          <w:color w:val="000000"/>
          <w:sz w:val="22"/>
          <w:szCs w:val="22"/>
        </w:rPr>
        <w:t>N</w:t>
      </w:r>
      <w:r w:rsidR="0019728C">
        <w:rPr>
          <w:rFonts w:ascii="Arial" w:hAnsi="Arial" w:cs="Arial"/>
          <w:b/>
          <w:bCs/>
          <w:color w:val="000000"/>
          <w:sz w:val="22"/>
          <w:szCs w:val="22"/>
        </w:rPr>
        <w:t>aturaleza jurídica</w:t>
      </w:r>
    </w:p>
    <w:p w14:paraId="4FE44B93" w14:textId="7FF45B17" w:rsidR="00A53195" w:rsidRDefault="00A53195" w:rsidP="00A53195">
      <w:pPr>
        <w:jc w:val="both"/>
        <w:rPr>
          <w:rFonts w:ascii="Arial" w:hAnsi="Arial" w:cs="Arial"/>
          <w:b/>
          <w:bCs/>
          <w:color w:val="000000"/>
          <w:sz w:val="20"/>
          <w:szCs w:val="20"/>
        </w:rPr>
      </w:pPr>
    </w:p>
    <w:p w14:paraId="1FED051D" w14:textId="3CB1B19C" w:rsidR="00547A9E" w:rsidRPr="00531E6B" w:rsidRDefault="0019728C" w:rsidP="00531E6B">
      <w:pPr>
        <w:jc w:val="both"/>
        <w:rPr>
          <w:rFonts w:ascii="Arial" w:hAnsi="Arial" w:cs="Arial"/>
          <w:color w:val="000000"/>
          <w:sz w:val="20"/>
          <w:szCs w:val="20"/>
        </w:rPr>
      </w:pPr>
      <w:r w:rsidRPr="00531E6B">
        <w:rPr>
          <w:rFonts w:ascii="Arial" w:hAnsi="Arial" w:cs="Arial"/>
          <w:bCs/>
          <w:sz w:val="20"/>
          <w:szCs w:val="20"/>
          <w:lang w:val="es-ES_tradnl"/>
        </w:rPr>
        <w:t xml:space="preserve">[…] </w:t>
      </w:r>
      <w:r w:rsidR="00547A9E" w:rsidRPr="00531E6B">
        <w:rPr>
          <w:rFonts w:ascii="Arial" w:hAnsi="Arial" w:cs="Arial"/>
          <w:color w:val="000000" w:themeColor="text1"/>
          <w:sz w:val="20"/>
          <w:szCs w:val="20"/>
        </w:rPr>
        <w:t>por un lado, que se trata de gravámenes que afectan determinado grupo social o económico, con un fin específico de beneficiar un sector o grupo poblacional determinado y, por el otro, que se trata de recursos que pueden ser administrados por distintos sujetos.</w:t>
      </w:r>
    </w:p>
    <w:p w14:paraId="3987E4A0" w14:textId="77777777" w:rsidR="00A53195" w:rsidRPr="00A53195" w:rsidRDefault="00A53195" w:rsidP="00531E6B">
      <w:pPr>
        <w:jc w:val="both"/>
        <w:rPr>
          <w:rFonts w:ascii="Arial" w:hAnsi="Arial" w:cs="Arial"/>
          <w:color w:val="000000"/>
          <w:sz w:val="20"/>
          <w:szCs w:val="20"/>
        </w:rPr>
      </w:pPr>
    </w:p>
    <w:p w14:paraId="50530C30" w14:textId="2B50F002" w:rsidR="00A53195" w:rsidRDefault="00A53195" w:rsidP="00A53195">
      <w:pPr>
        <w:tabs>
          <w:tab w:val="left" w:pos="426"/>
        </w:tabs>
        <w:jc w:val="both"/>
        <w:rPr>
          <w:rFonts w:ascii="Arial" w:hAnsi="Arial" w:cs="Arial"/>
          <w:b/>
          <w:bCs/>
          <w:color w:val="000000"/>
          <w:sz w:val="22"/>
          <w:szCs w:val="22"/>
          <w:shd w:val="clear" w:color="auto" w:fill="FFFFFF"/>
        </w:rPr>
      </w:pPr>
      <w:r>
        <w:rPr>
          <w:rFonts w:ascii="Arial" w:hAnsi="Arial" w:cs="Arial"/>
          <w:b/>
          <w:bCs/>
          <w:color w:val="000000"/>
          <w:sz w:val="22"/>
          <w:szCs w:val="22"/>
          <w:shd w:val="clear" w:color="auto" w:fill="FFFFFF"/>
        </w:rPr>
        <w:t xml:space="preserve">COFINANCIACIÓN </w:t>
      </w:r>
      <w:r w:rsidR="00F3683B">
        <w:rPr>
          <w:rFonts w:ascii="Arial" w:hAnsi="Arial" w:cs="Arial"/>
          <w:b/>
          <w:bCs/>
          <w:color w:val="000000"/>
          <w:sz w:val="22"/>
          <w:szCs w:val="22"/>
          <w:shd w:val="clear" w:color="auto" w:fill="FFFFFF"/>
        </w:rPr>
        <w:t xml:space="preserve">– Definición </w:t>
      </w:r>
    </w:p>
    <w:p w14:paraId="2A89D8CE" w14:textId="528039BA" w:rsidR="00A53195" w:rsidRDefault="00A53195" w:rsidP="00A53195">
      <w:pPr>
        <w:tabs>
          <w:tab w:val="left" w:pos="426"/>
        </w:tabs>
        <w:jc w:val="both"/>
        <w:rPr>
          <w:rFonts w:ascii="Arial" w:hAnsi="Arial" w:cs="Arial"/>
          <w:b/>
          <w:bCs/>
          <w:color w:val="000000"/>
          <w:sz w:val="22"/>
          <w:szCs w:val="22"/>
          <w:shd w:val="clear" w:color="auto" w:fill="FFFFFF"/>
        </w:rPr>
      </w:pPr>
    </w:p>
    <w:p w14:paraId="1C337036" w14:textId="67CC465B" w:rsidR="007820EF" w:rsidRPr="00531E6B" w:rsidRDefault="00547A9E" w:rsidP="00531E6B">
      <w:pPr>
        <w:jc w:val="both"/>
        <w:rPr>
          <w:rFonts w:ascii="Arial" w:hAnsi="Arial" w:cs="Arial"/>
          <w:color w:val="000000"/>
          <w:sz w:val="20"/>
          <w:szCs w:val="20"/>
        </w:rPr>
      </w:pPr>
      <w:r w:rsidRPr="00531E6B">
        <w:rPr>
          <w:rFonts w:ascii="Arial" w:hAnsi="Arial" w:cs="Arial"/>
          <w:color w:val="000000"/>
          <w:sz w:val="20"/>
          <w:szCs w:val="20"/>
        </w:rPr>
        <w:t>La acción de cofinanciación es definida como «la financiación de una actividad que llevan a cabo varias personas o entidades</w:t>
      </w:r>
      <w:r w:rsidRPr="00531E6B">
        <w:rPr>
          <w:rFonts w:ascii="Arial" w:hAnsi="Arial" w:cs="Arial"/>
          <w:sz w:val="20"/>
          <w:szCs w:val="20"/>
        </w:rPr>
        <w:t>»</w:t>
      </w:r>
      <w:r w:rsidRPr="00531E6B">
        <w:rPr>
          <w:rFonts w:ascii="Arial" w:hAnsi="Arial" w:cs="Arial"/>
          <w:color w:val="000000"/>
          <w:sz w:val="20"/>
          <w:szCs w:val="20"/>
        </w:rPr>
        <w:t xml:space="preserve"> o como lo «dicho de dos o más personas o entidades: Financiar una actividad conjuntamente</w:t>
      </w:r>
      <w:r w:rsidRPr="00531E6B">
        <w:rPr>
          <w:rFonts w:ascii="Arial" w:hAnsi="Arial" w:cs="Arial"/>
          <w:sz w:val="20"/>
          <w:szCs w:val="20"/>
        </w:rPr>
        <w:t>»</w:t>
      </w:r>
      <w:r w:rsidRPr="00531E6B">
        <w:rPr>
          <w:rFonts w:ascii="Arial" w:hAnsi="Arial" w:cs="Arial"/>
          <w:color w:val="000000"/>
          <w:sz w:val="20"/>
          <w:szCs w:val="20"/>
        </w:rPr>
        <w:t>. A su turno, para efectos del Documento CONPES 2791, ha sido definida como el «instrumento financiero complementario para apoyar con recursos no reembolsables del Presupuesto General de la Nación la ejecución de proyectos de competencia territorial, en el marco de las políticas de interés nacional</w:t>
      </w:r>
      <w:r w:rsidRPr="00531E6B">
        <w:rPr>
          <w:rFonts w:ascii="Arial" w:hAnsi="Arial" w:cs="Arial"/>
          <w:sz w:val="20"/>
          <w:szCs w:val="20"/>
        </w:rPr>
        <w:t>»</w:t>
      </w:r>
      <w:r w:rsidRPr="00531E6B">
        <w:rPr>
          <w:rFonts w:ascii="Arial" w:hAnsi="Arial" w:cs="Arial"/>
          <w:color w:val="000000"/>
          <w:sz w:val="20"/>
          <w:szCs w:val="20"/>
        </w:rPr>
        <w:t>. Estas concepciones tienen como común denominador la participación de dos o más sujetos en la aportación de recursos para financiar un determinado proyecto.</w:t>
      </w:r>
    </w:p>
    <w:p w14:paraId="44EF495D" w14:textId="5C183695" w:rsidR="00A53195" w:rsidRDefault="00A53195" w:rsidP="00A53195">
      <w:pPr>
        <w:tabs>
          <w:tab w:val="left" w:pos="426"/>
        </w:tabs>
        <w:jc w:val="both"/>
        <w:rPr>
          <w:rFonts w:ascii="Arial" w:hAnsi="Arial" w:cs="Arial"/>
          <w:b/>
          <w:bCs/>
          <w:color w:val="000000"/>
          <w:sz w:val="22"/>
          <w:szCs w:val="22"/>
          <w:shd w:val="clear" w:color="auto" w:fill="FFFFFF"/>
        </w:rPr>
      </w:pPr>
    </w:p>
    <w:p w14:paraId="27F2EB4A" w14:textId="5ED0ED53" w:rsidR="00A53195" w:rsidRDefault="00F3683B" w:rsidP="00A53195">
      <w:pPr>
        <w:tabs>
          <w:tab w:val="left" w:pos="426"/>
        </w:tabs>
        <w:jc w:val="both"/>
        <w:rPr>
          <w:rFonts w:ascii="Arial" w:hAnsi="Arial" w:cs="Arial"/>
          <w:b/>
          <w:bCs/>
          <w:color w:val="000000"/>
          <w:sz w:val="22"/>
          <w:szCs w:val="22"/>
          <w:shd w:val="clear" w:color="auto" w:fill="FFFFFF"/>
        </w:rPr>
      </w:pPr>
      <w:r>
        <w:rPr>
          <w:rFonts w:ascii="Arial" w:hAnsi="Arial" w:cs="Arial"/>
          <w:b/>
          <w:bCs/>
          <w:color w:val="000000"/>
          <w:sz w:val="22"/>
          <w:szCs w:val="22"/>
          <w:shd w:val="clear" w:color="auto" w:fill="FFFFFF"/>
        </w:rPr>
        <w:t xml:space="preserve">CONTRATOS O CONVENIOS – </w:t>
      </w:r>
      <w:r w:rsidR="005A3884">
        <w:rPr>
          <w:rFonts w:ascii="Arial" w:hAnsi="Arial" w:cs="Arial"/>
          <w:b/>
          <w:bCs/>
          <w:color w:val="000000"/>
          <w:sz w:val="22"/>
          <w:szCs w:val="22"/>
          <w:shd w:val="clear" w:color="auto" w:fill="FFFFFF"/>
        </w:rPr>
        <w:t>I</w:t>
      </w:r>
      <w:r w:rsidR="0019728C">
        <w:rPr>
          <w:rFonts w:ascii="Arial" w:hAnsi="Arial" w:cs="Arial"/>
          <w:b/>
          <w:bCs/>
          <w:color w:val="000000"/>
          <w:sz w:val="22"/>
          <w:szCs w:val="22"/>
          <w:shd w:val="clear" w:color="auto" w:fill="FFFFFF"/>
        </w:rPr>
        <w:t>dentidad sustancial</w:t>
      </w:r>
    </w:p>
    <w:p w14:paraId="3A266E86" w14:textId="4EEACECF" w:rsidR="00F3683B" w:rsidRDefault="00F3683B" w:rsidP="00A53195">
      <w:pPr>
        <w:tabs>
          <w:tab w:val="left" w:pos="426"/>
        </w:tabs>
        <w:jc w:val="both"/>
        <w:rPr>
          <w:rFonts w:ascii="Arial" w:hAnsi="Arial" w:cs="Arial"/>
          <w:b/>
          <w:bCs/>
          <w:color w:val="000000"/>
          <w:sz w:val="22"/>
          <w:szCs w:val="22"/>
          <w:shd w:val="clear" w:color="auto" w:fill="FFFFFF"/>
        </w:rPr>
      </w:pPr>
    </w:p>
    <w:p w14:paraId="684AD586" w14:textId="115B491B" w:rsidR="00A71CEA" w:rsidRDefault="007820EF" w:rsidP="00F909BB">
      <w:pPr>
        <w:spacing w:after="120"/>
        <w:jc w:val="both"/>
        <w:rPr>
          <w:rFonts w:ascii="Arial" w:eastAsia="Calibri" w:hAnsi="Arial" w:cs="Arial"/>
          <w:b/>
          <w:bCs/>
          <w:sz w:val="22"/>
          <w:szCs w:val="22"/>
        </w:rPr>
      </w:pPr>
      <w:r w:rsidRPr="00531E6B">
        <w:rPr>
          <w:rFonts w:ascii="Arial" w:hAnsi="Arial" w:cs="Arial"/>
          <w:bCs/>
          <w:sz w:val="20"/>
          <w:szCs w:val="20"/>
          <w:lang w:val="es-ES_tradnl"/>
        </w:rPr>
        <w:t xml:space="preserve">[…] </w:t>
      </w:r>
      <w:r w:rsidR="00547A9E" w:rsidRPr="00531E6B">
        <w:rPr>
          <w:rFonts w:ascii="Arial" w:hAnsi="Arial" w:cs="Arial"/>
          <w:sz w:val="20"/>
          <w:szCs w:val="20"/>
        </w:rPr>
        <w:t>encuentra soporte en el Código Civil colombiano, toda vez que en su artículo 1495 equipara las instituciones de convenio y contrato, al disponer que «</w:t>
      </w:r>
      <w:r w:rsidR="00547A9E" w:rsidRPr="00531E6B">
        <w:rPr>
          <w:rFonts w:ascii="Arial" w:hAnsi="Arial" w:cs="Arial"/>
          <w:i/>
          <w:sz w:val="20"/>
          <w:szCs w:val="20"/>
        </w:rPr>
        <w:t xml:space="preserve">contrato o convención </w:t>
      </w:r>
      <w:r w:rsidR="00547A9E" w:rsidRPr="00531E6B">
        <w:rPr>
          <w:rFonts w:ascii="Arial" w:hAnsi="Arial" w:cs="Arial"/>
          <w:sz w:val="20"/>
          <w:szCs w:val="20"/>
        </w:rPr>
        <w:t>es un acto por el cual una parte se obliga para con otra a dar, hacer o no hacer alguna cosa […]». De este modo, es posible afirmar que al no existir diferencia sustancial alguna entre contrato y convención en el derecho privado o, más bien, al existir identidad sustancial entre ellos, en el derecho público debe aplicarse o mantenerse esta equipara</w:t>
      </w:r>
    </w:p>
    <w:p w14:paraId="5C9BA408" w14:textId="77777777" w:rsidR="00D53EC8" w:rsidRDefault="00D53EC8" w:rsidP="00A71CEA">
      <w:pPr>
        <w:spacing w:line="276" w:lineRule="auto"/>
        <w:jc w:val="both"/>
        <w:rPr>
          <w:rFonts w:ascii="Arial" w:eastAsia="Calibri" w:hAnsi="Arial" w:cs="Arial"/>
          <w:b/>
          <w:bCs/>
          <w:sz w:val="22"/>
          <w:szCs w:val="22"/>
        </w:rPr>
      </w:pPr>
    </w:p>
    <w:p w14:paraId="1E6AE001" w14:textId="6BB36073" w:rsidR="00741185" w:rsidRPr="00741185" w:rsidRDefault="00741185" w:rsidP="00741185">
      <w:pPr>
        <w:jc w:val="right"/>
      </w:pPr>
      <w:r w:rsidRPr="00741185">
        <w:fldChar w:fldCharType="begin"/>
      </w:r>
      <w:r w:rsidRPr="00741185">
        <w:instrText xml:space="preserve"> INCLUDEPICTURE "/var/folders/tb/0fmk9b510f57pz5rwhv8lnpw0000gp/T/com.microsoft.Word/WebArchiveCopyPasteTempFiles/page1image8451904" \* MERGEFORMATINET </w:instrText>
      </w:r>
      <w:r w:rsidRPr="00741185">
        <w:fldChar w:fldCharType="separate"/>
      </w:r>
      <w:r w:rsidRPr="00741185">
        <w:rPr>
          <w:noProof/>
        </w:rPr>
        <w:drawing>
          <wp:inline distT="0" distB="0" distL="0" distR="0" wp14:anchorId="5B8819A8" wp14:editId="0F4D21DE">
            <wp:extent cx="2407285" cy="605155"/>
            <wp:effectExtent l="0" t="0" r="5715" b="4445"/>
            <wp:docPr id="1" name="Imagen 1" descr="page1image845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845190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7285" cy="605155"/>
                    </a:xfrm>
                    <a:prstGeom prst="rect">
                      <a:avLst/>
                    </a:prstGeom>
                    <a:noFill/>
                    <a:ln>
                      <a:noFill/>
                    </a:ln>
                  </pic:spPr>
                </pic:pic>
              </a:graphicData>
            </a:graphic>
          </wp:inline>
        </w:drawing>
      </w:r>
      <w:r w:rsidRPr="00741185">
        <w:fldChar w:fldCharType="end"/>
      </w:r>
    </w:p>
    <w:p w14:paraId="1784010D" w14:textId="77777777" w:rsidR="00A71CEA" w:rsidRPr="006C15D5" w:rsidRDefault="00A71CEA" w:rsidP="00A71CEA">
      <w:pPr>
        <w:rPr>
          <w:rFonts w:ascii="Arial" w:eastAsia="Calibri" w:hAnsi="Arial" w:cs="Arial"/>
          <w:color w:val="000000" w:themeColor="text1"/>
          <w:sz w:val="22"/>
        </w:rPr>
      </w:pPr>
    </w:p>
    <w:p w14:paraId="3E2912A2" w14:textId="77777777" w:rsidR="00A71CEA" w:rsidRPr="006C15D5" w:rsidRDefault="00A71CEA" w:rsidP="00A71CEA">
      <w:pPr>
        <w:rPr>
          <w:rFonts w:ascii="Arial" w:eastAsia="Calibri" w:hAnsi="Arial" w:cs="Arial"/>
          <w:color w:val="000000" w:themeColor="text1"/>
          <w:sz w:val="22"/>
        </w:rPr>
      </w:pPr>
    </w:p>
    <w:p w14:paraId="48BCB28F" w14:textId="77777777" w:rsidR="00A71CEA" w:rsidRPr="006C15D5" w:rsidRDefault="00A71CEA" w:rsidP="00A71CEA">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0A1AEC66" w14:textId="2010814F" w:rsidR="00A71CEA" w:rsidRDefault="00E43F7F" w:rsidP="00A71CEA">
      <w:pPr>
        <w:rPr>
          <w:rFonts w:ascii="Arial" w:eastAsia="Calibri" w:hAnsi="Arial" w:cs="Arial"/>
          <w:b/>
          <w:color w:val="000000" w:themeColor="text1"/>
          <w:sz w:val="22"/>
        </w:rPr>
      </w:pPr>
      <w:r>
        <w:rPr>
          <w:rFonts w:ascii="Arial" w:eastAsia="Calibri" w:hAnsi="Arial" w:cs="Arial"/>
          <w:b/>
          <w:color w:val="000000" w:themeColor="text1"/>
          <w:sz w:val="22"/>
        </w:rPr>
        <w:t>XXXXXX</w:t>
      </w:r>
    </w:p>
    <w:p w14:paraId="45EBAD5E" w14:textId="77777777" w:rsidR="00A71CEA" w:rsidRPr="006C15D5" w:rsidRDefault="00A71CEA" w:rsidP="00A71CEA">
      <w:pPr>
        <w:rPr>
          <w:rFonts w:ascii="Arial" w:eastAsia="Calibri" w:hAnsi="Arial" w:cs="Arial"/>
          <w:color w:val="000000" w:themeColor="text1"/>
          <w:sz w:val="22"/>
        </w:rPr>
      </w:pPr>
      <w:r>
        <w:rPr>
          <w:rFonts w:ascii="Arial" w:eastAsia="Calibri" w:hAnsi="Arial" w:cs="Arial"/>
          <w:bCs/>
          <w:color w:val="000000" w:themeColor="text1"/>
          <w:sz w:val="22"/>
        </w:rPr>
        <w:t xml:space="preserve">Barranquilla, Atlantico </w:t>
      </w:r>
    </w:p>
    <w:p w14:paraId="7D66BE58" w14:textId="77777777" w:rsidR="00A71CEA" w:rsidRDefault="00A71CEA" w:rsidP="00A71CEA">
      <w:pPr>
        <w:rPr>
          <w:rFonts w:ascii="Arial" w:eastAsia="Calibri" w:hAnsi="Arial" w:cs="Arial"/>
          <w:color w:val="000000" w:themeColor="text1"/>
          <w:sz w:val="22"/>
        </w:rPr>
      </w:pPr>
    </w:p>
    <w:p w14:paraId="69A135F2" w14:textId="77777777" w:rsidR="00A71CEA" w:rsidRPr="006C15D5" w:rsidRDefault="00A71CEA" w:rsidP="00A71CEA">
      <w:pPr>
        <w:rPr>
          <w:rFonts w:ascii="Arial" w:eastAsia="Calibri" w:hAnsi="Arial" w:cs="Arial"/>
          <w:color w:val="000000" w:themeColor="text1"/>
          <w:sz w:val="22"/>
        </w:rPr>
      </w:pPr>
    </w:p>
    <w:p w14:paraId="689F680B" w14:textId="77777777" w:rsidR="00A71CEA" w:rsidRPr="006C15D5" w:rsidRDefault="00A71CEA" w:rsidP="00263999">
      <w:pPr>
        <w:ind w:firstLine="2552"/>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074 </w:t>
      </w:r>
      <w:r w:rsidRPr="00BF3AEF">
        <w:rPr>
          <w:rFonts w:ascii="Arial" w:eastAsia="Calibri" w:hAnsi="Arial" w:cs="Arial"/>
          <w:b/>
          <w:color w:val="000000" w:themeColor="text1"/>
          <w:sz w:val="22"/>
        </w:rPr>
        <w:t>de 202</w:t>
      </w:r>
      <w:r>
        <w:rPr>
          <w:rFonts w:ascii="Arial" w:eastAsia="Calibri" w:hAnsi="Arial" w:cs="Arial"/>
          <w:b/>
          <w:color w:val="000000" w:themeColor="text1"/>
          <w:sz w:val="22"/>
        </w:rPr>
        <w:t>1</w:t>
      </w:r>
    </w:p>
    <w:p w14:paraId="466753C0" w14:textId="77777777" w:rsidR="00A71CEA" w:rsidRPr="006C15D5" w:rsidRDefault="00A71CEA" w:rsidP="00A71CEA">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A71CEA" w:rsidRPr="00E96F75" w14:paraId="04B22C40" w14:textId="77777777" w:rsidTr="007F1895">
        <w:tc>
          <w:tcPr>
            <w:tcW w:w="2552" w:type="dxa"/>
            <w:hideMark/>
          </w:tcPr>
          <w:p w14:paraId="0504B9DB" w14:textId="77777777" w:rsidR="00A71CEA" w:rsidRPr="006C15D5" w:rsidRDefault="00A71CEA" w:rsidP="007F1895">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215AB684" w14:textId="77777777" w:rsidR="00A71CEA" w:rsidRPr="006C15D5" w:rsidRDefault="00A71CEA" w:rsidP="007F1895">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C32D214" w14:textId="4F46E7B7" w:rsidR="00A71CEA" w:rsidRPr="00E96F75" w:rsidRDefault="00F3683B" w:rsidP="0019728C">
            <w:pPr>
              <w:tabs>
                <w:tab w:val="left" w:pos="426"/>
              </w:tabs>
              <w:jc w:val="both"/>
              <w:rPr>
                <w:rFonts w:ascii="Arial" w:eastAsia="Calibri" w:hAnsi="Arial" w:cs="Arial"/>
                <w:bCs/>
                <w:color w:val="000000" w:themeColor="text1"/>
                <w:lang w:val="es-ES_tradnl"/>
              </w:rPr>
            </w:pPr>
            <w:r w:rsidRPr="00F3683B">
              <w:rPr>
                <w:rFonts w:ascii="Arial" w:eastAsia="Calibri" w:hAnsi="Arial" w:cs="Arial"/>
              </w:rPr>
              <w:t xml:space="preserve">LEY ANUAL DE PRESUPUESTO – Generalidades / </w:t>
            </w:r>
            <w:r w:rsidRPr="00F3683B">
              <w:rPr>
                <w:rFonts w:ascii="Arial" w:hAnsi="Arial" w:cs="Arial"/>
                <w:color w:val="000000"/>
                <w:shd w:val="clear" w:color="auto" w:fill="FFFFFF"/>
              </w:rPr>
              <w:t xml:space="preserve">PRESUPUESTO GENERAL DE LA NACIÓN / </w:t>
            </w:r>
            <w:r w:rsidRPr="00F3683B">
              <w:rPr>
                <w:rFonts w:ascii="Arial" w:hAnsi="Arial" w:cs="Arial"/>
                <w:color w:val="000000"/>
              </w:rPr>
              <w:t xml:space="preserve">PARAFISCALES – </w:t>
            </w:r>
            <w:r w:rsidR="0019728C">
              <w:rPr>
                <w:rFonts w:ascii="Arial" w:hAnsi="Arial" w:cs="Arial"/>
                <w:color w:val="000000"/>
              </w:rPr>
              <w:t xml:space="preserve">naturaleza jurídica </w:t>
            </w:r>
            <w:r w:rsidRPr="00F3683B">
              <w:rPr>
                <w:rFonts w:ascii="Arial" w:hAnsi="Arial" w:cs="Arial"/>
                <w:color w:val="000000"/>
              </w:rPr>
              <w:t xml:space="preserve">/ </w:t>
            </w:r>
            <w:r w:rsidRPr="00F3683B">
              <w:rPr>
                <w:rFonts w:ascii="Arial" w:hAnsi="Arial" w:cs="Arial"/>
                <w:color w:val="000000"/>
                <w:shd w:val="clear" w:color="auto" w:fill="FFFFFF"/>
              </w:rPr>
              <w:t xml:space="preserve">COFINANCIACIÓN – Definición / CONTRATOS O CONVENIOS – </w:t>
            </w:r>
            <w:r w:rsidR="0019728C">
              <w:rPr>
                <w:rFonts w:ascii="Arial" w:hAnsi="Arial" w:cs="Arial"/>
                <w:color w:val="000000"/>
                <w:shd w:val="clear" w:color="auto" w:fill="FFFFFF"/>
              </w:rPr>
              <w:t>Identidad sustancial</w:t>
            </w:r>
          </w:p>
        </w:tc>
      </w:tr>
      <w:tr w:rsidR="00A71CEA" w:rsidRPr="00E96F75" w14:paraId="5EB43BDD" w14:textId="77777777" w:rsidTr="007F1895">
        <w:tc>
          <w:tcPr>
            <w:tcW w:w="2552" w:type="dxa"/>
          </w:tcPr>
          <w:p w14:paraId="425844B4" w14:textId="77777777" w:rsidR="00A71CEA" w:rsidRPr="006C15D5" w:rsidRDefault="00A71CEA" w:rsidP="007F1895">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4F5082BC" w14:textId="77777777" w:rsidR="00A71CEA" w:rsidRPr="00E96F75" w:rsidRDefault="00A71CEA" w:rsidP="007F1895">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P20210</w:t>
            </w:r>
            <w:r>
              <w:rPr>
                <w:rFonts w:ascii="Arial" w:eastAsia="Calibri" w:hAnsi="Arial" w:cs="Arial"/>
                <w:bCs/>
                <w:color w:val="000000" w:themeColor="text1"/>
              </w:rPr>
              <w:t>203</w:t>
            </w:r>
            <w:r w:rsidRPr="00E96F75">
              <w:rPr>
                <w:rFonts w:ascii="Arial" w:eastAsia="Calibri" w:hAnsi="Arial" w:cs="Arial"/>
                <w:bCs/>
                <w:color w:val="000000" w:themeColor="text1"/>
              </w:rPr>
              <w:t>00</w:t>
            </w:r>
            <w:r>
              <w:rPr>
                <w:rFonts w:ascii="Arial" w:eastAsia="Calibri" w:hAnsi="Arial" w:cs="Arial"/>
                <w:bCs/>
                <w:color w:val="000000" w:themeColor="text1"/>
              </w:rPr>
              <w:t>0856</w:t>
            </w:r>
          </w:p>
        </w:tc>
      </w:tr>
    </w:tbl>
    <w:p w14:paraId="5B5ACC3D" w14:textId="0A5CE747" w:rsidR="00A71CEA" w:rsidRDefault="00A71CEA" w:rsidP="00A71CEA">
      <w:pPr>
        <w:jc w:val="both"/>
        <w:rPr>
          <w:rFonts w:ascii="Arial" w:eastAsia="Calibri" w:hAnsi="Arial" w:cs="Arial"/>
          <w:color w:val="000000" w:themeColor="text1"/>
          <w:sz w:val="22"/>
        </w:rPr>
      </w:pPr>
    </w:p>
    <w:p w14:paraId="29214498" w14:textId="77777777" w:rsidR="00776374" w:rsidRPr="006C15D5" w:rsidRDefault="00776374" w:rsidP="00A71CEA">
      <w:pPr>
        <w:jc w:val="both"/>
        <w:rPr>
          <w:rFonts w:ascii="Arial" w:eastAsia="Calibri" w:hAnsi="Arial" w:cs="Arial"/>
          <w:color w:val="000000" w:themeColor="text1"/>
          <w:sz w:val="22"/>
        </w:rPr>
      </w:pPr>
    </w:p>
    <w:p w14:paraId="455A23BD" w14:textId="567303EE" w:rsidR="00A71CEA" w:rsidRPr="006C15D5" w:rsidRDefault="00A71CEA" w:rsidP="00A71CEA">
      <w:pPr>
        <w:rPr>
          <w:rFonts w:ascii="Arial" w:eastAsia="Calibri" w:hAnsi="Arial" w:cs="Arial"/>
          <w:color w:val="000000" w:themeColor="text1"/>
          <w:sz w:val="22"/>
        </w:rPr>
      </w:pPr>
      <w:r w:rsidRPr="006C15D5">
        <w:rPr>
          <w:rFonts w:ascii="Arial" w:eastAsia="Calibri" w:hAnsi="Arial" w:cs="Arial"/>
          <w:color w:val="000000" w:themeColor="text1"/>
          <w:sz w:val="22"/>
        </w:rPr>
        <w:t>Estima</w:t>
      </w:r>
      <w:r>
        <w:rPr>
          <w:rFonts w:ascii="Arial" w:eastAsia="Calibri" w:hAnsi="Arial" w:cs="Arial"/>
          <w:color w:val="000000" w:themeColor="text1"/>
          <w:sz w:val="22"/>
        </w:rPr>
        <w:t>do seño</w:t>
      </w:r>
      <w:r w:rsidR="00E43F7F">
        <w:rPr>
          <w:rFonts w:ascii="Arial" w:eastAsia="Calibri" w:hAnsi="Arial" w:cs="Arial"/>
          <w:color w:val="000000" w:themeColor="text1"/>
          <w:sz w:val="22"/>
        </w:rPr>
        <w:t>r</w:t>
      </w:r>
      <w:r>
        <w:rPr>
          <w:rFonts w:ascii="Arial" w:eastAsia="Calibri" w:hAnsi="Arial" w:cs="Arial"/>
          <w:color w:val="000000" w:themeColor="text1"/>
          <w:sz w:val="22"/>
        </w:rPr>
        <w:t xml:space="preserve">: </w:t>
      </w:r>
    </w:p>
    <w:p w14:paraId="2E19F2DC" w14:textId="77777777" w:rsidR="00A71CEA" w:rsidRPr="006C15D5" w:rsidRDefault="00A71CEA" w:rsidP="00A71CEA">
      <w:pPr>
        <w:rPr>
          <w:rFonts w:ascii="Arial" w:eastAsia="Calibri" w:hAnsi="Arial" w:cs="Arial"/>
          <w:color w:val="000000" w:themeColor="text1"/>
          <w:sz w:val="22"/>
        </w:rPr>
      </w:pPr>
    </w:p>
    <w:p w14:paraId="3486BCA9" w14:textId="77777777" w:rsidR="00A71CEA" w:rsidRPr="006C15D5" w:rsidRDefault="00A71CEA" w:rsidP="00A71CEA">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 xml:space="preserve">3 de febrero de 2021. </w:t>
      </w:r>
    </w:p>
    <w:p w14:paraId="300077F6" w14:textId="77777777" w:rsidR="00A71CEA" w:rsidRPr="006C15D5" w:rsidRDefault="00A71CEA" w:rsidP="00A71CEA">
      <w:pPr>
        <w:spacing w:line="276" w:lineRule="auto"/>
        <w:jc w:val="both"/>
        <w:rPr>
          <w:rFonts w:ascii="Arial" w:eastAsia="Calibri" w:hAnsi="Arial" w:cs="Arial"/>
          <w:color w:val="000000" w:themeColor="text1"/>
          <w:sz w:val="22"/>
        </w:rPr>
      </w:pPr>
    </w:p>
    <w:p w14:paraId="1D06E6AB" w14:textId="77777777" w:rsidR="00A71CEA" w:rsidRPr="00F61ACC" w:rsidRDefault="00A71CEA" w:rsidP="00A71CEA">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2CCC00D8" w14:textId="77777777" w:rsidR="00A71CEA" w:rsidRDefault="00A71CEA" w:rsidP="00A71CEA">
      <w:pPr>
        <w:autoSpaceDE w:val="0"/>
        <w:autoSpaceDN w:val="0"/>
        <w:adjustRightInd w:val="0"/>
        <w:spacing w:line="276" w:lineRule="auto"/>
        <w:jc w:val="both"/>
        <w:rPr>
          <w:rFonts w:ascii="Arial" w:eastAsia="Calibri" w:hAnsi="Arial" w:cs="Arial"/>
          <w:color w:val="000000" w:themeColor="text1"/>
          <w:sz w:val="22"/>
        </w:rPr>
      </w:pPr>
    </w:p>
    <w:p w14:paraId="5E2ADC8D" w14:textId="64EF07E7" w:rsidR="00A71CEA" w:rsidRPr="002A1B2B" w:rsidRDefault="00A71CEA" w:rsidP="00531E6B">
      <w:pPr>
        <w:autoSpaceDE w:val="0"/>
        <w:autoSpaceDN w:val="0"/>
        <w:adjustRightInd w:val="0"/>
        <w:spacing w:line="276" w:lineRule="auto"/>
        <w:jc w:val="both"/>
        <w:rPr>
          <w:rFonts w:ascii="Arial" w:eastAsia="Calibri" w:hAnsi="Arial" w:cs="Arial"/>
          <w:color w:val="000000" w:themeColor="text1"/>
          <w:sz w:val="22"/>
          <w:szCs w:val="22"/>
          <w:lang w:val="es-ES"/>
        </w:rPr>
      </w:pPr>
      <w:r w:rsidRPr="002A1B2B">
        <w:rPr>
          <w:rFonts w:ascii="Arial" w:eastAsia="Calibri" w:hAnsi="Arial" w:cs="Arial"/>
          <w:color w:val="000000" w:themeColor="text1"/>
          <w:sz w:val="22"/>
        </w:rPr>
        <w:t>Usted realiza las siguientes pregun</w:t>
      </w:r>
      <w:r w:rsidRPr="002A1B2B">
        <w:rPr>
          <w:rFonts w:ascii="Arial" w:eastAsia="Calibri" w:hAnsi="Arial" w:cs="Arial"/>
          <w:color w:val="000000" w:themeColor="text1"/>
          <w:sz w:val="22"/>
          <w:szCs w:val="22"/>
        </w:rPr>
        <w:t>tas: i)</w:t>
      </w:r>
      <w:r w:rsidR="00B913DC">
        <w:rPr>
          <w:rFonts w:ascii="Arial" w:eastAsia="Calibri" w:hAnsi="Arial" w:cs="Arial"/>
          <w:color w:val="000000" w:themeColor="text1"/>
          <w:sz w:val="22"/>
          <w:szCs w:val="22"/>
        </w:rPr>
        <w:t xml:space="preserve"> </w:t>
      </w:r>
      <w:r w:rsidR="004E7410">
        <w:rPr>
          <w:rFonts w:ascii="Arial" w:eastAsia="Calibri" w:hAnsi="Arial" w:cs="Arial"/>
          <w:color w:val="000000" w:themeColor="text1"/>
          <w:sz w:val="22"/>
          <w:szCs w:val="22"/>
        </w:rPr>
        <w:t>«</w:t>
      </w:r>
      <w:r w:rsidRPr="002A1B2B">
        <w:rPr>
          <w:rFonts w:ascii="Arial" w:hAnsi="Arial" w:cs="Arial"/>
          <w:color w:val="000000" w:themeColor="text1"/>
          <w:sz w:val="22"/>
          <w:szCs w:val="22"/>
          <w:lang w:val="es-ES"/>
        </w:rPr>
        <w:t>¿</w:t>
      </w:r>
      <w:r w:rsidRPr="002A1B2B">
        <w:rPr>
          <w:rFonts w:ascii="Arial" w:hAnsi="Arial" w:cs="Arial"/>
          <w:color w:val="000000" w:themeColor="text1"/>
          <w:sz w:val="22"/>
          <w:szCs w:val="22"/>
        </w:rPr>
        <w:t xml:space="preserve">Qué se entiende por </w:t>
      </w:r>
      <w:r w:rsidR="00B913DC">
        <w:rPr>
          <w:rFonts w:ascii="Arial" w:hAnsi="Arial" w:cs="Arial"/>
          <w:color w:val="000000" w:themeColor="text1"/>
          <w:sz w:val="22"/>
          <w:szCs w:val="22"/>
        </w:rPr>
        <w:t>“</w:t>
      </w:r>
      <w:r w:rsidRPr="002A1B2B">
        <w:rPr>
          <w:rFonts w:ascii="Arial" w:hAnsi="Arial" w:cs="Arial"/>
          <w:color w:val="000000" w:themeColor="text1"/>
          <w:sz w:val="22"/>
          <w:szCs w:val="22"/>
        </w:rPr>
        <w:t xml:space="preserve">contratos y convenios administrativos” a los que se refiere el </w:t>
      </w:r>
      <w:r w:rsidR="00072333" w:rsidRPr="002A1B2B">
        <w:rPr>
          <w:rFonts w:ascii="Arial" w:hAnsi="Arial" w:cs="Arial"/>
          <w:color w:val="000000" w:themeColor="text1"/>
          <w:sz w:val="22"/>
          <w:szCs w:val="22"/>
        </w:rPr>
        <w:t>parágrafo</w:t>
      </w:r>
      <w:r w:rsidRPr="002A1B2B">
        <w:rPr>
          <w:rFonts w:ascii="Arial" w:hAnsi="Arial" w:cs="Arial"/>
          <w:color w:val="000000" w:themeColor="text1"/>
          <w:sz w:val="22"/>
          <w:szCs w:val="22"/>
        </w:rPr>
        <w:t xml:space="preserve"> del </w:t>
      </w:r>
      <w:r w:rsidR="00072333" w:rsidRPr="002A1B2B">
        <w:rPr>
          <w:rFonts w:ascii="Arial" w:hAnsi="Arial" w:cs="Arial"/>
          <w:color w:val="000000" w:themeColor="text1"/>
          <w:sz w:val="22"/>
          <w:szCs w:val="22"/>
        </w:rPr>
        <w:t>artículo</w:t>
      </w:r>
      <w:r w:rsidRPr="002A1B2B">
        <w:rPr>
          <w:rFonts w:ascii="Arial" w:hAnsi="Arial" w:cs="Arial"/>
          <w:color w:val="000000" w:themeColor="text1"/>
          <w:sz w:val="22"/>
          <w:szCs w:val="22"/>
        </w:rPr>
        <w:t xml:space="preserve"> 56 de la Ley 2063 de 2020</w:t>
      </w:r>
      <w:r w:rsidRPr="002A1B2B">
        <w:rPr>
          <w:rFonts w:ascii="Arial" w:hAnsi="Arial" w:cs="Arial"/>
          <w:color w:val="000000" w:themeColor="text1"/>
          <w:sz w:val="22"/>
          <w:szCs w:val="22"/>
          <w:lang w:val="es-ES"/>
        </w:rPr>
        <w:t>?</w:t>
      </w:r>
      <w:r w:rsidRPr="002A1B2B">
        <w:rPr>
          <w:rFonts w:ascii="Arial" w:eastAsia="Calibri" w:hAnsi="Arial" w:cs="Arial"/>
          <w:color w:val="000000" w:themeColor="text1"/>
          <w:sz w:val="22"/>
          <w:szCs w:val="22"/>
          <w:lang w:val="es-ES"/>
        </w:rPr>
        <w:t>»</w:t>
      </w:r>
      <w:r w:rsidR="004E7410">
        <w:rPr>
          <w:rFonts w:ascii="Arial" w:eastAsia="Calibri" w:hAnsi="Arial" w:cs="Arial"/>
          <w:color w:val="000000" w:themeColor="text1"/>
          <w:sz w:val="22"/>
          <w:szCs w:val="22"/>
          <w:lang w:val="es-ES"/>
        </w:rPr>
        <w:t xml:space="preserve">, </w:t>
      </w:r>
      <w:r w:rsidRPr="002A1B2B">
        <w:rPr>
          <w:rFonts w:ascii="Arial" w:hAnsi="Arial" w:cs="Arial"/>
          <w:color w:val="000000" w:themeColor="text1"/>
          <w:sz w:val="22"/>
          <w:szCs w:val="22"/>
        </w:rPr>
        <w:t xml:space="preserve">ii) </w:t>
      </w:r>
      <w:r w:rsidR="004E7410">
        <w:rPr>
          <w:rFonts w:ascii="Arial" w:hAnsi="Arial" w:cs="Arial"/>
          <w:color w:val="000000" w:themeColor="text1"/>
          <w:sz w:val="22"/>
          <w:szCs w:val="22"/>
        </w:rPr>
        <w:t>«</w:t>
      </w:r>
      <w:r w:rsidRPr="002A1B2B">
        <w:rPr>
          <w:rFonts w:ascii="Arial" w:hAnsi="Arial" w:cs="Arial"/>
          <w:color w:val="000000" w:themeColor="text1"/>
          <w:sz w:val="22"/>
          <w:szCs w:val="22"/>
          <w:lang w:val="es-ES"/>
        </w:rPr>
        <w:t>¿</w:t>
      </w:r>
      <w:r w:rsidR="00B913DC" w:rsidRPr="002A1B2B">
        <w:rPr>
          <w:rFonts w:ascii="Arial" w:hAnsi="Arial" w:cs="Arial"/>
          <w:color w:val="000000" w:themeColor="text1"/>
          <w:sz w:val="22"/>
          <w:szCs w:val="22"/>
        </w:rPr>
        <w:t>Cuáles</w:t>
      </w:r>
      <w:r w:rsidRPr="002A1B2B">
        <w:rPr>
          <w:rFonts w:ascii="Arial" w:hAnsi="Arial" w:cs="Arial"/>
          <w:color w:val="000000" w:themeColor="text1"/>
          <w:sz w:val="22"/>
          <w:szCs w:val="22"/>
        </w:rPr>
        <w:t xml:space="preserve"> son los efectos contractuales de la </w:t>
      </w:r>
      <w:r w:rsidR="00B913DC" w:rsidRPr="002A1B2B">
        <w:rPr>
          <w:rFonts w:ascii="Arial" w:hAnsi="Arial" w:cs="Arial"/>
          <w:color w:val="000000" w:themeColor="text1"/>
          <w:sz w:val="22"/>
          <w:szCs w:val="22"/>
        </w:rPr>
        <w:t>expresión</w:t>
      </w:r>
      <w:r w:rsidRPr="002A1B2B">
        <w:rPr>
          <w:rFonts w:ascii="Arial" w:hAnsi="Arial" w:cs="Arial"/>
          <w:color w:val="000000" w:themeColor="text1"/>
          <w:sz w:val="22"/>
          <w:szCs w:val="22"/>
        </w:rPr>
        <w:t xml:space="preserve"> “sin necesidad de </w:t>
      </w:r>
      <w:r w:rsidR="00B913DC" w:rsidRPr="002A1B2B">
        <w:rPr>
          <w:rFonts w:ascii="Arial" w:hAnsi="Arial" w:cs="Arial"/>
          <w:color w:val="000000" w:themeColor="text1"/>
          <w:sz w:val="22"/>
          <w:szCs w:val="22"/>
        </w:rPr>
        <w:t>cofinanciación</w:t>
      </w:r>
      <w:r w:rsidRPr="002A1B2B">
        <w:rPr>
          <w:rFonts w:ascii="Arial" w:hAnsi="Arial" w:cs="Arial"/>
          <w:color w:val="000000" w:themeColor="text1"/>
          <w:sz w:val="22"/>
          <w:szCs w:val="22"/>
        </w:rPr>
        <w:t xml:space="preserve"> para la </w:t>
      </w:r>
      <w:r w:rsidR="00B913DC" w:rsidRPr="002A1B2B">
        <w:rPr>
          <w:rFonts w:ascii="Arial" w:hAnsi="Arial" w:cs="Arial"/>
          <w:color w:val="000000" w:themeColor="text1"/>
          <w:sz w:val="22"/>
          <w:szCs w:val="22"/>
        </w:rPr>
        <w:t>consolidación</w:t>
      </w:r>
      <w:r w:rsidRPr="002A1B2B">
        <w:rPr>
          <w:rFonts w:ascii="Arial" w:hAnsi="Arial" w:cs="Arial"/>
          <w:color w:val="000000" w:themeColor="text1"/>
          <w:sz w:val="22"/>
          <w:szCs w:val="22"/>
        </w:rPr>
        <w:t xml:space="preserve"> de la </w:t>
      </w:r>
      <w:r w:rsidR="00B913DC" w:rsidRPr="002A1B2B">
        <w:rPr>
          <w:rFonts w:ascii="Arial" w:hAnsi="Arial" w:cs="Arial"/>
          <w:color w:val="000000" w:themeColor="text1"/>
          <w:sz w:val="22"/>
          <w:szCs w:val="22"/>
        </w:rPr>
        <w:t>reactivación</w:t>
      </w:r>
      <w:r w:rsidRPr="002A1B2B">
        <w:rPr>
          <w:rFonts w:ascii="Arial" w:hAnsi="Arial" w:cs="Arial"/>
          <w:color w:val="000000" w:themeColor="text1"/>
          <w:sz w:val="22"/>
          <w:szCs w:val="22"/>
        </w:rPr>
        <w:t xml:space="preserve"> </w:t>
      </w:r>
      <w:r w:rsidR="00B913DC" w:rsidRPr="002A1B2B">
        <w:rPr>
          <w:rFonts w:ascii="Arial" w:hAnsi="Arial" w:cs="Arial"/>
          <w:color w:val="000000" w:themeColor="text1"/>
          <w:sz w:val="22"/>
          <w:szCs w:val="22"/>
        </w:rPr>
        <w:t>económica</w:t>
      </w:r>
      <w:r w:rsidRPr="002A1B2B">
        <w:rPr>
          <w:rFonts w:ascii="Arial" w:hAnsi="Arial" w:cs="Arial"/>
          <w:color w:val="000000" w:themeColor="text1"/>
          <w:sz w:val="22"/>
          <w:szCs w:val="22"/>
        </w:rPr>
        <w:t xml:space="preserve">” consagrada en el mismo </w:t>
      </w:r>
      <w:r w:rsidR="00B913DC" w:rsidRPr="002A1B2B">
        <w:rPr>
          <w:rFonts w:ascii="Arial" w:hAnsi="Arial" w:cs="Arial"/>
          <w:color w:val="000000" w:themeColor="text1"/>
          <w:sz w:val="22"/>
          <w:szCs w:val="22"/>
        </w:rPr>
        <w:t>parágrafo</w:t>
      </w:r>
      <w:r w:rsidRPr="002A1B2B">
        <w:rPr>
          <w:rFonts w:ascii="Arial" w:hAnsi="Arial" w:cs="Arial"/>
          <w:color w:val="000000" w:themeColor="text1"/>
          <w:sz w:val="22"/>
          <w:szCs w:val="22"/>
          <w:lang w:val="es-ES"/>
        </w:rPr>
        <w:t>?</w:t>
      </w:r>
      <w:r w:rsidRPr="002A1B2B">
        <w:rPr>
          <w:rFonts w:ascii="Arial" w:eastAsia="Calibri" w:hAnsi="Arial" w:cs="Arial"/>
          <w:color w:val="000000" w:themeColor="text1"/>
          <w:sz w:val="22"/>
          <w:szCs w:val="22"/>
          <w:lang w:val="es-ES"/>
        </w:rPr>
        <w:t>»</w:t>
      </w:r>
      <w:r w:rsidR="004E7410">
        <w:rPr>
          <w:rFonts w:ascii="Arial" w:eastAsia="Calibri" w:hAnsi="Arial" w:cs="Arial"/>
          <w:color w:val="000000" w:themeColor="text1"/>
          <w:sz w:val="22"/>
          <w:szCs w:val="22"/>
          <w:lang w:val="es-ES"/>
        </w:rPr>
        <w:t xml:space="preserve">, </w:t>
      </w:r>
      <w:r w:rsidRPr="002A1B2B">
        <w:rPr>
          <w:rFonts w:ascii="Arial" w:hAnsi="Arial" w:cs="Arial"/>
          <w:color w:val="000000" w:themeColor="text1"/>
          <w:sz w:val="22"/>
          <w:szCs w:val="22"/>
        </w:rPr>
        <w:t xml:space="preserve">iii) </w:t>
      </w:r>
      <w:r w:rsidR="004E7410">
        <w:rPr>
          <w:rFonts w:ascii="Arial" w:hAnsi="Arial" w:cs="Arial"/>
          <w:color w:val="000000" w:themeColor="text1"/>
          <w:sz w:val="22"/>
          <w:szCs w:val="22"/>
        </w:rPr>
        <w:t>«</w:t>
      </w:r>
      <w:r w:rsidRPr="002A1B2B">
        <w:rPr>
          <w:rFonts w:ascii="Arial" w:hAnsi="Arial" w:cs="Arial"/>
          <w:color w:val="000000" w:themeColor="text1"/>
          <w:sz w:val="22"/>
          <w:szCs w:val="22"/>
          <w:lang w:val="es-ES"/>
        </w:rPr>
        <w:t>¿</w:t>
      </w:r>
      <w:r w:rsidRPr="002A1B2B">
        <w:rPr>
          <w:rFonts w:ascii="Arial" w:hAnsi="Arial" w:cs="Arial"/>
          <w:color w:val="000000" w:themeColor="text1"/>
          <w:sz w:val="22"/>
          <w:szCs w:val="22"/>
        </w:rPr>
        <w:t xml:space="preserve">Lo establecido por el </w:t>
      </w:r>
      <w:r w:rsidR="00072333" w:rsidRPr="002A1B2B">
        <w:rPr>
          <w:rFonts w:ascii="Arial" w:hAnsi="Arial" w:cs="Arial"/>
          <w:color w:val="000000" w:themeColor="text1"/>
          <w:sz w:val="22"/>
          <w:szCs w:val="22"/>
        </w:rPr>
        <w:t>parágrafo</w:t>
      </w:r>
      <w:r w:rsidRPr="002A1B2B">
        <w:rPr>
          <w:rFonts w:ascii="Arial" w:hAnsi="Arial" w:cs="Arial"/>
          <w:color w:val="000000" w:themeColor="text1"/>
          <w:sz w:val="22"/>
          <w:szCs w:val="22"/>
        </w:rPr>
        <w:t xml:space="preserve"> del </w:t>
      </w:r>
      <w:r w:rsidR="00072333" w:rsidRPr="002A1B2B">
        <w:rPr>
          <w:rFonts w:ascii="Arial" w:hAnsi="Arial" w:cs="Arial"/>
          <w:color w:val="000000" w:themeColor="text1"/>
          <w:sz w:val="22"/>
          <w:szCs w:val="22"/>
        </w:rPr>
        <w:t>artículo</w:t>
      </w:r>
      <w:r w:rsidRPr="002A1B2B">
        <w:rPr>
          <w:rFonts w:ascii="Arial" w:hAnsi="Arial" w:cs="Arial"/>
          <w:color w:val="000000" w:themeColor="text1"/>
          <w:sz w:val="22"/>
          <w:szCs w:val="22"/>
        </w:rPr>
        <w:t xml:space="preserve"> 56 de la Ley 2063 de 2020, </w:t>
      </w:r>
      <w:r w:rsidR="00072333" w:rsidRPr="002A1B2B">
        <w:rPr>
          <w:rFonts w:ascii="Arial" w:hAnsi="Arial" w:cs="Arial"/>
          <w:color w:val="000000" w:themeColor="text1"/>
          <w:sz w:val="22"/>
          <w:szCs w:val="22"/>
        </w:rPr>
        <w:t>podría</w:t>
      </w:r>
      <w:r w:rsidRPr="002A1B2B">
        <w:rPr>
          <w:rFonts w:ascii="Arial" w:hAnsi="Arial" w:cs="Arial"/>
          <w:color w:val="000000" w:themeColor="text1"/>
          <w:sz w:val="22"/>
          <w:szCs w:val="22"/>
        </w:rPr>
        <w:t xml:space="preserve"> configurar una causal de </w:t>
      </w:r>
      <w:r w:rsidR="00072333" w:rsidRPr="002A1B2B">
        <w:rPr>
          <w:rFonts w:ascii="Arial" w:hAnsi="Arial" w:cs="Arial"/>
          <w:color w:val="000000" w:themeColor="text1"/>
          <w:sz w:val="22"/>
          <w:szCs w:val="22"/>
        </w:rPr>
        <w:t>contratación</w:t>
      </w:r>
      <w:r w:rsidRPr="002A1B2B">
        <w:rPr>
          <w:rFonts w:ascii="Arial" w:hAnsi="Arial" w:cs="Arial"/>
          <w:color w:val="000000" w:themeColor="text1"/>
          <w:sz w:val="22"/>
          <w:szCs w:val="22"/>
        </w:rPr>
        <w:t xml:space="preserve"> directa</w:t>
      </w:r>
      <w:r w:rsidRPr="002A1B2B">
        <w:rPr>
          <w:rFonts w:ascii="Arial" w:hAnsi="Arial" w:cs="Arial"/>
          <w:color w:val="000000" w:themeColor="text1"/>
          <w:sz w:val="22"/>
          <w:szCs w:val="22"/>
          <w:lang w:val="es-ES"/>
        </w:rPr>
        <w:t>?</w:t>
      </w:r>
      <w:r w:rsidRPr="002A1B2B">
        <w:rPr>
          <w:rFonts w:ascii="Arial" w:eastAsia="Calibri" w:hAnsi="Arial" w:cs="Arial"/>
          <w:color w:val="000000" w:themeColor="text1"/>
          <w:sz w:val="22"/>
          <w:szCs w:val="22"/>
          <w:lang w:val="es-ES"/>
        </w:rPr>
        <w:t>»</w:t>
      </w:r>
      <w:r w:rsidR="004E7410">
        <w:rPr>
          <w:rFonts w:ascii="Arial" w:eastAsia="Calibri" w:hAnsi="Arial" w:cs="Arial"/>
          <w:color w:val="000000" w:themeColor="text1"/>
          <w:sz w:val="22"/>
          <w:szCs w:val="22"/>
          <w:lang w:val="es-ES"/>
        </w:rPr>
        <w:t xml:space="preserve"> y </w:t>
      </w:r>
      <w:r w:rsidRPr="002A1B2B">
        <w:rPr>
          <w:rFonts w:ascii="Arial" w:hAnsi="Arial" w:cs="Arial"/>
          <w:color w:val="000000" w:themeColor="text1"/>
          <w:sz w:val="22"/>
          <w:szCs w:val="22"/>
        </w:rPr>
        <w:t>iv)</w:t>
      </w:r>
      <w:r w:rsidR="00B913DC">
        <w:rPr>
          <w:rFonts w:ascii="Arial" w:hAnsi="Arial" w:cs="Arial"/>
          <w:color w:val="000000" w:themeColor="text1"/>
          <w:sz w:val="22"/>
          <w:szCs w:val="22"/>
        </w:rPr>
        <w:t xml:space="preserve"> </w:t>
      </w:r>
      <w:r w:rsidR="004E7410">
        <w:rPr>
          <w:rFonts w:ascii="Arial" w:hAnsi="Arial" w:cs="Arial"/>
          <w:color w:val="000000" w:themeColor="text1"/>
          <w:sz w:val="22"/>
          <w:szCs w:val="22"/>
        </w:rPr>
        <w:t>«</w:t>
      </w:r>
      <w:r w:rsidRPr="002A1B2B">
        <w:rPr>
          <w:rFonts w:ascii="Arial" w:hAnsi="Arial" w:cs="Arial"/>
          <w:color w:val="000000" w:themeColor="text1"/>
          <w:sz w:val="22"/>
          <w:szCs w:val="22"/>
          <w:lang w:val="es-ES"/>
        </w:rPr>
        <w:t>¿</w:t>
      </w:r>
      <w:r w:rsidRPr="002A1B2B">
        <w:rPr>
          <w:rFonts w:ascii="Arial" w:hAnsi="Arial" w:cs="Arial"/>
          <w:color w:val="000000" w:themeColor="text1"/>
          <w:sz w:val="22"/>
          <w:szCs w:val="22"/>
        </w:rPr>
        <w:t xml:space="preserve">Lo establecido por el </w:t>
      </w:r>
      <w:r w:rsidR="00B913DC" w:rsidRPr="002A1B2B">
        <w:rPr>
          <w:rFonts w:ascii="Arial" w:hAnsi="Arial" w:cs="Arial"/>
          <w:color w:val="000000" w:themeColor="text1"/>
          <w:sz w:val="22"/>
          <w:szCs w:val="22"/>
        </w:rPr>
        <w:t>parágrafo</w:t>
      </w:r>
      <w:r w:rsidRPr="002A1B2B">
        <w:rPr>
          <w:rFonts w:ascii="Arial" w:hAnsi="Arial" w:cs="Arial"/>
          <w:color w:val="000000" w:themeColor="text1"/>
          <w:sz w:val="22"/>
          <w:szCs w:val="22"/>
        </w:rPr>
        <w:t xml:space="preserve"> del </w:t>
      </w:r>
      <w:r w:rsidR="00B913DC" w:rsidRPr="002A1B2B">
        <w:rPr>
          <w:rFonts w:ascii="Arial" w:hAnsi="Arial" w:cs="Arial"/>
          <w:color w:val="000000" w:themeColor="text1"/>
          <w:sz w:val="22"/>
          <w:szCs w:val="22"/>
        </w:rPr>
        <w:t>artículo</w:t>
      </w:r>
      <w:r w:rsidRPr="002A1B2B">
        <w:rPr>
          <w:rFonts w:ascii="Arial" w:hAnsi="Arial" w:cs="Arial"/>
          <w:color w:val="000000" w:themeColor="text1"/>
          <w:sz w:val="22"/>
          <w:szCs w:val="22"/>
        </w:rPr>
        <w:t xml:space="preserve"> 56 de la Ley 2063 de 2020, </w:t>
      </w:r>
      <w:r w:rsidR="00B913DC" w:rsidRPr="002A1B2B">
        <w:rPr>
          <w:rFonts w:ascii="Arial" w:hAnsi="Arial" w:cs="Arial"/>
          <w:color w:val="000000" w:themeColor="text1"/>
          <w:sz w:val="22"/>
          <w:szCs w:val="22"/>
        </w:rPr>
        <w:t>podría</w:t>
      </w:r>
      <w:r w:rsidRPr="002A1B2B">
        <w:rPr>
          <w:rFonts w:ascii="Arial" w:hAnsi="Arial" w:cs="Arial"/>
          <w:color w:val="000000" w:themeColor="text1"/>
          <w:sz w:val="22"/>
          <w:szCs w:val="22"/>
        </w:rPr>
        <w:t xml:space="preserve"> entenderse como una </w:t>
      </w:r>
      <w:r w:rsidR="00B913DC" w:rsidRPr="002A1B2B">
        <w:rPr>
          <w:rFonts w:ascii="Arial" w:hAnsi="Arial" w:cs="Arial"/>
          <w:color w:val="000000" w:themeColor="text1"/>
          <w:sz w:val="22"/>
          <w:szCs w:val="22"/>
        </w:rPr>
        <w:t>modificación</w:t>
      </w:r>
      <w:r w:rsidRPr="002A1B2B">
        <w:rPr>
          <w:rFonts w:ascii="Arial" w:hAnsi="Arial" w:cs="Arial"/>
          <w:color w:val="000000" w:themeColor="text1"/>
          <w:sz w:val="22"/>
          <w:szCs w:val="22"/>
        </w:rPr>
        <w:t xml:space="preserve"> temporal al </w:t>
      </w:r>
      <w:r w:rsidR="00B913DC" w:rsidRPr="002A1B2B">
        <w:rPr>
          <w:rFonts w:ascii="Arial" w:hAnsi="Arial" w:cs="Arial"/>
          <w:color w:val="000000" w:themeColor="text1"/>
          <w:sz w:val="22"/>
          <w:szCs w:val="22"/>
        </w:rPr>
        <w:t>régimen</w:t>
      </w:r>
      <w:r w:rsidRPr="002A1B2B">
        <w:rPr>
          <w:rFonts w:ascii="Arial" w:hAnsi="Arial" w:cs="Arial"/>
          <w:color w:val="000000" w:themeColor="text1"/>
          <w:sz w:val="22"/>
          <w:szCs w:val="22"/>
        </w:rPr>
        <w:t xml:space="preserve"> contractual con entidades sin </w:t>
      </w:r>
      <w:r w:rsidR="00B913DC" w:rsidRPr="002A1B2B">
        <w:rPr>
          <w:rFonts w:ascii="Arial" w:hAnsi="Arial" w:cs="Arial"/>
          <w:color w:val="000000" w:themeColor="text1"/>
          <w:sz w:val="22"/>
          <w:szCs w:val="22"/>
        </w:rPr>
        <w:t>ánimo</w:t>
      </w:r>
      <w:r w:rsidRPr="002A1B2B">
        <w:rPr>
          <w:rFonts w:ascii="Arial" w:hAnsi="Arial" w:cs="Arial"/>
          <w:color w:val="000000" w:themeColor="text1"/>
          <w:sz w:val="22"/>
          <w:szCs w:val="22"/>
        </w:rPr>
        <w:t xml:space="preserve"> de lucro</w:t>
      </w:r>
      <w:r w:rsidRPr="002A1B2B">
        <w:rPr>
          <w:rFonts w:ascii="Arial" w:hAnsi="Arial" w:cs="Arial"/>
          <w:color w:val="000000" w:themeColor="text1"/>
          <w:sz w:val="22"/>
          <w:szCs w:val="22"/>
          <w:lang w:val="es-ES"/>
        </w:rPr>
        <w:t>?</w:t>
      </w:r>
      <w:r w:rsidRPr="002A1B2B">
        <w:rPr>
          <w:rFonts w:ascii="Arial" w:eastAsia="Calibri" w:hAnsi="Arial" w:cs="Arial"/>
          <w:color w:val="000000" w:themeColor="text1"/>
          <w:sz w:val="22"/>
          <w:szCs w:val="22"/>
          <w:lang w:val="es-ES"/>
        </w:rPr>
        <w:t>».</w:t>
      </w:r>
    </w:p>
    <w:p w14:paraId="2D5C0795" w14:textId="77777777" w:rsidR="00A71CEA" w:rsidRPr="00064944" w:rsidRDefault="00A71CEA" w:rsidP="00A71CEA">
      <w:pPr>
        <w:rPr>
          <w:rFonts w:ascii="Arial" w:eastAsia="Calibri" w:hAnsi="Arial" w:cs="Arial"/>
          <w:color w:val="000000" w:themeColor="text1"/>
          <w:sz w:val="22"/>
          <w:szCs w:val="22"/>
          <w:lang w:val="es-ES"/>
        </w:rPr>
      </w:pPr>
    </w:p>
    <w:p w14:paraId="3E9BAA5B" w14:textId="77777777" w:rsidR="00A71CEA" w:rsidRDefault="00A71CEA" w:rsidP="00A71CEA">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74E34CFB" w14:textId="77777777" w:rsidR="00A71CEA" w:rsidRDefault="00A71CEA" w:rsidP="00A71CEA">
      <w:pPr>
        <w:tabs>
          <w:tab w:val="left" w:pos="426"/>
        </w:tabs>
        <w:spacing w:line="276" w:lineRule="auto"/>
        <w:jc w:val="both"/>
        <w:rPr>
          <w:rFonts w:ascii="Arial" w:eastAsia="Calibri" w:hAnsi="Arial" w:cs="Arial"/>
          <w:b/>
          <w:color w:val="000000" w:themeColor="text1"/>
          <w:sz w:val="22"/>
        </w:rPr>
      </w:pPr>
    </w:p>
    <w:p w14:paraId="4900810E" w14:textId="25A90F1A" w:rsidR="00A71CEA" w:rsidRPr="00B43119" w:rsidRDefault="00A71CEA" w:rsidP="00531E6B">
      <w:pPr>
        <w:spacing w:line="276" w:lineRule="auto"/>
        <w:jc w:val="both"/>
        <w:rPr>
          <w:rFonts w:ascii="Arial" w:hAnsi="Arial" w:cs="Arial"/>
          <w:color w:val="000000" w:themeColor="text1"/>
          <w:sz w:val="22"/>
          <w:szCs w:val="22"/>
        </w:rPr>
      </w:pPr>
      <w:r w:rsidRPr="002A1B2B">
        <w:rPr>
          <w:rFonts w:ascii="Arial" w:eastAsia="Calibri" w:hAnsi="Arial" w:cs="Arial"/>
          <w:bCs/>
          <w:color w:val="000000" w:themeColor="text1"/>
          <w:sz w:val="22"/>
        </w:rPr>
        <w:t xml:space="preserve">Para responder a sus interrogantes se estudiarán los siguientes temas: i) </w:t>
      </w:r>
      <w:r w:rsidR="00A9164B">
        <w:rPr>
          <w:rFonts w:ascii="Arial" w:eastAsia="Calibri" w:hAnsi="Arial" w:cs="Arial"/>
          <w:bCs/>
          <w:color w:val="000000" w:themeColor="text1"/>
          <w:sz w:val="22"/>
        </w:rPr>
        <w:t>N</w:t>
      </w:r>
      <w:r w:rsidR="00C635D5">
        <w:rPr>
          <w:rFonts w:ascii="Arial" w:hAnsi="Arial" w:cs="Arial"/>
          <w:color w:val="000000" w:themeColor="text1"/>
          <w:sz w:val="22"/>
        </w:rPr>
        <w:t>aturaleza</w:t>
      </w:r>
      <w:r w:rsidR="00A9164B">
        <w:rPr>
          <w:rFonts w:ascii="Arial" w:hAnsi="Arial" w:cs="Arial"/>
          <w:color w:val="000000" w:themeColor="text1"/>
          <w:sz w:val="22"/>
        </w:rPr>
        <w:t xml:space="preserve"> y objeto</w:t>
      </w:r>
      <w:r w:rsidRPr="002A1B2B">
        <w:rPr>
          <w:rFonts w:ascii="Arial" w:hAnsi="Arial" w:cs="Arial"/>
          <w:color w:val="000000" w:themeColor="text1"/>
          <w:sz w:val="22"/>
        </w:rPr>
        <w:t xml:space="preserve"> de la Ley</w:t>
      </w:r>
      <w:r w:rsidR="00C635D5">
        <w:rPr>
          <w:rFonts w:ascii="Arial" w:hAnsi="Arial" w:cs="Arial"/>
          <w:color w:val="000000" w:themeColor="text1"/>
          <w:sz w:val="22"/>
        </w:rPr>
        <w:t xml:space="preserve"> 2063 de 2020</w:t>
      </w:r>
      <w:r w:rsidRPr="002A1B2B">
        <w:rPr>
          <w:rFonts w:ascii="Arial" w:hAnsi="Arial" w:cs="Arial"/>
          <w:color w:val="000000" w:themeColor="text1"/>
          <w:sz w:val="22"/>
        </w:rPr>
        <w:t>, ii)</w:t>
      </w:r>
      <w:r w:rsidR="00337876">
        <w:rPr>
          <w:rFonts w:ascii="Arial" w:hAnsi="Arial" w:cs="Arial"/>
          <w:color w:val="000000" w:themeColor="text1"/>
          <w:sz w:val="22"/>
        </w:rPr>
        <w:t xml:space="preserve"> </w:t>
      </w:r>
      <w:r w:rsidR="00776374">
        <w:rPr>
          <w:rFonts w:ascii="Arial" w:hAnsi="Arial" w:cs="Arial"/>
          <w:color w:val="000000" w:themeColor="text1"/>
          <w:sz w:val="22"/>
        </w:rPr>
        <w:t>p</w:t>
      </w:r>
      <w:r w:rsidR="00337876">
        <w:rPr>
          <w:rFonts w:ascii="Arial" w:hAnsi="Arial" w:cs="Arial"/>
          <w:color w:val="000000" w:themeColor="text1"/>
          <w:sz w:val="22"/>
        </w:rPr>
        <w:t>roceso legislativo de aprobación del p</w:t>
      </w:r>
      <w:r w:rsidRPr="002A1B2B">
        <w:rPr>
          <w:rFonts w:ascii="Arial" w:hAnsi="Arial" w:cs="Arial"/>
          <w:color w:val="000000" w:themeColor="text1"/>
          <w:sz w:val="22"/>
        </w:rPr>
        <w:t>arágraf</w:t>
      </w:r>
      <w:r w:rsidR="00476544">
        <w:rPr>
          <w:rFonts w:ascii="Arial" w:hAnsi="Arial" w:cs="Arial"/>
          <w:color w:val="000000" w:themeColor="text1"/>
          <w:sz w:val="22"/>
        </w:rPr>
        <w:t>o del artículo 56 de la Ley 2063 de 2020</w:t>
      </w:r>
      <w:r w:rsidRPr="002A1B2B">
        <w:rPr>
          <w:rFonts w:ascii="Arial" w:hAnsi="Arial" w:cs="Arial"/>
          <w:color w:val="000000" w:themeColor="text1"/>
          <w:sz w:val="22"/>
        </w:rPr>
        <w:t>, iii)</w:t>
      </w:r>
      <w:r w:rsidR="00337876">
        <w:rPr>
          <w:rFonts w:ascii="Arial" w:hAnsi="Arial" w:cs="Arial"/>
          <w:color w:val="000000" w:themeColor="text1"/>
          <w:sz w:val="22"/>
        </w:rPr>
        <w:t xml:space="preserve"> </w:t>
      </w:r>
      <w:r w:rsidR="00776374">
        <w:rPr>
          <w:rFonts w:ascii="Arial" w:hAnsi="Arial" w:cs="Arial"/>
          <w:color w:val="000000" w:themeColor="text1"/>
          <w:sz w:val="22"/>
        </w:rPr>
        <w:t>e</w:t>
      </w:r>
      <w:r w:rsidRPr="002A1B2B">
        <w:rPr>
          <w:rFonts w:ascii="Arial" w:hAnsi="Arial" w:cs="Arial"/>
          <w:color w:val="000000" w:themeColor="text1"/>
          <w:sz w:val="22"/>
        </w:rPr>
        <w:t xml:space="preserve">ntidades que hacen parte del </w:t>
      </w:r>
      <w:r w:rsidR="00337876">
        <w:rPr>
          <w:rFonts w:ascii="Arial" w:hAnsi="Arial" w:cs="Arial"/>
          <w:color w:val="000000" w:themeColor="text1"/>
          <w:sz w:val="22"/>
        </w:rPr>
        <w:t>P</w:t>
      </w:r>
      <w:r w:rsidRPr="002A1B2B">
        <w:rPr>
          <w:rFonts w:ascii="Arial" w:hAnsi="Arial" w:cs="Arial"/>
          <w:color w:val="000000" w:themeColor="text1"/>
          <w:sz w:val="22"/>
        </w:rPr>
        <w:t xml:space="preserve">resupuesto </w:t>
      </w:r>
      <w:r w:rsidR="00337876">
        <w:rPr>
          <w:rFonts w:ascii="Arial" w:hAnsi="Arial" w:cs="Arial"/>
          <w:color w:val="000000" w:themeColor="text1"/>
          <w:sz w:val="22"/>
        </w:rPr>
        <w:t>G</w:t>
      </w:r>
      <w:r w:rsidRPr="002A1B2B">
        <w:rPr>
          <w:rFonts w:ascii="Arial" w:hAnsi="Arial" w:cs="Arial"/>
          <w:color w:val="000000" w:themeColor="text1"/>
          <w:sz w:val="22"/>
        </w:rPr>
        <w:t xml:space="preserve">eneral </w:t>
      </w:r>
      <w:r w:rsidRPr="002A1B2B">
        <w:rPr>
          <w:rFonts w:ascii="Arial" w:hAnsi="Arial" w:cs="Arial"/>
          <w:color w:val="000000" w:themeColor="text1"/>
          <w:sz w:val="22"/>
        </w:rPr>
        <w:lastRenderedPageBreak/>
        <w:t xml:space="preserve">de la Nación, iv) </w:t>
      </w:r>
      <w:r w:rsidR="00776374">
        <w:rPr>
          <w:rFonts w:ascii="Arial" w:hAnsi="Arial" w:cs="Arial"/>
          <w:color w:val="000000" w:themeColor="text1"/>
          <w:sz w:val="22"/>
          <w:szCs w:val="22"/>
        </w:rPr>
        <w:t>e</w:t>
      </w:r>
      <w:r w:rsidRPr="002A1B2B">
        <w:rPr>
          <w:rFonts w:ascii="Arial" w:hAnsi="Arial" w:cs="Arial"/>
          <w:color w:val="000000" w:themeColor="text1"/>
          <w:sz w:val="22"/>
          <w:szCs w:val="22"/>
        </w:rPr>
        <w:t xml:space="preserve">ntidades que reciben recursos por concepto de parafiscales, v) </w:t>
      </w:r>
      <w:r w:rsidR="00776374">
        <w:rPr>
          <w:rFonts w:ascii="Arial" w:hAnsi="Arial" w:cs="Arial"/>
          <w:color w:val="000000" w:themeColor="text1"/>
          <w:sz w:val="22"/>
          <w:szCs w:val="22"/>
        </w:rPr>
        <w:t>i</w:t>
      </w:r>
      <w:r w:rsidRPr="002A1B2B">
        <w:rPr>
          <w:rFonts w:ascii="Arial" w:hAnsi="Arial" w:cs="Arial"/>
          <w:color w:val="000000" w:themeColor="text1"/>
          <w:sz w:val="22"/>
          <w:szCs w:val="22"/>
        </w:rPr>
        <w:t>dentidad sustancial entre contratos y convenios administrativos, vi) cofinanciación</w:t>
      </w:r>
      <w:r w:rsidR="00337876">
        <w:rPr>
          <w:rFonts w:ascii="Arial" w:hAnsi="Arial" w:cs="Arial"/>
          <w:color w:val="000000" w:themeColor="text1"/>
          <w:sz w:val="22"/>
          <w:szCs w:val="22"/>
        </w:rPr>
        <w:t xml:space="preserve"> en </w:t>
      </w:r>
      <w:r w:rsidR="00F53CB0">
        <w:rPr>
          <w:rFonts w:ascii="Arial" w:hAnsi="Arial" w:cs="Arial"/>
          <w:color w:val="000000" w:themeColor="text1"/>
          <w:sz w:val="22"/>
          <w:szCs w:val="22"/>
        </w:rPr>
        <w:t>la ejecución del presupuesto público</w:t>
      </w:r>
      <w:r w:rsidRPr="002A1B2B">
        <w:rPr>
          <w:rFonts w:ascii="Arial" w:hAnsi="Arial" w:cs="Arial"/>
          <w:color w:val="000000" w:themeColor="text1"/>
          <w:sz w:val="22"/>
          <w:szCs w:val="22"/>
        </w:rPr>
        <w:t xml:space="preserve">, vii) </w:t>
      </w:r>
      <w:r w:rsidR="00776374">
        <w:rPr>
          <w:rFonts w:ascii="Arial" w:hAnsi="Arial" w:cs="Arial"/>
          <w:color w:val="000000" w:themeColor="text1"/>
          <w:sz w:val="22"/>
          <w:szCs w:val="22"/>
        </w:rPr>
        <w:t>g</w:t>
      </w:r>
      <w:r w:rsidR="00337876">
        <w:rPr>
          <w:rFonts w:ascii="Arial" w:hAnsi="Arial" w:cs="Arial"/>
          <w:color w:val="000000" w:themeColor="text1"/>
          <w:sz w:val="22"/>
          <w:szCs w:val="22"/>
        </w:rPr>
        <w:t>eneralidades sobre el r</w:t>
      </w:r>
      <w:r w:rsidRPr="002A1B2B">
        <w:rPr>
          <w:rFonts w:ascii="Arial" w:hAnsi="Arial" w:cs="Arial"/>
          <w:color w:val="000000" w:themeColor="text1"/>
          <w:sz w:val="22"/>
          <w:szCs w:val="22"/>
        </w:rPr>
        <w:t xml:space="preserve">égimen de contratación directa y viii) </w:t>
      </w:r>
      <w:r w:rsidR="00776374">
        <w:rPr>
          <w:rFonts w:ascii="Arial" w:hAnsi="Arial" w:cs="Arial"/>
          <w:color w:val="000000" w:themeColor="text1"/>
          <w:sz w:val="22"/>
          <w:szCs w:val="22"/>
        </w:rPr>
        <w:t>f</w:t>
      </w:r>
      <w:r w:rsidR="00EB27BA">
        <w:rPr>
          <w:rFonts w:ascii="Arial" w:hAnsi="Arial" w:cs="Arial"/>
          <w:color w:val="000000" w:themeColor="text1"/>
          <w:sz w:val="22"/>
          <w:szCs w:val="22"/>
        </w:rPr>
        <w:t>ines distintos del artículo 5 del Decreto 092 de 2012 y del parágrafo</w:t>
      </w:r>
      <w:r w:rsidR="00776374">
        <w:rPr>
          <w:rFonts w:ascii="Arial" w:hAnsi="Arial" w:cs="Arial"/>
          <w:color w:val="000000" w:themeColor="text1"/>
          <w:sz w:val="22"/>
          <w:szCs w:val="22"/>
        </w:rPr>
        <w:t xml:space="preserve"> del artículo</w:t>
      </w:r>
      <w:r w:rsidR="00EB27BA">
        <w:rPr>
          <w:rFonts w:ascii="Arial" w:hAnsi="Arial" w:cs="Arial"/>
          <w:color w:val="000000" w:themeColor="text1"/>
          <w:sz w:val="22"/>
          <w:szCs w:val="22"/>
        </w:rPr>
        <w:t xml:space="preserve"> 56 de la Ley 2063 de 2020. </w:t>
      </w:r>
    </w:p>
    <w:p w14:paraId="3D10CECB" w14:textId="77777777" w:rsidR="00336AC6" w:rsidRDefault="00A71CEA" w:rsidP="00336AC6">
      <w:pPr>
        <w:spacing w:before="120" w:line="276" w:lineRule="auto"/>
        <w:ind w:firstLine="708"/>
        <w:jc w:val="both"/>
        <w:rPr>
          <w:rFonts w:ascii="Arial" w:hAnsi="Arial" w:cs="Arial"/>
          <w:sz w:val="22"/>
          <w:szCs w:val="22"/>
          <w:lang w:val="es-MX" w:eastAsia="es-ES_tradnl"/>
        </w:rPr>
      </w:pPr>
      <w:bookmarkStart w:id="0" w:name="_Hlk38448224"/>
      <w:r w:rsidRPr="00A23E33">
        <w:rPr>
          <w:rFonts w:ascii="Arial" w:hAnsi="Arial" w:cs="Arial"/>
          <w:sz w:val="22"/>
          <w:lang w:val="es-ES_tradnl"/>
        </w:rPr>
        <w:t xml:space="preserve">La Agencia Nacional de Contratación Pública – Colombia Compra </w:t>
      </w:r>
      <w:r w:rsidR="00216826" w:rsidRPr="00A23E33">
        <w:rPr>
          <w:rFonts w:ascii="Arial" w:hAnsi="Arial" w:cs="Arial"/>
          <w:sz w:val="22"/>
          <w:lang w:val="es-ES_tradnl"/>
        </w:rPr>
        <w:t>Eficiente</w:t>
      </w:r>
      <w:r w:rsidRPr="00A23E33">
        <w:rPr>
          <w:rFonts w:ascii="Arial" w:hAnsi="Arial" w:cs="Arial"/>
          <w:sz w:val="22"/>
          <w:lang w:val="es-ES"/>
        </w:rPr>
        <w:t xml:space="preserve"> </w:t>
      </w:r>
      <w:bookmarkEnd w:id="0"/>
      <w:r w:rsidR="00B43119" w:rsidRPr="00B45039">
        <w:rPr>
          <w:rFonts w:ascii="Arial" w:hAnsi="Arial" w:cs="Arial"/>
          <w:sz w:val="22"/>
          <w:szCs w:val="22"/>
          <w:lang w:val="es-MX" w:eastAsia="es-ES_tradnl"/>
        </w:rPr>
        <w:t>se ha pronunciado en diferentes conceptos sobre la contratación con entidades privadas sin ánimo de lucro y de reconocida idoneidad –desde ahora ESAL–, en los conceptos del 30 de agosto y el 20 de diciembre de 2019 ─Radicados Nos. 2201913000006394 y 2201913000009467─ y, recientemente, en los conceptos C-081 del 3 de marzo de 2020, C-070  del 4 de marzo de 2020, C-094 del 4 de marzo de 2020, C-416 del 3 de julio de 2020, C-483 del 6 de agosto de 2020, C-515 del 19 de agosto de 2020, C-579 del 4 de septiembre de 2020</w:t>
      </w:r>
      <w:r w:rsidR="00B43119">
        <w:rPr>
          <w:rFonts w:ascii="Arial" w:hAnsi="Arial" w:cs="Arial"/>
          <w:sz w:val="22"/>
          <w:szCs w:val="22"/>
          <w:lang w:val="es-MX" w:eastAsia="es-ES_tradnl"/>
        </w:rPr>
        <w:t xml:space="preserve">, </w:t>
      </w:r>
      <w:r w:rsidR="00B43119" w:rsidRPr="00B45039">
        <w:rPr>
          <w:rFonts w:ascii="Arial" w:hAnsi="Arial" w:cs="Arial"/>
          <w:sz w:val="22"/>
          <w:szCs w:val="22"/>
          <w:lang w:val="es-MX" w:eastAsia="es-ES_tradnl"/>
        </w:rPr>
        <w:t>el C-728 de 14 de diciembre de 2020</w:t>
      </w:r>
      <w:r w:rsidR="00B43119">
        <w:rPr>
          <w:rFonts w:ascii="Arial" w:hAnsi="Arial" w:cs="Arial"/>
          <w:sz w:val="22"/>
          <w:szCs w:val="22"/>
          <w:lang w:val="es-MX" w:eastAsia="es-ES_tradnl"/>
        </w:rPr>
        <w:t xml:space="preserve"> y el C-738 de 19 de enero de 2021. </w:t>
      </w:r>
    </w:p>
    <w:p w14:paraId="5F72E965" w14:textId="7DA1FFD8" w:rsidR="00B43119" w:rsidRPr="00336AC6" w:rsidRDefault="00B43119" w:rsidP="00336AC6">
      <w:pPr>
        <w:spacing w:before="120" w:line="276" w:lineRule="auto"/>
        <w:ind w:firstLine="708"/>
        <w:jc w:val="both"/>
        <w:rPr>
          <w:rFonts w:ascii="Arial" w:hAnsi="Arial" w:cs="Arial"/>
          <w:sz w:val="22"/>
          <w:szCs w:val="22"/>
          <w:lang w:val="es-MX" w:eastAsia="es-ES_tradnl"/>
        </w:rPr>
      </w:pPr>
      <w:r>
        <w:rPr>
          <w:rFonts w:ascii="Arial" w:hAnsi="Arial" w:cs="Arial"/>
          <w:sz w:val="22"/>
          <w:szCs w:val="22"/>
          <w:lang w:val="es-MX" w:eastAsia="es-ES_tradnl"/>
        </w:rPr>
        <w:t>Por otra parte</w:t>
      </w:r>
      <w:r w:rsidR="00336AC6">
        <w:rPr>
          <w:rFonts w:ascii="Arial" w:hAnsi="Arial" w:cs="Arial"/>
          <w:sz w:val="22"/>
          <w:szCs w:val="22"/>
          <w:lang w:val="es-MX" w:eastAsia="es-ES_tradnl"/>
        </w:rPr>
        <w:t>,</w:t>
      </w:r>
      <w:r>
        <w:rPr>
          <w:rFonts w:ascii="Arial" w:hAnsi="Arial" w:cs="Arial"/>
          <w:sz w:val="22"/>
          <w:szCs w:val="22"/>
          <w:lang w:val="es-MX" w:eastAsia="es-ES_tradnl"/>
        </w:rPr>
        <w:t xml:space="preserve"> la Agencia ha estudiado igualmente </w:t>
      </w:r>
      <w:r w:rsidRPr="00B43119">
        <w:rPr>
          <w:rFonts w:ascii="Arial" w:hAnsi="Arial" w:cs="Arial"/>
          <w:sz w:val="22"/>
          <w:szCs w:val="22"/>
          <w:shd w:val="clear" w:color="auto" w:fill="FFFFFF"/>
        </w:rPr>
        <w:t xml:space="preserve">las figuras del contrato y el convenio interadministrativo </w:t>
      </w:r>
      <w:r w:rsidR="00365D3A">
        <w:rPr>
          <w:rFonts w:ascii="Arial" w:hAnsi="Arial" w:cs="Arial"/>
          <w:sz w:val="22"/>
          <w:szCs w:val="22"/>
          <w:shd w:val="clear" w:color="auto" w:fill="FFFFFF"/>
        </w:rPr>
        <w:t xml:space="preserve">en </w:t>
      </w:r>
      <w:r w:rsidRPr="00B43119">
        <w:rPr>
          <w:rFonts w:ascii="Arial" w:hAnsi="Arial" w:cs="Arial"/>
          <w:sz w:val="22"/>
          <w:szCs w:val="22"/>
          <w:shd w:val="clear" w:color="auto" w:fill="FFFFFF"/>
        </w:rPr>
        <w:t>el Concepto con radicado 4201913000004536 del 27 de julio de 2019, así como en el Concepto C-023 del 3 de febrero de 202</w:t>
      </w:r>
      <w:r>
        <w:rPr>
          <w:rFonts w:ascii="Arial" w:hAnsi="Arial" w:cs="Arial"/>
          <w:sz w:val="22"/>
          <w:szCs w:val="22"/>
          <w:shd w:val="clear" w:color="auto" w:fill="FFFFFF"/>
        </w:rPr>
        <w:t xml:space="preserve">0 y C-702 del 11 de diciembre de 2020. </w:t>
      </w:r>
      <w:r w:rsidR="00DA352E">
        <w:rPr>
          <w:rFonts w:ascii="Arial" w:hAnsi="Arial" w:cs="Arial"/>
          <w:sz w:val="22"/>
          <w:szCs w:val="22"/>
          <w:shd w:val="clear" w:color="auto" w:fill="FFFFFF"/>
        </w:rPr>
        <w:t>Adicionalmente</w:t>
      </w:r>
      <w:r w:rsidR="00EB27BA">
        <w:rPr>
          <w:rFonts w:ascii="Arial" w:hAnsi="Arial" w:cs="Arial"/>
          <w:sz w:val="22"/>
          <w:szCs w:val="22"/>
          <w:shd w:val="clear" w:color="auto" w:fill="FFFFFF"/>
        </w:rPr>
        <w:t>,</w:t>
      </w:r>
      <w:r w:rsidR="00DA352E">
        <w:rPr>
          <w:rFonts w:ascii="Arial" w:hAnsi="Arial" w:cs="Arial"/>
          <w:sz w:val="22"/>
          <w:szCs w:val="22"/>
          <w:shd w:val="clear" w:color="auto" w:fill="FFFFFF"/>
        </w:rPr>
        <w:t xml:space="preserve"> e</w:t>
      </w:r>
      <w:r w:rsidR="00EB27BA">
        <w:rPr>
          <w:rFonts w:ascii="Arial" w:hAnsi="Arial" w:cs="Arial"/>
          <w:sz w:val="22"/>
          <w:szCs w:val="22"/>
          <w:shd w:val="clear" w:color="auto" w:fill="FFFFFF"/>
        </w:rPr>
        <w:t>n</w:t>
      </w:r>
      <w:r w:rsidR="00DA352E">
        <w:rPr>
          <w:rFonts w:ascii="Arial" w:hAnsi="Arial" w:cs="Arial"/>
          <w:sz w:val="22"/>
          <w:szCs w:val="22"/>
          <w:shd w:val="clear" w:color="auto" w:fill="FFFFFF"/>
        </w:rPr>
        <w:t xml:space="preserve"> </w:t>
      </w:r>
      <w:r w:rsidR="00EB27BA">
        <w:rPr>
          <w:rFonts w:ascii="Arial" w:hAnsi="Arial" w:cs="Arial"/>
          <w:sz w:val="22"/>
          <w:szCs w:val="22"/>
          <w:shd w:val="clear" w:color="auto" w:fill="FFFFFF"/>
        </w:rPr>
        <w:t>C</w:t>
      </w:r>
      <w:r w:rsidR="00DA352E">
        <w:rPr>
          <w:rFonts w:ascii="Arial" w:hAnsi="Arial" w:cs="Arial"/>
          <w:sz w:val="22"/>
          <w:szCs w:val="22"/>
          <w:shd w:val="clear" w:color="auto" w:fill="FFFFFF"/>
        </w:rPr>
        <w:t>oncepto C-715 de 9 de diciembre de 2020 se pronunci</w:t>
      </w:r>
      <w:r w:rsidR="00EB27BA">
        <w:rPr>
          <w:rFonts w:ascii="Arial" w:hAnsi="Arial" w:cs="Arial"/>
          <w:sz w:val="22"/>
          <w:szCs w:val="22"/>
          <w:shd w:val="clear" w:color="auto" w:fill="FFFFFF"/>
        </w:rPr>
        <w:t>ó, e</w:t>
      </w:r>
      <w:r w:rsidR="00DA352E">
        <w:rPr>
          <w:rFonts w:ascii="Arial" w:hAnsi="Arial" w:cs="Arial"/>
          <w:sz w:val="22"/>
          <w:szCs w:val="22"/>
          <w:shd w:val="clear" w:color="auto" w:fill="FFFFFF"/>
        </w:rPr>
        <w:t>n t</w:t>
      </w:r>
      <w:r w:rsidR="00EB27BA">
        <w:rPr>
          <w:rFonts w:ascii="Arial" w:hAnsi="Arial" w:cs="Arial"/>
          <w:sz w:val="22"/>
          <w:szCs w:val="22"/>
          <w:shd w:val="clear" w:color="auto" w:fill="FFFFFF"/>
        </w:rPr>
        <w:t>é</w:t>
      </w:r>
      <w:r w:rsidR="00DA352E">
        <w:rPr>
          <w:rFonts w:ascii="Arial" w:hAnsi="Arial" w:cs="Arial"/>
          <w:sz w:val="22"/>
          <w:szCs w:val="22"/>
          <w:shd w:val="clear" w:color="auto" w:fill="FFFFFF"/>
        </w:rPr>
        <w:t>rminos generales</w:t>
      </w:r>
      <w:r w:rsidR="00EB27BA">
        <w:rPr>
          <w:rFonts w:ascii="Arial" w:hAnsi="Arial" w:cs="Arial"/>
          <w:sz w:val="22"/>
          <w:szCs w:val="22"/>
          <w:shd w:val="clear" w:color="auto" w:fill="FFFFFF"/>
        </w:rPr>
        <w:t>,</w:t>
      </w:r>
      <w:r w:rsidR="00DA352E">
        <w:rPr>
          <w:rFonts w:ascii="Arial" w:hAnsi="Arial" w:cs="Arial"/>
          <w:sz w:val="22"/>
          <w:szCs w:val="22"/>
          <w:shd w:val="clear" w:color="auto" w:fill="FFFFFF"/>
        </w:rPr>
        <w:t xml:space="preserve"> sobre las </w:t>
      </w:r>
      <w:r w:rsidR="00EB27BA">
        <w:rPr>
          <w:rFonts w:ascii="Arial" w:hAnsi="Arial" w:cs="Arial"/>
          <w:sz w:val="22"/>
          <w:szCs w:val="22"/>
          <w:shd w:val="clear" w:color="auto" w:fill="FFFFFF"/>
        </w:rPr>
        <w:t>características</w:t>
      </w:r>
      <w:r w:rsidR="00DA352E">
        <w:rPr>
          <w:rFonts w:ascii="Arial" w:hAnsi="Arial" w:cs="Arial"/>
          <w:sz w:val="22"/>
          <w:szCs w:val="22"/>
          <w:shd w:val="clear" w:color="auto" w:fill="FFFFFF"/>
        </w:rPr>
        <w:t xml:space="preserve"> de la contratación directa. </w:t>
      </w:r>
      <w:r w:rsidR="00345FBC">
        <w:rPr>
          <w:rFonts w:ascii="Arial" w:hAnsi="Arial" w:cs="Arial"/>
          <w:sz w:val="22"/>
          <w:szCs w:val="22"/>
          <w:shd w:val="clear" w:color="auto" w:fill="FFFFFF"/>
        </w:rPr>
        <w:t>L</w:t>
      </w:r>
      <w:r w:rsidR="00DA352E">
        <w:rPr>
          <w:rFonts w:ascii="Arial" w:hAnsi="Arial" w:cs="Arial"/>
          <w:sz w:val="22"/>
          <w:szCs w:val="22"/>
          <w:shd w:val="clear" w:color="auto" w:fill="FFFFFF"/>
        </w:rPr>
        <w:t>as tesis</w:t>
      </w:r>
      <w:r w:rsidR="00345FBC">
        <w:rPr>
          <w:rFonts w:ascii="Arial" w:hAnsi="Arial" w:cs="Arial"/>
          <w:sz w:val="22"/>
          <w:szCs w:val="22"/>
          <w:shd w:val="clear" w:color="auto" w:fill="FFFFFF"/>
        </w:rPr>
        <w:t xml:space="preserve"> contenidas en los </w:t>
      </w:r>
      <w:r w:rsidR="00776374">
        <w:rPr>
          <w:rFonts w:ascii="Arial" w:hAnsi="Arial" w:cs="Arial"/>
          <w:sz w:val="22"/>
          <w:szCs w:val="22"/>
          <w:shd w:val="clear" w:color="auto" w:fill="FFFFFF"/>
        </w:rPr>
        <w:t>c</w:t>
      </w:r>
      <w:r w:rsidR="00345FBC">
        <w:rPr>
          <w:rFonts w:ascii="Arial" w:hAnsi="Arial" w:cs="Arial"/>
          <w:sz w:val="22"/>
          <w:szCs w:val="22"/>
          <w:shd w:val="clear" w:color="auto" w:fill="FFFFFF"/>
        </w:rPr>
        <w:t xml:space="preserve">onceptos </w:t>
      </w:r>
      <w:r w:rsidR="00776374">
        <w:rPr>
          <w:rFonts w:ascii="Arial" w:hAnsi="Arial" w:cs="Arial"/>
          <w:sz w:val="22"/>
          <w:szCs w:val="22"/>
          <w:shd w:val="clear" w:color="auto" w:fill="FFFFFF"/>
        </w:rPr>
        <w:t>citados</w:t>
      </w:r>
      <w:r w:rsidR="00DA352E">
        <w:rPr>
          <w:rFonts w:ascii="Arial" w:hAnsi="Arial" w:cs="Arial"/>
          <w:sz w:val="22"/>
          <w:szCs w:val="22"/>
          <w:shd w:val="clear" w:color="auto" w:fill="FFFFFF"/>
        </w:rPr>
        <w:t xml:space="preserve"> </w:t>
      </w:r>
      <w:r w:rsidR="00345FBC">
        <w:rPr>
          <w:rFonts w:ascii="Arial" w:hAnsi="Arial" w:cs="Arial"/>
          <w:sz w:val="22"/>
          <w:szCs w:val="22"/>
          <w:shd w:val="clear" w:color="auto" w:fill="FFFFFF"/>
        </w:rPr>
        <w:t>se</w:t>
      </w:r>
      <w:r w:rsidR="00DA352E">
        <w:rPr>
          <w:rFonts w:ascii="Arial" w:hAnsi="Arial" w:cs="Arial"/>
          <w:sz w:val="22"/>
          <w:szCs w:val="22"/>
          <w:shd w:val="clear" w:color="auto" w:fill="FFFFFF"/>
        </w:rPr>
        <w:t xml:space="preserve"> tendr</w:t>
      </w:r>
      <w:r w:rsidR="00345FBC">
        <w:rPr>
          <w:rFonts w:ascii="Arial" w:hAnsi="Arial" w:cs="Arial"/>
          <w:sz w:val="22"/>
          <w:szCs w:val="22"/>
          <w:shd w:val="clear" w:color="auto" w:fill="FFFFFF"/>
        </w:rPr>
        <w:t>á</w:t>
      </w:r>
      <w:r w:rsidR="00DA352E">
        <w:rPr>
          <w:rFonts w:ascii="Arial" w:hAnsi="Arial" w:cs="Arial"/>
          <w:sz w:val="22"/>
          <w:szCs w:val="22"/>
          <w:shd w:val="clear" w:color="auto" w:fill="FFFFFF"/>
        </w:rPr>
        <w:t>n en cuenta</w:t>
      </w:r>
      <w:r w:rsidR="00345FBC">
        <w:rPr>
          <w:rFonts w:ascii="Arial" w:hAnsi="Arial" w:cs="Arial"/>
          <w:sz w:val="22"/>
          <w:szCs w:val="22"/>
          <w:shd w:val="clear" w:color="auto" w:fill="FFFFFF"/>
        </w:rPr>
        <w:t xml:space="preserve"> y se reiterarán en</w:t>
      </w:r>
      <w:r w:rsidR="00DA352E">
        <w:rPr>
          <w:rFonts w:ascii="Arial" w:hAnsi="Arial" w:cs="Arial"/>
          <w:sz w:val="22"/>
          <w:szCs w:val="22"/>
          <w:shd w:val="clear" w:color="auto" w:fill="FFFFFF"/>
        </w:rPr>
        <w:t xml:space="preserve"> el presente concepto. </w:t>
      </w:r>
    </w:p>
    <w:p w14:paraId="16942FA0" w14:textId="2CDEFF89" w:rsidR="00A71CEA" w:rsidRDefault="00A71CEA" w:rsidP="00DA352E">
      <w:pPr>
        <w:tabs>
          <w:tab w:val="left" w:pos="426"/>
          <w:tab w:val="left" w:pos="851"/>
        </w:tabs>
        <w:spacing w:line="276" w:lineRule="auto"/>
        <w:jc w:val="both"/>
        <w:rPr>
          <w:rFonts w:ascii="Arial" w:hAnsi="Arial" w:cs="Arial"/>
          <w:sz w:val="22"/>
          <w:lang w:val="es-ES_tradnl"/>
        </w:rPr>
      </w:pPr>
    </w:p>
    <w:p w14:paraId="41BABA6C" w14:textId="4AE10DCF" w:rsidR="00336AC6" w:rsidRDefault="00A71CEA" w:rsidP="00F13BAE">
      <w:pPr>
        <w:spacing w:line="276" w:lineRule="auto"/>
        <w:jc w:val="both"/>
        <w:rPr>
          <w:rFonts w:ascii="Arial" w:hAnsi="Arial" w:cs="Arial"/>
          <w:b/>
          <w:sz w:val="22"/>
          <w:lang w:val="es-ES_tradnl"/>
        </w:rPr>
      </w:pPr>
      <w:r w:rsidRPr="00866D6C">
        <w:rPr>
          <w:rFonts w:ascii="Arial" w:hAnsi="Arial" w:cs="Arial"/>
          <w:b/>
          <w:bCs/>
          <w:sz w:val="22"/>
        </w:rPr>
        <w:t>2.1.</w:t>
      </w:r>
      <w:r w:rsidR="00A9164B">
        <w:rPr>
          <w:rFonts w:ascii="Arial" w:hAnsi="Arial" w:cs="Arial"/>
          <w:b/>
          <w:sz w:val="22"/>
          <w:lang w:val="es-ES_tradnl"/>
        </w:rPr>
        <w:t xml:space="preserve"> N</w:t>
      </w:r>
      <w:r w:rsidR="00336AC6" w:rsidRPr="00336AC6">
        <w:rPr>
          <w:rFonts w:ascii="Arial" w:hAnsi="Arial" w:cs="Arial"/>
          <w:b/>
          <w:sz w:val="22"/>
          <w:lang w:val="es-ES_tradnl"/>
        </w:rPr>
        <w:t>aturaleza</w:t>
      </w:r>
      <w:r w:rsidR="00A9164B">
        <w:rPr>
          <w:rFonts w:ascii="Arial" w:hAnsi="Arial" w:cs="Arial"/>
          <w:b/>
          <w:sz w:val="22"/>
          <w:lang w:val="es-ES_tradnl"/>
        </w:rPr>
        <w:t xml:space="preserve"> y objeto</w:t>
      </w:r>
      <w:r w:rsidR="00336AC6" w:rsidRPr="00336AC6">
        <w:rPr>
          <w:rFonts w:ascii="Arial" w:hAnsi="Arial" w:cs="Arial"/>
          <w:b/>
          <w:sz w:val="22"/>
          <w:lang w:val="es-ES_tradnl"/>
        </w:rPr>
        <w:t xml:space="preserve"> de la Ley 2063 de 2020 </w:t>
      </w:r>
    </w:p>
    <w:p w14:paraId="2DF91732" w14:textId="77777777" w:rsidR="00F13BAE" w:rsidRDefault="00F13BAE" w:rsidP="00F13BAE">
      <w:pPr>
        <w:spacing w:line="276" w:lineRule="auto"/>
        <w:jc w:val="both"/>
        <w:rPr>
          <w:rFonts w:ascii="Arial" w:hAnsi="Arial" w:cs="Arial"/>
          <w:b/>
          <w:sz w:val="22"/>
          <w:lang w:val="es-ES_tradnl"/>
        </w:rPr>
      </w:pPr>
    </w:p>
    <w:p w14:paraId="4984B50B" w14:textId="7D9B09C4" w:rsidR="00D7246A" w:rsidRDefault="00F13BAE" w:rsidP="00345FBC">
      <w:pPr>
        <w:spacing w:after="120" w:line="276" w:lineRule="auto"/>
        <w:jc w:val="both"/>
        <w:rPr>
          <w:rFonts w:ascii="Arial" w:hAnsi="Arial" w:cs="Arial"/>
          <w:bCs/>
          <w:sz w:val="22"/>
          <w:lang w:val="es-ES_tradnl"/>
        </w:rPr>
      </w:pPr>
      <w:r>
        <w:rPr>
          <w:rFonts w:ascii="Arial" w:hAnsi="Arial" w:cs="Arial"/>
          <w:bCs/>
          <w:sz w:val="22"/>
          <w:lang w:val="es-ES_tradnl"/>
        </w:rPr>
        <w:t xml:space="preserve">El régimen presupuestal del Estado colombiano se encuentra contenido en el Capítulo 3 del Título XII </w:t>
      </w:r>
      <w:r w:rsidR="00776374">
        <w:rPr>
          <w:rFonts w:ascii="Arial" w:hAnsi="Arial" w:cs="Arial"/>
          <w:bCs/>
          <w:sz w:val="22"/>
          <w:lang w:val="es-ES_tradnl"/>
        </w:rPr>
        <w:t>«</w:t>
      </w:r>
      <w:r>
        <w:rPr>
          <w:rFonts w:ascii="Arial" w:hAnsi="Arial" w:cs="Arial"/>
          <w:bCs/>
          <w:sz w:val="22"/>
          <w:lang w:val="es-ES_tradnl"/>
        </w:rPr>
        <w:t>Régimen económico y de hacienda pública</w:t>
      </w:r>
      <w:r w:rsidR="00776374">
        <w:rPr>
          <w:rFonts w:ascii="Arial" w:hAnsi="Arial" w:cs="Arial"/>
          <w:bCs/>
          <w:sz w:val="22"/>
          <w:lang w:val="es-ES_tradnl"/>
        </w:rPr>
        <w:t>»</w:t>
      </w:r>
      <w:r w:rsidR="00F5219A">
        <w:rPr>
          <w:rFonts w:ascii="Arial" w:hAnsi="Arial" w:cs="Arial"/>
          <w:bCs/>
          <w:sz w:val="22"/>
          <w:lang w:val="es-ES_tradnl"/>
        </w:rPr>
        <w:t>.</w:t>
      </w:r>
      <w:r w:rsidR="00776374">
        <w:rPr>
          <w:rFonts w:ascii="Arial" w:hAnsi="Arial" w:cs="Arial"/>
          <w:bCs/>
          <w:sz w:val="22"/>
          <w:lang w:val="es-ES_tradnl"/>
        </w:rPr>
        <w:t xml:space="preserve"> </w:t>
      </w:r>
      <w:r w:rsidR="00A71CEA">
        <w:rPr>
          <w:rFonts w:ascii="Arial" w:hAnsi="Arial" w:cs="Arial"/>
          <w:bCs/>
          <w:sz w:val="22"/>
          <w:lang w:val="es-ES_tradnl"/>
        </w:rPr>
        <w:t>El artículo 345 de la Constitución Política</w:t>
      </w:r>
      <w:r w:rsidR="00A71CEA">
        <w:rPr>
          <w:rStyle w:val="Refdenotaalpie"/>
          <w:rFonts w:ascii="Arial" w:hAnsi="Arial" w:cs="Arial"/>
          <w:bCs/>
          <w:sz w:val="22"/>
          <w:lang w:val="es-ES_tradnl"/>
        </w:rPr>
        <w:footnoteReference w:id="1"/>
      </w:r>
      <w:r w:rsidR="00A71CEA">
        <w:rPr>
          <w:rFonts w:ascii="Arial" w:hAnsi="Arial" w:cs="Arial"/>
          <w:bCs/>
          <w:sz w:val="22"/>
          <w:lang w:val="es-ES_tradnl"/>
        </w:rPr>
        <w:t xml:space="preserve"> </w:t>
      </w:r>
      <w:r w:rsidR="00C15D6A">
        <w:rPr>
          <w:rFonts w:ascii="Arial" w:hAnsi="Arial" w:cs="Arial"/>
          <w:bCs/>
          <w:sz w:val="22"/>
          <w:lang w:val="es-ES_tradnl"/>
        </w:rPr>
        <w:t>establece las bases sobre la configuración y el contenido del presupuesto</w:t>
      </w:r>
      <w:r w:rsidR="00A71CEA">
        <w:rPr>
          <w:rFonts w:ascii="Arial" w:hAnsi="Arial" w:cs="Arial"/>
          <w:bCs/>
          <w:sz w:val="22"/>
          <w:lang w:val="es-ES_tradnl"/>
        </w:rPr>
        <w:t xml:space="preserve">, lo </w:t>
      </w:r>
      <w:r w:rsidR="00C15D6A">
        <w:rPr>
          <w:rFonts w:ascii="Arial" w:hAnsi="Arial" w:cs="Arial"/>
          <w:bCs/>
          <w:sz w:val="22"/>
          <w:lang w:val="es-ES_tradnl"/>
        </w:rPr>
        <w:t>cual debe ser</w:t>
      </w:r>
      <w:r w:rsidR="00A71CEA">
        <w:rPr>
          <w:rFonts w:ascii="Arial" w:hAnsi="Arial" w:cs="Arial"/>
          <w:bCs/>
          <w:sz w:val="22"/>
          <w:lang w:val="es-ES_tradnl"/>
        </w:rPr>
        <w:t xml:space="preserve"> complementa</w:t>
      </w:r>
      <w:r w:rsidR="00C15D6A">
        <w:rPr>
          <w:rFonts w:ascii="Arial" w:hAnsi="Arial" w:cs="Arial"/>
          <w:bCs/>
          <w:sz w:val="22"/>
          <w:lang w:val="es-ES_tradnl"/>
        </w:rPr>
        <w:t>do de manera directa</w:t>
      </w:r>
      <w:r w:rsidR="00A71CEA">
        <w:rPr>
          <w:rFonts w:ascii="Arial" w:hAnsi="Arial" w:cs="Arial"/>
          <w:bCs/>
          <w:sz w:val="22"/>
          <w:lang w:val="es-ES_tradnl"/>
        </w:rPr>
        <w:t xml:space="preserve"> con </w:t>
      </w:r>
      <w:r w:rsidR="00C15D6A">
        <w:rPr>
          <w:rFonts w:ascii="Arial" w:hAnsi="Arial" w:cs="Arial"/>
          <w:bCs/>
          <w:sz w:val="22"/>
          <w:lang w:val="es-ES_tradnl"/>
        </w:rPr>
        <w:t>lo dispuesto</w:t>
      </w:r>
      <w:r w:rsidR="00A71CEA">
        <w:rPr>
          <w:rFonts w:ascii="Arial" w:hAnsi="Arial" w:cs="Arial"/>
          <w:bCs/>
          <w:sz w:val="22"/>
          <w:lang w:val="es-ES_tradnl"/>
        </w:rPr>
        <w:t xml:space="preserve"> artículo 355</w:t>
      </w:r>
      <w:r w:rsidR="00A71CEA" w:rsidRPr="000279AB">
        <w:rPr>
          <w:rFonts w:ascii="Arial" w:hAnsi="Arial" w:cs="Arial"/>
          <w:bCs/>
          <w:sz w:val="22"/>
          <w:lang w:val="es-ES_tradnl"/>
        </w:rPr>
        <w:t xml:space="preserve"> </w:t>
      </w:r>
      <w:r w:rsidR="00A71CEA">
        <w:rPr>
          <w:rFonts w:ascii="Arial" w:hAnsi="Arial" w:cs="Arial"/>
          <w:bCs/>
          <w:sz w:val="22"/>
          <w:lang w:val="es-ES_tradnl"/>
        </w:rPr>
        <w:t>de la norma superior</w:t>
      </w:r>
      <w:r w:rsidR="00A4457D">
        <w:rPr>
          <w:rStyle w:val="Refdenotaalpie"/>
          <w:rFonts w:ascii="Arial" w:hAnsi="Arial" w:cs="Arial"/>
          <w:bCs/>
          <w:sz w:val="22"/>
          <w:lang w:val="es-ES_tradnl"/>
        </w:rPr>
        <w:footnoteReference w:id="2"/>
      </w:r>
      <w:r w:rsidR="00776374">
        <w:rPr>
          <w:rFonts w:ascii="Arial" w:hAnsi="Arial" w:cs="Arial"/>
          <w:bCs/>
          <w:sz w:val="22"/>
          <w:lang w:val="es-ES_tradnl"/>
        </w:rPr>
        <w:t>. E</w:t>
      </w:r>
      <w:r w:rsidR="00D7246A">
        <w:rPr>
          <w:rFonts w:ascii="Arial" w:hAnsi="Arial" w:cs="Arial"/>
          <w:bCs/>
          <w:sz w:val="22"/>
          <w:lang w:val="es-ES_tradnl"/>
        </w:rPr>
        <w:t>n una lectura sistemática,</w:t>
      </w:r>
      <w:r w:rsidR="00A71CEA">
        <w:rPr>
          <w:rFonts w:ascii="Arial" w:hAnsi="Arial" w:cs="Arial"/>
          <w:bCs/>
          <w:sz w:val="22"/>
          <w:lang w:val="es-ES_tradnl"/>
        </w:rPr>
        <w:t xml:space="preserve"> </w:t>
      </w:r>
      <w:r w:rsidR="00776374">
        <w:rPr>
          <w:rFonts w:ascii="Arial" w:hAnsi="Arial" w:cs="Arial"/>
          <w:bCs/>
          <w:sz w:val="22"/>
          <w:lang w:val="es-ES_tradnl"/>
        </w:rPr>
        <w:t xml:space="preserve">estas normas </w:t>
      </w:r>
      <w:r w:rsidR="00A71CEA">
        <w:rPr>
          <w:rFonts w:ascii="Arial" w:hAnsi="Arial" w:cs="Arial"/>
          <w:bCs/>
          <w:sz w:val="22"/>
          <w:lang w:val="es-ES_tradnl"/>
        </w:rPr>
        <w:t>pone</w:t>
      </w:r>
      <w:r w:rsidR="00D7246A">
        <w:rPr>
          <w:rFonts w:ascii="Arial" w:hAnsi="Arial" w:cs="Arial"/>
          <w:bCs/>
          <w:sz w:val="22"/>
          <w:lang w:val="es-ES_tradnl"/>
        </w:rPr>
        <w:t>n</w:t>
      </w:r>
      <w:r w:rsidR="00A71CEA">
        <w:rPr>
          <w:rFonts w:ascii="Arial" w:hAnsi="Arial" w:cs="Arial"/>
          <w:bCs/>
          <w:sz w:val="22"/>
          <w:lang w:val="es-ES_tradnl"/>
        </w:rPr>
        <w:t xml:space="preserve"> de presente </w:t>
      </w:r>
      <w:r w:rsidR="00D7246A">
        <w:rPr>
          <w:rFonts w:ascii="Arial" w:hAnsi="Arial" w:cs="Arial"/>
          <w:bCs/>
          <w:sz w:val="22"/>
          <w:lang w:val="es-ES_tradnl"/>
        </w:rPr>
        <w:t xml:space="preserve">la </w:t>
      </w:r>
      <w:r w:rsidR="00A71CEA">
        <w:rPr>
          <w:rFonts w:ascii="Arial" w:hAnsi="Arial" w:cs="Arial"/>
          <w:bCs/>
          <w:sz w:val="22"/>
          <w:lang w:val="es-ES_tradnl"/>
        </w:rPr>
        <w:lastRenderedPageBreak/>
        <w:t>existe</w:t>
      </w:r>
      <w:r w:rsidR="00D7246A">
        <w:rPr>
          <w:rFonts w:ascii="Arial" w:hAnsi="Arial" w:cs="Arial"/>
          <w:bCs/>
          <w:sz w:val="22"/>
          <w:lang w:val="es-ES_tradnl"/>
        </w:rPr>
        <w:t xml:space="preserve">ncia de </w:t>
      </w:r>
      <w:r w:rsidR="00A71CEA">
        <w:rPr>
          <w:rFonts w:ascii="Arial" w:hAnsi="Arial" w:cs="Arial"/>
          <w:bCs/>
          <w:sz w:val="22"/>
          <w:lang w:val="es-ES_tradnl"/>
        </w:rPr>
        <w:t>una cantidad espec</w:t>
      </w:r>
      <w:r w:rsidR="00776374">
        <w:rPr>
          <w:rFonts w:ascii="Arial" w:hAnsi="Arial" w:cs="Arial"/>
          <w:bCs/>
          <w:sz w:val="22"/>
          <w:lang w:val="es-ES_tradnl"/>
        </w:rPr>
        <w:t>í</w:t>
      </w:r>
      <w:r w:rsidR="00A71CEA">
        <w:rPr>
          <w:rFonts w:ascii="Arial" w:hAnsi="Arial" w:cs="Arial"/>
          <w:bCs/>
          <w:sz w:val="22"/>
          <w:lang w:val="es-ES_tradnl"/>
        </w:rPr>
        <w:t>fica</w:t>
      </w:r>
      <w:r w:rsidR="00D7246A">
        <w:rPr>
          <w:rFonts w:ascii="Arial" w:hAnsi="Arial" w:cs="Arial"/>
          <w:bCs/>
          <w:sz w:val="22"/>
          <w:lang w:val="es-ES_tradnl"/>
        </w:rPr>
        <w:t xml:space="preserve"> y finita</w:t>
      </w:r>
      <w:r w:rsidR="00A71CEA">
        <w:rPr>
          <w:rFonts w:ascii="Arial" w:hAnsi="Arial" w:cs="Arial"/>
          <w:bCs/>
          <w:sz w:val="22"/>
          <w:lang w:val="es-ES_tradnl"/>
        </w:rPr>
        <w:t xml:space="preserve"> de recursos</w:t>
      </w:r>
      <w:r w:rsidR="00D7246A">
        <w:rPr>
          <w:rFonts w:ascii="Arial" w:hAnsi="Arial" w:cs="Arial"/>
          <w:bCs/>
          <w:sz w:val="22"/>
          <w:lang w:val="es-ES_tradnl"/>
        </w:rPr>
        <w:t xml:space="preserve"> públicos que deben presupuesta</w:t>
      </w:r>
      <w:r w:rsidR="00776374">
        <w:rPr>
          <w:rFonts w:ascii="Arial" w:hAnsi="Arial" w:cs="Arial"/>
          <w:bCs/>
          <w:sz w:val="22"/>
          <w:lang w:val="es-ES_tradnl"/>
        </w:rPr>
        <w:t>rse</w:t>
      </w:r>
      <w:r w:rsidR="00D7246A">
        <w:rPr>
          <w:rFonts w:ascii="Arial" w:hAnsi="Arial" w:cs="Arial"/>
          <w:bCs/>
          <w:sz w:val="22"/>
          <w:lang w:val="es-ES_tradnl"/>
        </w:rPr>
        <w:t xml:space="preserve">, tanto para su recaudación como para su erogación, y, en cualquier caso, no pueden ser objeto de donación por parte de ninguna de las ramas del poder público. </w:t>
      </w:r>
    </w:p>
    <w:p w14:paraId="405FA560" w14:textId="25B60774" w:rsidR="00A71CEA" w:rsidRDefault="003A5C98" w:rsidP="003A5C98">
      <w:pPr>
        <w:spacing w:after="120" w:line="276" w:lineRule="auto"/>
        <w:jc w:val="both"/>
        <w:rPr>
          <w:color w:val="000000"/>
          <w:sz w:val="28"/>
          <w:szCs w:val="28"/>
          <w:lang w:val="es-ES_tradnl"/>
        </w:rPr>
      </w:pPr>
      <w:r>
        <w:rPr>
          <w:rFonts w:ascii="Arial" w:hAnsi="Arial" w:cs="Arial"/>
          <w:bCs/>
          <w:sz w:val="22"/>
          <w:lang w:val="es-ES_tradnl"/>
        </w:rPr>
        <w:tab/>
        <w:t xml:space="preserve">En este orden de ideas, </w:t>
      </w:r>
      <w:bookmarkStart w:id="1" w:name="_Hlk65717879"/>
      <w:r>
        <w:rPr>
          <w:rFonts w:ascii="Arial" w:hAnsi="Arial" w:cs="Arial"/>
          <w:bCs/>
          <w:sz w:val="22"/>
          <w:lang w:val="es-ES_tradnl"/>
        </w:rPr>
        <w:t>el artículo 346 superior contiene el régimen general de la de</w:t>
      </w:r>
      <w:r w:rsidR="00BA55C6">
        <w:rPr>
          <w:rFonts w:ascii="Arial" w:hAnsi="Arial" w:cs="Arial"/>
          <w:bCs/>
          <w:sz w:val="22"/>
          <w:lang w:val="es-ES_tradnl"/>
        </w:rPr>
        <w:t>l</w:t>
      </w:r>
      <w:r>
        <w:rPr>
          <w:rFonts w:ascii="Arial" w:hAnsi="Arial" w:cs="Arial"/>
          <w:bCs/>
          <w:sz w:val="22"/>
          <w:lang w:val="es-ES_tradnl"/>
        </w:rPr>
        <w:t xml:space="preserve"> presupuesto y la ley de apropiaciones</w:t>
      </w:r>
      <w:r w:rsidR="009D7A61">
        <w:rPr>
          <w:rStyle w:val="Refdenotaalpie"/>
          <w:rFonts w:ascii="Arial" w:hAnsi="Arial" w:cs="Arial"/>
          <w:bCs/>
          <w:sz w:val="22"/>
          <w:lang w:val="es-ES_tradnl"/>
        </w:rPr>
        <w:footnoteReference w:id="3"/>
      </w:r>
      <w:r w:rsidR="00BA55C6">
        <w:rPr>
          <w:rFonts w:ascii="Arial" w:hAnsi="Arial" w:cs="Arial"/>
          <w:bCs/>
          <w:sz w:val="22"/>
          <w:lang w:val="es-ES_tradnl"/>
        </w:rPr>
        <w:t xml:space="preserve">, que </w:t>
      </w:r>
      <w:r>
        <w:rPr>
          <w:rFonts w:ascii="Arial" w:hAnsi="Arial" w:cs="Arial"/>
          <w:bCs/>
          <w:sz w:val="22"/>
          <w:lang w:val="es-ES_tradnl"/>
        </w:rPr>
        <w:t xml:space="preserve">deberá </w:t>
      </w:r>
      <w:r w:rsidR="00BA55C6" w:rsidRPr="00BA55C6">
        <w:rPr>
          <w:rFonts w:ascii="Arial" w:hAnsi="Arial" w:cs="Arial"/>
          <w:bCs/>
          <w:sz w:val="22"/>
          <w:lang w:val="es-ES_tradnl"/>
        </w:rPr>
        <w:t>presenta</w:t>
      </w:r>
      <w:r w:rsidR="00BA55C6">
        <w:rPr>
          <w:rFonts w:ascii="Arial" w:hAnsi="Arial" w:cs="Arial"/>
          <w:bCs/>
          <w:sz w:val="22"/>
          <w:lang w:val="es-ES_tradnl"/>
        </w:rPr>
        <w:t xml:space="preserve">rse </w:t>
      </w:r>
      <w:r w:rsidR="00BA55C6" w:rsidRPr="00BA55C6">
        <w:rPr>
          <w:rFonts w:ascii="Arial" w:hAnsi="Arial" w:cs="Arial"/>
          <w:bCs/>
          <w:sz w:val="22"/>
          <w:lang w:val="es-ES_tradnl"/>
        </w:rPr>
        <w:t>al Congreso dentro de los primeros diez días de cada legislatura</w:t>
      </w:r>
      <w:r w:rsidR="00BA55C6">
        <w:rPr>
          <w:rFonts w:ascii="Arial" w:hAnsi="Arial" w:cs="Arial"/>
          <w:bCs/>
          <w:sz w:val="22"/>
          <w:lang w:val="es-ES_tradnl"/>
        </w:rPr>
        <w:t xml:space="preserve">, </w:t>
      </w:r>
      <w:r w:rsidRPr="003A5C98">
        <w:rPr>
          <w:rFonts w:ascii="Arial" w:hAnsi="Arial" w:cs="Arial"/>
          <w:bCs/>
          <w:sz w:val="22"/>
          <w:lang w:val="es-ES_tradnl"/>
        </w:rPr>
        <w:t>elaborarse</w:t>
      </w:r>
      <w:r w:rsidR="00BA55C6">
        <w:rPr>
          <w:rFonts w:ascii="Arial" w:hAnsi="Arial" w:cs="Arial"/>
          <w:bCs/>
          <w:sz w:val="22"/>
          <w:lang w:val="es-ES_tradnl"/>
        </w:rPr>
        <w:t xml:space="preserve"> </w:t>
      </w:r>
      <w:r w:rsidRPr="003A5C98">
        <w:rPr>
          <w:rFonts w:ascii="Arial" w:hAnsi="Arial" w:cs="Arial"/>
          <w:bCs/>
          <w:sz w:val="22"/>
          <w:lang w:val="es-ES_tradnl"/>
        </w:rPr>
        <w:t>y aprobarse dentro de un marco de sostenibilidad fiscal y corresponder al Plan Nacional de Desarrollo</w:t>
      </w:r>
      <w:r w:rsidR="009D7A61">
        <w:rPr>
          <w:rStyle w:val="Refdenotaalpie"/>
          <w:rFonts w:ascii="Arial" w:hAnsi="Arial" w:cs="Arial"/>
          <w:bCs/>
          <w:sz w:val="22"/>
          <w:lang w:val="es-ES_tradnl"/>
        </w:rPr>
        <w:footnoteReference w:id="4"/>
      </w:r>
      <w:r w:rsidR="00BA55C6">
        <w:rPr>
          <w:rFonts w:ascii="Arial" w:hAnsi="Arial" w:cs="Arial"/>
          <w:bCs/>
          <w:sz w:val="22"/>
          <w:lang w:val="es-ES_tradnl"/>
        </w:rPr>
        <w:t>.</w:t>
      </w:r>
      <w:r w:rsidR="004710AE">
        <w:rPr>
          <w:rFonts w:ascii="Arial" w:hAnsi="Arial" w:cs="Arial"/>
          <w:bCs/>
          <w:sz w:val="22"/>
          <w:lang w:val="es-ES_tradnl"/>
        </w:rPr>
        <w:t xml:space="preserve"> De conformidad con la misma norma constitucional, el presupuesto </w:t>
      </w:r>
      <w:r>
        <w:rPr>
          <w:rFonts w:ascii="Arial" w:hAnsi="Arial" w:cs="Arial"/>
          <w:bCs/>
          <w:sz w:val="22"/>
          <w:lang w:val="es-ES_tradnl"/>
        </w:rPr>
        <w:t>tien</w:t>
      </w:r>
      <w:r w:rsidR="004710AE">
        <w:rPr>
          <w:rFonts w:ascii="Arial" w:hAnsi="Arial" w:cs="Arial"/>
          <w:bCs/>
          <w:sz w:val="22"/>
          <w:lang w:val="es-ES_tradnl"/>
        </w:rPr>
        <w:t>e</w:t>
      </w:r>
      <w:r>
        <w:rPr>
          <w:rFonts w:ascii="Arial" w:hAnsi="Arial" w:cs="Arial"/>
          <w:bCs/>
          <w:sz w:val="22"/>
          <w:lang w:val="es-ES_tradnl"/>
        </w:rPr>
        <w:t xml:space="preserve"> vigencia anual y, por tanto, tienen como finalidad</w:t>
      </w:r>
      <w:r w:rsidR="00A71CEA" w:rsidRPr="002A1B2B">
        <w:rPr>
          <w:rFonts w:ascii="Arial" w:hAnsi="Arial" w:cs="Arial"/>
          <w:bCs/>
          <w:sz w:val="22"/>
          <w:szCs w:val="22"/>
          <w:lang w:val="es-ES_tradnl"/>
        </w:rPr>
        <w:t xml:space="preserve"> fijar los gastos y las rentas nacionales del Estado para la respectiva vigencia fiscal anual, que se</w:t>
      </w:r>
      <w:r>
        <w:rPr>
          <w:rFonts w:ascii="Arial" w:hAnsi="Arial" w:cs="Arial"/>
          <w:bCs/>
          <w:sz w:val="22"/>
          <w:szCs w:val="22"/>
          <w:lang w:val="es-ES_tradnl"/>
        </w:rPr>
        <w:t xml:space="preserve"> comprende entre </w:t>
      </w:r>
      <w:r w:rsidR="00A71CEA" w:rsidRPr="002A1B2B">
        <w:rPr>
          <w:rFonts w:ascii="Arial" w:hAnsi="Arial" w:cs="Arial"/>
          <w:bCs/>
          <w:sz w:val="22"/>
          <w:szCs w:val="22"/>
          <w:lang w:val="es-ES_tradnl"/>
        </w:rPr>
        <w:t>el 1</w:t>
      </w:r>
      <w:r w:rsidR="00A71CEA" w:rsidRPr="002A1B2B">
        <w:rPr>
          <w:rFonts w:ascii="Arial" w:hAnsi="Arial" w:cs="Arial"/>
          <w:color w:val="000000"/>
          <w:sz w:val="22"/>
          <w:szCs w:val="22"/>
          <w:lang w:val="es-ES_tradnl"/>
        </w:rPr>
        <w:t xml:space="preserve"> de enero y el 31 de diciembre</w:t>
      </w:r>
      <w:r>
        <w:rPr>
          <w:rFonts w:ascii="Arial" w:hAnsi="Arial" w:cs="Arial"/>
          <w:color w:val="000000"/>
          <w:sz w:val="22"/>
          <w:szCs w:val="22"/>
          <w:lang w:val="es-ES_tradnl"/>
        </w:rPr>
        <w:t xml:space="preserve"> de cada año</w:t>
      </w:r>
      <w:bookmarkEnd w:id="1"/>
      <w:r w:rsidR="004710AE">
        <w:rPr>
          <w:rStyle w:val="Refdenotaalpie"/>
          <w:rFonts w:ascii="Arial" w:hAnsi="Arial" w:cs="Arial"/>
          <w:color w:val="000000"/>
          <w:sz w:val="22"/>
          <w:szCs w:val="22"/>
          <w:lang w:val="es-ES_tradnl"/>
        </w:rPr>
        <w:footnoteReference w:id="5"/>
      </w:r>
      <w:r w:rsidR="00A71CEA" w:rsidRPr="002A1B2B">
        <w:rPr>
          <w:rFonts w:ascii="Arial" w:hAnsi="Arial" w:cs="Arial"/>
          <w:color w:val="000000"/>
          <w:sz w:val="22"/>
          <w:szCs w:val="22"/>
          <w:lang w:val="es-ES_tradnl"/>
        </w:rPr>
        <w:t>.</w:t>
      </w:r>
      <w:r w:rsidR="00A71CEA">
        <w:rPr>
          <w:color w:val="000000"/>
          <w:sz w:val="28"/>
          <w:szCs w:val="28"/>
          <w:lang w:val="es-ES_tradnl"/>
        </w:rPr>
        <w:t xml:space="preserve"> </w:t>
      </w:r>
    </w:p>
    <w:p w14:paraId="30581E35" w14:textId="0307D9AC" w:rsidR="00A71CEA" w:rsidRDefault="00A71CEA" w:rsidP="00776374">
      <w:pPr>
        <w:spacing w:line="276" w:lineRule="auto"/>
        <w:jc w:val="both"/>
        <w:rPr>
          <w:rFonts w:ascii="Arial" w:hAnsi="Arial" w:cs="Arial"/>
          <w:color w:val="000000"/>
          <w:sz w:val="22"/>
          <w:szCs w:val="22"/>
          <w:lang w:val="es-ES_tradnl"/>
        </w:rPr>
      </w:pPr>
      <w:r>
        <w:rPr>
          <w:color w:val="000000"/>
          <w:sz w:val="28"/>
          <w:szCs w:val="28"/>
          <w:lang w:val="es-ES_tradnl"/>
        </w:rPr>
        <w:lastRenderedPageBreak/>
        <w:tab/>
      </w:r>
      <w:r w:rsidRPr="002A1B2B">
        <w:rPr>
          <w:rFonts w:ascii="Arial" w:hAnsi="Arial" w:cs="Arial"/>
          <w:color w:val="000000"/>
          <w:sz w:val="22"/>
          <w:szCs w:val="22"/>
          <w:lang w:val="es-ES_tradnl"/>
        </w:rPr>
        <w:t>La Corte Constitucional se ha encargado de señalar</w:t>
      </w:r>
      <w:r w:rsidR="00587130">
        <w:rPr>
          <w:rFonts w:ascii="Arial" w:hAnsi="Arial" w:cs="Arial"/>
          <w:color w:val="000000"/>
          <w:sz w:val="22"/>
          <w:szCs w:val="22"/>
          <w:lang w:val="es-ES_tradnl"/>
        </w:rPr>
        <w:t>,</w:t>
      </w:r>
      <w:r w:rsidRPr="002A1B2B">
        <w:rPr>
          <w:rFonts w:ascii="Arial" w:hAnsi="Arial" w:cs="Arial"/>
          <w:color w:val="000000"/>
          <w:sz w:val="22"/>
          <w:szCs w:val="22"/>
          <w:lang w:val="es-ES_tradnl"/>
        </w:rPr>
        <w:t xml:space="preserve"> en sentencia </w:t>
      </w:r>
      <w:r>
        <w:rPr>
          <w:rFonts w:ascii="Arial" w:hAnsi="Arial" w:cs="Arial"/>
          <w:color w:val="000000"/>
          <w:sz w:val="22"/>
          <w:szCs w:val="22"/>
          <w:lang w:val="es-ES_tradnl"/>
        </w:rPr>
        <w:t>C</w:t>
      </w:r>
      <w:r w:rsidRPr="002A1B2B">
        <w:rPr>
          <w:rFonts w:ascii="Arial" w:hAnsi="Arial" w:cs="Arial"/>
          <w:color w:val="000000"/>
          <w:sz w:val="22"/>
          <w:szCs w:val="22"/>
          <w:lang w:val="es-ES_tradnl"/>
        </w:rPr>
        <w:t>-1064 de 2001</w:t>
      </w:r>
      <w:r w:rsidR="00587130">
        <w:rPr>
          <w:rFonts w:ascii="Arial" w:hAnsi="Arial" w:cs="Arial"/>
          <w:color w:val="000000"/>
          <w:sz w:val="22"/>
          <w:szCs w:val="22"/>
          <w:lang w:val="es-ES_tradnl"/>
        </w:rPr>
        <w:t>,</w:t>
      </w:r>
      <w:r w:rsidRPr="002A1B2B">
        <w:rPr>
          <w:rFonts w:ascii="Arial" w:hAnsi="Arial" w:cs="Arial"/>
          <w:color w:val="000000"/>
          <w:sz w:val="22"/>
          <w:szCs w:val="22"/>
          <w:lang w:val="es-ES_tradnl"/>
        </w:rPr>
        <w:t xml:space="preserve"> que </w:t>
      </w:r>
      <w:r w:rsidR="00587130">
        <w:rPr>
          <w:rFonts w:ascii="Arial" w:hAnsi="Arial" w:cs="Arial"/>
          <w:color w:val="000000"/>
          <w:sz w:val="22"/>
          <w:szCs w:val="22"/>
          <w:lang w:val="es-ES_tradnl"/>
        </w:rPr>
        <w:t>l</w:t>
      </w:r>
      <w:r w:rsidRPr="002A1B2B">
        <w:rPr>
          <w:rFonts w:ascii="Arial" w:hAnsi="Arial" w:cs="Arial"/>
          <w:color w:val="000000"/>
          <w:sz w:val="22"/>
          <w:szCs w:val="22"/>
          <w:lang w:val="es-ES_tradnl"/>
        </w:rPr>
        <w:t>a Ley Anual de Presupuesto es un reflejo de la realidad social y económica</w:t>
      </w:r>
      <w:r w:rsidR="00587130">
        <w:rPr>
          <w:rFonts w:ascii="Arial" w:hAnsi="Arial" w:cs="Arial"/>
          <w:color w:val="000000"/>
          <w:sz w:val="22"/>
          <w:szCs w:val="22"/>
          <w:lang w:val="es-ES_tradnl"/>
        </w:rPr>
        <w:t xml:space="preserve"> del país</w:t>
      </w:r>
      <w:r w:rsidRPr="002A1B2B">
        <w:rPr>
          <w:rFonts w:ascii="Arial" w:hAnsi="Arial" w:cs="Arial"/>
          <w:color w:val="000000"/>
          <w:sz w:val="22"/>
          <w:szCs w:val="22"/>
          <w:lang w:val="es-ES_tradnl"/>
        </w:rPr>
        <w:t>, como también de las políticas del Estado para responder a esa realidad</w:t>
      </w:r>
      <w:r w:rsidR="00B81F3F">
        <w:rPr>
          <w:rFonts w:ascii="Arial" w:hAnsi="Arial" w:cs="Arial"/>
          <w:color w:val="000000"/>
          <w:sz w:val="22"/>
          <w:szCs w:val="22"/>
          <w:lang w:val="es-ES_tradnl"/>
        </w:rPr>
        <w:t xml:space="preserve">. Por lo tanto, afirma que </w:t>
      </w:r>
      <w:r w:rsidRPr="002A1B2B">
        <w:rPr>
          <w:rFonts w:ascii="Arial" w:hAnsi="Arial" w:cs="Arial"/>
          <w:color w:val="000000"/>
          <w:sz w:val="22"/>
          <w:szCs w:val="22"/>
          <w:lang w:val="es-ES_tradnl"/>
        </w:rPr>
        <w:t>el presupuesto es una especie de</w:t>
      </w:r>
      <w:r w:rsidR="00521FC6">
        <w:rPr>
          <w:rFonts w:ascii="Arial" w:hAnsi="Arial" w:cs="Arial"/>
          <w:color w:val="000000"/>
          <w:sz w:val="22"/>
          <w:szCs w:val="22"/>
          <w:lang w:val="es-ES_tradnl"/>
        </w:rPr>
        <w:t xml:space="preserve"> «c</w:t>
      </w:r>
      <w:r w:rsidR="00521FC6" w:rsidRPr="00521FC6">
        <w:rPr>
          <w:rFonts w:ascii="Arial" w:hAnsi="Arial" w:cs="Arial"/>
          <w:color w:val="000000"/>
          <w:sz w:val="22"/>
          <w:szCs w:val="22"/>
          <w:lang w:val="es-ES_tradnl"/>
        </w:rPr>
        <w:t>ontrato democrático anual sobre la asignación de recursos escasos y la fijación de prioridades</w:t>
      </w:r>
      <w:r w:rsidR="00521FC6">
        <w:rPr>
          <w:rFonts w:ascii="Arial" w:hAnsi="Arial" w:cs="Arial"/>
          <w:color w:val="000000"/>
          <w:sz w:val="22"/>
          <w:szCs w:val="22"/>
          <w:lang w:val="es-ES_tradnl"/>
        </w:rPr>
        <w:t>»</w:t>
      </w:r>
      <w:r w:rsidR="00521FC6" w:rsidRPr="00521FC6">
        <w:rPr>
          <w:rFonts w:ascii="Arial" w:hAnsi="Arial" w:cs="Arial"/>
          <w:color w:val="000000"/>
          <w:sz w:val="22"/>
          <w:szCs w:val="22"/>
          <w:lang w:val="es-ES_tradnl"/>
        </w:rPr>
        <w:t>, mediante el cual el Estado concreta no sólo un instrumento medular en la dirección de la economía y la política macroeconómica, sino la herramienta jurídica que expresa cuantitativamente el cumplimiento de fines esenciales del Estado y la política social para alcanzarlos</w:t>
      </w:r>
      <w:r w:rsidR="00521FC6" w:rsidRPr="00B5768A">
        <w:rPr>
          <w:rStyle w:val="Refdenotaalpie"/>
          <w:rFonts w:ascii="Arial" w:eastAsia="Calibri" w:hAnsi="Arial" w:cs="Arial"/>
          <w:color w:val="000000" w:themeColor="text1"/>
          <w:sz w:val="21"/>
          <w:szCs w:val="21"/>
          <w:lang w:val="es-ES"/>
        </w:rPr>
        <w:footnoteReference w:id="6"/>
      </w:r>
      <w:r w:rsidR="00521FC6">
        <w:rPr>
          <w:rFonts w:ascii="Arial" w:hAnsi="Arial" w:cs="Arial"/>
          <w:color w:val="000000"/>
          <w:sz w:val="22"/>
          <w:szCs w:val="22"/>
          <w:lang w:val="es-ES_tradnl"/>
        </w:rPr>
        <w:t>.</w:t>
      </w:r>
      <w:r>
        <w:rPr>
          <w:rFonts w:ascii="Arial" w:hAnsi="Arial" w:cs="Arial"/>
          <w:color w:val="000000"/>
          <w:sz w:val="22"/>
          <w:szCs w:val="22"/>
          <w:lang w:val="es-ES_tradnl"/>
        </w:rPr>
        <w:t xml:space="preserve"> </w:t>
      </w:r>
      <w:r w:rsidR="00521FC6" w:rsidRPr="00521FC6">
        <w:rPr>
          <w:rFonts w:ascii="Arial" w:hAnsi="Arial" w:cs="Arial"/>
          <w:color w:val="000000"/>
          <w:sz w:val="22"/>
          <w:szCs w:val="22"/>
          <w:lang w:val="es-ES_tradnl"/>
        </w:rPr>
        <w:t xml:space="preserve">En particular, acerca de la función democrática que cumple la regulación sobre el presupuesto, </w:t>
      </w:r>
      <w:r w:rsidR="00521FC6">
        <w:rPr>
          <w:rFonts w:ascii="Arial" w:hAnsi="Arial" w:cs="Arial"/>
          <w:color w:val="000000"/>
          <w:sz w:val="22"/>
          <w:szCs w:val="22"/>
          <w:lang w:val="es-ES_tradnl"/>
        </w:rPr>
        <w:t>la Corte Constitucional</w:t>
      </w:r>
      <w:r w:rsidR="00521FC6" w:rsidRPr="00521FC6">
        <w:rPr>
          <w:rFonts w:ascii="Arial" w:hAnsi="Arial" w:cs="Arial"/>
          <w:color w:val="000000"/>
          <w:sz w:val="22"/>
          <w:szCs w:val="22"/>
          <w:lang w:val="es-ES_tradnl"/>
        </w:rPr>
        <w:t xml:space="preserve"> </w:t>
      </w:r>
      <w:r w:rsidR="007A4AE6">
        <w:rPr>
          <w:rFonts w:ascii="Arial" w:hAnsi="Arial" w:cs="Arial"/>
          <w:color w:val="000000"/>
          <w:sz w:val="22"/>
          <w:szCs w:val="22"/>
          <w:lang w:val="es-ES_tradnl"/>
        </w:rPr>
        <w:t>señaló lo siguiente</w:t>
      </w:r>
      <w:r w:rsidR="00521FC6" w:rsidRPr="00521FC6">
        <w:rPr>
          <w:rFonts w:ascii="Arial" w:hAnsi="Arial" w:cs="Arial"/>
          <w:color w:val="000000"/>
          <w:sz w:val="22"/>
          <w:szCs w:val="22"/>
          <w:lang w:val="es-ES_tradnl"/>
        </w:rPr>
        <w:t>:</w:t>
      </w:r>
    </w:p>
    <w:p w14:paraId="19F60ED2" w14:textId="77777777" w:rsidR="00776374" w:rsidRDefault="00776374" w:rsidP="00531E6B">
      <w:pPr>
        <w:spacing w:line="276" w:lineRule="auto"/>
        <w:jc w:val="both"/>
        <w:rPr>
          <w:rFonts w:ascii="Arial" w:hAnsi="Arial" w:cs="Arial"/>
          <w:color w:val="000000"/>
          <w:sz w:val="22"/>
          <w:szCs w:val="22"/>
          <w:lang w:val="es-ES_tradnl"/>
        </w:rPr>
      </w:pPr>
    </w:p>
    <w:p w14:paraId="033C0323" w14:textId="4FE86EBB" w:rsidR="00547A9E" w:rsidRDefault="00547A9E" w:rsidP="00531E6B">
      <w:pPr>
        <w:ind w:left="709" w:right="709"/>
        <w:jc w:val="both"/>
        <w:rPr>
          <w:rFonts w:ascii="Arial" w:hAnsi="Arial" w:cs="Arial"/>
          <w:color w:val="000000"/>
          <w:sz w:val="21"/>
          <w:szCs w:val="21"/>
          <w:lang w:val="es-ES_tradnl"/>
        </w:rPr>
      </w:pPr>
      <w:r>
        <w:rPr>
          <w:rFonts w:ascii="Arial" w:hAnsi="Arial" w:cs="Arial"/>
          <w:color w:val="000000"/>
          <w:sz w:val="21"/>
          <w:szCs w:val="21"/>
          <w:lang w:val="es-ES_tradnl"/>
        </w:rPr>
        <w:t>[</w:t>
      </w:r>
      <w:r w:rsidR="00A71CEA" w:rsidRPr="00B5768A">
        <w:rPr>
          <w:rFonts w:ascii="Arial" w:hAnsi="Arial" w:cs="Arial"/>
          <w:color w:val="000000"/>
          <w:sz w:val="21"/>
          <w:szCs w:val="21"/>
          <w:lang w:val="es-ES_tradnl"/>
        </w:rPr>
        <w:t>…</w:t>
      </w:r>
      <w:r w:rsidR="00776374">
        <w:rPr>
          <w:rFonts w:ascii="Arial" w:hAnsi="Arial" w:cs="Arial"/>
          <w:color w:val="000000"/>
          <w:sz w:val="21"/>
          <w:szCs w:val="21"/>
          <w:lang w:val="es-ES_tradnl"/>
        </w:rPr>
        <w:t>]</w:t>
      </w:r>
      <w:r w:rsidR="00A71CEA" w:rsidRPr="00B5768A">
        <w:rPr>
          <w:rFonts w:ascii="Arial" w:hAnsi="Arial" w:cs="Arial"/>
          <w:color w:val="000000"/>
          <w:sz w:val="21"/>
          <w:szCs w:val="21"/>
          <w:lang w:val="es-ES_tradnl"/>
        </w:rPr>
        <w:t xml:space="preserve"> define cuáles son las rentas que el Estado cobrará a sus ciudadanos y cuáles son los gastos en que incurrirá; materias que exigen, por lo tanto, imponer cargas tributarias que limitan los derechos de las personas. Así, el debate parlamentario, con sus estrictas reglas, cumple la función democrática de distribuir las cargas y beneficios dentro de la sociedad y de controlar la justicia y equidad tanto de la distribución como de las limitaciones a los derechos que resultan del desarrollo del deber ciudadano de contribuir al financiamiento del Estado y del cumplimiento de sus fines sociales </w:t>
      </w:r>
      <w:r>
        <w:rPr>
          <w:rFonts w:ascii="Arial" w:hAnsi="Arial" w:cs="Arial"/>
          <w:color w:val="000000"/>
          <w:sz w:val="21"/>
          <w:szCs w:val="21"/>
          <w:lang w:val="es-ES_tradnl"/>
        </w:rPr>
        <w:t>[</w:t>
      </w:r>
      <w:r w:rsidR="00A71CEA" w:rsidRPr="00B5768A">
        <w:rPr>
          <w:rFonts w:ascii="Arial" w:hAnsi="Arial" w:cs="Arial"/>
          <w:color w:val="000000"/>
          <w:sz w:val="21"/>
          <w:szCs w:val="21"/>
          <w:lang w:val="es-ES_tradnl"/>
        </w:rPr>
        <w:t>…</w:t>
      </w:r>
      <w:r>
        <w:rPr>
          <w:rFonts w:ascii="Arial" w:hAnsi="Arial" w:cs="Arial"/>
          <w:color w:val="000000"/>
          <w:sz w:val="21"/>
          <w:szCs w:val="21"/>
          <w:lang w:val="es-ES_tradnl"/>
        </w:rPr>
        <w:t>]</w:t>
      </w:r>
      <w:r w:rsidR="00A71CEA" w:rsidRPr="00B5768A">
        <w:rPr>
          <w:rFonts w:ascii="Arial" w:hAnsi="Arial" w:cs="Arial"/>
          <w:color w:val="000000"/>
          <w:sz w:val="21"/>
          <w:szCs w:val="21"/>
          <w:lang w:val="es-ES_tradnl"/>
        </w:rPr>
        <w:t>.</w:t>
      </w:r>
      <w:r w:rsidR="00A71CEA" w:rsidRPr="00B5768A">
        <w:rPr>
          <w:rStyle w:val="Refdenotaalpie"/>
          <w:rFonts w:ascii="Arial" w:hAnsi="Arial" w:cs="Arial"/>
          <w:color w:val="000000"/>
          <w:sz w:val="21"/>
          <w:szCs w:val="21"/>
          <w:lang w:val="es-ES_tradnl"/>
        </w:rPr>
        <w:footnoteReference w:id="7"/>
      </w:r>
      <w:r w:rsidR="00A71CEA" w:rsidRPr="00B5768A">
        <w:rPr>
          <w:rFonts w:ascii="Arial" w:hAnsi="Arial" w:cs="Arial"/>
          <w:color w:val="000000"/>
          <w:sz w:val="21"/>
          <w:szCs w:val="21"/>
          <w:lang w:val="es-ES_tradnl"/>
        </w:rPr>
        <w:t xml:space="preserve"> </w:t>
      </w:r>
    </w:p>
    <w:p w14:paraId="140535BA" w14:textId="4CE79356" w:rsidR="00547A9E" w:rsidRDefault="00547A9E" w:rsidP="00531E6B">
      <w:pPr>
        <w:ind w:right="709"/>
        <w:jc w:val="both"/>
        <w:rPr>
          <w:rFonts w:ascii="Arial" w:hAnsi="Arial" w:cs="Arial"/>
          <w:color w:val="000000"/>
          <w:sz w:val="22"/>
          <w:szCs w:val="22"/>
          <w:shd w:val="clear" w:color="auto" w:fill="FFFFFF"/>
        </w:rPr>
      </w:pPr>
    </w:p>
    <w:p w14:paraId="17DFCF39" w14:textId="72AF6027" w:rsidR="00A71CEA" w:rsidRDefault="00B81F3F" w:rsidP="00A71CEA">
      <w:pPr>
        <w:tabs>
          <w:tab w:val="left" w:pos="426"/>
        </w:tabs>
        <w:spacing w:after="120" w:line="276" w:lineRule="auto"/>
        <w:ind w:firstLine="709"/>
        <w:jc w:val="both"/>
        <w:rPr>
          <w:rFonts w:ascii="Arial" w:hAnsi="Arial" w:cs="Arial"/>
          <w:b/>
          <w:sz w:val="22"/>
          <w:szCs w:val="22"/>
        </w:rPr>
      </w:pPr>
      <w:r>
        <w:rPr>
          <w:rFonts w:ascii="Arial" w:hAnsi="Arial" w:cs="Arial"/>
          <w:color w:val="000000"/>
          <w:sz w:val="22"/>
          <w:szCs w:val="22"/>
          <w:shd w:val="clear" w:color="auto" w:fill="FFFFFF"/>
        </w:rPr>
        <w:t>Por tanto, e</w:t>
      </w:r>
      <w:r w:rsidR="00A71CEA" w:rsidRPr="002A1B2B">
        <w:rPr>
          <w:rFonts w:ascii="Arial" w:hAnsi="Arial" w:cs="Arial"/>
          <w:color w:val="000000"/>
          <w:sz w:val="22"/>
          <w:szCs w:val="22"/>
          <w:shd w:val="clear" w:color="auto" w:fill="FFFFFF"/>
        </w:rPr>
        <w:t>l presupuesto es el resultado de un debate democrático, plasmado en una ley, por medio del cual se pretende responder a la realidad económica y a las necesidades sociales de</w:t>
      </w:r>
      <w:r>
        <w:rPr>
          <w:rFonts w:ascii="Arial" w:hAnsi="Arial" w:cs="Arial"/>
          <w:color w:val="000000"/>
          <w:sz w:val="22"/>
          <w:szCs w:val="22"/>
          <w:shd w:val="clear" w:color="auto" w:fill="FFFFFF"/>
        </w:rPr>
        <w:t>l país</w:t>
      </w:r>
      <w:r w:rsidR="00A71CEA" w:rsidRPr="002A1B2B">
        <w:rPr>
          <w:rFonts w:ascii="Arial" w:hAnsi="Arial" w:cs="Arial"/>
          <w:color w:val="000000"/>
          <w:sz w:val="22"/>
          <w:szCs w:val="22"/>
          <w:shd w:val="clear" w:color="auto" w:fill="FFFFFF"/>
        </w:rPr>
        <w:t xml:space="preserve">. De allí que </w:t>
      </w:r>
      <w:r>
        <w:rPr>
          <w:rFonts w:ascii="Arial" w:hAnsi="Arial" w:cs="Arial"/>
          <w:color w:val="000000"/>
          <w:sz w:val="22"/>
          <w:szCs w:val="22"/>
          <w:shd w:val="clear" w:color="auto" w:fill="FFFFFF"/>
        </w:rPr>
        <w:t xml:space="preserve">en </w:t>
      </w:r>
      <w:r w:rsidR="00A71CEA" w:rsidRPr="002A1B2B">
        <w:rPr>
          <w:rFonts w:ascii="Arial" w:hAnsi="Arial" w:cs="Arial"/>
          <w:color w:val="000000"/>
          <w:sz w:val="22"/>
          <w:szCs w:val="22"/>
          <w:shd w:val="clear" w:color="auto" w:fill="FFFFFF"/>
        </w:rPr>
        <w:t>su elaboración particip</w:t>
      </w:r>
      <w:r>
        <w:rPr>
          <w:rFonts w:ascii="Arial" w:hAnsi="Arial" w:cs="Arial"/>
          <w:color w:val="000000"/>
          <w:sz w:val="22"/>
          <w:szCs w:val="22"/>
          <w:shd w:val="clear" w:color="auto" w:fill="FFFFFF"/>
        </w:rPr>
        <w:t>e</w:t>
      </w:r>
      <w:r w:rsidR="00A71CEA" w:rsidRPr="002A1B2B">
        <w:rPr>
          <w:rFonts w:ascii="Arial" w:hAnsi="Arial" w:cs="Arial"/>
          <w:color w:val="000000"/>
          <w:sz w:val="22"/>
          <w:szCs w:val="22"/>
          <w:shd w:val="clear" w:color="auto" w:fill="FFFFFF"/>
        </w:rPr>
        <w:t>n tanto la rama ejecutiva como la rama legislativa</w:t>
      </w:r>
      <w:r>
        <w:rPr>
          <w:rFonts w:ascii="Arial" w:hAnsi="Arial" w:cs="Arial"/>
          <w:color w:val="000000"/>
          <w:sz w:val="22"/>
          <w:szCs w:val="22"/>
          <w:shd w:val="clear" w:color="auto" w:fill="FFFFFF"/>
        </w:rPr>
        <w:t xml:space="preserve"> del poder público</w:t>
      </w:r>
      <w:r w:rsidR="00776374">
        <w:rPr>
          <w:rFonts w:ascii="Arial" w:hAnsi="Arial" w:cs="Arial"/>
          <w:color w:val="000000"/>
          <w:sz w:val="22"/>
          <w:szCs w:val="22"/>
          <w:shd w:val="clear" w:color="auto" w:fill="FFFFFF"/>
        </w:rPr>
        <w:t>. L</w:t>
      </w:r>
      <w:r w:rsidR="00A71CEA" w:rsidRPr="002A1B2B">
        <w:rPr>
          <w:rFonts w:ascii="Arial" w:hAnsi="Arial" w:cs="Arial"/>
          <w:color w:val="000000"/>
          <w:sz w:val="22"/>
          <w:szCs w:val="22"/>
          <w:shd w:val="clear" w:color="auto" w:fill="FFFFFF"/>
        </w:rPr>
        <w:t>a primera cumple la función de elaborar y presentar el proyecto</w:t>
      </w:r>
      <w:r>
        <w:rPr>
          <w:rFonts w:ascii="Arial" w:hAnsi="Arial" w:cs="Arial"/>
          <w:color w:val="000000"/>
          <w:sz w:val="22"/>
          <w:szCs w:val="22"/>
          <w:shd w:val="clear" w:color="auto" w:fill="FFFFFF"/>
        </w:rPr>
        <w:t>,</w:t>
      </w:r>
      <w:r w:rsidR="00A71CEA" w:rsidRPr="002A1B2B">
        <w:rPr>
          <w:rFonts w:ascii="Arial" w:hAnsi="Arial" w:cs="Arial"/>
          <w:color w:val="000000"/>
          <w:sz w:val="22"/>
          <w:szCs w:val="22"/>
          <w:shd w:val="clear" w:color="auto" w:fill="FFFFFF"/>
        </w:rPr>
        <w:t xml:space="preserve"> y la segunda desarrolla la tarea de deliberar y expedir la</w:t>
      </w:r>
      <w:r>
        <w:rPr>
          <w:rFonts w:ascii="Arial" w:hAnsi="Arial" w:cs="Arial"/>
          <w:color w:val="000000"/>
          <w:sz w:val="22"/>
          <w:szCs w:val="22"/>
          <w:shd w:val="clear" w:color="auto" w:fill="FFFFFF"/>
        </w:rPr>
        <w:t xml:space="preserve"> correspondiente</w:t>
      </w:r>
      <w:r w:rsidR="00A71CEA" w:rsidRPr="002A1B2B">
        <w:rPr>
          <w:rFonts w:ascii="Arial" w:hAnsi="Arial" w:cs="Arial"/>
          <w:color w:val="000000"/>
          <w:sz w:val="22"/>
          <w:szCs w:val="22"/>
          <w:shd w:val="clear" w:color="auto" w:fill="FFFFFF"/>
        </w:rPr>
        <w:t xml:space="preserve"> ley</w:t>
      </w:r>
      <w:r>
        <w:rPr>
          <w:rFonts w:ascii="Arial" w:hAnsi="Arial" w:cs="Arial"/>
          <w:color w:val="000000"/>
          <w:sz w:val="22"/>
          <w:szCs w:val="22"/>
          <w:shd w:val="clear" w:color="auto" w:fill="FFFFFF"/>
        </w:rPr>
        <w:t>,</w:t>
      </w:r>
      <w:r w:rsidR="00A71CEA" w:rsidRPr="002A1B2B">
        <w:rPr>
          <w:rFonts w:ascii="Arial" w:hAnsi="Arial" w:cs="Arial"/>
          <w:color w:val="000000"/>
          <w:sz w:val="22"/>
          <w:szCs w:val="22"/>
          <w:shd w:val="clear" w:color="auto" w:fill="FFFFFF"/>
        </w:rPr>
        <w:t xml:space="preserve"> dentro de</w:t>
      </w:r>
      <w:r>
        <w:rPr>
          <w:rFonts w:ascii="Arial" w:hAnsi="Arial" w:cs="Arial"/>
          <w:color w:val="000000"/>
          <w:sz w:val="22"/>
          <w:szCs w:val="22"/>
          <w:shd w:val="clear" w:color="auto" w:fill="FFFFFF"/>
        </w:rPr>
        <w:t xml:space="preserve">l término de los </w:t>
      </w:r>
      <w:r w:rsidR="00A71CEA" w:rsidRPr="002A1B2B">
        <w:rPr>
          <w:rFonts w:ascii="Arial" w:hAnsi="Arial" w:cs="Arial"/>
          <w:color w:val="000000"/>
          <w:sz w:val="22"/>
          <w:szCs w:val="22"/>
          <w:shd w:val="clear" w:color="auto" w:fill="FFFFFF"/>
        </w:rPr>
        <w:t>tres primeros meses de cada legislatura</w:t>
      </w:r>
      <w:r>
        <w:rPr>
          <w:rFonts w:ascii="Arial" w:hAnsi="Arial" w:cs="Arial"/>
          <w:color w:val="000000"/>
          <w:sz w:val="22"/>
          <w:szCs w:val="22"/>
          <w:shd w:val="clear" w:color="auto" w:fill="FFFFFF"/>
        </w:rPr>
        <w:t>, de conformidad con lo dispuesto en el artículo 349 de la Constitución Política.</w:t>
      </w:r>
    </w:p>
    <w:p w14:paraId="304F0F96" w14:textId="7CDC22E4" w:rsidR="005E481C" w:rsidRDefault="006D64B1" w:rsidP="00A71CEA">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Las anteriores consideraciones son pertinentes a efectos de</w:t>
      </w:r>
      <w:r w:rsidR="005E481C">
        <w:rPr>
          <w:rFonts w:ascii="Arial" w:hAnsi="Arial" w:cs="Arial"/>
          <w:color w:val="000000" w:themeColor="text1"/>
          <w:sz w:val="22"/>
          <w:szCs w:val="22"/>
        </w:rPr>
        <w:t xml:space="preserve">l presente concepto toda vez que la norma que motiva la consulta </w:t>
      </w:r>
      <w:r w:rsidR="00820F88">
        <w:rPr>
          <w:rFonts w:ascii="Arial" w:hAnsi="Arial" w:cs="Arial"/>
          <w:color w:val="000000" w:themeColor="text1"/>
          <w:sz w:val="22"/>
          <w:szCs w:val="22"/>
        </w:rPr>
        <w:t xml:space="preserve">hace parte de </w:t>
      </w:r>
      <w:r w:rsidR="005E481C">
        <w:rPr>
          <w:rFonts w:ascii="Arial" w:hAnsi="Arial" w:cs="Arial"/>
          <w:color w:val="000000" w:themeColor="text1"/>
          <w:sz w:val="22"/>
          <w:szCs w:val="22"/>
        </w:rPr>
        <w:t xml:space="preserve">la </w:t>
      </w:r>
      <w:r w:rsidR="005E481C" w:rsidRPr="002A1B2B">
        <w:rPr>
          <w:rFonts w:ascii="Arial" w:hAnsi="Arial" w:cs="Arial"/>
          <w:color w:val="000000" w:themeColor="text1"/>
          <w:sz w:val="22"/>
          <w:szCs w:val="22"/>
        </w:rPr>
        <w:t>Ley 2063 de 2020</w:t>
      </w:r>
      <w:r w:rsidR="005E481C">
        <w:rPr>
          <w:rFonts w:ascii="Arial" w:hAnsi="Arial" w:cs="Arial"/>
          <w:color w:val="000000" w:themeColor="text1"/>
          <w:sz w:val="22"/>
          <w:szCs w:val="22"/>
        </w:rPr>
        <w:t>, que contiene el presupuesto y la ley de apropiaciones para la vigencia fiscal comprendida entre el 1 de enero y el 31 de diciembre de 2020.</w:t>
      </w:r>
      <w:r w:rsidR="00820F88">
        <w:rPr>
          <w:rFonts w:ascii="Arial" w:hAnsi="Arial" w:cs="Arial"/>
          <w:color w:val="000000" w:themeColor="text1"/>
          <w:sz w:val="22"/>
          <w:szCs w:val="22"/>
        </w:rPr>
        <w:t xml:space="preserve"> Por tanto, su interpretación debe obedecer a una lectura sistemática </w:t>
      </w:r>
      <w:r w:rsidR="00A9164B">
        <w:rPr>
          <w:rFonts w:ascii="Arial" w:hAnsi="Arial" w:cs="Arial"/>
          <w:color w:val="000000" w:themeColor="text1"/>
          <w:sz w:val="22"/>
          <w:szCs w:val="22"/>
        </w:rPr>
        <w:t>y en conjunto de las demás normas que la componen y de la finalidad presupuestal de dicha ley.</w:t>
      </w:r>
    </w:p>
    <w:p w14:paraId="04D98642" w14:textId="77777777" w:rsidR="00A71CEA" w:rsidRDefault="00A71CEA" w:rsidP="00A71CEA">
      <w:pPr>
        <w:spacing w:line="276" w:lineRule="auto"/>
        <w:jc w:val="both"/>
        <w:rPr>
          <w:rFonts w:ascii="Arial" w:hAnsi="Arial" w:cs="Arial"/>
          <w:color w:val="000000" w:themeColor="text1"/>
          <w:sz w:val="22"/>
          <w:szCs w:val="22"/>
          <w:lang w:val="es-ES"/>
        </w:rPr>
      </w:pPr>
    </w:p>
    <w:p w14:paraId="280048D4" w14:textId="380E095E" w:rsidR="00A71CEA" w:rsidRDefault="00A71CEA" w:rsidP="00A71CEA">
      <w:pPr>
        <w:spacing w:line="276" w:lineRule="auto"/>
        <w:jc w:val="both"/>
        <w:rPr>
          <w:rFonts w:ascii="Arial" w:hAnsi="Arial" w:cs="Arial"/>
          <w:b/>
          <w:bCs/>
          <w:color w:val="000000" w:themeColor="text1"/>
          <w:sz w:val="22"/>
          <w:lang w:val="es-ES"/>
        </w:rPr>
      </w:pPr>
      <w:r w:rsidRPr="002A1B2B">
        <w:rPr>
          <w:rFonts w:ascii="Arial" w:hAnsi="Arial" w:cs="Arial"/>
          <w:b/>
          <w:bCs/>
          <w:color w:val="000000" w:themeColor="text1"/>
          <w:sz w:val="22"/>
          <w:lang w:val="es-ES"/>
        </w:rPr>
        <w:t>2.2.</w:t>
      </w:r>
      <w:r>
        <w:rPr>
          <w:rFonts w:ascii="Arial" w:hAnsi="Arial" w:cs="Arial"/>
          <w:b/>
          <w:bCs/>
          <w:color w:val="000000" w:themeColor="text1"/>
          <w:sz w:val="22"/>
          <w:lang w:val="es-ES"/>
        </w:rPr>
        <w:t xml:space="preserve"> </w:t>
      </w:r>
      <w:r w:rsidR="00A9164B" w:rsidRPr="00A9164B">
        <w:rPr>
          <w:rFonts w:ascii="Arial" w:hAnsi="Arial" w:cs="Arial"/>
          <w:b/>
          <w:bCs/>
          <w:color w:val="000000" w:themeColor="text1"/>
          <w:sz w:val="22"/>
          <w:lang w:val="es-ES"/>
        </w:rPr>
        <w:t>Proceso legislativo de aprobación del parágrafo del artículo 56 de la Ley 2063 de 2020</w:t>
      </w:r>
    </w:p>
    <w:p w14:paraId="2DF6AD5E" w14:textId="77777777" w:rsidR="00A71CEA" w:rsidRDefault="00A71CEA" w:rsidP="00A71CEA">
      <w:pPr>
        <w:spacing w:line="276" w:lineRule="auto"/>
        <w:jc w:val="both"/>
        <w:rPr>
          <w:rFonts w:ascii="Arial" w:hAnsi="Arial" w:cs="Arial"/>
          <w:b/>
          <w:bCs/>
          <w:color w:val="000000" w:themeColor="text1"/>
          <w:sz w:val="22"/>
          <w:lang w:val="es-ES"/>
        </w:rPr>
      </w:pPr>
    </w:p>
    <w:p w14:paraId="6B65B338" w14:textId="4D089CA5" w:rsidR="00A71CEA" w:rsidRDefault="00A71CEA" w:rsidP="00A71CEA">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lastRenderedPageBreak/>
        <w:t>La Ley 2063</w:t>
      </w:r>
      <w:r w:rsidR="00B8757F">
        <w:rPr>
          <w:rFonts w:ascii="Arial" w:hAnsi="Arial" w:cs="Arial"/>
          <w:color w:val="000000" w:themeColor="text1"/>
          <w:sz w:val="22"/>
          <w:lang w:val="es-ES"/>
        </w:rPr>
        <w:t xml:space="preserve"> de 2020,</w:t>
      </w:r>
      <w:r>
        <w:rPr>
          <w:rFonts w:ascii="Arial" w:hAnsi="Arial" w:cs="Arial"/>
          <w:color w:val="000000" w:themeColor="text1"/>
          <w:sz w:val="22"/>
          <w:lang w:val="es-ES"/>
        </w:rPr>
        <w:t xml:space="preserve"> como ya se explic</w:t>
      </w:r>
      <w:r w:rsidR="00B8757F">
        <w:rPr>
          <w:rFonts w:ascii="Arial" w:hAnsi="Arial" w:cs="Arial"/>
          <w:color w:val="000000" w:themeColor="text1"/>
          <w:sz w:val="22"/>
          <w:lang w:val="es-ES"/>
        </w:rPr>
        <w:t>ó</w:t>
      </w:r>
      <w:r>
        <w:rPr>
          <w:rFonts w:ascii="Arial" w:hAnsi="Arial" w:cs="Arial"/>
          <w:color w:val="000000" w:themeColor="text1"/>
          <w:sz w:val="22"/>
          <w:lang w:val="es-ES"/>
        </w:rPr>
        <w:t xml:space="preserve"> anteriormente, es para el presente año fiscal </w:t>
      </w:r>
      <w:r w:rsidR="00B8757F">
        <w:rPr>
          <w:rFonts w:ascii="Arial" w:hAnsi="Arial" w:cs="Arial"/>
          <w:color w:val="000000" w:themeColor="text1"/>
          <w:sz w:val="22"/>
          <w:lang w:val="es-ES"/>
        </w:rPr>
        <w:t xml:space="preserve">la norma que contiene el </w:t>
      </w:r>
      <w:r>
        <w:rPr>
          <w:rFonts w:ascii="Arial" w:hAnsi="Arial" w:cs="Arial"/>
          <w:color w:val="000000" w:themeColor="text1"/>
          <w:sz w:val="22"/>
          <w:lang w:val="es-ES"/>
        </w:rPr>
        <w:t>presupuesto de rentas y recursos de capital</w:t>
      </w:r>
      <w:r w:rsidR="00B8757F">
        <w:rPr>
          <w:rFonts w:ascii="Arial" w:hAnsi="Arial" w:cs="Arial"/>
          <w:color w:val="000000" w:themeColor="text1"/>
          <w:sz w:val="22"/>
          <w:lang w:val="es-ES"/>
        </w:rPr>
        <w:t xml:space="preserve"> y la ley de apropiaciones. </w:t>
      </w:r>
      <w:r w:rsidR="007A4AE6">
        <w:rPr>
          <w:rFonts w:ascii="Arial" w:hAnsi="Arial" w:cs="Arial"/>
          <w:color w:val="000000" w:themeColor="text1"/>
          <w:sz w:val="22"/>
          <w:lang w:val="es-ES"/>
        </w:rPr>
        <w:t xml:space="preserve">Al respecto, el </w:t>
      </w:r>
      <w:r>
        <w:rPr>
          <w:rFonts w:ascii="Arial" w:hAnsi="Arial" w:cs="Arial"/>
          <w:color w:val="000000" w:themeColor="text1"/>
          <w:sz w:val="22"/>
          <w:lang w:val="es-ES"/>
        </w:rPr>
        <w:t>artículo 56</w:t>
      </w:r>
      <w:r w:rsidR="007A4AE6">
        <w:rPr>
          <w:rFonts w:ascii="Arial" w:hAnsi="Arial" w:cs="Arial"/>
          <w:color w:val="000000" w:themeColor="text1"/>
          <w:sz w:val="22"/>
          <w:lang w:val="es-ES"/>
        </w:rPr>
        <w:t xml:space="preserve"> de esa Ley</w:t>
      </w:r>
      <w:r>
        <w:rPr>
          <w:rFonts w:ascii="Arial" w:hAnsi="Arial" w:cs="Arial"/>
          <w:color w:val="000000" w:themeColor="text1"/>
          <w:sz w:val="22"/>
          <w:lang w:val="es-ES"/>
        </w:rPr>
        <w:t xml:space="preserve"> </w:t>
      </w:r>
      <w:r w:rsidR="00B8757F">
        <w:rPr>
          <w:rFonts w:ascii="Arial" w:hAnsi="Arial" w:cs="Arial"/>
          <w:color w:val="000000" w:themeColor="text1"/>
          <w:sz w:val="22"/>
          <w:lang w:val="es-ES"/>
        </w:rPr>
        <w:t xml:space="preserve">dispone </w:t>
      </w:r>
      <w:r>
        <w:rPr>
          <w:rFonts w:ascii="Arial" w:hAnsi="Arial" w:cs="Arial"/>
          <w:color w:val="000000" w:themeColor="text1"/>
          <w:sz w:val="22"/>
          <w:lang w:val="es-ES"/>
        </w:rPr>
        <w:t>que</w:t>
      </w:r>
      <w:r w:rsidR="00B8757F">
        <w:rPr>
          <w:rFonts w:ascii="Arial" w:hAnsi="Arial" w:cs="Arial"/>
          <w:color w:val="000000" w:themeColor="text1"/>
          <w:sz w:val="22"/>
          <w:lang w:val="es-ES"/>
        </w:rPr>
        <w:t>:</w:t>
      </w:r>
      <w:r>
        <w:rPr>
          <w:rFonts w:ascii="Arial" w:hAnsi="Arial" w:cs="Arial"/>
          <w:color w:val="000000" w:themeColor="text1"/>
          <w:sz w:val="22"/>
          <w:lang w:val="es-ES"/>
        </w:rPr>
        <w:t xml:space="preserve"> </w:t>
      </w:r>
    </w:p>
    <w:p w14:paraId="37995927" w14:textId="77777777" w:rsidR="00A71CEA" w:rsidRDefault="00A71CEA" w:rsidP="00A71CEA">
      <w:pPr>
        <w:spacing w:line="276" w:lineRule="auto"/>
        <w:jc w:val="both"/>
        <w:rPr>
          <w:rFonts w:ascii="Arial" w:hAnsi="Arial" w:cs="Arial"/>
          <w:color w:val="000000" w:themeColor="text1"/>
          <w:sz w:val="22"/>
          <w:lang w:val="es-ES"/>
        </w:rPr>
      </w:pPr>
    </w:p>
    <w:p w14:paraId="10FDFB52" w14:textId="3BAA8C53" w:rsidR="00A71CEA" w:rsidRPr="00B5768A" w:rsidRDefault="00547A9E" w:rsidP="00A71CEA">
      <w:pPr>
        <w:spacing w:after="160"/>
        <w:ind w:left="709" w:right="709"/>
        <w:jc w:val="both"/>
        <w:rPr>
          <w:rFonts w:ascii="Arial" w:hAnsi="Arial" w:cs="Arial"/>
          <w:color w:val="000000"/>
          <w:sz w:val="21"/>
          <w:szCs w:val="21"/>
        </w:rPr>
      </w:pPr>
      <w:r>
        <w:rPr>
          <w:rFonts w:ascii="Arial" w:eastAsia="Calibri" w:hAnsi="Arial" w:cs="Arial"/>
          <w:color w:val="000000" w:themeColor="text1"/>
          <w:sz w:val="21"/>
          <w:szCs w:val="21"/>
          <w:lang w:val="es-ES"/>
        </w:rPr>
        <w:t>L</w:t>
      </w:r>
      <w:r w:rsidR="00A71CEA" w:rsidRPr="00B5768A">
        <w:rPr>
          <w:rFonts w:ascii="Arial" w:hAnsi="Arial" w:cs="Arial"/>
          <w:color w:val="000000"/>
          <w:sz w:val="21"/>
          <w:szCs w:val="21"/>
        </w:rPr>
        <w:t>as entidades que hacen parte del Presupuesto General de la Nación que celebren contratos y convenios interadministrativos con entidades del orden territorial, y en donde se ejecuten recursos de partidas que correspondan a inversión regional, exigirán que para la ejecución de dichos proyectos, la entidad territorial publique previamente el proceso de selección que adelante en el Sistema Electrónico para la Contratación Pública (SECOP), y solo se podrán contratar con Pliegos Tipo establecidos por el Gobierno nacional. </w:t>
      </w:r>
    </w:p>
    <w:p w14:paraId="7A9F3D92" w14:textId="18D616EF" w:rsidR="00A71CEA" w:rsidRPr="00FD3E77" w:rsidRDefault="00A71CEA" w:rsidP="00531E6B">
      <w:pPr>
        <w:ind w:left="709" w:right="709"/>
        <w:jc w:val="both"/>
        <w:rPr>
          <w:rFonts w:ascii="Arial" w:eastAsia="Calibri" w:hAnsi="Arial" w:cs="Arial"/>
          <w:color w:val="000000" w:themeColor="text1"/>
          <w:sz w:val="20"/>
          <w:szCs w:val="20"/>
          <w:lang w:val="es-ES"/>
        </w:rPr>
      </w:pPr>
      <w:r w:rsidRPr="00B5768A">
        <w:rPr>
          <w:rFonts w:ascii="Arial" w:hAnsi="Arial" w:cs="Arial"/>
          <w:color w:val="000000"/>
          <w:sz w:val="21"/>
          <w:szCs w:val="21"/>
        </w:rPr>
        <w:t>Parágrafo. Las entidades que hacen parte del Presupuesto General de la Nación podrán celebrar contratos y convenios administrativos con entidades que reciben recursos por concepto de parafiscales, durante la vigencia fiscal del año 2021, sin necesidad de cofinanciación para la consolidación de la reactivación económica</w:t>
      </w:r>
      <w:r w:rsidR="00B5768A" w:rsidRPr="00B5768A">
        <w:rPr>
          <w:rFonts w:ascii="Arial" w:hAnsi="Arial" w:cs="Arial"/>
          <w:color w:val="000000"/>
          <w:sz w:val="21"/>
          <w:szCs w:val="21"/>
        </w:rPr>
        <w:t>.</w:t>
      </w:r>
    </w:p>
    <w:p w14:paraId="2C39AD56" w14:textId="77777777" w:rsidR="00521FC6" w:rsidRDefault="00521FC6" w:rsidP="00531E6B">
      <w:pPr>
        <w:spacing w:line="276" w:lineRule="auto"/>
        <w:ind w:firstLine="708"/>
        <w:jc w:val="both"/>
        <w:rPr>
          <w:rFonts w:ascii="Arial" w:hAnsi="Arial" w:cs="Arial"/>
          <w:color w:val="000000"/>
          <w:sz w:val="22"/>
          <w:szCs w:val="22"/>
        </w:rPr>
      </w:pPr>
    </w:p>
    <w:p w14:paraId="52DE80AB" w14:textId="14094B92" w:rsidR="00811D01" w:rsidRDefault="00B8757F" w:rsidP="00A71CEA">
      <w:pPr>
        <w:spacing w:after="160" w:line="276" w:lineRule="auto"/>
        <w:ind w:firstLine="708"/>
        <w:jc w:val="both"/>
        <w:rPr>
          <w:rFonts w:ascii="Arial" w:hAnsi="Arial" w:cs="Arial"/>
          <w:color w:val="000000"/>
          <w:sz w:val="22"/>
          <w:szCs w:val="22"/>
        </w:rPr>
      </w:pPr>
      <w:r>
        <w:rPr>
          <w:rFonts w:ascii="Arial" w:hAnsi="Arial" w:cs="Arial"/>
          <w:color w:val="000000"/>
          <w:sz w:val="22"/>
          <w:szCs w:val="22"/>
        </w:rPr>
        <w:t>Las consultas planteadas versan sobre el parágrafo transcrito</w:t>
      </w:r>
      <w:r w:rsidR="00521FC6">
        <w:rPr>
          <w:rFonts w:ascii="Arial" w:hAnsi="Arial" w:cs="Arial"/>
          <w:color w:val="000000"/>
          <w:sz w:val="22"/>
          <w:szCs w:val="22"/>
        </w:rPr>
        <w:t>. P</w:t>
      </w:r>
      <w:r w:rsidR="00811D01">
        <w:rPr>
          <w:rFonts w:ascii="Arial" w:hAnsi="Arial" w:cs="Arial"/>
          <w:color w:val="000000"/>
          <w:sz w:val="22"/>
          <w:szCs w:val="22"/>
        </w:rPr>
        <w:t>or tratase de una norma de rango legal, u</w:t>
      </w:r>
      <w:r w:rsidR="00A71CEA">
        <w:rPr>
          <w:rFonts w:ascii="Arial" w:hAnsi="Arial" w:cs="Arial"/>
          <w:color w:val="000000"/>
          <w:sz w:val="22"/>
          <w:szCs w:val="22"/>
        </w:rPr>
        <w:t>na de las maneras de</w:t>
      </w:r>
      <w:r w:rsidR="00811D01">
        <w:rPr>
          <w:rFonts w:ascii="Arial" w:hAnsi="Arial" w:cs="Arial"/>
          <w:color w:val="000000"/>
          <w:sz w:val="22"/>
          <w:szCs w:val="22"/>
        </w:rPr>
        <w:t xml:space="preserve"> abordar la tarea interpretativa </w:t>
      </w:r>
      <w:r w:rsidR="00EE54C6">
        <w:rPr>
          <w:rFonts w:ascii="Arial" w:hAnsi="Arial" w:cs="Arial"/>
          <w:color w:val="000000"/>
          <w:sz w:val="22"/>
          <w:szCs w:val="22"/>
        </w:rPr>
        <w:t xml:space="preserve">deriva de la interpretación a través de </w:t>
      </w:r>
      <w:r w:rsidR="00547A9E">
        <w:rPr>
          <w:rFonts w:ascii="Arial" w:eastAsia="Calibri" w:hAnsi="Arial" w:cs="Arial"/>
          <w:color w:val="000000" w:themeColor="text1"/>
          <w:sz w:val="21"/>
          <w:szCs w:val="21"/>
          <w:lang w:val="es-ES"/>
        </w:rPr>
        <w:t>—s</w:t>
      </w:r>
      <w:r w:rsidR="00EE54C6">
        <w:rPr>
          <w:rFonts w:ascii="Arial" w:hAnsi="Arial" w:cs="Arial"/>
          <w:color w:val="000000"/>
          <w:sz w:val="22"/>
          <w:szCs w:val="22"/>
        </w:rPr>
        <w:t>u intención o espíritu,</w:t>
      </w:r>
      <w:r w:rsidR="00811D01">
        <w:rPr>
          <w:rFonts w:ascii="Arial" w:hAnsi="Arial" w:cs="Arial"/>
          <w:color w:val="000000"/>
          <w:sz w:val="22"/>
          <w:szCs w:val="22"/>
        </w:rPr>
        <w:t xml:space="preserve"> </w:t>
      </w:r>
      <w:r w:rsidR="00EE54C6" w:rsidRPr="00EE54C6">
        <w:rPr>
          <w:rFonts w:ascii="Arial" w:hAnsi="Arial" w:cs="Arial"/>
          <w:color w:val="000000"/>
          <w:sz w:val="22"/>
          <w:szCs w:val="22"/>
        </w:rPr>
        <w:t>claramente manifestados en ella misma o en la historia fidedigna de su establecimiento</w:t>
      </w:r>
      <w:r w:rsidR="00547A9E">
        <w:rPr>
          <w:rFonts w:ascii="Arial" w:eastAsia="Calibri" w:hAnsi="Arial" w:cs="Arial"/>
          <w:color w:val="000000" w:themeColor="text1"/>
          <w:sz w:val="21"/>
          <w:szCs w:val="21"/>
          <w:lang w:val="es-ES"/>
        </w:rPr>
        <w:t>—</w:t>
      </w:r>
      <w:r w:rsidR="00EE54C6">
        <w:rPr>
          <w:rFonts w:ascii="Arial" w:hAnsi="Arial" w:cs="Arial"/>
          <w:color w:val="000000"/>
          <w:sz w:val="22"/>
          <w:szCs w:val="22"/>
        </w:rPr>
        <w:t>, según el artículo 27 del Código Civil colombiano.</w:t>
      </w:r>
    </w:p>
    <w:p w14:paraId="4A0A0080" w14:textId="44C88AD7" w:rsidR="00A71CEA" w:rsidRDefault="00521FC6" w:rsidP="00521FC6">
      <w:pPr>
        <w:spacing w:line="276" w:lineRule="auto"/>
        <w:ind w:firstLine="708"/>
        <w:jc w:val="both"/>
        <w:rPr>
          <w:rFonts w:ascii="Arial" w:hAnsi="Arial" w:cs="Arial"/>
          <w:color w:val="000000"/>
          <w:sz w:val="22"/>
          <w:szCs w:val="22"/>
        </w:rPr>
      </w:pPr>
      <w:r>
        <w:rPr>
          <w:rFonts w:ascii="Arial" w:hAnsi="Arial" w:cs="Arial"/>
          <w:color w:val="000000"/>
          <w:sz w:val="22"/>
          <w:szCs w:val="22"/>
        </w:rPr>
        <w:t>No obstante</w:t>
      </w:r>
      <w:r w:rsidR="0026761A">
        <w:rPr>
          <w:rFonts w:ascii="Arial" w:hAnsi="Arial" w:cs="Arial"/>
          <w:color w:val="000000"/>
          <w:sz w:val="22"/>
          <w:szCs w:val="22"/>
        </w:rPr>
        <w:t>, al analizar la exposición de motivos de la Ley 2063 de 2020 se evidencia que, en el proyecto de ley, publicado en la Gaceta No. 581 de</w:t>
      </w:r>
      <w:r w:rsidR="00BB32FE">
        <w:rPr>
          <w:rFonts w:ascii="Arial" w:hAnsi="Arial" w:cs="Arial"/>
          <w:color w:val="000000"/>
          <w:sz w:val="22"/>
          <w:szCs w:val="22"/>
        </w:rPr>
        <w:t>l 31 de julio de</w:t>
      </w:r>
      <w:r w:rsidR="0026761A">
        <w:rPr>
          <w:rFonts w:ascii="Arial" w:hAnsi="Arial" w:cs="Arial"/>
          <w:color w:val="000000"/>
          <w:sz w:val="22"/>
          <w:szCs w:val="22"/>
        </w:rPr>
        <w:t xml:space="preserve"> 2020, no hay referencia alguna a la motivación que justifica o inspira la norma contenida en </w:t>
      </w:r>
      <w:r w:rsidR="00A71CEA">
        <w:rPr>
          <w:rFonts w:ascii="Arial" w:hAnsi="Arial" w:cs="Arial"/>
          <w:color w:val="000000"/>
          <w:sz w:val="22"/>
          <w:szCs w:val="22"/>
        </w:rPr>
        <w:t>el parágrafo en mención</w:t>
      </w:r>
      <w:r w:rsidR="0026761A">
        <w:rPr>
          <w:rFonts w:ascii="Arial" w:hAnsi="Arial" w:cs="Arial"/>
          <w:color w:val="000000"/>
          <w:sz w:val="22"/>
          <w:szCs w:val="22"/>
        </w:rPr>
        <w:t>.</w:t>
      </w:r>
      <w:r w:rsidR="00D80564">
        <w:rPr>
          <w:rFonts w:ascii="Arial" w:hAnsi="Arial" w:cs="Arial"/>
          <w:color w:val="000000"/>
          <w:sz w:val="22"/>
          <w:szCs w:val="22"/>
        </w:rPr>
        <w:t xml:space="preserve"> </w:t>
      </w:r>
      <w:r w:rsidR="007A4AE6">
        <w:rPr>
          <w:rFonts w:ascii="Arial" w:hAnsi="Arial" w:cs="Arial"/>
          <w:color w:val="000000"/>
          <w:sz w:val="22"/>
          <w:szCs w:val="22"/>
        </w:rPr>
        <w:t>Por ello</w:t>
      </w:r>
      <w:r w:rsidR="00D80564">
        <w:rPr>
          <w:rFonts w:ascii="Arial" w:hAnsi="Arial" w:cs="Arial"/>
          <w:color w:val="000000"/>
          <w:sz w:val="22"/>
          <w:szCs w:val="22"/>
        </w:rPr>
        <w:t xml:space="preserve">, en los debates sucesivos, </w:t>
      </w:r>
      <w:r w:rsidR="00D039FB">
        <w:rPr>
          <w:rFonts w:ascii="Arial" w:hAnsi="Arial" w:cs="Arial"/>
          <w:color w:val="000000"/>
          <w:sz w:val="22"/>
          <w:szCs w:val="22"/>
        </w:rPr>
        <w:t xml:space="preserve">cuyos informes están </w:t>
      </w:r>
      <w:r w:rsidR="00D80564">
        <w:rPr>
          <w:rFonts w:ascii="Arial" w:hAnsi="Arial" w:cs="Arial"/>
          <w:color w:val="000000"/>
          <w:sz w:val="22"/>
          <w:szCs w:val="22"/>
        </w:rPr>
        <w:t>registrados en las Gacetas 923 de</w:t>
      </w:r>
      <w:r w:rsidR="00BB32FE">
        <w:rPr>
          <w:rFonts w:ascii="Arial" w:hAnsi="Arial" w:cs="Arial"/>
          <w:color w:val="000000"/>
          <w:sz w:val="22"/>
          <w:szCs w:val="22"/>
        </w:rPr>
        <w:t>l 15 de septiembre de</w:t>
      </w:r>
      <w:r w:rsidR="00D80564">
        <w:rPr>
          <w:rFonts w:ascii="Arial" w:hAnsi="Arial" w:cs="Arial"/>
          <w:color w:val="000000"/>
          <w:sz w:val="22"/>
          <w:szCs w:val="22"/>
        </w:rPr>
        <w:t xml:space="preserve"> 2020, 924 </w:t>
      </w:r>
      <w:r w:rsidR="00D039FB">
        <w:rPr>
          <w:rFonts w:ascii="Arial" w:hAnsi="Arial" w:cs="Arial"/>
          <w:color w:val="000000"/>
          <w:sz w:val="22"/>
          <w:szCs w:val="22"/>
        </w:rPr>
        <w:t xml:space="preserve">del 16 de septiembre </w:t>
      </w:r>
      <w:r w:rsidR="00D80564">
        <w:rPr>
          <w:rFonts w:ascii="Arial" w:hAnsi="Arial" w:cs="Arial"/>
          <w:color w:val="000000"/>
          <w:sz w:val="22"/>
          <w:szCs w:val="22"/>
        </w:rPr>
        <w:t>de 2020, 966 de</w:t>
      </w:r>
      <w:r w:rsidR="00D039FB">
        <w:rPr>
          <w:rFonts w:ascii="Arial" w:hAnsi="Arial" w:cs="Arial"/>
          <w:color w:val="000000"/>
          <w:sz w:val="22"/>
          <w:szCs w:val="22"/>
        </w:rPr>
        <w:t>l 22 de septiembre de</w:t>
      </w:r>
      <w:r w:rsidR="00D80564">
        <w:rPr>
          <w:rFonts w:ascii="Arial" w:hAnsi="Arial" w:cs="Arial"/>
          <w:color w:val="000000"/>
          <w:sz w:val="22"/>
          <w:szCs w:val="22"/>
        </w:rPr>
        <w:t xml:space="preserve"> 2020, 967 de</w:t>
      </w:r>
      <w:r w:rsidR="00D039FB">
        <w:rPr>
          <w:rFonts w:ascii="Arial" w:hAnsi="Arial" w:cs="Arial"/>
          <w:color w:val="000000"/>
          <w:sz w:val="22"/>
          <w:szCs w:val="22"/>
        </w:rPr>
        <w:t>l 22 de septiembre de</w:t>
      </w:r>
      <w:r w:rsidR="00D80564">
        <w:rPr>
          <w:rFonts w:ascii="Arial" w:hAnsi="Arial" w:cs="Arial"/>
          <w:color w:val="000000"/>
          <w:sz w:val="22"/>
          <w:szCs w:val="22"/>
        </w:rPr>
        <w:t xml:space="preserve"> 2020, 1110 de</w:t>
      </w:r>
      <w:r w:rsidR="00D039FB">
        <w:rPr>
          <w:rFonts w:ascii="Arial" w:hAnsi="Arial" w:cs="Arial"/>
          <w:color w:val="000000"/>
          <w:sz w:val="22"/>
          <w:szCs w:val="22"/>
        </w:rPr>
        <w:t>l 14 de octubre de</w:t>
      </w:r>
      <w:r w:rsidR="00D80564">
        <w:rPr>
          <w:rFonts w:ascii="Arial" w:hAnsi="Arial" w:cs="Arial"/>
          <w:color w:val="000000"/>
          <w:sz w:val="22"/>
          <w:szCs w:val="22"/>
        </w:rPr>
        <w:t xml:space="preserve"> 2020, 1112 de</w:t>
      </w:r>
      <w:r w:rsidR="00D039FB">
        <w:rPr>
          <w:rFonts w:ascii="Arial" w:hAnsi="Arial" w:cs="Arial"/>
          <w:color w:val="000000"/>
          <w:sz w:val="22"/>
          <w:szCs w:val="22"/>
        </w:rPr>
        <w:t>l 14 de octubre de</w:t>
      </w:r>
      <w:r w:rsidR="00D80564">
        <w:rPr>
          <w:rFonts w:ascii="Arial" w:hAnsi="Arial" w:cs="Arial"/>
          <w:color w:val="000000"/>
          <w:sz w:val="22"/>
          <w:szCs w:val="22"/>
        </w:rPr>
        <w:t xml:space="preserve"> 2020 y 1130 de</w:t>
      </w:r>
      <w:r w:rsidR="00D039FB">
        <w:rPr>
          <w:rFonts w:ascii="Arial" w:hAnsi="Arial" w:cs="Arial"/>
          <w:color w:val="000000"/>
          <w:sz w:val="22"/>
          <w:szCs w:val="22"/>
        </w:rPr>
        <w:t>l 17 de octubre de</w:t>
      </w:r>
      <w:r w:rsidR="00D80564">
        <w:rPr>
          <w:rFonts w:ascii="Arial" w:hAnsi="Arial" w:cs="Arial"/>
          <w:color w:val="000000"/>
          <w:sz w:val="22"/>
          <w:szCs w:val="22"/>
        </w:rPr>
        <w:t xml:space="preserve"> 2020, es posible constatar que </w:t>
      </w:r>
      <w:r w:rsidR="00BB32FE">
        <w:rPr>
          <w:rFonts w:ascii="Arial" w:hAnsi="Arial" w:cs="Arial"/>
          <w:color w:val="000000"/>
          <w:sz w:val="22"/>
          <w:szCs w:val="22"/>
        </w:rPr>
        <w:t xml:space="preserve">sólo en el último debate, registrado en la última gaceta referida, </w:t>
      </w:r>
      <w:r w:rsidR="003C5DD6">
        <w:rPr>
          <w:rFonts w:ascii="Arial" w:hAnsi="Arial" w:cs="Arial"/>
          <w:color w:val="000000"/>
          <w:sz w:val="22"/>
          <w:szCs w:val="22"/>
        </w:rPr>
        <w:t xml:space="preserve">se realiza la proposición que incorpora de manera integra el parágrafo del artículo 56 de la Ley 2063 de 2020, lo cual se constata en la página 129 de la gaceta. Sin embargo, </w:t>
      </w:r>
      <w:r w:rsidR="00A71CEA">
        <w:rPr>
          <w:rFonts w:ascii="Arial" w:hAnsi="Arial" w:cs="Arial"/>
          <w:color w:val="000000"/>
          <w:sz w:val="22"/>
          <w:szCs w:val="22"/>
        </w:rPr>
        <w:t>el legislador</w:t>
      </w:r>
      <w:r w:rsidR="003C5DD6">
        <w:rPr>
          <w:rFonts w:ascii="Arial" w:hAnsi="Arial" w:cs="Arial"/>
          <w:color w:val="000000"/>
          <w:sz w:val="22"/>
          <w:szCs w:val="22"/>
        </w:rPr>
        <w:t xml:space="preserve"> no</w:t>
      </w:r>
      <w:r w:rsidR="00BA75D3">
        <w:rPr>
          <w:rFonts w:ascii="Arial" w:hAnsi="Arial" w:cs="Arial"/>
          <w:color w:val="000000"/>
          <w:sz w:val="22"/>
          <w:szCs w:val="22"/>
        </w:rPr>
        <w:t xml:space="preserve"> expuso motivación alguna que permitiera, en los términos referidos del artículo 27 del Código Civil, determinar</w:t>
      </w:r>
      <w:r w:rsidR="003C5DD6">
        <w:rPr>
          <w:rFonts w:ascii="Arial" w:hAnsi="Arial" w:cs="Arial"/>
          <w:color w:val="000000"/>
          <w:sz w:val="22"/>
          <w:szCs w:val="22"/>
        </w:rPr>
        <w:t xml:space="preserve"> </w:t>
      </w:r>
      <w:r w:rsidR="00BA75D3" w:rsidRPr="00BA75D3">
        <w:rPr>
          <w:rFonts w:ascii="Arial" w:hAnsi="Arial" w:cs="Arial"/>
          <w:color w:val="000000"/>
          <w:sz w:val="22"/>
          <w:szCs w:val="22"/>
        </w:rPr>
        <w:t>su intención o espíritu</w:t>
      </w:r>
      <w:r w:rsidR="00BA75D3">
        <w:rPr>
          <w:rFonts w:ascii="Arial" w:hAnsi="Arial" w:cs="Arial"/>
          <w:color w:val="000000"/>
          <w:sz w:val="22"/>
          <w:szCs w:val="22"/>
        </w:rPr>
        <w:t>.</w:t>
      </w:r>
      <w:r w:rsidR="000755E1">
        <w:rPr>
          <w:rFonts w:ascii="Arial" w:hAnsi="Arial" w:cs="Arial"/>
          <w:color w:val="000000"/>
          <w:sz w:val="22"/>
          <w:szCs w:val="22"/>
        </w:rPr>
        <w:t xml:space="preserve"> En esta medida, corresponde analizar el alcance del parágrafo del artículo 56 de la Ley 2063 de 2020 conforme al tenor literal del texto.</w:t>
      </w:r>
    </w:p>
    <w:p w14:paraId="3A01D97E" w14:textId="77777777" w:rsidR="00521FC6" w:rsidRDefault="00521FC6" w:rsidP="00531E6B">
      <w:pPr>
        <w:spacing w:line="276" w:lineRule="auto"/>
        <w:ind w:firstLine="708"/>
        <w:jc w:val="both"/>
        <w:rPr>
          <w:rFonts w:ascii="Arial" w:hAnsi="Arial" w:cs="Arial"/>
          <w:color w:val="000000"/>
          <w:sz w:val="22"/>
          <w:szCs w:val="22"/>
        </w:rPr>
      </w:pPr>
    </w:p>
    <w:p w14:paraId="14551B6F" w14:textId="43CA74C3" w:rsidR="009E36A9" w:rsidRDefault="00A71CEA" w:rsidP="009E36A9">
      <w:pPr>
        <w:spacing w:line="276" w:lineRule="auto"/>
        <w:jc w:val="both"/>
        <w:rPr>
          <w:rFonts w:ascii="Arial" w:hAnsi="Arial" w:cs="Arial"/>
          <w:b/>
          <w:bCs/>
          <w:color w:val="000000"/>
          <w:sz w:val="22"/>
          <w:szCs w:val="22"/>
        </w:rPr>
      </w:pPr>
      <w:r w:rsidRPr="002A1B2B">
        <w:rPr>
          <w:rFonts w:ascii="Arial" w:hAnsi="Arial" w:cs="Arial"/>
          <w:b/>
          <w:bCs/>
          <w:color w:val="000000"/>
          <w:sz w:val="22"/>
          <w:szCs w:val="22"/>
        </w:rPr>
        <w:t xml:space="preserve">2.3. </w:t>
      </w:r>
      <w:r>
        <w:rPr>
          <w:rFonts w:ascii="Arial" w:hAnsi="Arial" w:cs="Arial"/>
          <w:b/>
          <w:bCs/>
          <w:color w:val="000000"/>
          <w:sz w:val="22"/>
          <w:szCs w:val="22"/>
        </w:rPr>
        <w:t>E</w:t>
      </w:r>
      <w:r w:rsidRPr="002A1B2B">
        <w:rPr>
          <w:rFonts w:ascii="Arial" w:hAnsi="Arial" w:cs="Arial"/>
          <w:b/>
          <w:bCs/>
          <w:color w:val="000000"/>
          <w:sz w:val="22"/>
          <w:szCs w:val="22"/>
        </w:rPr>
        <w:t xml:space="preserve">ntidades que hacen parte del presupuesto general de la nación </w:t>
      </w:r>
    </w:p>
    <w:p w14:paraId="48EE27D8" w14:textId="737B5C7D" w:rsidR="009E36A9" w:rsidRDefault="009E36A9" w:rsidP="009E36A9">
      <w:pPr>
        <w:spacing w:line="276" w:lineRule="auto"/>
        <w:jc w:val="both"/>
        <w:rPr>
          <w:rFonts w:ascii="Arial" w:hAnsi="Arial" w:cs="Arial"/>
          <w:b/>
          <w:bCs/>
          <w:color w:val="000000"/>
          <w:sz w:val="22"/>
          <w:szCs w:val="22"/>
        </w:rPr>
      </w:pPr>
    </w:p>
    <w:p w14:paraId="27840C55" w14:textId="11F5AC6F" w:rsidR="00C1196F" w:rsidRDefault="00563519" w:rsidP="009E36A9">
      <w:pPr>
        <w:spacing w:line="276" w:lineRule="auto"/>
        <w:jc w:val="both"/>
        <w:rPr>
          <w:rFonts w:ascii="Arial" w:hAnsi="Arial" w:cs="Arial"/>
          <w:color w:val="000000"/>
          <w:sz w:val="22"/>
          <w:szCs w:val="22"/>
        </w:rPr>
      </w:pPr>
      <w:r>
        <w:rPr>
          <w:rFonts w:ascii="Arial" w:hAnsi="Arial" w:cs="Arial"/>
          <w:color w:val="000000"/>
          <w:sz w:val="22"/>
          <w:szCs w:val="22"/>
        </w:rPr>
        <w:t xml:space="preserve">Como se ha indicado, </w:t>
      </w:r>
      <w:bookmarkStart w:id="2" w:name="_Hlk65717978"/>
      <w:r>
        <w:rPr>
          <w:rFonts w:ascii="Arial" w:hAnsi="Arial" w:cs="Arial"/>
          <w:color w:val="000000"/>
          <w:sz w:val="22"/>
          <w:szCs w:val="22"/>
        </w:rPr>
        <w:t>e</w:t>
      </w:r>
      <w:r w:rsidR="009E36A9">
        <w:rPr>
          <w:rFonts w:ascii="Arial" w:hAnsi="Arial" w:cs="Arial"/>
          <w:color w:val="000000"/>
          <w:sz w:val="22"/>
          <w:szCs w:val="22"/>
        </w:rPr>
        <w:t xml:space="preserve">l presupuesto general de la nación </w:t>
      </w:r>
      <w:r>
        <w:rPr>
          <w:rFonts w:ascii="Arial" w:hAnsi="Arial" w:cs="Arial"/>
          <w:color w:val="000000"/>
          <w:sz w:val="22"/>
          <w:szCs w:val="22"/>
        </w:rPr>
        <w:t>constituye</w:t>
      </w:r>
      <w:r w:rsidR="009E36A9">
        <w:rPr>
          <w:rFonts w:ascii="Arial" w:hAnsi="Arial" w:cs="Arial"/>
          <w:color w:val="000000"/>
          <w:sz w:val="22"/>
          <w:szCs w:val="22"/>
        </w:rPr>
        <w:t xml:space="preserve"> </w:t>
      </w:r>
      <w:r>
        <w:rPr>
          <w:rFonts w:ascii="Arial" w:hAnsi="Arial" w:cs="Arial"/>
          <w:color w:val="000000"/>
          <w:sz w:val="22"/>
          <w:szCs w:val="22"/>
        </w:rPr>
        <w:t xml:space="preserve">el instrumento jurídico </w:t>
      </w:r>
      <w:r w:rsidR="009E36A9">
        <w:rPr>
          <w:rFonts w:ascii="Arial" w:hAnsi="Arial" w:cs="Arial"/>
          <w:color w:val="000000"/>
          <w:sz w:val="22"/>
          <w:szCs w:val="22"/>
        </w:rPr>
        <w:t xml:space="preserve">mediante la cual </w:t>
      </w:r>
      <w:r w:rsidR="00C1196F">
        <w:rPr>
          <w:rFonts w:ascii="Arial" w:hAnsi="Arial" w:cs="Arial"/>
          <w:color w:val="000000"/>
          <w:sz w:val="22"/>
          <w:szCs w:val="22"/>
        </w:rPr>
        <w:t>se materializan las pol</w:t>
      </w:r>
      <w:r w:rsidR="00AC44CB">
        <w:rPr>
          <w:rFonts w:ascii="Arial" w:hAnsi="Arial" w:cs="Arial"/>
          <w:color w:val="000000"/>
          <w:sz w:val="22"/>
          <w:szCs w:val="22"/>
        </w:rPr>
        <w:t>í</w:t>
      </w:r>
      <w:r w:rsidR="00C1196F">
        <w:rPr>
          <w:rFonts w:ascii="Arial" w:hAnsi="Arial" w:cs="Arial"/>
          <w:color w:val="000000"/>
          <w:sz w:val="22"/>
          <w:szCs w:val="22"/>
        </w:rPr>
        <w:t xml:space="preserve">ticas públicas del país, igualmente </w:t>
      </w:r>
      <w:r>
        <w:rPr>
          <w:rFonts w:ascii="Arial" w:hAnsi="Arial" w:cs="Arial"/>
          <w:color w:val="000000"/>
          <w:sz w:val="22"/>
          <w:szCs w:val="22"/>
        </w:rPr>
        <w:t xml:space="preserve">se concibe como </w:t>
      </w:r>
      <w:r w:rsidR="00C1196F">
        <w:rPr>
          <w:rFonts w:ascii="Arial" w:hAnsi="Arial" w:cs="Arial"/>
          <w:color w:val="000000"/>
          <w:sz w:val="22"/>
          <w:szCs w:val="22"/>
        </w:rPr>
        <w:lastRenderedPageBreak/>
        <w:t xml:space="preserve">guía en </w:t>
      </w:r>
      <w:r w:rsidR="009A3A2B">
        <w:rPr>
          <w:rFonts w:ascii="Arial" w:hAnsi="Arial" w:cs="Arial"/>
          <w:color w:val="000000"/>
          <w:sz w:val="22"/>
          <w:szCs w:val="22"/>
        </w:rPr>
        <w:t>materia del</w:t>
      </w:r>
      <w:r w:rsidR="00C1196F">
        <w:rPr>
          <w:rFonts w:ascii="Arial" w:hAnsi="Arial" w:cs="Arial"/>
          <w:color w:val="000000"/>
          <w:sz w:val="22"/>
          <w:szCs w:val="22"/>
        </w:rPr>
        <w:t xml:space="preserve"> gasto</w:t>
      </w:r>
      <w:r w:rsidR="009A3A2B">
        <w:rPr>
          <w:rFonts w:ascii="Arial" w:hAnsi="Arial" w:cs="Arial"/>
          <w:color w:val="000000"/>
          <w:sz w:val="22"/>
          <w:szCs w:val="22"/>
        </w:rPr>
        <w:t xml:space="preserve"> público</w:t>
      </w:r>
      <w:r w:rsidR="00C1196F">
        <w:rPr>
          <w:rFonts w:ascii="Arial" w:hAnsi="Arial" w:cs="Arial"/>
          <w:color w:val="000000"/>
          <w:sz w:val="22"/>
          <w:szCs w:val="22"/>
        </w:rPr>
        <w:t xml:space="preserve"> para determinado periodo</w:t>
      </w:r>
      <w:r w:rsidR="009A3A2B">
        <w:rPr>
          <w:rFonts w:ascii="Arial" w:hAnsi="Arial" w:cs="Arial"/>
          <w:color w:val="000000"/>
          <w:sz w:val="22"/>
          <w:szCs w:val="22"/>
        </w:rPr>
        <w:t xml:space="preserve"> o vigencia fiscal</w:t>
      </w:r>
      <w:r w:rsidR="00C1196F">
        <w:rPr>
          <w:rFonts w:ascii="Arial" w:hAnsi="Arial" w:cs="Arial"/>
          <w:color w:val="000000"/>
          <w:sz w:val="22"/>
          <w:szCs w:val="22"/>
        </w:rPr>
        <w:t>. La elaboración de</w:t>
      </w:r>
      <w:r w:rsidR="007A4AE6">
        <w:rPr>
          <w:rFonts w:ascii="Arial" w:hAnsi="Arial" w:cs="Arial"/>
          <w:color w:val="000000"/>
          <w:sz w:val="22"/>
          <w:szCs w:val="22"/>
        </w:rPr>
        <w:t>l presupuesto</w:t>
      </w:r>
      <w:r w:rsidR="00C1196F">
        <w:rPr>
          <w:rFonts w:ascii="Arial" w:hAnsi="Arial" w:cs="Arial"/>
          <w:color w:val="000000"/>
          <w:sz w:val="22"/>
          <w:szCs w:val="22"/>
        </w:rPr>
        <w:t xml:space="preserve"> </w:t>
      </w:r>
      <w:r w:rsidR="009A3A2B">
        <w:rPr>
          <w:rFonts w:ascii="Arial" w:hAnsi="Arial" w:cs="Arial"/>
          <w:color w:val="000000"/>
          <w:sz w:val="22"/>
          <w:szCs w:val="22"/>
        </w:rPr>
        <w:t xml:space="preserve">se materializa </w:t>
      </w:r>
      <w:r w:rsidR="007A4AE6">
        <w:rPr>
          <w:rFonts w:ascii="Arial" w:hAnsi="Arial" w:cs="Arial"/>
          <w:color w:val="000000"/>
          <w:sz w:val="22"/>
          <w:szCs w:val="22"/>
        </w:rPr>
        <w:t>mediante</w:t>
      </w:r>
      <w:r w:rsidR="009A3A2B">
        <w:rPr>
          <w:rFonts w:ascii="Arial" w:hAnsi="Arial" w:cs="Arial"/>
          <w:color w:val="000000"/>
          <w:sz w:val="22"/>
          <w:szCs w:val="22"/>
        </w:rPr>
        <w:t xml:space="preserve"> </w:t>
      </w:r>
      <w:r w:rsidR="00C1196F">
        <w:rPr>
          <w:rFonts w:ascii="Arial" w:hAnsi="Arial" w:cs="Arial"/>
          <w:color w:val="000000"/>
          <w:sz w:val="22"/>
          <w:szCs w:val="22"/>
        </w:rPr>
        <w:t xml:space="preserve">la coordinación </w:t>
      </w:r>
      <w:r w:rsidR="009A3A2B">
        <w:rPr>
          <w:rFonts w:ascii="Arial" w:hAnsi="Arial" w:cs="Arial"/>
          <w:color w:val="000000"/>
          <w:sz w:val="22"/>
          <w:szCs w:val="22"/>
        </w:rPr>
        <w:t>entre</w:t>
      </w:r>
      <w:r w:rsidR="00C1196F">
        <w:rPr>
          <w:rFonts w:ascii="Arial" w:hAnsi="Arial" w:cs="Arial"/>
          <w:color w:val="000000"/>
          <w:sz w:val="22"/>
          <w:szCs w:val="22"/>
        </w:rPr>
        <w:t xml:space="preserve"> las entidades públicas del orden nacional</w:t>
      </w:r>
      <w:r w:rsidR="009A3A2B">
        <w:rPr>
          <w:rFonts w:ascii="Arial" w:hAnsi="Arial" w:cs="Arial"/>
          <w:color w:val="000000"/>
          <w:sz w:val="22"/>
          <w:szCs w:val="22"/>
        </w:rPr>
        <w:t xml:space="preserve">, en procura de </w:t>
      </w:r>
      <w:r w:rsidR="00C1196F">
        <w:rPr>
          <w:rFonts w:ascii="Arial" w:hAnsi="Arial" w:cs="Arial"/>
          <w:color w:val="000000"/>
          <w:sz w:val="22"/>
          <w:szCs w:val="22"/>
        </w:rPr>
        <w:t xml:space="preserve">establecer </w:t>
      </w:r>
      <w:r w:rsidR="009A3A2B">
        <w:rPr>
          <w:rFonts w:ascii="Arial" w:hAnsi="Arial" w:cs="Arial"/>
          <w:color w:val="000000"/>
          <w:sz w:val="22"/>
          <w:szCs w:val="22"/>
        </w:rPr>
        <w:t xml:space="preserve">de manera íntegra las </w:t>
      </w:r>
      <w:r w:rsidR="00C1196F">
        <w:rPr>
          <w:rFonts w:ascii="Arial" w:hAnsi="Arial" w:cs="Arial"/>
          <w:color w:val="000000"/>
          <w:sz w:val="22"/>
          <w:szCs w:val="22"/>
        </w:rPr>
        <w:t>necesidades de cada una</w:t>
      </w:r>
      <w:r w:rsidR="009A3A2B">
        <w:rPr>
          <w:rFonts w:ascii="Arial" w:hAnsi="Arial" w:cs="Arial"/>
          <w:color w:val="000000"/>
          <w:sz w:val="22"/>
          <w:szCs w:val="22"/>
        </w:rPr>
        <w:t xml:space="preserve"> de ellas. </w:t>
      </w:r>
      <w:r w:rsidR="00FE11D0">
        <w:rPr>
          <w:rFonts w:ascii="Arial" w:hAnsi="Arial" w:cs="Arial"/>
          <w:color w:val="000000"/>
          <w:sz w:val="22"/>
          <w:szCs w:val="22"/>
        </w:rPr>
        <w:t>Por tanto, las entidades que hacen parte del presupuesto general de la nación plasman, en términos presupuestales, sus necesidades en el proyecto de ley respectivo</w:t>
      </w:r>
      <w:r w:rsidR="00392411">
        <w:rPr>
          <w:rFonts w:ascii="Arial" w:hAnsi="Arial" w:cs="Arial"/>
          <w:color w:val="000000"/>
          <w:sz w:val="22"/>
          <w:szCs w:val="22"/>
        </w:rPr>
        <w:t xml:space="preserve"> que es</w:t>
      </w:r>
      <w:r w:rsidR="00C1196F">
        <w:rPr>
          <w:rFonts w:ascii="Arial" w:hAnsi="Arial" w:cs="Arial"/>
          <w:color w:val="000000"/>
          <w:sz w:val="22"/>
          <w:szCs w:val="22"/>
        </w:rPr>
        <w:t xml:space="preserve"> presenta</w:t>
      </w:r>
      <w:r w:rsidR="00392411">
        <w:rPr>
          <w:rFonts w:ascii="Arial" w:hAnsi="Arial" w:cs="Arial"/>
          <w:color w:val="000000"/>
          <w:sz w:val="22"/>
          <w:szCs w:val="22"/>
        </w:rPr>
        <w:t>do</w:t>
      </w:r>
      <w:r w:rsidR="00C1196F">
        <w:rPr>
          <w:rFonts w:ascii="Arial" w:hAnsi="Arial" w:cs="Arial"/>
          <w:color w:val="000000"/>
          <w:sz w:val="22"/>
          <w:szCs w:val="22"/>
        </w:rPr>
        <w:t xml:space="preserve"> anualmente al Congreso</w:t>
      </w:r>
      <w:r w:rsidR="00392411">
        <w:rPr>
          <w:rFonts w:ascii="Arial" w:hAnsi="Arial" w:cs="Arial"/>
          <w:color w:val="000000"/>
          <w:sz w:val="22"/>
          <w:szCs w:val="22"/>
        </w:rPr>
        <w:t>,</w:t>
      </w:r>
      <w:r w:rsidR="00C1196F">
        <w:rPr>
          <w:rFonts w:ascii="Arial" w:hAnsi="Arial" w:cs="Arial"/>
          <w:color w:val="000000"/>
          <w:sz w:val="22"/>
          <w:szCs w:val="22"/>
        </w:rPr>
        <w:t xml:space="preserve"> en donde se discute y aprueba.</w:t>
      </w:r>
      <w:bookmarkEnd w:id="2"/>
    </w:p>
    <w:p w14:paraId="66C0D0D4" w14:textId="31A2A231" w:rsidR="00524B49" w:rsidRPr="00F40BB1" w:rsidRDefault="00C1196F" w:rsidP="00531E6B">
      <w:pPr>
        <w:spacing w:before="120" w:line="276" w:lineRule="auto"/>
        <w:jc w:val="both"/>
        <w:rPr>
          <w:rFonts w:ascii="Arial" w:hAnsi="Arial" w:cs="Arial"/>
          <w:sz w:val="22"/>
          <w:szCs w:val="22"/>
        </w:rPr>
      </w:pPr>
      <w:r>
        <w:rPr>
          <w:rFonts w:ascii="Arial" w:hAnsi="Arial" w:cs="Arial"/>
          <w:color w:val="000000"/>
          <w:sz w:val="22"/>
          <w:szCs w:val="22"/>
        </w:rPr>
        <w:tab/>
        <w:t>E</w:t>
      </w:r>
      <w:r w:rsidR="00392411">
        <w:rPr>
          <w:rFonts w:ascii="Arial" w:hAnsi="Arial" w:cs="Arial"/>
          <w:color w:val="000000"/>
          <w:sz w:val="22"/>
          <w:szCs w:val="22"/>
        </w:rPr>
        <w:t xml:space="preserve">n relación con </w:t>
      </w:r>
      <w:r w:rsidR="00745302">
        <w:rPr>
          <w:rFonts w:ascii="Arial" w:hAnsi="Arial" w:cs="Arial"/>
          <w:color w:val="000000"/>
          <w:sz w:val="22"/>
          <w:szCs w:val="22"/>
        </w:rPr>
        <w:t>esas entidades que hacen parte del presupuesto general de la nación e</w:t>
      </w:r>
      <w:r>
        <w:rPr>
          <w:rFonts w:ascii="Arial" w:hAnsi="Arial" w:cs="Arial"/>
          <w:color w:val="000000"/>
          <w:sz w:val="22"/>
          <w:szCs w:val="22"/>
        </w:rPr>
        <w:t xml:space="preserve">l artículo 352 de la Constitución Política de Colombia </w:t>
      </w:r>
      <w:r w:rsidR="00745302">
        <w:rPr>
          <w:rFonts w:ascii="Arial" w:hAnsi="Arial" w:cs="Arial"/>
          <w:color w:val="000000"/>
          <w:sz w:val="22"/>
          <w:szCs w:val="22"/>
        </w:rPr>
        <w:t>establece las bases para su determinación. En efecto, dicha norma dispone que</w:t>
      </w:r>
      <w:r w:rsidR="000755E1">
        <w:rPr>
          <w:rFonts w:ascii="Arial" w:hAnsi="Arial" w:cs="Arial"/>
          <w:color w:val="000000"/>
          <w:sz w:val="22"/>
          <w:szCs w:val="22"/>
        </w:rPr>
        <w:t xml:space="preserve"> </w:t>
      </w:r>
      <w:r w:rsidRPr="00745302">
        <w:rPr>
          <w:rFonts w:ascii="Arial" w:hAnsi="Arial" w:cs="Arial"/>
          <w:color w:val="000000"/>
          <w:sz w:val="21"/>
          <w:szCs w:val="21"/>
          <w:shd w:val="clear" w:color="auto" w:fill="FFFFFF"/>
        </w:rPr>
        <w:t xml:space="preserve">la Ley Orgánica </w:t>
      </w:r>
      <w:r w:rsidRPr="00531E6B">
        <w:rPr>
          <w:rFonts w:ascii="Arial" w:hAnsi="Arial" w:cs="Arial"/>
          <w:color w:val="000000"/>
          <w:sz w:val="22"/>
          <w:szCs w:val="22"/>
        </w:rPr>
        <w:t>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w:t>
      </w:r>
      <w:r w:rsidRPr="00745302">
        <w:rPr>
          <w:rFonts w:ascii="Arial" w:hAnsi="Arial" w:cs="Arial"/>
          <w:color w:val="000000"/>
          <w:sz w:val="21"/>
          <w:szCs w:val="21"/>
          <w:shd w:val="clear" w:color="auto" w:fill="FFFFFF"/>
        </w:rPr>
        <w:t> </w:t>
      </w:r>
      <w:r w:rsidR="00960FD1">
        <w:rPr>
          <w:rFonts w:ascii="Arial" w:hAnsi="Arial" w:cs="Arial"/>
          <w:sz w:val="22"/>
          <w:szCs w:val="22"/>
        </w:rPr>
        <w:t xml:space="preserve">A su turno, </w:t>
      </w:r>
      <w:r w:rsidR="00B02D49" w:rsidRPr="00F40BB1">
        <w:rPr>
          <w:rFonts w:ascii="Arial" w:hAnsi="Arial" w:cs="Arial"/>
          <w:sz w:val="22"/>
          <w:szCs w:val="22"/>
        </w:rPr>
        <w:t xml:space="preserve">el </w:t>
      </w:r>
      <w:r w:rsidR="00960FD1">
        <w:rPr>
          <w:rFonts w:ascii="Arial" w:hAnsi="Arial" w:cs="Arial"/>
          <w:sz w:val="22"/>
          <w:szCs w:val="22"/>
        </w:rPr>
        <w:t xml:space="preserve">artículo </w:t>
      </w:r>
      <w:r w:rsidR="000A5E3D">
        <w:rPr>
          <w:rFonts w:ascii="Arial" w:hAnsi="Arial" w:cs="Arial"/>
          <w:sz w:val="22"/>
          <w:szCs w:val="22"/>
        </w:rPr>
        <w:t xml:space="preserve">3 del </w:t>
      </w:r>
      <w:r w:rsidR="00B02D49" w:rsidRPr="00F40BB1">
        <w:rPr>
          <w:rFonts w:ascii="Arial" w:hAnsi="Arial" w:cs="Arial"/>
          <w:sz w:val="22"/>
          <w:szCs w:val="22"/>
        </w:rPr>
        <w:t>Decreto 111 de 1996</w:t>
      </w:r>
      <w:r w:rsidR="000A5E3D">
        <w:rPr>
          <w:rFonts w:ascii="Arial" w:hAnsi="Arial" w:cs="Arial"/>
          <w:sz w:val="22"/>
          <w:szCs w:val="22"/>
        </w:rPr>
        <w:t xml:space="preserve">, que establece la cobertura del Estatuto Orgánico de Presupuesto, determina las entidades que harían parte del presupuesto general de la nación, </w:t>
      </w:r>
      <w:r w:rsidR="00524B49" w:rsidRPr="00F40BB1">
        <w:rPr>
          <w:rFonts w:ascii="Arial" w:hAnsi="Arial" w:cs="Arial"/>
          <w:sz w:val="22"/>
          <w:szCs w:val="22"/>
        </w:rPr>
        <w:t>en los siguientes t</w:t>
      </w:r>
      <w:r w:rsidR="000A5E3D">
        <w:rPr>
          <w:rFonts w:ascii="Arial" w:hAnsi="Arial" w:cs="Arial"/>
          <w:sz w:val="22"/>
          <w:szCs w:val="22"/>
        </w:rPr>
        <w:t>é</w:t>
      </w:r>
      <w:r w:rsidR="00524B49" w:rsidRPr="00F40BB1">
        <w:rPr>
          <w:rFonts w:ascii="Arial" w:hAnsi="Arial" w:cs="Arial"/>
          <w:sz w:val="22"/>
          <w:szCs w:val="22"/>
        </w:rPr>
        <w:t xml:space="preserve">rminos: </w:t>
      </w:r>
    </w:p>
    <w:p w14:paraId="0595316A" w14:textId="77777777" w:rsidR="00524B49" w:rsidRPr="00524B49" w:rsidRDefault="00524B49" w:rsidP="00524B49">
      <w:pPr>
        <w:jc w:val="both"/>
        <w:rPr>
          <w:rFonts w:ascii="Arial" w:hAnsi="Arial" w:cs="Arial"/>
          <w:sz w:val="21"/>
          <w:szCs w:val="21"/>
        </w:rPr>
      </w:pPr>
    </w:p>
    <w:p w14:paraId="2595CEDD" w14:textId="4735105C" w:rsidR="00524B49" w:rsidRPr="000A5E3D" w:rsidRDefault="000A5E3D" w:rsidP="00531E6B">
      <w:pPr>
        <w:pStyle w:val="NormalWeb"/>
        <w:spacing w:before="0" w:beforeAutospacing="0" w:after="120" w:afterAutospacing="0"/>
        <w:ind w:left="708" w:right="709"/>
        <w:jc w:val="both"/>
        <w:rPr>
          <w:rFonts w:ascii="Arial" w:hAnsi="Arial" w:cs="Arial"/>
          <w:color w:val="000000" w:themeColor="text1"/>
          <w:sz w:val="21"/>
          <w:szCs w:val="21"/>
        </w:rPr>
      </w:pPr>
      <w:r w:rsidRPr="000A5E3D">
        <w:rPr>
          <w:rFonts w:ascii="Arial" w:eastAsia="Calibri" w:hAnsi="Arial" w:cs="Arial"/>
          <w:color w:val="000000" w:themeColor="text1"/>
          <w:sz w:val="21"/>
          <w:szCs w:val="21"/>
          <w:lang w:val="es-ES"/>
        </w:rPr>
        <w:t xml:space="preserve">Artículo 3. Cobertura del Estatuto. </w:t>
      </w:r>
      <w:r w:rsidR="00524B49" w:rsidRPr="000A5E3D">
        <w:rPr>
          <w:rFonts w:ascii="Arial" w:hAnsi="Arial" w:cs="Arial"/>
          <w:color w:val="000000" w:themeColor="text1"/>
          <w:sz w:val="21"/>
          <w:szCs w:val="21"/>
        </w:rPr>
        <w:t>Consta de dos (2) niveles:</w:t>
      </w:r>
      <w:r w:rsidR="00524B49" w:rsidRPr="000A5E3D">
        <w:rPr>
          <w:rStyle w:val="apple-converted-space"/>
          <w:rFonts w:ascii="Arial" w:hAnsi="Arial" w:cs="Arial"/>
          <w:color w:val="000000" w:themeColor="text1"/>
          <w:sz w:val="21"/>
          <w:szCs w:val="21"/>
        </w:rPr>
        <w:t> </w:t>
      </w:r>
      <w:r w:rsidR="00524B49" w:rsidRPr="000A5E3D">
        <w:rPr>
          <w:rFonts w:ascii="Arial" w:hAnsi="Arial" w:cs="Arial"/>
          <w:color w:val="000000" w:themeColor="text1"/>
          <w:sz w:val="21"/>
          <w:szCs w:val="21"/>
        </w:rPr>
        <w:t>un primer nivel</w:t>
      </w:r>
      <w:r w:rsidR="00524B49" w:rsidRPr="000A5E3D">
        <w:rPr>
          <w:rStyle w:val="apple-converted-space"/>
          <w:rFonts w:ascii="Arial" w:hAnsi="Arial" w:cs="Arial"/>
          <w:color w:val="000000" w:themeColor="text1"/>
          <w:sz w:val="21"/>
          <w:szCs w:val="21"/>
        </w:rPr>
        <w:t> </w:t>
      </w:r>
      <w:r w:rsidR="00524B49" w:rsidRPr="000A5E3D">
        <w:rPr>
          <w:rFonts w:ascii="Arial" w:hAnsi="Arial" w:cs="Arial"/>
          <w:color w:val="000000" w:themeColor="text1"/>
          <w:sz w:val="21"/>
          <w:szCs w:val="21"/>
        </w:rPr>
        <w:t>corresponde al</w:t>
      </w:r>
      <w:r w:rsidR="00524B49" w:rsidRPr="000A5E3D">
        <w:rPr>
          <w:rStyle w:val="apple-converted-space"/>
          <w:rFonts w:ascii="Arial" w:hAnsi="Arial" w:cs="Arial"/>
          <w:color w:val="000000" w:themeColor="text1"/>
          <w:sz w:val="21"/>
          <w:szCs w:val="21"/>
        </w:rPr>
        <w:t> </w:t>
      </w:r>
      <w:r w:rsidR="00524B49" w:rsidRPr="000A5E3D">
        <w:rPr>
          <w:rFonts w:ascii="Arial" w:hAnsi="Arial" w:cs="Arial"/>
          <w:color w:val="000000" w:themeColor="text1"/>
          <w:sz w:val="21"/>
          <w:szCs w:val="21"/>
        </w:rPr>
        <w:t>presupuesto general de la Nación, compuesto por los presupuestos de los establecimientos públicos del orden nacional y</w:t>
      </w:r>
      <w:r w:rsidR="00524B49" w:rsidRPr="000A5E3D">
        <w:rPr>
          <w:rStyle w:val="apple-converted-space"/>
          <w:rFonts w:ascii="Arial" w:hAnsi="Arial" w:cs="Arial"/>
          <w:color w:val="000000" w:themeColor="text1"/>
          <w:sz w:val="21"/>
          <w:szCs w:val="21"/>
        </w:rPr>
        <w:t> </w:t>
      </w:r>
      <w:r w:rsidR="00524B49" w:rsidRPr="000A5E3D">
        <w:rPr>
          <w:rFonts w:ascii="Arial" w:hAnsi="Arial" w:cs="Arial"/>
          <w:color w:val="000000" w:themeColor="text1"/>
          <w:sz w:val="21"/>
          <w:szCs w:val="21"/>
        </w:rPr>
        <w:t>el presupuesto nacional.</w:t>
      </w:r>
    </w:p>
    <w:p w14:paraId="187AD3A2" w14:textId="4C6414A8" w:rsidR="00524B49" w:rsidRPr="000A5E3D" w:rsidRDefault="00524B49" w:rsidP="00531E6B">
      <w:pPr>
        <w:pStyle w:val="NormalWeb"/>
        <w:spacing w:before="0" w:beforeAutospacing="0" w:after="120" w:afterAutospacing="0"/>
        <w:ind w:left="709" w:right="709"/>
        <w:jc w:val="both"/>
        <w:rPr>
          <w:rFonts w:ascii="Arial" w:hAnsi="Arial" w:cs="Arial"/>
          <w:color w:val="000000" w:themeColor="text1"/>
          <w:sz w:val="21"/>
          <w:szCs w:val="21"/>
        </w:rPr>
      </w:pPr>
      <w:r w:rsidRPr="000A5E3D">
        <w:rPr>
          <w:rFonts w:ascii="Arial" w:hAnsi="Arial" w:cs="Arial"/>
          <w:color w:val="000000" w:themeColor="text1"/>
          <w:sz w:val="21"/>
          <w:szCs w:val="21"/>
        </w:rPr>
        <w:t>El presupuesto nacional comprende</w:t>
      </w:r>
      <w:r w:rsidRPr="000A5E3D">
        <w:rPr>
          <w:rStyle w:val="apple-converted-space"/>
          <w:rFonts w:ascii="Arial" w:hAnsi="Arial" w:cs="Arial"/>
          <w:color w:val="000000" w:themeColor="text1"/>
          <w:sz w:val="21"/>
          <w:szCs w:val="21"/>
        </w:rPr>
        <w:t> </w:t>
      </w:r>
      <w:r w:rsidRPr="000A5E3D">
        <w:rPr>
          <w:rFonts w:ascii="Arial" w:hAnsi="Arial" w:cs="Arial"/>
          <w:color w:val="000000" w:themeColor="text1"/>
          <w:sz w:val="21"/>
          <w:szCs w:val="21"/>
        </w:rPr>
        <w:t>las ramas</w:t>
      </w:r>
      <w:r w:rsidRPr="000A5E3D">
        <w:rPr>
          <w:rStyle w:val="apple-converted-space"/>
          <w:rFonts w:ascii="Arial" w:hAnsi="Arial" w:cs="Arial"/>
          <w:color w:val="000000" w:themeColor="text1"/>
          <w:sz w:val="21"/>
          <w:szCs w:val="21"/>
        </w:rPr>
        <w:t> </w:t>
      </w:r>
      <w:r w:rsidRPr="000A5E3D">
        <w:rPr>
          <w:rFonts w:ascii="Arial" w:hAnsi="Arial" w:cs="Arial"/>
          <w:color w:val="000000" w:themeColor="text1"/>
          <w:sz w:val="21"/>
          <w:szCs w:val="21"/>
        </w:rPr>
        <w:t>legislativa y</w:t>
      </w:r>
      <w:r w:rsidRPr="000A5E3D">
        <w:rPr>
          <w:rStyle w:val="apple-converted-space"/>
          <w:rFonts w:ascii="Arial" w:hAnsi="Arial" w:cs="Arial"/>
          <w:color w:val="000000" w:themeColor="text1"/>
          <w:sz w:val="21"/>
          <w:szCs w:val="21"/>
        </w:rPr>
        <w:t> </w:t>
      </w:r>
      <w:r w:rsidRPr="000A5E3D">
        <w:rPr>
          <w:rFonts w:ascii="Arial" w:hAnsi="Arial" w:cs="Arial"/>
          <w:color w:val="000000" w:themeColor="text1"/>
          <w:sz w:val="21"/>
          <w:szCs w:val="21"/>
        </w:rPr>
        <w:t>judicial, el Ministerio Público, la Contraloría General de la República, la organización electoral, y la rama ejecutiva del nivel nacional,</w:t>
      </w:r>
      <w:r w:rsidRPr="000A5E3D">
        <w:rPr>
          <w:rStyle w:val="apple-converted-space"/>
          <w:rFonts w:ascii="Arial" w:hAnsi="Arial" w:cs="Arial"/>
          <w:color w:val="000000" w:themeColor="text1"/>
          <w:sz w:val="21"/>
          <w:szCs w:val="21"/>
        </w:rPr>
        <w:t> </w:t>
      </w:r>
      <w:r w:rsidRPr="000A5E3D">
        <w:rPr>
          <w:rFonts w:ascii="Arial" w:hAnsi="Arial" w:cs="Arial"/>
          <w:color w:val="000000" w:themeColor="text1"/>
          <w:sz w:val="21"/>
          <w:szCs w:val="21"/>
        </w:rPr>
        <w:t>con excepción de los establecimientos públicos, las empresas industriales y comerciales del Estado y las sociedades de economía mixta.</w:t>
      </w:r>
    </w:p>
    <w:p w14:paraId="46F4EF89" w14:textId="69AF76D9" w:rsidR="00524B49" w:rsidRPr="000A5E3D" w:rsidRDefault="00524B49" w:rsidP="00531E6B">
      <w:pPr>
        <w:pStyle w:val="NormalWeb"/>
        <w:spacing w:before="0" w:beforeAutospacing="0" w:after="120" w:afterAutospacing="0"/>
        <w:ind w:left="709" w:right="709"/>
        <w:jc w:val="both"/>
        <w:rPr>
          <w:rFonts w:ascii="Arial" w:hAnsi="Arial" w:cs="Arial"/>
          <w:color w:val="000000" w:themeColor="text1"/>
          <w:sz w:val="21"/>
          <w:szCs w:val="21"/>
        </w:rPr>
      </w:pPr>
      <w:r w:rsidRPr="000A5E3D">
        <w:rPr>
          <w:rFonts w:ascii="Arial" w:hAnsi="Arial" w:cs="Arial"/>
          <w:color w:val="000000" w:themeColor="text1"/>
          <w:sz w:val="21"/>
          <w:szCs w:val="21"/>
        </w:rPr>
        <w:t>Un segundo nivel,</w:t>
      </w:r>
      <w:r w:rsidRPr="000A5E3D">
        <w:rPr>
          <w:rStyle w:val="apple-converted-space"/>
          <w:rFonts w:ascii="Arial" w:hAnsi="Arial" w:cs="Arial"/>
          <w:color w:val="000000" w:themeColor="text1"/>
          <w:sz w:val="21"/>
          <w:szCs w:val="21"/>
        </w:rPr>
        <w:t> </w:t>
      </w:r>
      <w:r w:rsidRPr="000A5E3D">
        <w:rPr>
          <w:rFonts w:ascii="Arial" w:hAnsi="Arial" w:cs="Arial"/>
          <w:color w:val="000000" w:themeColor="text1"/>
          <w:sz w:val="21"/>
          <w:szCs w:val="21"/>
        </w:rPr>
        <w:t>que incluye la fijación de metas financieras a todo el sector público y la distribución de los excedentes financieros de las empresas industriales y comerciales del Estado, y de las sociedades de economía mixta con el régimen de aquéllas, sin perjuicio de la autonomía que la Constitución y la ley les otorga.</w:t>
      </w:r>
    </w:p>
    <w:p w14:paraId="3D962493" w14:textId="6EC2D3C0" w:rsidR="00524B49" w:rsidRPr="000A5E3D" w:rsidRDefault="00524B49" w:rsidP="00524B49">
      <w:pPr>
        <w:pStyle w:val="NormalWeb"/>
        <w:spacing w:before="0" w:beforeAutospacing="0"/>
        <w:ind w:left="709" w:right="709"/>
        <w:jc w:val="both"/>
        <w:rPr>
          <w:rFonts w:ascii="Arial" w:hAnsi="Arial" w:cs="Arial"/>
          <w:color w:val="000000" w:themeColor="text1"/>
          <w:sz w:val="20"/>
          <w:szCs w:val="20"/>
          <w:lang w:val="es-ES"/>
        </w:rPr>
      </w:pPr>
      <w:r w:rsidRPr="000A5E3D">
        <w:rPr>
          <w:rFonts w:ascii="Arial" w:hAnsi="Arial" w:cs="Arial"/>
          <w:color w:val="000000" w:themeColor="text1"/>
          <w:sz w:val="21"/>
          <w:szCs w:val="21"/>
        </w:rPr>
        <w:t>A las empresas industriales y comerciales del Estado y las sociedades de economía mixta con el régimen de aquéllas, se les aplicarán las normas que expresamente las mencione</w:t>
      </w:r>
      <w:r w:rsidR="000A5E3D">
        <w:rPr>
          <w:rFonts w:ascii="Arial" w:hAnsi="Arial" w:cs="Arial"/>
          <w:color w:val="000000" w:themeColor="text1"/>
          <w:sz w:val="21"/>
          <w:szCs w:val="21"/>
        </w:rPr>
        <w:t>.</w:t>
      </w:r>
      <w:r w:rsidR="00547A9E" w:rsidRPr="000A5E3D" w:rsidDel="00547A9E">
        <w:rPr>
          <w:rFonts w:ascii="Arial" w:eastAsia="Calibri" w:hAnsi="Arial" w:cs="Arial"/>
          <w:color w:val="000000" w:themeColor="text1"/>
          <w:sz w:val="21"/>
          <w:szCs w:val="21"/>
          <w:lang w:val="es-ES"/>
        </w:rPr>
        <w:t xml:space="preserve"> </w:t>
      </w:r>
    </w:p>
    <w:p w14:paraId="5E980B23" w14:textId="17C5B61E" w:rsidR="009E36A9" w:rsidRPr="009E36A9" w:rsidRDefault="00524B49" w:rsidP="00531E6B">
      <w:pPr>
        <w:pStyle w:val="NormalWeb"/>
        <w:spacing w:line="276" w:lineRule="auto"/>
        <w:jc w:val="both"/>
      </w:pPr>
      <w:r w:rsidRPr="00524B49">
        <w:rPr>
          <w:rFonts w:ascii="Arial" w:hAnsi="Arial" w:cs="Arial"/>
          <w:color w:val="000000" w:themeColor="text1"/>
          <w:sz w:val="22"/>
          <w:szCs w:val="22"/>
          <w:shd w:val="clear" w:color="auto" w:fill="FFFFFF"/>
        </w:rPr>
        <w:t xml:space="preserve">De </w:t>
      </w:r>
      <w:r w:rsidR="00BF18D6">
        <w:rPr>
          <w:rFonts w:ascii="Arial" w:hAnsi="Arial" w:cs="Arial"/>
          <w:color w:val="000000" w:themeColor="text1"/>
          <w:sz w:val="22"/>
          <w:szCs w:val="22"/>
          <w:shd w:val="clear" w:color="auto" w:fill="FFFFFF"/>
        </w:rPr>
        <w:t xml:space="preserve">este modo, según la </w:t>
      </w:r>
      <w:r w:rsidR="000755E1">
        <w:rPr>
          <w:rFonts w:ascii="Arial" w:hAnsi="Arial" w:cs="Arial"/>
          <w:color w:val="000000" w:themeColor="text1"/>
          <w:sz w:val="22"/>
          <w:szCs w:val="22"/>
          <w:shd w:val="clear" w:color="auto" w:fill="FFFFFF"/>
        </w:rPr>
        <w:t>Constitución Política</w:t>
      </w:r>
      <w:r w:rsidR="00BF18D6">
        <w:rPr>
          <w:rFonts w:ascii="Arial" w:hAnsi="Arial" w:cs="Arial"/>
          <w:color w:val="000000" w:themeColor="text1"/>
          <w:sz w:val="22"/>
          <w:szCs w:val="22"/>
          <w:shd w:val="clear" w:color="auto" w:fill="FFFFFF"/>
        </w:rPr>
        <w:t xml:space="preserve"> y del Estatu</w:t>
      </w:r>
      <w:r w:rsidR="005A5EFD">
        <w:rPr>
          <w:rFonts w:ascii="Arial" w:hAnsi="Arial" w:cs="Arial"/>
          <w:color w:val="000000" w:themeColor="text1"/>
          <w:sz w:val="22"/>
          <w:szCs w:val="22"/>
          <w:shd w:val="clear" w:color="auto" w:fill="FFFFFF"/>
        </w:rPr>
        <w:t>t</w:t>
      </w:r>
      <w:r w:rsidR="00BF18D6">
        <w:rPr>
          <w:rFonts w:ascii="Arial" w:hAnsi="Arial" w:cs="Arial"/>
          <w:color w:val="000000" w:themeColor="text1"/>
          <w:sz w:val="22"/>
          <w:szCs w:val="22"/>
          <w:shd w:val="clear" w:color="auto" w:fill="FFFFFF"/>
        </w:rPr>
        <w:t xml:space="preserve">o Orgánico de Presupuesto, las entidades que </w:t>
      </w:r>
      <w:r w:rsidR="005A5EFD">
        <w:rPr>
          <w:rFonts w:ascii="Arial" w:hAnsi="Arial" w:cs="Arial"/>
          <w:color w:val="000000" w:themeColor="text1"/>
          <w:sz w:val="22"/>
          <w:szCs w:val="22"/>
          <w:shd w:val="clear" w:color="auto" w:fill="FFFFFF"/>
        </w:rPr>
        <w:t>conforman</w:t>
      </w:r>
      <w:r w:rsidR="00BF18D6">
        <w:rPr>
          <w:rFonts w:ascii="Arial" w:hAnsi="Arial" w:cs="Arial"/>
          <w:color w:val="000000" w:themeColor="text1"/>
          <w:sz w:val="22"/>
          <w:szCs w:val="22"/>
          <w:shd w:val="clear" w:color="auto" w:fill="FFFFFF"/>
        </w:rPr>
        <w:t xml:space="preserve"> el presupuesto general de la nación</w:t>
      </w:r>
      <w:r w:rsidR="000755E1">
        <w:rPr>
          <w:rFonts w:ascii="Arial" w:hAnsi="Arial" w:cs="Arial"/>
          <w:color w:val="000000" w:themeColor="text1"/>
          <w:sz w:val="22"/>
          <w:szCs w:val="22"/>
          <w:shd w:val="clear" w:color="auto" w:fill="FFFFFF"/>
        </w:rPr>
        <w:t xml:space="preserve"> </w:t>
      </w:r>
      <w:r w:rsidR="005A5EFD">
        <w:rPr>
          <w:rFonts w:ascii="Arial" w:hAnsi="Arial" w:cs="Arial"/>
          <w:color w:val="000000" w:themeColor="text1"/>
          <w:sz w:val="22"/>
          <w:szCs w:val="22"/>
          <w:shd w:val="clear" w:color="auto" w:fill="FFFFFF"/>
        </w:rPr>
        <w:t xml:space="preserve">son las entidades enunciadas en el primer nivel, es decir, </w:t>
      </w:r>
      <w:r w:rsidRPr="00524B49">
        <w:rPr>
          <w:rFonts w:ascii="Arial" w:hAnsi="Arial" w:cs="Arial"/>
          <w:color w:val="000000" w:themeColor="text1"/>
          <w:sz w:val="22"/>
          <w:szCs w:val="22"/>
          <w:shd w:val="clear" w:color="auto" w:fill="FFFFFF"/>
        </w:rPr>
        <w:t>los establecimientos públicos del orden nacional</w:t>
      </w:r>
      <w:r w:rsidR="00A4095E">
        <w:rPr>
          <w:rFonts w:ascii="Arial" w:hAnsi="Arial" w:cs="Arial"/>
          <w:color w:val="000000" w:themeColor="text1"/>
          <w:sz w:val="22"/>
          <w:szCs w:val="22"/>
          <w:shd w:val="clear" w:color="auto" w:fill="FFFFFF"/>
        </w:rPr>
        <w:t xml:space="preserve">, </w:t>
      </w:r>
      <w:r w:rsidR="00A4095E">
        <w:rPr>
          <w:rFonts w:ascii="Arial" w:hAnsi="Arial" w:cs="Arial"/>
          <w:color w:val="000000" w:themeColor="text1"/>
          <w:sz w:val="22"/>
          <w:szCs w:val="22"/>
        </w:rPr>
        <w:t>la</w:t>
      </w:r>
      <w:r w:rsidRPr="00524B49">
        <w:rPr>
          <w:rFonts w:ascii="Arial" w:hAnsi="Arial" w:cs="Arial"/>
          <w:color w:val="000000" w:themeColor="text1"/>
          <w:sz w:val="22"/>
          <w:szCs w:val="22"/>
        </w:rPr>
        <w:t xml:space="preserve"> rama</w:t>
      </w:r>
      <w:r w:rsidRPr="00524B49">
        <w:rPr>
          <w:rFonts w:ascii="Arial" w:hAnsi="Arial" w:cs="Arial"/>
          <w:color w:val="000000" w:themeColor="text1"/>
          <w:sz w:val="22"/>
          <w:szCs w:val="22"/>
          <w:shd w:val="clear" w:color="auto" w:fill="FFFFFF"/>
        </w:rPr>
        <w:t> legislativa</w:t>
      </w:r>
      <w:r w:rsidR="00A4095E">
        <w:rPr>
          <w:rFonts w:ascii="Arial" w:hAnsi="Arial" w:cs="Arial"/>
          <w:color w:val="000000" w:themeColor="text1"/>
          <w:sz w:val="22"/>
          <w:szCs w:val="22"/>
          <w:shd w:val="clear" w:color="auto" w:fill="FFFFFF"/>
        </w:rPr>
        <w:t xml:space="preserve">, la rama </w:t>
      </w:r>
      <w:r w:rsidRPr="00524B49">
        <w:rPr>
          <w:rFonts w:ascii="Arial" w:hAnsi="Arial" w:cs="Arial"/>
          <w:color w:val="000000" w:themeColor="text1"/>
          <w:sz w:val="22"/>
          <w:szCs w:val="22"/>
        </w:rPr>
        <w:t>judicial</w:t>
      </w:r>
      <w:r w:rsidRPr="00524B49">
        <w:rPr>
          <w:rFonts w:ascii="Arial" w:hAnsi="Arial" w:cs="Arial"/>
          <w:color w:val="000000" w:themeColor="text1"/>
          <w:sz w:val="22"/>
          <w:szCs w:val="22"/>
          <w:shd w:val="clear" w:color="auto" w:fill="FFFFFF"/>
        </w:rPr>
        <w:t>, el Ministerio Público, la Contraloría General de la República, la organización electoral y la rama </w:t>
      </w:r>
      <w:r w:rsidRPr="00524B49">
        <w:rPr>
          <w:rFonts w:ascii="Arial" w:hAnsi="Arial" w:cs="Arial"/>
          <w:color w:val="000000" w:themeColor="text1"/>
          <w:sz w:val="22"/>
          <w:szCs w:val="22"/>
        </w:rPr>
        <w:t>ejecutiva</w:t>
      </w:r>
      <w:r w:rsidRPr="00524B49">
        <w:rPr>
          <w:rFonts w:ascii="Arial" w:hAnsi="Arial" w:cs="Arial"/>
          <w:color w:val="000000" w:themeColor="text1"/>
          <w:sz w:val="22"/>
          <w:szCs w:val="22"/>
          <w:shd w:val="clear" w:color="auto" w:fill="FFFFFF"/>
        </w:rPr>
        <w:t xml:space="preserve"> del nivel nacional, con excepción de los establecimientos públicos, las empresas industriales y comerciales del Estado y las </w:t>
      </w:r>
      <w:r w:rsidRPr="00524B49">
        <w:rPr>
          <w:rFonts w:ascii="Arial" w:hAnsi="Arial" w:cs="Arial"/>
          <w:color w:val="000000" w:themeColor="text1"/>
          <w:sz w:val="22"/>
          <w:szCs w:val="22"/>
          <w:shd w:val="clear" w:color="auto" w:fill="FFFFFF"/>
        </w:rPr>
        <w:lastRenderedPageBreak/>
        <w:t>sociedades de economía mixta</w:t>
      </w:r>
      <w:r w:rsidR="000755E1">
        <w:rPr>
          <w:rStyle w:val="Refdenotaalpie"/>
          <w:rFonts w:ascii="Arial" w:hAnsi="Arial" w:cs="Arial"/>
          <w:color w:val="000000" w:themeColor="text1"/>
          <w:sz w:val="22"/>
          <w:szCs w:val="22"/>
          <w:shd w:val="clear" w:color="auto" w:fill="FFFFFF"/>
        </w:rPr>
        <w:footnoteReference w:id="8"/>
      </w:r>
      <w:r w:rsidRPr="00524B49">
        <w:rPr>
          <w:rFonts w:ascii="Arial" w:hAnsi="Arial" w:cs="Arial"/>
          <w:color w:val="000000" w:themeColor="text1"/>
          <w:sz w:val="22"/>
          <w:szCs w:val="22"/>
          <w:shd w:val="clear" w:color="auto" w:fill="FFFFFF"/>
        </w:rPr>
        <w:t>.</w:t>
      </w:r>
      <w:r w:rsidR="000755E1">
        <w:rPr>
          <w:rFonts w:ascii="Arial" w:hAnsi="Arial" w:cs="Arial"/>
          <w:color w:val="000000" w:themeColor="text1"/>
          <w:sz w:val="22"/>
          <w:szCs w:val="22"/>
          <w:shd w:val="clear" w:color="auto" w:fill="FFFFFF"/>
        </w:rPr>
        <w:t xml:space="preserve"> </w:t>
      </w:r>
      <w:r w:rsidR="00A4095E">
        <w:rPr>
          <w:rFonts w:ascii="Arial" w:hAnsi="Arial" w:cs="Arial"/>
          <w:color w:val="000000" w:themeColor="text1"/>
          <w:sz w:val="22"/>
          <w:szCs w:val="22"/>
          <w:shd w:val="clear" w:color="auto" w:fill="FFFFFF"/>
        </w:rPr>
        <w:t>De este modo, a efectos de la consulta planteada, serán las entidades referidas las que pueden se contratantes y, por tanto, celebrar los contratos y convenios administrativos a que se refiere el parágrafo del artículo 56 de la Ley 2063 de 2020.</w:t>
      </w:r>
    </w:p>
    <w:p w14:paraId="1F428844" w14:textId="40D838E6" w:rsidR="00EC4E42" w:rsidRDefault="00A71CEA" w:rsidP="00F40BB1">
      <w:pPr>
        <w:spacing w:line="276" w:lineRule="auto"/>
        <w:jc w:val="both"/>
        <w:rPr>
          <w:rFonts w:ascii="Arial" w:hAnsi="Arial" w:cs="Arial"/>
          <w:b/>
          <w:bCs/>
          <w:color w:val="000000"/>
          <w:sz w:val="22"/>
          <w:szCs w:val="22"/>
        </w:rPr>
      </w:pPr>
      <w:r>
        <w:rPr>
          <w:rFonts w:ascii="Arial" w:hAnsi="Arial" w:cs="Arial"/>
          <w:b/>
          <w:bCs/>
          <w:color w:val="000000"/>
          <w:sz w:val="22"/>
          <w:szCs w:val="22"/>
        </w:rPr>
        <w:t xml:space="preserve">2.4. </w:t>
      </w:r>
      <w:r w:rsidR="00BA75D3" w:rsidRPr="00BA75D3">
        <w:rPr>
          <w:rFonts w:ascii="Arial" w:hAnsi="Arial" w:cs="Arial"/>
          <w:b/>
          <w:bCs/>
          <w:color w:val="000000"/>
          <w:sz w:val="22"/>
          <w:szCs w:val="22"/>
        </w:rPr>
        <w:t>Entidades que reciben recursos por concepto de parafiscales</w:t>
      </w:r>
    </w:p>
    <w:p w14:paraId="0416F128" w14:textId="77777777" w:rsidR="003233A2" w:rsidRDefault="003233A2" w:rsidP="00F40BB1">
      <w:pPr>
        <w:spacing w:line="276" w:lineRule="auto"/>
        <w:jc w:val="both"/>
        <w:rPr>
          <w:rFonts w:ascii="Arial" w:hAnsi="Arial" w:cs="Arial"/>
          <w:b/>
          <w:bCs/>
          <w:color w:val="000000"/>
          <w:sz w:val="22"/>
          <w:szCs w:val="22"/>
        </w:rPr>
      </w:pPr>
    </w:p>
    <w:p w14:paraId="52C07EF4" w14:textId="3B66D0B8" w:rsidR="00B2523E" w:rsidRDefault="00E833FA" w:rsidP="00531E6B">
      <w:pPr>
        <w:spacing w:after="120" w:line="276" w:lineRule="auto"/>
        <w:jc w:val="both"/>
        <w:rPr>
          <w:rFonts w:ascii="Arial" w:hAnsi="Arial" w:cs="Arial"/>
          <w:color w:val="000000"/>
          <w:sz w:val="22"/>
          <w:szCs w:val="22"/>
        </w:rPr>
      </w:pPr>
      <w:r>
        <w:rPr>
          <w:rFonts w:ascii="Arial" w:hAnsi="Arial" w:cs="Arial"/>
          <w:color w:val="000000"/>
          <w:sz w:val="22"/>
          <w:szCs w:val="22"/>
        </w:rPr>
        <w:t>En línea con lo anterior, el parágrafo de la Ley 2063 de 2020 que nos ocupa</w:t>
      </w:r>
      <w:r w:rsidR="00161966">
        <w:rPr>
          <w:rFonts w:ascii="Arial" w:hAnsi="Arial" w:cs="Arial"/>
          <w:color w:val="000000"/>
          <w:sz w:val="22"/>
          <w:szCs w:val="22"/>
        </w:rPr>
        <w:t>, indica que la contraparte de las entidades que hacen parte del presupuesto general de la nación se</w:t>
      </w:r>
      <w:r w:rsidR="00B2523E">
        <w:rPr>
          <w:rFonts w:ascii="Arial" w:hAnsi="Arial" w:cs="Arial"/>
          <w:color w:val="000000"/>
          <w:sz w:val="22"/>
          <w:szCs w:val="22"/>
        </w:rPr>
        <w:t xml:space="preserve"> puede</w:t>
      </w:r>
      <w:r w:rsidR="00161966">
        <w:rPr>
          <w:rFonts w:ascii="Arial" w:hAnsi="Arial" w:cs="Arial"/>
          <w:color w:val="000000"/>
          <w:sz w:val="22"/>
          <w:szCs w:val="22"/>
        </w:rPr>
        <w:t xml:space="preserve"> </w:t>
      </w:r>
      <w:r w:rsidR="00B2523E">
        <w:rPr>
          <w:rFonts w:ascii="Arial" w:hAnsi="Arial" w:cs="Arial"/>
          <w:color w:val="000000"/>
          <w:sz w:val="22"/>
          <w:szCs w:val="22"/>
        </w:rPr>
        <w:t>conformar</w:t>
      </w:r>
      <w:r w:rsidR="00161966">
        <w:rPr>
          <w:rFonts w:ascii="Arial" w:hAnsi="Arial" w:cs="Arial"/>
          <w:color w:val="000000"/>
          <w:sz w:val="22"/>
          <w:szCs w:val="22"/>
        </w:rPr>
        <w:t xml:space="preserve"> por las </w:t>
      </w:r>
      <w:r w:rsidR="00547A9E" w:rsidRPr="00353092">
        <w:rPr>
          <w:rFonts w:ascii="Arial" w:hAnsi="Arial" w:cs="Arial"/>
          <w:sz w:val="21"/>
          <w:szCs w:val="21"/>
        </w:rPr>
        <w:t>«</w:t>
      </w:r>
      <w:r w:rsidR="00547A9E">
        <w:rPr>
          <w:rFonts w:ascii="Arial" w:hAnsi="Arial" w:cs="Arial"/>
          <w:color w:val="000000"/>
          <w:sz w:val="22"/>
          <w:szCs w:val="22"/>
        </w:rPr>
        <w:t>e</w:t>
      </w:r>
      <w:r w:rsidR="00161966">
        <w:rPr>
          <w:rFonts w:ascii="Arial" w:hAnsi="Arial" w:cs="Arial"/>
          <w:color w:val="000000"/>
          <w:sz w:val="22"/>
          <w:szCs w:val="22"/>
        </w:rPr>
        <w:t>ntidades que reciben recursos por concepto de parafiscales</w:t>
      </w:r>
      <w:r w:rsidR="00547A9E" w:rsidRPr="00353092">
        <w:rPr>
          <w:rFonts w:ascii="Arial" w:hAnsi="Arial" w:cs="Arial"/>
          <w:sz w:val="21"/>
          <w:szCs w:val="21"/>
        </w:rPr>
        <w:t>»</w:t>
      </w:r>
      <w:r w:rsidR="00B2523E">
        <w:rPr>
          <w:rFonts w:ascii="Arial" w:hAnsi="Arial" w:cs="Arial"/>
          <w:color w:val="000000"/>
          <w:sz w:val="22"/>
          <w:szCs w:val="22"/>
        </w:rPr>
        <w:t xml:space="preserve">. </w:t>
      </w:r>
    </w:p>
    <w:p w14:paraId="06DF0E75" w14:textId="2DBBFB90" w:rsidR="00C014D3" w:rsidRDefault="007A4AE6" w:rsidP="00B2523E">
      <w:pPr>
        <w:spacing w:line="276" w:lineRule="auto"/>
        <w:ind w:firstLine="708"/>
        <w:jc w:val="both"/>
        <w:rPr>
          <w:rFonts w:ascii="Arial" w:hAnsi="Arial" w:cs="Arial"/>
          <w:color w:val="000000"/>
          <w:sz w:val="22"/>
          <w:szCs w:val="22"/>
        </w:rPr>
      </w:pPr>
      <w:r>
        <w:rPr>
          <w:rFonts w:ascii="Arial" w:hAnsi="Arial" w:cs="Arial"/>
          <w:color w:val="000000"/>
          <w:sz w:val="22"/>
          <w:szCs w:val="22"/>
        </w:rPr>
        <w:t>En relación con</w:t>
      </w:r>
      <w:r w:rsidR="00B2523E">
        <w:rPr>
          <w:rFonts w:ascii="Arial" w:hAnsi="Arial" w:cs="Arial"/>
          <w:color w:val="000000"/>
          <w:sz w:val="22"/>
          <w:szCs w:val="22"/>
        </w:rPr>
        <w:t xml:space="preserve"> estas últimas entidades es pertinente </w:t>
      </w:r>
      <w:r>
        <w:rPr>
          <w:rFonts w:ascii="Arial" w:hAnsi="Arial" w:cs="Arial"/>
          <w:color w:val="000000"/>
          <w:sz w:val="22"/>
          <w:szCs w:val="22"/>
        </w:rPr>
        <w:t>mencionar</w:t>
      </w:r>
      <w:r w:rsidR="00B2523E">
        <w:rPr>
          <w:rFonts w:ascii="Arial" w:hAnsi="Arial" w:cs="Arial"/>
          <w:color w:val="000000"/>
          <w:sz w:val="22"/>
          <w:szCs w:val="22"/>
        </w:rPr>
        <w:t xml:space="preserve"> el numeral 12 del artículo 15’ de la </w:t>
      </w:r>
      <w:r w:rsidR="00EC4E42">
        <w:rPr>
          <w:rFonts w:ascii="Arial" w:hAnsi="Arial" w:cs="Arial"/>
          <w:color w:val="000000"/>
          <w:sz w:val="22"/>
          <w:szCs w:val="22"/>
        </w:rPr>
        <w:t>Constitución Política</w:t>
      </w:r>
      <w:r w:rsidR="00EC4E42">
        <w:rPr>
          <w:rStyle w:val="Refdenotaalpie"/>
          <w:rFonts w:ascii="Arial" w:hAnsi="Arial" w:cs="Arial"/>
          <w:color w:val="000000"/>
          <w:sz w:val="22"/>
          <w:szCs w:val="22"/>
        </w:rPr>
        <w:footnoteReference w:id="9"/>
      </w:r>
      <w:r w:rsidR="00B2523E">
        <w:rPr>
          <w:rFonts w:ascii="Arial" w:hAnsi="Arial" w:cs="Arial"/>
          <w:color w:val="000000"/>
          <w:sz w:val="22"/>
          <w:szCs w:val="22"/>
        </w:rPr>
        <w:t>, en el cual se confiere al legislador la</w:t>
      </w:r>
      <w:r w:rsidR="00EC4E42">
        <w:rPr>
          <w:rFonts w:ascii="Arial" w:hAnsi="Arial" w:cs="Arial"/>
          <w:color w:val="000000"/>
          <w:sz w:val="22"/>
          <w:szCs w:val="22"/>
        </w:rPr>
        <w:t xml:space="preserve"> habilitación para crear</w:t>
      </w:r>
      <w:r w:rsidR="00B2523E">
        <w:rPr>
          <w:rFonts w:ascii="Arial" w:hAnsi="Arial" w:cs="Arial"/>
          <w:color w:val="000000"/>
          <w:sz w:val="22"/>
          <w:szCs w:val="22"/>
        </w:rPr>
        <w:t>,</w:t>
      </w:r>
      <w:r w:rsidR="00EC4E42">
        <w:rPr>
          <w:rFonts w:ascii="Arial" w:hAnsi="Arial" w:cs="Arial"/>
          <w:color w:val="000000"/>
          <w:sz w:val="22"/>
          <w:szCs w:val="22"/>
        </w:rPr>
        <w:t xml:space="preserve"> excepcionalmente</w:t>
      </w:r>
      <w:r w:rsidR="00B2523E">
        <w:rPr>
          <w:rFonts w:ascii="Arial" w:hAnsi="Arial" w:cs="Arial"/>
          <w:color w:val="000000"/>
          <w:sz w:val="22"/>
          <w:szCs w:val="22"/>
        </w:rPr>
        <w:t>,</w:t>
      </w:r>
      <w:r w:rsidR="00EC4E42">
        <w:rPr>
          <w:rFonts w:ascii="Arial" w:hAnsi="Arial" w:cs="Arial"/>
          <w:color w:val="000000"/>
          <w:sz w:val="22"/>
          <w:szCs w:val="22"/>
        </w:rPr>
        <w:t xml:space="preserve"> contribuciones parafiscales </w:t>
      </w:r>
      <w:r w:rsidR="005F1D9D" w:rsidRPr="005F1D9D">
        <w:rPr>
          <w:rFonts w:ascii="Arial" w:hAnsi="Arial" w:cs="Arial"/>
          <w:color w:val="000000"/>
          <w:sz w:val="22"/>
          <w:szCs w:val="22"/>
        </w:rPr>
        <w:t>en los casos y bajo las condiciones que establezca la ley.</w:t>
      </w:r>
      <w:r w:rsidR="00EC4E42">
        <w:rPr>
          <w:rFonts w:ascii="Arial" w:hAnsi="Arial" w:cs="Arial"/>
          <w:color w:val="000000"/>
          <w:sz w:val="22"/>
          <w:szCs w:val="22"/>
        </w:rPr>
        <w:t xml:space="preserve"> </w:t>
      </w:r>
      <w:r>
        <w:rPr>
          <w:rFonts w:ascii="Arial" w:hAnsi="Arial" w:cs="Arial"/>
          <w:color w:val="000000"/>
          <w:sz w:val="22"/>
          <w:szCs w:val="22"/>
        </w:rPr>
        <w:t>Así las cosas,</w:t>
      </w:r>
      <w:r w:rsidR="005F1D9D">
        <w:rPr>
          <w:rFonts w:ascii="Arial" w:hAnsi="Arial" w:cs="Arial"/>
          <w:color w:val="000000"/>
          <w:sz w:val="22"/>
          <w:szCs w:val="22"/>
        </w:rPr>
        <w:t xml:space="preserve"> el</w:t>
      </w:r>
      <w:r w:rsidR="00EC4E42">
        <w:rPr>
          <w:rFonts w:ascii="Arial" w:hAnsi="Arial" w:cs="Arial"/>
          <w:color w:val="000000"/>
          <w:sz w:val="22"/>
          <w:szCs w:val="22"/>
        </w:rPr>
        <w:t xml:space="preserve"> artículo 338 de la norma superior </w:t>
      </w:r>
      <w:r w:rsidR="005F1D9D">
        <w:rPr>
          <w:rFonts w:ascii="Arial" w:hAnsi="Arial" w:cs="Arial"/>
          <w:color w:val="000000"/>
          <w:sz w:val="22"/>
          <w:szCs w:val="22"/>
        </w:rPr>
        <w:t xml:space="preserve">dispone que </w:t>
      </w:r>
      <w:r w:rsidR="00C014D3">
        <w:rPr>
          <w:rFonts w:ascii="Arial" w:hAnsi="Arial" w:cs="Arial"/>
          <w:color w:val="000000"/>
          <w:sz w:val="22"/>
          <w:szCs w:val="22"/>
        </w:rPr>
        <w:t xml:space="preserve">en tiempos de paz </w:t>
      </w:r>
      <w:r w:rsidR="00F06565">
        <w:rPr>
          <w:rFonts w:ascii="Arial" w:hAnsi="Arial" w:cs="Arial"/>
          <w:color w:val="000000"/>
          <w:sz w:val="22"/>
          <w:szCs w:val="22"/>
        </w:rPr>
        <w:t xml:space="preserve">se podrán </w:t>
      </w:r>
      <w:r w:rsidR="00C014D3">
        <w:rPr>
          <w:rFonts w:ascii="Arial" w:hAnsi="Arial" w:cs="Arial"/>
          <w:color w:val="000000"/>
          <w:sz w:val="22"/>
          <w:szCs w:val="22"/>
        </w:rPr>
        <w:t xml:space="preserve">imponer contribuciones fiscales y parafiscales </w:t>
      </w:r>
      <w:r w:rsidR="00F06565">
        <w:rPr>
          <w:rFonts w:ascii="Arial" w:hAnsi="Arial" w:cs="Arial"/>
          <w:color w:val="000000"/>
          <w:sz w:val="22"/>
          <w:szCs w:val="22"/>
        </w:rPr>
        <w:t xml:space="preserve">solo por parte del </w:t>
      </w:r>
      <w:r w:rsidR="00C014D3">
        <w:rPr>
          <w:rFonts w:ascii="Arial" w:hAnsi="Arial" w:cs="Arial"/>
          <w:color w:val="000000"/>
          <w:sz w:val="22"/>
          <w:szCs w:val="22"/>
        </w:rPr>
        <w:t>Congreso, las asambleas departamentales y</w:t>
      </w:r>
      <w:r w:rsidR="00F06565">
        <w:rPr>
          <w:rFonts w:ascii="Arial" w:hAnsi="Arial" w:cs="Arial"/>
          <w:color w:val="000000"/>
          <w:sz w:val="22"/>
          <w:szCs w:val="22"/>
        </w:rPr>
        <w:t xml:space="preserve"> los</w:t>
      </w:r>
      <w:r w:rsidR="00C014D3">
        <w:rPr>
          <w:rFonts w:ascii="Arial" w:hAnsi="Arial" w:cs="Arial"/>
          <w:color w:val="000000"/>
          <w:sz w:val="22"/>
          <w:szCs w:val="22"/>
        </w:rPr>
        <w:t xml:space="preserve"> concejos distritales y municipales</w:t>
      </w:r>
      <w:r w:rsidR="00EC07EF">
        <w:rPr>
          <w:rStyle w:val="Refdenotaalpie"/>
          <w:rFonts w:ascii="Arial" w:hAnsi="Arial" w:cs="Arial"/>
          <w:color w:val="000000"/>
          <w:sz w:val="22"/>
          <w:szCs w:val="22"/>
        </w:rPr>
        <w:footnoteReference w:id="10"/>
      </w:r>
      <w:r w:rsidR="00C014D3">
        <w:rPr>
          <w:rFonts w:ascii="Arial" w:hAnsi="Arial" w:cs="Arial"/>
          <w:color w:val="000000"/>
          <w:sz w:val="22"/>
          <w:szCs w:val="22"/>
        </w:rPr>
        <w:t xml:space="preserve">. </w:t>
      </w:r>
      <w:r w:rsidR="00D811B8">
        <w:rPr>
          <w:rFonts w:ascii="Arial" w:hAnsi="Arial" w:cs="Arial"/>
          <w:color w:val="000000"/>
          <w:sz w:val="22"/>
          <w:szCs w:val="22"/>
        </w:rPr>
        <w:t xml:space="preserve">Como se </w:t>
      </w:r>
      <w:r w:rsidR="00EC07EF">
        <w:rPr>
          <w:rFonts w:ascii="Arial" w:hAnsi="Arial" w:cs="Arial"/>
          <w:color w:val="000000"/>
          <w:sz w:val="22"/>
          <w:szCs w:val="22"/>
        </w:rPr>
        <w:t>observa</w:t>
      </w:r>
      <w:r w:rsidR="00D811B8">
        <w:rPr>
          <w:rFonts w:ascii="Arial" w:hAnsi="Arial" w:cs="Arial"/>
          <w:color w:val="000000"/>
          <w:sz w:val="22"/>
          <w:szCs w:val="22"/>
        </w:rPr>
        <w:t>,</w:t>
      </w:r>
      <w:r w:rsidR="00F06565">
        <w:rPr>
          <w:rFonts w:ascii="Arial" w:hAnsi="Arial" w:cs="Arial"/>
          <w:color w:val="000000"/>
          <w:sz w:val="22"/>
          <w:szCs w:val="22"/>
        </w:rPr>
        <w:t xml:space="preserve"> l</w:t>
      </w:r>
      <w:r w:rsidR="00EC07EF">
        <w:rPr>
          <w:rFonts w:ascii="Arial" w:hAnsi="Arial" w:cs="Arial"/>
          <w:color w:val="000000"/>
          <w:sz w:val="22"/>
          <w:szCs w:val="22"/>
        </w:rPr>
        <w:t>a Constitución Política</w:t>
      </w:r>
      <w:r w:rsidR="00F06565">
        <w:rPr>
          <w:rFonts w:ascii="Arial" w:hAnsi="Arial" w:cs="Arial"/>
          <w:color w:val="000000"/>
          <w:sz w:val="22"/>
          <w:szCs w:val="22"/>
        </w:rPr>
        <w:t xml:space="preserve"> nada establece en relación con los sujetos que</w:t>
      </w:r>
      <w:r w:rsidR="00D811B8">
        <w:rPr>
          <w:rFonts w:ascii="Arial" w:hAnsi="Arial" w:cs="Arial"/>
          <w:color w:val="000000"/>
          <w:sz w:val="22"/>
          <w:szCs w:val="22"/>
        </w:rPr>
        <w:t xml:space="preserve"> administran o reciben los recursos parafiscales o </w:t>
      </w:r>
      <w:r w:rsidR="00353092">
        <w:rPr>
          <w:rFonts w:ascii="Arial" w:hAnsi="Arial" w:cs="Arial"/>
          <w:color w:val="000000"/>
          <w:sz w:val="22"/>
          <w:szCs w:val="22"/>
        </w:rPr>
        <w:t>con la definición de los mismos</w:t>
      </w:r>
      <w:r w:rsidR="00D811B8">
        <w:rPr>
          <w:rFonts w:ascii="Arial" w:hAnsi="Arial" w:cs="Arial"/>
          <w:color w:val="000000"/>
          <w:sz w:val="22"/>
          <w:szCs w:val="22"/>
        </w:rPr>
        <w:t>.</w:t>
      </w:r>
    </w:p>
    <w:p w14:paraId="158E40FA" w14:textId="5D0A193C" w:rsidR="00C014D3" w:rsidRPr="00476544" w:rsidRDefault="00D811B8" w:rsidP="00C014D3">
      <w:pPr>
        <w:spacing w:before="120" w:line="276" w:lineRule="auto"/>
        <w:ind w:firstLine="709"/>
        <w:jc w:val="both"/>
        <w:rPr>
          <w:rFonts w:ascii="Arial" w:hAnsi="Arial" w:cs="Arial"/>
          <w:color w:val="000000" w:themeColor="text1"/>
          <w:sz w:val="22"/>
          <w:szCs w:val="22"/>
        </w:rPr>
      </w:pPr>
      <w:r>
        <w:rPr>
          <w:rFonts w:ascii="Arial" w:hAnsi="Arial" w:cs="Arial"/>
          <w:color w:val="000000" w:themeColor="text1"/>
          <w:sz w:val="22"/>
          <w:szCs w:val="22"/>
        </w:rPr>
        <w:t xml:space="preserve">Sin embargo, </w:t>
      </w:r>
      <w:r w:rsidR="00EC07EF">
        <w:rPr>
          <w:rFonts w:ascii="Arial" w:hAnsi="Arial" w:cs="Arial"/>
          <w:color w:val="000000" w:themeColor="text1"/>
          <w:sz w:val="22"/>
          <w:szCs w:val="22"/>
        </w:rPr>
        <w:t>la ley</w:t>
      </w:r>
      <w:r>
        <w:rPr>
          <w:rFonts w:ascii="Arial" w:hAnsi="Arial" w:cs="Arial"/>
          <w:color w:val="000000" w:themeColor="text1"/>
          <w:sz w:val="22"/>
          <w:szCs w:val="22"/>
        </w:rPr>
        <w:t xml:space="preserve"> acomete la tarea de conceptualización de dich</w:t>
      </w:r>
      <w:r w:rsidR="00353092">
        <w:rPr>
          <w:rFonts w:ascii="Arial" w:hAnsi="Arial" w:cs="Arial"/>
          <w:color w:val="000000" w:themeColor="text1"/>
          <w:sz w:val="22"/>
          <w:szCs w:val="22"/>
        </w:rPr>
        <w:t xml:space="preserve">os recursos parafiscales y </w:t>
      </w:r>
      <w:r w:rsidR="00EC07EF">
        <w:rPr>
          <w:rFonts w:ascii="Arial" w:hAnsi="Arial" w:cs="Arial"/>
          <w:color w:val="000000" w:themeColor="text1"/>
          <w:sz w:val="22"/>
          <w:szCs w:val="22"/>
        </w:rPr>
        <w:t>prevé algunas disposiciones</w:t>
      </w:r>
      <w:r w:rsidR="00353092">
        <w:rPr>
          <w:rFonts w:ascii="Arial" w:hAnsi="Arial" w:cs="Arial"/>
          <w:color w:val="000000" w:themeColor="text1"/>
          <w:sz w:val="22"/>
          <w:szCs w:val="22"/>
        </w:rPr>
        <w:t xml:space="preserve"> en relación con las entidades que los reciben y administran</w:t>
      </w:r>
      <w:r>
        <w:rPr>
          <w:rFonts w:ascii="Arial" w:hAnsi="Arial" w:cs="Arial"/>
          <w:color w:val="000000" w:themeColor="text1"/>
          <w:sz w:val="22"/>
          <w:szCs w:val="22"/>
        </w:rPr>
        <w:t>. En efecto, e</w:t>
      </w:r>
      <w:r w:rsidR="00C014D3" w:rsidRPr="00476544">
        <w:rPr>
          <w:rFonts w:ascii="Arial" w:hAnsi="Arial" w:cs="Arial"/>
          <w:color w:val="000000" w:themeColor="text1"/>
          <w:sz w:val="22"/>
          <w:szCs w:val="22"/>
        </w:rPr>
        <w:t>l artículo 29 del Estatuto Orgánico del Presupuesto establece</w:t>
      </w:r>
      <w:r w:rsidR="00EC07EF">
        <w:rPr>
          <w:rFonts w:ascii="Arial" w:hAnsi="Arial" w:cs="Arial"/>
          <w:color w:val="000000" w:themeColor="text1"/>
          <w:sz w:val="22"/>
          <w:szCs w:val="22"/>
        </w:rPr>
        <w:t xml:space="preserve"> lo siguiente</w:t>
      </w:r>
      <w:r w:rsidR="00C014D3" w:rsidRPr="00476544">
        <w:rPr>
          <w:rFonts w:ascii="Arial" w:hAnsi="Arial" w:cs="Arial"/>
          <w:color w:val="000000" w:themeColor="text1"/>
          <w:sz w:val="22"/>
          <w:szCs w:val="22"/>
        </w:rPr>
        <w:t>:</w:t>
      </w:r>
    </w:p>
    <w:p w14:paraId="0D5F6A4D" w14:textId="77777777" w:rsidR="00C014D3" w:rsidRPr="00476544" w:rsidRDefault="00C014D3" w:rsidP="00C014D3">
      <w:pPr>
        <w:ind w:left="851" w:right="902"/>
        <w:jc w:val="both"/>
        <w:rPr>
          <w:rFonts w:ascii="Arial" w:hAnsi="Arial" w:cs="Arial"/>
          <w:color w:val="000000" w:themeColor="text1"/>
          <w:sz w:val="22"/>
          <w:szCs w:val="22"/>
        </w:rPr>
      </w:pPr>
      <w:r w:rsidRPr="00476544">
        <w:rPr>
          <w:rFonts w:ascii="Arial" w:hAnsi="Arial" w:cs="Arial"/>
          <w:color w:val="000000" w:themeColor="text1"/>
          <w:sz w:val="22"/>
          <w:szCs w:val="22"/>
        </w:rPr>
        <w:t> </w:t>
      </w:r>
    </w:p>
    <w:p w14:paraId="11ED1E8D" w14:textId="5A6F0338" w:rsidR="00C014D3" w:rsidRPr="00353092" w:rsidRDefault="00353092" w:rsidP="00531E6B">
      <w:pPr>
        <w:spacing w:after="120"/>
        <w:ind w:left="709" w:right="709"/>
        <w:jc w:val="both"/>
        <w:rPr>
          <w:rFonts w:ascii="Arial" w:hAnsi="Arial" w:cs="Arial"/>
          <w:color w:val="000000" w:themeColor="text1"/>
          <w:sz w:val="21"/>
          <w:szCs w:val="21"/>
        </w:rPr>
      </w:pPr>
      <w:r w:rsidRPr="00353092">
        <w:rPr>
          <w:rFonts w:ascii="Arial" w:hAnsi="Arial" w:cs="Arial"/>
          <w:sz w:val="21"/>
          <w:szCs w:val="21"/>
        </w:rPr>
        <w:t>«</w:t>
      </w:r>
      <w:r w:rsidR="00C014D3" w:rsidRPr="00353092">
        <w:rPr>
          <w:rFonts w:ascii="Arial" w:hAnsi="Arial" w:cs="Arial"/>
          <w:color w:val="000000" w:themeColor="text1"/>
          <w:sz w:val="21"/>
          <w:szCs w:val="21"/>
        </w:rPr>
        <w:t xml:space="preserve">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w:t>
      </w:r>
      <w:r w:rsidR="00C014D3" w:rsidRPr="00353092">
        <w:rPr>
          <w:rFonts w:ascii="Arial" w:hAnsi="Arial" w:cs="Arial"/>
          <w:color w:val="000000" w:themeColor="text1"/>
          <w:sz w:val="21"/>
          <w:szCs w:val="21"/>
        </w:rPr>
        <w:lastRenderedPageBreak/>
        <w:t>mismo que los rendimientos y excedentes financieros que resulten al cierre del ejercicio contable.</w:t>
      </w:r>
    </w:p>
    <w:p w14:paraId="50B9AF15" w14:textId="6670C540" w:rsidR="00C014D3" w:rsidRPr="00476544" w:rsidRDefault="00C014D3" w:rsidP="00531E6B">
      <w:pPr>
        <w:ind w:left="709" w:right="709"/>
        <w:jc w:val="both"/>
        <w:rPr>
          <w:rFonts w:ascii="Arial" w:hAnsi="Arial" w:cs="Arial"/>
          <w:color w:val="000000" w:themeColor="text1"/>
          <w:sz w:val="20"/>
          <w:szCs w:val="20"/>
        </w:rPr>
      </w:pPr>
      <w:r w:rsidRPr="00353092">
        <w:rPr>
          <w:rFonts w:ascii="Arial" w:hAnsi="Arial" w:cs="Arial"/>
          <w:color w:val="000000" w:themeColor="text1"/>
          <w:sz w:val="21"/>
          <w:szCs w:val="21"/>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w:t>
      </w:r>
      <w:r w:rsidR="00353092" w:rsidRPr="00353092">
        <w:rPr>
          <w:rFonts w:ascii="Arial" w:hAnsi="Arial" w:cs="Arial"/>
          <w:sz w:val="21"/>
          <w:szCs w:val="21"/>
        </w:rPr>
        <w:t>»</w:t>
      </w:r>
    </w:p>
    <w:p w14:paraId="7473B25B" w14:textId="7F2E49B8" w:rsidR="00C014D3" w:rsidRDefault="00C014D3" w:rsidP="00C014D3">
      <w:pPr>
        <w:spacing w:line="276" w:lineRule="auto"/>
        <w:jc w:val="both"/>
        <w:rPr>
          <w:rFonts w:ascii="Arial" w:hAnsi="Arial" w:cs="Arial"/>
          <w:color w:val="000000" w:themeColor="text1"/>
          <w:sz w:val="22"/>
          <w:szCs w:val="22"/>
        </w:rPr>
      </w:pPr>
    </w:p>
    <w:p w14:paraId="6781FBC2" w14:textId="5C7B095F" w:rsidR="002A75EC" w:rsidRDefault="003233A2" w:rsidP="00FD3E77">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Al analizar </w:t>
      </w:r>
      <w:r w:rsidR="002663A9">
        <w:rPr>
          <w:rFonts w:ascii="Arial" w:hAnsi="Arial" w:cs="Arial"/>
          <w:color w:val="000000" w:themeColor="text1"/>
          <w:sz w:val="22"/>
          <w:szCs w:val="22"/>
        </w:rPr>
        <w:t xml:space="preserve">la norma transcrita se </w:t>
      </w:r>
      <w:r>
        <w:rPr>
          <w:rFonts w:ascii="Arial" w:hAnsi="Arial" w:cs="Arial"/>
          <w:color w:val="000000" w:themeColor="text1"/>
          <w:sz w:val="22"/>
          <w:szCs w:val="22"/>
        </w:rPr>
        <w:t>enc</w:t>
      </w:r>
      <w:r w:rsidR="002663A9">
        <w:rPr>
          <w:rFonts w:ascii="Arial" w:hAnsi="Arial" w:cs="Arial"/>
          <w:color w:val="000000" w:themeColor="text1"/>
          <w:sz w:val="22"/>
          <w:szCs w:val="22"/>
        </w:rPr>
        <w:t xml:space="preserve">uentra, por un lado, </w:t>
      </w:r>
      <w:r>
        <w:rPr>
          <w:rFonts w:ascii="Arial" w:hAnsi="Arial" w:cs="Arial"/>
          <w:color w:val="000000" w:themeColor="text1"/>
          <w:sz w:val="22"/>
          <w:szCs w:val="22"/>
        </w:rPr>
        <w:t xml:space="preserve">que </w:t>
      </w:r>
      <w:r w:rsidR="00353092">
        <w:rPr>
          <w:rFonts w:ascii="Arial" w:hAnsi="Arial" w:cs="Arial"/>
          <w:color w:val="000000" w:themeColor="text1"/>
          <w:sz w:val="22"/>
          <w:szCs w:val="22"/>
        </w:rPr>
        <w:t xml:space="preserve">se trata de gravámenes que </w:t>
      </w:r>
      <w:r>
        <w:rPr>
          <w:rFonts w:ascii="Arial" w:hAnsi="Arial" w:cs="Arial"/>
          <w:color w:val="000000" w:themeColor="text1"/>
          <w:sz w:val="22"/>
          <w:szCs w:val="22"/>
        </w:rPr>
        <w:t>afecta</w:t>
      </w:r>
      <w:r w:rsidR="00353092">
        <w:rPr>
          <w:rFonts w:ascii="Arial" w:hAnsi="Arial" w:cs="Arial"/>
          <w:color w:val="000000" w:themeColor="text1"/>
          <w:sz w:val="22"/>
          <w:szCs w:val="22"/>
        </w:rPr>
        <w:t>n</w:t>
      </w:r>
      <w:r>
        <w:rPr>
          <w:rFonts w:ascii="Arial" w:hAnsi="Arial" w:cs="Arial"/>
          <w:color w:val="000000" w:themeColor="text1"/>
          <w:sz w:val="22"/>
          <w:szCs w:val="22"/>
        </w:rPr>
        <w:t xml:space="preserve"> determinado grupo social</w:t>
      </w:r>
      <w:r w:rsidR="00353092">
        <w:rPr>
          <w:rFonts w:ascii="Arial" w:hAnsi="Arial" w:cs="Arial"/>
          <w:color w:val="000000" w:themeColor="text1"/>
          <w:sz w:val="22"/>
          <w:szCs w:val="22"/>
        </w:rPr>
        <w:t xml:space="preserve"> o económico,</w:t>
      </w:r>
      <w:r>
        <w:rPr>
          <w:rFonts w:ascii="Arial" w:hAnsi="Arial" w:cs="Arial"/>
          <w:color w:val="000000" w:themeColor="text1"/>
          <w:sz w:val="22"/>
          <w:szCs w:val="22"/>
        </w:rPr>
        <w:t xml:space="preserve"> con un fin espec</w:t>
      </w:r>
      <w:r w:rsidR="00353092">
        <w:rPr>
          <w:rFonts w:ascii="Arial" w:hAnsi="Arial" w:cs="Arial"/>
          <w:color w:val="000000" w:themeColor="text1"/>
          <w:sz w:val="22"/>
          <w:szCs w:val="22"/>
        </w:rPr>
        <w:t>í</w:t>
      </w:r>
      <w:r>
        <w:rPr>
          <w:rFonts w:ascii="Arial" w:hAnsi="Arial" w:cs="Arial"/>
          <w:color w:val="000000" w:themeColor="text1"/>
          <w:sz w:val="22"/>
          <w:szCs w:val="22"/>
        </w:rPr>
        <w:t xml:space="preserve">fico </w:t>
      </w:r>
      <w:r w:rsidR="00353092">
        <w:rPr>
          <w:rFonts w:ascii="Arial" w:hAnsi="Arial" w:cs="Arial"/>
          <w:color w:val="000000" w:themeColor="text1"/>
          <w:sz w:val="22"/>
          <w:szCs w:val="22"/>
        </w:rPr>
        <w:t xml:space="preserve">de </w:t>
      </w:r>
      <w:r>
        <w:rPr>
          <w:rFonts w:ascii="Arial" w:hAnsi="Arial" w:cs="Arial"/>
          <w:color w:val="000000" w:themeColor="text1"/>
          <w:sz w:val="22"/>
          <w:szCs w:val="22"/>
        </w:rPr>
        <w:t>benefici</w:t>
      </w:r>
      <w:r w:rsidR="00353092">
        <w:rPr>
          <w:rFonts w:ascii="Arial" w:hAnsi="Arial" w:cs="Arial"/>
          <w:color w:val="000000" w:themeColor="text1"/>
          <w:sz w:val="22"/>
          <w:szCs w:val="22"/>
        </w:rPr>
        <w:t xml:space="preserve">ar </w:t>
      </w:r>
      <w:r w:rsidR="00F053F3">
        <w:rPr>
          <w:rFonts w:ascii="Arial" w:hAnsi="Arial" w:cs="Arial"/>
          <w:color w:val="000000" w:themeColor="text1"/>
          <w:sz w:val="22"/>
          <w:szCs w:val="22"/>
        </w:rPr>
        <w:t xml:space="preserve">un </w:t>
      </w:r>
      <w:r>
        <w:rPr>
          <w:rFonts w:ascii="Arial" w:hAnsi="Arial" w:cs="Arial"/>
          <w:color w:val="000000" w:themeColor="text1"/>
          <w:sz w:val="22"/>
          <w:szCs w:val="22"/>
        </w:rPr>
        <w:t xml:space="preserve">sector </w:t>
      </w:r>
      <w:r w:rsidR="00F053F3">
        <w:rPr>
          <w:rFonts w:ascii="Arial" w:hAnsi="Arial" w:cs="Arial"/>
          <w:color w:val="000000" w:themeColor="text1"/>
          <w:sz w:val="22"/>
          <w:szCs w:val="22"/>
        </w:rPr>
        <w:t>o grupo poblacional determinado</w:t>
      </w:r>
      <w:r w:rsidR="002663A9">
        <w:rPr>
          <w:rFonts w:ascii="Arial" w:hAnsi="Arial" w:cs="Arial"/>
          <w:color w:val="000000" w:themeColor="text1"/>
          <w:sz w:val="22"/>
          <w:szCs w:val="22"/>
        </w:rPr>
        <w:t xml:space="preserve"> y, por el otro, que se trata de recursos que pueden ser administrados por distintos sujetos</w:t>
      </w:r>
      <w:r w:rsidR="00353092">
        <w:rPr>
          <w:rFonts w:ascii="Arial" w:hAnsi="Arial" w:cs="Arial"/>
          <w:color w:val="000000" w:themeColor="text1"/>
          <w:sz w:val="22"/>
          <w:szCs w:val="22"/>
        </w:rPr>
        <w:t xml:space="preserve">. </w:t>
      </w:r>
      <w:r w:rsidR="00F053F3">
        <w:rPr>
          <w:rFonts w:ascii="Arial" w:hAnsi="Arial" w:cs="Arial"/>
          <w:color w:val="000000" w:themeColor="text1"/>
          <w:sz w:val="22"/>
          <w:szCs w:val="22"/>
        </w:rPr>
        <w:t>Al respecto</w:t>
      </w:r>
      <w:r w:rsidR="00353092">
        <w:rPr>
          <w:rFonts w:ascii="Arial" w:hAnsi="Arial" w:cs="Arial"/>
          <w:color w:val="000000" w:themeColor="text1"/>
          <w:sz w:val="22"/>
          <w:szCs w:val="22"/>
        </w:rPr>
        <w:t xml:space="preserve">, </w:t>
      </w:r>
      <w:r w:rsidR="002A75EC">
        <w:rPr>
          <w:rFonts w:ascii="Arial" w:hAnsi="Arial" w:cs="Arial"/>
          <w:color w:val="000000" w:themeColor="text1"/>
          <w:sz w:val="22"/>
          <w:szCs w:val="22"/>
        </w:rPr>
        <w:t>la Corte Constitucional, en sentencia C-298 de 1998, concluyó que la naturaleza jurídica de los recursos parafiscales las convierte en:</w:t>
      </w:r>
    </w:p>
    <w:p w14:paraId="7DB1949B" w14:textId="209EE7D9" w:rsidR="002A75EC" w:rsidRDefault="002A75EC" w:rsidP="00FD3E77">
      <w:pPr>
        <w:spacing w:line="276" w:lineRule="auto"/>
        <w:ind w:firstLine="708"/>
        <w:jc w:val="both"/>
        <w:rPr>
          <w:rFonts w:ascii="Arial" w:hAnsi="Arial" w:cs="Arial"/>
          <w:color w:val="000000" w:themeColor="text1"/>
          <w:sz w:val="22"/>
          <w:szCs w:val="22"/>
        </w:rPr>
      </w:pPr>
    </w:p>
    <w:p w14:paraId="0B313080" w14:textId="21B8D0FC" w:rsidR="002A75EC" w:rsidRPr="002A75EC" w:rsidRDefault="002A75EC" w:rsidP="003D22F3">
      <w:pPr>
        <w:ind w:left="709" w:right="758"/>
        <w:jc w:val="both"/>
        <w:rPr>
          <w:rFonts w:ascii="Arial" w:hAnsi="Arial" w:cs="Arial"/>
          <w:color w:val="000000" w:themeColor="text1"/>
          <w:sz w:val="21"/>
          <w:szCs w:val="21"/>
        </w:rPr>
      </w:pPr>
      <w:r>
        <w:rPr>
          <w:rFonts w:ascii="Arial" w:hAnsi="Arial" w:cs="Arial"/>
          <w:color w:val="000000" w:themeColor="text1"/>
          <w:sz w:val="21"/>
          <w:szCs w:val="21"/>
        </w:rPr>
        <w:t xml:space="preserve">[…] </w:t>
      </w:r>
      <w:r w:rsidRPr="002A75EC">
        <w:rPr>
          <w:rFonts w:ascii="Arial" w:hAnsi="Arial" w:cs="Arial"/>
          <w:color w:val="000000" w:themeColor="text1"/>
          <w:sz w:val="21"/>
          <w:szCs w:val="21"/>
        </w:rPr>
        <w:t>contribuciones obligatorias impuestas con base en el poder fiscal del Estado, por lo cual se encuentran sometidas al principio de legalidad. Por ello la Ley debe fijar con precisión los hechos generadores, las bases gravables, las tarifas y los sujetos activos y pasivos de estas contribuciones. Las contribuciones parafiscales tienen una naturaleza excepcional y unos caracteres que las distinguen, en especial por cuanto no afectan genéricamente a todas las personas con igual capacidad de pago, ya que la ley obliga sólo a un grupo de personas a efectuar la cuot</w:t>
      </w:r>
      <w:r>
        <w:rPr>
          <w:rFonts w:ascii="Arial" w:hAnsi="Arial" w:cs="Arial"/>
          <w:color w:val="000000" w:themeColor="text1"/>
          <w:sz w:val="21"/>
          <w:szCs w:val="21"/>
        </w:rPr>
        <w:t>a</w:t>
      </w:r>
      <w:r w:rsidR="00547A9E">
        <w:rPr>
          <w:rFonts w:ascii="Arial" w:hAnsi="Arial" w:cs="Arial"/>
          <w:sz w:val="21"/>
          <w:szCs w:val="21"/>
        </w:rPr>
        <w:t>[…]</w:t>
      </w:r>
      <w:r>
        <w:rPr>
          <w:rStyle w:val="Refdenotaalpie"/>
          <w:rFonts w:ascii="Arial" w:hAnsi="Arial" w:cs="Arial"/>
          <w:sz w:val="21"/>
          <w:szCs w:val="21"/>
        </w:rPr>
        <w:footnoteReference w:id="11"/>
      </w:r>
    </w:p>
    <w:p w14:paraId="7D6B5952" w14:textId="77777777" w:rsidR="002A75EC" w:rsidRDefault="002A75EC" w:rsidP="002A75EC">
      <w:pPr>
        <w:spacing w:line="276" w:lineRule="auto"/>
        <w:jc w:val="both"/>
        <w:rPr>
          <w:rFonts w:ascii="Arial" w:hAnsi="Arial" w:cs="Arial"/>
          <w:color w:val="000000" w:themeColor="text1"/>
          <w:sz w:val="22"/>
          <w:szCs w:val="22"/>
        </w:rPr>
      </w:pPr>
    </w:p>
    <w:p w14:paraId="07ACF1F1" w14:textId="38E6C32D" w:rsidR="00547A9E" w:rsidRDefault="00B06567" w:rsidP="00531E6B">
      <w:pPr>
        <w:spacing w:before="120"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Además, </w:t>
      </w:r>
      <w:r w:rsidR="003233A2">
        <w:rPr>
          <w:rFonts w:ascii="Arial" w:hAnsi="Arial" w:cs="Arial"/>
          <w:color w:val="000000" w:themeColor="text1"/>
          <w:sz w:val="22"/>
          <w:szCs w:val="22"/>
        </w:rPr>
        <w:t>la Corte Constitucional</w:t>
      </w:r>
      <w:r w:rsidR="00547A9E" w:rsidRPr="00B06567">
        <w:rPr>
          <w:rStyle w:val="Refdenotaalpie"/>
          <w:rFonts w:ascii="Arial" w:hAnsi="Arial" w:cs="Arial"/>
          <w:color w:val="000000" w:themeColor="text1"/>
          <w:sz w:val="21"/>
          <w:szCs w:val="21"/>
        </w:rPr>
        <w:footnoteReference w:id="12"/>
      </w:r>
      <w:r w:rsidR="003233A2">
        <w:rPr>
          <w:rFonts w:ascii="Arial" w:hAnsi="Arial" w:cs="Arial"/>
          <w:color w:val="000000" w:themeColor="text1"/>
          <w:sz w:val="22"/>
          <w:szCs w:val="22"/>
        </w:rPr>
        <w:t xml:space="preserve"> ha </w:t>
      </w:r>
      <w:r w:rsidR="00353092">
        <w:rPr>
          <w:rFonts w:ascii="Arial" w:hAnsi="Arial" w:cs="Arial"/>
          <w:color w:val="000000" w:themeColor="text1"/>
          <w:sz w:val="22"/>
          <w:szCs w:val="22"/>
        </w:rPr>
        <w:t xml:space="preserve">decantado </w:t>
      </w:r>
      <w:r w:rsidR="003233A2">
        <w:rPr>
          <w:rFonts w:ascii="Arial" w:hAnsi="Arial" w:cs="Arial"/>
          <w:color w:val="000000" w:themeColor="text1"/>
          <w:sz w:val="22"/>
          <w:szCs w:val="22"/>
        </w:rPr>
        <w:t xml:space="preserve">ciertas </w:t>
      </w:r>
      <w:r w:rsidR="002663A9">
        <w:rPr>
          <w:rFonts w:ascii="Arial" w:hAnsi="Arial" w:cs="Arial"/>
          <w:color w:val="000000" w:themeColor="text1"/>
          <w:sz w:val="22"/>
          <w:szCs w:val="22"/>
        </w:rPr>
        <w:t>características</w:t>
      </w:r>
      <w:r w:rsidR="003233A2">
        <w:rPr>
          <w:rFonts w:ascii="Arial" w:hAnsi="Arial" w:cs="Arial"/>
          <w:color w:val="000000" w:themeColor="text1"/>
          <w:sz w:val="22"/>
          <w:szCs w:val="22"/>
        </w:rPr>
        <w:t xml:space="preserve"> esenciales a las contribuciones parafiscales</w:t>
      </w:r>
      <w:r w:rsidR="002663A9">
        <w:rPr>
          <w:rFonts w:ascii="Arial" w:hAnsi="Arial" w:cs="Arial"/>
          <w:color w:val="000000" w:themeColor="text1"/>
          <w:sz w:val="22"/>
          <w:szCs w:val="22"/>
        </w:rPr>
        <w:t>,</w:t>
      </w:r>
      <w:r w:rsidR="00547A9E">
        <w:rPr>
          <w:rFonts w:ascii="Arial" w:hAnsi="Arial" w:cs="Arial"/>
          <w:color w:val="000000" w:themeColor="text1"/>
          <w:sz w:val="22"/>
          <w:szCs w:val="22"/>
        </w:rPr>
        <w:t xml:space="preserve"> como que son obligatorias, al exigirse como todos los impuestos y contribuciones, de igual forma se grava exclusivamente un grupo, gremio o sector económico; otra característica podría ser que se invierten en beneficio de un sector determinado, entre otras cosas podríamos decir igualmente que son recursos públicos, que pertenecen al Estado aunque esten destinados a favorecer a un gremio o grupo. Entre otras caracteristicas que nos trae la sentencia. </w:t>
      </w:r>
    </w:p>
    <w:p w14:paraId="28D24DFE" w14:textId="54A7E220" w:rsidR="008B52AD" w:rsidRDefault="003233A2" w:rsidP="00531E6B">
      <w:pPr>
        <w:spacing w:before="120" w:line="276" w:lineRule="auto"/>
        <w:jc w:val="both"/>
        <w:rPr>
          <w:rFonts w:ascii="Arial" w:hAnsi="Arial" w:cs="Arial"/>
          <w:color w:val="000000" w:themeColor="text1"/>
          <w:sz w:val="22"/>
          <w:szCs w:val="22"/>
        </w:rPr>
      </w:pPr>
      <w:r>
        <w:rPr>
          <w:rFonts w:ascii="Arial" w:hAnsi="Arial" w:cs="Arial"/>
          <w:color w:val="000000" w:themeColor="text1"/>
          <w:sz w:val="22"/>
          <w:szCs w:val="22"/>
        </w:rPr>
        <w:tab/>
      </w:r>
      <w:r w:rsidR="00B06567">
        <w:rPr>
          <w:rFonts w:ascii="Arial" w:hAnsi="Arial" w:cs="Arial"/>
          <w:color w:val="000000" w:themeColor="text1"/>
          <w:sz w:val="22"/>
          <w:szCs w:val="22"/>
        </w:rPr>
        <w:t xml:space="preserve">Ahora bien, en relación con las entidades que reciben y administran recursos parafiscales es ilustrativo </w:t>
      </w:r>
      <w:r w:rsidR="008B52AD">
        <w:rPr>
          <w:rFonts w:ascii="Arial" w:hAnsi="Arial" w:cs="Arial"/>
          <w:color w:val="000000" w:themeColor="text1"/>
          <w:sz w:val="22"/>
          <w:szCs w:val="22"/>
        </w:rPr>
        <w:t xml:space="preserve">el artículo 108 del Estatuto Tributario, el cual dispone: </w:t>
      </w:r>
    </w:p>
    <w:p w14:paraId="60BC23D6" w14:textId="2CB7AF2C" w:rsidR="008B52AD" w:rsidRDefault="008B52AD" w:rsidP="008B52AD">
      <w:pPr>
        <w:spacing w:line="276" w:lineRule="auto"/>
        <w:jc w:val="both"/>
        <w:rPr>
          <w:rFonts w:ascii="Arial" w:hAnsi="Arial" w:cs="Arial"/>
          <w:color w:val="000000" w:themeColor="text1"/>
          <w:sz w:val="22"/>
          <w:szCs w:val="22"/>
        </w:rPr>
      </w:pPr>
    </w:p>
    <w:p w14:paraId="28D6EF86" w14:textId="479AD678" w:rsidR="008B52AD" w:rsidRPr="003D22F3" w:rsidRDefault="003D22F3" w:rsidP="00531E6B">
      <w:pPr>
        <w:spacing w:after="120"/>
        <w:ind w:left="709" w:right="709"/>
        <w:jc w:val="both"/>
        <w:rPr>
          <w:rFonts w:ascii="Arial" w:hAnsi="Arial" w:cs="Arial"/>
          <w:color w:val="000000" w:themeColor="text1"/>
          <w:sz w:val="21"/>
          <w:szCs w:val="21"/>
        </w:rPr>
      </w:pPr>
      <w:r w:rsidRPr="00353092">
        <w:rPr>
          <w:rFonts w:ascii="Arial" w:hAnsi="Arial" w:cs="Arial"/>
          <w:sz w:val="21"/>
          <w:szCs w:val="21"/>
        </w:rPr>
        <w:t>«</w:t>
      </w:r>
      <w:r w:rsidR="008B52AD" w:rsidRPr="003D22F3">
        <w:rPr>
          <w:rFonts w:ascii="Arial" w:hAnsi="Arial" w:cs="Arial"/>
          <w:color w:val="000000" w:themeColor="text1"/>
          <w:sz w:val="21"/>
          <w:szCs w:val="21"/>
        </w:rPr>
        <w:t xml:space="preserve">Artículo 108. Los aportes parafiscales son requisito para la deducción de salarios. Para aceptar la deducción por salarios, los patronos obligados a pagar subsidio familiar y a hacer aportes al Servicio Nacional de Aprendizaje (SENA), al Instituto de Seguros Sociales (ISS), y al Instituto Colombiano de Bienestar </w:t>
      </w:r>
      <w:r w:rsidR="008B52AD" w:rsidRPr="003D22F3">
        <w:rPr>
          <w:rFonts w:ascii="Arial" w:hAnsi="Arial" w:cs="Arial"/>
          <w:color w:val="000000" w:themeColor="text1"/>
          <w:sz w:val="21"/>
          <w:szCs w:val="21"/>
        </w:rPr>
        <w:lastRenderedPageBreak/>
        <w:t>Familiar (ICBF), deben estar a paz y salvo por tales conceptos por el respectivo año o período gravable, para lo cual, los recibos expedidos por las entidades recaudadoras constituirán prueba de tales aportes. Los empleadores deberán además demostrar que están a paz y salvo en relación con el pago de los aportes obligatorios previstos en la Ley 100 de 1993.</w:t>
      </w:r>
    </w:p>
    <w:p w14:paraId="17EA2D80" w14:textId="38E9B8BE" w:rsidR="003D22F3" w:rsidRPr="003D22F3" w:rsidRDefault="008B52AD" w:rsidP="00531E6B">
      <w:pPr>
        <w:ind w:left="708" w:right="758"/>
        <w:jc w:val="both"/>
        <w:rPr>
          <w:rFonts w:ascii="Arial" w:hAnsi="Arial" w:cs="Arial"/>
          <w:color w:val="000000" w:themeColor="text1"/>
          <w:sz w:val="21"/>
          <w:szCs w:val="21"/>
        </w:rPr>
      </w:pPr>
      <w:r w:rsidRPr="003D22F3">
        <w:rPr>
          <w:rFonts w:ascii="Arial" w:hAnsi="Arial" w:cs="Arial"/>
          <w:color w:val="000000" w:themeColor="text1"/>
          <w:sz w:val="21"/>
          <w:szCs w:val="21"/>
        </w:rPr>
        <w:t>Adicionalmente, para aceptar la deducción de los pagos correspondientes a descansos remunerados, es necesario estar a paz y salvo con el SENA y las cajas de compensación familiar.</w:t>
      </w:r>
      <w:r w:rsidR="003D22F3" w:rsidRPr="003D22F3">
        <w:rPr>
          <w:rFonts w:ascii="Arial" w:hAnsi="Arial" w:cs="Arial"/>
          <w:color w:val="000000" w:themeColor="text1"/>
          <w:sz w:val="21"/>
          <w:szCs w:val="21"/>
        </w:rPr>
        <w:t>[…]</w:t>
      </w:r>
      <w:r w:rsidR="003D22F3" w:rsidRPr="00353092">
        <w:rPr>
          <w:rFonts w:ascii="Arial" w:hAnsi="Arial" w:cs="Arial"/>
          <w:sz w:val="21"/>
          <w:szCs w:val="21"/>
        </w:rPr>
        <w:t>»</w:t>
      </w:r>
    </w:p>
    <w:p w14:paraId="259E3E21" w14:textId="18BE9001" w:rsidR="008B52AD" w:rsidRDefault="008B52AD" w:rsidP="008B52AD">
      <w:pPr>
        <w:spacing w:line="276" w:lineRule="auto"/>
        <w:jc w:val="both"/>
      </w:pPr>
    </w:p>
    <w:p w14:paraId="7C301EF3" w14:textId="4AA73DFF" w:rsidR="00AD4216" w:rsidRDefault="007C5E25" w:rsidP="00531E6B">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A su turno, el artículo 217 de la Ley 100 de 1993</w:t>
      </w:r>
      <w:r w:rsidR="00547A9E">
        <w:rPr>
          <w:rStyle w:val="Refdenotaalpie"/>
          <w:rFonts w:ascii="Arial" w:hAnsi="Arial" w:cs="Arial"/>
          <w:color w:val="000000" w:themeColor="text1"/>
          <w:sz w:val="22"/>
          <w:szCs w:val="22"/>
        </w:rPr>
        <w:footnoteReference w:id="13"/>
      </w:r>
      <w:r w:rsidR="00547A9E">
        <w:rPr>
          <w:rFonts w:ascii="Arial" w:hAnsi="Arial" w:cs="Arial"/>
          <w:color w:val="000000" w:themeColor="text1"/>
          <w:sz w:val="22"/>
          <w:szCs w:val="22"/>
        </w:rPr>
        <w:t xml:space="preserve">, fue estudiado por </w:t>
      </w:r>
      <w:r w:rsidR="00AD4216">
        <w:rPr>
          <w:rFonts w:ascii="Arial" w:hAnsi="Arial" w:cs="Arial"/>
          <w:color w:val="000000" w:themeColor="text1"/>
          <w:sz w:val="22"/>
          <w:szCs w:val="22"/>
        </w:rPr>
        <w:t>la Corte Constitucional, en sentencia C-18</w:t>
      </w:r>
      <w:r w:rsidR="00F779BA">
        <w:rPr>
          <w:rFonts w:ascii="Arial" w:hAnsi="Arial" w:cs="Arial"/>
          <w:color w:val="000000" w:themeColor="text1"/>
          <w:sz w:val="22"/>
          <w:szCs w:val="22"/>
        </w:rPr>
        <w:t>3</w:t>
      </w:r>
      <w:r w:rsidR="00AD4216">
        <w:rPr>
          <w:rFonts w:ascii="Arial" w:hAnsi="Arial" w:cs="Arial"/>
          <w:color w:val="000000" w:themeColor="text1"/>
          <w:sz w:val="22"/>
          <w:szCs w:val="22"/>
        </w:rPr>
        <w:t xml:space="preserve"> de 1997,</w:t>
      </w:r>
      <w:r w:rsidR="00547A9E">
        <w:rPr>
          <w:rFonts w:ascii="Arial" w:hAnsi="Arial" w:cs="Arial"/>
          <w:color w:val="000000" w:themeColor="text1"/>
          <w:sz w:val="22"/>
          <w:szCs w:val="22"/>
        </w:rPr>
        <w:t xml:space="preserve"> y esta</w:t>
      </w:r>
      <w:r w:rsidR="00AD4216">
        <w:rPr>
          <w:rFonts w:ascii="Arial" w:hAnsi="Arial" w:cs="Arial"/>
          <w:color w:val="000000" w:themeColor="text1"/>
          <w:sz w:val="22"/>
          <w:szCs w:val="22"/>
        </w:rPr>
        <w:t xml:space="preserve"> </w:t>
      </w:r>
      <w:r w:rsidR="008855C4">
        <w:rPr>
          <w:rFonts w:ascii="Arial" w:hAnsi="Arial" w:cs="Arial"/>
          <w:color w:val="000000" w:themeColor="text1"/>
          <w:sz w:val="22"/>
          <w:szCs w:val="22"/>
        </w:rPr>
        <w:t xml:space="preserve">consideró </w:t>
      </w:r>
      <w:r w:rsidR="00AD4216">
        <w:rPr>
          <w:rFonts w:ascii="Arial" w:hAnsi="Arial" w:cs="Arial"/>
          <w:color w:val="000000" w:themeColor="text1"/>
          <w:sz w:val="22"/>
          <w:szCs w:val="22"/>
        </w:rPr>
        <w:t>que:</w:t>
      </w:r>
    </w:p>
    <w:p w14:paraId="5D70F46D" w14:textId="7AA0D480" w:rsidR="00AD4216" w:rsidRDefault="00AD4216" w:rsidP="007C5E25">
      <w:pPr>
        <w:spacing w:line="276" w:lineRule="auto"/>
        <w:ind w:firstLine="708"/>
        <w:jc w:val="both"/>
        <w:rPr>
          <w:rFonts w:ascii="Arial" w:hAnsi="Arial" w:cs="Arial"/>
          <w:color w:val="000000" w:themeColor="text1"/>
          <w:sz w:val="22"/>
          <w:szCs w:val="22"/>
        </w:rPr>
      </w:pPr>
    </w:p>
    <w:p w14:paraId="0705369A" w14:textId="1D3ED056" w:rsidR="00AD4216" w:rsidRDefault="00AD4216" w:rsidP="00531E6B">
      <w:pPr>
        <w:ind w:left="709" w:right="709"/>
        <w:jc w:val="both"/>
        <w:rPr>
          <w:rFonts w:ascii="Arial" w:hAnsi="Arial" w:cs="Arial"/>
          <w:sz w:val="21"/>
          <w:szCs w:val="21"/>
        </w:rPr>
      </w:pPr>
      <w:r w:rsidRPr="00353092">
        <w:rPr>
          <w:rFonts w:ascii="Arial" w:hAnsi="Arial" w:cs="Arial"/>
          <w:sz w:val="21"/>
          <w:szCs w:val="21"/>
        </w:rPr>
        <w:t>«</w:t>
      </w:r>
      <w:r w:rsidRPr="00AD4216">
        <w:rPr>
          <w:rFonts w:ascii="Arial" w:hAnsi="Arial" w:cs="Arial"/>
          <w:color w:val="000000" w:themeColor="text1"/>
          <w:sz w:val="21"/>
          <w:szCs w:val="21"/>
        </w:rPr>
        <w:t>La disposición acusada cumple a cabalidad con los requisitos de la parafiscalidad, por cuanto plasma una contribución a cargo de entidades pertenecientes a determinado sector económico, cuyos fondos se reinvierten en el mismo. Los recursos que administran las cajas de compensación familiar no pertenecen a ellas sino que corresponden a un interés legítimo de los trabajadores, lo cual implica que es éste último sector -el del trabajo- el sujeto pasivo de la contribución y, a la vez, el sector beneficiario del producto de la misma, en cuanto son los trabajadores los favorecidos por el régimen de subsidios en salud, bien que los dineros correspondientes se administren directamente por las mismas cajas -como lo autoriza la norma, bajo la modalidad de cuentas independientes de las que corresponden al resto de sus rentas y bienes-, ya sea que se manejen dentro de la subcuenta de solidaridad del Fondo de Solidaridad y Garantía.</w:t>
      </w:r>
      <w:r w:rsidRPr="00353092">
        <w:rPr>
          <w:rFonts w:ascii="Arial" w:hAnsi="Arial" w:cs="Arial"/>
          <w:sz w:val="21"/>
          <w:szCs w:val="21"/>
        </w:rPr>
        <w:t>»</w:t>
      </w:r>
    </w:p>
    <w:p w14:paraId="0DCB31D0" w14:textId="47429F60" w:rsidR="00B651A5" w:rsidRDefault="00B651A5" w:rsidP="00531E6B">
      <w:pPr>
        <w:ind w:left="709" w:right="709"/>
        <w:jc w:val="both"/>
        <w:rPr>
          <w:rFonts w:ascii="Arial" w:hAnsi="Arial" w:cs="Arial"/>
          <w:sz w:val="21"/>
          <w:szCs w:val="21"/>
        </w:rPr>
      </w:pPr>
    </w:p>
    <w:p w14:paraId="6DF4A262" w14:textId="3728E5D9" w:rsidR="00AD4216" w:rsidRDefault="00B651A5" w:rsidP="008C425C">
      <w:pPr>
        <w:spacing w:after="120" w:line="276" w:lineRule="auto"/>
        <w:ind w:firstLine="709"/>
        <w:jc w:val="both"/>
        <w:rPr>
          <w:rFonts w:ascii="Arial" w:hAnsi="Arial" w:cs="Arial"/>
          <w:color w:val="000000" w:themeColor="text1"/>
          <w:sz w:val="22"/>
          <w:szCs w:val="22"/>
        </w:rPr>
      </w:pPr>
      <w:r w:rsidRPr="00B651A5">
        <w:rPr>
          <w:rFonts w:ascii="Arial" w:hAnsi="Arial" w:cs="Arial"/>
          <w:sz w:val="22"/>
          <w:szCs w:val="22"/>
        </w:rPr>
        <w:lastRenderedPageBreak/>
        <w:t xml:space="preserve">Adicional a lo mencionado, podria hacerse la precisión con base en la Sentencia C-179 de 1997, </w:t>
      </w:r>
      <w:r>
        <w:rPr>
          <w:rFonts w:ascii="Arial" w:hAnsi="Arial" w:cs="Arial"/>
          <w:sz w:val="22"/>
          <w:szCs w:val="22"/>
        </w:rPr>
        <w:t>la cual nos pone de presente que debemos tener en cuenta los fondos de pensiones y las empresas promotoras de salud -EPS- ya que estos tambien administran recursos parafiscales</w:t>
      </w:r>
      <w:r w:rsidR="008C425C">
        <w:rPr>
          <w:rStyle w:val="Refdenotaalpie"/>
          <w:rFonts w:ascii="Arial" w:hAnsi="Arial" w:cs="Arial"/>
          <w:sz w:val="22"/>
          <w:szCs w:val="22"/>
        </w:rPr>
        <w:footnoteReference w:id="14"/>
      </w:r>
      <w:r>
        <w:rPr>
          <w:rFonts w:ascii="Arial" w:hAnsi="Arial" w:cs="Arial"/>
          <w:sz w:val="22"/>
          <w:szCs w:val="22"/>
        </w:rPr>
        <w:t xml:space="preserve">. </w:t>
      </w:r>
    </w:p>
    <w:p w14:paraId="10A66FFD" w14:textId="37067AEB" w:rsidR="008C425C" w:rsidRDefault="003D22F3" w:rsidP="008C425C">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Por tanto, con base en la norma</w:t>
      </w:r>
      <w:r w:rsidR="00AD4216">
        <w:rPr>
          <w:rFonts w:ascii="Arial" w:hAnsi="Arial" w:cs="Arial"/>
          <w:color w:val="000000" w:themeColor="text1"/>
          <w:sz w:val="22"/>
          <w:szCs w:val="22"/>
        </w:rPr>
        <w:t>tiva</w:t>
      </w:r>
      <w:r>
        <w:rPr>
          <w:rFonts w:ascii="Arial" w:hAnsi="Arial" w:cs="Arial"/>
          <w:color w:val="000000" w:themeColor="text1"/>
          <w:sz w:val="22"/>
          <w:szCs w:val="22"/>
        </w:rPr>
        <w:t xml:space="preserve"> </w:t>
      </w:r>
      <w:r w:rsidR="00AD4216">
        <w:rPr>
          <w:rFonts w:ascii="Arial" w:hAnsi="Arial" w:cs="Arial"/>
          <w:color w:val="000000" w:themeColor="text1"/>
          <w:sz w:val="22"/>
          <w:szCs w:val="22"/>
        </w:rPr>
        <w:t xml:space="preserve">y jurisprudencia </w:t>
      </w:r>
      <w:r>
        <w:rPr>
          <w:rFonts w:ascii="Arial" w:hAnsi="Arial" w:cs="Arial"/>
          <w:color w:val="000000" w:themeColor="text1"/>
          <w:sz w:val="22"/>
          <w:szCs w:val="22"/>
        </w:rPr>
        <w:t>transcrita</w:t>
      </w:r>
      <w:r w:rsidR="00AD4216">
        <w:rPr>
          <w:rFonts w:ascii="Arial" w:hAnsi="Arial" w:cs="Arial"/>
          <w:color w:val="000000" w:themeColor="text1"/>
          <w:sz w:val="22"/>
          <w:szCs w:val="22"/>
        </w:rPr>
        <w:t>s,</w:t>
      </w:r>
      <w:r>
        <w:rPr>
          <w:rFonts w:ascii="Arial" w:hAnsi="Arial" w:cs="Arial"/>
          <w:color w:val="000000" w:themeColor="text1"/>
          <w:sz w:val="22"/>
          <w:szCs w:val="22"/>
        </w:rPr>
        <w:t xml:space="preserve"> es posible concluir que </w:t>
      </w:r>
      <w:r w:rsidR="00DB0FC7">
        <w:rPr>
          <w:rFonts w:ascii="Arial" w:hAnsi="Arial" w:cs="Arial"/>
          <w:color w:val="000000" w:themeColor="text1"/>
          <w:sz w:val="22"/>
          <w:szCs w:val="22"/>
        </w:rPr>
        <w:t xml:space="preserve">las entidades </w:t>
      </w:r>
      <w:r>
        <w:rPr>
          <w:rFonts w:ascii="Arial" w:hAnsi="Arial" w:cs="Arial"/>
          <w:color w:val="000000" w:themeColor="text1"/>
          <w:sz w:val="22"/>
          <w:szCs w:val="22"/>
        </w:rPr>
        <w:t xml:space="preserve">las entidades que reciben y administran recursos </w:t>
      </w:r>
      <w:r w:rsidR="00DB0FC7">
        <w:rPr>
          <w:rFonts w:ascii="Arial" w:hAnsi="Arial" w:cs="Arial"/>
          <w:color w:val="000000" w:themeColor="text1"/>
          <w:sz w:val="22"/>
          <w:szCs w:val="22"/>
        </w:rPr>
        <w:t>parafiscales</w:t>
      </w:r>
      <w:r>
        <w:rPr>
          <w:rFonts w:ascii="Arial" w:hAnsi="Arial" w:cs="Arial"/>
          <w:color w:val="000000" w:themeColor="text1"/>
          <w:sz w:val="22"/>
          <w:szCs w:val="22"/>
        </w:rPr>
        <w:t xml:space="preserve"> son el Servicio Nacional de Aprendizaje</w:t>
      </w:r>
      <w:r w:rsidR="00DB0FC7">
        <w:rPr>
          <w:rFonts w:ascii="Arial" w:hAnsi="Arial" w:cs="Arial"/>
          <w:color w:val="000000" w:themeColor="text1"/>
          <w:sz w:val="22"/>
          <w:szCs w:val="22"/>
        </w:rPr>
        <w:t xml:space="preserve"> </w:t>
      </w:r>
      <w:r w:rsidR="006065A9">
        <w:rPr>
          <w:rFonts w:ascii="Arial" w:hAnsi="Arial" w:cs="Arial"/>
          <w:color w:val="000000" w:themeColor="text1"/>
          <w:sz w:val="22"/>
          <w:szCs w:val="22"/>
        </w:rPr>
        <w:t>–</w:t>
      </w:r>
      <w:r w:rsidR="00DB0FC7">
        <w:rPr>
          <w:rFonts w:ascii="Arial" w:hAnsi="Arial" w:cs="Arial"/>
          <w:color w:val="000000" w:themeColor="text1"/>
          <w:sz w:val="22"/>
          <w:szCs w:val="22"/>
        </w:rPr>
        <w:t>SENA</w:t>
      </w:r>
      <w:r w:rsidR="006065A9">
        <w:rPr>
          <w:rFonts w:ascii="Arial" w:hAnsi="Arial" w:cs="Arial"/>
          <w:color w:val="000000" w:themeColor="text1"/>
          <w:sz w:val="22"/>
          <w:szCs w:val="22"/>
        </w:rPr>
        <w:t>–</w:t>
      </w:r>
      <w:r w:rsidR="0019728C">
        <w:rPr>
          <w:rFonts w:ascii="Arial" w:hAnsi="Arial" w:cs="Arial"/>
          <w:color w:val="000000" w:themeColor="text1"/>
          <w:sz w:val="22"/>
          <w:szCs w:val="22"/>
        </w:rPr>
        <w:t>,</w:t>
      </w:r>
      <w:r w:rsidR="007C5E25">
        <w:rPr>
          <w:rFonts w:ascii="Arial" w:hAnsi="Arial" w:cs="Arial"/>
          <w:color w:val="000000" w:themeColor="text1"/>
          <w:sz w:val="22"/>
          <w:szCs w:val="22"/>
        </w:rPr>
        <w:t xml:space="preserve"> el Instituto </w:t>
      </w:r>
      <w:r w:rsidR="00AD4216">
        <w:rPr>
          <w:rFonts w:ascii="Arial" w:hAnsi="Arial" w:cs="Arial"/>
          <w:color w:val="000000" w:themeColor="text1"/>
          <w:sz w:val="22"/>
          <w:szCs w:val="22"/>
        </w:rPr>
        <w:t>C</w:t>
      </w:r>
      <w:r w:rsidR="007C5E25">
        <w:rPr>
          <w:rFonts w:ascii="Arial" w:hAnsi="Arial" w:cs="Arial"/>
          <w:color w:val="000000" w:themeColor="text1"/>
          <w:sz w:val="22"/>
          <w:szCs w:val="22"/>
        </w:rPr>
        <w:t xml:space="preserve">olombiano de </w:t>
      </w:r>
      <w:r w:rsidR="00AD4216">
        <w:rPr>
          <w:rFonts w:ascii="Arial" w:hAnsi="Arial" w:cs="Arial"/>
          <w:color w:val="000000" w:themeColor="text1"/>
          <w:sz w:val="22"/>
          <w:szCs w:val="22"/>
        </w:rPr>
        <w:t>B</w:t>
      </w:r>
      <w:r w:rsidR="007C5E25">
        <w:rPr>
          <w:rFonts w:ascii="Arial" w:hAnsi="Arial" w:cs="Arial"/>
          <w:color w:val="000000" w:themeColor="text1"/>
          <w:sz w:val="22"/>
          <w:szCs w:val="22"/>
        </w:rPr>
        <w:t xml:space="preserve">ienestar </w:t>
      </w:r>
      <w:r w:rsidR="00AD4216">
        <w:rPr>
          <w:rFonts w:ascii="Arial" w:hAnsi="Arial" w:cs="Arial"/>
          <w:color w:val="000000" w:themeColor="text1"/>
          <w:sz w:val="22"/>
          <w:szCs w:val="22"/>
        </w:rPr>
        <w:t>F</w:t>
      </w:r>
      <w:r w:rsidR="007C5E25">
        <w:rPr>
          <w:rFonts w:ascii="Arial" w:hAnsi="Arial" w:cs="Arial"/>
          <w:color w:val="000000" w:themeColor="text1"/>
          <w:sz w:val="22"/>
          <w:szCs w:val="22"/>
        </w:rPr>
        <w:t>amiliar</w:t>
      </w:r>
      <w:r w:rsidR="00AD4216">
        <w:rPr>
          <w:rFonts w:ascii="Arial" w:hAnsi="Arial" w:cs="Arial"/>
          <w:color w:val="000000" w:themeColor="text1"/>
          <w:sz w:val="22"/>
          <w:szCs w:val="22"/>
        </w:rPr>
        <w:t xml:space="preserve"> </w:t>
      </w:r>
      <w:r w:rsidR="006065A9">
        <w:rPr>
          <w:rFonts w:ascii="Arial" w:hAnsi="Arial" w:cs="Arial"/>
          <w:color w:val="000000" w:themeColor="text1"/>
          <w:sz w:val="22"/>
          <w:szCs w:val="22"/>
        </w:rPr>
        <w:t>–</w:t>
      </w:r>
      <w:r w:rsidR="00DB0FC7">
        <w:rPr>
          <w:rFonts w:ascii="Arial" w:hAnsi="Arial" w:cs="Arial"/>
          <w:color w:val="000000" w:themeColor="text1"/>
          <w:sz w:val="22"/>
          <w:szCs w:val="22"/>
        </w:rPr>
        <w:t>ICBF</w:t>
      </w:r>
      <w:r w:rsidR="006065A9">
        <w:rPr>
          <w:rFonts w:ascii="Arial" w:hAnsi="Arial" w:cs="Arial"/>
          <w:color w:val="000000" w:themeColor="text1"/>
          <w:sz w:val="22"/>
          <w:szCs w:val="22"/>
        </w:rPr>
        <w:t>–</w:t>
      </w:r>
      <w:r w:rsidR="00B651A5">
        <w:rPr>
          <w:rFonts w:ascii="Arial" w:hAnsi="Arial" w:cs="Arial"/>
          <w:color w:val="000000" w:themeColor="text1"/>
          <w:sz w:val="22"/>
          <w:szCs w:val="22"/>
        </w:rPr>
        <w:t>,</w:t>
      </w:r>
      <w:r w:rsidR="00AD4216">
        <w:rPr>
          <w:rFonts w:ascii="Arial" w:hAnsi="Arial" w:cs="Arial"/>
          <w:color w:val="000000" w:themeColor="text1"/>
          <w:sz w:val="22"/>
          <w:szCs w:val="22"/>
        </w:rPr>
        <w:t xml:space="preserve"> las Cajas de Compensación Familiar</w:t>
      </w:r>
      <w:r w:rsidR="00B651A5">
        <w:rPr>
          <w:rFonts w:ascii="Arial" w:hAnsi="Arial" w:cs="Arial"/>
          <w:color w:val="000000" w:themeColor="text1"/>
          <w:sz w:val="22"/>
          <w:szCs w:val="22"/>
        </w:rPr>
        <w:t xml:space="preserve">, los fondos de pensiones y las empresas promotoras de salud -EPS-. </w:t>
      </w:r>
    </w:p>
    <w:p w14:paraId="395B6BA2" w14:textId="6537E1EA" w:rsidR="00F40BB1" w:rsidRPr="003233A2" w:rsidRDefault="00F40BB1" w:rsidP="008C425C">
      <w:pPr>
        <w:spacing w:line="276" w:lineRule="auto"/>
        <w:ind w:firstLine="708"/>
        <w:jc w:val="both"/>
        <w:rPr>
          <w:rFonts w:ascii="Arial" w:hAnsi="Arial" w:cs="Arial"/>
          <w:b/>
          <w:bCs/>
          <w:color w:val="000000" w:themeColor="text1"/>
          <w:sz w:val="22"/>
          <w:szCs w:val="22"/>
        </w:rPr>
      </w:pPr>
    </w:p>
    <w:p w14:paraId="38262F51" w14:textId="77777777" w:rsidR="00F53CB0" w:rsidRDefault="00F53CB0" w:rsidP="00531E6B">
      <w:pPr>
        <w:spacing w:line="276" w:lineRule="auto"/>
        <w:jc w:val="both"/>
        <w:rPr>
          <w:rFonts w:ascii="Arial" w:hAnsi="Arial" w:cs="Arial"/>
          <w:b/>
          <w:bCs/>
          <w:color w:val="000000"/>
          <w:sz w:val="22"/>
          <w:szCs w:val="22"/>
        </w:rPr>
      </w:pPr>
      <w:r>
        <w:rPr>
          <w:rFonts w:ascii="Arial" w:hAnsi="Arial" w:cs="Arial"/>
          <w:b/>
          <w:bCs/>
          <w:color w:val="000000"/>
          <w:sz w:val="22"/>
          <w:szCs w:val="22"/>
        </w:rPr>
        <w:t xml:space="preserve">2.6. </w:t>
      </w:r>
      <w:r w:rsidRPr="00F53CB0">
        <w:rPr>
          <w:rFonts w:ascii="Arial" w:hAnsi="Arial" w:cs="Arial"/>
          <w:b/>
          <w:bCs/>
          <w:color w:val="000000"/>
          <w:sz w:val="22"/>
          <w:szCs w:val="22"/>
        </w:rPr>
        <w:t>Identidad sustancial entre contratos y convenios administrativos</w:t>
      </w:r>
    </w:p>
    <w:p w14:paraId="60BDBDED" w14:textId="77777777" w:rsidR="00195596" w:rsidRDefault="00195596" w:rsidP="00531E6B">
      <w:pPr>
        <w:pStyle w:val="Textoindependiente"/>
        <w:spacing w:line="276" w:lineRule="auto"/>
        <w:jc w:val="both"/>
        <w:rPr>
          <w:sz w:val="22"/>
          <w:szCs w:val="22"/>
        </w:rPr>
      </w:pPr>
    </w:p>
    <w:p w14:paraId="3CC78746" w14:textId="562CF29D" w:rsidR="00FD0147" w:rsidRDefault="00FD0147" w:rsidP="00531E6B">
      <w:pPr>
        <w:pStyle w:val="Textoindependiente"/>
        <w:spacing w:after="120" w:line="276" w:lineRule="auto"/>
        <w:jc w:val="both"/>
        <w:rPr>
          <w:sz w:val="22"/>
          <w:szCs w:val="22"/>
        </w:rPr>
      </w:pPr>
      <w:r>
        <w:rPr>
          <w:sz w:val="22"/>
          <w:szCs w:val="22"/>
        </w:rPr>
        <w:t>La norma en cuestión hace referencia contratos y convenios administrativos. En relación con la diferencia existente entre ambas instituciones, es pertinente trae</w:t>
      </w:r>
      <w:r w:rsidR="00F053F3">
        <w:rPr>
          <w:sz w:val="22"/>
          <w:szCs w:val="22"/>
        </w:rPr>
        <w:t>r</w:t>
      </w:r>
      <w:r>
        <w:rPr>
          <w:sz w:val="22"/>
          <w:szCs w:val="22"/>
        </w:rPr>
        <w:t xml:space="preserve"> a colación las consideraciones contenidas en la línea conceptual de esta Agencia relativa a los convenios y contratos interadministrativos, en la cual se ha sostenido que no existe diferencia sustancial entre ellos.</w:t>
      </w:r>
    </w:p>
    <w:p w14:paraId="2BF1F97D" w14:textId="6FCD635D" w:rsidR="00F53CB0" w:rsidRPr="002A1B2B" w:rsidRDefault="00FD0147" w:rsidP="00FD0147">
      <w:pPr>
        <w:pStyle w:val="Textoindependiente"/>
        <w:spacing w:before="120" w:after="120" w:line="276" w:lineRule="auto"/>
        <w:ind w:firstLine="707"/>
        <w:jc w:val="both"/>
        <w:rPr>
          <w:sz w:val="22"/>
          <w:szCs w:val="22"/>
        </w:rPr>
      </w:pPr>
      <w:r>
        <w:rPr>
          <w:sz w:val="22"/>
          <w:szCs w:val="22"/>
        </w:rPr>
        <w:t>En efecto, se puede afirmar que l</w:t>
      </w:r>
      <w:r w:rsidR="00F53CB0" w:rsidRPr="002A1B2B">
        <w:rPr>
          <w:sz w:val="22"/>
          <w:szCs w:val="22"/>
        </w:rPr>
        <w:t xml:space="preserve">a tipología de convenio interadministrativo fue </w:t>
      </w:r>
      <w:r w:rsidR="00BB0D17">
        <w:rPr>
          <w:sz w:val="22"/>
          <w:szCs w:val="22"/>
        </w:rPr>
        <w:t xml:space="preserve">introducida en el parágrafo del artículo 2 de </w:t>
      </w:r>
      <w:r w:rsidR="00F53CB0" w:rsidRPr="002A1B2B">
        <w:rPr>
          <w:sz w:val="22"/>
          <w:szCs w:val="22"/>
        </w:rPr>
        <w:t>la Ley 80 de 1993</w:t>
      </w:r>
      <w:r w:rsidR="00BB0D17">
        <w:rPr>
          <w:sz w:val="22"/>
          <w:szCs w:val="22"/>
        </w:rPr>
        <w:t xml:space="preserve">, el cual </w:t>
      </w:r>
      <w:r w:rsidR="00F053F3">
        <w:rPr>
          <w:sz w:val="22"/>
          <w:szCs w:val="22"/>
        </w:rPr>
        <w:t xml:space="preserve">no </w:t>
      </w:r>
      <w:r w:rsidR="00F53CB0" w:rsidRPr="002A1B2B">
        <w:rPr>
          <w:sz w:val="22"/>
          <w:szCs w:val="22"/>
        </w:rPr>
        <w:t>lo</w:t>
      </w:r>
      <w:r w:rsidR="00BB0D17">
        <w:rPr>
          <w:sz w:val="22"/>
          <w:szCs w:val="22"/>
        </w:rPr>
        <w:t>s</w:t>
      </w:r>
      <w:r w:rsidR="00F53CB0" w:rsidRPr="002A1B2B">
        <w:rPr>
          <w:sz w:val="22"/>
          <w:szCs w:val="22"/>
        </w:rPr>
        <w:t xml:space="preserve"> definió</w:t>
      </w:r>
      <w:r w:rsidR="00BB0D17">
        <w:rPr>
          <w:sz w:val="22"/>
          <w:szCs w:val="22"/>
        </w:rPr>
        <w:t>,</w:t>
      </w:r>
      <w:r w:rsidR="00F53CB0" w:rsidRPr="002A1B2B">
        <w:rPr>
          <w:sz w:val="22"/>
          <w:szCs w:val="22"/>
        </w:rPr>
        <w:t xml:space="preserve"> ni desarrolló</w:t>
      </w:r>
      <w:r w:rsidR="00BB0D17">
        <w:rPr>
          <w:sz w:val="22"/>
          <w:szCs w:val="22"/>
        </w:rPr>
        <w:t xml:space="preserve">. Dicha norma fue derogada de manera expresa por el artículo 32 de la Ley 1150 de 2007. Por tanto, es necesario acudir al </w:t>
      </w:r>
      <w:r w:rsidR="00F53CB0" w:rsidRPr="002A1B2B">
        <w:rPr>
          <w:sz w:val="22"/>
          <w:szCs w:val="22"/>
        </w:rPr>
        <w:t>Decreto 1082 de 2015</w:t>
      </w:r>
      <w:r w:rsidR="00BB0D17">
        <w:rPr>
          <w:sz w:val="22"/>
          <w:szCs w:val="22"/>
        </w:rPr>
        <w:t xml:space="preserve">, en cuyo artículo </w:t>
      </w:r>
      <w:r w:rsidR="00BB0D17" w:rsidRPr="00BB0D17">
        <w:rPr>
          <w:sz w:val="22"/>
          <w:szCs w:val="22"/>
        </w:rPr>
        <w:t>2.2.1.2.1.4.4</w:t>
      </w:r>
      <w:r w:rsidR="00F53CB0" w:rsidRPr="002A1B2B">
        <w:rPr>
          <w:sz w:val="22"/>
          <w:szCs w:val="22"/>
        </w:rPr>
        <w:t xml:space="preserve"> </w:t>
      </w:r>
      <w:r w:rsidR="00BB0D17">
        <w:rPr>
          <w:sz w:val="22"/>
          <w:szCs w:val="22"/>
        </w:rPr>
        <w:t xml:space="preserve">equipara </w:t>
      </w:r>
      <w:r w:rsidR="005E66B0">
        <w:rPr>
          <w:sz w:val="22"/>
          <w:szCs w:val="22"/>
        </w:rPr>
        <w:t>ambas</w:t>
      </w:r>
      <w:r w:rsidR="00BB0D17">
        <w:rPr>
          <w:sz w:val="22"/>
          <w:szCs w:val="22"/>
        </w:rPr>
        <w:t xml:space="preserve"> categorías jurídicas</w:t>
      </w:r>
      <w:r w:rsidR="005E66B0">
        <w:rPr>
          <w:sz w:val="22"/>
          <w:szCs w:val="22"/>
        </w:rPr>
        <w:t xml:space="preserve">, al indicar que serán </w:t>
      </w:r>
      <w:r w:rsidR="005E66B0" w:rsidRPr="002A1B2B">
        <w:rPr>
          <w:sz w:val="22"/>
          <w:szCs w:val="22"/>
        </w:rPr>
        <w:t>convenios o contratos</w:t>
      </w:r>
      <w:r w:rsidR="00F53CB0" w:rsidRPr="002A1B2B">
        <w:rPr>
          <w:sz w:val="22"/>
          <w:szCs w:val="22"/>
        </w:rPr>
        <w:t xml:space="preserve"> interadministrativos </w:t>
      </w:r>
      <w:r w:rsidR="005E66B0">
        <w:rPr>
          <w:sz w:val="22"/>
          <w:szCs w:val="22"/>
        </w:rPr>
        <w:t xml:space="preserve">aquellos negocios jurídicos celebrados </w:t>
      </w:r>
      <w:r w:rsidR="00F53CB0" w:rsidRPr="002A1B2B">
        <w:rPr>
          <w:sz w:val="22"/>
          <w:szCs w:val="22"/>
        </w:rPr>
        <w:t>entre entidades estatales</w:t>
      </w:r>
      <w:r w:rsidR="00F53CB0">
        <w:rPr>
          <w:rStyle w:val="Refdenotaalpie"/>
          <w:sz w:val="22"/>
          <w:szCs w:val="22"/>
        </w:rPr>
        <w:footnoteReference w:id="15"/>
      </w:r>
      <w:r w:rsidR="00F53CB0" w:rsidRPr="002A1B2B">
        <w:rPr>
          <w:sz w:val="22"/>
          <w:szCs w:val="22"/>
        </w:rPr>
        <w:t xml:space="preserve">. De acuerdo con lo anterior, </w:t>
      </w:r>
      <w:r w:rsidR="005E66B0">
        <w:rPr>
          <w:sz w:val="22"/>
          <w:szCs w:val="22"/>
        </w:rPr>
        <w:t xml:space="preserve">resulta claro que </w:t>
      </w:r>
      <w:r w:rsidR="00F53CB0" w:rsidRPr="002A1B2B">
        <w:rPr>
          <w:sz w:val="22"/>
          <w:szCs w:val="22"/>
        </w:rPr>
        <w:t xml:space="preserve">el contrato o el convenio interadministrativo es el acuerdo donde concurre la voluntad de dos o más personas jurídicas de derecho público con la finalidad de cumplir, en el marco de sus objetivos </w:t>
      </w:r>
      <w:r w:rsidR="00F53CB0" w:rsidRPr="002A1B2B">
        <w:rPr>
          <w:sz w:val="22"/>
          <w:szCs w:val="22"/>
        </w:rPr>
        <w:lastRenderedPageBreak/>
        <w:t>misionales y sus competencias, con los fines del Estado. Es decir, los contratos o convenios interadministrativos</w:t>
      </w:r>
      <w:r w:rsidR="005E66B0">
        <w:rPr>
          <w:sz w:val="22"/>
          <w:szCs w:val="22"/>
        </w:rPr>
        <w:t xml:space="preserve">, en nuestro ordenamiento jurídico, no tienen distinción sustancial y se caracterizan </w:t>
      </w:r>
      <w:r w:rsidR="00F53CB0" w:rsidRPr="002A1B2B">
        <w:rPr>
          <w:sz w:val="22"/>
          <w:szCs w:val="22"/>
        </w:rPr>
        <w:t xml:space="preserve">por un criterio orgánico, </w:t>
      </w:r>
      <w:r w:rsidR="005E66B0">
        <w:rPr>
          <w:sz w:val="22"/>
          <w:szCs w:val="22"/>
        </w:rPr>
        <w:t xml:space="preserve">según el cual </w:t>
      </w:r>
      <w:r w:rsidR="00F53CB0" w:rsidRPr="002A1B2B">
        <w:rPr>
          <w:sz w:val="22"/>
          <w:szCs w:val="22"/>
        </w:rPr>
        <w:t xml:space="preserve">es necesario que los extremos de la relación </w:t>
      </w:r>
      <w:r w:rsidR="005E66B0">
        <w:rPr>
          <w:sz w:val="22"/>
          <w:szCs w:val="22"/>
        </w:rPr>
        <w:t xml:space="preserve">jurídica </w:t>
      </w:r>
      <w:r w:rsidR="00F53CB0" w:rsidRPr="002A1B2B">
        <w:rPr>
          <w:sz w:val="22"/>
          <w:szCs w:val="22"/>
        </w:rPr>
        <w:t>sean entidades</w:t>
      </w:r>
      <w:r w:rsidR="00F53CB0" w:rsidRPr="002A1B2B">
        <w:rPr>
          <w:spacing w:val="-6"/>
          <w:sz w:val="22"/>
          <w:szCs w:val="22"/>
        </w:rPr>
        <w:t xml:space="preserve"> </w:t>
      </w:r>
      <w:r w:rsidR="00F53CB0" w:rsidRPr="002A1B2B">
        <w:rPr>
          <w:sz w:val="22"/>
          <w:szCs w:val="22"/>
        </w:rPr>
        <w:t>estatales.</w:t>
      </w:r>
      <w:r w:rsidR="004C6ABD">
        <w:rPr>
          <w:sz w:val="22"/>
          <w:szCs w:val="22"/>
        </w:rPr>
        <w:t xml:space="preserve"> Por ello es que se puede plantear existe identidad sustancial entre el contrato y el convenio. </w:t>
      </w:r>
    </w:p>
    <w:p w14:paraId="7CFCF9B0" w14:textId="561A49D2" w:rsidR="00F53CB0" w:rsidRPr="002A1B2B" w:rsidRDefault="004C6ABD" w:rsidP="00F53CB0">
      <w:pPr>
        <w:pStyle w:val="Textoindependiente"/>
        <w:spacing w:before="117" w:line="276" w:lineRule="auto"/>
        <w:ind w:firstLine="707"/>
        <w:jc w:val="both"/>
        <w:rPr>
          <w:sz w:val="22"/>
          <w:szCs w:val="22"/>
        </w:rPr>
      </w:pPr>
      <w:r>
        <w:rPr>
          <w:sz w:val="22"/>
          <w:szCs w:val="22"/>
        </w:rPr>
        <w:t>Además</w:t>
      </w:r>
      <w:r w:rsidR="005E66B0">
        <w:rPr>
          <w:sz w:val="22"/>
          <w:szCs w:val="22"/>
        </w:rPr>
        <w:t xml:space="preserve"> de lo anterior, s</w:t>
      </w:r>
      <w:r w:rsidR="00F53CB0" w:rsidRPr="002A1B2B">
        <w:rPr>
          <w:sz w:val="22"/>
          <w:szCs w:val="22"/>
        </w:rPr>
        <w:t xml:space="preserve">i bien los contratos o convenios interadministrativos están previstos en la Ley 80 de 1993, en la Ley 1150 de 2007 y en el Decreto en el 1082 de 2015, </w:t>
      </w:r>
      <w:r>
        <w:rPr>
          <w:sz w:val="22"/>
          <w:szCs w:val="22"/>
        </w:rPr>
        <w:t xml:space="preserve">ello </w:t>
      </w:r>
      <w:r w:rsidR="00F53CB0" w:rsidRPr="002A1B2B">
        <w:rPr>
          <w:sz w:val="22"/>
          <w:szCs w:val="22"/>
        </w:rPr>
        <w:t>no quiere decir que s</w:t>
      </w:r>
      <w:r>
        <w:rPr>
          <w:sz w:val="22"/>
          <w:szCs w:val="22"/>
        </w:rPr>
        <w:t>ó</w:t>
      </w:r>
      <w:r w:rsidR="00F53CB0" w:rsidRPr="002A1B2B">
        <w:rPr>
          <w:sz w:val="22"/>
          <w:szCs w:val="22"/>
        </w:rPr>
        <w:t>lo puedan celebrarse entre entidades estatales que apliquen el régimen de contratación allí previsto, pues una entidad estatal sometida a la Ley 80 de 1993</w:t>
      </w:r>
      <w:r w:rsidR="00BC3923">
        <w:rPr>
          <w:sz w:val="22"/>
          <w:szCs w:val="22"/>
        </w:rPr>
        <w:t xml:space="preserve"> puede</w:t>
      </w:r>
      <w:r w:rsidR="00F53CB0" w:rsidRPr="002A1B2B">
        <w:rPr>
          <w:sz w:val="22"/>
          <w:szCs w:val="22"/>
        </w:rPr>
        <w:t xml:space="preserve"> celebrar esta clase de convenios</w:t>
      </w:r>
      <w:r w:rsidR="00BC3923">
        <w:rPr>
          <w:sz w:val="22"/>
          <w:szCs w:val="22"/>
        </w:rPr>
        <w:t xml:space="preserve"> o contratos</w:t>
      </w:r>
      <w:r w:rsidR="00F53CB0" w:rsidRPr="002A1B2B">
        <w:rPr>
          <w:sz w:val="22"/>
          <w:szCs w:val="22"/>
        </w:rPr>
        <w:t xml:space="preserve"> con una entidad estatal de régimen especial y no por ello dejará de ser un contrato o convenio interadministrativo.</w:t>
      </w:r>
    </w:p>
    <w:p w14:paraId="1003C782" w14:textId="30094AEE" w:rsidR="00F53CB0" w:rsidRDefault="00BC3923">
      <w:pPr>
        <w:pStyle w:val="Textoindependiente"/>
        <w:spacing w:before="120" w:line="276" w:lineRule="auto"/>
        <w:ind w:firstLine="707"/>
        <w:jc w:val="both"/>
        <w:rPr>
          <w:sz w:val="22"/>
          <w:szCs w:val="22"/>
        </w:rPr>
      </w:pPr>
      <w:r>
        <w:rPr>
          <w:sz w:val="22"/>
          <w:szCs w:val="22"/>
        </w:rPr>
        <w:t>En consonancia con lo expuesto, l</w:t>
      </w:r>
      <w:r w:rsidR="00F53CB0" w:rsidRPr="002A1B2B">
        <w:rPr>
          <w:sz w:val="22"/>
          <w:szCs w:val="22"/>
        </w:rPr>
        <w:t>a Corte Constitucional expresó</w:t>
      </w:r>
      <w:r>
        <w:rPr>
          <w:sz w:val="22"/>
          <w:szCs w:val="22"/>
        </w:rPr>
        <w:t>, en s</w:t>
      </w:r>
      <w:r w:rsidR="00F53CB0" w:rsidRPr="002A1B2B">
        <w:rPr>
          <w:sz w:val="22"/>
          <w:szCs w:val="22"/>
        </w:rPr>
        <w:t>entencia C–671 de 2015</w:t>
      </w:r>
      <w:r>
        <w:rPr>
          <w:sz w:val="22"/>
          <w:szCs w:val="22"/>
        </w:rPr>
        <w:t>,</w:t>
      </w:r>
      <w:r w:rsidR="00F53CB0" w:rsidRPr="002A1B2B">
        <w:rPr>
          <w:sz w:val="22"/>
          <w:szCs w:val="22"/>
        </w:rPr>
        <w:t xml:space="preserve">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w:t>
      </w:r>
      <w:r w:rsidR="00502061" w:rsidRPr="00353092">
        <w:rPr>
          <w:sz w:val="21"/>
          <w:szCs w:val="21"/>
        </w:rPr>
        <w:t>»</w:t>
      </w:r>
      <w:r w:rsidR="00F53CB0" w:rsidRPr="002A1B2B">
        <w:rPr>
          <w:sz w:val="22"/>
          <w:szCs w:val="22"/>
        </w:rPr>
        <w:t>.</w:t>
      </w:r>
      <w:r w:rsidR="00502061">
        <w:rPr>
          <w:sz w:val="22"/>
          <w:szCs w:val="22"/>
        </w:rPr>
        <w:t xml:space="preserve"> </w:t>
      </w:r>
      <w:r w:rsidR="00F53CB0" w:rsidRPr="002A1B2B">
        <w:rPr>
          <w:sz w:val="22"/>
          <w:szCs w:val="22"/>
        </w:rPr>
        <w:t>Adicionalmente, el Consejo de Estado ha indicado, frente a</w:t>
      </w:r>
      <w:r>
        <w:rPr>
          <w:sz w:val="22"/>
          <w:szCs w:val="22"/>
        </w:rPr>
        <w:t xml:space="preserve"> estos negocios jurídicos</w:t>
      </w:r>
      <w:r w:rsidR="00F53CB0" w:rsidRPr="002A1B2B">
        <w:rPr>
          <w:sz w:val="22"/>
          <w:szCs w:val="22"/>
        </w:rPr>
        <w:t xml:space="preserve"> y sus características,</w:t>
      </w:r>
      <w:r w:rsidR="00F53CB0" w:rsidRPr="002A1B2B">
        <w:rPr>
          <w:spacing w:val="-13"/>
          <w:sz w:val="22"/>
          <w:szCs w:val="22"/>
        </w:rPr>
        <w:t xml:space="preserve"> </w:t>
      </w:r>
      <w:r w:rsidR="00F53CB0" w:rsidRPr="002A1B2B">
        <w:rPr>
          <w:sz w:val="22"/>
          <w:szCs w:val="22"/>
        </w:rPr>
        <w:t>que:</w:t>
      </w:r>
    </w:p>
    <w:p w14:paraId="7C096F5C" w14:textId="77777777" w:rsidR="00F53CB0" w:rsidRPr="002A1B2B" w:rsidRDefault="00F53CB0" w:rsidP="00F53CB0">
      <w:pPr>
        <w:pStyle w:val="Textoindependiente"/>
        <w:spacing w:line="276" w:lineRule="auto"/>
        <w:ind w:firstLine="707"/>
        <w:jc w:val="both"/>
        <w:rPr>
          <w:sz w:val="22"/>
          <w:szCs w:val="22"/>
        </w:rPr>
      </w:pPr>
    </w:p>
    <w:p w14:paraId="110211EA" w14:textId="77777777" w:rsidR="00F53CB0" w:rsidRPr="002A1B2B" w:rsidRDefault="00F53CB0" w:rsidP="00531E6B">
      <w:pPr>
        <w:spacing w:after="120"/>
        <w:ind w:left="709" w:right="709"/>
        <w:jc w:val="both"/>
        <w:rPr>
          <w:rFonts w:ascii="Arial" w:hAnsi="Arial" w:cs="Arial"/>
          <w:sz w:val="21"/>
          <w:szCs w:val="21"/>
        </w:rPr>
      </w:pPr>
      <w:r w:rsidRPr="002A1B2B">
        <w:rPr>
          <w:rFonts w:ascii="Arial" w:hAnsi="Arial" w:cs="Arial"/>
          <w:sz w:val="21"/>
          <w:szCs w:val="21"/>
        </w:rPr>
        <w:t>[…] se puede señalar que los convenios o contratos interadministrativos tienen como características principales las siguientes:</w:t>
      </w:r>
    </w:p>
    <w:p w14:paraId="1775EA4B" w14:textId="5B9B1910" w:rsidR="00F53CB0" w:rsidRPr="002A1B2B" w:rsidRDefault="00F53CB0" w:rsidP="00531E6B">
      <w:pPr>
        <w:ind w:left="709" w:right="709"/>
        <w:jc w:val="both"/>
        <w:rPr>
          <w:rFonts w:ascii="Arial" w:hAnsi="Arial" w:cs="Arial"/>
          <w:sz w:val="21"/>
          <w:szCs w:val="21"/>
        </w:rPr>
      </w:pPr>
      <w:r w:rsidRPr="002A1B2B">
        <w:rPr>
          <w:rFonts w:ascii="Arial" w:hAnsi="Arial" w:cs="Arial"/>
          <w:sz w:val="21"/>
          <w:szCs w:val="21"/>
        </w:rPr>
        <w:t>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00547A9E">
        <w:rPr>
          <w:rFonts w:ascii="Arial" w:hAnsi="Arial" w:cs="Arial"/>
          <w:sz w:val="21"/>
          <w:szCs w:val="21"/>
        </w:rPr>
        <w:t>[…]</w:t>
      </w:r>
      <w:r>
        <w:rPr>
          <w:rStyle w:val="Refdenotaalpie"/>
          <w:rFonts w:ascii="Arial" w:hAnsi="Arial" w:cs="Arial"/>
          <w:sz w:val="21"/>
          <w:szCs w:val="21"/>
        </w:rPr>
        <w:footnoteReference w:id="16"/>
      </w:r>
      <w:r w:rsidRPr="002A1B2B">
        <w:rPr>
          <w:rFonts w:ascii="Arial" w:hAnsi="Arial" w:cs="Arial"/>
          <w:sz w:val="21"/>
          <w:szCs w:val="21"/>
        </w:rPr>
        <w:t>.</w:t>
      </w:r>
    </w:p>
    <w:p w14:paraId="21AA0023" w14:textId="77777777" w:rsidR="00F53CB0" w:rsidRPr="00BA3C72" w:rsidRDefault="00F53CB0" w:rsidP="00F53CB0">
      <w:pPr>
        <w:pStyle w:val="Textoindependiente"/>
        <w:spacing w:before="6" w:line="276" w:lineRule="auto"/>
        <w:rPr>
          <w:sz w:val="22"/>
          <w:szCs w:val="22"/>
        </w:rPr>
      </w:pPr>
    </w:p>
    <w:p w14:paraId="789E7D71" w14:textId="7D6CE263" w:rsidR="005B14A6" w:rsidRDefault="00F53CB0" w:rsidP="00531E6B">
      <w:pPr>
        <w:spacing w:after="120" w:line="276" w:lineRule="auto"/>
        <w:ind w:firstLine="709"/>
        <w:jc w:val="both"/>
        <w:rPr>
          <w:rFonts w:ascii="Arial" w:hAnsi="Arial" w:cs="Arial"/>
          <w:sz w:val="22"/>
          <w:szCs w:val="22"/>
        </w:rPr>
      </w:pPr>
      <w:r w:rsidRPr="00BA3C72">
        <w:rPr>
          <w:rFonts w:ascii="Arial" w:hAnsi="Arial" w:cs="Arial"/>
          <w:sz w:val="22"/>
          <w:szCs w:val="22"/>
        </w:rPr>
        <w:t>En ese sentido,</w:t>
      </w:r>
      <w:r w:rsidR="00BC3923">
        <w:rPr>
          <w:rFonts w:ascii="Arial" w:hAnsi="Arial" w:cs="Arial"/>
          <w:sz w:val="22"/>
          <w:szCs w:val="22"/>
        </w:rPr>
        <w:t xml:space="preserve"> si bien el parágrafo del artículo 56 de la Ley 2063 de 2020 se refiere a contratos y convenios administrativos, y no a interadministrativos, la línea conceptual de esta Agencia y la jurisprudencia relacionada</w:t>
      </w:r>
      <w:r w:rsidR="00D76B34">
        <w:rPr>
          <w:rFonts w:ascii="Arial" w:hAnsi="Arial" w:cs="Arial"/>
          <w:sz w:val="22"/>
          <w:szCs w:val="22"/>
        </w:rPr>
        <w:t xml:space="preserve"> sobre estos últimos es útil para soportar la tesis de identidad sustancial, también, de los primeros.</w:t>
      </w:r>
      <w:r w:rsidR="00502061">
        <w:rPr>
          <w:rFonts w:ascii="Arial" w:hAnsi="Arial" w:cs="Arial"/>
          <w:sz w:val="22"/>
          <w:szCs w:val="22"/>
        </w:rPr>
        <w:t xml:space="preserve"> </w:t>
      </w:r>
      <w:r w:rsidR="00F053F3">
        <w:rPr>
          <w:rFonts w:ascii="Arial" w:hAnsi="Arial" w:cs="Arial"/>
          <w:sz w:val="22"/>
          <w:szCs w:val="22"/>
        </w:rPr>
        <w:t>Además, l</w:t>
      </w:r>
      <w:r w:rsidR="00D76B34">
        <w:rPr>
          <w:rFonts w:ascii="Arial" w:hAnsi="Arial" w:cs="Arial"/>
          <w:sz w:val="22"/>
          <w:szCs w:val="22"/>
        </w:rPr>
        <w:t xml:space="preserve">a anterior afirmación encuentra soporte en el </w:t>
      </w:r>
      <w:r w:rsidRPr="00BA3C72">
        <w:rPr>
          <w:rFonts w:ascii="Arial" w:hAnsi="Arial" w:cs="Arial"/>
          <w:sz w:val="22"/>
          <w:szCs w:val="22"/>
        </w:rPr>
        <w:t>Código Civil</w:t>
      </w:r>
      <w:r w:rsidR="00D76B34">
        <w:rPr>
          <w:rFonts w:ascii="Arial" w:hAnsi="Arial" w:cs="Arial"/>
          <w:sz w:val="22"/>
          <w:szCs w:val="22"/>
        </w:rPr>
        <w:t xml:space="preserve"> colombiano</w:t>
      </w:r>
      <w:r w:rsidRPr="00BA3C72">
        <w:rPr>
          <w:rFonts w:ascii="Arial" w:hAnsi="Arial" w:cs="Arial"/>
          <w:sz w:val="22"/>
          <w:szCs w:val="22"/>
        </w:rPr>
        <w:t>,</w:t>
      </w:r>
      <w:r w:rsidR="00D76B34">
        <w:rPr>
          <w:rFonts w:ascii="Arial" w:hAnsi="Arial" w:cs="Arial"/>
          <w:sz w:val="22"/>
          <w:szCs w:val="22"/>
        </w:rPr>
        <w:t xml:space="preserve"> toda vez que</w:t>
      </w:r>
      <w:r w:rsidRPr="00BA3C72">
        <w:rPr>
          <w:rFonts w:ascii="Arial" w:hAnsi="Arial" w:cs="Arial"/>
          <w:sz w:val="22"/>
          <w:szCs w:val="22"/>
        </w:rPr>
        <w:t xml:space="preserve"> en </w:t>
      </w:r>
      <w:r w:rsidR="00D76B34">
        <w:rPr>
          <w:rFonts w:ascii="Arial" w:hAnsi="Arial" w:cs="Arial"/>
          <w:sz w:val="22"/>
          <w:szCs w:val="22"/>
        </w:rPr>
        <w:t>su</w:t>
      </w:r>
      <w:r w:rsidRPr="00BA3C72">
        <w:rPr>
          <w:rFonts w:ascii="Arial" w:hAnsi="Arial" w:cs="Arial"/>
          <w:sz w:val="22"/>
          <w:szCs w:val="22"/>
        </w:rPr>
        <w:t xml:space="preserve"> artículo 1495</w:t>
      </w:r>
      <w:r w:rsidR="00D76B34">
        <w:rPr>
          <w:rFonts w:ascii="Arial" w:hAnsi="Arial" w:cs="Arial"/>
          <w:sz w:val="22"/>
          <w:szCs w:val="22"/>
        </w:rPr>
        <w:t xml:space="preserve"> </w:t>
      </w:r>
      <w:r w:rsidRPr="00BA3C72">
        <w:rPr>
          <w:rFonts w:ascii="Arial" w:hAnsi="Arial" w:cs="Arial"/>
          <w:sz w:val="22"/>
          <w:szCs w:val="22"/>
        </w:rPr>
        <w:t>equipar</w:t>
      </w:r>
      <w:r w:rsidR="00F053F3">
        <w:rPr>
          <w:rFonts w:ascii="Arial" w:hAnsi="Arial" w:cs="Arial"/>
          <w:sz w:val="22"/>
          <w:szCs w:val="22"/>
        </w:rPr>
        <w:t>a</w:t>
      </w:r>
      <w:r w:rsidRPr="00BA3C72">
        <w:rPr>
          <w:rFonts w:ascii="Arial" w:hAnsi="Arial" w:cs="Arial"/>
          <w:sz w:val="22"/>
          <w:szCs w:val="22"/>
        </w:rPr>
        <w:t xml:space="preserve"> las instituciones</w:t>
      </w:r>
      <w:r w:rsidR="00D76B34">
        <w:rPr>
          <w:rFonts w:ascii="Arial" w:hAnsi="Arial" w:cs="Arial"/>
          <w:sz w:val="22"/>
          <w:szCs w:val="22"/>
        </w:rPr>
        <w:t xml:space="preserve"> de convenio y contrato,</w:t>
      </w:r>
      <w:r w:rsidRPr="00BA3C72">
        <w:rPr>
          <w:rFonts w:ascii="Arial" w:hAnsi="Arial" w:cs="Arial"/>
          <w:sz w:val="22"/>
          <w:szCs w:val="22"/>
        </w:rPr>
        <w:t xml:space="preserve"> al disponer que «</w:t>
      </w:r>
      <w:r w:rsidRPr="00BA3C72">
        <w:rPr>
          <w:rFonts w:ascii="Arial" w:hAnsi="Arial" w:cs="Arial"/>
          <w:i/>
          <w:sz w:val="22"/>
          <w:szCs w:val="22"/>
        </w:rPr>
        <w:t xml:space="preserve">contrato o convención </w:t>
      </w:r>
      <w:r w:rsidRPr="00BA3C72">
        <w:rPr>
          <w:rFonts w:ascii="Arial" w:hAnsi="Arial" w:cs="Arial"/>
          <w:sz w:val="22"/>
          <w:szCs w:val="22"/>
        </w:rPr>
        <w:t xml:space="preserve">es un acto por el cual una parte se obliga para con otra a dar, hacer o no hacer alguna cosa […]». </w:t>
      </w:r>
      <w:r w:rsidR="005B14A6">
        <w:rPr>
          <w:rFonts w:ascii="Arial" w:hAnsi="Arial" w:cs="Arial"/>
          <w:sz w:val="22"/>
          <w:szCs w:val="22"/>
        </w:rPr>
        <w:t>De este modo, es posible afirmar que al no</w:t>
      </w:r>
      <w:r w:rsidRPr="00BA3C72">
        <w:rPr>
          <w:rFonts w:ascii="Arial" w:hAnsi="Arial" w:cs="Arial"/>
          <w:sz w:val="22"/>
          <w:szCs w:val="22"/>
        </w:rPr>
        <w:t xml:space="preserve"> exist</w:t>
      </w:r>
      <w:r w:rsidR="005B14A6">
        <w:rPr>
          <w:rFonts w:ascii="Arial" w:hAnsi="Arial" w:cs="Arial"/>
          <w:sz w:val="22"/>
          <w:szCs w:val="22"/>
        </w:rPr>
        <w:t xml:space="preserve">ir </w:t>
      </w:r>
      <w:r w:rsidRPr="00BA3C72">
        <w:rPr>
          <w:rFonts w:ascii="Arial" w:hAnsi="Arial" w:cs="Arial"/>
          <w:sz w:val="22"/>
          <w:szCs w:val="22"/>
        </w:rPr>
        <w:t>diferencia sustancial alguna entre contrato y convención</w:t>
      </w:r>
      <w:r w:rsidR="005B14A6">
        <w:rPr>
          <w:rFonts w:ascii="Arial" w:hAnsi="Arial" w:cs="Arial"/>
          <w:sz w:val="22"/>
          <w:szCs w:val="22"/>
        </w:rPr>
        <w:t xml:space="preserve"> en el derecho privado o, más bien, al existir identidad sustancial entre ellos, en el derecho público debe aplicarse o mantenerse </w:t>
      </w:r>
      <w:r w:rsidR="00502061">
        <w:rPr>
          <w:rFonts w:ascii="Arial" w:hAnsi="Arial" w:cs="Arial"/>
          <w:sz w:val="22"/>
          <w:szCs w:val="22"/>
        </w:rPr>
        <w:t xml:space="preserve">esta </w:t>
      </w:r>
      <w:r w:rsidR="005B14A6">
        <w:rPr>
          <w:rFonts w:ascii="Arial" w:hAnsi="Arial" w:cs="Arial"/>
          <w:sz w:val="22"/>
          <w:szCs w:val="22"/>
        </w:rPr>
        <w:t>equiparación.</w:t>
      </w:r>
    </w:p>
    <w:p w14:paraId="3EACB282" w14:textId="0FA4E64F" w:rsidR="00547A9E" w:rsidRDefault="005B14A6" w:rsidP="00547A9E">
      <w:pPr>
        <w:spacing w:before="120" w:line="276" w:lineRule="auto"/>
        <w:ind w:firstLine="709"/>
        <w:jc w:val="both"/>
        <w:rPr>
          <w:rFonts w:ascii="Arial" w:hAnsi="Arial" w:cs="Arial"/>
          <w:sz w:val="22"/>
          <w:szCs w:val="22"/>
        </w:rPr>
      </w:pPr>
      <w:r>
        <w:rPr>
          <w:rFonts w:ascii="Arial" w:hAnsi="Arial" w:cs="Arial"/>
          <w:sz w:val="22"/>
          <w:szCs w:val="22"/>
        </w:rPr>
        <w:t xml:space="preserve">Esta última premisa se soporta en el hecho de que </w:t>
      </w:r>
      <w:r w:rsidR="00B55679">
        <w:rPr>
          <w:rFonts w:ascii="Arial" w:hAnsi="Arial" w:cs="Arial"/>
          <w:sz w:val="22"/>
          <w:szCs w:val="22"/>
        </w:rPr>
        <w:t xml:space="preserve">el derecho privado y comercial es </w:t>
      </w:r>
      <w:r w:rsidR="00F53CB0" w:rsidRPr="00BA3C72">
        <w:rPr>
          <w:rFonts w:ascii="Arial" w:hAnsi="Arial" w:cs="Arial"/>
          <w:sz w:val="22"/>
          <w:szCs w:val="22"/>
        </w:rPr>
        <w:t xml:space="preserve">aplicable a la contratación estatal, </w:t>
      </w:r>
      <w:r w:rsidR="00B55679">
        <w:rPr>
          <w:rFonts w:ascii="Arial" w:hAnsi="Arial" w:cs="Arial"/>
          <w:sz w:val="22"/>
          <w:szCs w:val="22"/>
        </w:rPr>
        <w:t>tal como se desprende del contenido de la Ley 80 de 1993 y de lo corroborado por la jurisprudencia d</w:t>
      </w:r>
      <w:r w:rsidR="00F53CB0" w:rsidRPr="00BA3C72">
        <w:rPr>
          <w:rFonts w:ascii="Arial" w:hAnsi="Arial" w:cs="Arial"/>
          <w:sz w:val="22"/>
          <w:szCs w:val="22"/>
        </w:rPr>
        <w:t>el Consejo de Estado</w:t>
      </w:r>
      <w:r w:rsidR="00B55679">
        <w:rPr>
          <w:rFonts w:ascii="Arial" w:hAnsi="Arial" w:cs="Arial"/>
          <w:sz w:val="22"/>
          <w:szCs w:val="22"/>
        </w:rPr>
        <w:t xml:space="preserve">, que ha considerado que </w:t>
      </w:r>
      <w:r w:rsidR="00F53CB0" w:rsidRPr="00BA3C72">
        <w:rPr>
          <w:rFonts w:ascii="Arial" w:hAnsi="Arial" w:cs="Arial"/>
          <w:sz w:val="22"/>
          <w:szCs w:val="22"/>
        </w:rPr>
        <w:t>«Las normas del derecho civil y comercial son aplicables en su integridad a la contratación estatal, tal y como de manera expresa y profusa lo dispone la Ley 80 de 1993, con excepción de aquellos asuntos que tienen una regulación propia dentro del régimen especial de los contratos del Estado (artículos 13, 23, 28, y 40 de la Ley 80 de 1993)»</w:t>
      </w:r>
      <w:r w:rsidR="00F53CB0" w:rsidRPr="00BA3C72">
        <w:rPr>
          <w:rStyle w:val="Refdenotaalpie"/>
          <w:rFonts w:ascii="Arial" w:hAnsi="Arial" w:cs="Arial"/>
          <w:sz w:val="22"/>
          <w:szCs w:val="22"/>
        </w:rPr>
        <w:footnoteReference w:id="17"/>
      </w:r>
      <w:r w:rsidR="00F53CB0" w:rsidRPr="00BA3C72">
        <w:rPr>
          <w:rFonts w:ascii="Arial" w:hAnsi="Arial" w:cs="Arial"/>
          <w:sz w:val="22"/>
          <w:szCs w:val="22"/>
        </w:rPr>
        <w:t xml:space="preserve">. </w:t>
      </w:r>
      <w:r w:rsidR="00B55679">
        <w:rPr>
          <w:rFonts w:ascii="Arial" w:hAnsi="Arial" w:cs="Arial"/>
          <w:sz w:val="22"/>
          <w:szCs w:val="22"/>
        </w:rPr>
        <w:t xml:space="preserve">En suma, por las razones expuestas, se considera que </w:t>
      </w:r>
      <w:r w:rsidR="00F53CB0" w:rsidRPr="00BA3C72">
        <w:rPr>
          <w:rFonts w:ascii="Arial" w:hAnsi="Arial" w:cs="Arial"/>
          <w:sz w:val="22"/>
          <w:szCs w:val="22"/>
        </w:rPr>
        <w:t>no es posible hacer distinción</w:t>
      </w:r>
      <w:r w:rsidR="00B55679">
        <w:rPr>
          <w:rFonts w:ascii="Arial" w:hAnsi="Arial" w:cs="Arial"/>
          <w:sz w:val="22"/>
          <w:szCs w:val="22"/>
        </w:rPr>
        <w:t xml:space="preserve"> sustancial</w:t>
      </w:r>
      <w:r w:rsidR="00F53CB0" w:rsidRPr="00BA3C72">
        <w:rPr>
          <w:rFonts w:ascii="Arial" w:hAnsi="Arial" w:cs="Arial"/>
          <w:sz w:val="22"/>
          <w:szCs w:val="22"/>
        </w:rPr>
        <w:t xml:space="preserve"> alguna en la actividad contractual de las entidades públicas cuando procedan a la celebración de contratos o convenios</w:t>
      </w:r>
      <w:r w:rsidR="00B55679">
        <w:rPr>
          <w:rFonts w:ascii="Arial" w:hAnsi="Arial" w:cs="Arial"/>
          <w:sz w:val="22"/>
          <w:szCs w:val="22"/>
        </w:rPr>
        <w:t>.</w:t>
      </w:r>
      <w:r w:rsidR="00F53CB0" w:rsidRPr="00BA3C72">
        <w:rPr>
          <w:rFonts w:ascii="Arial" w:hAnsi="Arial" w:cs="Arial"/>
          <w:sz w:val="22"/>
          <w:szCs w:val="22"/>
        </w:rPr>
        <w:t xml:space="preserve"> </w:t>
      </w:r>
    </w:p>
    <w:p w14:paraId="7A26A8C9" w14:textId="77777777" w:rsidR="00F53CB0" w:rsidRDefault="00F53CB0" w:rsidP="00531E6B">
      <w:pPr>
        <w:spacing w:line="276" w:lineRule="auto"/>
        <w:jc w:val="both"/>
        <w:rPr>
          <w:rFonts w:ascii="Arial" w:hAnsi="Arial" w:cs="Arial"/>
          <w:b/>
          <w:bCs/>
          <w:color w:val="000000"/>
          <w:sz w:val="22"/>
          <w:szCs w:val="22"/>
        </w:rPr>
      </w:pPr>
    </w:p>
    <w:p w14:paraId="43D1AC3E" w14:textId="42E5CCD6" w:rsidR="00F66114" w:rsidRDefault="00A71CEA" w:rsidP="00F66114">
      <w:pPr>
        <w:spacing w:line="276" w:lineRule="auto"/>
        <w:jc w:val="both"/>
        <w:rPr>
          <w:rFonts w:ascii="Arial" w:hAnsi="Arial" w:cs="Arial"/>
          <w:b/>
          <w:bCs/>
          <w:color w:val="000000"/>
          <w:sz w:val="22"/>
          <w:szCs w:val="22"/>
        </w:rPr>
      </w:pPr>
      <w:r>
        <w:rPr>
          <w:rFonts w:ascii="Arial" w:hAnsi="Arial" w:cs="Arial"/>
          <w:b/>
          <w:bCs/>
          <w:color w:val="000000"/>
          <w:sz w:val="22"/>
          <w:szCs w:val="22"/>
        </w:rPr>
        <w:t>2.</w:t>
      </w:r>
      <w:r w:rsidR="00F53CB0">
        <w:rPr>
          <w:rFonts w:ascii="Arial" w:hAnsi="Arial" w:cs="Arial"/>
          <w:b/>
          <w:bCs/>
          <w:color w:val="000000"/>
          <w:sz w:val="22"/>
          <w:szCs w:val="22"/>
        </w:rPr>
        <w:t>6</w:t>
      </w:r>
      <w:r>
        <w:rPr>
          <w:rFonts w:ascii="Arial" w:hAnsi="Arial" w:cs="Arial"/>
          <w:b/>
          <w:bCs/>
          <w:color w:val="000000"/>
          <w:sz w:val="22"/>
          <w:szCs w:val="22"/>
        </w:rPr>
        <w:t xml:space="preserve">. </w:t>
      </w:r>
      <w:r w:rsidR="00F53CB0" w:rsidRPr="00F53CB0">
        <w:rPr>
          <w:rFonts w:ascii="Arial" w:hAnsi="Arial" w:cs="Arial"/>
          <w:b/>
          <w:bCs/>
          <w:color w:val="000000"/>
          <w:sz w:val="22"/>
          <w:szCs w:val="22"/>
        </w:rPr>
        <w:t>La cofinanciación en la ejecución del presupuesto público</w:t>
      </w:r>
    </w:p>
    <w:p w14:paraId="184E21A9" w14:textId="77777777" w:rsidR="00F66114" w:rsidRDefault="00F66114" w:rsidP="00F66114">
      <w:pPr>
        <w:spacing w:line="276" w:lineRule="auto"/>
        <w:jc w:val="both"/>
        <w:rPr>
          <w:rFonts w:ascii="Arial" w:hAnsi="Arial" w:cs="Arial"/>
          <w:b/>
          <w:bCs/>
          <w:color w:val="000000"/>
          <w:sz w:val="22"/>
          <w:szCs w:val="22"/>
        </w:rPr>
      </w:pPr>
    </w:p>
    <w:p w14:paraId="62A2881D" w14:textId="4C0447AA" w:rsidR="00F66114" w:rsidRDefault="00F66114" w:rsidP="00216826">
      <w:pPr>
        <w:spacing w:line="276" w:lineRule="auto"/>
        <w:jc w:val="both"/>
        <w:rPr>
          <w:rFonts w:ascii="Arial" w:hAnsi="Arial" w:cs="Arial"/>
          <w:color w:val="000000"/>
          <w:sz w:val="22"/>
          <w:szCs w:val="22"/>
        </w:rPr>
      </w:pPr>
      <w:bookmarkStart w:id="3" w:name="_Hlk65718289"/>
      <w:r>
        <w:rPr>
          <w:rFonts w:ascii="Arial" w:hAnsi="Arial" w:cs="Arial"/>
          <w:color w:val="000000"/>
          <w:sz w:val="22"/>
          <w:szCs w:val="22"/>
        </w:rPr>
        <w:t xml:space="preserve">La </w:t>
      </w:r>
      <w:r w:rsidR="00AB6125">
        <w:rPr>
          <w:rFonts w:ascii="Arial" w:hAnsi="Arial" w:cs="Arial"/>
          <w:color w:val="000000"/>
          <w:sz w:val="22"/>
          <w:szCs w:val="22"/>
        </w:rPr>
        <w:t xml:space="preserve">acción de </w:t>
      </w:r>
      <w:r>
        <w:rPr>
          <w:rFonts w:ascii="Arial" w:hAnsi="Arial" w:cs="Arial"/>
          <w:color w:val="000000"/>
          <w:sz w:val="22"/>
          <w:szCs w:val="22"/>
        </w:rPr>
        <w:t xml:space="preserve">cofinanciación es definida como </w:t>
      </w:r>
      <w:r w:rsidR="00547A9E">
        <w:rPr>
          <w:rFonts w:ascii="Arial" w:hAnsi="Arial" w:cs="Arial"/>
          <w:color w:val="000000"/>
          <w:sz w:val="22"/>
          <w:szCs w:val="22"/>
        </w:rPr>
        <w:t>«</w:t>
      </w:r>
      <w:r>
        <w:rPr>
          <w:rFonts w:ascii="Arial" w:hAnsi="Arial" w:cs="Arial"/>
          <w:color w:val="000000"/>
          <w:sz w:val="22"/>
          <w:szCs w:val="22"/>
        </w:rPr>
        <w:t>la financiación de una actividad que llevan a</w:t>
      </w:r>
      <w:r w:rsidR="007820EF">
        <w:rPr>
          <w:rFonts w:ascii="Arial" w:hAnsi="Arial" w:cs="Arial"/>
          <w:color w:val="000000"/>
          <w:sz w:val="22"/>
          <w:szCs w:val="22"/>
        </w:rPr>
        <w:t xml:space="preserve"> </w:t>
      </w:r>
      <w:r>
        <w:rPr>
          <w:rFonts w:ascii="Arial" w:hAnsi="Arial" w:cs="Arial"/>
          <w:color w:val="000000"/>
          <w:sz w:val="22"/>
          <w:szCs w:val="22"/>
        </w:rPr>
        <w:t>cabo varias personas o entidades</w:t>
      </w:r>
      <w:r w:rsidR="00547A9E" w:rsidRPr="00BA3C72">
        <w:rPr>
          <w:rFonts w:ascii="Arial" w:hAnsi="Arial" w:cs="Arial"/>
          <w:sz w:val="22"/>
          <w:szCs w:val="22"/>
        </w:rPr>
        <w:t>»</w:t>
      </w:r>
      <w:r>
        <w:rPr>
          <w:rStyle w:val="Refdenotaalpie"/>
          <w:rFonts w:ascii="Arial" w:hAnsi="Arial" w:cs="Arial"/>
          <w:color w:val="000000"/>
          <w:sz w:val="22"/>
          <w:szCs w:val="22"/>
        </w:rPr>
        <w:footnoteReference w:id="18"/>
      </w:r>
      <w:r w:rsidR="00AB6125">
        <w:rPr>
          <w:rFonts w:ascii="Arial" w:hAnsi="Arial" w:cs="Arial"/>
          <w:color w:val="000000"/>
          <w:sz w:val="22"/>
          <w:szCs w:val="22"/>
        </w:rPr>
        <w:t xml:space="preserve"> o como lo </w:t>
      </w:r>
      <w:r w:rsidR="00547A9E">
        <w:rPr>
          <w:rFonts w:ascii="Arial" w:hAnsi="Arial" w:cs="Arial"/>
          <w:color w:val="000000"/>
          <w:sz w:val="22"/>
          <w:szCs w:val="22"/>
        </w:rPr>
        <w:t>«</w:t>
      </w:r>
      <w:r w:rsidR="00AB6125">
        <w:rPr>
          <w:rFonts w:ascii="Arial" w:hAnsi="Arial" w:cs="Arial"/>
          <w:color w:val="000000"/>
          <w:sz w:val="22"/>
          <w:szCs w:val="22"/>
        </w:rPr>
        <w:t>d</w:t>
      </w:r>
      <w:r w:rsidR="00AB6125" w:rsidRPr="00AB6125">
        <w:rPr>
          <w:rFonts w:ascii="Arial" w:hAnsi="Arial" w:cs="Arial"/>
          <w:color w:val="000000"/>
          <w:sz w:val="22"/>
          <w:szCs w:val="22"/>
        </w:rPr>
        <w:t>icho de dos o más personas o entidades: Financiar una actividad conjuntamente</w:t>
      </w:r>
      <w:r w:rsidR="00547A9E" w:rsidRPr="00BA3C72">
        <w:rPr>
          <w:rFonts w:ascii="Arial" w:hAnsi="Arial" w:cs="Arial"/>
          <w:sz w:val="22"/>
          <w:szCs w:val="22"/>
        </w:rPr>
        <w:t>»</w:t>
      </w:r>
      <w:r w:rsidR="00AB6125">
        <w:rPr>
          <w:rStyle w:val="Refdenotaalpie"/>
          <w:rFonts w:ascii="Arial" w:hAnsi="Arial" w:cs="Arial"/>
          <w:color w:val="000000"/>
          <w:sz w:val="22"/>
          <w:szCs w:val="22"/>
        </w:rPr>
        <w:footnoteReference w:id="19"/>
      </w:r>
      <w:r w:rsidR="00AB6125">
        <w:rPr>
          <w:rFonts w:ascii="Arial" w:hAnsi="Arial" w:cs="Arial"/>
          <w:color w:val="000000"/>
          <w:sz w:val="22"/>
          <w:szCs w:val="22"/>
        </w:rPr>
        <w:t xml:space="preserve">. A su turno, </w:t>
      </w:r>
      <w:r w:rsidR="00502061">
        <w:rPr>
          <w:rFonts w:ascii="Arial" w:hAnsi="Arial" w:cs="Arial"/>
          <w:color w:val="000000"/>
          <w:sz w:val="22"/>
          <w:szCs w:val="22"/>
        </w:rPr>
        <w:t>para efectos del Documento CONPES 2791</w:t>
      </w:r>
      <w:r w:rsidR="00AB6125">
        <w:rPr>
          <w:rFonts w:ascii="Arial" w:hAnsi="Arial" w:cs="Arial"/>
          <w:color w:val="000000"/>
          <w:sz w:val="22"/>
          <w:szCs w:val="22"/>
        </w:rPr>
        <w:t xml:space="preserve">, ha sido </w:t>
      </w:r>
      <w:r>
        <w:rPr>
          <w:rFonts w:ascii="Arial" w:hAnsi="Arial" w:cs="Arial"/>
          <w:color w:val="000000"/>
          <w:sz w:val="22"/>
          <w:szCs w:val="22"/>
        </w:rPr>
        <w:t xml:space="preserve">definida como el </w:t>
      </w:r>
      <w:r w:rsidR="00547A9E">
        <w:rPr>
          <w:rFonts w:ascii="Arial" w:hAnsi="Arial" w:cs="Arial"/>
          <w:color w:val="000000"/>
          <w:sz w:val="22"/>
          <w:szCs w:val="22"/>
        </w:rPr>
        <w:t>«</w:t>
      </w:r>
      <w:r>
        <w:rPr>
          <w:rFonts w:ascii="Arial" w:hAnsi="Arial" w:cs="Arial"/>
          <w:color w:val="000000"/>
          <w:sz w:val="22"/>
          <w:szCs w:val="22"/>
        </w:rPr>
        <w:t>instrumento financiero complementario para apoyar con recursos no reembolsables del Presupuesto General de la Naci</w:t>
      </w:r>
      <w:r w:rsidR="00216826">
        <w:rPr>
          <w:rFonts w:ascii="Arial" w:hAnsi="Arial" w:cs="Arial"/>
          <w:color w:val="000000"/>
          <w:sz w:val="22"/>
          <w:szCs w:val="22"/>
        </w:rPr>
        <w:t xml:space="preserve">ón la ejecución de proyectos de competencia territorial, en el marco de las políticas </w:t>
      </w:r>
      <w:r w:rsidR="00216826">
        <w:rPr>
          <w:rFonts w:ascii="Arial" w:hAnsi="Arial" w:cs="Arial"/>
          <w:color w:val="000000"/>
          <w:sz w:val="22"/>
          <w:szCs w:val="22"/>
        </w:rPr>
        <w:lastRenderedPageBreak/>
        <w:t>de interés nacional</w:t>
      </w:r>
      <w:r w:rsidR="00547A9E" w:rsidRPr="00BA3C72">
        <w:rPr>
          <w:rFonts w:ascii="Arial" w:hAnsi="Arial" w:cs="Arial"/>
          <w:sz w:val="22"/>
          <w:szCs w:val="22"/>
        </w:rPr>
        <w:t>»</w:t>
      </w:r>
      <w:r w:rsidR="00216826">
        <w:rPr>
          <w:rStyle w:val="Refdenotaalpie"/>
          <w:rFonts w:ascii="Arial" w:hAnsi="Arial" w:cs="Arial"/>
          <w:color w:val="000000"/>
          <w:sz w:val="22"/>
          <w:szCs w:val="22"/>
        </w:rPr>
        <w:footnoteReference w:id="20"/>
      </w:r>
      <w:r w:rsidR="00216826">
        <w:rPr>
          <w:rFonts w:ascii="Arial" w:hAnsi="Arial" w:cs="Arial"/>
          <w:color w:val="000000"/>
          <w:sz w:val="22"/>
          <w:szCs w:val="22"/>
        </w:rPr>
        <w:t>.</w:t>
      </w:r>
      <w:r w:rsidR="00F10A2F">
        <w:rPr>
          <w:rFonts w:ascii="Arial" w:hAnsi="Arial" w:cs="Arial"/>
          <w:color w:val="000000"/>
          <w:sz w:val="22"/>
          <w:szCs w:val="22"/>
        </w:rPr>
        <w:t xml:space="preserve"> Estas concepciones tienen como común denominador la </w:t>
      </w:r>
      <w:r w:rsidR="00C71ACE">
        <w:rPr>
          <w:rFonts w:ascii="Arial" w:hAnsi="Arial" w:cs="Arial"/>
          <w:color w:val="000000"/>
          <w:sz w:val="22"/>
          <w:szCs w:val="22"/>
        </w:rPr>
        <w:t>participación de dos o más sujetos en la aportación de recursos para financiar un determinado proyecto.</w:t>
      </w:r>
      <w:r>
        <w:rPr>
          <w:rFonts w:ascii="Arial" w:hAnsi="Arial" w:cs="Arial"/>
          <w:color w:val="000000"/>
          <w:sz w:val="22"/>
          <w:szCs w:val="22"/>
        </w:rPr>
        <w:t xml:space="preserve"> </w:t>
      </w:r>
    </w:p>
    <w:bookmarkEnd w:id="3"/>
    <w:p w14:paraId="5DDAC8B9" w14:textId="25A8E165" w:rsidR="00AB6125" w:rsidRDefault="00216826" w:rsidP="0035732E">
      <w:pPr>
        <w:spacing w:before="120" w:line="276" w:lineRule="auto"/>
        <w:jc w:val="both"/>
        <w:rPr>
          <w:rFonts w:ascii="Arial" w:hAnsi="Arial" w:cs="Arial"/>
          <w:color w:val="000000"/>
          <w:sz w:val="22"/>
          <w:szCs w:val="22"/>
        </w:rPr>
      </w:pPr>
      <w:r>
        <w:rPr>
          <w:rFonts w:ascii="Arial" w:hAnsi="Arial" w:cs="Arial"/>
          <w:color w:val="000000"/>
          <w:sz w:val="22"/>
          <w:szCs w:val="22"/>
        </w:rPr>
        <w:tab/>
      </w:r>
      <w:r w:rsidR="00AB6125">
        <w:rPr>
          <w:rFonts w:ascii="Arial" w:hAnsi="Arial" w:cs="Arial"/>
          <w:color w:val="000000"/>
          <w:sz w:val="22"/>
          <w:szCs w:val="22"/>
        </w:rPr>
        <w:t>Ahora bien, si se analiza</w:t>
      </w:r>
      <w:r w:rsidR="00F10A2F">
        <w:rPr>
          <w:rFonts w:ascii="Arial" w:hAnsi="Arial" w:cs="Arial"/>
          <w:color w:val="000000"/>
          <w:sz w:val="22"/>
          <w:szCs w:val="22"/>
        </w:rPr>
        <w:t xml:space="preserve"> el contenido de las leyes anuales de presupuesto, como la contentiva de la norma que motiva la consulta, es posible evidenciar que </w:t>
      </w:r>
      <w:r w:rsidR="00C71ACE">
        <w:rPr>
          <w:rFonts w:ascii="Arial" w:hAnsi="Arial" w:cs="Arial"/>
          <w:color w:val="000000"/>
          <w:sz w:val="22"/>
          <w:szCs w:val="22"/>
        </w:rPr>
        <w:t xml:space="preserve">el término es usado en la lógica expuesta, es decir, como un instrumento de aportación conjunta de recursos. En efecto, al analizar el proyecto de ley de la Ley 2063 de 2020, publicado en la Gaceta No. 581 del 31 de julio de 2020, se evidencia que el termino es usado para referirse a: i) las metas y recursos de inversión para la vigencia 2021 </w:t>
      </w:r>
      <w:r w:rsidR="0035732E">
        <w:rPr>
          <w:rFonts w:ascii="Arial" w:hAnsi="Arial" w:cs="Arial"/>
          <w:color w:val="000000"/>
          <w:sz w:val="22"/>
          <w:szCs w:val="22"/>
        </w:rPr>
        <w:t xml:space="preserve">relativos a proyectos productivos </w:t>
      </w:r>
      <w:r w:rsidR="00502061">
        <w:rPr>
          <w:rFonts w:ascii="Arial" w:hAnsi="Arial" w:cs="Arial"/>
          <w:color w:val="000000"/>
          <w:sz w:val="22"/>
          <w:szCs w:val="22"/>
        </w:rPr>
        <w:t>–</w:t>
      </w:r>
      <w:r w:rsidR="0035732E">
        <w:rPr>
          <w:rFonts w:ascii="Arial" w:hAnsi="Arial" w:cs="Arial"/>
          <w:color w:val="000000"/>
          <w:sz w:val="22"/>
          <w:szCs w:val="22"/>
        </w:rPr>
        <w:t>página 101</w:t>
      </w:r>
      <w:r w:rsidR="00502061">
        <w:rPr>
          <w:rFonts w:ascii="Arial" w:hAnsi="Arial" w:cs="Arial"/>
          <w:color w:val="000000"/>
          <w:sz w:val="22"/>
          <w:szCs w:val="22"/>
        </w:rPr>
        <w:t>–</w:t>
      </w:r>
      <w:r w:rsidR="0035732E">
        <w:rPr>
          <w:rFonts w:ascii="Arial" w:hAnsi="Arial" w:cs="Arial"/>
          <w:color w:val="000000"/>
          <w:sz w:val="22"/>
          <w:szCs w:val="22"/>
        </w:rPr>
        <w:t>;</w:t>
      </w:r>
      <w:r w:rsidR="00C71ACE">
        <w:rPr>
          <w:rFonts w:ascii="Arial" w:hAnsi="Arial" w:cs="Arial"/>
          <w:color w:val="000000"/>
          <w:sz w:val="22"/>
          <w:szCs w:val="22"/>
        </w:rPr>
        <w:t xml:space="preserve"> </w:t>
      </w:r>
      <w:r w:rsidR="0035732E">
        <w:rPr>
          <w:rFonts w:ascii="Arial" w:hAnsi="Arial" w:cs="Arial"/>
          <w:color w:val="000000"/>
          <w:sz w:val="22"/>
          <w:szCs w:val="22"/>
        </w:rPr>
        <w:t>los</w:t>
      </w:r>
      <w:r w:rsidR="00AB6125">
        <w:rPr>
          <w:rFonts w:ascii="Arial" w:hAnsi="Arial" w:cs="Arial"/>
          <w:color w:val="000000"/>
          <w:sz w:val="22"/>
          <w:szCs w:val="22"/>
        </w:rPr>
        <w:t xml:space="preserve"> </w:t>
      </w:r>
      <w:r w:rsidR="0035732E">
        <w:rPr>
          <w:rFonts w:ascii="Arial" w:hAnsi="Arial" w:cs="Arial"/>
          <w:color w:val="000000"/>
          <w:sz w:val="22"/>
          <w:szCs w:val="22"/>
        </w:rPr>
        <w:t>p</w:t>
      </w:r>
      <w:r w:rsidR="0035732E" w:rsidRPr="0035732E">
        <w:rPr>
          <w:rFonts w:ascii="Arial" w:hAnsi="Arial" w:cs="Arial"/>
          <w:color w:val="000000"/>
          <w:sz w:val="22"/>
          <w:szCs w:val="22"/>
        </w:rPr>
        <w:t>royectos de infraestructura del Sistema de Responsabilidad Penal para</w:t>
      </w:r>
      <w:r w:rsidR="0035732E">
        <w:rPr>
          <w:rFonts w:ascii="Arial" w:hAnsi="Arial" w:cs="Arial"/>
          <w:color w:val="000000"/>
          <w:sz w:val="22"/>
          <w:szCs w:val="22"/>
        </w:rPr>
        <w:t xml:space="preserve"> </w:t>
      </w:r>
      <w:r w:rsidR="0035732E" w:rsidRPr="0035732E">
        <w:rPr>
          <w:rFonts w:ascii="Arial" w:hAnsi="Arial" w:cs="Arial"/>
          <w:color w:val="000000"/>
          <w:sz w:val="22"/>
          <w:szCs w:val="22"/>
        </w:rPr>
        <w:t>Adolescente</w:t>
      </w:r>
      <w:r w:rsidR="0035732E">
        <w:rPr>
          <w:rFonts w:ascii="Arial" w:hAnsi="Arial" w:cs="Arial"/>
          <w:color w:val="000000"/>
          <w:sz w:val="22"/>
          <w:szCs w:val="22"/>
        </w:rPr>
        <w:t xml:space="preserve"> </w:t>
      </w:r>
      <w:r w:rsidR="00502061">
        <w:rPr>
          <w:rFonts w:ascii="Arial" w:hAnsi="Arial" w:cs="Arial"/>
          <w:color w:val="000000"/>
          <w:sz w:val="22"/>
          <w:szCs w:val="22"/>
        </w:rPr>
        <w:t>–</w:t>
      </w:r>
      <w:r w:rsidR="0035732E">
        <w:rPr>
          <w:rFonts w:ascii="Arial" w:hAnsi="Arial" w:cs="Arial"/>
          <w:color w:val="000000"/>
          <w:sz w:val="22"/>
          <w:szCs w:val="22"/>
        </w:rPr>
        <w:t>página 113</w:t>
      </w:r>
      <w:r w:rsidR="00502061">
        <w:rPr>
          <w:rFonts w:ascii="Arial" w:hAnsi="Arial" w:cs="Arial"/>
          <w:color w:val="000000"/>
          <w:sz w:val="22"/>
          <w:szCs w:val="22"/>
        </w:rPr>
        <w:t>–</w:t>
      </w:r>
      <w:r w:rsidR="0035732E">
        <w:rPr>
          <w:rFonts w:ascii="Arial" w:hAnsi="Arial" w:cs="Arial"/>
          <w:color w:val="000000"/>
          <w:sz w:val="22"/>
          <w:szCs w:val="22"/>
        </w:rPr>
        <w:t>; los p</w:t>
      </w:r>
      <w:r w:rsidR="0035732E" w:rsidRPr="0035732E">
        <w:rPr>
          <w:rFonts w:ascii="Arial" w:hAnsi="Arial" w:cs="Arial"/>
          <w:color w:val="000000"/>
          <w:sz w:val="22"/>
          <w:szCs w:val="22"/>
        </w:rPr>
        <w:t>royectos de innovación y desarrollo tecnológico</w:t>
      </w:r>
      <w:r w:rsidR="0035732E">
        <w:rPr>
          <w:rFonts w:ascii="Arial" w:hAnsi="Arial" w:cs="Arial"/>
          <w:color w:val="000000"/>
          <w:sz w:val="22"/>
          <w:szCs w:val="22"/>
        </w:rPr>
        <w:t xml:space="preserve"> </w:t>
      </w:r>
      <w:r w:rsidR="00502061">
        <w:rPr>
          <w:rFonts w:ascii="Arial" w:hAnsi="Arial" w:cs="Arial"/>
          <w:color w:val="000000"/>
          <w:sz w:val="22"/>
          <w:szCs w:val="22"/>
        </w:rPr>
        <w:t>–</w:t>
      </w:r>
      <w:r w:rsidR="0035732E">
        <w:rPr>
          <w:rFonts w:ascii="Arial" w:hAnsi="Arial" w:cs="Arial"/>
          <w:color w:val="000000"/>
          <w:sz w:val="22"/>
          <w:szCs w:val="22"/>
        </w:rPr>
        <w:t>página 581</w:t>
      </w:r>
      <w:r w:rsidR="00502061">
        <w:rPr>
          <w:rFonts w:ascii="Arial" w:hAnsi="Arial" w:cs="Arial"/>
          <w:color w:val="000000"/>
          <w:sz w:val="22"/>
          <w:szCs w:val="22"/>
        </w:rPr>
        <w:t>–</w:t>
      </w:r>
      <w:r w:rsidR="0035732E">
        <w:rPr>
          <w:rFonts w:ascii="Arial" w:hAnsi="Arial" w:cs="Arial"/>
          <w:color w:val="000000"/>
          <w:sz w:val="22"/>
          <w:szCs w:val="22"/>
        </w:rPr>
        <w:t>; entre otros.</w:t>
      </w:r>
    </w:p>
    <w:p w14:paraId="6680E677" w14:textId="380243C1" w:rsidR="00EC433E" w:rsidRDefault="00AB6125" w:rsidP="00AB6125">
      <w:pPr>
        <w:spacing w:before="120" w:line="276" w:lineRule="auto"/>
        <w:ind w:firstLine="708"/>
        <w:jc w:val="both"/>
        <w:rPr>
          <w:rFonts w:ascii="Arial" w:hAnsi="Arial" w:cs="Arial"/>
          <w:color w:val="000000"/>
          <w:sz w:val="22"/>
          <w:szCs w:val="22"/>
        </w:rPr>
      </w:pPr>
      <w:r>
        <w:rPr>
          <w:rFonts w:ascii="Arial" w:hAnsi="Arial" w:cs="Arial"/>
          <w:color w:val="000000"/>
          <w:sz w:val="22"/>
          <w:szCs w:val="22"/>
        </w:rPr>
        <w:t xml:space="preserve">De este modo, para dilucidar </w:t>
      </w:r>
      <w:r w:rsidR="00F10A2F">
        <w:rPr>
          <w:rFonts w:ascii="Arial" w:hAnsi="Arial" w:cs="Arial"/>
          <w:color w:val="000000"/>
          <w:sz w:val="22"/>
          <w:szCs w:val="22"/>
        </w:rPr>
        <w:t xml:space="preserve">el contenido material de la </w:t>
      </w:r>
      <w:r w:rsidR="00547A9E">
        <w:rPr>
          <w:rFonts w:ascii="Arial" w:hAnsi="Arial" w:cs="Arial"/>
          <w:color w:val="000000"/>
          <w:sz w:val="22"/>
          <w:szCs w:val="22"/>
        </w:rPr>
        <w:t>«</w:t>
      </w:r>
      <w:r w:rsidR="00F10A2F">
        <w:rPr>
          <w:rFonts w:ascii="Arial" w:hAnsi="Arial" w:cs="Arial"/>
          <w:color w:val="000000"/>
          <w:sz w:val="22"/>
          <w:szCs w:val="22"/>
        </w:rPr>
        <w:t>cofinanciación</w:t>
      </w:r>
      <w:r w:rsidR="00547A9E" w:rsidRPr="00BA3C72">
        <w:rPr>
          <w:rFonts w:ascii="Arial" w:hAnsi="Arial" w:cs="Arial"/>
          <w:sz w:val="22"/>
          <w:szCs w:val="22"/>
        </w:rPr>
        <w:t>»</w:t>
      </w:r>
      <w:r w:rsidR="00F10A2F">
        <w:rPr>
          <w:rFonts w:ascii="Arial" w:hAnsi="Arial" w:cs="Arial"/>
          <w:color w:val="000000"/>
          <w:sz w:val="22"/>
          <w:szCs w:val="22"/>
        </w:rPr>
        <w:t xml:space="preserve"> a la que alude el parágrafo del artículo 56 de la Ley 2063 de 2020</w:t>
      </w:r>
      <w:r w:rsidR="0035732E">
        <w:rPr>
          <w:rFonts w:ascii="Arial" w:hAnsi="Arial" w:cs="Arial"/>
          <w:color w:val="000000"/>
          <w:sz w:val="22"/>
          <w:szCs w:val="22"/>
        </w:rPr>
        <w:t xml:space="preserve">, es posible concluir que se refiere al aporte conjunto de recursos por parte de quienes celebren el convenio o contrato administrativo. Y, en concreto, al </w:t>
      </w:r>
      <w:r w:rsidR="00EC433E">
        <w:rPr>
          <w:rFonts w:ascii="Arial" w:hAnsi="Arial" w:cs="Arial"/>
          <w:color w:val="000000"/>
          <w:sz w:val="22"/>
          <w:szCs w:val="22"/>
        </w:rPr>
        <w:t xml:space="preserve">indicar que dichos negocios jurídicos se pueden celebrar “sin necesidad de cofinanciación” permite que una de las partes, en este caso las entidades que reciben recursos por concepto de parafiscales no realicen aporte alguno. </w:t>
      </w:r>
    </w:p>
    <w:p w14:paraId="6D3BA7A9" w14:textId="29DE4436" w:rsidR="00DB0FC7" w:rsidRDefault="00A71CEA" w:rsidP="00DB0FC7">
      <w:pPr>
        <w:spacing w:line="276" w:lineRule="auto"/>
        <w:jc w:val="both"/>
        <w:rPr>
          <w:rFonts w:ascii="Arial" w:hAnsi="Arial" w:cs="Arial"/>
          <w:b/>
          <w:bCs/>
          <w:color w:val="000000"/>
          <w:sz w:val="22"/>
          <w:szCs w:val="22"/>
        </w:rPr>
      </w:pPr>
      <w:r>
        <w:rPr>
          <w:rFonts w:ascii="Arial" w:hAnsi="Arial" w:cs="Arial"/>
          <w:b/>
          <w:bCs/>
          <w:color w:val="000000"/>
          <w:sz w:val="22"/>
          <w:szCs w:val="22"/>
        </w:rPr>
        <w:t xml:space="preserve"> </w:t>
      </w:r>
    </w:p>
    <w:p w14:paraId="0D600842" w14:textId="2800B18B" w:rsidR="00A71CEA" w:rsidRDefault="00A71CEA" w:rsidP="00502061">
      <w:pPr>
        <w:spacing w:line="276" w:lineRule="auto"/>
        <w:jc w:val="both"/>
        <w:rPr>
          <w:rFonts w:ascii="Arial" w:hAnsi="Arial" w:cs="Arial"/>
          <w:b/>
          <w:bCs/>
          <w:color w:val="000000"/>
          <w:sz w:val="22"/>
          <w:szCs w:val="22"/>
        </w:rPr>
      </w:pPr>
      <w:r>
        <w:rPr>
          <w:rFonts w:ascii="Arial" w:hAnsi="Arial" w:cs="Arial"/>
          <w:b/>
          <w:bCs/>
          <w:color w:val="000000"/>
          <w:sz w:val="22"/>
          <w:szCs w:val="22"/>
        </w:rPr>
        <w:t xml:space="preserve">2.7. </w:t>
      </w:r>
      <w:r w:rsidR="00F53CB0" w:rsidRPr="00F53CB0">
        <w:rPr>
          <w:rFonts w:ascii="Arial" w:hAnsi="Arial" w:cs="Arial"/>
          <w:b/>
          <w:bCs/>
          <w:color w:val="000000"/>
          <w:sz w:val="22"/>
          <w:szCs w:val="22"/>
        </w:rPr>
        <w:t>Generalidades sobre el régimen de contratación directa</w:t>
      </w:r>
    </w:p>
    <w:p w14:paraId="3DA7EAED" w14:textId="77777777" w:rsidR="00502061" w:rsidRDefault="00502061" w:rsidP="00531E6B">
      <w:pPr>
        <w:spacing w:line="276" w:lineRule="auto"/>
        <w:jc w:val="both"/>
        <w:rPr>
          <w:rFonts w:ascii="Arial" w:hAnsi="Arial" w:cs="Arial"/>
          <w:b/>
          <w:bCs/>
          <w:color w:val="000000"/>
          <w:sz w:val="22"/>
          <w:szCs w:val="22"/>
        </w:rPr>
      </w:pPr>
    </w:p>
    <w:p w14:paraId="7BF29950" w14:textId="49EE1C0E" w:rsidR="00EE66CC" w:rsidRDefault="00EE66CC" w:rsidP="00531E6B">
      <w:pPr>
        <w:spacing w:after="120" w:line="276" w:lineRule="auto"/>
        <w:jc w:val="both"/>
        <w:rPr>
          <w:rFonts w:ascii="Arial" w:eastAsiaTheme="minorHAnsi" w:hAnsi="Arial" w:cs="Arial"/>
          <w:sz w:val="22"/>
          <w:lang w:val="es-ES"/>
        </w:rPr>
      </w:pPr>
      <w:r>
        <w:rPr>
          <w:rFonts w:ascii="Arial" w:hAnsi="Arial" w:cs="Arial"/>
          <w:sz w:val="22"/>
        </w:rPr>
        <w:t xml:space="preserve">La Ley 1150 de 2007, en </w:t>
      </w:r>
      <w:r w:rsidR="00DE736C">
        <w:rPr>
          <w:rFonts w:ascii="Arial" w:hAnsi="Arial" w:cs="Arial"/>
          <w:sz w:val="22"/>
        </w:rPr>
        <w:t>su</w:t>
      </w:r>
      <w:r>
        <w:rPr>
          <w:rFonts w:ascii="Arial" w:hAnsi="Arial" w:cs="Arial"/>
          <w:sz w:val="22"/>
        </w:rPr>
        <w:t xml:space="preserve"> artículo 2, establece las 5 modalidades de selección para la escogencia de</w:t>
      </w:r>
      <w:r w:rsidR="00DE736C">
        <w:rPr>
          <w:rFonts w:ascii="Arial" w:hAnsi="Arial" w:cs="Arial"/>
          <w:sz w:val="22"/>
        </w:rPr>
        <w:t xml:space="preserve"> </w:t>
      </w:r>
      <w:r>
        <w:rPr>
          <w:rFonts w:ascii="Arial" w:hAnsi="Arial" w:cs="Arial"/>
          <w:sz w:val="22"/>
        </w:rPr>
        <w:t>l</w:t>
      </w:r>
      <w:r w:rsidR="00DE736C">
        <w:rPr>
          <w:rFonts w:ascii="Arial" w:hAnsi="Arial" w:cs="Arial"/>
          <w:sz w:val="22"/>
        </w:rPr>
        <w:t>os</w:t>
      </w:r>
      <w:r>
        <w:rPr>
          <w:rFonts w:ascii="Arial" w:hAnsi="Arial" w:cs="Arial"/>
          <w:sz w:val="22"/>
        </w:rPr>
        <w:t xml:space="preserve"> contratista</w:t>
      </w:r>
      <w:r w:rsidR="00DE736C">
        <w:rPr>
          <w:rFonts w:ascii="Arial" w:hAnsi="Arial" w:cs="Arial"/>
          <w:sz w:val="22"/>
        </w:rPr>
        <w:t>s estatales</w:t>
      </w:r>
      <w:r>
        <w:rPr>
          <w:rFonts w:ascii="Arial" w:hAnsi="Arial" w:cs="Arial"/>
          <w:sz w:val="22"/>
        </w:rPr>
        <w:t xml:space="preserve"> y fija las reglas de cada modalidad: licitación pública, selección abreviada, concurso de méritos, mínima cuantía y contratación directa. Por su parte, la exposición de motivos de</w:t>
      </w:r>
      <w:r w:rsidR="00DE736C">
        <w:rPr>
          <w:rFonts w:ascii="Arial" w:hAnsi="Arial" w:cs="Arial"/>
          <w:sz w:val="22"/>
        </w:rPr>
        <w:t xml:space="preserve"> dicha ley </w:t>
      </w:r>
      <w:r>
        <w:rPr>
          <w:rFonts w:ascii="Arial" w:hAnsi="Arial" w:cs="Arial"/>
          <w:sz w:val="22"/>
        </w:rPr>
        <w:t>señala las razones por las cuales se establecieron las modalidades de selección del artículo 2</w:t>
      </w:r>
      <w:r w:rsidR="00DE736C">
        <w:rPr>
          <w:rFonts w:ascii="Arial" w:hAnsi="Arial" w:cs="Arial"/>
          <w:sz w:val="22"/>
        </w:rPr>
        <w:t>. En efecto, indica que</w:t>
      </w:r>
      <w:r>
        <w:rPr>
          <w:rFonts w:ascii="Arial" w:hAnsi="Arial" w:cs="Arial"/>
          <w:sz w:val="22"/>
        </w:rPr>
        <w:t xml:space="preserve"> «</w:t>
      </w:r>
      <w:r w:rsidR="00DE736C">
        <w:rPr>
          <w:rFonts w:ascii="Arial" w:hAnsi="Arial" w:cs="Arial"/>
          <w:sz w:val="22"/>
        </w:rPr>
        <w:t>a</w:t>
      </w:r>
      <w:r>
        <w:rPr>
          <w:rFonts w:ascii="Arial" w:hAnsi="Arial" w:cs="Arial"/>
          <w:sz w:val="22"/>
        </w:rPr>
        <w:t xml:space="preserve"> ese respecto es claro que las experiencias exitosas a nivel internacional demuestran que el criterio de distinción que debe gobernar un esquema contractual eficiente es el de modular las modalidades de selección en razón a las características del objeto».</w:t>
      </w:r>
    </w:p>
    <w:p w14:paraId="6FC8B708" w14:textId="5C094B7C" w:rsidR="00EE66CC" w:rsidRDefault="00EE66CC">
      <w:pPr>
        <w:spacing w:after="120" w:line="276" w:lineRule="auto"/>
        <w:ind w:firstLine="709"/>
        <w:jc w:val="both"/>
        <w:rPr>
          <w:rFonts w:ascii="Arial" w:hAnsi="Arial" w:cs="Arial"/>
          <w:sz w:val="22"/>
        </w:rPr>
      </w:pPr>
      <w:r>
        <w:rPr>
          <w:rFonts w:ascii="Arial" w:hAnsi="Arial" w:cs="Arial"/>
          <w:sz w:val="22"/>
        </w:rPr>
        <w:t xml:space="preserve">Ahora bien, las modalidades de selección se pueden dividir en i) </w:t>
      </w:r>
      <w:r w:rsidR="00897109">
        <w:rPr>
          <w:rFonts w:ascii="Arial" w:hAnsi="Arial" w:cs="Arial"/>
          <w:sz w:val="22"/>
        </w:rPr>
        <w:t xml:space="preserve">procesos con pluralidad de oferentes </w:t>
      </w:r>
      <w:r>
        <w:rPr>
          <w:rFonts w:ascii="Arial" w:hAnsi="Arial" w:cs="Arial"/>
          <w:sz w:val="22"/>
        </w:rPr>
        <w:t xml:space="preserve">y ii) </w:t>
      </w:r>
      <w:r w:rsidR="00897109">
        <w:rPr>
          <w:rFonts w:ascii="Arial" w:hAnsi="Arial" w:cs="Arial"/>
          <w:sz w:val="22"/>
        </w:rPr>
        <w:t>procedimientos sin pluralidad de proponentes</w:t>
      </w:r>
      <w:r>
        <w:rPr>
          <w:rFonts w:ascii="Arial" w:hAnsi="Arial" w:cs="Arial"/>
          <w:sz w:val="22"/>
        </w:rPr>
        <w:t xml:space="preserve">. </w:t>
      </w:r>
      <w:r w:rsidR="00897109">
        <w:rPr>
          <w:rFonts w:ascii="Arial" w:hAnsi="Arial" w:cs="Arial"/>
          <w:sz w:val="22"/>
        </w:rPr>
        <w:t>De hecho</w:t>
      </w:r>
      <w:r>
        <w:rPr>
          <w:rFonts w:ascii="Arial" w:hAnsi="Arial" w:cs="Arial"/>
          <w:sz w:val="22"/>
        </w:rPr>
        <w:t xml:space="preserve">, modalidades como la licitación pública y el concurso de méritos son modalidades de abiertas, ya que en ellas tiene lugar la participación de varios proponentes en una fase pública de presentación de ofertas. Esto permite que todas las personas interesadas </w:t>
      </w:r>
      <w:r>
        <w:rPr>
          <w:rFonts w:ascii="Arial" w:hAnsi="Arial" w:cs="Arial"/>
          <w:sz w:val="22"/>
        </w:rPr>
        <w:lastRenderedPageBreak/>
        <w:t xml:space="preserve">concurran al proceso en igualdad de condiciones y compitan en el mismo. </w:t>
      </w:r>
      <w:r w:rsidR="00135CEA">
        <w:rPr>
          <w:rFonts w:ascii="Arial" w:hAnsi="Arial" w:cs="Arial"/>
          <w:sz w:val="22"/>
        </w:rPr>
        <w:t xml:space="preserve">Por oposición, se </w:t>
      </w:r>
      <w:r w:rsidR="008C3F91">
        <w:rPr>
          <w:rFonts w:ascii="Arial" w:hAnsi="Arial" w:cs="Arial"/>
          <w:sz w:val="22"/>
        </w:rPr>
        <w:t xml:space="preserve">incluye </w:t>
      </w:r>
      <w:r>
        <w:rPr>
          <w:rFonts w:ascii="Arial" w:hAnsi="Arial" w:cs="Arial"/>
          <w:sz w:val="22"/>
        </w:rPr>
        <w:t>la modalidad de selección de contratación directa</w:t>
      </w:r>
      <w:r w:rsidR="008C3F91">
        <w:rPr>
          <w:rFonts w:ascii="Arial" w:hAnsi="Arial" w:cs="Arial"/>
          <w:sz w:val="22"/>
        </w:rPr>
        <w:t xml:space="preserve">, la cual </w:t>
      </w:r>
      <w:r>
        <w:rPr>
          <w:rFonts w:ascii="Arial" w:hAnsi="Arial" w:cs="Arial"/>
          <w:sz w:val="22"/>
        </w:rPr>
        <w:t>no es abierta a los proponentes para que presenten sus ofertas. En esta, es la entidad la que determina, de forma directa, la persona que puede participar y que será seleccionada.</w:t>
      </w:r>
    </w:p>
    <w:p w14:paraId="02D26FB9" w14:textId="12A67E75" w:rsidR="00EE66CC" w:rsidRPr="008C3F91" w:rsidRDefault="00EE66CC" w:rsidP="008C3F91">
      <w:pPr>
        <w:spacing w:after="120" w:line="276" w:lineRule="auto"/>
        <w:ind w:firstLine="708"/>
        <w:jc w:val="both"/>
        <w:rPr>
          <w:rFonts w:ascii="Arial" w:hAnsi="Arial" w:cs="Arial"/>
          <w:sz w:val="22"/>
        </w:rPr>
      </w:pPr>
      <w:r>
        <w:rPr>
          <w:rFonts w:ascii="Arial" w:hAnsi="Arial" w:cs="Arial"/>
          <w:sz w:val="22"/>
        </w:rPr>
        <w:t xml:space="preserve">Lo anterior se complementa con lo expuesto por la Corte Constitucional, en Sentencia C-713 de 2009, que estudió la constitucionalidad de los artículos 2 </w:t>
      </w:r>
      <w:r w:rsidR="00897109">
        <w:rPr>
          <w:rFonts w:ascii="Arial" w:hAnsi="Arial" w:cs="Arial"/>
          <w:sz w:val="22"/>
        </w:rPr>
        <w:t>–</w:t>
      </w:r>
      <w:r>
        <w:rPr>
          <w:rFonts w:ascii="Arial" w:hAnsi="Arial" w:cs="Arial"/>
          <w:sz w:val="22"/>
        </w:rPr>
        <w:t>parcial</w:t>
      </w:r>
      <w:r w:rsidR="00897109">
        <w:rPr>
          <w:rFonts w:ascii="Arial" w:hAnsi="Arial" w:cs="Arial"/>
          <w:sz w:val="22"/>
        </w:rPr>
        <w:t>–</w:t>
      </w:r>
      <w:r>
        <w:rPr>
          <w:rFonts w:ascii="Arial" w:hAnsi="Arial" w:cs="Arial"/>
          <w:sz w:val="22"/>
        </w:rPr>
        <w:t xml:space="preserve"> y 5 </w:t>
      </w:r>
      <w:r w:rsidR="00897109">
        <w:rPr>
          <w:rFonts w:ascii="Arial" w:hAnsi="Arial" w:cs="Arial"/>
          <w:sz w:val="22"/>
        </w:rPr>
        <w:t>–</w:t>
      </w:r>
      <w:r>
        <w:rPr>
          <w:rFonts w:ascii="Arial" w:hAnsi="Arial" w:cs="Arial"/>
          <w:sz w:val="22"/>
        </w:rPr>
        <w:t>parcial</w:t>
      </w:r>
      <w:r w:rsidR="00897109">
        <w:rPr>
          <w:rFonts w:ascii="Arial" w:hAnsi="Arial" w:cs="Arial"/>
          <w:sz w:val="22"/>
        </w:rPr>
        <w:t>–</w:t>
      </w:r>
      <w:r>
        <w:rPr>
          <w:rFonts w:ascii="Arial" w:hAnsi="Arial" w:cs="Arial"/>
          <w:sz w:val="22"/>
        </w:rPr>
        <w:t xml:space="preserve"> de la Ley 1150 de 2007. En la decisión judicial mencionada se analizaron los principios de libre concurrencia y selección objetiva en la contratación pública, como expresiones del derecho a la igualdad de oportunidades para quienes tengan interés en participar en la contratación estatal. Esos principios se m</w:t>
      </w:r>
      <w:r w:rsidR="008C3F91">
        <w:rPr>
          <w:rFonts w:ascii="Arial" w:hAnsi="Arial" w:cs="Arial"/>
          <w:sz w:val="22"/>
        </w:rPr>
        <w:t xml:space="preserve">aterializan </w:t>
      </w:r>
      <w:r>
        <w:rPr>
          <w:rFonts w:ascii="Arial" w:hAnsi="Arial" w:cs="Arial"/>
          <w:sz w:val="22"/>
        </w:rPr>
        <w:t>en</w:t>
      </w:r>
      <w:r w:rsidR="008C3F91">
        <w:rPr>
          <w:rFonts w:ascii="Arial" w:hAnsi="Arial" w:cs="Arial"/>
          <w:sz w:val="22"/>
        </w:rPr>
        <w:t xml:space="preserve"> la obligación de no </w:t>
      </w:r>
      <w:r>
        <w:rPr>
          <w:rFonts w:ascii="Arial" w:hAnsi="Arial" w:cs="Arial"/>
          <w:sz w:val="22"/>
        </w:rPr>
        <w:t>discriminación y en que las entidades no impongan limitaciones a través de reglas que impidan la concurrencia para obtener mejores condiciones de contratación. Esto permite excepciones que busquen condiciones del contratista que sean favorables a los intereses del Estado y aseguren la transparencia del procedimiento como las inhabilidades e incompatibilidades</w:t>
      </w:r>
      <w:r>
        <w:rPr>
          <w:rStyle w:val="Refdenotaalpie"/>
          <w:rFonts w:ascii="Arial" w:hAnsi="Arial" w:cs="Arial"/>
          <w:sz w:val="21"/>
          <w:szCs w:val="21"/>
        </w:rPr>
        <w:footnoteReference w:id="21"/>
      </w:r>
      <w:r>
        <w:rPr>
          <w:rFonts w:ascii="Arial" w:hAnsi="Arial" w:cs="Arial"/>
          <w:sz w:val="21"/>
          <w:szCs w:val="21"/>
        </w:rPr>
        <w:t>.</w:t>
      </w:r>
    </w:p>
    <w:p w14:paraId="5E14BA37" w14:textId="7FD16596" w:rsidR="00EE66CC" w:rsidRDefault="008C3F91" w:rsidP="00EE66CC">
      <w:pPr>
        <w:spacing w:after="120" w:line="276" w:lineRule="auto"/>
        <w:ind w:firstLine="708"/>
        <w:jc w:val="both"/>
        <w:rPr>
          <w:rFonts w:ascii="Arial" w:hAnsi="Arial" w:cs="Arial"/>
          <w:sz w:val="22"/>
        </w:rPr>
      </w:pPr>
      <w:r>
        <w:rPr>
          <w:rFonts w:ascii="Arial" w:hAnsi="Arial" w:cs="Arial"/>
          <w:sz w:val="22"/>
        </w:rPr>
        <w:t>Además, d</w:t>
      </w:r>
      <w:r w:rsidR="00EE66CC">
        <w:rPr>
          <w:rFonts w:ascii="Arial" w:hAnsi="Arial" w:cs="Arial"/>
          <w:sz w:val="22"/>
        </w:rPr>
        <w:t xml:space="preserve">ebe señalarse </w:t>
      </w:r>
      <w:r>
        <w:rPr>
          <w:rFonts w:ascii="Arial" w:hAnsi="Arial" w:cs="Arial"/>
          <w:sz w:val="22"/>
        </w:rPr>
        <w:t xml:space="preserve">que la modalidad de </w:t>
      </w:r>
      <w:r w:rsidR="00EE66CC">
        <w:rPr>
          <w:rFonts w:ascii="Arial" w:hAnsi="Arial" w:cs="Arial"/>
          <w:sz w:val="22"/>
        </w:rPr>
        <w:t>contratación directa</w:t>
      </w:r>
      <w:r>
        <w:rPr>
          <w:rFonts w:ascii="Arial" w:hAnsi="Arial" w:cs="Arial"/>
          <w:sz w:val="22"/>
        </w:rPr>
        <w:t xml:space="preserve"> </w:t>
      </w:r>
      <w:r w:rsidR="00EE66CC">
        <w:rPr>
          <w:rFonts w:ascii="Arial" w:hAnsi="Arial" w:cs="Arial"/>
          <w:sz w:val="22"/>
        </w:rPr>
        <w:t>es de aplicación restrictiva, esto es, s</w:t>
      </w:r>
      <w:r>
        <w:rPr>
          <w:rFonts w:ascii="Arial" w:hAnsi="Arial" w:cs="Arial"/>
          <w:sz w:val="22"/>
        </w:rPr>
        <w:t>ó</w:t>
      </w:r>
      <w:r w:rsidR="00EE66CC">
        <w:rPr>
          <w:rFonts w:ascii="Arial" w:hAnsi="Arial" w:cs="Arial"/>
          <w:sz w:val="22"/>
        </w:rPr>
        <w:t>lo procede por las causales señaladas taxativamente en el numeral 4 del artículo 2 de la Ley 1150 de 2007</w:t>
      </w:r>
      <w:r w:rsidR="007F1895">
        <w:rPr>
          <w:rStyle w:val="Refdenotaalpie"/>
          <w:rFonts w:ascii="Arial" w:hAnsi="Arial" w:cs="Arial"/>
          <w:sz w:val="22"/>
        </w:rPr>
        <w:footnoteReference w:id="22"/>
      </w:r>
      <w:r w:rsidR="00EE66CC">
        <w:rPr>
          <w:rFonts w:ascii="Arial" w:hAnsi="Arial" w:cs="Arial"/>
          <w:sz w:val="22"/>
        </w:rPr>
        <w:t>. Además</w:t>
      </w:r>
      <w:r>
        <w:rPr>
          <w:rFonts w:ascii="Arial" w:hAnsi="Arial" w:cs="Arial"/>
          <w:sz w:val="22"/>
        </w:rPr>
        <w:t>,</w:t>
      </w:r>
      <w:r w:rsidR="00EE66CC">
        <w:rPr>
          <w:rFonts w:ascii="Arial" w:hAnsi="Arial" w:cs="Arial"/>
          <w:sz w:val="22"/>
        </w:rPr>
        <w:t xml:space="preserve"> </w:t>
      </w:r>
      <w:r>
        <w:rPr>
          <w:rFonts w:ascii="Arial" w:hAnsi="Arial" w:cs="Arial"/>
          <w:sz w:val="22"/>
        </w:rPr>
        <w:t xml:space="preserve">según lo que se ha expuesto, constituye </w:t>
      </w:r>
      <w:r w:rsidR="00EE66CC">
        <w:rPr>
          <w:rFonts w:ascii="Arial" w:hAnsi="Arial" w:cs="Arial"/>
          <w:sz w:val="22"/>
        </w:rPr>
        <w:lastRenderedPageBreak/>
        <w:t>una excepción a</w:t>
      </w:r>
      <w:r>
        <w:rPr>
          <w:rFonts w:ascii="Arial" w:hAnsi="Arial" w:cs="Arial"/>
          <w:sz w:val="22"/>
        </w:rPr>
        <w:t xml:space="preserve"> </w:t>
      </w:r>
      <w:r w:rsidR="00EE66CC">
        <w:rPr>
          <w:rFonts w:ascii="Arial" w:hAnsi="Arial" w:cs="Arial"/>
          <w:sz w:val="22"/>
        </w:rPr>
        <w:t>l</w:t>
      </w:r>
      <w:r>
        <w:rPr>
          <w:rFonts w:ascii="Arial" w:hAnsi="Arial" w:cs="Arial"/>
          <w:sz w:val="22"/>
        </w:rPr>
        <w:t>os</w:t>
      </w:r>
      <w:r w:rsidR="00EE66CC">
        <w:rPr>
          <w:rFonts w:ascii="Arial" w:hAnsi="Arial" w:cs="Arial"/>
          <w:sz w:val="22"/>
        </w:rPr>
        <w:t xml:space="preserve"> principio</w:t>
      </w:r>
      <w:r>
        <w:rPr>
          <w:rFonts w:ascii="Arial" w:hAnsi="Arial" w:cs="Arial"/>
          <w:sz w:val="22"/>
        </w:rPr>
        <w:t>s</w:t>
      </w:r>
      <w:r w:rsidR="00EE66CC">
        <w:rPr>
          <w:rFonts w:ascii="Arial" w:hAnsi="Arial" w:cs="Arial"/>
          <w:sz w:val="22"/>
        </w:rPr>
        <w:t xml:space="preserve"> de libre concurrencia y </w:t>
      </w:r>
      <w:r>
        <w:rPr>
          <w:rFonts w:ascii="Arial" w:hAnsi="Arial" w:cs="Arial"/>
          <w:sz w:val="22"/>
        </w:rPr>
        <w:t xml:space="preserve">de </w:t>
      </w:r>
      <w:r w:rsidR="00EE66CC">
        <w:rPr>
          <w:rFonts w:ascii="Arial" w:hAnsi="Arial" w:cs="Arial"/>
          <w:sz w:val="22"/>
        </w:rPr>
        <w:t>libre competencia</w:t>
      </w:r>
      <w:r>
        <w:rPr>
          <w:rFonts w:ascii="Arial" w:hAnsi="Arial" w:cs="Arial"/>
          <w:sz w:val="22"/>
        </w:rPr>
        <w:t>,</w:t>
      </w:r>
      <w:r w:rsidR="00EE66CC">
        <w:rPr>
          <w:rFonts w:ascii="Arial" w:hAnsi="Arial" w:cs="Arial"/>
          <w:sz w:val="22"/>
        </w:rPr>
        <w:t xml:space="preserve"> que aplica</w:t>
      </w:r>
      <w:r w:rsidR="00B52EF4">
        <w:rPr>
          <w:rFonts w:ascii="Arial" w:hAnsi="Arial" w:cs="Arial"/>
          <w:sz w:val="22"/>
        </w:rPr>
        <w:t>n</w:t>
      </w:r>
      <w:r w:rsidR="00EE66CC">
        <w:rPr>
          <w:rFonts w:ascii="Arial" w:hAnsi="Arial" w:cs="Arial"/>
          <w:sz w:val="22"/>
        </w:rPr>
        <w:t xml:space="preserve"> a los procesos de contratación para que cualquier persona interesada en satisfacer la necesidad de una entidad pueda presentar una oferta. </w:t>
      </w:r>
    </w:p>
    <w:p w14:paraId="58A02A5B" w14:textId="184DFC4A" w:rsidR="00A71CEA" w:rsidRDefault="008C3F91">
      <w:pPr>
        <w:spacing w:line="276" w:lineRule="auto"/>
        <w:ind w:firstLine="708"/>
        <w:jc w:val="both"/>
        <w:rPr>
          <w:rFonts w:ascii="Arial" w:hAnsi="Arial" w:cs="Arial"/>
          <w:sz w:val="22"/>
        </w:rPr>
      </w:pPr>
      <w:r>
        <w:rPr>
          <w:rFonts w:ascii="Arial" w:hAnsi="Arial" w:cs="Arial"/>
          <w:sz w:val="22"/>
        </w:rPr>
        <w:t>De este modo, es posible concluir que e</w:t>
      </w:r>
      <w:r w:rsidR="00EE66CC">
        <w:rPr>
          <w:rFonts w:ascii="Arial" w:hAnsi="Arial" w:cs="Arial"/>
          <w:sz w:val="22"/>
        </w:rPr>
        <w:t xml:space="preserve">n la contratación directa no es necesario que la entidad reciba más de una oferta, la cual </w:t>
      </w:r>
      <w:r w:rsidR="00B315E0">
        <w:rPr>
          <w:rFonts w:ascii="Arial" w:hAnsi="Arial" w:cs="Arial"/>
          <w:sz w:val="22"/>
        </w:rPr>
        <w:t xml:space="preserve">puede provenir </w:t>
      </w:r>
      <w:r w:rsidR="00EE66CC">
        <w:rPr>
          <w:rFonts w:ascii="Arial" w:hAnsi="Arial" w:cs="Arial"/>
          <w:sz w:val="22"/>
        </w:rPr>
        <w:t>de la persona que la entidad escoge directamente y</w:t>
      </w:r>
      <w:r w:rsidR="00B315E0">
        <w:rPr>
          <w:rFonts w:ascii="Arial" w:hAnsi="Arial" w:cs="Arial"/>
          <w:sz w:val="22"/>
        </w:rPr>
        <w:t>,</w:t>
      </w:r>
      <w:r w:rsidR="00EE66CC">
        <w:rPr>
          <w:rFonts w:ascii="Arial" w:hAnsi="Arial" w:cs="Arial"/>
          <w:sz w:val="22"/>
        </w:rPr>
        <w:t xml:space="preserve"> por ende, le invita a ofertar el bien o servicio que se requiere. Lo anterior puede estar basado en que el proponente es único, o en que el legislador privilegió algunos objetos contractuales u oferentes para contratarlos de manera directa.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214BFED9" w14:textId="77777777" w:rsidR="008312A3" w:rsidRDefault="008312A3" w:rsidP="008312A3">
      <w:pPr>
        <w:spacing w:line="276" w:lineRule="auto"/>
        <w:ind w:firstLine="708"/>
        <w:jc w:val="both"/>
        <w:rPr>
          <w:rFonts w:ascii="Arial" w:hAnsi="Arial" w:cs="Arial"/>
          <w:sz w:val="22"/>
        </w:rPr>
      </w:pPr>
    </w:p>
    <w:p w14:paraId="714D2DD7" w14:textId="64A191E6" w:rsidR="008312A3" w:rsidRDefault="00216826" w:rsidP="00FD3E77">
      <w:pPr>
        <w:spacing w:line="276" w:lineRule="auto"/>
        <w:jc w:val="both"/>
        <w:rPr>
          <w:rFonts w:ascii="Arial" w:hAnsi="Arial" w:cs="Arial"/>
          <w:b/>
          <w:bCs/>
          <w:sz w:val="22"/>
        </w:rPr>
      </w:pPr>
      <w:r>
        <w:rPr>
          <w:rFonts w:ascii="Arial" w:hAnsi="Arial" w:cs="Arial"/>
          <w:b/>
          <w:bCs/>
          <w:sz w:val="22"/>
        </w:rPr>
        <w:t xml:space="preserve">2.8. </w:t>
      </w:r>
      <w:r w:rsidR="00F0401C">
        <w:rPr>
          <w:rFonts w:ascii="Arial" w:hAnsi="Arial" w:cs="Arial"/>
          <w:b/>
          <w:bCs/>
          <w:sz w:val="22"/>
        </w:rPr>
        <w:t>Fines de la contratación con</w:t>
      </w:r>
      <w:r w:rsidR="00ED3195">
        <w:rPr>
          <w:rFonts w:ascii="Arial" w:hAnsi="Arial" w:cs="Arial"/>
          <w:b/>
          <w:bCs/>
          <w:sz w:val="22"/>
        </w:rPr>
        <w:t xml:space="preserve"> entidades sin ánimo de lucro</w:t>
      </w:r>
      <w:r w:rsidR="00563519">
        <w:rPr>
          <w:rFonts w:ascii="Arial" w:hAnsi="Arial" w:cs="Arial"/>
          <w:b/>
          <w:bCs/>
          <w:sz w:val="22"/>
        </w:rPr>
        <w:t>, según el Decreto 092 de 2017,</w:t>
      </w:r>
      <w:r w:rsidR="00F0401C">
        <w:rPr>
          <w:rFonts w:ascii="Arial" w:hAnsi="Arial" w:cs="Arial"/>
          <w:b/>
          <w:bCs/>
          <w:sz w:val="22"/>
        </w:rPr>
        <w:t xml:space="preserve"> y </w:t>
      </w:r>
      <w:r w:rsidR="00563519">
        <w:rPr>
          <w:rFonts w:ascii="Arial" w:hAnsi="Arial" w:cs="Arial"/>
          <w:b/>
          <w:bCs/>
          <w:sz w:val="22"/>
        </w:rPr>
        <w:t>con entidades que reciben recursos parafiscales, según el parágrafo del artículo 56 de la Ley 2063 de 2020</w:t>
      </w:r>
    </w:p>
    <w:p w14:paraId="29A67EFF" w14:textId="77777777" w:rsidR="00FD3E77" w:rsidRDefault="00FD3E77" w:rsidP="00FD3E77">
      <w:pPr>
        <w:spacing w:line="276" w:lineRule="auto"/>
        <w:jc w:val="both"/>
        <w:rPr>
          <w:rFonts w:ascii="Arial" w:hAnsi="Arial" w:cs="Arial"/>
          <w:b/>
          <w:bCs/>
          <w:sz w:val="22"/>
        </w:rPr>
      </w:pPr>
    </w:p>
    <w:p w14:paraId="35581483" w14:textId="26E7FA42" w:rsidR="00FD3E77" w:rsidRDefault="008312A3" w:rsidP="00FD3E77">
      <w:pPr>
        <w:spacing w:line="276" w:lineRule="auto"/>
        <w:jc w:val="both"/>
        <w:rPr>
          <w:rFonts w:ascii="Arial" w:hAnsi="Arial" w:cs="Arial"/>
          <w:sz w:val="22"/>
        </w:rPr>
      </w:pPr>
      <w:r>
        <w:rPr>
          <w:rFonts w:ascii="Arial" w:hAnsi="Arial" w:cs="Arial"/>
          <w:sz w:val="22"/>
        </w:rPr>
        <w:t xml:space="preserve">El régimen </w:t>
      </w:r>
      <w:r w:rsidR="00B315E0">
        <w:rPr>
          <w:rFonts w:ascii="Arial" w:hAnsi="Arial" w:cs="Arial"/>
          <w:sz w:val="22"/>
        </w:rPr>
        <w:t xml:space="preserve">de celebración de contratos con </w:t>
      </w:r>
      <w:r>
        <w:rPr>
          <w:rFonts w:ascii="Arial" w:hAnsi="Arial" w:cs="Arial"/>
          <w:sz w:val="22"/>
        </w:rPr>
        <w:t>entidades sin ánimo de lucro</w:t>
      </w:r>
      <w:r w:rsidR="00B315E0">
        <w:rPr>
          <w:rFonts w:ascii="Arial" w:hAnsi="Arial" w:cs="Arial"/>
          <w:sz w:val="22"/>
        </w:rPr>
        <w:t xml:space="preserve"> </w:t>
      </w:r>
      <w:r w:rsidR="00897109">
        <w:rPr>
          <w:rFonts w:ascii="Arial" w:hAnsi="Arial" w:cs="Arial"/>
          <w:sz w:val="22"/>
        </w:rPr>
        <w:t>–</w:t>
      </w:r>
      <w:r w:rsidR="00B315E0">
        <w:rPr>
          <w:rFonts w:ascii="Arial" w:hAnsi="Arial" w:cs="Arial"/>
          <w:sz w:val="22"/>
        </w:rPr>
        <w:t xml:space="preserve">en adelante </w:t>
      </w:r>
      <w:r w:rsidR="00B315E0" w:rsidRPr="00866D6C">
        <w:rPr>
          <w:rFonts w:ascii="Arial" w:hAnsi="Arial" w:cs="Arial"/>
          <w:sz w:val="22"/>
        </w:rPr>
        <w:t>ESAL</w:t>
      </w:r>
      <w:r w:rsidR="00897109">
        <w:rPr>
          <w:rFonts w:ascii="Arial" w:hAnsi="Arial" w:cs="Arial"/>
          <w:sz w:val="22"/>
        </w:rPr>
        <w:t>–</w:t>
      </w:r>
      <w:r>
        <w:rPr>
          <w:rFonts w:ascii="Arial" w:hAnsi="Arial" w:cs="Arial"/>
          <w:sz w:val="22"/>
        </w:rPr>
        <w:t xml:space="preserve"> se encuentra </w:t>
      </w:r>
      <w:r w:rsidR="00B315E0">
        <w:rPr>
          <w:rFonts w:ascii="Arial" w:hAnsi="Arial" w:cs="Arial"/>
          <w:sz w:val="22"/>
        </w:rPr>
        <w:t>delineado en el artículo</w:t>
      </w:r>
      <w:r>
        <w:rPr>
          <w:rFonts w:ascii="Arial" w:hAnsi="Arial" w:cs="Arial"/>
          <w:sz w:val="22"/>
        </w:rPr>
        <w:t xml:space="preserve"> 355 de la Constitución Política</w:t>
      </w:r>
      <w:r w:rsidR="00B315E0">
        <w:rPr>
          <w:rStyle w:val="Refdenotaalpie"/>
          <w:rFonts w:ascii="Arial" w:hAnsi="Arial" w:cs="Arial"/>
          <w:sz w:val="22"/>
        </w:rPr>
        <w:footnoteReference w:id="23"/>
      </w:r>
      <w:r>
        <w:rPr>
          <w:rFonts w:ascii="Arial" w:hAnsi="Arial" w:cs="Arial"/>
          <w:sz w:val="22"/>
        </w:rPr>
        <w:t>,</w:t>
      </w:r>
      <w:r w:rsidR="00B315E0">
        <w:rPr>
          <w:rFonts w:ascii="Arial" w:hAnsi="Arial" w:cs="Arial"/>
          <w:sz w:val="22"/>
        </w:rPr>
        <w:t xml:space="preserve"> en el cual se</w:t>
      </w:r>
      <w:r w:rsidR="00FD3E77">
        <w:rPr>
          <w:rFonts w:ascii="Arial" w:hAnsi="Arial" w:cs="Arial"/>
          <w:sz w:val="22"/>
        </w:rPr>
        <w:t xml:space="preserve"> </w:t>
      </w:r>
      <w:r w:rsidR="00FD3E77" w:rsidRPr="00866D6C">
        <w:rPr>
          <w:rFonts w:ascii="Arial" w:hAnsi="Arial" w:cs="Arial"/>
          <w:sz w:val="22"/>
        </w:rPr>
        <w:t>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00FD3E77">
        <w:rPr>
          <w:rFonts w:ascii="Arial" w:hAnsi="Arial" w:cs="Arial"/>
          <w:sz w:val="22"/>
        </w:rPr>
        <w:t xml:space="preserve">. </w:t>
      </w:r>
    </w:p>
    <w:p w14:paraId="0A24DC3C" w14:textId="163748A7" w:rsidR="00FD3E77" w:rsidRPr="00FD3E77" w:rsidRDefault="00FD3E77" w:rsidP="00FD3E77">
      <w:pPr>
        <w:spacing w:before="120" w:line="276" w:lineRule="auto"/>
        <w:ind w:firstLine="709"/>
        <w:jc w:val="both"/>
        <w:rPr>
          <w:rFonts w:ascii="Arial" w:hAnsi="Arial" w:cs="Arial"/>
          <w:sz w:val="22"/>
        </w:rPr>
      </w:pPr>
      <w:r w:rsidRPr="00866D6C">
        <w:rPr>
          <w:rFonts w:ascii="Arial" w:hAnsi="Arial" w:cs="Arial"/>
          <w:sz w:val="22"/>
        </w:rPr>
        <w:t xml:space="preserve">El Gobierno nacional, en desarrollo del artículo 355 de la Constitución, expidió el Decreto </w:t>
      </w:r>
      <w:r>
        <w:rPr>
          <w:rFonts w:ascii="Arial" w:hAnsi="Arial" w:cs="Arial"/>
          <w:sz w:val="22"/>
        </w:rPr>
        <w:t>0</w:t>
      </w:r>
      <w:r w:rsidRPr="00866D6C">
        <w:rPr>
          <w:rFonts w:ascii="Arial" w:hAnsi="Arial" w:cs="Arial"/>
          <w:sz w:val="22"/>
        </w:rPr>
        <w:t>92 de 2017, q</w:t>
      </w:r>
      <w:r w:rsidRPr="00866D6C">
        <w:rPr>
          <w:rFonts w:ascii="Arial" w:eastAsia="Calibri" w:hAnsi="Arial" w:cs="Arial"/>
          <w:sz w:val="22"/>
        </w:rPr>
        <w:t xml:space="preserve">ue dispone las reglas para las contrataciones que realicen las entidades estatales con las ESAL. </w:t>
      </w:r>
      <w:r w:rsidR="00B315E0">
        <w:rPr>
          <w:rFonts w:ascii="Arial" w:eastAsia="Calibri" w:hAnsi="Arial" w:cs="Arial"/>
          <w:sz w:val="22"/>
        </w:rPr>
        <w:t>Dicho</w:t>
      </w:r>
      <w:r w:rsidRPr="00866D6C">
        <w:rPr>
          <w:rFonts w:ascii="Arial" w:eastAsia="Calibri" w:hAnsi="Arial" w:cs="Arial"/>
          <w:sz w:val="22"/>
        </w:rPr>
        <w:t xml:space="preserve">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w:t>
      </w:r>
      <w:r w:rsidRPr="00866D6C">
        <w:rPr>
          <w:rFonts w:ascii="Arial" w:eastAsia="Calibri" w:hAnsi="Arial" w:cs="Arial"/>
          <w:sz w:val="22"/>
        </w:rPr>
        <w:lastRenderedPageBreak/>
        <w:t xml:space="preserve">el desarrollo conjunto de actividades relacionadas con las funciones de las entidades estatales, en desarrollo del artículo 96 de la Ley 489 de 1998. Los primeros están regulados en el artículo 2 del Decreto </w:t>
      </w:r>
      <w:r>
        <w:rPr>
          <w:rFonts w:ascii="Arial" w:eastAsia="Calibri" w:hAnsi="Arial" w:cs="Arial"/>
          <w:sz w:val="22"/>
        </w:rPr>
        <w:t>0</w:t>
      </w:r>
      <w:r w:rsidRPr="00866D6C">
        <w:rPr>
          <w:rFonts w:ascii="Arial" w:eastAsia="Calibri" w:hAnsi="Arial" w:cs="Arial"/>
          <w:sz w:val="22"/>
        </w:rPr>
        <w:t xml:space="preserve">92 de 2017, mientras que los segundos en los artículos 5, 6, 7 y 8 </w:t>
      </w:r>
      <w:r w:rsidRPr="00866D6C">
        <w:rPr>
          <w:rFonts w:ascii="Arial" w:eastAsia="Calibri" w:hAnsi="Arial" w:cs="Arial"/>
          <w:i/>
          <w:iCs/>
          <w:sz w:val="22"/>
        </w:rPr>
        <w:t>ibidem</w:t>
      </w:r>
      <w:r w:rsidRPr="00866D6C">
        <w:rPr>
          <w:rFonts w:ascii="Arial" w:eastAsia="Calibri" w:hAnsi="Arial" w:cs="Arial"/>
          <w:sz w:val="22"/>
        </w:rPr>
        <w:t xml:space="preserve">. Es posible diferenciar, pues, los </w:t>
      </w:r>
      <w:r w:rsidRPr="00866D6C">
        <w:rPr>
          <w:rFonts w:ascii="Arial" w:eastAsia="Calibri" w:hAnsi="Arial" w:cs="Arial"/>
          <w:i/>
          <w:iCs/>
          <w:sz w:val="22"/>
        </w:rPr>
        <w:t>convenios de asociación</w:t>
      </w:r>
      <w:r w:rsidRPr="00866D6C">
        <w:rPr>
          <w:rFonts w:ascii="Arial" w:eastAsia="Calibri" w:hAnsi="Arial" w:cs="Arial"/>
          <w:sz w:val="22"/>
        </w:rPr>
        <w:t xml:space="preserve">, regulados en el artículo 5, de los </w:t>
      </w:r>
      <w:r w:rsidRPr="00866D6C">
        <w:rPr>
          <w:rFonts w:ascii="Arial" w:eastAsia="Calibri" w:hAnsi="Arial" w:cs="Arial"/>
          <w:i/>
          <w:iCs/>
          <w:sz w:val="22"/>
        </w:rPr>
        <w:t>contratos de colaboración</w:t>
      </w:r>
      <w:r w:rsidRPr="00866D6C">
        <w:rPr>
          <w:rFonts w:ascii="Arial" w:eastAsia="Calibri" w:hAnsi="Arial" w:cs="Arial"/>
          <w:sz w:val="22"/>
        </w:rPr>
        <w:t>, establecidos en el artículo 2 del Decreto 92 de 2017</w:t>
      </w:r>
      <w:r w:rsidRPr="00866D6C">
        <w:rPr>
          <w:rStyle w:val="Refdenotaalpie"/>
          <w:rFonts w:ascii="Arial" w:eastAsia="Calibri" w:hAnsi="Arial" w:cs="Arial"/>
          <w:sz w:val="22"/>
        </w:rPr>
        <w:footnoteReference w:id="24"/>
      </w:r>
      <w:r w:rsidRPr="00866D6C">
        <w:rPr>
          <w:rFonts w:ascii="Arial" w:eastAsia="Calibri" w:hAnsi="Arial" w:cs="Arial"/>
          <w:sz w:val="22"/>
        </w:rPr>
        <w:t xml:space="preserve">. </w:t>
      </w:r>
    </w:p>
    <w:p w14:paraId="0D5C9251" w14:textId="77777777" w:rsidR="00B315E0" w:rsidRDefault="00FD3E77" w:rsidP="00FD3E77">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Los </w:t>
      </w:r>
      <w:r w:rsidRPr="00B315E0">
        <w:rPr>
          <w:rFonts w:ascii="Arial" w:eastAsia="Calibri" w:hAnsi="Arial" w:cs="Arial"/>
          <w:sz w:val="22"/>
        </w:rPr>
        <w:t>contratos de colaboración</w:t>
      </w:r>
      <w:r w:rsidRPr="00866D6C">
        <w:rPr>
          <w:rFonts w:ascii="Arial" w:eastAsia="Calibri" w:hAnsi="Arial" w:cs="Arial"/>
          <w:i/>
          <w:iCs/>
          <w:sz w:val="22"/>
        </w:rPr>
        <w:t xml:space="preserve"> </w:t>
      </w:r>
      <w:r w:rsidRPr="00866D6C">
        <w:rPr>
          <w:rFonts w:ascii="Arial" w:eastAsia="Calibri" w:hAnsi="Arial"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w:t>
      </w:r>
      <w:r>
        <w:rPr>
          <w:rFonts w:ascii="Arial" w:eastAsia="Calibri" w:hAnsi="Arial" w:cs="Arial"/>
          <w:sz w:val="22"/>
        </w:rPr>
        <w:t>la entidad contratante</w:t>
      </w:r>
      <w:r w:rsidRPr="00866D6C">
        <w:rPr>
          <w:rFonts w:ascii="Arial" w:eastAsia="Calibri" w:hAnsi="Arial" w:cs="Arial"/>
          <w:sz w:val="22"/>
        </w:rPr>
        <w:t xml:space="preserve"> y la ESAL, toda vez que el beneficio real y directo lo reciben, en últimas, los terceros beneficiarios de este tipo de acciones de fomento. Para celebrar estos contratos, según lo establece el artículo 3 del Decreto </w:t>
      </w:r>
      <w:r>
        <w:rPr>
          <w:rFonts w:ascii="Arial" w:eastAsia="Calibri" w:hAnsi="Arial" w:cs="Arial"/>
          <w:sz w:val="22"/>
        </w:rPr>
        <w:t>0</w:t>
      </w:r>
      <w:r w:rsidRPr="00866D6C">
        <w:rPr>
          <w:rFonts w:ascii="Arial" w:eastAsia="Calibri" w:hAnsi="Arial" w:cs="Arial"/>
          <w:sz w:val="22"/>
        </w:rPr>
        <w:t xml:space="preserve">92 de 2017, por regla general, la entidad debe adelantar un proceso competitivo para seleccionar la entidad sin ánimo de lucro contratista. </w:t>
      </w:r>
    </w:p>
    <w:p w14:paraId="5845B8B1" w14:textId="61EAF241" w:rsidR="00FD3E77" w:rsidRPr="00866D6C" w:rsidRDefault="00FD3E77" w:rsidP="00FD3E77">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w:t>
      </w:r>
      <w:r>
        <w:rPr>
          <w:rFonts w:ascii="Arial" w:eastAsia="Calibri" w:hAnsi="Arial" w:cs="Arial"/>
          <w:sz w:val="22"/>
        </w:rPr>
        <w:t>Por ello, s</w:t>
      </w:r>
      <w:r w:rsidRPr="00866D6C">
        <w:rPr>
          <w:rFonts w:ascii="Arial" w:eastAsia="Calibri" w:hAnsi="Arial" w:cs="Arial"/>
          <w:sz w:val="22"/>
        </w:rPr>
        <w:t>olo cuando se reúnan estas condiciones, y se cuente con la autorización previa y escrita del representante legal de la entidad estatal, es procedente celebrar contratos de colaboración.</w:t>
      </w:r>
    </w:p>
    <w:p w14:paraId="05CB3A04" w14:textId="77777777" w:rsidR="00FD3E77" w:rsidRPr="00866D6C" w:rsidRDefault="00FD3E77" w:rsidP="00FD3E77">
      <w:pPr>
        <w:pStyle w:val="Sinespaciado"/>
        <w:spacing w:before="120" w:line="276" w:lineRule="auto"/>
        <w:ind w:firstLine="708"/>
        <w:jc w:val="both"/>
        <w:rPr>
          <w:rFonts w:ascii="Arial" w:hAnsi="Arial" w:cs="Arial"/>
          <w:sz w:val="22"/>
        </w:rPr>
      </w:pPr>
      <w:r w:rsidRPr="00866D6C">
        <w:rPr>
          <w:rFonts w:ascii="Arial" w:hAnsi="Arial" w:cs="Arial"/>
          <w:sz w:val="22"/>
        </w:rPr>
        <w:t>De otro lado</w:t>
      </w:r>
      <w:r>
        <w:rPr>
          <w:rFonts w:ascii="Arial" w:hAnsi="Arial" w:cs="Arial"/>
          <w:sz w:val="22"/>
        </w:rPr>
        <w:t>, l</w:t>
      </w:r>
      <w:r w:rsidRPr="00866D6C">
        <w:rPr>
          <w:rFonts w:ascii="Arial" w:hAnsi="Arial" w:cs="Arial"/>
          <w:sz w:val="22"/>
        </w:rPr>
        <w:t xml:space="preserve">os </w:t>
      </w:r>
      <w:r w:rsidRPr="00B315E0">
        <w:rPr>
          <w:rFonts w:ascii="Arial" w:hAnsi="Arial" w:cs="Arial"/>
          <w:sz w:val="22"/>
        </w:rPr>
        <w:t>convenios de asociación</w:t>
      </w:r>
      <w:r w:rsidRPr="00866D6C">
        <w:rPr>
          <w:rFonts w:ascii="Arial" w:hAnsi="Arial"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66D6C">
        <w:rPr>
          <w:rStyle w:val="Refdenotaalpie"/>
          <w:rFonts w:ascii="Arial" w:hAnsi="Arial" w:cs="Arial"/>
          <w:sz w:val="22"/>
        </w:rPr>
        <w:footnoteReference w:id="25"/>
      </w:r>
      <w:r w:rsidRPr="00866D6C">
        <w:rPr>
          <w:rFonts w:ascii="Arial" w:hAnsi="Arial" w:cs="Arial"/>
          <w:sz w:val="22"/>
        </w:rPr>
        <w:t xml:space="preserve">. </w:t>
      </w:r>
    </w:p>
    <w:p w14:paraId="607D6B84" w14:textId="0A7BDE5F" w:rsidR="00FD3E77" w:rsidRDefault="00FD3E77" w:rsidP="00FD3E77">
      <w:pPr>
        <w:pStyle w:val="Sinespaciado"/>
        <w:spacing w:before="120" w:line="276" w:lineRule="auto"/>
        <w:ind w:firstLine="708"/>
        <w:jc w:val="both"/>
        <w:rPr>
          <w:rFonts w:ascii="Arial" w:hAnsi="Arial" w:cs="Arial"/>
          <w:sz w:val="22"/>
        </w:rPr>
      </w:pPr>
      <w:r w:rsidRPr="00866D6C">
        <w:rPr>
          <w:rFonts w:ascii="Arial" w:hAnsi="Arial" w:cs="Arial"/>
          <w:sz w:val="22"/>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w:t>
      </w:r>
      <w:r w:rsidR="000A615D">
        <w:rPr>
          <w:rFonts w:ascii="Arial" w:hAnsi="Arial" w:cs="Arial"/>
          <w:sz w:val="22"/>
        </w:rPr>
        <w:t xml:space="preserve"> –en las condiciones dispuestas por el artículo 5 del Decreto 092 de 2017–</w:t>
      </w:r>
      <w:r w:rsidRPr="00866D6C">
        <w:rPr>
          <w:rFonts w:ascii="Arial" w:hAnsi="Arial" w:cs="Arial"/>
          <w:sz w:val="22"/>
        </w:rPr>
        <w:t xml:space="preserve"> la ESAL comprometa recursos en dinero para la ejecución de estas actividades, en una proporción no inferior al 30% del valor total del convenio. </w:t>
      </w:r>
    </w:p>
    <w:p w14:paraId="46928C68" w14:textId="2C788E19" w:rsidR="00FD3E77" w:rsidRDefault="00FD3E77" w:rsidP="00531E6B">
      <w:pPr>
        <w:spacing w:before="120" w:after="120" w:line="276" w:lineRule="auto"/>
        <w:ind w:firstLine="709"/>
        <w:jc w:val="both"/>
        <w:rPr>
          <w:rFonts w:ascii="Arial" w:hAnsi="Arial" w:cs="Arial"/>
          <w:sz w:val="22"/>
          <w:szCs w:val="22"/>
        </w:rPr>
      </w:pPr>
      <w:r w:rsidRPr="007830F1">
        <w:rPr>
          <w:rFonts w:ascii="Arial" w:hAnsi="Arial" w:cs="Arial"/>
          <w:sz w:val="22"/>
          <w:szCs w:val="22"/>
        </w:rPr>
        <w:lastRenderedPageBreak/>
        <w:t xml:space="preserve">No todas las actividades que las entidades estatales deben desarrollar para alcanzar sus objetivos misionales deben ejecutarse </w:t>
      </w:r>
      <w:r w:rsidR="009F1B3C">
        <w:rPr>
          <w:rFonts w:ascii="Arial" w:hAnsi="Arial" w:cs="Arial"/>
          <w:sz w:val="22"/>
          <w:szCs w:val="22"/>
        </w:rPr>
        <w:t>mediante</w:t>
      </w:r>
      <w:r w:rsidRPr="007830F1">
        <w:rPr>
          <w:rFonts w:ascii="Arial" w:hAnsi="Arial" w:cs="Arial"/>
          <w:sz w:val="22"/>
          <w:szCs w:val="22"/>
        </w:rPr>
        <w:t xml:space="preserve"> la celebración de contratos de colaboración o convenios de asociación. Debe tenerse en cuenta que lo que determina la aplicación del Decreto </w:t>
      </w:r>
      <w:r w:rsidR="009F1B3C">
        <w:rPr>
          <w:rFonts w:ascii="Arial" w:hAnsi="Arial" w:cs="Arial"/>
          <w:sz w:val="22"/>
          <w:szCs w:val="22"/>
        </w:rPr>
        <w:t>0</w:t>
      </w:r>
      <w:r w:rsidRPr="007830F1">
        <w:rPr>
          <w:rFonts w:ascii="Arial" w:hAnsi="Arial" w:cs="Arial"/>
          <w:sz w:val="22"/>
          <w:szCs w:val="22"/>
        </w:rPr>
        <w:t>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047B9BAD" w14:textId="3FB8B9C9" w:rsidR="000B6A48" w:rsidRDefault="00D0122C" w:rsidP="00531E6B">
      <w:pPr>
        <w:spacing w:after="120" w:line="276" w:lineRule="auto"/>
        <w:ind w:firstLine="708"/>
        <w:jc w:val="both"/>
        <w:rPr>
          <w:rFonts w:ascii="Arial" w:hAnsi="Arial" w:cs="Arial"/>
          <w:sz w:val="22"/>
          <w:szCs w:val="22"/>
          <w:lang w:val="es-ES"/>
        </w:rPr>
      </w:pPr>
      <w:r>
        <w:rPr>
          <w:rFonts w:ascii="Arial" w:hAnsi="Arial" w:cs="Arial"/>
          <w:sz w:val="22"/>
          <w:szCs w:val="22"/>
          <w:lang w:val="es-ES"/>
        </w:rPr>
        <w:t>Por su parte</w:t>
      </w:r>
      <w:r w:rsidR="00B315E0" w:rsidRPr="00B315E0">
        <w:rPr>
          <w:rFonts w:ascii="Arial" w:hAnsi="Arial" w:cs="Arial"/>
          <w:sz w:val="22"/>
          <w:szCs w:val="22"/>
          <w:lang w:val="es-ES"/>
        </w:rPr>
        <w:t xml:space="preserve">, el </w:t>
      </w:r>
      <w:r w:rsidRPr="00B315E0">
        <w:rPr>
          <w:rFonts w:ascii="Arial" w:hAnsi="Arial" w:cs="Arial"/>
          <w:sz w:val="22"/>
          <w:szCs w:val="22"/>
          <w:lang w:val="es-ES"/>
        </w:rPr>
        <w:t>parágrafo</w:t>
      </w:r>
      <w:r w:rsidR="00B315E0" w:rsidRPr="00B315E0">
        <w:rPr>
          <w:rFonts w:ascii="Arial" w:hAnsi="Arial" w:cs="Arial"/>
          <w:sz w:val="22"/>
          <w:szCs w:val="22"/>
          <w:lang w:val="es-ES"/>
        </w:rPr>
        <w:t xml:space="preserve"> del artículo 56 de la Ley 2063 de 20</w:t>
      </w:r>
      <w:r w:rsidR="00B315E0">
        <w:rPr>
          <w:rFonts w:ascii="Arial" w:hAnsi="Arial" w:cs="Arial"/>
          <w:sz w:val="22"/>
          <w:szCs w:val="22"/>
          <w:lang w:val="es-ES"/>
        </w:rPr>
        <w:t xml:space="preserve">20 circunscribe </w:t>
      </w:r>
      <w:r>
        <w:rPr>
          <w:rFonts w:ascii="Arial" w:hAnsi="Arial" w:cs="Arial"/>
          <w:sz w:val="22"/>
          <w:szCs w:val="22"/>
          <w:lang w:val="es-ES"/>
        </w:rPr>
        <w:t xml:space="preserve">el ámbito de aplicación </w:t>
      </w:r>
      <w:r w:rsidR="00B315E0">
        <w:rPr>
          <w:rFonts w:ascii="Arial" w:hAnsi="Arial" w:cs="Arial"/>
          <w:sz w:val="22"/>
          <w:szCs w:val="22"/>
          <w:lang w:val="es-ES"/>
        </w:rPr>
        <w:t xml:space="preserve">de los contratos y convenios administrativos allí autorizados </w:t>
      </w:r>
      <w:r>
        <w:rPr>
          <w:rFonts w:ascii="Arial" w:hAnsi="Arial" w:cs="Arial"/>
          <w:sz w:val="22"/>
          <w:szCs w:val="22"/>
          <w:lang w:val="es-ES"/>
        </w:rPr>
        <w:t xml:space="preserve">a la satisfacción de la finalidad de </w:t>
      </w:r>
      <w:r w:rsidR="00547A9E">
        <w:rPr>
          <w:rFonts w:ascii="Arial" w:hAnsi="Arial" w:cs="Arial"/>
          <w:sz w:val="22"/>
          <w:szCs w:val="22"/>
          <w:lang w:val="es-ES"/>
        </w:rPr>
        <w:t>«</w:t>
      </w:r>
      <w:r>
        <w:rPr>
          <w:rFonts w:ascii="Arial" w:hAnsi="Arial" w:cs="Arial"/>
          <w:sz w:val="22"/>
          <w:szCs w:val="22"/>
          <w:lang w:val="es-ES"/>
        </w:rPr>
        <w:t>consolidación de la reactivación económica</w:t>
      </w:r>
      <w:r w:rsidR="00547A9E" w:rsidRPr="00BA3C72">
        <w:rPr>
          <w:rFonts w:ascii="Arial" w:hAnsi="Arial" w:cs="Arial"/>
          <w:sz w:val="22"/>
          <w:szCs w:val="22"/>
        </w:rPr>
        <w:t>»</w:t>
      </w:r>
      <w:r w:rsidR="000B6A48">
        <w:rPr>
          <w:rFonts w:ascii="Arial" w:hAnsi="Arial" w:cs="Arial"/>
          <w:sz w:val="22"/>
          <w:szCs w:val="22"/>
          <w:lang w:val="es-ES"/>
        </w:rPr>
        <w:t xml:space="preserve">. </w:t>
      </w:r>
    </w:p>
    <w:p w14:paraId="4E639BA6" w14:textId="50ADC13D" w:rsidR="000B6A48" w:rsidRPr="00B315E0" w:rsidRDefault="00D0122C" w:rsidP="000B6A48">
      <w:pPr>
        <w:spacing w:line="276" w:lineRule="auto"/>
        <w:ind w:firstLine="708"/>
        <w:jc w:val="both"/>
        <w:rPr>
          <w:rFonts w:ascii="Arial" w:hAnsi="Arial" w:cs="Arial"/>
          <w:sz w:val="22"/>
          <w:szCs w:val="22"/>
          <w:lang w:val="es-ES"/>
        </w:rPr>
      </w:pPr>
      <w:r>
        <w:rPr>
          <w:rFonts w:ascii="Arial" w:hAnsi="Arial" w:cs="Arial"/>
          <w:sz w:val="22"/>
          <w:szCs w:val="22"/>
          <w:lang w:val="es-ES"/>
        </w:rPr>
        <w:t xml:space="preserve">De este modo, </w:t>
      </w:r>
      <w:bookmarkStart w:id="4" w:name="_Hlk66207167"/>
      <w:r w:rsidR="004E7410">
        <w:rPr>
          <w:rFonts w:ascii="Arial" w:hAnsi="Arial" w:cs="Arial"/>
          <w:sz w:val="22"/>
          <w:szCs w:val="22"/>
          <w:lang w:val="es-ES"/>
        </w:rPr>
        <w:t>existe</w:t>
      </w:r>
      <w:r>
        <w:rPr>
          <w:rFonts w:ascii="Arial" w:hAnsi="Arial" w:cs="Arial"/>
          <w:sz w:val="22"/>
          <w:szCs w:val="22"/>
          <w:lang w:val="es-ES"/>
        </w:rPr>
        <w:t xml:space="preserve"> </w:t>
      </w:r>
      <w:r w:rsidR="004E7410">
        <w:rPr>
          <w:rFonts w:ascii="Arial" w:hAnsi="Arial" w:cs="Arial"/>
          <w:sz w:val="22"/>
          <w:szCs w:val="22"/>
          <w:lang w:val="es-ES"/>
        </w:rPr>
        <w:t>una</w:t>
      </w:r>
      <w:r>
        <w:rPr>
          <w:rFonts w:ascii="Arial" w:hAnsi="Arial" w:cs="Arial"/>
          <w:sz w:val="22"/>
          <w:szCs w:val="22"/>
          <w:lang w:val="es-ES"/>
        </w:rPr>
        <w:t xml:space="preserve"> diferencia sustancial que existe entre los convenios o contratos regulados por el Decreto 092 de 2017 y los convenios o contratos regulados por el parágrafo del artículo 56 de la Ley 2063 de 2020</w:t>
      </w:r>
      <w:r w:rsidR="000B6A48">
        <w:rPr>
          <w:rFonts w:ascii="Arial" w:hAnsi="Arial" w:cs="Arial"/>
          <w:sz w:val="22"/>
          <w:szCs w:val="22"/>
          <w:lang w:val="es-ES"/>
        </w:rPr>
        <w:t xml:space="preserve">. Los primeros están dirigidos a </w:t>
      </w:r>
      <w:r w:rsidR="000B6A48" w:rsidRPr="00866D6C">
        <w:rPr>
          <w:rFonts w:ascii="Arial" w:hAnsi="Arial" w:cs="Arial"/>
          <w:sz w:val="22"/>
        </w:rPr>
        <w:t>de impulsar programas y actividades de interés público acordes con el plan nacional y los planes seccionales de desarrollo</w:t>
      </w:r>
      <w:r w:rsidR="00897109">
        <w:rPr>
          <w:rFonts w:ascii="Arial" w:hAnsi="Arial" w:cs="Arial"/>
          <w:sz w:val="22"/>
        </w:rPr>
        <w:t xml:space="preserve"> –art. 2 del Decreto 092 de 2017–, así como a</w:t>
      </w:r>
      <w:r w:rsidR="00897109" w:rsidRPr="00866D6C">
        <w:rPr>
          <w:rFonts w:ascii="Arial" w:hAnsi="Arial" w:cs="Arial"/>
          <w:sz w:val="22"/>
        </w:rPr>
        <w:t xml:space="preserve">l desarrollo conjunto de actividades relacionadas con los cometidos y funciones asignadas a </w:t>
      </w:r>
      <w:r w:rsidR="00897109">
        <w:rPr>
          <w:rFonts w:ascii="Arial" w:hAnsi="Arial" w:cs="Arial"/>
          <w:sz w:val="22"/>
        </w:rPr>
        <w:t>las entidades públicas</w:t>
      </w:r>
      <w:r w:rsidR="00897109" w:rsidRPr="00866D6C">
        <w:rPr>
          <w:rFonts w:ascii="Arial" w:hAnsi="Arial" w:cs="Arial"/>
          <w:sz w:val="22"/>
        </w:rPr>
        <w:t xml:space="preserve"> conforme a la Constitución y a la </w:t>
      </w:r>
      <w:r w:rsidR="00897109">
        <w:rPr>
          <w:rFonts w:ascii="Arial" w:hAnsi="Arial" w:cs="Arial"/>
          <w:sz w:val="22"/>
        </w:rPr>
        <w:t>l</w:t>
      </w:r>
      <w:r w:rsidR="00897109" w:rsidRPr="00866D6C">
        <w:rPr>
          <w:rFonts w:ascii="Arial" w:hAnsi="Arial" w:cs="Arial"/>
          <w:sz w:val="22"/>
        </w:rPr>
        <w:t>ey</w:t>
      </w:r>
      <w:r w:rsidR="00897109">
        <w:rPr>
          <w:rFonts w:ascii="Arial" w:hAnsi="Arial" w:cs="Arial"/>
          <w:sz w:val="22"/>
        </w:rPr>
        <w:t xml:space="preserve"> –art. 5 del Decreto 092 de 2017–</w:t>
      </w:r>
      <w:r w:rsidR="000B6A48">
        <w:rPr>
          <w:rFonts w:ascii="Arial" w:hAnsi="Arial" w:cs="Arial"/>
          <w:sz w:val="22"/>
        </w:rPr>
        <w:t xml:space="preserve">; mientras que </w:t>
      </w:r>
      <w:r w:rsidR="004E7410">
        <w:rPr>
          <w:rFonts w:ascii="Arial" w:hAnsi="Arial" w:cs="Arial"/>
          <w:sz w:val="22"/>
        </w:rPr>
        <w:t xml:space="preserve">los previstos en el </w:t>
      </w:r>
      <w:r w:rsidR="004E7410">
        <w:rPr>
          <w:rFonts w:ascii="Arial" w:hAnsi="Arial" w:cs="Arial"/>
          <w:sz w:val="22"/>
          <w:szCs w:val="22"/>
          <w:lang w:val="es-ES"/>
        </w:rPr>
        <w:t>artículo 56 de la Ley 2063 de 2020</w:t>
      </w:r>
      <w:r w:rsidR="004E7410">
        <w:rPr>
          <w:rFonts w:ascii="Arial" w:hAnsi="Arial" w:cs="Arial"/>
          <w:sz w:val="22"/>
        </w:rPr>
        <w:t xml:space="preserve"> </w:t>
      </w:r>
      <w:r w:rsidR="000A615D">
        <w:rPr>
          <w:rFonts w:ascii="Arial" w:hAnsi="Arial" w:cs="Arial"/>
          <w:sz w:val="22"/>
        </w:rPr>
        <w:t xml:space="preserve">están destinados </w:t>
      </w:r>
      <w:r w:rsidR="000B6A48">
        <w:rPr>
          <w:rFonts w:ascii="Arial" w:hAnsi="Arial" w:cs="Arial"/>
          <w:sz w:val="22"/>
        </w:rPr>
        <w:t>a la reactivación económica. Por tanto, no es posible concluir que el parágrafo analizado impli</w:t>
      </w:r>
      <w:r w:rsidR="000A615D">
        <w:rPr>
          <w:rFonts w:ascii="Arial" w:hAnsi="Arial" w:cs="Arial"/>
          <w:sz w:val="22"/>
        </w:rPr>
        <w:t>que</w:t>
      </w:r>
      <w:r w:rsidR="000B6A48">
        <w:rPr>
          <w:rFonts w:ascii="Arial" w:hAnsi="Arial" w:cs="Arial"/>
          <w:sz w:val="22"/>
        </w:rPr>
        <w:t xml:space="preserve"> </w:t>
      </w:r>
      <w:r w:rsidR="000B6A48" w:rsidRPr="000B6A48">
        <w:rPr>
          <w:rFonts w:ascii="Arial" w:hAnsi="Arial" w:cs="Arial"/>
          <w:sz w:val="22"/>
        </w:rPr>
        <w:t xml:space="preserve">una modificación temporal al régimen contractual </w:t>
      </w:r>
      <w:r w:rsidR="000A615D">
        <w:rPr>
          <w:rFonts w:ascii="Arial" w:hAnsi="Arial" w:cs="Arial"/>
          <w:sz w:val="22"/>
        </w:rPr>
        <w:t xml:space="preserve">de </w:t>
      </w:r>
      <w:r w:rsidR="000B6A48">
        <w:rPr>
          <w:rFonts w:ascii="Arial" w:hAnsi="Arial" w:cs="Arial"/>
          <w:sz w:val="22"/>
        </w:rPr>
        <w:t>las ESAL</w:t>
      </w:r>
      <w:bookmarkEnd w:id="4"/>
      <w:r w:rsidR="000B6A48">
        <w:rPr>
          <w:rFonts w:ascii="Arial" w:hAnsi="Arial" w:cs="Arial"/>
          <w:sz w:val="22"/>
        </w:rPr>
        <w:t>.</w:t>
      </w:r>
    </w:p>
    <w:p w14:paraId="677C04EC" w14:textId="77777777" w:rsidR="00ED3195" w:rsidRPr="00B315E0" w:rsidRDefault="00ED3195" w:rsidP="00FD3E77">
      <w:pPr>
        <w:spacing w:line="276" w:lineRule="auto"/>
        <w:jc w:val="both"/>
        <w:rPr>
          <w:rFonts w:ascii="Arial" w:hAnsi="Arial" w:cs="Arial"/>
          <w:sz w:val="22"/>
          <w:lang w:val="es-ES"/>
        </w:rPr>
      </w:pPr>
    </w:p>
    <w:p w14:paraId="1385C5DE" w14:textId="2AAEADB0" w:rsidR="00A71CEA" w:rsidRDefault="00A71CEA" w:rsidP="00A71CEA">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064944">
        <w:rPr>
          <w:rFonts w:ascii="Arial" w:hAnsi="Arial" w:cs="Arial"/>
          <w:b/>
          <w:bCs/>
          <w:color w:val="000000" w:themeColor="text1"/>
          <w:sz w:val="22"/>
          <w:lang w:val="es-CO"/>
        </w:rPr>
        <w:t>Respuesta</w:t>
      </w:r>
    </w:p>
    <w:p w14:paraId="0A4A0837" w14:textId="77777777" w:rsidR="00EA513C" w:rsidRPr="00064944" w:rsidRDefault="00EA513C" w:rsidP="00EA513C">
      <w:pPr>
        <w:pStyle w:val="Prrafodelista"/>
        <w:tabs>
          <w:tab w:val="left" w:pos="284"/>
        </w:tabs>
        <w:spacing w:line="276" w:lineRule="auto"/>
        <w:ind w:left="0"/>
        <w:rPr>
          <w:rFonts w:ascii="Arial" w:hAnsi="Arial" w:cs="Arial"/>
          <w:b/>
          <w:bCs/>
          <w:color w:val="000000" w:themeColor="text1"/>
          <w:sz w:val="22"/>
          <w:lang w:val="es-CO"/>
        </w:rPr>
      </w:pPr>
    </w:p>
    <w:p w14:paraId="50169069" w14:textId="30D9AE23" w:rsidR="00216826" w:rsidRPr="000B6A48" w:rsidRDefault="000B6A48" w:rsidP="00EA513C">
      <w:pPr>
        <w:autoSpaceDE w:val="0"/>
        <w:autoSpaceDN w:val="0"/>
        <w:adjustRightInd w:val="0"/>
        <w:ind w:left="709" w:right="709"/>
        <w:jc w:val="both"/>
        <w:rPr>
          <w:rFonts w:ascii="Arial" w:eastAsia="Calibri" w:hAnsi="Arial" w:cs="Arial"/>
          <w:color w:val="000000" w:themeColor="text1"/>
          <w:sz w:val="22"/>
          <w:szCs w:val="22"/>
          <w:lang w:val="es-ES"/>
        </w:rPr>
      </w:pPr>
      <w:proofErr w:type="gramStart"/>
      <w:r w:rsidRPr="000B6A48">
        <w:rPr>
          <w:rFonts w:ascii="Arial" w:eastAsia="Calibri" w:hAnsi="Arial" w:cs="Arial"/>
          <w:color w:val="000000" w:themeColor="text1"/>
          <w:sz w:val="22"/>
          <w:szCs w:val="22"/>
          <w:lang w:val="es-ES"/>
        </w:rPr>
        <w:t>«</w:t>
      </w:r>
      <w:r>
        <w:rPr>
          <w:rFonts w:ascii="Arial" w:eastAsia="Calibri" w:hAnsi="Arial" w:cs="Arial"/>
          <w:color w:val="000000" w:themeColor="text1"/>
          <w:sz w:val="22"/>
          <w:szCs w:val="22"/>
          <w:lang w:val="es-ES"/>
        </w:rPr>
        <w:t xml:space="preserve"> </w:t>
      </w:r>
      <w:r w:rsidR="00216826" w:rsidRPr="000B6A48">
        <w:rPr>
          <w:rFonts w:ascii="Arial" w:eastAsia="Calibri" w:hAnsi="Arial" w:cs="Arial"/>
          <w:color w:val="000000" w:themeColor="text1"/>
          <w:sz w:val="22"/>
          <w:szCs w:val="22"/>
        </w:rPr>
        <w:t>i</w:t>
      </w:r>
      <w:proofErr w:type="gramEnd"/>
      <w:r w:rsidR="00216826" w:rsidRPr="000B6A48">
        <w:rPr>
          <w:rFonts w:ascii="Arial" w:eastAsia="Calibri" w:hAnsi="Arial" w:cs="Arial"/>
          <w:color w:val="000000" w:themeColor="text1"/>
          <w:sz w:val="22"/>
          <w:szCs w:val="22"/>
        </w:rPr>
        <w:t>)</w:t>
      </w:r>
      <w:r w:rsidR="00216826" w:rsidRPr="000B6A48">
        <w:rPr>
          <w:rFonts w:ascii="Arial" w:hAnsi="Arial" w:cs="Arial"/>
          <w:color w:val="000000" w:themeColor="text1"/>
          <w:sz w:val="22"/>
          <w:szCs w:val="22"/>
          <w:lang w:val="es-ES"/>
        </w:rPr>
        <w:t>¿</w:t>
      </w:r>
      <w:r w:rsidR="00216826" w:rsidRPr="000B6A48">
        <w:rPr>
          <w:rFonts w:ascii="Arial" w:hAnsi="Arial" w:cs="Arial"/>
          <w:color w:val="000000" w:themeColor="text1"/>
          <w:sz w:val="22"/>
          <w:szCs w:val="22"/>
        </w:rPr>
        <w:t xml:space="preserve">Qué se entiende por “contratos y convenios administrativos” a los que se refiere el </w:t>
      </w:r>
      <w:r w:rsidR="00965D7F" w:rsidRPr="000B6A48">
        <w:rPr>
          <w:rFonts w:ascii="Arial" w:hAnsi="Arial" w:cs="Arial"/>
          <w:color w:val="000000" w:themeColor="text1"/>
          <w:sz w:val="22"/>
          <w:szCs w:val="22"/>
        </w:rPr>
        <w:t>parágrafo</w:t>
      </w:r>
      <w:r w:rsidR="00216826" w:rsidRPr="000B6A48">
        <w:rPr>
          <w:rFonts w:ascii="Arial" w:hAnsi="Arial" w:cs="Arial"/>
          <w:color w:val="000000" w:themeColor="text1"/>
          <w:sz w:val="22"/>
          <w:szCs w:val="22"/>
        </w:rPr>
        <w:t xml:space="preserve"> del </w:t>
      </w:r>
      <w:r w:rsidR="00965D7F" w:rsidRPr="000B6A48">
        <w:rPr>
          <w:rFonts w:ascii="Arial" w:hAnsi="Arial" w:cs="Arial"/>
          <w:color w:val="000000" w:themeColor="text1"/>
          <w:sz w:val="22"/>
          <w:szCs w:val="22"/>
        </w:rPr>
        <w:t>artículo</w:t>
      </w:r>
      <w:r w:rsidR="00216826" w:rsidRPr="000B6A48">
        <w:rPr>
          <w:rFonts w:ascii="Arial" w:hAnsi="Arial" w:cs="Arial"/>
          <w:color w:val="000000" w:themeColor="text1"/>
          <w:sz w:val="22"/>
          <w:szCs w:val="22"/>
        </w:rPr>
        <w:t xml:space="preserve"> 56 de la Ley 2063 de 2020</w:t>
      </w:r>
      <w:r w:rsidR="00216826" w:rsidRPr="000B6A48">
        <w:rPr>
          <w:rFonts w:ascii="Arial" w:hAnsi="Arial" w:cs="Arial"/>
          <w:color w:val="000000" w:themeColor="text1"/>
          <w:sz w:val="22"/>
          <w:szCs w:val="22"/>
          <w:lang w:val="es-ES"/>
        </w:rPr>
        <w:t>?</w:t>
      </w:r>
      <w:r w:rsidR="00216826" w:rsidRPr="000B6A48">
        <w:rPr>
          <w:rFonts w:ascii="Arial" w:eastAsia="Calibri" w:hAnsi="Arial" w:cs="Arial"/>
          <w:color w:val="000000" w:themeColor="text1"/>
          <w:sz w:val="22"/>
          <w:szCs w:val="22"/>
          <w:lang w:val="es-ES"/>
        </w:rPr>
        <w:t>».</w:t>
      </w:r>
    </w:p>
    <w:p w14:paraId="43F7092B" w14:textId="77777777" w:rsidR="00EA513C" w:rsidRDefault="00EA513C" w:rsidP="00EA513C">
      <w:pPr>
        <w:autoSpaceDE w:val="0"/>
        <w:autoSpaceDN w:val="0"/>
        <w:adjustRightInd w:val="0"/>
        <w:ind w:left="709" w:right="709"/>
        <w:jc w:val="both"/>
        <w:rPr>
          <w:rFonts w:ascii="Arial" w:eastAsia="Calibri" w:hAnsi="Arial" w:cs="Arial"/>
          <w:color w:val="000000" w:themeColor="text1"/>
          <w:sz w:val="21"/>
          <w:szCs w:val="21"/>
          <w:lang w:val="es-ES"/>
        </w:rPr>
      </w:pPr>
    </w:p>
    <w:p w14:paraId="1CC7143D" w14:textId="5D877E65" w:rsidR="00930FAE" w:rsidRDefault="00216826" w:rsidP="00531E6B">
      <w:pPr>
        <w:pStyle w:val="Textoindependiente"/>
        <w:spacing w:line="276" w:lineRule="auto"/>
        <w:jc w:val="both"/>
        <w:rPr>
          <w:sz w:val="22"/>
          <w:szCs w:val="22"/>
        </w:rPr>
      </w:pPr>
      <w:r>
        <w:rPr>
          <w:rFonts w:eastAsia="Calibri"/>
          <w:color w:val="000000" w:themeColor="text1"/>
          <w:sz w:val="22"/>
          <w:szCs w:val="22"/>
        </w:rPr>
        <w:t>Para responder la primera pregunta,</w:t>
      </w:r>
      <w:r w:rsidR="00EA513C">
        <w:rPr>
          <w:rFonts w:eastAsia="Calibri"/>
          <w:color w:val="000000" w:themeColor="text1"/>
          <w:sz w:val="22"/>
          <w:szCs w:val="22"/>
        </w:rPr>
        <w:t xml:space="preserve"> </w:t>
      </w:r>
      <w:r w:rsidR="00965D7F">
        <w:rPr>
          <w:rFonts w:eastAsia="Calibri"/>
          <w:color w:val="000000" w:themeColor="text1"/>
          <w:sz w:val="22"/>
          <w:szCs w:val="22"/>
        </w:rPr>
        <w:t>con base en la</w:t>
      </w:r>
      <w:r w:rsidR="00930FAE">
        <w:rPr>
          <w:rFonts w:eastAsia="Calibri"/>
          <w:color w:val="000000" w:themeColor="text1"/>
          <w:sz w:val="22"/>
          <w:szCs w:val="22"/>
        </w:rPr>
        <w:t xml:space="preserve"> línea conceptual de est</w:t>
      </w:r>
      <w:r w:rsidR="00965D7F">
        <w:rPr>
          <w:rFonts w:eastAsia="Calibri"/>
          <w:color w:val="000000" w:themeColor="text1"/>
          <w:sz w:val="22"/>
          <w:szCs w:val="22"/>
        </w:rPr>
        <w:t>a Agencia</w:t>
      </w:r>
      <w:r w:rsidR="00930FAE">
        <w:rPr>
          <w:rFonts w:eastAsia="Calibri"/>
          <w:color w:val="000000" w:themeColor="text1"/>
          <w:sz w:val="22"/>
          <w:szCs w:val="22"/>
        </w:rPr>
        <w:t xml:space="preserve"> y</w:t>
      </w:r>
      <w:r w:rsidR="00965D7F">
        <w:rPr>
          <w:rFonts w:eastAsia="Calibri"/>
          <w:color w:val="000000" w:themeColor="text1"/>
          <w:sz w:val="22"/>
          <w:szCs w:val="22"/>
        </w:rPr>
        <w:t xml:space="preserve"> por la jurisprudencia</w:t>
      </w:r>
      <w:r w:rsidR="00930FAE">
        <w:rPr>
          <w:rFonts w:eastAsia="Calibri"/>
          <w:color w:val="000000" w:themeColor="text1"/>
          <w:sz w:val="22"/>
          <w:szCs w:val="22"/>
        </w:rPr>
        <w:t xml:space="preserve"> constitucional</w:t>
      </w:r>
      <w:r w:rsidR="00965D7F">
        <w:rPr>
          <w:rFonts w:eastAsia="Calibri"/>
          <w:color w:val="000000" w:themeColor="text1"/>
          <w:sz w:val="22"/>
          <w:szCs w:val="22"/>
        </w:rPr>
        <w:t>, es posible afirmar que no existe distinción sustancial entre contratos o convenios. Por tanto, de forma indistinta,</w:t>
      </w:r>
      <w:r w:rsidR="00EA513C">
        <w:rPr>
          <w:rFonts w:eastAsia="Calibri"/>
          <w:color w:val="000000" w:themeColor="text1"/>
          <w:sz w:val="22"/>
          <w:szCs w:val="22"/>
        </w:rPr>
        <w:t xml:space="preserve"> contrato o convenio administrativo es </w:t>
      </w:r>
      <w:r w:rsidR="00EA513C" w:rsidRPr="002A1B2B">
        <w:rPr>
          <w:sz w:val="22"/>
          <w:szCs w:val="22"/>
        </w:rPr>
        <w:t>el acuerdo donde concurre la voluntad de dos o más personas jurídicas con la finalidad de cumplir, en el marco de sus objetivos misionales y sus competencias, con los fines del Estado.</w:t>
      </w:r>
      <w:r w:rsidR="00EA513C">
        <w:rPr>
          <w:sz w:val="22"/>
          <w:szCs w:val="22"/>
        </w:rPr>
        <w:t xml:space="preserve"> </w:t>
      </w:r>
      <w:r w:rsidR="000A615D">
        <w:rPr>
          <w:sz w:val="22"/>
          <w:szCs w:val="22"/>
        </w:rPr>
        <w:t>Esta</w:t>
      </w:r>
      <w:r w:rsidR="00930FAE">
        <w:rPr>
          <w:sz w:val="22"/>
          <w:szCs w:val="22"/>
        </w:rPr>
        <w:t xml:space="preserve"> conclusión</w:t>
      </w:r>
      <w:r w:rsidR="000A615D">
        <w:rPr>
          <w:sz w:val="22"/>
          <w:szCs w:val="22"/>
        </w:rPr>
        <w:t xml:space="preserve"> </w:t>
      </w:r>
      <w:r w:rsidR="00930FAE">
        <w:rPr>
          <w:sz w:val="22"/>
          <w:szCs w:val="22"/>
        </w:rPr>
        <w:t xml:space="preserve">encuentra soporte en el </w:t>
      </w:r>
      <w:r w:rsidR="00930FAE" w:rsidRPr="00BA3C72">
        <w:rPr>
          <w:sz w:val="22"/>
          <w:szCs w:val="22"/>
        </w:rPr>
        <w:t>Código Civil</w:t>
      </w:r>
      <w:r w:rsidR="00930FAE">
        <w:rPr>
          <w:sz w:val="22"/>
          <w:szCs w:val="22"/>
        </w:rPr>
        <w:t xml:space="preserve"> colombiano</w:t>
      </w:r>
      <w:r w:rsidR="00930FAE" w:rsidRPr="00BA3C72">
        <w:rPr>
          <w:sz w:val="22"/>
          <w:szCs w:val="22"/>
        </w:rPr>
        <w:t>,</w:t>
      </w:r>
      <w:r w:rsidR="00930FAE">
        <w:rPr>
          <w:sz w:val="22"/>
          <w:szCs w:val="22"/>
        </w:rPr>
        <w:t xml:space="preserve"> toda vez que</w:t>
      </w:r>
      <w:r w:rsidR="00930FAE" w:rsidRPr="00BA3C72">
        <w:rPr>
          <w:sz w:val="22"/>
          <w:szCs w:val="22"/>
        </w:rPr>
        <w:t xml:space="preserve"> en </w:t>
      </w:r>
      <w:r w:rsidR="00930FAE">
        <w:rPr>
          <w:sz w:val="22"/>
          <w:szCs w:val="22"/>
        </w:rPr>
        <w:t>su</w:t>
      </w:r>
      <w:r w:rsidR="00930FAE" w:rsidRPr="00BA3C72">
        <w:rPr>
          <w:sz w:val="22"/>
          <w:szCs w:val="22"/>
        </w:rPr>
        <w:t xml:space="preserve"> artículo 1495</w:t>
      </w:r>
      <w:r w:rsidR="00930FAE">
        <w:rPr>
          <w:sz w:val="22"/>
          <w:szCs w:val="22"/>
        </w:rPr>
        <w:t xml:space="preserve"> </w:t>
      </w:r>
      <w:r w:rsidR="00930FAE" w:rsidRPr="00BA3C72">
        <w:rPr>
          <w:sz w:val="22"/>
          <w:szCs w:val="22"/>
        </w:rPr>
        <w:t>equipará las instituciones</w:t>
      </w:r>
      <w:r w:rsidR="00930FAE">
        <w:rPr>
          <w:sz w:val="22"/>
          <w:szCs w:val="22"/>
        </w:rPr>
        <w:t xml:space="preserve"> de convenio y contrato,</w:t>
      </w:r>
      <w:r w:rsidR="00930FAE" w:rsidRPr="00BA3C72">
        <w:rPr>
          <w:sz w:val="22"/>
          <w:szCs w:val="22"/>
        </w:rPr>
        <w:t xml:space="preserve"> al disponer que «</w:t>
      </w:r>
      <w:r w:rsidR="00930FAE" w:rsidRPr="00BA3C72">
        <w:rPr>
          <w:i/>
          <w:sz w:val="22"/>
          <w:szCs w:val="22"/>
        </w:rPr>
        <w:t xml:space="preserve">contrato o convención </w:t>
      </w:r>
      <w:r w:rsidR="00930FAE" w:rsidRPr="00BA3C72">
        <w:rPr>
          <w:sz w:val="22"/>
          <w:szCs w:val="22"/>
        </w:rPr>
        <w:t>es un acto por el cual una parte se obliga para con otra a dar, hacer o no hacer alguna cosa […]»</w:t>
      </w:r>
      <w:r w:rsidR="00930FAE">
        <w:rPr>
          <w:sz w:val="22"/>
          <w:szCs w:val="22"/>
        </w:rPr>
        <w:t>.</w:t>
      </w:r>
    </w:p>
    <w:p w14:paraId="2BF65328" w14:textId="77777777" w:rsidR="00930FAE" w:rsidRDefault="00930FAE" w:rsidP="00216826">
      <w:pPr>
        <w:autoSpaceDE w:val="0"/>
        <w:autoSpaceDN w:val="0"/>
        <w:adjustRightInd w:val="0"/>
        <w:ind w:left="709" w:right="709"/>
        <w:jc w:val="both"/>
        <w:rPr>
          <w:rFonts w:ascii="Arial" w:hAnsi="Arial" w:cs="Arial"/>
          <w:color w:val="000000" w:themeColor="text1"/>
          <w:sz w:val="21"/>
          <w:szCs w:val="21"/>
        </w:rPr>
      </w:pPr>
    </w:p>
    <w:p w14:paraId="7FAD3093" w14:textId="0D1385D5" w:rsidR="00216826" w:rsidRPr="00930FAE" w:rsidRDefault="00930FAE" w:rsidP="00216826">
      <w:pPr>
        <w:autoSpaceDE w:val="0"/>
        <w:autoSpaceDN w:val="0"/>
        <w:adjustRightInd w:val="0"/>
        <w:ind w:left="709" w:right="709"/>
        <w:jc w:val="both"/>
        <w:rPr>
          <w:rFonts w:ascii="Arial" w:eastAsia="Calibri" w:hAnsi="Arial" w:cs="Arial"/>
          <w:color w:val="000000" w:themeColor="text1"/>
          <w:sz w:val="22"/>
          <w:szCs w:val="22"/>
          <w:lang w:val="es-ES"/>
        </w:rPr>
      </w:pPr>
      <w:r w:rsidRPr="00930FAE">
        <w:rPr>
          <w:rFonts w:ascii="Arial" w:eastAsia="Calibri" w:hAnsi="Arial" w:cs="Arial"/>
          <w:color w:val="000000" w:themeColor="text1"/>
          <w:sz w:val="22"/>
          <w:szCs w:val="22"/>
          <w:lang w:val="es-ES"/>
        </w:rPr>
        <w:t>«</w:t>
      </w:r>
      <w:r w:rsidR="00216826" w:rsidRPr="00930FAE">
        <w:rPr>
          <w:rFonts w:ascii="Arial" w:hAnsi="Arial" w:cs="Arial"/>
          <w:color w:val="000000" w:themeColor="text1"/>
          <w:sz w:val="22"/>
          <w:szCs w:val="22"/>
        </w:rPr>
        <w:t xml:space="preserve">ii) </w:t>
      </w:r>
      <w:r w:rsidR="00216826" w:rsidRPr="00930FAE">
        <w:rPr>
          <w:rFonts w:ascii="Arial" w:hAnsi="Arial" w:cs="Arial"/>
          <w:color w:val="000000" w:themeColor="text1"/>
          <w:sz w:val="22"/>
          <w:szCs w:val="22"/>
          <w:lang w:val="es-ES"/>
        </w:rPr>
        <w:t>¿</w:t>
      </w:r>
      <w:r w:rsidRPr="00930FAE">
        <w:rPr>
          <w:rFonts w:ascii="Arial" w:hAnsi="Arial" w:cs="Arial"/>
          <w:color w:val="000000" w:themeColor="text1"/>
          <w:sz w:val="22"/>
          <w:szCs w:val="22"/>
        </w:rPr>
        <w:t>Cuáles</w:t>
      </w:r>
      <w:r w:rsidR="00216826" w:rsidRPr="00930FAE">
        <w:rPr>
          <w:rFonts w:ascii="Arial" w:hAnsi="Arial" w:cs="Arial"/>
          <w:color w:val="000000" w:themeColor="text1"/>
          <w:sz w:val="22"/>
          <w:szCs w:val="22"/>
        </w:rPr>
        <w:t xml:space="preserve"> son los efectos contractuales de la </w:t>
      </w:r>
      <w:r w:rsidRPr="00930FAE">
        <w:rPr>
          <w:rFonts w:ascii="Arial" w:hAnsi="Arial" w:cs="Arial"/>
          <w:color w:val="000000" w:themeColor="text1"/>
          <w:sz w:val="22"/>
          <w:szCs w:val="22"/>
        </w:rPr>
        <w:t>expresión</w:t>
      </w:r>
      <w:r w:rsidR="00216826" w:rsidRPr="00930FAE">
        <w:rPr>
          <w:rFonts w:ascii="Arial" w:hAnsi="Arial" w:cs="Arial"/>
          <w:color w:val="000000" w:themeColor="text1"/>
          <w:sz w:val="22"/>
          <w:szCs w:val="22"/>
        </w:rPr>
        <w:t xml:space="preserve"> “sin necesidad de </w:t>
      </w:r>
      <w:r w:rsidRPr="00930FAE">
        <w:rPr>
          <w:rFonts w:ascii="Arial" w:hAnsi="Arial" w:cs="Arial"/>
          <w:color w:val="000000" w:themeColor="text1"/>
          <w:sz w:val="22"/>
          <w:szCs w:val="22"/>
        </w:rPr>
        <w:t>cofinanciación</w:t>
      </w:r>
      <w:r w:rsidR="00216826" w:rsidRPr="00930FAE">
        <w:rPr>
          <w:rFonts w:ascii="Arial" w:hAnsi="Arial" w:cs="Arial"/>
          <w:color w:val="000000" w:themeColor="text1"/>
          <w:sz w:val="22"/>
          <w:szCs w:val="22"/>
        </w:rPr>
        <w:t xml:space="preserve"> para la </w:t>
      </w:r>
      <w:r w:rsidRPr="00930FAE">
        <w:rPr>
          <w:rFonts w:ascii="Arial" w:hAnsi="Arial" w:cs="Arial"/>
          <w:color w:val="000000" w:themeColor="text1"/>
          <w:sz w:val="22"/>
          <w:szCs w:val="22"/>
        </w:rPr>
        <w:t>consolidación</w:t>
      </w:r>
      <w:r w:rsidR="00216826" w:rsidRPr="00930FAE">
        <w:rPr>
          <w:rFonts w:ascii="Arial" w:hAnsi="Arial" w:cs="Arial"/>
          <w:color w:val="000000" w:themeColor="text1"/>
          <w:sz w:val="22"/>
          <w:szCs w:val="22"/>
        </w:rPr>
        <w:t xml:space="preserve"> de la </w:t>
      </w:r>
      <w:r w:rsidRPr="00930FAE">
        <w:rPr>
          <w:rFonts w:ascii="Arial" w:hAnsi="Arial" w:cs="Arial"/>
          <w:color w:val="000000" w:themeColor="text1"/>
          <w:sz w:val="22"/>
          <w:szCs w:val="22"/>
        </w:rPr>
        <w:t>reactivación</w:t>
      </w:r>
      <w:r w:rsidR="00216826" w:rsidRPr="00930FAE">
        <w:rPr>
          <w:rFonts w:ascii="Arial" w:hAnsi="Arial" w:cs="Arial"/>
          <w:color w:val="000000" w:themeColor="text1"/>
          <w:sz w:val="22"/>
          <w:szCs w:val="22"/>
        </w:rPr>
        <w:t xml:space="preserve"> </w:t>
      </w:r>
      <w:r w:rsidRPr="00930FAE">
        <w:rPr>
          <w:rFonts w:ascii="Arial" w:hAnsi="Arial" w:cs="Arial"/>
          <w:color w:val="000000" w:themeColor="text1"/>
          <w:sz w:val="22"/>
          <w:szCs w:val="22"/>
        </w:rPr>
        <w:t>económica</w:t>
      </w:r>
      <w:r w:rsidR="00216826" w:rsidRPr="00930FAE">
        <w:rPr>
          <w:rFonts w:ascii="Arial" w:hAnsi="Arial" w:cs="Arial"/>
          <w:color w:val="000000" w:themeColor="text1"/>
          <w:sz w:val="22"/>
          <w:szCs w:val="22"/>
        </w:rPr>
        <w:t xml:space="preserve">” consagrada en el mismo </w:t>
      </w:r>
      <w:r w:rsidRPr="00930FAE">
        <w:rPr>
          <w:rFonts w:ascii="Arial" w:hAnsi="Arial" w:cs="Arial"/>
          <w:color w:val="000000" w:themeColor="text1"/>
          <w:sz w:val="22"/>
          <w:szCs w:val="22"/>
        </w:rPr>
        <w:t>parágrafo</w:t>
      </w:r>
      <w:r w:rsidR="00216826" w:rsidRPr="00930FAE">
        <w:rPr>
          <w:rFonts w:ascii="Arial" w:hAnsi="Arial" w:cs="Arial"/>
          <w:color w:val="000000" w:themeColor="text1"/>
          <w:sz w:val="22"/>
          <w:szCs w:val="22"/>
          <w:lang w:val="es-ES"/>
        </w:rPr>
        <w:t>?</w:t>
      </w:r>
      <w:r w:rsidR="00216826" w:rsidRPr="00930FAE">
        <w:rPr>
          <w:rFonts w:ascii="Arial" w:eastAsia="Calibri" w:hAnsi="Arial" w:cs="Arial"/>
          <w:color w:val="000000" w:themeColor="text1"/>
          <w:sz w:val="22"/>
          <w:szCs w:val="22"/>
          <w:lang w:val="es-ES"/>
        </w:rPr>
        <w:t>».</w:t>
      </w:r>
    </w:p>
    <w:p w14:paraId="11D7B388" w14:textId="1B0F19F0" w:rsidR="00EA513C" w:rsidRDefault="00EA513C" w:rsidP="00EA513C">
      <w:pPr>
        <w:autoSpaceDE w:val="0"/>
        <w:autoSpaceDN w:val="0"/>
        <w:adjustRightInd w:val="0"/>
        <w:ind w:right="709"/>
        <w:jc w:val="both"/>
        <w:rPr>
          <w:rFonts w:ascii="Arial" w:eastAsia="Calibri" w:hAnsi="Arial" w:cs="Arial"/>
          <w:color w:val="000000" w:themeColor="text1"/>
          <w:sz w:val="21"/>
          <w:szCs w:val="21"/>
          <w:lang w:val="es-ES"/>
        </w:rPr>
      </w:pPr>
    </w:p>
    <w:p w14:paraId="5483AEC5" w14:textId="56AFB436" w:rsidR="005B76C7" w:rsidRPr="005B76C7" w:rsidRDefault="005B76C7" w:rsidP="005B76C7">
      <w:pPr>
        <w:spacing w:line="276" w:lineRule="auto"/>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lastRenderedPageBreak/>
        <w:t xml:space="preserve">La cofinanciación puede ser entendida, según se expuso atrás, como </w:t>
      </w:r>
      <w:r w:rsidRPr="005B76C7">
        <w:rPr>
          <w:rFonts w:ascii="Arial" w:eastAsia="Calibri" w:hAnsi="Arial" w:cs="Arial"/>
          <w:color w:val="000000" w:themeColor="text1"/>
          <w:sz w:val="22"/>
          <w:szCs w:val="22"/>
          <w:lang w:val="es-ES"/>
        </w:rPr>
        <w:t>la financiación de una actividad que llevan a</w:t>
      </w:r>
      <w:r>
        <w:rPr>
          <w:rFonts w:ascii="Arial" w:eastAsia="Calibri" w:hAnsi="Arial" w:cs="Arial"/>
          <w:color w:val="000000" w:themeColor="text1"/>
          <w:sz w:val="22"/>
          <w:szCs w:val="22"/>
          <w:lang w:val="es-ES"/>
        </w:rPr>
        <w:t xml:space="preserve"> </w:t>
      </w:r>
      <w:r w:rsidRPr="005B76C7">
        <w:rPr>
          <w:rFonts w:ascii="Arial" w:eastAsia="Calibri" w:hAnsi="Arial" w:cs="Arial"/>
          <w:color w:val="000000" w:themeColor="text1"/>
          <w:sz w:val="22"/>
          <w:szCs w:val="22"/>
          <w:lang w:val="es-ES"/>
        </w:rPr>
        <w:t>cabo</w:t>
      </w:r>
      <w:r>
        <w:rPr>
          <w:rFonts w:ascii="Arial" w:eastAsia="Calibri" w:hAnsi="Arial" w:cs="Arial"/>
          <w:color w:val="000000" w:themeColor="text1"/>
          <w:sz w:val="22"/>
          <w:szCs w:val="22"/>
          <w:lang w:val="es-ES"/>
        </w:rPr>
        <w:t xml:space="preserve"> por </w:t>
      </w:r>
      <w:r w:rsidRPr="005B76C7">
        <w:rPr>
          <w:rFonts w:ascii="Arial" w:eastAsia="Calibri" w:hAnsi="Arial" w:cs="Arial"/>
          <w:color w:val="000000" w:themeColor="text1"/>
          <w:sz w:val="22"/>
          <w:szCs w:val="22"/>
          <w:lang w:val="es-ES"/>
        </w:rPr>
        <w:t>varias personas o entidades</w:t>
      </w:r>
      <w:r>
        <w:rPr>
          <w:rFonts w:ascii="Arial" w:eastAsia="Calibri" w:hAnsi="Arial" w:cs="Arial"/>
          <w:color w:val="000000" w:themeColor="text1"/>
          <w:sz w:val="22"/>
          <w:szCs w:val="22"/>
          <w:lang w:val="es-ES"/>
        </w:rPr>
        <w:t xml:space="preserve"> </w:t>
      </w:r>
      <w:r w:rsidRPr="005B76C7">
        <w:rPr>
          <w:rFonts w:ascii="Arial" w:eastAsia="Calibri" w:hAnsi="Arial" w:cs="Arial"/>
          <w:color w:val="000000" w:themeColor="text1"/>
          <w:sz w:val="22"/>
          <w:szCs w:val="22"/>
          <w:lang w:val="es-ES"/>
        </w:rPr>
        <w:t xml:space="preserve">o como </w:t>
      </w:r>
      <w:r>
        <w:rPr>
          <w:rFonts w:ascii="Arial" w:eastAsia="Calibri" w:hAnsi="Arial" w:cs="Arial"/>
          <w:color w:val="000000" w:themeColor="text1"/>
          <w:sz w:val="22"/>
          <w:szCs w:val="22"/>
          <w:lang w:val="es-ES"/>
        </w:rPr>
        <w:t>f</w:t>
      </w:r>
      <w:r w:rsidRPr="005B76C7">
        <w:rPr>
          <w:rFonts w:ascii="Arial" w:eastAsia="Calibri" w:hAnsi="Arial" w:cs="Arial"/>
          <w:color w:val="000000" w:themeColor="text1"/>
          <w:sz w:val="22"/>
          <w:szCs w:val="22"/>
          <w:lang w:val="es-ES"/>
        </w:rPr>
        <w:t>inancia</w:t>
      </w:r>
      <w:r>
        <w:rPr>
          <w:rFonts w:ascii="Arial" w:eastAsia="Calibri" w:hAnsi="Arial" w:cs="Arial"/>
          <w:color w:val="000000" w:themeColor="text1"/>
          <w:sz w:val="22"/>
          <w:szCs w:val="22"/>
          <w:lang w:val="es-ES"/>
        </w:rPr>
        <w:t>ción conjunta de</w:t>
      </w:r>
      <w:r w:rsidRPr="005B76C7">
        <w:rPr>
          <w:rFonts w:ascii="Arial" w:eastAsia="Calibri" w:hAnsi="Arial" w:cs="Arial"/>
          <w:color w:val="000000" w:themeColor="text1"/>
          <w:sz w:val="22"/>
          <w:szCs w:val="22"/>
          <w:lang w:val="es-ES"/>
        </w:rPr>
        <w:t xml:space="preserve"> una actividad</w:t>
      </w:r>
      <w:r>
        <w:rPr>
          <w:rFonts w:ascii="Arial" w:eastAsia="Calibri" w:hAnsi="Arial" w:cs="Arial"/>
          <w:color w:val="000000" w:themeColor="text1"/>
          <w:sz w:val="22"/>
          <w:szCs w:val="22"/>
          <w:lang w:val="es-ES"/>
        </w:rPr>
        <w:t xml:space="preserve">. En este sentido, </w:t>
      </w:r>
      <w:r w:rsidRPr="005B76C7">
        <w:rPr>
          <w:rFonts w:ascii="Arial" w:eastAsia="Calibri" w:hAnsi="Arial" w:cs="Arial"/>
          <w:color w:val="000000" w:themeColor="text1"/>
          <w:sz w:val="22"/>
          <w:szCs w:val="22"/>
          <w:lang w:val="es-ES"/>
        </w:rPr>
        <w:t>es posible concluir</w:t>
      </w:r>
      <w:r>
        <w:rPr>
          <w:rFonts w:ascii="Arial" w:eastAsia="Calibri" w:hAnsi="Arial" w:cs="Arial"/>
          <w:color w:val="000000" w:themeColor="text1"/>
          <w:sz w:val="22"/>
          <w:szCs w:val="22"/>
          <w:lang w:val="es-ES"/>
        </w:rPr>
        <w:t xml:space="preserve"> la </w:t>
      </w:r>
      <w:r w:rsidR="00E673A1">
        <w:rPr>
          <w:rFonts w:ascii="Arial" w:eastAsia="Calibri" w:hAnsi="Arial" w:cs="Arial"/>
          <w:color w:val="000000" w:themeColor="text1"/>
          <w:sz w:val="22"/>
          <w:szCs w:val="22"/>
          <w:lang w:val="es-ES"/>
        </w:rPr>
        <w:t xml:space="preserve">expresión normativa </w:t>
      </w:r>
      <w:r w:rsidR="00547A9E">
        <w:rPr>
          <w:rFonts w:ascii="Arial" w:eastAsia="Calibri" w:hAnsi="Arial" w:cs="Arial"/>
          <w:color w:val="000000" w:themeColor="text1"/>
          <w:sz w:val="22"/>
          <w:szCs w:val="22"/>
          <w:lang w:val="es-ES"/>
        </w:rPr>
        <w:t>«</w:t>
      </w:r>
      <w:r w:rsidR="00E673A1">
        <w:rPr>
          <w:rFonts w:ascii="Arial" w:eastAsia="Calibri" w:hAnsi="Arial" w:cs="Arial"/>
          <w:color w:val="000000" w:themeColor="text1"/>
          <w:sz w:val="22"/>
          <w:szCs w:val="22"/>
          <w:lang w:val="es-ES"/>
        </w:rPr>
        <w:t>sin necesidad de cofinanciación</w:t>
      </w:r>
      <w:r w:rsidR="00547A9E" w:rsidRPr="00BA3C72">
        <w:rPr>
          <w:rFonts w:ascii="Arial" w:hAnsi="Arial" w:cs="Arial"/>
          <w:sz w:val="22"/>
          <w:szCs w:val="22"/>
        </w:rPr>
        <w:t>»</w:t>
      </w:r>
      <w:r w:rsidR="00E673A1">
        <w:rPr>
          <w:rFonts w:ascii="Arial" w:eastAsia="Calibri" w:hAnsi="Arial" w:cs="Arial"/>
          <w:color w:val="000000" w:themeColor="text1"/>
          <w:sz w:val="22"/>
          <w:szCs w:val="22"/>
          <w:lang w:val="es-ES"/>
        </w:rPr>
        <w:t xml:space="preserve"> </w:t>
      </w:r>
      <w:r w:rsidRPr="005B76C7">
        <w:rPr>
          <w:rFonts w:ascii="Arial" w:eastAsia="Calibri" w:hAnsi="Arial" w:cs="Arial"/>
          <w:color w:val="000000" w:themeColor="text1"/>
          <w:sz w:val="22"/>
          <w:szCs w:val="22"/>
          <w:lang w:val="es-ES"/>
        </w:rPr>
        <w:t xml:space="preserve">se refiere </w:t>
      </w:r>
      <w:r w:rsidR="00E673A1">
        <w:rPr>
          <w:rFonts w:ascii="Arial" w:eastAsia="Calibri" w:hAnsi="Arial" w:cs="Arial"/>
          <w:color w:val="000000" w:themeColor="text1"/>
          <w:sz w:val="22"/>
          <w:szCs w:val="22"/>
          <w:lang w:val="es-ES"/>
        </w:rPr>
        <w:t xml:space="preserve">a que los contratos y convenios autorizados en la norma analizada sean celebrados permitiendo </w:t>
      </w:r>
      <w:r w:rsidRPr="005B76C7">
        <w:rPr>
          <w:rFonts w:ascii="Arial" w:eastAsia="Calibri" w:hAnsi="Arial" w:cs="Arial"/>
          <w:color w:val="000000" w:themeColor="text1"/>
          <w:sz w:val="22"/>
          <w:szCs w:val="22"/>
          <w:lang w:val="es-ES"/>
        </w:rPr>
        <w:t>que una de las partes, en este caso</w:t>
      </w:r>
      <w:r w:rsidR="00E673A1">
        <w:rPr>
          <w:rFonts w:ascii="Arial" w:eastAsia="Calibri" w:hAnsi="Arial" w:cs="Arial"/>
          <w:color w:val="000000" w:themeColor="text1"/>
          <w:sz w:val="22"/>
          <w:szCs w:val="22"/>
          <w:lang w:val="es-ES"/>
        </w:rPr>
        <w:t>,</w:t>
      </w:r>
      <w:r w:rsidRPr="005B76C7">
        <w:rPr>
          <w:rFonts w:ascii="Arial" w:eastAsia="Calibri" w:hAnsi="Arial" w:cs="Arial"/>
          <w:color w:val="000000" w:themeColor="text1"/>
          <w:sz w:val="22"/>
          <w:szCs w:val="22"/>
          <w:lang w:val="es-ES"/>
        </w:rPr>
        <w:t xml:space="preserve"> las entidades que reciben recursos por concepto de </w:t>
      </w:r>
      <w:r w:rsidR="00E673A1" w:rsidRPr="005B76C7">
        <w:rPr>
          <w:rFonts w:ascii="Arial" w:eastAsia="Calibri" w:hAnsi="Arial" w:cs="Arial"/>
          <w:color w:val="000000" w:themeColor="text1"/>
          <w:sz w:val="22"/>
          <w:szCs w:val="22"/>
          <w:lang w:val="es-ES"/>
        </w:rPr>
        <w:t>parafiscales</w:t>
      </w:r>
      <w:r w:rsidRPr="005B76C7">
        <w:rPr>
          <w:rFonts w:ascii="Arial" w:eastAsia="Calibri" w:hAnsi="Arial" w:cs="Arial"/>
          <w:color w:val="000000" w:themeColor="text1"/>
          <w:sz w:val="22"/>
          <w:szCs w:val="22"/>
          <w:lang w:val="es-ES"/>
        </w:rPr>
        <w:t xml:space="preserve"> no realicen aporte alguno. </w:t>
      </w:r>
    </w:p>
    <w:p w14:paraId="25F322C5" w14:textId="77777777" w:rsidR="00216826" w:rsidRPr="00216826" w:rsidRDefault="00216826" w:rsidP="00216826">
      <w:pPr>
        <w:autoSpaceDE w:val="0"/>
        <w:autoSpaceDN w:val="0"/>
        <w:adjustRightInd w:val="0"/>
        <w:ind w:left="709" w:right="709"/>
        <w:jc w:val="both"/>
        <w:rPr>
          <w:rFonts w:ascii="Arial" w:eastAsia="Calibri" w:hAnsi="Arial" w:cs="Arial"/>
          <w:color w:val="000000" w:themeColor="text1"/>
          <w:sz w:val="21"/>
          <w:szCs w:val="21"/>
          <w:lang w:val="es-ES"/>
        </w:rPr>
      </w:pPr>
    </w:p>
    <w:p w14:paraId="322D6CF7" w14:textId="44A5B14D" w:rsidR="00216826" w:rsidRPr="00E673A1" w:rsidRDefault="00216826" w:rsidP="00216826">
      <w:pPr>
        <w:ind w:left="709" w:right="709"/>
        <w:jc w:val="both"/>
        <w:rPr>
          <w:rFonts w:ascii="Arial" w:eastAsia="Calibri" w:hAnsi="Arial" w:cs="Arial"/>
          <w:color w:val="000000" w:themeColor="text1"/>
          <w:sz w:val="22"/>
          <w:szCs w:val="22"/>
          <w:lang w:val="es-ES"/>
        </w:rPr>
      </w:pPr>
      <w:r w:rsidRPr="00E673A1">
        <w:rPr>
          <w:rFonts w:ascii="Arial" w:hAnsi="Arial" w:cs="Arial"/>
          <w:color w:val="000000" w:themeColor="text1"/>
          <w:sz w:val="22"/>
          <w:szCs w:val="22"/>
        </w:rPr>
        <w:t xml:space="preserve">iii) </w:t>
      </w:r>
      <w:r w:rsidRPr="00E673A1">
        <w:rPr>
          <w:rFonts w:ascii="Arial" w:eastAsia="Calibri" w:hAnsi="Arial" w:cs="Arial"/>
          <w:color w:val="000000" w:themeColor="text1"/>
          <w:sz w:val="22"/>
          <w:szCs w:val="22"/>
          <w:lang w:val="es-ES"/>
        </w:rPr>
        <w:t>«</w:t>
      </w:r>
      <w:r w:rsidRPr="00E673A1">
        <w:rPr>
          <w:rFonts w:ascii="Arial" w:hAnsi="Arial" w:cs="Arial"/>
          <w:color w:val="000000" w:themeColor="text1"/>
          <w:sz w:val="22"/>
          <w:szCs w:val="22"/>
          <w:lang w:val="es-ES"/>
        </w:rPr>
        <w:t>¿</w:t>
      </w:r>
      <w:r w:rsidRPr="00E673A1">
        <w:rPr>
          <w:rFonts w:ascii="Arial" w:hAnsi="Arial" w:cs="Arial"/>
          <w:color w:val="000000" w:themeColor="text1"/>
          <w:sz w:val="22"/>
          <w:szCs w:val="22"/>
        </w:rPr>
        <w:t>Lo establecido por el parágrafo del artículo 56 de la Ley 2063 de 2020, podría configurar una causal de contratación directa</w:t>
      </w:r>
      <w:r w:rsidRPr="00E673A1">
        <w:rPr>
          <w:rFonts w:ascii="Arial" w:hAnsi="Arial" w:cs="Arial"/>
          <w:color w:val="000000" w:themeColor="text1"/>
          <w:sz w:val="22"/>
          <w:szCs w:val="22"/>
          <w:lang w:val="es-ES"/>
        </w:rPr>
        <w:t>?</w:t>
      </w:r>
      <w:r w:rsidRPr="00E673A1">
        <w:rPr>
          <w:rFonts w:ascii="Arial" w:eastAsia="Calibri" w:hAnsi="Arial" w:cs="Arial"/>
          <w:color w:val="000000" w:themeColor="text1"/>
          <w:sz w:val="22"/>
          <w:szCs w:val="22"/>
          <w:lang w:val="es-ES"/>
        </w:rPr>
        <w:t>».</w:t>
      </w:r>
    </w:p>
    <w:p w14:paraId="4B582734" w14:textId="0C6C38CE" w:rsidR="009F1B3C" w:rsidRDefault="007F1895" w:rsidP="00D77BB0">
      <w:pPr>
        <w:pStyle w:val="NormalWeb"/>
        <w:spacing w:line="276" w:lineRule="auto"/>
        <w:contextualSpacing/>
        <w:jc w:val="both"/>
        <w:rPr>
          <w:rFonts w:ascii="Arial" w:hAnsi="Arial" w:cs="Arial"/>
          <w:sz w:val="22"/>
        </w:rPr>
      </w:pPr>
      <w:r w:rsidRPr="007F1895">
        <w:rPr>
          <w:rFonts w:ascii="Arial" w:eastAsia="Calibri" w:hAnsi="Arial" w:cs="Arial"/>
          <w:color w:val="000000" w:themeColor="text1"/>
          <w:sz w:val="22"/>
          <w:szCs w:val="22"/>
          <w:lang w:val="es-ES"/>
        </w:rPr>
        <w:t xml:space="preserve">Las </w:t>
      </w:r>
      <w:r>
        <w:rPr>
          <w:rFonts w:ascii="Arial" w:eastAsia="Calibri" w:hAnsi="Arial" w:cs="Arial"/>
          <w:color w:val="000000" w:themeColor="text1"/>
          <w:sz w:val="22"/>
          <w:szCs w:val="22"/>
          <w:lang w:val="es-ES"/>
        </w:rPr>
        <w:t xml:space="preserve">causales de contratación directa son las </w:t>
      </w:r>
      <w:r>
        <w:rPr>
          <w:rFonts w:ascii="Arial" w:hAnsi="Arial" w:cs="Arial"/>
          <w:sz w:val="22"/>
        </w:rPr>
        <w:t xml:space="preserve">señaladas taxativamente en el numeral 4 del artículo 2 de la Ley 1150 de 2007. </w:t>
      </w:r>
      <w:r w:rsidR="00D77BB0">
        <w:rPr>
          <w:rFonts w:ascii="Arial" w:hAnsi="Arial" w:cs="Arial"/>
          <w:sz w:val="22"/>
        </w:rPr>
        <w:t xml:space="preserve">En la medida de que </w:t>
      </w:r>
      <w:r w:rsidR="00D77BB0" w:rsidRPr="00D77BB0">
        <w:rPr>
          <w:rFonts w:ascii="Arial" w:hAnsi="Arial" w:cs="Arial"/>
          <w:sz w:val="22"/>
        </w:rPr>
        <w:t xml:space="preserve">constituye una excepción a los principios de libre concurrencia y de libre competencia, </w:t>
      </w:r>
      <w:r w:rsidR="00D77BB0">
        <w:rPr>
          <w:rFonts w:ascii="Arial" w:hAnsi="Arial" w:cs="Arial"/>
          <w:sz w:val="22"/>
        </w:rPr>
        <w:t xml:space="preserve">se trata de una modalidad de </w:t>
      </w:r>
      <w:r w:rsidR="00D77BB0" w:rsidRPr="00D77BB0">
        <w:rPr>
          <w:rFonts w:ascii="Arial" w:hAnsi="Arial" w:cs="Arial"/>
          <w:sz w:val="22"/>
        </w:rPr>
        <w:t>aplicación restrictiva</w:t>
      </w:r>
      <w:r w:rsidR="00D77BB0">
        <w:rPr>
          <w:rFonts w:ascii="Arial" w:hAnsi="Arial" w:cs="Arial"/>
          <w:sz w:val="22"/>
        </w:rPr>
        <w:t>.</w:t>
      </w:r>
    </w:p>
    <w:p w14:paraId="7868229C" w14:textId="6127E261" w:rsidR="00ED3195" w:rsidRDefault="000A615D" w:rsidP="00531E6B">
      <w:pPr>
        <w:pStyle w:val="NormalWeb"/>
        <w:spacing w:line="276" w:lineRule="auto"/>
        <w:contextualSpacing/>
        <w:jc w:val="both"/>
        <w:rPr>
          <w:rFonts w:ascii="Arial" w:hAnsi="Arial" w:cs="Arial"/>
          <w:color w:val="000000" w:themeColor="text1"/>
          <w:sz w:val="19"/>
          <w:szCs w:val="19"/>
        </w:rPr>
      </w:pPr>
      <w:r>
        <w:rPr>
          <w:rFonts w:ascii="Arial" w:hAnsi="Arial" w:cs="Arial"/>
          <w:sz w:val="22"/>
        </w:rPr>
        <w:t xml:space="preserve"> </w:t>
      </w:r>
      <w:r w:rsidR="00D77BB0">
        <w:rPr>
          <w:rFonts w:ascii="Arial" w:hAnsi="Arial" w:cs="Arial"/>
          <w:sz w:val="22"/>
        </w:rPr>
        <w:t>Por tanto, las causales que la habilitan no pueden derivarse o extraerse vía interpretativa</w:t>
      </w:r>
      <w:r w:rsidR="00D77BB0" w:rsidRPr="00D77BB0">
        <w:rPr>
          <w:rFonts w:ascii="Arial" w:hAnsi="Arial" w:cs="Arial"/>
          <w:sz w:val="22"/>
        </w:rPr>
        <w:t>,</w:t>
      </w:r>
      <w:r w:rsidR="00D77BB0">
        <w:rPr>
          <w:rFonts w:ascii="Arial" w:hAnsi="Arial" w:cs="Arial"/>
          <w:sz w:val="22"/>
        </w:rPr>
        <w:t xml:space="preserve"> y solo pueden configurarse de manera expresa por el legislador.</w:t>
      </w:r>
      <w:r>
        <w:rPr>
          <w:rFonts w:ascii="Arial" w:hAnsi="Arial" w:cs="Arial"/>
          <w:sz w:val="22"/>
        </w:rPr>
        <w:t xml:space="preserve"> En esta medida, el</w:t>
      </w:r>
      <w:r w:rsidRPr="00E673A1">
        <w:rPr>
          <w:rFonts w:ascii="Arial" w:hAnsi="Arial" w:cs="Arial"/>
          <w:color w:val="000000" w:themeColor="text1"/>
          <w:sz w:val="22"/>
          <w:szCs w:val="22"/>
        </w:rPr>
        <w:t xml:space="preserve"> artículo 56 de la Ley 2063 de 2020</w:t>
      </w:r>
      <w:r>
        <w:rPr>
          <w:rFonts w:ascii="Arial" w:hAnsi="Arial" w:cs="Arial"/>
          <w:sz w:val="22"/>
        </w:rPr>
        <w:t xml:space="preserve"> no crea una nueva causal de selección directa</w:t>
      </w:r>
      <w:r w:rsidR="004E7410">
        <w:rPr>
          <w:rFonts w:ascii="Arial" w:hAnsi="Arial" w:cs="Arial"/>
          <w:sz w:val="22"/>
        </w:rPr>
        <w:t>, sino que en –armonía con la respuesta a la pregunta anterior– excepciona el deber de cofinanciación en los contratos o convenios celebrados entre las entidades que forman parte del presupuesto general de la nación y las entidades que administran recursos parafiscales, siempre que tengan objeto la reactivación económica.</w:t>
      </w:r>
      <w:r>
        <w:rPr>
          <w:rFonts w:ascii="Arial" w:hAnsi="Arial" w:cs="Arial"/>
          <w:sz w:val="22"/>
        </w:rPr>
        <w:t xml:space="preserve"> </w:t>
      </w:r>
    </w:p>
    <w:p w14:paraId="1A187DD1" w14:textId="77777777" w:rsidR="00ED3195" w:rsidRDefault="00ED3195" w:rsidP="00ED3195">
      <w:pPr>
        <w:pStyle w:val="NormalWeb"/>
        <w:spacing w:line="276" w:lineRule="auto"/>
        <w:contextualSpacing/>
        <w:jc w:val="both"/>
        <w:rPr>
          <w:rFonts w:ascii="Arial" w:hAnsi="Arial" w:cs="Arial"/>
          <w:sz w:val="22"/>
        </w:rPr>
      </w:pPr>
    </w:p>
    <w:p w14:paraId="13BA196C" w14:textId="406C6982" w:rsidR="00216826" w:rsidRPr="00ED3195" w:rsidRDefault="00216826" w:rsidP="00ED3195">
      <w:pPr>
        <w:pStyle w:val="NormalWeb"/>
        <w:ind w:left="709" w:right="709"/>
        <w:contextualSpacing/>
        <w:jc w:val="both"/>
        <w:rPr>
          <w:rFonts w:ascii="Arial" w:hAnsi="Arial" w:cs="Arial"/>
          <w:color w:val="000000" w:themeColor="text1"/>
          <w:sz w:val="22"/>
          <w:szCs w:val="22"/>
        </w:rPr>
      </w:pPr>
      <w:r w:rsidRPr="00D77BB0">
        <w:rPr>
          <w:rFonts w:ascii="Arial" w:hAnsi="Arial" w:cs="Arial"/>
          <w:color w:val="000000" w:themeColor="text1"/>
          <w:sz w:val="22"/>
          <w:szCs w:val="22"/>
        </w:rPr>
        <w:t xml:space="preserve">iv) </w:t>
      </w:r>
      <w:r w:rsidRPr="00D77BB0">
        <w:rPr>
          <w:rFonts w:ascii="Arial" w:eastAsia="Calibri" w:hAnsi="Arial" w:cs="Arial"/>
          <w:color w:val="000000" w:themeColor="text1"/>
          <w:sz w:val="22"/>
          <w:szCs w:val="22"/>
          <w:lang w:val="es-ES"/>
        </w:rPr>
        <w:t>«</w:t>
      </w:r>
      <w:r w:rsidRPr="00D77BB0">
        <w:rPr>
          <w:rFonts w:ascii="Arial" w:hAnsi="Arial" w:cs="Arial"/>
          <w:color w:val="000000" w:themeColor="text1"/>
          <w:sz w:val="22"/>
          <w:szCs w:val="22"/>
          <w:lang w:val="es-ES"/>
        </w:rPr>
        <w:t>¿</w:t>
      </w:r>
      <w:r w:rsidRPr="00D77BB0">
        <w:rPr>
          <w:rFonts w:ascii="Arial" w:hAnsi="Arial" w:cs="Arial"/>
          <w:color w:val="000000" w:themeColor="text1"/>
          <w:sz w:val="22"/>
          <w:szCs w:val="22"/>
        </w:rPr>
        <w:t>Lo establecido por el parágrafo del artículo 56 de la Ley 2063 de 2020, podría entenderse como una modificación temporal al régimen contractual con entidades sin ánimo de lucro</w:t>
      </w:r>
      <w:r w:rsidRPr="00D77BB0">
        <w:rPr>
          <w:rFonts w:ascii="Arial" w:hAnsi="Arial" w:cs="Arial"/>
          <w:color w:val="000000" w:themeColor="text1"/>
          <w:sz w:val="22"/>
          <w:szCs w:val="22"/>
          <w:lang w:val="es-ES"/>
        </w:rPr>
        <w:t>?</w:t>
      </w:r>
      <w:r w:rsidRPr="00D77BB0">
        <w:rPr>
          <w:rFonts w:ascii="Arial" w:eastAsia="Calibri" w:hAnsi="Arial" w:cs="Arial"/>
          <w:color w:val="000000" w:themeColor="text1"/>
          <w:sz w:val="22"/>
          <w:szCs w:val="22"/>
          <w:lang w:val="es-ES"/>
        </w:rPr>
        <w:t>».</w:t>
      </w:r>
    </w:p>
    <w:p w14:paraId="5BB2A127" w14:textId="3664A322" w:rsidR="00380F1A" w:rsidRPr="00B315E0" w:rsidRDefault="005D4FC8" w:rsidP="00380F1A">
      <w:pPr>
        <w:spacing w:line="276" w:lineRule="auto"/>
        <w:jc w:val="both"/>
        <w:rPr>
          <w:rFonts w:ascii="Arial" w:hAnsi="Arial" w:cs="Arial"/>
          <w:sz w:val="22"/>
          <w:szCs w:val="22"/>
          <w:lang w:val="es-ES"/>
        </w:rPr>
      </w:pPr>
      <w:r>
        <w:rPr>
          <w:rFonts w:ascii="Arial" w:hAnsi="Arial" w:cs="Arial"/>
          <w:sz w:val="22"/>
          <w:szCs w:val="22"/>
          <w:lang w:val="es-ES"/>
        </w:rPr>
        <w:t>E</w:t>
      </w:r>
      <w:r w:rsidR="004E7410" w:rsidRPr="004E7410">
        <w:rPr>
          <w:rFonts w:ascii="Arial" w:hAnsi="Arial" w:cs="Arial"/>
          <w:sz w:val="22"/>
          <w:szCs w:val="22"/>
          <w:lang w:val="es-ES"/>
        </w:rPr>
        <w:t>xiste una diferencia sustancial entre los convenios o contratos regulados por el Decreto 092 de 2017 y los convenios o contratos regulados por el parágrafo del artículo 56 de la Ley 2063 de 2020. Los primeros están dirigidos a impulsar programas y actividades de interés público acordes con el plan nacional y los planes seccionales de desarrollo –art. 2 del Decreto 092 de 2017–, así como al desarrollo conjunto de actividades relacionadas con los cometidos y funciones asignadas a las entidades públicas conforme a la Constitución y a la ley –art. 5 del Decreto 092 de 2017–; mientras que los previstos en el artículo 56 de la Ley 2063 de 2020 están destinados a la reactivación económica. Por tanto, no es posible concluir que el parágrafo analizado implique una modificación temporal al régimen contractual de las ESAL</w:t>
      </w:r>
      <w:r w:rsidR="00380F1A">
        <w:rPr>
          <w:rFonts w:ascii="Arial" w:hAnsi="Arial" w:cs="Arial"/>
          <w:sz w:val="22"/>
        </w:rPr>
        <w:t xml:space="preserve">. </w:t>
      </w:r>
    </w:p>
    <w:p w14:paraId="3675272A" w14:textId="77777777" w:rsidR="00380F1A" w:rsidRDefault="00380F1A" w:rsidP="00531E6B">
      <w:pPr>
        <w:spacing w:after="120" w:line="276" w:lineRule="auto"/>
        <w:ind w:right="709"/>
        <w:jc w:val="both"/>
        <w:rPr>
          <w:rFonts w:ascii="Arial" w:eastAsia="Calibri" w:hAnsi="Arial" w:cs="Arial"/>
          <w:sz w:val="22"/>
          <w:szCs w:val="22"/>
          <w:lang w:val="es-ES"/>
        </w:rPr>
      </w:pPr>
    </w:p>
    <w:p w14:paraId="0738C8F4" w14:textId="77777777" w:rsidR="00A71CEA" w:rsidRPr="006C15D5" w:rsidRDefault="00A71CEA" w:rsidP="00A71CEA">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2881EFCA" w14:textId="0F82CA8C" w:rsidR="00A71CEA" w:rsidRDefault="00A71CEA" w:rsidP="00A71CEA">
      <w:pPr>
        <w:ind w:firstLine="709"/>
        <w:jc w:val="both"/>
        <w:rPr>
          <w:rFonts w:ascii="Arial" w:eastAsia="Calibri" w:hAnsi="Arial" w:cs="Arial"/>
          <w:color w:val="000000" w:themeColor="text1"/>
          <w:sz w:val="22"/>
        </w:rPr>
      </w:pPr>
    </w:p>
    <w:p w14:paraId="27A116DB" w14:textId="77777777" w:rsidR="00B55679" w:rsidRPr="006C15D5" w:rsidRDefault="00B55679" w:rsidP="00A71CEA">
      <w:pPr>
        <w:ind w:firstLine="709"/>
        <w:jc w:val="both"/>
        <w:rPr>
          <w:rFonts w:ascii="Arial" w:eastAsia="Calibri" w:hAnsi="Arial" w:cs="Arial"/>
          <w:color w:val="000000" w:themeColor="text1"/>
          <w:sz w:val="22"/>
        </w:rPr>
      </w:pPr>
    </w:p>
    <w:p w14:paraId="1BD8E63C" w14:textId="77777777" w:rsidR="00A71CEA" w:rsidRDefault="00A71CEA" w:rsidP="00A71CEA">
      <w:pPr>
        <w:jc w:val="both"/>
        <w:rPr>
          <w:rFonts w:ascii="Arial" w:hAnsi="Arial" w:cs="Arial"/>
          <w:color w:val="000000" w:themeColor="text1"/>
          <w:sz w:val="22"/>
          <w:lang w:eastAsia="es-CO"/>
        </w:rPr>
      </w:pPr>
      <w:r w:rsidRPr="006C15D5">
        <w:rPr>
          <w:rFonts w:ascii="Arial" w:hAnsi="Arial" w:cs="Arial"/>
          <w:color w:val="000000" w:themeColor="text1"/>
          <w:sz w:val="22"/>
          <w:lang w:eastAsia="es-CO"/>
        </w:rPr>
        <w:lastRenderedPageBreak/>
        <w:t>Atentamente,</w:t>
      </w:r>
    </w:p>
    <w:p w14:paraId="6B055B12" w14:textId="31029E05" w:rsidR="00A71CEA" w:rsidRDefault="00E43F7F" w:rsidP="00A71CEA">
      <w:pPr>
        <w:jc w:val="center"/>
        <w:rPr>
          <w:rFonts w:ascii="Arial" w:hAnsi="Arial" w:cs="Arial"/>
          <w:color w:val="000000" w:themeColor="text1"/>
          <w:sz w:val="22"/>
          <w:lang w:eastAsia="es-CO"/>
        </w:rPr>
      </w:pPr>
      <w:r w:rsidRPr="00FC4438">
        <w:rPr>
          <w:noProof/>
        </w:rPr>
        <w:drawing>
          <wp:inline distT="0" distB="0" distL="0" distR="0" wp14:anchorId="61296961" wp14:editId="0CBCA959">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4600" cy="1114425"/>
                    </a:xfrm>
                    <a:prstGeom prst="rect">
                      <a:avLst/>
                    </a:prstGeom>
                  </pic:spPr>
                </pic:pic>
              </a:graphicData>
            </a:graphic>
          </wp:inline>
        </w:drawing>
      </w:r>
    </w:p>
    <w:p w14:paraId="4783A21F" w14:textId="77777777" w:rsidR="00A71CEA" w:rsidRDefault="00A71CEA" w:rsidP="00A71CEA">
      <w:pPr>
        <w:jc w:val="center"/>
        <w:rPr>
          <w:rFonts w:ascii="Arial" w:hAnsi="Arial" w:cs="Arial"/>
          <w:color w:val="000000" w:themeColor="text1"/>
          <w:sz w:val="18"/>
          <w:szCs w:val="20"/>
          <w:lang w:eastAsia="es-CO"/>
        </w:rPr>
      </w:pPr>
    </w:p>
    <w:p w14:paraId="1FEF5E59" w14:textId="77777777" w:rsidR="00A71CEA" w:rsidRPr="006C15D5" w:rsidRDefault="00A71CEA" w:rsidP="00A71CEA">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3F6D32" w14:paraId="6FD066C0" w14:textId="77777777" w:rsidTr="007F1895">
        <w:trPr>
          <w:trHeight w:val="315"/>
        </w:trPr>
        <w:tc>
          <w:tcPr>
            <w:tcW w:w="812" w:type="dxa"/>
            <w:vAlign w:val="center"/>
            <w:hideMark/>
          </w:tcPr>
          <w:p w14:paraId="3D034311"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6C15D5" w:rsidRDefault="00A71CEA"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2C2374E"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A71CEA" w:rsidRPr="003F6D32" w14:paraId="6CE7FA18" w14:textId="77777777" w:rsidTr="007F1895">
        <w:trPr>
          <w:trHeight w:val="330"/>
        </w:trPr>
        <w:tc>
          <w:tcPr>
            <w:tcW w:w="812" w:type="dxa"/>
            <w:vAlign w:val="center"/>
            <w:hideMark/>
          </w:tcPr>
          <w:p w14:paraId="2902D588"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77777777" w:rsidR="00A71CEA" w:rsidRDefault="00A71CEA"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15D02354" w14:textId="77777777" w:rsidR="00A71CEA" w:rsidRPr="006C15D5" w:rsidRDefault="00A71CEA" w:rsidP="007F1895">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A71CEA" w:rsidRPr="003F6D32" w14:paraId="4BA2BDE6" w14:textId="77777777" w:rsidTr="007F1895">
        <w:trPr>
          <w:trHeight w:val="300"/>
        </w:trPr>
        <w:tc>
          <w:tcPr>
            <w:tcW w:w="812" w:type="dxa"/>
            <w:vAlign w:val="center"/>
            <w:hideMark/>
          </w:tcPr>
          <w:p w14:paraId="1A726DD9"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77777777" w:rsidR="00A71CEA" w:rsidRDefault="00A71CEA" w:rsidP="007F1895">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416E9DA6" w14:textId="77777777" w:rsidR="00A71CEA" w:rsidRPr="006C15D5" w:rsidRDefault="00A71CEA" w:rsidP="007F189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3D5BFD2B" w14:textId="77777777" w:rsidR="00A71CEA" w:rsidRDefault="00A71CEA" w:rsidP="00D53EC8"/>
    <w:sectPr w:rsidR="00A71CEA"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BAA1F" w14:textId="77777777" w:rsidR="00A605BF" w:rsidRDefault="00A605BF" w:rsidP="00A71CEA">
      <w:r>
        <w:separator/>
      </w:r>
    </w:p>
  </w:endnote>
  <w:endnote w:type="continuationSeparator" w:id="0">
    <w:p w14:paraId="0FDF65C4" w14:textId="77777777" w:rsidR="00A605BF" w:rsidRDefault="00A605BF"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EB0DB" w14:textId="77777777" w:rsidR="000A615D" w:rsidRDefault="000A615D" w:rsidP="007F1895">
    <w:pPr>
      <w:pStyle w:val="Sinespaciado"/>
      <w:jc w:val="right"/>
      <w:rPr>
        <w:rFonts w:ascii="Arial" w:hAnsi="Arial" w:cs="Arial"/>
        <w:sz w:val="18"/>
        <w:szCs w:val="18"/>
      </w:rPr>
    </w:pPr>
  </w:p>
  <w:p w14:paraId="1A83C429" w14:textId="77777777" w:rsidR="000A615D" w:rsidRDefault="000A615D" w:rsidP="007F1895">
    <w:pPr>
      <w:pStyle w:val="Sinespaciado"/>
      <w:jc w:val="right"/>
      <w:rPr>
        <w:rFonts w:ascii="Arial" w:hAnsi="Arial" w:cs="Arial"/>
        <w:sz w:val="18"/>
        <w:szCs w:val="18"/>
      </w:rPr>
    </w:pPr>
  </w:p>
  <w:p w14:paraId="4C092373" w14:textId="77777777" w:rsidR="000A615D" w:rsidRPr="008217B7" w:rsidRDefault="000A615D"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0A615D" w:rsidRDefault="000A615D"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0A615D" w:rsidRPr="00E756AC" w:rsidRDefault="000A615D" w:rsidP="007F1895">
    <w:pPr>
      <w:pStyle w:val="Piedepgina"/>
      <w:jc w:val="center"/>
      <w:rPr>
        <w:sz w:val="18"/>
        <w:szCs w:val="18"/>
        <w:lang w:val="es-ES"/>
      </w:rPr>
    </w:pPr>
  </w:p>
  <w:p w14:paraId="02222FE9" w14:textId="77777777" w:rsidR="000A615D" w:rsidRPr="00E756AC" w:rsidRDefault="000A615D"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175BA" w14:textId="77777777" w:rsidR="00A605BF" w:rsidRDefault="00A605BF" w:rsidP="00A71CEA">
      <w:r>
        <w:separator/>
      </w:r>
    </w:p>
  </w:footnote>
  <w:footnote w:type="continuationSeparator" w:id="0">
    <w:p w14:paraId="735FF2B2" w14:textId="77777777" w:rsidR="00A605BF" w:rsidRDefault="00A605BF" w:rsidP="00A71CEA">
      <w:r>
        <w:continuationSeparator/>
      </w:r>
    </w:p>
  </w:footnote>
  <w:footnote w:id="1">
    <w:p w14:paraId="7BDE9F12" w14:textId="01755046" w:rsidR="000A615D" w:rsidRPr="00972ABB" w:rsidRDefault="000A615D" w:rsidP="00AB6125">
      <w:pPr>
        <w:ind w:firstLine="708"/>
        <w:jc w:val="both"/>
        <w:rPr>
          <w:rFonts w:ascii="Arial" w:hAnsi="Arial" w:cs="Arial"/>
          <w:sz w:val="19"/>
          <w:szCs w:val="19"/>
        </w:rPr>
      </w:pPr>
      <w:r w:rsidRPr="00972ABB">
        <w:rPr>
          <w:rFonts w:ascii="Arial" w:hAnsi="Arial" w:cs="Arial"/>
          <w:sz w:val="19"/>
          <w:szCs w:val="19"/>
        </w:rPr>
        <w:t xml:space="preserve"> </w:t>
      </w:r>
      <w:r w:rsidRPr="00972ABB">
        <w:rPr>
          <w:rStyle w:val="Refdenotaalpie"/>
          <w:rFonts w:ascii="Arial" w:hAnsi="Arial" w:cs="Arial"/>
          <w:sz w:val="19"/>
          <w:szCs w:val="19"/>
        </w:rPr>
        <w:footnoteRef/>
      </w:r>
      <w:r w:rsidRPr="00972ABB">
        <w:rPr>
          <w:rFonts w:ascii="Arial" w:hAnsi="Arial" w:cs="Arial"/>
          <w:sz w:val="19"/>
          <w:szCs w:val="19"/>
        </w:rPr>
        <w:t xml:space="preserve"> «Artículo 345. </w:t>
      </w:r>
      <w:r w:rsidRPr="00972ABB">
        <w:rPr>
          <w:rFonts w:ascii="Arial" w:hAnsi="Arial" w:cs="Arial"/>
          <w:sz w:val="19"/>
          <w:szCs w:val="19"/>
          <w:shd w:val="clear" w:color="auto" w:fill="FFFFFF"/>
        </w:rPr>
        <w:t>En tiempo de paz no se podrá percibir contribución o impuesto que no figure en el presupuesto de rentas, ni hacer erogación con cargo al Tesoro que no se halle incluida en el de gastos. Tampoco podrá hacerse ningún gasto público que no haya sido decretado por el Congreso, por las asambleas departamentales, o por los concejos distritales o municipales, ni transferir crédito alguno a objeto no previsto en el respectivo presupuesto. </w:t>
      </w:r>
    </w:p>
    <w:p w14:paraId="26897ECF" w14:textId="77777777" w:rsidR="000A615D" w:rsidRPr="00972ABB" w:rsidRDefault="000A615D" w:rsidP="00AB6125">
      <w:pPr>
        <w:pStyle w:val="Textonotapie"/>
        <w:jc w:val="both"/>
        <w:rPr>
          <w:rFonts w:ascii="Arial" w:hAnsi="Arial" w:cs="Arial"/>
          <w:sz w:val="19"/>
          <w:szCs w:val="19"/>
          <w:lang w:val="es-ES"/>
        </w:rPr>
      </w:pPr>
    </w:p>
  </w:footnote>
  <w:footnote w:id="2">
    <w:p w14:paraId="50B3D6F4" w14:textId="4C3DC414" w:rsidR="000A615D" w:rsidRPr="00972ABB" w:rsidRDefault="000A615D" w:rsidP="00AB6125">
      <w:pPr>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«Artículo 355. </w:t>
      </w:r>
      <w:r w:rsidRPr="00972ABB">
        <w:rPr>
          <w:rFonts w:ascii="Arial" w:hAnsi="Arial" w:cs="Arial"/>
          <w:sz w:val="19"/>
          <w:szCs w:val="19"/>
          <w:shd w:val="clear" w:color="auto" w:fill="FFFFFF"/>
        </w:rPr>
        <w:t>Ninguna de las ramas u órganos del poder público podrá decretar auxilios o donaciones en favor de personas naturales o jurídicas de derecho privado.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 </w:t>
      </w:r>
    </w:p>
    <w:p w14:paraId="1E4A2808" w14:textId="77777777" w:rsidR="000A615D" w:rsidRPr="00972ABB" w:rsidRDefault="000A615D" w:rsidP="00AB6125">
      <w:pPr>
        <w:pStyle w:val="Textonotapie"/>
        <w:jc w:val="both"/>
        <w:rPr>
          <w:rFonts w:ascii="Arial" w:hAnsi="Arial" w:cs="Arial"/>
          <w:sz w:val="19"/>
          <w:szCs w:val="19"/>
          <w:lang w:val="es-ES"/>
        </w:rPr>
      </w:pPr>
    </w:p>
  </w:footnote>
  <w:footnote w:id="3">
    <w:p w14:paraId="360CE27E" w14:textId="2514BB99"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p w14:paraId="5ACE2C65" w14:textId="77777777" w:rsidR="000A615D" w:rsidRPr="00972ABB" w:rsidRDefault="000A615D" w:rsidP="00AB6125">
      <w:pPr>
        <w:pStyle w:val="Textonotapie"/>
        <w:ind w:firstLine="708"/>
        <w:jc w:val="both"/>
        <w:rPr>
          <w:rFonts w:ascii="Arial" w:hAnsi="Arial" w:cs="Arial"/>
          <w:sz w:val="19"/>
          <w:szCs w:val="19"/>
        </w:rPr>
      </w:pPr>
    </w:p>
  </w:footnote>
  <w:footnote w:id="4">
    <w:p w14:paraId="60138B21" w14:textId="116B4311"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De conformidad con lo dispuesto en el artículo 10 del Decreto 111 de 1996 «La Ley Anual sobre el Presupuesto General de la Nación es el instrumento para el cumplimiento de los planes y programas de desarrollo económico y social.»  </w:t>
      </w:r>
    </w:p>
    <w:p w14:paraId="68CD4C40" w14:textId="77777777" w:rsidR="000A615D" w:rsidRPr="00972ABB" w:rsidRDefault="000A615D" w:rsidP="00AB6125">
      <w:pPr>
        <w:pStyle w:val="Textonotapie"/>
        <w:ind w:firstLine="708"/>
        <w:jc w:val="both"/>
        <w:rPr>
          <w:rFonts w:ascii="Arial" w:hAnsi="Arial" w:cs="Arial"/>
          <w:sz w:val="19"/>
          <w:szCs w:val="19"/>
        </w:rPr>
      </w:pPr>
      <w:r w:rsidRPr="00972ABB">
        <w:rPr>
          <w:rFonts w:ascii="Arial" w:hAnsi="Arial" w:cs="Arial"/>
          <w:sz w:val="19"/>
          <w:szCs w:val="19"/>
        </w:rPr>
        <w:t>A su turno, el artículo 11 del mismo Decreto indica que «El Presupuesto General de la Nación se compone de las siguientes partes:</w:t>
      </w:r>
    </w:p>
    <w:p w14:paraId="26F3163B" w14:textId="77777777" w:rsidR="000A615D" w:rsidRPr="00972ABB" w:rsidRDefault="000A615D" w:rsidP="00AB6125">
      <w:pPr>
        <w:pStyle w:val="Textonotapie"/>
        <w:ind w:firstLine="708"/>
        <w:jc w:val="both"/>
        <w:rPr>
          <w:rFonts w:ascii="Arial" w:hAnsi="Arial" w:cs="Arial"/>
          <w:sz w:val="19"/>
          <w:szCs w:val="19"/>
        </w:rPr>
      </w:pPr>
      <w:r w:rsidRPr="00972ABB">
        <w:rPr>
          <w:rFonts w:ascii="Arial" w:hAnsi="Arial" w:cs="Arial"/>
          <w:sz w:val="19"/>
          <w:szCs w:val="19"/>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56A8AD40" w14:textId="77777777" w:rsidR="000A615D" w:rsidRPr="00972ABB" w:rsidRDefault="000A615D" w:rsidP="00AB6125">
      <w:pPr>
        <w:pStyle w:val="Textonotapie"/>
        <w:ind w:firstLine="708"/>
        <w:jc w:val="both"/>
        <w:rPr>
          <w:rFonts w:ascii="Arial" w:hAnsi="Arial" w:cs="Arial"/>
          <w:sz w:val="19"/>
          <w:szCs w:val="19"/>
        </w:rPr>
      </w:pPr>
      <w:r w:rsidRPr="00972ABB">
        <w:rPr>
          <w:rFonts w:ascii="Arial" w:hAnsi="Arial" w:cs="Arial"/>
          <w:sz w:val="19"/>
          <w:szCs w:val="19"/>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200B4598" w14:textId="4A936FB7" w:rsidR="000A615D" w:rsidRPr="00972ABB" w:rsidRDefault="000A615D" w:rsidP="00AB6125">
      <w:pPr>
        <w:pStyle w:val="Textonotapie"/>
        <w:ind w:firstLine="708"/>
        <w:jc w:val="both"/>
        <w:rPr>
          <w:rFonts w:ascii="Arial" w:hAnsi="Arial" w:cs="Arial"/>
          <w:sz w:val="19"/>
          <w:szCs w:val="19"/>
          <w:lang w:val="es-CO"/>
        </w:rPr>
      </w:pPr>
      <w:r w:rsidRPr="00972ABB">
        <w:rPr>
          <w:rFonts w:ascii="Arial" w:hAnsi="Arial" w:cs="Arial"/>
          <w:sz w:val="19"/>
          <w:szCs w:val="19"/>
        </w:rPr>
        <w:t xml:space="preserve"> c) Disposiciones generales. Corresponde a las normas tendientes a asegurar la correcta ejecución del Presupuesto General de la Nación, las cuales regirán únicamente para el año fiscal para el cual se expidan.»</w:t>
      </w:r>
    </w:p>
  </w:footnote>
  <w:footnote w:id="5">
    <w:p w14:paraId="12163049" w14:textId="77777777" w:rsidR="000A615D" w:rsidRPr="00972ABB" w:rsidRDefault="000A615D" w:rsidP="00AB6125">
      <w:pPr>
        <w:pStyle w:val="Textonotapie"/>
        <w:ind w:firstLine="708"/>
        <w:jc w:val="both"/>
        <w:rPr>
          <w:rFonts w:ascii="Arial" w:hAnsi="Arial" w:cs="Arial"/>
          <w:sz w:val="19"/>
          <w:szCs w:val="19"/>
          <w:lang w:val="es-CO"/>
        </w:rPr>
      </w:pPr>
    </w:p>
    <w:p w14:paraId="5348C4E1" w14:textId="44516D6B" w:rsidR="000A615D" w:rsidRPr="00972ABB" w:rsidRDefault="000A615D" w:rsidP="00AB6125">
      <w:pPr>
        <w:pStyle w:val="Textonotapie"/>
        <w:ind w:firstLine="708"/>
        <w:jc w:val="both"/>
        <w:rPr>
          <w:rFonts w:ascii="Arial" w:hAnsi="Arial" w:cs="Arial"/>
          <w:sz w:val="19"/>
          <w:szCs w:val="19"/>
          <w:lang w:val="es-CO"/>
        </w:rPr>
      </w:pPr>
      <w:r w:rsidRPr="00972ABB">
        <w:rPr>
          <w:rStyle w:val="Refdenotaalpie"/>
          <w:rFonts w:ascii="Arial" w:hAnsi="Arial" w:cs="Arial"/>
          <w:sz w:val="19"/>
          <w:szCs w:val="19"/>
        </w:rPr>
        <w:footnoteRef/>
      </w:r>
      <w:r w:rsidRPr="00972ABB">
        <w:rPr>
          <w:rFonts w:ascii="Arial" w:hAnsi="Arial" w:cs="Arial"/>
          <w:sz w:val="19"/>
          <w:szCs w:val="19"/>
        </w:rPr>
        <w:t xml:space="preserve"> La vigencia del presupuesto de concreta en el principio de anualidad, el cual, según el artículo 14 del Decreto 111 de 1996 «el año fiscal comienza el 1° de enero y termina el 31 de diciembre de cada ano. Después del 31 de diciembre no podrán asumirse compromisos con cargo a las apropiaciones del año fiscal que se cierra en esa fecha y los saldos de apropiación no afectados por compromisos caducarán sin excepción.»</w:t>
      </w:r>
    </w:p>
  </w:footnote>
  <w:footnote w:id="6">
    <w:p w14:paraId="44E216A0" w14:textId="77777777" w:rsidR="000A615D" w:rsidRPr="00972ABB" w:rsidRDefault="000A615D" w:rsidP="00521FC6">
      <w:pPr>
        <w:ind w:firstLine="708"/>
        <w:jc w:val="both"/>
        <w:rPr>
          <w:rFonts w:ascii="Arial" w:hAnsi="Arial" w:cs="Arial"/>
          <w:sz w:val="19"/>
          <w:szCs w:val="19"/>
        </w:rPr>
      </w:pPr>
    </w:p>
    <w:p w14:paraId="308AC407" w14:textId="77777777" w:rsidR="000A615D" w:rsidRPr="00972ABB" w:rsidRDefault="000A615D" w:rsidP="00521FC6">
      <w:pPr>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shd w:val="clear" w:color="auto" w:fill="FFFFFF"/>
        </w:rPr>
        <w:t>Corte Constitucional, sentencia C-1064 de 2001.</w:t>
      </w:r>
    </w:p>
    <w:p w14:paraId="568F1A75" w14:textId="77777777" w:rsidR="000A615D" w:rsidRPr="00972ABB" w:rsidRDefault="000A615D" w:rsidP="00521FC6">
      <w:pPr>
        <w:pStyle w:val="Textonotapie"/>
        <w:jc w:val="both"/>
        <w:rPr>
          <w:rFonts w:ascii="Arial" w:hAnsi="Arial" w:cs="Arial"/>
          <w:sz w:val="19"/>
          <w:szCs w:val="19"/>
          <w:lang w:val="es-CO"/>
        </w:rPr>
      </w:pPr>
    </w:p>
  </w:footnote>
  <w:footnote w:id="7">
    <w:p w14:paraId="7A8F1D94" w14:textId="7003D84E" w:rsidR="000A615D" w:rsidRPr="00972ABB" w:rsidRDefault="000A615D" w:rsidP="00AB6125">
      <w:pPr>
        <w:pStyle w:val="Textonotapie"/>
        <w:ind w:firstLine="708"/>
        <w:jc w:val="both"/>
        <w:rPr>
          <w:rFonts w:ascii="Arial" w:hAnsi="Arial" w:cs="Arial"/>
          <w:sz w:val="19"/>
          <w:szCs w:val="19"/>
          <w:lang w:val="es-ES"/>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lang w:val="es-ES"/>
        </w:rPr>
        <w:t>Ibidem.</w:t>
      </w:r>
    </w:p>
  </w:footnote>
  <w:footnote w:id="8">
    <w:p w14:paraId="052993A6" w14:textId="77777777" w:rsidR="000A615D" w:rsidRPr="00972ABB" w:rsidRDefault="000A615D" w:rsidP="000755E1">
      <w:pPr>
        <w:pStyle w:val="Ttulo2"/>
        <w:spacing w:before="0" w:beforeAutospacing="0"/>
        <w:ind w:firstLine="708"/>
        <w:jc w:val="both"/>
        <w:rPr>
          <w:rFonts w:ascii="Arial" w:hAnsi="Arial" w:cs="Arial"/>
          <w:b w:val="0"/>
          <w:bCs w:val="0"/>
          <w:sz w:val="19"/>
          <w:szCs w:val="19"/>
        </w:rPr>
      </w:pPr>
      <w:r w:rsidRPr="00972ABB">
        <w:rPr>
          <w:rStyle w:val="Refdenotaalpie"/>
          <w:rFonts w:ascii="Arial" w:hAnsi="Arial" w:cs="Arial"/>
          <w:b w:val="0"/>
          <w:bCs w:val="0"/>
          <w:sz w:val="19"/>
          <w:szCs w:val="19"/>
        </w:rPr>
        <w:footnoteRef/>
      </w:r>
      <w:r w:rsidRPr="00972ABB">
        <w:rPr>
          <w:rFonts w:ascii="Arial" w:hAnsi="Arial" w:cs="Arial"/>
          <w:b w:val="0"/>
          <w:bCs w:val="0"/>
          <w:sz w:val="19"/>
          <w:szCs w:val="19"/>
        </w:rPr>
        <w:t xml:space="preserve"> Esto se corrobora en el Concepto 110661 de 2020 Departamento Administrativo de la Función Pública.</w:t>
      </w:r>
    </w:p>
  </w:footnote>
  <w:footnote w:id="9">
    <w:p w14:paraId="184A18DA" w14:textId="0C521BB8" w:rsidR="000A615D" w:rsidRPr="00972ABB" w:rsidRDefault="000A615D" w:rsidP="00AB6125">
      <w:pPr>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«Artículo 150: […] </w:t>
      </w:r>
      <w:r w:rsidRPr="00972ABB">
        <w:rPr>
          <w:rFonts w:ascii="Arial" w:hAnsi="Arial" w:cs="Arial"/>
          <w:sz w:val="19"/>
          <w:szCs w:val="19"/>
          <w:shd w:val="clear" w:color="auto" w:fill="FFFFFF"/>
        </w:rPr>
        <w:t>Corresponde al Congreso hacer las leyes. Por medio de ellas ejerce las siguientes funciones: 12. Establecer contribuciones fiscales y, excepcionalmente, contribuciones parafiscales en los casos y bajo las condiciones que establezca la ley.</w:t>
      </w:r>
      <w:r w:rsidRPr="00972ABB">
        <w:rPr>
          <w:rFonts w:ascii="Arial" w:hAnsi="Arial" w:cs="Arial"/>
          <w:sz w:val="19"/>
          <w:szCs w:val="19"/>
        </w:rPr>
        <w:t>»</w:t>
      </w:r>
      <w:r w:rsidRPr="00972ABB">
        <w:rPr>
          <w:rFonts w:ascii="Arial" w:hAnsi="Arial" w:cs="Arial"/>
          <w:sz w:val="19"/>
          <w:szCs w:val="19"/>
          <w:shd w:val="clear" w:color="auto" w:fill="FFFFFF"/>
        </w:rPr>
        <w:t> </w:t>
      </w:r>
    </w:p>
    <w:p w14:paraId="341C1E39" w14:textId="6DA834F1" w:rsidR="000A615D" w:rsidRPr="00972ABB" w:rsidRDefault="000A615D" w:rsidP="00AB6125">
      <w:pPr>
        <w:jc w:val="both"/>
        <w:rPr>
          <w:rFonts w:ascii="Arial" w:hAnsi="Arial" w:cs="Arial"/>
          <w:sz w:val="19"/>
          <w:szCs w:val="19"/>
        </w:rPr>
      </w:pPr>
    </w:p>
    <w:p w14:paraId="074A724D" w14:textId="35C0460D" w:rsidR="000A615D" w:rsidRPr="00972ABB" w:rsidRDefault="000A615D" w:rsidP="00AB6125">
      <w:pPr>
        <w:pStyle w:val="Textonotapie"/>
        <w:jc w:val="both"/>
        <w:rPr>
          <w:rFonts w:ascii="Arial" w:hAnsi="Arial" w:cs="Arial"/>
          <w:sz w:val="19"/>
          <w:szCs w:val="19"/>
          <w:lang w:val="es-ES"/>
        </w:rPr>
      </w:pPr>
    </w:p>
  </w:footnote>
  <w:footnote w:id="10">
    <w:p w14:paraId="547B193C" w14:textId="77777777" w:rsidR="000A615D" w:rsidRPr="00972ABB" w:rsidRDefault="000A615D" w:rsidP="00EC07EF">
      <w:pPr>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shd w:val="clear" w:color="auto" w:fill="FFFFFF"/>
        </w:rPr>
        <w:t>En tiempo de paz, solamente el Congreso, las asambleas departamentales y los concejos distritales y municipales podrán imponer contribuciones fiscales o parafiscales.</w:t>
      </w:r>
    </w:p>
    <w:p w14:paraId="1183EF7D" w14:textId="77777777" w:rsidR="000A615D" w:rsidRPr="00972ABB" w:rsidRDefault="000A615D" w:rsidP="00EC07EF">
      <w:pPr>
        <w:pStyle w:val="Textonotapie"/>
        <w:jc w:val="both"/>
        <w:rPr>
          <w:rFonts w:ascii="Arial" w:hAnsi="Arial" w:cs="Arial"/>
          <w:sz w:val="19"/>
          <w:szCs w:val="19"/>
          <w:lang w:val="es-ES"/>
        </w:rPr>
      </w:pPr>
    </w:p>
  </w:footnote>
  <w:footnote w:id="11">
    <w:p w14:paraId="5E2180E1" w14:textId="7E99F185"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Corte Constitucional, sentencia C-298 de 1998.</w:t>
      </w:r>
    </w:p>
  </w:footnote>
  <w:footnote w:id="12">
    <w:p w14:paraId="3DA0A391" w14:textId="77777777" w:rsidR="00972ABB" w:rsidRPr="00972ABB" w:rsidRDefault="00972ABB" w:rsidP="00547A9E">
      <w:pPr>
        <w:pStyle w:val="Textonotapie"/>
        <w:ind w:firstLine="708"/>
        <w:jc w:val="both"/>
        <w:rPr>
          <w:rFonts w:ascii="Arial" w:hAnsi="Arial" w:cs="Arial"/>
          <w:sz w:val="19"/>
          <w:szCs w:val="19"/>
        </w:rPr>
      </w:pPr>
    </w:p>
    <w:p w14:paraId="1D6A7668" w14:textId="07F78471" w:rsidR="00547A9E" w:rsidRPr="00972ABB" w:rsidRDefault="00547A9E" w:rsidP="00547A9E">
      <w:pPr>
        <w:pStyle w:val="Textonotapie"/>
        <w:ind w:firstLine="708"/>
        <w:jc w:val="both"/>
        <w:rPr>
          <w:rFonts w:ascii="Arial" w:hAnsi="Arial" w:cs="Arial"/>
          <w:sz w:val="19"/>
          <w:szCs w:val="19"/>
          <w:lang w:val="es-ES"/>
        </w:rPr>
      </w:pPr>
      <w:r w:rsidRPr="00972ABB">
        <w:rPr>
          <w:rStyle w:val="Refdenotaalpie"/>
          <w:rFonts w:ascii="Arial" w:hAnsi="Arial" w:cs="Arial"/>
          <w:sz w:val="19"/>
          <w:szCs w:val="19"/>
        </w:rPr>
        <w:footnoteRef/>
      </w:r>
      <w:r w:rsidRPr="00972ABB">
        <w:rPr>
          <w:rFonts w:ascii="Arial" w:hAnsi="Arial" w:cs="Arial"/>
          <w:sz w:val="19"/>
          <w:szCs w:val="19"/>
        </w:rPr>
        <w:t xml:space="preserve"> Corte Constitucional, sentencia</w:t>
      </w:r>
      <w:r w:rsidRPr="00972ABB">
        <w:rPr>
          <w:rFonts w:ascii="Arial" w:hAnsi="Arial" w:cs="Arial"/>
          <w:sz w:val="19"/>
          <w:szCs w:val="19"/>
          <w:lang w:val="es-ES"/>
        </w:rPr>
        <w:t xml:space="preserve"> C-152 de 1997.</w:t>
      </w:r>
    </w:p>
    <w:p w14:paraId="184D42E9" w14:textId="77777777" w:rsidR="00547A9E" w:rsidRPr="00972ABB" w:rsidRDefault="00547A9E" w:rsidP="00547A9E">
      <w:pPr>
        <w:pStyle w:val="Textonotapie"/>
        <w:ind w:firstLine="708"/>
        <w:jc w:val="both"/>
        <w:rPr>
          <w:rFonts w:ascii="Arial" w:hAnsi="Arial" w:cs="Arial"/>
          <w:sz w:val="19"/>
          <w:szCs w:val="19"/>
          <w:lang w:val="es-ES"/>
        </w:rPr>
      </w:pPr>
    </w:p>
  </w:footnote>
  <w:footnote w:id="13">
    <w:p w14:paraId="48880CFB" w14:textId="77777777" w:rsidR="00547A9E" w:rsidRPr="00972ABB" w:rsidRDefault="00547A9E" w:rsidP="00531E6B">
      <w:pPr>
        <w:ind w:firstLine="709"/>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«Artículo 217. De la participación de las Cajas de Compensación Familiar. Las Cajas de Compensación Familiar destinarán el 5 % de los recaudos del subsidio familiar que administran, para financiar el régimen de subsidios en salud, salvo aquellas cajas que obtengan un cuociente superior al 100 % del recaudo del subsidio familiar del respectivo año, las cuales tendrán que destinar un 10 %. La aplicación de este cuociente, para todos sus efectos, se hará de acuerdo con lo establecido en el artículo 67 de la Ley 49 de 1990 y a partir del 15 de febrero de cada año.</w:t>
      </w:r>
    </w:p>
    <w:p w14:paraId="2666D02D" w14:textId="77777777" w:rsidR="00547A9E" w:rsidRPr="00972ABB" w:rsidRDefault="00547A9E" w:rsidP="00531E6B">
      <w:pPr>
        <w:ind w:firstLine="709"/>
        <w:jc w:val="both"/>
        <w:rPr>
          <w:rFonts w:ascii="Arial" w:hAnsi="Arial" w:cs="Arial"/>
          <w:sz w:val="19"/>
          <w:szCs w:val="19"/>
        </w:rPr>
      </w:pPr>
    </w:p>
    <w:p w14:paraId="514D23C4" w14:textId="77777777" w:rsidR="00547A9E" w:rsidRPr="00972ABB" w:rsidRDefault="00547A9E" w:rsidP="00531E6B">
      <w:pPr>
        <w:ind w:firstLine="709"/>
        <w:jc w:val="both"/>
        <w:rPr>
          <w:rFonts w:ascii="Arial" w:hAnsi="Arial" w:cs="Arial"/>
          <w:sz w:val="19"/>
          <w:szCs w:val="19"/>
        </w:rPr>
      </w:pPr>
      <w:r w:rsidRPr="00972ABB">
        <w:rPr>
          <w:rFonts w:ascii="Arial" w:hAnsi="Arial" w:cs="Arial"/>
          <w:sz w:val="19"/>
          <w:szCs w:val="19"/>
        </w:rPr>
        <w:t>Las Cajas de Compensación Familiar podrán administrar directamente, de acuerdo con la reglamentación que se expida para el efecto, los recursos del régimen subsidiado de que trata el presente artículo. La Caja que administre directamente estos recursos constituirá una cuenta independiente del resto de sus rentas y bienes. Las Cajas de Compensación Familiar que no cumplan los requisitos definidos en la reglamentación, deberán girar los recursos del subsidio a la subcuenta de solidaridad del Fondo de Solidaridad y Garantía. (Nota: Este inciso fue declarado exequible por la Corte Constitucional en la Sentencia C-183 de 1997.).</w:t>
      </w:r>
    </w:p>
    <w:p w14:paraId="1761F2BE" w14:textId="77777777" w:rsidR="00547A9E" w:rsidRPr="00972ABB" w:rsidRDefault="00547A9E" w:rsidP="00531E6B">
      <w:pPr>
        <w:ind w:firstLine="709"/>
        <w:jc w:val="both"/>
        <w:rPr>
          <w:rFonts w:ascii="Arial" w:hAnsi="Arial" w:cs="Arial"/>
          <w:sz w:val="19"/>
          <w:szCs w:val="19"/>
        </w:rPr>
      </w:pPr>
    </w:p>
    <w:p w14:paraId="287BD67D" w14:textId="23AA2304" w:rsidR="00547A9E" w:rsidRPr="00972ABB" w:rsidRDefault="00547A9E" w:rsidP="00531E6B">
      <w:pPr>
        <w:pStyle w:val="Textonotapie"/>
        <w:ind w:firstLine="709"/>
        <w:jc w:val="both"/>
        <w:rPr>
          <w:rFonts w:ascii="Arial" w:hAnsi="Arial" w:cs="Arial"/>
          <w:sz w:val="19"/>
          <w:szCs w:val="19"/>
          <w:lang w:val="es-ES"/>
        </w:rPr>
      </w:pPr>
      <w:r w:rsidRPr="00972ABB">
        <w:rPr>
          <w:rFonts w:ascii="Arial" w:hAnsi="Arial" w:cs="Arial"/>
          <w:sz w:val="19"/>
          <w:szCs w:val="19"/>
        </w:rPr>
        <w:t>Parágrafo. A partir de la vigencia de la presente Ley, el 55 % que las Cajas de Compensación deben destinar al subsidio en dinero, se calculará sobre el saldo que queda después de deducir el 10 % de gastos de administración, instalación y funcionamiento, la transferencia respectiva del fondo de subsidio familiar de vivienda, la reserva legal y el aporte a la Superintendencia del Subsidio Familiar y la contribución a que hace referencia el presente artículo.»</w:t>
      </w:r>
    </w:p>
  </w:footnote>
  <w:footnote w:id="14">
    <w:p w14:paraId="75684D79" w14:textId="77777777" w:rsidR="008C425C" w:rsidRPr="00972ABB" w:rsidRDefault="008C425C" w:rsidP="008C425C">
      <w:pPr>
        <w:ind w:firstLine="709"/>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shd w:val="clear" w:color="auto" w:fill="FFFFFF"/>
        </w:rPr>
        <w:t>bajo el imperio de la Carta de 1991, no cabe duda acerca de que los fondos de pensiones, los organismos oficiales que tienen como función el reconocimiento y pago de pensiones y las E.P.S., públicas y privadas, que reciben cuotas de las empresas y de los trabajadores, administran recursos parafiscales. Por lo tanto, en ningún caso, esos fondos pueden ser afectados a fines distintos de los previstos en el ordenamiento jurídico y su manejo debe realizarse teniendo en cuenta la especificidad de su función</w:t>
      </w:r>
      <w:r w:rsidRPr="00972ABB">
        <w:rPr>
          <w:rFonts w:ascii="Arial" w:hAnsi="Arial" w:cs="Arial"/>
          <w:sz w:val="19"/>
          <w:szCs w:val="19"/>
        </w:rPr>
        <w:t xml:space="preserve">». </w:t>
      </w:r>
    </w:p>
    <w:p w14:paraId="42CED5C1" w14:textId="3D711B16" w:rsidR="008C425C" w:rsidRPr="00972ABB" w:rsidRDefault="008C425C">
      <w:pPr>
        <w:pStyle w:val="Textonotapie"/>
        <w:rPr>
          <w:lang w:val="es-ES"/>
        </w:rPr>
      </w:pPr>
    </w:p>
  </w:footnote>
  <w:footnote w:id="15">
    <w:p w14:paraId="0CB9BF8F" w14:textId="77777777" w:rsidR="000A615D" w:rsidRPr="00972ABB" w:rsidRDefault="000A615D" w:rsidP="00AB6125">
      <w:pPr>
        <w:spacing w:before="78"/>
        <w:ind w:firstLine="709"/>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CF69582" w14:textId="77777777" w:rsidR="000A615D" w:rsidRPr="00972ABB" w:rsidRDefault="000A615D" w:rsidP="00AB6125">
      <w:pPr>
        <w:spacing w:before="78"/>
        <w:jc w:val="both"/>
        <w:rPr>
          <w:rFonts w:ascii="Arial" w:hAnsi="Arial" w:cs="Arial"/>
          <w:sz w:val="19"/>
          <w:szCs w:val="19"/>
        </w:rPr>
      </w:pPr>
    </w:p>
    <w:p w14:paraId="2AD27DC9" w14:textId="77777777" w:rsidR="000A615D" w:rsidRPr="00972ABB" w:rsidRDefault="000A615D" w:rsidP="00AB6125">
      <w:pPr>
        <w:ind w:firstLine="709"/>
        <w:jc w:val="both"/>
        <w:rPr>
          <w:rFonts w:ascii="Arial" w:hAnsi="Arial" w:cs="Arial"/>
          <w:sz w:val="19"/>
          <w:szCs w:val="19"/>
        </w:rPr>
      </w:pPr>
      <w:r w:rsidRPr="00972ABB">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972ABB">
        <w:rPr>
          <w:rFonts w:ascii="Arial" w:hAnsi="Arial" w:cs="Arial"/>
          <w:spacing w:val="-1"/>
          <w:sz w:val="19"/>
          <w:szCs w:val="19"/>
        </w:rPr>
        <w:t xml:space="preserve"> </w:t>
      </w:r>
      <w:r w:rsidRPr="00972ABB">
        <w:rPr>
          <w:rFonts w:ascii="Arial" w:hAnsi="Arial" w:cs="Arial"/>
          <w:sz w:val="19"/>
          <w:szCs w:val="19"/>
        </w:rPr>
        <w:t>Estatales».</w:t>
      </w:r>
    </w:p>
    <w:p w14:paraId="68304E86" w14:textId="77777777" w:rsidR="000A615D" w:rsidRPr="00972ABB" w:rsidRDefault="000A615D" w:rsidP="00AB6125">
      <w:pPr>
        <w:pStyle w:val="Textonotapie"/>
        <w:jc w:val="both"/>
        <w:rPr>
          <w:rFonts w:ascii="Arial" w:hAnsi="Arial" w:cs="Arial"/>
          <w:sz w:val="19"/>
          <w:szCs w:val="19"/>
          <w:lang w:val="es-ES"/>
        </w:rPr>
      </w:pPr>
    </w:p>
  </w:footnote>
  <w:footnote w:id="16">
    <w:p w14:paraId="204167F6" w14:textId="25671792"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Consejo de Estado. Sección Tercera. Sentencia del 23 de junio de 2010. Radicación No. 66001-23-31-000-1998-00261-01(17.860). Consejero Ponente: Mauricio Fajardo Gómez.</w:t>
      </w:r>
    </w:p>
    <w:p w14:paraId="7F000EE8" w14:textId="77777777" w:rsidR="000A615D" w:rsidRPr="00972ABB" w:rsidRDefault="000A615D" w:rsidP="00AB6125">
      <w:pPr>
        <w:pStyle w:val="Textonotapie"/>
        <w:ind w:firstLine="708"/>
        <w:jc w:val="both"/>
        <w:rPr>
          <w:rFonts w:ascii="Arial" w:hAnsi="Arial" w:cs="Arial"/>
          <w:sz w:val="19"/>
          <w:szCs w:val="19"/>
          <w:lang w:val="es-ES"/>
        </w:rPr>
      </w:pPr>
    </w:p>
  </w:footnote>
  <w:footnote w:id="17">
    <w:p w14:paraId="083E16D2" w14:textId="77777777" w:rsidR="000A615D" w:rsidRPr="00972ABB" w:rsidRDefault="000A615D" w:rsidP="00AB6125">
      <w:pPr>
        <w:spacing w:before="75" w:line="273" w:lineRule="auto"/>
        <w:ind w:firstLine="709"/>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Consejo de Estado, Sala de lo contencioso administrativo, Sección tercera, Subsección B, Radicado 242221, Consejero Ponente Danilo Rojas Betancur.</w:t>
      </w:r>
    </w:p>
    <w:p w14:paraId="50FE3095" w14:textId="77777777" w:rsidR="000A615D" w:rsidRPr="00972ABB" w:rsidRDefault="000A615D" w:rsidP="00AB6125">
      <w:pPr>
        <w:pStyle w:val="Textonotapie"/>
        <w:jc w:val="both"/>
        <w:rPr>
          <w:rFonts w:ascii="Arial" w:hAnsi="Arial" w:cs="Arial"/>
          <w:sz w:val="19"/>
          <w:szCs w:val="19"/>
          <w:lang w:val="es-CO"/>
        </w:rPr>
      </w:pPr>
    </w:p>
  </w:footnote>
  <w:footnote w:id="18">
    <w:p w14:paraId="77D1F35D" w14:textId="39F7330A" w:rsidR="000A615D" w:rsidRPr="00972ABB" w:rsidRDefault="000A615D" w:rsidP="00AB6125">
      <w:pPr>
        <w:pStyle w:val="Textonotapie"/>
        <w:ind w:firstLine="708"/>
        <w:jc w:val="both"/>
        <w:rPr>
          <w:rFonts w:ascii="Arial" w:hAnsi="Arial" w:cs="Arial"/>
          <w:sz w:val="19"/>
          <w:szCs w:val="19"/>
          <w:lang w:val="es-ES"/>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lang w:val="es-ES"/>
        </w:rPr>
        <w:t xml:space="preserve"> Definición tomada de Oxford </w:t>
      </w:r>
      <w:proofErr w:type="spellStart"/>
      <w:r w:rsidRPr="00972ABB">
        <w:rPr>
          <w:rFonts w:ascii="Arial" w:hAnsi="Arial" w:cs="Arial"/>
          <w:sz w:val="19"/>
          <w:szCs w:val="19"/>
          <w:lang w:val="es-ES"/>
        </w:rPr>
        <w:t>languages</w:t>
      </w:r>
      <w:proofErr w:type="spellEnd"/>
      <w:r w:rsidRPr="00972ABB">
        <w:rPr>
          <w:rFonts w:ascii="Arial" w:hAnsi="Arial" w:cs="Arial"/>
          <w:sz w:val="19"/>
          <w:szCs w:val="19"/>
          <w:lang w:val="es-ES"/>
        </w:rPr>
        <w:t xml:space="preserve">. </w:t>
      </w:r>
    </w:p>
    <w:p w14:paraId="089C287F" w14:textId="77777777" w:rsidR="000A615D" w:rsidRPr="00972ABB" w:rsidRDefault="000A615D" w:rsidP="00AB6125">
      <w:pPr>
        <w:pStyle w:val="Textonotapie"/>
        <w:ind w:firstLine="708"/>
        <w:jc w:val="both"/>
        <w:rPr>
          <w:rFonts w:ascii="Arial" w:hAnsi="Arial" w:cs="Arial"/>
          <w:sz w:val="19"/>
          <w:szCs w:val="19"/>
          <w:lang w:val="es-ES"/>
        </w:rPr>
      </w:pPr>
    </w:p>
  </w:footnote>
  <w:footnote w:id="19">
    <w:p w14:paraId="0721ABF5" w14:textId="272E4BAA"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Definición tomada del Diccionario de la Real Academia de la Lengua Española. </w:t>
      </w:r>
    </w:p>
  </w:footnote>
  <w:footnote w:id="20">
    <w:p w14:paraId="53CB9CBF" w14:textId="7CDF8F32" w:rsidR="000A615D" w:rsidRPr="00972ABB" w:rsidRDefault="000A615D" w:rsidP="00AB6125">
      <w:pPr>
        <w:pStyle w:val="NormalWeb"/>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Documento CONPES 2791- Comité́ Nacional de Cofinanciación- DNP:UDT. Santafé de Bogotá, D.C., junio 21 de 1995.</w:t>
      </w:r>
    </w:p>
  </w:footnote>
  <w:footnote w:id="21">
    <w:p w14:paraId="5A5BDF0E" w14:textId="24A57557" w:rsidR="000A615D" w:rsidRPr="00972ABB" w:rsidRDefault="000A615D" w:rsidP="00AB6125">
      <w:pPr>
        <w:pStyle w:val="Textonotapie"/>
        <w:ind w:firstLine="708"/>
        <w:jc w:val="both"/>
        <w:rPr>
          <w:rFonts w:ascii="Arial" w:hAnsi="Arial" w:cs="Arial"/>
          <w:sz w:val="19"/>
          <w:szCs w:val="19"/>
          <w:lang w:val="es-CO"/>
        </w:rPr>
      </w:pPr>
      <w:r w:rsidRPr="00972ABB">
        <w:rPr>
          <w:rStyle w:val="Refdenotaalpie"/>
          <w:rFonts w:ascii="Arial" w:hAnsi="Arial" w:cs="Arial"/>
          <w:sz w:val="19"/>
          <w:szCs w:val="19"/>
        </w:rPr>
        <w:footnoteRef/>
      </w:r>
      <w:r w:rsidRPr="00972ABB">
        <w:rPr>
          <w:rFonts w:ascii="Arial" w:hAnsi="Arial" w:cs="Arial"/>
          <w:sz w:val="19"/>
          <w:szCs w:val="19"/>
          <w:lang w:val="pt-BR"/>
        </w:rPr>
        <w:t xml:space="preserve"> Corte Constitucional, sentencia C-713 de 2009.</w:t>
      </w:r>
    </w:p>
  </w:footnote>
  <w:footnote w:id="22">
    <w:p w14:paraId="2DE20036" w14:textId="77777777" w:rsidR="000A615D" w:rsidRPr="00972ABB" w:rsidRDefault="000A615D" w:rsidP="00AB6125">
      <w:pPr>
        <w:pStyle w:val="NormalWeb"/>
        <w:ind w:firstLine="708"/>
        <w:contextualSpacing/>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a) Urgencia manifiesta;</w:t>
      </w:r>
    </w:p>
    <w:p w14:paraId="776E68E0" w14:textId="77777777" w:rsidR="000A615D" w:rsidRPr="00972ABB" w:rsidRDefault="000A615D" w:rsidP="00AB6125">
      <w:pPr>
        <w:pStyle w:val="NormalWeb"/>
        <w:ind w:firstLine="709"/>
        <w:contextualSpacing/>
        <w:jc w:val="both"/>
        <w:rPr>
          <w:rFonts w:ascii="Arial" w:hAnsi="Arial" w:cs="Arial"/>
          <w:sz w:val="19"/>
          <w:szCs w:val="19"/>
        </w:rPr>
      </w:pPr>
      <w:r w:rsidRPr="00972ABB">
        <w:rPr>
          <w:rFonts w:ascii="Arial" w:hAnsi="Arial" w:cs="Arial"/>
          <w:sz w:val="19"/>
          <w:szCs w:val="19"/>
        </w:rPr>
        <w:t xml:space="preserve">b) Contratación de empréstitos; </w:t>
      </w:r>
    </w:p>
    <w:p w14:paraId="0F64A65B" w14:textId="7B9DFFE2" w:rsidR="000A615D" w:rsidRPr="00972ABB" w:rsidRDefault="000A615D" w:rsidP="00AB6125">
      <w:pPr>
        <w:pStyle w:val="NormalWeb"/>
        <w:ind w:firstLine="709"/>
        <w:contextualSpacing/>
        <w:jc w:val="both"/>
        <w:rPr>
          <w:rFonts w:ascii="Arial" w:hAnsi="Arial" w:cs="Arial"/>
          <w:sz w:val="19"/>
          <w:szCs w:val="19"/>
        </w:rPr>
      </w:pPr>
      <w:r w:rsidRPr="00972ABB">
        <w:rPr>
          <w:rFonts w:ascii="Arial" w:hAnsi="Arial" w:cs="Arial"/>
          <w:sz w:val="19"/>
          <w:szCs w:val="19"/>
        </w:rPr>
        <w:t>c) &lt;Inciso 1o. modificado por el artículo </w:t>
      </w:r>
      <w:hyperlink r:id="rId1" w:anchor="92" w:history="1">
        <w:r w:rsidRPr="00972ABB">
          <w:rPr>
            <w:rFonts w:ascii="Arial" w:hAnsi="Arial" w:cs="Arial"/>
            <w:sz w:val="19"/>
            <w:szCs w:val="19"/>
            <w:u w:val="single"/>
          </w:rPr>
          <w:t>92</w:t>
        </w:r>
      </w:hyperlink>
      <w:r w:rsidRPr="00972ABB">
        <w:rPr>
          <w:rFonts w:ascii="Arial" w:hAnsi="Arial" w:cs="Arial"/>
          <w:sz w:val="19"/>
          <w:szCs w:val="19"/>
        </w:rPr>
        <w:t> de la Ley 1474 de 2011. El nuevo texto es el siguiente:&gt; Contratos interadministrativos, siempre que las obligaciones derivadas del mismo tengan relación directa con el objeto de la entidad ejecutora señalado en la ley o en sus reglamentos.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3178CC58" w14:textId="77777777" w:rsidR="000A615D" w:rsidRPr="00972ABB" w:rsidRDefault="000A615D" w:rsidP="00AB6125">
      <w:pPr>
        <w:spacing w:before="100" w:beforeAutospacing="1" w:after="100" w:afterAutospacing="1"/>
        <w:jc w:val="both"/>
        <w:rPr>
          <w:rFonts w:ascii="Arial" w:hAnsi="Arial" w:cs="Arial"/>
          <w:sz w:val="19"/>
          <w:szCs w:val="19"/>
        </w:rPr>
      </w:pPr>
      <w:r w:rsidRPr="00972ABB">
        <w:rPr>
          <w:rFonts w:ascii="Arial" w:hAnsi="Arial" w:cs="Arial"/>
          <w:sz w:val="19"/>
          <w:szCs w:val="19"/>
        </w:rPr>
        <w:t>&lt;Inciso 2o. modificado por el artículo </w:t>
      </w:r>
      <w:hyperlink r:id="rId2" w:anchor="95" w:history="1">
        <w:r w:rsidRPr="00972ABB">
          <w:rPr>
            <w:rFonts w:ascii="Arial" w:hAnsi="Arial" w:cs="Arial"/>
            <w:sz w:val="19"/>
            <w:szCs w:val="19"/>
            <w:u w:val="single"/>
          </w:rPr>
          <w:t>95</w:t>
        </w:r>
      </w:hyperlink>
      <w:r w:rsidRPr="00972ABB">
        <w:rPr>
          <w:rFonts w:ascii="Arial" w:hAnsi="Arial" w:cs="Arial"/>
          <w:sz w:val="19"/>
          <w:szCs w:val="19"/>
        </w:rPr>
        <w:t> de la Ley 1474 de 2011. El nuevo texto es el siguiente:&gt; En aquellos eventos en que el régimen aplicable a la contratación de la entidad ejecutora no sea el de la Ley </w:t>
      </w:r>
      <w:hyperlink r:id="rId3" w:anchor="1" w:history="1">
        <w:r w:rsidRPr="00972ABB">
          <w:rPr>
            <w:rFonts w:ascii="Arial" w:hAnsi="Arial" w:cs="Arial"/>
            <w:sz w:val="19"/>
            <w:szCs w:val="19"/>
            <w:u w:val="single"/>
          </w:rPr>
          <w:t>80</w:t>
        </w:r>
      </w:hyperlink>
      <w:r w:rsidRPr="00972ABB">
        <w:rPr>
          <w:rFonts w:ascii="Arial" w:hAnsi="Arial" w:cs="Arial"/>
          <w:sz w:val="19"/>
          <w:szCs w:val="19"/>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190B4FD0" w14:textId="1E6F5E13" w:rsidR="000A615D" w:rsidRPr="00972ABB" w:rsidRDefault="000A615D" w:rsidP="00AB6125">
      <w:pPr>
        <w:spacing w:before="100" w:beforeAutospacing="1" w:after="100" w:afterAutospacing="1"/>
        <w:jc w:val="both"/>
        <w:rPr>
          <w:rFonts w:ascii="Arial" w:hAnsi="Arial" w:cs="Arial"/>
          <w:sz w:val="19"/>
          <w:szCs w:val="19"/>
        </w:rPr>
      </w:pPr>
      <w:r w:rsidRPr="00972ABB">
        <w:rPr>
          <w:rFonts w:ascii="Arial" w:hAnsi="Arial" w:cs="Arial"/>
          <w:sz w:val="19"/>
          <w:szCs w:val="19"/>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4298B0B5" w14:textId="77777777" w:rsidR="000A615D" w:rsidRPr="00972ABB" w:rsidRDefault="000A615D" w:rsidP="00AB6125">
      <w:pPr>
        <w:spacing w:before="100" w:beforeAutospacing="1" w:after="100" w:afterAutospacing="1"/>
        <w:contextualSpacing/>
        <w:jc w:val="both"/>
        <w:rPr>
          <w:rFonts w:ascii="Arial" w:hAnsi="Arial" w:cs="Arial"/>
          <w:sz w:val="19"/>
          <w:szCs w:val="19"/>
        </w:rPr>
      </w:pPr>
      <w:r w:rsidRPr="00972ABB">
        <w:rPr>
          <w:rFonts w:ascii="Arial" w:hAnsi="Arial" w:cs="Arial"/>
          <w:sz w:val="19"/>
          <w:szCs w:val="19"/>
        </w:rPr>
        <w:t xml:space="preserve">Estarán exceptuados de la figura del contrato interadministrativo, los contratos de seguro de las entidades estatales; </w:t>
      </w:r>
    </w:p>
    <w:p w14:paraId="70E601AA" w14:textId="77777777" w:rsidR="000A615D" w:rsidRPr="00972ABB" w:rsidRDefault="000A615D" w:rsidP="00AB6125">
      <w:pPr>
        <w:spacing w:before="100" w:beforeAutospacing="1" w:after="100" w:afterAutospacing="1"/>
        <w:contextualSpacing/>
        <w:jc w:val="both"/>
        <w:rPr>
          <w:rFonts w:ascii="Arial" w:hAnsi="Arial" w:cs="Arial"/>
          <w:sz w:val="19"/>
          <w:szCs w:val="19"/>
        </w:rPr>
      </w:pPr>
      <w:r w:rsidRPr="00972ABB">
        <w:rPr>
          <w:rFonts w:ascii="Arial" w:hAnsi="Arial" w:cs="Arial"/>
          <w:sz w:val="19"/>
          <w:szCs w:val="19"/>
        </w:rPr>
        <w:t xml:space="preserve">d) La contratación de bienes y servicios en el sector Defensa y en el Departamento Administrativo de Seguridad, DAS*, que necesiten reserva para su adquisición; </w:t>
      </w:r>
    </w:p>
    <w:p w14:paraId="1AE70C1F" w14:textId="193910B9" w:rsidR="000A615D" w:rsidRPr="00972ABB" w:rsidRDefault="000A615D" w:rsidP="00AB6125">
      <w:pPr>
        <w:spacing w:before="100" w:beforeAutospacing="1" w:after="100" w:afterAutospacing="1"/>
        <w:contextualSpacing/>
        <w:jc w:val="both"/>
        <w:rPr>
          <w:rFonts w:ascii="Arial" w:hAnsi="Arial" w:cs="Arial"/>
          <w:sz w:val="19"/>
          <w:szCs w:val="19"/>
        </w:rPr>
      </w:pPr>
      <w:r w:rsidRPr="00972ABB">
        <w:rPr>
          <w:rFonts w:ascii="Arial" w:hAnsi="Arial" w:cs="Arial"/>
          <w:sz w:val="19"/>
          <w:szCs w:val="19"/>
        </w:rPr>
        <w:t>e) Los contratos para el desarrollo de actividades científicas y tecnológicas(…)</w:t>
      </w:r>
    </w:p>
    <w:p w14:paraId="3D434693" w14:textId="77777777" w:rsidR="000A615D" w:rsidRPr="00972ABB" w:rsidRDefault="000A615D" w:rsidP="00AB6125">
      <w:pPr>
        <w:spacing w:before="100" w:beforeAutospacing="1" w:after="100" w:afterAutospacing="1"/>
        <w:contextualSpacing/>
        <w:jc w:val="both"/>
        <w:rPr>
          <w:rFonts w:ascii="Arial" w:hAnsi="Arial" w:cs="Arial"/>
          <w:sz w:val="19"/>
          <w:szCs w:val="19"/>
        </w:rPr>
      </w:pPr>
    </w:p>
  </w:footnote>
  <w:footnote w:id="23">
    <w:p w14:paraId="3E5CFB05" w14:textId="77777777" w:rsidR="000A615D" w:rsidRPr="00972ABB" w:rsidRDefault="000A615D" w:rsidP="00B315E0">
      <w:pPr>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w:t>
      </w:r>
      <w:r w:rsidRPr="00972ABB">
        <w:rPr>
          <w:rFonts w:ascii="Arial" w:hAnsi="Arial" w:cs="Arial"/>
          <w:sz w:val="19"/>
          <w:szCs w:val="19"/>
          <w:shd w:val="clear" w:color="auto" w:fill="FFFFFF"/>
        </w:rPr>
        <w:t>Ninguna de las ramas u órganos del poder público podrá decretar auxilios o donaciones en favor de personas naturales o jurídicas de derecho privado.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p>
    <w:p w14:paraId="1016C37D" w14:textId="77777777" w:rsidR="000A615D" w:rsidRPr="00972ABB" w:rsidRDefault="000A615D" w:rsidP="00B315E0">
      <w:pPr>
        <w:pStyle w:val="Textonotapie"/>
        <w:jc w:val="both"/>
        <w:rPr>
          <w:rFonts w:ascii="Arial" w:hAnsi="Arial" w:cs="Arial"/>
          <w:sz w:val="19"/>
          <w:szCs w:val="19"/>
          <w:lang w:val="es-ES"/>
        </w:rPr>
      </w:pPr>
    </w:p>
  </w:footnote>
  <w:footnote w:id="24">
    <w:p w14:paraId="4321B0C1" w14:textId="77777777"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7E86B679" w14:textId="77777777" w:rsidR="000A615D" w:rsidRPr="00972ABB" w:rsidRDefault="000A615D" w:rsidP="00AB6125">
      <w:pPr>
        <w:pStyle w:val="Textonotapie"/>
        <w:ind w:firstLine="708"/>
        <w:jc w:val="both"/>
        <w:rPr>
          <w:rFonts w:ascii="Arial" w:hAnsi="Arial" w:cs="Arial"/>
          <w:sz w:val="19"/>
          <w:szCs w:val="19"/>
          <w:lang w:val="es-ES"/>
        </w:rPr>
      </w:pPr>
    </w:p>
  </w:footnote>
  <w:footnote w:id="25">
    <w:p w14:paraId="7F21495E" w14:textId="77777777" w:rsidR="000A615D" w:rsidRPr="00972ABB" w:rsidRDefault="000A615D" w:rsidP="00AB6125">
      <w:pPr>
        <w:pStyle w:val="Textonotapie"/>
        <w:ind w:firstLine="708"/>
        <w:jc w:val="both"/>
        <w:rPr>
          <w:rFonts w:ascii="Arial" w:hAnsi="Arial" w:cs="Arial"/>
          <w:sz w:val="19"/>
          <w:szCs w:val="19"/>
        </w:rPr>
      </w:pPr>
      <w:r w:rsidRPr="00972ABB">
        <w:rPr>
          <w:rStyle w:val="Refdenotaalpie"/>
          <w:rFonts w:ascii="Arial" w:hAnsi="Arial" w:cs="Arial"/>
          <w:sz w:val="19"/>
          <w:szCs w:val="19"/>
        </w:rPr>
        <w:footnoteRef/>
      </w:r>
      <w:r w:rsidRPr="00972ABB">
        <w:rPr>
          <w:rFonts w:ascii="Arial" w:hAnsi="Arial" w:cs="Arial"/>
          <w:sz w:val="19"/>
          <w:szCs w:val="19"/>
        </w:rPr>
        <w:t xml:space="preserve"> Concepto del 3 de septiembre de 2019, emitido en el radicado No. 2201913000006512.</w:t>
      </w:r>
    </w:p>
    <w:p w14:paraId="3B08A850" w14:textId="77777777" w:rsidR="000A615D" w:rsidRPr="00972ABB" w:rsidRDefault="000A615D" w:rsidP="00AB6125">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A2914" w14:textId="77777777" w:rsidR="000A615D" w:rsidRDefault="000A615D">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72333"/>
    <w:rsid w:val="000755E1"/>
    <w:rsid w:val="000A5E3D"/>
    <w:rsid w:val="000A615D"/>
    <w:rsid w:val="000B6A48"/>
    <w:rsid w:val="00135CEA"/>
    <w:rsid w:val="0015117A"/>
    <w:rsid w:val="00161966"/>
    <w:rsid w:val="001900DE"/>
    <w:rsid w:val="00195596"/>
    <w:rsid w:val="0019728C"/>
    <w:rsid w:val="00216826"/>
    <w:rsid w:val="00256962"/>
    <w:rsid w:val="00263999"/>
    <w:rsid w:val="002663A9"/>
    <w:rsid w:val="0026761A"/>
    <w:rsid w:val="002676B8"/>
    <w:rsid w:val="002A75EC"/>
    <w:rsid w:val="00300B5B"/>
    <w:rsid w:val="003233A2"/>
    <w:rsid w:val="00336AC6"/>
    <w:rsid w:val="00337876"/>
    <w:rsid w:val="00345FBC"/>
    <w:rsid w:val="00353092"/>
    <w:rsid w:val="0035732E"/>
    <w:rsid w:val="00365D3A"/>
    <w:rsid w:val="00380F1A"/>
    <w:rsid w:val="00392411"/>
    <w:rsid w:val="003A5C98"/>
    <w:rsid w:val="003C5DD6"/>
    <w:rsid w:val="003D22F3"/>
    <w:rsid w:val="003F461C"/>
    <w:rsid w:val="00454997"/>
    <w:rsid w:val="004710AE"/>
    <w:rsid w:val="00475DD2"/>
    <w:rsid w:val="00476544"/>
    <w:rsid w:val="00484443"/>
    <w:rsid w:val="0048469A"/>
    <w:rsid w:val="004C6ABD"/>
    <w:rsid w:val="004E7410"/>
    <w:rsid w:val="004F2E83"/>
    <w:rsid w:val="00502061"/>
    <w:rsid w:val="00521FC6"/>
    <w:rsid w:val="00524B49"/>
    <w:rsid w:val="00531E6B"/>
    <w:rsid w:val="00547A9E"/>
    <w:rsid w:val="00563519"/>
    <w:rsid w:val="005668C1"/>
    <w:rsid w:val="00587130"/>
    <w:rsid w:val="005A3884"/>
    <w:rsid w:val="005A5EFD"/>
    <w:rsid w:val="005B14A6"/>
    <w:rsid w:val="005B76C7"/>
    <w:rsid w:val="005D4FC8"/>
    <w:rsid w:val="005E481C"/>
    <w:rsid w:val="005E66B0"/>
    <w:rsid w:val="005F04B8"/>
    <w:rsid w:val="005F1C18"/>
    <w:rsid w:val="005F1D9D"/>
    <w:rsid w:val="006065A9"/>
    <w:rsid w:val="00611B99"/>
    <w:rsid w:val="00676D9E"/>
    <w:rsid w:val="006D64B1"/>
    <w:rsid w:val="00741185"/>
    <w:rsid w:val="00745302"/>
    <w:rsid w:val="00776374"/>
    <w:rsid w:val="007820EF"/>
    <w:rsid w:val="007A4AE6"/>
    <w:rsid w:val="007C5E25"/>
    <w:rsid w:val="007F1895"/>
    <w:rsid w:val="007F7A62"/>
    <w:rsid w:val="00811D01"/>
    <w:rsid w:val="00820F88"/>
    <w:rsid w:val="008312A3"/>
    <w:rsid w:val="008855C4"/>
    <w:rsid w:val="00897109"/>
    <w:rsid w:val="008B52AD"/>
    <w:rsid w:val="008C3F91"/>
    <w:rsid w:val="008C425C"/>
    <w:rsid w:val="008C5B45"/>
    <w:rsid w:val="00930FAE"/>
    <w:rsid w:val="00960FD1"/>
    <w:rsid w:val="00965D7F"/>
    <w:rsid w:val="00972ABB"/>
    <w:rsid w:val="009A3A2B"/>
    <w:rsid w:val="009D7A61"/>
    <w:rsid w:val="009E36A9"/>
    <w:rsid w:val="009F1B3C"/>
    <w:rsid w:val="00A4095E"/>
    <w:rsid w:val="00A4457D"/>
    <w:rsid w:val="00A5027F"/>
    <w:rsid w:val="00A53195"/>
    <w:rsid w:val="00A605BF"/>
    <w:rsid w:val="00A71CEA"/>
    <w:rsid w:val="00A9164B"/>
    <w:rsid w:val="00AB6125"/>
    <w:rsid w:val="00AC44CB"/>
    <w:rsid w:val="00AD4216"/>
    <w:rsid w:val="00B02D49"/>
    <w:rsid w:val="00B06567"/>
    <w:rsid w:val="00B12F0E"/>
    <w:rsid w:val="00B2523E"/>
    <w:rsid w:val="00B315E0"/>
    <w:rsid w:val="00B31C5C"/>
    <w:rsid w:val="00B43119"/>
    <w:rsid w:val="00B52EF4"/>
    <w:rsid w:val="00B55679"/>
    <w:rsid w:val="00B5768A"/>
    <w:rsid w:val="00B651A5"/>
    <w:rsid w:val="00B71711"/>
    <w:rsid w:val="00B81F3F"/>
    <w:rsid w:val="00B8757F"/>
    <w:rsid w:val="00B913DC"/>
    <w:rsid w:val="00B937CA"/>
    <w:rsid w:val="00BA3C72"/>
    <w:rsid w:val="00BA55C6"/>
    <w:rsid w:val="00BA75D3"/>
    <w:rsid w:val="00BB0D17"/>
    <w:rsid w:val="00BB32FE"/>
    <w:rsid w:val="00BC0FB8"/>
    <w:rsid w:val="00BC3923"/>
    <w:rsid w:val="00BC7656"/>
    <w:rsid w:val="00BF18D6"/>
    <w:rsid w:val="00C014D3"/>
    <w:rsid w:val="00C07FB9"/>
    <w:rsid w:val="00C1196F"/>
    <w:rsid w:val="00C15D6A"/>
    <w:rsid w:val="00C635D5"/>
    <w:rsid w:val="00C71ACE"/>
    <w:rsid w:val="00C87984"/>
    <w:rsid w:val="00D0122C"/>
    <w:rsid w:val="00D039FB"/>
    <w:rsid w:val="00D53EC8"/>
    <w:rsid w:val="00D7246A"/>
    <w:rsid w:val="00D76B34"/>
    <w:rsid w:val="00D77BB0"/>
    <w:rsid w:val="00D80564"/>
    <w:rsid w:val="00D811B8"/>
    <w:rsid w:val="00D848EA"/>
    <w:rsid w:val="00DA352E"/>
    <w:rsid w:val="00DB0FC7"/>
    <w:rsid w:val="00DE736C"/>
    <w:rsid w:val="00E131F1"/>
    <w:rsid w:val="00E32788"/>
    <w:rsid w:val="00E43F7F"/>
    <w:rsid w:val="00E673A1"/>
    <w:rsid w:val="00E833FA"/>
    <w:rsid w:val="00EA513C"/>
    <w:rsid w:val="00EB27BA"/>
    <w:rsid w:val="00EC07EF"/>
    <w:rsid w:val="00EC433E"/>
    <w:rsid w:val="00EC4E42"/>
    <w:rsid w:val="00ED3195"/>
    <w:rsid w:val="00EE54C6"/>
    <w:rsid w:val="00EE66CC"/>
    <w:rsid w:val="00F0401C"/>
    <w:rsid w:val="00F053F3"/>
    <w:rsid w:val="00F06565"/>
    <w:rsid w:val="00F10A2F"/>
    <w:rsid w:val="00F13BAE"/>
    <w:rsid w:val="00F3683B"/>
    <w:rsid w:val="00F40BB1"/>
    <w:rsid w:val="00F5219A"/>
    <w:rsid w:val="00F53CB0"/>
    <w:rsid w:val="00F66114"/>
    <w:rsid w:val="00F779BA"/>
    <w:rsid w:val="00F909BB"/>
    <w:rsid w:val="00F96300"/>
    <w:rsid w:val="00F96DEA"/>
    <w:rsid w:val="00FD0147"/>
    <w:rsid w:val="00FD27D7"/>
    <w:rsid w:val="00FD3E77"/>
    <w:rsid w:val="00FE1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chartTrackingRefBased/>
  <w15:docId w15:val="{E97E14D6-0A90-404C-8C98-EB4AE606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EA"/>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39"/>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uiPriority w:val="99"/>
    <w:unhideWhenUsed/>
    <w:rsid w:val="00524B49"/>
    <w:pPr>
      <w:spacing w:before="100" w:beforeAutospacing="1" w:after="100" w:afterAutospacing="1"/>
    </w:pPr>
  </w:style>
  <w:style w:type="character" w:styleId="Hipervnculo">
    <w:name w:val="Hyperlink"/>
    <w:basedOn w:val="Fuentedeprrafopredeter"/>
    <w:uiPriority w:val="99"/>
    <w:semiHidden/>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81117454">
      <w:bodyDiv w:val="1"/>
      <w:marLeft w:val="0"/>
      <w:marRight w:val="0"/>
      <w:marTop w:val="0"/>
      <w:marBottom w:val="0"/>
      <w:divBdr>
        <w:top w:val="none" w:sz="0" w:space="0" w:color="auto"/>
        <w:left w:val="none" w:sz="0" w:space="0" w:color="auto"/>
        <w:bottom w:val="none" w:sz="0" w:space="0" w:color="auto"/>
        <w:right w:val="none" w:sz="0" w:space="0" w:color="auto"/>
      </w:divBdr>
      <w:divsChild>
        <w:div w:id="1563641338">
          <w:marLeft w:val="0"/>
          <w:marRight w:val="0"/>
          <w:marTop w:val="0"/>
          <w:marBottom w:val="0"/>
          <w:divBdr>
            <w:top w:val="none" w:sz="0" w:space="0" w:color="auto"/>
            <w:left w:val="none" w:sz="0" w:space="0" w:color="auto"/>
            <w:bottom w:val="none" w:sz="0" w:space="0" w:color="auto"/>
            <w:right w:val="none" w:sz="0" w:space="0" w:color="auto"/>
          </w:divBdr>
        </w:div>
      </w:divsChild>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1474_2011_pr002.html" TargetMode="External"/><Relationship Id="rId1" Type="http://schemas.openxmlformats.org/officeDocument/2006/relationships/hyperlink" Target="http://www.secretariasenado.gov.co/senado/basedoc/ley_1474_2011_pr0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388E6-21EC-4EC3-94FF-C73E6A2AA580}">
  <ds:schemaRefs>
    <ds:schemaRef ds:uri="http://schemas.microsoft.com/sharepoint/v3/contenttype/forms"/>
  </ds:schemaRefs>
</ds:datastoreItem>
</file>

<file path=customXml/itemProps2.xml><?xml version="1.0" encoding="utf-8"?>
<ds:datastoreItem xmlns:ds="http://schemas.openxmlformats.org/officeDocument/2006/customXml" ds:itemID="{A8938C7F-E3B3-4F58-8873-EDDB83431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8A410-904F-4C9A-9517-259CEA374A7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6766</Words>
  <Characters>37219</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JUAN CAMILO VESGA BONILLA</cp:lastModifiedBy>
  <cp:revision>5</cp:revision>
  <dcterms:created xsi:type="dcterms:W3CDTF">2021-03-17T14:13:00Z</dcterms:created>
  <dcterms:modified xsi:type="dcterms:W3CDTF">2021-03-24T16:46:00Z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