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C96D40" w14:textId="77777777" w:rsidR="00BA208A" w:rsidRPr="00846DC3" w:rsidRDefault="00BA208A" w:rsidP="00BA208A">
      <w:pPr>
        <w:spacing w:after="0" w:line="240" w:lineRule="auto"/>
        <w:ind w:left="708" w:hanging="708"/>
        <w:contextualSpacing/>
        <w:jc w:val="both"/>
        <w:rPr>
          <w:rFonts w:ascii="Verdana" w:eastAsia="Yu Gothic UI Semibold" w:hAnsi="Verdana" w:cs="Arial"/>
          <w:b/>
          <w:bCs/>
          <w:color w:val="000000" w:themeColor="text1"/>
          <w:sz w:val="20"/>
          <w:szCs w:val="20"/>
          <w:lang w:val="es-MX"/>
        </w:rPr>
      </w:pPr>
      <w:r w:rsidRPr="00846DC3">
        <w:rPr>
          <w:rFonts w:ascii="Verdana" w:eastAsia="Yu Gothic UI Semibold" w:hAnsi="Verdana" w:cs="Arial"/>
          <w:b/>
          <w:bCs/>
          <w:color w:val="000000" w:themeColor="text1"/>
          <w:sz w:val="20"/>
          <w:szCs w:val="20"/>
          <w:lang w:val="es-MX"/>
        </w:rPr>
        <w:t>CONTRATOS DE PRESTACIÓN DE SERVICIOS – Generalidades</w:t>
      </w:r>
    </w:p>
    <w:p w14:paraId="0470F3FD" w14:textId="77777777" w:rsidR="00BA208A" w:rsidRPr="00846DC3" w:rsidRDefault="00BA208A" w:rsidP="00BA208A">
      <w:pPr>
        <w:spacing w:after="0" w:line="240" w:lineRule="auto"/>
        <w:contextualSpacing/>
        <w:jc w:val="both"/>
        <w:rPr>
          <w:rFonts w:ascii="Verdana" w:hAnsi="Verdana" w:cs="Arial"/>
          <w:color w:val="000000" w:themeColor="text1"/>
          <w:sz w:val="20"/>
          <w:szCs w:val="20"/>
          <w:lang w:val="es-MX"/>
        </w:rPr>
      </w:pPr>
    </w:p>
    <w:p w14:paraId="7C4CEC2D" w14:textId="77777777" w:rsidR="00BA208A" w:rsidRPr="00846DC3" w:rsidRDefault="00BA208A" w:rsidP="00BA208A">
      <w:pPr>
        <w:spacing w:after="0" w:line="240" w:lineRule="auto"/>
        <w:contextualSpacing/>
        <w:jc w:val="both"/>
        <w:rPr>
          <w:rFonts w:ascii="Verdana" w:eastAsia="Arial" w:hAnsi="Verdana" w:cs="Arial"/>
          <w:color w:val="000000"/>
          <w:sz w:val="20"/>
          <w:szCs w:val="20"/>
        </w:rPr>
      </w:pPr>
      <w:r w:rsidRPr="00846DC3">
        <w:rPr>
          <w:rFonts w:ascii="Verdana" w:eastAsia="Arial" w:hAnsi="Verdana" w:cs="Arial"/>
          <w:color w:val="000000"/>
          <w:sz w:val="20"/>
          <w:szCs w:val="20"/>
        </w:rPr>
        <w:t xml:space="preserve">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w:t>
      </w:r>
    </w:p>
    <w:p w14:paraId="2E0D852F" w14:textId="77777777" w:rsidR="00BA208A" w:rsidRPr="00846DC3" w:rsidRDefault="00BA208A" w:rsidP="00BA208A">
      <w:pPr>
        <w:spacing w:after="0" w:line="240" w:lineRule="auto"/>
        <w:contextualSpacing/>
        <w:jc w:val="both"/>
        <w:rPr>
          <w:rFonts w:ascii="Verdana" w:eastAsia="Yu Gothic UI Semibold" w:hAnsi="Verdana" w:cs="Arial"/>
          <w:b/>
          <w:bCs/>
          <w:color w:val="000000" w:themeColor="text1"/>
          <w:sz w:val="20"/>
          <w:szCs w:val="20"/>
        </w:rPr>
      </w:pPr>
    </w:p>
    <w:p w14:paraId="57BB1698" w14:textId="77777777" w:rsidR="00BA208A" w:rsidRPr="00846DC3" w:rsidRDefault="00BA208A" w:rsidP="00BA208A">
      <w:pPr>
        <w:spacing w:after="0" w:line="240" w:lineRule="auto"/>
        <w:contextualSpacing/>
        <w:jc w:val="both"/>
        <w:rPr>
          <w:rFonts w:ascii="Verdana" w:eastAsia="Yu Gothic UI Semibold" w:hAnsi="Verdana" w:cs="Arial"/>
          <w:b/>
          <w:bCs/>
          <w:color w:val="000000" w:themeColor="text1"/>
          <w:sz w:val="20"/>
          <w:szCs w:val="20"/>
          <w:lang w:val="es-MX"/>
        </w:rPr>
      </w:pPr>
      <w:r w:rsidRPr="00846DC3">
        <w:rPr>
          <w:rFonts w:ascii="Verdana" w:eastAsia="Yu Gothic UI Semibold" w:hAnsi="Verdana" w:cs="Arial"/>
          <w:b/>
          <w:bCs/>
          <w:color w:val="000000" w:themeColor="text1"/>
          <w:sz w:val="20"/>
          <w:szCs w:val="20"/>
          <w:lang w:val="es-MX"/>
        </w:rPr>
        <w:t xml:space="preserve">CONTRATOS DE PRESTACIÓN DE SERVICIOS – Autonomía del contratista </w:t>
      </w:r>
    </w:p>
    <w:p w14:paraId="3F5E99BD" w14:textId="77777777" w:rsidR="00BA208A" w:rsidRPr="00846DC3" w:rsidRDefault="00BA208A" w:rsidP="00BA208A">
      <w:pPr>
        <w:spacing w:after="0" w:line="240" w:lineRule="auto"/>
        <w:contextualSpacing/>
        <w:jc w:val="both"/>
        <w:rPr>
          <w:rFonts w:ascii="Verdana" w:eastAsia="Yu Gothic UI Semibold" w:hAnsi="Verdana" w:cs="Arial"/>
          <w:sz w:val="20"/>
          <w:szCs w:val="20"/>
          <w:shd w:val="clear" w:color="auto" w:fill="FFFFFF"/>
          <w:lang w:val="es-ES_tradnl"/>
        </w:rPr>
      </w:pPr>
    </w:p>
    <w:p w14:paraId="2B3CBD4E" w14:textId="77777777" w:rsidR="00BA208A" w:rsidRPr="00846DC3" w:rsidRDefault="00BA208A" w:rsidP="00BA208A">
      <w:pPr>
        <w:spacing w:after="0" w:line="240" w:lineRule="auto"/>
        <w:contextualSpacing/>
        <w:jc w:val="both"/>
        <w:rPr>
          <w:rFonts w:ascii="Verdana" w:hAnsi="Verdana" w:cs="Arial"/>
          <w:noProof/>
          <w:sz w:val="20"/>
          <w:szCs w:val="20"/>
          <w:lang w:val="es-ES_tradnl"/>
        </w:rPr>
      </w:pPr>
      <w:r w:rsidRPr="00846DC3">
        <w:rPr>
          <w:rFonts w:ascii="Verdana" w:eastAsia="Yu Gothic UI Semibold" w:hAnsi="Verdana" w:cs="Arial"/>
          <w:sz w:val="20"/>
          <w:szCs w:val="20"/>
          <w:shd w:val="clear" w:color="auto" w:fill="FFFFFF"/>
          <w:lang w:val="es-ES_tradnl"/>
        </w:rPr>
        <w:t xml:space="preserve">[…] </w:t>
      </w:r>
      <w:r w:rsidRPr="00846DC3">
        <w:rPr>
          <w:rFonts w:ascii="Verdana" w:hAnsi="Verdana" w:cs="Arial"/>
          <w:noProof/>
          <w:sz w:val="20"/>
          <w:szCs w:val="20"/>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846DC3">
        <w:rPr>
          <w:rFonts w:ascii="Verdana" w:hAnsi="Verdana" w:cs="Arial"/>
          <w:i/>
          <w:noProof/>
          <w:sz w:val="20"/>
          <w:szCs w:val="20"/>
          <w:lang w:val="es-ES_tradnl"/>
        </w:rPr>
        <w:t xml:space="preserve">subordinación </w:t>
      </w:r>
      <w:r w:rsidRPr="00846DC3">
        <w:rPr>
          <w:rFonts w:ascii="Verdana" w:hAnsi="Verdana" w:cs="Arial"/>
          <w:iCs/>
          <w:noProof/>
          <w:sz w:val="20"/>
          <w:szCs w:val="20"/>
          <w:lang w:val="es-ES_tradnl"/>
        </w:rPr>
        <w:t>ni</w:t>
      </w:r>
      <w:r w:rsidRPr="00846DC3">
        <w:rPr>
          <w:rFonts w:ascii="Verdana" w:hAnsi="Verdana" w:cs="Arial"/>
          <w:i/>
          <w:noProof/>
          <w:sz w:val="20"/>
          <w:szCs w:val="20"/>
          <w:lang w:val="es-ES_tradnl"/>
        </w:rPr>
        <w:t xml:space="preserve"> dependencia</w:t>
      </w:r>
      <w:r w:rsidRPr="00846DC3">
        <w:rPr>
          <w:rFonts w:ascii="Verdana" w:hAnsi="Verdana" w:cs="Arial"/>
          <w:iCs/>
          <w:noProof/>
          <w:sz w:val="20"/>
          <w:szCs w:val="20"/>
          <w:lang w:val="es-ES_tradnl"/>
        </w:rPr>
        <w:t>,</w:t>
      </w:r>
      <w:r w:rsidRPr="00846DC3">
        <w:rPr>
          <w:rFonts w:ascii="Verdana" w:hAnsi="Verdana" w:cs="Arial"/>
          <w:noProof/>
          <w:sz w:val="20"/>
          <w:szCs w:val="20"/>
          <w:lang w:val="es-ES_tradnl"/>
        </w:rPr>
        <w:t xml:space="preserve"> que es uno de los elementos constitutivos del vínculo laboral. </w:t>
      </w:r>
    </w:p>
    <w:p w14:paraId="5437246A" w14:textId="77777777" w:rsidR="00BA208A" w:rsidRPr="00846DC3" w:rsidRDefault="00BA208A" w:rsidP="00BA208A">
      <w:pPr>
        <w:spacing w:after="0" w:line="240" w:lineRule="auto"/>
        <w:contextualSpacing/>
        <w:jc w:val="both"/>
        <w:rPr>
          <w:rFonts w:ascii="Verdana" w:hAnsi="Verdana" w:cs="Arial"/>
          <w:noProof/>
          <w:sz w:val="20"/>
          <w:szCs w:val="20"/>
          <w:lang w:val="es-ES_tradnl"/>
        </w:rPr>
      </w:pPr>
      <w:r w:rsidRPr="00846DC3">
        <w:rPr>
          <w:rFonts w:ascii="Verdana" w:hAnsi="Verdana" w:cs="Arial"/>
          <w:noProof/>
          <w:sz w:val="20"/>
          <w:szCs w:val="20"/>
          <w:lang w:val="es-ES_tradnl"/>
        </w:rPr>
        <w:t xml:space="preserve">Por lo anterior,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846DC3">
        <w:rPr>
          <w:rFonts w:ascii="Verdana" w:hAnsi="Verdana" w:cs="Arial"/>
          <w:i/>
          <w:noProof/>
          <w:sz w:val="20"/>
          <w:szCs w:val="20"/>
          <w:lang w:val="es-ES_tradnl"/>
        </w:rPr>
        <w:t>no pueden</w:t>
      </w:r>
      <w:r w:rsidRPr="00846DC3">
        <w:rPr>
          <w:rFonts w:ascii="Verdana" w:hAnsi="Verdana" w:cs="Arial"/>
          <w:noProof/>
          <w:sz w:val="20"/>
          <w:szCs w:val="20"/>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 </w:t>
      </w:r>
    </w:p>
    <w:p w14:paraId="627CD07F" w14:textId="77777777" w:rsidR="00BA208A" w:rsidRPr="00846DC3" w:rsidRDefault="00BA208A" w:rsidP="00BA208A">
      <w:pPr>
        <w:spacing w:after="0" w:line="240" w:lineRule="auto"/>
        <w:contextualSpacing/>
        <w:jc w:val="both"/>
        <w:rPr>
          <w:rFonts w:ascii="Verdana" w:eastAsia="Yu Gothic UI Semibold" w:hAnsi="Verdana" w:cs="Arial"/>
          <w:b/>
          <w:bCs/>
          <w:color w:val="000000" w:themeColor="text1"/>
          <w:sz w:val="20"/>
          <w:szCs w:val="20"/>
          <w:lang w:val="es-MX"/>
        </w:rPr>
      </w:pPr>
    </w:p>
    <w:p w14:paraId="695777BE" w14:textId="77777777" w:rsidR="00BA208A" w:rsidRPr="00846DC3" w:rsidRDefault="00BA208A" w:rsidP="00BA208A">
      <w:pPr>
        <w:spacing w:after="0" w:line="240" w:lineRule="auto"/>
        <w:contextualSpacing/>
        <w:jc w:val="both"/>
        <w:rPr>
          <w:rFonts w:ascii="Verdana" w:eastAsia="Yu Gothic UI Semibold" w:hAnsi="Verdana" w:cs="Arial"/>
          <w:b/>
          <w:bCs/>
          <w:color w:val="000000" w:themeColor="text1"/>
          <w:sz w:val="20"/>
          <w:szCs w:val="20"/>
          <w:lang w:val="es-MX"/>
        </w:rPr>
      </w:pPr>
      <w:r w:rsidRPr="00846DC3">
        <w:rPr>
          <w:rFonts w:ascii="Verdana" w:eastAsia="Yu Gothic UI Semibold" w:hAnsi="Verdana" w:cs="Arial"/>
          <w:b/>
          <w:bCs/>
          <w:color w:val="000000" w:themeColor="text1"/>
          <w:sz w:val="20"/>
          <w:szCs w:val="20"/>
          <w:lang w:val="es-MX"/>
        </w:rPr>
        <w:t xml:space="preserve">CONTRATOS DE PRESTACIÓN DE SERVICIOS – Temporalidad </w:t>
      </w:r>
    </w:p>
    <w:p w14:paraId="5B99AB88" w14:textId="77777777" w:rsidR="00BA208A" w:rsidRPr="00846DC3" w:rsidRDefault="00BA208A" w:rsidP="00BA208A">
      <w:pPr>
        <w:spacing w:after="0" w:line="240" w:lineRule="auto"/>
        <w:contextualSpacing/>
        <w:jc w:val="both"/>
        <w:rPr>
          <w:rFonts w:ascii="Verdana" w:hAnsi="Verdana" w:cs="Arial"/>
          <w:noProof/>
          <w:sz w:val="20"/>
          <w:szCs w:val="20"/>
          <w:lang w:val="es-ES_tradnl"/>
        </w:rPr>
      </w:pPr>
    </w:p>
    <w:p w14:paraId="315675BF" w14:textId="77777777" w:rsidR="00BA208A" w:rsidRPr="00846DC3" w:rsidRDefault="00BA208A" w:rsidP="00BA208A">
      <w:pPr>
        <w:spacing w:after="0" w:line="240" w:lineRule="auto"/>
        <w:contextualSpacing/>
        <w:jc w:val="both"/>
        <w:rPr>
          <w:rFonts w:ascii="Verdana" w:eastAsia="Yu Gothic UI Semibold" w:hAnsi="Verdana" w:cs="Arial"/>
          <w:sz w:val="20"/>
          <w:szCs w:val="20"/>
          <w:shd w:val="clear" w:color="auto" w:fill="FFFFFF"/>
          <w:lang w:val="es-ES"/>
        </w:rPr>
      </w:pPr>
      <w:r w:rsidRPr="00846DC3">
        <w:rPr>
          <w:rFonts w:ascii="Verdana" w:hAnsi="Verdana" w:cs="Arial"/>
          <w:noProof/>
          <w:sz w:val="20"/>
          <w:szCs w:val="20"/>
          <w:lang w:val="es-ES_tradnl"/>
        </w:rPr>
        <w:t xml:space="preserve">Deben ser temporales. La </w:t>
      </w:r>
      <w:r w:rsidRPr="00846DC3">
        <w:rPr>
          <w:rFonts w:ascii="Verdana" w:eastAsia="Arial" w:hAnsi="Verdana" w:cs="Arial"/>
          <w:color w:val="000000"/>
          <w:sz w:val="20"/>
          <w:szCs w:val="20"/>
        </w:rPr>
        <w:t>Sentencia de Unificación Jurisprudencial de 09 de septiembre de 2021, proferida por el Consejo de Estado</w:t>
      </w:r>
      <w:r w:rsidRPr="00846DC3">
        <w:rPr>
          <w:rFonts w:ascii="Verdana" w:hAnsi="Verdana" w:cs="Arial"/>
          <w:bCs/>
          <w:sz w:val="20"/>
          <w:szCs w:val="20"/>
          <w:vertAlign w:val="superscript"/>
          <w:lang w:val="es-ES"/>
        </w:rPr>
        <w:footnoteReference w:id="2"/>
      </w:r>
      <w:r w:rsidRPr="00846DC3">
        <w:rPr>
          <w:rFonts w:ascii="Verdana" w:hAnsi="Verdana" w:cs="Arial"/>
          <w:noProof/>
          <w:sz w:val="20"/>
          <w:szCs w:val="20"/>
          <w:lang w:val="es-ES_tradnl"/>
        </w:rPr>
        <w:t xml:space="preserve">,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r w:rsidRPr="00846DC3">
        <w:rPr>
          <w:rFonts w:ascii="Verdana" w:hAnsi="Verdana" w:cs="Arial"/>
          <w:sz w:val="20"/>
          <w:szCs w:val="20"/>
          <w:lang w:val="es-MX"/>
        </w:rPr>
        <w:t>De igual manera, señaló que “no cabe su empleo para la cobertura indefinida de necesidades permanentes o recurrentes”.</w:t>
      </w:r>
    </w:p>
    <w:p w14:paraId="5CEFE518" w14:textId="77777777" w:rsidR="00BA208A" w:rsidRPr="00846DC3" w:rsidRDefault="00BA208A" w:rsidP="00BA208A">
      <w:pPr>
        <w:spacing w:after="0" w:line="240" w:lineRule="auto"/>
        <w:contextualSpacing/>
        <w:jc w:val="both"/>
        <w:rPr>
          <w:rFonts w:ascii="Verdana" w:eastAsia="Yu Gothic UI Semibold" w:hAnsi="Verdana" w:cs="Arial"/>
          <w:sz w:val="20"/>
          <w:szCs w:val="20"/>
          <w:shd w:val="clear" w:color="auto" w:fill="FFFFFF"/>
          <w:lang w:val="es-ES_tradnl"/>
        </w:rPr>
      </w:pPr>
    </w:p>
    <w:p w14:paraId="7A34B935" w14:textId="77777777" w:rsidR="00BA208A" w:rsidRPr="00846DC3" w:rsidRDefault="00BA208A" w:rsidP="00BA208A">
      <w:pPr>
        <w:spacing w:after="0" w:line="240" w:lineRule="auto"/>
        <w:contextualSpacing/>
        <w:jc w:val="both"/>
        <w:rPr>
          <w:rFonts w:ascii="Verdana" w:eastAsia="Yu Gothic UI Semibold" w:hAnsi="Verdana" w:cs="Arial"/>
          <w:b/>
          <w:bCs/>
          <w:color w:val="000000" w:themeColor="text1"/>
          <w:sz w:val="20"/>
          <w:szCs w:val="20"/>
          <w:lang w:val="es-MX"/>
        </w:rPr>
      </w:pPr>
      <w:r w:rsidRPr="00846DC3">
        <w:rPr>
          <w:rFonts w:ascii="Verdana" w:eastAsia="Yu Gothic UI Semibold" w:hAnsi="Verdana" w:cs="Arial"/>
          <w:b/>
          <w:bCs/>
          <w:color w:val="000000" w:themeColor="text1"/>
          <w:sz w:val="20"/>
          <w:szCs w:val="20"/>
          <w:lang w:val="es-MX"/>
        </w:rPr>
        <w:t>ESTABILIDAD OCUPACIONAL REFORZADA DE MUJER EMBARAZADA – Concepto</w:t>
      </w:r>
    </w:p>
    <w:p w14:paraId="53B2313F" w14:textId="77777777" w:rsidR="00BA208A" w:rsidRPr="00846DC3" w:rsidRDefault="00BA208A" w:rsidP="00BA208A">
      <w:pPr>
        <w:spacing w:after="0" w:line="240" w:lineRule="auto"/>
        <w:contextualSpacing/>
        <w:jc w:val="both"/>
        <w:rPr>
          <w:rFonts w:ascii="Verdana" w:eastAsia="Yu Gothic UI Semibold" w:hAnsi="Verdana" w:cs="Arial"/>
          <w:b/>
          <w:bCs/>
          <w:color w:val="000000" w:themeColor="text1"/>
          <w:sz w:val="20"/>
          <w:szCs w:val="20"/>
          <w:lang w:val="es-MX"/>
        </w:rPr>
      </w:pPr>
    </w:p>
    <w:p w14:paraId="761815A0" w14:textId="77777777" w:rsidR="00BA208A" w:rsidRPr="00846DC3" w:rsidRDefault="00BA208A" w:rsidP="00BA208A">
      <w:pPr>
        <w:spacing w:after="0" w:line="240" w:lineRule="auto"/>
        <w:contextualSpacing/>
        <w:jc w:val="both"/>
        <w:rPr>
          <w:rFonts w:ascii="Verdana" w:hAnsi="Verdana" w:cs="Arial"/>
          <w:noProof/>
          <w:sz w:val="20"/>
          <w:szCs w:val="20"/>
          <w:lang w:val="es-ES_tradnl"/>
        </w:rPr>
      </w:pPr>
      <w:r w:rsidRPr="00846DC3">
        <w:rPr>
          <w:rFonts w:ascii="Verdana" w:hAnsi="Verdana" w:cs="Arial"/>
          <w:noProof/>
          <w:sz w:val="20"/>
          <w:szCs w:val="20"/>
          <w:lang w:val="es-ES_tradnl"/>
        </w:rPr>
        <w:t xml:space="preserve">El fuero de maternidad es una figura que otorga una protección reforzada a la futura madre y a la que acaba de serlo, es decir, a la mujer que se encuentre en estado de embarazo y en periodo de lactancia, con el fin de que el proceso de gestación no interfiera en la estabilidad </w:t>
      </w:r>
      <w:r w:rsidRPr="00846DC3">
        <w:rPr>
          <w:rFonts w:ascii="Verdana" w:hAnsi="Verdana" w:cs="Arial"/>
          <w:noProof/>
          <w:sz w:val="20"/>
          <w:szCs w:val="20"/>
          <w:lang w:val="es-ES_tradnl"/>
        </w:rPr>
        <w:lastRenderedPageBreak/>
        <w:t>laboral que, como trabajadora, le asiste. El propósito es que las aspiraciones familiares y profesionales de la mujer no se excluyan y puedan armonizarse, al punto de desarrollar su proyecto de vida y su personalidad en condicionrd de dignidad y libertad, pues históricamente el estado de gravidez ha constituido un motivo de exclusión de la mujer en el trabajo, en el que es preciso “impedir la discriminación constituida por el despido, la terminación o la no renovación del contrato por causa o con ocasión del embarazo o la lactancia”</w:t>
      </w:r>
    </w:p>
    <w:p w14:paraId="15028FDE" w14:textId="77777777" w:rsidR="00BA208A" w:rsidRPr="00846DC3" w:rsidRDefault="00BA208A" w:rsidP="00BA208A">
      <w:pPr>
        <w:spacing w:after="0" w:line="240" w:lineRule="auto"/>
        <w:contextualSpacing/>
        <w:jc w:val="both"/>
        <w:rPr>
          <w:rFonts w:ascii="Verdana" w:eastAsia="Yu Gothic UI Semibold" w:hAnsi="Verdana" w:cs="Arial"/>
          <w:b/>
          <w:bCs/>
          <w:color w:val="000000" w:themeColor="text1"/>
          <w:sz w:val="20"/>
          <w:szCs w:val="20"/>
          <w:lang w:val="es-MX"/>
        </w:rPr>
      </w:pPr>
    </w:p>
    <w:p w14:paraId="1E55EB20" w14:textId="77777777" w:rsidR="00BA208A" w:rsidRPr="00846DC3" w:rsidRDefault="00BA208A" w:rsidP="00BA208A">
      <w:pPr>
        <w:spacing w:after="0" w:line="240" w:lineRule="auto"/>
        <w:contextualSpacing/>
        <w:jc w:val="both"/>
        <w:rPr>
          <w:rFonts w:ascii="Verdana" w:eastAsia="Yu Gothic UI Semibold" w:hAnsi="Verdana" w:cs="Arial"/>
          <w:b/>
          <w:bCs/>
          <w:color w:val="000000" w:themeColor="text1"/>
          <w:sz w:val="20"/>
          <w:szCs w:val="20"/>
          <w:lang w:val="es-MX"/>
        </w:rPr>
      </w:pPr>
      <w:r w:rsidRPr="00846DC3">
        <w:rPr>
          <w:rFonts w:ascii="Verdana" w:eastAsia="Yu Gothic UI Semibold" w:hAnsi="Verdana" w:cs="Arial"/>
          <w:b/>
          <w:bCs/>
          <w:color w:val="000000" w:themeColor="text1"/>
          <w:sz w:val="20"/>
          <w:szCs w:val="20"/>
          <w:lang w:val="es-MX"/>
        </w:rPr>
        <w:t xml:space="preserve">ESTABILIDAD OCUPACIONAL REFORZADA DE MUJER EMBARAZADA – Unificación jurisprudencial </w:t>
      </w:r>
    </w:p>
    <w:p w14:paraId="6129FC4C" w14:textId="77777777" w:rsidR="00BA208A" w:rsidRPr="00846DC3" w:rsidRDefault="00BA208A" w:rsidP="00BA208A">
      <w:pPr>
        <w:spacing w:after="0" w:line="240" w:lineRule="auto"/>
        <w:contextualSpacing/>
        <w:jc w:val="both"/>
        <w:rPr>
          <w:rFonts w:ascii="Verdana" w:eastAsia="Yu Gothic UI Semibold" w:hAnsi="Verdana" w:cs="Arial"/>
          <w:b/>
          <w:bCs/>
          <w:color w:val="000000" w:themeColor="text1"/>
          <w:sz w:val="20"/>
          <w:szCs w:val="20"/>
          <w:lang w:val="es-MX"/>
        </w:rPr>
      </w:pPr>
    </w:p>
    <w:p w14:paraId="22C0C900" w14:textId="77777777" w:rsidR="00BA208A" w:rsidRPr="00846DC3" w:rsidRDefault="00BA208A" w:rsidP="00BA208A">
      <w:pPr>
        <w:spacing w:after="0" w:line="240" w:lineRule="auto"/>
        <w:contextualSpacing/>
        <w:jc w:val="both"/>
        <w:rPr>
          <w:rFonts w:ascii="Verdana" w:eastAsia="Yu Gothic UI Semibold" w:hAnsi="Verdana" w:cs="Arial"/>
          <w:i/>
          <w:sz w:val="20"/>
          <w:szCs w:val="20"/>
          <w:lang w:eastAsia="es-MX"/>
        </w:rPr>
      </w:pPr>
      <w:r w:rsidRPr="00846DC3">
        <w:rPr>
          <w:rFonts w:ascii="Verdana" w:eastAsia="Yu Gothic UI Semibold" w:hAnsi="Verdana" w:cs="Arial"/>
          <w:sz w:val="20"/>
          <w:szCs w:val="20"/>
          <w:shd w:val="clear" w:color="auto" w:fill="FFFFFF"/>
          <w:lang w:val="es-ES_tradnl"/>
        </w:rPr>
        <w:t xml:space="preserve">[…] </w:t>
      </w:r>
      <w:r w:rsidRPr="00846DC3">
        <w:rPr>
          <w:rFonts w:ascii="Verdana" w:eastAsia="Yu Gothic UI Semibold" w:hAnsi="Verdana" w:cs="Arial"/>
          <w:sz w:val="20"/>
          <w:szCs w:val="20"/>
          <w:lang w:eastAsia="es-CO"/>
        </w:rPr>
        <w:t>la Corte Constitucional profirió la sentencia de unificación SU-075 de 2018, en la cual recoge, entre otras, las sentencias T-030 de 2018 y T-350 del 2016. En esta providencia, el Alto Tribunal estableció unos criterios con el fin de impedir la discriminación que puede presentarse frente a una mujer en estado de embarazo o lactancia, específicamente, respecto a la terminación o la no renovación del contrato. Dicha providencia dio paso a establecer que, el denominado</w:t>
      </w:r>
      <w:r w:rsidRPr="00846DC3">
        <w:rPr>
          <w:rFonts w:ascii="Verdana" w:eastAsia="Yu Gothic UI Semibold" w:hAnsi="Verdana" w:cs="Arial"/>
          <w:i/>
          <w:sz w:val="20"/>
          <w:szCs w:val="20"/>
          <w:lang w:eastAsia="es-CO"/>
        </w:rPr>
        <w:t xml:space="preserve"> </w:t>
      </w:r>
      <w:r w:rsidRPr="00846DC3">
        <w:rPr>
          <w:rFonts w:ascii="Verdana" w:eastAsia="Yu Gothic UI Semibold" w:hAnsi="Verdana" w:cs="Arial"/>
          <w:i/>
          <w:sz w:val="20"/>
          <w:szCs w:val="20"/>
          <w:lang w:eastAsia="es-MX"/>
        </w:rPr>
        <w:t>“</w:t>
      </w:r>
      <w:r w:rsidRPr="00846DC3">
        <w:rPr>
          <w:rFonts w:ascii="Verdana" w:eastAsia="Yu Gothic UI Semibold" w:hAnsi="Verdana" w:cs="Arial"/>
          <w:i/>
          <w:sz w:val="20"/>
          <w:szCs w:val="20"/>
          <w:lang w:eastAsia="es-CO"/>
        </w:rPr>
        <w:t>fuero de maternidad</w:t>
      </w:r>
      <w:r w:rsidRPr="00846DC3">
        <w:rPr>
          <w:rFonts w:ascii="Verdana" w:eastAsia="Yu Gothic UI Semibold" w:hAnsi="Verdana" w:cs="Arial"/>
          <w:i/>
          <w:sz w:val="20"/>
          <w:szCs w:val="20"/>
          <w:lang w:eastAsia="es-MX"/>
        </w:rPr>
        <w:t>”</w:t>
      </w:r>
      <w:r w:rsidRPr="00846DC3">
        <w:rPr>
          <w:rFonts w:ascii="Verdana" w:eastAsia="Yu Gothic UI Semibold" w:hAnsi="Verdana" w:cs="Arial"/>
          <w:sz w:val="20"/>
          <w:szCs w:val="20"/>
          <w:lang w:eastAsia="es-CO"/>
        </w:rPr>
        <w:t xml:space="preserve"> encuentra también su sustento en la cláusula general de igualdad de la Constitución </w:t>
      </w:r>
      <w:r w:rsidRPr="00846DC3">
        <w:rPr>
          <w:rFonts w:ascii="Verdana" w:eastAsia="Yu Gothic UI Semibold" w:hAnsi="Verdana" w:cs="Arial"/>
          <w:i/>
          <w:sz w:val="20"/>
          <w:szCs w:val="20"/>
          <w:lang w:eastAsia="es-MX"/>
        </w:rPr>
        <w:t>“</w:t>
      </w:r>
      <w:r w:rsidRPr="00846DC3">
        <w:rPr>
          <w:rFonts w:ascii="Verdana" w:eastAsia="Yu Gothic UI Semibold" w:hAnsi="Verdana" w:cs="Arial"/>
          <w:i/>
          <w:sz w:val="20"/>
          <w:szCs w:val="20"/>
          <w:lang w:eastAsia="es-CO"/>
        </w:rPr>
        <w:t>que proscribe la discriminación por razones de sexo, así como en el ya mencionado artículo 43 Superior, que dispone la igualdad de derechos y oportunidades entre hombres y mujeres</w:t>
      </w:r>
      <w:r w:rsidRPr="00846DC3">
        <w:rPr>
          <w:rFonts w:ascii="Verdana" w:eastAsia="Yu Gothic UI Semibold" w:hAnsi="Verdana" w:cs="Arial"/>
          <w:i/>
          <w:sz w:val="20"/>
          <w:szCs w:val="20"/>
          <w:lang w:eastAsia="es-MX"/>
        </w:rPr>
        <w:t>”.</w:t>
      </w:r>
    </w:p>
    <w:p w14:paraId="58EBD339" w14:textId="77777777" w:rsidR="00BA208A" w:rsidRPr="00846DC3" w:rsidRDefault="00BA208A" w:rsidP="00BA208A">
      <w:pPr>
        <w:spacing w:after="0" w:line="240" w:lineRule="auto"/>
        <w:contextualSpacing/>
        <w:jc w:val="both"/>
        <w:rPr>
          <w:rFonts w:ascii="Verdana" w:hAnsi="Verdana" w:cs="Arial"/>
          <w:sz w:val="20"/>
          <w:szCs w:val="20"/>
        </w:rPr>
      </w:pPr>
    </w:p>
    <w:p w14:paraId="6A1323D2" w14:textId="77777777" w:rsidR="00BA208A" w:rsidRPr="00846DC3" w:rsidRDefault="00BA208A" w:rsidP="00BA208A">
      <w:pPr>
        <w:spacing w:after="0" w:line="240" w:lineRule="auto"/>
        <w:contextualSpacing/>
        <w:jc w:val="both"/>
        <w:rPr>
          <w:rFonts w:ascii="Verdana" w:eastAsia="Yu Gothic UI Semibold" w:hAnsi="Verdana" w:cs="Arial"/>
          <w:b/>
          <w:bCs/>
          <w:color w:val="000000" w:themeColor="text1"/>
          <w:sz w:val="20"/>
          <w:szCs w:val="20"/>
          <w:lang w:val="es-MX"/>
        </w:rPr>
      </w:pPr>
      <w:r w:rsidRPr="00846DC3">
        <w:rPr>
          <w:rFonts w:ascii="Verdana" w:eastAsia="Yu Gothic UI Semibold" w:hAnsi="Verdana" w:cs="Arial"/>
          <w:b/>
          <w:bCs/>
          <w:color w:val="000000" w:themeColor="text1"/>
          <w:sz w:val="20"/>
          <w:szCs w:val="20"/>
          <w:lang w:val="es-MX"/>
        </w:rPr>
        <w:t>ESTABILIDAD LABORAL REFORZADA DE MUJER EMBARAZADA – Procedencia</w:t>
      </w:r>
    </w:p>
    <w:p w14:paraId="7B5221A0" w14:textId="77777777" w:rsidR="00BA208A" w:rsidRPr="00846DC3" w:rsidRDefault="00BA208A" w:rsidP="00BA208A">
      <w:pPr>
        <w:spacing w:after="0" w:line="240" w:lineRule="auto"/>
        <w:contextualSpacing/>
        <w:jc w:val="both"/>
        <w:rPr>
          <w:rFonts w:ascii="Verdana" w:hAnsi="Verdana" w:cs="Arial"/>
          <w:sz w:val="20"/>
          <w:szCs w:val="20"/>
        </w:rPr>
      </w:pPr>
    </w:p>
    <w:p w14:paraId="18E0FE60" w14:textId="77777777" w:rsidR="00BA208A" w:rsidRDefault="00BA208A" w:rsidP="00BA208A">
      <w:pPr>
        <w:shd w:val="clear" w:color="auto" w:fill="FFFFFF"/>
        <w:spacing w:after="0" w:line="240" w:lineRule="auto"/>
        <w:contextualSpacing/>
        <w:jc w:val="both"/>
        <w:rPr>
          <w:rFonts w:ascii="Verdana" w:hAnsi="Verdana" w:cs="Arial"/>
          <w:noProof/>
          <w:sz w:val="20"/>
          <w:szCs w:val="20"/>
          <w:lang w:val="es-ES_tradnl"/>
        </w:rPr>
      </w:pPr>
      <w:r w:rsidRPr="00846DC3">
        <w:rPr>
          <w:rFonts w:ascii="Verdana" w:hAnsi="Verdana" w:cs="Arial"/>
          <w:noProof/>
          <w:sz w:val="20"/>
          <w:szCs w:val="20"/>
          <w:lang w:val="es-ES_tradnl"/>
        </w:rPr>
        <w:t>Conforme a lo anterior, la Corte Constitucional ha expuesto dos (2) posiciones frente a los cuales opera la protección del denominado fuero de maternidad de mujeres vinculadas por medio de un contrato de prestación de servicios: i) cuando el juez prueba la configurción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0A8B571C" w14:textId="77777777" w:rsidR="00BA208A" w:rsidRPr="00846DC3" w:rsidRDefault="00BA208A" w:rsidP="00BA208A">
      <w:pPr>
        <w:shd w:val="clear" w:color="auto" w:fill="FFFFFF"/>
        <w:spacing w:after="0" w:line="240" w:lineRule="auto"/>
        <w:contextualSpacing/>
        <w:jc w:val="both"/>
        <w:rPr>
          <w:rFonts w:ascii="Verdana" w:eastAsia="Yu Gothic UI Semibold" w:hAnsi="Verdana" w:cs="Arial"/>
          <w:sz w:val="20"/>
          <w:szCs w:val="20"/>
          <w:lang w:eastAsia="es-CO"/>
        </w:rPr>
      </w:pPr>
    </w:p>
    <w:p w14:paraId="1E99836C" w14:textId="77777777" w:rsidR="00BA208A" w:rsidRPr="00846DC3" w:rsidRDefault="00BA208A" w:rsidP="00BA208A">
      <w:pPr>
        <w:spacing w:after="0" w:line="240" w:lineRule="auto"/>
        <w:contextualSpacing/>
        <w:jc w:val="both"/>
        <w:rPr>
          <w:rFonts w:ascii="Verdana" w:eastAsia="Calibri" w:hAnsi="Verdana" w:cs="Arial"/>
          <w:b/>
          <w:sz w:val="20"/>
          <w:szCs w:val="20"/>
          <w:lang w:val="es-ES_tradnl" w:eastAsia="es-ES_tradnl"/>
        </w:rPr>
      </w:pPr>
      <w:r w:rsidRPr="00846DC3">
        <w:rPr>
          <w:rFonts w:ascii="Verdana" w:eastAsia="Calibri" w:hAnsi="Verdana" w:cs="Arial"/>
          <w:b/>
          <w:sz w:val="20"/>
          <w:szCs w:val="20"/>
          <w:lang w:val="es-ES_tradnl" w:eastAsia="es-ES_tradnl"/>
        </w:rPr>
        <w:t>ESTABILIDAD LABORAL REFORZADA – Periodo de Lactancia – Descanso remunerado – Ley 2306 de 2023</w:t>
      </w:r>
    </w:p>
    <w:p w14:paraId="02538D32" w14:textId="77777777" w:rsidR="00BA208A" w:rsidRPr="00846DC3" w:rsidRDefault="00BA208A" w:rsidP="00BA208A">
      <w:pPr>
        <w:spacing w:after="0" w:line="240" w:lineRule="auto"/>
        <w:contextualSpacing/>
        <w:jc w:val="both"/>
        <w:rPr>
          <w:rFonts w:ascii="Verdana" w:eastAsia="Calibri" w:hAnsi="Verdana" w:cs="Arial"/>
          <w:b/>
          <w:sz w:val="20"/>
          <w:szCs w:val="20"/>
          <w:lang w:val="es-ES_tradnl" w:eastAsia="es-ES_tradnl"/>
        </w:rPr>
      </w:pPr>
    </w:p>
    <w:p w14:paraId="5A5C6B2A" w14:textId="77777777" w:rsidR="00BA208A" w:rsidRDefault="00BA208A" w:rsidP="00BA208A">
      <w:pPr>
        <w:contextualSpacing/>
        <w:jc w:val="both"/>
        <w:rPr>
          <w:rFonts w:ascii="Verdana" w:hAnsi="Verdana" w:cs="Arial"/>
          <w:sz w:val="20"/>
          <w:szCs w:val="20"/>
          <w:shd w:val="clear" w:color="auto" w:fill="FFFFFF"/>
        </w:rPr>
      </w:pPr>
      <w:r w:rsidRPr="00846DC3">
        <w:rPr>
          <w:rFonts w:ascii="Verdana" w:hAnsi="Verdana" w:cs="Arial"/>
          <w:sz w:val="20"/>
          <w:szCs w:val="20"/>
          <w:shd w:val="clear" w:color="auto" w:fill="FFFFFF"/>
        </w:rPr>
        <w:t xml:space="preserve">[…] recientemente el Congreso de la Republica expidió la Ley 2306 de 2023 </w:t>
      </w:r>
      <w:r w:rsidRPr="00846DC3">
        <w:rPr>
          <w:rFonts w:ascii="Verdana" w:hAnsi="Verdana" w:cs="Arial"/>
          <w:i/>
          <w:iCs/>
          <w:sz w:val="20"/>
          <w:szCs w:val="20"/>
          <w:shd w:val="clear" w:color="auto" w:fill="FFFFFF"/>
        </w:rPr>
        <w:t>“</w:t>
      </w:r>
      <w:r w:rsidRPr="00846DC3">
        <w:rPr>
          <w:rFonts w:ascii="Verdana" w:hAnsi="Verdana" w:cs="Open Sans"/>
          <w:i/>
          <w:iCs/>
          <w:sz w:val="20"/>
          <w:szCs w:val="20"/>
        </w:rPr>
        <w:t>Por medio de la cual se promueve la protección de la maternidad y la primera infancia, se crean incentivos y normas para la construcción de áreas que permitan la lactancia materna en el espacio público y se dictan otras disposiciones</w:t>
      </w:r>
      <w:r w:rsidRPr="00846DC3">
        <w:rPr>
          <w:rFonts w:ascii="Verdana" w:hAnsi="Verdana" w:cs="Arial"/>
          <w:i/>
          <w:iCs/>
          <w:sz w:val="20"/>
          <w:szCs w:val="20"/>
          <w:shd w:val="clear" w:color="auto" w:fill="FFFFFF"/>
        </w:rPr>
        <w:t>”</w:t>
      </w:r>
      <w:r w:rsidRPr="00846DC3">
        <w:rPr>
          <w:rFonts w:ascii="Verdana" w:hAnsi="Verdana" w:cs="Arial"/>
          <w:sz w:val="20"/>
          <w:szCs w:val="20"/>
          <w:shd w:val="clear" w:color="auto" w:fill="FFFFFF"/>
        </w:rPr>
        <w:t xml:space="preserve">. </w:t>
      </w:r>
    </w:p>
    <w:p w14:paraId="26880659" w14:textId="77777777" w:rsidR="00BA208A" w:rsidRPr="00846DC3" w:rsidRDefault="00BA208A" w:rsidP="00BA208A">
      <w:pPr>
        <w:spacing w:after="0" w:line="240" w:lineRule="auto"/>
        <w:contextualSpacing/>
        <w:jc w:val="both"/>
        <w:rPr>
          <w:rFonts w:ascii="Verdana" w:hAnsi="Verdana" w:cs="Arial"/>
          <w:sz w:val="20"/>
          <w:szCs w:val="20"/>
          <w:shd w:val="clear" w:color="auto" w:fill="FFFFFF"/>
        </w:rPr>
      </w:pPr>
    </w:p>
    <w:p w14:paraId="4B6857E0" w14:textId="77777777" w:rsidR="00BA208A" w:rsidRDefault="00BA208A" w:rsidP="00BA208A">
      <w:pPr>
        <w:spacing w:after="0" w:line="240" w:lineRule="auto"/>
        <w:contextualSpacing/>
        <w:jc w:val="both"/>
        <w:rPr>
          <w:rFonts w:ascii="Verdana" w:hAnsi="Verdana" w:cs="Arial"/>
          <w:sz w:val="20"/>
          <w:szCs w:val="20"/>
        </w:rPr>
      </w:pPr>
      <w:r w:rsidRPr="00846DC3">
        <w:rPr>
          <w:rFonts w:ascii="Verdana" w:hAnsi="Verdana" w:cs="Arial"/>
          <w:sz w:val="20"/>
          <w:szCs w:val="20"/>
        </w:rPr>
        <w:t xml:space="preserve">Según se deprende del texto transcrito, la norma concede un descanso remunerado para las trabajadoras durante el periodo de lactancia de la siguiente forma: i) hasta los seis (6) meses de edad, los empleadores deben conceder dos (2) descansos de treinta (30) minutos cada uno durante la jornada laboral y; </w:t>
      </w:r>
      <w:proofErr w:type="spellStart"/>
      <w:r w:rsidRPr="00846DC3">
        <w:rPr>
          <w:rFonts w:ascii="Verdana" w:hAnsi="Verdana" w:cs="Arial"/>
          <w:sz w:val="20"/>
          <w:szCs w:val="20"/>
        </w:rPr>
        <w:t>ii</w:t>
      </w:r>
      <w:proofErr w:type="spellEnd"/>
      <w:r w:rsidRPr="00846DC3">
        <w:rPr>
          <w:rFonts w:ascii="Verdana" w:hAnsi="Verdana" w:cs="Arial"/>
          <w:sz w:val="20"/>
          <w:szCs w:val="20"/>
        </w:rPr>
        <w:t xml:space="preserve">) de los seis (6) en adelante y hasta los dos (2) años de edad, se debe conceder a la trabajadora un descanso de treinta (30) minutos durante la jornada laboral, sin que estos descansos impliquen una disminución en el salario devengado. </w:t>
      </w:r>
      <w:r w:rsidRPr="00846DC3">
        <w:rPr>
          <w:rFonts w:ascii="Verdana" w:hAnsi="Verdana" w:cs="Arial"/>
          <w:sz w:val="20"/>
          <w:szCs w:val="20"/>
        </w:rPr>
        <w:tab/>
      </w:r>
    </w:p>
    <w:p w14:paraId="7D001A84" w14:textId="77777777" w:rsidR="00BA208A" w:rsidRPr="00846DC3" w:rsidRDefault="00BA208A" w:rsidP="00BA208A">
      <w:pPr>
        <w:spacing w:after="0" w:line="240" w:lineRule="auto"/>
        <w:contextualSpacing/>
        <w:jc w:val="both"/>
        <w:rPr>
          <w:rFonts w:ascii="Verdana" w:hAnsi="Verdana" w:cs="Arial"/>
          <w:sz w:val="20"/>
          <w:szCs w:val="20"/>
        </w:rPr>
      </w:pPr>
    </w:p>
    <w:p w14:paraId="08063A9C" w14:textId="77777777" w:rsidR="00BA208A" w:rsidRDefault="00BA208A" w:rsidP="00BA208A">
      <w:pPr>
        <w:tabs>
          <w:tab w:val="left" w:pos="0"/>
        </w:tabs>
        <w:spacing w:after="0" w:line="240" w:lineRule="auto"/>
        <w:contextualSpacing/>
        <w:jc w:val="both"/>
        <w:rPr>
          <w:rFonts w:ascii="Verdana" w:hAnsi="Verdana" w:cs="Arial"/>
          <w:sz w:val="20"/>
          <w:szCs w:val="20"/>
          <w:shd w:val="clear" w:color="auto" w:fill="FFFFFF"/>
        </w:rPr>
      </w:pPr>
      <w:r w:rsidRPr="00846DC3">
        <w:rPr>
          <w:rFonts w:ascii="Verdana" w:hAnsi="Verdana" w:cs="Arial"/>
          <w:sz w:val="20"/>
          <w:szCs w:val="20"/>
          <w:shd w:val="clear" w:color="auto" w:fill="FFFFFF"/>
        </w:rPr>
        <w:lastRenderedPageBreak/>
        <w:t xml:space="preserve">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como opera durante el periodo de lactancia. De acuerdo con lo establecido en el artículo 239 </w:t>
      </w:r>
      <w:r w:rsidRPr="00846DC3">
        <w:rPr>
          <w:rFonts w:ascii="Verdana" w:hAnsi="Verdana" w:cs="Arial"/>
          <w:i/>
          <w:iCs/>
          <w:sz w:val="20"/>
          <w:szCs w:val="20"/>
          <w:shd w:val="clear" w:color="auto" w:fill="FFFFFF"/>
        </w:rPr>
        <w:t>ibidem</w:t>
      </w:r>
      <w:r w:rsidRPr="00846DC3">
        <w:rPr>
          <w:rFonts w:ascii="Verdana" w:hAnsi="Verdana" w:cs="Arial"/>
          <w:sz w:val="20"/>
          <w:szCs w:val="20"/>
          <w:shd w:val="clear" w:color="auto" w:fill="FFFFFF"/>
        </w:rPr>
        <w:t xml:space="preserve">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72032180" w14:textId="77777777" w:rsidR="00BA208A" w:rsidRPr="00846DC3" w:rsidRDefault="00BA208A" w:rsidP="00BA208A">
      <w:pPr>
        <w:tabs>
          <w:tab w:val="left" w:pos="0"/>
        </w:tabs>
        <w:spacing w:after="0" w:line="240" w:lineRule="auto"/>
        <w:contextualSpacing/>
        <w:jc w:val="both"/>
        <w:rPr>
          <w:rFonts w:ascii="Verdana" w:hAnsi="Verdana" w:cs="Arial"/>
          <w:sz w:val="20"/>
          <w:szCs w:val="20"/>
          <w:shd w:val="clear" w:color="auto" w:fill="FFFFFF"/>
        </w:rPr>
      </w:pPr>
      <w:r w:rsidRPr="00846DC3">
        <w:rPr>
          <w:rFonts w:ascii="Verdana" w:hAnsi="Verdana" w:cs="Arial"/>
          <w:sz w:val="20"/>
          <w:szCs w:val="20"/>
          <w:shd w:val="clear" w:color="auto" w:fill="FFFFFF"/>
        </w:rPr>
        <w:t xml:space="preserve">. </w:t>
      </w:r>
    </w:p>
    <w:p w14:paraId="7D29197E" w14:textId="77777777" w:rsidR="00BA208A" w:rsidRPr="00846DC3" w:rsidRDefault="00BA208A" w:rsidP="00BA208A">
      <w:pPr>
        <w:spacing w:after="0" w:line="240" w:lineRule="auto"/>
        <w:contextualSpacing/>
        <w:jc w:val="both"/>
        <w:rPr>
          <w:rFonts w:ascii="Verdana" w:eastAsia="Calibri" w:hAnsi="Verdana" w:cs="Arial"/>
          <w:b/>
          <w:sz w:val="20"/>
          <w:szCs w:val="20"/>
          <w:lang w:val="es-ES_tradnl" w:eastAsia="es-ES_tradnl"/>
        </w:rPr>
      </w:pPr>
      <w:r w:rsidRPr="00846DC3">
        <w:rPr>
          <w:rFonts w:ascii="Verdana" w:eastAsia="Calibri" w:hAnsi="Verdana" w:cs="Arial"/>
          <w:b/>
          <w:sz w:val="20"/>
          <w:szCs w:val="20"/>
          <w:lang w:val="es-ES_tradnl" w:eastAsia="es-ES_tradnl"/>
        </w:rPr>
        <w:t>ESTABILIDAD LABORAL REFORZADA – Periodo de Lactancia – Descanso remunerado – Ley 2306 de 2023 – Contratos de prestación de servicios – Aplicación</w:t>
      </w:r>
    </w:p>
    <w:p w14:paraId="2CC3E97D" w14:textId="77777777" w:rsidR="00BA208A" w:rsidRDefault="00BA208A" w:rsidP="00BA208A">
      <w:pPr>
        <w:spacing w:after="0" w:line="240" w:lineRule="auto"/>
        <w:contextualSpacing/>
        <w:jc w:val="both"/>
        <w:rPr>
          <w:rFonts w:ascii="Verdana" w:eastAsia="Calibri" w:hAnsi="Verdana" w:cs="Arial"/>
          <w:color w:val="000000" w:themeColor="text1"/>
          <w:sz w:val="20"/>
          <w:szCs w:val="20"/>
          <w:lang w:val="es-ES"/>
        </w:rPr>
      </w:pPr>
    </w:p>
    <w:p w14:paraId="72E13DD8" w14:textId="77777777" w:rsidR="00BA208A" w:rsidRPr="00846DC3" w:rsidRDefault="00BA208A" w:rsidP="00BA208A">
      <w:pPr>
        <w:spacing w:after="0" w:line="240" w:lineRule="auto"/>
        <w:contextualSpacing/>
        <w:jc w:val="both"/>
        <w:rPr>
          <w:rFonts w:ascii="Verdana" w:eastAsia="Calibri" w:hAnsi="Verdana" w:cs="Arial"/>
          <w:color w:val="000000"/>
          <w:sz w:val="20"/>
          <w:szCs w:val="20"/>
          <w:lang w:val="es-ES"/>
        </w:rPr>
      </w:pPr>
      <w:r>
        <w:rPr>
          <w:rFonts w:ascii="Verdana" w:eastAsia="Calibri" w:hAnsi="Verdana" w:cs="Arial"/>
          <w:color w:val="000000" w:themeColor="text1"/>
          <w:sz w:val="20"/>
          <w:szCs w:val="20"/>
          <w:lang w:val="es-ES"/>
        </w:rPr>
        <w:t xml:space="preserve">[…] </w:t>
      </w:r>
      <w:r w:rsidRPr="00846DC3">
        <w:rPr>
          <w:rFonts w:ascii="Verdana" w:eastAsia="Calibri" w:hAnsi="Verdana" w:cs="Arial"/>
          <w:color w:val="000000" w:themeColor="text1"/>
          <w:sz w:val="20"/>
          <w:szCs w:val="20"/>
          <w:lang w:val="es-ES"/>
        </w:rPr>
        <w:t xml:space="preserve">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460E74B7" w14:textId="77777777" w:rsidR="00BA208A" w:rsidRDefault="00BA208A" w:rsidP="00BA208A">
      <w:pPr>
        <w:spacing w:after="0" w:line="240" w:lineRule="auto"/>
        <w:contextualSpacing/>
        <w:rPr>
          <w:rFonts w:ascii="Verdana" w:hAnsi="Verdana"/>
          <w:sz w:val="20"/>
          <w:szCs w:val="20"/>
          <w:lang w:val="es-ES"/>
        </w:rPr>
      </w:pPr>
    </w:p>
    <w:p w14:paraId="33A06407" w14:textId="77777777" w:rsidR="00BA208A" w:rsidRPr="00846DC3" w:rsidRDefault="00BA208A" w:rsidP="00BA208A">
      <w:pPr>
        <w:spacing w:after="0" w:line="240" w:lineRule="auto"/>
        <w:contextualSpacing/>
        <w:rPr>
          <w:rFonts w:ascii="Verdana" w:hAnsi="Verdana"/>
          <w:sz w:val="20"/>
          <w:szCs w:val="20"/>
          <w:lang w:val="es-ES"/>
        </w:rPr>
      </w:pPr>
      <w:r w:rsidRPr="00846DC3">
        <w:rPr>
          <w:rFonts w:ascii="Verdana" w:hAnsi="Verdana"/>
          <w:sz w:val="20"/>
          <w:szCs w:val="20"/>
          <w:lang w:val="es-ES"/>
        </w:rPr>
        <w:t>[…]</w:t>
      </w:r>
    </w:p>
    <w:p w14:paraId="2B2A2853" w14:textId="77777777" w:rsidR="00BA208A" w:rsidRDefault="00BA208A" w:rsidP="00BA208A">
      <w:pPr>
        <w:spacing w:after="0" w:line="240" w:lineRule="auto"/>
        <w:contextualSpacing/>
        <w:jc w:val="both"/>
        <w:rPr>
          <w:rFonts w:ascii="Verdana" w:eastAsia="Calibri" w:hAnsi="Verdana" w:cs="Arial"/>
          <w:bCs/>
          <w:color w:val="000000"/>
          <w:sz w:val="20"/>
          <w:szCs w:val="20"/>
          <w:lang w:val="es-ES_tradnl"/>
        </w:rPr>
      </w:pPr>
    </w:p>
    <w:p w14:paraId="0B59D272" w14:textId="77777777" w:rsidR="00BA208A" w:rsidRPr="00846DC3" w:rsidRDefault="00BA208A" w:rsidP="00BA208A">
      <w:pPr>
        <w:spacing w:after="0" w:line="240" w:lineRule="auto"/>
        <w:contextualSpacing/>
        <w:jc w:val="both"/>
        <w:rPr>
          <w:rFonts w:ascii="Verdana" w:hAnsi="Verdana" w:cs="Arial"/>
          <w:sz w:val="20"/>
          <w:szCs w:val="20"/>
          <w:shd w:val="clear" w:color="auto" w:fill="FFFFFF"/>
        </w:rPr>
      </w:pPr>
      <w:r w:rsidRPr="00846DC3">
        <w:rPr>
          <w:rFonts w:ascii="Verdana" w:eastAsia="Calibri" w:hAnsi="Verdana" w:cs="Arial"/>
          <w:bCs/>
          <w:color w:val="000000"/>
          <w:sz w:val="20"/>
          <w:szCs w:val="20"/>
          <w:lang w:val="es-ES_tradnl"/>
        </w:rPr>
        <w:t xml:space="preserve">Habiendo efectuado la precisión anterior, puede afirmarse que lo previsto en la Ley 2306 de 2023, específicamente en el artículo 6, no se aplica a las relaciones contractuales de las Entidades Estatales que </w:t>
      </w:r>
      <w:r w:rsidRPr="00846DC3">
        <w:rPr>
          <w:rFonts w:ascii="Verdana" w:eastAsia="Calibri" w:hAnsi="Verdana" w:cs="Arial"/>
          <w:bCs/>
          <w:i/>
          <w:iCs/>
          <w:color w:val="000000"/>
          <w:sz w:val="20"/>
          <w:szCs w:val="20"/>
          <w:lang w:val="es-ES_tradnl"/>
        </w:rPr>
        <w:t>no</w:t>
      </w:r>
      <w:r w:rsidRPr="00846DC3">
        <w:rPr>
          <w:rFonts w:ascii="Verdana" w:eastAsia="Calibri" w:hAnsi="Verdana" w:cs="Arial"/>
          <w:bCs/>
          <w:color w:val="000000"/>
          <w:sz w:val="20"/>
          <w:szCs w:val="2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846DC3" w:rsidDel="00C72792">
        <w:rPr>
          <w:rFonts w:ascii="Verdana" w:hAnsi="Verdana" w:cs="Arial"/>
          <w:sz w:val="20"/>
          <w:szCs w:val="20"/>
          <w:shd w:val="clear" w:color="auto" w:fill="FFFFFF"/>
        </w:rPr>
        <w:t xml:space="preserve"> </w:t>
      </w:r>
    </w:p>
    <w:p w14:paraId="570965C5" w14:textId="77777777" w:rsidR="0089074B" w:rsidRDefault="0089074B">
      <w:pPr>
        <w:rPr>
          <w:rFonts w:ascii="Verdana" w:hAnsi="Verdana"/>
        </w:rPr>
      </w:pPr>
      <w:r>
        <w:rPr>
          <w:rFonts w:ascii="Verdana" w:hAnsi="Verdana"/>
        </w:rPr>
        <w:br w:type="page"/>
      </w:r>
    </w:p>
    <w:p w14:paraId="5FCADBF9" w14:textId="3D11279D" w:rsidR="00E245AB" w:rsidRPr="008C6876" w:rsidRDefault="00BF23D6" w:rsidP="00E245AB">
      <w:pPr>
        <w:spacing w:after="0"/>
        <w:rPr>
          <w:rFonts w:ascii="Verdana" w:hAnsi="Verdana"/>
        </w:rPr>
      </w:pPr>
      <w:r w:rsidRPr="008C6876">
        <w:rPr>
          <w:rFonts w:ascii="Verdana" w:hAnsi="Verdana"/>
        </w:rPr>
        <w:lastRenderedPageBreak/>
        <w:t xml:space="preserve">Bogotá D.C., </w:t>
      </w:r>
      <w:r>
        <w:rPr>
          <w:rFonts w:ascii="Verdana" w:hAnsi="Verdana"/>
        </w:rPr>
        <w:t>8 de julio de 2024.</w:t>
      </w:r>
    </w:p>
    <w:p w14:paraId="2E49EBD0" w14:textId="2DE27EFF" w:rsidR="00154F17" w:rsidRPr="008C6876" w:rsidRDefault="00BF23D6" w:rsidP="00BF23D6">
      <w:pPr>
        <w:spacing w:after="0"/>
        <w:jc w:val="right"/>
        <w:rPr>
          <w:rFonts w:ascii="Verdana" w:hAnsi="Verdana"/>
        </w:rPr>
      </w:pPr>
      <w:r>
        <w:rPr>
          <w:noProof/>
        </w:rPr>
        <w:drawing>
          <wp:inline distT="0" distB="0" distL="0" distR="0" wp14:anchorId="652ECFCE" wp14:editId="57EC67B2">
            <wp:extent cx="3419475" cy="1038225"/>
            <wp:effectExtent l="0" t="0" r="9525" b="9525"/>
            <wp:docPr id="125295838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958382" name="Imagen 1" descr="Texto&#10;&#10;Descripción generada automáticamente"/>
                    <pic:cNvPicPr/>
                  </pic:nvPicPr>
                  <pic:blipFill>
                    <a:blip r:embed="rId10"/>
                    <a:stretch>
                      <a:fillRect/>
                    </a:stretch>
                  </pic:blipFill>
                  <pic:spPr>
                    <a:xfrm>
                      <a:off x="0" y="0"/>
                      <a:ext cx="3419475" cy="1038225"/>
                    </a:xfrm>
                    <a:prstGeom prst="rect">
                      <a:avLst/>
                    </a:prstGeom>
                  </pic:spPr>
                </pic:pic>
              </a:graphicData>
            </a:graphic>
          </wp:inline>
        </w:drawing>
      </w:r>
    </w:p>
    <w:p w14:paraId="49CABDD8" w14:textId="77777777" w:rsidR="00154F17" w:rsidRPr="008C6876" w:rsidRDefault="00154F17" w:rsidP="00154F17">
      <w:pPr>
        <w:spacing w:after="0" w:line="240" w:lineRule="auto"/>
        <w:jc w:val="both"/>
        <w:rPr>
          <w:rFonts w:ascii="Verdana" w:eastAsia="Geomanist Light" w:hAnsi="Verdana" w:cs="Arial"/>
          <w:color w:val="000000" w:themeColor="text1"/>
          <w:lang w:val="es-MX"/>
        </w:rPr>
      </w:pPr>
      <w:bookmarkStart w:id="0" w:name="_Hlk94281581"/>
      <w:bookmarkStart w:id="1" w:name="_Hlk102489058"/>
      <w:bookmarkStart w:id="2" w:name="_Hlk34951122"/>
      <w:r w:rsidRPr="008C6876">
        <w:rPr>
          <w:rFonts w:ascii="Verdana" w:eastAsia="Geomanist Light" w:hAnsi="Verdana" w:cs="Arial"/>
          <w:color w:val="000000" w:themeColor="text1"/>
          <w:lang w:val="es-MX"/>
        </w:rPr>
        <w:t>Señora</w:t>
      </w:r>
    </w:p>
    <w:p w14:paraId="01E1D506" w14:textId="77777777" w:rsidR="00154F17" w:rsidRPr="008C6876" w:rsidRDefault="00154F17" w:rsidP="00154F17">
      <w:pPr>
        <w:spacing w:after="0" w:line="240" w:lineRule="auto"/>
        <w:jc w:val="both"/>
        <w:rPr>
          <w:rFonts w:ascii="Verdana" w:eastAsia="Calibri" w:hAnsi="Verdana" w:cs="Arial"/>
          <w:b/>
          <w:bCs/>
          <w:color w:val="000000" w:themeColor="text1"/>
          <w:lang w:val="es-ES_tradnl"/>
        </w:rPr>
      </w:pPr>
      <w:r w:rsidRPr="008C6876">
        <w:rPr>
          <w:rFonts w:ascii="Verdana" w:eastAsia="Calibri" w:hAnsi="Verdana" w:cs="Arial"/>
          <w:b/>
          <w:bCs/>
          <w:color w:val="000000" w:themeColor="text1"/>
          <w:lang w:val="es-ES_tradnl"/>
        </w:rPr>
        <w:t>Natalia Gil Loaiza</w:t>
      </w:r>
    </w:p>
    <w:p w14:paraId="4FB5FA94" w14:textId="77777777" w:rsidR="00154F17" w:rsidRPr="008C6876" w:rsidRDefault="00154F17" w:rsidP="00154F17">
      <w:pPr>
        <w:spacing w:after="0" w:line="240" w:lineRule="auto"/>
        <w:jc w:val="both"/>
        <w:rPr>
          <w:rFonts w:ascii="Verdana" w:eastAsia="Calibri" w:hAnsi="Verdana" w:cs="Arial"/>
          <w:color w:val="000000" w:themeColor="text1"/>
          <w:lang w:val="es-ES_tradnl"/>
        </w:rPr>
      </w:pPr>
      <w:r w:rsidRPr="008C6876">
        <w:rPr>
          <w:rFonts w:ascii="Verdana" w:eastAsia="Calibri" w:hAnsi="Verdana" w:cs="Arial"/>
          <w:color w:val="000000" w:themeColor="text1"/>
          <w:lang w:val="es-ES_tradnl"/>
        </w:rPr>
        <w:t xml:space="preserve">Presidenta Concejo Municipal </w:t>
      </w:r>
    </w:p>
    <w:p w14:paraId="135AF0D6" w14:textId="77777777" w:rsidR="00154F17" w:rsidRPr="008C6876" w:rsidRDefault="00154F17" w:rsidP="00154F17">
      <w:pPr>
        <w:spacing w:after="0" w:line="240" w:lineRule="auto"/>
        <w:jc w:val="both"/>
        <w:rPr>
          <w:rFonts w:ascii="Verdana" w:eastAsia="Calibri" w:hAnsi="Verdana" w:cs="Arial"/>
          <w:b/>
          <w:bCs/>
          <w:color w:val="000000" w:themeColor="text1"/>
          <w:lang w:val="es-ES_tradnl"/>
        </w:rPr>
      </w:pPr>
      <w:r w:rsidRPr="008C6876">
        <w:rPr>
          <w:rFonts w:ascii="Verdana" w:eastAsia="Calibri" w:hAnsi="Verdana" w:cs="Arial"/>
          <w:b/>
          <w:bCs/>
          <w:color w:val="000000" w:themeColor="text1"/>
          <w:lang w:val="es-ES_tradnl"/>
        </w:rPr>
        <w:t>Concejo de Chía</w:t>
      </w:r>
    </w:p>
    <w:p w14:paraId="22D60FE5" w14:textId="77777777" w:rsidR="00154F17" w:rsidRPr="008C6876" w:rsidRDefault="008506A0" w:rsidP="00154F17">
      <w:pPr>
        <w:spacing w:after="0" w:line="240" w:lineRule="auto"/>
        <w:jc w:val="both"/>
        <w:rPr>
          <w:rFonts w:ascii="Verdana" w:eastAsia="Calibri" w:hAnsi="Verdana"/>
          <w:color w:val="000000" w:themeColor="text1"/>
          <w:lang w:val="es-ES_tradnl"/>
        </w:rPr>
      </w:pPr>
      <w:hyperlink r:id="rId11" w:history="1">
        <w:r w:rsidR="00154F17" w:rsidRPr="008C6876">
          <w:rPr>
            <w:rStyle w:val="Hipervnculo"/>
            <w:rFonts w:ascii="Verdana" w:eastAsia="Calibri" w:hAnsi="Verdana"/>
            <w:lang w:val="es-ES_tradnl"/>
          </w:rPr>
          <w:t>juridico1@concejomunicipalchia.gov.co</w:t>
        </w:r>
      </w:hyperlink>
      <w:r w:rsidR="00154F17" w:rsidRPr="008C6876">
        <w:rPr>
          <w:rFonts w:ascii="Verdana" w:eastAsia="Calibri" w:hAnsi="Verdana"/>
          <w:color w:val="000000" w:themeColor="text1"/>
          <w:lang w:val="es-ES_tradnl"/>
        </w:rPr>
        <w:t xml:space="preserve"> </w:t>
      </w:r>
    </w:p>
    <w:p w14:paraId="092C88FB" w14:textId="77777777" w:rsidR="00154F17" w:rsidRPr="008C6876" w:rsidRDefault="00154F17" w:rsidP="00154F17">
      <w:pPr>
        <w:spacing w:after="0" w:line="240" w:lineRule="auto"/>
        <w:jc w:val="both"/>
        <w:rPr>
          <w:rFonts w:ascii="Verdana" w:eastAsia="Calibri" w:hAnsi="Verdana" w:cs="Arial"/>
          <w:color w:val="000000" w:themeColor="text1"/>
          <w:lang w:val="es-ES_tradnl"/>
        </w:rPr>
      </w:pPr>
      <w:r w:rsidRPr="008C6876">
        <w:rPr>
          <w:rFonts w:ascii="Verdana" w:eastAsia="Calibri" w:hAnsi="Verdana" w:cs="Arial"/>
          <w:color w:val="000000" w:themeColor="text1"/>
          <w:lang w:val="es-ES_tradnl"/>
        </w:rPr>
        <w:t>Chía, Cundinamarca</w:t>
      </w:r>
    </w:p>
    <w:p w14:paraId="0C8FAEEC" w14:textId="77777777" w:rsidR="00154F17" w:rsidRPr="008C6876" w:rsidRDefault="00154F17" w:rsidP="00154F17">
      <w:pPr>
        <w:spacing w:after="0" w:line="240" w:lineRule="auto"/>
        <w:jc w:val="both"/>
        <w:rPr>
          <w:rFonts w:ascii="Verdana" w:eastAsia="Calibri" w:hAnsi="Verdana" w:cs="Arial"/>
          <w:lang w:val="es-ES_tradnl" w:eastAsia="es-ES_tradnl"/>
        </w:rPr>
      </w:pPr>
    </w:p>
    <w:p w14:paraId="7F364DE0" w14:textId="77777777" w:rsidR="00154F17" w:rsidRPr="008C6876" w:rsidRDefault="00154F17" w:rsidP="00154F17">
      <w:pPr>
        <w:spacing w:after="0" w:line="240" w:lineRule="auto"/>
        <w:rPr>
          <w:rFonts w:ascii="Verdana" w:eastAsia="Calibri" w:hAnsi="Verdana" w:cs="Arial"/>
          <w:b/>
          <w:bCs/>
          <w:lang w:val="es-ES_tradnl" w:eastAsia="es-ES_tradnl"/>
        </w:rPr>
      </w:pPr>
    </w:p>
    <w:p w14:paraId="615688C7" w14:textId="77777777" w:rsidR="00154F17" w:rsidRPr="008C6876" w:rsidRDefault="00154F17" w:rsidP="00154F17">
      <w:pPr>
        <w:spacing w:after="0" w:line="240" w:lineRule="auto"/>
        <w:ind w:left="2124" w:firstLine="570"/>
        <w:rPr>
          <w:rFonts w:ascii="Verdana" w:eastAsia="Calibri" w:hAnsi="Verdana" w:cs="Arial"/>
          <w:b/>
          <w:bCs/>
          <w:lang w:val="es-ES_tradnl" w:eastAsia="es-ES_tradnl"/>
        </w:rPr>
      </w:pPr>
      <w:r w:rsidRPr="008C6876">
        <w:rPr>
          <w:rFonts w:ascii="Verdana" w:eastAsia="Calibri" w:hAnsi="Verdana" w:cs="Arial"/>
          <w:b/>
          <w:bCs/>
          <w:lang w:val="es-ES_tradnl" w:eastAsia="es-ES_tradnl"/>
        </w:rPr>
        <w:t>Concepto C – 076 de 2024</w:t>
      </w:r>
    </w:p>
    <w:p w14:paraId="4FCA249E" w14:textId="77777777" w:rsidR="00154F17" w:rsidRPr="008C6876" w:rsidRDefault="00154F17" w:rsidP="00154F17">
      <w:pPr>
        <w:spacing w:after="0" w:line="240" w:lineRule="auto"/>
        <w:jc w:val="both"/>
        <w:rPr>
          <w:rFonts w:ascii="Verdana" w:eastAsia="Calibri" w:hAnsi="Verdana"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54F17" w:rsidRPr="008C6876" w14:paraId="09E181A3" w14:textId="77777777" w:rsidTr="000C666C">
        <w:tc>
          <w:tcPr>
            <w:tcW w:w="2689" w:type="dxa"/>
          </w:tcPr>
          <w:p w14:paraId="18EB9193" w14:textId="77777777" w:rsidR="00154F17" w:rsidRPr="008C6876" w:rsidRDefault="00154F17" w:rsidP="000C666C">
            <w:pPr>
              <w:jc w:val="both"/>
              <w:rPr>
                <w:rFonts w:ascii="Verdana" w:eastAsia="Calibri" w:hAnsi="Verdana" w:cs="Arial"/>
                <w:lang w:val="es-ES_tradnl" w:eastAsia="es-ES_tradnl"/>
              </w:rPr>
            </w:pPr>
            <w:r w:rsidRPr="008C6876">
              <w:rPr>
                <w:rFonts w:ascii="Verdana" w:eastAsia="Calibri" w:hAnsi="Verdana" w:cs="Arial"/>
                <w:b/>
                <w:lang w:val="es-ES_tradnl" w:eastAsia="es-ES_tradnl"/>
              </w:rPr>
              <w:t>Temas:</w:t>
            </w:r>
            <w:r w:rsidRPr="008C6876">
              <w:rPr>
                <w:rFonts w:ascii="Verdana" w:eastAsia="Calibri" w:hAnsi="Verdana" w:cs="Arial"/>
                <w:lang w:val="es-ES_tradnl" w:eastAsia="es-ES_tradnl"/>
              </w:rPr>
              <w:t xml:space="preserve">                                      </w:t>
            </w:r>
          </w:p>
        </w:tc>
        <w:tc>
          <w:tcPr>
            <w:tcW w:w="6237" w:type="dxa"/>
          </w:tcPr>
          <w:p w14:paraId="203C7584" w14:textId="77777777" w:rsidR="00154F17" w:rsidRPr="008C6876" w:rsidRDefault="00154F17" w:rsidP="000C666C">
            <w:pPr>
              <w:jc w:val="both"/>
              <w:rPr>
                <w:rFonts w:ascii="Verdana" w:eastAsia="Calibri" w:hAnsi="Verdana" w:cs="Arial"/>
                <w:bCs/>
                <w:lang w:val="es-ES_tradnl" w:eastAsia="es-ES_tradnl"/>
              </w:rPr>
            </w:pPr>
            <w:r w:rsidRPr="008C6876">
              <w:rPr>
                <w:rFonts w:ascii="Verdana" w:eastAsia="Calibri" w:hAnsi="Verdana" w:cs="Arial"/>
                <w:bCs/>
                <w:lang w:val="es-ES_tradnl" w:eastAsia="es-ES_tradnl"/>
              </w:rPr>
              <w:t>CONTRATOS DE PRESTACIÓN DE SERVICIOS – Generalidades / CONTRATOS DE PRESTACIÓN DE SERVICIOS – Autonomía del contratista / CONTRATOS DE PRESTACIÓN DE SERVICIOS – Temporalidad / ESTABILIDAD OCUPACIONAL REFORZADA DE MUJER EMBARAZADA – Concepto / ESTABILIDAD OCUPACIONAL REFORZADA DE MUJER EMBARAZADA – Unificación jurisprudencial / ESTABILIDAD LABORAL REFORZADA DE MUJER EMBARAZADA – Procedencia / ESTABILIDAD LABORAL REFORZADA – Periodo de Lactancia – Descanso remunerado – Ley 2306 de 2023 / ESTABILIDAD LABORAL REFORZADA – Periodo de Lactancia – Descanso remunerado – Ley 2306 de 2023 – Contratos de prestación de servicios – Aplicación</w:t>
            </w:r>
          </w:p>
          <w:p w14:paraId="4A751CDF" w14:textId="77777777" w:rsidR="00154F17" w:rsidRPr="008C6876" w:rsidRDefault="00154F17" w:rsidP="000C666C">
            <w:pPr>
              <w:jc w:val="both"/>
              <w:rPr>
                <w:rFonts w:ascii="Verdana" w:eastAsia="Calibri" w:hAnsi="Verdana" w:cs="Arial"/>
                <w:bCs/>
                <w:lang w:val="es-ES_tradnl" w:eastAsia="es-ES_tradnl"/>
              </w:rPr>
            </w:pPr>
          </w:p>
        </w:tc>
      </w:tr>
      <w:tr w:rsidR="00154F17" w:rsidRPr="008C6876" w14:paraId="4632ED47" w14:textId="77777777" w:rsidTr="000C666C">
        <w:trPr>
          <w:trHeight w:val="227"/>
        </w:trPr>
        <w:tc>
          <w:tcPr>
            <w:tcW w:w="2689" w:type="dxa"/>
          </w:tcPr>
          <w:p w14:paraId="2B370FE6" w14:textId="77777777" w:rsidR="00154F17" w:rsidRPr="008C6876" w:rsidRDefault="00154F17" w:rsidP="000C666C">
            <w:pPr>
              <w:jc w:val="both"/>
              <w:rPr>
                <w:rFonts w:ascii="Verdana" w:eastAsia="Calibri" w:hAnsi="Verdana" w:cs="Arial"/>
                <w:b/>
                <w:lang w:val="es-ES_tradnl" w:eastAsia="es-ES_tradnl"/>
              </w:rPr>
            </w:pPr>
            <w:r w:rsidRPr="008C6876">
              <w:rPr>
                <w:rFonts w:ascii="Verdana" w:eastAsia="Calibri" w:hAnsi="Verdana" w:cs="Arial"/>
                <w:b/>
                <w:lang w:val="es-ES_tradnl" w:eastAsia="es-ES_tradnl"/>
              </w:rPr>
              <w:t>Radicación:</w:t>
            </w:r>
            <w:r w:rsidRPr="008C6876">
              <w:rPr>
                <w:rFonts w:ascii="Verdana" w:eastAsia="Calibri" w:hAnsi="Verdana" w:cs="Arial"/>
                <w:lang w:val="es-ES_tradnl" w:eastAsia="es-ES_tradnl"/>
              </w:rPr>
              <w:t xml:space="preserve">                             </w:t>
            </w:r>
          </w:p>
        </w:tc>
        <w:tc>
          <w:tcPr>
            <w:tcW w:w="6237" w:type="dxa"/>
          </w:tcPr>
          <w:p w14:paraId="7A69C18B" w14:textId="77777777" w:rsidR="00154F17" w:rsidRPr="008C6876" w:rsidRDefault="00154F17" w:rsidP="000C666C">
            <w:pPr>
              <w:ind w:left="708" w:hanging="708"/>
              <w:jc w:val="both"/>
              <w:rPr>
                <w:rFonts w:ascii="Verdana" w:eastAsia="Calibri" w:hAnsi="Verdana" w:cs="Arial"/>
                <w:lang w:val="es-ES_tradnl" w:eastAsia="es-ES_tradnl"/>
              </w:rPr>
            </w:pPr>
            <w:r w:rsidRPr="008C6876">
              <w:rPr>
                <w:rFonts w:ascii="Verdana" w:eastAsia="Calibri" w:hAnsi="Verdana" w:cs="Arial"/>
                <w:lang w:val="es-ES_tradnl" w:eastAsia="es-ES_tradnl"/>
              </w:rPr>
              <w:t>Respuesta a consulta P20240418004027</w:t>
            </w:r>
            <w:r w:rsidRPr="008C6876">
              <w:rPr>
                <w:rFonts w:ascii="Verdana" w:eastAsia="Calibri" w:hAnsi="Verdana" w:cs="Arial"/>
                <w:lang w:val="es-ES_tradnl" w:eastAsia="es-ES_tradnl"/>
              </w:rPr>
              <w:tab/>
            </w:r>
          </w:p>
        </w:tc>
      </w:tr>
    </w:tbl>
    <w:p w14:paraId="2AC59955" w14:textId="77777777" w:rsidR="00154F17" w:rsidRPr="008C6876" w:rsidRDefault="00154F17" w:rsidP="00154F17">
      <w:pPr>
        <w:spacing w:after="0" w:line="276" w:lineRule="auto"/>
        <w:jc w:val="both"/>
        <w:rPr>
          <w:rFonts w:ascii="Verdana" w:eastAsia="Calibri" w:hAnsi="Verdana" w:cs="Arial"/>
          <w:lang w:val="es-ES_tradnl" w:eastAsia="es-ES_tradnl"/>
        </w:rPr>
      </w:pPr>
    </w:p>
    <w:p w14:paraId="799811DD" w14:textId="77777777" w:rsidR="00154F17" w:rsidRPr="008C6876" w:rsidRDefault="00154F17" w:rsidP="00154F17">
      <w:pPr>
        <w:spacing w:after="0" w:line="276" w:lineRule="auto"/>
        <w:jc w:val="both"/>
        <w:rPr>
          <w:rFonts w:ascii="Verdana" w:eastAsia="Calibri" w:hAnsi="Verdana" w:cs="Arial"/>
          <w:lang w:val="es-ES_tradnl" w:eastAsia="es-ES_tradnl"/>
        </w:rPr>
      </w:pPr>
    </w:p>
    <w:p w14:paraId="59F25022" w14:textId="77777777" w:rsidR="00154F17" w:rsidRPr="008C6876" w:rsidRDefault="00154F17" w:rsidP="00154F17">
      <w:pPr>
        <w:spacing w:after="0" w:line="276" w:lineRule="auto"/>
        <w:jc w:val="both"/>
        <w:rPr>
          <w:rFonts w:ascii="Verdana" w:eastAsia="Calibri" w:hAnsi="Verdana" w:cs="Arial"/>
          <w:lang w:val="es-ES" w:eastAsia="es-ES"/>
        </w:rPr>
      </w:pPr>
      <w:r w:rsidRPr="008C6876">
        <w:rPr>
          <w:rFonts w:ascii="Verdana" w:eastAsia="Calibri" w:hAnsi="Verdana" w:cs="Arial"/>
          <w:lang w:val="es-ES" w:eastAsia="es-ES"/>
        </w:rPr>
        <w:t>Estimada señora Gil Loaiza:</w:t>
      </w:r>
    </w:p>
    <w:p w14:paraId="3FF90424" w14:textId="77777777" w:rsidR="00154F17" w:rsidRPr="008C6876" w:rsidRDefault="00154F17" w:rsidP="00154F17">
      <w:pPr>
        <w:spacing w:after="0" w:line="276" w:lineRule="auto"/>
        <w:jc w:val="both"/>
        <w:rPr>
          <w:rFonts w:ascii="Verdana" w:eastAsia="Calibri" w:hAnsi="Verdana" w:cs="Arial"/>
          <w:szCs w:val="24"/>
          <w:lang w:val="es-ES_tradnl" w:eastAsia="es-ES_tradnl"/>
        </w:rPr>
      </w:pPr>
    </w:p>
    <w:bookmarkEnd w:id="0"/>
    <w:bookmarkEnd w:id="1"/>
    <w:p w14:paraId="4F20A01C" w14:textId="77777777" w:rsidR="00154F17" w:rsidRPr="008C6876" w:rsidRDefault="00154F17" w:rsidP="00154F17">
      <w:pPr>
        <w:spacing w:after="0" w:line="276" w:lineRule="auto"/>
        <w:jc w:val="both"/>
        <w:rPr>
          <w:rFonts w:ascii="Verdana" w:eastAsia="Calibri" w:hAnsi="Verdana" w:cs="Arial"/>
          <w:color w:val="000000" w:themeColor="text1"/>
          <w:lang w:val="es-ES_tradnl"/>
        </w:rPr>
      </w:pPr>
      <w:r w:rsidRPr="008C6876">
        <w:rPr>
          <w:rFonts w:ascii="Verdana" w:eastAsia="Calibri" w:hAnsi="Verdana" w:cs="Arial"/>
          <w:color w:val="000000" w:themeColor="text1"/>
          <w:lang w:val="es-ES_tradnl"/>
        </w:rPr>
        <w:t>En ejercicio de la competencia otorgada por el numeral 8 del artículo 11 y el numeral 5 del artículo 3 del Decreto Ley 4170 de 2011</w:t>
      </w:r>
      <w:bookmarkStart w:id="3" w:name="_Hlk99120496"/>
      <w:r w:rsidRPr="008C6876">
        <w:rPr>
          <w:rFonts w:ascii="Verdana" w:eastAsia="Arial MT" w:hAnsi="Verdana" w:cs="Arial MT"/>
          <w:lang w:val="es-ES"/>
        </w:rPr>
        <w:t xml:space="preserve">, </w:t>
      </w:r>
      <w:bookmarkEnd w:id="3"/>
      <w:r w:rsidRPr="008C6876">
        <w:rPr>
          <w:rFonts w:ascii="Verdana" w:eastAsia="Calibri" w:hAnsi="Verdana" w:cs="Arial"/>
          <w:color w:val="000000" w:themeColor="text1"/>
          <w:lang w:val="es-ES_tradnl"/>
        </w:rPr>
        <w:t>la Agencia Nacional de Contratación Pública – Colombia Compra Eficiente- responde su consulta recibida el 17 de abril de 2024.</w:t>
      </w:r>
    </w:p>
    <w:p w14:paraId="31AB3381" w14:textId="77777777" w:rsidR="00154F17" w:rsidRPr="008C6876" w:rsidRDefault="00154F17" w:rsidP="00154F17">
      <w:pPr>
        <w:spacing w:after="0" w:line="276" w:lineRule="auto"/>
        <w:jc w:val="both"/>
        <w:rPr>
          <w:rFonts w:ascii="Verdana" w:eastAsia="Calibri" w:hAnsi="Verdana" w:cs="Arial"/>
          <w:b/>
          <w:color w:val="000000" w:themeColor="text1"/>
          <w:lang w:val="es-ES_tradnl"/>
        </w:rPr>
      </w:pPr>
    </w:p>
    <w:p w14:paraId="0FE3B3D5" w14:textId="77777777" w:rsidR="00154F17" w:rsidRPr="008C6876" w:rsidRDefault="00154F17" w:rsidP="00154F17">
      <w:pPr>
        <w:numPr>
          <w:ilvl w:val="0"/>
          <w:numId w:val="6"/>
        </w:numPr>
        <w:tabs>
          <w:tab w:val="left" w:pos="0"/>
          <w:tab w:val="left" w:pos="142"/>
          <w:tab w:val="left" w:pos="284"/>
        </w:tabs>
        <w:spacing w:after="0" w:line="276" w:lineRule="auto"/>
        <w:ind w:left="0" w:firstLine="0"/>
        <w:jc w:val="both"/>
        <w:rPr>
          <w:rFonts w:ascii="Verdana" w:eastAsia="Calibri" w:hAnsi="Verdana" w:cs="Arial"/>
          <w:b/>
          <w:color w:val="000000" w:themeColor="text1"/>
          <w:lang w:val="es-ES_tradnl"/>
        </w:rPr>
      </w:pPr>
      <w:r w:rsidRPr="008C6876">
        <w:rPr>
          <w:rFonts w:ascii="Verdana" w:eastAsia="Calibri" w:hAnsi="Verdana" w:cs="Arial"/>
          <w:b/>
          <w:color w:val="000000" w:themeColor="text1"/>
          <w:lang w:val="es-ES_tradnl"/>
        </w:rPr>
        <w:t xml:space="preserve">Problemas planteados </w:t>
      </w:r>
    </w:p>
    <w:p w14:paraId="2D76AF4C" w14:textId="77777777" w:rsidR="00154F17" w:rsidRPr="008C6876" w:rsidRDefault="00154F17" w:rsidP="00154F17">
      <w:pPr>
        <w:tabs>
          <w:tab w:val="left" w:pos="426"/>
        </w:tabs>
        <w:spacing w:after="0" w:line="276" w:lineRule="auto"/>
        <w:jc w:val="both"/>
        <w:rPr>
          <w:rFonts w:ascii="Verdana" w:eastAsia="Calibri" w:hAnsi="Verdana" w:cs="Arial"/>
          <w:b/>
          <w:color w:val="000000" w:themeColor="text1"/>
          <w:lang w:val="es-ES_tradnl"/>
        </w:rPr>
      </w:pPr>
    </w:p>
    <w:p w14:paraId="3D2FC3F0" w14:textId="77777777" w:rsidR="00154F17" w:rsidRPr="008C6876" w:rsidRDefault="00154F17" w:rsidP="330449E6">
      <w:pPr>
        <w:spacing w:after="0" w:line="276" w:lineRule="auto"/>
        <w:jc w:val="both"/>
        <w:rPr>
          <w:rFonts w:ascii="Verdana" w:hAnsi="Verdana" w:cs="Arial"/>
          <w:color w:val="000000" w:themeColor="text1"/>
          <w:lang w:val="es-ES"/>
        </w:rPr>
      </w:pPr>
      <w:r w:rsidRPr="330449E6">
        <w:rPr>
          <w:rFonts w:ascii="Verdana" w:hAnsi="Verdana" w:cs="Arial"/>
          <w:color w:val="000000" w:themeColor="text1"/>
          <w:lang w:val="es-ES"/>
        </w:rPr>
        <w:t xml:space="preserve">En relación con la Ley 2306 de 2023, mediante la cual se modificó el artículo 238 del Código Sustantivo del Trabajo. usted realiza la siguiente consulta: </w:t>
      </w:r>
    </w:p>
    <w:p w14:paraId="6C7C930B" w14:textId="77777777" w:rsidR="00154F17" w:rsidRPr="008C6876" w:rsidRDefault="00154F17" w:rsidP="00154F17">
      <w:pPr>
        <w:spacing w:after="0" w:line="276" w:lineRule="auto"/>
        <w:jc w:val="both"/>
        <w:rPr>
          <w:rFonts w:ascii="Verdana" w:hAnsi="Verdana" w:cs="Arial"/>
          <w:color w:val="000000" w:themeColor="text1"/>
          <w:lang w:val="es-ES_tradnl"/>
        </w:rPr>
      </w:pPr>
    </w:p>
    <w:p w14:paraId="02220A6E" w14:textId="77777777" w:rsidR="00154F17" w:rsidRPr="008C6876" w:rsidRDefault="00154F17" w:rsidP="00154F17">
      <w:pPr>
        <w:spacing w:after="0" w:line="240" w:lineRule="auto"/>
        <w:ind w:left="709" w:right="709"/>
        <w:jc w:val="both"/>
        <w:rPr>
          <w:rFonts w:ascii="Verdana" w:hAnsi="Verdana" w:cs="Arial"/>
          <w:color w:val="000000" w:themeColor="text1"/>
          <w:sz w:val="20"/>
          <w:szCs w:val="20"/>
          <w:lang w:val="es-ES_tradnl"/>
        </w:rPr>
      </w:pPr>
      <w:r w:rsidRPr="008C6876">
        <w:rPr>
          <w:rFonts w:ascii="Verdana" w:hAnsi="Verdana" w:cs="Arial"/>
          <w:color w:val="000000" w:themeColor="text1"/>
          <w:sz w:val="20"/>
          <w:szCs w:val="20"/>
          <w:lang w:val="es-ES_tradnl"/>
        </w:rPr>
        <w:t>“Para esa corporación es importante conocer si con la vigencia de la ley mencionada anteriormente, está en la obligación de garantizar a dicha contratista la estabilidad laboral reforzada por encontrarse en licencia de maternidad hasta los años de su hijo menor, de ser afirmativo, como contratante como pruebo que la materna contratista se encuentre lactando y de dicha manera deba ser cobijada con la estabilidad laboral reforzada.” [sic]</w:t>
      </w:r>
    </w:p>
    <w:p w14:paraId="6EF6D422" w14:textId="77777777" w:rsidR="00154F17" w:rsidRPr="008C6876" w:rsidRDefault="00154F17" w:rsidP="00154F17">
      <w:pPr>
        <w:spacing w:after="0" w:line="276" w:lineRule="auto"/>
        <w:jc w:val="both"/>
        <w:rPr>
          <w:rFonts w:ascii="Verdana" w:hAnsi="Verdana" w:cs="Arial"/>
          <w:color w:val="000000" w:themeColor="text1"/>
        </w:rPr>
      </w:pPr>
    </w:p>
    <w:p w14:paraId="0E3502B6" w14:textId="77777777" w:rsidR="00154F17" w:rsidRPr="008C6876" w:rsidRDefault="00154F17" w:rsidP="00154F17">
      <w:pPr>
        <w:numPr>
          <w:ilvl w:val="0"/>
          <w:numId w:val="6"/>
        </w:numPr>
        <w:tabs>
          <w:tab w:val="left" w:pos="0"/>
          <w:tab w:val="left" w:pos="284"/>
        </w:tabs>
        <w:spacing w:after="0" w:line="276" w:lineRule="auto"/>
        <w:ind w:left="0" w:firstLine="0"/>
        <w:jc w:val="both"/>
        <w:rPr>
          <w:rFonts w:ascii="Verdana" w:eastAsia="Calibri" w:hAnsi="Verdana" w:cs="Arial"/>
          <w:b/>
          <w:color w:val="000000" w:themeColor="text1"/>
          <w:lang w:val="es-ES_tradnl"/>
        </w:rPr>
      </w:pPr>
      <w:r w:rsidRPr="008C6876">
        <w:rPr>
          <w:rFonts w:ascii="Verdana" w:eastAsia="Calibri" w:hAnsi="Verdana" w:cs="Arial"/>
          <w:b/>
          <w:color w:val="000000" w:themeColor="text1"/>
          <w:lang w:val="es-ES_tradnl"/>
        </w:rPr>
        <w:t>Consideraciones</w:t>
      </w:r>
    </w:p>
    <w:p w14:paraId="22B5A8F5" w14:textId="77777777" w:rsidR="00154F17" w:rsidRPr="008C6876" w:rsidRDefault="00154F17" w:rsidP="00154F17">
      <w:pPr>
        <w:spacing w:after="0" w:line="276" w:lineRule="auto"/>
        <w:jc w:val="both"/>
        <w:rPr>
          <w:rFonts w:ascii="Verdana" w:eastAsia="Calibri" w:hAnsi="Verdana" w:cs="Arial"/>
          <w:color w:val="000000" w:themeColor="text1"/>
          <w:lang w:val="es-ES"/>
        </w:rPr>
      </w:pPr>
    </w:p>
    <w:p w14:paraId="2E1F7242" w14:textId="77777777" w:rsidR="00154F17" w:rsidRPr="008C6876" w:rsidRDefault="00154F17" w:rsidP="00154F17">
      <w:pPr>
        <w:spacing w:after="120" w:line="276" w:lineRule="auto"/>
        <w:jc w:val="both"/>
        <w:rPr>
          <w:rFonts w:ascii="Verdana" w:hAnsi="Verdana" w:cs="Arial"/>
          <w:lang w:val="es-ES"/>
        </w:rPr>
      </w:pPr>
      <w:r w:rsidRPr="008C6876">
        <w:rPr>
          <w:rFonts w:ascii="Verdana" w:hAnsi="Verdana" w:cs="Arial"/>
          <w:bCs/>
        </w:rPr>
        <w:t xml:space="preserve">En ejercicio de las competencias establecidas en los artículos 3.5 y 11.8 del Decreto 4170 de 2011, la Agencia Nacional de Contratación Pública – Colombia Compra Eficiente resuelve consultas sobre </w:t>
      </w:r>
      <w:r w:rsidRPr="008C6876">
        <w:rPr>
          <w:rFonts w:ascii="Verdana" w:hAnsi="Verdana"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8C6876">
        <w:rPr>
          <w:rFonts w:ascii="Verdana" w:hAnsi="Verdana" w:cs="Arial"/>
          <w:bCs/>
        </w:rPr>
        <w:t xml:space="preserve"> de todos los partícipes de la contratación estatal.</w:t>
      </w:r>
    </w:p>
    <w:p w14:paraId="076F0ABF" w14:textId="77777777" w:rsidR="00154F17" w:rsidRPr="008C6876" w:rsidRDefault="00154F17" w:rsidP="00154F17">
      <w:pPr>
        <w:spacing w:after="120" w:line="276" w:lineRule="auto"/>
        <w:ind w:firstLine="708"/>
        <w:jc w:val="both"/>
        <w:rPr>
          <w:rFonts w:ascii="Verdana" w:hAnsi="Verdana" w:cs="Arial"/>
          <w:lang w:val="es-ES"/>
        </w:rPr>
      </w:pPr>
      <w:r w:rsidRPr="008C6876">
        <w:rPr>
          <w:rFonts w:ascii="Verdana" w:hAnsi="Verdana"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C6876">
        <w:rPr>
          <w:rFonts w:ascii="Verdana" w:hAnsi="Verdana" w:cs="Arial"/>
          <w:vertAlign w:val="superscript"/>
          <w:lang w:val="es-ES"/>
        </w:rPr>
        <w:footnoteReference w:id="3"/>
      </w:r>
      <w:r w:rsidRPr="008C6876">
        <w:rPr>
          <w:rFonts w:ascii="Verdana" w:hAnsi="Verdana" w:cs="Arial"/>
          <w:lang w:val="es-ES"/>
        </w:rPr>
        <w:t xml:space="preserve">. Esta competencia de interpretación de normas generales, por definición, no puede extenderse a la resolución de controversias ni brindar asesorías sobre casos puntuales. Por lo anterior, previo concepto de sus órganos asesores, la solución de </w:t>
      </w:r>
      <w:r w:rsidRPr="008C6876">
        <w:rPr>
          <w:rFonts w:ascii="Verdana" w:hAnsi="Verdana" w:cs="Arial"/>
          <w:lang w:val="es-ES"/>
        </w:rPr>
        <w:lastRenderedPageBreak/>
        <w:t xml:space="preserve">estos temas le corresponde a la entidad que adelanta el Proceso de Contratación y, en caso de conflicto, a las autoridades judiciales, fiscales y disciplinarias. </w:t>
      </w:r>
    </w:p>
    <w:p w14:paraId="49FC00C7" w14:textId="77777777" w:rsidR="00154F17" w:rsidRPr="008C6876" w:rsidRDefault="00154F17" w:rsidP="00154F17">
      <w:pPr>
        <w:spacing w:after="120" w:line="276" w:lineRule="auto"/>
        <w:ind w:firstLine="708"/>
        <w:jc w:val="both"/>
        <w:rPr>
          <w:rFonts w:ascii="Verdana" w:eastAsia="Calibri" w:hAnsi="Verdana" w:cs="Arial"/>
          <w:lang w:val="es-ES"/>
        </w:rPr>
      </w:pPr>
      <w:r w:rsidRPr="008C6876">
        <w:rPr>
          <w:rFonts w:ascii="Verdana" w:eastAsia="Calibri" w:hAnsi="Verdana" w:cs="Arial"/>
          <w:color w:val="000000"/>
          <w:lang w:val="es-MX"/>
        </w:rPr>
        <w:t xml:space="preserve">En atención a lo anterior, </w:t>
      </w:r>
      <w:r w:rsidRPr="008C6876">
        <w:rPr>
          <w:rFonts w:ascii="Verdana" w:eastAsia="Calibri" w:hAnsi="Verdana" w:cs="Arial"/>
          <w:color w:val="000000"/>
          <w:lang w:val="es-ES"/>
        </w:rPr>
        <w:t>la Subdirección de Gestión Contractual –dentro de los límites de sus atribuciones, esto es, haciendo abstracción del caso particular expuesto por la peticionaria– resolverá la consulta conforme a las normas generales en materia de contratación estatal</w:t>
      </w:r>
      <w:r w:rsidRPr="008C6876">
        <w:rPr>
          <w:rFonts w:ascii="Verdana" w:eastAsia="Calibri" w:hAnsi="Verdana" w:cs="Arial"/>
          <w:lang w:val="es-ES_tradnl" w:eastAsia="es-MX"/>
        </w:rPr>
        <w:t xml:space="preserve">, luego de analizar los siguientes temas: i) características generales del contrato de prestación de servicios; </w:t>
      </w:r>
      <w:proofErr w:type="spellStart"/>
      <w:r w:rsidRPr="008C6876">
        <w:rPr>
          <w:rFonts w:ascii="Verdana" w:eastAsia="Calibri" w:hAnsi="Verdana" w:cs="Arial"/>
          <w:lang w:val="es-ES_tradnl" w:eastAsia="es-MX"/>
        </w:rPr>
        <w:t>ii</w:t>
      </w:r>
      <w:proofErr w:type="spellEnd"/>
      <w:r w:rsidRPr="008C6876">
        <w:rPr>
          <w:rFonts w:ascii="Verdana" w:eastAsia="Calibri" w:hAnsi="Verdana" w:cs="Arial"/>
          <w:lang w:val="es-ES_tradnl" w:eastAsia="es-MX"/>
        </w:rPr>
        <w:t xml:space="preserve">) estabilidad ocupacional reforzada de las mujeres embarazadas o en periodo de lactancia frente a los contratos de prestación de servicios y; </w:t>
      </w:r>
      <w:proofErr w:type="spellStart"/>
      <w:r w:rsidRPr="008C6876">
        <w:rPr>
          <w:rFonts w:ascii="Verdana" w:eastAsia="Calibri" w:hAnsi="Verdana" w:cs="Arial"/>
          <w:lang w:val="es-ES_tradnl" w:eastAsia="es-MX"/>
        </w:rPr>
        <w:t>iii</w:t>
      </w:r>
      <w:proofErr w:type="spellEnd"/>
      <w:r w:rsidRPr="008C6876">
        <w:rPr>
          <w:rFonts w:ascii="Verdana" w:eastAsia="Calibri" w:hAnsi="Verdana" w:cs="Arial"/>
          <w:lang w:val="es-ES_tradnl" w:eastAsia="es-MX"/>
        </w:rPr>
        <w:t>).</w:t>
      </w:r>
      <w:r w:rsidRPr="008C6876">
        <w:rPr>
          <w:rFonts w:ascii="Verdana" w:hAnsi="Verdana" w:cs="Arial"/>
          <w:b/>
          <w:bCs/>
          <w:shd w:val="clear" w:color="auto" w:fill="FFFFFF"/>
        </w:rPr>
        <w:t xml:space="preserve"> </w:t>
      </w:r>
      <w:r w:rsidRPr="008C6876">
        <w:rPr>
          <w:rFonts w:ascii="Verdana" w:hAnsi="Verdana" w:cs="Arial"/>
          <w:shd w:val="clear" w:color="auto" w:fill="FFFFFF"/>
        </w:rPr>
        <w:t>modificaciones introducidas por la Ley 2306 de 2023 frente a la estabilidad laboral reforzada de mujeres en periodo de lactancia: Especial análisis frente a las contratistas del Estado.</w:t>
      </w:r>
    </w:p>
    <w:p w14:paraId="63B69F64" w14:textId="77777777" w:rsidR="00154F17" w:rsidRPr="008C6876" w:rsidRDefault="00154F17" w:rsidP="00154F17">
      <w:pPr>
        <w:spacing w:after="120" w:line="276" w:lineRule="auto"/>
        <w:ind w:firstLine="708"/>
        <w:jc w:val="both"/>
        <w:rPr>
          <w:rFonts w:ascii="Verdana" w:eastAsia="Calibri" w:hAnsi="Verdana" w:cs="Arial"/>
          <w:color w:val="000000"/>
          <w:lang w:eastAsia="es-ES_tradnl"/>
        </w:rPr>
      </w:pPr>
      <w:r w:rsidRPr="008C6876">
        <w:rPr>
          <w:rFonts w:ascii="Verdana" w:eastAsia="Calibri" w:hAnsi="Verdana" w:cs="Arial"/>
          <w:lang w:val="es-ES" w:eastAsia="es-ES_tradnl"/>
        </w:rPr>
        <w:t xml:space="preserve">La Agencia Nacional de Contratación Pública – Colombia Compra Eficiente </w:t>
      </w:r>
      <w:r w:rsidRPr="008C6876">
        <w:rPr>
          <w:rFonts w:ascii="Verdana" w:eastAsia="Calibri" w:hAnsi="Verdana" w:cs="Arial"/>
          <w:color w:val="000000"/>
          <w:lang w:eastAsia="es-ES_tradnl"/>
        </w:rPr>
        <w:t xml:space="preserve">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y C-009 del 20 de febrero de 2023. </w:t>
      </w:r>
    </w:p>
    <w:p w14:paraId="700DBC02" w14:textId="77777777" w:rsidR="00154F17" w:rsidRPr="008C6876" w:rsidRDefault="00154F17" w:rsidP="00154F17">
      <w:pPr>
        <w:spacing w:after="0" w:line="276" w:lineRule="auto"/>
        <w:ind w:firstLine="709"/>
        <w:jc w:val="both"/>
        <w:rPr>
          <w:rFonts w:ascii="Verdana" w:eastAsia="Calibri" w:hAnsi="Verdana" w:cs="Arial"/>
          <w:bCs/>
          <w:color w:val="000000" w:themeColor="text1"/>
          <w:lang w:val="es-ES_tradnl"/>
        </w:rPr>
      </w:pPr>
      <w:r w:rsidRPr="008C6876">
        <w:rPr>
          <w:rFonts w:ascii="Verdana" w:eastAsia="Calibri" w:hAnsi="Verdana" w:cs="Arial"/>
          <w:color w:val="000000"/>
          <w:lang w:eastAsia="es-ES_tradnl"/>
        </w:rPr>
        <w:t xml:space="preserve">Asimismo, </w:t>
      </w:r>
      <w:r w:rsidRPr="008C6876">
        <w:rPr>
          <w:rFonts w:ascii="Verdana" w:eastAsia="Calibri" w:hAnsi="Verdana" w:cs="Arial"/>
          <w:bCs/>
          <w:color w:val="000000" w:themeColor="text1"/>
          <w:lang w:val="es-ES_tradnl"/>
        </w:rPr>
        <w:t xml:space="preserve">se ha pronunciado sobre la estabilidad ocupacional reforzada en mujer embarazada en los conceptos 2201913000009150 del 11 de diciembre de 2019, 2201913000009571 del 24 de diciembre de 2019, C-712 del 7 de diciembre de 2022, C-789 del 22 de noviembre de 2022, C-920 del 14 de febrero de 2023, C-031 del 17 de marzo de 2023, C-213 de 26 de junio de 2023 y C-463 de 2023, entre </w:t>
      </w:r>
      <w:r w:rsidRPr="008C6876">
        <w:rPr>
          <w:rFonts w:ascii="Verdana" w:eastAsia="Calibri" w:hAnsi="Verdana" w:cs="Arial"/>
          <w:bCs/>
          <w:color w:val="000000" w:themeColor="text1"/>
          <w:lang w:val="es-ES_tradnl"/>
        </w:rPr>
        <w:lastRenderedPageBreak/>
        <w:t>otros</w:t>
      </w:r>
      <w:r w:rsidRPr="008C6876">
        <w:rPr>
          <w:rFonts w:ascii="Verdana" w:eastAsia="Calibri" w:hAnsi="Verdana" w:cs="Arial"/>
          <w:bCs/>
          <w:color w:val="000000" w:themeColor="text1"/>
          <w:vertAlign w:val="superscript"/>
          <w:lang w:val="es-ES_tradnl"/>
        </w:rPr>
        <w:footnoteReference w:id="4"/>
      </w:r>
      <w:r w:rsidRPr="008C6876">
        <w:rPr>
          <w:rFonts w:ascii="Verdana" w:eastAsia="Calibri" w:hAnsi="Verdana" w:cs="Arial"/>
          <w:bCs/>
          <w:color w:val="000000" w:themeColor="text1"/>
          <w:lang w:val="es-ES_tradnl"/>
        </w:rPr>
        <w:t>. Las tesis propuestas en tales conceptos se reiteran y se complementan en lo pertinente a continuación.</w:t>
      </w:r>
    </w:p>
    <w:p w14:paraId="59F27C28" w14:textId="77777777" w:rsidR="00154F17" w:rsidRPr="008C6876" w:rsidRDefault="00154F17" w:rsidP="00154F17">
      <w:pPr>
        <w:widowControl w:val="0"/>
        <w:autoSpaceDE w:val="0"/>
        <w:autoSpaceDN w:val="0"/>
        <w:spacing w:after="0" w:line="276" w:lineRule="auto"/>
        <w:jc w:val="both"/>
        <w:rPr>
          <w:rFonts w:ascii="Verdana" w:hAnsi="Verdana" w:cs="Arial"/>
          <w:b/>
          <w:lang w:val="es-MX"/>
        </w:rPr>
      </w:pPr>
    </w:p>
    <w:p w14:paraId="4691E5DE" w14:textId="77777777" w:rsidR="00154F17" w:rsidRPr="008C6876" w:rsidRDefault="00154F17" w:rsidP="00154F17">
      <w:pPr>
        <w:spacing w:after="0" w:line="276" w:lineRule="auto"/>
        <w:jc w:val="both"/>
        <w:rPr>
          <w:rFonts w:ascii="Verdana" w:eastAsia="Arial" w:hAnsi="Verdana" w:cs="Arial"/>
          <w:b/>
          <w:bCs/>
          <w:lang w:val="es-ES_tradnl" w:eastAsia="es-ES_tradnl"/>
        </w:rPr>
      </w:pPr>
      <w:bookmarkStart w:id="4" w:name="_Hlk73970609"/>
      <w:r w:rsidRPr="008C6876">
        <w:rPr>
          <w:rFonts w:ascii="Verdana" w:eastAsia="Arial" w:hAnsi="Verdana" w:cs="Arial"/>
          <w:b/>
          <w:bCs/>
          <w:lang w:val="es-ES_tradnl" w:eastAsia="es-ES_tradnl"/>
        </w:rPr>
        <w:t>2.1. Características generales del contrato de prestación de servicios. Reiteración de línea</w:t>
      </w:r>
    </w:p>
    <w:p w14:paraId="662C5F98" w14:textId="77777777" w:rsidR="00154F17" w:rsidRPr="008C6876" w:rsidRDefault="00154F17" w:rsidP="00154F17">
      <w:pPr>
        <w:spacing w:after="0" w:line="276" w:lineRule="auto"/>
        <w:jc w:val="both"/>
        <w:rPr>
          <w:rFonts w:ascii="Verdana" w:eastAsia="Arial" w:hAnsi="Verdana" w:cs="Arial"/>
          <w:b/>
          <w:bCs/>
          <w:lang w:val="es-ES_tradnl" w:eastAsia="es-ES_tradnl"/>
        </w:rPr>
      </w:pPr>
    </w:p>
    <w:p w14:paraId="4F5C4447" w14:textId="77777777" w:rsidR="00154F17" w:rsidRPr="008C6876" w:rsidRDefault="00154F17" w:rsidP="00154F17">
      <w:pPr>
        <w:spacing w:after="120" w:line="276" w:lineRule="auto"/>
        <w:jc w:val="both"/>
        <w:rPr>
          <w:rFonts w:ascii="Verdana" w:eastAsia="Arial" w:hAnsi="Verdana" w:cs="Arial"/>
          <w:color w:val="000000"/>
        </w:rPr>
      </w:pPr>
      <w:r w:rsidRPr="008C6876">
        <w:rPr>
          <w:rFonts w:ascii="Verdana" w:eastAsia="Arial" w:hAnsi="Verdana" w:cs="Arial"/>
          <w:color w:val="000000"/>
        </w:rPr>
        <w:t xml:space="preserve">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w:t>
      </w:r>
    </w:p>
    <w:p w14:paraId="21B42D83" w14:textId="77777777" w:rsidR="00154F17" w:rsidRPr="008C6876" w:rsidRDefault="00154F17" w:rsidP="00154F17">
      <w:pPr>
        <w:spacing w:after="0" w:line="276" w:lineRule="auto"/>
        <w:ind w:firstLine="709"/>
        <w:jc w:val="both"/>
        <w:rPr>
          <w:rFonts w:ascii="Verdana" w:eastAsia="Arial" w:hAnsi="Verdana" w:cs="Arial"/>
          <w:color w:val="000000"/>
        </w:rPr>
      </w:pPr>
      <w:r w:rsidRPr="008C6876">
        <w:rPr>
          <w:rFonts w:ascii="Verdana" w:eastAsia="Arial" w:hAnsi="Verdana" w:cs="Arial"/>
          <w:color w:val="000000"/>
        </w:rPr>
        <w:t>La celebración de dicho contrato debe efectuarse a través de la modalidad de contratación directa. Así lo dispone el artículo 2, numeral 4°, literal h) de la Ley 1150 de 2007.</w:t>
      </w:r>
    </w:p>
    <w:p w14:paraId="1842CCA4" w14:textId="77777777" w:rsidR="00154F17" w:rsidRPr="008C6876" w:rsidRDefault="00154F17" w:rsidP="00154F17">
      <w:pPr>
        <w:spacing w:after="0" w:line="276" w:lineRule="auto"/>
        <w:jc w:val="both"/>
        <w:rPr>
          <w:rFonts w:ascii="Verdana" w:eastAsia="Arial" w:hAnsi="Verdana" w:cs="Arial"/>
          <w:color w:val="000000"/>
        </w:rPr>
      </w:pPr>
    </w:p>
    <w:p w14:paraId="55B15F15" w14:textId="77777777" w:rsidR="00154F17" w:rsidRPr="008C6876" w:rsidRDefault="00154F17" w:rsidP="00154F17">
      <w:pPr>
        <w:spacing w:after="0" w:line="240" w:lineRule="auto"/>
        <w:ind w:left="709" w:right="709"/>
        <w:contextualSpacing/>
        <w:jc w:val="both"/>
        <w:rPr>
          <w:rFonts w:ascii="Verdana" w:eastAsia="Calibri" w:hAnsi="Verdana" w:cs="Arial"/>
          <w:color w:val="000000" w:themeColor="text1"/>
          <w:sz w:val="20"/>
          <w:szCs w:val="20"/>
          <w:lang w:val="es-MX"/>
        </w:rPr>
      </w:pPr>
      <w:r w:rsidRPr="008C6876">
        <w:rPr>
          <w:rFonts w:ascii="Verdana" w:eastAsia="Yu Gothic UI Semibold" w:hAnsi="Verdana" w:cs="Arial"/>
          <w:iCs/>
          <w:sz w:val="20"/>
          <w:szCs w:val="20"/>
          <w:lang w:eastAsia="es-MX"/>
        </w:rPr>
        <w:t>“</w:t>
      </w:r>
      <w:r w:rsidRPr="008C6876">
        <w:rPr>
          <w:rFonts w:ascii="Verdana" w:eastAsia="Calibri" w:hAnsi="Verdana" w:cs="Arial"/>
          <w:color w:val="000000" w:themeColor="text1"/>
          <w:sz w:val="20"/>
          <w:szCs w:val="20"/>
          <w:lang w:val="es-MX"/>
        </w:rPr>
        <w:t>La escogencia del contratista se efectuará con arreglo a las modalidades de selección de licitación pública, selección abreviada, concurso de méritos y contratación directa, con base en las siguientes reglas:</w:t>
      </w:r>
    </w:p>
    <w:p w14:paraId="1099889E" w14:textId="77777777" w:rsidR="00154F17" w:rsidRPr="008C6876" w:rsidRDefault="00154F17" w:rsidP="00154F17">
      <w:pPr>
        <w:spacing w:after="0" w:line="240" w:lineRule="auto"/>
        <w:ind w:left="709" w:right="709"/>
        <w:contextualSpacing/>
        <w:jc w:val="both"/>
        <w:rPr>
          <w:rFonts w:ascii="Verdana" w:eastAsia="Calibri" w:hAnsi="Verdana" w:cs="Arial"/>
          <w:color w:val="000000" w:themeColor="text1"/>
          <w:sz w:val="20"/>
          <w:szCs w:val="20"/>
          <w:lang w:val="es-MX"/>
        </w:rPr>
      </w:pPr>
      <w:r w:rsidRPr="008C6876">
        <w:rPr>
          <w:rFonts w:ascii="Verdana" w:eastAsia="Calibri" w:hAnsi="Verdana" w:cs="Arial"/>
          <w:color w:val="000000" w:themeColor="text1"/>
          <w:sz w:val="20"/>
          <w:szCs w:val="20"/>
          <w:lang w:val="es-MX"/>
        </w:rPr>
        <w:t>[…]</w:t>
      </w:r>
    </w:p>
    <w:p w14:paraId="6D1ABCA9" w14:textId="77777777" w:rsidR="00154F17" w:rsidRPr="008C6876" w:rsidRDefault="00154F17" w:rsidP="00154F17">
      <w:pPr>
        <w:spacing w:after="0" w:line="240" w:lineRule="auto"/>
        <w:ind w:left="709" w:right="709"/>
        <w:contextualSpacing/>
        <w:jc w:val="both"/>
        <w:rPr>
          <w:rFonts w:ascii="Verdana" w:eastAsia="Calibri" w:hAnsi="Verdana" w:cs="Arial"/>
          <w:color w:val="000000" w:themeColor="text1"/>
          <w:sz w:val="20"/>
          <w:szCs w:val="20"/>
          <w:lang w:val="es-MX"/>
        </w:rPr>
      </w:pPr>
    </w:p>
    <w:p w14:paraId="35C48021" w14:textId="77777777" w:rsidR="00154F17" w:rsidRPr="008C6876" w:rsidRDefault="00154F17" w:rsidP="00154F17">
      <w:pPr>
        <w:spacing w:after="0" w:line="240" w:lineRule="auto"/>
        <w:ind w:left="709" w:right="709"/>
        <w:contextualSpacing/>
        <w:jc w:val="both"/>
        <w:rPr>
          <w:rFonts w:ascii="Verdana" w:eastAsia="Calibri" w:hAnsi="Verdana" w:cs="Arial"/>
          <w:color w:val="000000" w:themeColor="text1"/>
          <w:sz w:val="20"/>
          <w:szCs w:val="20"/>
          <w:lang w:val="es-MX"/>
        </w:rPr>
      </w:pPr>
      <w:r w:rsidRPr="008C6876">
        <w:rPr>
          <w:rFonts w:ascii="Verdana" w:eastAsia="Calibri" w:hAnsi="Verdana" w:cs="Arial"/>
          <w:color w:val="000000" w:themeColor="text1"/>
          <w:sz w:val="20"/>
          <w:szCs w:val="20"/>
          <w:lang w:val="es-MX"/>
        </w:rPr>
        <w:t xml:space="preserve">4. Contratación directa. La modalidad de selección de contratación </w:t>
      </w:r>
      <w:proofErr w:type="gramStart"/>
      <w:r w:rsidRPr="008C6876">
        <w:rPr>
          <w:rFonts w:ascii="Verdana" w:eastAsia="Calibri" w:hAnsi="Verdana" w:cs="Arial"/>
          <w:color w:val="000000" w:themeColor="text1"/>
          <w:sz w:val="20"/>
          <w:szCs w:val="20"/>
          <w:lang w:val="es-MX"/>
        </w:rPr>
        <w:t>directa,</w:t>
      </w:r>
      <w:proofErr w:type="gramEnd"/>
      <w:r w:rsidRPr="008C6876">
        <w:rPr>
          <w:rFonts w:ascii="Verdana" w:eastAsia="Calibri" w:hAnsi="Verdana" w:cs="Arial"/>
          <w:color w:val="000000" w:themeColor="text1"/>
          <w:sz w:val="20"/>
          <w:szCs w:val="20"/>
          <w:lang w:val="es-MX"/>
        </w:rPr>
        <w:t xml:space="preserve"> solamente procederá en los siguientes casos:</w:t>
      </w:r>
    </w:p>
    <w:p w14:paraId="4E7438A5" w14:textId="77777777" w:rsidR="00154F17" w:rsidRPr="008C6876" w:rsidRDefault="00154F17" w:rsidP="00154F17">
      <w:pPr>
        <w:spacing w:after="0" w:line="240" w:lineRule="auto"/>
        <w:ind w:left="709" w:right="709"/>
        <w:contextualSpacing/>
        <w:jc w:val="both"/>
        <w:rPr>
          <w:rFonts w:ascii="Verdana" w:eastAsia="Calibri" w:hAnsi="Verdana" w:cs="Arial"/>
          <w:color w:val="000000" w:themeColor="text1"/>
          <w:sz w:val="20"/>
          <w:szCs w:val="20"/>
          <w:lang w:val="es-MX"/>
        </w:rPr>
      </w:pPr>
      <w:r w:rsidRPr="008C6876">
        <w:rPr>
          <w:rFonts w:ascii="Verdana" w:eastAsia="Calibri" w:hAnsi="Verdana" w:cs="Arial"/>
          <w:color w:val="000000" w:themeColor="text1"/>
          <w:sz w:val="20"/>
          <w:szCs w:val="20"/>
          <w:lang w:val="es-MX"/>
        </w:rPr>
        <w:t>[…]</w:t>
      </w:r>
    </w:p>
    <w:p w14:paraId="5BADF6CB" w14:textId="77777777" w:rsidR="00154F17" w:rsidRPr="008C6876" w:rsidRDefault="00154F17" w:rsidP="00154F17">
      <w:pPr>
        <w:spacing w:after="0" w:line="240" w:lineRule="auto"/>
        <w:ind w:left="709" w:right="709"/>
        <w:contextualSpacing/>
        <w:jc w:val="both"/>
        <w:rPr>
          <w:rFonts w:ascii="Verdana" w:eastAsia="Calibri" w:hAnsi="Verdana" w:cs="Arial"/>
          <w:color w:val="000000" w:themeColor="text1"/>
          <w:sz w:val="20"/>
          <w:szCs w:val="20"/>
          <w:lang w:val="es-MX"/>
        </w:rPr>
      </w:pPr>
    </w:p>
    <w:p w14:paraId="3BE1B651" w14:textId="77777777" w:rsidR="00154F17" w:rsidRPr="008C6876" w:rsidRDefault="00154F17" w:rsidP="00154F17">
      <w:pPr>
        <w:spacing w:after="0" w:line="240" w:lineRule="auto"/>
        <w:ind w:left="709" w:right="709"/>
        <w:contextualSpacing/>
        <w:jc w:val="both"/>
        <w:rPr>
          <w:rFonts w:ascii="Verdana" w:eastAsia="Calibri" w:hAnsi="Verdana" w:cs="Arial"/>
          <w:color w:val="000000" w:themeColor="text1"/>
          <w:sz w:val="20"/>
          <w:szCs w:val="20"/>
          <w:lang w:val="es-MX"/>
        </w:rPr>
      </w:pPr>
      <w:r w:rsidRPr="008C6876">
        <w:rPr>
          <w:rFonts w:ascii="Verdana" w:eastAsia="Calibri" w:hAnsi="Verdana"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r w:rsidRPr="008C6876">
        <w:rPr>
          <w:rFonts w:ascii="Verdana" w:eastAsia="Yu Gothic UI Semibold" w:hAnsi="Verdana" w:cs="Arial"/>
          <w:iCs/>
          <w:sz w:val="20"/>
          <w:szCs w:val="20"/>
          <w:lang w:eastAsia="es-MX"/>
        </w:rPr>
        <w:t>”</w:t>
      </w:r>
      <w:r w:rsidRPr="008C6876">
        <w:rPr>
          <w:rFonts w:ascii="Verdana" w:eastAsia="Calibri" w:hAnsi="Verdana" w:cs="Arial"/>
          <w:color w:val="000000" w:themeColor="text1"/>
          <w:sz w:val="20"/>
          <w:szCs w:val="20"/>
          <w:lang w:val="es-MX"/>
        </w:rPr>
        <w:t>.</w:t>
      </w:r>
    </w:p>
    <w:p w14:paraId="5D1C22D5" w14:textId="77777777" w:rsidR="00154F17" w:rsidRPr="008C6876" w:rsidRDefault="00154F17" w:rsidP="00154F17">
      <w:pPr>
        <w:spacing w:after="0" w:line="276" w:lineRule="auto"/>
        <w:jc w:val="both"/>
        <w:rPr>
          <w:rFonts w:ascii="Verdana" w:eastAsia="Arial" w:hAnsi="Verdana" w:cs="Arial"/>
          <w:color w:val="000000"/>
        </w:rPr>
      </w:pPr>
    </w:p>
    <w:p w14:paraId="1B712451" w14:textId="77777777" w:rsidR="00154F17" w:rsidRPr="008C6876" w:rsidRDefault="00154F17" w:rsidP="00154F17">
      <w:pPr>
        <w:tabs>
          <w:tab w:val="left" w:pos="0"/>
        </w:tabs>
        <w:spacing w:after="0" w:line="276" w:lineRule="auto"/>
        <w:jc w:val="both"/>
        <w:rPr>
          <w:rFonts w:ascii="Verdana" w:eastAsia="Arial" w:hAnsi="Verdana" w:cs="Arial"/>
          <w:color w:val="000000"/>
        </w:rPr>
      </w:pPr>
      <w:r w:rsidRPr="008C6876">
        <w:rPr>
          <w:rFonts w:ascii="Verdana" w:eastAsia="Arial" w:hAnsi="Verdana" w:cs="Arial"/>
          <w:color w:val="000000"/>
        </w:rPr>
        <w:tab/>
        <w:t xml:space="preserve">En tal sentido, el artículo 2.2.1.2.1.4.9 del Decreto 1082 de 2015 reglamentó la contratación directa para los contratos de servicios profesionales y de apoyo a la gestión, o para la ejecución de trabajos artísticos que sólo pueden encomendarse a determinadas personas naturales, en los siguientes términos: </w:t>
      </w:r>
    </w:p>
    <w:p w14:paraId="5E8AF038" w14:textId="77777777" w:rsidR="00154F17" w:rsidRPr="008C6876" w:rsidRDefault="00154F17" w:rsidP="00154F17">
      <w:pPr>
        <w:spacing w:after="0" w:line="276" w:lineRule="auto"/>
        <w:ind w:left="709" w:right="709"/>
        <w:jc w:val="both"/>
        <w:rPr>
          <w:rFonts w:ascii="Verdana" w:eastAsia="Yu Gothic UI Semibold" w:hAnsi="Verdana" w:cs="Arial"/>
          <w:iCs/>
          <w:sz w:val="21"/>
          <w:szCs w:val="21"/>
          <w:lang w:eastAsia="es-MX"/>
        </w:rPr>
      </w:pPr>
    </w:p>
    <w:p w14:paraId="132E8869" w14:textId="77777777" w:rsidR="00154F17" w:rsidRPr="008C6876" w:rsidRDefault="00154F17" w:rsidP="00154F17">
      <w:pPr>
        <w:spacing w:after="0" w:line="240" w:lineRule="auto"/>
        <w:ind w:left="709" w:right="709"/>
        <w:contextualSpacing/>
        <w:jc w:val="both"/>
        <w:rPr>
          <w:rFonts w:ascii="Verdana" w:hAnsi="Verdana" w:cs="Arial"/>
          <w:sz w:val="20"/>
          <w:szCs w:val="20"/>
          <w:lang w:val="es-MX"/>
        </w:rPr>
      </w:pPr>
      <w:r w:rsidRPr="008C6876">
        <w:rPr>
          <w:rFonts w:ascii="Verdana" w:eastAsia="Yu Gothic UI Semibold" w:hAnsi="Verdana" w:cs="Arial"/>
          <w:iCs/>
          <w:sz w:val="20"/>
          <w:szCs w:val="20"/>
          <w:lang w:eastAsia="es-MX"/>
        </w:rPr>
        <w:lastRenderedPageBreak/>
        <w:t>“</w:t>
      </w:r>
      <w:r w:rsidRPr="008C6876">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B33E57B" w14:textId="77777777" w:rsidR="00154F17" w:rsidRPr="008C6876" w:rsidRDefault="00154F17" w:rsidP="00154F17">
      <w:pPr>
        <w:spacing w:after="0" w:line="240" w:lineRule="auto"/>
        <w:ind w:left="709" w:right="709"/>
        <w:contextualSpacing/>
        <w:jc w:val="both"/>
        <w:rPr>
          <w:rFonts w:ascii="Verdana" w:hAnsi="Verdana" w:cs="Arial"/>
          <w:sz w:val="20"/>
          <w:szCs w:val="20"/>
          <w:lang w:val="es-MX"/>
        </w:rPr>
      </w:pPr>
    </w:p>
    <w:p w14:paraId="10F78883" w14:textId="77777777" w:rsidR="00154F17" w:rsidRPr="008C6876" w:rsidRDefault="00154F17" w:rsidP="00154F17">
      <w:pPr>
        <w:spacing w:after="0" w:line="240" w:lineRule="auto"/>
        <w:ind w:left="709" w:right="709"/>
        <w:contextualSpacing/>
        <w:jc w:val="both"/>
        <w:rPr>
          <w:rFonts w:ascii="Verdana" w:hAnsi="Verdana" w:cs="Arial"/>
          <w:sz w:val="20"/>
          <w:szCs w:val="20"/>
          <w:lang w:val="es-MX"/>
        </w:rPr>
      </w:pPr>
      <w:r w:rsidRPr="008C6876">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33CC191" w14:textId="77777777" w:rsidR="00154F17" w:rsidRPr="008C6876" w:rsidRDefault="00154F17" w:rsidP="00154F17">
      <w:pPr>
        <w:spacing w:after="0" w:line="240" w:lineRule="auto"/>
        <w:ind w:left="709" w:right="709"/>
        <w:contextualSpacing/>
        <w:jc w:val="both"/>
        <w:rPr>
          <w:rFonts w:ascii="Verdana" w:hAnsi="Verdana" w:cs="Arial"/>
          <w:sz w:val="20"/>
          <w:szCs w:val="20"/>
          <w:lang w:val="es-MX"/>
        </w:rPr>
      </w:pPr>
    </w:p>
    <w:p w14:paraId="4CDA7F16" w14:textId="77777777" w:rsidR="00154F17" w:rsidRPr="008C6876" w:rsidRDefault="00154F17" w:rsidP="00154F17">
      <w:pPr>
        <w:spacing w:after="0" w:line="240" w:lineRule="auto"/>
        <w:ind w:left="709" w:right="709"/>
        <w:contextualSpacing/>
        <w:jc w:val="both"/>
        <w:rPr>
          <w:rFonts w:ascii="Verdana" w:hAnsi="Verdana" w:cs="Arial"/>
          <w:sz w:val="20"/>
          <w:szCs w:val="20"/>
          <w:lang w:val="es-MX"/>
        </w:rPr>
      </w:pPr>
      <w:r w:rsidRPr="008C6876">
        <w:rPr>
          <w:rFonts w:ascii="Verdana" w:hAnsi="Verdana" w:cs="Arial"/>
          <w:sz w:val="20"/>
          <w:szCs w:val="20"/>
          <w:lang w:val="es-MX"/>
        </w:rPr>
        <w:t>La Entidad Estatal, para la contratación de trabajos artísticos que solamente puedan en</w:t>
      </w:r>
      <w:r w:rsidRPr="008C6876">
        <w:rPr>
          <w:rFonts w:ascii="Verdana" w:hAnsi="Verdana" w:cs="Arial"/>
          <w:sz w:val="20"/>
          <w:szCs w:val="20"/>
          <w:lang w:val="es-MX"/>
        </w:rPr>
        <w:softHyphen/>
        <w:t>comendarse a determinadas personas naturales, debe justificar esta situación en los estudios y documentos previos</w:t>
      </w:r>
      <w:r w:rsidRPr="008C6876">
        <w:rPr>
          <w:rFonts w:ascii="Verdana" w:eastAsia="Yu Gothic UI Semibold" w:hAnsi="Verdana" w:cs="Arial"/>
          <w:iCs/>
          <w:sz w:val="20"/>
          <w:szCs w:val="20"/>
          <w:lang w:eastAsia="es-MX"/>
        </w:rPr>
        <w:t>”</w:t>
      </w:r>
      <w:r w:rsidRPr="008C6876">
        <w:rPr>
          <w:rFonts w:ascii="Verdana" w:hAnsi="Verdana" w:cs="Arial"/>
          <w:sz w:val="20"/>
          <w:szCs w:val="20"/>
          <w:lang w:val="es-MX"/>
        </w:rPr>
        <w:t>.</w:t>
      </w:r>
    </w:p>
    <w:p w14:paraId="754A5DA9" w14:textId="77777777" w:rsidR="00154F17" w:rsidRPr="008C6876" w:rsidRDefault="00154F17" w:rsidP="00154F17">
      <w:pPr>
        <w:spacing w:after="0" w:line="276" w:lineRule="auto"/>
        <w:ind w:firstLine="709"/>
        <w:jc w:val="both"/>
        <w:rPr>
          <w:rFonts w:ascii="Verdana" w:eastAsia="Calibri" w:hAnsi="Verdana" w:cs="Arial"/>
          <w:color w:val="000000"/>
          <w:lang w:val="es-ES_tradnl" w:eastAsia="es-ES_tradnl"/>
        </w:rPr>
      </w:pPr>
      <w:r w:rsidRPr="008C6876">
        <w:rPr>
          <w:rFonts w:ascii="Verdana" w:eastAsia="Arial" w:hAnsi="Verdana" w:cs="Arial"/>
          <w:color w:val="000000"/>
        </w:rPr>
        <w:tab/>
      </w:r>
    </w:p>
    <w:p w14:paraId="40F8181A" w14:textId="77777777" w:rsidR="00154F17" w:rsidRPr="008C6876" w:rsidRDefault="00154F17" w:rsidP="00154F17">
      <w:pPr>
        <w:spacing w:after="120" w:line="276" w:lineRule="auto"/>
        <w:ind w:firstLine="709"/>
        <w:jc w:val="both"/>
        <w:rPr>
          <w:rFonts w:ascii="Verdana" w:eastAsia="Calibri" w:hAnsi="Verdana" w:cs="Arial"/>
          <w:color w:val="000000"/>
          <w:lang w:val="es-ES_tradnl" w:eastAsia="es-ES_tradnl"/>
        </w:rPr>
      </w:pPr>
      <w:r w:rsidRPr="008C6876">
        <w:rPr>
          <w:rFonts w:ascii="Verdana" w:eastAsia="Calibri" w:hAnsi="Verdana" w:cs="Arial"/>
          <w:color w:val="000000"/>
          <w:lang w:val="es-ES_tradnl" w:eastAsia="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08C17318" w14:textId="77777777" w:rsidR="00154F17" w:rsidRPr="008C6876" w:rsidRDefault="00154F17" w:rsidP="00154F17">
      <w:pPr>
        <w:tabs>
          <w:tab w:val="left" w:pos="0"/>
        </w:tabs>
        <w:spacing w:after="120" w:line="276" w:lineRule="auto"/>
        <w:jc w:val="both"/>
        <w:rPr>
          <w:rFonts w:ascii="Verdana" w:hAnsi="Verdana" w:cs="Arial"/>
          <w:noProof/>
          <w:lang w:val="es-ES_tradnl"/>
        </w:rPr>
      </w:pPr>
      <w:r w:rsidRPr="008C6876">
        <w:rPr>
          <w:rFonts w:ascii="Verdana" w:eastAsia="Arial" w:hAnsi="Verdana" w:cs="Arial"/>
          <w:color w:val="000000"/>
          <w:lang w:val="es-ES"/>
        </w:rPr>
        <w:tab/>
        <w:t>i</w:t>
      </w:r>
      <w:r w:rsidRPr="008C6876">
        <w:rPr>
          <w:rFonts w:ascii="Verdana" w:eastAsia="Arial" w:hAnsi="Verdana" w:cs="Arial"/>
          <w:color w:val="000000"/>
        </w:rPr>
        <w:t>) Sólo puede celebrarse para realizar “actividades relacionadas con la administración o funcionamiento de la entidad”, es decir, que hagan parte de su giro ordinario o que hacer diario</w:t>
      </w:r>
      <w:r w:rsidRPr="008C6876">
        <w:rPr>
          <w:rFonts w:ascii="Verdana" w:hAnsi="Verdana"/>
          <w:noProof/>
          <w:vertAlign w:val="superscript"/>
          <w:lang w:val="es-ES_tradnl"/>
        </w:rPr>
        <w:footnoteReference w:id="5"/>
      </w:r>
      <w:r w:rsidRPr="008C6876">
        <w:rPr>
          <w:rFonts w:ascii="Verdana" w:hAnsi="Verdana" w:cs="Arial"/>
          <w:noProof/>
          <w:lang w:val="es-ES_tradnl"/>
        </w:rPr>
        <w:t>.</w:t>
      </w:r>
    </w:p>
    <w:p w14:paraId="00690470" w14:textId="77777777" w:rsidR="00154F17" w:rsidRPr="008C6876" w:rsidRDefault="00154F17" w:rsidP="00154F17">
      <w:pPr>
        <w:spacing w:after="120" w:line="276" w:lineRule="auto"/>
        <w:ind w:firstLine="709"/>
        <w:jc w:val="both"/>
        <w:rPr>
          <w:rFonts w:ascii="Verdana" w:eastAsia="Calibri" w:hAnsi="Verdana" w:cs="Arial"/>
          <w:color w:val="000000"/>
          <w:lang w:val="es-ES" w:eastAsia="es-ES"/>
        </w:rPr>
      </w:pPr>
      <w:r w:rsidRPr="008C6876">
        <w:rPr>
          <w:rFonts w:ascii="Verdana" w:hAnsi="Verdana"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r w:rsidRPr="008C6876">
        <w:rPr>
          <w:rFonts w:ascii="Verdana" w:eastAsia="Calibri" w:hAnsi="Verdana" w:cs="Arial"/>
          <w:color w:val="000000"/>
          <w:lang w:val="es-ES" w:eastAsia="es-ES"/>
        </w:rPr>
        <w:t>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7DBF050" w14:textId="77777777" w:rsidR="00154F17" w:rsidRPr="008C6876" w:rsidRDefault="00154F17" w:rsidP="00154F17">
      <w:pPr>
        <w:spacing w:after="120" w:line="276" w:lineRule="auto"/>
        <w:ind w:firstLine="709"/>
        <w:jc w:val="both"/>
        <w:rPr>
          <w:rFonts w:ascii="Verdana" w:hAnsi="Verdana" w:cs="Arial"/>
          <w:noProof/>
          <w:lang w:val="es-ES_tradnl"/>
        </w:rPr>
      </w:pPr>
      <w:r w:rsidRPr="008C6876">
        <w:rPr>
          <w:rFonts w:ascii="Verdana" w:hAnsi="Verdana" w:cs="Arial"/>
          <w:noProof/>
          <w:lang w:val="es-ES_tradnl"/>
        </w:rPr>
        <w:lastRenderedPageBreak/>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8C6876">
        <w:rPr>
          <w:rFonts w:ascii="Verdana" w:hAnsi="Verdana" w:cs="Arial"/>
          <w:i/>
          <w:noProof/>
          <w:lang w:val="es-ES_tradnl"/>
        </w:rPr>
        <w:t xml:space="preserve">subordinación </w:t>
      </w:r>
      <w:r w:rsidRPr="008C6876">
        <w:rPr>
          <w:rFonts w:ascii="Verdana" w:hAnsi="Verdana" w:cs="Arial"/>
          <w:iCs/>
          <w:noProof/>
          <w:lang w:val="es-ES_tradnl"/>
        </w:rPr>
        <w:t>ni</w:t>
      </w:r>
      <w:r w:rsidRPr="008C6876">
        <w:rPr>
          <w:rFonts w:ascii="Verdana" w:hAnsi="Verdana" w:cs="Arial"/>
          <w:i/>
          <w:noProof/>
          <w:lang w:val="es-ES_tradnl"/>
        </w:rPr>
        <w:t xml:space="preserve"> dependencia</w:t>
      </w:r>
      <w:r w:rsidRPr="008C6876">
        <w:rPr>
          <w:rFonts w:ascii="Verdana" w:hAnsi="Verdana" w:cs="Arial"/>
          <w:iCs/>
          <w:noProof/>
          <w:lang w:val="es-ES_tradnl"/>
        </w:rPr>
        <w:t>,</w:t>
      </w:r>
      <w:r w:rsidRPr="008C6876">
        <w:rPr>
          <w:rFonts w:ascii="Verdana" w:hAnsi="Verdana" w:cs="Arial"/>
          <w:noProof/>
          <w:lang w:val="es-ES_tradnl"/>
        </w:rPr>
        <w:t xml:space="preserve"> que es uno de los elementos constitutivos del vínculo laboral</w:t>
      </w:r>
      <w:r w:rsidRPr="008C6876">
        <w:rPr>
          <w:rFonts w:ascii="Verdana" w:hAnsi="Verdana" w:cs="Arial"/>
          <w:noProof/>
          <w:vertAlign w:val="superscript"/>
          <w:lang w:val="es-ES_tradnl"/>
        </w:rPr>
        <w:footnoteReference w:id="6"/>
      </w:r>
      <w:r w:rsidRPr="008C6876">
        <w:rPr>
          <w:rFonts w:ascii="Verdana" w:hAnsi="Verdana" w:cs="Arial"/>
          <w:noProof/>
          <w:lang w:val="es-ES_tradnl"/>
        </w:rPr>
        <w:t xml:space="preserve">. </w:t>
      </w:r>
    </w:p>
    <w:p w14:paraId="2B9F0CAD" w14:textId="77777777" w:rsidR="00154F17" w:rsidRPr="008C6876" w:rsidRDefault="00154F17" w:rsidP="00154F17">
      <w:pPr>
        <w:spacing w:after="120" w:line="276" w:lineRule="auto"/>
        <w:ind w:firstLine="709"/>
        <w:jc w:val="both"/>
        <w:rPr>
          <w:rFonts w:ascii="Verdana" w:hAnsi="Verdana" w:cs="Arial"/>
          <w:noProof/>
          <w:lang w:val="es-ES_tradnl"/>
        </w:rPr>
      </w:pPr>
      <w:r w:rsidRPr="008C6876">
        <w:rPr>
          <w:rFonts w:ascii="Verdana" w:hAnsi="Verdana" w:cs="Arial"/>
          <w:noProof/>
          <w:lang w:val="es-ES_tradnl"/>
        </w:rPr>
        <w:t xml:space="preserve">Por lo anterior,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8C6876">
        <w:rPr>
          <w:rFonts w:ascii="Verdana" w:hAnsi="Verdana" w:cs="Arial"/>
          <w:i/>
          <w:noProof/>
          <w:lang w:val="es-ES_tradnl"/>
        </w:rPr>
        <w:t>no pueden</w:t>
      </w:r>
      <w:r w:rsidRPr="008C6876">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8C6876">
        <w:rPr>
          <w:rFonts w:ascii="Verdana" w:hAnsi="Verdana" w:cs="Arial"/>
          <w:noProof/>
          <w:vertAlign w:val="superscript"/>
          <w:lang w:val="es-ES_tradnl"/>
        </w:rPr>
        <w:footnoteReference w:id="7"/>
      </w:r>
      <w:r w:rsidRPr="008C6876">
        <w:rPr>
          <w:rFonts w:ascii="Verdana" w:hAnsi="Verdana" w:cs="Arial"/>
          <w:noProof/>
          <w:lang w:val="es-ES_tradnl"/>
        </w:rPr>
        <w:t xml:space="preserve">. </w:t>
      </w:r>
    </w:p>
    <w:p w14:paraId="0FB60205" w14:textId="77777777" w:rsidR="00154F17" w:rsidRPr="008C6876" w:rsidRDefault="00154F17" w:rsidP="00154F17">
      <w:pPr>
        <w:spacing w:after="120" w:line="276" w:lineRule="auto"/>
        <w:ind w:firstLine="709"/>
        <w:jc w:val="both"/>
        <w:rPr>
          <w:rFonts w:ascii="Verdana" w:hAnsi="Verdana" w:cs="Arial"/>
          <w:noProof/>
          <w:lang w:val="es-ES_tradnl"/>
        </w:rPr>
      </w:pPr>
      <w:r w:rsidRPr="008C6876">
        <w:rPr>
          <w:rFonts w:ascii="Verdana" w:hAnsi="Verdana" w:cs="Arial"/>
          <w:noProof/>
          <w:lang w:val="es-ES_tradnl"/>
        </w:rPr>
        <w:t xml:space="preserve">A pesar de este mandato deontológico, es posible que en la práctica se configure una relación laboral, pues el contrato de trabajo es </w:t>
      </w:r>
      <w:r w:rsidRPr="008C6876">
        <w:rPr>
          <w:rFonts w:ascii="Verdana" w:hAnsi="Verdana" w:cs="Arial"/>
          <w:i/>
          <w:iCs/>
          <w:noProof/>
          <w:lang w:val="es-ES_tradnl"/>
        </w:rPr>
        <w:t xml:space="preserve">de </w:t>
      </w:r>
      <w:r w:rsidRPr="008C6876">
        <w:rPr>
          <w:rFonts w:ascii="Verdana" w:hAnsi="Verdana" w:cs="Arial"/>
          <w:i/>
          <w:noProof/>
          <w:lang w:val="es-ES_tradnl"/>
        </w:rPr>
        <w:t>realidad</w:t>
      </w:r>
      <w:r w:rsidRPr="008C6876">
        <w:rPr>
          <w:rFonts w:ascii="Verdana" w:hAnsi="Verdana" w:cs="Arial"/>
          <w:noProof/>
          <w:lang w:val="es-ES_tradnl"/>
        </w:rPr>
        <w:t xml:space="preserve"> y para perfeccionarlo rige el principio de prevalencia de la realidad sobre las formalidades. En el sentido anterior, la Corte Constitucional declaró la exequibilidad condicionada </w:t>
      </w:r>
      <w:r w:rsidRPr="008C6876">
        <w:rPr>
          <w:rFonts w:ascii="Verdana" w:hAnsi="Verdana" w:cs="Arial"/>
          <w:noProof/>
          <w:lang w:val="es-ES_tradnl"/>
        </w:rPr>
        <w:lastRenderedPageBreak/>
        <w:t>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8C6876">
        <w:rPr>
          <w:rFonts w:ascii="Verdana" w:hAnsi="Verdana" w:cs="Arial"/>
          <w:noProof/>
          <w:vertAlign w:val="superscript"/>
          <w:lang w:val="es-ES_tradnl"/>
        </w:rPr>
        <w:footnoteReference w:id="8"/>
      </w:r>
      <w:r w:rsidRPr="008C6876">
        <w:rPr>
          <w:rFonts w:ascii="Verdana" w:hAnsi="Verdana" w:cs="Arial"/>
          <w:noProof/>
          <w:lang w:val="es-ES_tradnl"/>
        </w:rPr>
        <w:t>.</w:t>
      </w:r>
    </w:p>
    <w:p w14:paraId="547843FF" w14:textId="77777777" w:rsidR="00154F17" w:rsidRPr="008C6876" w:rsidRDefault="00154F17" w:rsidP="00154F17">
      <w:pPr>
        <w:spacing w:after="0" w:line="276" w:lineRule="auto"/>
        <w:ind w:firstLine="709"/>
        <w:jc w:val="both"/>
        <w:rPr>
          <w:rFonts w:ascii="Verdana" w:hAnsi="Verdana" w:cs="Arial"/>
          <w:noProof/>
          <w:lang w:val="es-ES_tradnl"/>
        </w:rPr>
      </w:pPr>
      <w:r w:rsidRPr="008C6876">
        <w:rPr>
          <w:rFonts w:ascii="Verdana" w:hAnsi="Verdana" w:cs="Arial"/>
          <w:noProof/>
          <w:lang w:val="es-ES_tradnl"/>
        </w:rPr>
        <w:t xml:space="preserve">iv) Deben ser temporales. La </w:t>
      </w:r>
      <w:r w:rsidRPr="008C6876">
        <w:rPr>
          <w:rFonts w:ascii="Verdana" w:eastAsia="Arial" w:hAnsi="Verdana" w:cs="Arial"/>
          <w:color w:val="000000"/>
        </w:rPr>
        <w:t>Sentencia de Unificación Jurisprudencial de 09 de septiembre de 2021, proferida por el Consejo de Estado</w:t>
      </w:r>
      <w:r w:rsidRPr="008C6876">
        <w:rPr>
          <w:rFonts w:ascii="Verdana" w:hAnsi="Verdana" w:cs="Arial"/>
          <w:bCs/>
          <w:vertAlign w:val="superscript"/>
          <w:lang w:val="es-ES"/>
        </w:rPr>
        <w:footnoteReference w:id="9"/>
      </w:r>
      <w:r w:rsidRPr="008C6876">
        <w:rPr>
          <w:rFonts w:ascii="Verdana" w:hAnsi="Verdana" w:cs="Arial"/>
          <w:noProof/>
          <w:lang w:val="es-ES_tradnl"/>
        </w:rPr>
        <w:t xml:space="preserve">,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r w:rsidRPr="008C6876">
        <w:rPr>
          <w:rFonts w:ascii="Verdana" w:hAnsi="Verdana" w:cs="Arial"/>
          <w:lang w:val="es-MX"/>
        </w:rPr>
        <w:t xml:space="preserve">De igual manera, señaló que “no cabe su empleo para la cobertura indefinida de necesidades permanentes o recurrentes”. </w:t>
      </w:r>
      <w:r w:rsidRPr="008C6876">
        <w:rPr>
          <w:rFonts w:ascii="Verdana" w:hAnsi="Verdana" w:cs="Arial"/>
          <w:noProof/>
          <w:lang w:val="es-ES_tradnl"/>
        </w:rPr>
        <w:t>En sentido similar se manifestó la Corte Constitucional en la sentencia C-154 de 1997, expresando que:</w:t>
      </w:r>
    </w:p>
    <w:p w14:paraId="24D560BC" w14:textId="77777777" w:rsidR="00154F17" w:rsidRPr="008C6876" w:rsidRDefault="00154F17" w:rsidP="00154F17">
      <w:pPr>
        <w:spacing w:after="0" w:line="276" w:lineRule="auto"/>
        <w:jc w:val="both"/>
        <w:rPr>
          <w:rFonts w:ascii="Verdana" w:hAnsi="Verdana" w:cs="Arial"/>
          <w:noProof/>
          <w:lang w:val="es-ES_tradnl"/>
        </w:rPr>
      </w:pPr>
    </w:p>
    <w:p w14:paraId="28ECD0A2" w14:textId="77777777" w:rsidR="00154F17" w:rsidRPr="008C6876" w:rsidRDefault="00154F17" w:rsidP="00154F17">
      <w:pPr>
        <w:spacing w:after="0" w:line="240" w:lineRule="auto"/>
        <w:ind w:left="709" w:right="709"/>
        <w:contextualSpacing/>
        <w:jc w:val="both"/>
        <w:rPr>
          <w:rFonts w:ascii="Verdana" w:hAnsi="Verdana" w:cs="Arial"/>
          <w:noProof/>
          <w:sz w:val="20"/>
          <w:szCs w:val="20"/>
          <w:lang w:val="es-ES_tradnl"/>
        </w:rPr>
      </w:pPr>
      <w:r w:rsidRPr="008C6876">
        <w:rPr>
          <w:rFonts w:ascii="Verdana" w:eastAsia="Yu Gothic UI Semibold" w:hAnsi="Verdana" w:cs="Arial"/>
          <w:iCs/>
          <w:sz w:val="20"/>
          <w:szCs w:val="20"/>
          <w:lang w:eastAsia="es-MX"/>
        </w:rPr>
        <w:t>“</w:t>
      </w:r>
      <w:r w:rsidRPr="008C6876">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8C6876">
        <w:rPr>
          <w:rFonts w:ascii="Verdana" w:hAnsi="Verdana" w:cs="Arial"/>
          <w:noProof/>
          <w:sz w:val="20"/>
          <w:szCs w:val="20"/>
          <w:vertAlign w:val="superscript"/>
          <w:lang w:val="es-ES_tradnl"/>
        </w:rPr>
        <w:footnoteReference w:id="10"/>
      </w:r>
      <w:r w:rsidRPr="008C6876">
        <w:rPr>
          <w:rFonts w:ascii="Verdana" w:hAnsi="Verdana" w:cs="Arial"/>
          <w:noProof/>
          <w:sz w:val="20"/>
          <w:szCs w:val="20"/>
          <w:lang w:val="es-ES_tradnl"/>
        </w:rPr>
        <w:t>.</w:t>
      </w:r>
    </w:p>
    <w:p w14:paraId="200CA381" w14:textId="77777777" w:rsidR="00154F17" w:rsidRPr="008C6876" w:rsidRDefault="00154F17" w:rsidP="00154F17">
      <w:pPr>
        <w:spacing w:after="0" w:line="276" w:lineRule="auto"/>
        <w:ind w:left="709" w:right="709"/>
        <w:jc w:val="both"/>
        <w:rPr>
          <w:rFonts w:ascii="Verdana" w:hAnsi="Verdana" w:cs="Arial"/>
          <w:noProof/>
          <w:lang w:val="es-ES_tradnl"/>
        </w:rPr>
      </w:pPr>
    </w:p>
    <w:p w14:paraId="1FE95EBC" w14:textId="77777777" w:rsidR="00154F17" w:rsidRPr="008C6876" w:rsidRDefault="00154F17" w:rsidP="00154F17">
      <w:pPr>
        <w:spacing w:after="120" w:line="276" w:lineRule="auto"/>
        <w:ind w:firstLine="709"/>
        <w:jc w:val="both"/>
        <w:rPr>
          <w:rFonts w:ascii="Verdana" w:eastAsia="Calibri" w:hAnsi="Verdana" w:cs="Arial"/>
          <w:color w:val="000000"/>
          <w:lang w:val="es-ES_tradnl" w:eastAsia="es-ES_tradnl"/>
        </w:rPr>
      </w:pPr>
      <w:r w:rsidRPr="008C6876">
        <w:rPr>
          <w:rFonts w:ascii="Verdana" w:hAnsi="Verdana" w:cs="Arial"/>
          <w:noProof/>
          <w:lang w:val="es-ES_tradnl"/>
        </w:rPr>
        <w:t xml:space="preserve">v) </w:t>
      </w:r>
      <w:r w:rsidRPr="008C6876">
        <w:rPr>
          <w:rFonts w:ascii="Verdana" w:eastAsia="Calibri" w:hAnsi="Verdana" w:cs="Arial"/>
          <w:color w:val="000000"/>
          <w:lang w:val="es-ES_tradnl" w:eastAsia="es-ES_tradnl"/>
        </w:rPr>
        <w:t xml:space="preserve">Los contratos de prestación de servicios constituyen un </w:t>
      </w:r>
      <w:r w:rsidRPr="008C6876">
        <w:rPr>
          <w:rFonts w:ascii="Verdana" w:eastAsia="Calibri" w:hAnsi="Verdana" w:cs="Arial"/>
          <w:i/>
          <w:iCs/>
          <w:color w:val="000000"/>
          <w:lang w:val="es-ES_tradnl" w:eastAsia="es-ES_tradnl"/>
        </w:rPr>
        <w:t>género</w:t>
      </w:r>
      <w:r w:rsidRPr="008C6876">
        <w:rPr>
          <w:rFonts w:ascii="Verdana" w:eastAsia="Calibri" w:hAnsi="Verdana" w:cs="Arial"/>
          <w:color w:val="000000"/>
          <w:lang w:val="es-ES_tradnl" w:eastAsia="es-ES_tradnl"/>
        </w:rPr>
        <w:t xml:space="preserve"> que incluye, como </w:t>
      </w:r>
      <w:r w:rsidRPr="008C6876">
        <w:rPr>
          <w:rFonts w:ascii="Verdana" w:eastAsia="Calibri" w:hAnsi="Verdana" w:cs="Arial"/>
          <w:i/>
          <w:iCs/>
          <w:color w:val="000000"/>
          <w:lang w:val="es-ES_tradnl" w:eastAsia="es-ES_tradnl"/>
        </w:rPr>
        <w:t>especies</w:t>
      </w:r>
      <w:r w:rsidRPr="008C6876">
        <w:rPr>
          <w:rFonts w:ascii="Verdana" w:eastAsia="Calibri" w:hAnsi="Verdana" w:cs="Arial"/>
          <w:color w:val="000000"/>
          <w:lang w:val="es-ES_tradnl" w:eastAsia="es-ES_tradnl"/>
        </w:rPr>
        <w:t xml:space="preserve">, los contratos de prestación de servicios profesionales, los contratos de prestación de servicios de apoyo a la gestión y los contratos de prestación de servicios artísticos que solo pueden encomendarse a determinadas personas </w:t>
      </w:r>
      <w:r w:rsidRPr="008C6876">
        <w:rPr>
          <w:rFonts w:ascii="Verdana" w:eastAsia="Calibri" w:hAnsi="Verdana" w:cs="Arial"/>
          <w:color w:val="000000"/>
          <w:lang w:val="es-ES_tradnl" w:eastAsia="es-ES_tradnl"/>
        </w:rPr>
        <w:lastRenderedPageBreak/>
        <w:t>naturales</w:t>
      </w:r>
      <w:r w:rsidRPr="008C6876">
        <w:rPr>
          <w:rFonts w:ascii="Verdana" w:eastAsia="Calibri" w:hAnsi="Verdana" w:cs="Arial"/>
          <w:color w:val="000000"/>
          <w:vertAlign w:val="superscript"/>
          <w:lang w:val="es-ES_tradnl" w:eastAsia="es-ES_tradnl"/>
        </w:rPr>
        <w:footnoteReference w:id="11"/>
      </w:r>
      <w:r w:rsidRPr="008C6876">
        <w:rPr>
          <w:rFonts w:ascii="Verdana" w:eastAsia="Calibri" w:hAnsi="Verdana" w:cs="Arial"/>
          <w:color w:val="000000"/>
          <w:lang w:val="es-ES_tradnl" w:eastAsia="es-ES_tradnl"/>
        </w:rPr>
        <w:t xml:space="preserve">. La diferencia entre el contrato de prestación de servicios </w:t>
      </w:r>
      <w:r w:rsidRPr="008C6876">
        <w:rPr>
          <w:rFonts w:ascii="Verdana" w:eastAsia="Calibri" w:hAnsi="Verdana" w:cs="Arial"/>
          <w:i/>
          <w:color w:val="000000"/>
          <w:lang w:val="es-ES_tradnl" w:eastAsia="es-ES_tradnl"/>
        </w:rPr>
        <w:t>profesionales</w:t>
      </w:r>
      <w:r w:rsidRPr="008C6876">
        <w:rPr>
          <w:rFonts w:ascii="Verdana" w:eastAsia="Calibri" w:hAnsi="Verdana" w:cs="Arial"/>
          <w:color w:val="000000"/>
          <w:lang w:val="es-ES_tradnl" w:eastAsia="es-ES_tradnl"/>
        </w:rPr>
        <w:t xml:space="preserve"> con las otras dos especies del género en el cual se ubican radica en su contenido intelectual intangible y, al mismo tiempo, en la formación profesional que se exige para desempeñar la labor</w:t>
      </w:r>
      <w:r w:rsidRPr="008C6876">
        <w:rPr>
          <w:rFonts w:ascii="Verdana" w:eastAsia="Calibri" w:hAnsi="Verdana" w:cs="Arial"/>
          <w:color w:val="000000"/>
          <w:vertAlign w:val="superscript"/>
          <w:lang w:val="es-ES_tradnl" w:eastAsia="es-ES_tradnl"/>
        </w:rPr>
        <w:footnoteReference w:id="12"/>
      </w:r>
      <w:r w:rsidRPr="008C6876">
        <w:rPr>
          <w:rFonts w:ascii="Verdana" w:eastAsia="Calibri" w:hAnsi="Verdana" w:cs="Arial"/>
          <w:color w:val="000000"/>
          <w:lang w:val="es-ES_tradnl" w:eastAsia="es-ES_tradnl"/>
        </w:rPr>
        <w:t>.</w:t>
      </w:r>
    </w:p>
    <w:p w14:paraId="56E42817" w14:textId="77777777" w:rsidR="00154F17" w:rsidRPr="008C6876" w:rsidRDefault="00154F17" w:rsidP="00154F17">
      <w:pPr>
        <w:spacing w:after="120" w:line="276" w:lineRule="auto"/>
        <w:ind w:firstLine="709"/>
        <w:jc w:val="both"/>
        <w:rPr>
          <w:rFonts w:ascii="Verdana" w:eastAsia="Calibri" w:hAnsi="Verdana" w:cs="Arial"/>
          <w:color w:val="000000"/>
          <w:lang w:val="es-ES" w:eastAsia="es-ES"/>
        </w:rPr>
      </w:pPr>
      <w:r w:rsidRPr="008C6876">
        <w:rPr>
          <w:rFonts w:ascii="Verdana" w:hAnsi="Verdana" w:cs="Arial"/>
          <w:noProof/>
          <w:lang w:val="es-ES_tradnl"/>
        </w:rPr>
        <w:t xml:space="preserve">vi) Se celebran a través de la modalidad de contratación directa, independientemente de la cuantía y del tipo de servicio profesional, siempre que su objeto no sea la consultoría. Esto por cuanto, como lo indicó </w:t>
      </w:r>
      <w:r w:rsidRPr="008C6876">
        <w:rPr>
          <w:rFonts w:ascii="Verdana" w:eastAsia="Arial" w:hAnsi="Verdana" w:cs="Arial"/>
          <w:color w:val="000000"/>
        </w:rPr>
        <w:t>Sentencia de Unificación Jurisprudencial de 09 de septiembre de 2021, proferida por el Consejo de Estado</w:t>
      </w:r>
      <w:r w:rsidRPr="008C6876">
        <w:rPr>
          <w:rFonts w:ascii="Verdana" w:hAnsi="Verdana" w:cs="Arial"/>
          <w:bCs/>
          <w:vertAlign w:val="superscript"/>
          <w:lang w:val="es-ES"/>
        </w:rPr>
        <w:footnoteReference w:id="13"/>
      </w:r>
      <w:r w:rsidRPr="008C6876">
        <w:rPr>
          <w:rFonts w:ascii="Verdana" w:hAnsi="Verdana" w:cs="Arial"/>
          <w:noProof/>
          <w:lang w:val="es-ES_tradnl"/>
        </w:rPr>
        <w:t>, si bien en ambos existe un componente intelectual y profesional, el objeto del contrato de consultoría es especial y debe celebrarse, por regla general, mediante un concurso de méritos</w:t>
      </w:r>
      <w:r w:rsidRPr="008C6876">
        <w:rPr>
          <w:rFonts w:ascii="Verdana" w:hAnsi="Verdana" w:cs="Arial"/>
          <w:noProof/>
          <w:vertAlign w:val="superscript"/>
          <w:lang w:val="es-ES_tradnl"/>
        </w:rPr>
        <w:footnoteReference w:id="14"/>
      </w:r>
      <w:r w:rsidRPr="008C6876">
        <w:rPr>
          <w:rFonts w:ascii="Verdana" w:hAnsi="Verdana" w:cs="Arial"/>
          <w:noProof/>
          <w:lang w:val="es-ES_tradnl"/>
        </w:rPr>
        <w:t>. Esto también se deriva d</w:t>
      </w:r>
      <w:r w:rsidRPr="008C6876">
        <w:rPr>
          <w:rFonts w:ascii="Verdana" w:eastAsia="Calibri" w:hAnsi="Verdana" w:cs="Arial"/>
          <w:color w:val="000000" w:themeColor="text1"/>
          <w:lang w:val="es-ES_tradnl"/>
        </w:rPr>
        <w:t xml:space="preserve">el artículo 2, numeral 4º, literal h) de la Ley 1150 de 2007, al señalar que procede la contratación directa para la prestación de </w:t>
      </w:r>
      <w:r w:rsidRPr="008C6876">
        <w:rPr>
          <w:rFonts w:ascii="Verdana" w:eastAsia="Calibri" w:hAnsi="Verdana" w:cs="Arial"/>
          <w:color w:val="000000" w:themeColor="text1"/>
          <w:lang w:val="es-ES_tradnl"/>
        </w:rPr>
        <w:lastRenderedPageBreak/>
        <w:t>servicios profesionales y de apoyo a la gestión o para la ejecución de trabajos artísticos que solo pueden encomendarse a determinadas personas.</w:t>
      </w:r>
      <w:r w:rsidRPr="008C6876">
        <w:rPr>
          <w:rFonts w:ascii="Verdana" w:eastAsia="Calibri" w:hAnsi="Verdana" w:cs="Arial"/>
          <w:color w:val="000000"/>
          <w:lang w:val="es-ES" w:eastAsia="es-ES"/>
        </w:rPr>
        <w:t xml:space="preserve"> Pero, tampoco puede suscribirse un contrato de prestación de servicios profesionales para que el contratista ejecute labores que </w:t>
      </w:r>
      <w:proofErr w:type="gramStart"/>
      <w:r w:rsidRPr="008C6876">
        <w:rPr>
          <w:rFonts w:ascii="Verdana" w:eastAsia="Calibri" w:hAnsi="Verdana" w:cs="Arial"/>
          <w:color w:val="000000"/>
          <w:lang w:val="es-ES" w:eastAsia="es-ES"/>
        </w:rPr>
        <w:t>se enmarcan dentro de</w:t>
      </w:r>
      <w:proofErr w:type="gramEnd"/>
      <w:r w:rsidRPr="008C6876">
        <w:rPr>
          <w:rFonts w:ascii="Verdana" w:eastAsia="Calibri" w:hAnsi="Verdana" w:cs="Arial"/>
          <w:color w:val="000000"/>
          <w:lang w:val="es-ES" w:eastAsia="es-ES"/>
        </w:rPr>
        <w:t xml:space="preserve"> los otros contratos tipificados en el artículo 32 de la Ley 80 de 1993, como, por ejemplo, para que el contratista de prestación de servicios construya una obra.</w:t>
      </w:r>
    </w:p>
    <w:p w14:paraId="09E2D360" w14:textId="77777777" w:rsidR="00154F17" w:rsidRPr="008C6876" w:rsidRDefault="00154F17" w:rsidP="00154F17">
      <w:pPr>
        <w:spacing w:after="120" w:line="276" w:lineRule="auto"/>
        <w:ind w:firstLine="709"/>
        <w:jc w:val="both"/>
        <w:rPr>
          <w:rFonts w:ascii="Verdana" w:hAnsi="Verdana" w:cs="Arial"/>
          <w:noProof/>
          <w:lang w:val="es-ES_tradnl"/>
        </w:rPr>
      </w:pPr>
      <w:r w:rsidRPr="008C6876">
        <w:rPr>
          <w:rFonts w:ascii="Verdana" w:hAnsi="Verdana" w:cs="Arial"/>
          <w:noProof/>
          <w:lang w:val="es-ES_tradnl"/>
        </w:rPr>
        <w:t>vii) Para su celebración no se requiere expedir un acto administrativo de justificación de la contratación directa</w:t>
      </w:r>
      <w:r w:rsidRPr="008C6876">
        <w:rPr>
          <w:rFonts w:ascii="Verdana" w:hAnsi="Verdana" w:cs="Arial"/>
          <w:noProof/>
          <w:vertAlign w:val="superscript"/>
          <w:lang w:val="es-ES_tradnl"/>
        </w:rPr>
        <w:footnoteReference w:id="15"/>
      </w:r>
      <w:r w:rsidRPr="008C6876">
        <w:rPr>
          <w:rFonts w:ascii="Verdana" w:hAnsi="Verdana" w:cs="Arial"/>
          <w:noProof/>
          <w:lang w:val="es-ES_tradnl"/>
        </w:rPr>
        <w:t>.</w:t>
      </w:r>
    </w:p>
    <w:p w14:paraId="5DD3B542" w14:textId="77777777" w:rsidR="00154F17" w:rsidRPr="008C6876" w:rsidRDefault="00154F17" w:rsidP="00154F17">
      <w:pPr>
        <w:spacing w:after="120" w:line="276" w:lineRule="auto"/>
        <w:ind w:firstLine="709"/>
        <w:jc w:val="both"/>
        <w:rPr>
          <w:rFonts w:ascii="Verdana" w:hAnsi="Verdana" w:cs="Arial"/>
          <w:noProof/>
          <w:lang w:val="es-ES_tradnl"/>
        </w:rPr>
      </w:pPr>
      <w:r w:rsidRPr="008C6876">
        <w:rPr>
          <w:rFonts w:ascii="Verdana" w:hAnsi="Verdana" w:cs="Arial"/>
          <w:noProof/>
          <w:lang w:val="es-ES_tradnl"/>
        </w:rPr>
        <w:t>viii)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8C6876">
        <w:rPr>
          <w:rFonts w:ascii="Verdana" w:hAnsi="Verdana" w:cs="Arial"/>
          <w:noProof/>
          <w:vertAlign w:val="superscript"/>
          <w:lang w:val="es-ES_tradnl"/>
        </w:rPr>
        <w:footnoteReference w:id="16"/>
      </w:r>
      <w:r w:rsidRPr="008C6876">
        <w:rPr>
          <w:rFonts w:ascii="Verdana" w:hAnsi="Verdana" w:cs="Arial"/>
          <w:noProof/>
          <w:lang w:val="es-ES_tradnl"/>
        </w:rPr>
        <w:t>.</w:t>
      </w:r>
    </w:p>
    <w:p w14:paraId="1DDD8556" w14:textId="77777777" w:rsidR="00154F17" w:rsidRPr="008C6876" w:rsidRDefault="00154F17" w:rsidP="00154F17">
      <w:pPr>
        <w:spacing w:after="120" w:line="276" w:lineRule="auto"/>
        <w:ind w:firstLine="709"/>
        <w:jc w:val="both"/>
        <w:rPr>
          <w:rFonts w:ascii="Verdana" w:hAnsi="Verdana" w:cs="Arial"/>
          <w:noProof/>
          <w:lang w:val="es-ES_tradnl"/>
        </w:rPr>
      </w:pPr>
      <w:r w:rsidRPr="008C6876">
        <w:rPr>
          <w:rFonts w:ascii="Verdana" w:hAnsi="Verdana" w:cs="Arial"/>
          <w:noProof/>
          <w:lang w:val="es-ES_tradnl"/>
        </w:rPr>
        <w:lastRenderedPageBreak/>
        <w:t>ix) No es obligatoria la liquidación de estos contratos, como lo establece el artículo 217 del Decreto 019 de 2012, que modificó el artículo 60 de la Ley 80 de 1993</w:t>
      </w:r>
      <w:r w:rsidRPr="008C6876">
        <w:rPr>
          <w:rFonts w:ascii="Verdana" w:hAnsi="Verdana" w:cs="Arial"/>
          <w:noProof/>
          <w:vertAlign w:val="superscript"/>
          <w:lang w:val="es-ES_tradnl"/>
        </w:rPr>
        <w:footnoteReference w:id="17"/>
      </w:r>
      <w:r w:rsidRPr="008C6876">
        <w:rPr>
          <w:rFonts w:ascii="Verdana" w:hAnsi="Verdana" w:cs="Arial"/>
          <w:noProof/>
          <w:lang w:val="es-ES_tradnl"/>
        </w:rPr>
        <w:t>.</w:t>
      </w:r>
    </w:p>
    <w:p w14:paraId="5650FE58" w14:textId="77777777" w:rsidR="00154F17" w:rsidRPr="008C6876" w:rsidRDefault="00154F17" w:rsidP="00154F17">
      <w:pPr>
        <w:spacing w:after="120" w:line="276" w:lineRule="auto"/>
        <w:ind w:firstLine="709"/>
        <w:jc w:val="both"/>
        <w:rPr>
          <w:rFonts w:ascii="Verdana" w:hAnsi="Verdana" w:cs="Arial"/>
          <w:noProof/>
          <w:lang w:val="es-ES_tradnl"/>
        </w:rPr>
      </w:pPr>
      <w:r w:rsidRPr="008C6876">
        <w:rPr>
          <w:rFonts w:ascii="Verdana" w:hAnsi="Verdana" w:cs="Arial"/>
          <w:noProof/>
          <w:lang w:val="es-ES_tradnl"/>
        </w:rPr>
        <w:t>x) Para su celebración el contratista no requiere estar inscrito en el Registro Único de Proponentes –en adelante RUP–, como lo señala el artículo 6 de la Ley 1150 de 2007</w:t>
      </w:r>
      <w:r w:rsidRPr="008C6876">
        <w:rPr>
          <w:rFonts w:ascii="Verdana" w:hAnsi="Verdana" w:cs="Arial"/>
          <w:noProof/>
          <w:vertAlign w:val="superscript"/>
          <w:lang w:val="es-ES_tradnl"/>
        </w:rPr>
        <w:footnoteReference w:id="18"/>
      </w:r>
      <w:r w:rsidRPr="008C6876">
        <w:rPr>
          <w:rFonts w:ascii="Verdana" w:hAnsi="Verdana" w:cs="Arial"/>
          <w:noProof/>
          <w:lang w:val="es-ES_tradnl"/>
        </w:rPr>
        <w:t>.</w:t>
      </w:r>
    </w:p>
    <w:p w14:paraId="7C3A6875" w14:textId="77777777" w:rsidR="00154F17" w:rsidRPr="008C6876" w:rsidRDefault="00154F17" w:rsidP="00154F17">
      <w:pPr>
        <w:spacing w:after="120" w:line="276" w:lineRule="auto"/>
        <w:ind w:firstLine="708"/>
        <w:jc w:val="both"/>
        <w:rPr>
          <w:rFonts w:ascii="Verdana" w:hAnsi="Verdana" w:cs="Arial"/>
          <w:noProof/>
          <w:lang w:val="es-ES_tradnl"/>
        </w:rPr>
      </w:pPr>
      <w:r w:rsidRPr="008C6876">
        <w:rPr>
          <w:rFonts w:ascii="Verdana" w:hAnsi="Verdana" w:cs="Arial"/>
          <w:noProof/>
          <w:lang w:val="es-ES_tradnl"/>
        </w:rPr>
        <w:t>xi) No es obligtoria la exigencia de garantías</w:t>
      </w:r>
      <w:r w:rsidRPr="008C6876">
        <w:rPr>
          <w:rFonts w:ascii="Verdana" w:hAnsi="Verdana" w:cs="Arial"/>
          <w:noProof/>
          <w:vertAlign w:val="superscript"/>
          <w:lang w:val="es-ES_tradnl"/>
        </w:rPr>
        <w:footnoteReference w:id="19"/>
      </w:r>
      <w:r w:rsidRPr="008C6876">
        <w:rPr>
          <w:rFonts w:ascii="Verdana" w:hAnsi="Verdana" w:cs="Arial"/>
          <w:noProof/>
          <w:lang w:val="es-ES_tradnl"/>
        </w:rPr>
        <w:t>.</w:t>
      </w:r>
    </w:p>
    <w:p w14:paraId="67C63F52" w14:textId="77777777" w:rsidR="00154F17" w:rsidRPr="008C6876" w:rsidRDefault="00154F17" w:rsidP="00154F17">
      <w:pPr>
        <w:spacing w:after="120" w:line="276" w:lineRule="auto"/>
        <w:ind w:firstLine="709"/>
        <w:jc w:val="both"/>
        <w:rPr>
          <w:rFonts w:ascii="Verdana" w:hAnsi="Verdana" w:cs="Arial"/>
          <w:noProof/>
          <w:lang w:val="es-ES_tradnl"/>
        </w:rPr>
      </w:pPr>
      <w:r w:rsidRPr="008C6876">
        <w:rPr>
          <w:rFonts w:ascii="Verdana" w:hAnsi="Verdana" w:cs="Arial"/>
          <w:noProof/>
          <w:lang w:val="es-ES_tradnl"/>
        </w:rPr>
        <w:t>xii) Como los demás contratos estatales, se trata de un contrato solemne que debe constar por escrito y debe ser publicado en el SECOP.</w:t>
      </w:r>
    </w:p>
    <w:p w14:paraId="3B781F81" w14:textId="77777777" w:rsidR="00154F17" w:rsidRPr="008C6876" w:rsidRDefault="00154F17" w:rsidP="00154F17">
      <w:pPr>
        <w:spacing w:after="0" w:line="276" w:lineRule="auto"/>
        <w:ind w:firstLine="709"/>
        <w:jc w:val="both"/>
        <w:rPr>
          <w:rFonts w:ascii="Verdana" w:hAnsi="Verdana" w:cs="Arial"/>
          <w:noProof/>
          <w:lang w:val="es-ES"/>
        </w:rPr>
      </w:pPr>
      <w:r w:rsidRPr="008C6876">
        <w:rPr>
          <w:rFonts w:ascii="Verdana" w:hAnsi="Verdana" w:cs="Arial"/>
          <w:noProof/>
          <w:lang w:val="es-ES_tradnl"/>
        </w:rPr>
        <w:t xml:space="preserve">Analizadas las caracteristicas del contrato de prestación de servicios, se procede al estudio de la procedencia de la estabilidad ocupacional reforzada de las mujeres en estado de emabarazo y periodo de lactancia en este tipo de relaciones juridicas. </w:t>
      </w:r>
    </w:p>
    <w:p w14:paraId="0A5D753A" w14:textId="77777777" w:rsidR="00154F17" w:rsidRPr="008C6876" w:rsidRDefault="00154F17" w:rsidP="00154F17">
      <w:pPr>
        <w:spacing w:after="0" w:line="276" w:lineRule="auto"/>
        <w:jc w:val="both"/>
        <w:rPr>
          <w:rFonts w:ascii="Verdana" w:hAnsi="Verdana" w:cs="Arial"/>
          <w:color w:val="000000" w:themeColor="text1"/>
          <w:lang w:val="es-ES_tradnl"/>
        </w:rPr>
      </w:pPr>
    </w:p>
    <w:p w14:paraId="3E66F1FC" w14:textId="77777777" w:rsidR="00154F17" w:rsidRPr="008C6876" w:rsidRDefault="00154F17" w:rsidP="00154F17">
      <w:pPr>
        <w:spacing w:after="0" w:line="276" w:lineRule="auto"/>
        <w:jc w:val="both"/>
        <w:rPr>
          <w:rFonts w:ascii="Verdana" w:hAnsi="Verdana" w:cs="Arial"/>
          <w:b/>
          <w:bCs/>
          <w:color w:val="000000" w:themeColor="text1"/>
          <w:lang w:val="es-MX"/>
        </w:rPr>
      </w:pPr>
      <w:bookmarkStart w:id="5" w:name="_Hlk151110740"/>
      <w:r w:rsidRPr="008C6876">
        <w:rPr>
          <w:rFonts w:ascii="Verdana" w:hAnsi="Verdana" w:cs="Arial"/>
          <w:b/>
          <w:bCs/>
          <w:color w:val="000000" w:themeColor="text1"/>
          <w:lang w:val="es-MX"/>
        </w:rPr>
        <w:t>2.2. Estabilidad ocupacional reforzada de las mujeres embarazadas o en periodo de lactancia frente a los contratos de prestación de servicios. Reiteración de línea</w:t>
      </w:r>
    </w:p>
    <w:p w14:paraId="0E5E2811" w14:textId="77777777" w:rsidR="00154F17" w:rsidRPr="008C6876" w:rsidRDefault="00154F17" w:rsidP="00154F17">
      <w:pPr>
        <w:tabs>
          <w:tab w:val="left" w:pos="0"/>
        </w:tabs>
        <w:spacing w:after="0" w:line="276" w:lineRule="auto"/>
        <w:jc w:val="both"/>
        <w:rPr>
          <w:rFonts w:ascii="Verdana" w:hAnsi="Verdana" w:cs="Arial"/>
          <w:noProof/>
          <w:lang w:val="es-ES_tradnl"/>
        </w:rPr>
      </w:pPr>
    </w:p>
    <w:p w14:paraId="4D33CDA5" w14:textId="77777777" w:rsidR="00154F17" w:rsidRPr="008C6876" w:rsidRDefault="00154F17" w:rsidP="00154F17">
      <w:pPr>
        <w:tabs>
          <w:tab w:val="left" w:pos="0"/>
        </w:tabs>
        <w:spacing w:after="120" w:line="276" w:lineRule="auto"/>
        <w:jc w:val="both"/>
        <w:rPr>
          <w:rFonts w:ascii="Verdana" w:hAnsi="Verdana" w:cs="Arial"/>
          <w:noProof/>
          <w:lang w:val="es-ES_tradnl"/>
        </w:rPr>
      </w:pPr>
      <w:r w:rsidRPr="008C6876">
        <w:rPr>
          <w:rFonts w:ascii="Verdana" w:hAnsi="Verdana" w:cs="Arial"/>
          <w:noProof/>
          <w:lang w:val="es-ES_tradnl"/>
        </w:rPr>
        <w:lastRenderedPageBreak/>
        <w:t>El fuero de maternidad es una figura que otorga una protección reforzada a la futura madre y a la que acaba de serlo, es decir, a la mujer que se encuentre en estado de embarazo y en periodo de lactancia, con el fin de que el proceso de gestación no interfiera en la estabilidad laboral que, como trabajadora, le asiste. El propósito es que las aspiraciones familiares y profesionales de la mujer no se excluyan y puedan armonizarse, al punto de desarrollar su proyecto de vida y su personalidad en condicionrd de dignidad y libertad, pues históricamente el estado de gravidez ha constituido un motivo de exclusión de la mujer en el trabajo, en el que es preciso “impedir la discriminación constituida por el despido, la terminación o la no renovación del contrato por causa o con ocasión del embarazo o la lactancia”</w:t>
      </w:r>
      <w:r w:rsidRPr="008C6876">
        <w:rPr>
          <w:rFonts w:ascii="Verdana" w:eastAsia="Calibri" w:hAnsi="Verdana" w:cs="Arial"/>
          <w:bCs/>
          <w:vertAlign w:val="superscript"/>
        </w:rPr>
        <w:t xml:space="preserve"> </w:t>
      </w:r>
      <w:r w:rsidRPr="008C6876">
        <w:rPr>
          <w:rFonts w:ascii="Verdana" w:eastAsia="Calibri" w:hAnsi="Verdana" w:cs="Arial"/>
          <w:bCs/>
          <w:vertAlign w:val="superscript"/>
        </w:rPr>
        <w:footnoteReference w:id="20"/>
      </w:r>
      <w:r w:rsidRPr="008C6876">
        <w:rPr>
          <w:rFonts w:ascii="Verdana" w:eastAsia="Calibri" w:hAnsi="Verdana" w:cs="Arial"/>
          <w:bCs/>
        </w:rPr>
        <w:t>.</w:t>
      </w:r>
    </w:p>
    <w:p w14:paraId="576518FE" w14:textId="77777777" w:rsidR="00154F17" w:rsidRPr="008C6876" w:rsidRDefault="00154F17" w:rsidP="00154F17">
      <w:pPr>
        <w:spacing w:after="120" w:line="276" w:lineRule="auto"/>
        <w:ind w:firstLine="708"/>
        <w:jc w:val="both"/>
        <w:rPr>
          <w:rFonts w:ascii="Verdana" w:hAnsi="Verdana"/>
        </w:rPr>
      </w:pPr>
      <w:r w:rsidRPr="008C6876">
        <w:rPr>
          <w:rFonts w:ascii="Verdana" w:hAnsi="Verdana"/>
        </w:rPr>
        <w:t>Con el fin de aclarar el objeto bajo consulta, se explicarán las dos (2) posiciones que ha definido al Corte Constitucional para proteger el fuero de maternidad a una mujer que está vinculada a través de un contrato de prestación de servicios. Lo anterior, pa</w:t>
      </w:r>
      <w:bookmarkEnd w:id="5"/>
      <w:r w:rsidRPr="008C6876">
        <w:rPr>
          <w:rFonts w:ascii="Verdana" w:hAnsi="Verdana"/>
        </w:rPr>
        <w:t xml:space="preserve">ra determinar cuál es la posición del Alto Tribunal Constitucional en la defensa del derecho a la estabilidad ocupacional reforzada. </w:t>
      </w:r>
    </w:p>
    <w:p w14:paraId="5C7CB13F" w14:textId="77777777" w:rsidR="00154F17" w:rsidRPr="008C6876" w:rsidRDefault="00154F17" w:rsidP="00154F17">
      <w:pPr>
        <w:tabs>
          <w:tab w:val="left" w:pos="0"/>
        </w:tabs>
        <w:spacing w:after="120" w:line="276" w:lineRule="auto"/>
        <w:jc w:val="both"/>
        <w:rPr>
          <w:rFonts w:ascii="Verdana" w:hAnsi="Verdana" w:cs="Arial"/>
        </w:rPr>
      </w:pPr>
      <w:r w:rsidRPr="008C6876">
        <w:rPr>
          <w:rFonts w:ascii="Verdana" w:eastAsia="Arial" w:hAnsi="Verdana" w:cs="Arial"/>
          <w:color w:val="000000"/>
        </w:rPr>
        <w:tab/>
        <w:t>La Corte Constitucional, en la Sentencia SU-070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8C6876">
        <w:rPr>
          <w:rFonts w:ascii="Verdana" w:hAnsi="Verdana" w:cs="Arial"/>
          <w:vertAlign w:val="superscript"/>
        </w:rPr>
        <w:footnoteReference w:id="21"/>
      </w:r>
      <w:r w:rsidRPr="008C6876">
        <w:rPr>
          <w:rFonts w:ascii="Verdana" w:hAnsi="Verdana" w:cs="Arial"/>
        </w:rPr>
        <w:t xml:space="preserve">. De esta forma, según el criterio fijado por la Corte en la Sentencia SU-070 de 2023, la protección a la estabilidad laboral reforzada de mujeres vinculadas a través de un contrato de </w:t>
      </w:r>
      <w:r w:rsidRPr="008C6876">
        <w:rPr>
          <w:rFonts w:ascii="Verdana" w:hAnsi="Verdana" w:cs="Arial"/>
        </w:rPr>
        <w:lastRenderedPageBreak/>
        <w:t xml:space="preserve">prestación de servicios sólo procede frente aquellos casos donde se verifique la concurrencia de los tres (3) elementos del contrato de trabajo. </w:t>
      </w:r>
    </w:p>
    <w:p w14:paraId="36A8AA16" w14:textId="77777777" w:rsidR="00154F17" w:rsidRPr="008C6876" w:rsidRDefault="00154F17" w:rsidP="00154F17">
      <w:pPr>
        <w:pStyle w:val="Textoindependiente"/>
        <w:spacing w:after="120" w:line="276" w:lineRule="auto"/>
        <w:ind w:firstLine="408"/>
        <w:jc w:val="both"/>
        <w:rPr>
          <w:rFonts w:ascii="Verdana" w:hAnsi="Verdana" w:cs="Arial"/>
          <w:sz w:val="22"/>
          <w:szCs w:val="22"/>
          <w:lang w:eastAsia="en-US"/>
        </w:rPr>
      </w:pPr>
      <w:r w:rsidRPr="008C6876">
        <w:rPr>
          <w:rFonts w:ascii="Verdana" w:hAnsi="Verdana" w:cs="Arial"/>
          <w:sz w:val="22"/>
          <w:szCs w:val="22"/>
        </w:rPr>
        <w:t>Ahora bien, el Alto Tribunal Constitucional, en las sentencias T-102 de 2016</w:t>
      </w:r>
      <w:r w:rsidRPr="008C6876">
        <w:rPr>
          <w:rStyle w:val="Refdenotaalpie"/>
          <w:rFonts w:ascii="Verdana" w:hAnsi="Verdana" w:cs="Arial"/>
          <w:sz w:val="22"/>
          <w:szCs w:val="22"/>
        </w:rPr>
        <w:footnoteReference w:id="22"/>
      </w:r>
      <w:r w:rsidRPr="008C6876">
        <w:rPr>
          <w:rFonts w:ascii="Verdana" w:hAnsi="Verdana" w:cs="Arial"/>
          <w:sz w:val="22"/>
          <w:szCs w:val="22"/>
        </w:rPr>
        <w:t xml:space="preserve"> y T-564 de 2017</w:t>
      </w:r>
      <w:r w:rsidRPr="008C6876">
        <w:rPr>
          <w:rStyle w:val="Refdenotaalpie"/>
          <w:rFonts w:ascii="Verdana" w:hAnsi="Verdana" w:cs="Arial"/>
          <w:sz w:val="22"/>
          <w:szCs w:val="22"/>
        </w:rPr>
        <w:footnoteReference w:id="23"/>
      </w:r>
      <w:r w:rsidRPr="008C6876">
        <w:rPr>
          <w:rFonts w:ascii="Verdana" w:hAnsi="Verdana" w:cs="Arial"/>
          <w:sz w:val="22"/>
          <w:szCs w:val="22"/>
        </w:rPr>
        <w:t xml:space="preserve"> estableció otra posición, en los eventos donde no se prueba la configuración del contrato realidad en el contrato de prestación de servicios, señalando que este no es un motivo suficiente para desproteger los derechos de la estabilidad ocupacional reforzada de la mujer embarazada, si se comprueba que la terminación del contrato es discriminatoria y no atiende a un motivo objetivo.</w:t>
      </w:r>
    </w:p>
    <w:p w14:paraId="7F91CC8E" w14:textId="77777777" w:rsidR="00154F17" w:rsidRPr="008C6876" w:rsidRDefault="00154F17" w:rsidP="00154F17">
      <w:pPr>
        <w:tabs>
          <w:tab w:val="left" w:pos="0"/>
        </w:tabs>
        <w:spacing w:after="120" w:line="276" w:lineRule="auto"/>
        <w:jc w:val="both"/>
        <w:rPr>
          <w:rFonts w:ascii="Verdana" w:hAnsi="Verdana" w:cs="Arial"/>
        </w:rPr>
      </w:pPr>
      <w:r w:rsidRPr="008C6876">
        <w:rPr>
          <w:rFonts w:ascii="Verdana" w:hAnsi="Verdana" w:cs="Arial"/>
        </w:rPr>
        <w:tab/>
        <w:t xml:space="preserve">De acuerdo con la sentencia T-564 de 2017, a pesar de no probarse la configuración del contrato realidad, se debe proteger a la mujer en estado embarazo, </w:t>
      </w:r>
      <w:r w:rsidRPr="008C6876">
        <w:rPr>
          <w:rFonts w:ascii="Verdana" w:hAnsi="Verdana" w:cs="Arial"/>
        </w:rPr>
        <w:lastRenderedPageBreak/>
        <w:t>vinculada a través de un contrato de prestación de servicios, porque a pesar de que la trabajadora informó al empleador de su estado de gestación, éste terminó anticipadamente su contrato, configurándose una terminación por motivos discriminatorios. Por su parte, la sentencia T-102 de 2016, si bien reconoce la existencia del contrato realidad, reitera que el empleador no demostró ningún motivo objetivo que justificara la terminación del contrato, ya sea porque la actividad que venía realizando ya no era necesaria, o porque no probó que las causas que originaron la contratación desaparecieron, entre otros.</w:t>
      </w:r>
    </w:p>
    <w:p w14:paraId="17615721" w14:textId="77777777" w:rsidR="00154F17" w:rsidRPr="008C6876" w:rsidRDefault="00154F17" w:rsidP="00154F17">
      <w:pPr>
        <w:spacing w:after="0" w:line="276" w:lineRule="auto"/>
        <w:ind w:firstLine="709"/>
        <w:jc w:val="both"/>
        <w:rPr>
          <w:rFonts w:ascii="Verdana" w:eastAsiaTheme="minorEastAsia" w:hAnsi="Verdana" w:cs="Arial"/>
          <w:lang w:eastAsia="es-CO"/>
        </w:rPr>
      </w:pPr>
      <w:r w:rsidRPr="008C6876">
        <w:rPr>
          <w:rFonts w:ascii="Verdana" w:eastAsiaTheme="minorEastAsia" w:hAnsi="Verdana" w:cs="Arial"/>
          <w:lang w:eastAsia="es-CO"/>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0C584410" w14:textId="77777777" w:rsidR="00154F17" w:rsidRPr="008C6876" w:rsidRDefault="00154F17" w:rsidP="00154F17">
      <w:pPr>
        <w:spacing w:after="0" w:line="276" w:lineRule="auto"/>
        <w:ind w:left="709" w:right="709"/>
        <w:jc w:val="both"/>
        <w:rPr>
          <w:rFonts w:ascii="Verdana" w:hAnsi="Verdana" w:cs="Arial"/>
        </w:rPr>
      </w:pPr>
    </w:p>
    <w:p w14:paraId="3137E0B2" w14:textId="77777777" w:rsidR="00154F17" w:rsidRPr="008C6876" w:rsidRDefault="00154F17" w:rsidP="00154F17">
      <w:pPr>
        <w:spacing w:line="240" w:lineRule="auto"/>
        <w:ind w:left="709" w:right="709"/>
        <w:contextualSpacing/>
        <w:jc w:val="both"/>
        <w:rPr>
          <w:rFonts w:ascii="Verdana" w:hAnsi="Verdana" w:cs="Arial"/>
          <w:i/>
          <w:sz w:val="20"/>
          <w:szCs w:val="20"/>
        </w:rPr>
      </w:pPr>
      <w:r w:rsidRPr="008C6876">
        <w:rPr>
          <w:rFonts w:ascii="Verdana" w:eastAsia="Yu Gothic UI Semibold" w:hAnsi="Verdana" w:cs="Arial"/>
          <w:iCs/>
          <w:sz w:val="20"/>
          <w:szCs w:val="20"/>
          <w:lang w:eastAsia="es-MX"/>
        </w:rPr>
        <w:t>“</w:t>
      </w:r>
      <w:r w:rsidRPr="008C6876">
        <w:rPr>
          <w:rFonts w:ascii="Verdana" w:hAnsi="Verdana" w:cs="Arial"/>
          <w:sz w:val="20"/>
          <w:szCs w:val="20"/>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8C6876">
        <w:rPr>
          <w:rFonts w:ascii="Verdana" w:hAnsi="Verdana" w:cs="Arial"/>
          <w:i/>
          <w:sz w:val="20"/>
          <w:szCs w:val="20"/>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8C6876">
        <w:rPr>
          <w:rFonts w:ascii="Verdana" w:hAnsi="Verdana" w:cs="Arial"/>
          <w:i/>
          <w:spacing w:val="-5"/>
          <w:sz w:val="20"/>
          <w:szCs w:val="20"/>
        </w:rPr>
        <w:t xml:space="preserve"> </w:t>
      </w:r>
      <w:r w:rsidRPr="008C6876">
        <w:rPr>
          <w:rFonts w:ascii="Verdana" w:hAnsi="Verdana" w:cs="Arial"/>
          <w:i/>
          <w:sz w:val="20"/>
          <w:szCs w:val="20"/>
        </w:rPr>
        <w:t>objetivo.</w:t>
      </w:r>
    </w:p>
    <w:p w14:paraId="47B3E00F" w14:textId="77777777" w:rsidR="00154F17" w:rsidRPr="008C6876" w:rsidRDefault="00154F17" w:rsidP="00154F17">
      <w:pPr>
        <w:spacing w:line="240" w:lineRule="auto"/>
        <w:ind w:left="709" w:right="709"/>
        <w:contextualSpacing/>
        <w:jc w:val="both"/>
        <w:rPr>
          <w:rFonts w:ascii="Verdana" w:hAnsi="Verdana" w:cs="Arial"/>
          <w:i/>
          <w:sz w:val="20"/>
          <w:szCs w:val="20"/>
        </w:rPr>
      </w:pPr>
    </w:p>
    <w:p w14:paraId="5AA77FA8" w14:textId="77777777" w:rsidR="00154F17" w:rsidRPr="008C6876" w:rsidRDefault="00154F17" w:rsidP="00154F17">
      <w:pPr>
        <w:spacing w:after="0" w:line="240" w:lineRule="auto"/>
        <w:ind w:left="709" w:right="709"/>
        <w:contextualSpacing/>
        <w:jc w:val="both"/>
        <w:rPr>
          <w:rFonts w:ascii="Verdana" w:hAnsi="Verdana" w:cs="Arial"/>
          <w:sz w:val="20"/>
          <w:szCs w:val="20"/>
        </w:rPr>
      </w:pPr>
      <w:r w:rsidRPr="008C6876">
        <w:rPr>
          <w:rFonts w:ascii="Verdana" w:hAnsi="Verdana" w:cs="Arial"/>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8C6876">
        <w:rPr>
          <w:rFonts w:ascii="Verdana" w:hAnsi="Verdana" w:cs="Arial"/>
          <w:noProof/>
          <w:sz w:val="20"/>
          <w:szCs w:val="20"/>
          <w:lang w:val="es-ES_tradnl"/>
        </w:rPr>
        <w:t>”</w:t>
      </w:r>
      <w:r w:rsidRPr="008C6876">
        <w:rPr>
          <w:rFonts w:ascii="Verdana" w:hAnsi="Verdana" w:cs="Arial"/>
          <w:sz w:val="20"/>
          <w:szCs w:val="20"/>
        </w:rPr>
        <w:t>. (Énfasis fuera del</w:t>
      </w:r>
      <w:r w:rsidRPr="008C6876">
        <w:rPr>
          <w:rFonts w:ascii="Verdana" w:hAnsi="Verdana" w:cs="Arial"/>
          <w:spacing w:val="-16"/>
          <w:sz w:val="20"/>
          <w:szCs w:val="20"/>
        </w:rPr>
        <w:t xml:space="preserve"> </w:t>
      </w:r>
      <w:r w:rsidRPr="008C6876">
        <w:rPr>
          <w:rFonts w:ascii="Verdana" w:hAnsi="Verdana" w:cs="Arial"/>
          <w:sz w:val="20"/>
          <w:szCs w:val="20"/>
        </w:rPr>
        <w:t>texto).</w:t>
      </w:r>
    </w:p>
    <w:p w14:paraId="66D9328F" w14:textId="77777777" w:rsidR="00154F17" w:rsidRPr="008C6876" w:rsidRDefault="00154F17" w:rsidP="00154F17">
      <w:pPr>
        <w:spacing w:after="0" w:line="276" w:lineRule="auto"/>
        <w:ind w:right="709"/>
        <w:rPr>
          <w:rFonts w:ascii="Verdana" w:eastAsia="Yu Gothic UI Semibold" w:hAnsi="Verdana" w:cs="Arial"/>
          <w:b/>
          <w:lang w:eastAsia="es-CO"/>
        </w:rPr>
      </w:pPr>
    </w:p>
    <w:p w14:paraId="357592AF" w14:textId="77777777" w:rsidR="00154F17" w:rsidRPr="008C6876" w:rsidRDefault="00154F17" w:rsidP="00154F17">
      <w:pPr>
        <w:spacing w:after="120" w:line="276" w:lineRule="auto"/>
        <w:ind w:right="108"/>
        <w:jc w:val="both"/>
        <w:rPr>
          <w:rFonts w:ascii="Verdana" w:eastAsia="Yu Gothic UI Semibold" w:hAnsi="Verdana" w:cs="Arial"/>
          <w:i/>
          <w:lang w:eastAsia="es-MX"/>
        </w:rPr>
      </w:pPr>
      <w:r w:rsidRPr="008C6876">
        <w:rPr>
          <w:rFonts w:ascii="Verdana" w:eastAsia="Yu Gothic UI Semibold" w:hAnsi="Verdana" w:cs="Arial"/>
          <w:lang w:eastAsia="es-CO"/>
        </w:rPr>
        <w:tab/>
        <w:t xml:space="preserve">Finalmente, la Corte Constitucional profirió la sentencia de unificación SU-075 de 2018, en la cual recoge, entre otras, las sentencias T-030 de 2018 y T-350 del 2016. En esta providencia, el Alto Tribunal estableció unos criterios con el fin de impedir la discriminación que puede presentarse frente a una mujer en estado de embarazo o lactancia, específicamente, respecto a la terminación o la no renovación </w:t>
      </w:r>
      <w:r w:rsidRPr="008C6876">
        <w:rPr>
          <w:rFonts w:ascii="Verdana" w:eastAsia="Yu Gothic UI Semibold" w:hAnsi="Verdana" w:cs="Arial"/>
          <w:lang w:eastAsia="es-CO"/>
        </w:rPr>
        <w:lastRenderedPageBreak/>
        <w:t>del contrato. Dicha providencia dio paso a establecer que, el denominado</w:t>
      </w:r>
      <w:r w:rsidRPr="008C6876">
        <w:rPr>
          <w:rFonts w:ascii="Verdana" w:eastAsia="Yu Gothic UI Semibold" w:hAnsi="Verdana" w:cs="Arial"/>
          <w:i/>
          <w:lang w:eastAsia="es-CO"/>
        </w:rPr>
        <w:t xml:space="preserve"> </w:t>
      </w:r>
      <w:r w:rsidRPr="008C6876">
        <w:rPr>
          <w:rFonts w:ascii="Verdana" w:eastAsia="Yu Gothic UI Semibold" w:hAnsi="Verdana" w:cs="Arial"/>
          <w:i/>
          <w:lang w:eastAsia="es-MX"/>
        </w:rPr>
        <w:t>“</w:t>
      </w:r>
      <w:r w:rsidRPr="008C6876">
        <w:rPr>
          <w:rFonts w:ascii="Verdana" w:eastAsia="Yu Gothic UI Semibold" w:hAnsi="Verdana" w:cs="Arial"/>
          <w:i/>
          <w:lang w:eastAsia="es-CO"/>
        </w:rPr>
        <w:t>fuero de maternidad</w:t>
      </w:r>
      <w:r w:rsidRPr="008C6876">
        <w:rPr>
          <w:rFonts w:ascii="Verdana" w:eastAsia="Yu Gothic UI Semibold" w:hAnsi="Verdana" w:cs="Arial"/>
          <w:i/>
          <w:lang w:eastAsia="es-MX"/>
        </w:rPr>
        <w:t>”</w:t>
      </w:r>
      <w:r w:rsidRPr="008C6876">
        <w:rPr>
          <w:rFonts w:ascii="Verdana" w:eastAsia="Yu Gothic UI Semibold" w:hAnsi="Verdana" w:cs="Arial"/>
          <w:lang w:eastAsia="es-CO"/>
        </w:rPr>
        <w:t xml:space="preserve"> encuentra también su sustento en la cláusula general de igualdad de la Constitución </w:t>
      </w:r>
      <w:r w:rsidRPr="008C6876">
        <w:rPr>
          <w:rFonts w:ascii="Verdana" w:eastAsia="Yu Gothic UI Semibold" w:hAnsi="Verdana" w:cs="Arial"/>
          <w:i/>
          <w:lang w:eastAsia="es-MX"/>
        </w:rPr>
        <w:t>“</w:t>
      </w:r>
      <w:r w:rsidRPr="008C6876">
        <w:rPr>
          <w:rFonts w:ascii="Verdana" w:eastAsia="Yu Gothic UI Semibold" w:hAnsi="Verdana" w:cs="Arial"/>
          <w:i/>
          <w:lang w:eastAsia="es-CO"/>
        </w:rPr>
        <w:t>que proscribe la discriminación por razones de sexo, así como en el ya mencionado artículo 43 Superior, que dispone la igualdad de derechos y oportunidades entre hombres y mujeres</w:t>
      </w:r>
      <w:r w:rsidRPr="008C6876">
        <w:rPr>
          <w:rFonts w:ascii="Verdana" w:eastAsia="Yu Gothic UI Semibold" w:hAnsi="Verdana" w:cs="Arial"/>
          <w:i/>
          <w:lang w:eastAsia="es-MX"/>
        </w:rPr>
        <w:t>”</w:t>
      </w:r>
      <w:r w:rsidRPr="008C6876">
        <w:rPr>
          <w:rFonts w:ascii="Verdana" w:eastAsia="Yu Gothic UI Semibold" w:hAnsi="Verdana" w:cs="Arial"/>
          <w:i/>
          <w:vertAlign w:val="superscript"/>
          <w:lang w:eastAsia="es-MX"/>
        </w:rPr>
        <w:footnoteReference w:id="24"/>
      </w:r>
      <w:r w:rsidRPr="008C6876">
        <w:rPr>
          <w:rFonts w:ascii="Verdana" w:eastAsia="Yu Gothic UI Semibold" w:hAnsi="Verdana" w:cs="Arial"/>
          <w:i/>
          <w:lang w:eastAsia="es-MX"/>
        </w:rPr>
        <w:t xml:space="preserve">. </w:t>
      </w:r>
    </w:p>
    <w:p w14:paraId="7A890B47" w14:textId="77777777" w:rsidR="00154F17" w:rsidRPr="008C6876" w:rsidRDefault="00154F17" w:rsidP="00154F17">
      <w:pPr>
        <w:spacing w:after="0" w:line="276" w:lineRule="auto"/>
        <w:ind w:right="108" w:firstLine="708"/>
        <w:jc w:val="both"/>
        <w:rPr>
          <w:rFonts w:ascii="Verdana" w:eastAsia="Yu Gothic UI Semibold" w:hAnsi="Verdana" w:cs="Arial"/>
          <w:lang w:eastAsia="es-CO"/>
        </w:rPr>
      </w:pPr>
      <w:r w:rsidRPr="008C6876">
        <w:rPr>
          <w:rFonts w:ascii="Verdana" w:eastAsia="Yu Gothic UI Semibold" w:hAnsi="Verdana" w:cs="Arial"/>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76829C79" w14:textId="77777777" w:rsidR="00154F17" w:rsidRPr="008C6876" w:rsidRDefault="00154F17" w:rsidP="00154F17">
      <w:pPr>
        <w:shd w:val="clear" w:color="auto" w:fill="FFFFFF"/>
        <w:spacing w:after="120" w:line="276" w:lineRule="auto"/>
        <w:ind w:left="709" w:right="709"/>
        <w:contextualSpacing/>
        <w:jc w:val="both"/>
        <w:rPr>
          <w:rFonts w:ascii="Verdana" w:eastAsia="Yu Gothic UI Semibold" w:hAnsi="Verdana" w:cs="Arial"/>
          <w:highlight w:val="red"/>
          <w:lang w:eastAsia="es-CO"/>
        </w:rPr>
      </w:pPr>
    </w:p>
    <w:p w14:paraId="0BB9CD90"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iCs/>
          <w:sz w:val="20"/>
          <w:szCs w:val="20"/>
          <w:lang w:eastAsia="es-MX"/>
        </w:rPr>
        <w:t>“</w:t>
      </w:r>
      <w:r w:rsidRPr="008C6876">
        <w:rPr>
          <w:rFonts w:ascii="Verdana" w:eastAsia="Yu Gothic UI Semibold" w:hAnsi="Verdana" w:cs="Arial"/>
          <w:sz w:val="20"/>
          <w:szCs w:val="20"/>
          <w:lang w:eastAsia="es-CO"/>
        </w:rPr>
        <w:t>La protección reforzada a la maternidad y la lactancia en el ámbito del trabajo procede cuando se demuestre, sin ninguna otra exigencia adicional, lo siguiente:</w:t>
      </w:r>
    </w:p>
    <w:p w14:paraId="720FCDAC"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p>
    <w:p w14:paraId="635240CF"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(a) La existencia de una relación laboral o de prestación de servicios y;</w:t>
      </w:r>
    </w:p>
    <w:p w14:paraId="658D32D1"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p>
    <w:p w14:paraId="74E37229"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(b) Que la mujer se encuentra en estado de embarazo o dentro de los tres meses siguientes al parto, en vigencia de dicha relación laboral o de prestación.</w:t>
      </w:r>
    </w:p>
    <w:p w14:paraId="549F80DC"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 </w:t>
      </w:r>
    </w:p>
    <w:p w14:paraId="061F5C68"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No obstante, el alcance de la protección se debe determinar a partir de dos factores:</w:t>
      </w:r>
    </w:p>
    <w:p w14:paraId="7C28A525"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 </w:t>
      </w:r>
    </w:p>
    <w:p w14:paraId="3E547274"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(a) El conocimiento del embarazo por parte del empleador; y</w:t>
      </w:r>
    </w:p>
    <w:p w14:paraId="48B7A947"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 </w:t>
      </w:r>
    </w:p>
    <w:p w14:paraId="48E5DA2A" w14:textId="77777777" w:rsidR="00154F17" w:rsidRPr="008C6876" w:rsidRDefault="00154F17" w:rsidP="00154F17">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(b) La alternativa laboral mediante la cual se encontraba vinculada la mujer embarazada</w:t>
      </w:r>
      <w:r w:rsidRPr="008C6876">
        <w:rPr>
          <w:rFonts w:ascii="Verdana" w:hAnsi="Verdana" w:cs="Arial"/>
          <w:noProof/>
          <w:sz w:val="20"/>
          <w:szCs w:val="20"/>
          <w:lang w:val="es-ES_tradnl"/>
        </w:rPr>
        <w:t>”.</w:t>
      </w:r>
    </w:p>
    <w:p w14:paraId="34EF6123" w14:textId="77777777" w:rsidR="00154F17" w:rsidRPr="008C6876" w:rsidRDefault="00154F17" w:rsidP="00154F17">
      <w:pPr>
        <w:shd w:val="clear" w:color="auto" w:fill="FFFFFF"/>
        <w:spacing w:after="0" w:line="276" w:lineRule="auto"/>
        <w:ind w:right="49" w:firstLine="708"/>
        <w:jc w:val="both"/>
        <w:rPr>
          <w:rFonts w:ascii="Verdana" w:eastAsia="Yu Gothic UI Semibold" w:hAnsi="Verdana" w:cs="Arial"/>
          <w:lang w:eastAsia="es-CO"/>
        </w:rPr>
      </w:pPr>
    </w:p>
    <w:p w14:paraId="5E6E5A6C" w14:textId="77777777" w:rsidR="00154F17" w:rsidRPr="008C6876" w:rsidRDefault="00154F17" w:rsidP="00154F17">
      <w:pPr>
        <w:shd w:val="clear" w:color="auto" w:fill="FFFFFF"/>
        <w:spacing w:after="0" w:line="276" w:lineRule="auto"/>
        <w:ind w:right="51" w:firstLine="709"/>
        <w:jc w:val="both"/>
        <w:rPr>
          <w:rFonts w:ascii="Verdana" w:eastAsia="Yu Gothic UI Semibold" w:hAnsi="Verdana" w:cs="Arial"/>
          <w:lang w:eastAsia="es-CO"/>
        </w:rPr>
      </w:pPr>
      <w:r w:rsidRPr="008C6876">
        <w:rPr>
          <w:rFonts w:ascii="Verdana" w:eastAsia="Yu Gothic UI Semibold" w:hAnsi="Verdana"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ocupacional reforzada de mujer embarazada y en los tres (3) meses siguientes al parto. Para el caso concreto de los contratos de prestación de servicios, la sentencia en mención determina:   </w:t>
      </w:r>
    </w:p>
    <w:p w14:paraId="4A8FD1DA" w14:textId="77777777" w:rsidR="00154F17" w:rsidRPr="008C6876" w:rsidRDefault="00154F17" w:rsidP="00154F17">
      <w:pPr>
        <w:shd w:val="clear" w:color="auto" w:fill="FFFFFF"/>
        <w:spacing w:after="0" w:line="276" w:lineRule="auto"/>
        <w:ind w:left="709" w:right="49"/>
        <w:jc w:val="both"/>
        <w:rPr>
          <w:rFonts w:ascii="Verdana" w:eastAsia="Yu Gothic UI Semibold" w:hAnsi="Verdana" w:cs="Arial"/>
          <w:lang w:eastAsia="es-CO"/>
        </w:rPr>
      </w:pPr>
    </w:p>
    <w:p w14:paraId="0A727243" w14:textId="77777777" w:rsidR="00154F17" w:rsidRPr="008C6876" w:rsidRDefault="00154F17" w:rsidP="00154F17">
      <w:pPr>
        <w:shd w:val="clear" w:color="auto" w:fill="FFFFFF"/>
        <w:spacing w:line="240" w:lineRule="auto"/>
        <w:ind w:left="709" w:right="709"/>
        <w:contextualSpacing/>
        <w:jc w:val="both"/>
        <w:rPr>
          <w:rFonts w:ascii="Verdana" w:hAnsi="Verdana" w:cs="Arial"/>
          <w:noProof/>
          <w:sz w:val="20"/>
          <w:szCs w:val="20"/>
          <w:lang w:val="es-ES_tradnl"/>
        </w:rPr>
      </w:pPr>
      <w:r w:rsidRPr="008C6876">
        <w:rPr>
          <w:rFonts w:ascii="Verdana" w:eastAsia="Yu Gothic UI Semibold" w:hAnsi="Verdana" w:cs="Arial"/>
          <w:iCs/>
          <w:sz w:val="20"/>
          <w:szCs w:val="20"/>
          <w:lang w:eastAsia="es-MX"/>
        </w:rPr>
        <w:t>“</w:t>
      </w:r>
      <w:r w:rsidRPr="008C6876">
        <w:rPr>
          <w:rFonts w:ascii="Verdana" w:eastAsia="Yu Gothic UI Semibold" w:hAnsi="Verdana" w:cs="Arial"/>
          <w:sz w:val="20"/>
          <w:szCs w:val="20"/>
          <w:lang w:eastAsia="es-CO"/>
        </w:rPr>
        <w:t xml:space="preserve">[…]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w:t>
      </w:r>
      <w:r w:rsidRPr="008C6876">
        <w:rPr>
          <w:rFonts w:ascii="Verdana" w:eastAsia="Yu Gothic UI Semibold" w:hAnsi="Verdana" w:cs="Arial"/>
          <w:sz w:val="20"/>
          <w:szCs w:val="20"/>
          <w:lang w:eastAsia="es-CO"/>
        </w:rPr>
        <w:lastRenderedPageBreak/>
        <w:t>tiempo limitado, que es además el indispensable para ejecutar el objeto contractual convenido […]</w:t>
      </w:r>
      <w:r w:rsidRPr="008C6876">
        <w:rPr>
          <w:rFonts w:ascii="Verdana" w:hAnsi="Verdana" w:cs="Arial"/>
          <w:noProof/>
          <w:sz w:val="20"/>
          <w:szCs w:val="20"/>
          <w:lang w:val="es-ES_tradnl"/>
        </w:rPr>
        <w:t>”.</w:t>
      </w:r>
    </w:p>
    <w:p w14:paraId="6396348D" w14:textId="77777777" w:rsidR="00154F17" w:rsidRPr="008C6876" w:rsidRDefault="00154F17" w:rsidP="00154F17">
      <w:pPr>
        <w:shd w:val="clear" w:color="auto" w:fill="FFFFFF"/>
        <w:spacing w:line="240" w:lineRule="auto"/>
        <w:ind w:right="709"/>
        <w:contextualSpacing/>
        <w:jc w:val="both"/>
        <w:rPr>
          <w:rFonts w:ascii="Verdana" w:hAnsi="Verdana" w:cs="Arial"/>
          <w:noProof/>
          <w:lang w:val="es-ES_tradnl"/>
        </w:rPr>
      </w:pPr>
    </w:p>
    <w:p w14:paraId="146AF89D" w14:textId="77777777" w:rsidR="00154F17" w:rsidRPr="008C6876" w:rsidRDefault="00154F17" w:rsidP="00154F17">
      <w:pPr>
        <w:shd w:val="clear" w:color="auto" w:fill="FFFFFF"/>
        <w:spacing w:after="120" w:line="276" w:lineRule="auto"/>
        <w:jc w:val="both"/>
        <w:rPr>
          <w:rFonts w:ascii="Verdana" w:eastAsia="Yu Gothic UI Semibold" w:hAnsi="Verdana" w:cs="Arial"/>
          <w:lang w:eastAsia="es-CO"/>
        </w:rPr>
      </w:pPr>
      <w:r w:rsidRPr="008C6876">
        <w:rPr>
          <w:rFonts w:ascii="Verdana" w:hAnsi="Verdana" w:cs="Arial"/>
          <w:noProof/>
          <w:lang w:val="es-ES_tradnl"/>
        </w:rPr>
        <w:tab/>
        <w:t>Conforme a lo anterior, la Corte Constitucional ha expuesto dos (2) posiciones frente a los cuales opera la protección del denominado fuero de maternidad de mujeres vinculadas por medio de un contrato de prestación de servicios: i) cuando el juez prueba la configurción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66D06E62" w14:textId="77777777" w:rsidR="00154F17" w:rsidRPr="008C6876" w:rsidRDefault="00154F17" w:rsidP="00154F17">
      <w:pPr>
        <w:tabs>
          <w:tab w:val="left" w:pos="0"/>
        </w:tabs>
        <w:spacing w:after="120" w:line="276" w:lineRule="auto"/>
        <w:jc w:val="both"/>
        <w:rPr>
          <w:rFonts w:ascii="Verdana" w:hAnsi="Verdana" w:cs="Arial"/>
        </w:rPr>
      </w:pPr>
      <w:r w:rsidRPr="008C6876">
        <w:rPr>
          <w:rFonts w:ascii="Verdana" w:hAnsi="Verdana" w:cs="Arial"/>
        </w:rPr>
        <w:tab/>
        <w:t xml:space="preserve">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w:t>
      </w:r>
      <w:proofErr w:type="spellStart"/>
      <w:r w:rsidRPr="008C6876">
        <w:rPr>
          <w:rFonts w:ascii="Verdana" w:hAnsi="Verdana" w:cs="Arial"/>
        </w:rPr>
        <w:t>ii</w:t>
      </w:r>
      <w:proofErr w:type="spellEnd"/>
      <w:r w:rsidRPr="008C6876">
        <w:rPr>
          <w:rFonts w:ascii="Verdana" w:hAnsi="Verdana" w:cs="Arial"/>
        </w:rPr>
        <w:t xml:space="preserve">) la contención de prácticas discriminatorias en el escenario laboral contra la mujer con ocasión del estado de embarazo, </w:t>
      </w:r>
      <w:proofErr w:type="spellStart"/>
      <w:r w:rsidRPr="008C6876">
        <w:rPr>
          <w:rFonts w:ascii="Verdana" w:hAnsi="Verdana" w:cs="Arial"/>
        </w:rPr>
        <w:t>iii</w:t>
      </w:r>
      <w:proofErr w:type="spellEnd"/>
      <w:r w:rsidRPr="008C6876">
        <w:rPr>
          <w:rFonts w:ascii="Verdana" w:hAnsi="Verdana" w:cs="Arial"/>
        </w:rPr>
        <w:t xml:space="preserve">) la protección a la vida y a la mujer como su gestora y </w:t>
      </w:r>
      <w:proofErr w:type="spellStart"/>
      <w:r w:rsidRPr="008C6876">
        <w:rPr>
          <w:rFonts w:ascii="Verdana" w:hAnsi="Verdana" w:cs="Arial"/>
        </w:rPr>
        <w:t>iv</w:t>
      </w:r>
      <w:proofErr w:type="spellEnd"/>
      <w:r w:rsidRPr="008C6876">
        <w:rPr>
          <w:rFonts w:ascii="Verdana" w:hAnsi="Verdana" w:cs="Arial"/>
        </w:rPr>
        <w:t>) la relevancia de la familia en el ordenamiento social colombiano.</w:t>
      </w:r>
    </w:p>
    <w:p w14:paraId="65278D27" w14:textId="77777777" w:rsidR="00154F17" w:rsidRPr="008C6876" w:rsidRDefault="00154F17" w:rsidP="00154F17">
      <w:pPr>
        <w:widowControl w:val="0"/>
        <w:autoSpaceDE w:val="0"/>
        <w:autoSpaceDN w:val="0"/>
        <w:spacing w:after="0" w:line="276" w:lineRule="auto"/>
        <w:ind w:firstLine="709"/>
        <w:jc w:val="both"/>
        <w:rPr>
          <w:rFonts w:ascii="Verdana" w:eastAsia="Arial" w:hAnsi="Verdana" w:cs="Arial"/>
          <w:lang w:val="es-ES"/>
        </w:rPr>
      </w:pPr>
      <w:r w:rsidRPr="008C6876">
        <w:rPr>
          <w:rFonts w:ascii="Verdana" w:eastAsia="Arial" w:hAnsi="Verdana" w:cs="Arial"/>
          <w:lang w:val="es-ES"/>
        </w:rPr>
        <w:t xml:space="preserve">Adicionalmente, la Corte Constitucional profirió la sentencia T-329 de 2022, con ponencia de la magistrada </w:t>
      </w:r>
      <w:r w:rsidRPr="008C6876">
        <w:rPr>
          <w:rFonts w:ascii="Verdana" w:hAnsi="Verdana" w:cs="Arial"/>
        </w:rPr>
        <w:t>Natalia Ángel Cabo</w:t>
      </w:r>
      <w:r w:rsidRPr="008C6876">
        <w:rPr>
          <w:rFonts w:ascii="Verdana" w:eastAsia="Arial" w:hAnsi="Verdana" w:cs="Arial"/>
          <w:lang w:val="es-ES"/>
        </w:rPr>
        <w:t xml:space="preserve">, en la cual reiteró el precedente sobre </w:t>
      </w:r>
      <w:bookmarkStart w:id="6" w:name="_Hlk108422441"/>
      <w:r w:rsidRPr="008C6876">
        <w:rPr>
          <w:rFonts w:ascii="Verdana" w:eastAsia="Arial" w:hAnsi="Verdana" w:cs="Arial"/>
          <w:lang w:val="es-ES"/>
        </w:rPr>
        <w:t>la protección de la mujer embarazada y en período de lactancia en contratos de prestación de servicios</w:t>
      </w:r>
      <w:bookmarkEnd w:id="6"/>
      <w:r w:rsidRPr="008C6876">
        <w:rPr>
          <w:rFonts w:ascii="Verdana" w:eastAsia="Arial" w:hAnsi="Verdana" w:cs="Arial"/>
          <w:lang w:val="es-ES"/>
        </w:rPr>
        <w:t xml:space="preserve"> establecido en la Sentencia S-070 de 2013, al indicar lo siguiente: </w:t>
      </w:r>
    </w:p>
    <w:p w14:paraId="395EEC0F" w14:textId="77777777" w:rsidR="00154F17" w:rsidRPr="008C6876" w:rsidRDefault="00154F17" w:rsidP="00154F17">
      <w:pPr>
        <w:widowControl w:val="0"/>
        <w:autoSpaceDE w:val="0"/>
        <w:autoSpaceDN w:val="0"/>
        <w:spacing w:after="0" w:line="276" w:lineRule="auto"/>
        <w:ind w:firstLine="709"/>
        <w:contextualSpacing/>
        <w:jc w:val="both"/>
        <w:rPr>
          <w:rFonts w:ascii="Verdana" w:eastAsia="Arial" w:hAnsi="Verdana" w:cs="Arial"/>
          <w:lang w:val="es-ES"/>
        </w:rPr>
      </w:pPr>
    </w:p>
    <w:p w14:paraId="0992BB97" w14:textId="77777777" w:rsidR="00154F17" w:rsidRPr="008C6876" w:rsidRDefault="00154F17" w:rsidP="00154F17">
      <w:pPr>
        <w:spacing w:after="0" w:line="240" w:lineRule="auto"/>
        <w:ind w:left="709" w:right="709"/>
        <w:contextualSpacing/>
        <w:jc w:val="both"/>
        <w:rPr>
          <w:rFonts w:ascii="Verdana" w:eastAsia="Times New Roman" w:hAnsi="Verdana" w:cs="Arial"/>
          <w:sz w:val="21"/>
          <w:szCs w:val="21"/>
          <w:lang w:eastAsia="es-ES"/>
        </w:rPr>
      </w:pPr>
      <w:r w:rsidRPr="008C6876">
        <w:rPr>
          <w:rFonts w:ascii="Verdana" w:eastAsia="Yu Gothic UI Semibold" w:hAnsi="Verdana" w:cs="Arial"/>
          <w:iCs/>
          <w:sz w:val="21"/>
          <w:szCs w:val="21"/>
          <w:lang w:eastAsia="es-MX"/>
        </w:rPr>
        <w:t>“</w:t>
      </w:r>
      <w:r w:rsidRPr="008C6876">
        <w:rPr>
          <w:rFonts w:ascii="Verdana" w:eastAsia="Yu Gothic UI Semibold" w:hAnsi="Verdana" w:cs="Arial"/>
          <w:sz w:val="21"/>
          <w:szCs w:val="21"/>
          <w:lang w:eastAsia="es-CO"/>
        </w:rPr>
        <w:t xml:space="preserve">[…] </w:t>
      </w:r>
      <w:r w:rsidRPr="008C6876">
        <w:rPr>
          <w:rFonts w:ascii="Verdana" w:eastAsia="Times New Roman" w:hAnsi="Verdana" w:cs="Arial"/>
          <w:sz w:val="21"/>
          <w:szCs w:val="21"/>
          <w:lang w:eastAsia="es-ES"/>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8C6876">
        <w:rPr>
          <w:rFonts w:ascii="Verdana" w:eastAsia="Times New Roman" w:hAnsi="Verdana" w:cs="Arial"/>
          <w:noProof/>
          <w:sz w:val="21"/>
          <w:szCs w:val="21"/>
          <w:lang w:val="es-ES_tradnl" w:eastAsia="es-ES"/>
        </w:rPr>
        <w:t>”.</w:t>
      </w:r>
    </w:p>
    <w:p w14:paraId="5D3355E9" w14:textId="77777777" w:rsidR="00154F17" w:rsidRPr="008C6876" w:rsidRDefault="00154F17" w:rsidP="00154F17">
      <w:pPr>
        <w:widowControl w:val="0"/>
        <w:autoSpaceDE w:val="0"/>
        <w:autoSpaceDN w:val="0"/>
        <w:spacing w:after="0" w:line="276" w:lineRule="auto"/>
        <w:ind w:firstLine="709"/>
        <w:jc w:val="both"/>
        <w:rPr>
          <w:rFonts w:ascii="Verdana" w:eastAsia="Arial" w:hAnsi="Verdana" w:cs="Arial"/>
          <w:lang w:val="es-ES"/>
        </w:rPr>
      </w:pPr>
    </w:p>
    <w:p w14:paraId="1573C57B" w14:textId="77777777" w:rsidR="00154F17" w:rsidRPr="008C6876" w:rsidRDefault="00154F17" w:rsidP="00154F17">
      <w:pPr>
        <w:widowControl w:val="0"/>
        <w:autoSpaceDE w:val="0"/>
        <w:autoSpaceDN w:val="0"/>
        <w:spacing w:after="120" w:line="276" w:lineRule="auto"/>
        <w:ind w:firstLine="709"/>
        <w:jc w:val="both"/>
        <w:rPr>
          <w:rFonts w:ascii="Verdana" w:hAnsi="Verdana" w:cs="Arial"/>
          <w:shd w:val="clear" w:color="auto" w:fill="FFFFFF"/>
        </w:rPr>
      </w:pPr>
      <w:r w:rsidRPr="008C6876">
        <w:rPr>
          <w:rFonts w:ascii="Verdana" w:eastAsia="Arial" w:hAnsi="Verdana" w:cs="Arial"/>
          <w:lang w:val="es-ES"/>
        </w:rPr>
        <w:t xml:space="preserve">En dicha providencia la Corte consideró que, </w:t>
      </w:r>
      <w:r w:rsidRPr="008C6876">
        <w:rPr>
          <w:rFonts w:ascii="Verdana" w:hAnsi="Verdana" w:cs="Arial"/>
        </w:rPr>
        <w:t xml:space="preserve">en los casos de vinculación </w:t>
      </w:r>
      <w:r w:rsidRPr="008C6876">
        <w:rPr>
          <w:rFonts w:ascii="Verdana" w:hAnsi="Verdana" w:cs="Arial"/>
        </w:rPr>
        <w:lastRenderedPageBreak/>
        <w:t xml:space="preserve">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 </w:t>
      </w:r>
      <w:r w:rsidRPr="008C6876">
        <w:rPr>
          <w:rFonts w:ascii="Verdana" w:eastAsia="Yu Gothic UI Semibold" w:hAnsi="Verdana" w:cs="Arial"/>
          <w:iCs/>
          <w:lang w:eastAsia="es-MX"/>
        </w:rPr>
        <w:t>“</w:t>
      </w:r>
      <w:r w:rsidRPr="008C6876">
        <w:rPr>
          <w:rFonts w:ascii="Verdana" w:hAnsi="Verdana" w:cs="Arial"/>
        </w:rPr>
        <w:t>(i) la protección de la mujer gestante o en periodo de lactancia se deriva de, entre otros, los artículos 43, 53 y 13 de la Constitución Nacional; (</w:t>
      </w:r>
      <w:proofErr w:type="spellStart"/>
      <w:r w:rsidRPr="008C6876">
        <w:rPr>
          <w:rFonts w:ascii="Verdana" w:hAnsi="Verdana" w:cs="Arial"/>
        </w:rPr>
        <w:t>ii</w:t>
      </w:r>
      <w:proofErr w:type="spellEnd"/>
      <w:r w:rsidRPr="008C6876">
        <w:rPr>
          <w:rFonts w:ascii="Verdana" w:hAnsi="Verdana" w:cs="Arial"/>
        </w:rPr>
        <w:t>) la Sentencia SU-070 de 2013 reiteró la protección a la mujer embarazada en todas las alternativas laborales o de trabajo en las que se incluye el contrato de prestación de servicios; (</w:t>
      </w:r>
      <w:proofErr w:type="spellStart"/>
      <w:r w:rsidRPr="008C6876">
        <w:rPr>
          <w:rFonts w:ascii="Verdana" w:hAnsi="Verdana" w:cs="Arial"/>
        </w:rPr>
        <w:t>iii</w:t>
      </w:r>
      <w:proofErr w:type="spellEnd"/>
      <w:r w:rsidRPr="008C6876">
        <w:rPr>
          <w:rFonts w:ascii="Verdana" w:hAnsi="Verdana" w:cs="Arial"/>
        </w:rPr>
        <w:t xml:space="preserve">) la Sentencia SU-075 de 2018 reiteró que las condiciones para la protección de la mujer embarazada son la existencia de una relación laboral o de prestación de servicios y que </w:t>
      </w:r>
      <w:r w:rsidRPr="008C6876">
        <w:rPr>
          <w:rFonts w:ascii="Verdana" w:hAnsi="Verdana" w:cs="Arial"/>
          <w:shd w:val="clear" w:color="auto" w:fill="FFFFFF"/>
        </w:rPr>
        <w:t>la mujer se encuentre en estado de embarazo o dentro de los tres meses siguientes al parto, en vigencia de dicha relación laboral o de prestación de servicios</w:t>
      </w:r>
      <w:r w:rsidRPr="008C6876">
        <w:rPr>
          <w:rFonts w:ascii="Verdana" w:hAnsi="Verdana" w:cs="Arial"/>
        </w:rPr>
        <w:t>; y (</w:t>
      </w:r>
      <w:proofErr w:type="spellStart"/>
      <w:r w:rsidRPr="008C6876">
        <w:rPr>
          <w:rFonts w:ascii="Verdana" w:hAnsi="Verdana" w:cs="Arial"/>
        </w:rPr>
        <w:t>iv</w:t>
      </w:r>
      <w:proofErr w:type="spellEnd"/>
      <w:r w:rsidRPr="008C6876">
        <w:rPr>
          <w:rFonts w:ascii="Verdana" w:hAnsi="Verdana" w:cs="Arial"/>
        </w:rPr>
        <w:t xml:space="preserve">) las salas de revisión de la Corte Constitucional </w:t>
      </w:r>
      <w:r w:rsidRPr="008C6876">
        <w:rPr>
          <w:rFonts w:ascii="Verdana" w:hAnsi="Verdana" w:cs="Arial"/>
          <w:shd w:val="clear" w:color="auto" w:fill="FFFFFF"/>
        </w:rPr>
        <w:t>reconocen la protección derivada del fuero de maternidad en los contratos de prestación de servicios</w:t>
      </w:r>
      <w:r w:rsidRPr="008C6876">
        <w:rPr>
          <w:rFonts w:ascii="Verdana" w:hAnsi="Verdana" w:cs="Arial"/>
          <w:noProof/>
          <w:lang w:val="es-ES_tradnl"/>
        </w:rPr>
        <w:t>”</w:t>
      </w:r>
      <w:r w:rsidRPr="008C6876">
        <w:rPr>
          <w:rFonts w:ascii="Verdana" w:hAnsi="Verdana" w:cs="Arial"/>
          <w:noProof/>
          <w:vertAlign w:val="superscript"/>
          <w:lang w:val="es-ES_tradnl"/>
        </w:rPr>
        <w:footnoteReference w:id="25"/>
      </w:r>
      <w:r w:rsidRPr="008C6876">
        <w:rPr>
          <w:rFonts w:ascii="Verdana" w:hAnsi="Verdana" w:cs="Arial"/>
          <w:shd w:val="clear" w:color="auto" w:fill="FFFFFF"/>
        </w:rPr>
        <w:t xml:space="preserve">. </w:t>
      </w:r>
    </w:p>
    <w:p w14:paraId="156BC080" w14:textId="77777777" w:rsidR="00154F17" w:rsidRPr="008C6876" w:rsidRDefault="00154F17" w:rsidP="00154F17">
      <w:pPr>
        <w:widowControl w:val="0"/>
        <w:autoSpaceDE w:val="0"/>
        <w:autoSpaceDN w:val="0"/>
        <w:spacing w:after="0" w:line="276" w:lineRule="auto"/>
        <w:ind w:firstLine="709"/>
        <w:jc w:val="both"/>
        <w:rPr>
          <w:rFonts w:ascii="Verdana" w:hAnsi="Verdana" w:cs="Arial"/>
          <w:shd w:val="clear" w:color="auto" w:fill="FFFFFF"/>
        </w:rPr>
      </w:pPr>
      <w:r w:rsidRPr="008C6876">
        <w:rPr>
          <w:rFonts w:ascii="Verdana" w:hAnsi="Verdana" w:cs="Arial"/>
          <w:shd w:val="clear" w:color="auto" w:fill="FFFFFF"/>
        </w:rPr>
        <w:t xml:space="preserve">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lactancia: </w:t>
      </w:r>
    </w:p>
    <w:p w14:paraId="61C4A68B" w14:textId="77777777" w:rsidR="00154F17" w:rsidRPr="008C6876" w:rsidRDefault="00154F17" w:rsidP="00154F17">
      <w:pPr>
        <w:widowControl w:val="0"/>
        <w:autoSpaceDE w:val="0"/>
        <w:autoSpaceDN w:val="0"/>
        <w:spacing w:after="0" w:line="276" w:lineRule="auto"/>
        <w:ind w:firstLine="709"/>
        <w:jc w:val="both"/>
        <w:rPr>
          <w:rFonts w:ascii="Verdana" w:hAnsi="Verdana" w:cs="Arial"/>
          <w:shd w:val="clear" w:color="auto" w:fill="FFFFFF"/>
        </w:rPr>
      </w:pPr>
    </w:p>
    <w:tbl>
      <w:tblPr>
        <w:tblStyle w:val="Tablaconcuadrcula"/>
        <w:tblW w:w="5000" w:type="pct"/>
        <w:tblLook w:val="04A0" w:firstRow="1" w:lastRow="0" w:firstColumn="1" w:lastColumn="0" w:noHBand="0" w:noVBand="1"/>
      </w:tblPr>
      <w:tblGrid>
        <w:gridCol w:w="2711"/>
        <w:gridCol w:w="6683"/>
      </w:tblGrid>
      <w:tr w:rsidR="00154F17" w:rsidRPr="008C6876" w14:paraId="5FCCD1DA" w14:textId="77777777" w:rsidTr="000C666C">
        <w:tc>
          <w:tcPr>
            <w:tcW w:w="1443" w:type="pct"/>
            <w:shd w:val="clear" w:color="auto" w:fill="D9E2F3" w:themeFill="accent1" w:themeFillTint="33"/>
            <w:vAlign w:val="center"/>
          </w:tcPr>
          <w:p w14:paraId="50361D9A" w14:textId="77777777" w:rsidR="00154F17" w:rsidRPr="008C6876" w:rsidRDefault="00154F17" w:rsidP="000C666C">
            <w:pPr>
              <w:jc w:val="center"/>
              <w:rPr>
                <w:rFonts w:ascii="Verdana" w:hAnsi="Verdana" w:cs="Arial"/>
                <w:b/>
                <w:bCs/>
                <w:sz w:val="21"/>
                <w:szCs w:val="21"/>
                <w:lang w:val="es-MX"/>
              </w:rPr>
            </w:pPr>
            <w:r w:rsidRPr="008C6876">
              <w:rPr>
                <w:rFonts w:ascii="Verdana" w:hAnsi="Verdana" w:cs="Arial"/>
                <w:b/>
                <w:bCs/>
                <w:sz w:val="21"/>
                <w:szCs w:val="21"/>
                <w:lang w:val="es-MX"/>
              </w:rPr>
              <w:t>Tipo de relación material</w:t>
            </w:r>
          </w:p>
        </w:tc>
        <w:tc>
          <w:tcPr>
            <w:tcW w:w="3557" w:type="pct"/>
            <w:shd w:val="clear" w:color="auto" w:fill="D9E2F3" w:themeFill="accent1" w:themeFillTint="33"/>
            <w:vAlign w:val="center"/>
          </w:tcPr>
          <w:p w14:paraId="471A877E" w14:textId="77777777" w:rsidR="00154F17" w:rsidRPr="008C6876" w:rsidRDefault="00154F17" w:rsidP="000C666C">
            <w:pPr>
              <w:jc w:val="center"/>
              <w:rPr>
                <w:rFonts w:ascii="Verdana" w:hAnsi="Verdana" w:cs="Arial"/>
                <w:b/>
                <w:bCs/>
                <w:sz w:val="21"/>
                <w:szCs w:val="21"/>
                <w:lang w:val="es-MX"/>
              </w:rPr>
            </w:pPr>
            <w:r w:rsidRPr="008C6876">
              <w:rPr>
                <w:rFonts w:ascii="Verdana" w:hAnsi="Verdana" w:cs="Arial"/>
                <w:b/>
                <w:bCs/>
                <w:sz w:val="21"/>
                <w:szCs w:val="21"/>
                <w:lang w:val="es-MX"/>
              </w:rPr>
              <w:t>Alcance de la protección</w:t>
            </w:r>
          </w:p>
        </w:tc>
      </w:tr>
      <w:tr w:rsidR="00154F17" w:rsidRPr="008C6876" w14:paraId="2E75C315" w14:textId="77777777" w:rsidTr="000C666C">
        <w:tc>
          <w:tcPr>
            <w:tcW w:w="1443" w:type="pct"/>
            <w:tcBorders>
              <w:bottom w:val="single" w:sz="4" w:space="0" w:color="auto"/>
            </w:tcBorders>
            <w:vAlign w:val="center"/>
          </w:tcPr>
          <w:p w14:paraId="4F9B734F" w14:textId="77777777" w:rsidR="00154F17" w:rsidRPr="008C6876" w:rsidRDefault="00154F17" w:rsidP="000C666C">
            <w:pPr>
              <w:jc w:val="center"/>
              <w:rPr>
                <w:rFonts w:ascii="Verdana" w:hAnsi="Verdana" w:cs="Arial"/>
                <w:b/>
                <w:bCs/>
                <w:sz w:val="21"/>
                <w:szCs w:val="21"/>
                <w:lang w:val="es-MX"/>
              </w:rPr>
            </w:pPr>
            <w:r w:rsidRPr="008C6876">
              <w:rPr>
                <w:rFonts w:ascii="Verdana" w:hAnsi="Verdana" w:cs="Arial"/>
                <w:b/>
                <w:bCs/>
                <w:sz w:val="21"/>
                <w:szCs w:val="21"/>
                <w:lang w:val="es-MX"/>
              </w:rPr>
              <w:t>Se configura un contrato realidad</w:t>
            </w:r>
          </w:p>
        </w:tc>
        <w:tc>
          <w:tcPr>
            <w:tcW w:w="3557" w:type="pct"/>
          </w:tcPr>
          <w:p w14:paraId="19A372BF" w14:textId="77777777" w:rsidR="00154F17" w:rsidRPr="008C6876" w:rsidRDefault="00154F17" w:rsidP="000C666C">
            <w:pPr>
              <w:jc w:val="both"/>
              <w:rPr>
                <w:rFonts w:ascii="Verdana" w:hAnsi="Verdana" w:cs="Arial"/>
                <w:sz w:val="21"/>
                <w:szCs w:val="21"/>
                <w:lang w:val="es-MX"/>
              </w:rPr>
            </w:pPr>
            <w:r w:rsidRPr="008C6876">
              <w:rPr>
                <w:rFonts w:ascii="Verdana" w:hAnsi="Verdana" w:cs="Arial"/>
                <w:sz w:val="21"/>
                <w:szCs w:val="21"/>
                <w:lang w:val="es-MX"/>
              </w:rPr>
              <w:t>El juez de tutela deberá aplicar las reglas establecidas para el contrato laboral a término fijo, debido a que este contrato, por sus características de temporalidad, es el que mejor se asemeja al contrato de prestación de servicios</w:t>
            </w:r>
            <w:r w:rsidRPr="008C6876">
              <w:rPr>
                <w:rFonts w:ascii="Verdana" w:hAnsi="Verdana" w:cs="Arial"/>
                <w:sz w:val="21"/>
                <w:szCs w:val="21"/>
                <w:vertAlign w:val="superscript"/>
                <w:lang w:val="es-MX"/>
              </w:rPr>
              <w:t xml:space="preserve"> </w:t>
            </w:r>
            <w:r w:rsidRPr="008C6876">
              <w:rPr>
                <w:rFonts w:ascii="Verdana" w:hAnsi="Verdana" w:cs="Arial"/>
                <w:sz w:val="21"/>
                <w:szCs w:val="21"/>
                <w:vertAlign w:val="superscript"/>
                <w:lang w:val="es-MX"/>
              </w:rPr>
              <w:footnoteReference w:id="26"/>
            </w:r>
            <w:r w:rsidRPr="008C6876">
              <w:rPr>
                <w:rFonts w:ascii="Verdana" w:hAnsi="Verdana" w:cs="Arial"/>
                <w:sz w:val="21"/>
                <w:szCs w:val="21"/>
                <w:lang w:val="es-MX"/>
              </w:rPr>
              <w:t>.</w:t>
            </w:r>
          </w:p>
        </w:tc>
      </w:tr>
      <w:tr w:rsidR="00154F17" w:rsidRPr="008C6876" w14:paraId="326FC1C7" w14:textId="77777777" w:rsidTr="000C666C">
        <w:trPr>
          <w:trHeight w:val="269"/>
        </w:trPr>
        <w:tc>
          <w:tcPr>
            <w:tcW w:w="1443" w:type="pct"/>
            <w:tcBorders>
              <w:top w:val="single" w:sz="4" w:space="0" w:color="auto"/>
              <w:left w:val="single" w:sz="4" w:space="0" w:color="auto"/>
              <w:bottom w:val="single" w:sz="4" w:space="0" w:color="auto"/>
              <w:right w:val="single" w:sz="4" w:space="0" w:color="auto"/>
            </w:tcBorders>
            <w:vAlign w:val="center"/>
          </w:tcPr>
          <w:p w14:paraId="76C9D138" w14:textId="77777777" w:rsidR="00154F17" w:rsidRPr="008C6876" w:rsidRDefault="00154F17" w:rsidP="000C666C">
            <w:pPr>
              <w:jc w:val="center"/>
              <w:rPr>
                <w:rFonts w:ascii="Verdana" w:hAnsi="Verdana" w:cs="Arial"/>
                <w:b/>
                <w:bCs/>
                <w:sz w:val="21"/>
                <w:szCs w:val="21"/>
                <w:lang w:val="es-MX"/>
              </w:rPr>
            </w:pPr>
            <w:r w:rsidRPr="008C6876">
              <w:rPr>
                <w:rFonts w:ascii="Verdana" w:hAnsi="Verdana" w:cs="Arial"/>
                <w:b/>
                <w:bCs/>
                <w:sz w:val="21"/>
                <w:szCs w:val="21"/>
                <w:lang w:val="es-MX"/>
              </w:rPr>
              <w:t>No se configura un contrato realidad</w:t>
            </w:r>
          </w:p>
        </w:tc>
        <w:tc>
          <w:tcPr>
            <w:tcW w:w="3557" w:type="pct"/>
            <w:tcBorders>
              <w:left w:val="single" w:sz="4" w:space="0" w:color="auto"/>
            </w:tcBorders>
            <w:vAlign w:val="center"/>
          </w:tcPr>
          <w:p w14:paraId="376C5452" w14:textId="77777777" w:rsidR="00154F17" w:rsidRPr="008C6876" w:rsidRDefault="00154F17" w:rsidP="000C666C">
            <w:pPr>
              <w:jc w:val="both"/>
              <w:rPr>
                <w:rFonts w:ascii="Verdana" w:hAnsi="Verdana" w:cs="Arial"/>
                <w:sz w:val="21"/>
                <w:szCs w:val="21"/>
                <w:lang w:val="es-MX"/>
              </w:rPr>
            </w:pPr>
            <w:r w:rsidRPr="008C6876">
              <w:rPr>
                <w:rFonts w:ascii="Verdana" w:hAnsi="Verdana" w:cs="Arial"/>
                <w:sz w:val="21"/>
                <w:szCs w:val="21"/>
                <w:lang w:val="es-MX"/>
              </w:rPr>
              <w:t>Si (i) el contratante conoce el estado de embarazo de la contratista, (</w:t>
            </w:r>
            <w:proofErr w:type="spellStart"/>
            <w:r w:rsidRPr="008C6876">
              <w:rPr>
                <w:rFonts w:ascii="Verdana" w:hAnsi="Verdana" w:cs="Arial"/>
                <w:sz w:val="21"/>
                <w:szCs w:val="21"/>
                <w:lang w:val="es-MX"/>
              </w:rPr>
              <w:t>ii</w:t>
            </w:r>
            <w:proofErr w:type="spellEnd"/>
            <w:r w:rsidRPr="008C6876">
              <w:rPr>
                <w:rFonts w:ascii="Verdana" w:hAnsi="Verdana" w:cs="Arial"/>
                <w:sz w:val="21"/>
                <w:szCs w:val="21"/>
                <w:lang w:val="es-MX"/>
              </w:rPr>
              <w:t>) subsiste la causa del contrato y (</w:t>
            </w:r>
            <w:proofErr w:type="spellStart"/>
            <w:r w:rsidRPr="008C6876">
              <w:rPr>
                <w:rFonts w:ascii="Verdana" w:hAnsi="Verdana" w:cs="Arial"/>
                <w:sz w:val="21"/>
                <w:szCs w:val="21"/>
                <w:lang w:val="es-MX"/>
              </w:rPr>
              <w:t>iii</w:t>
            </w:r>
            <w:proofErr w:type="spellEnd"/>
            <w:r w:rsidRPr="008C6876">
              <w:rPr>
                <w:rFonts w:ascii="Verdana" w:hAnsi="Verdana" w:cs="Arial"/>
                <w:sz w:val="21"/>
                <w:szCs w:val="21"/>
                <w:lang w:val="es-MX"/>
              </w:rPr>
              <w:t>) no cuenta con permiso del inspector del trabajo para terminar el contrato, el juez deberá ordenar:</w:t>
            </w:r>
          </w:p>
          <w:p w14:paraId="51EB94BF" w14:textId="77777777" w:rsidR="00154F17" w:rsidRPr="008C6876" w:rsidRDefault="00154F17" w:rsidP="000C666C">
            <w:pPr>
              <w:rPr>
                <w:rFonts w:ascii="Verdana" w:hAnsi="Verdana" w:cs="Arial"/>
                <w:sz w:val="21"/>
                <w:szCs w:val="21"/>
                <w:lang w:val="es-MX"/>
              </w:rPr>
            </w:pPr>
          </w:p>
          <w:p w14:paraId="55B63DC0" w14:textId="77777777" w:rsidR="00154F17" w:rsidRPr="008C6876" w:rsidRDefault="00154F17" w:rsidP="00154F17">
            <w:pPr>
              <w:numPr>
                <w:ilvl w:val="0"/>
                <w:numId w:val="7"/>
              </w:numPr>
              <w:jc w:val="both"/>
              <w:rPr>
                <w:rFonts w:ascii="Verdana" w:hAnsi="Verdana" w:cs="Arial"/>
                <w:sz w:val="21"/>
                <w:szCs w:val="21"/>
                <w:lang w:val="es-MX"/>
              </w:rPr>
            </w:pPr>
            <w:r w:rsidRPr="008C6876">
              <w:rPr>
                <w:rFonts w:ascii="Verdana" w:hAnsi="Verdana" w:cs="Arial"/>
                <w:sz w:val="21"/>
                <w:szCs w:val="21"/>
                <w:lang w:val="es-MX"/>
              </w:rPr>
              <w:t xml:space="preserve">La renovación de la relación contractual, la cual se dará hasta por el término del periodo de lactancia. </w:t>
            </w:r>
          </w:p>
          <w:p w14:paraId="4B6BCAD6" w14:textId="77777777" w:rsidR="00154F17" w:rsidRPr="008C6876" w:rsidRDefault="00154F17" w:rsidP="00154F17">
            <w:pPr>
              <w:numPr>
                <w:ilvl w:val="0"/>
                <w:numId w:val="7"/>
              </w:numPr>
              <w:jc w:val="both"/>
              <w:rPr>
                <w:rFonts w:ascii="Verdana" w:hAnsi="Verdana" w:cs="Arial"/>
                <w:sz w:val="21"/>
                <w:szCs w:val="21"/>
                <w:lang w:val="es-MX"/>
              </w:rPr>
            </w:pPr>
            <w:r w:rsidRPr="008C6876">
              <w:rPr>
                <w:rFonts w:ascii="Verdana" w:hAnsi="Verdana" w:cs="Arial"/>
                <w:sz w:val="21"/>
                <w:szCs w:val="21"/>
                <w:lang w:val="es-MX"/>
              </w:rPr>
              <w:lastRenderedPageBreak/>
              <w:t xml:space="preserve">El pago de los honorarios dejados de percibir desde la fecha de no renovación del contrato, hasta la renovación </w:t>
            </w:r>
            <w:proofErr w:type="gramStart"/>
            <w:r w:rsidRPr="008C6876">
              <w:rPr>
                <w:rFonts w:ascii="Verdana" w:hAnsi="Verdana" w:cs="Arial"/>
                <w:sz w:val="21"/>
                <w:szCs w:val="21"/>
                <w:lang w:val="es-MX"/>
              </w:rPr>
              <w:t>del mismo</w:t>
            </w:r>
            <w:proofErr w:type="gramEnd"/>
            <w:r w:rsidRPr="008C6876">
              <w:rPr>
                <w:rFonts w:ascii="Verdana" w:hAnsi="Verdana" w:cs="Arial"/>
                <w:sz w:val="21"/>
                <w:szCs w:val="21"/>
                <w:lang w:val="es-MX"/>
              </w:rPr>
              <w:t>;</w:t>
            </w:r>
          </w:p>
          <w:p w14:paraId="015156A7" w14:textId="77777777" w:rsidR="00154F17" w:rsidRPr="008C6876" w:rsidRDefault="00154F17" w:rsidP="00154F17">
            <w:pPr>
              <w:numPr>
                <w:ilvl w:val="0"/>
                <w:numId w:val="7"/>
              </w:numPr>
              <w:jc w:val="both"/>
              <w:rPr>
                <w:rFonts w:ascii="Verdana" w:hAnsi="Verdana" w:cs="Arial"/>
                <w:sz w:val="21"/>
                <w:szCs w:val="21"/>
                <w:lang w:val="es-MX"/>
              </w:rPr>
            </w:pPr>
            <w:r w:rsidRPr="008C6876">
              <w:rPr>
                <w:rFonts w:ascii="Verdana" w:hAnsi="Verdana" w:cs="Arial"/>
                <w:sz w:val="21"/>
                <w:szCs w:val="21"/>
                <w:lang w:val="es-MX"/>
              </w:rPr>
              <w:t>El pago por concepto de la indemnización por despido discriminatorio</w:t>
            </w:r>
            <w:r w:rsidRPr="008C6876">
              <w:rPr>
                <w:rFonts w:ascii="Verdana" w:hAnsi="Verdana" w:cs="Arial"/>
                <w:sz w:val="21"/>
                <w:szCs w:val="21"/>
                <w:vertAlign w:val="superscript"/>
                <w:lang w:val="es-MX"/>
              </w:rPr>
              <w:footnoteReference w:id="27"/>
            </w:r>
            <w:r w:rsidRPr="008C6876">
              <w:rPr>
                <w:rFonts w:ascii="Verdana" w:hAnsi="Verdana" w:cs="Arial"/>
                <w:sz w:val="21"/>
                <w:szCs w:val="21"/>
                <w:lang w:val="es-MX"/>
              </w:rPr>
              <w:t>; y</w:t>
            </w:r>
          </w:p>
          <w:p w14:paraId="2875EF27" w14:textId="77777777" w:rsidR="00154F17" w:rsidRPr="008C6876" w:rsidRDefault="00154F17" w:rsidP="00154F17">
            <w:pPr>
              <w:numPr>
                <w:ilvl w:val="0"/>
                <w:numId w:val="7"/>
              </w:numPr>
              <w:jc w:val="both"/>
              <w:rPr>
                <w:rFonts w:ascii="Verdana" w:hAnsi="Verdana" w:cs="Arial"/>
                <w:sz w:val="21"/>
                <w:szCs w:val="21"/>
                <w:lang w:val="es-MX"/>
              </w:rPr>
            </w:pPr>
            <w:r w:rsidRPr="008C6876">
              <w:rPr>
                <w:rFonts w:ascii="Verdana" w:hAnsi="Verdana" w:cs="Arial"/>
                <w:sz w:val="21"/>
                <w:szCs w:val="21"/>
                <w:lang w:val="es-MX"/>
              </w:rPr>
              <w:t>El pago de la licencia de maternidad. Este pago no se realizará si en el caso se acredita que la madre disfrutó de la licencia de maternidad</w:t>
            </w:r>
            <w:r w:rsidRPr="008C6876">
              <w:rPr>
                <w:rFonts w:ascii="Verdana" w:hAnsi="Verdana" w:cs="Arial"/>
                <w:sz w:val="21"/>
                <w:szCs w:val="21"/>
                <w:vertAlign w:val="superscript"/>
                <w:lang w:val="es-MX"/>
              </w:rPr>
              <w:footnoteReference w:id="28"/>
            </w:r>
            <w:r w:rsidRPr="008C6876">
              <w:rPr>
                <w:rFonts w:ascii="Verdana" w:hAnsi="Verdana" w:cs="Arial"/>
                <w:sz w:val="21"/>
                <w:szCs w:val="21"/>
                <w:lang w:val="es-MX"/>
              </w:rPr>
              <w:t>.</w:t>
            </w:r>
          </w:p>
          <w:p w14:paraId="4F6484A2" w14:textId="77777777" w:rsidR="00154F17" w:rsidRPr="008C6876" w:rsidRDefault="00154F17" w:rsidP="00154F17">
            <w:pPr>
              <w:numPr>
                <w:ilvl w:val="0"/>
                <w:numId w:val="7"/>
              </w:numPr>
              <w:jc w:val="both"/>
              <w:rPr>
                <w:rFonts w:ascii="Verdana" w:hAnsi="Verdana" w:cs="Arial"/>
                <w:sz w:val="21"/>
                <w:szCs w:val="21"/>
                <w:lang w:val="es-MX"/>
              </w:rPr>
            </w:pPr>
            <w:r w:rsidRPr="008C6876">
              <w:rPr>
                <w:rFonts w:ascii="Verdana" w:hAnsi="Verdana" w:cs="Arial"/>
                <w:sz w:val="21"/>
                <w:szCs w:val="21"/>
                <w:lang w:val="es-MX"/>
              </w:rPr>
              <w:t>En el evento en el que el término del periodo de lactancia ya haya terminado, procederá el reconocimiento de los honorarios dejados de percibir hasta la terminación de periodo de lactancia</w:t>
            </w:r>
            <w:r w:rsidRPr="008C6876">
              <w:rPr>
                <w:rFonts w:ascii="Verdana" w:hAnsi="Verdana" w:cs="Arial"/>
                <w:sz w:val="21"/>
                <w:szCs w:val="21"/>
                <w:vertAlign w:val="superscript"/>
                <w:lang w:val="es-MX"/>
              </w:rPr>
              <w:footnoteReference w:id="29"/>
            </w:r>
            <w:r w:rsidRPr="008C6876">
              <w:rPr>
                <w:rFonts w:ascii="Verdana" w:hAnsi="Verdana" w:cs="Arial"/>
                <w:sz w:val="21"/>
                <w:szCs w:val="21"/>
                <w:lang w:val="es-MX"/>
              </w:rPr>
              <w:t>.</w:t>
            </w:r>
          </w:p>
          <w:p w14:paraId="5E411B8C" w14:textId="77777777" w:rsidR="00154F17" w:rsidRPr="008C6876" w:rsidRDefault="00154F17" w:rsidP="000C666C">
            <w:pPr>
              <w:rPr>
                <w:rFonts w:ascii="Verdana" w:hAnsi="Verdana" w:cs="Arial"/>
                <w:sz w:val="21"/>
                <w:szCs w:val="21"/>
                <w:lang w:val="es-MX"/>
              </w:rPr>
            </w:pPr>
          </w:p>
          <w:p w14:paraId="02CAA02E" w14:textId="77777777" w:rsidR="00154F17" w:rsidRPr="008C6876" w:rsidRDefault="00154F17" w:rsidP="000C666C">
            <w:pPr>
              <w:keepNext/>
              <w:jc w:val="both"/>
              <w:rPr>
                <w:rFonts w:ascii="Verdana" w:hAnsi="Verdana" w:cs="Arial"/>
                <w:sz w:val="21"/>
                <w:szCs w:val="21"/>
                <w:lang w:val="es-MX"/>
              </w:rPr>
            </w:pPr>
            <w:r w:rsidRPr="008C6876">
              <w:rPr>
                <w:rFonts w:ascii="Verdana" w:hAnsi="Verdana" w:cs="Arial"/>
                <w:sz w:val="21"/>
                <w:szCs w:val="21"/>
                <w:lang w:val="es-MX"/>
              </w:rPr>
              <w:t>En todo caso, el juez deberá estudiar la procedencia de cada una de estas medidas de protección para lo cual tendrá en cuenta las particularidades del caso</w:t>
            </w:r>
            <w:r w:rsidRPr="008C6876">
              <w:rPr>
                <w:rFonts w:ascii="Verdana" w:hAnsi="Verdana" w:cs="Arial"/>
                <w:sz w:val="21"/>
                <w:szCs w:val="21"/>
                <w:vertAlign w:val="superscript"/>
                <w:lang w:val="es-MX"/>
              </w:rPr>
              <w:footnoteReference w:id="30"/>
            </w:r>
            <w:r w:rsidRPr="008C6876">
              <w:rPr>
                <w:rFonts w:ascii="Verdana" w:hAnsi="Verdana" w:cs="Arial"/>
                <w:sz w:val="21"/>
                <w:szCs w:val="21"/>
                <w:lang w:val="es-MX"/>
              </w:rPr>
              <w:t>.</w:t>
            </w:r>
          </w:p>
        </w:tc>
      </w:tr>
    </w:tbl>
    <w:p w14:paraId="0469CA90" w14:textId="77777777" w:rsidR="00154F17" w:rsidRPr="008C6876" w:rsidRDefault="00154F17" w:rsidP="00154F17">
      <w:pPr>
        <w:spacing w:after="0" w:line="240" w:lineRule="auto"/>
        <w:jc w:val="center"/>
        <w:rPr>
          <w:rFonts w:ascii="Verdana" w:eastAsia="Times New Roman" w:hAnsi="Verdana" w:cs="Arial"/>
          <w:b/>
          <w:bCs/>
          <w:iCs/>
          <w:sz w:val="16"/>
          <w:szCs w:val="16"/>
        </w:rPr>
      </w:pPr>
      <w:r w:rsidRPr="008C6876">
        <w:rPr>
          <w:rFonts w:ascii="Verdana" w:eastAsia="Times New Roman" w:hAnsi="Verdana" w:cs="Arial"/>
          <w:b/>
          <w:bCs/>
          <w:iCs/>
          <w:sz w:val="16"/>
          <w:szCs w:val="16"/>
        </w:rPr>
        <w:lastRenderedPageBreak/>
        <w:t xml:space="preserve">Tabla: Reglas para la protección de la mujer embarazada en contratos de prestación de servicios. – Tomada de la Sentencia T-329 de 2022. </w:t>
      </w:r>
    </w:p>
    <w:p w14:paraId="698CA391" w14:textId="77777777" w:rsidR="00154F17" w:rsidRPr="008C6876" w:rsidRDefault="00154F17" w:rsidP="00154F17">
      <w:pPr>
        <w:tabs>
          <w:tab w:val="left" w:pos="0"/>
        </w:tabs>
        <w:spacing w:after="0" w:line="276" w:lineRule="auto"/>
        <w:jc w:val="both"/>
        <w:rPr>
          <w:rFonts w:ascii="Verdana" w:hAnsi="Verdana" w:cs="Arial"/>
          <w:highlight w:val="yellow"/>
          <w:shd w:val="clear" w:color="auto" w:fill="FFFFFF"/>
        </w:rPr>
      </w:pPr>
    </w:p>
    <w:p w14:paraId="536BE6CA" w14:textId="77777777" w:rsidR="00154F17" w:rsidRPr="008C6876" w:rsidRDefault="00154F17" w:rsidP="00154F17">
      <w:pPr>
        <w:tabs>
          <w:tab w:val="left" w:pos="0"/>
        </w:tabs>
        <w:spacing w:after="0" w:line="276" w:lineRule="auto"/>
        <w:jc w:val="both"/>
        <w:rPr>
          <w:rFonts w:ascii="Verdana" w:hAnsi="Verdana" w:cs="Arial"/>
        </w:rPr>
      </w:pPr>
      <w:r w:rsidRPr="008C6876">
        <w:rPr>
          <w:rFonts w:ascii="Verdana" w:hAnsi="Verdana" w:cs="Arial"/>
          <w:shd w:val="clear" w:color="auto" w:fill="FFFFFF"/>
        </w:rPr>
        <w:tab/>
        <w:t>En este sentido, les corresponde a las Entidades Estatales, en virtud de su autonomía, y de acuerdo con los lineamientos de la Corte Constitucional, determinar la mejor forma para garantizar la estabilidad ocupacional reforzada de las mujeres embarazadas y en periodo de lactancia vinculadas mediante contratos de prestación de servicios.</w:t>
      </w:r>
    </w:p>
    <w:p w14:paraId="22525BB8" w14:textId="77777777" w:rsidR="00154F17" w:rsidRPr="008C6876" w:rsidRDefault="00154F17" w:rsidP="00154F17">
      <w:pPr>
        <w:pStyle w:val="Textoindependiente"/>
        <w:shd w:val="clear" w:color="auto" w:fill="FFFFFF"/>
        <w:spacing w:line="276" w:lineRule="auto"/>
        <w:jc w:val="both"/>
        <w:rPr>
          <w:rFonts w:ascii="Verdana" w:eastAsiaTheme="minorHAnsi" w:hAnsi="Verdana" w:cs="Arial"/>
          <w:b/>
          <w:bCs/>
          <w:sz w:val="22"/>
          <w:szCs w:val="22"/>
          <w:u w:val="single"/>
          <w:shd w:val="clear" w:color="auto" w:fill="FFFFFF"/>
          <w:lang w:eastAsia="en-US"/>
        </w:rPr>
      </w:pPr>
      <w:r w:rsidRPr="008C6876">
        <w:rPr>
          <w:rFonts w:ascii="Verdana" w:eastAsiaTheme="minorHAnsi" w:hAnsi="Verdana" w:cs="Arial"/>
          <w:b/>
          <w:bCs/>
          <w:sz w:val="22"/>
          <w:szCs w:val="22"/>
          <w:shd w:val="clear" w:color="auto" w:fill="FFFFFF"/>
          <w:lang w:eastAsia="en-US"/>
        </w:rPr>
        <w:t xml:space="preserve">2.3. Modificaciones introducidas por la Ley 2306 de 2023 frente a la estabilidad laboral reforzada de mujeres en periodo de lactancia: Especial análisis frente a las contratistas del Estado </w:t>
      </w:r>
    </w:p>
    <w:p w14:paraId="196CABA7" w14:textId="77777777" w:rsidR="00154F17" w:rsidRPr="008C6876" w:rsidRDefault="00154F17" w:rsidP="00AC3386">
      <w:pPr>
        <w:pStyle w:val="Textoindependiente"/>
        <w:shd w:val="clear" w:color="auto" w:fill="FFFFFF"/>
        <w:spacing w:after="0" w:afterAutospacing="0" w:line="276" w:lineRule="auto"/>
        <w:jc w:val="both"/>
        <w:rPr>
          <w:rFonts w:ascii="Verdana" w:eastAsiaTheme="minorHAnsi" w:hAnsi="Verdana" w:cs="Arial"/>
          <w:sz w:val="22"/>
          <w:szCs w:val="22"/>
          <w:shd w:val="clear" w:color="auto" w:fill="FFFFFF"/>
          <w:lang w:eastAsia="en-US"/>
        </w:rPr>
      </w:pPr>
      <w:r w:rsidRPr="008C6876">
        <w:rPr>
          <w:rFonts w:ascii="Verdana" w:eastAsiaTheme="minorHAnsi" w:hAnsi="Verdana" w:cs="Arial"/>
          <w:sz w:val="22"/>
          <w:szCs w:val="22"/>
          <w:shd w:val="clear" w:color="auto" w:fill="FFFFFF"/>
          <w:lang w:eastAsia="en-US"/>
        </w:rPr>
        <w:t xml:space="preserve">En relación con el objeto de la consulta resulta importante señalar que, recientemente el Congreso de la Republica expidió la Ley 2306 de 2023 </w:t>
      </w:r>
      <w:r w:rsidRPr="008C6876">
        <w:rPr>
          <w:rFonts w:ascii="Verdana" w:eastAsiaTheme="minorHAnsi" w:hAnsi="Verdana" w:cs="Arial"/>
          <w:i/>
          <w:iCs/>
          <w:sz w:val="22"/>
          <w:szCs w:val="22"/>
          <w:shd w:val="clear" w:color="auto" w:fill="FFFFFF"/>
          <w:lang w:eastAsia="en-US"/>
        </w:rPr>
        <w:t>“</w:t>
      </w:r>
      <w:r w:rsidRPr="008C6876">
        <w:rPr>
          <w:rFonts w:ascii="Verdana" w:hAnsi="Verdana" w:cs="Open Sans"/>
          <w:i/>
          <w:iCs/>
          <w:sz w:val="22"/>
          <w:szCs w:val="22"/>
        </w:rPr>
        <w:t xml:space="preserve">Por medio de la cual se </w:t>
      </w:r>
      <w:r w:rsidRPr="008C6876">
        <w:rPr>
          <w:rFonts w:ascii="Verdana" w:hAnsi="Verdana" w:cs="Open Sans"/>
          <w:i/>
          <w:iCs/>
          <w:sz w:val="22"/>
          <w:szCs w:val="22"/>
        </w:rPr>
        <w:lastRenderedPageBreak/>
        <w:t>promueve la protección de la maternidad y la primera infancia, se crean incentivos y normas para la construcción de áreas que permitan la lactancia materna en el espacio público y se dictan otras disposiciones</w:t>
      </w:r>
      <w:r w:rsidRPr="008C6876">
        <w:rPr>
          <w:rFonts w:ascii="Verdana" w:eastAsiaTheme="minorHAnsi" w:hAnsi="Verdana" w:cs="Arial"/>
          <w:i/>
          <w:iCs/>
          <w:sz w:val="22"/>
          <w:szCs w:val="22"/>
          <w:shd w:val="clear" w:color="auto" w:fill="FFFFFF"/>
          <w:lang w:eastAsia="en-US"/>
        </w:rPr>
        <w:t>”</w:t>
      </w:r>
      <w:r w:rsidRPr="008C6876">
        <w:rPr>
          <w:rFonts w:ascii="Verdana" w:eastAsiaTheme="minorHAnsi" w:hAnsi="Verdana" w:cs="Arial"/>
          <w:sz w:val="22"/>
          <w:szCs w:val="22"/>
          <w:shd w:val="clear" w:color="auto" w:fill="FFFFFF"/>
          <w:lang w:eastAsia="en-US"/>
        </w:rPr>
        <w:t xml:space="preserve">. El artículo 6 de la mencionada ley modificó el artículo </w:t>
      </w:r>
      <w:hyperlink r:id="rId12" w:anchor="238" w:history="1">
        <w:r w:rsidRPr="008C6876">
          <w:rPr>
            <w:rFonts w:ascii="Verdana" w:eastAsiaTheme="minorHAnsi" w:hAnsi="Verdana" w:cs="Arial"/>
            <w:sz w:val="22"/>
            <w:szCs w:val="22"/>
            <w:shd w:val="clear" w:color="auto" w:fill="FFFFFF"/>
            <w:lang w:eastAsia="en-US"/>
          </w:rPr>
          <w:t>238</w:t>
        </w:r>
      </w:hyperlink>
      <w:r w:rsidRPr="008C6876">
        <w:rPr>
          <w:rFonts w:ascii="Verdana" w:eastAsiaTheme="minorHAnsi" w:hAnsi="Verdana" w:cs="Arial"/>
          <w:sz w:val="22"/>
          <w:szCs w:val="22"/>
          <w:shd w:val="clear" w:color="auto" w:fill="FFFFFF"/>
          <w:lang w:eastAsia="en-US"/>
        </w:rPr>
        <w:t xml:space="preserve"> del Código Sustantivo del Trabajo quedando este así:</w:t>
      </w:r>
    </w:p>
    <w:p w14:paraId="7901DA0A" w14:textId="77777777" w:rsidR="00154F17" w:rsidRPr="008C6876" w:rsidRDefault="00154F17" w:rsidP="00154F17">
      <w:pPr>
        <w:shd w:val="clear" w:color="auto" w:fill="FFFFFF"/>
        <w:spacing w:after="0" w:line="276" w:lineRule="auto"/>
        <w:jc w:val="both"/>
        <w:rPr>
          <w:rFonts w:ascii="Verdana" w:hAnsi="Verdana" w:cs="Arial"/>
          <w:shd w:val="clear" w:color="auto" w:fill="FFFFFF"/>
        </w:rPr>
      </w:pPr>
    </w:p>
    <w:p w14:paraId="5716B08F" w14:textId="77777777" w:rsidR="00154F17" w:rsidRPr="008C6876" w:rsidRDefault="00154F17" w:rsidP="00154F17">
      <w:pPr>
        <w:shd w:val="clear" w:color="auto" w:fill="FFFFFF"/>
        <w:spacing w:after="0" w:line="240" w:lineRule="auto"/>
        <w:ind w:left="993" w:right="900"/>
        <w:jc w:val="both"/>
        <w:rPr>
          <w:rFonts w:ascii="Verdana" w:hAnsi="Verdana" w:cs="Arial"/>
          <w:sz w:val="20"/>
          <w:szCs w:val="20"/>
          <w:shd w:val="clear" w:color="auto" w:fill="FFFFFF"/>
        </w:rPr>
      </w:pPr>
      <w:r w:rsidRPr="008C6876">
        <w:rPr>
          <w:rFonts w:ascii="Verdana" w:hAnsi="Verdana" w:cs="Arial"/>
          <w:sz w:val="20"/>
          <w:szCs w:val="20"/>
          <w:shd w:val="clear" w:color="auto" w:fill="FFFFFF"/>
        </w:rPr>
        <w:t>“ARTÍCULO 238. DESCANSO REMUNERADO DURANTE LA LACTANCIA.</w:t>
      </w:r>
    </w:p>
    <w:p w14:paraId="1C8052C4" w14:textId="77777777" w:rsidR="00154F17" w:rsidRPr="008C6876" w:rsidRDefault="00154F17" w:rsidP="00154F17">
      <w:pPr>
        <w:shd w:val="clear" w:color="auto" w:fill="FFFFFF"/>
        <w:spacing w:after="0" w:line="240" w:lineRule="auto"/>
        <w:ind w:left="993" w:right="900"/>
        <w:jc w:val="both"/>
        <w:rPr>
          <w:rFonts w:ascii="Verdana" w:hAnsi="Verdana" w:cs="Arial"/>
          <w:sz w:val="20"/>
          <w:szCs w:val="20"/>
          <w:shd w:val="clear" w:color="auto" w:fill="FFFFFF"/>
        </w:rPr>
      </w:pPr>
    </w:p>
    <w:p w14:paraId="01F3E380" w14:textId="77777777" w:rsidR="00154F17" w:rsidRPr="008C6876" w:rsidRDefault="00154F17" w:rsidP="00154F17">
      <w:pPr>
        <w:shd w:val="clear" w:color="auto" w:fill="FFFFFF"/>
        <w:spacing w:after="0" w:line="240" w:lineRule="auto"/>
        <w:ind w:left="993" w:right="900"/>
        <w:jc w:val="both"/>
        <w:rPr>
          <w:rFonts w:ascii="Verdana" w:hAnsi="Verdana" w:cs="Arial"/>
          <w:sz w:val="20"/>
          <w:szCs w:val="20"/>
          <w:shd w:val="clear" w:color="auto" w:fill="FFFFFF"/>
        </w:rPr>
      </w:pPr>
      <w:r w:rsidRPr="008C6876">
        <w:rPr>
          <w:rFonts w:ascii="Verdana" w:hAnsi="Verdana" w:cs="Arial"/>
          <w:sz w:val="20"/>
          <w:szCs w:val="20"/>
          <w:shd w:val="clear" w:color="auto" w:fill="FFFFFF"/>
        </w:rPr>
        <w:t xml:space="preserve">1.El empleador está en la obligación de conceder a la trabajadora dos (2) descansos, de treinta (30) minutos cada uno, dentro de la jornada para amamantar a su hijo, sin descuento alguno en el salario por dicho concepto, durante los primeros seis (6) meses de edad, y una vez cumplido este periodo, un (1) descanso de treinta (30) minutos en los mismos términos hasta los dos (2) años de edad de/ menor: siempre y cuando se mantenga y manifieste una adecuada lactancia </w:t>
      </w:r>
      <w:proofErr w:type="gramStart"/>
      <w:r w:rsidRPr="008C6876">
        <w:rPr>
          <w:rFonts w:ascii="Verdana" w:hAnsi="Verdana" w:cs="Arial"/>
          <w:sz w:val="20"/>
          <w:szCs w:val="20"/>
          <w:shd w:val="clear" w:color="auto" w:fill="FFFFFF"/>
        </w:rPr>
        <w:t>materno continua</w:t>
      </w:r>
      <w:proofErr w:type="gramEnd"/>
      <w:r w:rsidRPr="008C6876">
        <w:rPr>
          <w:rFonts w:ascii="Verdana" w:hAnsi="Verdana" w:cs="Arial"/>
          <w:sz w:val="20"/>
          <w:szCs w:val="20"/>
          <w:shd w:val="clear" w:color="auto" w:fill="FFFFFF"/>
        </w:rPr>
        <w:t>.</w:t>
      </w:r>
    </w:p>
    <w:p w14:paraId="046B651E" w14:textId="77777777" w:rsidR="00154F17" w:rsidRPr="008C6876" w:rsidRDefault="00154F17" w:rsidP="00154F17">
      <w:pPr>
        <w:shd w:val="clear" w:color="auto" w:fill="FFFFFF"/>
        <w:spacing w:after="0" w:line="240" w:lineRule="auto"/>
        <w:ind w:left="993" w:right="900"/>
        <w:jc w:val="both"/>
        <w:rPr>
          <w:rFonts w:ascii="Verdana" w:hAnsi="Verdana" w:cs="Arial"/>
          <w:sz w:val="20"/>
          <w:szCs w:val="20"/>
          <w:shd w:val="clear" w:color="auto" w:fill="FFFFFF"/>
        </w:rPr>
      </w:pPr>
    </w:p>
    <w:p w14:paraId="2712EB8C" w14:textId="77777777" w:rsidR="00154F17" w:rsidRPr="008C6876" w:rsidRDefault="00154F17" w:rsidP="00154F17">
      <w:pPr>
        <w:shd w:val="clear" w:color="auto" w:fill="FFFFFF"/>
        <w:spacing w:after="0" w:line="240" w:lineRule="auto"/>
        <w:ind w:left="993" w:right="900"/>
        <w:jc w:val="both"/>
        <w:rPr>
          <w:rFonts w:ascii="Verdana" w:hAnsi="Verdana" w:cs="Arial"/>
          <w:sz w:val="20"/>
          <w:szCs w:val="20"/>
          <w:shd w:val="clear" w:color="auto" w:fill="FFFFFF"/>
        </w:rPr>
      </w:pPr>
      <w:r w:rsidRPr="008C6876">
        <w:rPr>
          <w:rFonts w:ascii="Verdana" w:hAnsi="Verdana" w:cs="Arial"/>
          <w:sz w:val="20"/>
          <w:szCs w:val="20"/>
          <w:shd w:val="clear" w:color="auto" w:fill="FFFFFF"/>
        </w:rPr>
        <w:t>2. El empleador está en la obligación de conceder más descansos que los establecidos en el inciso anterior si lo trabajadora presenta certificado médico en el cual se expongan las razones que justifiquen ese mayor número de descansos.</w:t>
      </w:r>
    </w:p>
    <w:p w14:paraId="1BE31472" w14:textId="77777777" w:rsidR="00154F17" w:rsidRPr="008C6876" w:rsidRDefault="00154F17" w:rsidP="00154F17">
      <w:pPr>
        <w:shd w:val="clear" w:color="auto" w:fill="FFFFFF"/>
        <w:spacing w:after="0" w:line="240" w:lineRule="auto"/>
        <w:ind w:left="993" w:right="900"/>
        <w:jc w:val="both"/>
        <w:rPr>
          <w:rFonts w:ascii="Verdana" w:hAnsi="Verdana" w:cs="Arial"/>
          <w:sz w:val="20"/>
          <w:szCs w:val="20"/>
          <w:shd w:val="clear" w:color="auto" w:fill="FFFFFF"/>
        </w:rPr>
      </w:pPr>
    </w:p>
    <w:p w14:paraId="719425A7" w14:textId="77777777" w:rsidR="00154F17" w:rsidRPr="008C6876" w:rsidRDefault="00154F17" w:rsidP="00154F17">
      <w:pPr>
        <w:shd w:val="clear" w:color="auto" w:fill="FFFFFF"/>
        <w:spacing w:after="0" w:line="240" w:lineRule="auto"/>
        <w:ind w:left="993" w:right="900"/>
        <w:jc w:val="both"/>
        <w:rPr>
          <w:rFonts w:ascii="Verdana" w:hAnsi="Verdana" w:cs="Arial"/>
          <w:sz w:val="20"/>
          <w:szCs w:val="20"/>
          <w:shd w:val="clear" w:color="auto" w:fill="FFFFFF"/>
        </w:rPr>
      </w:pPr>
      <w:r w:rsidRPr="008C6876">
        <w:rPr>
          <w:rFonts w:ascii="Verdana" w:hAnsi="Verdana" w:cs="Arial"/>
          <w:sz w:val="20"/>
          <w:szCs w:val="20"/>
          <w:shd w:val="clear" w:color="auto" w:fill="FFFFFF"/>
        </w:rPr>
        <w:t>3. Para dar cumplimiento a la obligación consagrada en este artículo, los empleadores deben establecer en un local contiguo a aquel en donde la mujer trabaja, una sala de lactancia o un lugar apropiado para guardar al niño.</w:t>
      </w:r>
    </w:p>
    <w:p w14:paraId="5B755DC2" w14:textId="77777777" w:rsidR="00154F17" w:rsidRPr="008C6876" w:rsidRDefault="00154F17" w:rsidP="00154F17">
      <w:pPr>
        <w:shd w:val="clear" w:color="auto" w:fill="FFFFFF"/>
        <w:spacing w:after="0" w:line="240" w:lineRule="auto"/>
        <w:ind w:left="993" w:right="900"/>
        <w:jc w:val="both"/>
        <w:rPr>
          <w:rFonts w:ascii="Verdana" w:hAnsi="Verdana" w:cs="Arial"/>
          <w:sz w:val="20"/>
          <w:szCs w:val="20"/>
          <w:shd w:val="clear" w:color="auto" w:fill="FFFFFF"/>
        </w:rPr>
      </w:pPr>
    </w:p>
    <w:p w14:paraId="409AB4DE" w14:textId="77777777" w:rsidR="00154F17" w:rsidRPr="008C6876" w:rsidRDefault="00154F17" w:rsidP="00154F17">
      <w:pPr>
        <w:shd w:val="clear" w:color="auto" w:fill="FFFFFF"/>
        <w:spacing w:after="0" w:line="240" w:lineRule="auto"/>
        <w:ind w:left="992" w:right="902"/>
        <w:jc w:val="both"/>
        <w:rPr>
          <w:rFonts w:ascii="Verdana" w:hAnsi="Verdana" w:cs="Arial"/>
          <w:sz w:val="20"/>
          <w:szCs w:val="20"/>
          <w:shd w:val="clear" w:color="auto" w:fill="FFFFFF"/>
        </w:rPr>
      </w:pPr>
      <w:r w:rsidRPr="008C6876">
        <w:rPr>
          <w:rFonts w:ascii="Verdana" w:hAnsi="Verdana" w:cs="Arial"/>
          <w:sz w:val="20"/>
          <w:szCs w:val="20"/>
          <w:shd w:val="clear" w:color="auto" w:fill="FFFFFF"/>
        </w:rPr>
        <w:t>4. Los empleadores pueden contratar con las instituciones de protección infantil el inciso anterior”.</w:t>
      </w:r>
    </w:p>
    <w:p w14:paraId="0A1976E1" w14:textId="77777777" w:rsidR="00154F17" w:rsidRPr="008C6876" w:rsidRDefault="00154F17" w:rsidP="00154F17">
      <w:pPr>
        <w:tabs>
          <w:tab w:val="left" w:pos="0"/>
        </w:tabs>
        <w:spacing w:after="0" w:line="276" w:lineRule="auto"/>
        <w:jc w:val="both"/>
        <w:rPr>
          <w:rFonts w:ascii="Verdana" w:hAnsi="Verdana" w:cs="Arial"/>
        </w:rPr>
      </w:pPr>
    </w:p>
    <w:p w14:paraId="0DF23B22" w14:textId="015354F4" w:rsidR="00154F17" w:rsidRPr="008C6876" w:rsidRDefault="00154F17" w:rsidP="00154F17">
      <w:pPr>
        <w:spacing w:after="120" w:line="276" w:lineRule="auto"/>
        <w:jc w:val="both"/>
        <w:rPr>
          <w:rFonts w:ascii="Verdana" w:hAnsi="Verdana" w:cs="Arial"/>
        </w:rPr>
      </w:pPr>
      <w:r w:rsidRPr="008C6876">
        <w:rPr>
          <w:rFonts w:ascii="Verdana" w:hAnsi="Verdana" w:cs="Arial"/>
        </w:rPr>
        <w:tab/>
      </w:r>
      <w:r w:rsidR="00EB4E56">
        <w:rPr>
          <w:rFonts w:ascii="Verdana" w:hAnsi="Verdana" w:cs="Arial"/>
        </w:rPr>
        <w:t>Según se deprende del texto transcr</w:t>
      </w:r>
      <w:r w:rsidR="002275A7">
        <w:rPr>
          <w:rFonts w:ascii="Verdana" w:hAnsi="Verdana" w:cs="Arial"/>
        </w:rPr>
        <w:t>ito</w:t>
      </w:r>
      <w:r w:rsidRPr="008C6876">
        <w:rPr>
          <w:rFonts w:ascii="Verdana" w:hAnsi="Verdana" w:cs="Arial"/>
        </w:rPr>
        <w:t>, la norma concede un descanso remunerado para la</w:t>
      </w:r>
      <w:r w:rsidR="002275A7">
        <w:rPr>
          <w:rFonts w:ascii="Verdana" w:hAnsi="Verdana" w:cs="Arial"/>
        </w:rPr>
        <w:t>s</w:t>
      </w:r>
      <w:r w:rsidRPr="008C6876">
        <w:rPr>
          <w:rFonts w:ascii="Verdana" w:hAnsi="Verdana" w:cs="Arial"/>
        </w:rPr>
        <w:t xml:space="preserve"> trabajadora</w:t>
      </w:r>
      <w:r w:rsidR="002275A7">
        <w:rPr>
          <w:rFonts w:ascii="Verdana" w:hAnsi="Verdana" w:cs="Arial"/>
        </w:rPr>
        <w:t>s</w:t>
      </w:r>
      <w:r w:rsidRPr="008C6876">
        <w:rPr>
          <w:rFonts w:ascii="Verdana" w:hAnsi="Verdana" w:cs="Arial"/>
        </w:rPr>
        <w:t xml:space="preserve"> durante el periodo de lactancia de la siguiente forma: i) hasta los seis (6) </w:t>
      </w:r>
      <w:r w:rsidR="00C01FAD">
        <w:rPr>
          <w:rFonts w:ascii="Verdana" w:hAnsi="Verdana" w:cs="Arial"/>
        </w:rPr>
        <w:t xml:space="preserve">meses </w:t>
      </w:r>
      <w:r w:rsidRPr="008C6876">
        <w:rPr>
          <w:rFonts w:ascii="Verdana" w:hAnsi="Verdana" w:cs="Arial"/>
        </w:rPr>
        <w:t xml:space="preserve">de edad, los empleadores deben conceder dos (2) descansos de treinta (30) minutos cada uno durante la jornada laboral y; </w:t>
      </w:r>
      <w:proofErr w:type="spellStart"/>
      <w:r w:rsidRPr="008C6876">
        <w:rPr>
          <w:rFonts w:ascii="Verdana" w:hAnsi="Verdana" w:cs="Arial"/>
        </w:rPr>
        <w:t>ii</w:t>
      </w:r>
      <w:proofErr w:type="spellEnd"/>
      <w:r w:rsidRPr="008C6876">
        <w:rPr>
          <w:rFonts w:ascii="Verdana" w:hAnsi="Verdana" w:cs="Arial"/>
        </w:rPr>
        <w:t xml:space="preserve">) de los seis (6) en adelante y hasta los dos (2) años de edad, se debe conceder a la trabajadora un descanso de treinta (30) minutos durante la jornada laboral, sin que estos descansos impliquen una disminución en el salario devengado. </w:t>
      </w:r>
      <w:r w:rsidRPr="008C6876">
        <w:rPr>
          <w:rFonts w:ascii="Verdana" w:hAnsi="Verdana" w:cs="Arial"/>
        </w:rPr>
        <w:tab/>
      </w:r>
    </w:p>
    <w:p w14:paraId="20D32CF8" w14:textId="74EECF62" w:rsidR="00154F17" w:rsidRPr="008C6876" w:rsidRDefault="00154F17" w:rsidP="00154F17">
      <w:pPr>
        <w:tabs>
          <w:tab w:val="left" w:pos="0"/>
        </w:tabs>
        <w:spacing w:after="120" w:line="276" w:lineRule="auto"/>
        <w:jc w:val="both"/>
        <w:rPr>
          <w:rFonts w:ascii="Verdana" w:hAnsi="Verdana" w:cs="Arial"/>
          <w:shd w:val="clear" w:color="auto" w:fill="FFFFFF"/>
        </w:rPr>
      </w:pPr>
      <w:r w:rsidRPr="008C6876">
        <w:rPr>
          <w:rFonts w:ascii="Verdana" w:hAnsi="Verdana" w:cs="Arial"/>
          <w:shd w:val="clear" w:color="auto" w:fill="FFFFFF"/>
        </w:rPr>
        <w:tab/>
        <w:t xml:space="preserve">En relación con la prohibición de despido consagrada en el artículo 239 del Código Sustantivo de Trabajo por motivo del embarazo o la lactancia, a la luz de la modificación introducida por la Ley 2306 de 2023, resulta importante hacer una precisión respecto a </w:t>
      </w:r>
      <w:r w:rsidR="002275A7" w:rsidRPr="008C6876">
        <w:rPr>
          <w:rFonts w:ascii="Verdana" w:hAnsi="Verdana" w:cs="Arial"/>
          <w:shd w:val="clear" w:color="auto" w:fill="FFFFFF"/>
        </w:rPr>
        <w:t>cómo</w:t>
      </w:r>
      <w:r w:rsidRPr="008C6876">
        <w:rPr>
          <w:rFonts w:ascii="Verdana" w:hAnsi="Verdana" w:cs="Arial"/>
          <w:shd w:val="clear" w:color="auto" w:fill="FFFFFF"/>
        </w:rPr>
        <w:t xml:space="preserve"> opera la presunción de despido discriminatorio durante el embarazo y como opera durante el periodo de lactancia. De acuerdo con lo establecido en el artículo 239 </w:t>
      </w:r>
      <w:r w:rsidRPr="008C6876">
        <w:rPr>
          <w:rFonts w:ascii="Verdana" w:hAnsi="Verdana" w:cs="Arial"/>
          <w:i/>
          <w:iCs/>
          <w:shd w:val="clear" w:color="auto" w:fill="FFFFFF"/>
        </w:rPr>
        <w:t>ibidem</w:t>
      </w:r>
      <w:r w:rsidRPr="008C6876">
        <w:rPr>
          <w:rFonts w:ascii="Verdana" w:hAnsi="Verdana" w:cs="Arial"/>
          <w:shd w:val="clear" w:color="auto" w:fill="FFFFFF"/>
        </w:rPr>
        <w:t xml:space="preserve"> se presume que un despido es discriminatorio cuando sucede </w:t>
      </w:r>
      <w:r w:rsidRPr="008C6876">
        <w:rPr>
          <w:rFonts w:ascii="Verdana" w:hAnsi="Verdana" w:cs="Arial"/>
          <w:shd w:val="clear" w:color="auto" w:fill="FFFFFF"/>
        </w:rPr>
        <w:lastRenderedPageBreak/>
        <w:t xml:space="preserve">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 </w:t>
      </w:r>
    </w:p>
    <w:p w14:paraId="6070E09C" w14:textId="77777777" w:rsidR="00154F17" w:rsidRPr="008C6876" w:rsidRDefault="00154F17" w:rsidP="00154F17">
      <w:pPr>
        <w:tabs>
          <w:tab w:val="left" w:pos="0"/>
        </w:tabs>
        <w:spacing w:after="120" w:line="276" w:lineRule="auto"/>
        <w:jc w:val="both"/>
        <w:rPr>
          <w:rFonts w:ascii="Verdana" w:hAnsi="Verdana"/>
        </w:rPr>
      </w:pPr>
      <w:r w:rsidRPr="008C6876">
        <w:rPr>
          <w:rFonts w:ascii="Verdana" w:hAnsi="Verdana" w:cs="Arial"/>
          <w:shd w:val="clear" w:color="auto" w:fill="FFFFFF"/>
        </w:rPr>
        <w:tab/>
      </w:r>
      <w:r w:rsidRPr="008C6876">
        <w:rPr>
          <w:rFonts w:ascii="Verdana" w:hAnsi="Verdana"/>
        </w:rPr>
        <w:t xml:space="preserve">De conformidad con las citadas normas, se entiende que existiría la presunción de despido por estado de embarazo, durante el embarazo y el goce de la licencia de maternidad que equivale a las (18) semanas posteriores al parto y en el término de la lactancia en donde si bien existe una protección, no le es aplicable dicha presunción, motivo por el cual la trabajadora deberá demostrar ante la autoridad competente que dicho despido fue dado a causa de su embarazo o lactancia. </w:t>
      </w:r>
    </w:p>
    <w:p w14:paraId="6565BB8D" w14:textId="0896CC08" w:rsidR="00154F17" w:rsidRPr="008C6876" w:rsidRDefault="00154F17" w:rsidP="00154F17">
      <w:pPr>
        <w:spacing w:after="120" w:line="276" w:lineRule="auto"/>
        <w:ind w:firstLine="708"/>
        <w:jc w:val="both"/>
        <w:rPr>
          <w:rFonts w:ascii="Verdana" w:hAnsi="Verdana" w:cs="Arial"/>
          <w:shd w:val="clear" w:color="auto" w:fill="FFFFFF"/>
        </w:rPr>
      </w:pPr>
      <w:r w:rsidRPr="008C6876">
        <w:rPr>
          <w:rFonts w:ascii="Verdana" w:hAnsi="Verdana" w:cs="Arial"/>
          <w:shd w:val="clear" w:color="auto" w:fill="FFFFFF"/>
        </w:rPr>
        <w:t xml:space="preserve">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w:t>
      </w:r>
      <w:hyperlink r:id="rId13" w:history="1">
        <w:r w:rsidRPr="008C6876">
          <w:rPr>
            <w:rFonts w:ascii="Verdana" w:hAnsi="Verdana" w:cs="Arial"/>
            <w:shd w:val="clear" w:color="auto" w:fill="FFFFFF"/>
          </w:rPr>
          <w:t>2603</w:t>
        </w:r>
      </w:hyperlink>
      <w:r w:rsidRPr="008C6876">
        <w:rPr>
          <w:rFonts w:ascii="Verdana" w:hAnsi="Verdana" w:cs="Arial"/>
          <w:shd w:val="clear" w:color="auto" w:fill="FFFFFF"/>
        </w:rPr>
        <w:t xml:space="preserve"> de 2023 no implica una extensión automática del fuero de maternidad. En efecto, las trabajadoras gozarán del descanso remunerado de lactancia durante los dos (2) primeros años de vida del menor “…siempre y cuando se mantenga y manifieste una adecuada lactancia </w:t>
      </w:r>
      <w:proofErr w:type="gramStart"/>
      <w:r w:rsidRPr="008C6876">
        <w:rPr>
          <w:rFonts w:ascii="Verdana" w:hAnsi="Verdana" w:cs="Arial"/>
          <w:shd w:val="clear" w:color="auto" w:fill="FFFFFF"/>
        </w:rPr>
        <w:t>materno continua</w:t>
      </w:r>
      <w:proofErr w:type="gramEnd"/>
      <w:r w:rsidR="00930C14">
        <w:rPr>
          <w:rFonts w:ascii="Verdana" w:hAnsi="Verdana" w:cs="Arial"/>
          <w:shd w:val="clear" w:color="auto" w:fill="FFFFFF"/>
        </w:rPr>
        <w:t>,</w:t>
      </w:r>
      <w:r w:rsidRPr="008C6876">
        <w:rPr>
          <w:rFonts w:ascii="Verdana" w:hAnsi="Verdana" w:cs="Arial"/>
          <w:shd w:val="clear" w:color="auto" w:fill="FFFFFF"/>
        </w:rPr>
        <w:t xml:space="preserve"> la que deberá acreditar la Madre Trabajadora con los respectivos certificados médicos.” </w:t>
      </w:r>
    </w:p>
    <w:p w14:paraId="43B6FE83" w14:textId="31F289DF" w:rsidR="00154F17" w:rsidRPr="008C6876" w:rsidRDefault="00154F17" w:rsidP="4B271BFC">
      <w:pPr>
        <w:spacing w:after="120" w:line="276" w:lineRule="auto"/>
        <w:ind w:firstLine="708"/>
        <w:jc w:val="both"/>
        <w:rPr>
          <w:rFonts w:ascii="Verdana" w:eastAsia="Calibri" w:hAnsi="Verdana" w:cs="Arial"/>
          <w:color w:val="000000"/>
          <w:lang w:val="es-ES"/>
        </w:rPr>
      </w:pPr>
      <w:r w:rsidRPr="008C6876">
        <w:rPr>
          <w:rFonts w:ascii="Verdana" w:eastAsia="Calibri" w:hAnsi="Verdana" w:cs="Arial"/>
          <w:bCs/>
          <w:color w:val="000000"/>
          <w:lang w:val="es-ES_tradnl"/>
        </w:rPr>
        <w:t>En</w:t>
      </w:r>
      <w:r w:rsidR="008C4BD8">
        <w:rPr>
          <w:rFonts w:ascii="Verdana" w:eastAsia="Calibri" w:hAnsi="Verdana" w:cs="Arial"/>
          <w:bCs/>
          <w:color w:val="000000"/>
          <w:lang w:val="es-ES_tradnl"/>
        </w:rPr>
        <w:t xml:space="preserve"> este contexto, </w:t>
      </w:r>
      <w:r w:rsidR="00233238">
        <w:rPr>
          <w:rFonts w:ascii="Verdana" w:eastAsia="Calibri" w:hAnsi="Verdana" w:cs="Arial"/>
          <w:bCs/>
          <w:color w:val="000000"/>
          <w:lang w:val="es-ES_tradnl"/>
        </w:rPr>
        <w:t xml:space="preserve">frente </w:t>
      </w:r>
      <w:r w:rsidR="00FA67DE">
        <w:rPr>
          <w:rFonts w:ascii="Verdana" w:eastAsia="Calibri" w:hAnsi="Verdana" w:cs="Arial"/>
          <w:bCs/>
          <w:color w:val="000000"/>
          <w:lang w:val="es-ES_tradnl"/>
        </w:rPr>
        <w:t xml:space="preserve">al interrogante planteado </w:t>
      </w:r>
      <w:r w:rsidR="00D86FB4">
        <w:rPr>
          <w:rFonts w:ascii="Verdana" w:eastAsia="Calibri" w:hAnsi="Verdana" w:cs="Arial"/>
          <w:bCs/>
          <w:color w:val="000000"/>
          <w:lang w:val="es-ES_tradnl"/>
        </w:rPr>
        <w:t>en su consulta</w:t>
      </w:r>
      <w:r w:rsidR="000D3808">
        <w:rPr>
          <w:rFonts w:ascii="Verdana" w:eastAsia="Calibri" w:hAnsi="Verdana" w:cs="Arial"/>
          <w:bCs/>
          <w:color w:val="000000"/>
          <w:lang w:val="es-ES_tradnl"/>
        </w:rPr>
        <w:t xml:space="preserve"> tendiente a establecer si</w:t>
      </w:r>
      <w:r w:rsidR="00B50F00">
        <w:rPr>
          <w:rFonts w:ascii="Verdana" w:eastAsia="Calibri" w:hAnsi="Verdana" w:cs="Arial"/>
          <w:bCs/>
          <w:color w:val="000000"/>
          <w:lang w:val="es-ES_tradnl"/>
        </w:rPr>
        <w:t xml:space="preserve"> </w:t>
      </w:r>
      <w:r w:rsidR="001E191A">
        <w:rPr>
          <w:rFonts w:ascii="Verdana" w:eastAsia="Calibri" w:hAnsi="Verdana" w:cs="Arial"/>
          <w:bCs/>
          <w:color w:val="000000"/>
          <w:lang w:val="es-ES_tradnl"/>
        </w:rPr>
        <w:t>¿</w:t>
      </w:r>
      <w:r w:rsidRPr="008C6876">
        <w:rPr>
          <w:rFonts w:ascii="Verdana" w:eastAsia="Calibri" w:hAnsi="Verdana" w:cs="Arial"/>
          <w:bCs/>
          <w:color w:val="000000"/>
          <w:lang w:val="es-ES_tradnl"/>
        </w:rPr>
        <w:t xml:space="preserve">el derecho regulado en la </w:t>
      </w:r>
      <w:r w:rsidR="004758F6">
        <w:rPr>
          <w:rFonts w:ascii="Verdana" w:eastAsia="Calibri" w:hAnsi="Verdana" w:cs="Arial"/>
          <w:bCs/>
          <w:color w:val="000000"/>
          <w:lang w:val="es-ES_tradnl"/>
        </w:rPr>
        <w:t xml:space="preserve">en el artículo </w:t>
      </w:r>
      <w:r w:rsidR="00233238">
        <w:rPr>
          <w:rFonts w:ascii="Verdana" w:eastAsia="Calibri" w:hAnsi="Verdana" w:cs="Arial"/>
          <w:bCs/>
          <w:color w:val="000000"/>
          <w:lang w:val="es-ES_tradnl"/>
        </w:rPr>
        <w:t>6</w:t>
      </w:r>
      <w:r w:rsidR="004758F6">
        <w:rPr>
          <w:rFonts w:ascii="Verdana" w:eastAsia="Calibri" w:hAnsi="Verdana" w:cs="Arial"/>
          <w:bCs/>
          <w:color w:val="000000"/>
          <w:lang w:val="es-ES_tradnl"/>
        </w:rPr>
        <w:t xml:space="preserve"> de la </w:t>
      </w:r>
      <w:r w:rsidRPr="008C6876">
        <w:rPr>
          <w:rFonts w:ascii="Verdana" w:eastAsia="Calibri" w:hAnsi="Verdana" w:cs="Arial"/>
          <w:bCs/>
          <w:color w:val="000000"/>
          <w:lang w:val="es-ES_tradnl"/>
        </w:rPr>
        <w:t xml:space="preserve">Ley 2306 de 2023 también </w:t>
      </w:r>
      <w:r w:rsidR="00B73586">
        <w:rPr>
          <w:rFonts w:ascii="Verdana" w:eastAsia="Calibri" w:hAnsi="Verdana" w:cs="Arial"/>
          <w:bCs/>
          <w:color w:val="000000"/>
          <w:lang w:val="es-ES_tradnl"/>
        </w:rPr>
        <w:t>de</w:t>
      </w:r>
      <w:r w:rsidR="00233238">
        <w:rPr>
          <w:rFonts w:ascii="Verdana" w:eastAsia="Calibri" w:hAnsi="Verdana" w:cs="Arial"/>
          <w:bCs/>
          <w:color w:val="000000"/>
          <w:lang w:val="es-ES_tradnl"/>
        </w:rPr>
        <w:t>be</w:t>
      </w:r>
      <w:r w:rsidR="00B73586">
        <w:rPr>
          <w:rFonts w:ascii="Verdana" w:eastAsia="Calibri" w:hAnsi="Verdana" w:cs="Arial"/>
          <w:bCs/>
          <w:color w:val="000000"/>
          <w:lang w:val="es-ES_tradnl"/>
        </w:rPr>
        <w:t xml:space="preserve"> garantizarse </w:t>
      </w:r>
      <w:r w:rsidRPr="008C6876">
        <w:rPr>
          <w:rFonts w:ascii="Verdana" w:eastAsia="Calibri" w:hAnsi="Verdana" w:cs="Arial"/>
          <w:bCs/>
          <w:color w:val="000000"/>
          <w:lang w:val="es-ES_tradnl"/>
        </w:rPr>
        <w:t>a las contratistas</w:t>
      </w:r>
      <w:r w:rsidR="002A5EF4">
        <w:rPr>
          <w:rFonts w:ascii="Verdana" w:eastAsia="Calibri" w:hAnsi="Verdana" w:cs="Arial"/>
          <w:bCs/>
          <w:color w:val="000000"/>
          <w:lang w:val="es-ES_tradnl"/>
        </w:rPr>
        <w:t xml:space="preserve"> del Estado en la modalidad</w:t>
      </w:r>
      <w:r w:rsidRPr="008C6876">
        <w:rPr>
          <w:rFonts w:ascii="Verdana" w:eastAsia="Calibri" w:hAnsi="Verdana" w:cs="Arial"/>
          <w:bCs/>
          <w:color w:val="000000"/>
          <w:lang w:val="es-ES_tradnl"/>
        </w:rPr>
        <w:t xml:space="preserve"> prestación de servicio</w:t>
      </w:r>
      <w:r w:rsidR="00736372">
        <w:rPr>
          <w:rFonts w:ascii="Verdana" w:eastAsia="Calibri" w:hAnsi="Verdana" w:cs="Arial"/>
          <w:bCs/>
          <w:color w:val="000000"/>
          <w:lang w:val="es-ES_tradnl"/>
        </w:rPr>
        <w:t>?</w:t>
      </w:r>
      <w:r w:rsidRPr="008C6876">
        <w:rPr>
          <w:rFonts w:ascii="Verdana" w:eastAsia="Calibri" w:hAnsi="Verdana" w:cs="Arial"/>
          <w:bCs/>
          <w:color w:val="000000"/>
          <w:lang w:val="es-ES_tradnl"/>
        </w:rPr>
        <w:t>, la</w:t>
      </w:r>
      <w:r w:rsidR="002A5EF4">
        <w:rPr>
          <w:rFonts w:ascii="Verdana" w:eastAsia="Calibri" w:hAnsi="Verdana" w:cs="Arial"/>
          <w:bCs/>
          <w:color w:val="000000"/>
          <w:lang w:val="es-ES_tradnl"/>
        </w:rPr>
        <w:t xml:space="preserve"> respuesta</w:t>
      </w:r>
      <w:r w:rsidRPr="008C6876">
        <w:rPr>
          <w:rFonts w:ascii="Verdana" w:eastAsia="Calibri" w:hAnsi="Verdana" w:cs="Arial"/>
          <w:bCs/>
          <w:color w:val="000000"/>
          <w:lang w:val="es-ES_tradnl"/>
        </w:rPr>
        <w:t xml:space="preserve"> Agencia Nacional de Contratación Pública – Colombia Compra Eficiente</w:t>
      </w:r>
      <w:r w:rsidR="008C4BD8">
        <w:rPr>
          <w:rFonts w:ascii="Verdana" w:eastAsia="Calibri" w:hAnsi="Verdana" w:cs="Arial"/>
          <w:bCs/>
          <w:color w:val="000000"/>
          <w:lang w:val="es-ES_tradnl"/>
        </w:rPr>
        <w:t>–</w:t>
      </w:r>
      <w:r w:rsidRPr="008C6876">
        <w:rPr>
          <w:rFonts w:ascii="Verdana" w:eastAsia="Calibri" w:hAnsi="Verdana" w:cs="Arial"/>
          <w:bCs/>
          <w:color w:val="000000"/>
          <w:lang w:val="es-ES_tradnl"/>
        </w:rPr>
        <w:t xml:space="preserve"> </w:t>
      </w:r>
      <w:r w:rsidR="00B2517D">
        <w:rPr>
          <w:rFonts w:ascii="Verdana" w:eastAsia="Calibri" w:hAnsi="Verdana" w:cs="Arial"/>
          <w:bCs/>
          <w:color w:val="000000"/>
          <w:lang w:val="es-ES_tradnl"/>
        </w:rPr>
        <w:t>es negativa</w:t>
      </w:r>
      <w:r w:rsidR="00233238">
        <w:rPr>
          <w:rFonts w:ascii="Verdana" w:eastAsia="Calibri" w:hAnsi="Verdana" w:cs="Arial"/>
          <w:bCs/>
          <w:color w:val="000000"/>
          <w:lang w:val="es-ES_tradnl"/>
        </w:rPr>
        <w:t xml:space="preserve">. </w:t>
      </w:r>
      <w:r w:rsidR="00233238">
        <w:rPr>
          <w:rFonts w:ascii="Verdana" w:eastAsia="Calibri" w:hAnsi="Verdana" w:cs="Arial"/>
          <w:color w:val="000000" w:themeColor="text1"/>
          <w:lang w:val="es-ES"/>
        </w:rPr>
        <w:t xml:space="preserve">Esto comoquiera que, </w:t>
      </w:r>
      <w:r w:rsidRPr="4B271BFC">
        <w:rPr>
          <w:rFonts w:ascii="Verdana" w:eastAsia="Calibri" w:hAnsi="Verdana" w:cs="Arial"/>
          <w:color w:val="000000" w:themeColor="text1"/>
          <w:lang w:val="es-ES"/>
        </w:rPr>
        <w:t xml:space="preserve">las modificaciones introducidas por el artículo 6 de la Ley 2306 de 2023 </w:t>
      </w:r>
      <w:r w:rsidR="00233238">
        <w:rPr>
          <w:rFonts w:ascii="Verdana" w:eastAsia="Calibri" w:hAnsi="Verdana" w:cs="Arial"/>
          <w:color w:val="000000" w:themeColor="text1"/>
          <w:lang w:val="es-ES"/>
        </w:rPr>
        <w:t>son</w:t>
      </w:r>
      <w:r w:rsidRPr="4B271BFC">
        <w:rPr>
          <w:rFonts w:ascii="Verdana" w:eastAsia="Calibri" w:hAnsi="Verdana" w:cs="Arial"/>
          <w:color w:val="000000" w:themeColor="text1"/>
          <w:lang w:val="es-ES"/>
        </w:rPr>
        <w:t xml:space="preserve"> aplica</w:t>
      </w:r>
      <w:r w:rsidR="00233238">
        <w:rPr>
          <w:rFonts w:ascii="Verdana" w:eastAsia="Calibri" w:hAnsi="Verdana" w:cs="Arial"/>
          <w:color w:val="000000" w:themeColor="text1"/>
          <w:lang w:val="es-ES"/>
        </w:rPr>
        <w:t>bles</w:t>
      </w:r>
      <w:r w:rsidRPr="4B271BFC">
        <w:rPr>
          <w:rFonts w:ascii="Verdana" w:eastAsia="Calibri" w:hAnsi="Verdana" w:cs="Arial"/>
          <w:color w:val="000000" w:themeColor="text1"/>
          <w:lang w:val="es-ES"/>
        </w:rPr>
        <w:t xml:space="preserve">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5E4EC194" w14:textId="77777777" w:rsidR="00154F17" w:rsidRPr="008C6876" w:rsidRDefault="00154F17" w:rsidP="00154F17">
      <w:pPr>
        <w:spacing w:after="120" w:line="276" w:lineRule="auto"/>
        <w:ind w:firstLine="708"/>
        <w:jc w:val="both"/>
        <w:rPr>
          <w:rFonts w:ascii="Verdana" w:eastAsia="Calibri" w:hAnsi="Verdana" w:cs="Arial"/>
          <w:bCs/>
          <w:color w:val="000000"/>
          <w:lang w:val="es-ES_tradnl"/>
        </w:rPr>
      </w:pPr>
      <w:r w:rsidRPr="008C6876">
        <w:rPr>
          <w:rFonts w:ascii="Verdana" w:hAnsi="Verdana"/>
        </w:rPr>
        <w:t xml:space="preserve">El contrato de prestación de servicios no pertenece al ámbito jurídico laboral y, en consecuencia, no se rige por el Código Sustantivo del Trabajo, razón por la cual, entre el contratante y el contratista no existe un vínculo laboral sino una relación de </w:t>
      </w:r>
      <w:r w:rsidRPr="008C6876">
        <w:rPr>
          <w:rFonts w:ascii="Verdana" w:hAnsi="Verdana"/>
        </w:rPr>
        <w:lastRenderedPageBreak/>
        <w:t>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w:t>
      </w:r>
      <w:r w:rsidRPr="008C6876">
        <w:rPr>
          <w:rFonts w:ascii="Verdana" w:hAnsi="Verdana" w:cs="Arial"/>
        </w:rPr>
        <w:t> </w:t>
      </w:r>
    </w:p>
    <w:p w14:paraId="0E652A61" w14:textId="77777777" w:rsidR="00154F17" w:rsidRPr="008C6876" w:rsidRDefault="00154F17" w:rsidP="00154F17">
      <w:pPr>
        <w:spacing w:after="120" w:line="276" w:lineRule="auto"/>
        <w:ind w:firstLine="708"/>
        <w:jc w:val="both"/>
        <w:rPr>
          <w:rFonts w:ascii="Verdana" w:hAnsi="Verdana" w:cs="Arial"/>
          <w:shd w:val="clear" w:color="auto" w:fill="FFFFFF"/>
        </w:rPr>
      </w:pPr>
      <w:r w:rsidRPr="008C6876">
        <w:rPr>
          <w:rFonts w:ascii="Verdana" w:eastAsia="Calibri" w:hAnsi="Verdana" w:cs="Arial"/>
          <w:bCs/>
          <w:color w:val="000000"/>
          <w:lang w:val="es-ES_tradnl"/>
        </w:rPr>
        <w:t xml:space="preserve">Habiendo efectuado la precisión anterior, puede afirmarse que lo previsto en la Ley 2306 de 2023, específicamente en el artículo 6, no se aplica a las relaciones contractuales de las Entidades Estatales que </w:t>
      </w:r>
      <w:r w:rsidRPr="008C6876">
        <w:rPr>
          <w:rFonts w:ascii="Verdana" w:eastAsia="Calibri" w:hAnsi="Verdana" w:cs="Arial"/>
          <w:bCs/>
          <w:i/>
          <w:iCs/>
          <w:color w:val="000000"/>
          <w:lang w:val="es-ES_tradnl"/>
        </w:rPr>
        <w:t>no</w:t>
      </w:r>
      <w:r w:rsidRPr="008C6876">
        <w:rPr>
          <w:rFonts w:ascii="Verdana" w:eastAsia="Calibri" w:hAnsi="Verdana" w:cs="Arial"/>
          <w:bCs/>
          <w:color w:val="00000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8C6876" w:rsidDel="00C72792">
        <w:rPr>
          <w:rFonts w:ascii="Verdana" w:hAnsi="Verdana" w:cs="Arial"/>
          <w:shd w:val="clear" w:color="auto" w:fill="FFFFFF"/>
        </w:rPr>
        <w:t xml:space="preserve"> </w:t>
      </w:r>
    </w:p>
    <w:p w14:paraId="51179327" w14:textId="064AA627" w:rsidR="00154F17" w:rsidRPr="008C6876" w:rsidRDefault="00154F17" w:rsidP="00260EBF">
      <w:pPr>
        <w:spacing w:after="0" w:line="276" w:lineRule="auto"/>
        <w:ind w:firstLine="709"/>
        <w:jc w:val="both"/>
        <w:rPr>
          <w:rFonts w:ascii="Verdana" w:eastAsia="Calibri" w:hAnsi="Verdana" w:cs="Arial"/>
          <w:bCs/>
          <w:color w:val="000000"/>
          <w:lang w:val="es-ES_tradnl"/>
        </w:rPr>
      </w:pPr>
      <w:r w:rsidRPr="008C6876">
        <w:rPr>
          <w:rFonts w:ascii="Verdana" w:hAnsi="Verdana" w:cs="Arial"/>
          <w:shd w:val="clear" w:color="auto" w:fill="FFFFFF"/>
        </w:rPr>
        <w:t>En este punto, es necesario precisar que, a la fecha no existe un precedente judicial o los fundamentos jurídicos mediante los cuales se han resuelto situaciones análogas, por lo que para la Agencia no es posible realizar la interpretación de la Ley </w:t>
      </w:r>
      <w:hyperlink r:id="rId14" w:history="1">
        <w:r w:rsidRPr="008C6876">
          <w:rPr>
            <w:rFonts w:ascii="Verdana" w:hAnsi="Verdana" w:cs="Arial"/>
            <w:shd w:val="clear" w:color="auto" w:fill="FFFFFF"/>
          </w:rPr>
          <w:t>2306</w:t>
        </w:r>
      </w:hyperlink>
      <w:r w:rsidRPr="008C6876">
        <w:rPr>
          <w:rFonts w:ascii="Verdana" w:hAnsi="Verdana" w:cs="Arial"/>
          <w:shd w:val="clear" w:color="auto" w:fill="FFFFFF"/>
        </w:rPr>
        <w:t> de 2023 que  modifica el artículo </w:t>
      </w:r>
      <w:hyperlink r:id="rId15" w:anchor="238" w:history="1">
        <w:r w:rsidRPr="008C6876">
          <w:rPr>
            <w:rFonts w:ascii="Verdana" w:hAnsi="Verdana" w:cs="Arial"/>
            <w:shd w:val="clear" w:color="auto" w:fill="FFFFFF"/>
          </w:rPr>
          <w:t>238</w:t>
        </w:r>
      </w:hyperlink>
      <w:r w:rsidRPr="008C6876">
        <w:rPr>
          <w:rFonts w:ascii="Verdana" w:hAnsi="Verdana" w:cs="Arial"/>
          <w:shd w:val="clear" w:color="auto" w:fill="FFFFFF"/>
        </w:rPr>
        <w:t> del Código Sustantivo del Trabajo para el caso específico de los contratos de prestación de servicios.</w:t>
      </w:r>
      <w:r w:rsidR="0065213D">
        <w:rPr>
          <w:rFonts w:ascii="Verdana" w:hAnsi="Verdana" w:cs="Arial"/>
          <w:shd w:val="clear" w:color="auto" w:fill="FFFFFF"/>
        </w:rPr>
        <w:t xml:space="preserve"> </w:t>
      </w:r>
      <w:r w:rsidRPr="008C6876">
        <w:rPr>
          <w:rFonts w:ascii="Verdana" w:eastAsia="Calibri" w:hAnsi="Verdana" w:cs="Arial"/>
          <w:bCs/>
          <w:color w:val="000000"/>
          <w:lang w:val="es-ES_tradnl"/>
        </w:rPr>
        <w:t xml:space="preserve">Por lo expuesto, el derecho a los descansos remunerados en el periodo de lactancia y – la posible extensión del fuero de maternidad –, regulado en la Ley 2306 de 2023, no rige a favor de las contratistas del Estado que no ingresan en la categoría de </w:t>
      </w:r>
      <w:r w:rsidRPr="008C6876">
        <w:rPr>
          <w:rFonts w:ascii="Verdana" w:eastAsia="Calibri" w:hAnsi="Verdana" w:cs="Arial"/>
          <w:bCs/>
          <w:i/>
          <w:iCs/>
          <w:color w:val="000000"/>
          <w:lang w:val="es-ES_tradnl"/>
        </w:rPr>
        <w:t>trabajadores</w:t>
      </w:r>
      <w:r w:rsidRPr="008C6876">
        <w:rPr>
          <w:rFonts w:ascii="Verdana" w:eastAsia="Calibri" w:hAnsi="Verdana" w:cs="Arial"/>
          <w:bCs/>
          <w:color w:val="000000"/>
          <w:lang w:val="es-ES_tradnl"/>
        </w:rPr>
        <w:t xml:space="preserve">. </w:t>
      </w:r>
    </w:p>
    <w:p w14:paraId="10752A3E" w14:textId="77777777" w:rsidR="00154F17" w:rsidRPr="008C6876" w:rsidRDefault="00154F17" w:rsidP="00154F17">
      <w:pPr>
        <w:snapToGrid w:val="0"/>
        <w:spacing w:after="0" w:line="276" w:lineRule="auto"/>
        <w:ind w:firstLine="709"/>
        <w:jc w:val="both"/>
        <w:rPr>
          <w:rFonts w:ascii="Verdana" w:eastAsia="Calibri" w:hAnsi="Verdana" w:cs="Arial"/>
          <w:bCs/>
          <w:color w:val="000000"/>
          <w:lang w:val="es-ES_tradnl"/>
        </w:rPr>
      </w:pPr>
    </w:p>
    <w:bookmarkEnd w:id="4"/>
    <w:p w14:paraId="79E255A6" w14:textId="77777777" w:rsidR="00154F17" w:rsidRPr="008C6876" w:rsidRDefault="00154F17" w:rsidP="00154F17">
      <w:pPr>
        <w:tabs>
          <w:tab w:val="left" w:pos="0"/>
        </w:tabs>
        <w:spacing w:after="0" w:line="276" w:lineRule="auto"/>
        <w:jc w:val="both"/>
        <w:rPr>
          <w:rFonts w:ascii="Verdana" w:eastAsia="Calibri" w:hAnsi="Verdana" w:cs="Arial"/>
          <w:b/>
          <w:color w:val="000000" w:themeColor="text1"/>
          <w:lang w:val="es-ES_tradnl"/>
        </w:rPr>
      </w:pPr>
      <w:r w:rsidRPr="008C6876">
        <w:rPr>
          <w:rFonts w:ascii="Verdana" w:eastAsia="Calibri" w:hAnsi="Verdana" w:cs="Arial"/>
          <w:b/>
          <w:color w:val="000000" w:themeColor="text1"/>
          <w:lang w:val="es-ES_tradnl"/>
        </w:rPr>
        <w:t>3. Respuestas</w:t>
      </w:r>
    </w:p>
    <w:p w14:paraId="7AFCCC4B" w14:textId="77777777" w:rsidR="00154F17" w:rsidRPr="008C6876" w:rsidRDefault="00154F17" w:rsidP="00154F17">
      <w:pPr>
        <w:spacing w:after="0" w:line="276" w:lineRule="auto"/>
        <w:jc w:val="both"/>
        <w:rPr>
          <w:rFonts w:ascii="Verdana" w:hAnsi="Verdana" w:cs="Arial"/>
          <w:color w:val="000000" w:themeColor="text1"/>
          <w:lang w:val="es-ES_tradnl"/>
        </w:rPr>
      </w:pPr>
    </w:p>
    <w:p w14:paraId="4F36575A" w14:textId="77777777" w:rsidR="00154F17" w:rsidRPr="008C6876" w:rsidRDefault="00154F17" w:rsidP="00154F17">
      <w:pPr>
        <w:spacing w:after="0" w:line="240" w:lineRule="auto"/>
        <w:ind w:left="709" w:right="709"/>
        <w:jc w:val="both"/>
        <w:rPr>
          <w:rFonts w:ascii="Verdana" w:hAnsi="Verdana" w:cs="Arial"/>
          <w:color w:val="000000" w:themeColor="text1"/>
          <w:sz w:val="20"/>
          <w:szCs w:val="20"/>
          <w:lang w:val="es-ES_tradnl"/>
        </w:rPr>
      </w:pPr>
      <w:r w:rsidRPr="008C6876">
        <w:rPr>
          <w:rFonts w:ascii="Verdana" w:hAnsi="Verdana" w:cs="Arial"/>
          <w:color w:val="000000" w:themeColor="text1"/>
          <w:sz w:val="20"/>
          <w:szCs w:val="20"/>
          <w:lang w:val="es-ES_tradnl"/>
        </w:rPr>
        <w:t>“Para esa corporación es importante conocer si con la vigencia de la ley mencionada anteriormente, está en la obligación de garantizar a dicha contratista la estabilidad laboral reforzada por encontrarse en licencia de maternidad hasta los años de su hijo menor, de ser afirmativo, como contratante como pruebo que la materna contratista se encuentre lactando y de dicha manera deba ser cobijada con la estabilidad laboral reforzada.” [sic]</w:t>
      </w:r>
    </w:p>
    <w:p w14:paraId="72C1E624" w14:textId="77777777" w:rsidR="00154F17" w:rsidRPr="008C6876" w:rsidRDefault="00154F17" w:rsidP="00154F17">
      <w:pPr>
        <w:spacing w:after="0" w:line="276" w:lineRule="auto"/>
        <w:jc w:val="both"/>
        <w:rPr>
          <w:rFonts w:ascii="Verdana" w:hAnsi="Verdana" w:cs="Arial"/>
          <w:color w:val="000000" w:themeColor="text1"/>
          <w:sz w:val="21"/>
          <w:szCs w:val="21"/>
          <w:lang w:val="es-ES_tradnl"/>
        </w:rPr>
      </w:pPr>
    </w:p>
    <w:p w14:paraId="13A6FA1A" w14:textId="77777777" w:rsidR="00154F17" w:rsidRPr="008C6876" w:rsidRDefault="00154F17" w:rsidP="00154F17">
      <w:pPr>
        <w:spacing w:after="120" w:line="276" w:lineRule="auto"/>
        <w:jc w:val="both"/>
        <w:rPr>
          <w:rFonts w:ascii="Verdana" w:eastAsia="Calibri" w:hAnsi="Verdana" w:cs="Arial"/>
          <w:color w:val="000000" w:themeColor="text1"/>
          <w:lang w:val="es-MX"/>
        </w:rPr>
      </w:pPr>
      <w:r w:rsidRPr="008C6876">
        <w:rPr>
          <w:rFonts w:ascii="Verdana" w:eastAsia="Calibri" w:hAnsi="Verdana" w:cs="Arial"/>
          <w:color w:val="000000" w:themeColor="text1"/>
          <w:lang w:val="es-MX"/>
        </w:rPr>
        <w:t xml:space="preserve">Conforme lo expuesto a lo largo de este concepto, la Corte Constitucional ha expuesto dos (2) posiciones para proteger el fuero de maternidad de las mujeres vinculadas mediante un contrato de prestación de servicios y que se encuentren en estado de embarazo y/o en periodo de lactancia: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8C6876">
        <w:rPr>
          <w:rFonts w:ascii="Verdana" w:eastAsia="Calibri" w:hAnsi="Verdana" w:cs="Arial"/>
          <w:color w:val="000000" w:themeColor="text1"/>
          <w:lang w:val="es-MX"/>
        </w:rPr>
        <w:t>ii</w:t>
      </w:r>
      <w:proofErr w:type="spellEnd"/>
      <w:r w:rsidRPr="008C6876">
        <w:rPr>
          <w:rFonts w:ascii="Verdana" w:eastAsia="Calibri" w:hAnsi="Verdana" w:cs="Arial"/>
          <w:color w:val="000000" w:themeColor="text1"/>
          <w:lang w:val="es-MX"/>
        </w:rPr>
        <w:t xml:space="preserve">) cuando a pesar de no probarse la </w:t>
      </w:r>
      <w:r w:rsidRPr="008C6876">
        <w:rPr>
          <w:rFonts w:ascii="Verdana" w:eastAsia="Calibri" w:hAnsi="Verdana" w:cs="Arial"/>
          <w:color w:val="000000" w:themeColor="text1"/>
          <w:lang w:val="es-MX"/>
        </w:rPr>
        <w:lastRenderedPageBreak/>
        <w:t>configuración de un contrato realidad, la terminación del contrato de prestación de servicios se fundamente en criterios discriminatorios y no, en motivos objetivos.</w:t>
      </w:r>
    </w:p>
    <w:p w14:paraId="07D57737" w14:textId="77777777" w:rsidR="00154F17" w:rsidRPr="008C6876" w:rsidRDefault="00154F17" w:rsidP="00154F17">
      <w:pPr>
        <w:spacing w:after="120" w:line="276" w:lineRule="auto"/>
        <w:ind w:firstLine="708"/>
        <w:jc w:val="both"/>
        <w:rPr>
          <w:rFonts w:ascii="Verdana" w:eastAsia="Calibri" w:hAnsi="Verdana" w:cs="Arial"/>
          <w:bCs/>
          <w:lang w:val="es-MX" w:eastAsia="es-ES_tradnl"/>
        </w:rPr>
      </w:pPr>
      <w:r w:rsidRPr="008C6876">
        <w:rPr>
          <w:rFonts w:ascii="Verdana" w:hAnsi="Verdana" w:cs="Arial"/>
        </w:rPr>
        <w:t xml:space="preserve">En este sentido, la Corte Constitucional reconoce la protección al derecho a la estabilidad ocupacional reforzada a las mujeres que celebren contratos de prestación de servicios. </w:t>
      </w:r>
      <w:r w:rsidRPr="008C6876">
        <w:rPr>
          <w:rFonts w:ascii="Verdana" w:eastAsia="Calibri" w:hAnsi="Verdana" w:cs="Arial"/>
          <w:color w:val="000000" w:themeColor="text1"/>
          <w:lang w:val="es-MX"/>
        </w:rPr>
        <w:t>Así pues, si se</w:t>
      </w:r>
      <w:r w:rsidRPr="008C6876">
        <w:rPr>
          <w:rFonts w:ascii="Verdana" w:hAnsi="Verdana" w:cs="Arial"/>
        </w:rPr>
        <w:t xml:space="preserve"> configura alguna de las dos posiciones desarrolladas por el Alto Tribunal Constitucional para la protección del derecho a la estabilidad laboral reforzada, la Entidad Estatal deberá dilucidar la forma más adecuada para garantizar dicho derecho a la contratista y su seguridad social, pues lo que se pretende es </w:t>
      </w:r>
      <w:r w:rsidRPr="008C6876">
        <w:rPr>
          <w:rFonts w:ascii="Verdana" w:eastAsia="Calibri" w:hAnsi="Verdana" w:cs="Arial"/>
          <w:bCs/>
          <w:lang w:val="es-MX" w:eastAsia="es-ES_tradnl"/>
        </w:rPr>
        <w:t>impedir la discriminación materializada por la terminación o la no renovación del contrato por causa o con ocasión del embarazo o la lactancia.</w:t>
      </w:r>
    </w:p>
    <w:p w14:paraId="234B1C33" w14:textId="77777777" w:rsidR="00154F17" w:rsidRPr="008C6876" w:rsidRDefault="00154F17" w:rsidP="00154F17">
      <w:pPr>
        <w:snapToGrid w:val="0"/>
        <w:spacing w:before="120" w:after="120" w:line="276" w:lineRule="auto"/>
        <w:ind w:firstLine="709"/>
        <w:jc w:val="both"/>
        <w:rPr>
          <w:rFonts w:ascii="Verdana" w:eastAsia="Calibri" w:hAnsi="Verdana" w:cs="Arial"/>
          <w:bCs/>
          <w:color w:val="000000"/>
          <w:lang w:val="es-ES_tradnl"/>
        </w:rPr>
      </w:pPr>
      <w:r w:rsidRPr="008C6876">
        <w:rPr>
          <w:rFonts w:ascii="Verdana" w:eastAsia="Calibri" w:hAnsi="Verdana" w:cs="Arial"/>
          <w:bCs/>
          <w:color w:val="000000"/>
          <w:lang w:val="es-ES_tradnl"/>
        </w:rPr>
        <w:t xml:space="preserve">En relación con la consulta, la Agencia Nacional de Contratación Pública – Colombia Compra Eficiente el derecho a los descansos remunerados en el periodo de lactancia y – la posible extensión del fuero de maternidad –, regulado en la Ley 2306 de 2023, no rige a favor de las contratistas del Estado que no ingresan en la categoría de </w:t>
      </w:r>
      <w:r w:rsidRPr="008C6876">
        <w:rPr>
          <w:rFonts w:ascii="Verdana" w:eastAsia="Calibri" w:hAnsi="Verdana" w:cs="Arial"/>
          <w:bCs/>
          <w:i/>
          <w:iCs/>
          <w:color w:val="000000"/>
          <w:lang w:val="es-ES_tradnl"/>
        </w:rPr>
        <w:t>trabajadores</w:t>
      </w:r>
      <w:r w:rsidRPr="008C6876">
        <w:rPr>
          <w:rFonts w:ascii="Verdana" w:eastAsia="Calibri" w:hAnsi="Verdana" w:cs="Arial"/>
          <w:bCs/>
          <w:color w:val="000000"/>
          <w:lang w:val="es-ES_tradnl"/>
        </w:rPr>
        <w:t xml:space="preserve">, en virtud de los argumentos que a continuación se exponen. </w:t>
      </w:r>
    </w:p>
    <w:p w14:paraId="1385923E" w14:textId="3E49EDD0" w:rsidR="00154F17" w:rsidRPr="008C6876" w:rsidRDefault="0065213D" w:rsidP="4B271BFC">
      <w:pPr>
        <w:spacing w:after="120" w:line="276" w:lineRule="auto"/>
        <w:ind w:firstLine="708"/>
        <w:jc w:val="both"/>
        <w:rPr>
          <w:rFonts w:ascii="Verdana" w:eastAsia="Calibri" w:hAnsi="Verdana" w:cs="Arial"/>
          <w:color w:val="000000"/>
          <w:lang w:val="es-ES"/>
        </w:rPr>
      </w:pPr>
      <w:r>
        <w:rPr>
          <w:rFonts w:ascii="Verdana" w:eastAsia="Calibri" w:hAnsi="Verdana" w:cs="Arial"/>
          <w:color w:val="000000" w:themeColor="text1"/>
          <w:lang w:val="es-ES"/>
        </w:rPr>
        <w:t>Conforme a lo explicado</w:t>
      </w:r>
      <w:r w:rsidR="00154F17" w:rsidRPr="4B271BFC">
        <w:rPr>
          <w:rFonts w:ascii="Verdana" w:eastAsia="Calibri" w:hAnsi="Verdana" w:cs="Arial"/>
          <w:color w:val="000000" w:themeColor="text1"/>
          <w:lang w:val="es-ES"/>
        </w:rPr>
        <w:t xml:space="preserve">, las modificaciones introducidas por el artículo 6 de la Ley 2306 de 2023 les aplica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06481378" w14:textId="77777777" w:rsidR="00154F17" w:rsidRPr="008C6876" w:rsidRDefault="00154F17" w:rsidP="00154F17">
      <w:pPr>
        <w:spacing w:after="120" w:line="276" w:lineRule="auto"/>
        <w:ind w:firstLine="708"/>
        <w:jc w:val="both"/>
        <w:rPr>
          <w:rFonts w:ascii="Verdana" w:eastAsia="Calibri" w:hAnsi="Verdana" w:cs="Arial"/>
          <w:bCs/>
          <w:color w:val="000000"/>
          <w:lang w:val="es-ES_tradnl"/>
        </w:rPr>
      </w:pPr>
      <w:r w:rsidRPr="008C6876">
        <w:rPr>
          <w:rFonts w:ascii="Verdana" w:hAnsi="Verdana"/>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w:t>
      </w:r>
      <w:r w:rsidRPr="008C6876">
        <w:rPr>
          <w:rFonts w:ascii="Verdana" w:hAnsi="Verdana" w:cs="Arial"/>
        </w:rPr>
        <w:t> </w:t>
      </w:r>
    </w:p>
    <w:p w14:paraId="161F85E3" w14:textId="77777777" w:rsidR="00154F17" w:rsidRPr="008C6876" w:rsidRDefault="00154F17" w:rsidP="00154F17">
      <w:pPr>
        <w:spacing w:after="120" w:line="276" w:lineRule="auto"/>
        <w:ind w:firstLine="708"/>
        <w:jc w:val="both"/>
        <w:rPr>
          <w:rFonts w:ascii="Verdana" w:hAnsi="Verdana" w:cs="Arial"/>
          <w:shd w:val="clear" w:color="auto" w:fill="FFFFFF"/>
        </w:rPr>
      </w:pPr>
      <w:r w:rsidRPr="008C6876">
        <w:rPr>
          <w:rFonts w:ascii="Verdana" w:eastAsia="Calibri" w:hAnsi="Verdana" w:cs="Arial"/>
          <w:bCs/>
          <w:color w:val="000000"/>
          <w:lang w:val="es-ES_tradnl"/>
        </w:rPr>
        <w:t xml:space="preserve">Habiendo efectuado la precisión anterior, puede afirmarse que lo previsto en la Ley 2306 de 2023, específicamente en el artículo 6, no se aplica a las relaciones contractuales de las Entidades Estatales que </w:t>
      </w:r>
      <w:r w:rsidRPr="008C6876">
        <w:rPr>
          <w:rFonts w:ascii="Verdana" w:eastAsia="Calibri" w:hAnsi="Verdana" w:cs="Arial"/>
          <w:bCs/>
          <w:i/>
          <w:iCs/>
          <w:color w:val="000000"/>
          <w:lang w:val="es-ES_tradnl"/>
        </w:rPr>
        <w:t>no</w:t>
      </w:r>
      <w:r w:rsidRPr="008C6876">
        <w:rPr>
          <w:rFonts w:ascii="Verdana" w:eastAsia="Calibri" w:hAnsi="Verdana" w:cs="Arial"/>
          <w:bCs/>
          <w:color w:val="000000"/>
          <w:lang w:val="es-ES_tradnl"/>
        </w:rPr>
        <w:t xml:space="preserve"> generan una relación laboral. En otras palabras, el derecho consagrado en esta Ley tiene como destinatarios a los sujetos </w:t>
      </w:r>
      <w:r w:rsidRPr="008C6876">
        <w:rPr>
          <w:rFonts w:ascii="Verdana" w:eastAsia="Calibri" w:hAnsi="Verdana" w:cs="Arial"/>
          <w:bCs/>
          <w:color w:val="000000"/>
          <w:lang w:val="es-ES_tradnl"/>
        </w:rPr>
        <w:lastRenderedPageBreak/>
        <w:t>que ostentan la calidad de trabajadores, es decir, aquellos que han celebrado con estas un contrato de trabajo o del que emerge una relación laboral.</w:t>
      </w:r>
      <w:r w:rsidRPr="008C6876" w:rsidDel="00C72792">
        <w:rPr>
          <w:rFonts w:ascii="Verdana" w:hAnsi="Verdana" w:cs="Arial"/>
          <w:shd w:val="clear" w:color="auto" w:fill="FFFFFF"/>
        </w:rPr>
        <w:t xml:space="preserve"> </w:t>
      </w:r>
    </w:p>
    <w:p w14:paraId="52601E25" w14:textId="77777777" w:rsidR="00154F17" w:rsidRPr="008C6876" w:rsidRDefault="00154F17" w:rsidP="00154F17">
      <w:pPr>
        <w:spacing w:after="0" w:line="276" w:lineRule="auto"/>
        <w:ind w:firstLine="709"/>
        <w:jc w:val="both"/>
        <w:rPr>
          <w:rFonts w:ascii="Verdana" w:hAnsi="Verdana" w:cs="Arial"/>
          <w:shd w:val="clear" w:color="auto" w:fill="FFFFFF"/>
        </w:rPr>
      </w:pPr>
      <w:r w:rsidRPr="008C6876">
        <w:rPr>
          <w:rFonts w:ascii="Verdana" w:hAnsi="Verdana" w:cs="Arial"/>
          <w:shd w:val="clear" w:color="auto" w:fill="FFFFFF"/>
        </w:rPr>
        <w:t>En este punto, es necesario precisar que, a la fecha no existe un precedente judicial o los fundamentos jurídicos mediante los cuales se han resuelto situaciones análogas, por lo que para la Agencia no es posible realizar la interpretación de la Ley </w:t>
      </w:r>
      <w:hyperlink r:id="rId16" w:history="1">
        <w:r w:rsidRPr="008C6876">
          <w:rPr>
            <w:rFonts w:ascii="Verdana" w:hAnsi="Verdana" w:cs="Arial"/>
            <w:shd w:val="clear" w:color="auto" w:fill="FFFFFF"/>
          </w:rPr>
          <w:t>2306</w:t>
        </w:r>
      </w:hyperlink>
      <w:r w:rsidRPr="008C6876">
        <w:rPr>
          <w:rFonts w:ascii="Verdana" w:hAnsi="Verdana" w:cs="Arial"/>
          <w:shd w:val="clear" w:color="auto" w:fill="FFFFFF"/>
        </w:rPr>
        <w:t> de 2023 que  modifica el artículo </w:t>
      </w:r>
      <w:hyperlink r:id="rId17" w:anchor="238" w:history="1">
        <w:r w:rsidRPr="008C6876">
          <w:rPr>
            <w:rFonts w:ascii="Verdana" w:hAnsi="Verdana" w:cs="Arial"/>
            <w:shd w:val="clear" w:color="auto" w:fill="FFFFFF"/>
          </w:rPr>
          <w:t>238</w:t>
        </w:r>
      </w:hyperlink>
      <w:r w:rsidRPr="008C6876">
        <w:rPr>
          <w:rFonts w:ascii="Verdana" w:hAnsi="Verdana" w:cs="Arial"/>
          <w:shd w:val="clear" w:color="auto" w:fill="FFFFFF"/>
        </w:rPr>
        <w:t> del Código Sustantivo del Trabajo para el caso específico de los contratos de prestación de servicios.</w:t>
      </w:r>
    </w:p>
    <w:p w14:paraId="4C71529F" w14:textId="77777777" w:rsidR="00154F17" w:rsidRPr="008C6876" w:rsidRDefault="00154F17" w:rsidP="00154F17">
      <w:pPr>
        <w:spacing w:after="0" w:line="276" w:lineRule="auto"/>
        <w:ind w:firstLine="708"/>
        <w:jc w:val="both"/>
        <w:rPr>
          <w:rFonts w:ascii="Verdana" w:hAnsi="Verdana" w:cs="Arial"/>
          <w:lang w:val="es-ES"/>
        </w:rPr>
      </w:pPr>
    </w:p>
    <w:p w14:paraId="327B8E28" w14:textId="77777777" w:rsidR="00154F17" w:rsidRPr="008C6876" w:rsidRDefault="00154F17" w:rsidP="00154F17">
      <w:pPr>
        <w:widowControl w:val="0"/>
        <w:autoSpaceDE w:val="0"/>
        <w:autoSpaceDN w:val="0"/>
        <w:spacing w:after="0" w:line="276" w:lineRule="auto"/>
        <w:jc w:val="both"/>
        <w:rPr>
          <w:rFonts w:ascii="Verdana" w:hAnsi="Verdana" w:cs="Arial"/>
          <w:color w:val="000000" w:themeColor="text1"/>
          <w:lang w:val="es-ES_tradnl" w:bidi="es-ES"/>
        </w:rPr>
      </w:pPr>
      <w:r w:rsidRPr="008C6876">
        <w:rPr>
          <w:rFonts w:ascii="Verdana" w:eastAsia="Times New Roman" w:hAnsi="Verdana"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90959B1" w14:textId="77777777" w:rsidR="00154F17" w:rsidRPr="008C6876" w:rsidRDefault="00154F17" w:rsidP="00154F17">
      <w:pPr>
        <w:widowControl w:val="0"/>
        <w:autoSpaceDE w:val="0"/>
        <w:autoSpaceDN w:val="0"/>
        <w:spacing w:after="0" w:line="276" w:lineRule="auto"/>
        <w:jc w:val="both"/>
        <w:rPr>
          <w:rFonts w:ascii="Verdana" w:hAnsi="Verdana" w:cs="Arial"/>
          <w:color w:val="000000" w:themeColor="text1"/>
          <w:lang w:val="es-ES_tradnl" w:bidi="es-ES"/>
        </w:rPr>
      </w:pPr>
    </w:p>
    <w:p w14:paraId="06C2A7E2" w14:textId="77777777" w:rsidR="00154F17" w:rsidRDefault="00154F17" w:rsidP="00154F17">
      <w:pPr>
        <w:tabs>
          <w:tab w:val="left" w:pos="426"/>
        </w:tabs>
        <w:spacing w:after="0" w:line="276" w:lineRule="auto"/>
        <w:jc w:val="both"/>
        <w:rPr>
          <w:rFonts w:ascii="Verdana" w:eastAsia="Times New Roman" w:hAnsi="Verdana" w:cs="Arial"/>
          <w:color w:val="000000" w:themeColor="text1"/>
        </w:rPr>
      </w:pPr>
      <w:r w:rsidRPr="008C6876">
        <w:rPr>
          <w:rFonts w:ascii="Verdana" w:eastAsia="Times New Roman" w:hAnsi="Verdana" w:cs="Arial"/>
          <w:color w:val="000000" w:themeColor="text1"/>
        </w:rPr>
        <w:t>Atentamente,</w:t>
      </w:r>
    </w:p>
    <w:p w14:paraId="74AF2EA3" w14:textId="1351EDE9" w:rsidR="00154F17" w:rsidRPr="008506A0" w:rsidRDefault="008506A0" w:rsidP="008506A0">
      <w:pPr>
        <w:tabs>
          <w:tab w:val="left" w:pos="426"/>
        </w:tabs>
        <w:spacing w:after="0" w:line="276" w:lineRule="auto"/>
        <w:jc w:val="center"/>
        <w:rPr>
          <w:rFonts w:ascii="Verdana" w:eastAsia="Times New Roman" w:hAnsi="Verdana" w:cs="Arial"/>
          <w:color w:val="000000" w:themeColor="text1"/>
        </w:rPr>
      </w:pPr>
      <w:r w:rsidRPr="004D5C25">
        <w:rPr>
          <w:rFonts w:ascii="Century Gothic" w:hAnsi="Century Gothic"/>
          <w:noProof/>
        </w:rPr>
        <w:drawing>
          <wp:inline distT="0" distB="0" distL="0" distR="0" wp14:anchorId="06EFA02E" wp14:editId="31E0A62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bookmarkEnd w:id="2"/>
    </w:p>
    <w:tbl>
      <w:tblPr>
        <w:tblW w:w="5670" w:type="dxa"/>
        <w:tblBorders>
          <w:top w:val="nil"/>
          <w:left w:val="nil"/>
          <w:bottom w:val="nil"/>
          <w:right w:val="nil"/>
          <w:insideH w:val="nil"/>
          <w:insideV w:val="nil"/>
        </w:tblBorders>
        <w:tblLayout w:type="fixed"/>
        <w:tblLook w:val="0400" w:firstRow="0" w:lastRow="0" w:firstColumn="0" w:lastColumn="0" w:noHBand="0" w:noVBand="1"/>
      </w:tblPr>
      <w:tblGrid>
        <w:gridCol w:w="993"/>
        <w:gridCol w:w="4677"/>
      </w:tblGrid>
      <w:tr w:rsidR="00154F17" w:rsidRPr="008C6876" w14:paraId="506AB4C3" w14:textId="77777777" w:rsidTr="000C666C">
        <w:trPr>
          <w:trHeight w:val="315"/>
        </w:trPr>
        <w:tc>
          <w:tcPr>
            <w:tcW w:w="993" w:type="dxa"/>
            <w:vAlign w:val="center"/>
          </w:tcPr>
          <w:p w14:paraId="7F9D237D" w14:textId="77777777" w:rsidR="00154F17" w:rsidRPr="008C6876" w:rsidRDefault="00154F17" w:rsidP="000C666C">
            <w:pPr>
              <w:spacing w:after="0" w:line="276" w:lineRule="auto"/>
              <w:rPr>
                <w:rFonts w:ascii="Verdana" w:hAnsi="Verdana" w:cs="Arial"/>
                <w:bCs/>
                <w:sz w:val="16"/>
                <w:szCs w:val="16"/>
                <w:lang w:eastAsia="es-CO"/>
              </w:rPr>
            </w:pPr>
            <w:r w:rsidRPr="008C6876">
              <w:rPr>
                <w:rFonts w:ascii="Verdana" w:hAnsi="Verdana" w:cs="Arial"/>
                <w:bCs/>
                <w:sz w:val="16"/>
                <w:szCs w:val="16"/>
                <w:lang w:eastAsia="es-CO"/>
              </w:rPr>
              <w:t>Elaboró:</w:t>
            </w:r>
          </w:p>
        </w:tc>
        <w:tc>
          <w:tcPr>
            <w:tcW w:w="4677" w:type="dxa"/>
            <w:tcBorders>
              <w:top w:val="nil"/>
              <w:left w:val="nil"/>
              <w:bottom w:val="dotted" w:sz="4" w:space="0" w:color="7F7F7F"/>
              <w:right w:val="nil"/>
            </w:tcBorders>
            <w:vAlign w:val="center"/>
          </w:tcPr>
          <w:p w14:paraId="4A67716A" w14:textId="77777777" w:rsidR="00154F17" w:rsidRPr="008C6876" w:rsidRDefault="00154F17" w:rsidP="000C666C">
            <w:pPr>
              <w:spacing w:after="0" w:line="240" w:lineRule="auto"/>
              <w:rPr>
                <w:rFonts w:ascii="Verdana" w:hAnsi="Verdana" w:cs="Arial"/>
                <w:sz w:val="16"/>
                <w:szCs w:val="16"/>
                <w:lang w:eastAsia="es-CO"/>
              </w:rPr>
            </w:pPr>
            <w:r w:rsidRPr="008C6876">
              <w:rPr>
                <w:rFonts w:ascii="Verdana" w:hAnsi="Verdana" w:cs="Arial"/>
                <w:sz w:val="16"/>
                <w:szCs w:val="16"/>
                <w:lang w:eastAsia="es-CO"/>
              </w:rPr>
              <w:t xml:space="preserve">Diana Lucia Saavedra Castañeda </w:t>
            </w:r>
          </w:p>
          <w:p w14:paraId="7D76C4D9" w14:textId="77777777" w:rsidR="00154F17" w:rsidRPr="008C6876" w:rsidRDefault="00154F17" w:rsidP="000C666C">
            <w:pPr>
              <w:spacing w:after="0" w:line="240" w:lineRule="auto"/>
              <w:rPr>
                <w:rFonts w:ascii="Verdana" w:hAnsi="Verdana" w:cs="Arial"/>
                <w:sz w:val="16"/>
                <w:szCs w:val="16"/>
                <w:lang w:eastAsia="es-CO"/>
              </w:rPr>
            </w:pPr>
            <w:r w:rsidRPr="008C6876">
              <w:rPr>
                <w:rFonts w:ascii="Verdana" w:hAnsi="Verdana" w:cs="Arial"/>
                <w:sz w:val="16"/>
                <w:szCs w:val="16"/>
                <w:lang w:eastAsia="es-CO"/>
              </w:rPr>
              <w:t>Contratista Subdirección de Gestión Contractual</w:t>
            </w:r>
          </w:p>
        </w:tc>
      </w:tr>
      <w:tr w:rsidR="00154F17" w:rsidRPr="008C6876" w14:paraId="21B79107" w14:textId="77777777" w:rsidTr="000C666C">
        <w:trPr>
          <w:trHeight w:val="330"/>
        </w:trPr>
        <w:tc>
          <w:tcPr>
            <w:tcW w:w="993" w:type="dxa"/>
            <w:vAlign w:val="center"/>
          </w:tcPr>
          <w:p w14:paraId="28A58777" w14:textId="77777777" w:rsidR="00154F17" w:rsidRPr="008C6876" w:rsidRDefault="00154F17" w:rsidP="000C666C">
            <w:pPr>
              <w:spacing w:after="0" w:line="276" w:lineRule="auto"/>
              <w:rPr>
                <w:rFonts w:ascii="Verdana" w:hAnsi="Verdana" w:cs="Arial"/>
                <w:bCs/>
                <w:sz w:val="16"/>
                <w:szCs w:val="16"/>
                <w:lang w:eastAsia="es-CO"/>
              </w:rPr>
            </w:pPr>
            <w:r w:rsidRPr="008C6876">
              <w:rPr>
                <w:rFonts w:ascii="Verdana"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tcPr>
          <w:p w14:paraId="714AA5E9" w14:textId="77777777" w:rsidR="00154F17" w:rsidRPr="008C6876" w:rsidRDefault="00154F17" w:rsidP="000C666C">
            <w:pPr>
              <w:spacing w:after="0" w:line="240" w:lineRule="auto"/>
              <w:rPr>
                <w:rFonts w:ascii="Verdana" w:hAnsi="Verdana" w:cs="Arial"/>
                <w:sz w:val="16"/>
                <w:szCs w:val="16"/>
                <w:lang w:eastAsia="es-CO"/>
              </w:rPr>
            </w:pPr>
            <w:r w:rsidRPr="008C6876">
              <w:rPr>
                <w:rFonts w:ascii="Verdana" w:hAnsi="Verdana" w:cs="Arial"/>
                <w:sz w:val="16"/>
                <w:szCs w:val="16"/>
                <w:lang w:eastAsia="es-CO"/>
              </w:rPr>
              <w:t>Juan David Cárdenas Cabeza</w:t>
            </w:r>
          </w:p>
          <w:p w14:paraId="57CBD900" w14:textId="77777777" w:rsidR="00154F17" w:rsidRPr="008C6876" w:rsidRDefault="00154F17" w:rsidP="000C666C">
            <w:pPr>
              <w:spacing w:after="0" w:line="240" w:lineRule="auto"/>
              <w:rPr>
                <w:rFonts w:ascii="Verdana" w:hAnsi="Verdana" w:cs="Arial"/>
                <w:sz w:val="16"/>
                <w:szCs w:val="16"/>
                <w:lang w:eastAsia="es-CO"/>
              </w:rPr>
            </w:pPr>
            <w:r w:rsidRPr="008C6876">
              <w:rPr>
                <w:rFonts w:ascii="Verdana" w:hAnsi="Verdana" w:cs="Arial"/>
                <w:sz w:val="16"/>
                <w:szCs w:val="16"/>
                <w:lang w:eastAsia="es-CO"/>
              </w:rPr>
              <w:t>Contratista Subdirección de Gestión Contractual</w:t>
            </w:r>
          </w:p>
          <w:p w14:paraId="4250AA7E" w14:textId="5B2B5E6C" w:rsidR="00154F17" w:rsidRPr="008C6876" w:rsidRDefault="00154F17" w:rsidP="000C666C">
            <w:pPr>
              <w:spacing w:after="0" w:line="240" w:lineRule="auto"/>
              <w:rPr>
                <w:rFonts w:ascii="Verdana" w:hAnsi="Verdana" w:cs="Arial"/>
                <w:sz w:val="16"/>
                <w:szCs w:val="16"/>
                <w:lang w:eastAsia="es-CO"/>
              </w:rPr>
            </w:pPr>
            <w:r w:rsidRPr="008C6876">
              <w:rPr>
                <w:rFonts w:ascii="Verdana" w:hAnsi="Verdana" w:cs="Arial"/>
                <w:sz w:val="16"/>
                <w:szCs w:val="16"/>
                <w:lang w:eastAsia="es-CO"/>
              </w:rPr>
              <w:t xml:space="preserve">Alejandro Sarmiento </w:t>
            </w:r>
            <w:r w:rsidR="00BF4518">
              <w:rPr>
                <w:rFonts w:ascii="Verdana" w:hAnsi="Verdana" w:cs="Arial"/>
                <w:sz w:val="16"/>
                <w:szCs w:val="16"/>
                <w:lang w:eastAsia="es-CO"/>
              </w:rPr>
              <w:t>Cantillo</w:t>
            </w:r>
          </w:p>
          <w:p w14:paraId="2BA98748" w14:textId="77777777" w:rsidR="00154F17" w:rsidRPr="008C6876" w:rsidRDefault="00154F17" w:rsidP="000C666C">
            <w:pPr>
              <w:spacing w:after="0" w:line="240" w:lineRule="auto"/>
              <w:rPr>
                <w:rFonts w:ascii="Verdana" w:hAnsi="Verdana" w:cs="Arial"/>
                <w:sz w:val="16"/>
                <w:szCs w:val="16"/>
                <w:lang w:eastAsia="es-CO"/>
              </w:rPr>
            </w:pPr>
            <w:r w:rsidRPr="008C6876">
              <w:rPr>
                <w:rFonts w:ascii="Verdana" w:hAnsi="Verdana" w:cs="Arial"/>
                <w:sz w:val="16"/>
                <w:szCs w:val="16"/>
                <w:lang w:eastAsia="es-CO"/>
              </w:rPr>
              <w:t xml:space="preserve">Gestor T1 -15 Subdirección de Gestión Contractual </w:t>
            </w:r>
          </w:p>
        </w:tc>
      </w:tr>
      <w:tr w:rsidR="00154F17" w:rsidRPr="008C6876" w14:paraId="7AC24248" w14:textId="77777777" w:rsidTr="000C666C">
        <w:trPr>
          <w:trHeight w:val="300"/>
        </w:trPr>
        <w:tc>
          <w:tcPr>
            <w:tcW w:w="993" w:type="dxa"/>
            <w:vAlign w:val="center"/>
          </w:tcPr>
          <w:p w14:paraId="1A43720B" w14:textId="77777777" w:rsidR="00154F17" w:rsidRPr="008C6876" w:rsidRDefault="00154F17" w:rsidP="000C666C">
            <w:pPr>
              <w:spacing w:after="0" w:line="276" w:lineRule="auto"/>
              <w:rPr>
                <w:rFonts w:ascii="Verdana" w:hAnsi="Verdana" w:cs="Arial"/>
                <w:bCs/>
                <w:sz w:val="16"/>
                <w:szCs w:val="16"/>
                <w:lang w:eastAsia="es-CO"/>
              </w:rPr>
            </w:pPr>
            <w:r w:rsidRPr="008C6876">
              <w:rPr>
                <w:rFonts w:ascii="Verdana"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tcPr>
          <w:p w14:paraId="287AC1D3" w14:textId="77777777" w:rsidR="00154F17" w:rsidRPr="008C6876" w:rsidRDefault="00154F17" w:rsidP="000C666C">
            <w:pPr>
              <w:spacing w:after="0" w:line="240" w:lineRule="auto"/>
              <w:rPr>
                <w:rFonts w:ascii="Verdana" w:hAnsi="Verdana" w:cs="Arial"/>
                <w:sz w:val="16"/>
                <w:szCs w:val="16"/>
                <w:lang w:eastAsia="es-CO"/>
              </w:rPr>
            </w:pPr>
            <w:r w:rsidRPr="008C6876">
              <w:rPr>
                <w:rFonts w:ascii="Verdana" w:hAnsi="Verdana" w:cs="Arial"/>
                <w:sz w:val="16"/>
                <w:szCs w:val="16"/>
                <w:lang w:eastAsia="es-CO"/>
              </w:rPr>
              <w:t xml:space="preserve"> Carolina Quintero </w:t>
            </w:r>
            <w:proofErr w:type="spellStart"/>
            <w:r w:rsidRPr="008C6876">
              <w:rPr>
                <w:rFonts w:ascii="Verdana" w:hAnsi="Verdana" w:cs="Arial"/>
                <w:sz w:val="16"/>
                <w:szCs w:val="16"/>
                <w:lang w:eastAsia="es-CO"/>
              </w:rPr>
              <w:t>Gacharná</w:t>
            </w:r>
            <w:proofErr w:type="spellEnd"/>
          </w:p>
          <w:p w14:paraId="086A8D7A" w14:textId="77777777" w:rsidR="00154F17" w:rsidRPr="008C6876" w:rsidRDefault="00154F17" w:rsidP="000C666C">
            <w:pPr>
              <w:spacing w:after="0" w:line="240" w:lineRule="auto"/>
              <w:rPr>
                <w:rFonts w:ascii="Verdana" w:hAnsi="Verdana" w:cs="Arial"/>
                <w:sz w:val="16"/>
                <w:szCs w:val="16"/>
                <w:lang w:eastAsia="es-CO"/>
              </w:rPr>
            </w:pPr>
            <w:r w:rsidRPr="008C6876">
              <w:rPr>
                <w:rFonts w:ascii="Verdana" w:hAnsi="Verdana" w:cs="Arial"/>
                <w:sz w:val="16"/>
                <w:szCs w:val="16"/>
                <w:lang w:eastAsia="es-CO"/>
              </w:rPr>
              <w:t>Subdirectora de Gestión Contractual ANCP – CCE</w:t>
            </w:r>
          </w:p>
        </w:tc>
      </w:tr>
    </w:tbl>
    <w:p w14:paraId="3FBA339C" w14:textId="77777777" w:rsidR="00154F17" w:rsidRPr="008C6876" w:rsidRDefault="00154F17" w:rsidP="00DE600E">
      <w:pPr>
        <w:spacing w:after="0"/>
        <w:rPr>
          <w:rFonts w:ascii="Verdana" w:hAnsi="Verdana"/>
        </w:rPr>
      </w:pPr>
    </w:p>
    <w:sectPr w:rsidR="00154F17" w:rsidRPr="008C6876" w:rsidSect="00A211EE">
      <w:headerReference w:type="default" r:id="rId19"/>
      <w:footerReference w:type="default" r:id="rId20"/>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7F2B3B" w14:textId="77777777" w:rsidR="00D40053" w:rsidRDefault="00D40053" w:rsidP="004A1847">
      <w:pPr>
        <w:spacing w:after="0" w:line="240" w:lineRule="auto"/>
      </w:pPr>
      <w:r>
        <w:separator/>
      </w:r>
    </w:p>
  </w:endnote>
  <w:endnote w:type="continuationSeparator" w:id="0">
    <w:p w14:paraId="0F992845" w14:textId="77777777" w:rsidR="00D40053" w:rsidRDefault="00D40053" w:rsidP="004A1847">
      <w:pPr>
        <w:spacing w:after="0" w:line="240" w:lineRule="auto"/>
      </w:pPr>
      <w:r>
        <w:continuationSeparator/>
      </w:r>
    </w:p>
  </w:endnote>
  <w:endnote w:type="continuationNotice" w:id="1">
    <w:p w14:paraId="0A5412AF" w14:textId="77777777" w:rsidR="00D40053" w:rsidRDefault="00D400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DAF56" w14:textId="77777777" w:rsidR="00A211EE" w:rsidRDefault="00A211EE" w:rsidP="00A211EE">
    <w:pPr>
      <w:spacing w:after="0"/>
      <w:rPr>
        <w:rFonts w:ascii="Verdana" w:hAnsi="Verdana"/>
        <w:b/>
        <w:bCs/>
        <w:sz w:val="20"/>
        <w:szCs w:val="20"/>
      </w:rPr>
    </w:pPr>
  </w:p>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8FC2D5" w14:textId="77777777" w:rsidR="00D40053" w:rsidRDefault="00D40053" w:rsidP="004A1847">
      <w:pPr>
        <w:spacing w:after="0" w:line="240" w:lineRule="auto"/>
      </w:pPr>
      <w:r>
        <w:separator/>
      </w:r>
    </w:p>
  </w:footnote>
  <w:footnote w:type="continuationSeparator" w:id="0">
    <w:p w14:paraId="20D2FCDF" w14:textId="77777777" w:rsidR="00D40053" w:rsidRDefault="00D40053" w:rsidP="004A1847">
      <w:pPr>
        <w:spacing w:after="0" w:line="240" w:lineRule="auto"/>
      </w:pPr>
      <w:r>
        <w:continuationSeparator/>
      </w:r>
    </w:p>
  </w:footnote>
  <w:footnote w:type="continuationNotice" w:id="1">
    <w:p w14:paraId="6507AF6D" w14:textId="77777777" w:rsidR="00D40053" w:rsidRDefault="00D40053">
      <w:pPr>
        <w:spacing w:after="0" w:line="240" w:lineRule="auto"/>
      </w:pPr>
    </w:p>
  </w:footnote>
  <w:footnote w:id="2">
    <w:p w14:paraId="0FEB0E2C" w14:textId="77777777" w:rsidR="00BA208A" w:rsidRPr="00904756" w:rsidRDefault="00BA208A" w:rsidP="00BA208A">
      <w:pPr>
        <w:spacing w:after="0" w:line="240" w:lineRule="auto"/>
        <w:contextualSpacing/>
        <w:rPr>
          <w:rFonts w:ascii="Verdana" w:hAnsi="Verdana"/>
          <w:sz w:val="12"/>
          <w:szCs w:val="12"/>
        </w:rPr>
      </w:pPr>
    </w:p>
  </w:footnote>
  <w:footnote w:id="3">
    <w:p w14:paraId="2143BF73" w14:textId="77777777" w:rsidR="00154F17" w:rsidRPr="00260EBF" w:rsidRDefault="00154F17" w:rsidP="00DD3710">
      <w:pPr>
        <w:pStyle w:val="Textonotapie"/>
        <w:ind w:firstLine="708"/>
        <w:contextualSpacing/>
        <w:jc w:val="both"/>
        <w:rPr>
          <w:rFonts w:ascii="Verdana" w:hAnsi="Verdana" w:cs="Arial"/>
          <w:sz w:val="18"/>
          <w:szCs w:val="18"/>
          <w:lang w:val="es-ES"/>
        </w:rPr>
      </w:pPr>
      <w:r w:rsidRPr="00260EBF">
        <w:rPr>
          <w:rStyle w:val="Refdenotaalpie"/>
          <w:rFonts w:ascii="Verdana" w:hAnsi="Verdana" w:cs="Arial"/>
          <w:sz w:val="18"/>
          <w:szCs w:val="18"/>
        </w:rPr>
        <w:footnoteRef/>
      </w:r>
      <w:r w:rsidRPr="00260EBF">
        <w:rPr>
          <w:rFonts w:ascii="Verdana" w:hAnsi="Verdana" w:cs="Arial"/>
          <w:sz w:val="18"/>
          <w:szCs w:val="18"/>
        </w:rPr>
        <w:t xml:space="preserve"> La Agencia Nacional de Contratación Pública ‒ Colombia Compra Eficiente fue creada por el Decreto Ley 4170 de 2011. Su objetivo es servir como ente rector de la pol</w:t>
      </w:r>
      <w:r w:rsidRPr="00260EBF">
        <w:rPr>
          <w:rFonts w:ascii="Verdana" w:hAnsi="Verdana" w:cs="Century Gothic"/>
          <w:sz w:val="18"/>
          <w:szCs w:val="18"/>
        </w:rPr>
        <w:t>í</w:t>
      </w:r>
      <w:r w:rsidRPr="00260EBF">
        <w:rPr>
          <w:rFonts w:ascii="Verdana" w:hAnsi="Verdana" w:cs="Arial"/>
          <w:sz w:val="18"/>
          <w:szCs w:val="18"/>
        </w:rPr>
        <w:t>tica de compras y contrataci</w:t>
      </w:r>
      <w:r w:rsidRPr="00260EBF">
        <w:rPr>
          <w:rFonts w:ascii="Verdana" w:hAnsi="Verdana" w:cs="Century Gothic"/>
          <w:sz w:val="18"/>
          <w:szCs w:val="18"/>
        </w:rPr>
        <w:t>ó</w:t>
      </w:r>
      <w:r w:rsidRPr="00260EBF">
        <w:rPr>
          <w:rFonts w:ascii="Verdana" w:hAnsi="Verdana" w:cs="Arial"/>
          <w:sz w:val="18"/>
          <w:szCs w:val="18"/>
        </w:rPr>
        <w:t xml:space="preserve">n del Estado. Para tales fines, como </w:t>
      </w:r>
      <w:r w:rsidRPr="00260EBF">
        <w:rPr>
          <w:rFonts w:ascii="Verdana" w:hAnsi="Verdana" w:cs="Century Gothic"/>
          <w:sz w:val="18"/>
          <w:szCs w:val="18"/>
        </w:rPr>
        <w:t>ó</w:t>
      </w:r>
      <w:r w:rsidRPr="00260EBF">
        <w:rPr>
          <w:rFonts w:ascii="Verdana" w:hAnsi="Verdana" w:cs="Arial"/>
          <w:sz w:val="18"/>
          <w:szCs w:val="18"/>
        </w:rPr>
        <w:t>rgano t</w:t>
      </w:r>
      <w:r w:rsidRPr="00260EBF">
        <w:rPr>
          <w:rFonts w:ascii="Verdana" w:hAnsi="Verdana" w:cs="Century Gothic"/>
          <w:sz w:val="18"/>
          <w:szCs w:val="18"/>
        </w:rPr>
        <w:t>é</w:t>
      </w:r>
      <w:r w:rsidRPr="00260EBF">
        <w:rPr>
          <w:rFonts w:ascii="Verdana" w:hAnsi="Verdana"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260EBF">
        <w:rPr>
          <w:rFonts w:ascii="Verdana" w:hAnsi="Verdana" w:cs="Arial"/>
          <w:i/>
          <w:iCs/>
          <w:sz w:val="18"/>
          <w:szCs w:val="18"/>
        </w:rPr>
        <w:t xml:space="preserve">ibidem </w:t>
      </w:r>
      <w:r w:rsidRPr="00260EBF">
        <w:rPr>
          <w:rFonts w:ascii="Verdana" w:hAnsi="Verdana" w:cs="Arial"/>
          <w:sz w:val="18"/>
          <w:szCs w:val="18"/>
        </w:rPr>
        <w:t>señala, de manera precisa, las funciones de Colombia Compra Eficiente. Concretamente, el numeral 5º de este artículo establece que le corresponde a esta entidad: “[a]</w:t>
      </w:r>
      <w:proofErr w:type="spellStart"/>
      <w:r w:rsidRPr="00260EBF">
        <w:rPr>
          <w:rFonts w:ascii="Verdana" w:hAnsi="Verdana" w:cs="Arial"/>
          <w:sz w:val="18"/>
          <w:szCs w:val="18"/>
        </w:rPr>
        <w:t>bsolver</w:t>
      </w:r>
      <w:proofErr w:type="spellEnd"/>
      <w:r w:rsidRPr="00260EBF">
        <w:rPr>
          <w:rFonts w:ascii="Verdana" w:hAnsi="Verdana"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260EBF">
        <w:rPr>
          <w:rFonts w:ascii="Verdana" w:hAnsi="Verdana" w:cs="Arial"/>
          <w:sz w:val="18"/>
          <w:szCs w:val="18"/>
        </w:rPr>
        <w:t>bsolver</w:t>
      </w:r>
      <w:proofErr w:type="spellEnd"/>
      <w:r w:rsidRPr="00260EBF">
        <w:rPr>
          <w:rFonts w:ascii="Verdana" w:hAnsi="Verdana" w:cs="Arial"/>
          <w:sz w:val="18"/>
          <w:szCs w:val="18"/>
        </w:rPr>
        <w:t xml:space="preserve"> consultas sobre la aplicación de normas de carácter general”.</w:t>
      </w:r>
    </w:p>
  </w:footnote>
  <w:footnote w:id="4">
    <w:p w14:paraId="3F14686F" w14:textId="77777777" w:rsidR="00154F17" w:rsidRPr="00260EBF" w:rsidRDefault="00154F17" w:rsidP="00DD3710">
      <w:pPr>
        <w:pStyle w:val="Textonotapie"/>
        <w:ind w:firstLine="708"/>
        <w:contextualSpacing/>
        <w:jc w:val="both"/>
        <w:rPr>
          <w:rFonts w:ascii="Verdana" w:hAnsi="Verdana"/>
          <w:sz w:val="18"/>
          <w:szCs w:val="18"/>
          <w:lang w:val="es-CO"/>
        </w:rPr>
      </w:pPr>
      <w:r w:rsidRPr="00260EBF">
        <w:rPr>
          <w:rStyle w:val="Refdenotaalpie"/>
          <w:rFonts w:ascii="Verdana" w:hAnsi="Verdana"/>
          <w:sz w:val="18"/>
          <w:szCs w:val="18"/>
        </w:rPr>
        <w:footnoteRef/>
      </w:r>
      <w:r w:rsidRPr="00260EBF">
        <w:rPr>
          <w:rFonts w:ascii="Verdana" w:hAnsi="Verdana"/>
          <w:sz w:val="18"/>
          <w:szCs w:val="18"/>
        </w:rPr>
        <w:t xml:space="preserve"> Los conceptos referenciados, así como otros expedidos por la Subdirección se encuentran disponibles para consulta pública en el portal de relatoría de la Agencia, al cual se puede acceder a través del siguiente enlace: https://relatoria.colombiacompra.gov.co/busqueda/conceptos.  </w:t>
      </w:r>
    </w:p>
  </w:footnote>
  <w:footnote w:id="5">
    <w:p w14:paraId="0CF73302" w14:textId="77777777" w:rsidR="00154F17" w:rsidRPr="00260EBF" w:rsidRDefault="00154F17" w:rsidP="00DD3710">
      <w:pPr>
        <w:pStyle w:val="Textonotapie"/>
        <w:ind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026C8E8D" w14:textId="77777777" w:rsidR="00154F17" w:rsidRPr="00260EBF" w:rsidRDefault="00154F17" w:rsidP="00DD3710">
      <w:pPr>
        <w:pStyle w:val="Textonotapie"/>
        <w:ind w:firstLine="708"/>
        <w:contextualSpacing/>
        <w:jc w:val="both"/>
        <w:rPr>
          <w:rFonts w:ascii="Verdana" w:hAnsi="Verdana" w:cs="Arial"/>
          <w:sz w:val="18"/>
          <w:szCs w:val="18"/>
          <w:lang w:val="es-ES_tradnl"/>
        </w:rPr>
      </w:pPr>
    </w:p>
  </w:footnote>
  <w:footnote w:id="6">
    <w:p w14:paraId="19A55AE4" w14:textId="77777777" w:rsidR="00154F17" w:rsidRPr="00260EBF" w:rsidRDefault="00154F17" w:rsidP="00DD3710">
      <w:pPr>
        <w:pStyle w:val="Textonotapie"/>
        <w:ind w:firstLine="708"/>
        <w:contextualSpacing/>
        <w:jc w:val="both"/>
        <w:rPr>
          <w:rFonts w:ascii="Verdana" w:hAnsi="Verdana" w:cs="Arial"/>
          <w:sz w:val="18"/>
          <w:szCs w:val="18"/>
          <w:lang w:val="es-ES"/>
        </w:rPr>
      </w:pPr>
      <w:r w:rsidRPr="00260EBF">
        <w:rPr>
          <w:rStyle w:val="Refdenotaalpie"/>
          <w:rFonts w:ascii="Verdana" w:hAnsi="Verdana" w:cs="Arial"/>
          <w:sz w:val="18"/>
          <w:szCs w:val="18"/>
        </w:rPr>
        <w:footnoteRef/>
      </w:r>
      <w:r w:rsidRPr="00260EBF">
        <w:rPr>
          <w:rFonts w:ascii="Verdana" w:hAnsi="Verdana" w:cs="Arial"/>
          <w:sz w:val="18"/>
          <w:szCs w:val="18"/>
        </w:rPr>
        <w:t xml:space="preserve"> </w:t>
      </w:r>
      <w:r w:rsidRPr="00260EBF">
        <w:rPr>
          <w:rFonts w:ascii="Verdana" w:hAnsi="Verdana"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779CA1FC" w14:textId="77777777" w:rsidR="00154F17" w:rsidRPr="00260EBF" w:rsidRDefault="00154F17" w:rsidP="00DD3710">
      <w:pPr>
        <w:pStyle w:val="Textonotapie"/>
        <w:ind w:firstLine="709"/>
        <w:contextualSpacing/>
        <w:jc w:val="both"/>
        <w:rPr>
          <w:rFonts w:ascii="Verdana" w:hAnsi="Verdana" w:cs="Arial"/>
          <w:sz w:val="18"/>
          <w:szCs w:val="18"/>
          <w:lang w:val="es-ES"/>
        </w:rPr>
      </w:pPr>
    </w:p>
  </w:footnote>
  <w:footnote w:id="7">
    <w:p w14:paraId="4EFF4A7D"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Style w:val="Refdenotaalpie"/>
          <w:rFonts w:ascii="Verdana" w:hAnsi="Verdana" w:cs="Arial"/>
          <w:sz w:val="18"/>
          <w:szCs w:val="18"/>
        </w:rPr>
        <w:footnoteRef/>
      </w:r>
      <w:r w:rsidRPr="00260EBF">
        <w:rPr>
          <w:rFonts w:ascii="Verdana" w:hAnsi="Verdana" w:cs="Arial"/>
          <w:sz w:val="18"/>
          <w:szCs w:val="18"/>
        </w:rPr>
        <w:t xml:space="preserve"> </w:t>
      </w:r>
      <w:r w:rsidRPr="00260EBF">
        <w:rPr>
          <w:rFonts w:ascii="Verdana" w:hAnsi="Verdana" w:cs="Arial"/>
          <w:sz w:val="18"/>
          <w:szCs w:val="18"/>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2D986AF"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E10C947"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El Gobierno nacional reglamentará el mecanismo para realizar la mensualización de que trata el presente artículo.</w:t>
      </w:r>
    </w:p>
    <w:p w14:paraId="4506A39A" w14:textId="77777777" w:rsidR="00154F17" w:rsidRPr="00260EBF" w:rsidRDefault="00154F17" w:rsidP="00DD3710">
      <w:pPr>
        <w:pStyle w:val="Textonotapie"/>
        <w:ind w:firstLine="709"/>
        <w:contextualSpacing/>
        <w:jc w:val="both"/>
        <w:rPr>
          <w:rFonts w:ascii="Verdana" w:hAnsi="Verdana" w:cs="Arial"/>
          <w:sz w:val="18"/>
          <w:szCs w:val="18"/>
          <w:lang w:val="pt-BR"/>
        </w:rPr>
      </w:pPr>
      <w:r w:rsidRPr="00260EBF">
        <w:rPr>
          <w:rFonts w:ascii="Verdana" w:hAnsi="Verdana" w:cs="Arial"/>
          <w:sz w:val="18"/>
          <w:szCs w:val="18"/>
          <w:lang w:val="pt-BR"/>
        </w:rPr>
        <w:t>[…]”.</w:t>
      </w:r>
    </w:p>
    <w:p w14:paraId="2ABF199F" w14:textId="77777777" w:rsidR="00154F17" w:rsidRPr="00260EBF" w:rsidRDefault="00154F17" w:rsidP="00DD3710">
      <w:pPr>
        <w:pStyle w:val="Textonotapie"/>
        <w:ind w:firstLine="709"/>
        <w:contextualSpacing/>
        <w:jc w:val="both"/>
        <w:rPr>
          <w:rFonts w:ascii="Verdana" w:hAnsi="Verdana" w:cs="Arial"/>
          <w:sz w:val="18"/>
          <w:szCs w:val="18"/>
          <w:lang w:val="pt-BR"/>
        </w:rPr>
      </w:pPr>
    </w:p>
  </w:footnote>
  <w:footnote w:id="8">
    <w:p w14:paraId="0046B7F7"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Style w:val="Refdenotaalpie"/>
          <w:rFonts w:ascii="Verdana" w:hAnsi="Verdana" w:cs="Arial"/>
          <w:sz w:val="18"/>
          <w:szCs w:val="18"/>
        </w:rPr>
        <w:footnoteRef/>
      </w:r>
      <w:r w:rsidRPr="00260EBF">
        <w:rPr>
          <w:rFonts w:ascii="Verdana" w:hAnsi="Verdana" w:cs="Arial"/>
          <w:sz w:val="18"/>
          <w:szCs w:val="18"/>
          <w:lang w:val="pt-BR"/>
        </w:rPr>
        <w:t xml:space="preserve"> Corte Constitucional. Sentencia C-154 de 1997. </w:t>
      </w:r>
      <w:r w:rsidRPr="00260EBF">
        <w:rPr>
          <w:rFonts w:ascii="Verdana" w:hAnsi="Verdana" w:cs="Arial"/>
          <w:sz w:val="18"/>
          <w:szCs w:val="18"/>
          <w:lang w:val="es-ES"/>
        </w:rPr>
        <w:t>MP: Hernando Herrera Vergara.</w:t>
      </w:r>
    </w:p>
  </w:footnote>
  <w:footnote w:id="9">
    <w:p w14:paraId="340C31FC" w14:textId="77777777" w:rsidR="00154F17" w:rsidRPr="00260EBF" w:rsidRDefault="00154F17" w:rsidP="00DD3710">
      <w:pPr>
        <w:spacing w:after="0" w:line="240" w:lineRule="auto"/>
        <w:contextualSpacing/>
        <w:rPr>
          <w:rFonts w:ascii="Verdana" w:hAnsi="Verdana"/>
          <w:sz w:val="18"/>
          <w:szCs w:val="18"/>
        </w:rPr>
      </w:pPr>
    </w:p>
  </w:footnote>
  <w:footnote w:id="10">
    <w:p w14:paraId="52E64D50"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Style w:val="Refdenotaalpie"/>
          <w:rFonts w:ascii="Verdana" w:hAnsi="Verdana" w:cs="Arial"/>
          <w:sz w:val="18"/>
          <w:szCs w:val="18"/>
        </w:rPr>
        <w:footnoteRef/>
      </w:r>
      <w:r w:rsidRPr="00260EBF">
        <w:rPr>
          <w:rFonts w:ascii="Verdana" w:hAnsi="Verdana" w:cs="Arial"/>
          <w:sz w:val="18"/>
          <w:szCs w:val="18"/>
        </w:rPr>
        <w:t xml:space="preserve"> </w:t>
      </w:r>
      <w:proofErr w:type="spellStart"/>
      <w:r w:rsidRPr="00260EBF">
        <w:rPr>
          <w:rFonts w:ascii="Verdana" w:hAnsi="Verdana" w:cs="Arial"/>
          <w:sz w:val="18"/>
          <w:szCs w:val="18"/>
          <w:lang w:val="es-ES"/>
        </w:rPr>
        <w:t>Ibíd</w:t>
      </w:r>
      <w:proofErr w:type="spellEnd"/>
      <w:r w:rsidRPr="00260EBF">
        <w:rPr>
          <w:rFonts w:ascii="Verdana" w:hAnsi="Verdana" w:cs="Arial"/>
          <w:sz w:val="18"/>
          <w:szCs w:val="18"/>
          <w:lang w:val="es-ES"/>
        </w:rPr>
        <w:t>.</w:t>
      </w:r>
    </w:p>
    <w:p w14:paraId="6830EA33" w14:textId="77777777" w:rsidR="00154F17" w:rsidRPr="00260EBF" w:rsidRDefault="00154F17" w:rsidP="00DD3710">
      <w:pPr>
        <w:pStyle w:val="Textonotapie"/>
        <w:ind w:firstLine="709"/>
        <w:contextualSpacing/>
        <w:jc w:val="both"/>
        <w:rPr>
          <w:rFonts w:ascii="Verdana" w:hAnsi="Verdana" w:cs="Arial"/>
          <w:sz w:val="18"/>
          <w:szCs w:val="18"/>
          <w:lang w:val="es-ES"/>
        </w:rPr>
      </w:pPr>
    </w:p>
  </w:footnote>
  <w:footnote w:id="11">
    <w:p w14:paraId="37959533" w14:textId="77777777" w:rsidR="00154F17" w:rsidRPr="00260EBF" w:rsidRDefault="00154F17" w:rsidP="00DD3710">
      <w:pPr>
        <w:pStyle w:val="Textonotapie"/>
        <w:ind w:firstLine="709"/>
        <w:contextualSpacing/>
        <w:jc w:val="both"/>
        <w:rPr>
          <w:rFonts w:ascii="Verdana" w:hAnsi="Verdana" w:cs="Arial"/>
          <w:color w:val="000000"/>
          <w:sz w:val="18"/>
          <w:szCs w:val="18"/>
          <w:lang w:val="es-ES"/>
        </w:rPr>
      </w:pPr>
      <w:r w:rsidRPr="00260EBF">
        <w:rPr>
          <w:rStyle w:val="Refdenotaalpie"/>
          <w:rFonts w:ascii="Verdana" w:hAnsi="Verdana" w:cs="Arial"/>
          <w:color w:val="000000"/>
          <w:sz w:val="18"/>
          <w:szCs w:val="18"/>
        </w:rPr>
        <w:footnoteRef/>
      </w:r>
      <w:r w:rsidRPr="00260EBF">
        <w:rPr>
          <w:rFonts w:ascii="Verdana" w:hAnsi="Verdana" w:cs="Arial"/>
          <w:color w:val="000000"/>
          <w:sz w:val="18"/>
          <w:szCs w:val="18"/>
        </w:rPr>
        <w:t xml:space="preserve"> </w:t>
      </w:r>
      <w:r w:rsidRPr="00260EBF">
        <w:rPr>
          <w:rFonts w:ascii="Verdana" w:hAnsi="Verdana"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08983DF" w14:textId="77777777" w:rsidR="00154F17" w:rsidRPr="00260EBF" w:rsidRDefault="00154F17" w:rsidP="00DD3710">
      <w:pPr>
        <w:pStyle w:val="Textonotapie"/>
        <w:ind w:firstLine="709"/>
        <w:contextualSpacing/>
        <w:jc w:val="both"/>
        <w:rPr>
          <w:rFonts w:ascii="Verdana" w:hAnsi="Verdana" w:cs="Arial"/>
          <w:color w:val="000000"/>
          <w:sz w:val="18"/>
          <w:szCs w:val="18"/>
          <w:lang w:val="es-ES"/>
        </w:rPr>
      </w:pPr>
      <w:r w:rsidRPr="00260EBF">
        <w:rPr>
          <w:rFonts w:ascii="Verdana" w:hAnsi="Verdana"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694BA49" w14:textId="77777777" w:rsidR="00154F17" w:rsidRPr="00260EBF" w:rsidRDefault="00154F17" w:rsidP="00DD3710">
      <w:pPr>
        <w:pStyle w:val="Textonotapie"/>
        <w:ind w:firstLine="709"/>
        <w:contextualSpacing/>
        <w:jc w:val="both"/>
        <w:rPr>
          <w:rFonts w:ascii="Verdana" w:hAnsi="Verdana" w:cs="Arial"/>
          <w:color w:val="000000"/>
          <w:sz w:val="18"/>
          <w:szCs w:val="18"/>
          <w:lang w:val="es-ES"/>
        </w:rPr>
      </w:pPr>
      <w:r w:rsidRPr="00260EBF">
        <w:rPr>
          <w:rFonts w:ascii="Verdana" w:hAnsi="Verdana" w:cs="Arial"/>
          <w:color w:val="000000"/>
          <w:sz w:val="18"/>
          <w:szCs w:val="18"/>
          <w:lang w:val="es-ES"/>
        </w:rPr>
        <w:t>La Entidad Estatal, para la contratación de trabajos artísticos que solamente puedan en­comendarse a determinadas personas naturales, debe justificar esta situación en los estudios y documentos previos”.</w:t>
      </w:r>
    </w:p>
    <w:p w14:paraId="02BB45CF" w14:textId="77777777" w:rsidR="00154F17" w:rsidRPr="00260EBF" w:rsidRDefault="00154F17" w:rsidP="00DD3710">
      <w:pPr>
        <w:pStyle w:val="Textonotapie"/>
        <w:ind w:firstLine="709"/>
        <w:contextualSpacing/>
        <w:jc w:val="both"/>
        <w:rPr>
          <w:rFonts w:ascii="Verdana" w:hAnsi="Verdana" w:cs="Arial"/>
          <w:color w:val="000000"/>
          <w:sz w:val="18"/>
          <w:szCs w:val="18"/>
          <w:lang w:val="es-ES"/>
        </w:rPr>
      </w:pPr>
    </w:p>
  </w:footnote>
  <w:footnote w:id="12">
    <w:p w14:paraId="6571D97C" w14:textId="77777777" w:rsidR="00154F17" w:rsidRPr="00260EBF" w:rsidRDefault="00154F17" w:rsidP="00DD3710">
      <w:pPr>
        <w:pStyle w:val="Textonotapie"/>
        <w:ind w:firstLine="709"/>
        <w:contextualSpacing/>
        <w:jc w:val="both"/>
        <w:rPr>
          <w:rFonts w:ascii="Verdana" w:hAnsi="Verdana" w:cs="Arial"/>
          <w:color w:val="000000"/>
          <w:sz w:val="18"/>
          <w:szCs w:val="18"/>
          <w:lang w:val="es-ES"/>
        </w:rPr>
      </w:pPr>
      <w:r w:rsidRPr="00260EBF">
        <w:rPr>
          <w:rStyle w:val="Refdenotaalpie"/>
          <w:rFonts w:ascii="Verdana" w:hAnsi="Verdana" w:cs="Arial"/>
          <w:color w:val="000000"/>
          <w:sz w:val="18"/>
          <w:szCs w:val="18"/>
        </w:rPr>
        <w:footnoteRef/>
      </w:r>
      <w:r w:rsidRPr="00260EBF">
        <w:rPr>
          <w:rFonts w:ascii="Verdana" w:hAnsi="Verdana" w:cs="Arial"/>
          <w:color w:val="000000"/>
          <w:sz w:val="18"/>
          <w:szCs w:val="18"/>
        </w:rPr>
        <w:t xml:space="preserve"> </w:t>
      </w:r>
      <w:r w:rsidRPr="00260EBF">
        <w:rPr>
          <w:rFonts w:ascii="Verdana" w:hAnsi="Verdana" w:cs="Arial"/>
          <w:color w:val="000000"/>
          <w:sz w:val="18"/>
          <w:szCs w:val="18"/>
          <w:lang w:val="es-ES"/>
        </w:rPr>
        <w:t xml:space="preserve">CONSEJO DE ESTADO. Sección Tercera. Subsección C. Sentencia del 2 de diciembre de 2013. </w:t>
      </w:r>
      <w:proofErr w:type="spellStart"/>
      <w:r w:rsidRPr="00260EBF">
        <w:rPr>
          <w:rFonts w:ascii="Verdana" w:hAnsi="Verdana" w:cs="Arial"/>
          <w:color w:val="000000"/>
          <w:sz w:val="18"/>
          <w:szCs w:val="18"/>
          <w:lang w:val="es-ES"/>
        </w:rPr>
        <w:t>Exp</w:t>
      </w:r>
      <w:proofErr w:type="spellEnd"/>
      <w:r w:rsidRPr="00260EBF">
        <w:rPr>
          <w:rFonts w:ascii="Verdana" w:hAnsi="Verdana" w:cs="Arial"/>
          <w:color w:val="000000"/>
          <w:sz w:val="18"/>
          <w:szCs w:val="18"/>
          <w:lang w:val="es-ES"/>
        </w:rPr>
        <w:t>. 41719. Consejero Ponente: Jaime Orlando Santofimio Gamboa.</w:t>
      </w:r>
    </w:p>
    <w:p w14:paraId="5BB1483C" w14:textId="77777777" w:rsidR="00154F17" w:rsidRPr="00260EBF" w:rsidRDefault="00154F17" w:rsidP="00DD3710">
      <w:pPr>
        <w:pStyle w:val="Textonotapie"/>
        <w:ind w:firstLine="709"/>
        <w:contextualSpacing/>
        <w:jc w:val="both"/>
        <w:rPr>
          <w:rFonts w:ascii="Verdana" w:hAnsi="Verdana" w:cs="Arial"/>
          <w:color w:val="000000"/>
          <w:sz w:val="18"/>
          <w:szCs w:val="18"/>
          <w:lang w:val="es-ES"/>
        </w:rPr>
      </w:pPr>
    </w:p>
  </w:footnote>
  <w:footnote w:id="13">
    <w:p w14:paraId="3B2CFCA4" w14:textId="77777777" w:rsidR="00154F17" w:rsidRPr="00260EBF" w:rsidRDefault="00154F17" w:rsidP="00DD3710">
      <w:pPr>
        <w:spacing w:after="0" w:line="240" w:lineRule="auto"/>
        <w:contextualSpacing/>
        <w:rPr>
          <w:rFonts w:ascii="Verdana" w:hAnsi="Verdana"/>
          <w:sz w:val="18"/>
          <w:szCs w:val="18"/>
        </w:rPr>
      </w:pPr>
    </w:p>
  </w:footnote>
  <w:footnote w:id="14">
    <w:p w14:paraId="47E4E70F" w14:textId="77777777" w:rsidR="00154F17" w:rsidRPr="00260EBF" w:rsidRDefault="00154F17" w:rsidP="00DD3710">
      <w:pPr>
        <w:pStyle w:val="Textonotapie"/>
        <w:ind w:firstLine="709"/>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w:t>
      </w:r>
      <w:r w:rsidRPr="00260EBF">
        <w:rPr>
          <w:rFonts w:ascii="Verdana" w:hAnsi="Verdana" w:cs="Arial"/>
          <w:sz w:val="18"/>
          <w:szCs w:val="18"/>
          <w:lang w:val="es-ES"/>
        </w:rPr>
        <w:t xml:space="preserve">CONSEJO DE ESTADO. Sección Tercera. Subsección C. Sentencia de Unificación del 2 de diciembre de 2013. </w:t>
      </w:r>
      <w:proofErr w:type="spellStart"/>
      <w:r w:rsidRPr="00260EBF">
        <w:rPr>
          <w:rFonts w:ascii="Verdana" w:hAnsi="Verdana" w:cs="Arial"/>
          <w:sz w:val="18"/>
          <w:szCs w:val="18"/>
          <w:lang w:val="es-ES"/>
        </w:rPr>
        <w:t>Exp</w:t>
      </w:r>
      <w:proofErr w:type="spellEnd"/>
      <w:r w:rsidRPr="00260EBF">
        <w:rPr>
          <w:rFonts w:ascii="Verdana" w:hAnsi="Verdana" w:cs="Arial"/>
          <w:sz w:val="18"/>
          <w:szCs w:val="18"/>
          <w:lang w:val="es-ES"/>
        </w:rPr>
        <w:t>. 41.719. C.P. Jaime Orlando Santofimio Gamboa.</w:t>
      </w:r>
      <w:r w:rsidRPr="00260EBF">
        <w:rPr>
          <w:rFonts w:ascii="Verdana" w:hAnsi="Verdana" w:cs="Arial"/>
          <w:sz w:val="18"/>
          <w:szCs w:val="18"/>
        </w:rPr>
        <w:t xml:space="preserve"> </w:t>
      </w:r>
    </w:p>
    <w:p w14:paraId="33810F3B"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93209AB"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Son también contratos de consultoría los que tienen por objeto la interventoría, asesoría, gerencia de obra o de proyectos, dirección, programación y la ejecución de diseños, planos, anteproyectos y proyectos.</w:t>
      </w:r>
    </w:p>
    <w:p w14:paraId="0FA9F104"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 xml:space="preserve">Ninguna orden del interventor de una obra podrá darse verbalmente. Es obligatorio para el interventor entregar por escrito sus órdenes o sugerencias y ellas deben </w:t>
      </w:r>
      <w:proofErr w:type="gramStart"/>
      <w:r w:rsidRPr="00260EBF">
        <w:rPr>
          <w:rFonts w:ascii="Verdana" w:hAnsi="Verdana" w:cs="Arial"/>
          <w:sz w:val="18"/>
          <w:szCs w:val="18"/>
          <w:lang w:val="es-ES"/>
        </w:rPr>
        <w:t>enmarcarse dentro de</w:t>
      </w:r>
      <w:proofErr w:type="gramEnd"/>
      <w:r w:rsidRPr="00260EBF">
        <w:rPr>
          <w:rFonts w:ascii="Verdana" w:hAnsi="Verdana" w:cs="Arial"/>
          <w:sz w:val="18"/>
          <w:szCs w:val="18"/>
          <w:lang w:val="es-ES"/>
        </w:rPr>
        <w:t xml:space="preserve"> los términos del respectivo contrato”.</w:t>
      </w:r>
    </w:p>
    <w:p w14:paraId="058FDEBA" w14:textId="77777777" w:rsidR="00154F17" w:rsidRPr="00260EBF" w:rsidRDefault="00154F17" w:rsidP="00DD3710">
      <w:pPr>
        <w:pStyle w:val="Textonotapie"/>
        <w:ind w:firstLine="709"/>
        <w:contextualSpacing/>
        <w:jc w:val="both"/>
        <w:rPr>
          <w:rFonts w:ascii="Verdana" w:hAnsi="Verdana" w:cs="Arial"/>
          <w:sz w:val="18"/>
          <w:szCs w:val="18"/>
          <w:lang w:val="es-ES"/>
        </w:rPr>
      </w:pPr>
    </w:p>
  </w:footnote>
  <w:footnote w:id="15">
    <w:p w14:paraId="7B6048DA"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Style w:val="Refdenotaalpie"/>
          <w:rFonts w:ascii="Verdana" w:hAnsi="Verdana" w:cs="Arial"/>
          <w:sz w:val="18"/>
          <w:szCs w:val="18"/>
        </w:rPr>
        <w:footnoteRef/>
      </w:r>
      <w:r w:rsidRPr="00260EBF">
        <w:rPr>
          <w:rFonts w:ascii="Verdana" w:hAnsi="Verdana" w:cs="Arial"/>
          <w:sz w:val="18"/>
          <w:szCs w:val="18"/>
        </w:rPr>
        <w:t xml:space="preserve"> </w:t>
      </w:r>
      <w:r w:rsidRPr="00260EBF">
        <w:rPr>
          <w:rFonts w:ascii="Verdana" w:hAnsi="Verdana" w:cs="Arial"/>
          <w:sz w:val="18"/>
          <w:szCs w:val="18"/>
          <w:lang w:val="es-ES"/>
        </w:rPr>
        <w:t>Así lo dispone el artículo 2.2.1.2.1.4.1. del Decreto 1082 de 2015: “La Entidad Estatal debe señalar en un acto administrativo la justificación para contratar bajo la modalidad de contratación directa, el cual debe contener:</w:t>
      </w:r>
    </w:p>
    <w:p w14:paraId="37D7D7BF"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1. La causal que invoca para contratar directamente.</w:t>
      </w:r>
    </w:p>
    <w:p w14:paraId="6E7C7A4C"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2. El objeto del contrato.</w:t>
      </w:r>
    </w:p>
    <w:p w14:paraId="386CB37D"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3. El presupuesto para la contratación y las condiciones que exigirá al contratista.</w:t>
      </w:r>
    </w:p>
    <w:p w14:paraId="3D2EA23E"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4. El lugar en el cual los interesados pueden consultar los estudios y documentos previos.</w:t>
      </w:r>
    </w:p>
    <w:p w14:paraId="41130A93"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6">
    <w:p w14:paraId="12899261" w14:textId="77777777" w:rsidR="00154F17" w:rsidRPr="00260EBF" w:rsidRDefault="00154F17" w:rsidP="00DD3710">
      <w:pPr>
        <w:pStyle w:val="Textonotapie"/>
        <w:contextualSpacing/>
        <w:jc w:val="both"/>
        <w:rPr>
          <w:rFonts w:ascii="Verdana" w:hAnsi="Verdana" w:cs="Arial"/>
          <w:sz w:val="18"/>
          <w:szCs w:val="18"/>
        </w:rPr>
      </w:pPr>
    </w:p>
    <w:p w14:paraId="42C15912"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Style w:val="Refdenotaalpie"/>
          <w:rFonts w:ascii="Verdana" w:hAnsi="Verdana" w:cs="Arial"/>
          <w:sz w:val="18"/>
          <w:szCs w:val="18"/>
        </w:rPr>
        <w:footnoteRef/>
      </w:r>
      <w:r w:rsidRPr="00260EBF">
        <w:rPr>
          <w:rFonts w:ascii="Verdana" w:hAnsi="Verdana" w:cs="Arial"/>
          <w:sz w:val="18"/>
          <w:szCs w:val="18"/>
        </w:rPr>
        <w:t xml:space="preserve"> </w:t>
      </w:r>
      <w:r w:rsidRPr="00260EBF">
        <w:rPr>
          <w:rFonts w:ascii="Verdana" w:hAnsi="Verdana" w:cs="Arial"/>
          <w:sz w:val="18"/>
          <w:szCs w:val="18"/>
          <w:lang w:val="es-ES"/>
        </w:rPr>
        <w:t xml:space="preserve">La norma expresa: “Art. 14. </w:t>
      </w:r>
      <w:r w:rsidRPr="00260EBF">
        <w:rPr>
          <w:rFonts w:ascii="Verdana" w:hAnsi="Verdana" w:cs="Arial"/>
          <w:sz w:val="18"/>
          <w:szCs w:val="18"/>
        </w:rPr>
        <w:t>P</w:t>
      </w:r>
      <w:r w:rsidRPr="00260EBF">
        <w:rPr>
          <w:rFonts w:ascii="Verdana" w:hAnsi="Verdana" w:cs="Arial"/>
          <w:sz w:val="18"/>
          <w:szCs w:val="18"/>
          <w:lang w:val="es-ES"/>
        </w:rPr>
        <w:t>ara el cumplimiento de los fines de la contratación, las entidades estatales al celebrar un contrato:</w:t>
      </w:r>
    </w:p>
    <w:p w14:paraId="0E82EC79"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w:t>
      </w:r>
    </w:p>
    <w:p w14:paraId="4FB684C5"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81056DB"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Las entidades estatales podrán pactar estas cláusulas en los contratos de suministro y de prestación de servicios.</w:t>
      </w:r>
    </w:p>
    <w:p w14:paraId="15E0C882"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Fonts w:ascii="Verdana" w:hAnsi="Verdana" w:cs="Arial"/>
          <w:sz w:val="18"/>
          <w:szCs w:val="18"/>
          <w:lang w:val="es-ES"/>
        </w:rPr>
        <w:t>[…]”.</w:t>
      </w:r>
    </w:p>
    <w:p w14:paraId="6B78D880" w14:textId="77777777" w:rsidR="00154F17" w:rsidRPr="00260EBF" w:rsidRDefault="00154F17" w:rsidP="00DD3710">
      <w:pPr>
        <w:pStyle w:val="Textonotapie"/>
        <w:ind w:firstLine="709"/>
        <w:contextualSpacing/>
        <w:jc w:val="both"/>
        <w:rPr>
          <w:rFonts w:ascii="Verdana" w:hAnsi="Verdana" w:cs="Arial"/>
          <w:sz w:val="18"/>
          <w:szCs w:val="18"/>
          <w:lang w:val="es-ES"/>
        </w:rPr>
      </w:pPr>
    </w:p>
  </w:footnote>
  <w:footnote w:id="17">
    <w:p w14:paraId="161685F6"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Style w:val="Refdenotaalpie"/>
          <w:rFonts w:ascii="Verdana" w:hAnsi="Verdana" w:cs="Arial"/>
          <w:sz w:val="18"/>
          <w:szCs w:val="18"/>
        </w:rPr>
        <w:footnoteRef/>
      </w:r>
      <w:r w:rsidRPr="00260EBF">
        <w:rPr>
          <w:rFonts w:ascii="Verdana" w:hAnsi="Verdana" w:cs="Arial"/>
          <w:sz w:val="18"/>
          <w:szCs w:val="18"/>
        </w:rPr>
        <w:t xml:space="preserve"> </w:t>
      </w:r>
      <w:r w:rsidRPr="00260EBF">
        <w:rPr>
          <w:rFonts w:ascii="Verdana" w:hAnsi="Verdana" w:cs="Arial"/>
          <w:sz w:val="18"/>
          <w:szCs w:val="18"/>
          <w:lang w:val="es-ES"/>
        </w:rPr>
        <w:t>La norma dispone: “La liquidación a que se refiere el presente artículo no será obligatoria en los contratos de prestación de servicios profesionales y de apoyo a la gestión”.</w:t>
      </w:r>
    </w:p>
    <w:p w14:paraId="791DF1B9" w14:textId="77777777" w:rsidR="00154F17" w:rsidRPr="00260EBF" w:rsidRDefault="00154F17" w:rsidP="00DD3710">
      <w:pPr>
        <w:pStyle w:val="Textonotapie"/>
        <w:ind w:firstLine="709"/>
        <w:contextualSpacing/>
        <w:jc w:val="both"/>
        <w:rPr>
          <w:rFonts w:ascii="Verdana" w:hAnsi="Verdana" w:cs="Arial"/>
          <w:sz w:val="18"/>
          <w:szCs w:val="18"/>
          <w:lang w:val="es-ES"/>
        </w:rPr>
      </w:pPr>
    </w:p>
  </w:footnote>
  <w:footnote w:id="18">
    <w:p w14:paraId="0CCF51BA" w14:textId="77777777" w:rsidR="00154F17" w:rsidRPr="00260EBF" w:rsidRDefault="00154F17" w:rsidP="00DD3710">
      <w:pPr>
        <w:pStyle w:val="Textonotapie"/>
        <w:ind w:firstLine="709"/>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87F0871" w14:textId="77777777" w:rsidR="00154F17" w:rsidRPr="00260EBF" w:rsidRDefault="00154F17" w:rsidP="00DD3710">
      <w:pPr>
        <w:pStyle w:val="Textonotapie"/>
        <w:ind w:firstLine="709"/>
        <w:contextualSpacing/>
        <w:jc w:val="both"/>
        <w:rPr>
          <w:rFonts w:ascii="Verdana" w:hAnsi="Verdana" w:cs="Arial"/>
          <w:sz w:val="18"/>
          <w:szCs w:val="18"/>
        </w:rPr>
      </w:pPr>
      <w:r w:rsidRPr="00260EBF">
        <w:rPr>
          <w:rFonts w:ascii="Verdana" w:hAnsi="Verdana"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C738F8D" w14:textId="77777777" w:rsidR="00154F17" w:rsidRPr="00260EBF" w:rsidRDefault="00154F17" w:rsidP="00DD3710">
      <w:pPr>
        <w:pStyle w:val="Textonotapie"/>
        <w:ind w:firstLine="709"/>
        <w:contextualSpacing/>
        <w:jc w:val="both"/>
        <w:rPr>
          <w:rFonts w:ascii="Verdana" w:hAnsi="Verdana" w:cs="Arial"/>
          <w:sz w:val="18"/>
          <w:szCs w:val="18"/>
        </w:rPr>
      </w:pPr>
      <w:r w:rsidRPr="00260EBF">
        <w:rPr>
          <w:rFonts w:ascii="Verdana" w:hAnsi="Verdana" w:cs="Arial"/>
          <w:sz w:val="18"/>
          <w:szCs w:val="18"/>
        </w:rPr>
        <w:t>[…]”.</w:t>
      </w:r>
    </w:p>
    <w:p w14:paraId="4856C60D" w14:textId="77777777" w:rsidR="00154F17" w:rsidRPr="00260EBF" w:rsidRDefault="00154F17" w:rsidP="00DD3710">
      <w:pPr>
        <w:pStyle w:val="Textonotapie"/>
        <w:ind w:firstLine="709"/>
        <w:contextualSpacing/>
        <w:jc w:val="both"/>
        <w:rPr>
          <w:rFonts w:ascii="Verdana" w:hAnsi="Verdana" w:cs="Arial"/>
          <w:sz w:val="18"/>
          <w:szCs w:val="18"/>
          <w:lang w:val="es-ES"/>
        </w:rPr>
      </w:pPr>
    </w:p>
  </w:footnote>
  <w:footnote w:id="19">
    <w:p w14:paraId="43F8B28B" w14:textId="77777777" w:rsidR="00154F17" w:rsidRPr="00260EBF" w:rsidRDefault="00154F17" w:rsidP="00DD3710">
      <w:pPr>
        <w:pStyle w:val="Textonotapie"/>
        <w:ind w:firstLine="709"/>
        <w:contextualSpacing/>
        <w:jc w:val="both"/>
        <w:rPr>
          <w:rFonts w:ascii="Verdana" w:hAnsi="Verdana" w:cs="Arial"/>
          <w:sz w:val="18"/>
          <w:szCs w:val="18"/>
          <w:lang w:val="es-ES"/>
        </w:rPr>
      </w:pPr>
      <w:r w:rsidRPr="00260EBF">
        <w:rPr>
          <w:rStyle w:val="Refdenotaalpie"/>
          <w:rFonts w:ascii="Verdana" w:hAnsi="Verdana" w:cs="Arial"/>
          <w:sz w:val="18"/>
          <w:szCs w:val="18"/>
        </w:rPr>
        <w:footnoteRef/>
      </w:r>
      <w:r w:rsidRPr="00260EBF">
        <w:rPr>
          <w:rFonts w:ascii="Verdana" w:hAnsi="Verdana" w:cs="Arial"/>
          <w:sz w:val="18"/>
          <w:szCs w:val="18"/>
        </w:rPr>
        <w:t xml:space="preserve"> </w:t>
      </w:r>
      <w:r w:rsidRPr="00260EBF">
        <w:rPr>
          <w:rFonts w:ascii="Verdana" w:hAnsi="Verdana" w:cs="Arial"/>
          <w:sz w:val="18"/>
          <w:szCs w:val="18"/>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36E665D3" w14:textId="77777777" w:rsidR="00154F17" w:rsidRPr="00260EBF" w:rsidRDefault="00154F17" w:rsidP="00DD3710">
      <w:pPr>
        <w:pStyle w:val="Textonotapie"/>
        <w:ind w:firstLine="709"/>
        <w:contextualSpacing/>
        <w:jc w:val="both"/>
        <w:rPr>
          <w:rFonts w:ascii="Verdana" w:hAnsi="Verdana" w:cs="Arial"/>
          <w:sz w:val="18"/>
          <w:szCs w:val="18"/>
          <w:lang w:val="es-ES"/>
        </w:rPr>
      </w:pPr>
    </w:p>
  </w:footnote>
  <w:footnote w:id="20">
    <w:p w14:paraId="3FDD15A3" w14:textId="77777777" w:rsidR="00154F17" w:rsidRPr="00260EBF" w:rsidRDefault="00154F17" w:rsidP="00DD3710">
      <w:pPr>
        <w:pStyle w:val="Textonotapie"/>
        <w:ind w:firstLine="709"/>
        <w:contextualSpacing/>
        <w:jc w:val="both"/>
        <w:rPr>
          <w:rFonts w:ascii="Verdana" w:hAnsi="Verdana" w:cs="Arial"/>
          <w:sz w:val="18"/>
          <w:szCs w:val="18"/>
          <w:lang w:val="it-IT"/>
        </w:rPr>
      </w:pPr>
      <w:r w:rsidRPr="00260EBF">
        <w:rPr>
          <w:rStyle w:val="Refdenotaalpie"/>
          <w:rFonts w:ascii="Verdana" w:hAnsi="Verdana" w:cs="Arial"/>
          <w:sz w:val="18"/>
          <w:szCs w:val="18"/>
        </w:rPr>
        <w:footnoteRef/>
      </w:r>
      <w:r w:rsidRPr="00260EBF">
        <w:rPr>
          <w:rFonts w:ascii="Verdana" w:hAnsi="Verdana" w:cs="Arial"/>
          <w:sz w:val="18"/>
          <w:szCs w:val="18"/>
        </w:rPr>
        <w:t xml:space="preserve"> Corte Constitucional, sentencia T-743 de 2017, </w:t>
      </w:r>
      <w:proofErr w:type="spellStart"/>
      <w:r w:rsidRPr="00260EBF">
        <w:rPr>
          <w:rFonts w:ascii="Verdana" w:hAnsi="Verdana" w:cs="Arial"/>
          <w:sz w:val="18"/>
          <w:szCs w:val="18"/>
        </w:rPr>
        <w:t>Exp</w:t>
      </w:r>
      <w:proofErr w:type="spellEnd"/>
      <w:r w:rsidRPr="00260EBF">
        <w:rPr>
          <w:rFonts w:ascii="Verdana" w:hAnsi="Verdana" w:cs="Arial"/>
          <w:sz w:val="18"/>
          <w:szCs w:val="18"/>
        </w:rPr>
        <w:t xml:space="preserve">. </w:t>
      </w:r>
      <w:r w:rsidRPr="00260EBF">
        <w:rPr>
          <w:rFonts w:ascii="Verdana" w:hAnsi="Verdana" w:cs="Arial"/>
          <w:sz w:val="18"/>
          <w:szCs w:val="18"/>
          <w:lang w:val="it-IT"/>
        </w:rPr>
        <w:t>T-6.366.648 Magistrada Ponente Cristina Pardo Schlesinger.</w:t>
      </w:r>
    </w:p>
    <w:p w14:paraId="1F93DAB8" w14:textId="77777777" w:rsidR="00154F17" w:rsidRPr="00260EBF" w:rsidRDefault="00154F17" w:rsidP="00DD3710">
      <w:pPr>
        <w:pStyle w:val="Textonotapie"/>
        <w:ind w:firstLine="709"/>
        <w:contextualSpacing/>
        <w:jc w:val="both"/>
        <w:rPr>
          <w:rFonts w:ascii="Verdana" w:hAnsi="Verdana" w:cs="Arial"/>
          <w:sz w:val="18"/>
          <w:szCs w:val="18"/>
          <w:lang w:val="it-IT"/>
        </w:rPr>
      </w:pPr>
    </w:p>
  </w:footnote>
  <w:footnote w:id="21">
    <w:p w14:paraId="063A89C8" w14:textId="77777777" w:rsidR="00154F17" w:rsidRPr="00260EBF" w:rsidRDefault="00154F17" w:rsidP="00DD3710">
      <w:pPr>
        <w:spacing w:after="0" w:line="240" w:lineRule="auto"/>
        <w:ind w:firstLine="709"/>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0EC47555" w14:textId="77777777" w:rsidR="00154F17" w:rsidRPr="00260EBF" w:rsidRDefault="00154F17" w:rsidP="00DD3710">
      <w:pPr>
        <w:spacing w:after="0" w:line="240" w:lineRule="auto"/>
        <w:ind w:firstLine="709"/>
        <w:contextualSpacing/>
        <w:jc w:val="both"/>
        <w:rPr>
          <w:rFonts w:ascii="Verdana" w:hAnsi="Verdana" w:cs="Arial"/>
          <w:sz w:val="18"/>
          <w:szCs w:val="18"/>
        </w:rPr>
      </w:pPr>
      <w:r w:rsidRPr="00260EBF">
        <w:rPr>
          <w:rFonts w:ascii="Verdana" w:hAnsi="Verdana" w:cs="Arial"/>
          <w:sz w:val="18"/>
          <w:szCs w:val="18"/>
        </w:rPr>
        <w:t>[…]</w:t>
      </w:r>
    </w:p>
    <w:p w14:paraId="21D5EFC9" w14:textId="77777777" w:rsidR="00154F17" w:rsidRPr="00260EBF" w:rsidRDefault="00154F17" w:rsidP="00DD3710">
      <w:pPr>
        <w:spacing w:after="0" w:line="240" w:lineRule="auto"/>
        <w:ind w:firstLine="709"/>
        <w:contextualSpacing/>
        <w:jc w:val="both"/>
        <w:rPr>
          <w:rFonts w:ascii="Verdana" w:hAnsi="Verdana" w:cs="Arial"/>
          <w:sz w:val="18"/>
          <w:szCs w:val="18"/>
        </w:rPr>
      </w:pPr>
      <w:r w:rsidRPr="00260EBF">
        <w:rPr>
          <w:rFonts w:ascii="Verdana" w:hAnsi="Verdana" w:cs="Arial"/>
          <w:sz w:val="18"/>
          <w:szCs w:val="18"/>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w:t>
      </w:r>
      <w:proofErr w:type="spellStart"/>
      <w:r w:rsidRPr="00260EBF">
        <w:rPr>
          <w:rFonts w:ascii="Verdana" w:hAnsi="Verdana" w:cs="Arial"/>
          <w:sz w:val="18"/>
          <w:szCs w:val="18"/>
        </w:rPr>
        <w:t>ii</w:t>
      </w:r>
      <w:proofErr w:type="spellEnd"/>
      <w:r w:rsidRPr="00260EBF">
        <w:rPr>
          <w:rFonts w:ascii="Verdana" w:hAnsi="Verdana" w:cs="Arial"/>
          <w:sz w:val="18"/>
          <w:szCs w:val="18"/>
        </w:rPr>
        <w:t>) la continua subordinación o dependencia y (</w:t>
      </w:r>
      <w:proofErr w:type="spellStart"/>
      <w:r w:rsidRPr="00260EBF">
        <w:rPr>
          <w:rFonts w:ascii="Verdana" w:hAnsi="Verdana" w:cs="Arial"/>
          <w:sz w:val="18"/>
          <w:szCs w:val="18"/>
        </w:rPr>
        <w:t>iii</w:t>
      </w:r>
      <w:proofErr w:type="spellEnd"/>
      <w:r w:rsidRPr="00260EBF">
        <w:rPr>
          <w:rFonts w:ascii="Verdana" w:hAnsi="Verdana" w:cs="Arial"/>
          <w:sz w:val="18"/>
          <w:szCs w:val="18"/>
        </w:rPr>
        <w:t>)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260EBF">
        <w:rPr>
          <w:rFonts w:ascii="Verdana" w:hAnsi="Verdana" w:cs="Arial"/>
          <w:spacing w:val="-17"/>
          <w:sz w:val="18"/>
          <w:szCs w:val="18"/>
        </w:rPr>
        <w:t xml:space="preserve"> </w:t>
      </w:r>
      <w:r w:rsidRPr="00260EBF">
        <w:rPr>
          <w:rFonts w:ascii="Verdana" w:hAnsi="Verdana" w:cs="Arial"/>
          <w:sz w:val="18"/>
          <w:szCs w:val="18"/>
        </w:rPr>
        <w:t>trabajo”.</w:t>
      </w:r>
    </w:p>
    <w:p w14:paraId="275CA473" w14:textId="77777777" w:rsidR="00154F17" w:rsidRPr="00260EBF" w:rsidRDefault="00154F17" w:rsidP="00DD3710">
      <w:pPr>
        <w:pStyle w:val="Textonotapie"/>
        <w:contextualSpacing/>
        <w:jc w:val="both"/>
        <w:rPr>
          <w:rFonts w:ascii="Verdana" w:hAnsi="Verdana" w:cs="Arial"/>
          <w:sz w:val="18"/>
          <w:szCs w:val="18"/>
        </w:rPr>
      </w:pPr>
    </w:p>
  </w:footnote>
  <w:footnote w:id="22">
    <w:p w14:paraId="281D8C9F" w14:textId="77777777" w:rsidR="00154F17" w:rsidRPr="00260EBF" w:rsidRDefault="00154F17" w:rsidP="00DD3710">
      <w:pPr>
        <w:spacing w:after="0" w:line="240" w:lineRule="auto"/>
        <w:ind w:firstLine="709"/>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10A8761F" w14:textId="77777777" w:rsidR="00154F17" w:rsidRPr="00260EBF" w:rsidRDefault="00154F17" w:rsidP="00DD3710">
      <w:pPr>
        <w:pStyle w:val="Textonotapie"/>
        <w:contextualSpacing/>
        <w:jc w:val="both"/>
        <w:rPr>
          <w:rFonts w:ascii="Verdana" w:hAnsi="Verdana" w:cs="Arial"/>
          <w:sz w:val="18"/>
          <w:szCs w:val="18"/>
        </w:rPr>
      </w:pPr>
    </w:p>
  </w:footnote>
  <w:footnote w:id="23">
    <w:p w14:paraId="29C84C3E" w14:textId="77777777" w:rsidR="00154F17" w:rsidRPr="00260EBF" w:rsidRDefault="00154F17" w:rsidP="00DD3710">
      <w:pPr>
        <w:spacing w:after="0" w:line="240" w:lineRule="auto"/>
        <w:ind w:firstLine="562"/>
        <w:contextualSpacing/>
        <w:jc w:val="both"/>
        <w:rPr>
          <w:rFonts w:ascii="Verdana" w:hAnsi="Verdana" w:cs="Arial"/>
          <w:sz w:val="18"/>
          <w:szCs w:val="18"/>
        </w:rPr>
      </w:pPr>
      <w:r w:rsidRPr="00260EBF">
        <w:rPr>
          <w:rFonts w:ascii="Verdana" w:hAnsi="Verdana" w:cs="Arial"/>
          <w:sz w:val="18"/>
          <w:szCs w:val="18"/>
        </w:rPr>
        <w:t xml:space="preserve">  </w:t>
      </w:r>
      <w:r w:rsidRPr="00260EBF">
        <w:rPr>
          <w:rStyle w:val="Refdenotaalpie"/>
          <w:rFonts w:ascii="Verdana" w:hAnsi="Verdana" w:cs="Arial"/>
          <w:sz w:val="18"/>
          <w:szCs w:val="18"/>
        </w:rPr>
        <w:footnoteRef/>
      </w:r>
      <w:r w:rsidRPr="00260EBF">
        <w:rPr>
          <w:rFonts w:ascii="Verdana" w:hAnsi="Verdana" w:cs="Arial"/>
          <w:sz w:val="18"/>
          <w:szCs w:val="18"/>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260EBF">
        <w:rPr>
          <w:rFonts w:ascii="Verdana" w:hAnsi="Verdana" w:cs="Arial"/>
          <w:spacing w:val="-6"/>
          <w:sz w:val="18"/>
          <w:szCs w:val="18"/>
        </w:rPr>
        <w:t xml:space="preserve"> </w:t>
      </w:r>
      <w:r w:rsidRPr="00260EBF">
        <w:rPr>
          <w:rFonts w:ascii="Verdana" w:hAnsi="Verdana" w:cs="Arial"/>
          <w:sz w:val="18"/>
          <w:szCs w:val="18"/>
        </w:rPr>
        <w:t>laboral”.</w:t>
      </w:r>
    </w:p>
    <w:p w14:paraId="0421BD38" w14:textId="77777777" w:rsidR="00154F17" w:rsidRPr="00260EBF" w:rsidRDefault="00154F17" w:rsidP="00DD3710">
      <w:pPr>
        <w:spacing w:after="0" w:line="240" w:lineRule="auto"/>
        <w:contextualSpacing/>
        <w:jc w:val="both"/>
        <w:rPr>
          <w:rFonts w:ascii="Verdana" w:hAnsi="Verdana" w:cs="Arial"/>
          <w:sz w:val="18"/>
          <w:szCs w:val="18"/>
        </w:rPr>
      </w:pPr>
    </w:p>
    <w:p w14:paraId="1D64C6E4" w14:textId="77777777" w:rsidR="00154F17" w:rsidRPr="00260EBF" w:rsidRDefault="00154F17" w:rsidP="00DD3710">
      <w:pPr>
        <w:spacing w:after="0" w:line="240" w:lineRule="auto"/>
        <w:contextualSpacing/>
        <w:jc w:val="both"/>
        <w:rPr>
          <w:rFonts w:ascii="Verdana" w:hAnsi="Verdana" w:cs="Arial"/>
          <w:sz w:val="18"/>
          <w:szCs w:val="18"/>
        </w:rPr>
      </w:pPr>
      <w:r w:rsidRPr="00260EBF">
        <w:rPr>
          <w:rFonts w:ascii="Verdana" w:hAnsi="Verdana" w:cs="Arial"/>
          <w:sz w:val="18"/>
          <w:szCs w:val="18"/>
        </w:rPr>
        <w:t>]…]</w:t>
      </w:r>
    </w:p>
    <w:p w14:paraId="3E2EDF7C" w14:textId="77777777" w:rsidR="00154F17" w:rsidRPr="00260EBF" w:rsidRDefault="00154F17" w:rsidP="00DD3710">
      <w:pPr>
        <w:pStyle w:val="Textoindependiente"/>
        <w:spacing w:before="0" w:beforeAutospacing="0" w:after="0" w:afterAutospacing="0"/>
        <w:contextualSpacing/>
        <w:jc w:val="both"/>
        <w:rPr>
          <w:rFonts w:ascii="Verdana" w:hAnsi="Verdana" w:cs="Arial"/>
          <w:sz w:val="18"/>
          <w:szCs w:val="18"/>
        </w:rPr>
      </w:pPr>
    </w:p>
    <w:p w14:paraId="27407CE7" w14:textId="77777777" w:rsidR="00154F17" w:rsidRPr="00260EBF" w:rsidRDefault="00154F17" w:rsidP="00DD3710">
      <w:pPr>
        <w:spacing w:after="0" w:line="240" w:lineRule="auto"/>
        <w:contextualSpacing/>
        <w:jc w:val="both"/>
        <w:rPr>
          <w:rFonts w:ascii="Verdana" w:hAnsi="Verdana" w:cs="Arial"/>
          <w:sz w:val="18"/>
          <w:szCs w:val="18"/>
        </w:rPr>
      </w:pPr>
      <w:r w:rsidRPr="00260EBF">
        <w:rPr>
          <w:rFonts w:ascii="Verdana" w:hAnsi="Verdana" w:cs="Arial"/>
          <w:sz w:val="18"/>
          <w:szCs w:val="18"/>
        </w:rPr>
        <w:t>“Así las cosas, encuentra la Sala que se cumplen los criterios determinados por la Corporación para proceder al amparo de los derechos fundamentales de la contratista: (i) existió una relación de prestación de servicios entre las partes; (</w:t>
      </w:r>
      <w:proofErr w:type="spellStart"/>
      <w:r w:rsidRPr="00260EBF">
        <w:rPr>
          <w:rFonts w:ascii="Verdana" w:hAnsi="Verdana" w:cs="Arial"/>
          <w:sz w:val="18"/>
          <w:szCs w:val="18"/>
        </w:rPr>
        <w:t>ii</w:t>
      </w:r>
      <w:proofErr w:type="spellEnd"/>
      <w:r w:rsidRPr="00260EBF">
        <w:rPr>
          <w:rFonts w:ascii="Verdana" w:hAnsi="Verdana" w:cs="Arial"/>
          <w:sz w:val="18"/>
          <w:szCs w:val="18"/>
        </w:rPr>
        <w:t>) la accionante se encontraba en estado de embarazo y dicha situación fue informada a la accionada en el mes de noviembre de 2016, y (</w:t>
      </w:r>
      <w:proofErr w:type="spellStart"/>
      <w:r w:rsidRPr="00260EBF">
        <w:rPr>
          <w:rFonts w:ascii="Verdana" w:hAnsi="Verdana" w:cs="Arial"/>
          <w:sz w:val="18"/>
          <w:szCs w:val="18"/>
        </w:rPr>
        <w:t>iii</w:t>
      </w:r>
      <w:proofErr w:type="spellEnd"/>
      <w:r w:rsidRPr="00260EBF">
        <w:rPr>
          <w:rFonts w:ascii="Verdana" w:hAnsi="Verdana" w:cs="Arial"/>
          <w:sz w:val="18"/>
          <w:szCs w:val="18"/>
        </w:rPr>
        <w:t>)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260EBF">
        <w:rPr>
          <w:rFonts w:ascii="Verdana" w:hAnsi="Verdana" w:cs="Arial"/>
          <w:spacing w:val="2"/>
          <w:sz w:val="18"/>
          <w:szCs w:val="18"/>
        </w:rPr>
        <w:t xml:space="preserve"> </w:t>
      </w:r>
      <w:r w:rsidRPr="00260EBF">
        <w:rPr>
          <w:rFonts w:ascii="Verdana" w:hAnsi="Verdana" w:cs="Arial"/>
          <w:sz w:val="18"/>
          <w:szCs w:val="18"/>
        </w:rPr>
        <w:t>terminación”.</w:t>
      </w:r>
    </w:p>
    <w:p w14:paraId="70047020" w14:textId="77777777" w:rsidR="00154F17" w:rsidRPr="00260EBF" w:rsidRDefault="00154F17" w:rsidP="00DD3710">
      <w:pPr>
        <w:spacing w:after="0" w:line="240" w:lineRule="auto"/>
        <w:ind w:firstLine="850"/>
        <w:contextualSpacing/>
        <w:jc w:val="both"/>
        <w:rPr>
          <w:rFonts w:ascii="Verdana" w:hAnsi="Verdana" w:cs="Arial"/>
          <w:sz w:val="18"/>
          <w:szCs w:val="18"/>
        </w:rPr>
      </w:pPr>
    </w:p>
    <w:p w14:paraId="754E5D07" w14:textId="77777777" w:rsidR="00154F17" w:rsidRPr="00260EBF" w:rsidRDefault="00154F17" w:rsidP="00DD3710">
      <w:pPr>
        <w:pStyle w:val="Textonotapie"/>
        <w:contextualSpacing/>
        <w:jc w:val="both"/>
        <w:rPr>
          <w:rFonts w:ascii="Verdana" w:hAnsi="Verdana" w:cs="Arial"/>
          <w:sz w:val="18"/>
          <w:szCs w:val="18"/>
        </w:rPr>
      </w:pPr>
    </w:p>
  </w:footnote>
  <w:footnote w:id="24">
    <w:p w14:paraId="5A53DAD7" w14:textId="77777777" w:rsidR="00154F17" w:rsidRPr="00260EBF" w:rsidRDefault="00154F17" w:rsidP="00DD3710">
      <w:pPr>
        <w:pStyle w:val="Textonotapie"/>
        <w:ind w:firstLine="708"/>
        <w:contextualSpacing/>
        <w:jc w:val="both"/>
        <w:rPr>
          <w:rFonts w:ascii="Verdana" w:hAnsi="Verdana" w:cs="Arial"/>
          <w:sz w:val="18"/>
          <w:szCs w:val="18"/>
          <w:lang w:val="es-CO"/>
        </w:rPr>
      </w:pPr>
      <w:r w:rsidRPr="00260EBF">
        <w:rPr>
          <w:rStyle w:val="Refdenotaalpie"/>
          <w:rFonts w:ascii="Verdana" w:hAnsi="Verdana" w:cs="Arial"/>
          <w:sz w:val="18"/>
          <w:szCs w:val="18"/>
        </w:rPr>
        <w:footnoteRef/>
      </w:r>
      <w:r w:rsidRPr="00260EBF">
        <w:rPr>
          <w:rFonts w:ascii="Verdana" w:hAnsi="Verdana" w:cs="Arial"/>
          <w:sz w:val="18"/>
          <w:szCs w:val="18"/>
        </w:rPr>
        <w:t xml:space="preserve"> </w:t>
      </w:r>
      <w:r w:rsidRPr="00260EBF">
        <w:rPr>
          <w:rFonts w:ascii="Verdana" w:hAnsi="Verdana" w:cs="Arial"/>
          <w:sz w:val="18"/>
          <w:szCs w:val="18"/>
          <w:lang w:val="es-ES"/>
        </w:rPr>
        <w:t>Corte Constitucional. Sentencia SU-075 de 2018. Magistrado Ponente: Gloria Stella Ortiz Delgado</w:t>
      </w:r>
    </w:p>
  </w:footnote>
  <w:footnote w:id="25">
    <w:p w14:paraId="5DFF4956" w14:textId="77777777" w:rsidR="00154F17" w:rsidRPr="00260EBF" w:rsidRDefault="00154F17" w:rsidP="00DD3710">
      <w:pPr>
        <w:pStyle w:val="Sinespaciado"/>
        <w:ind w:firstLine="682"/>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Corte Constitucional. Sentencia T-329 del 19 de septiembre de 2022. Expediente </w:t>
      </w:r>
      <w:bookmarkStart w:id="7" w:name="_Hlk113364075"/>
      <w:r w:rsidRPr="00260EBF">
        <w:rPr>
          <w:rFonts w:ascii="Verdana" w:hAnsi="Verdana" w:cs="Arial"/>
          <w:sz w:val="18"/>
          <w:szCs w:val="18"/>
        </w:rPr>
        <w:t>T-8.517.984</w:t>
      </w:r>
      <w:bookmarkEnd w:id="7"/>
      <w:r w:rsidRPr="00260EBF">
        <w:rPr>
          <w:rFonts w:ascii="Verdana" w:hAnsi="Verdana" w:cs="Arial"/>
          <w:sz w:val="18"/>
          <w:szCs w:val="18"/>
        </w:rPr>
        <w:t>. Magistrada Ponente: Natalia Ángel Cabo</w:t>
      </w:r>
    </w:p>
    <w:p w14:paraId="25AD6347" w14:textId="77777777" w:rsidR="00154F17" w:rsidRPr="00260EBF" w:rsidRDefault="00154F17" w:rsidP="00DD3710">
      <w:pPr>
        <w:pStyle w:val="Textonotapie"/>
        <w:contextualSpacing/>
        <w:jc w:val="both"/>
        <w:rPr>
          <w:rFonts w:ascii="Verdana" w:hAnsi="Verdana" w:cs="Arial"/>
          <w:sz w:val="18"/>
          <w:szCs w:val="18"/>
        </w:rPr>
      </w:pPr>
    </w:p>
  </w:footnote>
  <w:footnote w:id="26">
    <w:p w14:paraId="07C65803" w14:textId="77777777" w:rsidR="00154F17" w:rsidRPr="00260EBF" w:rsidRDefault="00154F17" w:rsidP="00DD3710">
      <w:pPr>
        <w:pStyle w:val="Textonotapie"/>
        <w:ind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Sentencia SU-070 de 2013. </w:t>
      </w:r>
      <w:proofErr w:type="spellStart"/>
      <w:r w:rsidRPr="00260EBF">
        <w:rPr>
          <w:rFonts w:ascii="Verdana" w:hAnsi="Verdana" w:cs="Arial"/>
          <w:sz w:val="18"/>
          <w:szCs w:val="18"/>
        </w:rPr>
        <w:t>Fund</w:t>
      </w:r>
      <w:proofErr w:type="spellEnd"/>
      <w:r w:rsidRPr="00260EBF">
        <w:rPr>
          <w:rFonts w:ascii="Verdana" w:hAnsi="Verdana" w:cs="Arial"/>
          <w:sz w:val="18"/>
          <w:szCs w:val="18"/>
        </w:rPr>
        <w:t>. 6. Reiterado en las</w:t>
      </w:r>
      <w:r w:rsidRPr="00260EBF">
        <w:rPr>
          <w:rFonts w:ascii="Verdana" w:hAnsi="Verdana" w:cs="Arial"/>
          <w:sz w:val="18"/>
          <w:szCs w:val="18"/>
          <w:lang w:val="es-ES_tradnl"/>
        </w:rPr>
        <w:t xml:space="preserve"> sentencias SU-040 de 2018 y SU-075 de 2018.</w:t>
      </w:r>
    </w:p>
  </w:footnote>
  <w:footnote w:id="27">
    <w:p w14:paraId="5F2B2DED" w14:textId="77777777" w:rsidR="00154F17" w:rsidRPr="00260EBF" w:rsidRDefault="00154F17" w:rsidP="00DD3710">
      <w:pPr>
        <w:pStyle w:val="Textonotapie"/>
        <w:contextualSpacing/>
        <w:jc w:val="both"/>
        <w:rPr>
          <w:rFonts w:ascii="Verdana" w:hAnsi="Verdana" w:cs="Arial"/>
          <w:sz w:val="18"/>
          <w:szCs w:val="18"/>
        </w:rPr>
      </w:pPr>
    </w:p>
    <w:p w14:paraId="168DB7D7" w14:textId="77777777" w:rsidR="00154F17" w:rsidRPr="00260EBF" w:rsidRDefault="00154F17" w:rsidP="00DD3710">
      <w:pPr>
        <w:pStyle w:val="Textonotapie"/>
        <w:ind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Esta indemnización se ha reconocido en contratos de prestación de servicios, entre otras, en las sentencias T-564 de 2017, T-350 de 2016, 316 de 2016, T-102 de 2016 y T-346 de 2013.</w:t>
      </w:r>
    </w:p>
  </w:footnote>
  <w:footnote w:id="28">
    <w:p w14:paraId="55D2654E" w14:textId="77777777" w:rsidR="00154F17" w:rsidRPr="00260EBF" w:rsidRDefault="00154F17" w:rsidP="00DD3710">
      <w:pPr>
        <w:pStyle w:val="Textonotapie"/>
        <w:contextualSpacing/>
        <w:jc w:val="both"/>
        <w:rPr>
          <w:rFonts w:ascii="Verdana" w:hAnsi="Verdana" w:cs="Arial"/>
          <w:sz w:val="18"/>
          <w:szCs w:val="18"/>
        </w:rPr>
      </w:pPr>
    </w:p>
    <w:p w14:paraId="03855601" w14:textId="77777777" w:rsidR="00154F17" w:rsidRPr="00260EBF" w:rsidRDefault="00154F17" w:rsidP="00DD3710">
      <w:pPr>
        <w:pStyle w:val="Textonotapie"/>
        <w:ind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En las sentencias T-238 de 2015 y T-350 de 2016 la Corte determinó que no procede el pago de la licencia de maternidad cuando en el caso se observe que la licencia de maternidad ya fue disfrutada. </w:t>
      </w:r>
    </w:p>
  </w:footnote>
  <w:footnote w:id="29">
    <w:p w14:paraId="2D4110B9" w14:textId="77777777" w:rsidR="00154F17" w:rsidRPr="00260EBF" w:rsidRDefault="00154F17" w:rsidP="00DD3710">
      <w:pPr>
        <w:pStyle w:val="Textonotapie"/>
        <w:ind w:firstLine="708"/>
        <w:contextualSpacing/>
        <w:jc w:val="both"/>
        <w:rPr>
          <w:rFonts w:ascii="Verdana" w:hAnsi="Verdana" w:cs="Arial"/>
          <w:sz w:val="18"/>
          <w:szCs w:val="18"/>
        </w:rPr>
      </w:pPr>
    </w:p>
    <w:p w14:paraId="342B5110" w14:textId="77777777" w:rsidR="00154F17" w:rsidRPr="00260EBF" w:rsidRDefault="00154F17" w:rsidP="00DD3710">
      <w:pPr>
        <w:pStyle w:val="Textonotapie"/>
        <w:ind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Esta media fue aplicada en la Sentencia T-030 de 2018 respecto del caso estudiado bajo el expediente T-6.425.691.</w:t>
      </w:r>
    </w:p>
  </w:footnote>
  <w:footnote w:id="30">
    <w:p w14:paraId="7CD1B411" w14:textId="77777777" w:rsidR="00154F17" w:rsidRPr="00260EBF" w:rsidRDefault="00154F17" w:rsidP="00DD3710">
      <w:pPr>
        <w:pStyle w:val="Textonotapie"/>
        <w:ind w:firstLine="708"/>
        <w:contextualSpacing/>
        <w:jc w:val="both"/>
        <w:rPr>
          <w:rFonts w:ascii="Verdana" w:hAnsi="Verdana" w:cs="Arial"/>
          <w:sz w:val="18"/>
          <w:szCs w:val="18"/>
        </w:rPr>
      </w:pPr>
    </w:p>
    <w:p w14:paraId="13F5E78A" w14:textId="77777777" w:rsidR="00154F17" w:rsidRPr="00260EBF" w:rsidRDefault="00154F17" w:rsidP="00DD3710">
      <w:pPr>
        <w:pStyle w:val="Textonotapie"/>
        <w:ind w:firstLine="708"/>
        <w:contextualSpacing/>
        <w:jc w:val="both"/>
        <w:rPr>
          <w:rFonts w:ascii="Verdana" w:hAnsi="Verdana" w:cs="Arial"/>
          <w:sz w:val="18"/>
          <w:szCs w:val="18"/>
        </w:rPr>
      </w:pPr>
      <w:r w:rsidRPr="00260EBF">
        <w:rPr>
          <w:rStyle w:val="Refdenotaalpie"/>
          <w:rFonts w:ascii="Verdana" w:hAnsi="Verdana" w:cs="Arial"/>
          <w:sz w:val="18"/>
          <w:szCs w:val="18"/>
        </w:rPr>
        <w:footnoteRef/>
      </w:r>
      <w:r w:rsidRPr="00260EBF">
        <w:rPr>
          <w:rFonts w:ascii="Verdana" w:hAnsi="Verdana" w:cs="Arial"/>
          <w:sz w:val="18"/>
          <w:szCs w:val="18"/>
        </w:rPr>
        <w:t xml:space="preserve"> En algunas oportunidades las salas de revisión han reconocido el pago de las prestaciones en materia de seguridad social en salud. Sentencia T-102 de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67DABC48" w:rsidR="00756841" w:rsidRDefault="00756841" w:rsidP="00A211EE">
    <w:pPr>
      <w:pStyle w:val="Encabezado"/>
      <w:jc w:val="center"/>
    </w:pPr>
  </w:p>
  <w:p w14:paraId="1BE2B9AE" w14:textId="4B94DB3B" w:rsidR="00756841" w:rsidRDefault="00756841">
    <w:pPr>
      <w:pStyle w:val="Encabezado"/>
    </w:pPr>
  </w:p>
  <w:p w14:paraId="66537681" w14:textId="77777777" w:rsidR="00A211EE" w:rsidRDefault="00A211EE" w:rsidP="00A211EE">
    <w:pPr>
      <w:spacing w:after="0"/>
      <w:rPr>
        <w:rFonts w:ascii="Verdana" w:hAnsi="Verdana"/>
        <w:b/>
        <w:bCs/>
        <w:sz w:val="24"/>
        <w:szCs w:val="24"/>
      </w:rPr>
    </w:pPr>
  </w:p>
  <w:p w14:paraId="1FD1C243" w14:textId="10E3EDD9" w:rsidR="008A446D" w:rsidRDefault="004A305D" w:rsidP="00A211EE">
    <w:pPr>
      <w:spacing w:after="0"/>
      <w:rPr>
        <w:rFonts w:ascii="Verdana" w:hAnsi="Verdana"/>
        <w:b/>
        <w:bCs/>
        <w:sz w:val="24"/>
        <w:szCs w:val="24"/>
      </w:rPr>
    </w:pPr>
    <w:r w:rsidRPr="00A211EE">
      <w:rPr>
        <w:rFonts w:ascii="Verdana" w:hAnsi="Verdana"/>
        <w:b/>
        <w:bCs/>
        <w:sz w:val="24"/>
        <w:szCs w:val="24"/>
      </w:rPr>
      <w:t>FORMATO PQRSD</w:t>
    </w:r>
  </w:p>
  <w:p w14:paraId="56E67371" w14:textId="77777777" w:rsidR="00A211EE" w:rsidRPr="00A211EE" w:rsidRDefault="00A211EE"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4"/>
  </w:num>
  <w:num w:numId="2" w16cid:durableId="19822139">
    <w:abstractNumId w:val="1"/>
  </w:num>
  <w:num w:numId="3" w16cid:durableId="876742304">
    <w:abstractNumId w:val="3"/>
  </w:num>
  <w:num w:numId="4" w16cid:durableId="2451864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878855506">
    <w:abstractNumId w:val="0"/>
  </w:num>
  <w:num w:numId="7" w16cid:durableId="777065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22D"/>
    <w:rsid w:val="00046CEB"/>
    <w:rsid w:val="000645D5"/>
    <w:rsid w:val="00076F63"/>
    <w:rsid w:val="000A683E"/>
    <w:rsid w:val="000B19B9"/>
    <w:rsid w:val="000C666C"/>
    <w:rsid w:val="000D0334"/>
    <w:rsid w:val="000D3808"/>
    <w:rsid w:val="000E02EF"/>
    <w:rsid w:val="000F6486"/>
    <w:rsid w:val="00127233"/>
    <w:rsid w:val="00154F17"/>
    <w:rsid w:val="00183339"/>
    <w:rsid w:val="001B52B0"/>
    <w:rsid w:val="001E191A"/>
    <w:rsid w:val="001E4177"/>
    <w:rsid w:val="00225548"/>
    <w:rsid w:val="002275A7"/>
    <w:rsid w:val="00233238"/>
    <w:rsid w:val="00260EBF"/>
    <w:rsid w:val="002827A9"/>
    <w:rsid w:val="002951A0"/>
    <w:rsid w:val="002962BC"/>
    <w:rsid w:val="002A49AC"/>
    <w:rsid w:val="002A5EF4"/>
    <w:rsid w:val="002A64FD"/>
    <w:rsid w:val="002B40DA"/>
    <w:rsid w:val="002B7C32"/>
    <w:rsid w:val="002C1FEE"/>
    <w:rsid w:val="002C7430"/>
    <w:rsid w:val="002C7A84"/>
    <w:rsid w:val="002F3FC8"/>
    <w:rsid w:val="002F4432"/>
    <w:rsid w:val="00327015"/>
    <w:rsid w:val="00353CA6"/>
    <w:rsid w:val="00360655"/>
    <w:rsid w:val="003A779E"/>
    <w:rsid w:val="003D0F4D"/>
    <w:rsid w:val="003E0499"/>
    <w:rsid w:val="003F3941"/>
    <w:rsid w:val="004179E5"/>
    <w:rsid w:val="00437E66"/>
    <w:rsid w:val="004702A1"/>
    <w:rsid w:val="004758F6"/>
    <w:rsid w:val="00481321"/>
    <w:rsid w:val="004A1847"/>
    <w:rsid w:val="004A305D"/>
    <w:rsid w:val="004A48BC"/>
    <w:rsid w:val="004F21C4"/>
    <w:rsid w:val="004F685F"/>
    <w:rsid w:val="00516F79"/>
    <w:rsid w:val="00521B1A"/>
    <w:rsid w:val="005566E8"/>
    <w:rsid w:val="00574867"/>
    <w:rsid w:val="00594DCF"/>
    <w:rsid w:val="005C5CDC"/>
    <w:rsid w:val="005D476C"/>
    <w:rsid w:val="005D6192"/>
    <w:rsid w:val="005E5DA4"/>
    <w:rsid w:val="006219F8"/>
    <w:rsid w:val="0065213D"/>
    <w:rsid w:val="00665D70"/>
    <w:rsid w:val="006F1A1E"/>
    <w:rsid w:val="00706C16"/>
    <w:rsid w:val="00736372"/>
    <w:rsid w:val="00756841"/>
    <w:rsid w:val="007649AB"/>
    <w:rsid w:val="007833AC"/>
    <w:rsid w:val="007C3DC2"/>
    <w:rsid w:val="007D375C"/>
    <w:rsid w:val="007E5497"/>
    <w:rsid w:val="00806F5F"/>
    <w:rsid w:val="00820278"/>
    <w:rsid w:val="008506A0"/>
    <w:rsid w:val="008843B6"/>
    <w:rsid w:val="00884E3B"/>
    <w:rsid w:val="0089074B"/>
    <w:rsid w:val="00891928"/>
    <w:rsid w:val="008A446D"/>
    <w:rsid w:val="008B5C99"/>
    <w:rsid w:val="008C45D4"/>
    <w:rsid w:val="008C4BD8"/>
    <w:rsid w:val="008C6876"/>
    <w:rsid w:val="008F0EA7"/>
    <w:rsid w:val="008F50F9"/>
    <w:rsid w:val="0090264D"/>
    <w:rsid w:val="00904756"/>
    <w:rsid w:val="00905C20"/>
    <w:rsid w:val="00923EEF"/>
    <w:rsid w:val="00930C14"/>
    <w:rsid w:val="00933EAB"/>
    <w:rsid w:val="009419F9"/>
    <w:rsid w:val="00944149"/>
    <w:rsid w:val="00961B09"/>
    <w:rsid w:val="00965334"/>
    <w:rsid w:val="0097093E"/>
    <w:rsid w:val="009845DB"/>
    <w:rsid w:val="009C71FA"/>
    <w:rsid w:val="009C72E7"/>
    <w:rsid w:val="009D3199"/>
    <w:rsid w:val="00A17F13"/>
    <w:rsid w:val="00A20739"/>
    <w:rsid w:val="00A211EE"/>
    <w:rsid w:val="00A33C78"/>
    <w:rsid w:val="00AB0ADB"/>
    <w:rsid w:val="00AC3386"/>
    <w:rsid w:val="00AF6785"/>
    <w:rsid w:val="00B2517D"/>
    <w:rsid w:val="00B41ACE"/>
    <w:rsid w:val="00B50F00"/>
    <w:rsid w:val="00B72CD3"/>
    <w:rsid w:val="00B72FFF"/>
    <w:rsid w:val="00B73586"/>
    <w:rsid w:val="00BA208A"/>
    <w:rsid w:val="00BD7F72"/>
    <w:rsid w:val="00BF23D6"/>
    <w:rsid w:val="00BF4518"/>
    <w:rsid w:val="00C01FAD"/>
    <w:rsid w:val="00C21EF8"/>
    <w:rsid w:val="00C330EB"/>
    <w:rsid w:val="00C754BE"/>
    <w:rsid w:val="00CB6357"/>
    <w:rsid w:val="00CB63F6"/>
    <w:rsid w:val="00CC1B26"/>
    <w:rsid w:val="00CF6F7D"/>
    <w:rsid w:val="00D40053"/>
    <w:rsid w:val="00D423A2"/>
    <w:rsid w:val="00D63AC2"/>
    <w:rsid w:val="00D71748"/>
    <w:rsid w:val="00D7383B"/>
    <w:rsid w:val="00D86FB4"/>
    <w:rsid w:val="00DD28D8"/>
    <w:rsid w:val="00DD3710"/>
    <w:rsid w:val="00DE600E"/>
    <w:rsid w:val="00DF2E59"/>
    <w:rsid w:val="00E10726"/>
    <w:rsid w:val="00E14B1F"/>
    <w:rsid w:val="00E16408"/>
    <w:rsid w:val="00E20894"/>
    <w:rsid w:val="00E245AB"/>
    <w:rsid w:val="00E50AFE"/>
    <w:rsid w:val="00E6048D"/>
    <w:rsid w:val="00E7698A"/>
    <w:rsid w:val="00E771DC"/>
    <w:rsid w:val="00E8772A"/>
    <w:rsid w:val="00E90F6B"/>
    <w:rsid w:val="00E92C27"/>
    <w:rsid w:val="00EA0E3D"/>
    <w:rsid w:val="00EB4E56"/>
    <w:rsid w:val="00EE1AA8"/>
    <w:rsid w:val="00EF0C53"/>
    <w:rsid w:val="00EF4AAB"/>
    <w:rsid w:val="00EF7336"/>
    <w:rsid w:val="00F31EDC"/>
    <w:rsid w:val="00F5664F"/>
    <w:rsid w:val="00F76AFC"/>
    <w:rsid w:val="00F76FB5"/>
    <w:rsid w:val="00F90634"/>
    <w:rsid w:val="00FA67DE"/>
    <w:rsid w:val="00FB5DD1"/>
    <w:rsid w:val="00FC2B5D"/>
    <w:rsid w:val="00FF1449"/>
    <w:rsid w:val="330449E6"/>
    <w:rsid w:val="4B271BF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0CD9C1D-8344-4F38-A03C-DBC9E7B60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paragraph" w:styleId="Sinespaciado">
    <w:name w:val="No Spacing"/>
    <w:uiPriority w:val="1"/>
    <w:qFormat/>
    <w:rsid w:val="00154F17"/>
    <w:pPr>
      <w:spacing w:after="0" w:line="240" w:lineRule="auto"/>
    </w:pPr>
  </w:style>
  <w:style w:type="paragraph" w:customStyle="1" w:styleId="Appelnotedebasde">
    <w:name w:val="Appel note de bas de..."/>
    <w:basedOn w:val="Normal"/>
    <w:link w:val="Refdenotaalpie"/>
    <w:uiPriority w:val="99"/>
    <w:rsid w:val="00154F17"/>
    <w:pPr>
      <w:spacing w:line="240" w:lineRule="exact"/>
    </w:pPr>
    <w:rPr>
      <w:vertAlign w:val="superscript"/>
    </w:rPr>
  </w:style>
  <w:style w:type="paragraph" w:styleId="Textoindependiente">
    <w:name w:val="Body Text"/>
    <w:basedOn w:val="Normal"/>
    <w:link w:val="TextoindependienteCar"/>
    <w:uiPriority w:val="99"/>
    <w:unhideWhenUsed/>
    <w:rsid w:val="00154F1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154F17"/>
    <w:rPr>
      <w:rFonts w:ascii="Times New Roman" w:eastAsia="Times New Roman" w:hAnsi="Times New Roman" w:cs="Times New Roman"/>
      <w:sz w:val="24"/>
      <w:szCs w:val="24"/>
      <w:lang w:eastAsia="es-CO"/>
    </w:rPr>
  </w:style>
  <w:style w:type="character" w:styleId="Hipervnculo">
    <w:name w:val="Hyperlink"/>
    <w:basedOn w:val="Fuentedeprrafopredeter"/>
    <w:uiPriority w:val="99"/>
    <w:unhideWhenUsed/>
    <w:rsid w:val="00154F17"/>
    <w:rPr>
      <w:color w:val="0000FF"/>
      <w:u w:val="single"/>
    </w:rPr>
  </w:style>
  <w:style w:type="paragraph" w:styleId="Revisin">
    <w:name w:val="Revision"/>
    <w:hidden/>
    <w:uiPriority w:val="99"/>
    <w:semiHidden/>
    <w:rsid w:val="00BF45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caldiabogota.gov.co/sisjur/normas/Norma1.jsp?i=144617"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alcaldiabogota.gov.co/sisjur/normas/Norma1.jsp?i=33104" TargetMode="External"/><Relationship Id="rId17" Type="http://schemas.openxmlformats.org/officeDocument/2006/relationships/hyperlink" Target="https://www.alcaldiabogota.gov.co/sisjur/normas/Norma1.jsp?i=33104" TargetMode="External"/><Relationship Id="rId2" Type="http://schemas.openxmlformats.org/officeDocument/2006/relationships/customXml" Target="../customXml/item2.xml"/><Relationship Id="rId16" Type="http://schemas.openxmlformats.org/officeDocument/2006/relationships/hyperlink" Target="https://www.alcaldiabogota.gov.co/sisjur/normas/Norma1.jsp?i=14461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ridico1@concejomunicipalchia.gov.co" TargetMode="External"/><Relationship Id="rId5" Type="http://schemas.openxmlformats.org/officeDocument/2006/relationships/styles" Target="styles.xml"/><Relationship Id="rId15" Type="http://schemas.openxmlformats.org/officeDocument/2006/relationships/hyperlink" Target="https://www.alcaldiabogota.gov.co/sisjur/normas/Norma1.jsp?i=33104"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lcaldiabogota.gov.co/sisjur/normas/Norma1.jsp?i=144617"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Diana Lucia Saavedra</DisplayName>
        <AccountId>452</AccountId>
        <AccountType/>
      </UserInfo>
      <UserInfo>
        <DisplayName>Alejandro Sarmiento</DisplayName>
        <AccountId>119</AccountId>
        <AccountType/>
      </UserInfo>
      <UserInfo>
        <DisplayName>Juan David Cárdenas Cabeza</DisplayName>
        <AccountId>659</AccountId>
        <AccountType/>
      </UserInfo>
      <UserInfo>
        <DisplayName>Carolina Quintero Gacharná</DisplayName>
        <AccountId>11435</AccountId>
        <AccountType/>
      </UserInfo>
    </SharedWithUsers>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BAC7981-C2C5-4EC8-90E5-B57A35195007}"/>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purl.org/dc/elements/1.1/"/>
    <ds:schemaRef ds:uri="http://purl.org/dc/terms/"/>
    <ds:schemaRef ds:uri="http://purl.org/dc/dcmitype/"/>
    <ds:schemaRef ds:uri="http://schemas.openxmlformats.org/package/2006/metadata/core-propertie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25</Pages>
  <Words>7882</Words>
  <Characters>43353</Characters>
  <Application>Microsoft Office Word</Application>
  <DocSecurity>0</DocSecurity>
  <Lines>361</Lines>
  <Paragraphs>102</Paragraphs>
  <ScaleCrop>false</ScaleCrop>
  <Company/>
  <LinksUpToDate>false</LinksUpToDate>
  <CharactersWithSpaces>51133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7</cp:revision>
  <cp:lastPrinted>2023-01-10T21:18:00Z</cp:lastPrinted>
  <dcterms:created xsi:type="dcterms:W3CDTF">2024-07-08T12:49:00Z</dcterms:created>
  <dcterms:modified xsi:type="dcterms:W3CDTF">2024-07-10T22:50:00Z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